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C94629">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976022" w:rsidP="00916EE2">
            <w:r>
              <w:rPr>
                <w:noProof/>
                <w:lang w:eastAsia="en-US"/>
              </w:rPr>
              <w:drawing>
                <wp:inline distT="0" distB="0" distL="0" distR="0">
                  <wp:extent cx="1860550" cy="1327150"/>
                  <wp:effectExtent l="0" t="0" r="6350" b="635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550" cy="13271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553F9A" w:rsidP="00916EE2">
            <w:pPr>
              <w:jc w:val="right"/>
              <w:rPr>
                <w:rFonts w:ascii="Arial Black" w:hAnsi="Arial Black"/>
                <w:caps/>
                <w:sz w:val="15"/>
              </w:rPr>
            </w:pPr>
            <w:r>
              <w:rPr>
                <w:rFonts w:ascii="Arial Black" w:hAnsi="Arial Black"/>
                <w:caps/>
                <w:sz w:val="15"/>
              </w:rPr>
              <w:t>A/51/</w:t>
            </w:r>
            <w:bookmarkStart w:id="1" w:name="Code"/>
            <w:bookmarkEnd w:id="1"/>
            <w:r w:rsidR="00976022">
              <w:rPr>
                <w:rFonts w:ascii="Arial Black" w:hAnsi="Arial Black"/>
                <w:caps/>
                <w:sz w:val="15"/>
              </w:rPr>
              <w:t>inf/6</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976022">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4625E9">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4625E9">
              <w:rPr>
                <w:rFonts w:ascii="Arial Black" w:hAnsi="Arial Black"/>
                <w:caps/>
                <w:sz w:val="15"/>
              </w:rPr>
              <w:t>September 18</w:t>
            </w:r>
            <w:r w:rsidR="00976022">
              <w:rPr>
                <w:rFonts w:ascii="Arial Black" w:hAnsi="Arial Black"/>
                <w:caps/>
                <w:sz w:val="15"/>
              </w:rPr>
              <w:t>,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553F9A" w:rsidP="008B2CC1">
      <w:pPr>
        <w:rPr>
          <w:b/>
          <w:sz w:val="28"/>
          <w:szCs w:val="28"/>
        </w:rPr>
      </w:pPr>
      <w:r w:rsidRPr="00553F9A">
        <w:rPr>
          <w:b/>
          <w:sz w:val="28"/>
          <w:szCs w:val="28"/>
        </w:rPr>
        <w:t>Assemblies of the Member States of WIPO</w:t>
      </w:r>
    </w:p>
    <w:p w:rsidR="003845C1" w:rsidRDefault="003845C1" w:rsidP="003845C1"/>
    <w:p w:rsidR="003845C1" w:rsidRDefault="003845C1" w:rsidP="003845C1"/>
    <w:p w:rsidR="008B2CC1" w:rsidRPr="003845C1" w:rsidRDefault="001651E0" w:rsidP="008B2CC1">
      <w:pPr>
        <w:rPr>
          <w:b/>
          <w:sz w:val="24"/>
          <w:szCs w:val="24"/>
        </w:rPr>
      </w:pPr>
      <w:r w:rsidRPr="001651E0">
        <w:rPr>
          <w:b/>
          <w:sz w:val="24"/>
          <w:szCs w:val="24"/>
        </w:rPr>
        <w:t>Fifty-First Series of Meetings</w:t>
      </w:r>
    </w:p>
    <w:p w:rsidR="008B2CC1" w:rsidRPr="008B2CC1" w:rsidRDefault="001651E0" w:rsidP="008B2CC1">
      <w:r w:rsidRPr="001651E0">
        <w:rPr>
          <w:b/>
          <w:sz w:val="24"/>
          <w:szCs w:val="24"/>
        </w:rPr>
        <w:t>Geneva, September 23 to October 2, 2013</w:t>
      </w:r>
    </w:p>
    <w:p w:rsidR="008B2CC1" w:rsidRPr="008B2CC1" w:rsidRDefault="008B2CC1" w:rsidP="008B2CC1"/>
    <w:p w:rsidR="008B2CC1" w:rsidRPr="008B2CC1" w:rsidRDefault="008B2CC1" w:rsidP="008B2CC1"/>
    <w:p w:rsidR="008B2CC1" w:rsidRPr="003845C1" w:rsidRDefault="00976022" w:rsidP="008B2CC1">
      <w:pPr>
        <w:rPr>
          <w:caps/>
          <w:sz w:val="24"/>
        </w:rPr>
      </w:pPr>
      <w:bookmarkStart w:id="4" w:name="TitleOfDoc"/>
      <w:bookmarkEnd w:id="4"/>
      <w:r>
        <w:rPr>
          <w:caps/>
          <w:sz w:val="24"/>
        </w:rPr>
        <w:t>INFORMATION PAPER ON EXTERNAL OFFICES</w:t>
      </w:r>
    </w:p>
    <w:p w:rsidR="008B2CC1" w:rsidRPr="008B2CC1" w:rsidRDefault="008B2CC1" w:rsidP="008B2CC1"/>
    <w:p w:rsidR="008B2CC1" w:rsidRPr="008B2CC1" w:rsidRDefault="00976022" w:rsidP="008B2CC1">
      <w:pPr>
        <w:rPr>
          <w:i/>
        </w:rPr>
      </w:pPr>
      <w:bookmarkStart w:id="5" w:name="Prepared"/>
      <w:bookmarkEnd w:id="5"/>
      <w:r>
        <w:rPr>
          <w:i/>
        </w:rPr>
        <w:t>Document prepared by the Secretariat</w:t>
      </w:r>
    </w:p>
    <w:p w:rsidR="00AC205C" w:rsidRDefault="00AC205C"/>
    <w:p w:rsidR="000F5E56" w:rsidRDefault="000F5E56"/>
    <w:p w:rsidR="002928D3" w:rsidRDefault="002928D3"/>
    <w:p w:rsidR="00ED1B43" w:rsidRDefault="00ED1B43" w:rsidP="00ED1B43"/>
    <w:p w:rsidR="00ED1B43" w:rsidRDefault="00ED1B43" w:rsidP="00ED1B43">
      <w:pPr>
        <w:numPr>
          <w:ilvl w:val="0"/>
          <w:numId w:val="7"/>
        </w:numPr>
        <w:ind w:left="0" w:firstLine="0"/>
      </w:pPr>
      <w:r>
        <w:t xml:space="preserve">The present document contains a </w:t>
      </w:r>
      <w:r w:rsidR="000D71F3">
        <w:t>paper</w:t>
      </w:r>
      <w:r>
        <w:t xml:space="preserve"> </w:t>
      </w:r>
      <w:r w:rsidR="000D71F3">
        <w:t xml:space="preserve">entitled </w:t>
      </w:r>
      <w:r>
        <w:t xml:space="preserve">“Strategy for WIPO External Offices” </w:t>
      </w:r>
      <w:r w:rsidR="000D71F3">
        <w:t xml:space="preserve">(WO/PBC/21/INF.1) </w:t>
      </w:r>
      <w:r>
        <w:t>which was submitted to the WIPO Program and Budget Committee (PBC) at its twenty-first session (September 9 to 13, 2013)</w:t>
      </w:r>
      <w:r w:rsidR="000D71F3">
        <w:t xml:space="preserve"> </w:t>
      </w:r>
      <w:r w:rsidR="00F115A7">
        <w:t>further to</w:t>
      </w:r>
      <w:r w:rsidR="000D71F3">
        <w:t xml:space="preserve"> the request </w:t>
      </w:r>
      <w:r w:rsidR="00D929A4">
        <w:t xml:space="preserve">made by </w:t>
      </w:r>
      <w:r>
        <w:t xml:space="preserve">the PBC </w:t>
      </w:r>
      <w:r w:rsidR="000D71F3">
        <w:t>at</w:t>
      </w:r>
      <w:r w:rsidR="00D929A4">
        <w:t xml:space="preserve"> the </w:t>
      </w:r>
      <w:r w:rsidR="000D71F3">
        <w:t>twentieth session.</w:t>
      </w:r>
      <w:r w:rsidR="000D71F3" w:rsidRPr="000D71F3">
        <w:t xml:space="preserve"> </w:t>
      </w:r>
    </w:p>
    <w:p w:rsidR="00D578DA" w:rsidRDefault="00D578DA" w:rsidP="00D578DA"/>
    <w:p w:rsidR="00D578DA" w:rsidRDefault="00ED1B43" w:rsidP="00ED1B43">
      <w:pPr>
        <w:numPr>
          <w:ilvl w:val="0"/>
          <w:numId w:val="7"/>
        </w:numPr>
        <w:ind w:left="0" w:firstLine="0"/>
      </w:pPr>
      <w:r>
        <w:t>Further to the Decisions and Recommendations adopted by the PBC at its twenty-first session, the Secretariat reproduce</w:t>
      </w:r>
      <w:r w:rsidR="000D71F3">
        <w:t xml:space="preserve">s </w:t>
      </w:r>
      <w:r>
        <w:t xml:space="preserve">the document </w:t>
      </w:r>
      <w:r w:rsidR="000D71F3">
        <w:t xml:space="preserve">to be circulated during the </w:t>
      </w:r>
      <w:r>
        <w:t xml:space="preserve">WIPO General Assembly for </w:t>
      </w:r>
      <w:r w:rsidR="000D71F3">
        <w:t>information purposes.</w:t>
      </w:r>
      <w:r>
        <w:t xml:space="preserve"> </w:t>
      </w:r>
    </w:p>
    <w:p w:rsidR="00ED1B43" w:rsidRDefault="00ED1B43" w:rsidP="00D578DA"/>
    <w:p w:rsidR="00D578DA" w:rsidRDefault="00D578DA" w:rsidP="00D578DA"/>
    <w:p w:rsidR="002928D3" w:rsidRDefault="002928D3" w:rsidP="0053057A"/>
    <w:p w:rsidR="004625E9" w:rsidRDefault="004625E9" w:rsidP="004625E9">
      <w:pPr>
        <w:pStyle w:val="Endofdocument-Annex"/>
        <w:rPr>
          <w:lang w:eastAsia="en-US"/>
        </w:rPr>
      </w:pPr>
      <w:r>
        <w:rPr>
          <w:lang w:eastAsia="en-US"/>
        </w:rPr>
        <w:t xml:space="preserve">[Document </w:t>
      </w:r>
      <w:r w:rsidR="005658DB">
        <w:rPr>
          <w:lang w:eastAsia="en-US"/>
        </w:rPr>
        <w:t>WO/PBC/21/INF/</w:t>
      </w:r>
      <w:r w:rsidR="006B41E4">
        <w:rPr>
          <w:lang w:eastAsia="en-US"/>
        </w:rPr>
        <w:t>.</w:t>
      </w:r>
      <w:r w:rsidR="005658DB">
        <w:rPr>
          <w:lang w:eastAsia="en-US"/>
        </w:rPr>
        <w:t xml:space="preserve">1 </w:t>
      </w:r>
      <w:r>
        <w:rPr>
          <w:lang w:eastAsia="en-US"/>
        </w:rPr>
        <w:t>follows]</w:t>
      </w:r>
    </w:p>
    <w:p w:rsidR="005658DB" w:rsidRDefault="005658DB" w:rsidP="004625E9">
      <w:pPr>
        <w:ind w:left="5670"/>
      </w:pPr>
    </w:p>
    <w:p w:rsidR="005658DB" w:rsidRDefault="005658DB" w:rsidP="004625E9">
      <w:pPr>
        <w:ind w:left="5670"/>
      </w:pPr>
    </w:p>
    <w:p w:rsidR="005658DB" w:rsidRDefault="005658DB" w:rsidP="004625E9">
      <w:pPr>
        <w:ind w:left="5670"/>
      </w:pPr>
    </w:p>
    <w:p w:rsidR="00013620" w:rsidRDefault="00013620">
      <w:pPr>
        <w:sectPr w:rsidR="00013620" w:rsidSect="00976022">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6B41E4" w:rsidRPr="008B2CC1" w:rsidTr="006B41E4">
        <w:tc>
          <w:tcPr>
            <w:tcW w:w="4513" w:type="dxa"/>
            <w:tcBorders>
              <w:bottom w:val="single" w:sz="4" w:space="0" w:color="auto"/>
            </w:tcBorders>
            <w:tcMar>
              <w:bottom w:w="170" w:type="dxa"/>
            </w:tcMar>
          </w:tcPr>
          <w:p w:rsidR="006B41E4" w:rsidRPr="008B2CC1" w:rsidRDefault="006B41E4" w:rsidP="00916EE2"/>
        </w:tc>
        <w:tc>
          <w:tcPr>
            <w:tcW w:w="4337" w:type="dxa"/>
            <w:tcBorders>
              <w:bottom w:val="single" w:sz="4" w:space="0" w:color="auto"/>
            </w:tcBorders>
            <w:tcMar>
              <w:left w:w="0" w:type="dxa"/>
              <w:right w:w="0" w:type="dxa"/>
            </w:tcMar>
          </w:tcPr>
          <w:p w:rsidR="006B41E4" w:rsidRPr="008B2CC1" w:rsidRDefault="00D578DA" w:rsidP="00916EE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04.5pt;mso-position-horizontal-relative:page;mso-position-vertical-relative:line" wrapcoords="-111 0 -111 21445 21600 21445 21600 0 -111 0" o:allowincell="f" o:allowoverlap="f">
                  <v:imagedata r:id="rId11" o:title="WIPO-E"/>
                </v:shape>
              </w:pict>
            </w:r>
          </w:p>
        </w:tc>
        <w:tc>
          <w:tcPr>
            <w:tcW w:w="425" w:type="dxa"/>
            <w:tcBorders>
              <w:bottom w:val="single" w:sz="4" w:space="0" w:color="auto"/>
            </w:tcBorders>
            <w:tcMar>
              <w:left w:w="0" w:type="dxa"/>
              <w:right w:w="0" w:type="dxa"/>
            </w:tcMar>
          </w:tcPr>
          <w:p w:rsidR="006B41E4" w:rsidRPr="008B2CC1" w:rsidRDefault="006B41E4" w:rsidP="00916EE2">
            <w:pPr>
              <w:jc w:val="right"/>
            </w:pPr>
            <w:r w:rsidRPr="00605827">
              <w:rPr>
                <w:b/>
                <w:sz w:val="40"/>
                <w:szCs w:val="40"/>
              </w:rPr>
              <w:t>E</w:t>
            </w:r>
          </w:p>
        </w:tc>
      </w:tr>
      <w:tr w:rsidR="006B41E4"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6B41E4" w:rsidRPr="0090731E" w:rsidRDefault="006B41E4" w:rsidP="006B41E4">
            <w:pPr>
              <w:jc w:val="right"/>
              <w:rPr>
                <w:rFonts w:ascii="Arial Black" w:hAnsi="Arial Black"/>
                <w:caps/>
                <w:sz w:val="15"/>
              </w:rPr>
            </w:pPr>
            <w:r>
              <w:rPr>
                <w:rFonts w:ascii="Arial Black" w:hAnsi="Arial Black"/>
                <w:caps/>
                <w:sz w:val="15"/>
              </w:rPr>
              <w:t>WO/PBC/21/INF.1</w:t>
            </w:r>
          </w:p>
        </w:tc>
      </w:tr>
      <w:tr w:rsidR="006B41E4" w:rsidRPr="001832A6" w:rsidTr="00916EE2">
        <w:trPr>
          <w:trHeight w:hRule="exact" w:val="170"/>
        </w:trPr>
        <w:tc>
          <w:tcPr>
            <w:tcW w:w="9356" w:type="dxa"/>
            <w:gridSpan w:val="3"/>
            <w:noWrap/>
            <w:tcMar>
              <w:left w:w="0" w:type="dxa"/>
              <w:right w:w="0" w:type="dxa"/>
            </w:tcMar>
            <w:vAlign w:val="bottom"/>
          </w:tcPr>
          <w:p w:rsidR="006B41E4" w:rsidRPr="0090731E" w:rsidRDefault="006B41E4" w:rsidP="00916EE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6B41E4" w:rsidRPr="006F0663" w:rsidTr="00916EE2">
        <w:trPr>
          <w:trHeight w:hRule="exact" w:val="198"/>
        </w:trPr>
        <w:tc>
          <w:tcPr>
            <w:tcW w:w="9356" w:type="dxa"/>
            <w:gridSpan w:val="3"/>
            <w:tcMar>
              <w:left w:w="0" w:type="dxa"/>
              <w:right w:w="0" w:type="dxa"/>
            </w:tcMar>
            <w:vAlign w:val="bottom"/>
          </w:tcPr>
          <w:p w:rsidR="006B41E4" w:rsidRPr="006F0663" w:rsidRDefault="006B41E4" w:rsidP="006B41E4">
            <w:pPr>
              <w:jc w:val="right"/>
              <w:rPr>
                <w:rFonts w:ascii="Arial Black" w:hAnsi="Arial Black"/>
                <w:caps/>
                <w:sz w:val="15"/>
              </w:rPr>
            </w:pPr>
            <w:r w:rsidRPr="006F0663">
              <w:rPr>
                <w:rFonts w:ascii="Arial Black" w:hAnsi="Arial Black"/>
                <w:caps/>
                <w:sz w:val="15"/>
              </w:rPr>
              <w:t xml:space="preserve">DATE: </w:t>
            </w:r>
            <w:r>
              <w:rPr>
                <w:rFonts w:ascii="Arial Black" w:hAnsi="Arial Black"/>
                <w:caps/>
                <w:sz w:val="15"/>
              </w:rPr>
              <w:t>july 31,</w:t>
            </w:r>
            <w:r w:rsidRPr="006F0663">
              <w:rPr>
                <w:rFonts w:ascii="Arial Black" w:hAnsi="Arial Black"/>
                <w:caps/>
                <w:sz w:val="15"/>
              </w:rPr>
              <w:t xml:space="preserve"> 2013</w:t>
            </w:r>
          </w:p>
        </w:tc>
      </w:tr>
    </w:tbl>
    <w:p w:rsidR="006B41E4" w:rsidRPr="008B2CC1" w:rsidRDefault="006B41E4" w:rsidP="008B2CC1"/>
    <w:p w:rsidR="006B41E4" w:rsidRPr="008B2CC1" w:rsidRDefault="006B41E4" w:rsidP="008B2CC1"/>
    <w:p w:rsidR="006B41E4" w:rsidRPr="008B2CC1" w:rsidRDefault="006B41E4" w:rsidP="008B2CC1"/>
    <w:p w:rsidR="006B41E4" w:rsidRPr="008B2CC1" w:rsidRDefault="006B41E4" w:rsidP="008B2CC1"/>
    <w:p w:rsidR="006B41E4" w:rsidRPr="008B2CC1" w:rsidRDefault="006B41E4" w:rsidP="008B2CC1"/>
    <w:p w:rsidR="006B41E4" w:rsidRPr="003845C1" w:rsidRDefault="006B41E4" w:rsidP="006B41E4">
      <w:pPr>
        <w:rPr>
          <w:b/>
          <w:sz w:val="28"/>
          <w:szCs w:val="28"/>
        </w:rPr>
      </w:pPr>
      <w:r>
        <w:rPr>
          <w:b/>
          <w:sz w:val="28"/>
          <w:szCs w:val="28"/>
        </w:rPr>
        <w:t>Program and Budget Committee</w:t>
      </w:r>
    </w:p>
    <w:p w:rsidR="006B41E4" w:rsidRDefault="006B41E4" w:rsidP="003845C1"/>
    <w:p w:rsidR="006B41E4" w:rsidRDefault="006B41E4" w:rsidP="003845C1"/>
    <w:p w:rsidR="006B41E4" w:rsidRPr="003845C1" w:rsidRDefault="006B41E4" w:rsidP="006B41E4">
      <w:pPr>
        <w:rPr>
          <w:b/>
          <w:sz w:val="24"/>
          <w:szCs w:val="24"/>
        </w:rPr>
      </w:pPr>
      <w:r>
        <w:rPr>
          <w:b/>
          <w:sz w:val="24"/>
          <w:szCs w:val="24"/>
        </w:rPr>
        <w:t>Twenty-First Session</w:t>
      </w:r>
    </w:p>
    <w:p w:rsidR="006B41E4" w:rsidRPr="003845C1" w:rsidRDefault="006B41E4" w:rsidP="006B41E4">
      <w:pPr>
        <w:rPr>
          <w:b/>
          <w:sz w:val="24"/>
          <w:szCs w:val="24"/>
        </w:rPr>
      </w:pPr>
      <w:r w:rsidRPr="00B479F1">
        <w:rPr>
          <w:b/>
          <w:sz w:val="24"/>
          <w:szCs w:val="24"/>
        </w:rPr>
        <w:t>Geneva</w:t>
      </w:r>
      <w:r>
        <w:rPr>
          <w:b/>
          <w:sz w:val="24"/>
          <w:szCs w:val="24"/>
        </w:rPr>
        <w:t>, September 9</w:t>
      </w:r>
      <w:r w:rsidRPr="00B479F1">
        <w:rPr>
          <w:b/>
          <w:sz w:val="24"/>
          <w:szCs w:val="24"/>
        </w:rPr>
        <w:t xml:space="preserve"> to </w:t>
      </w:r>
      <w:r>
        <w:rPr>
          <w:b/>
          <w:sz w:val="24"/>
          <w:szCs w:val="24"/>
        </w:rPr>
        <w:t>13, 2013</w:t>
      </w:r>
    </w:p>
    <w:p w:rsidR="006B41E4" w:rsidRPr="008B2CC1" w:rsidRDefault="006B41E4" w:rsidP="008B2CC1"/>
    <w:p w:rsidR="006B41E4" w:rsidRPr="008B2CC1" w:rsidRDefault="006B41E4" w:rsidP="008B2CC1"/>
    <w:p w:rsidR="006B41E4" w:rsidRPr="008B2CC1" w:rsidRDefault="006B41E4" w:rsidP="008B2CC1"/>
    <w:p w:rsidR="006B41E4" w:rsidRPr="003845C1" w:rsidRDefault="006B41E4" w:rsidP="008B2CC1">
      <w:pPr>
        <w:rPr>
          <w:caps/>
          <w:sz w:val="24"/>
        </w:rPr>
      </w:pPr>
      <w:r>
        <w:rPr>
          <w:caps/>
          <w:sz w:val="24"/>
        </w:rPr>
        <w:t>Strategy for WIPO External Offices</w:t>
      </w:r>
    </w:p>
    <w:p w:rsidR="006B41E4" w:rsidRPr="008B2CC1" w:rsidRDefault="006B41E4" w:rsidP="008B2CC1"/>
    <w:p w:rsidR="006B41E4" w:rsidRPr="008B2CC1" w:rsidRDefault="006B41E4" w:rsidP="008B2CC1">
      <w:pPr>
        <w:rPr>
          <w:i/>
        </w:rPr>
      </w:pPr>
      <w:r>
        <w:rPr>
          <w:i/>
        </w:rPr>
        <w:t>Document prepared by the Secretariat</w:t>
      </w:r>
    </w:p>
    <w:p w:rsidR="006B41E4" w:rsidRDefault="006B41E4"/>
    <w:p w:rsidR="006B41E4" w:rsidRDefault="006B41E4" w:rsidP="006B41E4">
      <w:pPr>
        <w:jc w:val="center"/>
      </w:pPr>
      <w:r>
        <w:br w:type="page"/>
      </w:r>
      <w:r>
        <w:lastRenderedPageBreak/>
        <w:br/>
      </w:r>
      <w:r>
        <w:br/>
      </w:r>
      <w:r>
        <w:br/>
      </w:r>
      <w:r>
        <w:br/>
        <w:t>TABLE OF CONTENTS</w:t>
      </w:r>
    </w:p>
    <w:p w:rsidR="006B41E4" w:rsidRDefault="006B41E4" w:rsidP="006B41E4">
      <w:pPr>
        <w:jc w:val="both"/>
      </w:pPr>
    </w:p>
    <w:p w:rsidR="006B41E4" w:rsidRDefault="006B41E4" w:rsidP="006B41E4">
      <w:pPr>
        <w:jc w:val="both"/>
      </w:pPr>
    </w:p>
    <w:p w:rsidR="006B41E4" w:rsidRPr="006B41E4" w:rsidRDefault="006B41E4" w:rsidP="006B41E4">
      <w:pPr>
        <w:pStyle w:val="TOC1"/>
        <w:rPr>
          <w:rFonts w:ascii="Calibri" w:eastAsia="Times New Roman" w:hAnsi="Calibri" w:cs="Times New Roman"/>
          <w:szCs w:val="22"/>
          <w:lang w:eastAsia="en-US"/>
        </w:rPr>
      </w:pPr>
      <w:r w:rsidRPr="00D86A8C">
        <w:rPr>
          <w:i/>
          <w:sz w:val="24"/>
        </w:rPr>
        <w:fldChar w:fldCharType="begin"/>
      </w:r>
      <w:r w:rsidRPr="00D86A8C">
        <w:rPr>
          <w:i/>
          <w:sz w:val="24"/>
        </w:rPr>
        <w:instrText xml:space="preserve"> TOC \o "1-4" \h \z \u </w:instrText>
      </w:r>
      <w:r w:rsidRPr="00D86A8C">
        <w:rPr>
          <w:i/>
          <w:sz w:val="24"/>
        </w:rPr>
        <w:fldChar w:fldCharType="separate"/>
      </w:r>
      <w:hyperlink w:anchor="_Toc362612207" w:history="1">
        <w:r w:rsidRPr="006B41E4">
          <w:rPr>
            <w:rStyle w:val="Hyperlink"/>
          </w:rPr>
          <w:t>INTRODUCTION</w:t>
        </w:r>
        <w:r w:rsidRPr="006B41E4">
          <w:rPr>
            <w:webHidden/>
          </w:rPr>
          <w:tab/>
        </w:r>
        <w:r w:rsidRPr="006B41E4">
          <w:rPr>
            <w:webHidden/>
          </w:rPr>
          <w:fldChar w:fldCharType="begin"/>
        </w:r>
        <w:r w:rsidRPr="006B41E4">
          <w:rPr>
            <w:webHidden/>
          </w:rPr>
          <w:instrText xml:space="preserve"> PAGEREF _Toc362612207 \h </w:instrText>
        </w:r>
        <w:r w:rsidRPr="006B41E4">
          <w:rPr>
            <w:webHidden/>
          </w:rPr>
        </w:r>
        <w:r w:rsidRPr="006B41E4">
          <w:rPr>
            <w:webHidden/>
          </w:rPr>
          <w:fldChar w:fldCharType="separate"/>
        </w:r>
        <w:r w:rsidR="00D578DA">
          <w:rPr>
            <w:webHidden/>
          </w:rPr>
          <w:t>4</w:t>
        </w:r>
        <w:r w:rsidRPr="006B41E4">
          <w:rPr>
            <w:webHidden/>
          </w:rPr>
          <w:fldChar w:fldCharType="end"/>
        </w:r>
      </w:hyperlink>
    </w:p>
    <w:p w:rsidR="006B41E4" w:rsidRPr="00EB2C36" w:rsidRDefault="00D578DA" w:rsidP="006B41E4">
      <w:pPr>
        <w:pStyle w:val="TOC1"/>
        <w:rPr>
          <w:rFonts w:ascii="Calibri" w:eastAsia="Times New Roman" w:hAnsi="Calibri" w:cs="Times New Roman"/>
          <w:szCs w:val="22"/>
          <w:lang w:eastAsia="en-US"/>
        </w:rPr>
      </w:pPr>
      <w:hyperlink w:anchor="_Toc362612208" w:history="1">
        <w:r w:rsidR="006B41E4" w:rsidRPr="006B41E4">
          <w:rPr>
            <w:rStyle w:val="Hyperlink"/>
          </w:rPr>
          <w:t>Existing EOs and Previous EOs</w:t>
        </w:r>
        <w:r w:rsidR="006B41E4" w:rsidRPr="006B41E4">
          <w:rPr>
            <w:webHidden/>
          </w:rPr>
          <w:tab/>
        </w:r>
        <w:r w:rsidR="006B41E4" w:rsidRPr="006B41E4">
          <w:rPr>
            <w:webHidden/>
          </w:rPr>
          <w:fldChar w:fldCharType="begin"/>
        </w:r>
        <w:r w:rsidR="006B41E4" w:rsidRPr="006B41E4">
          <w:rPr>
            <w:webHidden/>
          </w:rPr>
          <w:instrText xml:space="preserve"> PAGEREF _Toc362612208 \h </w:instrText>
        </w:r>
        <w:r w:rsidR="006B41E4" w:rsidRPr="006B41E4">
          <w:rPr>
            <w:webHidden/>
          </w:rPr>
        </w:r>
        <w:r w:rsidR="006B41E4" w:rsidRPr="006B41E4">
          <w:rPr>
            <w:webHidden/>
          </w:rPr>
          <w:fldChar w:fldCharType="separate"/>
        </w:r>
        <w:r>
          <w:rPr>
            <w:webHidden/>
          </w:rPr>
          <w:t>4</w:t>
        </w:r>
        <w:r w:rsidR="006B41E4" w:rsidRPr="006B41E4">
          <w:rPr>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09" w:history="1">
        <w:r w:rsidR="006B41E4" w:rsidRPr="00795207">
          <w:rPr>
            <w:rStyle w:val="Hyperlink"/>
            <w:noProof/>
          </w:rPr>
          <w:t>How and When was each Existing Office established?</w:t>
        </w:r>
        <w:r w:rsidR="006B41E4">
          <w:rPr>
            <w:noProof/>
            <w:webHidden/>
          </w:rPr>
          <w:tab/>
        </w:r>
        <w:r w:rsidR="006B41E4">
          <w:rPr>
            <w:noProof/>
            <w:webHidden/>
          </w:rPr>
          <w:fldChar w:fldCharType="begin"/>
        </w:r>
        <w:r w:rsidR="006B41E4">
          <w:rPr>
            <w:noProof/>
            <w:webHidden/>
          </w:rPr>
          <w:instrText xml:space="preserve"> PAGEREF _Toc362612209 \h </w:instrText>
        </w:r>
        <w:r w:rsidR="006B41E4">
          <w:rPr>
            <w:noProof/>
            <w:webHidden/>
          </w:rPr>
        </w:r>
        <w:r w:rsidR="006B41E4">
          <w:rPr>
            <w:noProof/>
            <w:webHidden/>
          </w:rPr>
          <w:fldChar w:fldCharType="separate"/>
        </w:r>
        <w:r>
          <w:rPr>
            <w:noProof/>
            <w:webHidden/>
          </w:rPr>
          <w:t>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0" w:history="1">
        <w:r w:rsidR="006B41E4" w:rsidRPr="00795207">
          <w:rPr>
            <w:rStyle w:val="Hyperlink"/>
            <w:noProof/>
          </w:rPr>
          <w:t>WSO</w:t>
        </w:r>
        <w:r w:rsidR="006B41E4">
          <w:rPr>
            <w:noProof/>
            <w:webHidden/>
          </w:rPr>
          <w:tab/>
        </w:r>
        <w:r w:rsidR="006B41E4">
          <w:rPr>
            <w:noProof/>
            <w:webHidden/>
          </w:rPr>
          <w:fldChar w:fldCharType="begin"/>
        </w:r>
        <w:r w:rsidR="006B41E4">
          <w:rPr>
            <w:noProof/>
            <w:webHidden/>
          </w:rPr>
          <w:instrText xml:space="preserve"> PAGEREF _Toc362612210 \h </w:instrText>
        </w:r>
        <w:r w:rsidR="006B41E4">
          <w:rPr>
            <w:noProof/>
            <w:webHidden/>
          </w:rPr>
        </w:r>
        <w:r w:rsidR="006B41E4">
          <w:rPr>
            <w:noProof/>
            <w:webHidden/>
          </w:rPr>
          <w:fldChar w:fldCharType="separate"/>
        </w:r>
        <w:r>
          <w:rPr>
            <w:noProof/>
            <w:webHidden/>
          </w:rPr>
          <w:t>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1" w:history="1">
        <w:r w:rsidR="006B41E4" w:rsidRPr="00795207">
          <w:rPr>
            <w:rStyle w:val="Hyperlink"/>
            <w:noProof/>
          </w:rPr>
          <w:t>WJO</w:t>
        </w:r>
        <w:r w:rsidR="006B41E4">
          <w:rPr>
            <w:noProof/>
            <w:webHidden/>
          </w:rPr>
          <w:tab/>
        </w:r>
        <w:r w:rsidR="006B41E4">
          <w:rPr>
            <w:noProof/>
            <w:webHidden/>
          </w:rPr>
          <w:fldChar w:fldCharType="begin"/>
        </w:r>
        <w:r w:rsidR="006B41E4">
          <w:rPr>
            <w:noProof/>
            <w:webHidden/>
          </w:rPr>
          <w:instrText xml:space="preserve"> PAGEREF _Toc362612211 \h </w:instrText>
        </w:r>
        <w:r w:rsidR="006B41E4">
          <w:rPr>
            <w:noProof/>
            <w:webHidden/>
          </w:rPr>
        </w:r>
        <w:r w:rsidR="006B41E4">
          <w:rPr>
            <w:noProof/>
            <w:webHidden/>
          </w:rPr>
          <w:fldChar w:fldCharType="separate"/>
        </w:r>
        <w:r>
          <w:rPr>
            <w:noProof/>
            <w:webHidden/>
          </w:rPr>
          <w:t>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2" w:history="1">
        <w:r w:rsidR="006B41E4" w:rsidRPr="00795207">
          <w:rPr>
            <w:rStyle w:val="Hyperlink"/>
            <w:noProof/>
          </w:rPr>
          <w:t>WBO</w:t>
        </w:r>
        <w:r w:rsidR="006B41E4">
          <w:rPr>
            <w:noProof/>
            <w:webHidden/>
          </w:rPr>
          <w:tab/>
        </w:r>
        <w:r w:rsidR="006B41E4">
          <w:rPr>
            <w:noProof/>
            <w:webHidden/>
          </w:rPr>
          <w:fldChar w:fldCharType="begin"/>
        </w:r>
        <w:r w:rsidR="006B41E4">
          <w:rPr>
            <w:noProof/>
            <w:webHidden/>
          </w:rPr>
          <w:instrText xml:space="preserve"> PAGEREF _Toc362612212 \h </w:instrText>
        </w:r>
        <w:r w:rsidR="006B41E4">
          <w:rPr>
            <w:noProof/>
            <w:webHidden/>
          </w:rPr>
        </w:r>
        <w:r w:rsidR="006B41E4">
          <w:rPr>
            <w:noProof/>
            <w:webHidden/>
          </w:rPr>
          <w:fldChar w:fldCharType="separate"/>
        </w:r>
        <w:r>
          <w:rPr>
            <w:noProof/>
            <w:webHidden/>
          </w:rPr>
          <w:t>5</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13" w:history="1">
        <w:r w:rsidR="006B41E4" w:rsidRPr="00795207">
          <w:rPr>
            <w:rStyle w:val="Hyperlink"/>
            <w:noProof/>
          </w:rPr>
          <w:t>Mandate, Objectives, Functions, Details of Placements, Activities of  Each EO</w:t>
        </w:r>
        <w:r w:rsidR="006B41E4">
          <w:rPr>
            <w:noProof/>
            <w:webHidden/>
          </w:rPr>
          <w:tab/>
        </w:r>
        <w:r w:rsidR="006B41E4">
          <w:rPr>
            <w:noProof/>
            <w:webHidden/>
          </w:rPr>
          <w:fldChar w:fldCharType="begin"/>
        </w:r>
        <w:r w:rsidR="006B41E4">
          <w:rPr>
            <w:noProof/>
            <w:webHidden/>
          </w:rPr>
          <w:instrText xml:space="preserve"> PAGEREF _Toc362612213 \h </w:instrText>
        </w:r>
        <w:r w:rsidR="006B41E4">
          <w:rPr>
            <w:noProof/>
            <w:webHidden/>
          </w:rPr>
        </w:r>
        <w:r w:rsidR="006B41E4">
          <w:rPr>
            <w:noProof/>
            <w:webHidden/>
          </w:rPr>
          <w:fldChar w:fldCharType="separate"/>
        </w:r>
        <w:r>
          <w:rPr>
            <w:noProof/>
            <w:webHidden/>
          </w:rPr>
          <w:t>6</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4" w:history="1">
        <w:r w:rsidR="006B41E4" w:rsidRPr="00795207">
          <w:rPr>
            <w:rStyle w:val="Hyperlink"/>
            <w:noProof/>
          </w:rPr>
          <w:t>General</w:t>
        </w:r>
        <w:r w:rsidR="006B41E4">
          <w:rPr>
            <w:noProof/>
            <w:webHidden/>
          </w:rPr>
          <w:tab/>
        </w:r>
        <w:r w:rsidR="006B41E4">
          <w:rPr>
            <w:noProof/>
            <w:webHidden/>
          </w:rPr>
          <w:fldChar w:fldCharType="begin"/>
        </w:r>
        <w:r w:rsidR="006B41E4">
          <w:rPr>
            <w:noProof/>
            <w:webHidden/>
          </w:rPr>
          <w:instrText xml:space="preserve"> PAGEREF _Toc362612214 \h </w:instrText>
        </w:r>
        <w:r w:rsidR="006B41E4">
          <w:rPr>
            <w:noProof/>
            <w:webHidden/>
          </w:rPr>
        </w:r>
        <w:r w:rsidR="006B41E4">
          <w:rPr>
            <w:noProof/>
            <w:webHidden/>
          </w:rPr>
          <w:fldChar w:fldCharType="separate"/>
        </w:r>
        <w:r>
          <w:rPr>
            <w:noProof/>
            <w:webHidden/>
          </w:rPr>
          <w:t>6</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5" w:history="1">
        <w:r w:rsidR="006B41E4" w:rsidRPr="00795207">
          <w:rPr>
            <w:rStyle w:val="Hyperlink"/>
            <w:noProof/>
          </w:rPr>
          <w:t>WSO</w:t>
        </w:r>
        <w:r w:rsidR="006B41E4">
          <w:rPr>
            <w:noProof/>
            <w:webHidden/>
          </w:rPr>
          <w:tab/>
        </w:r>
        <w:r w:rsidR="006B41E4">
          <w:rPr>
            <w:noProof/>
            <w:webHidden/>
          </w:rPr>
          <w:fldChar w:fldCharType="begin"/>
        </w:r>
        <w:r w:rsidR="006B41E4">
          <w:rPr>
            <w:noProof/>
            <w:webHidden/>
          </w:rPr>
          <w:instrText xml:space="preserve"> PAGEREF _Toc362612215 \h </w:instrText>
        </w:r>
        <w:r w:rsidR="006B41E4">
          <w:rPr>
            <w:noProof/>
            <w:webHidden/>
          </w:rPr>
        </w:r>
        <w:r w:rsidR="006B41E4">
          <w:rPr>
            <w:noProof/>
            <w:webHidden/>
          </w:rPr>
          <w:fldChar w:fldCharType="separate"/>
        </w:r>
        <w:r>
          <w:rPr>
            <w:noProof/>
            <w:webHidden/>
          </w:rPr>
          <w:t>7</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6" w:history="1">
        <w:r w:rsidR="006B41E4" w:rsidRPr="00795207">
          <w:rPr>
            <w:rStyle w:val="Hyperlink"/>
            <w:noProof/>
          </w:rPr>
          <w:t>WJO</w:t>
        </w:r>
        <w:r w:rsidR="006B41E4">
          <w:rPr>
            <w:noProof/>
            <w:webHidden/>
          </w:rPr>
          <w:tab/>
        </w:r>
        <w:r w:rsidR="006B41E4">
          <w:rPr>
            <w:noProof/>
            <w:webHidden/>
          </w:rPr>
          <w:fldChar w:fldCharType="begin"/>
        </w:r>
        <w:r w:rsidR="006B41E4">
          <w:rPr>
            <w:noProof/>
            <w:webHidden/>
          </w:rPr>
          <w:instrText xml:space="preserve"> PAGEREF _Toc362612216 \h </w:instrText>
        </w:r>
        <w:r w:rsidR="006B41E4">
          <w:rPr>
            <w:noProof/>
            <w:webHidden/>
          </w:rPr>
        </w:r>
        <w:r w:rsidR="006B41E4">
          <w:rPr>
            <w:noProof/>
            <w:webHidden/>
          </w:rPr>
          <w:fldChar w:fldCharType="separate"/>
        </w:r>
        <w:r>
          <w:rPr>
            <w:noProof/>
            <w:webHidden/>
          </w:rPr>
          <w:t>10</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7" w:history="1">
        <w:r w:rsidR="006B41E4" w:rsidRPr="00795207">
          <w:rPr>
            <w:rStyle w:val="Hyperlink"/>
            <w:noProof/>
          </w:rPr>
          <w:t>WBO</w:t>
        </w:r>
        <w:r w:rsidR="006B41E4">
          <w:rPr>
            <w:noProof/>
            <w:webHidden/>
          </w:rPr>
          <w:tab/>
        </w:r>
        <w:r w:rsidR="006B41E4">
          <w:rPr>
            <w:noProof/>
            <w:webHidden/>
          </w:rPr>
          <w:fldChar w:fldCharType="begin"/>
        </w:r>
        <w:r w:rsidR="006B41E4">
          <w:rPr>
            <w:noProof/>
            <w:webHidden/>
          </w:rPr>
          <w:instrText xml:space="preserve"> PAGEREF _Toc362612217 \h </w:instrText>
        </w:r>
        <w:r w:rsidR="006B41E4">
          <w:rPr>
            <w:noProof/>
            <w:webHidden/>
          </w:rPr>
        </w:r>
        <w:r w:rsidR="006B41E4">
          <w:rPr>
            <w:noProof/>
            <w:webHidden/>
          </w:rPr>
          <w:fldChar w:fldCharType="separate"/>
        </w:r>
        <w:r>
          <w:rPr>
            <w:noProof/>
            <w:webHidden/>
          </w:rPr>
          <w:t>13</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18" w:history="1">
        <w:r w:rsidR="006B41E4" w:rsidRPr="00795207">
          <w:rPr>
            <w:rStyle w:val="Hyperlink"/>
            <w:noProof/>
          </w:rPr>
          <w:t>Enhancement of Existing EOS since their Establishment</w:t>
        </w:r>
        <w:r w:rsidR="006B41E4">
          <w:rPr>
            <w:noProof/>
            <w:webHidden/>
          </w:rPr>
          <w:tab/>
        </w:r>
        <w:r w:rsidR="006B41E4">
          <w:rPr>
            <w:noProof/>
            <w:webHidden/>
          </w:rPr>
          <w:fldChar w:fldCharType="begin"/>
        </w:r>
        <w:r w:rsidR="006B41E4">
          <w:rPr>
            <w:noProof/>
            <w:webHidden/>
          </w:rPr>
          <w:instrText xml:space="preserve"> PAGEREF _Toc362612218 \h </w:instrText>
        </w:r>
        <w:r w:rsidR="006B41E4">
          <w:rPr>
            <w:noProof/>
            <w:webHidden/>
          </w:rPr>
        </w:r>
        <w:r w:rsidR="006B41E4">
          <w:rPr>
            <w:noProof/>
            <w:webHidden/>
          </w:rPr>
          <w:fldChar w:fldCharType="separate"/>
        </w:r>
        <w:r>
          <w:rPr>
            <w:noProof/>
            <w:webHidden/>
          </w:rPr>
          <w:t>17</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19" w:history="1">
        <w:r w:rsidR="006B41E4" w:rsidRPr="00795207">
          <w:rPr>
            <w:rStyle w:val="Hyperlink"/>
            <w:noProof/>
          </w:rPr>
          <w:t>Improvements</w:t>
        </w:r>
        <w:r w:rsidR="006B41E4">
          <w:rPr>
            <w:noProof/>
            <w:webHidden/>
          </w:rPr>
          <w:tab/>
        </w:r>
        <w:r w:rsidR="006B41E4">
          <w:rPr>
            <w:noProof/>
            <w:webHidden/>
          </w:rPr>
          <w:fldChar w:fldCharType="begin"/>
        </w:r>
        <w:r w:rsidR="006B41E4">
          <w:rPr>
            <w:noProof/>
            <w:webHidden/>
          </w:rPr>
          <w:instrText xml:space="preserve"> PAGEREF _Toc362612219 \h </w:instrText>
        </w:r>
        <w:r w:rsidR="006B41E4">
          <w:rPr>
            <w:noProof/>
            <w:webHidden/>
          </w:rPr>
        </w:r>
        <w:r w:rsidR="006B41E4">
          <w:rPr>
            <w:noProof/>
            <w:webHidden/>
          </w:rPr>
          <w:fldChar w:fldCharType="separate"/>
        </w:r>
        <w:r>
          <w:rPr>
            <w:noProof/>
            <w:webHidden/>
          </w:rPr>
          <w:t>17</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20" w:history="1">
        <w:r w:rsidR="006B41E4" w:rsidRPr="00795207">
          <w:rPr>
            <w:rStyle w:val="Hyperlink"/>
            <w:noProof/>
          </w:rPr>
          <w:t>Resources and Cost Efficiency</w:t>
        </w:r>
        <w:r w:rsidR="006B41E4">
          <w:rPr>
            <w:noProof/>
            <w:webHidden/>
          </w:rPr>
          <w:tab/>
        </w:r>
        <w:r w:rsidR="006B41E4">
          <w:rPr>
            <w:noProof/>
            <w:webHidden/>
          </w:rPr>
          <w:fldChar w:fldCharType="begin"/>
        </w:r>
        <w:r w:rsidR="006B41E4">
          <w:rPr>
            <w:noProof/>
            <w:webHidden/>
          </w:rPr>
          <w:instrText xml:space="preserve"> PAGEREF _Toc362612220 \h </w:instrText>
        </w:r>
        <w:r w:rsidR="006B41E4">
          <w:rPr>
            <w:noProof/>
            <w:webHidden/>
          </w:rPr>
        </w:r>
        <w:r w:rsidR="006B41E4">
          <w:rPr>
            <w:noProof/>
            <w:webHidden/>
          </w:rPr>
          <w:fldChar w:fldCharType="separate"/>
        </w:r>
        <w:r>
          <w:rPr>
            <w:noProof/>
            <w:webHidden/>
          </w:rPr>
          <w:t>20</w:t>
        </w:r>
        <w:r w:rsidR="006B41E4">
          <w:rPr>
            <w:noProof/>
            <w:webHidden/>
          </w:rPr>
          <w:fldChar w:fldCharType="end"/>
        </w:r>
      </w:hyperlink>
    </w:p>
    <w:p w:rsidR="006B41E4" w:rsidRPr="006B41E4" w:rsidRDefault="00D578DA" w:rsidP="006B41E4">
      <w:pPr>
        <w:pStyle w:val="TOC1"/>
        <w:rPr>
          <w:rFonts w:ascii="Calibri" w:eastAsia="Times New Roman" w:hAnsi="Calibri" w:cs="Times New Roman"/>
          <w:szCs w:val="22"/>
          <w:lang w:eastAsia="en-US"/>
        </w:rPr>
      </w:pPr>
      <w:hyperlink w:anchor="_Toc362612221" w:history="1">
        <w:r w:rsidR="006B41E4" w:rsidRPr="006B41E4">
          <w:rPr>
            <w:rStyle w:val="Hyperlink"/>
          </w:rPr>
          <w:t>Demand for New EOs</w:t>
        </w:r>
        <w:r w:rsidR="006B41E4" w:rsidRPr="006B41E4">
          <w:rPr>
            <w:webHidden/>
          </w:rPr>
          <w:tab/>
        </w:r>
        <w:r w:rsidR="006B41E4" w:rsidRPr="006B41E4">
          <w:rPr>
            <w:webHidden/>
          </w:rPr>
          <w:fldChar w:fldCharType="begin"/>
        </w:r>
        <w:r w:rsidR="006B41E4" w:rsidRPr="006B41E4">
          <w:rPr>
            <w:webHidden/>
          </w:rPr>
          <w:instrText xml:space="preserve"> PAGEREF _Toc362612221 \h </w:instrText>
        </w:r>
        <w:r w:rsidR="006B41E4" w:rsidRPr="006B41E4">
          <w:rPr>
            <w:webHidden/>
          </w:rPr>
        </w:r>
        <w:r w:rsidR="006B41E4" w:rsidRPr="006B41E4">
          <w:rPr>
            <w:webHidden/>
          </w:rPr>
          <w:fldChar w:fldCharType="separate"/>
        </w:r>
        <w:r>
          <w:rPr>
            <w:webHidden/>
          </w:rPr>
          <w:t>22</w:t>
        </w:r>
        <w:r w:rsidR="006B41E4" w:rsidRPr="006B41E4">
          <w:rPr>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22" w:history="1">
        <w:r w:rsidR="006B41E4" w:rsidRPr="00795207">
          <w:rPr>
            <w:rStyle w:val="Hyperlink"/>
            <w:noProof/>
          </w:rPr>
          <w:t>Requests or Applications</w:t>
        </w:r>
        <w:r w:rsidR="006B41E4">
          <w:rPr>
            <w:noProof/>
            <w:webHidden/>
          </w:rPr>
          <w:tab/>
        </w:r>
        <w:r w:rsidR="006B41E4">
          <w:rPr>
            <w:noProof/>
            <w:webHidden/>
          </w:rPr>
          <w:fldChar w:fldCharType="begin"/>
        </w:r>
        <w:r w:rsidR="006B41E4">
          <w:rPr>
            <w:noProof/>
            <w:webHidden/>
          </w:rPr>
          <w:instrText xml:space="preserve"> PAGEREF _Toc362612222 \h </w:instrText>
        </w:r>
        <w:r w:rsidR="006B41E4">
          <w:rPr>
            <w:noProof/>
            <w:webHidden/>
          </w:rPr>
        </w:r>
        <w:r w:rsidR="006B41E4">
          <w:rPr>
            <w:noProof/>
            <w:webHidden/>
          </w:rPr>
          <w:fldChar w:fldCharType="separate"/>
        </w:r>
        <w:r>
          <w:rPr>
            <w:noProof/>
            <w:webHidden/>
          </w:rPr>
          <w:t>22</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23" w:history="1">
        <w:r w:rsidR="006B41E4" w:rsidRPr="00795207">
          <w:rPr>
            <w:rStyle w:val="Hyperlink"/>
            <w:noProof/>
          </w:rPr>
          <w:t>Informal Consultations Held</w:t>
        </w:r>
        <w:r w:rsidR="006B41E4">
          <w:rPr>
            <w:noProof/>
            <w:webHidden/>
          </w:rPr>
          <w:tab/>
        </w:r>
        <w:r w:rsidR="006B41E4">
          <w:rPr>
            <w:noProof/>
            <w:webHidden/>
          </w:rPr>
          <w:fldChar w:fldCharType="begin"/>
        </w:r>
        <w:r w:rsidR="006B41E4">
          <w:rPr>
            <w:noProof/>
            <w:webHidden/>
          </w:rPr>
          <w:instrText xml:space="preserve"> PAGEREF _Toc362612223 \h </w:instrText>
        </w:r>
        <w:r w:rsidR="006B41E4">
          <w:rPr>
            <w:noProof/>
            <w:webHidden/>
          </w:rPr>
        </w:r>
        <w:r w:rsidR="006B41E4">
          <w:rPr>
            <w:noProof/>
            <w:webHidden/>
          </w:rPr>
          <w:fldChar w:fldCharType="separate"/>
        </w:r>
        <w:r>
          <w:rPr>
            <w:noProof/>
            <w:webHidden/>
          </w:rPr>
          <w:t>22</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24" w:history="1">
        <w:r w:rsidR="006B41E4" w:rsidRPr="00795207">
          <w:rPr>
            <w:rStyle w:val="Hyperlink"/>
            <w:noProof/>
          </w:rPr>
          <w:t>The role of EO</w:t>
        </w:r>
        <w:r w:rsidR="006B41E4" w:rsidRPr="00795207">
          <w:rPr>
            <w:rStyle w:val="Hyperlink"/>
            <w:b/>
            <w:noProof/>
          </w:rPr>
          <w:t>s</w:t>
        </w:r>
        <w:r w:rsidR="006B41E4" w:rsidRPr="00795207">
          <w:rPr>
            <w:rStyle w:val="Hyperlink"/>
            <w:noProof/>
          </w:rPr>
          <w:t xml:space="preserve"> in WIPO</w:t>
        </w:r>
        <w:r w:rsidR="006B41E4">
          <w:rPr>
            <w:noProof/>
            <w:webHidden/>
          </w:rPr>
          <w:tab/>
        </w:r>
        <w:r w:rsidR="006B41E4">
          <w:rPr>
            <w:noProof/>
            <w:webHidden/>
          </w:rPr>
          <w:fldChar w:fldCharType="begin"/>
        </w:r>
        <w:r w:rsidR="006B41E4">
          <w:rPr>
            <w:noProof/>
            <w:webHidden/>
          </w:rPr>
          <w:instrText xml:space="preserve"> PAGEREF _Toc362612224 \h </w:instrText>
        </w:r>
        <w:r w:rsidR="006B41E4">
          <w:rPr>
            <w:noProof/>
            <w:webHidden/>
          </w:rPr>
        </w:r>
        <w:r w:rsidR="006B41E4">
          <w:rPr>
            <w:noProof/>
            <w:webHidden/>
          </w:rPr>
          <w:fldChar w:fldCharType="separate"/>
        </w:r>
        <w:r>
          <w:rPr>
            <w:noProof/>
            <w:webHidden/>
          </w:rPr>
          <w:t>23</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25" w:history="1">
        <w:r w:rsidR="006B41E4" w:rsidRPr="00795207">
          <w:rPr>
            <w:rStyle w:val="Hyperlink"/>
            <w:noProof/>
          </w:rPr>
          <w:t>Needs and Justification</w:t>
        </w:r>
        <w:r w:rsidR="006B41E4">
          <w:rPr>
            <w:noProof/>
            <w:webHidden/>
          </w:rPr>
          <w:tab/>
        </w:r>
        <w:r w:rsidR="006B41E4">
          <w:rPr>
            <w:noProof/>
            <w:webHidden/>
          </w:rPr>
          <w:fldChar w:fldCharType="begin"/>
        </w:r>
        <w:r w:rsidR="006B41E4">
          <w:rPr>
            <w:noProof/>
            <w:webHidden/>
          </w:rPr>
          <w:instrText xml:space="preserve"> PAGEREF _Toc362612225 \h </w:instrText>
        </w:r>
        <w:r w:rsidR="006B41E4">
          <w:rPr>
            <w:noProof/>
            <w:webHidden/>
          </w:rPr>
        </w:r>
        <w:r w:rsidR="006B41E4">
          <w:rPr>
            <w:noProof/>
            <w:webHidden/>
          </w:rPr>
          <w:fldChar w:fldCharType="separate"/>
        </w:r>
        <w:r>
          <w:rPr>
            <w:noProof/>
            <w:webHidden/>
          </w:rPr>
          <w:t>23</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26" w:history="1">
        <w:r w:rsidR="006B41E4" w:rsidRPr="00795207">
          <w:rPr>
            <w:rStyle w:val="Hyperlink"/>
            <w:noProof/>
          </w:rPr>
          <w:t>Strategy</w:t>
        </w:r>
        <w:r w:rsidR="006B41E4">
          <w:rPr>
            <w:noProof/>
            <w:webHidden/>
          </w:rPr>
          <w:tab/>
        </w:r>
        <w:r w:rsidR="006B41E4">
          <w:rPr>
            <w:noProof/>
            <w:webHidden/>
          </w:rPr>
          <w:fldChar w:fldCharType="begin"/>
        </w:r>
        <w:r w:rsidR="006B41E4">
          <w:rPr>
            <w:noProof/>
            <w:webHidden/>
          </w:rPr>
          <w:instrText xml:space="preserve"> PAGEREF _Toc362612226 \h </w:instrText>
        </w:r>
        <w:r w:rsidR="006B41E4">
          <w:rPr>
            <w:noProof/>
            <w:webHidden/>
          </w:rPr>
        </w:r>
        <w:r w:rsidR="006B41E4">
          <w:rPr>
            <w:noProof/>
            <w:webHidden/>
          </w:rPr>
          <w:fldChar w:fldCharType="separate"/>
        </w:r>
        <w:r>
          <w:rPr>
            <w:noProof/>
            <w:webHidden/>
          </w:rPr>
          <w:t>25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27" w:history="1">
        <w:r w:rsidR="006B41E4" w:rsidRPr="00795207">
          <w:rPr>
            <w:rStyle w:val="Hyperlink"/>
            <w:noProof/>
          </w:rPr>
          <w:t>Small</w:t>
        </w:r>
        <w:r w:rsidR="006B41E4">
          <w:rPr>
            <w:noProof/>
            <w:webHidden/>
          </w:rPr>
          <w:tab/>
        </w:r>
        <w:r w:rsidR="006B41E4">
          <w:rPr>
            <w:noProof/>
            <w:webHidden/>
          </w:rPr>
          <w:fldChar w:fldCharType="begin"/>
        </w:r>
        <w:r w:rsidR="006B41E4">
          <w:rPr>
            <w:noProof/>
            <w:webHidden/>
          </w:rPr>
          <w:instrText xml:space="preserve"> PAGEREF _Toc362612227 \h </w:instrText>
        </w:r>
        <w:r w:rsidR="006B41E4">
          <w:rPr>
            <w:noProof/>
            <w:webHidden/>
          </w:rPr>
        </w:r>
        <w:r w:rsidR="006B41E4">
          <w:rPr>
            <w:noProof/>
            <w:webHidden/>
          </w:rPr>
          <w:fldChar w:fldCharType="separate"/>
        </w:r>
        <w:r>
          <w:rPr>
            <w:noProof/>
            <w:webHidden/>
          </w:rPr>
          <w:t>25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28" w:history="1">
        <w:r w:rsidR="006B41E4" w:rsidRPr="00795207">
          <w:rPr>
            <w:rStyle w:val="Hyperlink"/>
            <w:noProof/>
          </w:rPr>
          <w:t>Limited</w:t>
        </w:r>
        <w:r w:rsidR="006B41E4">
          <w:rPr>
            <w:noProof/>
            <w:webHidden/>
          </w:rPr>
          <w:tab/>
        </w:r>
        <w:r w:rsidR="006B41E4">
          <w:rPr>
            <w:noProof/>
            <w:webHidden/>
          </w:rPr>
          <w:fldChar w:fldCharType="begin"/>
        </w:r>
        <w:r w:rsidR="006B41E4">
          <w:rPr>
            <w:noProof/>
            <w:webHidden/>
          </w:rPr>
          <w:instrText xml:space="preserve"> PAGEREF _Toc362612228 \h </w:instrText>
        </w:r>
        <w:r w:rsidR="006B41E4">
          <w:rPr>
            <w:noProof/>
            <w:webHidden/>
          </w:rPr>
        </w:r>
        <w:r w:rsidR="006B41E4">
          <w:rPr>
            <w:noProof/>
            <w:webHidden/>
          </w:rPr>
          <w:fldChar w:fldCharType="separate"/>
        </w:r>
        <w:r>
          <w:rPr>
            <w:noProof/>
            <w:webHidden/>
          </w:rPr>
          <w:t>25</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29" w:history="1">
        <w:r w:rsidR="006B41E4" w:rsidRPr="00795207">
          <w:rPr>
            <w:rStyle w:val="Hyperlink"/>
            <w:noProof/>
          </w:rPr>
          <w:t>Strategically positioned</w:t>
        </w:r>
        <w:r w:rsidR="006B41E4">
          <w:rPr>
            <w:noProof/>
            <w:webHidden/>
          </w:rPr>
          <w:tab/>
        </w:r>
        <w:r w:rsidR="006B41E4">
          <w:rPr>
            <w:noProof/>
            <w:webHidden/>
          </w:rPr>
          <w:fldChar w:fldCharType="begin"/>
        </w:r>
        <w:r w:rsidR="006B41E4">
          <w:rPr>
            <w:noProof/>
            <w:webHidden/>
          </w:rPr>
          <w:instrText xml:space="preserve"> PAGEREF _Toc362612229 \h </w:instrText>
        </w:r>
        <w:r w:rsidR="006B41E4">
          <w:rPr>
            <w:noProof/>
            <w:webHidden/>
          </w:rPr>
        </w:r>
        <w:r w:rsidR="006B41E4">
          <w:rPr>
            <w:noProof/>
            <w:webHidden/>
          </w:rPr>
          <w:fldChar w:fldCharType="separate"/>
        </w:r>
        <w:r>
          <w:rPr>
            <w:noProof/>
            <w:webHidden/>
          </w:rPr>
          <w:t>26</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30" w:history="1">
        <w:r w:rsidR="006B41E4" w:rsidRPr="00795207">
          <w:rPr>
            <w:rStyle w:val="Hyperlink"/>
            <w:noProof/>
          </w:rPr>
          <w:t>Geographically representative</w:t>
        </w:r>
        <w:r w:rsidR="006B41E4">
          <w:rPr>
            <w:noProof/>
            <w:webHidden/>
          </w:rPr>
          <w:tab/>
        </w:r>
        <w:r w:rsidR="006B41E4">
          <w:rPr>
            <w:noProof/>
            <w:webHidden/>
          </w:rPr>
          <w:fldChar w:fldCharType="begin"/>
        </w:r>
        <w:r w:rsidR="006B41E4">
          <w:rPr>
            <w:noProof/>
            <w:webHidden/>
          </w:rPr>
          <w:instrText xml:space="preserve"> PAGEREF _Toc362612230 \h </w:instrText>
        </w:r>
        <w:r w:rsidR="006B41E4">
          <w:rPr>
            <w:noProof/>
            <w:webHidden/>
          </w:rPr>
        </w:r>
        <w:r w:rsidR="006B41E4">
          <w:rPr>
            <w:noProof/>
            <w:webHidden/>
          </w:rPr>
          <w:fldChar w:fldCharType="separate"/>
        </w:r>
        <w:r>
          <w:rPr>
            <w:noProof/>
            <w:webHidden/>
          </w:rPr>
          <w:t>28</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1" w:history="1">
        <w:r w:rsidR="006B41E4" w:rsidRPr="00795207">
          <w:rPr>
            <w:rStyle w:val="Hyperlink"/>
            <w:noProof/>
          </w:rPr>
          <w:t>Geographic representation of other similar UN specialized agencies and of IP institutions</w:t>
        </w:r>
        <w:r w:rsidR="006B41E4">
          <w:rPr>
            <w:noProof/>
            <w:webHidden/>
          </w:rPr>
          <w:tab/>
        </w:r>
        <w:r w:rsidR="006B41E4">
          <w:rPr>
            <w:noProof/>
            <w:webHidden/>
          </w:rPr>
          <w:fldChar w:fldCharType="begin"/>
        </w:r>
        <w:r w:rsidR="006B41E4">
          <w:rPr>
            <w:noProof/>
            <w:webHidden/>
          </w:rPr>
          <w:instrText xml:space="preserve"> PAGEREF _Toc362612231 \h </w:instrText>
        </w:r>
        <w:r w:rsidR="006B41E4">
          <w:rPr>
            <w:noProof/>
            <w:webHidden/>
          </w:rPr>
        </w:r>
        <w:r w:rsidR="006B41E4">
          <w:rPr>
            <w:noProof/>
            <w:webHidden/>
          </w:rPr>
          <w:fldChar w:fldCharType="separate"/>
        </w:r>
        <w:r>
          <w:rPr>
            <w:noProof/>
            <w:webHidden/>
          </w:rPr>
          <w:t>31</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2" w:history="1">
        <w:r w:rsidR="006B41E4" w:rsidRPr="00795207">
          <w:rPr>
            <w:rStyle w:val="Hyperlink"/>
            <w:noProof/>
          </w:rPr>
          <w:t>ILO</w:t>
        </w:r>
        <w:r w:rsidR="006B41E4">
          <w:rPr>
            <w:noProof/>
            <w:webHidden/>
          </w:rPr>
          <w:tab/>
        </w:r>
        <w:r w:rsidR="006B41E4">
          <w:rPr>
            <w:noProof/>
            <w:webHidden/>
          </w:rPr>
          <w:fldChar w:fldCharType="begin"/>
        </w:r>
        <w:r w:rsidR="006B41E4">
          <w:rPr>
            <w:noProof/>
            <w:webHidden/>
          </w:rPr>
          <w:instrText xml:space="preserve"> PAGEREF _Toc362612232 \h </w:instrText>
        </w:r>
        <w:r w:rsidR="006B41E4">
          <w:rPr>
            <w:noProof/>
            <w:webHidden/>
          </w:rPr>
        </w:r>
        <w:r w:rsidR="006B41E4">
          <w:rPr>
            <w:noProof/>
            <w:webHidden/>
          </w:rPr>
          <w:fldChar w:fldCharType="separate"/>
        </w:r>
        <w:r>
          <w:rPr>
            <w:noProof/>
            <w:webHidden/>
          </w:rPr>
          <w:t>32</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3" w:history="1">
        <w:r w:rsidR="006B41E4" w:rsidRPr="00795207">
          <w:rPr>
            <w:rStyle w:val="Hyperlink"/>
            <w:noProof/>
          </w:rPr>
          <w:t>ITU</w:t>
        </w:r>
        <w:r w:rsidR="006B41E4">
          <w:rPr>
            <w:noProof/>
            <w:webHidden/>
          </w:rPr>
          <w:tab/>
        </w:r>
        <w:r w:rsidR="006B41E4">
          <w:rPr>
            <w:noProof/>
            <w:webHidden/>
          </w:rPr>
          <w:fldChar w:fldCharType="begin"/>
        </w:r>
        <w:r w:rsidR="006B41E4">
          <w:rPr>
            <w:noProof/>
            <w:webHidden/>
          </w:rPr>
          <w:instrText xml:space="preserve"> PAGEREF _Toc362612233 \h </w:instrText>
        </w:r>
        <w:r w:rsidR="006B41E4">
          <w:rPr>
            <w:noProof/>
            <w:webHidden/>
          </w:rPr>
        </w:r>
        <w:r w:rsidR="006B41E4">
          <w:rPr>
            <w:noProof/>
            <w:webHidden/>
          </w:rPr>
          <w:fldChar w:fldCharType="separate"/>
        </w:r>
        <w:r>
          <w:rPr>
            <w:noProof/>
            <w:webHidden/>
          </w:rPr>
          <w:t>32</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4" w:history="1">
        <w:r w:rsidR="006B41E4" w:rsidRPr="00795207">
          <w:rPr>
            <w:rStyle w:val="Hyperlink"/>
            <w:noProof/>
          </w:rPr>
          <w:t>WHO</w:t>
        </w:r>
        <w:r w:rsidR="006B41E4">
          <w:rPr>
            <w:noProof/>
            <w:webHidden/>
          </w:rPr>
          <w:tab/>
        </w:r>
        <w:r w:rsidR="006B41E4">
          <w:rPr>
            <w:noProof/>
            <w:webHidden/>
          </w:rPr>
          <w:fldChar w:fldCharType="begin"/>
        </w:r>
        <w:r w:rsidR="006B41E4">
          <w:rPr>
            <w:noProof/>
            <w:webHidden/>
          </w:rPr>
          <w:instrText xml:space="preserve"> PAGEREF _Toc362612234 \h </w:instrText>
        </w:r>
        <w:r w:rsidR="006B41E4">
          <w:rPr>
            <w:noProof/>
            <w:webHidden/>
          </w:rPr>
        </w:r>
        <w:r w:rsidR="006B41E4">
          <w:rPr>
            <w:noProof/>
            <w:webHidden/>
          </w:rPr>
          <w:fldChar w:fldCharType="separate"/>
        </w:r>
        <w:r>
          <w:rPr>
            <w:noProof/>
            <w:webHidden/>
          </w:rPr>
          <w:t>33</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5" w:history="1">
        <w:r w:rsidR="006B41E4" w:rsidRPr="00795207">
          <w:rPr>
            <w:rStyle w:val="Hyperlink"/>
            <w:noProof/>
          </w:rPr>
          <w:t>WMO</w:t>
        </w:r>
        <w:r w:rsidR="006B41E4">
          <w:rPr>
            <w:noProof/>
            <w:webHidden/>
          </w:rPr>
          <w:tab/>
        </w:r>
        <w:r w:rsidR="006B41E4">
          <w:rPr>
            <w:noProof/>
            <w:webHidden/>
          </w:rPr>
          <w:fldChar w:fldCharType="begin"/>
        </w:r>
        <w:r w:rsidR="006B41E4">
          <w:rPr>
            <w:noProof/>
            <w:webHidden/>
          </w:rPr>
          <w:instrText xml:space="preserve"> PAGEREF _Toc362612235 \h </w:instrText>
        </w:r>
        <w:r w:rsidR="006B41E4">
          <w:rPr>
            <w:noProof/>
            <w:webHidden/>
          </w:rPr>
        </w:r>
        <w:r w:rsidR="006B41E4">
          <w:rPr>
            <w:noProof/>
            <w:webHidden/>
          </w:rPr>
          <w:fldChar w:fldCharType="separate"/>
        </w:r>
        <w:r>
          <w:rPr>
            <w:noProof/>
            <w:webHidden/>
          </w:rPr>
          <w:t>33</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6" w:history="1">
        <w:r w:rsidR="006B41E4" w:rsidRPr="00795207">
          <w:rPr>
            <w:rStyle w:val="Hyperlink"/>
            <w:noProof/>
          </w:rPr>
          <w:t>IP Institutions</w:t>
        </w:r>
        <w:r w:rsidR="006B41E4">
          <w:rPr>
            <w:noProof/>
            <w:webHidden/>
          </w:rPr>
          <w:tab/>
        </w:r>
        <w:r w:rsidR="006B41E4">
          <w:rPr>
            <w:noProof/>
            <w:webHidden/>
          </w:rPr>
          <w:fldChar w:fldCharType="begin"/>
        </w:r>
        <w:r w:rsidR="006B41E4">
          <w:rPr>
            <w:noProof/>
            <w:webHidden/>
          </w:rPr>
          <w:instrText xml:space="preserve"> PAGEREF _Toc362612236 \h </w:instrText>
        </w:r>
        <w:r w:rsidR="006B41E4">
          <w:rPr>
            <w:noProof/>
            <w:webHidden/>
          </w:rPr>
        </w:r>
        <w:r w:rsidR="006B41E4">
          <w:rPr>
            <w:noProof/>
            <w:webHidden/>
          </w:rPr>
          <w:fldChar w:fldCharType="separate"/>
        </w:r>
        <w:r>
          <w:rPr>
            <w:noProof/>
            <w:webHidden/>
          </w:rPr>
          <w:t>34</w:t>
        </w:r>
        <w:r w:rsidR="006B41E4">
          <w:rPr>
            <w:noProof/>
            <w:webHidden/>
          </w:rPr>
          <w:fldChar w:fldCharType="end"/>
        </w:r>
      </w:hyperlink>
    </w:p>
    <w:p w:rsidR="006B41E4" w:rsidRPr="00EB2C36" w:rsidRDefault="00D578DA">
      <w:pPr>
        <w:pStyle w:val="TOC4"/>
        <w:tabs>
          <w:tab w:val="right" w:leader="dot" w:pos="9345"/>
        </w:tabs>
        <w:rPr>
          <w:rFonts w:ascii="Calibri" w:eastAsia="Times New Roman" w:hAnsi="Calibri" w:cs="Times New Roman"/>
          <w:noProof/>
          <w:szCs w:val="22"/>
          <w:lang w:eastAsia="en-US"/>
        </w:rPr>
      </w:pPr>
      <w:hyperlink w:anchor="_Toc362612237" w:history="1">
        <w:r w:rsidR="006B41E4" w:rsidRPr="00795207">
          <w:rPr>
            <w:rStyle w:val="Hyperlink"/>
            <w:noProof/>
          </w:rPr>
          <w:t>Other Geographically Representative Factors</w:t>
        </w:r>
        <w:r w:rsidR="006B41E4">
          <w:rPr>
            <w:noProof/>
            <w:webHidden/>
          </w:rPr>
          <w:tab/>
        </w:r>
        <w:r w:rsidR="006B41E4">
          <w:rPr>
            <w:noProof/>
            <w:webHidden/>
          </w:rPr>
          <w:fldChar w:fldCharType="begin"/>
        </w:r>
        <w:r w:rsidR="006B41E4">
          <w:rPr>
            <w:noProof/>
            <w:webHidden/>
          </w:rPr>
          <w:instrText xml:space="preserve"> PAGEREF _Toc362612237 \h </w:instrText>
        </w:r>
        <w:r w:rsidR="006B41E4">
          <w:rPr>
            <w:noProof/>
            <w:webHidden/>
          </w:rPr>
        </w:r>
        <w:r w:rsidR="006B41E4">
          <w:rPr>
            <w:noProof/>
            <w:webHidden/>
          </w:rPr>
          <w:fldChar w:fldCharType="separate"/>
        </w:r>
        <w:r>
          <w:rPr>
            <w:noProof/>
            <w:webHidden/>
          </w:rPr>
          <w:t>34</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38" w:history="1">
        <w:r w:rsidR="006B41E4" w:rsidRPr="00795207">
          <w:rPr>
            <w:rStyle w:val="Hyperlink"/>
            <w:noProof/>
          </w:rPr>
          <w:t>Monitoring of strategic objectives</w:t>
        </w:r>
        <w:r w:rsidR="006B41E4">
          <w:rPr>
            <w:noProof/>
            <w:webHidden/>
          </w:rPr>
          <w:tab/>
        </w:r>
        <w:r w:rsidR="006B41E4">
          <w:rPr>
            <w:noProof/>
            <w:webHidden/>
          </w:rPr>
          <w:fldChar w:fldCharType="begin"/>
        </w:r>
        <w:r w:rsidR="006B41E4">
          <w:rPr>
            <w:noProof/>
            <w:webHidden/>
          </w:rPr>
          <w:instrText xml:space="preserve"> PAGEREF _Toc362612238 \h </w:instrText>
        </w:r>
        <w:r w:rsidR="006B41E4">
          <w:rPr>
            <w:noProof/>
            <w:webHidden/>
          </w:rPr>
        </w:r>
        <w:r w:rsidR="006B41E4">
          <w:rPr>
            <w:noProof/>
            <w:webHidden/>
          </w:rPr>
          <w:fldChar w:fldCharType="separate"/>
        </w:r>
        <w:r>
          <w:rPr>
            <w:noProof/>
            <w:webHidden/>
          </w:rPr>
          <w:t>35</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39" w:history="1">
        <w:r w:rsidR="006B41E4" w:rsidRPr="00795207">
          <w:rPr>
            <w:rStyle w:val="Hyperlink"/>
            <w:noProof/>
          </w:rPr>
          <w:t>Criteria</w:t>
        </w:r>
        <w:r w:rsidR="006B41E4">
          <w:rPr>
            <w:noProof/>
            <w:webHidden/>
          </w:rPr>
          <w:tab/>
        </w:r>
        <w:r w:rsidR="006B41E4">
          <w:rPr>
            <w:noProof/>
            <w:webHidden/>
          </w:rPr>
          <w:fldChar w:fldCharType="begin"/>
        </w:r>
        <w:r w:rsidR="006B41E4">
          <w:rPr>
            <w:noProof/>
            <w:webHidden/>
          </w:rPr>
          <w:instrText xml:space="preserve"> PAGEREF _Toc362612239 \h </w:instrText>
        </w:r>
        <w:r w:rsidR="006B41E4">
          <w:rPr>
            <w:noProof/>
            <w:webHidden/>
          </w:rPr>
        </w:r>
        <w:r w:rsidR="006B41E4">
          <w:rPr>
            <w:noProof/>
            <w:webHidden/>
          </w:rPr>
          <w:fldChar w:fldCharType="separate"/>
        </w:r>
        <w:r>
          <w:rPr>
            <w:noProof/>
            <w:webHidden/>
          </w:rPr>
          <w:t>35</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40" w:history="1">
        <w:r w:rsidR="006B41E4" w:rsidRPr="00795207">
          <w:rPr>
            <w:rStyle w:val="Hyperlink"/>
            <w:noProof/>
          </w:rPr>
          <w:t>Analysis of the five proposed EOs</w:t>
        </w:r>
        <w:r w:rsidR="006B41E4">
          <w:rPr>
            <w:noProof/>
            <w:webHidden/>
          </w:rPr>
          <w:tab/>
        </w:r>
        <w:r w:rsidR="006B41E4">
          <w:rPr>
            <w:noProof/>
            <w:webHidden/>
          </w:rPr>
          <w:fldChar w:fldCharType="begin"/>
        </w:r>
        <w:r w:rsidR="006B41E4">
          <w:rPr>
            <w:noProof/>
            <w:webHidden/>
          </w:rPr>
          <w:instrText xml:space="preserve"> PAGEREF _Toc362612240 \h </w:instrText>
        </w:r>
        <w:r w:rsidR="006B41E4">
          <w:rPr>
            <w:noProof/>
            <w:webHidden/>
          </w:rPr>
        </w:r>
        <w:r w:rsidR="006B41E4">
          <w:rPr>
            <w:noProof/>
            <w:webHidden/>
          </w:rPr>
          <w:fldChar w:fldCharType="separate"/>
        </w:r>
        <w:r>
          <w:rPr>
            <w:noProof/>
            <w:webHidden/>
          </w:rPr>
          <w:t>37</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41" w:history="1">
        <w:r w:rsidR="006B41E4" w:rsidRPr="00795207">
          <w:rPr>
            <w:rStyle w:val="Hyperlink"/>
            <w:noProof/>
          </w:rPr>
          <w:t>China</w:t>
        </w:r>
        <w:r w:rsidR="006B41E4">
          <w:rPr>
            <w:noProof/>
            <w:webHidden/>
          </w:rPr>
          <w:tab/>
        </w:r>
        <w:r w:rsidR="006B41E4">
          <w:rPr>
            <w:noProof/>
            <w:webHidden/>
          </w:rPr>
          <w:fldChar w:fldCharType="begin"/>
        </w:r>
        <w:r w:rsidR="006B41E4">
          <w:rPr>
            <w:noProof/>
            <w:webHidden/>
          </w:rPr>
          <w:instrText xml:space="preserve"> PAGEREF _Toc362612241 \h </w:instrText>
        </w:r>
        <w:r w:rsidR="006B41E4">
          <w:rPr>
            <w:noProof/>
            <w:webHidden/>
          </w:rPr>
        </w:r>
        <w:r w:rsidR="006B41E4">
          <w:rPr>
            <w:noProof/>
            <w:webHidden/>
          </w:rPr>
          <w:fldChar w:fldCharType="separate"/>
        </w:r>
        <w:r>
          <w:rPr>
            <w:noProof/>
            <w:webHidden/>
          </w:rPr>
          <w:t>38</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42" w:history="1">
        <w:r w:rsidR="006B41E4" w:rsidRPr="00795207">
          <w:rPr>
            <w:rStyle w:val="Hyperlink"/>
            <w:noProof/>
          </w:rPr>
          <w:t>Russian Federation</w:t>
        </w:r>
        <w:r w:rsidR="006B41E4">
          <w:rPr>
            <w:noProof/>
            <w:webHidden/>
          </w:rPr>
          <w:tab/>
        </w:r>
        <w:r w:rsidR="006B41E4">
          <w:rPr>
            <w:noProof/>
            <w:webHidden/>
          </w:rPr>
          <w:fldChar w:fldCharType="begin"/>
        </w:r>
        <w:r w:rsidR="006B41E4">
          <w:rPr>
            <w:noProof/>
            <w:webHidden/>
          </w:rPr>
          <w:instrText xml:space="preserve"> PAGEREF _Toc362612242 \h </w:instrText>
        </w:r>
        <w:r w:rsidR="006B41E4">
          <w:rPr>
            <w:noProof/>
            <w:webHidden/>
          </w:rPr>
        </w:r>
        <w:r w:rsidR="006B41E4">
          <w:rPr>
            <w:noProof/>
            <w:webHidden/>
          </w:rPr>
          <w:fldChar w:fldCharType="separate"/>
        </w:r>
        <w:r>
          <w:rPr>
            <w:noProof/>
            <w:webHidden/>
          </w:rPr>
          <w:t>39</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43" w:history="1">
        <w:r w:rsidR="006B41E4" w:rsidRPr="00795207">
          <w:rPr>
            <w:rStyle w:val="Hyperlink"/>
            <w:noProof/>
          </w:rPr>
          <w:t>United States of America</w:t>
        </w:r>
        <w:r w:rsidR="006B41E4">
          <w:rPr>
            <w:noProof/>
            <w:webHidden/>
          </w:rPr>
          <w:tab/>
        </w:r>
        <w:r w:rsidR="006B41E4">
          <w:rPr>
            <w:noProof/>
            <w:webHidden/>
          </w:rPr>
          <w:fldChar w:fldCharType="begin"/>
        </w:r>
        <w:r w:rsidR="006B41E4">
          <w:rPr>
            <w:noProof/>
            <w:webHidden/>
          </w:rPr>
          <w:instrText xml:space="preserve"> PAGEREF _Toc362612243 \h </w:instrText>
        </w:r>
        <w:r w:rsidR="006B41E4">
          <w:rPr>
            <w:noProof/>
            <w:webHidden/>
          </w:rPr>
        </w:r>
        <w:r w:rsidR="006B41E4">
          <w:rPr>
            <w:noProof/>
            <w:webHidden/>
          </w:rPr>
          <w:fldChar w:fldCharType="separate"/>
        </w:r>
        <w:r>
          <w:rPr>
            <w:noProof/>
            <w:webHidden/>
          </w:rPr>
          <w:t>40</w:t>
        </w:r>
        <w:r w:rsidR="006B41E4">
          <w:rPr>
            <w:noProof/>
            <w:webHidden/>
          </w:rPr>
          <w:fldChar w:fldCharType="end"/>
        </w:r>
      </w:hyperlink>
    </w:p>
    <w:p w:rsidR="006B41E4" w:rsidRPr="00EB2C36" w:rsidRDefault="00D578DA">
      <w:pPr>
        <w:pStyle w:val="TOC3"/>
        <w:tabs>
          <w:tab w:val="right" w:leader="dot" w:pos="9345"/>
        </w:tabs>
        <w:rPr>
          <w:rFonts w:ascii="Calibri" w:eastAsia="Times New Roman" w:hAnsi="Calibri" w:cs="Times New Roman"/>
          <w:noProof/>
          <w:szCs w:val="22"/>
          <w:lang w:eastAsia="en-US"/>
        </w:rPr>
      </w:pPr>
      <w:hyperlink w:anchor="_Toc362612244" w:history="1">
        <w:r w:rsidR="006B41E4" w:rsidRPr="00795207">
          <w:rPr>
            <w:rStyle w:val="Hyperlink"/>
            <w:noProof/>
          </w:rPr>
          <w:t>Africa</w:t>
        </w:r>
        <w:r w:rsidR="006B41E4">
          <w:rPr>
            <w:noProof/>
            <w:webHidden/>
          </w:rPr>
          <w:tab/>
        </w:r>
        <w:r w:rsidR="006B41E4">
          <w:rPr>
            <w:noProof/>
            <w:webHidden/>
          </w:rPr>
          <w:fldChar w:fldCharType="begin"/>
        </w:r>
        <w:r w:rsidR="006B41E4">
          <w:rPr>
            <w:noProof/>
            <w:webHidden/>
          </w:rPr>
          <w:instrText xml:space="preserve"> PAGEREF _Toc362612244 \h </w:instrText>
        </w:r>
        <w:r w:rsidR="006B41E4">
          <w:rPr>
            <w:noProof/>
            <w:webHidden/>
          </w:rPr>
        </w:r>
        <w:r w:rsidR="006B41E4">
          <w:rPr>
            <w:noProof/>
            <w:webHidden/>
          </w:rPr>
          <w:fldChar w:fldCharType="separate"/>
        </w:r>
        <w:r>
          <w:rPr>
            <w:noProof/>
            <w:webHidden/>
          </w:rPr>
          <w:t>41</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45" w:history="1">
        <w:r w:rsidR="006B41E4" w:rsidRPr="00795207">
          <w:rPr>
            <w:rStyle w:val="Hyperlink"/>
            <w:noProof/>
          </w:rPr>
          <w:t>Cost, Financial Details and the Proposed Budget</w:t>
        </w:r>
        <w:r w:rsidR="006B41E4">
          <w:rPr>
            <w:noProof/>
            <w:webHidden/>
          </w:rPr>
          <w:tab/>
        </w:r>
        <w:r w:rsidR="006B41E4">
          <w:rPr>
            <w:noProof/>
            <w:webHidden/>
          </w:rPr>
          <w:fldChar w:fldCharType="begin"/>
        </w:r>
        <w:r w:rsidR="006B41E4">
          <w:rPr>
            <w:noProof/>
            <w:webHidden/>
          </w:rPr>
          <w:instrText xml:space="preserve"> PAGEREF _Toc362612245 \h </w:instrText>
        </w:r>
        <w:r w:rsidR="006B41E4">
          <w:rPr>
            <w:noProof/>
            <w:webHidden/>
          </w:rPr>
        </w:r>
        <w:r w:rsidR="006B41E4">
          <w:rPr>
            <w:noProof/>
            <w:webHidden/>
          </w:rPr>
          <w:fldChar w:fldCharType="separate"/>
        </w:r>
        <w:r>
          <w:rPr>
            <w:noProof/>
            <w:webHidden/>
          </w:rPr>
          <w:t>42</w:t>
        </w:r>
        <w:r w:rsidR="006B41E4">
          <w:rPr>
            <w:noProof/>
            <w:webHidden/>
          </w:rPr>
          <w:fldChar w:fldCharType="end"/>
        </w:r>
      </w:hyperlink>
    </w:p>
    <w:p w:rsidR="006B41E4" w:rsidRPr="00EB2C36" w:rsidRDefault="00D578DA">
      <w:pPr>
        <w:pStyle w:val="TOC2"/>
        <w:tabs>
          <w:tab w:val="right" w:leader="dot" w:pos="9345"/>
        </w:tabs>
        <w:rPr>
          <w:rFonts w:ascii="Calibri" w:eastAsia="Times New Roman" w:hAnsi="Calibri" w:cs="Times New Roman"/>
          <w:noProof/>
          <w:szCs w:val="22"/>
          <w:lang w:eastAsia="en-US"/>
        </w:rPr>
      </w:pPr>
      <w:hyperlink w:anchor="_Toc362612246" w:history="1">
        <w:r w:rsidR="006B41E4" w:rsidRPr="00795207">
          <w:rPr>
            <w:rStyle w:val="Hyperlink"/>
            <w:noProof/>
          </w:rPr>
          <w:t>Legal Issues and Procedures for creating new EO</w:t>
        </w:r>
        <w:r w:rsidR="006B41E4" w:rsidRPr="00795207">
          <w:rPr>
            <w:rStyle w:val="Hyperlink"/>
            <w:b/>
            <w:noProof/>
          </w:rPr>
          <w:t>s</w:t>
        </w:r>
        <w:r w:rsidR="006B41E4">
          <w:rPr>
            <w:noProof/>
            <w:webHidden/>
          </w:rPr>
          <w:tab/>
        </w:r>
        <w:r w:rsidR="006B41E4">
          <w:rPr>
            <w:noProof/>
            <w:webHidden/>
          </w:rPr>
          <w:fldChar w:fldCharType="begin"/>
        </w:r>
        <w:r w:rsidR="006B41E4">
          <w:rPr>
            <w:noProof/>
            <w:webHidden/>
          </w:rPr>
          <w:instrText xml:space="preserve"> PAGEREF _Toc362612246 \h </w:instrText>
        </w:r>
        <w:r w:rsidR="006B41E4">
          <w:rPr>
            <w:noProof/>
            <w:webHidden/>
          </w:rPr>
        </w:r>
        <w:r w:rsidR="006B41E4">
          <w:rPr>
            <w:noProof/>
            <w:webHidden/>
          </w:rPr>
          <w:fldChar w:fldCharType="separate"/>
        </w:r>
        <w:r>
          <w:rPr>
            <w:noProof/>
            <w:webHidden/>
          </w:rPr>
          <w:t>43</w:t>
        </w:r>
        <w:r w:rsidR="006B41E4">
          <w:rPr>
            <w:noProof/>
            <w:webHidden/>
          </w:rPr>
          <w:fldChar w:fldCharType="end"/>
        </w:r>
      </w:hyperlink>
    </w:p>
    <w:p w:rsidR="006B41E4" w:rsidRPr="00EB2C36" w:rsidRDefault="00D578DA" w:rsidP="006B41E4">
      <w:pPr>
        <w:pStyle w:val="TOC1"/>
        <w:rPr>
          <w:rFonts w:ascii="Calibri" w:eastAsia="Times New Roman" w:hAnsi="Calibri" w:cs="Times New Roman"/>
          <w:szCs w:val="22"/>
          <w:lang w:eastAsia="en-US"/>
        </w:rPr>
      </w:pPr>
      <w:hyperlink w:anchor="_Toc362612247" w:history="1">
        <w:r w:rsidR="006B41E4" w:rsidRPr="00795207">
          <w:rPr>
            <w:rStyle w:val="Hyperlink"/>
          </w:rPr>
          <w:t>Beyond the Proposed Five</w:t>
        </w:r>
        <w:r w:rsidR="006B41E4">
          <w:rPr>
            <w:webHidden/>
          </w:rPr>
          <w:tab/>
        </w:r>
        <w:r w:rsidR="006B41E4">
          <w:rPr>
            <w:webHidden/>
          </w:rPr>
          <w:fldChar w:fldCharType="begin"/>
        </w:r>
        <w:r w:rsidR="006B41E4">
          <w:rPr>
            <w:webHidden/>
          </w:rPr>
          <w:instrText xml:space="preserve"> PAGEREF _Toc362612247 \h </w:instrText>
        </w:r>
        <w:r w:rsidR="006B41E4">
          <w:rPr>
            <w:webHidden/>
          </w:rPr>
        </w:r>
        <w:r w:rsidR="006B41E4">
          <w:rPr>
            <w:webHidden/>
          </w:rPr>
          <w:fldChar w:fldCharType="separate"/>
        </w:r>
        <w:r>
          <w:rPr>
            <w:webHidden/>
          </w:rPr>
          <w:t>44</w:t>
        </w:r>
        <w:r w:rsidR="006B41E4">
          <w:rPr>
            <w:webHidden/>
          </w:rPr>
          <w:fldChar w:fldCharType="end"/>
        </w:r>
      </w:hyperlink>
    </w:p>
    <w:p w:rsidR="006B41E4" w:rsidRPr="00EB2C36" w:rsidRDefault="00D578DA" w:rsidP="006B41E4">
      <w:pPr>
        <w:pStyle w:val="TOC1"/>
        <w:rPr>
          <w:rFonts w:ascii="Calibri" w:eastAsia="Times New Roman" w:hAnsi="Calibri" w:cs="Times New Roman"/>
          <w:szCs w:val="22"/>
          <w:lang w:eastAsia="en-US"/>
        </w:rPr>
      </w:pPr>
      <w:hyperlink w:anchor="_Toc362612248" w:history="1">
        <w:r w:rsidR="006B41E4" w:rsidRPr="00795207">
          <w:rPr>
            <w:rStyle w:val="Hyperlink"/>
          </w:rPr>
          <w:t>List of Documents in Annex</w:t>
        </w:r>
        <w:r w:rsidR="006B41E4">
          <w:rPr>
            <w:webHidden/>
          </w:rPr>
          <w:tab/>
        </w:r>
        <w:r w:rsidR="006B41E4">
          <w:rPr>
            <w:webHidden/>
          </w:rPr>
          <w:fldChar w:fldCharType="begin"/>
        </w:r>
        <w:r w:rsidR="006B41E4">
          <w:rPr>
            <w:webHidden/>
          </w:rPr>
          <w:instrText xml:space="preserve"> PAGEREF _Toc362612248 \h </w:instrText>
        </w:r>
        <w:r w:rsidR="006B41E4">
          <w:rPr>
            <w:webHidden/>
          </w:rPr>
        </w:r>
        <w:r w:rsidR="006B41E4">
          <w:rPr>
            <w:webHidden/>
          </w:rPr>
          <w:fldChar w:fldCharType="separate"/>
        </w:r>
        <w:r>
          <w:rPr>
            <w:webHidden/>
          </w:rPr>
          <w:t>45</w:t>
        </w:r>
        <w:r w:rsidR="006B41E4">
          <w:rPr>
            <w:webHidden/>
          </w:rPr>
          <w:fldChar w:fldCharType="end"/>
        </w:r>
      </w:hyperlink>
    </w:p>
    <w:p w:rsidR="006B41E4" w:rsidRDefault="006B41E4" w:rsidP="006B41E4">
      <w:pPr>
        <w:pStyle w:val="TOC1"/>
      </w:pPr>
      <w:r w:rsidRPr="00D86A8C">
        <w:fldChar w:fldCharType="end"/>
      </w:r>
    </w:p>
    <w:p w:rsidR="006B41E4" w:rsidRDefault="006B41E4" w:rsidP="006B41E4">
      <w:pPr>
        <w:pStyle w:val="Heading1"/>
      </w:pPr>
      <w:r>
        <w:br w:type="page"/>
      </w:r>
      <w:bookmarkStart w:id="6" w:name="_Toc362612207"/>
      <w:r>
        <w:lastRenderedPageBreak/>
        <w:t>INTRODUCTION</w:t>
      </w:r>
      <w:bookmarkEnd w:id="6"/>
      <w:r>
        <w:br/>
      </w:r>
    </w:p>
    <w:p w:rsidR="006B41E4" w:rsidRDefault="006B41E4" w:rsidP="006B41E4">
      <w:r>
        <w:fldChar w:fldCharType="begin"/>
      </w:r>
      <w:r>
        <w:instrText xml:space="preserve"> AUTONUM  </w:instrText>
      </w:r>
      <w:r>
        <w:fldChar w:fldCharType="end"/>
      </w:r>
      <w:r>
        <w:tab/>
        <w:t>The Program and Budget Committee (“the Committee” or “PBC”), at its 20th session, agreed to request the Secretariat to prepare an information paper and an in-depth study as follows:</w:t>
      </w:r>
    </w:p>
    <w:p w:rsidR="006B41E4" w:rsidRDefault="006B41E4" w:rsidP="006B41E4"/>
    <w:p w:rsidR="006B41E4" w:rsidRDefault="006B41E4" w:rsidP="006B41E4">
      <w:r>
        <w:t>“The PBC further requested the Secretariat to prepare the following documents regarding the matter of external offices, emphasizing the Member-driven nature of this process:</w:t>
      </w:r>
    </w:p>
    <w:p w:rsidR="006B41E4" w:rsidRDefault="006B41E4" w:rsidP="006B41E4"/>
    <w:p w:rsidR="006B41E4" w:rsidRDefault="006B41E4" w:rsidP="006B41E4">
      <w:r>
        <w:t>an information paper, including background documentation, to be circulated prior to the next session of the PBC, in response to questions and requests for further information made by delegations at the present session; and</w:t>
      </w:r>
    </w:p>
    <w:p w:rsidR="006B41E4" w:rsidRDefault="006B41E4" w:rsidP="006B41E4"/>
    <w:p w:rsidR="006B41E4" w:rsidRDefault="006B41E4" w:rsidP="006B41E4">
      <w:r>
        <w:t>an in-depth study to address, in a comprehensive manner, all the issues related to this matter including those that were raised by delegations at the present session.”</w:t>
      </w:r>
    </w:p>
    <w:p w:rsidR="006B41E4" w:rsidRDefault="006B41E4" w:rsidP="006B41E4"/>
    <w:p w:rsidR="006B41E4" w:rsidRDefault="006B41E4" w:rsidP="006B41E4">
      <w:r>
        <w:t>(see document WO/PBC/20/7; Summary of Decisions and Recommendations adopted by the Committee)</w:t>
      </w:r>
    </w:p>
    <w:p w:rsidR="006B41E4" w:rsidRDefault="006B41E4" w:rsidP="006B41E4"/>
    <w:p w:rsidR="006B41E4" w:rsidRDefault="006B41E4" w:rsidP="006B41E4">
      <w:r>
        <w:fldChar w:fldCharType="begin"/>
      </w:r>
      <w:r>
        <w:instrText xml:space="preserve"> AUTONUM  </w:instrText>
      </w:r>
      <w:r>
        <w:fldChar w:fldCharType="end"/>
      </w:r>
      <w:r>
        <w:tab/>
        <w:t>The draft Program and Budget for the 2014/15 biennium contains a proposal to establish five new External Offices (EOs) in China, Russian Federation, United States of America and two in Africa.  In accordance with the above-mentioned agreement, the present document sets out the strategy for EOs with additional information requested by the Committee, and constitutes a combined and complete paper containing both the information paper and the in-depth study.  Information contained in a</w:t>
      </w:r>
      <w:r w:rsidRPr="00413F15">
        <w:t xml:space="preserve"> white paper </w:t>
      </w:r>
      <w:r>
        <w:t xml:space="preserve">that was </w:t>
      </w:r>
      <w:r w:rsidRPr="00413F15">
        <w:t>circulated during the last session of the Committee has been incorporated in th</w:t>
      </w:r>
      <w:r>
        <w:t>is document</w:t>
      </w:r>
      <w:r w:rsidRPr="00413F15">
        <w:t xml:space="preserve">, bearing in mind approaches to the issue suggested by </w:t>
      </w:r>
      <w:r>
        <w:t>the Committee</w:t>
      </w:r>
      <w:r w:rsidRPr="00413F15">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The term “External Office” (EO) refers to a WIPO Office which is located outside of Geneva.  The term “regional office”, which was used in the documents in previous years to refer to WIPO offices in certain regions, such as those referred to in WO/CC/62/4, has been replaced by the new term “WIPO External Office.”  The new term is broader and more neutral, without prejudice to its mandate and functions.  It also depends on the understanding that each WIPO EO has different mixes of functions in response to local priorities and specificities, and that each Office primarily focuses on activities to serve stakeholders and users in the host country and, where needed, its neighboring countries as a target zone of the Office.  Most of the EOs do not have a predetermined region to cover, although certain Offices have acquired and established a zone of influence over the years of their activities and links to target countries.  It is to be noted that WIPO has a liaison bureau in New York, the mandate of which is to liaise between WIPO and the United Nations (UN) Headquarter (HQ); thus, for the purpose of this paper, the WIPO liaison bureau in New York is not considered to be a WIPO External Office.  </w:t>
      </w:r>
    </w:p>
    <w:p w:rsidR="006B41E4" w:rsidRDefault="006B41E4" w:rsidP="006B41E4"/>
    <w:p w:rsidR="006B41E4" w:rsidRPr="00F07B03" w:rsidRDefault="006B41E4" w:rsidP="006B41E4">
      <w:pPr>
        <w:pStyle w:val="Heading1"/>
      </w:pPr>
      <w:bookmarkStart w:id="7" w:name="_Toc362612208"/>
      <w:r w:rsidRPr="00F07B03">
        <w:t xml:space="preserve">Existing </w:t>
      </w:r>
      <w:r>
        <w:t>EO</w:t>
      </w:r>
      <w:r w:rsidRPr="005244A0">
        <w:rPr>
          <w:sz w:val="18"/>
          <w:szCs w:val="18"/>
        </w:rPr>
        <w:t>s</w:t>
      </w:r>
      <w:r w:rsidRPr="00F07B03">
        <w:t xml:space="preserve"> and Previous </w:t>
      </w:r>
      <w:r>
        <w:t>EO</w:t>
      </w:r>
      <w:r w:rsidRPr="005244A0">
        <w:rPr>
          <w:sz w:val="18"/>
          <w:szCs w:val="18"/>
        </w:rPr>
        <w:t>s</w:t>
      </w:r>
      <w:bookmarkEnd w:id="7"/>
    </w:p>
    <w:p w:rsidR="006B41E4" w:rsidRDefault="006B41E4" w:rsidP="006B41E4"/>
    <w:p w:rsidR="006B41E4" w:rsidRDefault="006B41E4" w:rsidP="006B41E4">
      <w:r>
        <w:fldChar w:fldCharType="begin"/>
      </w:r>
      <w:r>
        <w:instrText xml:space="preserve"> AUTONUM  </w:instrText>
      </w:r>
      <w:r>
        <w:fldChar w:fldCharType="end"/>
      </w:r>
      <w:r>
        <w:tab/>
        <w:t xml:space="preserve">At present, the EOs are the WSO in Singapore, the WIPO Japan Office (WJO) in Tokyo, and WIPO Brazil Office (WBO) in Rio de Janeiro (in chronological order of establishment). </w:t>
      </w:r>
    </w:p>
    <w:p w:rsidR="006B41E4" w:rsidRDefault="006B41E4" w:rsidP="006B41E4">
      <w:r>
        <w:t xml:space="preserve"> </w:t>
      </w:r>
    </w:p>
    <w:p w:rsidR="006B41E4" w:rsidRDefault="006B41E4" w:rsidP="006B41E4">
      <w:r>
        <w:fldChar w:fldCharType="begin"/>
      </w:r>
      <w:r>
        <w:instrText xml:space="preserve"> AUTONUM  </w:instrText>
      </w:r>
      <w:r>
        <w:fldChar w:fldCharType="end"/>
      </w:r>
      <w:r>
        <w:tab/>
        <w:t xml:space="preserve">Prior to those EOs, two EOs were opened in Brussels in Belgium and in Washington D.C. in the United States of America.  They were proposed in the draft Program and Budget for the biennium 2002/03, in order “to promote both understanding of WIPO and intellectual property issues through the WIPO offices in New York, Washington D.C. and Brussels” in Sub-Program 09.2 Media and Public Affairs.  In September 2001, the WIPO Assemblies approved their establishment </w:t>
      </w:r>
      <w:r w:rsidRPr="00465EF5">
        <w:t>(see A</w:t>
      </w:r>
      <w:r>
        <w:t>nnex</w:t>
      </w:r>
      <w:r w:rsidRPr="00465EF5">
        <w:t xml:space="preserve"> I)</w:t>
      </w:r>
      <w:r>
        <w:t>.</w:t>
      </w:r>
      <w:r w:rsidRPr="00465EF5">
        <w:t xml:space="preserve"> </w:t>
      </w:r>
    </w:p>
    <w:p w:rsidR="006B41E4" w:rsidRDefault="006B41E4" w:rsidP="006B41E4"/>
    <w:p w:rsidR="006B41E4" w:rsidRDefault="006B41E4" w:rsidP="006B41E4">
      <w:r>
        <w:fldChar w:fldCharType="begin"/>
      </w:r>
      <w:r>
        <w:instrText xml:space="preserve"> AUTONUM  </w:instrText>
      </w:r>
      <w:r>
        <w:fldChar w:fldCharType="end"/>
      </w:r>
      <w:r>
        <w:tab/>
        <w:t>The preparations for establishing the WIPO Coordination Office in Brussels in Belgium led to a proposed agreement between the host country Belgium and WIPO which was submitted to the Coordination Committee at its Fifty-Second session in 2004 and was approved (</w:t>
      </w:r>
      <w:r w:rsidRPr="00465EF5">
        <w:t xml:space="preserve">see </w:t>
      </w:r>
      <w:r>
        <w:br/>
      </w:r>
      <w:r w:rsidRPr="00465EF5">
        <w:t>Annex II</w:t>
      </w:r>
      <w:r>
        <w:t xml:space="preserve">).  The Office was located in the building of UNDP.  The Office was closed in 2008, as </w:t>
      </w:r>
      <w:r>
        <w:br/>
        <w:t>a result of an evaluation and in a process of rationalization of EOs.</w:t>
      </w:r>
    </w:p>
    <w:p w:rsidR="006B41E4" w:rsidRDefault="006B41E4" w:rsidP="006B41E4"/>
    <w:p w:rsidR="006B41E4" w:rsidRDefault="006B41E4" w:rsidP="006B41E4">
      <w:r>
        <w:fldChar w:fldCharType="begin"/>
      </w:r>
      <w:r>
        <w:instrText xml:space="preserve"> AUTONUM  </w:instrText>
      </w:r>
      <w:r>
        <w:fldChar w:fldCharType="end"/>
      </w:r>
      <w:r>
        <w:tab/>
        <w:t>Approval of the WIPO Coordination Office in Washington D.C. was given in the Assemblies meetings in 2002 through the adoption of the Program and Budget for the biennium 2002/03 (</w:t>
      </w:r>
      <w:r w:rsidRPr="00465EF5">
        <w:t>see Annex I).</w:t>
      </w:r>
      <w:r>
        <w:t xml:space="preserve">  As the United States of America did not require the HQ agreement, however, no document was submitted to the Coordination Committee.  Like the Brussels Office, the Office was closed in 2008. </w:t>
      </w:r>
    </w:p>
    <w:p w:rsidR="006B41E4" w:rsidRDefault="006B41E4" w:rsidP="006B41E4"/>
    <w:p w:rsidR="006B41E4" w:rsidRDefault="006B41E4" w:rsidP="006B41E4">
      <w:pPr>
        <w:pStyle w:val="Heading2"/>
      </w:pPr>
      <w:bookmarkStart w:id="8" w:name="_Toc362612209"/>
      <w:r w:rsidRPr="00CE39DB">
        <w:t xml:space="preserve">How and When </w:t>
      </w:r>
      <w:r>
        <w:t xml:space="preserve">was </w:t>
      </w:r>
      <w:r w:rsidRPr="00CE39DB">
        <w:t xml:space="preserve">each </w:t>
      </w:r>
      <w:r>
        <w:t>Existing Office</w:t>
      </w:r>
      <w:r w:rsidRPr="00CE39DB">
        <w:t xml:space="preserve"> established?</w:t>
      </w:r>
      <w:bookmarkEnd w:id="8"/>
      <w:r w:rsidRPr="00CE39DB">
        <w:t xml:space="preserve"> </w:t>
      </w:r>
    </w:p>
    <w:p w:rsidR="006B41E4" w:rsidRDefault="006B41E4" w:rsidP="006B41E4">
      <w:pPr>
        <w:rPr>
          <w:i/>
        </w:rPr>
      </w:pPr>
    </w:p>
    <w:p w:rsidR="006B41E4" w:rsidRPr="00CE39DB" w:rsidRDefault="006B41E4" w:rsidP="006B41E4">
      <w:pPr>
        <w:pStyle w:val="Heading3"/>
      </w:pPr>
      <w:bookmarkStart w:id="9" w:name="_Toc362612210"/>
      <w:r>
        <w:t>WSO</w:t>
      </w:r>
      <w:bookmarkEnd w:id="9"/>
    </w:p>
    <w:p w:rsidR="006B41E4" w:rsidRDefault="006B41E4" w:rsidP="006B41E4"/>
    <w:p w:rsidR="006B41E4" w:rsidRDefault="006B41E4" w:rsidP="006B41E4">
      <w:r>
        <w:fldChar w:fldCharType="begin"/>
      </w:r>
      <w:r>
        <w:instrText xml:space="preserve"> AUTONUM  </w:instrText>
      </w:r>
      <w:r>
        <w:fldChar w:fldCharType="end"/>
      </w:r>
      <w:r>
        <w:tab/>
        <w:t xml:space="preserve">WIPO Member States endorsed the establishment of the WSO during the fortieth series of Meetings of the Assemblies in September 2004 </w:t>
      </w:r>
      <w:r w:rsidRPr="00465EF5">
        <w:t>(see Annex III)</w:t>
      </w:r>
      <w:r>
        <w:t xml:space="preserve">.  The Government of Singapore and WIPO then signed an agreement establishing the Office in February 2005 and the agreement was submitted to the Coordination Committee at its Fifty-Third session in 2005 for approval.  </w:t>
      </w:r>
      <w:r w:rsidRPr="00121C17">
        <w:t xml:space="preserve">The Coordination Committee approved the Agreement between WIPO </w:t>
      </w:r>
      <w:r>
        <w:t>and the Government of Singapore (</w:t>
      </w:r>
      <w:r w:rsidRPr="00465EF5">
        <w:t>see Annex IV).</w:t>
      </w:r>
    </w:p>
    <w:p w:rsidR="006B41E4" w:rsidRDefault="006B41E4" w:rsidP="006B41E4"/>
    <w:p w:rsidR="006B41E4" w:rsidRPr="00CE39DB" w:rsidRDefault="006B41E4" w:rsidP="006B41E4">
      <w:pPr>
        <w:pStyle w:val="Heading3"/>
      </w:pPr>
      <w:bookmarkStart w:id="10" w:name="_Toc362612211"/>
      <w:r>
        <w:t>WJO</w:t>
      </w:r>
      <w:bookmarkEnd w:id="10"/>
    </w:p>
    <w:p w:rsidR="006B41E4" w:rsidRDefault="006B41E4" w:rsidP="006B41E4"/>
    <w:p w:rsidR="006B41E4" w:rsidRDefault="006B41E4" w:rsidP="006B41E4">
      <w:r>
        <w:fldChar w:fldCharType="begin"/>
      </w:r>
      <w:r>
        <w:instrText xml:space="preserve"> AUTONUM  </w:instrText>
      </w:r>
      <w:r>
        <w:fldChar w:fldCharType="end"/>
      </w:r>
      <w:r>
        <w:tab/>
      </w:r>
      <w:r w:rsidRPr="0092160E">
        <w:t xml:space="preserve">The </w:t>
      </w:r>
      <w:r>
        <w:t>Delegation of Japan made a formal offer at the General Assembly in September 2005 to host a WIPO office in Tokyo as an IP research center in cooperation with the United Nations University (UNU) in Tokyo on the condition that “no</w:t>
      </w:r>
      <w:r w:rsidRPr="00846F33">
        <w:t xml:space="preserve"> additional financial burden will be placed on WIPO</w:t>
      </w:r>
      <w:r>
        <w:t xml:space="preserve">”.  The then Director General welcomed the offer and took note of no additional financial burden </w:t>
      </w:r>
      <w:r w:rsidRPr="00465EF5">
        <w:t>(see Annex V)</w:t>
      </w:r>
      <w:r>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As it was too late to include the WJO in the Program and Budget for the biennium 2006/07, it was a draft Program and Budget for the biennium 2008/09 that included the WJO along with other Coordination Offices.  The Program and Budget document defined the strategy that “the external relations Program at WIPO HQ, together with the WIPO Coordination Offices (Brussels, New York, Singapore, Tokyo and Washington), will continue to develop and manage networks of relationships with the external community” </w:t>
      </w:r>
      <w:r w:rsidRPr="00465EF5">
        <w:t>(see Annex VI)</w:t>
      </w:r>
      <w:r>
        <w:t>.</w:t>
      </w:r>
      <w:r w:rsidRPr="00465EF5">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WIPO and Japan confirmed the extension of the 1947 Convention on the Privileges and Immunities of the Specialized Agencies to the WJO in July 2006.  </w:t>
      </w:r>
      <w:r w:rsidRPr="00C42FC4">
        <w:t xml:space="preserve">As </w:t>
      </w:r>
      <w:r>
        <w:t xml:space="preserve">Japan did not require any </w:t>
      </w:r>
      <w:r w:rsidRPr="00C42FC4">
        <w:t xml:space="preserve">HQ agreement, however, no document was submitted to the Coordination Committee.  </w:t>
      </w:r>
    </w:p>
    <w:p w:rsidR="006B41E4" w:rsidRDefault="006B41E4" w:rsidP="006B41E4"/>
    <w:p w:rsidR="006B41E4" w:rsidRDefault="006B41E4" w:rsidP="006B41E4">
      <w:pPr>
        <w:pStyle w:val="Heading3"/>
      </w:pPr>
      <w:bookmarkStart w:id="11" w:name="_Toc362612212"/>
      <w:r>
        <w:t>WBO</w:t>
      </w:r>
      <w:bookmarkEnd w:id="11"/>
    </w:p>
    <w:p w:rsidR="006B41E4" w:rsidRDefault="006B41E4" w:rsidP="006B41E4"/>
    <w:p w:rsidR="006B41E4" w:rsidRDefault="006B41E4" w:rsidP="006B41E4">
      <w:r>
        <w:fldChar w:fldCharType="begin"/>
      </w:r>
      <w:r>
        <w:instrText xml:space="preserve"> AUTONUM  </w:instrText>
      </w:r>
      <w:r>
        <w:fldChar w:fldCharType="end"/>
      </w:r>
      <w:r>
        <w:tab/>
        <w:t>In December 2008, the Program and Budget Committee at its 13</w:t>
      </w:r>
      <w:r w:rsidRPr="006B7211">
        <w:rPr>
          <w:vertAlign w:val="superscript"/>
        </w:rPr>
        <w:t>th</w:t>
      </w:r>
      <w:r>
        <w:t xml:space="preserve"> session discussed and approved the revised Program and Budget for the biennium 2008/09.  It included, in </w:t>
      </w:r>
      <w:r>
        <w:br/>
        <w:t xml:space="preserve">Program 20, EOs and Relations, a proposal of creating a new WIPO Office in Brazil as follows: </w:t>
      </w:r>
    </w:p>
    <w:p w:rsidR="006B41E4" w:rsidRDefault="006B41E4" w:rsidP="006B41E4">
      <w:r>
        <w:t xml:space="preserve">“A process of rationalization of WIPO's External Offices has begun, and in line with a refocusing of these offices, it is proposed that, following an invitation received from the Government of Brazil in October 2008 (accompanied by an offer to provide premises and infrastructure support </w:t>
      </w:r>
      <w:r>
        <w:lastRenderedPageBreak/>
        <w:t>at no cost to WIPO), a new office will be opened in Brazil in 2009</w:t>
      </w:r>
      <w:r w:rsidRPr="00465EF5">
        <w:t>”</w:t>
      </w:r>
      <w:r>
        <w:t xml:space="preserve"> </w:t>
      </w:r>
      <w:r w:rsidRPr="00465EF5">
        <w:t>(see Annex X)</w:t>
      </w:r>
      <w:r>
        <w:t>.</w:t>
      </w:r>
      <w:r w:rsidRPr="00465EF5">
        <w:t xml:space="preserve"> </w:t>
      </w:r>
      <w:r>
        <w:t xml:space="preserve"> This revised Program and Budget for the 2008/09 biennium was adopted by the Assemblies </w:t>
      </w:r>
      <w:r w:rsidRPr="00465EF5">
        <w:t>(see Annex VII).</w:t>
      </w:r>
    </w:p>
    <w:p w:rsidR="006B41E4" w:rsidRDefault="006B41E4" w:rsidP="006B41E4"/>
    <w:p w:rsidR="006B41E4" w:rsidRDefault="006B41E4" w:rsidP="006B41E4">
      <w:r>
        <w:fldChar w:fldCharType="begin"/>
      </w:r>
      <w:r>
        <w:instrText xml:space="preserve"> AUTONUM  </w:instrText>
      </w:r>
      <w:r>
        <w:fldChar w:fldCharType="end"/>
      </w:r>
      <w:r>
        <w:tab/>
        <w:t xml:space="preserve">Following the approval of the Program and Budget, WIPO and </w:t>
      </w:r>
      <w:r w:rsidRPr="00C85EA8">
        <w:t xml:space="preserve">the Government of </w:t>
      </w:r>
      <w:r>
        <w:t>Brazil</w:t>
      </w:r>
      <w:r w:rsidRPr="00C85EA8">
        <w:t xml:space="preserve"> prepared an agreement aimed at determining the legal st</w:t>
      </w:r>
      <w:r>
        <w:t xml:space="preserve">atus of a WIPO Brazil Office (WBO), which was submitted to the Coordination Committee in 2009 for approval.  </w:t>
      </w:r>
    </w:p>
    <w:p w:rsidR="006B41E4" w:rsidRDefault="006B41E4" w:rsidP="006B41E4"/>
    <w:p w:rsidR="006B41E4" w:rsidRDefault="006B41E4" w:rsidP="006B41E4">
      <w:r>
        <w:fldChar w:fldCharType="begin"/>
      </w:r>
      <w:r>
        <w:instrText xml:space="preserve"> AUTONUM  </w:instrText>
      </w:r>
      <w:r>
        <w:fldChar w:fldCharType="end"/>
      </w:r>
      <w:r>
        <w:tab/>
      </w:r>
      <w:r w:rsidRPr="00C85EA8">
        <w:t>The Coordination</w:t>
      </w:r>
      <w:r>
        <w:t xml:space="preserve"> </w:t>
      </w:r>
      <w:r w:rsidRPr="00C85EA8">
        <w:t xml:space="preserve">Committee approved the Cooperation Agreement between WIPO and Brazil, as set out in the Annex to document WO/CC/62/3, with the amendment </w:t>
      </w:r>
      <w:r>
        <w:t xml:space="preserve">to delete </w:t>
      </w:r>
      <w:r w:rsidRPr="00C85EA8">
        <w:t xml:space="preserve">the third </w:t>
      </w:r>
      <w:proofErr w:type="spellStart"/>
      <w:r w:rsidRPr="00C85EA8">
        <w:t>preambular</w:t>
      </w:r>
      <w:proofErr w:type="spellEnd"/>
      <w:r w:rsidRPr="00C85EA8">
        <w:t xml:space="preserve"> paragraph reading as follows:  “recognizing that, a dedicated office serving the region of Latin America and the Caribbean</w:t>
      </w:r>
      <w:r>
        <w:t xml:space="preserve"> (LAC)</w:t>
      </w:r>
      <w:r w:rsidRPr="00C85EA8">
        <w:t xml:space="preserve"> shall also serve as a visible symbol of WIPO’s strong commitment to the region, lending weight to any project or initiative promulgated by WIPO” </w:t>
      </w:r>
      <w:r>
        <w:t>(</w:t>
      </w:r>
      <w:r w:rsidRPr="00465EF5">
        <w:t>see Annex VIII and Annex IX).</w:t>
      </w:r>
      <w:r>
        <w:t xml:space="preserve"> </w:t>
      </w:r>
    </w:p>
    <w:p w:rsidR="006B41E4" w:rsidRDefault="006B41E4" w:rsidP="006B41E4"/>
    <w:p w:rsidR="006B41E4" w:rsidRDefault="006B41E4" w:rsidP="006B41E4">
      <w:pPr>
        <w:pStyle w:val="Heading2"/>
      </w:pPr>
      <w:bookmarkStart w:id="12" w:name="_Toc362612213"/>
      <w:r>
        <w:t xml:space="preserve">Mandate, Objectives, Functions, Details of Placements, Activities of </w:t>
      </w:r>
      <w:r>
        <w:br/>
        <w:t>Each EO</w:t>
      </w:r>
      <w:bookmarkEnd w:id="12"/>
    </w:p>
    <w:p w:rsidR="006B41E4" w:rsidRDefault="006B41E4" w:rsidP="006B41E4"/>
    <w:p w:rsidR="006B41E4" w:rsidRDefault="006B41E4" w:rsidP="006B41E4">
      <w:pPr>
        <w:pStyle w:val="Heading3"/>
      </w:pPr>
      <w:bookmarkStart w:id="13" w:name="_Toc362612214"/>
      <w:r w:rsidRPr="005B370D">
        <w:t>General</w:t>
      </w:r>
      <w:bookmarkEnd w:id="13"/>
    </w:p>
    <w:p w:rsidR="006B41E4" w:rsidRPr="005B370D" w:rsidRDefault="006B41E4" w:rsidP="006B41E4">
      <w:pPr>
        <w:rPr>
          <w:i/>
        </w:rPr>
      </w:pPr>
    </w:p>
    <w:p w:rsidR="006B41E4" w:rsidRDefault="006B41E4" w:rsidP="006B41E4">
      <w:r>
        <w:fldChar w:fldCharType="begin"/>
      </w:r>
      <w:r>
        <w:instrText xml:space="preserve"> AUTONUM  </w:instrText>
      </w:r>
      <w:r>
        <w:fldChar w:fldCharType="end"/>
      </w:r>
      <w:r>
        <w:tab/>
        <w:t>Over the last several years, the mandate and functions of the existing EOs have been updated and approved each time that the Program and Budget has been discussed and approved.  The rationalization process of the existing EOs began at the end of 2008.  The mandate and objectives of EOs before the process of rationalization were:  “External Offices will</w:t>
      </w:r>
      <w:r w:rsidRPr="00545749">
        <w:rPr>
          <w:szCs w:val="22"/>
        </w:rPr>
        <w:t xml:space="preserve"> continue to </w:t>
      </w:r>
      <w:r>
        <w:rPr>
          <w:szCs w:val="22"/>
        </w:rPr>
        <w:t xml:space="preserve">engage with other organizations </w:t>
      </w:r>
      <w:r w:rsidRPr="00545749">
        <w:rPr>
          <w:szCs w:val="22"/>
        </w:rPr>
        <w:t xml:space="preserve">of the UN system on intellectual </w:t>
      </w:r>
      <w:r>
        <w:rPr>
          <w:szCs w:val="22"/>
        </w:rPr>
        <w:t>p</w:t>
      </w:r>
      <w:r w:rsidRPr="00545749">
        <w:rPr>
          <w:szCs w:val="22"/>
        </w:rPr>
        <w:t>roperty and on system-wide issues, as well as coordinating WIPO’s engagement with Civil Society and industry groups</w:t>
      </w:r>
      <w:r>
        <w:rPr>
          <w:szCs w:val="22"/>
        </w:rPr>
        <w:t>” to achieve the objective of “e</w:t>
      </w:r>
      <w:r w:rsidRPr="00545749">
        <w:rPr>
          <w:szCs w:val="22"/>
        </w:rPr>
        <w:t>nhance</w:t>
      </w:r>
      <w:r>
        <w:rPr>
          <w:szCs w:val="22"/>
        </w:rPr>
        <w:t>d</w:t>
      </w:r>
      <w:r w:rsidRPr="00545749">
        <w:rPr>
          <w:szCs w:val="22"/>
        </w:rPr>
        <w:t xml:space="preserve"> and more effective engagement of WIPO with the external</w:t>
      </w:r>
      <w:r>
        <w:rPr>
          <w:szCs w:val="22"/>
        </w:rPr>
        <w:t xml:space="preserve"> </w:t>
      </w:r>
      <w:r w:rsidRPr="00545749">
        <w:rPr>
          <w:szCs w:val="22"/>
        </w:rPr>
        <w:t>community</w:t>
      </w:r>
      <w:r>
        <w:rPr>
          <w:szCs w:val="22"/>
        </w:rPr>
        <w:t>”</w:t>
      </w:r>
      <w:r>
        <w:rPr>
          <w:sz w:val="20"/>
        </w:rPr>
        <w:t xml:space="preserve"> </w:t>
      </w:r>
      <w:r w:rsidRPr="00465EF5">
        <w:t>(see Annex X)</w:t>
      </w:r>
      <w:r>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During the rationalization process for EOs, the EOs and their objectives were also subject to the Strategic Realignment Program (SRP).  The mandate and objectives of EOs became more integrated into the nine strategic goals of WIPO which were established in 2009.  The objectives were shifted from the mere external coordination and better understanding of WIPO and IP issues to more advanced and profound ones to respond to the enhancement of the visibility and appreciation of WIPO and IP issues by Member States.  The existing EOs are now engaged in supporting multiple strategic goals of the Organization.  The Program and Budget of the 2012/13 biennium, which was approved in September 2011, included EOs in Program 20 and described the strategy of EOs as follows: “each of WIPO’s EOs will, within its respective host country and in the surrounding region, operating in a similar time zone, provide services in support of WIPO’s Global IP Services (Strategic Goal II), as well as capacity-building services in coordination with the respective regional bureau (Strategic Goal III).”  </w:t>
      </w:r>
    </w:p>
    <w:p w:rsidR="006B41E4" w:rsidRDefault="006B41E4" w:rsidP="006B41E4"/>
    <w:p w:rsidR="006B41E4" w:rsidRDefault="006B41E4" w:rsidP="006B41E4">
      <w:r>
        <w:fldChar w:fldCharType="begin"/>
      </w:r>
      <w:r>
        <w:instrText xml:space="preserve"> AUTONUM  </w:instrText>
      </w:r>
      <w:r>
        <w:fldChar w:fldCharType="end"/>
      </w:r>
      <w:r>
        <w:tab/>
        <w:t xml:space="preserve">While reflecting the SRP in the rationalization of existing EOs and essentially maintaining the supportive roles of EOs to WIPO HQ, the proposed Program and Budget for the next biennium further extends the role of EOs to “contribute to the achievement of </w:t>
      </w:r>
      <w:r w:rsidRPr="00871C26">
        <w:rPr>
          <w:u w:val="single"/>
        </w:rPr>
        <w:t>all</w:t>
      </w:r>
      <w:r>
        <w:t xml:space="preserve"> Strategic Goals (emphasis added by the Secretariat for this document) in coordination with WIPO HQ” (see Program 20, Implementation Strategies).  It aims at the complete integration of EOs into WIPO Strategic Goals.  The proposed objective of EOs for the next biennium is to contribute to the achievement of WIPO strategic goals within the respective host countries and in the surrounding region and to support the delivery of the strategic objectives of the Organization.  With the shared strategy and the above-mentioned general objectives, each EO can have more specific objectives and expected results which focus on local needs in the host country and the surrounding region. </w:t>
      </w:r>
    </w:p>
    <w:p w:rsidR="006B41E4" w:rsidRDefault="006B41E4" w:rsidP="006B41E4"/>
    <w:p w:rsidR="006B41E4" w:rsidRDefault="006B41E4" w:rsidP="006B41E4">
      <w:r>
        <w:lastRenderedPageBreak/>
        <w:fldChar w:fldCharType="begin"/>
      </w:r>
      <w:r>
        <w:instrText xml:space="preserve"> AUTONUM  </w:instrText>
      </w:r>
      <w:r>
        <w:fldChar w:fldCharType="end"/>
      </w:r>
      <w:r>
        <w:tab/>
        <w:t>The mandate of EOs is to take the responsibility for undertaking activities in accordance with the proposed results framework in the Program and Budget for the next biennium.  The governance of WIPO will continue to apply, such as the reporting lines to facilitate the coordination between HQ and each EO, the preparation of work plans to implement activities and evaluation using the performance indicators as proposed in Program 20.  The next section will discuss further details of each existing EO.</w:t>
      </w:r>
    </w:p>
    <w:p w:rsidR="006B41E4" w:rsidRDefault="006B41E4" w:rsidP="006B41E4"/>
    <w:p w:rsidR="006B41E4" w:rsidRDefault="006B41E4" w:rsidP="006B41E4"/>
    <w:p w:rsidR="006B41E4" w:rsidRDefault="006B41E4" w:rsidP="006B41E4">
      <w:pPr>
        <w:pStyle w:val="Heading3"/>
      </w:pPr>
      <w:bookmarkStart w:id="14" w:name="_Toc362612215"/>
      <w:r>
        <w:t>WSO</w:t>
      </w:r>
      <w:bookmarkEnd w:id="14"/>
    </w:p>
    <w:p w:rsidR="006B41E4" w:rsidRDefault="006B41E4" w:rsidP="006B41E4">
      <w:pPr>
        <w:shd w:val="clear" w:color="auto" w:fill="FFFFFF"/>
        <w:spacing w:before="100" w:beforeAutospacing="1" w:after="100" w:afterAutospacing="1"/>
        <w:rPr>
          <w:rFonts w:eastAsia="Times New Roman"/>
          <w:color w:val="000000"/>
          <w:szCs w:val="22"/>
          <w:lang w:val="en" w:eastAsia="en-SG"/>
        </w:rPr>
      </w:pPr>
      <w:r>
        <w:fldChar w:fldCharType="begin"/>
      </w:r>
      <w:r>
        <w:instrText xml:space="preserve"> AUTONUM  </w:instrText>
      </w:r>
      <w:r>
        <w:fldChar w:fldCharType="end"/>
      </w:r>
      <w:r>
        <w:tab/>
        <w:t xml:space="preserve">The </w:t>
      </w:r>
      <w:r w:rsidRPr="00425DB3">
        <w:rPr>
          <w:rFonts w:eastAsia="Times New Roman"/>
          <w:color w:val="000000"/>
          <w:szCs w:val="22"/>
          <w:lang w:val="en" w:eastAsia="en-SG"/>
        </w:rPr>
        <w:t>WSO facilities are located in the campus of the National University of Singapore (NUS), next to most other intergovernmental organizations based in Singapore:</w:t>
      </w:r>
      <w:r>
        <w:rPr>
          <w:rFonts w:eastAsia="Times New Roman"/>
          <w:color w:val="000000"/>
          <w:szCs w:val="22"/>
          <w:lang w:val="en" w:eastAsia="en-SG"/>
        </w:rPr>
        <w:t xml:space="preserve"> </w:t>
      </w:r>
      <w:r w:rsidRPr="00425DB3">
        <w:rPr>
          <w:rFonts w:eastAsia="Times New Roman"/>
          <w:color w:val="000000"/>
          <w:szCs w:val="22"/>
          <w:lang w:val="en" w:eastAsia="en-SG"/>
        </w:rPr>
        <w:t xml:space="preserve"> the Asia-Pacific Economic Cooperation (APEC), the Asia-Europe Foundation and the UNDP Global Center for Public Service Excellence.  The office location provides opportunities to collaborate.</w:t>
      </w:r>
      <w:r>
        <w:rPr>
          <w:rFonts w:eastAsia="Times New Roman"/>
          <w:color w:val="000000"/>
          <w:szCs w:val="22"/>
          <w:lang w:val="en" w:eastAsia="en-SG"/>
        </w:rPr>
        <w:t xml:space="preserve">  The </w:t>
      </w:r>
      <w:r w:rsidRPr="00425DB3">
        <w:rPr>
          <w:rFonts w:eastAsia="Times New Roman"/>
          <w:color w:val="000000"/>
          <w:szCs w:val="22"/>
          <w:lang w:val="en" w:eastAsia="en-SG"/>
        </w:rPr>
        <w:t>WIPO Arbitration and Mediation Center</w:t>
      </w:r>
      <w:r>
        <w:rPr>
          <w:rFonts w:eastAsia="Times New Roman"/>
          <w:color w:val="000000"/>
          <w:szCs w:val="22"/>
          <w:lang w:val="en" w:eastAsia="en-SG"/>
        </w:rPr>
        <w:t xml:space="preserve"> (AMC)</w:t>
      </w:r>
      <w:r w:rsidRPr="00425DB3">
        <w:rPr>
          <w:rFonts w:eastAsia="Times New Roman"/>
          <w:color w:val="000000"/>
          <w:szCs w:val="22"/>
          <w:lang w:val="en" w:eastAsia="en-SG"/>
        </w:rPr>
        <w:t xml:space="preserve"> in Singapore is located in the Maxwell Chambers along with other arbitration institutions such as the Singapore International Arbitration Center, the ICC and AAA.</w:t>
      </w:r>
    </w:p>
    <w:p w:rsidR="006B41E4" w:rsidRPr="00425DB3" w:rsidRDefault="006B41E4" w:rsidP="006B41E4">
      <w:pPr>
        <w:shd w:val="clear" w:color="auto" w:fill="FFFFFF"/>
        <w:spacing w:before="100" w:beforeAutospacing="1" w:after="100" w:afterAutospacing="1"/>
        <w:rPr>
          <w:rFonts w:eastAsia="Times New Roman"/>
          <w:color w:val="000000"/>
          <w:szCs w:val="22"/>
          <w:lang w:val="en" w:eastAsia="en-SG"/>
        </w:rPr>
      </w:pPr>
      <w:r>
        <w:rPr>
          <w:rFonts w:eastAsia="Times New Roman"/>
          <w:color w:val="000000"/>
          <w:szCs w:val="22"/>
          <w:lang w:val="en" w:eastAsia="en-SG"/>
        </w:rPr>
        <w:fldChar w:fldCharType="begin"/>
      </w:r>
      <w:r>
        <w:rPr>
          <w:rFonts w:eastAsia="Times New Roman"/>
          <w:color w:val="000000"/>
          <w:szCs w:val="22"/>
          <w:lang w:val="en" w:eastAsia="en-SG"/>
        </w:rPr>
        <w:instrText xml:space="preserve"> AUTONUM  </w:instrText>
      </w:r>
      <w:r>
        <w:rPr>
          <w:rFonts w:eastAsia="Times New Roman"/>
          <w:color w:val="000000"/>
          <w:szCs w:val="22"/>
          <w:lang w:val="en" w:eastAsia="en-SG"/>
        </w:rPr>
        <w:fldChar w:fldCharType="end"/>
      </w:r>
      <w:r>
        <w:rPr>
          <w:rFonts w:eastAsia="Times New Roman"/>
          <w:color w:val="000000"/>
          <w:szCs w:val="22"/>
          <w:lang w:val="en" w:eastAsia="en-SG"/>
        </w:rPr>
        <w:tab/>
        <w:t>T</w:t>
      </w:r>
      <w:r w:rsidRPr="00425DB3">
        <w:rPr>
          <w:rFonts w:eastAsia="Times New Roman"/>
          <w:color w:val="000000"/>
          <w:szCs w:val="22"/>
          <w:lang w:val="en" w:eastAsia="en-SG"/>
        </w:rPr>
        <w:t>he Government of Singapore provid</w:t>
      </w:r>
      <w:r>
        <w:rPr>
          <w:rFonts w:eastAsia="Times New Roman"/>
          <w:color w:val="000000"/>
          <w:szCs w:val="22"/>
          <w:lang w:val="en" w:eastAsia="en-SG"/>
        </w:rPr>
        <w:t>es</w:t>
      </w:r>
      <w:r w:rsidRPr="00425DB3">
        <w:rPr>
          <w:rFonts w:eastAsia="Times New Roman"/>
          <w:color w:val="000000"/>
          <w:szCs w:val="22"/>
          <w:lang w:val="en" w:eastAsia="en-SG"/>
        </w:rPr>
        <w:t xml:space="preserve"> the premises for both offices and pay</w:t>
      </w:r>
      <w:r>
        <w:rPr>
          <w:rFonts w:eastAsia="Times New Roman"/>
          <w:color w:val="000000"/>
          <w:szCs w:val="22"/>
          <w:lang w:val="en" w:eastAsia="en-SG"/>
        </w:rPr>
        <w:t>s</w:t>
      </w:r>
      <w:r w:rsidRPr="00425DB3">
        <w:rPr>
          <w:rFonts w:eastAsia="Times New Roman"/>
          <w:color w:val="000000"/>
          <w:szCs w:val="22"/>
          <w:lang w:val="en" w:eastAsia="en-SG"/>
        </w:rPr>
        <w:t xml:space="preserve"> the rental costs, as well as some utility charges and maintenance costs.</w:t>
      </w:r>
      <w:r>
        <w:rPr>
          <w:rFonts w:eastAsia="Times New Roman"/>
          <w:color w:val="000000"/>
          <w:szCs w:val="22"/>
          <w:lang w:val="en" w:eastAsia="en-SG"/>
        </w:rPr>
        <w:t xml:space="preserve"> </w:t>
      </w:r>
      <w:r w:rsidRPr="00425DB3">
        <w:rPr>
          <w:rFonts w:eastAsia="Times New Roman"/>
          <w:color w:val="000000"/>
          <w:szCs w:val="22"/>
          <w:lang w:val="en" w:eastAsia="en-SG"/>
        </w:rPr>
        <w:t xml:space="preserve"> It also provided basic outfitting costs related to the set-up of the WSO</w:t>
      </w:r>
      <w:r>
        <w:rPr>
          <w:rFonts w:eastAsia="Times New Roman"/>
          <w:color w:val="000000"/>
          <w:szCs w:val="22"/>
          <w:lang w:val="en" w:eastAsia="en-SG"/>
        </w:rPr>
        <w:t>,</w:t>
      </w:r>
      <w:r w:rsidRPr="00425DB3">
        <w:rPr>
          <w:rFonts w:eastAsia="Times New Roman"/>
          <w:color w:val="000000"/>
          <w:szCs w:val="22"/>
          <w:lang w:val="en" w:eastAsia="en-SG"/>
        </w:rPr>
        <w:t xml:space="preserve"> which included furniture and equipment necessary for the installation and operation of the office (Paragraphs 3 and 4 of the WIPO-Singapore Agreement of 2005). </w:t>
      </w:r>
      <w:r>
        <w:rPr>
          <w:rFonts w:eastAsia="Times New Roman"/>
          <w:color w:val="000000"/>
          <w:szCs w:val="22"/>
          <w:lang w:val="en" w:eastAsia="en-SG"/>
        </w:rPr>
        <w:t xml:space="preserve"> </w:t>
      </w:r>
      <w:r w:rsidRPr="00425DB3">
        <w:rPr>
          <w:rFonts w:eastAsia="Times New Roman"/>
          <w:color w:val="000000"/>
          <w:szCs w:val="22"/>
          <w:lang w:val="en" w:eastAsia="en-SG"/>
        </w:rPr>
        <w:t xml:space="preserve">The WSO has a function room with capacity for around 40 delegates, as well as a formal boardroom that can accommodate meetings of up to 18 participants. </w:t>
      </w:r>
      <w:r>
        <w:rPr>
          <w:rFonts w:eastAsia="Times New Roman"/>
          <w:color w:val="000000"/>
          <w:szCs w:val="22"/>
          <w:lang w:val="en" w:eastAsia="en-SG"/>
        </w:rPr>
        <w:t xml:space="preserve"> </w:t>
      </w:r>
      <w:r w:rsidRPr="00425DB3">
        <w:rPr>
          <w:rFonts w:eastAsia="Times New Roman"/>
          <w:color w:val="000000"/>
          <w:szCs w:val="22"/>
          <w:lang w:val="en" w:eastAsia="en-SG"/>
        </w:rPr>
        <w:t xml:space="preserve">The </w:t>
      </w:r>
      <w:r>
        <w:rPr>
          <w:rFonts w:eastAsia="Times New Roman"/>
          <w:color w:val="000000"/>
          <w:szCs w:val="22"/>
          <w:lang w:val="en" w:eastAsia="en-SG"/>
        </w:rPr>
        <w:t>WSO</w:t>
      </w:r>
      <w:r w:rsidRPr="00425DB3">
        <w:rPr>
          <w:rFonts w:eastAsia="Times New Roman"/>
          <w:color w:val="000000"/>
          <w:szCs w:val="22"/>
          <w:lang w:val="en" w:eastAsia="en-SG"/>
        </w:rPr>
        <w:t xml:space="preserve"> also houses a large collection of WIPO publications and brochures which are regularly consulted by visitors.</w:t>
      </w:r>
    </w:p>
    <w:p w:rsidR="006B41E4" w:rsidRPr="00425DB3" w:rsidRDefault="006B41E4" w:rsidP="006B41E4">
      <w:pPr>
        <w:shd w:val="clear" w:color="auto" w:fill="FFFFFF"/>
        <w:spacing w:before="100" w:beforeAutospacing="1" w:after="100" w:afterAutospacing="1"/>
        <w:rPr>
          <w:lang w:val="en"/>
        </w:rPr>
      </w:pPr>
      <w:r>
        <w:rPr>
          <w:rFonts w:eastAsia="Times New Roman"/>
          <w:color w:val="000000"/>
          <w:szCs w:val="22"/>
          <w:lang w:val="en" w:eastAsia="en-SG"/>
        </w:rPr>
        <w:fldChar w:fldCharType="begin"/>
      </w:r>
      <w:r>
        <w:rPr>
          <w:rFonts w:eastAsia="Times New Roman"/>
          <w:color w:val="000000"/>
          <w:szCs w:val="22"/>
          <w:lang w:val="en" w:eastAsia="en-SG"/>
        </w:rPr>
        <w:instrText xml:space="preserve"> AUTONUM  </w:instrText>
      </w:r>
      <w:r>
        <w:rPr>
          <w:rFonts w:eastAsia="Times New Roman"/>
          <w:color w:val="000000"/>
          <w:szCs w:val="22"/>
          <w:lang w:val="en" w:eastAsia="en-SG"/>
        </w:rPr>
        <w:fldChar w:fldCharType="end"/>
      </w:r>
      <w:r>
        <w:rPr>
          <w:rFonts w:eastAsia="Times New Roman"/>
          <w:color w:val="000000"/>
          <w:szCs w:val="22"/>
          <w:lang w:val="en" w:eastAsia="en-SG"/>
        </w:rPr>
        <w:tab/>
        <w:t xml:space="preserve">The </w:t>
      </w:r>
      <w:r w:rsidRPr="00425DB3">
        <w:rPr>
          <w:rFonts w:eastAsia="Times New Roman"/>
          <w:color w:val="000000"/>
          <w:szCs w:val="22"/>
          <w:lang w:val="en" w:eastAsia="en-SG"/>
        </w:rPr>
        <w:t>WSO regularly permits other UN agencies or the IP Office</w:t>
      </w:r>
      <w:r>
        <w:rPr>
          <w:rFonts w:eastAsia="Times New Roman"/>
          <w:color w:val="000000"/>
          <w:szCs w:val="22"/>
          <w:lang w:val="en" w:eastAsia="en-SG"/>
        </w:rPr>
        <w:t>s</w:t>
      </w:r>
      <w:r w:rsidRPr="00425DB3">
        <w:rPr>
          <w:rFonts w:eastAsia="Times New Roman"/>
          <w:color w:val="000000"/>
          <w:szCs w:val="22"/>
          <w:lang w:val="en" w:eastAsia="en-SG"/>
        </w:rPr>
        <w:t xml:space="preserve"> of Member States to use its meeting rooms to conduct meetings or job interviews of candidates based in Singapore or the region. </w:t>
      </w:r>
      <w:r>
        <w:rPr>
          <w:rFonts w:eastAsia="Times New Roman"/>
          <w:color w:val="000000"/>
          <w:szCs w:val="22"/>
          <w:lang w:val="en" w:eastAsia="en-SG"/>
        </w:rPr>
        <w:t xml:space="preserve"> </w:t>
      </w:r>
      <w:r w:rsidRPr="00425DB3">
        <w:rPr>
          <w:rFonts w:eastAsia="Times New Roman" w:cs="Times New Roman"/>
          <w:szCs w:val="22"/>
          <w:lang w:val="en-SG" w:eastAsia="en-SG"/>
        </w:rPr>
        <w:t xml:space="preserve">It also lends its premises to various institutions for events related to IP, for example, the Sorbonne University (Singapore) recently utilized WSO premises to host a reception for delegates attending an executive program entitled </w:t>
      </w:r>
      <w:r>
        <w:rPr>
          <w:rFonts w:eastAsia="Times New Roman" w:cs="Times New Roman"/>
          <w:szCs w:val="22"/>
          <w:lang w:val="en-SG" w:eastAsia="en-SG"/>
        </w:rPr>
        <w:t>“</w:t>
      </w:r>
      <w:r w:rsidRPr="00425DB3">
        <w:rPr>
          <w:rFonts w:eastAsia="Times New Roman" w:cs="Times New Roman"/>
          <w:szCs w:val="22"/>
          <w:lang w:val="en-SG" w:eastAsia="en-SG"/>
        </w:rPr>
        <w:t>Legal Aspects of Luxury Business</w:t>
      </w:r>
      <w:r>
        <w:rPr>
          <w:rFonts w:eastAsia="Times New Roman" w:cs="Times New Roman"/>
          <w:szCs w:val="22"/>
          <w:lang w:val="en-SG" w:eastAsia="en-SG"/>
        </w:rPr>
        <w:t>”</w:t>
      </w:r>
      <w:r w:rsidRPr="00425DB3">
        <w:rPr>
          <w:rFonts w:eastAsia="Times New Roman" w:cs="Times New Roman"/>
          <w:szCs w:val="22"/>
          <w:lang w:val="en-SG" w:eastAsia="en-SG"/>
        </w:rPr>
        <w:t xml:space="preserve">, which provided </w:t>
      </w:r>
      <w:r>
        <w:rPr>
          <w:rFonts w:eastAsia="Times New Roman" w:cs="Times New Roman"/>
          <w:szCs w:val="22"/>
          <w:lang w:val="en-SG" w:eastAsia="en-SG"/>
        </w:rPr>
        <w:t xml:space="preserve">the </w:t>
      </w:r>
      <w:r w:rsidRPr="00425DB3">
        <w:rPr>
          <w:rFonts w:eastAsia="Times New Roman" w:cs="Times New Roman"/>
          <w:szCs w:val="22"/>
          <w:lang w:val="en-SG" w:eastAsia="en-SG"/>
        </w:rPr>
        <w:t xml:space="preserve">WSO </w:t>
      </w:r>
      <w:r>
        <w:rPr>
          <w:rFonts w:eastAsia="Times New Roman" w:cs="Times New Roman"/>
          <w:szCs w:val="22"/>
          <w:lang w:val="en-SG" w:eastAsia="en-SG"/>
        </w:rPr>
        <w:t xml:space="preserve">with </w:t>
      </w:r>
      <w:r w:rsidRPr="00425DB3">
        <w:rPr>
          <w:rFonts w:eastAsia="Times New Roman" w:cs="Times New Roman"/>
          <w:szCs w:val="22"/>
          <w:lang w:val="en-SG" w:eastAsia="en-SG"/>
        </w:rPr>
        <w:t>the opportunity to provide a presentation on the role of WIPO, and to promote WIPO’s global services.</w:t>
      </w:r>
    </w:p>
    <w:p w:rsidR="006B41E4" w:rsidRDefault="006B41E4" w:rsidP="006B41E4">
      <w:pPr>
        <w:shd w:val="clear" w:color="auto" w:fill="FFFFFF"/>
        <w:spacing w:before="100" w:beforeAutospacing="1" w:after="100" w:afterAutospacing="1"/>
        <w:rPr>
          <w:rFonts w:eastAsia="Times New Roman"/>
          <w:color w:val="000000"/>
          <w:szCs w:val="22"/>
          <w:lang w:val="en" w:eastAsia="en-SG"/>
        </w:rPr>
      </w:pPr>
      <w:r>
        <w:fldChar w:fldCharType="begin"/>
      </w:r>
      <w:r>
        <w:instrText xml:space="preserve"> AUTONUM  </w:instrText>
      </w:r>
      <w:r>
        <w:fldChar w:fldCharType="end"/>
      </w:r>
      <w:r>
        <w:tab/>
      </w:r>
      <w:r w:rsidRPr="00425DB3">
        <w:rPr>
          <w:rFonts w:eastAsia="Times New Roman"/>
          <w:color w:val="000000"/>
          <w:szCs w:val="22"/>
          <w:lang w:val="en" w:eastAsia="en-SG"/>
        </w:rPr>
        <w:t xml:space="preserve">Through a series of Agreements, </w:t>
      </w:r>
      <w:r>
        <w:rPr>
          <w:rFonts w:eastAsia="Times New Roman"/>
          <w:color w:val="000000"/>
          <w:szCs w:val="22"/>
          <w:lang w:val="en" w:eastAsia="en-SG"/>
        </w:rPr>
        <w:t>Memorandum of Understanding (MOUs)</w:t>
      </w:r>
      <w:r w:rsidRPr="00425DB3">
        <w:rPr>
          <w:rFonts w:eastAsia="Times New Roman"/>
          <w:color w:val="000000"/>
          <w:szCs w:val="22"/>
          <w:lang w:val="en" w:eastAsia="en-SG"/>
        </w:rPr>
        <w:t xml:space="preserve"> and exchange of Notes</w:t>
      </w:r>
      <w:r>
        <w:rPr>
          <w:rFonts w:eastAsia="Times New Roman"/>
          <w:color w:val="000000"/>
          <w:szCs w:val="22"/>
          <w:lang w:val="en" w:eastAsia="en-SG"/>
        </w:rPr>
        <w:t xml:space="preserve"> </w:t>
      </w:r>
      <w:proofErr w:type="spellStart"/>
      <w:r>
        <w:rPr>
          <w:rFonts w:eastAsia="Times New Roman"/>
          <w:color w:val="000000"/>
          <w:szCs w:val="22"/>
          <w:lang w:val="en" w:eastAsia="en-SG"/>
        </w:rPr>
        <w:t>verbales</w:t>
      </w:r>
      <w:proofErr w:type="spellEnd"/>
      <w:r>
        <w:rPr>
          <w:rFonts w:eastAsia="Times New Roman"/>
          <w:color w:val="000000"/>
          <w:szCs w:val="22"/>
          <w:lang w:val="en" w:eastAsia="en-SG"/>
        </w:rPr>
        <w:t>, signed in 2006, 2009 and</w:t>
      </w:r>
      <w:r w:rsidRPr="00425DB3">
        <w:rPr>
          <w:rFonts w:eastAsia="Times New Roman"/>
          <w:color w:val="000000"/>
          <w:szCs w:val="22"/>
          <w:lang w:val="en" w:eastAsia="en-SG"/>
        </w:rPr>
        <w:t xml:space="preserve"> 2010, the scope of cooperation between WIPO and the Government of Singapore has been expanded to provide joint activities to promote IP awareness and </w:t>
      </w:r>
      <w:r>
        <w:rPr>
          <w:rFonts w:eastAsia="Times New Roman"/>
          <w:color w:val="000000"/>
          <w:szCs w:val="22"/>
          <w:lang w:val="en" w:eastAsia="en-SG"/>
        </w:rPr>
        <w:t xml:space="preserve">to </w:t>
      </w:r>
      <w:r w:rsidRPr="00425DB3">
        <w:rPr>
          <w:rFonts w:eastAsia="Times New Roman"/>
          <w:color w:val="000000"/>
          <w:szCs w:val="22"/>
          <w:lang w:val="en" w:eastAsia="en-SG"/>
        </w:rPr>
        <w:t>build IP capabilities in developing countries and least developed countries in the region, to establish the WIPO A</w:t>
      </w:r>
      <w:r>
        <w:rPr>
          <w:rFonts w:eastAsia="Times New Roman"/>
          <w:color w:val="000000"/>
          <w:szCs w:val="22"/>
          <w:lang w:val="en" w:eastAsia="en-SG"/>
        </w:rPr>
        <w:t>MC</w:t>
      </w:r>
      <w:r w:rsidRPr="00425DB3">
        <w:rPr>
          <w:rFonts w:eastAsia="Times New Roman"/>
          <w:color w:val="000000"/>
          <w:szCs w:val="22"/>
          <w:lang w:val="en" w:eastAsia="en-SG"/>
        </w:rPr>
        <w:t xml:space="preserve"> in Singapore and to enumerate the privileges and immunities of both offices and staff. </w:t>
      </w:r>
      <w:r>
        <w:rPr>
          <w:rFonts w:eastAsia="Times New Roman"/>
          <w:color w:val="000000"/>
          <w:szCs w:val="22"/>
          <w:lang w:val="en" w:eastAsia="en-SG"/>
        </w:rPr>
        <w:t xml:space="preserve"> </w:t>
      </w:r>
      <w:r w:rsidRPr="00425DB3">
        <w:rPr>
          <w:rFonts w:eastAsia="Times New Roman"/>
          <w:color w:val="000000"/>
          <w:szCs w:val="22"/>
          <w:lang w:val="en" w:eastAsia="en-SG"/>
        </w:rPr>
        <w:t xml:space="preserve">By an exchange of Notes </w:t>
      </w:r>
      <w:proofErr w:type="spellStart"/>
      <w:r w:rsidRPr="00425DB3">
        <w:rPr>
          <w:rFonts w:eastAsia="Times New Roman"/>
          <w:color w:val="000000"/>
          <w:szCs w:val="22"/>
          <w:lang w:val="en" w:eastAsia="en-SG"/>
        </w:rPr>
        <w:t>verbales</w:t>
      </w:r>
      <w:proofErr w:type="spellEnd"/>
      <w:r w:rsidRPr="00425DB3">
        <w:rPr>
          <w:rFonts w:eastAsia="Times New Roman"/>
          <w:color w:val="000000"/>
          <w:szCs w:val="22"/>
          <w:lang w:val="en" w:eastAsia="en-SG"/>
        </w:rPr>
        <w:t xml:space="preserve"> in December 2010, the WIPO Office Agreement was extended for six years, i.e. until February 1, 2017.</w:t>
      </w:r>
      <w:r>
        <w:rPr>
          <w:rFonts w:eastAsia="Times New Roman"/>
          <w:color w:val="000000"/>
          <w:szCs w:val="22"/>
          <w:lang w:val="en" w:eastAsia="en-SG"/>
        </w:rPr>
        <w:t xml:space="preserve">  </w:t>
      </w:r>
      <w:r w:rsidRPr="00425DB3">
        <w:rPr>
          <w:rFonts w:eastAsia="Times New Roman"/>
          <w:color w:val="000000"/>
          <w:szCs w:val="22"/>
          <w:lang w:val="en" w:eastAsia="en-SG"/>
        </w:rPr>
        <w:t xml:space="preserve">Each year the IP Office of Singapore and the WSO agree on a new Joint Program of activities designed to assist Member States in the region, with a particular focus on the States of the </w:t>
      </w:r>
      <w:r w:rsidRPr="00425DB3">
        <w:rPr>
          <w:rFonts w:eastAsia="Times New Roman"/>
          <w:color w:val="000000"/>
          <w:szCs w:val="22"/>
          <w:lang w:val="en-SG" w:eastAsia="en-SG"/>
        </w:rPr>
        <w:t>Association of South East Asian Nations (ASEAN)</w:t>
      </w:r>
      <w:r w:rsidRPr="00425DB3">
        <w:rPr>
          <w:rFonts w:eastAsia="Times New Roman"/>
          <w:color w:val="000000"/>
          <w:szCs w:val="22"/>
          <w:lang w:val="en" w:eastAsia="en-SG"/>
        </w:rPr>
        <w:t>.</w:t>
      </w:r>
    </w:p>
    <w:p w:rsidR="006B41E4" w:rsidRPr="00425DB3" w:rsidRDefault="006B41E4" w:rsidP="006B41E4">
      <w:r>
        <w:fldChar w:fldCharType="begin"/>
      </w:r>
      <w:r>
        <w:instrText xml:space="preserve"> AUTONUM  </w:instrText>
      </w:r>
      <w:r>
        <w:fldChar w:fldCharType="end"/>
      </w:r>
      <w:r>
        <w:tab/>
      </w:r>
      <w:r w:rsidRPr="00425DB3">
        <w:t>The WSO’s objectives are to:</w:t>
      </w:r>
    </w:p>
    <w:p w:rsidR="006B41E4" w:rsidRPr="00425DB3" w:rsidRDefault="006B41E4" w:rsidP="006B41E4">
      <w:r w:rsidRPr="00425DB3">
        <w:t xml:space="preserve"> </w:t>
      </w:r>
    </w:p>
    <w:p w:rsidR="006B41E4" w:rsidRPr="00425DB3" w:rsidRDefault="006B41E4" w:rsidP="006B41E4">
      <w:pPr>
        <w:numPr>
          <w:ilvl w:val="0"/>
          <w:numId w:val="37"/>
        </w:numPr>
        <w:ind w:left="1134" w:hanging="567"/>
      </w:pPr>
      <w:r w:rsidRPr="00425DB3">
        <w:t xml:space="preserve">promote WIPO’s treaties and global services such as the PCT, Madrid and Hague systems; </w:t>
      </w:r>
    </w:p>
    <w:p w:rsidR="006B41E4" w:rsidRPr="00425DB3" w:rsidRDefault="006B41E4" w:rsidP="006B41E4">
      <w:pPr>
        <w:numPr>
          <w:ilvl w:val="0"/>
          <w:numId w:val="37"/>
        </w:numPr>
        <w:ind w:left="1134" w:hanging="567"/>
      </w:pPr>
      <w:r w:rsidRPr="00425DB3">
        <w:t xml:space="preserve">support and promote the WIPO </w:t>
      </w:r>
      <w:r>
        <w:t>AMC</w:t>
      </w:r>
      <w:r w:rsidRPr="00425DB3">
        <w:t xml:space="preserve"> in Singapore (see Annex 3 for a summary of the Center’s services);</w:t>
      </w:r>
    </w:p>
    <w:p w:rsidR="006B41E4" w:rsidRDefault="006B41E4" w:rsidP="006B41E4">
      <w:pPr>
        <w:numPr>
          <w:ilvl w:val="0"/>
          <w:numId w:val="37"/>
        </w:numPr>
        <w:ind w:left="1134" w:hanging="567"/>
      </w:pPr>
      <w:r w:rsidRPr="00425DB3">
        <w:lastRenderedPageBreak/>
        <w:t>assist the ASEAN Member States in the implementation of the ASEAN IP Rights Action Plan 2011-2015, particularly the areas for cooperation with WIPO requested by the ASEAN Working Group on Intellectual Property Cooperation (AWGIPC);</w:t>
      </w:r>
    </w:p>
    <w:p w:rsidR="006B41E4" w:rsidRPr="00425DB3" w:rsidRDefault="006B41E4" w:rsidP="006B41E4">
      <w:pPr>
        <w:numPr>
          <w:ilvl w:val="0"/>
          <w:numId w:val="37"/>
        </w:numPr>
        <w:ind w:left="1134" w:hanging="567"/>
      </w:pPr>
      <w:r w:rsidRPr="00425DB3">
        <w:t>work with stakeholders to establish and strengthen collective management organizations in the region;</w:t>
      </w:r>
    </w:p>
    <w:p w:rsidR="006B41E4" w:rsidRPr="00425DB3" w:rsidRDefault="006B41E4" w:rsidP="006B41E4">
      <w:pPr>
        <w:numPr>
          <w:ilvl w:val="0"/>
          <w:numId w:val="37"/>
        </w:numPr>
        <w:ind w:left="1134" w:hanging="567"/>
      </w:pPr>
      <w:r w:rsidRPr="00425DB3">
        <w:t>perform on-site I</w:t>
      </w:r>
      <w:r>
        <w:t>C</w:t>
      </w:r>
      <w:r w:rsidRPr="00425DB3">
        <w:t>T assessments of IP offices in the region, including analysis of: business and legislative procedures, IP data volumes, current backlog, office resources, I</w:t>
      </w:r>
      <w:r>
        <w:t>C</w:t>
      </w:r>
      <w:r w:rsidRPr="00425DB3">
        <w:t>T infrastructure and automation status;</w:t>
      </w:r>
    </w:p>
    <w:p w:rsidR="006B41E4" w:rsidRPr="00425DB3" w:rsidRDefault="006B41E4" w:rsidP="006B41E4">
      <w:pPr>
        <w:numPr>
          <w:ilvl w:val="0"/>
          <w:numId w:val="37"/>
        </w:numPr>
        <w:ind w:left="1134" w:hanging="567"/>
      </w:pPr>
      <w:r w:rsidRPr="00425DB3">
        <w:t>manage and implement the Memorandum of Understanding between WIPO and the Government of Singapore which consists of joint activities; and</w:t>
      </w:r>
    </w:p>
    <w:p w:rsidR="006B41E4" w:rsidRDefault="006B41E4" w:rsidP="006B41E4">
      <w:pPr>
        <w:numPr>
          <w:ilvl w:val="0"/>
          <w:numId w:val="37"/>
        </w:numPr>
        <w:ind w:left="1134" w:hanging="567"/>
      </w:pPr>
      <w:r w:rsidRPr="00425DB3">
        <w:t xml:space="preserve">support WIPO’s </w:t>
      </w:r>
      <w:r>
        <w:t>R</w:t>
      </w:r>
      <w:r w:rsidRPr="00425DB3">
        <w:t>ound-the-</w:t>
      </w:r>
      <w:r>
        <w:t>C</w:t>
      </w:r>
      <w:r w:rsidRPr="00425DB3">
        <w:t>lock service during the allotted time frame.</w:t>
      </w:r>
    </w:p>
    <w:p w:rsidR="006B41E4" w:rsidRPr="00425DB3" w:rsidRDefault="006B41E4" w:rsidP="006B41E4">
      <w:pPr>
        <w:ind w:left="720"/>
      </w:pPr>
    </w:p>
    <w:p w:rsidR="006B41E4" w:rsidRDefault="006B41E4" w:rsidP="006B41E4">
      <w:r>
        <w:fldChar w:fldCharType="begin"/>
      </w:r>
      <w:r>
        <w:instrText xml:space="preserve"> AUTONUM  </w:instrText>
      </w:r>
      <w:r>
        <w:fldChar w:fldCharType="end"/>
      </w:r>
      <w:r>
        <w:tab/>
        <w:t xml:space="preserve">In accordance with Annex A of the 2005 Agreement between WIPO and Singapore, the Singapore Government shall bear the rental costs for office space as well as the costs for the maintenance of common areas and facilities, mechanical and electrical services and utilities, up to 50,000 SGD (1SGD=0.74 CHF).  Every year WSO submits reimbursable claims to the Ministry of Law for 10,000 SGD on the understanding that under the 50,000 SGD per annum provision for maintenance, mechanical and electrical services and utilities under the WIPO-Singapore Agreement, approximately 40,000 SGD are paid by the Ministry of Law to United </w:t>
      </w:r>
      <w:proofErr w:type="spellStart"/>
      <w:r>
        <w:t>Premas</w:t>
      </w:r>
      <w:proofErr w:type="spellEnd"/>
      <w:r>
        <w:t xml:space="preserve"> Limited for maintenance of common areas and facilities.</w:t>
      </w:r>
    </w:p>
    <w:p w:rsidR="006B41E4" w:rsidRDefault="006B41E4" w:rsidP="006B41E4"/>
    <w:p w:rsidR="006B41E4" w:rsidRDefault="006B41E4" w:rsidP="006B41E4">
      <w:r>
        <w:fldChar w:fldCharType="begin"/>
      </w:r>
      <w:r>
        <w:instrText xml:space="preserve"> AUTONUM  </w:instrText>
      </w:r>
      <w:r>
        <w:fldChar w:fldCharType="end"/>
      </w:r>
      <w:r>
        <w:tab/>
        <w:t>The WSO will soon be equipped with Internet Protocol phones in order to reduce its communications expenses particularly with WIPO HQ.  In addition, studies are currently being conducted with HQ in order to introduce more flexibility in the WIPO Travel Policy, allowing WSO and AMC to directly purchase air tickets from Singapore based agents rather than those in Geneva.  This would allow the possibility to book online flights with low-cost companies for travel in the region.  The availability of two meeting rooms at WSO is a significant motivating factor in the decision to organize meetings in Singapore.  On average, the administrative cost of a meeting organized by WSO in its premises is around 2,000 CHF for a two-day meeting.  This compares very favorably with commercial rates of hotels and other venues.  It is to be noted that no translation or interpretation costs are usually borne for meetings organized in WSO.  Moreover, the conference rooms are equipped for remote participation of speakers from WIPO HQ or from other parts of the world who are able, through online tools, to participate in meetings held in WSO.</w:t>
      </w:r>
    </w:p>
    <w:p w:rsidR="006B41E4" w:rsidRDefault="006B41E4" w:rsidP="006B41E4"/>
    <w:p w:rsidR="006B41E4" w:rsidRDefault="006B41E4" w:rsidP="006B41E4">
      <w:pPr>
        <w:shd w:val="clear" w:color="auto" w:fill="FFFFFF"/>
        <w:spacing w:before="100" w:beforeAutospacing="1" w:after="100" w:afterAutospacing="1"/>
        <w:rPr>
          <w:rFonts w:eastAsia="Times New Roman"/>
          <w:color w:val="000000"/>
          <w:szCs w:val="22"/>
          <w:lang w:val="en" w:eastAsia="en-SG"/>
        </w:rPr>
      </w:pPr>
      <w:r>
        <w:fldChar w:fldCharType="begin"/>
      </w:r>
      <w:r>
        <w:instrText xml:space="preserve"> AUTONUM  </w:instrText>
      </w:r>
      <w:r>
        <w:fldChar w:fldCharType="end"/>
      </w:r>
      <w:r>
        <w:tab/>
      </w:r>
      <w:r w:rsidRPr="00425DB3">
        <w:rPr>
          <w:rFonts w:eastAsia="Times New Roman"/>
          <w:color w:val="000000"/>
          <w:szCs w:val="22"/>
          <w:lang w:val="en" w:eastAsia="en-SG"/>
        </w:rPr>
        <w:t xml:space="preserve">The </w:t>
      </w:r>
      <w:r>
        <w:rPr>
          <w:rFonts w:eastAsia="Times New Roman"/>
          <w:color w:val="000000"/>
          <w:szCs w:val="22"/>
          <w:lang w:val="en" w:eastAsia="en-SG"/>
        </w:rPr>
        <w:t>WSO</w:t>
      </w:r>
      <w:r w:rsidRPr="00425DB3">
        <w:rPr>
          <w:rFonts w:eastAsia="Times New Roman"/>
          <w:color w:val="000000"/>
          <w:szCs w:val="22"/>
          <w:lang w:val="en" w:eastAsia="en-SG"/>
        </w:rPr>
        <w:t xml:space="preserve"> forms an important component of the service network offered by WIPO</w:t>
      </w:r>
      <w:r>
        <w:rPr>
          <w:rFonts w:eastAsia="Times New Roman"/>
          <w:color w:val="000000"/>
          <w:szCs w:val="22"/>
          <w:lang w:val="en" w:eastAsia="en-SG"/>
        </w:rPr>
        <w:t xml:space="preserve"> in its Round-the-Clock service.  </w:t>
      </w:r>
      <w:r w:rsidRPr="00425DB3">
        <w:rPr>
          <w:rFonts w:eastAsia="Times New Roman"/>
          <w:color w:val="000000"/>
          <w:szCs w:val="22"/>
          <w:lang w:val="en" w:eastAsia="en-SG"/>
        </w:rPr>
        <w:t>Calls made to WIPO when the Geneva office is closed are re-directed to Sing</w:t>
      </w:r>
      <w:r>
        <w:rPr>
          <w:rFonts w:eastAsia="Times New Roman"/>
          <w:color w:val="000000"/>
          <w:szCs w:val="22"/>
          <w:lang w:val="en" w:eastAsia="en-SG"/>
        </w:rPr>
        <w:t xml:space="preserve">apore during certain windows.  </w:t>
      </w:r>
    </w:p>
    <w:p w:rsidR="006B41E4" w:rsidRDefault="006B41E4" w:rsidP="006B41E4">
      <w:pPr>
        <w:shd w:val="clear" w:color="auto" w:fill="FFFFFF"/>
        <w:spacing w:before="100" w:beforeAutospacing="1" w:after="100" w:afterAutospacing="1"/>
        <w:jc w:val="center"/>
        <w:rPr>
          <w:color w:val="000000"/>
          <w:szCs w:val="22"/>
          <w:lang w:val="en"/>
        </w:rPr>
      </w:pPr>
      <w:r>
        <w:rPr>
          <w:color w:val="000000"/>
          <w:szCs w:val="22"/>
          <w:lang w:val="en"/>
        </w:rPr>
        <w:t>Table 1:  Calls and E-Mails received by WSO</w:t>
      </w:r>
    </w:p>
    <w:p w:rsidR="006B41E4" w:rsidRDefault="006B41E4" w:rsidP="006B41E4">
      <w:pPr>
        <w:shd w:val="clear" w:color="auto" w:fill="FFFFFF"/>
        <w:spacing w:before="100" w:beforeAutospacing="1" w:after="100" w:afterAutospacing="1"/>
        <w:jc w:val="center"/>
      </w:pPr>
      <w:r w:rsidRPr="003C2055">
        <w:rPr>
          <w:color w:val="000000"/>
          <w:szCs w:val="22"/>
          <w:lang w:val="en"/>
        </w:rPr>
        <w:object w:dxaOrig="9304" w:dyaOrig="1923">
          <v:shape id="_x0000_i1026" type="#_x0000_t75" style="width:429pt;height:89pt" o:ole="">
            <v:imagedata r:id="rId12" o:title=""/>
          </v:shape>
          <o:OLEObject Type="Embed" ProgID="Excel.Sheet.8" ShapeID="_x0000_i1026" DrawAspect="Content" ObjectID="_1441105965" r:id="rId13"/>
        </w:object>
      </w:r>
      <w:r>
        <w:rPr>
          <w:rFonts w:eastAsia="Times New Roman"/>
          <w:color w:val="000000"/>
          <w:szCs w:val="22"/>
          <w:lang w:val="en" w:eastAsia="en-SG"/>
        </w:rPr>
        <w:br/>
      </w:r>
    </w:p>
    <w:p w:rsidR="006B41E4" w:rsidRDefault="006B41E4" w:rsidP="006B41E4">
      <w:pPr>
        <w:shd w:val="clear" w:color="auto" w:fill="FFFFFF"/>
        <w:spacing w:before="100" w:beforeAutospacing="1" w:after="100" w:afterAutospacing="1"/>
        <w:jc w:val="center"/>
      </w:pPr>
      <w:r>
        <w:br w:type="page"/>
      </w: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r>
        <w:lastRenderedPageBreak/>
        <w:fldChar w:fldCharType="begin"/>
      </w:r>
      <w:r>
        <w:instrText xml:space="preserve"> AUTONUM  </w:instrText>
      </w:r>
      <w:r>
        <w:fldChar w:fldCharType="end"/>
      </w:r>
      <w:r>
        <w:tab/>
        <w:t xml:space="preserve">As regards communications and outreach activities, the </w:t>
      </w:r>
      <w:r w:rsidRPr="00362E0D">
        <w:rPr>
          <w:rFonts w:eastAsia="Times New Roman"/>
          <w:color w:val="000000"/>
          <w:szCs w:val="22"/>
          <w:lang w:val="en" w:eastAsia="en-SG"/>
        </w:rPr>
        <w:t xml:space="preserve">chart demonstrates a trend of increasing usage of the WSO </w:t>
      </w:r>
      <w:r>
        <w:rPr>
          <w:rFonts w:eastAsia="Times New Roman"/>
          <w:color w:val="000000"/>
          <w:szCs w:val="22"/>
          <w:lang w:val="en" w:eastAsia="en-SG"/>
        </w:rPr>
        <w:t>web site</w:t>
      </w:r>
      <w:r w:rsidRPr="00362E0D">
        <w:rPr>
          <w:rFonts w:eastAsia="Times New Roman"/>
          <w:color w:val="000000"/>
          <w:szCs w:val="22"/>
          <w:lang w:val="en" w:eastAsia="en-SG"/>
        </w:rPr>
        <w:t xml:space="preserve"> (</w:t>
      </w:r>
      <w:hyperlink r:id="rId14" w:history="1">
        <w:r w:rsidRPr="00362E0D">
          <w:rPr>
            <w:rFonts w:eastAsia="Times New Roman"/>
            <w:color w:val="000000"/>
            <w:szCs w:val="22"/>
            <w:lang w:val="en" w:eastAsia="en-SG"/>
          </w:rPr>
          <w:t>www.wipo.int/singapore</w:t>
        </w:r>
      </w:hyperlink>
      <w:r w:rsidRPr="00362E0D">
        <w:rPr>
          <w:rFonts w:eastAsia="Times New Roman"/>
          <w:color w:val="000000"/>
          <w:szCs w:val="22"/>
          <w:lang w:val="en" w:eastAsia="en-SG"/>
        </w:rPr>
        <w:t xml:space="preserve">).  </w:t>
      </w:r>
    </w:p>
    <w:p w:rsidR="006B41E4" w:rsidRPr="002E41D0" w:rsidRDefault="006B41E4" w:rsidP="006B41E4">
      <w:pPr>
        <w:shd w:val="clear" w:color="auto" w:fill="FFFFFF"/>
        <w:spacing w:before="100" w:beforeAutospacing="1" w:after="100" w:afterAutospacing="1"/>
        <w:jc w:val="center"/>
        <w:rPr>
          <w:rFonts w:eastAsia="Times New Roman"/>
          <w:szCs w:val="22"/>
          <w:lang w:val="en" w:eastAsia="en-SG"/>
        </w:rPr>
      </w:pPr>
      <w:r>
        <w:rPr>
          <w:rFonts w:eastAsia="Times New Roman"/>
          <w:szCs w:val="22"/>
          <w:lang w:val="en" w:eastAsia="en-SG"/>
        </w:rPr>
        <w:t xml:space="preserve">Figure 1:  </w:t>
      </w:r>
      <w:proofErr w:type="spellStart"/>
      <w:r>
        <w:rPr>
          <w:rFonts w:eastAsia="Times New Roman"/>
          <w:szCs w:val="22"/>
          <w:lang w:val="en" w:eastAsia="en-SG"/>
        </w:rPr>
        <w:t>Pageviews</w:t>
      </w:r>
      <w:proofErr w:type="spellEnd"/>
      <w:r>
        <w:rPr>
          <w:rFonts w:eastAsia="Times New Roman"/>
          <w:szCs w:val="22"/>
          <w:lang w:val="en" w:eastAsia="en-SG"/>
        </w:rPr>
        <w:t xml:space="preserve"> of WSO’s web site</w:t>
      </w:r>
    </w:p>
    <w:p w:rsidR="006B41E4" w:rsidRPr="00362E0D" w:rsidRDefault="00D578DA" w:rsidP="006B41E4">
      <w:pPr>
        <w:shd w:val="clear" w:color="auto" w:fill="FFFFFF"/>
        <w:spacing w:before="100" w:beforeAutospacing="1" w:after="100" w:afterAutospacing="1"/>
        <w:rPr>
          <w:rFonts w:eastAsia="Times New Roman"/>
          <w:color w:val="FF0000"/>
          <w:szCs w:val="22"/>
          <w:lang w:val="en" w:eastAsia="en-SG"/>
        </w:rPr>
      </w:pPr>
      <w:r>
        <w:rPr>
          <w:rFonts w:ascii="Times New Roman" w:eastAsia="Times New Roman" w:hAnsi="Times New Roman" w:cs="Times New Roman"/>
          <w:sz w:val="24"/>
          <w:szCs w:val="24"/>
          <w:lang w:val="en-SG" w:eastAsia="en-SG"/>
        </w:rPr>
        <w:pict>
          <v:shape id="_x0000_s1027" type="#_x0000_t75" style="position:absolute;margin-left:51.75pt;margin-top:4.2pt;width:5in;height:169.4pt;z-index:251659264">
            <v:imagedata r:id="rId15" o:title=""/>
          </v:shape>
        </w:pict>
      </w: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rPr>
          <w:rFonts w:eastAsia="Times New Roman"/>
          <w:color w:val="FF0000"/>
          <w:szCs w:val="22"/>
          <w:lang w:val="en" w:eastAsia="en-SG"/>
        </w:rPr>
      </w:pPr>
    </w:p>
    <w:p w:rsidR="006B41E4" w:rsidRPr="00362E0D" w:rsidRDefault="006B41E4" w:rsidP="006B41E4">
      <w:pPr>
        <w:shd w:val="clear" w:color="auto" w:fill="FFFFFF"/>
        <w:spacing w:before="100" w:beforeAutospacing="1" w:after="100" w:afterAutospacing="1"/>
        <w:jc w:val="center"/>
        <w:rPr>
          <w:rFonts w:eastAsia="Times New Roman"/>
          <w:sz w:val="16"/>
          <w:szCs w:val="16"/>
          <w:lang w:val="en-SG" w:eastAsia="en-SG"/>
        </w:rPr>
      </w:pPr>
      <w:r w:rsidRPr="00362E0D">
        <w:rPr>
          <w:rFonts w:eastAsia="Times New Roman"/>
          <w:color w:val="FF0000"/>
          <w:szCs w:val="22"/>
          <w:lang w:val="en" w:eastAsia="en-SG"/>
        </w:rPr>
        <w:br/>
      </w:r>
      <w:r w:rsidRPr="00362E0D">
        <w:rPr>
          <w:rFonts w:eastAsia="Times New Roman"/>
          <w:sz w:val="16"/>
          <w:szCs w:val="16"/>
          <w:lang w:val="en-SG" w:eastAsia="en-SG"/>
        </w:rPr>
        <w:t>Note: 2013 figure has been extrapolated based on data at the halfway point in the year</w:t>
      </w:r>
    </w:p>
    <w:p w:rsidR="006B41E4" w:rsidRPr="00362E0D" w:rsidRDefault="006B41E4" w:rsidP="006B41E4">
      <w:pPr>
        <w:shd w:val="clear" w:color="auto" w:fill="FFFFFF"/>
        <w:spacing w:before="100" w:beforeAutospacing="1" w:after="100" w:afterAutospacing="1"/>
        <w:rPr>
          <w:rFonts w:eastAsia="Times New Roman"/>
          <w:color w:val="000000"/>
          <w:szCs w:val="22"/>
          <w:lang w:val="en" w:eastAsia="en-SG"/>
        </w:rPr>
      </w:pPr>
      <w:r>
        <w:rPr>
          <w:rFonts w:eastAsia="Times New Roman"/>
          <w:color w:val="000000"/>
          <w:szCs w:val="22"/>
          <w:lang w:val="en" w:eastAsia="en-SG"/>
        </w:rPr>
        <w:fldChar w:fldCharType="begin"/>
      </w:r>
      <w:r>
        <w:rPr>
          <w:rFonts w:eastAsia="Times New Roman"/>
          <w:color w:val="000000"/>
          <w:szCs w:val="22"/>
          <w:lang w:val="en" w:eastAsia="en-SG"/>
        </w:rPr>
        <w:instrText xml:space="preserve"> AUTONUM  </w:instrText>
      </w:r>
      <w:r>
        <w:rPr>
          <w:rFonts w:eastAsia="Times New Roman"/>
          <w:color w:val="000000"/>
          <w:szCs w:val="22"/>
          <w:lang w:val="en" w:eastAsia="en-SG"/>
        </w:rPr>
        <w:fldChar w:fldCharType="end"/>
      </w:r>
      <w:r>
        <w:rPr>
          <w:rFonts w:eastAsia="Times New Roman"/>
          <w:color w:val="000000"/>
          <w:szCs w:val="22"/>
          <w:lang w:val="en" w:eastAsia="en-SG"/>
        </w:rPr>
        <w:tab/>
      </w:r>
      <w:r w:rsidRPr="00362E0D">
        <w:rPr>
          <w:rFonts w:eastAsia="Times New Roman"/>
          <w:color w:val="000000"/>
          <w:szCs w:val="22"/>
          <w:lang w:val="en" w:eastAsia="en-SG"/>
        </w:rPr>
        <w:t>Since data was first recorded in 2010 with Google Analytics, the site has experienced an increase of 50</w:t>
      </w:r>
      <w:r>
        <w:rPr>
          <w:rFonts w:eastAsia="Times New Roman"/>
          <w:color w:val="000000"/>
          <w:szCs w:val="22"/>
          <w:lang w:val="en" w:eastAsia="en-SG"/>
        </w:rPr>
        <w:t xml:space="preserve"> per cent </w:t>
      </w:r>
      <w:r w:rsidRPr="00362E0D">
        <w:rPr>
          <w:rFonts w:eastAsia="Times New Roman"/>
          <w:color w:val="000000"/>
          <w:szCs w:val="22"/>
          <w:lang w:val="en" w:eastAsia="en-SG"/>
        </w:rPr>
        <w:t>based on 2013 traffic levels.  This finding is indicative of the increasing importance of the ASEAN region in the IP world and the work of the WSO.</w:t>
      </w:r>
    </w:p>
    <w:p w:rsidR="006B41E4" w:rsidRDefault="006B41E4" w:rsidP="006B41E4">
      <w:pPr>
        <w:shd w:val="clear" w:color="auto" w:fill="FFFFFF"/>
        <w:spacing w:before="100" w:beforeAutospacing="1" w:after="100" w:afterAutospacing="1"/>
        <w:rPr>
          <w:rFonts w:eastAsia="Times New Roman"/>
          <w:szCs w:val="22"/>
          <w:lang w:val="en-SG" w:eastAsia="en-SG"/>
        </w:rPr>
      </w:pPr>
      <w:r>
        <w:rPr>
          <w:rFonts w:eastAsia="Times New Roman"/>
          <w:szCs w:val="22"/>
          <w:lang w:val="en-SG" w:eastAsia="en-SG"/>
        </w:rPr>
        <w:fldChar w:fldCharType="begin"/>
      </w:r>
      <w:r>
        <w:rPr>
          <w:rFonts w:eastAsia="Times New Roman"/>
          <w:szCs w:val="22"/>
          <w:lang w:val="en-SG" w:eastAsia="en-SG"/>
        </w:rPr>
        <w:instrText xml:space="preserve"> AUTONUM  </w:instrText>
      </w:r>
      <w:r>
        <w:rPr>
          <w:rFonts w:eastAsia="Times New Roman"/>
          <w:szCs w:val="22"/>
          <w:lang w:val="en-SG" w:eastAsia="en-SG"/>
        </w:rPr>
        <w:fldChar w:fldCharType="end"/>
      </w:r>
      <w:r>
        <w:rPr>
          <w:rFonts w:eastAsia="Times New Roman"/>
          <w:szCs w:val="22"/>
          <w:lang w:val="en-SG" w:eastAsia="en-SG"/>
        </w:rPr>
        <w:tab/>
      </w:r>
      <w:r w:rsidRPr="00362E0D">
        <w:rPr>
          <w:rFonts w:eastAsia="Times New Roman"/>
          <w:szCs w:val="22"/>
          <w:lang w:val="en-SG" w:eastAsia="en-SG"/>
        </w:rPr>
        <w:t xml:space="preserve">Furthermore, work was completed earlier in 2013 that improved both the structure and content of the WSO </w:t>
      </w:r>
      <w:r>
        <w:rPr>
          <w:rFonts w:eastAsia="Times New Roman"/>
          <w:szCs w:val="22"/>
          <w:lang w:val="en-SG" w:eastAsia="en-SG"/>
        </w:rPr>
        <w:t>web</w:t>
      </w:r>
      <w:r w:rsidRPr="00362E0D">
        <w:rPr>
          <w:rFonts w:eastAsia="Times New Roman"/>
          <w:szCs w:val="22"/>
          <w:lang w:val="en-SG" w:eastAsia="en-SG"/>
        </w:rPr>
        <w:t>site.  In addition</w:t>
      </w:r>
      <w:r>
        <w:rPr>
          <w:rFonts w:eastAsia="Times New Roman"/>
          <w:szCs w:val="22"/>
          <w:lang w:val="en-SG" w:eastAsia="en-SG"/>
        </w:rPr>
        <w:t>,</w:t>
      </w:r>
      <w:r w:rsidRPr="00362E0D">
        <w:rPr>
          <w:rFonts w:eastAsia="Times New Roman"/>
          <w:szCs w:val="22"/>
          <w:lang w:val="en-SG" w:eastAsia="en-SG"/>
        </w:rPr>
        <w:t xml:space="preserve"> new tools were added to improve access to valuable WIPO web content such as the country profiles (which are now displayed on the WSO homepage) and </w:t>
      </w:r>
      <w:hyperlink r:id="rId16" w:history="1">
        <w:r w:rsidRPr="00362E0D">
          <w:rPr>
            <w:rFonts w:eastAsia="Times New Roman"/>
            <w:szCs w:val="22"/>
            <w:lang w:val="en-SG" w:eastAsia="en-SG"/>
          </w:rPr>
          <w:t xml:space="preserve">the ASEAN IP </w:t>
        </w:r>
        <w:proofErr w:type="spellStart"/>
        <w:r w:rsidRPr="00362E0D">
          <w:rPr>
            <w:rFonts w:eastAsia="Times New Roman"/>
            <w:szCs w:val="22"/>
            <w:lang w:val="en-SG" w:eastAsia="en-SG"/>
          </w:rPr>
          <w:t>Quickfind</w:t>
        </w:r>
        <w:proofErr w:type="spellEnd"/>
      </w:hyperlink>
      <w:r w:rsidRPr="00362E0D">
        <w:rPr>
          <w:rFonts w:eastAsia="Times New Roman"/>
          <w:szCs w:val="22"/>
          <w:lang w:val="en-SG" w:eastAsia="en-SG"/>
        </w:rPr>
        <w:t xml:space="preserve"> which allows customers to access different aspects of each M</w:t>
      </w:r>
      <w:r>
        <w:rPr>
          <w:rFonts w:eastAsia="Times New Roman"/>
          <w:szCs w:val="22"/>
          <w:lang w:val="en-SG" w:eastAsia="en-SG"/>
        </w:rPr>
        <w:t xml:space="preserve">ember </w:t>
      </w:r>
      <w:r w:rsidRPr="00362E0D">
        <w:rPr>
          <w:rFonts w:eastAsia="Times New Roman"/>
          <w:szCs w:val="22"/>
          <w:lang w:val="en-SG" w:eastAsia="en-SG"/>
        </w:rPr>
        <w:t>S</w:t>
      </w:r>
      <w:r>
        <w:rPr>
          <w:rFonts w:eastAsia="Times New Roman"/>
          <w:szCs w:val="22"/>
          <w:lang w:val="en-SG" w:eastAsia="en-SG"/>
        </w:rPr>
        <w:t>tate</w:t>
      </w:r>
      <w:r w:rsidRPr="00362E0D">
        <w:rPr>
          <w:rFonts w:eastAsia="Times New Roman"/>
          <w:szCs w:val="22"/>
          <w:lang w:val="en-SG" w:eastAsia="en-SG"/>
        </w:rPr>
        <w:t xml:space="preserve"> IP regime from one central portal.</w:t>
      </w:r>
      <w:r>
        <w:rPr>
          <w:rFonts w:eastAsia="Times New Roman"/>
          <w:szCs w:val="22"/>
          <w:lang w:val="en-SG" w:eastAsia="en-SG"/>
        </w:rPr>
        <w:t xml:space="preserve">  </w:t>
      </w:r>
      <w:r w:rsidRPr="00362E0D">
        <w:rPr>
          <w:rFonts w:eastAsia="Times New Roman"/>
          <w:szCs w:val="22"/>
          <w:lang w:val="en-SG" w:eastAsia="en-SG"/>
        </w:rPr>
        <w:t xml:space="preserve">The WSO is active in seeking out opportunities to promote WIPO’s global services through participation in events and proactively building relationships with associations and stakeholder groups.  </w:t>
      </w:r>
      <w:r>
        <w:rPr>
          <w:rFonts w:eastAsia="Times New Roman"/>
          <w:szCs w:val="22"/>
          <w:lang w:val="en-SG" w:eastAsia="en-SG"/>
        </w:rPr>
        <w:t>A</w:t>
      </w:r>
      <w:r w:rsidRPr="00362E0D">
        <w:rPr>
          <w:rFonts w:eastAsia="Times New Roman"/>
          <w:szCs w:val="22"/>
          <w:lang w:val="en-SG" w:eastAsia="en-SG"/>
        </w:rPr>
        <w:t xml:space="preserve">part from the workshops and missions facilitated </w:t>
      </w:r>
      <w:r>
        <w:rPr>
          <w:rFonts w:eastAsia="Times New Roman"/>
          <w:szCs w:val="22"/>
          <w:lang w:val="en-SG" w:eastAsia="en-SG"/>
        </w:rPr>
        <w:t xml:space="preserve">by </w:t>
      </w:r>
      <w:r w:rsidRPr="00362E0D">
        <w:rPr>
          <w:rFonts w:eastAsia="Times New Roman"/>
          <w:szCs w:val="22"/>
          <w:lang w:val="en-SG" w:eastAsia="en-SG"/>
        </w:rPr>
        <w:t>WSO staff, WSO and the AMC participated in 90 engagements, meetings and promotional events from June 2012 to July 2013.</w:t>
      </w:r>
      <w:r>
        <w:rPr>
          <w:rFonts w:eastAsia="Times New Roman"/>
          <w:szCs w:val="22"/>
          <w:lang w:val="en-SG" w:eastAsia="en-SG"/>
        </w:rPr>
        <w:t xml:space="preserve">  </w:t>
      </w:r>
      <w:r w:rsidRPr="00362E0D">
        <w:rPr>
          <w:rFonts w:eastAsia="Times New Roman"/>
          <w:szCs w:val="22"/>
          <w:lang w:val="en-SG" w:eastAsia="en-SG"/>
        </w:rPr>
        <w:t xml:space="preserve">In addition </w:t>
      </w:r>
      <w:r>
        <w:rPr>
          <w:rFonts w:eastAsia="Times New Roman"/>
          <w:szCs w:val="22"/>
          <w:lang w:val="en-SG" w:eastAsia="en-SG"/>
        </w:rPr>
        <w:t xml:space="preserve">the </w:t>
      </w:r>
      <w:r w:rsidRPr="00362E0D">
        <w:rPr>
          <w:rFonts w:eastAsia="Times New Roman"/>
          <w:szCs w:val="22"/>
          <w:lang w:val="en-SG" w:eastAsia="en-SG"/>
        </w:rPr>
        <w:t>WSO identifies branding opportunities to increase WIPO brand awareness as well as ensuring that the WIPO logo is used in accordance with the Logo Policy and Guidelines.</w:t>
      </w:r>
    </w:p>
    <w:p w:rsidR="006B41E4" w:rsidRDefault="006B41E4" w:rsidP="006B41E4">
      <w:pPr>
        <w:shd w:val="clear" w:color="auto" w:fill="FFFFFF"/>
        <w:spacing w:before="100" w:beforeAutospacing="1" w:after="100" w:afterAutospacing="1"/>
        <w:rPr>
          <w:rFonts w:eastAsia="Times New Roman"/>
          <w:color w:val="000000"/>
          <w:szCs w:val="22"/>
          <w:lang w:val="en" w:eastAsia="en-SG"/>
        </w:rPr>
      </w:pPr>
      <w:r>
        <w:rPr>
          <w:lang w:val="en-SG"/>
        </w:rPr>
        <w:fldChar w:fldCharType="begin"/>
      </w:r>
      <w:r>
        <w:rPr>
          <w:lang w:val="en-SG"/>
        </w:rPr>
        <w:instrText xml:space="preserve"> AUTONUM  </w:instrText>
      </w:r>
      <w:r>
        <w:rPr>
          <w:lang w:val="en-SG"/>
        </w:rPr>
        <w:fldChar w:fldCharType="end"/>
      </w:r>
      <w:r>
        <w:rPr>
          <w:lang w:val="en-SG"/>
        </w:rPr>
        <w:tab/>
      </w:r>
      <w:r w:rsidRPr="00CA7AFD">
        <w:rPr>
          <w:rFonts w:eastAsia="Times New Roman"/>
          <w:color w:val="000000"/>
          <w:szCs w:val="22"/>
          <w:lang w:val="en" w:eastAsia="en-SG"/>
        </w:rPr>
        <w:t xml:space="preserve">Up until March 2013, when the UNDP Center for Public Service Excellence was opened in Singapore, WIPO was the only </w:t>
      </w:r>
      <w:r>
        <w:rPr>
          <w:rFonts w:eastAsia="Times New Roman"/>
          <w:color w:val="000000"/>
          <w:szCs w:val="22"/>
          <w:lang w:val="en" w:eastAsia="en-SG"/>
        </w:rPr>
        <w:t>UN</w:t>
      </w:r>
      <w:r w:rsidRPr="00CA7AFD">
        <w:rPr>
          <w:rFonts w:eastAsia="Times New Roman"/>
          <w:color w:val="000000"/>
          <w:szCs w:val="22"/>
          <w:lang w:val="en" w:eastAsia="en-SG"/>
        </w:rPr>
        <w:t xml:space="preserve"> </w:t>
      </w:r>
      <w:r>
        <w:rPr>
          <w:rFonts w:eastAsia="Times New Roman"/>
          <w:color w:val="000000"/>
          <w:szCs w:val="22"/>
          <w:lang w:val="en" w:eastAsia="en-SG"/>
        </w:rPr>
        <w:t xml:space="preserve">Organization </w:t>
      </w:r>
      <w:r w:rsidRPr="00CA7AFD">
        <w:rPr>
          <w:rFonts w:eastAsia="Times New Roman"/>
          <w:color w:val="000000"/>
          <w:szCs w:val="22"/>
          <w:lang w:val="en" w:eastAsia="en-SG"/>
        </w:rPr>
        <w:t xml:space="preserve">represented in Singapore. </w:t>
      </w:r>
      <w:r>
        <w:rPr>
          <w:rFonts w:eastAsia="Times New Roman"/>
          <w:color w:val="000000"/>
          <w:szCs w:val="22"/>
          <w:lang w:val="en" w:eastAsia="en-SG"/>
        </w:rPr>
        <w:t xml:space="preserve"> T</w:t>
      </w:r>
      <w:r w:rsidRPr="00CA7AFD">
        <w:rPr>
          <w:rFonts w:eastAsia="Times New Roman"/>
          <w:color w:val="000000"/>
          <w:szCs w:val="22"/>
          <w:lang w:val="en" w:eastAsia="en-SG"/>
        </w:rPr>
        <w:t xml:space="preserve">he UNDP Center for Public Service Excellence is dedicated to policy research and the global exchange of knowledge and information on public service policies, strategies and institutions. Although, WSO keeps in close contact with the Center, there is no common field of work on IP. </w:t>
      </w:r>
      <w:r>
        <w:rPr>
          <w:rFonts w:eastAsia="Times New Roman"/>
          <w:color w:val="000000"/>
          <w:szCs w:val="22"/>
          <w:lang w:val="en" w:eastAsia="en-SG"/>
        </w:rPr>
        <w:t xml:space="preserve">The </w:t>
      </w:r>
      <w:r w:rsidRPr="00CA7AFD">
        <w:rPr>
          <w:rFonts w:eastAsia="Times New Roman"/>
          <w:color w:val="000000"/>
          <w:szCs w:val="22"/>
          <w:lang w:val="en" w:eastAsia="en-SG"/>
        </w:rPr>
        <w:t xml:space="preserve">WSO was invited to the release of the UNDP Human </w:t>
      </w:r>
      <w:r>
        <w:rPr>
          <w:rFonts w:eastAsia="Times New Roman"/>
          <w:color w:val="000000"/>
          <w:szCs w:val="22"/>
          <w:lang w:val="en" w:eastAsia="en-SG"/>
        </w:rPr>
        <w:t>De</w:t>
      </w:r>
      <w:r w:rsidRPr="00CA7AFD">
        <w:rPr>
          <w:rFonts w:eastAsia="Times New Roman"/>
          <w:color w:val="000000"/>
          <w:szCs w:val="22"/>
          <w:lang w:val="en" w:eastAsia="en-SG"/>
        </w:rPr>
        <w:t xml:space="preserve">velopment </w:t>
      </w:r>
      <w:r>
        <w:rPr>
          <w:rFonts w:eastAsia="Times New Roman"/>
          <w:color w:val="000000"/>
          <w:szCs w:val="22"/>
          <w:lang w:val="en" w:eastAsia="en-SG"/>
        </w:rPr>
        <w:t>R</w:t>
      </w:r>
      <w:r w:rsidRPr="00CA7AFD">
        <w:rPr>
          <w:rFonts w:eastAsia="Times New Roman"/>
          <w:color w:val="000000"/>
          <w:szCs w:val="22"/>
          <w:lang w:val="en" w:eastAsia="en-SG"/>
        </w:rPr>
        <w:t xml:space="preserve">eport in Singapore on April 2013 and to present its activities to the Deputy Secretary General of the United Nations, Mr. Jan </w:t>
      </w:r>
      <w:proofErr w:type="spellStart"/>
      <w:r w:rsidRPr="00CA7AFD">
        <w:rPr>
          <w:rFonts w:eastAsia="Times New Roman"/>
          <w:color w:val="000000"/>
          <w:szCs w:val="22"/>
          <w:lang w:val="en" w:eastAsia="en-SG"/>
        </w:rPr>
        <w:t>Eliasson</w:t>
      </w:r>
      <w:proofErr w:type="spellEnd"/>
      <w:r w:rsidRPr="00CA7AFD">
        <w:rPr>
          <w:rFonts w:eastAsia="Times New Roman"/>
          <w:color w:val="000000"/>
          <w:szCs w:val="22"/>
          <w:lang w:val="en" w:eastAsia="en-SG"/>
        </w:rPr>
        <w:t xml:space="preserve">, who visited the UNDP Center </w:t>
      </w:r>
      <w:r>
        <w:rPr>
          <w:rFonts w:eastAsia="Times New Roman"/>
          <w:color w:val="000000"/>
          <w:szCs w:val="22"/>
          <w:lang w:val="en" w:eastAsia="en-SG"/>
        </w:rPr>
        <w:t>i</w:t>
      </w:r>
      <w:r w:rsidRPr="00CA7AFD">
        <w:rPr>
          <w:rFonts w:eastAsia="Times New Roman"/>
          <w:color w:val="000000"/>
          <w:szCs w:val="22"/>
          <w:lang w:val="en" w:eastAsia="en-SG"/>
        </w:rPr>
        <w:t>n May 2013.</w:t>
      </w:r>
      <w:r>
        <w:rPr>
          <w:rFonts w:eastAsia="Times New Roman"/>
          <w:color w:val="000000"/>
          <w:szCs w:val="22"/>
          <w:lang w:val="en" w:eastAsia="en-SG"/>
        </w:rPr>
        <w:t xml:space="preserve">  </w:t>
      </w:r>
    </w:p>
    <w:p w:rsidR="006B41E4" w:rsidRDefault="006B41E4" w:rsidP="006B41E4">
      <w:pPr>
        <w:shd w:val="clear" w:color="auto" w:fill="FFFFFF"/>
        <w:spacing w:before="100" w:beforeAutospacing="1" w:after="100" w:afterAutospacing="1"/>
        <w:rPr>
          <w:rFonts w:eastAsia="Times New Roman"/>
          <w:color w:val="000000"/>
          <w:szCs w:val="22"/>
          <w:lang w:val="en" w:eastAsia="en-SG"/>
        </w:rPr>
      </w:pPr>
      <w:r>
        <w:rPr>
          <w:rFonts w:eastAsia="Times New Roman"/>
          <w:color w:val="000000"/>
          <w:szCs w:val="22"/>
          <w:lang w:val="en" w:eastAsia="en-SG"/>
        </w:rPr>
        <w:fldChar w:fldCharType="begin"/>
      </w:r>
      <w:r>
        <w:rPr>
          <w:rFonts w:eastAsia="Times New Roman"/>
          <w:color w:val="000000"/>
          <w:szCs w:val="22"/>
          <w:lang w:val="en" w:eastAsia="en-SG"/>
        </w:rPr>
        <w:instrText xml:space="preserve"> AUTONUM  </w:instrText>
      </w:r>
      <w:r>
        <w:rPr>
          <w:rFonts w:eastAsia="Times New Roman"/>
          <w:color w:val="000000"/>
          <w:szCs w:val="22"/>
          <w:lang w:val="en" w:eastAsia="en-SG"/>
        </w:rPr>
        <w:fldChar w:fldCharType="end"/>
      </w:r>
      <w:r>
        <w:rPr>
          <w:rFonts w:eastAsia="Times New Roman"/>
          <w:color w:val="000000"/>
          <w:szCs w:val="22"/>
          <w:lang w:val="en" w:eastAsia="en-SG"/>
        </w:rPr>
        <w:tab/>
      </w:r>
      <w:r w:rsidRPr="00DE43D0">
        <w:rPr>
          <w:rFonts w:eastAsia="Times New Roman"/>
          <w:color w:val="000000"/>
          <w:szCs w:val="22"/>
          <w:lang w:val="en" w:eastAsia="en-SG"/>
        </w:rPr>
        <w:t>In order to create better lines of communication and stronger relationships with other IP Technical Assistance (IPTA) providers in the region so that WSO is more informed of the work taking place and able to provide a more complete picture of IP activities in the region to HQ, WSO has initiated in March 2013 an informal roundtable meeting with the IP Attachés in embassies and those organizations who provide IP technical assistance in the ASEAN region (IP Attachés from the USA, France and the UK based in Singapore and representatives from IP Australia, AANZFTA/ASEAN Secretariat, the EU, ECAP</w:t>
      </w:r>
      <w:r>
        <w:rPr>
          <w:rFonts w:eastAsia="Times New Roman"/>
          <w:color w:val="000000"/>
          <w:szCs w:val="22"/>
          <w:lang w:val="en" w:eastAsia="en-SG"/>
        </w:rPr>
        <w:t xml:space="preserve"> (executed by the Office for </w:t>
      </w:r>
      <w:r>
        <w:rPr>
          <w:rFonts w:eastAsia="Times New Roman"/>
          <w:color w:val="000000"/>
          <w:szCs w:val="22"/>
          <w:lang w:val="en" w:eastAsia="en-SG"/>
        </w:rPr>
        <w:lastRenderedPageBreak/>
        <w:t>Harmonization in the Internal Market (OHIM))</w:t>
      </w:r>
      <w:r w:rsidRPr="00DE43D0">
        <w:rPr>
          <w:rFonts w:eastAsia="Times New Roman"/>
          <w:color w:val="000000"/>
          <w:szCs w:val="22"/>
          <w:lang w:val="en" w:eastAsia="en-SG"/>
        </w:rPr>
        <w:t xml:space="preserve">, Japan and </w:t>
      </w:r>
      <w:r>
        <w:rPr>
          <w:rFonts w:eastAsia="Times New Roman"/>
          <w:color w:val="000000"/>
          <w:szCs w:val="22"/>
          <w:lang w:val="en" w:eastAsia="en-SG"/>
        </w:rPr>
        <w:t xml:space="preserve">Republic of </w:t>
      </w:r>
      <w:r w:rsidRPr="00DE43D0">
        <w:rPr>
          <w:rFonts w:eastAsia="Times New Roman"/>
          <w:color w:val="000000"/>
          <w:szCs w:val="22"/>
          <w:lang w:val="en" w:eastAsia="en-SG"/>
        </w:rPr>
        <w:t>Korea based in the region).</w:t>
      </w:r>
    </w:p>
    <w:p w:rsidR="006B41E4" w:rsidRPr="00CA7AFD" w:rsidRDefault="006B41E4" w:rsidP="006B41E4">
      <w:pPr>
        <w:rPr>
          <w:rFonts w:eastAsia="Times New Roman"/>
          <w:color w:val="000000"/>
          <w:szCs w:val="22"/>
          <w:lang w:val="en-SG" w:eastAsia="en-SG"/>
        </w:rPr>
      </w:pPr>
      <w:r>
        <w:rPr>
          <w:rFonts w:eastAsia="Times New Roman"/>
          <w:color w:val="000000"/>
          <w:szCs w:val="22"/>
          <w:lang w:val="en" w:eastAsia="en-SG"/>
        </w:rPr>
        <w:fldChar w:fldCharType="begin"/>
      </w:r>
      <w:r>
        <w:rPr>
          <w:rFonts w:eastAsia="Times New Roman"/>
          <w:color w:val="000000"/>
          <w:szCs w:val="22"/>
          <w:lang w:val="en" w:eastAsia="en-SG"/>
        </w:rPr>
        <w:instrText xml:space="preserve"> AUTONUM  </w:instrText>
      </w:r>
      <w:r>
        <w:rPr>
          <w:rFonts w:eastAsia="Times New Roman"/>
          <w:color w:val="000000"/>
          <w:szCs w:val="22"/>
          <w:lang w:val="en" w:eastAsia="en-SG"/>
        </w:rPr>
        <w:fldChar w:fldCharType="end"/>
      </w:r>
      <w:r>
        <w:rPr>
          <w:rFonts w:eastAsia="Times New Roman"/>
          <w:color w:val="000000"/>
          <w:szCs w:val="22"/>
          <w:lang w:val="en" w:eastAsia="en-SG"/>
        </w:rPr>
        <w:tab/>
      </w:r>
      <w:r w:rsidRPr="00CA7AFD">
        <w:rPr>
          <w:rFonts w:eastAsia="Times New Roman"/>
          <w:color w:val="000000"/>
          <w:szCs w:val="22"/>
          <w:lang w:val="en-SG" w:eastAsia="en-SG"/>
        </w:rPr>
        <w:t xml:space="preserve">The WSO has facilitated a range of events and study visits that have had both a regional and sub-regional focus, spanning the wide range of IP subject matter. </w:t>
      </w:r>
      <w:r>
        <w:rPr>
          <w:rFonts w:eastAsia="Times New Roman"/>
          <w:color w:val="000000"/>
          <w:szCs w:val="22"/>
          <w:lang w:val="en-SG" w:eastAsia="en-SG"/>
        </w:rPr>
        <w:t xml:space="preserve"> Some figures below show the outcomes and achievements of 2012 and 2013: </w:t>
      </w:r>
      <w:r w:rsidRPr="00CA7AFD">
        <w:rPr>
          <w:rFonts w:eastAsia="Times New Roman"/>
          <w:color w:val="000000"/>
          <w:szCs w:val="22"/>
          <w:lang w:val="en-SG" w:eastAsia="en-SG"/>
        </w:rPr>
        <w:t xml:space="preserve"> </w:t>
      </w:r>
      <w:r>
        <w:rPr>
          <w:rFonts w:eastAsia="Times New Roman"/>
          <w:color w:val="000000"/>
          <w:szCs w:val="22"/>
          <w:lang w:val="en-SG" w:eastAsia="en-SG"/>
        </w:rPr>
        <w:br/>
      </w:r>
    </w:p>
    <w:p w:rsidR="006B41E4" w:rsidRPr="00CA7AFD" w:rsidRDefault="006B41E4" w:rsidP="006B41E4">
      <w:pPr>
        <w:numPr>
          <w:ilvl w:val="0"/>
          <w:numId w:val="38"/>
        </w:numPr>
        <w:ind w:left="1134" w:hanging="567"/>
      </w:pPr>
      <w:r w:rsidRPr="00CA7AFD">
        <w:t xml:space="preserve">Number of events facilitated by the </w:t>
      </w:r>
      <w:r>
        <w:t>WSO</w:t>
      </w:r>
      <w:r w:rsidRPr="00CA7AFD">
        <w:t xml:space="preserve"> or the AMC</w:t>
      </w:r>
      <w:r>
        <w:t xml:space="preserve"> Office in Singapore</w:t>
      </w:r>
      <w:r w:rsidRPr="00CA7AFD">
        <w:t xml:space="preserve"> in the previous 18 months = 12, (attracting a combined total of more than 266 delegates from across the region);</w:t>
      </w:r>
    </w:p>
    <w:p w:rsidR="006B41E4" w:rsidRPr="00CA7AFD" w:rsidRDefault="006B41E4" w:rsidP="006B41E4">
      <w:pPr>
        <w:numPr>
          <w:ilvl w:val="0"/>
          <w:numId w:val="38"/>
        </w:numPr>
        <w:ind w:left="1134" w:hanging="567"/>
      </w:pPr>
      <w:r w:rsidRPr="00CA7AFD">
        <w:t>Number of national or sub-regional events WSO or AMC participated in the previous 12 months = 52;</w:t>
      </w:r>
    </w:p>
    <w:p w:rsidR="006B41E4" w:rsidRPr="00CA7AFD" w:rsidRDefault="006B41E4" w:rsidP="006B41E4">
      <w:pPr>
        <w:numPr>
          <w:ilvl w:val="0"/>
          <w:numId w:val="38"/>
        </w:numPr>
        <w:ind w:left="1134" w:hanging="567"/>
      </w:pPr>
      <w:r w:rsidRPr="00CA7AFD">
        <w:t xml:space="preserve">Study visit programs arranged/received = </w:t>
      </w:r>
      <w:r>
        <w:t>two</w:t>
      </w:r>
      <w:r w:rsidRPr="00CA7AFD">
        <w:t xml:space="preserve">; and </w:t>
      </w:r>
    </w:p>
    <w:p w:rsidR="006B41E4" w:rsidRPr="00CA7AFD" w:rsidRDefault="006B41E4" w:rsidP="006B41E4">
      <w:pPr>
        <w:numPr>
          <w:ilvl w:val="0"/>
          <w:numId w:val="38"/>
        </w:numPr>
        <w:ind w:left="1134" w:hanging="567"/>
      </w:pPr>
      <w:r w:rsidRPr="00CA7AFD">
        <w:t>Including other engagements, meetings and promotional events attended by the WSO or the AMC = 98.</w:t>
      </w:r>
    </w:p>
    <w:p w:rsidR="006B41E4" w:rsidRPr="00CA7AFD" w:rsidRDefault="006B41E4" w:rsidP="006B41E4">
      <w:pPr>
        <w:rPr>
          <w:lang w:val="en"/>
        </w:rPr>
      </w:pPr>
    </w:p>
    <w:p w:rsidR="006B41E4" w:rsidRPr="0053334C" w:rsidRDefault="006B41E4" w:rsidP="006B41E4">
      <w:pPr>
        <w:pStyle w:val="Heading3"/>
      </w:pPr>
      <w:bookmarkStart w:id="15" w:name="_Toc362612216"/>
      <w:r>
        <w:t>WJO</w:t>
      </w:r>
      <w:bookmarkEnd w:id="15"/>
    </w:p>
    <w:p w:rsidR="006B41E4" w:rsidRDefault="006B41E4" w:rsidP="006B41E4"/>
    <w:p w:rsidR="006B41E4" w:rsidRDefault="006B41E4" w:rsidP="006B41E4">
      <w:r>
        <w:fldChar w:fldCharType="begin"/>
      </w:r>
      <w:r>
        <w:instrText xml:space="preserve"> AUTONUM  </w:instrText>
      </w:r>
      <w:r>
        <w:fldChar w:fldCharType="end"/>
      </w:r>
      <w:r>
        <w:tab/>
        <w:t>The relocation of the WJO</w:t>
      </w:r>
      <w:r w:rsidRPr="0007373F">
        <w:t xml:space="preserve"> </w:t>
      </w:r>
      <w:r>
        <w:t xml:space="preserve">from the UNU building to </w:t>
      </w:r>
      <w:proofErr w:type="spellStart"/>
      <w:r>
        <w:t>Kasumigaseki</w:t>
      </w:r>
      <w:proofErr w:type="spellEnd"/>
      <w:r>
        <w:t xml:space="preserve"> in January 2012 </w:t>
      </w:r>
      <w:r w:rsidRPr="0007373F">
        <w:t xml:space="preserve">was </w:t>
      </w:r>
      <w:r>
        <w:t xml:space="preserve">strategic in order to reinforce the functions of the Office </w:t>
      </w:r>
      <w:r w:rsidRPr="004E246E">
        <w:t xml:space="preserve">to </w:t>
      </w:r>
      <w:r>
        <w:t xml:space="preserve">serve users of WIPO’s services and also to strengthen cooperation with </w:t>
      </w:r>
      <w:r w:rsidRPr="004E246E">
        <w:t xml:space="preserve">government authorities of the host country and </w:t>
      </w:r>
      <w:r>
        <w:t>with Japanese industry</w:t>
      </w:r>
      <w:r w:rsidRPr="004E246E">
        <w:t xml:space="preserve">.  </w:t>
      </w:r>
      <w:r>
        <w:t xml:space="preserve">WJO is located in </w:t>
      </w:r>
      <w:r w:rsidRPr="004E246E">
        <w:t>a commercia</w:t>
      </w:r>
      <w:r>
        <w:t>lly-rented</w:t>
      </w:r>
      <w:r w:rsidRPr="004E246E">
        <w:t xml:space="preserve"> building with robust security</w:t>
      </w:r>
      <w:r>
        <w:t xml:space="preserve">.  The </w:t>
      </w:r>
      <w:r w:rsidRPr="004E246E">
        <w:t>administrative office space</w:t>
      </w:r>
      <w:r>
        <w:t xml:space="preserve"> is </w:t>
      </w:r>
      <w:r w:rsidRPr="004E246E">
        <w:t>approximately 100 square meters.</w:t>
      </w:r>
      <w:r>
        <w:t xml:space="preserve">  The annual rent is approximately 120,000 CHF, and in compliance with the offer made by the host government in 2005, with respect to no additional financial burden on WIPO, the rent of the office space has been financed by the government of Japan since then.</w:t>
      </w:r>
    </w:p>
    <w:p w:rsidR="006B41E4" w:rsidRDefault="006B41E4" w:rsidP="006B41E4"/>
    <w:p w:rsidR="006B41E4" w:rsidRDefault="006B41E4" w:rsidP="006B41E4">
      <w:r>
        <w:fldChar w:fldCharType="begin"/>
      </w:r>
      <w:r>
        <w:instrText xml:space="preserve"> AUTONUM  </w:instrText>
      </w:r>
      <w:r>
        <w:fldChar w:fldCharType="end"/>
      </w:r>
      <w:r>
        <w:tab/>
        <w:t>The WJO</w:t>
      </w:r>
      <w:r w:rsidRPr="00255EB3">
        <w:t xml:space="preserve"> is </w:t>
      </w:r>
      <w:r>
        <w:t xml:space="preserve">now </w:t>
      </w:r>
      <w:r w:rsidRPr="00255EB3">
        <w:t>focusing on support for Global IP Systems, particularly with respect to the PCT, the Madrid System and Japan’s examination of the Hague System; participation in the global customer response network; and capacity-building activities, largely funded by generous contributions from the Government of Japan.  Excellent results are being obtained through the vigorous engagement with Japanese enterprises.  PCT applications from Japan rose in 2012 by more than 10</w:t>
      </w:r>
      <w:r>
        <w:t xml:space="preserve"> per cent </w:t>
      </w:r>
      <w:r w:rsidRPr="00255EB3">
        <w:t>well in excess of the world average</w:t>
      </w:r>
      <w:r>
        <w:t xml:space="preserve"> </w:t>
      </w:r>
      <w:r w:rsidRPr="00255EB3">
        <w:t>(on a volume that constitutes over 20</w:t>
      </w:r>
      <w:r>
        <w:t xml:space="preserve"> per cent</w:t>
      </w:r>
      <w:r w:rsidRPr="00255EB3">
        <w:t xml:space="preserve"> of the worldwide PCT filings) and Madrid applications have risen by over 30</w:t>
      </w:r>
      <w:r>
        <w:t xml:space="preserve"> per cent</w:t>
      </w:r>
      <w:r w:rsidRPr="00255EB3">
        <w:t xml:space="preserve"> in the same period.</w:t>
      </w:r>
    </w:p>
    <w:p w:rsidR="006B41E4" w:rsidRDefault="006B41E4" w:rsidP="006B41E4"/>
    <w:p w:rsidR="006B41E4" w:rsidRDefault="006B41E4" w:rsidP="006B41E4">
      <w:r>
        <w:fldChar w:fldCharType="begin"/>
      </w:r>
      <w:r>
        <w:instrText xml:space="preserve"> AUTONUM  </w:instrText>
      </w:r>
      <w:r>
        <w:fldChar w:fldCharType="end"/>
      </w:r>
      <w:r>
        <w:tab/>
        <w:t>The WJO currently has the following specific objectives and priorities:</w:t>
      </w:r>
      <w:r>
        <w:br/>
      </w:r>
    </w:p>
    <w:p w:rsidR="006B41E4" w:rsidRDefault="006B41E4" w:rsidP="006B41E4">
      <w:pPr>
        <w:numPr>
          <w:ilvl w:val="0"/>
          <w:numId w:val="26"/>
        </w:numPr>
        <w:ind w:left="1134" w:hanging="567"/>
      </w:pPr>
      <w:r>
        <w:t>promote WIPO’s global services such as the PCT and Madrid systems, and coordinate with the host government to prepare for Japan’s accession to the Hague Agreement in the coming years.</w:t>
      </w:r>
    </w:p>
    <w:p w:rsidR="006B41E4" w:rsidRDefault="006B41E4" w:rsidP="006B41E4">
      <w:pPr>
        <w:numPr>
          <w:ilvl w:val="0"/>
          <w:numId w:val="26"/>
        </w:numPr>
        <w:ind w:left="1134" w:hanging="567"/>
      </w:pPr>
      <w:r>
        <w:t>provide efficient and timely services to users and applicants of the PCT, Madrid systems, global databases such as PATENTSCOPE, as well as the WIPO Arbitration and Mediation Center services;</w:t>
      </w:r>
    </w:p>
    <w:p w:rsidR="006B41E4" w:rsidRDefault="006B41E4" w:rsidP="006B41E4">
      <w:pPr>
        <w:numPr>
          <w:ilvl w:val="0"/>
          <w:numId w:val="26"/>
        </w:numPr>
        <w:ind w:left="1134" w:hanging="567"/>
      </w:pPr>
      <w:r>
        <w:t>collaborate with Japan’s industry to develop and promote WIPO’s global partnership projects such as WIPO GREEN and WIPO RE:SEARCH;</w:t>
      </w:r>
    </w:p>
    <w:p w:rsidR="006B41E4" w:rsidRDefault="006B41E4" w:rsidP="006B41E4">
      <w:pPr>
        <w:numPr>
          <w:ilvl w:val="0"/>
          <w:numId w:val="26"/>
        </w:numPr>
        <w:ind w:left="1134" w:hanging="567"/>
      </w:pPr>
      <w:r>
        <w:t xml:space="preserve">coordinate with the host country and donor country of Funds-in-Trust (FITs) of Japan on industrial property and copyright, and assist the HQ in undertaking activities financed by FITs/JP, including the development of the WIPO knowledge database “IP Advantage” at </w:t>
      </w:r>
      <w:hyperlink r:id="rId17" w:history="1">
        <w:r w:rsidRPr="003E1739">
          <w:rPr>
            <w:rStyle w:val="Hyperlink"/>
          </w:rPr>
          <w:t>http://www.wipo.int/ipadvantage/en/</w:t>
        </w:r>
      </w:hyperlink>
      <w:r>
        <w:t>;</w:t>
      </w:r>
    </w:p>
    <w:p w:rsidR="006B41E4" w:rsidRDefault="006B41E4" w:rsidP="006B41E4">
      <w:pPr>
        <w:numPr>
          <w:ilvl w:val="0"/>
          <w:numId w:val="26"/>
        </w:numPr>
        <w:ind w:left="1134" w:hanging="567"/>
      </w:pPr>
      <w:r>
        <w:t>cooperate with the United Nations agencies present in Japan to organize outreach program activities as part of inter-agency cooperation;</w:t>
      </w:r>
    </w:p>
    <w:p w:rsidR="006B41E4" w:rsidRDefault="006B41E4" w:rsidP="006B41E4">
      <w:pPr>
        <w:numPr>
          <w:ilvl w:val="0"/>
          <w:numId w:val="26"/>
        </w:numPr>
        <w:ind w:left="1134" w:hanging="567"/>
      </w:pPr>
      <w:r>
        <w:lastRenderedPageBreak/>
        <w:t>assist the HQ in coordinating with IP experts and policy makers from Japan in order to share Japan’s experience in the use of IP systems for innovation through the participation of such experts in meetings;</w:t>
      </w:r>
    </w:p>
    <w:p w:rsidR="006B41E4" w:rsidRDefault="006B41E4" w:rsidP="006B41E4">
      <w:pPr>
        <w:numPr>
          <w:ilvl w:val="0"/>
          <w:numId w:val="26"/>
        </w:numPr>
        <w:ind w:left="1134" w:hanging="567"/>
      </w:pPr>
      <w:r>
        <w:t>support WIPO’s Round-the-Clock service during the allotted time frame.</w:t>
      </w:r>
      <w:r>
        <w:br/>
      </w:r>
    </w:p>
    <w:p w:rsidR="006B41E4" w:rsidRDefault="006B41E4" w:rsidP="006B41E4">
      <w:r>
        <w:fldChar w:fldCharType="begin"/>
      </w:r>
      <w:r>
        <w:instrText xml:space="preserve"> AUTONUM  </w:instrText>
      </w:r>
      <w:r>
        <w:fldChar w:fldCharType="end"/>
      </w:r>
      <w:r>
        <w:tab/>
        <w:t>The WJO undertook the following activities in 2012:</w:t>
      </w:r>
    </w:p>
    <w:p w:rsidR="006B41E4" w:rsidRDefault="006B41E4" w:rsidP="006B41E4"/>
    <w:p w:rsidR="006B41E4" w:rsidRDefault="006B41E4" w:rsidP="006B41E4">
      <w:pPr>
        <w:numPr>
          <w:ilvl w:val="0"/>
          <w:numId w:val="29"/>
        </w:numPr>
        <w:ind w:left="1134" w:hanging="567"/>
      </w:pPr>
      <w:r>
        <w:t>The Office organized nine meetings (under FIT/JP, in cooperation with the JPO, WIPO HQ as well as a local national authority (Thailand)), three workshops in Tokyo (IP Policy, Madrid, IT), one workshop in Bangkok, Thailand (PCT), and five training courses in Tokyo.</w:t>
      </w:r>
    </w:p>
    <w:p w:rsidR="006B41E4" w:rsidRDefault="006B41E4" w:rsidP="006B41E4">
      <w:pPr>
        <w:numPr>
          <w:ilvl w:val="0"/>
          <w:numId w:val="29"/>
        </w:numPr>
        <w:ind w:left="1134" w:hanging="567"/>
      </w:pPr>
      <w:r>
        <w:t>The Office participated in 94</w:t>
      </w:r>
      <w:r w:rsidRPr="002E5AC3">
        <w:t xml:space="preserve"> meetings (worksho</w:t>
      </w:r>
      <w:r>
        <w:t xml:space="preserve">ps, seminars etc.) to represent </w:t>
      </w:r>
      <w:r w:rsidRPr="002E5AC3">
        <w:t>WIPO</w:t>
      </w:r>
      <w:r>
        <w:t xml:space="preserve"> (30 meetings were </w:t>
      </w:r>
      <w:r w:rsidRPr="002E5AC3">
        <w:t xml:space="preserve"> attended both by WIPO HQ official</w:t>
      </w:r>
      <w:r>
        <w:t>s</w:t>
      </w:r>
      <w:r w:rsidRPr="002E5AC3">
        <w:t xml:space="preserve"> and </w:t>
      </w:r>
      <w:r>
        <w:t xml:space="preserve">WJO officials, and some 60 meetings were attended by WJO officials alone); </w:t>
      </w:r>
    </w:p>
    <w:p w:rsidR="006B41E4" w:rsidRDefault="006B41E4" w:rsidP="006B41E4">
      <w:pPr>
        <w:numPr>
          <w:ilvl w:val="0"/>
          <w:numId w:val="29"/>
        </w:numPr>
        <w:ind w:left="1134" w:hanging="567"/>
      </w:pPr>
      <w:r>
        <w:t>The Office organized a total of 44 meetings for the promotion of the PCT and the Madrid system, the WJO organized</w:t>
      </w:r>
      <w:r w:rsidRPr="002E5AC3">
        <w:t xml:space="preserve"> </w:t>
      </w:r>
      <w:r>
        <w:t xml:space="preserve">and participated in all of them; </w:t>
      </w:r>
    </w:p>
    <w:p w:rsidR="006B41E4" w:rsidRDefault="006B41E4" w:rsidP="006B41E4">
      <w:pPr>
        <w:numPr>
          <w:ilvl w:val="0"/>
          <w:numId w:val="29"/>
        </w:numPr>
        <w:ind w:left="1134" w:hanging="567"/>
      </w:pPr>
      <w:r>
        <w:t xml:space="preserve">The Office joined other EOs to launch the Round-the-Clock services; </w:t>
      </w:r>
    </w:p>
    <w:p w:rsidR="006B41E4" w:rsidRDefault="006B41E4" w:rsidP="006B41E4">
      <w:pPr>
        <w:numPr>
          <w:ilvl w:val="0"/>
          <w:numId w:val="29"/>
        </w:numPr>
        <w:ind w:left="1134" w:hanging="567"/>
      </w:pPr>
      <w:r>
        <w:t xml:space="preserve">The WJO updated and added 34 cases to WIPO IP Advantage database which </w:t>
      </w:r>
      <w:r w:rsidRPr="00FB045D">
        <w:t>now has more than 170 cases,</w:t>
      </w:r>
      <w:r>
        <w:t xml:space="preserve"> which </w:t>
      </w:r>
      <w:r w:rsidRPr="00FB045D">
        <w:t>is well regarded as an important resource</w:t>
      </w:r>
      <w:r>
        <w:t xml:space="preserve">s of case studies regarding the use of IP for enhancing the competitiveness of enterprises in developing countries; and </w:t>
      </w:r>
    </w:p>
    <w:p w:rsidR="006B41E4" w:rsidRDefault="006B41E4" w:rsidP="006B41E4">
      <w:pPr>
        <w:numPr>
          <w:ilvl w:val="0"/>
          <w:numId w:val="29"/>
        </w:numPr>
        <w:ind w:left="1134" w:hanging="567"/>
      </w:pPr>
      <w:r>
        <w:t>The WJO’s web site (bilingual in English and Japanese) has been updated to reach out to users of WIPO services in Japan (at</w:t>
      </w:r>
      <w:r w:rsidRPr="00D72C9A">
        <w:t xml:space="preserve"> </w:t>
      </w:r>
      <w:hyperlink r:id="rId18" w:history="1">
        <w:r w:rsidRPr="003E1739">
          <w:rPr>
            <w:rStyle w:val="Hyperlink"/>
          </w:rPr>
          <w:t>http://www.wipo.int/about-wipo/ja/offices/japan/</w:t>
        </w:r>
      </w:hyperlink>
      <w:r>
        <w:t>).</w:t>
      </w:r>
    </w:p>
    <w:p w:rsidR="006B41E4" w:rsidRDefault="006B41E4" w:rsidP="006B41E4">
      <w:pPr>
        <w:ind w:left="720"/>
      </w:pPr>
    </w:p>
    <w:p w:rsidR="006B41E4" w:rsidRDefault="006B41E4" w:rsidP="006B41E4">
      <w:r>
        <w:fldChar w:fldCharType="begin"/>
      </w:r>
      <w:r>
        <w:instrText xml:space="preserve"> AUTONUM  </w:instrText>
      </w:r>
      <w:r>
        <w:fldChar w:fldCharType="end"/>
      </w:r>
      <w:r>
        <w:tab/>
        <w:t xml:space="preserve">The statistics of calls and e-mails received by WJO are as follows; </w:t>
      </w:r>
    </w:p>
    <w:p w:rsidR="006B41E4" w:rsidRDefault="006B41E4" w:rsidP="006B41E4"/>
    <w:p w:rsidR="006B41E4" w:rsidRDefault="006B41E4" w:rsidP="006B41E4">
      <w:pPr>
        <w:jc w:val="center"/>
      </w:pPr>
      <w:r w:rsidRPr="00465EF5">
        <w:t>Figure 2</w:t>
      </w:r>
      <w:r>
        <w:t>:  calls and emails received by WJO in 2012</w:t>
      </w:r>
    </w:p>
    <w:p w:rsidR="006B41E4" w:rsidRDefault="006B41E4" w:rsidP="006B41E4">
      <w:pPr>
        <w:jc w:val="center"/>
      </w:pPr>
      <w:r>
        <w:object w:dxaOrig="6451" w:dyaOrig="4073">
          <v:shape id="_x0000_i1027" type="#_x0000_t75" style="width:322.5pt;height:204pt" o:ole="">
            <v:imagedata r:id="rId19" o:title=""/>
          </v:shape>
          <o:OLEObject Type="Embed" ProgID="MSGraph.Chart.8" ShapeID="_x0000_i1027" DrawAspect="Content" ObjectID="_1441105966" r:id="rId20">
            <o:FieldCodes>\s</o:FieldCodes>
          </o:OLEObject>
        </w:object>
      </w:r>
    </w:p>
    <w:p w:rsidR="006B41E4" w:rsidRDefault="006B41E4" w:rsidP="006B41E4">
      <w:r>
        <w:fldChar w:fldCharType="begin"/>
      </w:r>
      <w:r>
        <w:instrText xml:space="preserve"> AUTONUM  </w:instrText>
      </w:r>
      <w:r>
        <w:fldChar w:fldCharType="end"/>
      </w:r>
      <w:r>
        <w:tab/>
        <w:t>The WJO functions as a local support service provider for WIPO’s Global IP Systems, as a support provider for WIPO’s general customer response network and a supporter of capacity building.  From 2012, the WJO has been deeply involved in service provision for WIPO’s Global IP Systems.  In its first year under this new initiative, the office focused increasingly on PCT and Madrid systems and undertook intensive promotion of WIPO’s services.  The WJO actively performed promotion activities that were executed at 44 venues all over Japan.  Participants ranged from patent attorneys through private companies to academia and numbered almost 6,200.  Among the 44 events, 34 were covered solely by the WJO, which significantly contributed to cost reduction for HQ and increased efficiency.</w:t>
      </w:r>
    </w:p>
    <w:p w:rsidR="006B41E4" w:rsidRDefault="006B41E4" w:rsidP="006B41E4"/>
    <w:p w:rsidR="006B41E4" w:rsidRDefault="006B41E4" w:rsidP="006B41E4">
      <w:r>
        <w:lastRenderedPageBreak/>
        <w:fldChar w:fldCharType="begin"/>
      </w:r>
      <w:r>
        <w:instrText xml:space="preserve"> AUTONUM  </w:instrText>
      </w:r>
      <w:r>
        <w:fldChar w:fldCharType="end"/>
      </w:r>
      <w:r>
        <w:tab/>
        <w:t>Information in the local language (Japanese) facilitates Japanese stakeholders’ understanding of WIPO’s IP systems and activities.  As mentioned above, the WJO administers its bilingual website and provides information in Japanese.  In 2012, the WJO posted more than 60 articles on the website for Japanese readers.  In addition to that, the WJO produced Japanese translations of PATENTSCOPE’s User Guide.  These activities contributed to better communication with Japan’s stakeholders and add value to the organization as a whole.</w:t>
      </w:r>
    </w:p>
    <w:p w:rsidR="006B41E4" w:rsidRDefault="006B41E4" w:rsidP="006B41E4"/>
    <w:p w:rsidR="006B41E4" w:rsidRDefault="006B41E4" w:rsidP="006B41E4">
      <w:r>
        <w:fldChar w:fldCharType="begin"/>
      </w:r>
      <w:r>
        <w:instrText xml:space="preserve"> AUTONUM  </w:instrText>
      </w:r>
      <w:r>
        <w:fldChar w:fldCharType="end"/>
      </w:r>
      <w:r>
        <w:tab/>
        <w:t xml:space="preserve">As for capacity building, the WJO has also played a significant role in cooperation with the Japan Patent Office (JPO) and HQ through effective and successful workshops and training.  Participants at these workshops and training sessions were from all over the world such as the Asia and Pacific Region, Africa, and Latin America.  Sessions covered a wide range of agendas, from Patent Examination Practices and Enforcement to IP Management and Information Technology Infrastructure.  </w:t>
      </w:r>
    </w:p>
    <w:p w:rsidR="006B41E4" w:rsidRDefault="006B41E4" w:rsidP="006B41E4"/>
    <w:p w:rsidR="006B41E4" w:rsidRDefault="006B41E4" w:rsidP="006B41E4">
      <w:r>
        <w:fldChar w:fldCharType="begin"/>
      </w:r>
      <w:r>
        <w:instrText xml:space="preserve"> AUTONUM  </w:instrText>
      </w:r>
      <w:r>
        <w:fldChar w:fldCharType="end"/>
      </w:r>
      <w:r>
        <w:tab/>
        <w:t>The WJO represented WIPO in events outside Japan in countries such as Thailand and India, where the WJO contributed a speaker as well as a moderator on IP issues such as the Madrid Protocol, WIPO’s ICT tools, and PCT.</w:t>
      </w:r>
    </w:p>
    <w:p w:rsidR="006B41E4" w:rsidRDefault="006B41E4" w:rsidP="006B41E4"/>
    <w:p w:rsidR="006B41E4" w:rsidRDefault="006B41E4" w:rsidP="006B41E4">
      <w:r>
        <w:fldChar w:fldCharType="begin"/>
      </w:r>
      <w:r>
        <w:instrText xml:space="preserve"> AUTONUM  </w:instrText>
      </w:r>
      <w:r>
        <w:fldChar w:fldCharType="end"/>
      </w:r>
      <w:r>
        <w:tab/>
        <w:t>One approach adopted by the WJO for the promotion of PCT and the Madrid System which has proven to be most effective is collaboration with the JPO.  The organization of meetings was a joint effort for planning, delivery and evaluation.  Individual visits to a number of actual and potential users of the PCT and the Madrid System were also strategically planned and organized jointly by the WJO and the JPO in coordination with WIPO HQ.  Follow-up inquiries by participants were also effectively addressed by the WJO in collaboration with JPO.  These joint efforts with a strategically planned promotion campaign resulted in a significant increase in PCT and Madrid applications in 2012.</w:t>
      </w:r>
    </w:p>
    <w:p w:rsidR="006B41E4" w:rsidRDefault="006B41E4" w:rsidP="006B41E4"/>
    <w:p w:rsidR="006B41E4" w:rsidRDefault="006B41E4" w:rsidP="006B41E4">
      <w:r>
        <w:fldChar w:fldCharType="begin"/>
      </w:r>
      <w:r>
        <w:instrText xml:space="preserve"> AUTONUM  </w:instrText>
      </w:r>
      <w:r>
        <w:fldChar w:fldCharType="end"/>
      </w:r>
      <w:r>
        <w:tab/>
        <w:t xml:space="preserve">As regards the coordination with the host government, the WJO </w:t>
      </w:r>
      <w:r w:rsidRPr="008C7963">
        <w:t xml:space="preserve">has </w:t>
      </w:r>
      <w:r>
        <w:t xml:space="preserve">excellent </w:t>
      </w:r>
      <w:r w:rsidRPr="008C7963">
        <w:t>communication</w:t>
      </w:r>
      <w:r>
        <w:t>s and collaboration in organizing joint meetings for users and other stakeholders in Japan.  For instance, industry, university and patent attorneys are three of the most relevant stakeholders in the IP field and this resulted in the initiative WIPO GREEN, taken by the Japan Intellectual Property Association (a group of two thousand Japanese companies on IP matters) in 2011 and 2012.</w:t>
      </w:r>
    </w:p>
    <w:p w:rsidR="006B41E4" w:rsidRDefault="006B41E4" w:rsidP="006B41E4"/>
    <w:p w:rsidR="006B41E4" w:rsidRDefault="006B41E4" w:rsidP="006B41E4">
      <w:r>
        <w:fldChar w:fldCharType="begin"/>
      </w:r>
      <w:r>
        <w:instrText xml:space="preserve"> AUTONUM  </w:instrText>
      </w:r>
      <w:r>
        <w:fldChar w:fldCharType="end"/>
      </w:r>
      <w:r>
        <w:tab/>
        <w:t>As regards cooperation with UN agencies located in Tokyo, the experience of the WJO was that cooperation with other UN agencies remained at the level of general awareness building of IP among the UN circles in Tokyo and did not make a valuable contribution to WIPO strategic goals, mainly because IP is such a specialized area that other UN agencies have little idea of how inter-agency collaboration on IP issues could be undertaken.  The WJO made efforts to sensitize officials of UN agencies in Tokyo as an initial step.  Examples of cooperation are as follows:</w:t>
      </w:r>
    </w:p>
    <w:p w:rsidR="006B41E4" w:rsidRDefault="006B41E4" w:rsidP="006B41E4"/>
    <w:p w:rsidR="006B41E4" w:rsidRDefault="006B41E4" w:rsidP="006B41E4">
      <w:pPr>
        <w:numPr>
          <w:ilvl w:val="0"/>
          <w:numId w:val="30"/>
        </w:numPr>
        <w:ind w:left="1134" w:hanging="567"/>
      </w:pPr>
      <w:r>
        <w:t>UN day (annually, usually in October: UN organizations hold events under a specific theme. In 2012, the theme was “Post ‘Rio+20’:  Achieving the Future We Want”, and the WJO’s materials included those related to the environment.  In addition, the WJO created a flyer for the event that highlights sustainable innovation case studies from IP Advantage.);</w:t>
      </w:r>
    </w:p>
    <w:p w:rsidR="006B41E4" w:rsidRDefault="006B41E4" w:rsidP="006B41E4"/>
    <w:p w:rsidR="006B41E4" w:rsidRDefault="006B41E4" w:rsidP="006B41E4">
      <w:pPr>
        <w:numPr>
          <w:ilvl w:val="0"/>
          <w:numId w:val="30"/>
        </w:numPr>
        <w:ind w:left="1134" w:hanging="567"/>
      </w:pPr>
      <w:r>
        <w:t xml:space="preserve">Global </w:t>
      </w:r>
      <w:proofErr w:type="spellStart"/>
      <w:r>
        <w:t>Festa</w:t>
      </w:r>
      <w:proofErr w:type="spellEnd"/>
      <w:r>
        <w:t xml:space="preserve"> (October);  this may not be an perfect example, but in this event which is co-sponsored by Japanese governmental agencies including the Ministry of Foreign Affairs, many International organizations including UN agencies participate in the event.  The WJO joined in 2012 where it presented and distributed material of WIPO’s activities to raise awareness of IP.</w:t>
      </w:r>
    </w:p>
    <w:p w:rsidR="006B41E4" w:rsidRDefault="006B41E4" w:rsidP="006B41E4"/>
    <w:p w:rsidR="006B41E4" w:rsidRDefault="006B41E4" w:rsidP="006B41E4">
      <w:r>
        <w:lastRenderedPageBreak/>
        <w:fldChar w:fldCharType="begin"/>
      </w:r>
      <w:r>
        <w:instrText xml:space="preserve"> AUTONUM  </w:instrText>
      </w:r>
      <w:r>
        <w:fldChar w:fldCharType="end"/>
      </w:r>
      <w:r>
        <w:tab/>
        <w:t>The UN agencies represented in Tokyo are IAEA, ILO, UNAFEI, UNDP, UNFPA, UNHCR, UNIC, UNICEF, UNIDO, UNU, UNV, WFP and WIPO.</w:t>
      </w:r>
    </w:p>
    <w:p w:rsidR="006B41E4" w:rsidRDefault="006B41E4" w:rsidP="006B41E4"/>
    <w:p w:rsidR="006B41E4" w:rsidRDefault="006B41E4" w:rsidP="006B41E4">
      <w:r>
        <w:fldChar w:fldCharType="begin"/>
      </w:r>
      <w:r>
        <w:instrText xml:space="preserve"> AUTONUM  </w:instrText>
      </w:r>
      <w:r>
        <w:fldChar w:fldCharType="end"/>
      </w:r>
      <w:r>
        <w:tab/>
        <w:t>In 2012, the WJO responded to requests from other Member States to share IP knowledge from Japan with stakeholders in those countries.  The WJO gave a presentation at meetings in Thailand and India in 2012.  The presentation covered WIPO’s ICT tools, the promotion of the Madrid system in Japan, and the strategic use of patents by Japanese industry.  Since these Asian countries are much closer to Japan than Geneva, it contributed to more efficient implementation of activities.</w:t>
      </w:r>
    </w:p>
    <w:p w:rsidR="006B41E4" w:rsidRDefault="006B41E4" w:rsidP="006B41E4"/>
    <w:p w:rsidR="006B41E4" w:rsidRPr="0053334C" w:rsidRDefault="006B41E4" w:rsidP="006B41E4">
      <w:pPr>
        <w:pStyle w:val="Heading3"/>
      </w:pPr>
      <w:bookmarkStart w:id="16" w:name="_Toc362612217"/>
      <w:r>
        <w:t>WBO</w:t>
      </w:r>
      <w:bookmarkEnd w:id="16"/>
    </w:p>
    <w:p w:rsidR="006B41E4" w:rsidRDefault="006B41E4" w:rsidP="006B41E4"/>
    <w:p w:rsidR="006B41E4" w:rsidRDefault="006B41E4" w:rsidP="006B41E4">
      <w:r>
        <w:fldChar w:fldCharType="begin"/>
      </w:r>
      <w:r>
        <w:instrText xml:space="preserve"> AUTONUM  </w:instrText>
      </w:r>
      <w:r>
        <w:fldChar w:fldCharType="end"/>
      </w:r>
      <w:r>
        <w:tab/>
      </w:r>
      <w:r w:rsidRPr="0085036D">
        <w:t xml:space="preserve">The WBO moved to a safe and commercial area which is increasingly attracting businesses, companies and organizations such as the World Bank Regional Office. </w:t>
      </w:r>
      <w:r>
        <w:t xml:space="preserve"> </w:t>
      </w:r>
      <w:r w:rsidRPr="0085036D">
        <w:t>The area also offers easy access to public transportation and hotel facilities.  The office uses commercially rented building space and the annual rent (including electricity, internet connection, telephone and maintenance) is approximately 140,000</w:t>
      </w:r>
      <w:r>
        <w:t xml:space="preserve"> </w:t>
      </w:r>
      <w:r w:rsidRPr="0085036D">
        <w:t>CHF</w:t>
      </w:r>
      <w:r>
        <w:t>,</w:t>
      </w:r>
      <w:r w:rsidRPr="0085036D">
        <w:t xml:space="preserve"> which is charged to WIPO budget.</w:t>
      </w:r>
    </w:p>
    <w:p w:rsidR="006B41E4" w:rsidRDefault="006B41E4" w:rsidP="006B41E4"/>
    <w:p w:rsidR="006B41E4" w:rsidRDefault="006B41E4" w:rsidP="006B41E4">
      <w:r>
        <w:fldChar w:fldCharType="begin"/>
      </w:r>
      <w:r>
        <w:instrText xml:space="preserve"> AUTONUM  </w:instrText>
      </w:r>
      <w:r>
        <w:fldChar w:fldCharType="end"/>
      </w:r>
      <w:r>
        <w:tab/>
        <w:t>The WBO</w:t>
      </w:r>
      <w:r w:rsidRPr="00C85EA8">
        <w:t xml:space="preserve"> negotiated with the Brazilian Government the establishment of F</w:t>
      </w:r>
      <w:r>
        <w:t>ITs; the first</w:t>
      </w:r>
      <w:r w:rsidRPr="00C85EA8">
        <w:t xml:space="preserve"> focusing on promoting the use of the IP system and the development of competencies on IP protection and commercialization</w:t>
      </w:r>
      <w:r>
        <w:t>, and a second dedicated to promote collaborative activities based on South-South cooperation</w:t>
      </w:r>
      <w:r w:rsidRPr="00C85EA8">
        <w:t xml:space="preserve">.  </w:t>
      </w:r>
      <w:r>
        <w:t xml:space="preserve">Both </w:t>
      </w:r>
      <w:r w:rsidRPr="00C85EA8">
        <w:t>Agreement</w:t>
      </w:r>
      <w:r>
        <w:t>s are an outcome of WBO’s capacity to foster additional financial support for WIPO activities and</w:t>
      </w:r>
      <w:r w:rsidRPr="00C85EA8">
        <w:t xml:space="preserve"> </w:t>
      </w:r>
      <w:r>
        <w:t>the two Funds are</w:t>
      </w:r>
      <w:r w:rsidRPr="00C85EA8">
        <w:t xml:space="preserve"> managed from the </w:t>
      </w:r>
      <w:r>
        <w:t>WBO.</w:t>
      </w:r>
    </w:p>
    <w:p w:rsidR="006B41E4" w:rsidRDefault="006B41E4" w:rsidP="006B41E4"/>
    <w:p w:rsidR="006B41E4" w:rsidRPr="00286C2C" w:rsidRDefault="006B41E4" w:rsidP="006B41E4">
      <w:pPr>
        <w:rPr>
          <w:szCs w:val="22"/>
        </w:rPr>
      </w:pPr>
      <w:r>
        <w:fldChar w:fldCharType="begin"/>
      </w:r>
      <w:r>
        <w:instrText xml:space="preserve"> AUTONUM  </w:instrText>
      </w:r>
      <w:r>
        <w:fldChar w:fldCharType="end"/>
      </w:r>
      <w:r>
        <w:tab/>
        <w:t>The WBO has the following specific objectives and priorities and activities:</w:t>
      </w:r>
      <w:r>
        <w:br/>
      </w:r>
    </w:p>
    <w:p w:rsidR="006B41E4" w:rsidRPr="00286C2C" w:rsidRDefault="006B41E4" w:rsidP="006B41E4">
      <w:pPr>
        <w:numPr>
          <w:ilvl w:val="0"/>
          <w:numId w:val="27"/>
        </w:numPr>
        <w:ind w:left="1134" w:hanging="567"/>
        <w:rPr>
          <w:szCs w:val="22"/>
        </w:rPr>
      </w:pPr>
      <w:r w:rsidRPr="00286C2C">
        <w:rPr>
          <w:szCs w:val="22"/>
        </w:rPr>
        <w:t>to assist the HQ in missions and activities taking place in Brazil;</w:t>
      </w:r>
    </w:p>
    <w:p w:rsidR="006B41E4" w:rsidRPr="00286C2C" w:rsidRDefault="006B41E4" w:rsidP="006B41E4">
      <w:pPr>
        <w:numPr>
          <w:ilvl w:val="0"/>
          <w:numId w:val="27"/>
        </w:numPr>
        <w:ind w:left="1134" w:hanging="567"/>
        <w:rPr>
          <w:szCs w:val="22"/>
        </w:rPr>
      </w:pPr>
      <w:r w:rsidRPr="00286C2C">
        <w:rPr>
          <w:szCs w:val="22"/>
        </w:rPr>
        <w:t>to assist the HQ in missions and activities taking place in the LAC region, as well as in other regions;</w:t>
      </w:r>
    </w:p>
    <w:p w:rsidR="006B41E4" w:rsidRPr="00286C2C" w:rsidRDefault="006B41E4" w:rsidP="006B41E4">
      <w:pPr>
        <w:numPr>
          <w:ilvl w:val="0"/>
          <w:numId w:val="27"/>
        </w:numPr>
        <w:ind w:left="1134" w:hanging="567"/>
        <w:rPr>
          <w:szCs w:val="22"/>
        </w:rPr>
      </w:pPr>
      <w:r w:rsidRPr="00286C2C">
        <w:rPr>
          <w:szCs w:val="22"/>
        </w:rPr>
        <w:t>to plan, implement and administer the work to be carried out under the two FITs/BR, as defined in line with objectives set by the Brazilian Government and with WIPO Strategic Goals;</w:t>
      </w:r>
    </w:p>
    <w:p w:rsidR="006B41E4" w:rsidRPr="00286C2C" w:rsidRDefault="006B41E4" w:rsidP="006B41E4">
      <w:pPr>
        <w:numPr>
          <w:ilvl w:val="0"/>
          <w:numId w:val="27"/>
        </w:numPr>
        <w:ind w:left="1134" w:hanging="567"/>
        <w:rPr>
          <w:szCs w:val="22"/>
        </w:rPr>
      </w:pPr>
      <w:r w:rsidRPr="00286C2C">
        <w:rPr>
          <w:szCs w:val="22"/>
        </w:rPr>
        <w:t>to promote new sources of income for the Organization. Two concrete examples were:</w:t>
      </w:r>
      <w:r>
        <w:rPr>
          <w:szCs w:val="22"/>
        </w:rPr>
        <w:br/>
      </w:r>
    </w:p>
    <w:p w:rsidR="006B41E4" w:rsidRPr="00286C2C" w:rsidRDefault="006B41E4" w:rsidP="006B41E4">
      <w:pPr>
        <w:numPr>
          <w:ilvl w:val="1"/>
          <w:numId w:val="27"/>
        </w:numPr>
        <w:tabs>
          <w:tab w:val="left" w:pos="1843"/>
        </w:tabs>
        <w:ind w:left="1985" w:hanging="567"/>
        <w:rPr>
          <w:szCs w:val="22"/>
        </w:rPr>
      </w:pPr>
      <w:r w:rsidRPr="00286C2C">
        <w:rPr>
          <w:szCs w:val="22"/>
        </w:rPr>
        <w:t>the signature of the new FITs/BR;</w:t>
      </w:r>
    </w:p>
    <w:p w:rsidR="006B41E4" w:rsidRPr="00286C2C" w:rsidRDefault="006B41E4" w:rsidP="006B41E4">
      <w:pPr>
        <w:numPr>
          <w:ilvl w:val="1"/>
          <w:numId w:val="27"/>
        </w:numPr>
        <w:tabs>
          <w:tab w:val="left" w:pos="1843"/>
        </w:tabs>
        <w:ind w:hanging="22"/>
        <w:rPr>
          <w:szCs w:val="22"/>
        </w:rPr>
      </w:pPr>
      <w:r w:rsidRPr="00286C2C">
        <w:rPr>
          <w:szCs w:val="22"/>
        </w:rPr>
        <w:t>the signature  between WIPO and the Government of Brazil of the MOU for the creation of the Center for the Defense of Intellectual Property (CDPI) (Mediation Center), which was inaugurated in March 2013;</w:t>
      </w:r>
      <w:r>
        <w:rPr>
          <w:szCs w:val="22"/>
        </w:rPr>
        <w:br/>
      </w:r>
    </w:p>
    <w:p w:rsidR="006B41E4" w:rsidRPr="00286C2C" w:rsidRDefault="006B41E4" w:rsidP="006B41E4">
      <w:pPr>
        <w:numPr>
          <w:ilvl w:val="0"/>
          <w:numId w:val="27"/>
        </w:numPr>
        <w:ind w:left="1134" w:hanging="567"/>
        <w:rPr>
          <w:szCs w:val="22"/>
        </w:rPr>
      </w:pPr>
      <w:r w:rsidRPr="00286C2C">
        <w:rPr>
          <w:szCs w:val="22"/>
        </w:rPr>
        <w:t>to be part of WIPO's Round-the-Clock service;</w:t>
      </w:r>
    </w:p>
    <w:p w:rsidR="006B41E4" w:rsidRPr="00286C2C" w:rsidRDefault="006B41E4" w:rsidP="006B41E4">
      <w:pPr>
        <w:numPr>
          <w:ilvl w:val="0"/>
          <w:numId w:val="27"/>
        </w:numPr>
        <w:ind w:left="1134" w:hanging="567"/>
        <w:rPr>
          <w:szCs w:val="22"/>
        </w:rPr>
      </w:pPr>
      <w:r w:rsidRPr="00286C2C">
        <w:rPr>
          <w:szCs w:val="22"/>
        </w:rPr>
        <w:t>to promote WIPO’s treaties and global services, such as the PCT, Madrid and Hague systems;</w:t>
      </w:r>
    </w:p>
    <w:p w:rsidR="006B41E4" w:rsidRPr="00286C2C" w:rsidRDefault="006B41E4" w:rsidP="006B41E4">
      <w:pPr>
        <w:numPr>
          <w:ilvl w:val="0"/>
          <w:numId w:val="27"/>
        </w:numPr>
        <w:ind w:left="1134" w:hanging="567"/>
        <w:rPr>
          <w:szCs w:val="22"/>
        </w:rPr>
      </w:pPr>
      <w:r w:rsidRPr="00286C2C">
        <w:rPr>
          <w:szCs w:val="22"/>
        </w:rPr>
        <w:t>to assist HQ with promotion and implementation of WIPO projects, such as WIPO Green, Economic Studies on IP and development, IPAS etc.;</w:t>
      </w:r>
    </w:p>
    <w:p w:rsidR="006B41E4" w:rsidRPr="00286C2C" w:rsidRDefault="006B41E4" w:rsidP="006B41E4">
      <w:pPr>
        <w:numPr>
          <w:ilvl w:val="0"/>
          <w:numId w:val="27"/>
        </w:numPr>
        <w:ind w:left="1134" w:hanging="567"/>
        <w:rPr>
          <w:szCs w:val="22"/>
        </w:rPr>
      </w:pPr>
      <w:r w:rsidRPr="00286C2C">
        <w:rPr>
          <w:szCs w:val="22"/>
        </w:rPr>
        <w:t>to administer mediation and arbitration services in cooperation with the Arbitration and Mediation Center.</w:t>
      </w:r>
    </w:p>
    <w:p w:rsidR="006B41E4" w:rsidRDefault="006B41E4" w:rsidP="006B41E4"/>
    <w:p w:rsidR="006B41E4" w:rsidRDefault="006B41E4" w:rsidP="006B41E4">
      <w:r>
        <w:fldChar w:fldCharType="begin"/>
      </w:r>
      <w:r>
        <w:instrText xml:space="preserve"> AUTONUM  </w:instrText>
      </w:r>
      <w:r>
        <w:fldChar w:fldCharType="end"/>
      </w:r>
      <w:r>
        <w:tab/>
        <w:t>The WBO</w:t>
      </w:r>
      <w:r w:rsidRPr="00255EB3">
        <w:t xml:space="preserve"> is </w:t>
      </w:r>
      <w:r>
        <w:t xml:space="preserve">now </w:t>
      </w:r>
      <w:r w:rsidRPr="00255EB3">
        <w:t xml:space="preserve">focusing on support for the Global IP Systems, particularly with respect to Brazil’s examination of the Madrid System and the Hague System; participation in the global customer response network; support for the many IT and infrastructure projects with IP Offices in the Latin American region; and South-South cooperation. </w:t>
      </w:r>
      <w:r>
        <w:t xml:space="preserve"> The work to promote the use of the </w:t>
      </w:r>
      <w:r>
        <w:lastRenderedPageBreak/>
        <w:t>IP system has been reflected in, for example, the increase by 17 per cent of PCT filings by Brazilian residents from 2010 to 2011.</w:t>
      </w:r>
    </w:p>
    <w:p w:rsidR="006B41E4" w:rsidRDefault="006B41E4" w:rsidP="006B41E4"/>
    <w:p w:rsidR="006B41E4" w:rsidRDefault="006B41E4" w:rsidP="006B41E4">
      <w:r>
        <w:fldChar w:fldCharType="begin"/>
      </w:r>
      <w:r>
        <w:instrText xml:space="preserve"> AUTONUM  </w:instrText>
      </w:r>
      <w:r>
        <w:fldChar w:fldCharType="end"/>
      </w:r>
      <w:r>
        <w:tab/>
        <w:t>In 2012, t</w:t>
      </w:r>
      <w:r w:rsidRPr="00255EB3">
        <w:t xml:space="preserve">wo new </w:t>
      </w:r>
      <w:r>
        <w:t>MOU</w:t>
      </w:r>
      <w:r w:rsidRPr="00255EB3">
        <w:t xml:space="preserve">s </w:t>
      </w:r>
      <w:r>
        <w:t>were signed</w:t>
      </w:r>
      <w:r w:rsidRPr="00255EB3">
        <w:t xml:space="preserve"> with the </w:t>
      </w:r>
      <w:r>
        <w:t xml:space="preserve">Brazilian </w:t>
      </w:r>
      <w:r w:rsidRPr="00255EB3">
        <w:t xml:space="preserve">Government, with funding provided by Brazil.  Under one </w:t>
      </w:r>
      <w:r>
        <w:t>MOU</w:t>
      </w:r>
      <w:r w:rsidRPr="00255EB3">
        <w:t>, the WIPO A</w:t>
      </w:r>
      <w:r>
        <w:t>MC</w:t>
      </w:r>
      <w:r w:rsidRPr="00255EB3">
        <w:t xml:space="preserve"> cooperate</w:t>
      </w:r>
      <w:r>
        <w:t>s</w:t>
      </w:r>
      <w:r w:rsidRPr="00255EB3">
        <w:t xml:space="preserve"> with the Brazilian IP Office (INPI)</w:t>
      </w:r>
      <w:r>
        <w:t xml:space="preserve"> to support the structuring of the INPI Center for the Defense of Industrial Property, as well as </w:t>
      </w:r>
      <w:r w:rsidRPr="00255EB3">
        <w:t>to administer mediations</w:t>
      </w:r>
      <w:r>
        <w:t xml:space="preserve"> and arbitration</w:t>
      </w:r>
      <w:r w:rsidRPr="00255EB3">
        <w:t xml:space="preserve"> for trademark </w:t>
      </w:r>
      <w:r>
        <w:t xml:space="preserve">and patent </w:t>
      </w:r>
      <w:r w:rsidRPr="00255EB3">
        <w:t xml:space="preserve">oppositions and disputes.  Under the second </w:t>
      </w:r>
      <w:r>
        <w:t>MOU, as indicated before</w:t>
      </w:r>
      <w:r w:rsidRPr="00255EB3">
        <w:t xml:space="preserve">, Brazil </w:t>
      </w:r>
      <w:r>
        <w:t xml:space="preserve">funds </w:t>
      </w:r>
      <w:r w:rsidRPr="00255EB3">
        <w:t>a series of South-South activities and projects.</w:t>
      </w:r>
    </w:p>
    <w:p w:rsidR="006B41E4" w:rsidRDefault="006B41E4" w:rsidP="006B41E4"/>
    <w:p w:rsidR="006B41E4" w:rsidRDefault="006B41E4" w:rsidP="006B41E4">
      <w:r>
        <w:fldChar w:fldCharType="begin"/>
      </w:r>
      <w:r>
        <w:instrText xml:space="preserve"> AUTONUM  </w:instrText>
      </w:r>
      <w:r>
        <w:fldChar w:fldCharType="end"/>
      </w:r>
      <w:r>
        <w:tab/>
        <w:t>As regards inquiries by telephones and the Round-the-Clock services, the statistics are as follows:</w:t>
      </w:r>
    </w:p>
    <w:p w:rsidR="006B41E4" w:rsidRDefault="006B41E4" w:rsidP="006B41E4">
      <w:pPr>
        <w:jc w:val="center"/>
      </w:pPr>
      <w:r>
        <w:t>Table 2:  Calls received by WBO in 2012</w:t>
      </w:r>
    </w:p>
    <w:p w:rsidR="006B41E4" w:rsidRDefault="006B41E4" w:rsidP="006B41E4">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47"/>
        <w:gridCol w:w="1263"/>
        <w:gridCol w:w="1350"/>
        <w:gridCol w:w="1260"/>
      </w:tblGrid>
      <w:tr w:rsidR="006B41E4" w:rsidTr="006B41E4">
        <w:trPr>
          <w:jc w:val="center"/>
        </w:trPr>
        <w:tc>
          <w:tcPr>
            <w:tcW w:w="3438" w:type="dxa"/>
            <w:shd w:val="clear" w:color="auto" w:fill="auto"/>
          </w:tcPr>
          <w:p w:rsidR="006B41E4" w:rsidRDefault="006B41E4" w:rsidP="006B41E4">
            <w:pPr>
              <w:jc w:val="center"/>
            </w:pPr>
            <w:r>
              <w:t>Means</w:t>
            </w:r>
          </w:p>
        </w:tc>
        <w:tc>
          <w:tcPr>
            <w:tcW w:w="2610" w:type="dxa"/>
            <w:gridSpan w:val="2"/>
            <w:shd w:val="clear" w:color="auto" w:fill="auto"/>
          </w:tcPr>
          <w:p w:rsidR="006B41E4" w:rsidRDefault="006B41E4" w:rsidP="006B41E4">
            <w:pPr>
              <w:jc w:val="center"/>
            </w:pPr>
            <w:r>
              <w:t>Calls</w:t>
            </w:r>
          </w:p>
        </w:tc>
        <w:tc>
          <w:tcPr>
            <w:tcW w:w="2610" w:type="dxa"/>
            <w:gridSpan w:val="2"/>
            <w:shd w:val="clear" w:color="auto" w:fill="auto"/>
          </w:tcPr>
          <w:p w:rsidR="006B41E4" w:rsidRDefault="006B41E4" w:rsidP="006B41E4">
            <w:pPr>
              <w:jc w:val="center"/>
            </w:pPr>
            <w:r>
              <w:t>Emails</w:t>
            </w:r>
          </w:p>
        </w:tc>
      </w:tr>
      <w:tr w:rsidR="006B41E4" w:rsidTr="006B41E4">
        <w:trPr>
          <w:jc w:val="center"/>
        </w:trPr>
        <w:tc>
          <w:tcPr>
            <w:tcW w:w="3438" w:type="dxa"/>
            <w:shd w:val="clear" w:color="auto" w:fill="auto"/>
          </w:tcPr>
          <w:p w:rsidR="006B41E4" w:rsidRDefault="006B41E4" w:rsidP="006B41E4">
            <w:pPr>
              <w:jc w:val="center"/>
            </w:pPr>
            <w:r>
              <w:t>Period/Services</w:t>
            </w:r>
          </w:p>
        </w:tc>
        <w:tc>
          <w:tcPr>
            <w:tcW w:w="1347" w:type="dxa"/>
            <w:shd w:val="clear" w:color="auto" w:fill="auto"/>
          </w:tcPr>
          <w:p w:rsidR="006B41E4" w:rsidRDefault="006B41E4" w:rsidP="006B41E4">
            <w:pPr>
              <w:jc w:val="center"/>
            </w:pPr>
            <w:r>
              <w:t>Round-the-Clock</w:t>
            </w:r>
          </w:p>
        </w:tc>
        <w:tc>
          <w:tcPr>
            <w:tcW w:w="1263" w:type="dxa"/>
            <w:shd w:val="clear" w:color="auto" w:fill="auto"/>
          </w:tcPr>
          <w:p w:rsidR="006B41E4" w:rsidRDefault="006B41E4" w:rsidP="006B41E4">
            <w:pPr>
              <w:jc w:val="center"/>
            </w:pPr>
            <w:r>
              <w:t xml:space="preserve">General </w:t>
            </w:r>
          </w:p>
        </w:tc>
        <w:tc>
          <w:tcPr>
            <w:tcW w:w="1350" w:type="dxa"/>
            <w:shd w:val="clear" w:color="auto" w:fill="auto"/>
          </w:tcPr>
          <w:p w:rsidR="006B41E4" w:rsidRDefault="006B41E4" w:rsidP="006B41E4">
            <w:pPr>
              <w:jc w:val="center"/>
            </w:pPr>
            <w:r>
              <w:t>Round-the-Clock</w:t>
            </w:r>
          </w:p>
        </w:tc>
        <w:tc>
          <w:tcPr>
            <w:tcW w:w="1260" w:type="dxa"/>
            <w:shd w:val="clear" w:color="auto" w:fill="auto"/>
          </w:tcPr>
          <w:p w:rsidR="006B41E4" w:rsidRDefault="006B41E4" w:rsidP="006B41E4">
            <w:pPr>
              <w:jc w:val="center"/>
            </w:pPr>
            <w:r>
              <w:t>General</w:t>
            </w:r>
          </w:p>
        </w:tc>
      </w:tr>
      <w:tr w:rsidR="006B41E4" w:rsidTr="006B41E4">
        <w:trPr>
          <w:jc w:val="center"/>
        </w:trPr>
        <w:tc>
          <w:tcPr>
            <w:tcW w:w="3438" w:type="dxa"/>
            <w:shd w:val="clear" w:color="auto" w:fill="auto"/>
          </w:tcPr>
          <w:p w:rsidR="006B41E4" w:rsidRDefault="006B41E4" w:rsidP="006B41E4">
            <w:r>
              <w:t>September to December 2012</w:t>
            </w:r>
          </w:p>
        </w:tc>
        <w:tc>
          <w:tcPr>
            <w:tcW w:w="1347" w:type="dxa"/>
            <w:shd w:val="clear" w:color="auto" w:fill="auto"/>
          </w:tcPr>
          <w:p w:rsidR="006B41E4" w:rsidRDefault="006B41E4" w:rsidP="006B41E4">
            <w:pPr>
              <w:jc w:val="right"/>
            </w:pPr>
            <w:r>
              <w:t>108</w:t>
            </w:r>
          </w:p>
        </w:tc>
        <w:tc>
          <w:tcPr>
            <w:tcW w:w="1263" w:type="dxa"/>
            <w:shd w:val="clear" w:color="auto" w:fill="auto"/>
          </w:tcPr>
          <w:p w:rsidR="006B41E4" w:rsidRDefault="006B41E4" w:rsidP="006B41E4">
            <w:pPr>
              <w:jc w:val="right"/>
            </w:pPr>
            <w:r>
              <w:t>n/a</w:t>
            </w:r>
          </w:p>
        </w:tc>
        <w:tc>
          <w:tcPr>
            <w:tcW w:w="1350" w:type="dxa"/>
            <w:shd w:val="clear" w:color="auto" w:fill="auto"/>
          </w:tcPr>
          <w:p w:rsidR="006B41E4" w:rsidRDefault="006B41E4" w:rsidP="006B41E4">
            <w:pPr>
              <w:jc w:val="right"/>
            </w:pPr>
            <w:r>
              <w:t>83</w:t>
            </w:r>
          </w:p>
        </w:tc>
        <w:tc>
          <w:tcPr>
            <w:tcW w:w="1260" w:type="dxa"/>
            <w:shd w:val="clear" w:color="auto" w:fill="auto"/>
          </w:tcPr>
          <w:p w:rsidR="006B41E4" w:rsidRDefault="006B41E4" w:rsidP="006B41E4">
            <w:pPr>
              <w:jc w:val="right"/>
            </w:pPr>
            <w:r>
              <w:t>n/a</w:t>
            </w:r>
          </w:p>
        </w:tc>
      </w:tr>
      <w:tr w:rsidR="006B41E4" w:rsidTr="006B41E4">
        <w:trPr>
          <w:jc w:val="center"/>
        </w:trPr>
        <w:tc>
          <w:tcPr>
            <w:tcW w:w="3438" w:type="dxa"/>
            <w:shd w:val="clear" w:color="auto" w:fill="auto"/>
          </w:tcPr>
          <w:p w:rsidR="006B41E4" w:rsidRDefault="006B41E4" w:rsidP="006B41E4">
            <w:r>
              <w:t>January to December 2012</w:t>
            </w:r>
          </w:p>
        </w:tc>
        <w:tc>
          <w:tcPr>
            <w:tcW w:w="1347" w:type="dxa"/>
            <w:shd w:val="clear" w:color="auto" w:fill="auto"/>
          </w:tcPr>
          <w:p w:rsidR="006B41E4" w:rsidRDefault="006B41E4" w:rsidP="006B41E4">
            <w:pPr>
              <w:jc w:val="right"/>
            </w:pPr>
            <w:r>
              <w:t>n/a</w:t>
            </w:r>
          </w:p>
        </w:tc>
        <w:tc>
          <w:tcPr>
            <w:tcW w:w="1263" w:type="dxa"/>
            <w:shd w:val="clear" w:color="auto" w:fill="auto"/>
          </w:tcPr>
          <w:p w:rsidR="006B41E4" w:rsidRDefault="006B41E4" w:rsidP="006B41E4">
            <w:pPr>
              <w:jc w:val="right"/>
            </w:pPr>
            <w:r>
              <w:t>1200</w:t>
            </w:r>
          </w:p>
        </w:tc>
        <w:tc>
          <w:tcPr>
            <w:tcW w:w="1350" w:type="dxa"/>
            <w:shd w:val="clear" w:color="auto" w:fill="auto"/>
          </w:tcPr>
          <w:p w:rsidR="006B41E4" w:rsidRDefault="006B41E4" w:rsidP="006B41E4">
            <w:pPr>
              <w:jc w:val="right"/>
            </w:pPr>
            <w:r>
              <w:t>n/a</w:t>
            </w:r>
          </w:p>
        </w:tc>
        <w:tc>
          <w:tcPr>
            <w:tcW w:w="1260" w:type="dxa"/>
            <w:shd w:val="clear" w:color="auto" w:fill="auto"/>
          </w:tcPr>
          <w:p w:rsidR="006B41E4" w:rsidRDefault="006B41E4" w:rsidP="006B41E4">
            <w:pPr>
              <w:jc w:val="right"/>
            </w:pPr>
            <w:r>
              <w:t>120</w:t>
            </w:r>
          </w:p>
        </w:tc>
      </w:tr>
    </w:tbl>
    <w:p w:rsidR="006B41E4" w:rsidRDefault="006B41E4" w:rsidP="006B41E4"/>
    <w:p w:rsidR="006B41E4" w:rsidRDefault="006B41E4" w:rsidP="006B41E4"/>
    <w:p w:rsidR="006B41E4" w:rsidRDefault="006B41E4" w:rsidP="006B41E4">
      <w:r>
        <w:fldChar w:fldCharType="begin"/>
      </w:r>
      <w:r>
        <w:instrText xml:space="preserve"> AUTONUM  </w:instrText>
      </w:r>
      <w:r>
        <w:fldChar w:fldCharType="end"/>
      </w:r>
      <w:r>
        <w:tab/>
        <w:t>At the national level, the WBO</w:t>
      </w:r>
      <w:r w:rsidRPr="00A90187">
        <w:t xml:space="preserve"> attended approximately </w:t>
      </w:r>
      <w:r>
        <w:t>130</w:t>
      </w:r>
      <w:r w:rsidRPr="00A90187">
        <w:t xml:space="preserve"> meetings in 2012 with partners such as </w:t>
      </w:r>
      <w:r>
        <w:t xml:space="preserve">the </w:t>
      </w:r>
      <w:r w:rsidRPr="00A90187">
        <w:t>F</w:t>
      </w:r>
      <w:r>
        <w:t>IOCRUZ</w:t>
      </w:r>
      <w:r w:rsidRPr="00A90187">
        <w:t xml:space="preserve"> Institute, </w:t>
      </w:r>
      <w:r>
        <w:t xml:space="preserve">the </w:t>
      </w:r>
      <w:r w:rsidRPr="00A90187">
        <w:t>National Confederation of Industries (CNI), the Federation of In</w:t>
      </w:r>
      <w:r>
        <w:t>d</w:t>
      </w:r>
      <w:r w:rsidRPr="00A90187">
        <w:t>u</w:t>
      </w:r>
      <w:r>
        <w:t>s</w:t>
      </w:r>
      <w:r w:rsidRPr="00A90187">
        <w:t>tries of the State of Rio de Janeiro (FIRJAN), the Federation of Industries of the State of São Paulo (FIESP), the Brazilian Innovation Agency (FINEP), the National Development Bank (BNDES), the National Institute of Industrial Property (INPI) of Brazil, the Ministry of External Relations</w:t>
      </w:r>
      <w:r>
        <w:t xml:space="preserve"> (MRE)</w:t>
      </w:r>
      <w:r w:rsidRPr="00A90187">
        <w:t>, the Ministry of Culture</w:t>
      </w:r>
      <w:r>
        <w:t xml:space="preserve"> (MINC)</w:t>
      </w:r>
      <w:r w:rsidRPr="00A90187">
        <w:t>, the Ministry of Development, Industry and Trade</w:t>
      </w:r>
      <w:r>
        <w:t xml:space="preserve"> (MDIC)</w:t>
      </w:r>
      <w:r w:rsidRPr="00A90187">
        <w:t>, the Ministry of Science, Technology and Innovation</w:t>
      </w:r>
      <w:r>
        <w:t xml:space="preserve"> (MCTI)</w:t>
      </w:r>
      <w:r w:rsidRPr="00A90187">
        <w:t>, the Innovation Agency of the Catholic University of Rio de Janeiro (PUC-Rio)</w:t>
      </w:r>
      <w:r>
        <w:t>, the National Forum of Technology Managers (FORTEC), the Technology Network of Rio de Janeiro (REDETEC), the National Association for Research and Development of Innovative Companies (ANPEI),</w:t>
      </w:r>
      <w:r w:rsidRPr="00A90187">
        <w:t xml:space="preserve"> and the Brazilian Cooperation Agency (ABC) of the Ministry of External Relations.</w:t>
      </w:r>
    </w:p>
    <w:p w:rsidR="006B41E4" w:rsidRDefault="006B41E4" w:rsidP="006B41E4"/>
    <w:p w:rsidR="006B41E4" w:rsidRDefault="006B41E4" w:rsidP="006B41E4">
      <w:r>
        <w:fldChar w:fldCharType="begin"/>
      </w:r>
      <w:r>
        <w:instrText xml:space="preserve"> AUTONUM  </w:instrText>
      </w:r>
      <w:r>
        <w:fldChar w:fldCharType="end"/>
      </w:r>
      <w:r>
        <w:tab/>
        <w:t>In addition, the WBO has facilitated a wide range of events and study visits at the national, regional and inter-regional focus, covering a wide range of IP matters.  In February 2102, as a result of a partnership established with ANPEI and INPI, WBO organized a one week study visit of fifteen representatives of industry and government to WIPO HQ.  This initiative was inspired by four successful previous experiences organized for Members of Parliament, High Court Judges and Federal Attorneys.</w:t>
      </w:r>
    </w:p>
    <w:p w:rsidR="006B41E4" w:rsidRDefault="006B41E4" w:rsidP="006B41E4"/>
    <w:p w:rsidR="006B41E4" w:rsidRDefault="006B41E4" w:rsidP="006B41E4">
      <w:r>
        <w:fldChar w:fldCharType="begin"/>
      </w:r>
      <w:r>
        <w:instrText xml:space="preserve"> AUTONUM  </w:instrText>
      </w:r>
      <w:r>
        <w:fldChar w:fldCharType="end"/>
      </w:r>
      <w:r>
        <w:tab/>
        <w:t>The list of the main activities carried out by the WBO in 2012 includes (non-exhaustive):</w:t>
      </w:r>
    </w:p>
    <w:p w:rsidR="006B41E4" w:rsidRDefault="006B41E4" w:rsidP="006B41E4"/>
    <w:p w:rsidR="006B41E4" w:rsidRDefault="006B41E4" w:rsidP="006B41E4">
      <w:pPr>
        <w:numPr>
          <w:ilvl w:val="0"/>
          <w:numId w:val="39"/>
        </w:numPr>
        <w:ind w:left="1134" w:hanging="567"/>
      </w:pPr>
      <w:r>
        <w:t xml:space="preserve">Organization of International and Inter-Regional Conferences and Meetings such as (a) the Inter-Regional Meeting to Discuss IP Governance; GRTKF and Copyright and Related Rights (Brasília, Brazil), (b) International Conference on the Strategic Use of Intellectual Property by the Sports Industry (Rio de Janeiro, Brazil), (c) Inter-Regional Meeting on IP Office Automation (Rio de Janeiro, Brazil), and (d) International Symposium on Geographical Indications (Fortaleza, </w:t>
      </w:r>
      <w:proofErr w:type="spellStart"/>
      <w:r>
        <w:t>Ceará</w:t>
      </w:r>
      <w:proofErr w:type="spellEnd"/>
      <w:r>
        <w:t>);</w:t>
      </w:r>
    </w:p>
    <w:p w:rsidR="006B41E4" w:rsidRDefault="006B41E4" w:rsidP="006B41E4">
      <w:pPr>
        <w:numPr>
          <w:ilvl w:val="0"/>
          <w:numId w:val="39"/>
        </w:numPr>
        <w:ind w:left="1134" w:hanging="567"/>
      </w:pPr>
      <w:r>
        <w:t xml:space="preserve">Organization of Regional Meetings such as Regional Roundtable on IP and Competition (Rio de Janeiro, Brazil); </w:t>
      </w:r>
    </w:p>
    <w:p w:rsidR="006B41E4" w:rsidRDefault="006B41E4" w:rsidP="006B41E4">
      <w:pPr>
        <w:numPr>
          <w:ilvl w:val="0"/>
          <w:numId w:val="39"/>
        </w:numPr>
        <w:ind w:left="1134" w:hanging="567"/>
      </w:pPr>
      <w:r>
        <w:t>Support for the organization of regional meetings such as three meetings of the Technical and the Directive Committees of the Regional Collaborative System PROSUR (Rio de Janeiro, Brazil; Lima, Peru; and Santiago, Chile)</w:t>
      </w:r>
    </w:p>
    <w:p w:rsidR="006B41E4" w:rsidRDefault="006B41E4" w:rsidP="006B41E4">
      <w:pPr>
        <w:numPr>
          <w:ilvl w:val="0"/>
          <w:numId w:val="39"/>
        </w:numPr>
        <w:ind w:left="1134" w:hanging="567"/>
      </w:pPr>
      <w:r>
        <w:t xml:space="preserve">Organization of training programs such as (a) two sessions of the series “IP and Emerging Topics”, (b) two editions of “Training programs on IP Mediation – basic </w:t>
      </w:r>
      <w:r>
        <w:lastRenderedPageBreak/>
        <w:t>and intermediate”, and (c) Lectures at the Master Course on IP, Innovation and Development of INPI-Brazil.</w:t>
      </w:r>
    </w:p>
    <w:p w:rsidR="006B41E4" w:rsidRDefault="006B41E4" w:rsidP="006B41E4">
      <w:pPr>
        <w:numPr>
          <w:ilvl w:val="0"/>
          <w:numId w:val="39"/>
        </w:numPr>
        <w:ind w:left="1134" w:hanging="567"/>
      </w:pPr>
      <w:r>
        <w:t xml:space="preserve">Participation in technical meetings and committees such as (a) member of the working group for the establishment of a </w:t>
      </w:r>
      <w:proofErr w:type="spellStart"/>
      <w:r>
        <w:t>Lusophone</w:t>
      </w:r>
      <w:proofErr w:type="spellEnd"/>
      <w:r>
        <w:t xml:space="preserve"> Trademark System, (b) member of the Steering Committee of the IP Network of Rio de Janeiro, and (c) invited guest at the IP Committee of National Association for Research and Development of Innovative Companies (ANPEI) of Brazil.</w:t>
      </w:r>
    </w:p>
    <w:p w:rsidR="006B41E4" w:rsidRDefault="006B41E4" w:rsidP="006B41E4">
      <w:pPr>
        <w:numPr>
          <w:ilvl w:val="0"/>
          <w:numId w:val="39"/>
        </w:numPr>
        <w:ind w:left="1134" w:hanging="567"/>
      </w:pPr>
      <w:r>
        <w:t>Participation in several meetings organized by the National Confederation of industries (CNI) and State Federation of Industries to promote the use of the IP system, with special focus on the accession to the Madrid System and on the challenges and opportunities for the export sector.</w:t>
      </w:r>
    </w:p>
    <w:p w:rsidR="006B41E4" w:rsidRDefault="006B41E4" w:rsidP="006B41E4"/>
    <w:p w:rsidR="006B41E4" w:rsidRDefault="006B41E4" w:rsidP="006B41E4">
      <w:r>
        <w:fldChar w:fldCharType="begin"/>
      </w:r>
      <w:r>
        <w:instrText xml:space="preserve"> AUTONUM  </w:instrText>
      </w:r>
      <w:r>
        <w:fldChar w:fldCharType="end"/>
      </w:r>
      <w:r>
        <w:tab/>
        <w:t>The following several examples explain certain activities undertaken in 2012, most of them funded from FIT/BR 1 and 2.  In addition to the fact that FIT/BR 1 and 2 funded those activities, there was a considerable cost saving on the part of WIPO, as many activities were implemented in the field.  The non-exhaustive list which follows indicates the magnitude of cost saving by the WBO as a result of representing WIPO HQ in the field.</w:t>
      </w:r>
    </w:p>
    <w:p w:rsidR="006B41E4" w:rsidRDefault="006B41E4" w:rsidP="006B41E4"/>
    <w:p w:rsidR="006B41E4" w:rsidRDefault="006B41E4" w:rsidP="006B41E4">
      <w:r>
        <w:fldChar w:fldCharType="begin"/>
      </w:r>
      <w:r>
        <w:instrText xml:space="preserve"> AUTONUM  </w:instrText>
      </w:r>
      <w:r>
        <w:fldChar w:fldCharType="end"/>
      </w:r>
      <w:r>
        <w:tab/>
        <w:t xml:space="preserve">The WBO also visited representatives of the National Congress in order to further promote the relevance of a future accession of the country to the Madrid Protocol.  Expense WBO: </w:t>
      </w:r>
      <w:r>
        <w:br/>
        <w:t>2,531 CHF, thus saving about 8,000 CHF for each mission, which would have been carried out by a WIPO official based in Geneva.  Several meetings and video conferences among the WBO, WIPO’s AMC and INPI took place between April and June, 2012, which discussed matters about the implementation process for the establishment of INPI’s Mediation and Arbitration Center.  These meetings enabled WIPO to save at least 4 missions of WIPO staff based in Geneva, which corresponds to approximately 32,000 CHF.</w:t>
      </w:r>
    </w:p>
    <w:p w:rsidR="006B41E4" w:rsidRDefault="006B41E4" w:rsidP="006B41E4"/>
    <w:p w:rsidR="006B41E4" w:rsidRDefault="006B41E4" w:rsidP="006B41E4">
      <w:r>
        <w:fldChar w:fldCharType="begin"/>
      </w:r>
      <w:r>
        <w:instrText xml:space="preserve"> AUTONUM  </w:instrText>
      </w:r>
      <w:r>
        <w:fldChar w:fldCharType="end"/>
      </w:r>
      <w:r>
        <w:tab/>
        <w:t>On May 8, 2012 the WBO, INPI and the Brazilian Cooperation Agency met in Rio de Janeiro to discuss the main terms of the agreement which was submitted later by the Government of Brazil to WIPO.  The mentioned cooperation agreement had, as its main objective, the promotion of South-South collaborative activities.  This new Funds-in-Trust was signed during the First WIPO Interregional Meeting on South-South Cooperation on IP that took place in Brasilia from August 8 to 10, 2012.  This initiative saved one mission of a WIPO Official based in Geneva, amounting to approximately 10,000 CHF.</w:t>
      </w:r>
    </w:p>
    <w:p w:rsidR="006B41E4" w:rsidRDefault="006B41E4" w:rsidP="006B41E4"/>
    <w:p w:rsidR="006B41E4" w:rsidRDefault="006B41E4" w:rsidP="006B41E4">
      <w:r>
        <w:fldChar w:fldCharType="begin"/>
      </w:r>
      <w:r>
        <w:instrText xml:space="preserve"> AUTONUM  </w:instrText>
      </w:r>
      <w:r>
        <w:fldChar w:fldCharType="end"/>
      </w:r>
      <w:r>
        <w:tab/>
        <w:t xml:space="preserve">The VI National Meeting of the Forum of Managers of Innovation and Technology (FORTEC), that took place in Belem, </w:t>
      </w:r>
      <w:proofErr w:type="spellStart"/>
      <w:r>
        <w:t>Pará</w:t>
      </w:r>
      <w:proofErr w:type="spellEnd"/>
      <w:r>
        <w:t>, in the Amazon Region, from May 17 to 19, 2012, brought together 233 participants from Technological Innovation Centers (the same as Technology Transfer Offices - NITs) of universities, and research centers as well as representatives of State and Federal Governments, and of enterprises.  FIT/BR funded the mission of an international expert from Israel amounting to 4,159 CHF.  The WBO funded one staff mission amounting to 1,468 CHF.  This activity saved one mission of a WIPO official based in Geneva amounting to approximately 8,000 CHF.</w:t>
      </w:r>
    </w:p>
    <w:p w:rsidR="006B41E4" w:rsidRDefault="006B41E4" w:rsidP="006B41E4"/>
    <w:p w:rsidR="006B41E4" w:rsidRDefault="006B41E4" w:rsidP="006B41E4">
      <w:r>
        <w:fldChar w:fldCharType="begin"/>
      </w:r>
      <w:r>
        <w:instrText xml:space="preserve"> AUTONUM  </w:instrText>
      </w:r>
      <w:r>
        <w:fldChar w:fldCharType="end"/>
      </w:r>
      <w:r>
        <w:tab/>
        <w:t>On meetings with the Government of the Sultanate of Oman, participants agreed in recommending that the following activities take part in a future South-South Cooperation Project:  (1) a study visit of an Omani delegation to Brazil to institutions that integrate the Brazilian innovation system; (2) Training Programs on protection and commercialization of IP; (3) The Organization of a series of Seminars to promote IP and Innovation among policy makers and potential users.  WBO financed one Staff mission amounting to 14,376 CHF.</w:t>
      </w:r>
    </w:p>
    <w:p w:rsidR="006B41E4" w:rsidRDefault="006B41E4" w:rsidP="006B41E4"/>
    <w:p w:rsidR="006B41E4" w:rsidRDefault="006B41E4" w:rsidP="006B41E4">
      <w:r>
        <w:fldChar w:fldCharType="begin"/>
      </w:r>
      <w:r>
        <w:instrText xml:space="preserve"> AUTONUM  </w:instrText>
      </w:r>
      <w:r>
        <w:fldChar w:fldCharType="end"/>
      </w:r>
      <w:r>
        <w:tab/>
        <w:t xml:space="preserve">From June 4 to 6, 2012, professionals from the ICT area of 15 countries from Latin America and Africa (One participant from the IP Office of the following countries attended the event: Angola, Chile, Cape Verde, Costa Rica, Cuba, Ecuador, El Salvador, Honduras, Dominican Republic, Mexico, Mozambique, Paraguay, and Uruguay) gathered for the first time </w:t>
      </w:r>
      <w:r>
        <w:lastRenderedPageBreak/>
        <w:t xml:space="preserve">in Brazil at INPI to discuss solutions and existing systems for IP administration, with a specific focus on the IPAS project. During the meeting, participants discussed the following topics: challenges of IP Office automation, moving from paper-centric work processes to fully-automated processes, data governance, expanding the accessibility of the IP system provision of online services to applicants and the general public and regional collaboration.  Two professionals attended from the HQ to advise on possible solutions for the establishment of a better and adequate IP infrastructure for the LAC Region as well as for </w:t>
      </w:r>
      <w:proofErr w:type="spellStart"/>
      <w:r>
        <w:t>lusophone</w:t>
      </w:r>
      <w:proofErr w:type="spellEnd"/>
      <w:r>
        <w:t xml:space="preserve"> countries.  This activity was funded by FIT/BR to the sum of 32,929 CHF </w:t>
      </w:r>
    </w:p>
    <w:p w:rsidR="006B41E4" w:rsidRDefault="006B41E4" w:rsidP="006B41E4"/>
    <w:p w:rsidR="006B41E4" w:rsidRDefault="006B41E4" w:rsidP="006B41E4">
      <w:r>
        <w:fldChar w:fldCharType="begin"/>
      </w:r>
      <w:r>
        <w:instrText xml:space="preserve"> AUTONUM  </w:instrText>
      </w:r>
      <w:r>
        <w:fldChar w:fldCharType="end"/>
      </w:r>
      <w:r>
        <w:tab/>
        <w:t>A meeting of the Steering Committee of PROSUR (the project of operational cooperation system in IP in South America) was held in Santiago, Chile.  Heads of the following IP Offices attended the event financed by FIT/BR and organized by the WBO:  Argentina, Brazil, Chile, Colombia, Ecuador, Paraguay, Peru, Surinam and Uruguay.  During the meeting, the Heads of the said IP Offices signed the Agreement which formalized the institutionalization of PROSUR.  In addition, during the event in Chile, the Technical and Steering Committees of PROSUR approved the use of the Collaborative Platform of Electronic Examination (e-PEC).  E-PEC aims at the reduction of the patent backlog in order to allow better quality and higher degree in efficiency in patent examination.  FIT/BR funded the participation of a total of 16 participants in the event held in Santiago, Chile.</w:t>
      </w:r>
    </w:p>
    <w:p w:rsidR="006B41E4" w:rsidRDefault="006B41E4" w:rsidP="006B41E4"/>
    <w:p w:rsidR="006B41E4" w:rsidRDefault="006B41E4" w:rsidP="006B41E4">
      <w:r>
        <w:fldChar w:fldCharType="begin"/>
      </w:r>
      <w:r>
        <w:instrText xml:space="preserve"> AUTONUM  </w:instrText>
      </w:r>
      <w:r>
        <w:fldChar w:fldCharType="end"/>
      </w:r>
      <w:r>
        <w:tab/>
        <w:t>A Program for South-South cooperation was structured in the context of the Development Agenda.  In this connection, Member States approved the organization of the Inter-Regional Meeting to Discuss IP Governance; GRTKF and Copyright and Related Rights, which took place in Brasília, from August 8 to 10, 2012.  Representatives from twenty-six developing countries from Latin America, Africa, the Middle East and Asia discussed actions that could foster the use of IP as a tool for economic and social progress.  The mentioned meeting focused on: fostering the exchange, among developing countries and least-developed countries (LDCs), of national experiences on issues related to IP Governance; GRTKF; and Copyright and Related Rights.  FIT/BR financed four international speakers amounting to 32,148 CHF.  WBO financed one staff mission amounting to 1,478 CHF.  This initiative saved about 8,000 CHF, corresponding to one mission of a WIPO official based in Geneva.</w:t>
      </w:r>
    </w:p>
    <w:p w:rsidR="006B41E4" w:rsidRDefault="006B41E4" w:rsidP="006B41E4"/>
    <w:p w:rsidR="006B41E4" w:rsidRDefault="006B41E4" w:rsidP="006B41E4">
      <w:r>
        <w:fldChar w:fldCharType="begin"/>
      </w:r>
      <w:r>
        <w:instrText xml:space="preserve"> AUTONUM  </w:instrText>
      </w:r>
      <w:r>
        <w:fldChar w:fldCharType="end"/>
      </w:r>
      <w:r>
        <w:tab/>
        <w:t xml:space="preserve">On September 12 and 13, 2012 the International Conference on the Strategic Use of Intellectual Property by the Sports Industry took place in Rio de Janeiro.  This major conference discussed the protection of IP with special focus on the use of patents, trademarks and broadcasting as tools for boosting innovation in the national sports industry.  The discussion gained more attention as Brazil will host major sports events such as the 2014 FIFA World Cup and the 2016 Olympic Games.  Speakers pointed out the opportunities countries may create when they receive sports events and what are the elements that should be considered in order to achieve economic and social gains out of sport activities.  More than 200 participants attended the Conference.  Other seminars are planned to be organized in cities that will host games of the 2014 FIFA World Cup.  Following the Opening Ceremony, a MOU between WIPO and the INPI for the Provision of Alternative Dispute Resolution Services to Parties involved in Cases submitted with INPI-Brazil was signed.  In addition, the Director General also signed the Executive Agreement between WIPO and the Government of Brazil for the promotion of South-South Cooperation for a better use of the IP system by developing countries.  FIT/BR financed four participants from Argentina, Chile, Colombia and Uruguay and 5 speakers from Australia, United Kingdom, Switzerland, Portugal and Spain, amounting to 45,756 CHF.  The WBO financed the conference room, amounting to 12,323 CHF. </w:t>
      </w:r>
    </w:p>
    <w:p w:rsidR="006B41E4" w:rsidRDefault="006B41E4" w:rsidP="006B41E4"/>
    <w:p w:rsidR="006B41E4" w:rsidRDefault="006B41E4" w:rsidP="006B41E4">
      <w:r>
        <w:fldChar w:fldCharType="begin"/>
      </w:r>
      <w:r>
        <w:instrText xml:space="preserve"> AUTONUM  </w:instrText>
      </w:r>
      <w:r>
        <w:fldChar w:fldCharType="end"/>
      </w:r>
      <w:r>
        <w:tab/>
        <w:t>The horizontal (South-South) cooperation in the training activities organized by the WBO or with the WBO’s assistance included officials from several Latin American, African, Middle Eastern and Asian countries.</w:t>
      </w:r>
    </w:p>
    <w:p w:rsidR="006B41E4" w:rsidRDefault="006B41E4" w:rsidP="006B41E4"/>
    <w:p w:rsidR="006B41E4" w:rsidRDefault="006B41E4" w:rsidP="006B41E4">
      <w:r>
        <w:lastRenderedPageBreak/>
        <w:fldChar w:fldCharType="begin"/>
      </w:r>
      <w:r>
        <w:instrText xml:space="preserve"> AUTONUM  </w:instrText>
      </w:r>
      <w:r>
        <w:fldChar w:fldCharType="end"/>
      </w:r>
      <w:r>
        <w:tab/>
        <w:t>Funds in Trust for the “Dissemination of the Intellectual Property Culture and the Incorporation of the Best Practices” (FIT 1): total project value (approximately 3,231,000</w:t>
      </w:r>
      <w:r w:rsidRPr="006C1A3B">
        <w:t xml:space="preserve"> </w:t>
      </w:r>
      <w:r>
        <w:t>CHF)</w:t>
      </w:r>
    </w:p>
    <w:p w:rsidR="006B41E4" w:rsidRDefault="006B41E4" w:rsidP="006B41E4"/>
    <w:p w:rsidR="006B41E4" w:rsidRDefault="006B41E4" w:rsidP="006B41E4">
      <w:pPr>
        <w:numPr>
          <w:ilvl w:val="0"/>
          <w:numId w:val="40"/>
        </w:numPr>
        <w:ind w:left="1134" w:hanging="567"/>
      </w:pPr>
      <w:r>
        <w:t>Amounts received by WIPO:</w:t>
      </w:r>
    </w:p>
    <w:p w:rsidR="006B41E4" w:rsidRDefault="006B41E4" w:rsidP="006B41E4">
      <w:pPr>
        <w:ind w:left="567" w:firstLine="567"/>
      </w:pPr>
      <w:r>
        <w:t>On December 20, 2011:  359,493 CHF</w:t>
      </w:r>
    </w:p>
    <w:p w:rsidR="006B41E4" w:rsidRDefault="006B41E4" w:rsidP="006B41E4">
      <w:pPr>
        <w:ind w:left="567" w:firstLine="567"/>
      </w:pPr>
      <w:r>
        <w:t>On November 7, 2012:  370,543 CHF</w:t>
      </w:r>
    </w:p>
    <w:p w:rsidR="006B41E4" w:rsidRDefault="006B41E4" w:rsidP="006B41E4">
      <w:pPr>
        <w:ind w:left="567" w:firstLine="567"/>
      </w:pPr>
      <w:r>
        <w:t>On February 8, 2013:  292,906 CHF</w:t>
      </w:r>
    </w:p>
    <w:p w:rsidR="006B41E4" w:rsidRDefault="006B41E4" w:rsidP="006B41E4">
      <w:pPr>
        <w:ind w:left="567"/>
      </w:pPr>
    </w:p>
    <w:p w:rsidR="006B41E4" w:rsidRDefault="006B41E4" w:rsidP="006B41E4">
      <w:pPr>
        <w:numPr>
          <w:ilvl w:val="0"/>
          <w:numId w:val="40"/>
        </w:numPr>
        <w:ind w:left="1134" w:hanging="567"/>
      </w:pPr>
      <w:r>
        <w:t>FIT 1 expenses in 2012:  287,456 CHF</w:t>
      </w:r>
    </w:p>
    <w:p w:rsidR="006B41E4" w:rsidRDefault="006B41E4" w:rsidP="006B41E4">
      <w:pPr>
        <w:ind w:left="567" w:firstLine="567"/>
      </w:pPr>
      <w:r>
        <w:t>FIT 1 expenses until March 2013:  403,204 CHF</w:t>
      </w:r>
    </w:p>
    <w:p w:rsidR="006B41E4" w:rsidRDefault="006B41E4" w:rsidP="006B41E4">
      <w:pPr>
        <w:ind w:left="567" w:firstLine="567"/>
      </w:pPr>
      <w:r>
        <w:t>Funds available:  616,394 CHF</w:t>
      </w:r>
    </w:p>
    <w:p w:rsidR="006B41E4" w:rsidRDefault="006B41E4" w:rsidP="006B41E4">
      <w:pPr>
        <w:ind w:left="567"/>
      </w:pPr>
    </w:p>
    <w:p w:rsidR="006B41E4" w:rsidRDefault="006B41E4" w:rsidP="006B41E4">
      <w:pPr>
        <w:numPr>
          <w:ilvl w:val="0"/>
          <w:numId w:val="40"/>
        </w:numPr>
        <w:ind w:left="1134" w:hanging="567"/>
      </w:pPr>
      <w:r>
        <w:t>FIT/BR to Promote South-South Cooperation (FIT 2):  total project value (approximately 1,050,000 CHF)</w:t>
      </w:r>
    </w:p>
    <w:p w:rsidR="006B41E4" w:rsidRDefault="006B41E4" w:rsidP="006B41E4">
      <w:pPr>
        <w:ind w:left="567"/>
      </w:pPr>
    </w:p>
    <w:p w:rsidR="006B41E4" w:rsidRDefault="006B41E4" w:rsidP="006B41E4">
      <w:pPr>
        <w:numPr>
          <w:ilvl w:val="0"/>
          <w:numId w:val="40"/>
        </w:numPr>
        <w:ind w:left="1134" w:hanging="567"/>
      </w:pPr>
      <w:r>
        <w:t>Amounts received by WIPO:</w:t>
      </w:r>
    </w:p>
    <w:p w:rsidR="006B41E4" w:rsidRDefault="006B41E4" w:rsidP="006B41E4">
      <w:pPr>
        <w:ind w:left="567" w:firstLine="567"/>
      </w:pPr>
      <w:r>
        <w:t>On February 19, 2013:  96,110 CHF</w:t>
      </w:r>
    </w:p>
    <w:p w:rsidR="006B41E4" w:rsidRDefault="006B41E4" w:rsidP="006B41E4">
      <w:pPr>
        <w:ind w:left="567" w:firstLine="567"/>
      </w:pPr>
      <w:r>
        <w:t>On July 10, 2013:  85,495 CHF</w:t>
      </w:r>
    </w:p>
    <w:p w:rsidR="006B41E4" w:rsidRDefault="006B41E4" w:rsidP="006B41E4">
      <w:pPr>
        <w:ind w:left="567" w:firstLine="567"/>
      </w:pPr>
      <w:r>
        <w:t>Funds available in July 2013:  181,605 CHF</w:t>
      </w:r>
    </w:p>
    <w:p w:rsidR="006B41E4" w:rsidRDefault="006B41E4" w:rsidP="006B41E4"/>
    <w:p w:rsidR="006B41E4" w:rsidRDefault="006B41E4" w:rsidP="006B41E4">
      <w:r>
        <w:fldChar w:fldCharType="begin"/>
      </w:r>
      <w:r>
        <w:instrText xml:space="preserve"> AUTONUM  </w:instrText>
      </w:r>
      <w:r>
        <w:fldChar w:fldCharType="end"/>
      </w:r>
      <w:r>
        <w:tab/>
        <w:t xml:space="preserve">In Rio de Janeiro, besides the WBO, there are many UN representative offices such as UN-HABITAT, IFC, International Finance Corporation – PANAFTOSA, Pan American Foot-and-Mouth Disease Center, OCHA, UNISDR, UNICEF, UNIC, UNESCO, UNRWA and UNDSS.  The </w:t>
      </w:r>
      <w:r w:rsidRPr="00EB3AF3">
        <w:t>WB</w:t>
      </w:r>
      <w:r>
        <w:t>O</w:t>
      </w:r>
      <w:r w:rsidRPr="00EB3AF3">
        <w:t xml:space="preserve"> cooperate</w:t>
      </w:r>
      <w:r>
        <w:t>s</w:t>
      </w:r>
      <w:r w:rsidRPr="00EB3AF3">
        <w:t xml:space="preserve"> with the</w:t>
      </w:r>
      <w:r>
        <w:t>se</w:t>
      </w:r>
      <w:r w:rsidRPr="00EB3AF3">
        <w:t xml:space="preserve"> agencies in security matters and </w:t>
      </w:r>
      <w:r>
        <w:t xml:space="preserve">for </w:t>
      </w:r>
      <w:r w:rsidRPr="00EB3AF3">
        <w:t>the recently re</w:t>
      </w:r>
      <w:r>
        <w:t>-</w:t>
      </w:r>
      <w:r w:rsidRPr="00EB3AF3">
        <w:t>launched process for the establishment of an UN House in Rio de Janeiro</w:t>
      </w:r>
      <w:r>
        <w:t>.</w:t>
      </w:r>
    </w:p>
    <w:p w:rsidR="006B41E4" w:rsidRDefault="006B41E4" w:rsidP="006B41E4"/>
    <w:p w:rsidR="006B41E4" w:rsidRDefault="006B41E4" w:rsidP="006B41E4">
      <w:r>
        <w:fldChar w:fldCharType="begin"/>
      </w:r>
      <w:r>
        <w:instrText xml:space="preserve"> AUTONUM  </w:instrText>
      </w:r>
      <w:r>
        <w:fldChar w:fldCharType="end"/>
      </w:r>
      <w:r>
        <w:tab/>
        <w:t>In summary, WBO's activities in 2012 are described in terms of a total number of participants in over 130 meetings organized, supported and/or attended by the WBO.  The events organized by the WBO or with the WBO’s assistance, including training activities, gathered an audience of nearly 5,000 participants.  Approximately 300,000 CHF were saved in 2012 alone with activities organized by the WBO or with the WBO’s assistance, once they counted with the participation of WIPO staff based in Rio de Janeiro, in addition to the amount spent (funded by FIT1 and FIT2) in the implementation of the activities listed above.  These savings added to the amount invested by FIT 1 and FIT 2 in 2012 represented an approximate figure of 750,000 CHF.</w:t>
      </w:r>
    </w:p>
    <w:p w:rsidR="006B41E4" w:rsidRDefault="006B41E4" w:rsidP="006B41E4"/>
    <w:p w:rsidR="006B41E4" w:rsidRPr="00CE39DB" w:rsidRDefault="006B41E4" w:rsidP="006B41E4">
      <w:pPr>
        <w:pStyle w:val="Heading2"/>
      </w:pPr>
      <w:bookmarkStart w:id="17" w:name="_Toc362612218"/>
      <w:r w:rsidRPr="00CE39DB">
        <w:t xml:space="preserve">Enhancement of Existing </w:t>
      </w:r>
      <w:r>
        <w:t>EO</w:t>
      </w:r>
      <w:r w:rsidRPr="00E35F44">
        <w:rPr>
          <w:sz w:val="16"/>
          <w:szCs w:val="16"/>
        </w:rPr>
        <w:t>S</w:t>
      </w:r>
      <w:r>
        <w:t xml:space="preserve"> since their Establishment</w:t>
      </w:r>
      <w:bookmarkEnd w:id="17"/>
      <w:r>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As apparent in the activities undertaken by the existing EOs, there has been considerable improvement in the services provided by, and enhancement of the role of, the existing EOs.  These improvements have resulted from efforts in several different areas.  </w:t>
      </w:r>
    </w:p>
    <w:p w:rsidR="006B41E4" w:rsidRDefault="006B41E4" w:rsidP="006B41E4"/>
    <w:p w:rsidR="006B41E4" w:rsidRDefault="006B41E4" w:rsidP="006B41E4">
      <w:pPr>
        <w:pStyle w:val="Heading3"/>
      </w:pPr>
      <w:bookmarkStart w:id="18" w:name="_Toc362612219"/>
      <w:r>
        <w:t>Improvements</w:t>
      </w:r>
      <w:bookmarkEnd w:id="18"/>
    </w:p>
    <w:p w:rsidR="006B41E4" w:rsidRDefault="006B41E4" w:rsidP="006B41E4"/>
    <w:p w:rsidR="006B41E4" w:rsidRDefault="006B41E4" w:rsidP="006B41E4">
      <w:r>
        <w:fldChar w:fldCharType="begin"/>
      </w:r>
      <w:r>
        <w:instrText xml:space="preserve"> AUTONUM  </w:instrText>
      </w:r>
      <w:r>
        <w:fldChar w:fldCharType="end"/>
      </w:r>
      <w:r>
        <w:tab/>
        <w:t>The first area of focus has been to clarify the role and functions of each EO, bearing in mind WIPO Strategic Goals and results framework of the Program and Budget with respect to EOs in general.  This resulted in the following evolving results:</w:t>
      </w:r>
    </w:p>
    <w:p w:rsidR="006B41E4" w:rsidRDefault="006B41E4" w:rsidP="006B41E4"/>
    <w:p w:rsidR="006B41E4" w:rsidRDefault="006B41E4" w:rsidP="006B41E4">
      <w:pPr>
        <w:numPr>
          <w:ilvl w:val="0"/>
          <w:numId w:val="28"/>
        </w:numPr>
        <w:ind w:left="1134" w:hanging="567"/>
      </w:pPr>
      <w:r>
        <w:t>The WBO and WSO started to play a role with respect to support for Global IP Systems, technical assistance for the implementation of infrastructure projects, capacity building, South-South cooperation and, in the case of the Brazil Office, also the administration of activities under the Brazil FIT;</w:t>
      </w:r>
    </w:p>
    <w:p w:rsidR="006B41E4" w:rsidRDefault="006B41E4" w:rsidP="006B41E4"/>
    <w:p w:rsidR="006B41E4" w:rsidRDefault="006B41E4" w:rsidP="006B41E4">
      <w:pPr>
        <w:numPr>
          <w:ilvl w:val="0"/>
          <w:numId w:val="28"/>
        </w:numPr>
        <w:ind w:left="1134" w:hanging="567"/>
      </w:pPr>
      <w:r>
        <w:lastRenderedPageBreak/>
        <w:t>The WJO initially ceased its functions with respect to research in collaboration with the UNU and subsequently started to focus on support for Global IP Systems, capacity building and the administration of activities under Japan FIT.</w:t>
      </w:r>
    </w:p>
    <w:p w:rsidR="006B41E4" w:rsidRDefault="006B41E4" w:rsidP="006B41E4">
      <w:pPr>
        <w:pStyle w:val="ListParagraph"/>
      </w:pPr>
    </w:p>
    <w:p w:rsidR="006B41E4" w:rsidRDefault="006B41E4" w:rsidP="006B41E4">
      <w:r>
        <w:fldChar w:fldCharType="begin"/>
      </w:r>
      <w:r>
        <w:instrText xml:space="preserve"> AUTONUM  </w:instrText>
      </w:r>
      <w:r>
        <w:fldChar w:fldCharType="end"/>
      </w:r>
      <w:r>
        <w:tab/>
      </w:r>
      <w:r w:rsidRPr="00E43406">
        <w:t xml:space="preserve">The second area of focus was on the relocation of the existing Offices to locations that are more suitable for the redefined missions of the Offices. </w:t>
      </w:r>
      <w:r>
        <w:t xml:space="preserve"> </w:t>
      </w:r>
      <w:r w:rsidRPr="00E43406">
        <w:t xml:space="preserve">This does not affect the WSO, which is situated in an optimal location adjacent to the campus of the NUS. In the case of the WBO, however, following the overall transfer of the </w:t>
      </w:r>
      <w:r>
        <w:t>INPI,</w:t>
      </w:r>
      <w:r w:rsidRPr="00E43406">
        <w:t xml:space="preserve"> new premises were rented in an area in which infrastructure needs were fully met.</w:t>
      </w:r>
      <w:r>
        <w:t xml:space="preserve"> </w:t>
      </w:r>
      <w:r w:rsidRPr="00E43406">
        <w:t xml:space="preserve"> In January 2012, The WJO moved to new premises near the JPO and the center of business activities with respect to intellectual property.  </w:t>
      </w:r>
    </w:p>
    <w:p w:rsidR="006B41E4" w:rsidRDefault="006B41E4" w:rsidP="006B41E4"/>
    <w:p w:rsidR="006B41E4" w:rsidRDefault="006B41E4" w:rsidP="006B41E4">
      <w:r>
        <w:fldChar w:fldCharType="begin"/>
      </w:r>
      <w:r>
        <w:instrText xml:space="preserve"> AUTONUM  </w:instrText>
      </w:r>
      <w:r>
        <w:fldChar w:fldCharType="end"/>
      </w:r>
      <w:r>
        <w:tab/>
      </w:r>
      <w:r w:rsidRPr="00E43406">
        <w:t xml:space="preserve">The </w:t>
      </w:r>
      <w:r>
        <w:t>third</w:t>
      </w:r>
      <w:r w:rsidRPr="00E43406">
        <w:t xml:space="preserve"> area of focus has been to define more consistently which areas within the sphere of capacity-building should be devolved to the EOs.  This is work-in-progress but some achievements were made as explained below.  The final area of focus has been ensuring that the skill profiles of staff in the existing EOs correspond to the role and functions attributed to the respective Offices. </w:t>
      </w:r>
      <w:r>
        <w:t xml:space="preserve"> </w:t>
      </w:r>
      <w:r w:rsidRPr="00E43406">
        <w:t xml:space="preserve">This is again a work-in-progress, being undertaken within existing resource constraints and also within the context of the initiative on Organizational Design within the </w:t>
      </w:r>
      <w:r>
        <w:t>SRP</w:t>
      </w:r>
      <w:r w:rsidRPr="00E43406">
        <w:t>.</w:t>
      </w:r>
    </w:p>
    <w:p w:rsidR="006B41E4" w:rsidRDefault="006B41E4" w:rsidP="006B41E4"/>
    <w:p w:rsidR="006B41E4" w:rsidRDefault="006B41E4" w:rsidP="006B41E4">
      <w:r>
        <w:fldChar w:fldCharType="begin"/>
      </w:r>
      <w:r>
        <w:instrText xml:space="preserve"> AUTONUM  </w:instrText>
      </w:r>
      <w:r>
        <w:fldChar w:fldCharType="end"/>
      </w:r>
      <w:r>
        <w:tab/>
        <w:t>The fourth area where the Secretariat enhanced the EOs relates to the services provided by the existing EOs and the use thereof to perform services that cannot be provided at HQ.  A system was put in place for the Round-the-Clock services or 24-hour servicing of WIPO’s switchboard.  After 6 pm Geneva time, calls to WIPO’s number are automatically referred to the WIPO liaison bureau in New York or the WBO (depending on whether the language of communication is English, Spanish or Portuguese).  Following closure of business in the Americas, calls to WIPO’s number are automatically referred to the Japan and Singapore Offices (depending on whether the language of communication is Chinese, English or Japanese).  Following closure of business in Asia, calls revert to HQ.</w:t>
      </w:r>
    </w:p>
    <w:p w:rsidR="006B41E4" w:rsidRDefault="006B41E4" w:rsidP="006B41E4"/>
    <w:p w:rsidR="006B41E4" w:rsidRDefault="006B41E4" w:rsidP="006B41E4">
      <w:r>
        <w:fldChar w:fldCharType="begin"/>
      </w:r>
      <w:r>
        <w:instrText xml:space="preserve"> AUTONUM  </w:instrText>
      </w:r>
      <w:r>
        <w:fldChar w:fldCharType="end"/>
      </w:r>
      <w:r>
        <w:tab/>
      </w:r>
      <w:r w:rsidRPr="00387884">
        <w:t xml:space="preserve">The Round-the-Clock service was launched in September 2012 and as statistics included in each section describing each EO above, the number of calls have grown steadily since the commencement </w:t>
      </w:r>
      <w:r>
        <w:t xml:space="preserve">of the service.  Based on statistics in 2012, the HQ received about 8,200 calls per month.  It is to be noted that the service was intended to respond to general inquiries from the public and for this purpose particular telephone numbers were indicated in a dedicated web site of “Contact Us”.  There were other telephone calls made by, say, users of WIPO Global IP systems such as PCT and the Madrid, who usually dial particular direct numbers which connect to officers in charge (in the case of the PCT and the Madrid System </w:t>
      </w:r>
      <w:proofErr w:type="spellStart"/>
      <w:r>
        <w:t>infolines</w:t>
      </w:r>
      <w:proofErr w:type="spellEnd"/>
      <w:r>
        <w:t xml:space="preserve"> (direct service query lines)).  </w:t>
      </w:r>
    </w:p>
    <w:p w:rsidR="006B41E4" w:rsidRDefault="006B41E4" w:rsidP="006B41E4"/>
    <w:p w:rsidR="006B41E4" w:rsidRDefault="006B41E4" w:rsidP="006B41E4">
      <w:r>
        <w:fldChar w:fldCharType="begin"/>
      </w:r>
      <w:r>
        <w:instrText xml:space="preserve"> AUTONUM  </w:instrText>
      </w:r>
      <w:r>
        <w:fldChar w:fldCharType="end"/>
      </w:r>
      <w:r>
        <w:tab/>
        <w:t xml:space="preserve">The public has become more familiar with the Internet and inquiries are also made by </w:t>
      </w:r>
      <w:r>
        <w:br/>
        <w:t xml:space="preserve">e-mails.  The HQ received some 1,100 emails per month to “Contact Us” e-mail addresses.  The number of e-mails received by EOs has steadily increased, as indicated in the respective section with regard to activities of the existing EOs. </w:t>
      </w:r>
    </w:p>
    <w:p w:rsidR="006B41E4" w:rsidRDefault="006B41E4" w:rsidP="006B41E4"/>
    <w:p w:rsidR="006B41E4" w:rsidRDefault="006B41E4" w:rsidP="006B41E4">
      <w:r>
        <w:fldChar w:fldCharType="begin"/>
      </w:r>
      <w:r>
        <w:instrText xml:space="preserve"> AUTONUM  </w:instrText>
      </w:r>
      <w:r>
        <w:fldChar w:fldCharType="end"/>
      </w:r>
      <w:r>
        <w:tab/>
        <w:t xml:space="preserve">The WJO and WSO created their own web sites partly mirroring WIPO HQ web sites with local content.  The WSO web site attracted a growing number of visitors, as a graph in the section on WSO shows.  The WJO website is bilingual in English and Japanese, and the Japanese edition shows greater attraction of users in Japan. </w:t>
      </w:r>
    </w:p>
    <w:p w:rsidR="006B41E4" w:rsidRDefault="006B41E4" w:rsidP="006B41E4">
      <w:r>
        <w:br w:type="page"/>
      </w:r>
    </w:p>
    <w:p w:rsidR="006B41E4" w:rsidRDefault="006B41E4" w:rsidP="006B41E4"/>
    <w:p w:rsidR="006B41E4" w:rsidRDefault="006B41E4" w:rsidP="006B41E4">
      <w:pPr>
        <w:jc w:val="center"/>
        <w:rPr>
          <w:szCs w:val="22"/>
        </w:rPr>
      </w:pPr>
      <w:r>
        <w:rPr>
          <w:szCs w:val="22"/>
        </w:rPr>
        <w:t>Table 3:  EO</w:t>
      </w:r>
      <w:r w:rsidRPr="00F25105">
        <w:rPr>
          <w:szCs w:val="22"/>
        </w:rPr>
        <w:t xml:space="preserve">s Web Sites (unique </w:t>
      </w:r>
      <w:proofErr w:type="spellStart"/>
      <w:r w:rsidRPr="00F25105">
        <w:rPr>
          <w:szCs w:val="22"/>
        </w:rPr>
        <w:t>pageviews</w:t>
      </w:r>
      <w:proofErr w:type="spellEnd"/>
      <w:r w:rsidRPr="00F25105">
        <w:rPr>
          <w:szCs w:val="22"/>
        </w:rPr>
        <w:t>)</w:t>
      </w:r>
      <w:r>
        <w:rPr>
          <w:szCs w:val="22"/>
        </w:rPr>
        <w:t xml:space="preserve"> </w:t>
      </w:r>
      <w:r w:rsidRPr="00F25105">
        <w:rPr>
          <w:szCs w:val="22"/>
        </w:rPr>
        <w:t>in 2012</w:t>
      </w:r>
    </w:p>
    <w:p w:rsidR="006B41E4" w:rsidRPr="00F25105" w:rsidRDefault="006B41E4" w:rsidP="006B41E4">
      <w:pPr>
        <w:jc w:val="center"/>
        <w:rPr>
          <w:szCs w:val="22"/>
        </w:rPr>
      </w:pPr>
    </w:p>
    <w:tbl>
      <w:tblPr>
        <w:tblW w:w="7917" w:type="dxa"/>
        <w:jc w:val="center"/>
        <w:tblInd w:w="-21" w:type="dxa"/>
        <w:tblCellMar>
          <w:left w:w="0" w:type="dxa"/>
          <w:right w:w="0" w:type="dxa"/>
        </w:tblCellMar>
        <w:tblLook w:val="04A0" w:firstRow="1" w:lastRow="0" w:firstColumn="1" w:lastColumn="0" w:noHBand="0" w:noVBand="1"/>
      </w:tblPr>
      <w:tblGrid>
        <w:gridCol w:w="2180"/>
        <w:gridCol w:w="2720"/>
        <w:gridCol w:w="1700"/>
        <w:gridCol w:w="1318"/>
      </w:tblGrid>
      <w:tr w:rsidR="006B41E4" w:rsidRPr="00012237" w:rsidTr="006B41E4">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rPr>
                <w:rFonts w:ascii="Calibri" w:eastAsia="MS Mincho" w:hAnsi="Calibri"/>
                <w:bCs/>
                <w:color w:val="000000"/>
                <w:szCs w:val="22"/>
              </w:rPr>
            </w:pPr>
            <w:r w:rsidRPr="00012237">
              <w:rPr>
                <w:bCs/>
                <w:color w:val="000000"/>
              </w:rPr>
              <w:t>Page</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center"/>
              <w:rPr>
                <w:rFonts w:eastAsia="MS Mincho"/>
                <w:bCs/>
                <w:color w:val="000000"/>
                <w:szCs w:val="22"/>
              </w:rPr>
            </w:pPr>
            <w:r w:rsidRPr="00012237">
              <w:rPr>
                <w:rFonts w:eastAsia="MS Mincho"/>
                <w:bCs/>
                <w:color w:val="000000"/>
                <w:szCs w:val="22"/>
              </w:rPr>
              <w:t>English</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center"/>
              <w:rPr>
                <w:rFonts w:ascii="Calibri" w:eastAsia="MS Mincho" w:hAnsi="Calibri"/>
                <w:bCs/>
                <w:color w:val="000000"/>
                <w:szCs w:val="22"/>
              </w:rPr>
            </w:pPr>
            <w:r w:rsidRPr="00012237">
              <w:rPr>
                <w:bCs/>
                <w:color w:val="000000"/>
              </w:rPr>
              <w:t>Japanese</w:t>
            </w:r>
          </w:p>
        </w:tc>
        <w:tc>
          <w:tcPr>
            <w:tcW w:w="13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rPr>
                <w:rFonts w:ascii="Calibri" w:eastAsia="MS Mincho" w:hAnsi="Calibri"/>
                <w:bCs/>
                <w:color w:val="000000"/>
                <w:szCs w:val="22"/>
              </w:rPr>
            </w:pPr>
            <w:r w:rsidRPr="00012237">
              <w:rPr>
                <w:bCs/>
                <w:color w:val="000000"/>
              </w:rPr>
              <w:t>TOTALS</w:t>
            </w:r>
          </w:p>
        </w:tc>
      </w:tr>
      <w:tr w:rsidR="006B41E4" w:rsidTr="006B41E4">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rPr>
                <w:rFonts w:ascii="Calibri" w:eastAsia="MS Mincho" w:hAnsi="Calibri"/>
                <w:color w:val="000000"/>
                <w:szCs w:val="22"/>
              </w:rPr>
            </w:pPr>
            <w:r>
              <w:rPr>
                <w:color w:val="000000"/>
              </w:rPr>
              <w:t>WBO</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center"/>
              <w:rPr>
                <w:rFonts w:ascii="Calibri" w:eastAsia="MS Mincho" w:hAnsi="Calibri"/>
                <w:color w:val="000000"/>
                <w:szCs w:val="22"/>
              </w:rPr>
            </w:pPr>
            <w:r>
              <w:rPr>
                <w:color w:val="000000"/>
              </w:rPr>
              <w:t>no website</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right"/>
              <w:rPr>
                <w:rFonts w:ascii="Calibri" w:eastAsia="MS Mincho" w:hAnsi="Calibri"/>
                <w:color w:val="000000"/>
                <w:szCs w:val="22"/>
              </w:rPr>
            </w:pPr>
            <w:r>
              <w:rPr>
                <w:color w:val="000000"/>
              </w:rPr>
              <w:t>n/a</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right"/>
              <w:rPr>
                <w:rFonts w:ascii="Calibri" w:eastAsia="MS Mincho" w:hAnsi="Calibri"/>
                <w:color w:val="000000"/>
                <w:szCs w:val="22"/>
              </w:rPr>
            </w:pPr>
            <w:r>
              <w:rPr>
                <w:color w:val="000000"/>
              </w:rPr>
              <w:t> n/a</w:t>
            </w:r>
          </w:p>
        </w:tc>
      </w:tr>
      <w:tr w:rsidR="006B41E4" w:rsidTr="006B41E4">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rPr>
                <w:rFonts w:ascii="Calibri" w:eastAsia="MS Mincho" w:hAnsi="Calibri"/>
                <w:color w:val="000000"/>
                <w:szCs w:val="22"/>
              </w:rPr>
            </w:pPr>
            <w:r>
              <w:rPr>
                <w:color w:val="000000"/>
              </w:rPr>
              <w:t>WJO</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jc w:val="right"/>
              <w:rPr>
                <w:rFonts w:ascii="Calibri" w:eastAsia="MS Mincho" w:hAnsi="Calibri"/>
                <w:color w:val="000000"/>
                <w:szCs w:val="22"/>
              </w:rPr>
            </w:pPr>
            <w:r>
              <w:rPr>
                <w:color w:val="000000"/>
              </w:rPr>
              <w:t>4,510</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jc w:val="right"/>
              <w:rPr>
                <w:rFonts w:ascii="Calibri" w:eastAsia="MS Mincho" w:hAnsi="Calibri"/>
                <w:color w:val="000000"/>
                <w:szCs w:val="22"/>
              </w:rPr>
            </w:pPr>
            <w:r>
              <w:rPr>
                <w:color w:val="000000"/>
              </w:rPr>
              <w:t>48,190</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jc w:val="right"/>
              <w:rPr>
                <w:rFonts w:ascii="Calibri" w:eastAsia="MS Mincho" w:hAnsi="Calibri"/>
                <w:color w:val="000000"/>
                <w:szCs w:val="22"/>
              </w:rPr>
            </w:pPr>
            <w:r>
              <w:rPr>
                <w:color w:val="000000"/>
              </w:rPr>
              <w:t>52,700</w:t>
            </w:r>
          </w:p>
        </w:tc>
      </w:tr>
      <w:tr w:rsidR="006B41E4" w:rsidTr="006B41E4">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rPr>
                <w:rFonts w:ascii="Calibri" w:eastAsia="MS Mincho" w:hAnsi="Calibri"/>
                <w:color w:val="000000"/>
                <w:szCs w:val="22"/>
              </w:rPr>
            </w:pPr>
            <w:r>
              <w:rPr>
                <w:color w:val="000000"/>
              </w:rPr>
              <w:t>Singapore office</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jc w:val="right"/>
              <w:rPr>
                <w:rFonts w:ascii="Calibri" w:eastAsia="MS Mincho" w:hAnsi="Calibri"/>
                <w:color w:val="000000"/>
                <w:szCs w:val="22"/>
              </w:rPr>
            </w:pPr>
            <w:r>
              <w:rPr>
                <w:color w:val="000000"/>
              </w:rPr>
              <w:t>8,032</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right"/>
              <w:rPr>
                <w:rFonts w:ascii="Calibri" w:eastAsia="MS Mincho" w:hAnsi="Calibri"/>
                <w:color w:val="000000"/>
                <w:szCs w:val="22"/>
              </w:rPr>
            </w:pPr>
            <w:r>
              <w:rPr>
                <w:color w:val="000000"/>
              </w:rPr>
              <w:t>n/a</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pPr>
              <w:jc w:val="right"/>
              <w:rPr>
                <w:rFonts w:ascii="Calibri" w:eastAsia="MS Mincho" w:hAnsi="Calibri"/>
                <w:color w:val="000000"/>
                <w:szCs w:val="22"/>
              </w:rPr>
            </w:pPr>
            <w:r>
              <w:rPr>
                <w:color w:val="000000"/>
              </w:rPr>
              <w:t>8,032</w:t>
            </w:r>
          </w:p>
        </w:tc>
      </w:tr>
      <w:tr w:rsidR="006B41E4" w:rsidTr="006B41E4">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rPr>
                <w:rFonts w:ascii="Calibri" w:eastAsia="MS Mincho" w:hAnsi="Calibri"/>
                <w:bCs/>
                <w:color w:val="000000"/>
                <w:szCs w:val="22"/>
              </w:rPr>
            </w:pPr>
            <w:r w:rsidRPr="00012237">
              <w:rPr>
                <w:bCs/>
                <w:color w:val="000000"/>
              </w:rPr>
              <w:t>WIPO HQ</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012237" w:rsidRDefault="006B41E4" w:rsidP="006B41E4">
            <w:pPr>
              <w:jc w:val="center"/>
              <w:rPr>
                <w:rFonts w:eastAsia="MS Mincho"/>
                <w:color w:val="000000"/>
                <w:szCs w:val="22"/>
              </w:rPr>
            </w:pPr>
            <w:r>
              <w:rPr>
                <w:rFonts w:eastAsia="MS Mincho"/>
                <w:color w:val="000000"/>
                <w:szCs w:val="22"/>
              </w:rPr>
              <w:t>All UN languages</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B41E4" w:rsidRPr="00012237" w:rsidRDefault="006B41E4">
            <w:pPr>
              <w:jc w:val="right"/>
              <w:rPr>
                <w:rFonts w:eastAsia="MS Mincho"/>
                <w:color w:val="000000"/>
                <w:szCs w:val="22"/>
              </w:rPr>
            </w:pPr>
            <w:r w:rsidRPr="00012237">
              <w:rPr>
                <w:rFonts w:eastAsia="MS Mincho"/>
                <w:color w:val="000000"/>
                <w:szCs w:val="22"/>
              </w:rPr>
              <w:t>n/a</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B41E4" w:rsidRPr="00012237" w:rsidRDefault="006B41E4">
            <w:pPr>
              <w:jc w:val="right"/>
              <w:rPr>
                <w:rFonts w:eastAsia="MS Mincho"/>
                <w:bCs/>
                <w:color w:val="000000"/>
                <w:szCs w:val="22"/>
              </w:rPr>
            </w:pPr>
            <w:r w:rsidRPr="00012237">
              <w:rPr>
                <w:rFonts w:eastAsia="MS Mincho"/>
                <w:bCs/>
                <w:color w:val="000000"/>
                <w:szCs w:val="22"/>
              </w:rPr>
              <w:t>31,430,269</w:t>
            </w:r>
          </w:p>
        </w:tc>
      </w:tr>
    </w:tbl>
    <w:p w:rsidR="006B41E4" w:rsidRDefault="006B41E4" w:rsidP="006B41E4">
      <w:r>
        <w:br/>
      </w:r>
    </w:p>
    <w:p w:rsidR="006B41E4" w:rsidRDefault="006B41E4" w:rsidP="006B41E4">
      <w:r>
        <w:fldChar w:fldCharType="begin"/>
      </w:r>
      <w:r>
        <w:instrText xml:space="preserve"> AUTONUM  </w:instrText>
      </w:r>
      <w:r>
        <w:fldChar w:fldCharType="end"/>
      </w:r>
      <w:r>
        <w:tab/>
        <w:t xml:space="preserve">The fifth area concerns WIPO’s ICT infrastructure for the delivery of services in the Global IP Systems and, increasingly, in other areas such as outreach activities.  WIPO has developed its ICT infrastructure and enhanced the network connectivity for the improved delivery of services (such as the </w:t>
      </w:r>
      <w:proofErr w:type="spellStart"/>
      <w:r>
        <w:t>ePCT</w:t>
      </w:r>
      <w:proofErr w:type="spellEnd"/>
      <w:r>
        <w:t xml:space="preserve"> system) and for assistance for developing countries in business modernization (IPAS, or Industrial Property Automation System, and WIPOCOS, or the WIPO-provided IT system for collective administration of creative works).  </w:t>
      </w:r>
    </w:p>
    <w:p w:rsidR="006B41E4" w:rsidRDefault="006B41E4" w:rsidP="006B41E4"/>
    <w:p w:rsidR="006B41E4" w:rsidRDefault="006B41E4" w:rsidP="006B41E4">
      <w:r>
        <w:fldChar w:fldCharType="begin"/>
      </w:r>
      <w:r>
        <w:instrText xml:space="preserve"> AUTONUM  </w:instrText>
      </w:r>
      <w:r>
        <w:fldChar w:fldCharType="end"/>
      </w:r>
      <w:r>
        <w:tab/>
        <w:t>The digital delivery of services and communications with stakeholders give strategic implications to the consideration of EOs.  First, ICT and WIPO online tools can enhance services from the HQ to the world but also pose challenges and risk.  WIPO ICT systems are not likely to replace the necessity of new EOs but should create synergy and added value that the collaboration between the HQ and EOs could create.</w:t>
      </w:r>
    </w:p>
    <w:p w:rsidR="006B41E4" w:rsidRDefault="006B41E4" w:rsidP="006B41E4"/>
    <w:p w:rsidR="006B41E4" w:rsidRDefault="006B41E4" w:rsidP="006B41E4">
      <w:pPr>
        <w:rPr>
          <w:highlight w:val="yellow"/>
        </w:rPr>
      </w:pPr>
      <w:r>
        <w:fldChar w:fldCharType="begin"/>
      </w:r>
      <w:r>
        <w:instrText xml:space="preserve"> AUTONUM  </w:instrText>
      </w:r>
      <w:r>
        <w:fldChar w:fldCharType="end"/>
      </w:r>
      <w:r>
        <w:tab/>
        <w:t>As discussed later in more detail, a slow response time (latency) of WIPO web sites such as PATENTSCOPE for users in Asia cannot be resolved by WIPO HQ alone, as servers of PATENTSCOPE are located only in Geneva.  EOs can present a possible solution to this problem by providing mirror functions for services previously provided only by servers at WIPO</w:t>
      </w:r>
      <w:r w:rsidRPr="00354D9F">
        <w:t xml:space="preserve"> </w:t>
      </w:r>
      <w:r>
        <w:t>HQ.</w:t>
      </w:r>
    </w:p>
    <w:p w:rsidR="006B41E4" w:rsidRDefault="006B41E4" w:rsidP="006B41E4">
      <w:pPr>
        <w:rPr>
          <w:highlight w:val="yellow"/>
        </w:rPr>
      </w:pPr>
    </w:p>
    <w:p w:rsidR="006B41E4" w:rsidRDefault="006B41E4" w:rsidP="006B41E4">
      <w:r>
        <w:fldChar w:fldCharType="begin"/>
      </w:r>
      <w:r>
        <w:instrText xml:space="preserve"> AUTONUM  </w:instrText>
      </w:r>
      <w:r>
        <w:fldChar w:fldCharType="end"/>
      </w:r>
      <w:r>
        <w:tab/>
        <w:t>In response to a shift in WIPO</w:t>
      </w:r>
      <w:r w:rsidRPr="008B6036">
        <w:rPr>
          <w:rFonts w:eastAsia="Times New Roman"/>
          <w:noProof/>
          <w:szCs w:val="22"/>
          <w:lang w:eastAsia="en-US"/>
        </w:rPr>
        <w:t>’</w:t>
      </w:r>
      <w:r>
        <w:t>s means for service delivery from conventional communications means such as telephone calls, e-mails and web sites to computer-to- computer data transactions using the state-of-the-art ICT in the Global IP Systems and other areas, needs for enhancing ICT systems at EOs arose with a need to integrate the systems to provide a WIPO global office network.  Global connectivity of the HQ and EOs inevitably gives rise to issues with security of ICT systems and designs of networks of EOs with the HQ which are essential for effective communications and coordination for the global delivery of services.   The reinforcement of the ICT infrastructure of EOs for global digital delivery of services has made progress, following the best practices in the industry.</w:t>
      </w:r>
    </w:p>
    <w:p w:rsidR="006B41E4" w:rsidRDefault="006B41E4" w:rsidP="006B41E4"/>
    <w:p w:rsidR="006B41E4" w:rsidRDefault="006B41E4" w:rsidP="006B41E4">
      <w:r>
        <w:fldChar w:fldCharType="begin"/>
      </w:r>
      <w:r>
        <w:instrText xml:space="preserve"> AUTONUM  </w:instrText>
      </w:r>
      <w:r>
        <w:fldChar w:fldCharType="end"/>
      </w:r>
      <w:r>
        <w:tab/>
        <w:t>The objectives of each EO are different but some common objectives exist.  The objectives, priorities and expected results of each EO are linked to WIPO Strategic Goals and the relation is described in the proposed Results Framework of the draft Program and Budget 2014/15.  The following table shows the link and for further details.  For further details, see the Results Framework of Program 20.</w:t>
      </w:r>
    </w:p>
    <w:p w:rsidR="006B41E4" w:rsidRDefault="006B41E4" w:rsidP="006B41E4"/>
    <w:p w:rsidR="006B41E4" w:rsidRDefault="006B41E4" w:rsidP="006B41E4">
      <w:r>
        <w:br w:type="page"/>
      </w:r>
    </w:p>
    <w:p w:rsidR="006B41E4" w:rsidRDefault="006B41E4" w:rsidP="006B41E4">
      <w:pPr>
        <w:jc w:val="center"/>
      </w:pPr>
      <w:r>
        <w:lastRenderedPageBreak/>
        <w:t xml:space="preserve">Table 4: The links between Objectives of the Existing Offices and WIPO Strategic Goals </w:t>
      </w:r>
    </w:p>
    <w:p w:rsidR="006B41E4" w:rsidRDefault="006B41E4" w:rsidP="006B41E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6B41E4" w:rsidTr="006B41E4">
        <w:tc>
          <w:tcPr>
            <w:tcW w:w="5729" w:type="dxa"/>
            <w:shd w:val="clear" w:color="auto" w:fill="auto"/>
          </w:tcPr>
          <w:p w:rsidR="006B41E4" w:rsidRDefault="006B41E4" w:rsidP="006B41E4">
            <w:pPr>
              <w:jc w:val="center"/>
            </w:pPr>
            <w:r>
              <w:t>Strategic Goals</w:t>
            </w:r>
          </w:p>
        </w:tc>
        <w:tc>
          <w:tcPr>
            <w:tcW w:w="1219" w:type="dxa"/>
            <w:shd w:val="clear" w:color="auto" w:fill="auto"/>
          </w:tcPr>
          <w:p w:rsidR="006B41E4" w:rsidRDefault="006B41E4" w:rsidP="006B41E4">
            <w:pPr>
              <w:jc w:val="center"/>
            </w:pPr>
            <w:r>
              <w:t xml:space="preserve">WSO </w:t>
            </w:r>
          </w:p>
        </w:tc>
        <w:tc>
          <w:tcPr>
            <w:tcW w:w="1260" w:type="dxa"/>
            <w:shd w:val="clear" w:color="auto" w:fill="auto"/>
          </w:tcPr>
          <w:p w:rsidR="006B41E4" w:rsidRDefault="006B41E4" w:rsidP="006B41E4">
            <w:pPr>
              <w:jc w:val="center"/>
            </w:pPr>
            <w:r>
              <w:t>WJO</w:t>
            </w:r>
          </w:p>
        </w:tc>
        <w:tc>
          <w:tcPr>
            <w:tcW w:w="1260" w:type="dxa"/>
            <w:shd w:val="clear" w:color="auto" w:fill="auto"/>
          </w:tcPr>
          <w:p w:rsidR="006B41E4" w:rsidRDefault="006B41E4" w:rsidP="006B41E4">
            <w:pPr>
              <w:jc w:val="center"/>
            </w:pPr>
            <w:r>
              <w:t>WBO</w:t>
            </w:r>
          </w:p>
        </w:tc>
      </w:tr>
      <w:tr w:rsidR="006B41E4" w:rsidTr="006B41E4">
        <w:tc>
          <w:tcPr>
            <w:tcW w:w="5729" w:type="dxa"/>
            <w:shd w:val="clear" w:color="auto" w:fill="auto"/>
          </w:tcPr>
          <w:p w:rsidR="006B41E4" w:rsidRDefault="006B41E4" w:rsidP="006B41E4">
            <w:pPr>
              <w:jc w:val="center"/>
            </w:pPr>
            <w:r>
              <w:t>II Provision of Premier Global IP Services</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t xml:space="preserve">III Facilitating the Use of IP for Development </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t>IV Coordination and Development of Global IP Infrastructure</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t>VII Addressing IP in Relation to Global Policy Issues</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t>VIII A Responsive Communications Interface between WIPO, its Member States and All Stakeholders</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bl>
    <w:p w:rsidR="006B41E4" w:rsidRDefault="006B41E4" w:rsidP="006B41E4">
      <w:pPr>
        <w:jc w:val="center"/>
      </w:pPr>
    </w:p>
    <w:p w:rsidR="006B41E4" w:rsidRDefault="006B41E4" w:rsidP="006B41E4">
      <w:pPr>
        <w:jc w:val="center"/>
      </w:pPr>
    </w:p>
    <w:p w:rsidR="006B41E4" w:rsidRDefault="006B41E4" w:rsidP="006B41E4">
      <w:r>
        <w:fldChar w:fldCharType="begin"/>
      </w:r>
      <w:r>
        <w:instrText xml:space="preserve"> AUTONUM  </w:instrText>
      </w:r>
      <w:r>
        <w:fldChar w:fldCharType="end"/>
      </w:r>
      <w:r>
        <w:tab/>
      </w:r>
      <w:r w:rsidRPr="00BF55EE">
        <w:t xml:space="preserve">It is generally agreed that </w:t>
      </w:r>
      <w:r>
        <w:t>EO</w:t>
      </w:r>
      <w:r w:rsidRPr="00BF55EE">
        <w:t xml:space="preserve">s should not duplicate work performed at </w:t>
      </w:r>
      <w:r>
        <w:t>HQ</w:t>
      </w:r>
      <w:r w:rsidRPr="00BF55EE">
        <w:t xml:space="preserve">, but should perform work that cannot be performed at </w:t>
      </w:r>
      <w:r>
        <w:t>HQ</w:t>
      </w:r>
      <w:r w:rsidRPr="00BF55EE">
        <w:t xml:space="preserve"> or that can be performed more efficiently or effectively in the </w:t>
      </w:r>
      <w:r>
        <w:t>EO</w:t>
      </w:r>
      <w:r w:rsidRPr="00BF55EE">
        <w:t xml:space="preserve"> than at </w:t>
      </w:r>
      <w:r>
        <w:t>HQ</w:t>
      </w:r>
      <w:r w:rsidRPr="00BF55EE">
        <w:t xml:space="preserve">. </w:t>
      </w:r>
      <w:r>
        <w:t xml:space="preserve"> </w:t>
      </w:r>
      <w:r w:rsidRPr="00BF55EE">
        <w:t xml:space="preserve">As activities </w:t>
      </w:r>
      <w:r>
        <w:t xml:space="preserve">are </w:t>
      </w:r>
      <w:r w:rsidRPr="00BF55EE">
        <w:t>undertaken</w:t>
      </w:r>
      <w:r>
        <w:t>,</w:t>
      </w:r>
      <w:r w:rsidRPr="00BF55EE">
        <w:t xml:space="preserve"> and achievements made, by the existing </w:t>
      </w:r>
      <w:r>
        <w:t>EO</w:t>
      </w:r>
      <w:r w:rsidRPr="00BF55EE">
        <w:t>s i</w:t>
      </w:r>
      <w:r>
        <w:t>ndicate in the respective activity report in the above sections, the added value of the existing EOs can be summarized as follows:</w:t>
      </w:r>
    </w:p>
    <w:p w:rsidR="006B41E4" w:rsidRDefault="006B41E4" w:rsidP="006B41E4"/>
    <w:p w:rsidR="006B41E4" w:rsidRDefault="006B41E4" w:rsidP="006B41E4">
      <w:pPr>
        <w:numPr>
          <w:ilvl w:val="0"/>
          <w:numId w:val="31"/>
        </w:numPr>
        <w:ind w:left="1134" w:hanging="567"/>
      </w:pPr>
      <w:r w:rsidRPr="00BF55EE">
        <w:t>a strong communications interface with the local stakeholders and the host government cannot be created by occasional missions and visits</w:t>
      </w:r>
      <w:r>
        <w:t>, EOs contributed to cooperation with Member States to meet demands from users of WIPO services;</w:t>
      </w:r>
    </w:p>
    <w:p w:rsidR="006B41E4" w:rsidRDefault="006B41E4" w:rsidP="006B41E4">
      <w:pPr>
        <w:numPr>
          <w:ilvl w:val="0"/>
          <w:numId w:val="31"/>
        </w:numPr>
        <w:ind w:left="1134" w:hanging="567"/>
      </w:pPr>
      <w:r>
        <w:t>numerous missions were saved by having EOs participate in meetings in the host country and its neighboring countries which supplemented activities by WIPO HQ;</w:t>
      </w:r>
    </w:p>
    <w:p w:rsidR="006B41E4" w:rsidRDefault="006B41E4" w:rsidP="006B41E4">
      <w:pPr>
        <w:numPr>
          <w:ilvl w:val="0"/>
          <w:numId w:val="31"/>
        </w:numPr>
        <w:ind w:left="1134" w:hanging="567"/>
      </w:pPr>
      <w:r>
        <w:t>EOs were able to increase the number of activities such as seminars and workshops in the host country in which otherwise delegations from WIPO HQ might have been unable to participate due to the limited human and financial resources, thus strengthening capacity-building and provision of technical assistance;</w:t>
      </w:r>
    </w:p>
    <w:p w:rsidR="006B41E4" w:rsidRDefault="006B41E4" w:rsidP="006B41E4">
      <w:pPr>
        <w:numPr>
          <w:ilvl w:val="0"/>
          <w:numId w:val="31"/>
        </w:numPr>
        <w:ind w:left="1134" w:hanging="567"/>
      </w:pPr>
      <w:r>
        <w:t xml:space="preserve">WIPO’s geographical coverage became global (a global customer network or the Round-the-Clock service) in providing WIPO’s services which WIPO HQ alone cannot achieve; and </w:t>
      </w:r>
    </w:p>
    <w:p w:rsidR="006B41E4" w:rsidRDefault="006B41E4" w:rsidP="006B41E4">
      <w:pPr>
        <w:numPr>
          <w:ilvl w:val="0"/>
          <w:numId w:val="31"/>
        </w:numPr>
        <w:ind w:left="1134" w:hanging="567"/>
      </w:pPr>
      <w:r>
        <w:t xml:space="preserve">EOs constitute an integral part of a WIPO global office network as a means of providing timely and efficient services to stakeholders over the world. </w:t>
      </w:r>
    </w:p>
    <w:p w:rsidR="006B41E4" w:rsidRDefault="006B41E4" w:rsidP="006B41E4"/>
    <w:p w:rsidR="006B41E4" w:rsidRPr="009440DF" w:rsidRDefault="006B41E4" w:rsidP="006B41E4">
      <w:pPr>
        <w:pStyle w:val="Heading3"/>
      </w:pPr>
      <w:bookmarkStart w:id="19" w:name="_Toc362612220"/>
      <w:r w:rsidRPr="009440DF">
        <w:t>Resources</w:t>
      </w:r>
      <w:r>
        <w:t xml:space="preserve"> and Cost Efficiency</w:t>
      </w:r>
      <w:bookmarkEnd w:id="19"/>
    </w:p>
    <w:p w:rsidR="006B41E4" w:rsidRDefault="006B41E4" w:rsidP="006B41E4"/>
    <w:p w:rsidR="006B41E4" w:rsidRDefault="006B41E4" w:rsidP="006B41E4">
      <w:r>
        <w:fldChar w:fldCharType="begin"/>
      </w:r>
      <w:r>
        <w:instrText xml:space="preserve"> AUTONUM  </w:instrText>
      </w:r>
      <w:r>
        <w:fldChar w:fldCharType="end"/>
      </w:r>
      <w:r>
        <w:tab/>
        <w:t xml:space="preserve">One of benefits was the financial or in-kind contribution made by the host country to the existing Offices.  The provision of the premises that the existing EOs can use removes WIPO's long-term liability as far as premises are concerned. </w:t>
      </w:r>
    </w:p>
    <w:p w:rsidR="006B41E4" w:rsidRDefault="006B41E4" w:rsidP="006B41E4"/>
    <w:p w:rsidR="006B41E4" w:rsidRDefault="006B41E4" w:rsidP="006B41E4">
      <w:pPr>
        <w:jc w:val="center"/>
      </w:pPr>
      <w:r>
        <w:t>Table 5:  Contributions by the host government</w:t>
      </w:r>
    </w:p>
    <w:p w:rsidR="006B41E4" w:rsidRDefault="006B41E4" w:rsidP="006B41E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6B41E4" w:rsidTr="006B41E4">
        <w:tc>
          <w:tcPr>
            <w:tcW w:w="5729" w:type="dxa"/>
            <w:shd w:val="clear" w:color="auto" w:fill="auto"/>
          </w:tcPr>
          <w:p w:rsidR="006B41E4" w:rsidRDefault="006B41E4" w:rsidP="006B41E4">
            <w:pPr>
              <w:jc w:val="center"/>
            </w:pPr>
            <w:r>
              <w:t>Contribution</w:t>
            </w:r>
          </w:p>
        </w:tc>
        <w:tc>
          <w:tcPr>
            <w:tcW w:w="1219" w:type="dxa"/>
            <w:shd w:val="clear" w:color="auto" w:fill="auto"/>
          </w:tcPr>
          <w:p w:rsidR="006B41E4" w:rsidRDefault="006B41E4" w:rsidP="006B41E4">
            <w:pPr>
              <w:jc w:val="center"/>
            </w:pPr>
            <w:r>
              <w:t>WSO</w:t>
            </w:r>
          </w:p>
        </w:tc>
        <w:tc>
          <w:tcPr>
            <w:tcW w:w="1260" w:type="dxa"/>
            <w:shd w:val="clear" w:color="auto" w:fill="auto"/>
          </w:tcPr>
          <w:p w:rsidR="006B41E4" w:rsidRDefault="006B41E4" w:rsidP="006B41E4">
            <w:pPr>
              <w:jc w:val="center"/>
            </w:pPr>
            <w:r>
              <w:t>WJO</w:t>
            </w:r>
          </w:p>
        </w:tc>
        <w:tc>
          <w:tcPr>
            <w:tcW w:w="1260" w:type="dxa"/>
            <w:shd w:val="clear" w:color="auto" w:fill="auto"/>
          </w:tcPr>
          <w:p w:rsidR="006B41E4" w:rsidRDefault="006B41E4" w:rsidP="006B41E4">
            <w:pPr>
              <w:jc w:val="center"/>
            </w:pPr>
            <w:r>
              <w:t>WBO</w:t>
            </w:r>
          </w:p>
        </w:tc>
      </w:tr>
      <w:tr w:rsidR="006B41E4" w:rsidTr="006B41E4">
        <w:tc>
          <w:tcPr>
            <w:tcW w:w="5729" w:type="dxa"/>
            <w:shd w:val="clear" w:color="auto" w:fill="auto"/>
          </w:tcPr>
          <w:p w:rsidR="006B41E4" w:rsidRDefault="006B41E4" w:rsidP="006B41E4">
            <w:pPr>
              <w:jc w:val="center"/>
            </w:pPr>
            <w:r w:rsidRPr="00B17BEC">
              <w:t>Privileges and immunities extended to the Office</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rsidRPr="00B17BEC">
              <w:t>Provision of the premises</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p>
        </w:tc>
      </w:tr>
      <w:tr w:rsidR="006B41E4" w:rsidTr="006B41E4">
        <w:tc>
          <w:tcPr>
            <w:tcW w:w="5729" w:type="dxa"/>
            <w:shd w:val="clear" w:color="auto" w:fill="auto"/>
          </w:tcPr>
          <w:p w:rsidR="006B41E4" w:rsidRDefault="006B41E4" w:rsidP="006B41E4">
            <w:pPr>
              <w:jc w:val="center"/>
            </w:pPr>
            <w:r>
              <w:t xml:space="preserve">Joint organization of meetings </w:t>
            </w:r>
          </w:p>
        </w:tc>
        <w:tc>
          <w:tcPr>
            <w:tcW w:w="1219"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r w:rsidR="006B41E4" w:rsidTr="006B41E4">
        <w:tc>
          <w:tcPr>
            <w:tcW w:w="5729" w:type="dxa"/>
            <w:shd w:val="clear" w:color="auto" w:fill="auto"/>
          </w:tcPr>
          <w:p w:rsidR="006B41E4" w:rsidRDefault="006B41E4" w:rsidP="006B41E4">
            <w:pPr>
              <w:jc w:val="center"/>
            </w:pPr>
            <w:r>
              <w:t>FIT</w:t>
            </w:r>
          </w:p>
        </w:tc>
        <w:tc>
          <w:tcPr>
            <w:tcW w:w="1219" w:type="dxa"/>
            <w:shd w:val="clear" w:color="auto" w:fill="auto"/>
          </w:tcPr>
          <w:p w:rsidR="006B41E4" w:rsidRDefault="006B41E4" w:rsidP="006B41E4">
            <w:pPr>
              <w:jc w:val="center"/>
            </w:pP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r>
    </w:tbl>
    <w:p w:rsidR="006B41E4" w:rsidRDefault="006B41E4" w:rsidP="006B41E4"/>
    <w:p w:rsidR="006B41E4" w:rsidRPr="004A42A6" w:rsidRDefault="006B41E4" w:rsidP="006B41E4">
      <w:r>
        <w:fldChar w:fldCharType="begin"/>
      </w:r>
      <w:r>
        <w:instrText xml:space="preserve"> AUTONUM  </w:instrText>
      </w:r>
      <w:r>
        <w:fldChar w:fldCharType="end"/>
      </w:r>
      <w:r>
        <w:tab/>
        <w:t>Resources allocated to the existing EOs are indicated in t</w:t>
      </w:r>
      <w:r w:rsidRPr="004A42A6">
        <w:t xml:space="preserve">he following table </w:t>
      </w:r>
      <w:r>
        <w:t xml:space="preserve">which </w:t>
      </w:r>
      <w:r w:rsidRPr="004A42A6">
        <w:t xml:space="preserve">shows the resource breakdown for the existing </w:t>
      </w:r>
      <w:r>
        <w:t>EO</w:t>
      </w:r>
      <w:r w:rsidRPr="004A42A6">
        <w:t>s budgeted under Program 20</w:t>
      </w:r>
      <w:r>
        <w:t xml:space="preserve"> (it shows also resources to New York liaison bureau for comparison)</w:t>
      </w:r>
      <w:r w:rsidRPr="004A42A6">
        <w:t xml:space="preserve">: </w:t>
      </w:r>
    </w:p>
    <w:p w:rsidR="006B41E4" w:rsidRDefault="006B41E4" w:rsidP="006B41E4">
      <w:pPr>
        <w:rPr>
          <w:u w:val="single"/>
        </w:rPr>
      </w:pPr>
      <w:r>
        <w:rPr>
          <w:u w:val="single"/>
        </w:rPr>
        <w:br w:type="page"/>
      </w:r>
    </w:p>
    <w:p w:rsidR="006B41E4" w:rsidRDefault="006B41E4" w:rsidP="006B41E4">
      <w:pPr>
        <w:rPr>
          <w:u w:val="single"/>
        </w:rPr>
      </w:pPr>
    </w:p>
    <w:tbl>
      <w:tblPr>
        <w:tblW w:w="7780" w:type="dxa"/>
        <w:jc w:val="center"/>
        <w:tblInd w:w="93" w:type="dxa"/>
        <w:tblLook w:val="04A0" w:firstRow="1" w:lastRow="0" w:firstColumn="1" w:lastColumn="0" w:noHBand="0" w:noVBand="1"/>
      </w:tblPr>
      <w:tblGrid>
        <w:gridCol w:w="2680"/>
        <w:gridCol w:w="1137"/>
        <w:gridCol w:w="1275"/>
        <w:gridCol w:w="1344"/>
        <w:gridCol w:w="1344"/>
      </w:tblGrid>
      <w:tr w:rsidR="006B41E4" w:rsidRPr="00476740" w:rsidTr="006B41E4">
        <w:trPr>
          <w:trHeight w:val="255"/>
          <w:jc w:val="center"/>
        </w:trPr>
        <w:tc>
          <w:tcPr>
            <w:tcW w:w="7780" w:type="dxa"/>
            <w:gridSpan w:val="5"/>
            <w:tcBorders>
              <w:top w:val="nil"/>
              <w:left w:val="nil"/>
              <w:bottom w:val="nil"/>
              <w:right w:val="nil"/>
            </w:tcBorders>
            <w:shd w:val="clear" w:color="auto" w:fill="auto"/>
            <w:noWrap/>
            <w:vAlign w:val="center"/>
            <w:hideMark/>
          </w:tcPr>
          <w:p w:rsidR="006B41E4" w:rsidRPr="00476740" w:rsidRDefault="006B41E4" w:rsidP="006B41E4">
            <w:pPr>
              <w:jc w:val="center"/>
              <w:rPr>
                <w:rFonts w:eastAsia="Times New Roman"/>
                <w:b/>
                <w:bCs/>
                <w:sz w:val="20"/>
                <w:lang w:eastAsia="ja-JP"/>
              </w:rPr>
            </w:pPr>
            <w:r>
              <w:rPr>
                <w:rFonts w:eastAsia="Times New Roman"/>
                <w:b/>
                <w:bCs/>
                <w:sz w:val="20"/>
                <w:lang w:eastAsia="ja-JP"/>
              </w:rPr>
              <w:t xml:space="preserve">Table 6; </w:t>
            </w:r>
            <w:r w:rsidRPr="00476740">
              <w:rPr>
                <w:rFonts w:eastAsia="Times New Roman"/>
                <w:b/>
                <w:bCs/>
                <w:sz w:val="20"/>
                <w:lang w:eastAsia="ja-JP"/>
              </w:rPr>
              <w:t>Approved/Proposed Budgets for External Offices</w:t>
            </w:r>
          </w:p>
        </w:tc>
      </w:tr>
      <w:tr w:rsidR="006B41E4" w:rsidRPr="00476740" w:rsidTr="006B41E4">
        <w:trPr>
          <w:trHeight w:val="255"/>
          <w:jc w:val="center"/>
        </w:trPr>
        <w:tc>
          <w:tcPr>
            <w:tcW w:w="7780" w:type="dxa"/>
            <w:gridSpan w:val="5"/>
            <w:tcBorders>
              <w:top w:val="nil"/>
              <w:left w:val="nil"/>
              <w:bottom w:val="nil"/>
              <w:right w:val="nil"/>
            </w:tcBorders>
            <w:shd w:val="clear" w:color="auto" w:fill="auto"/>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(in thousands of Swiss francs)</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single" w:sz="4" w:space="0" w:color="auto"/>
              <w:left w:val="single" w:sz="4" w:space="0" w:color="auto"/>
              <w:bottom w:val="nil"/>
              <w:right w:val="single" w:sz="4" w:space="0" w:color="auto"/>
            </w:tcBorders>
            <w:shd w:val="clear" w:color="000000" w:fill="CCFFFF"/>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 </w:t>
            </w:r>
          </w:p>
        </w:tc>
        <w:tc>
          <w:tcPr>
            <w:tcW w:w="1137" w:type="dxa"/>
            <w:tcBorders>
              <w:top w:val="single" w:sz="4" w:space="0" w:color="auto"/>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Revised</w:t>
            </w:r>
          </w:p>
        </w:tc>
        <w:tc>
          <w:tcPr>
            <w:tcW w:w="1275" w:type="dxa"/>
            <w:tcBorders>
              <w:top w:val="single" w:sz="4" w:space="0" w:color="auto"/>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Approved</w:t>
            </w:r>
          </w:p>
        </w:tc>
        <w:tc>
          <w:tcPr>
            <w:tcW w:w="1344" w:type="dxa"/>
            <w:tcBorders>
              <w:top w:val="single" w:sz="4" w:space="0" w:color="auto"/>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Approved</w:t>
            </w:r>
          </w:p>
        </w:tc>
        <w:tc>
          <w:tcPr>
            <w:tcW w:w="1344" w:type="dxa"/>
            <w:tcBorders>
              <w:top w:val="single" w:sz="4" w:space="0" w:color="auto"/>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Proposed</w:t>
            </w:r>
          </w:p>
        </w:tc>
      </w:tr>
      <w:tr w:rsidR="006B41E4" w:rsidRPr="00476740" w:rsidTr="006B41E4">
        <w:trPr>
          <w:trHeight w:val="255"/>
          <w:jc w:val="center"/>
        </w:trPr>
        <w:tc>
          <w:tcPr>
            <w:tcW w:w="2680" w:type="dxa"/>
            <w:tcBorders>
              <w:top w:val="nil"/>
              <w:left w:val="single" w:sz="4" w:space="0" w:color="auto"/>
              <w:bottom w:val="nil"/>
              <w:right w:val="single" w:sz="4" w:space="0" w:color="auto"/>
            </w:tcBorders>
            <w:shd w:val="clear" w:color="000000" w:fill="CCFFFF"/>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 </w:t>
            </w:r>
          </w:p>
        </w:tc>
        <w:tc>
          <w:tcPr>
            <w:tcW w:w="1137" w:type="dxa"/>
            <w:tcBorders>
              <w:top w:val="nil"/>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Budget</w:t>
            </w:r>
          </w:p>
        </w:tc>
        <w:tc>
          <w:tcPr>
            <w:tcW w:w="1275" w:type="dxa"/>
            <w:tcBorders>
              <w:top w:val="nil"/>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Budget</w:t>
            </w:r>
          </w:p>
        </w:tc>
        <w:tc>
          <w:tcPr>
            <w:tcW w:w="1344" w:type="dxa"/>
            <w:tcBorders>
              <w:top w:val="nil"/>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Budget</w:t>
            </w:r>
          </w:p>
        </w:tc>
        <w:tc>
          <w:tcPr>
            <w:tcW w:w="1344" w:type="dxa"/>
            <w:tcBorders>
              <w:top w:val="nil"/>
              <w:left w:val="nil"/>
              <w:bottom w:val="nil"/>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Budget</w:t>
            </w:r>
          </w:p>
        </w:tc>
      </w:tr>
      <w:tr w:rsidR="006B41E4" w:rsidRPr="00476740" w:rsidTr="006B41E4">
        <w:trPr>
          <w:trHeight w:val="525"/>
          <w:jc w:val="center"/>
        </w:trPr>
        <w:tc>
          <w:tcPr>
            <w:tcW w:w="2680" w:type="dxa"/>
            <w:tcBorders>
              <w:top w:val="nil"/>
              <w:left w:val="single" w:sz="4" w:space="0" w:color="auto"/>
              <w:bottom w:val="single" w:sz="4" w:space="0" w:color="auto"/>
              <w:right w:val="single" w:sz="4" w:space="0" w:color="auto"/>
            </w:tcBorders>
            <w:shd w:val="clear" w:color="000000" w:fill="CCFFFF"/>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 </w:t>
            </w:r>
          </w:p>
        </w:tc>
        <w:tc>
          <w:tcPr>
            <w:tcW w:w="1137" w:type="dxa"/>
            <w:tcBorders>
              <w:top w:val="nil"/>
              <w:left w:val="nil"/>
              <w:bottom w:val="single" w:sz="4" w:space="0" w:color="auto"/>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2008/09</w:t>
            </w:r>
          </w:p>
        </w:tc>
        <w:tc>
          <w:tcPr>
            <w:tcW w:w="1275" w:type="dxa"/>
            <w:tcBorders>
              <w:top w:val="nil"/>
              <w:left w:val="nil"/>
              <w:bottom w:val="single" w:sz="4" w:space="0" w:color="auto"/>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2010/11</w:t>
            </w:r>
          </w:p>
        </w:tc>
        <w:tc>
          <w:tcPr>
            <w:tcW w:w="1344" w:type="dxa"/>
            <w:tcBorders>
              <w:top w:val="nil"/>
              <w:left w:val="nil"/>
              <w:bottom w:val="single" w:sz="4" w:space="0" w:color="auto"/>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2012/13</w:t>
            </w:r>
          </w:p>
        </w:tc>
        <w:tc>
          <w:tcPr>
            <w:tcW w:w="1344" w:type="dxa"/>
            <w:tcBorders>
              <w:top w:val="nil"/>
              <w:left w:val="nil"/>
              <w:bottom w:val="single" w:sz="4" w:space="0" w:color="auto"/>
              <w:right w:val="single" w:sz="4" w:space="0" w:color="auto"/>
            </w:tcBorders>
            <w:shd w:val="clear" w:color="000000" w:fill="CCFFFF"/>
            <w:noWrap/>
            <w:vAlign w:val="bottom"/>
            <w:hideMark/>
          </w:tcPr>
          <w:p w:rsidR="006B41E4" w:rsidRPr="00476740" w:rsidRDefault="006B41E4" w:rsidP="006B41E4">
            <w:pPr>
              <w:jc w:val="center"/>
              <w:rPr>
                <w:rFonts w:eastAsia="Times New Roman"/>
                <w:i/>
                <w:iCs/>
                <w:sz w:val="20"/>
                <w:lang w:eastAsia="ja-JP"/>
              </w:rPr>
            </w:pPr>
            <w:r w:rsidRPr="00476740">
              <w:rPr>
                <w:rFonts w:eastAsia="Times New Roman"/>
                <w:i/>
                <w:iCs/>
                <w:sz w:val="20"/>
                <w:lang w:eastAsia="ja-JP"/>
              </w:rPr>
              <w:t>2014/15</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New York</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1,441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1,284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1,051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895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Non-Personnel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906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884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880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792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r w:rsidRPr="00476740">
              <w:rPr>
                <w:rFonts w:eastAsia="Times New Roman"/>
                <w:b/>
                <w:bCs/>
                <w:i/>
                <w:iCs/>
                <w:sz w:val="20"/>
                <w:lang w:eastAsia="ja-JP"/>
              </w:rPr>
              <w:t>Total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2,347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2,168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1,931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1,687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Brazil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jc w:val="right"/>
              <w:rPr>
                <w:rFonts w:eastAsia="Times New Roman"/>
                <w:sz w:val="20"/>
                <w:lang w:eastAsia="ja-JP"/>
              </w:rPr>
            </w:pPr>
            <w:r w:rsidRPr="00476740">
              <w:rPr>
                <w:rFonts w:eastAsia="Times New Roman"/>
                <w:sz w:val="20"/>
                <w:lang w:eastAsia="ja-JP"/>
              </w:rPr>
              <w:t xml:space="preserve"> n/a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593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1,145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1,742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Non-Personnel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jc w:val="right"/>
              <w:rPr>
                <w:rFonts w:eastAsia="Times New Roman"/>
                <w:sz w:val="20"/>
                <w:lang w:eastAsia="ja-JP"/>
              </w:rPr>
            </w:pPr>
            <w:r w:rsidRPr="00476740">
              <w:rPr>
                <w:rFonts w:eastAsia="Times New Roman"/>
                <w:sz w:val="20"/>
                <w:lang w:eastAsia="ja-JP"/>
              </w:rPr>
              <w:t xml:space="preserve"> n/a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85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510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519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r w:rsidRPr="00476740">
              <w:rPr>
                <w:rFonts w:eastAsia="Times New Roman"/>
                <w:b/>
                <w:bCs/>
                <w:i/>
                <w:iCs/>
                <w:sz w:val="20"/>
                <w:lang w:eastAsia="ja-JP"/>
              </w:rPr>
              <w:t>Total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jc w:val="right"/>
              <w:rPr>
                <w:rFonts w:eastAsia="Times New Roman"/>
                <w:b/>
                <w:bCs/>
                <w:i/>
                <w:iCs/>
                <w:sz w:val="20"/>
                <w:lang w:eastAsia="ja-JP"/>
              </w:rPr>
            </w:pPr>
            <w:r w:rsidRPr="00476740">
              <w:rPr>
                <w:rFonts w:eastAsia="Times New Roman"/>
                <w:b/>
                <w:bCs/>
                <w:i/>
                <w:iCs/>
                <w:sz w:val="20"/>
                <w:lang w:eastAsia="ja-JP"/>
              </w:rPr>
              <w:t xml:space="preserve"> n/a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678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1,655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2,261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Tokyo</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637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334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401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834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Non-Personnel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22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21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200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204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r w:rsidRPr="00476740">
              <w:rPr>
                <w:rFonts w:eastAsia="Times New Roman"/>
                <w:b/>
                <w:bCs/>
                <w:i/>
                <w:iCs/>
                <w:sz w:val="20"/>
                <w:lang w:eastAsia="ja-JP"/>
              </w:rPr>
              <w:t>Total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659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355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601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1,038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rPr>
                <w:rFonts w:eastAsia="Times New Roman"/>
                <w:b/>
                <w:bCs/>
                <w:sz w:val="20"/>
                <w:lang w:eastAsia="ja-JP"/>
              </w:rPr>
            </w:pPr>
            <w:r w:rsidRPr="00476740">
              <w:rPr>
                <w:rFonts w:eastAsia="Times New Roman"/>
                <w:b/>
                <w:bCs/>
                <w:sz w:val="20"/>
                <w:lang w:eastAsia="ja-JP"/>
              </w:rPr>
              <w:t>Singapore</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375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1,534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1,848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1,781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200" w:firstLine="400"/>
              <w:rPr>
                <w:rFonts w:eastAsia="Times New Roman"/>
                <w:sz w:val="20"/>
                <w:lang w:eastAsia="ja-JP"/>
              </w:rPr>
            </w:pPr>
            <w:r w:rsidRPr="00476740">
              <w:rPr>
                <w:rFonts w:eastAsia="Times New Roman"/>
                <w:sz w:val="20"/>
                <w:lang w:eastAsia="ja-JP"/>
              </w:rPr>
              <w:t>Non-Personnel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154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176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548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sz w:val="20"/>
                <w:lang w:eastAsia="ja-JP"/>
              </w:rPr>
            </w:pPr>
            <w:r w:rsidRPr="00476740">
              <w:rPr>
                <w:rFonts w:eastAsia="Times New Roman"/>
                <w:sz w:val="20"/>
                <w:lang w:eastAsia="ja-JP"/>
              </w:rPr>
              <w:t xml:space="preserve">             493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r w:rsidRPr="00476740">
              <w:rPr>
                <w:rFonts w:eastAsia="Times New Roman"/>
                <w:b/>
                <w:bCs/>
                <w:i/>
                <w:iCs/>
                <w:sz w:val="20"/>
                <w:lang w:eastAsia="ja-JP"/>
              </w:rPr>
              <w:t>Total</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529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1,710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2,396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2,274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r w:rsidRPr="00476740">
              <w:rPr>
                <w:rFonts w:eastAsia="Times New Roman"/>
                <w:b/>
                <w:bCs/>
                <w:i/>
                <w:iCs/>
                <w:sz w:val="20"/>
                <w:lang w:eastAsia="ja-JP"/>
              </w:rPr>
              <w:t>Total, Existing Offices</w:t>
            </w: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3,535 </w:t>
            </w: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4,911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6,583 </w:t>
            </w: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r w:rsidRPr="00476740">
              <w:rPr>
                <w:rFonts w:eastAsia="Times New Roman"/>
                <w:b/>
                <w:bCs/>
                <w:i/>
                <w:iCs/>
                <w:sz w:val="20"/>
                <w:lang w:eastAsia="ja-JP"/>
              </w:rPr>
              <w:t xml:space="preserve">         7,260 </w:t>
            </w:r>
          </w:p>
        </w:tc>
      </w:tr>
      <w:tr w:rsidR="006B41E4" w:rsidRPr="00476740" w:rsidTr="006B41E4">
        <w:trPr>
          <w:trHeight w:val="255"/>
          <w:jc w:val="center"/>
        </w:trPr>
        <w:tc>
          <w:tcPr>
            <w:tcW w:w="2680" w:type="dxa"/>
            <w:tcBorders>
              <w:top w:val="nil"/>
              <w:left w:val="nil"/>
              <w:bottom w:val="nil"/>
              <w:right w:val="nil"/>
            </w:tcBorders>
            <w:shd w:val="clear" w:color="auto" w:fill="auto"/>
            <w:vAlign w:val="center"/>
            <w:hideMark/>
          </w:tcPr>
          <w:p w:rsidR="006B41E4" w:rsidRPr="00476740" w:rsidRDefault="006B41E4" w:rsidP="006B41E4">
            <w:pPr>
              <w:ind w:firstLineChars="100" w:firstLine="201"/>
              <w:rPr>
                <w:rFonts w:eastAsia="Times New Roman"/>
                <w:b/>
                <w:bCs/>
                <w:i/>
                <w:iCs/>
                <w:sz w:val="20"/>
                <w:lang w:eastAsia="ja-JP"/>
              </w:rPr>
            </w:pPr>
          </w:p>
        </w:tc>
        <w:tc>
          <w:tcPr>
            <w:tcW w:w="1137"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275"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c>
          <w:tcPr>
            <w:tcW w:w="1344" w:type="dxa"/>
            <w:tcBorders>
              <w:top w:val="nil"/>
              <w:left w:val="nil"/>
              <w:bottom w:val="nil"/>
              <w:right w:val="nil"/>
            </w:tcBorders>
            <w:shd w:val="clear" w:color="auto" w:fill="auto"/>
            <w:noWrap/>
            <w:vAlign w:val="bottom"/>
            <w:hideMark/>
          </w:tcPr>
          <w:p w:rsidR="006B41E4" w:rsidRPr="00476740" w:rsidRDefault="006B41E4" w:rsidP="006B41E4">
            <w:pPr>
              <w:rPr>
                <w:rFonts w:eastAsia="Times New Roman"/>
                <w:b/>
                <w:bCs/>
                <w:i/>
                <w:iCs/>
                <w:sz w:val="20"/>
                <w:lang w:eastAsia="ja-JP"/>
              </w:rPr>
            </w:pPr>
          </w:p>
        </w:tc>
      </w:tr>
    </w:tbl>
    <w:p w:rsidR="006B41E4" w:rsidRPr="004A42A6" w:rsidRDefault="006B41E4" w:rsidP="006B41E4">
      <w:pPr>
        <w:rPr>
          <w:u w:val="single"/>
        </w:rPr>
      </w:pPr>
    </w:p>
    <w:p w:rsidR="006B41E4" w:rsidRDefault="006B41E4" w:rsidP="006B41E4">
      <w:r>
        <w:fldChar w:fldCharType="begin"/>
      </w:r>
      <w:r>
        <w:instrText xml:space="preserve"> AUTONUM  </w:instrText>
      </w:r>
      <w:r>
        <w:fldChar w:fldCharType="end"/>
      </w:r>
      <w:r>
        <w:tab/>
        <w:t xml:space="preserve">The expenditure of the WSO, WJO and WBO in 2012 were respectively about </w:t>
      </w:r>
      <w:r>
        <w:br/>
        <w:t>215,</w:t>
      </w:r>
      <w:r w:rsidRPr="00C91890">
        <w:t>000 CHF</w:t>
      </w:r>
      <w:r>
        <w:t xml:space="preserve">, </w:t>
      </w:r>
      <w:r w:rsidRPr="00980AB9">
        <w:t>92</w:t>
      </w:r>
      <w:r>
        <w:t>,</w:t>
      </w:r>
      <w:r w:rsidRPr="00980AB9">
        <w:t>000 CHF</w:t>
      </w:r>
      <w:r>
        <w:t xml:space="preserve">, and </w:t>
      </w:r>
      <w:r w:rsidRPr="00980AB9">
        <w:t>287</w:t>
      </w:r>
      <w:r>
        <w:t>,</w:t>
      </w:r>
      <w:r w:rsidRPr="00980AB9">
        <w:t>000</w:t>
      </w:r>
      <w:r>
        <w:t xml:space="preserve"> </w:t>
      </w:r>
      <w:r w:rsidRPr="00980AB9">
        <w:t>CHF</w:t>
      </w:r>
      <w:r>
        <w:t xml:space="preserve"> (all non-personnel costs), and excluding the expenditure of FITs.</w:t>
      </w:r>
    </w:p>
    <w:p w:rsidR="006B41E4" w:rsidRDefault="006B41E4" w:rsidP="006B41E4"/>
    <w:p w:rsidR="006B41E4" w:rsidRPr="004A42A6" w:rsidRDefault="006B41E4" w:rsidP="006B41E4">
      <w:r>
        <w:fldChar w:fldCharType="begin"/>
      </w:r>
      <w:r>
        <w:instrText xml:space="preserve"> AUTONUM  </w:instrText>
      </w:r>
      <w:r>
        <w:fldChar w:fldCharType="end"/>
      </w:r>
      <w:r>
        <w:tab/>
        <w:t xml:space="preserve">WIPO’s </w:t>
      </w:r>
      <w:r w:rsidRPr="004A42A6">
        <w:t xml:space="preserve">cost efficiencies achieved in 2012/13 have been fully taken into account in the baselines used for the </w:t>
      </w:r>
      <w:r>
        <w:t>draft</w:t>
      </w:r>
      <w:r w:rsidRPr="004A42A6">
        <w:t xml:space="preserve"> Program and Budget 2014/15.  The Secretariat’s continued efforts to achieve further efficiencies has made it possible to accommodate a number of upward pressures on costs for specific initiatives, including the establishment of the new </w:t>
      </w:r>
      <w:r>
        <w:t>EO</w:t>
      </w:r>
      <w:r w:rsidRPr="004A42A6">
        <w:t xml:space="preserve">s.  Accordingly, no additional funds are foreseen to be used to this purpose beyond what has been clearly set out for consideration and approval of Member States as part of the </w:t>
      </w:r>
      <w:r>
        <w:t>draft Program and Budget for the next biennium 2014/</w:t>
      </w:r>
      <w:r w:rsidRPr="004A42A6">
        <w:t xml:space="preserve">15.  </w:t>
      </w:r>
    </w:p>
    <w:p w:rsidR="006B41E4" w:rsidRDefault="006B41E4" w:rsidP="006B41E4"/>
    <w:p w:rsidR="006B41E4" w:rsidRDefault="006B41E4" w:rsidP="006B41E4">
      <w:r>
        <w:fldChar w:fldCharType="begin"/>
      </w:r>
      <w:r>
        <w:instrText xml:space="preserve"> AUTONUM  </w:instrText>
      </w:r>
      <w:r>
        <w:fldChar w:fldCharType="end"/>
      </w:r>
      <w:r>
        <w:tab/>
        <w:t xml:space="preserve">As regards human resources, since 2008, WIPO has kept the total headcount of the Organization unchanged and, within these constraints, WIPO has managed to staff the existing EOs.  This means that there has been, so far, no additional long-term liability of human resources for the existing offices.  Furthermore, as a recent procurement of administrative service shows, local services are less expensive in Brazil (less than half when compared to Geneva rate), or give higher quality services of bilingual staff (English and Japanese) in Tokyo and trilingual staff (English, Spanish and Portuguese) in Brazil, in comparison with equivalent services available in Geneva at the same rate.   </w:t>
      </w:r>
    </w:p>
    <w:p w:rsidR="006B41E4" w:rsidRDefault="006B41E4" w:rsidP="006B41E4"/>
    <w:p w:rsidR="006B41E4" w:rsidRDefault="006B41E4" w:rsidP="006B41E4">
      <w:r>
        <w:fldChar w:fldCharType="begin"/>
      </w:r>
      <w:r>
        <w:instrText xml:space="preserve"> AUTONUM  </w:instrText>
      </w:r>
      <w:r>
        <w:fldChar w:fldCharType="end"/>
      </w:r>
      <w:r>
        <w:tab/>
        <w:t xml:space="preserve">The human resources of the WSO are as follows: one </w:t>
      </w:r>
      <w:r w:rsidRPr="00C91890">
        <w:t xml:space="preserve">D, </w:t>
      </w:r>
      <w:r>
        <w:t xml:space="preserve">one P5, one </w:t>
      </w:r>
      <w:r w:rsidRPr="00C91890">
        <w:t xml:space="preserve">P4 and one </w:t>
      </w:r>
      <w:r>
        <w:t xml:space="preserve">short-term employee.  IP Office Business Solutions Division (Program 15) employed a fixed-term expert (non-staff contract) at the WSO in order to assist the delivery of technical assistance to </w:t>
      </w:r>
      <w:r>
        <w:lastRenderedPageBreak/>
        <w:t xml:space="preserve">the region.  The WIPO AMC also deployed </w:t>
      </w:r>
      <w:r w:rsidRPr="00C91890">
        <w:t xml:space="preserve">two short-term employees at the </w:t>
      </w:r>
      <w:r>
        <w:t>AMC</w:t>
      </w:r>
      <w:r w:rsidRPr="00C91890">
        <w:t xml:space="preserve"> Office </w:t>
      </w:r>
      <w:r>
        <w:t xml:space="preserve">in </w:t>
      </w:r>
      <w:r w:rsidRPr="00C91890">
        <w:t>Singapore</w:t>
      </w:r>
      <w:r>
        <w:t xml:space="preserve"> which is located in another building in the city.</w:t>
      </w:r>
    </w:p>
    <w:p w:rsidR="006B41E4" w:rsidRDefault="006B41E4" w:rsidP="006B41E4"/>
    <w:p w:rsidR="006B41E4" w:rsidRDefault="006B41E4" w:rsidP="006B41E4">
      <w:r>
        <w:fldChar w:fldCharType="begin"/>
      </w:r>
      <w:r>
        <w:instrText xml:space="preserve"> AUTONUM  </w:instrText>
      </w:r>
      <w:r>
        <w:fldChar w:fldCharType="end"/>
      </w:r>
      <w:r>
        <w:tab/>
      </w:r>
      <w:r w:rsidRPr="00895699">
        <w:t>The human resources of the WJO are as follows:  one P5 and one P4 are financed by WIPO budget and</w:t>
      </w:r>
      <w:r>
        <w:t xml:space="preserve"> two</w:t>
      </w:r>
      <w:r w:rsidRPr="00895699">
        <w:t xml:space="preserve"> short-term employees are financed by FIT/Japan. </w:t>
      </w:r>
      <w:r>
        <w:t xml:space="preserve"> </w:t>
      </w:r>
      <w:r w:rsidRPr="00895699">
        <w:t>One half-time administrative support is provided by man-power company and financed by WIPO budget.</w:t>
      </w:r>
    </w:p>
    <w:p w:rsidR="006B41E4" w:rsidRDefault="006B41E4" w:rsidP="006B41E4"/>
    <w:p w:rsidR="006B41E4" w:rsidRDefault="006B41E4" w:rsidP="006B41E4">
      <w:r>
        <w:fldChar w:fldCharType="begin"/>
      </w:r>
      <w:r>
        <w:instrText xml:space="preserve"> AUTONUM  </w:instrText>
      </w:r>
      <w:r>
        <w:fldChar w:fldCharType="end"/>
      </w:r>
      <w:r>
        <w:tab/>
        <w:t xml:space="preserve">The human resources of the WBO are as follows: one </w:t>
      </w:r>
      <w:r w:rsidRPr="00C91890">
        <w:t xml:space="preserve">D2, </w:t>
      </w:r>
      <w:r>
        <w:t xml:space="preserve">one </w:t>
      </w:r>
      <w:r w:rsidRPr="00C91890">
        <w:t>P5, two short-term employees</w:t>
      </w:r>
      <w:r>
        <w:t xml:space="preserve"> financed by WIPO budget.</w:t>
      </w:r>
    </w:p>
    <w:p w:rsidR="006B41E4" w:rsidRDefault="006B41E4" w:rsidP="006B41E4"/>
    <w:p w:rsidR="006B41E4" w:rsidRPr="00E81CCD" w:rsidRDefault="006B41E4" w:rsidP="006B41E4">
      <w:pPr>
        <w:pStyle w:val="Heading1"/>
      </w:pPr>
      <w:bookmarkStart w:id="20" w:name="_Toc362612221"/>
      <w:r w:rsidRPr="00E81CCD">
        <w:t xml:space="preserve">Demand for New </w:t>
      </w:r>
      <w:r>
        <w:t>EO</w:t>
      </w:r>
      <w:r w:rsidRPr="00205230">
        <w:rPr>
          <w:sz w:val="16"/>
          <w:szCs w:val="16"/>
        </w:rPr>
        <w:t>s</w:t>
      </w:r>
      <w:bookmarkEnd w:id="20"/>
    </w:p>
    <w:p w:rsidR="006B41E4" w:rsidRDefault="006B41E4" w:rsidP="006B41E4"/>
    <w:p w:rsidR="006B41E4" w:rsidRDefault="006B41E4" w:rsidP="006B41E4">
      <w:pPr>
        <w:pStyle w:val="Heading2"/>
      </w:pPr>
      <w:bookmarkStart w:id="21" w:name="_Toc362612222"/>
      <w:r>
        <w:t xml:space="preserve">Requests or </w:t>
      </w:r>
      <w:r w:rsidRPr="009771A0">
        <w:t>Applications</w:t>
      </w:r>
      <w:bookmarkEnd w:id="21"/>
      <w:r>
        <w:t xml:space="preserve"> </w:t>
      </w:r>
    </w:p>
    <w:p w:rsidR="006B41E4" w:rsidRPr="009771A0" w:rsidRDefault="006B41E4" w:rsidP="006B41E4">
      <w:pPr>
        <w:rPr>
          <w:i/>
        </w:rPr>
      </w:pPr>
    </w:p>
    <w:p w:rsidR="006B41E4" w:rsidRDefault="006B41E4" w:rsidP="006B41E4">
      <w:r>
        <w:fldChar w:fldCharType="begin"/>
      </w:r>
      <w:r>
        <w:instrText xml:space="preserve"> AUTONUM  </w:instrText>
      </w:r>
      <w:r>
        <w:fldChar w:fldCharType="end"/>
      </w:r>
      <w:r>
        <w:tab/>
      </w:r>
      <w:r w:rsidRPr="00F55DA0">
        <w:t xml:space="preserve">The demand for new </w:t>
      </w:r>
      <w:r>
        <w:t>EO</w:t>
      </w:r>
      <w:r w:rsidRPr="00F55DA0">
        <w:t xml:space="preserve">s </w:t>
      </w:r>
      <w:r>
        <w:t xml:space="preserve">has continued to increase during the process of consultations (see below) and, as of July 2013, the Director General has received a number of official requests </w:t>
      </w:r>
      <w:r>
        <w:rPr>
          <w:rFonts w:eastAsia="Times New Roman"/>
          <w:szCs w:val="22"/>
          <w:lang w:eastAsia="ja-JP"/>
        </w:rPr>
        <w:t xml:space="preserve">for the Organization to establish new EOs in their respective territories.  As of July 2013, those requests amounted to </w:t>
      </w:r>
      <w:r>
        <w:t xml:space="preserve">a total of 23 countries as follows.  Some requests were made in writing, while others were made orally by senior level officials of the country. </w:t>
      </w:r>
      <w:r w:rsidRPr="00F55DA0">
        <w:t xml:space="preserve"> </w:t>
      </w:r>
    </w:p>
    <w:p w:rsidR="006B41E4" w:rsidRDefault="006B41E4" w:rsidP="006B41E4"/>
    <w:p w:rsidR="006B41E4" w:rsidRDefault="006B41E4" w:rsidP="006B41E4">
      <w:pPr>
        <w:ind w:left="567"/>
      </w:pPr>
      <w:r w:rsidRPr="0071611E">
        <w:t>Algeria</w:t>
      </w:r>
      <w:r>
        <w:t xml:space="preserve">, </w:t>
      </w:r>
      <w:r w:rsidRPr="0071611E">
        <w:t>Bangladesh</w:t>
      </w:r>
      <w:r>
        <w:t xml:space="preserve">, </w:t>
      </w:r>
      <w:r w:rsidRPr="0071611E">
        <w:t>Cameroon</w:t>
      </w:r>
      <w:r>
        <w:t xml:space="preserve">, </w:t>
      </w:r>
      <w:r w:rsidRPr="0071611E">
        <w:t>Chile</w:t>
      </w:r>
      <w:r>
        <w:t xml:space="preserve">, </w:t>
      </w:r>
      <w:r w:rsidRPr="0071611E">
        <w:t>China</w:t>
      </w:r>
      <w:r>
        <w:t xml:space="preserve">, </w:t>
      </w:r>
      <w:r w:rsidRPr="0071611E">
        <w:t>Egypt</w:t>
      </w:r>
      <w:r>
        <w:t xml:space="preserve">, </w:t>
      </w:r>
      <w:r w:rsidRPr="0071611E">
        <w:t>Ethiopia</w:t>
      </w:r>
      <w:r>
        <w:t>,</w:t>
      </w:r>
      <w:r w:rsidRPr="0071611E">
        <w:t xml:space="preserve"> India</w:t>
      </w:r>
      <w:r>
        <w:t xml:space="preserve">, </w:t>
      </w:r>
      <w:r w:rsidRPr="0071611E">
        <w:t>Jordan</w:t>
      </w:r>
      <w:r>
        <w:t>,</w:t>
      </w:r>
      <w:r w:rsidRPr="0071611E">
        <w:t xml:space="preserve"> Mexico</w:t>
      </w:r>
      <w:r>
        <w:t xml:space="preserve">, </w:t>
      </w:r>
      <w:r w:rsidRPr="0071611E">
        <w:t>Morocco</w:t>
      </w:r>
      <w:r>
        <w:t xml:space="preserve">, Nigeria, Panama, Peru, Tunisia, Turkey, Senegal, South Africa, Republic of Korea, Romania, Russian Federation, United States of America, and Zimbabwe </w:t>
      </w:r>
      <w:r>
        <w:br/>
        <w:t>(in alphabetical order).</w:t>
      </w:r>
    </w:p>
    <w:p w:rsidR="006B41E4" w:rsidRDefault="006B41E4" w:rsidP="006B41E4"/>
    <w:p w:rsidR="006B41E4" w:rsidRDefault="006B41E4" w:rsidP="006B41E4">
      <w:pPr>
        <w:pStyle w:val="Heading2"/>
      </w:pPr>
      <w:bookmarkStart w:id="22" w:name="_Toc362612223"/>
      <w:r>
        <w:t>Informal Consultations Held</w:t>
      </w:r>
      <w:bookmarkEnd w:id="22"/>
    </w:p>
    <w:p w:rsidR="006B41E4" w:rsidRDefault="006B41E4" w:rsidP="006B41E4"/>
    <w:p w:rsidR="006B41E4" w:rsidRDefault="006B41E4" w:rsidP="006B41E4">
      <w:pPr>
        <w:autoSpaceDE w:val="0"/>
        <w:autoSpaceDN w:val="0"/>
        <w:adjustRightInd w:val="0"/>
      </w:pPr>
      <w:r>
        <w:fldChar w:fldCharType="begin"/>
      </w:r>
      <w:r>
        <w:instrText xml:space="preserve"> AUTONUM  </w:instrText>
      </w:r>
      <w:r>
        <w:fldChar w:fldCharType="end"/>
      </w:r>
      <w:r>
        <w:tab/>
      </w:r>
      <w:r>
        <w:rPr>
          <w:rFonts w:eastAsia="Times New Roman"/>
          <w:szCs w:val="22"/>
          <w:lang w:eastAsia="ja-JP"/>
        </w:rPr>
        <w:t>The Director General received the above-mentioned official requests more particularly after a decision of the WIPO General Assembly in September 2010 (</w:t>
      </w:r>
      <w:r w:rsidRPr="00465EF5">
        <w:rPr>
          <w:rFonts w:eastAsia="Times New Roman"/>
          <w:szCs w:val="22"/>
          <w:lang w:eastAsia="ja-JP"/>
        </w:rPr>
        <w:t xml:space="preserve">see Annex XI and </w:t>
      </w:r>
      <w:r>
        <w:rPr>
          <w:rFonts w:eastAsia="Times New Roman"/>
          <w:szCs w:val="22"/>
          <w:lang w:eastAsia="ja-JP"/>
        </w:rPr>
        <w:br/>
      </w:r>
      <w:r w:rsidRPr="00465EF5">
        <w:rPr>
          <w:rFonts w:eastAsia="Times New Roman"/>
          <w:szCs w:val="22"/>
          <w:lang w:eastAsia="ja-JP"/>
        </w:rPr>
        <w:t>Annex XII).</w:t>
      </w:r>
      <w:r>
        <w:rPr>
          <w:rFonts w:eastAsia="Times New Roman"/>
          <w:szCs w:val="22"/>
          <w:lang w:eastAsia="ja-JP"/>
        </w:rPr>
        <w:t xml:space="preserve">  The Assembly agreed to the commencement of a process of informal consultations amongst the Member States to develop a policy on the establishment of new EOs. </w:t>
      </w:r>
    </w:p>
    <w:p w:rsidR="006B41E4" w:rsidRDefault="006B41E4" w:rsidP="006B41E4">
      <w:pPr>
        <w:rPr>
          <w:rFonts w:eastAsia="Times New Roman"/>
          <w:szCs w:val="22"/>
          <w:lang w:eastAsia="ja-JP"/>
        </w:rPr>
      </w:pPr>
    </w:p>
    <w:p w:rsidR="006B41E4" w:rsidRDefault="006B41E4" w:rsidP="006B41E4">
      <w:pPr>
        <w:rPr>
          <w:rFonts w:eastAsia="Times New Roman"/>
          <w:szCs w:val="22"/>
          <w:lang w:eastAsia="ja-JP"/>
        </w:rPr>
      </w:pPr>
      <w:r>
        <w:rPr>
          <w:rFonts w:eastAsia="Times New Roman"/>
          <w:szCs w:val="22"/>
          <w:lang w:eastAsia="ja-JP"/>
        </w:rPr>
        <w:fldChar w:fldCharType="begin"/>
      </w:r>
      <w:r>
        <w:rPr>
          <w:rFonts w:eastAsia="Times New Roman"/>
          <w:szCs w:val="22"/>
          <w:lang w:eastAsia="ja-JP"/>
        </w:rPr>
        <w:instrText xml:space="preserve"> AUTONUM  </w:instrText>
      </w:r>
      <w:r>
        <w:rPr>
          <w:rFonts w:eastAsia="Times New Roman"/>
          <w:szCs w:val="22"/>
          <w:lang w:eastAsia="ja-JP"/>
        </w:rPr>
        <w:fldChar w:fldCharType="end"/>
      </w:r>
      <w:r>
        <w:rPr>
          <w:rFonts w:eastAsia="Times New Roman"/>
          <w:szCs w:val="22"/>
          <w:lang w:eastAsia="ja-JP"/>
        </w:rPr>
        <w:tab/>
      </w:r>
      <w:r w:rsidRPr="000A6973">
        <w:rPr>
          <w:rFonts w:eastAsia="Times New Roman"/>
          <w:szCs w:val="22"/>
          <w:lang w:eastAsia="ja-JP"/>
        </w:rPr>
        <w:t xml:space="preserve">A first open informal consultation was held on December 13, 2010. </w:t>
      </w:r>
      <w:r>
        <w:rPr>
          <w:rFonts w:eastAsia="Times New Roman"/>
          <w:szCs w:val="22"/>
          <w:lang w:eastAsia="ja-JP"/>
        </w:rPr>
        <w:t xml:space="preserve"> The invitation was sent to Permanent Representatives of all Permanent Missions in Geneva.  </w:t>
      </w:r>
      <w:r w:rsidRPr="000A6973">
        <w:rPr>
          <w:rFonts w:eastAsia="Times New Roman"/>
          <w:szCs w:val="22"/>
          <w:lang w:eastAsia="ja-JP"/>
        </w:rPr>
        <w:t>A second such consultation w</w:t>
      </w:r>
      <w:r>
        <w:rPr>
          <w:rFonts w:eastAsia="Times New Roman"/>
          <w:szCs w:val="22"/>
          <w:lang w:eastAsia="ja-JP"/>
        </w:rPr>
        <w:t xml:space="preserve">as </w:t>
      </w:r>
      <w:r w:rsidRPr="000A6973">
        <w:rPr>
          <w:rFonts w:eastAsia="Times New Roman"/>
          <w:szCs w:val="22"/>
          <w:lang w:eastAsia="ja-JP"/>
        </w:rPr>
        <w:t>held on June 16, 2011.</w:t>
      </w:r>
      <w:r>
        <w:rPr>
          <w:rFonts w:eastAsia="Times New Roman"/>
          <w:szCs w:val="22"/>
          <w:lang w:eastAsia="ja-JP"/>
        </w:rPr>
        <w:t xml:space="preserve">  The invitation was also sent to all Permanent Missions.  The Director General presented an informal information note </w:t>
      </w:r>
      <w:r w:rsidRPr="00465EF5">
        <w:rPr>
          <w:rFonts w:eastAsia="Times New Roman"/>
          <w:szCs w:val="22"/>
          <w:lang w:eastAsia="ja-JP"/>
        </w:rPr>
        <w:t>(see Annex XIII)</w:t>
      </w:r>
      <w:r>
        <w:rPr>
          <w:rFonts w:eastAsia="Times New Roman"/>
          <w:szCs w:val="22"/>
          <w:lang w:eastAsia="ja-JP"/>
        </w:rPr>
        <w:t xml:space="preserve"> for the first consultation and a second information note </w:t>
      </w:r>
      <w:r w:rsidRPr="00465EF5">
        <w:rPr>
          <w:rFonts w:eastAsia="Times New Roman"/>
          <w:szCs w:val="22"/>
          <w:lang w:eastAsia="ja-JP"/>
        </w:rPr>
        <w:t>(see Annex XIV)</w:t>
      </w:r>
      <w:r>
        <w:rPr>
          <w:rFonts w:eastAsia="Times New Roman"/>
          <w:szCs w:val="22"/>
          <w:lang w:eastAsia="ja-JP"/>
        </w:rPr>
        <w:t xml:space="preserve"> for the second informal consultation.  Two documents were made available in English, French and Spanish and were posted on a special web site accessible by Permanent Missions. </w:t>
      </w:r>
    </w:p>
    <w:p w:rsidR="006B41E4" w:rsidRDefault="006B41E4" w:rsidP="006B41E4">
      <w:pPr>
        <w:rPr>
          <w:rFonts w:eastAsia="Times New Roman"/>
          <w:szCs w:val="22"/>
          <w:lang w:eastAsia="ja-JP"/>
        </w:rPr>
      </w:pPr>
    </w:p>
    <w:p w:rsidR="006B41E4" w:rsidRDefault="006B41E4" w:rsidP="006B41E4">
      <w:r>
        <w:fldChar w:fldCharType="begin"/>
      </w:r>
      <w:r>
        <w:instrText xml:space="preserve"> AUTONUM  </w:instrText>
      </w:r>
      <w:r>
        <w:fldChar w:fldCharType="end"/>
      </w:r>
      <w:r>
        <w:tab/>
        <w:t>During the two informal consultations, it was generally agreed that:</w:t>
      </w:r>
    </w:p>
    <w:p w:rsidR="006B41E4" w:rsidRDefault="006B41E4" w:rsidP="006B41E4"/>
    <w:p w:rsidR="006B41E4" w:rsidRDefault="006B41E4" w:rsidP="006B41E4">
      <w:pPr>
        <w:numPr>
          <w:ilvl w:val="0"/>
          <w:numId w:val="32"/>
        </w:numPr>
        <w:ind w:left="1134" w:hanging="567"/>
      </w:pPr>
      <w:r>
        <w:t xml:space="preserve">EOs should add value and undertake activities that can be performed more efficiently or effectively than at HQ;  </w:t>
      </w:r>
    </w:p>
    <w:p w:rsidR="006B41E4" w:rsidRDefault="006B41E4" w:rsidP="006B41E4">
      <w:pPr>
        <w:numPr>
          <w:ilvl w:val="0"/>
          <w:numId w:val="32"/>
        </w:numPr>
        <w:ind w:left="1134" w:hanging="567"/>
      </w:pPr>
      <w:r>
        <w:t>EOs could have different mixes of functions in response to regional priorities and specificities;</w:t>
      </w:r>
    </w:p>
    <w:p w:rsidR="006B41E4" w:rsidRDefault="006B41E4" w:rsidP="006B41E4">
      <w:pPr>
        <w:numPr>
          <w:ilvl w:val="0"/>
          <w:numId w:val="32"/>
        </w:numPr>
        <w:ind w:left="1134" w:hanging="567"/>
      </w:pPr>
      <w:r>
        <w:t>A new EO should only be established if it is financially feasible for the Organization to do so; and</w:t>
      </w:r>
    </w:p>
    <w:p w:rsidR="006B41E4" w:rsidRDefault="006B41E4" w:rsidP="006B41E4">
      <w:pPr>
        <w:numPr>
          <w:ilvl w:val="0"/>
          <w:numId w:val="32"/>
        </w:numPr>
        <w:ind w:left="1134" w:hanging="567"/>
      </w:pPr>
      <w:r>
        <w:t>A phased and prudent approach should be adopted towards the establishment of functions and corresponding resourcing in the EOs.</w:t>
      </w:r>
    </w:p>
    <w:p w:rsidR="006B41E4" w:rsidRDefault="006B41E4" w:rsidP="006B41E4">
      <w:pPr>
        <w:ind w:left="567"/>
      </w:pPr>
    </w:p>
    <w:p w:rsidR="006B41E4" w:rsidRDefault="006B41E4" w:rsidP="006B41E4">
      <w:r>
        <w:lastRenderedPageBreak/>
        <w:fldChar w:fldCharType="begin"/>
      </w:r>
      <w:r>
        <w:instrText xml:space="preserve"> AUTONUM  </w:instrText>
      </w:r>
      <w:r>
        <w:fldChar w:fldCharType="end"/>
      </w:r>
      <w:r>
        <w:tab/>
        <w:t>At the PBC, at its 19</w:t>
      </w:r>
      <w:r w:rsidRPr="00EF341C">
        <w:rPr>
          <w:vertAlign w:val="superscript"/>
        </w:rPr>
        <w:t>th</w:t>
      </w:r>
      <w:r>
        <w:t xml:space="preserve"> Session held in September 2012, in response to interventions made by two delegations, the Secretariat outlined issues in relation to the creation of new EOs and recognized a need for extensive consultations.  Since then, the Director General has had opportunities to consult with the interested Member States individually or at informal meetings of some Member States.  </w:t>
      </w:r>
    </w:p>
    <w:p w:rsidR="006B41E4" w:rsidRDefault="006B41E4" w:rsidP="006B41E4"/>
    <w:p w:rsidR="006B41E4" w:rsidRDefault="006B41E4" w:rsidP="006B41E4">
      <w:r>
        <w:fldChar w:fldCharType="begin"/>
      </w:r>
      <w:r>
        <w:instrText xml:space="preserve"> AUTONUM  </w:instrText>
      </w:r>
      <w:r>
        <w:fldChar w:fldCharType="end"/>
      </w:r>
      <w:r>
        <w:tab/>
        <w:t>Consultations in the first half of 2013 did not result in concrete proposals from the interested Member States with regard to the policy or criteria of selection of countries in the region where interested countries were located.  There was no objection to the principles which were included in the information notes distributed at the two informal consultations in 2010 and 2011.  The Director General has indicated on a number of occasions that consultations should be driven by Member States and such consultations should be a continuing process rather than distinct events.  While some countries were engaged in the continuing process of consultation, essentially among countries in certain regions, other countries willing to host new EOs wished to accelerate the process and urged the Director General to include a concrete proposal for formal discussions at the Program and Budget Committee.  Based on inputs from interested countries and reflection on principles suggested to Member States, the Director General believed that the inclusion of a proposal in the draft Program and Budget should facilitate the consultation process for moving on to a next stage.</w:t>
      </w:r>
    </w:p>
    <w:p w:rsidR="006B41E4" w:rsidRDefault="006B41E4" w:rsidP="006B41E4"/>
    <w:p w:rsidR="006B41E4" w:rsidRDefault="006B41E4" w:rsidP="006B41E4">
      <w:r>
        <w:fldChar w:fldCharType="begin"/>
      </w:r>
      <w:r>
        <w:instrText xml:space="preserve"> AUTONUM  </w:instrText>
      </w:r>
      <w:r>
        <w:fldChar w:fldCharType="end"/>
      </w:r>
      <w:r>
        <w:tab/>
        <w:t xml:space="preserve">The Secretariat provided a white paper for discussions at the PBC held in July 2013 to consider the proposal of the five new EOs </w:t>
      </w:r>
      <w:r w:rsidRPr="00465EF5">
        <w:t>(see Annex XV).</w:t>
      </w:r>
      <w:r>
        <w:t xml:space="preserve">  The white paper was intended to facilitate a Member States-driven</w:t>
      </w:r>
      <w:r w:rsidRPr="004C6951">
        <w:t xml:space="preserve"> </w:t>
      </w:r>
      <w:r>
        <w:t>process.  The paper responded to several key questions that had been raised during the preparatory consultations prior to the Committee.</w:t>
      </w:r>
    </w:p>
    <w:p w:rsidR="006B41E4" w:rsidRDefault="006B41E4" w:rsidP="006B41E4"/>
    <w:p w:rsidR="006B41E4" w:rsidRPr="00E81CCD" w:rsidRDefault="006B41E4" w:rsidP="006B41E4">
      <w:pPr>
        <w:pStyle w:val="Heading2"/>
      </w:pPr>
      <w:bookmarkStart w:id="23" w:name="_Toc362612224"/>
      <w:r w:rsidRPr="00E81CCD">
        <w:t>The role of EO</w:t>
      </w:r>
      <w:r w:rsidRPr="00AA5356">
        <w:rPr>
          <w:b/>
          <w:sz w:val="16"/>
          <w:szCs w:val="16"/>
        </w:rPr>
        <w:t>s</w:t>
      </w:r>
      <w:r w:rsidRPr="00E81CCD">
        <w:t xml:space="preserve"> in WIPO</w:t>
      </w:r>
      <w:bookmarkEnd w:id="23"/>
    </w:p>
    <w:p w:rsidR="006B41E4" w:rsidRDefault="006B41E4" w:rsidP="006B41E4"/>
    <w:p w:rsidR="006B41E4" w:rsidRDefault="006B41E4" w:rsidP="006B41E4">
      <w:pPr>
        <w:pStyle w:val="Heading3"/>
      </w:pPr>
      <w:bookmarkStart w:id="24" w:name="_Toc362612225"/>
      <w:r>
        <w:t>Needs and Justification</w:t>
      </w:r>
      <w:bookmarkEnd w:id="24"/>
    </w:p>
    <w:p w:rsidR="006B41E4" w:rsidRDefault="006B41E4" w:rsidP="006B41E4">
      <w:pPr>
        <w:rPr>
          <w:i/>
        </w:rPr>
      </w:pPr>
    </w:p>
    <w:p w:rsidR="006B41E4" w:rsidRDefault="006B41E4" w:rsidP="006B41E4">
      <w:r w:rsidRPr="00782500">
        <w:fldChar w:fldCharType="begin"/>
      </w:r>
      <w:r w:rsidRPr="00782500">
        <w:instrText xml:space="preserve"> AUTONUM  </w:instrText>
      </w:r>
      <w:r w:rsidRPr="00782500">
        <w:fldChar w:fldCharType="end"/>
      </w:r>
      <w:r w:rsidRPr="00782500">
        <w:tab/>
      </w:r>
      <w:r>
        <w:t xml:space="preserve">One measure of the need to create new EOs is the request by more than 20 countries to establish EOs in their respective territories.  It is a question for the Member States to decide how to respond appropriately to such strong demand from so many countries. </w:t>
      </w:r>
    </w:p>
    <w:p w:rsidR="006B41E4" w:rsidRDefault="006B41E4" w:rsidP="006B41E4"/>
    <w:p w:rsidR="006B41E4" w:rsidRDefault="006B41E4" w:rsidP="006B41E4">
      <w:r>
        <w:fldChar w:fldCharType="begin"/>
      </w:r>
      <w:r>
        <w:instrText xml:space="preserve"> AUTONUM  </w:instrText>
      </w:r>
      <w:r>
        <w:fldChar w:fldCharType="end"/>
      </w:r>
      <w:r>
        <w:tab/>
        <w:t>The Secretariat sees the following needs with respect to EOs:</w:t>
      </w:r>
    </w:p>
    <w:p w:rsidR="006B41E4" w:rsidRDefault="006B41E4" w:rsidP="006B41E4"/>
    <w:p w:rsidR="006B41E4" w:rsidRDefault="006B41E4" w:rsidP="006B41E4">
      <w:pPr>
        <w:numPr>
          <w:ilvl w:val="0"/>
          <w:numId w:val="33"/>
        </w:numPr>
        <w:ind w:left="1134" w:hanging="567"/>
      </w:pPr>
      <w:r>
        <w:t>A need to respond to a geographical shift of the l</w:t>
      </w:r>
      <w:r w:rsidRPr="0051323C">
        <w:t xml:space="preserve">ocus of technology production </w:t>
      </w:r>
      <w:r>
        <w:t>and IP activities c</w:t>
      </w:r>
      <w:r w:rsidRPr="0051323C">
        <w:t>onfirm</w:t>
      </w:r>
      <w:r>
        <w:t>ed by</w:t>
      </w:r>
      <w:r w:rsidRPr="0051323C">
        <w:t xml:space="preserve"> many indicators</w:t>
      </w:r>
      <w:r>
        <w:t>;</w:t>
      </w:r>
      <w:r w:rsidRPr="0051323C">
        <w:t xml:space="preserve">  </w:t>
      </w:r>
    </w:p>
    <w:p w:rsidR="006B41E4" w:rsidRDefault="006B41E4" w:rsidP="006B41E4">
      <w:pPr>
        <w:numPr>
          <w:ilvl w:val="0"/>
          <w:numId w:val="33"/>
        </w:numPr>
        <w:ind w:left="1134" w:hanging="567"/>
      </w:pPr>
      <w:r>
        <w:t>A need to respond to the rise of the importance of innovation and creativity and the role to be played by IP in a knowledge-based economy in an increasing number of developing countries and countries in transition where WIPO’s presence is non-existent or weak, as compared with the networks of external offices or regional centers of similar UN agencies;</w:t>
      </w:r>
    </w:p>
    <w:p w:rsidR="006B41E4" w:rsidRDefault="006B41E4" w:rsidP="006B41E4">
      <w:pPr>
        <w:numPr>
          <w:ilvl w:val="0"/>
          <w:numId w:val="33"/>
        </w:numPr>
        <w:ind w:left="1134" w:hanging="567"/>
      </w:pPr>
      <w:r>
        <w:t xml:space="preserve">A need to reflect the evaluation of the existing EOs into the planning of the Program and Budget cycle and extend EOs to other geographical areas with no WIPO presence, in order to bring WIPO closer to more regions; </w:t>
      </w:r>
    </w:p>
    <w:p w:rsidR="006B41E4" w:rsidRDefault="006B41E4" w:rsidP="006B41E4">
      <w:pPr>
        <w:numPr>
          <w:ilvl w:val="0"/>
          <w:numId w:val="33"/>
        </w:numPr>
        <w:ind w:left="1134" w:hanging="567"/>
      </w:pPr>
      <w:r>
        <w:t xml:space="preserve">A need to </w:t>
      </w:r>
      <w:r w:rsidRPr="0053470F">
        <w:t>adjust the current model of service delivery</w:t>
      </w:r>
      <w:r>
        <w:t xml:space="preserve"> </w:t>
      </w:r>
      <w:r w:rsidRPr="0053470F">
        <w:t xml:space="preserve">to a modernized </w:t>
      </w:r>
      <w:r>
        <w:t xml:space="preserve">and dynamic </w:t>
      </w:r>
      <w:r w:rsidRPr="0053470F">
        <w:t>model</w:t>
      </w:r>
      <w:r>
        <w:t xml:space="preserve"> corresponding to the present </w:t>
      </w:r>
      <w:r w:rsidRPr="0053470F">
        <w:t>century</w:t>
      </w:r>
      <w:r>
        <w:t xml:space="preserve"> in creating networks of ICT infrastructure for the operation of WIPO Global IP protection systems; and</w:t>
      </w:r>
    </w:p>
    <w:p w:rsidR="006B41E4" w:rsidRDefault="006B41E4" w:rsidP="006B41E4">
      <w:pPr>
        <w:numPr>
          <w:ilvl w:val="0"/>
          <w:numId w:val="33"/>
        </w:numPr>
        <w:ind w:left="1134" w:hanging="567"/>
      </w:pPr>
      <w:r>
        <w:t>A need to ensure that the dependence of the Organization on ICT systems for the administration of its revenue-generating services is properly insured against risk.</w:t>
      </w:r>
    </w:p>
    <w:p w:rsidR="006B41E4" w:rsidRDefault="006B41E4" w:rsidP="006B41E4">
      <w:pPr>
        <w:ind w:left="720"/>
      </w:pPr>
    </w:p>
    <w:p w:rsidR="006B41E4" w:rsidRDefault="006B41E4" w:rsidP="006B41E4">
      <w:pPr>
        <w:ind w:left="720"/>
      </w:pPr>
    </w:p>
    <w:p w:rsidR="006B41E4" w:rsidRDefault="006B41E4" w:rsidP="006B41E4">
      <w:r>
        <w:lastRenderedPageBreak/>
        <w:fldChar w:fldCharType="begin"/>
      </w:r>
      <w:r>
        <w:instrText xml:space="preserve"> AUTONUM  </w:instrText>
      </w:r>
      <w:r>
        <w:fldChar w:fldCharType="end"/>
      </w:r>
      <w:r>
        <w:tab/>
        <w:t>The need mentioned above in paragraph 99(v) requires some further explanation.  The starting point of the explanation is that 95 per cent of the revenue of the Organization is received from services rendered in the Global IP Systems administered by WIPO, namely, in order of magnitude of income, the PCT, the Madrid System, the Hague System and the WIPO AMC.  The dominant (almost exclusive) route for use of these systems and for service delivery under them is ICT, specifically web-based ICT applications.</w:t>
      </w:r>
    </w:p>
    <w:p w:rsidR="006B41E4" w:rsidRDefault="006B41E4" w:rsidP="006B41E4">
      <w:pPr>
        <w:ind w:left="720"/>
      </w:pPr>
    </w:p>
    <w:p w:rsidR="006B41E4" w:rsidRDefault="006B41E4" w:rsidP="006B41E4">
      <w:r>
        <w:fldChar w:fldCharType="begin"/>
      </w:r>
      <w:r>
        <w:instrText xml:space="preserve"> AUTONUM  </w:instrText>
      </w:r>
      <w:r>
        <w:fldChar w:fldCharType="end"/>
      </w:r>
      <w:r>
        <w:tab/>
        <w:t xml:space="preserve">Four challenges or risks arise in relation to these ICT systems: </w:t>
      </w:r>
    </w:p>
    <w:p w:rsidR="006B41E4" w:rsidRDefault="006B41E4" w:rsidP="006B41E4"/>
    <w:p w:rsidR="006B41E4" w:rsidRDefault="006B41E4" w:rsidP="006B41E4">
      <w:pPr>
        <w:numPr>
          <w:ilvl w:val="0"/>
          <w:numId w:val="48"/>
        </w:numPr>
        <w:ind w:left="1134" w:hanging="567"/>
      </w:pPr>
      <w:r>
        <w:t xml:space="preserve">security from infiltration, attack and loss of confidential data; </w:t>
      </w:r>
    </w:p>
    <w:p w:rsidR="006B41E4" w:rsidRDefault="006B41E4" w:rsidP="006B41E4">
      <w:pPr>
        <w:numPr>
          <w:ilvl w:val="0"/>
          <w:numId w:val="48"/>
        </w:numPr>
        <w:ind w:left="1134" w:hanging="567"/>
      </w:pPr>
      <w:r>
        <w:t xml:space="preserve">the assurance of business continuity or the capacity to continue operations in the event of a disruption, which may be caused by a malicious attack, a system failure on another threat such as a localized or regional pandemic; </w:t>
      </w:r>
    </w:p>
    <w:p w:rsidR="006B41E4" w:rsidRDefault="006B41E4" w:rsidP="006B41E4">
      <w:pPr>
        <w:numPr>
          <w:ilvl w:val="0"/>
          <w:numId w:val="48"/>
        </w:numPr>
        <w:ind w:left="1134" w:hanging="567"/>
      </w:pPr>
      <w:r>
        <w:t xml:space="preserve">the assurance of the capacity to recover from a disaster and to ensure that critical systems have not been destroyed or valuable data lost; and </w:t>
      </w:r>
    </w:p>
    <w:p w:rsidR="006B41E4" w:rsidRDefault="006B41E4" w:rsidP="006B41E4">
      <w:pPr>
        <w:numPr>
          <w:ilvl w:val="0"/>
          <w:numId w:val="48"/>
        </w:numPr>
        <w:ind w:left="1134" w:hanging="567"/>
      </w:pPr>
      <w:r>
        <w:t xml:space="preserve">the assurance of an even quality of service to users, regardless of their location in the world (service response times differs for several reasons, most notably the routing channels for traffic on the Internet).  </w:t>
      </w:r>
    </w:p>
    <w:p w:rsidR="006B41E4" w:rsidRDefault="006B41E4" w:rsidP="006B41E4">
      <w:pPr>
        <w:ind w:left="927"/>
      </w:pPr>
    </w:p>
    <w:p w:rsidR="006B41E4" w:rsidRDefault="006B41E4" w:rsidP="006B41E4">
      <w:r w:rsidRPr="0088008E">
        <w:t>Collectively, these four challenges or risks are referred to in the following paragraphs as “redundancy capacity”.</w:t>
      </w:r>
    </w:p>
    <w:p w:rsidR="006B41E4" w:rsidRDefault="006B41E4" w:rsidP="006B41E4"/>
    <w:p w:rsidR="006B41E4" w:rsidRDefault="006B41E4" w:rsidP="006B41E4">
      <w:r>
        <w:fldChar w:fldCharType="begin"/>
      </w:r>
      <w:r>
        <w:instrText xml:space="preserve"> AUTONUM  </w:instrText>
      </w:r>
      <w:r>
        <w:fldChar w:fldCharType="end"/>
      </w:r>
      <w:r>
        <w:tab/>
        <w:t>The Secretariat, like any other responsible institution or enterprise with essential ICT systems or assets, has, with the aid of external consultants, developed (and continues to develop) a strategy to deal with the foregoing challenges and risks.  The strategy constitutes a set of instructions for any badly intentioned person to break into WIPO systems and to damage, disrupt or destroy them.  Naturally, therefore, details of the strategy cannot be published in a way that compromises the strategy and the Organization’s ICT systems and assets and, thus, its revenue and its reputation.  The normal principle with respect to such matters is restriction of disclosure only to those with a demonstrable need to know.  With this in mind, details necessary for the purposes of the consideration by Member States of the question of EOs are set out in the following paragraphs.</w:t>
      </w:r>
    </w:p>
    <w:p w:rsidR="006B41E4" w:rsidRDefault="006B41E4" w:rsidP="006B41E4">
      <w:pPr>
        <w:ind w:left="720"/>
      </w:pPr>
    </w:p>
    <w:p w:rsidR="006B41E4" w:rsidRDefault="006B41E4" w:rsidP="006B41E4">
      <w:r>
        <w:fldChar w:fldCharType="begin"/>
      </w:r>
      <w:r>
        <w:instrText xml:space="preserve"> AUTONUM  </w:instrText>
      </w:r>
      <w:r>
        <w:fldChar w:fldCharType="end"/>
      </w:r>
      <w:r>
        <w:tab/>
        <w:t>A broad distinction is made between, on the one hand, non-critical systems and public data and, on the other hand, critical systems and confidential data.</w:t>
      </w:r>
    </w:p>
    <w:p w:rsidR="006B41E4" w:rsidRDefault="006B41E4" w:rsidP="006B41E4"/>
    <w:p w:rsidR="006B41E4" w:rsidRDefault="006B41E4" w:rsidP="006B41E4">
      <w:r>
        <w:fldChar w:fldCharType="begin"/>
      </w:r>
      <w:r>
        <w:instrText xml:space="preserve"> AUTONUM  </w:instrText>
      </w:r>
      <w:r>
        <w:fldChar w:fldCharType="end"/>
      </w:r>
      <w:r>
        <w:tab/>
        <w:t>An example of a non-critical system is a web-based application for a request for information or a registration in a conference.  An example of public data is PATENTSCOPE, which consists of published patent applications.</w:t>
      </w:r>
    </w:p>
    <w:p w:rsidR="006B41E4" w:rsidRDefault="006B41E4" w:rsidP="006B41E4"/>
    <w:p w:rsidR="006B41E4" w:rsidRDefault="006B41E4" w:rsidP="006B41E4">
      <w:r>
        <w:fldChar w:fldCharType="begin"/>
      </w:r>
      <w:r>
        <w:instrText xml:space="preserve"> AUTONUM  </w:instrText>
      </w:r>
      <w:r>
        <w:fldChar w:fldCharType="end"/>
      </w:r>
      <w:r>
        <w:tab/>
        <w:t>An example of a critical system is the PCT or Madrid electronic dossiers.  An example of confidential data is unpublished international patent applications under the PCT.</w:t>
      </w:r>
    </w:p>
    <w:p w:rsidR="006B41E4" w:rsidRDefault="006B41E4" w:rsidP="006B41E4"/>
    <w:p w:rsidR="006B41E4" w:rsidRDefault="006B41E4" w:rsidP="006B41E4">
      <w:r>
        <w:fldChar w:fldCharType="begin"/>
      </w:r>
      <w:r>
        <w:instrText xml:space="preserve"> AUTONUM  </w:instrText>
      </w:r>
      <w:r>
        <w:fldChar w:fldCharType="end"/>
      </w:r>
      <w:r>
        <w:tab/>
        <w:t>In the case of non-critical systems and public data, the Secretariat is developing redundancy capacity in a variety of ways that include cloud-based services and hosting arrangements in the patent offices of Member States (since no conflict of interest is involved).</w:t>
      </w:r>
    </w:p>
    <w:p w:rsidR="006B41E4" w:rsidRDefault="006B41E4" w:rsidP="006B41E4"/>
    <w:p w:rsidR="006B41E4" w:rsidRDefault="006B41E4" w:rsidP="006B41E4">
      <w:r>
        <w:fldChar w:fldCharType="begin"/>
      </w:r>
      <w:r>
        <w:instrText xml:space="preserve"> AUTONUM  </w:instrText>
      </w:r>
      <w:r>
        <w:fldChar w:fldCharType="end"/>
      </w:r>
      <w:r>
        <w:tab/>
        <w:t>In the case of critical systems and confidential data, the strategy involves the development of a capacity to continue business operations in the event of a cessation of operations or impossibility to continue operations in Geneva in two EOs, namely, in China and the United States of America.  The former will provide the requisite capacity for the Madrid and Hague Systems and the latter will provide the requisite capacity for the PCT.  In each case, a processing team capacity will be established in the corresponding EOs.</w:t>
      </w:r>
    </w:p>
    <w:p w:rsidR="006B41E4" w:rsidRDefault="006B41E4" w:rsidP="006B41E4"/>
    <w:p w:rsidR="006B41E4" w:rsidRDefault="006B41E4" w:rsidP="006B41E4">
      <w:r>
        <w:lastRenderedPageBreak/>
        <w:fldChar w:fldCharType="begin"/>
      </w:r>
      <w:r>
        <w:instrText xml:space="preserve"> AUTONUM  </w:instrText>
      </w:r>
      <w:r>
        <w:fldChar w:fldCharType="end"/>
      </w:r>
      <w:r>
        <w:tab/>
        <w:t>The budget considerations for the establishment of the technical capacities has been included in the Program and Budget (Program 25) dealing with ICT.  The budget considerations for the establishment of the processing team capacities are included in Programs 5, 6 and 31 dealing with the PCT System, the Madrid System and the Hague System.  As and when the processing team capacities are established, appropriate clarity in the allocation of resources for these purposes within the relevant programs will be provided.</w:t>
      </w:r>
    </w:p>
    <w:p w:rsidR="006B41E4" w:rsidRDefault="006B41E4" w:rsidP="006B41E4"/>
    <w:p w:rsidR="006B41E4" w:rsidRDefault="006B41E4" w:rsidP="006B41E4">
      <w:r>
        <w:fldChar w:fldCharType="begin"/>
      </w:r>
      <w:r>
        <w:instrText xml:space="preserve"> AUTONUM  </w:instrText>
      </w:r>
      <w:r>
        <w:fldChar w:fldCharType="end"/>
      </w:r>
      <w:r>
        <w:tab/>
        <w:t xml:space="preserve">The Secretariat is of the view that all the above-mentioned needs can be met through the creation of a limited number of additional EOs in accordance with the strategy outlined below.  </w:t>
      </w:r>
      <w:r>
        <w:br/>
        <w:t>It is also recalled in this respect that:</w:t>
      </w:r>
    </w:p>
    <w:p w:rsidR="006B41E4" w:rsidRDefault="006B41E4" w:rsidP="006B41E4"/>
    <w:p w:rsidR="006B41E4" w:rsidRDefault="006B41E4" w:rsidP="006B41E4">
      <w:pPr>
        <w:numPr>
          <w:ilvl w:val="0"/>
          <w:numId w:val="34"/>
        </w:numPr>
        <w:ind w:left="1134" w:hanging="594"/>
      </w:pPr>
      <w:r>
        <w:t>While the existing three EOs contribute to meeting the needs mentioned above, they are not enough to satisfy demands and optimize WIPO program activities if all the needs are to be met;</w:t>
      </w:r>
    </w:p>
    <w:p w:rsidR="006B41E4" w:rsidRDefault="006B41E4" w:rsidP="006B41E4">
      <w:pPr>
        <w:numPr>
          <w:ilvl w:val="0"/>
          <w:numId w:val="34"/>
        </w:numPr>
        <w:ind w:left="1134" w:hanging="594"/>
      </w:pPr>
      <w:r>
        <w:t>EOs have been created and rationalized over the last three biennia and WIPO has firmly established solid governance and management of EOs with minimal risk in terms of control; and</w:t>
      </w:r>
    </w:p>
    <w:p w:rsidR="006B41E4" w:rsidRDefault="006B41E4" w:rsidP="006B41E4">
      <w:pPr>
        <w:numPr>
          <w:ilvl w:val="0"/>
          <w:numId w:val="34"/>
        </w:numPr>
        <w:ind w:left="1134" w:hanging="594"/>
      </w:pPr>
      <w:r>
        <w:t>The proposed approach of no additional headcounts and receipt of an expected offer of the premises by the host government in most instances is cost-neutral or low cost and prudent enough to keep the integrity of the Program and Budget and WIPO’s long-term liability acceptably low.</w:t>
      </w:r>
    </w:p>
    <w:p w:rsidR="006B41E4" w:rsidRDefault="006B41E4" w:rsidP="006B41E4">
      <w:pPr>
        <w:ind w:left="900"/>
      </w:pPr>
    </w:p>
    <w:p w:rsidR="006B41E4" w:rsidRPr="00782500" w:rsidRDefault="006B41E4" w:rsidP="006B41E4"/>
    <w:p w:rsidR="006B41E4" w:rsidRPr="00F07B03" w:rsidRDefault="006B41E4" w:rsidP="006B41E4">
      <w:pPr>
        <w:pStyle w:val="Heading2"/>
      </w:pPr>
      <w:bookmarkStart w:id="25" w:name="_Toc362612226"/>
      <w:r w:rsidRPr="00F07B03">
        <w:t>Strategy</w:t>
      </w:r>
      <w:bookmarkEnd w:id="25"/>
    </w:p>
    <w:p w:rsidR="006B41E4" w:rsidRDefault="006B41E4" w:rsidP="006B41E4"/>
    <w:p w:rsidR="006B41E4" w:rsidRDefault="006B41E4" w:rsidP="006B41E4">
      <w:r>
        <w:fldChar w:fldCharType="begin"/>
      </w:r>
      <w:r>
        <w:instrText xml:space="preserve"> AUTONUM  </w:instrText>
      </w:r>
      <w:r>
        <w:fldChar w:fldCharType="end"/>
      </w:r>
      <w:r>
        <w:tab/>
        <w:t xml:space="preserve">For the sake of clarity, it should be stated that WIPO EOs, whether existing or new, are not intended to be means of delocalization or off-shoring.  </w:t>
      </w:r>
    </w:p>
    <w:p w:rsidR="006B41E4" w:rsidRDefault="006B41E4" w:rsidP="006B41E4"/>
    <w:p w:rsidR="006B41E4" w:rsidRDefault="006B41E4" w:rsidP="006B41E4">
      <w:r>
        <w:fldChar w:fldCharType="begin"/>
      </w:r>
      <w:r>
        <w:instrText xml:space="preserve"> AUTONUM  </w:instrText>
      </w:r>
      <w:r>
        <w:fldChar w:fldCharType="end"/>
      </w:r>
      <w:r>
        <w:tab/>
        <w:t xml:space="preserve">The demand for the establishment of new EOs is coming from Member States.  It is a question of finding an appropriate expression to give to that demand that can meet the approval of all Member States as a shared understanding of the place of EOs.  It is suggested, in this regard, that the shared understanding be that </w:t>
      </w:r>
      <w:r w:rsidRPr="007068D8">
        <w:t>the Organization ha</w:t>
      </w:r>
      <w:r>
        <w:t>s</w:t>
      </w:r>
      <w:r w:rsidRPr="007068D8">
        <w:t xml:space="preserve"> a </w:t>
      </w:r>
      <w:r w:rsidRPr="00500E13">
        <w:rPr>
          <w:b/>
        </w:rPr>
        <w:t>small, limited, strategically positioned</w:t>
      </w:r>
      <w:r>
        <w:rPr>
          <w:b/>
        </w:rPr>
        <w:t xml:space="preserve"> and</w:t>
      </w:r>
      <w:r w:rsidRPr="00500E13">
        <w:rPr>
          <w:b/>
        </w:rPr>
        <w:t xml:space="preserve"> geographically representative network</w:t>
      </w:r>
      <w:r w:rsidRPr="007068D8">
        <w:t xml:space="preserve"> of </w:t>
      </w:r>
      <w:r>
        <w:t>EO</w:t>
      </w:r>
      <w:r w:rsidRPr="007068D8">
        <w:t xml:space="preserve">s that can add value by providing political and logistical support for the delivery of the strategic objectives of the Organization in a way that cannot be achieved through operations at </w:t>
      </w:r>
      <w:r>
        <w:t>WIPO HQ</w:t>
      </w:r>
      <w:r w:rsidRPr="007068D8">
        <w:t xml:space="preserve"> alone.</w:t>
      </w:r>
      <w:r>
        <w:t xml:space="preserve"> </w:t>
      </w:r>
      <w:r w:rsidRPr="007068D8">
        <w:t xml:space="preserve"> </w:t>
      </w:r>
      <w:r>
        <w:t>The next section will elaborate on the meaning of the words used in this strategy by subject.</w:t>
      </w:r>
    </w:p>
    <w:p w:rsidR="006B41E4" w:rsidRDefault="006B41E4" w:rsidP="006B41E4"/>
    <w:p w:rsidR="006B41E4" w:rsidRDefault="006B41E4" w:rsidP="006B41E4"/>
    <w:p w:rsidR="006B41E4" w:rsidRPr="00101F76" w:rsidRDefault="006B41E4" w:rsidP="006B41E4">
      <w:pPr>
        <w:pStyle w:val="Heading3"/>
      </w:pPr>
      <w:bookmarkStart w:id="26" w:name="_Toc362612227"/>
      <w:r w:rsidRPr="00101F76">
        <w:t>Small</w:t>
      </w:r>
      <w:bookmarkEnd w:id="26"/>
    </w:p>
    <w:p w:rsidR="006B41E4" w:rsidRDefault="006B41E4" w:rsidP="006B41E4"/>
    <w:p w:rsidR="006B41E4" w:rsidRDefault="006B41E4" w:rsidP="006B41E4">
      <w:r>
        <w:fldChar w:fldCharType="begin"/>
      </w:r>
      <w:r>
        <w:instrText xml:space="preserve"> AUTONUM  </w:instrText>
      </w:r>
      <w:r>
        <w:fldChar w:fldCharType="end"/>
      </w:r>
      <w:r>
        <w:tab/>
        <w:t>Both EOs and the network of EOs would remain small in size in terms of human and financial resources (the two redundancy capacities would constitute minor exceptions to this rule, but they would still remain small).  As stated above, the network of EOs is not intended to be a means of delocalizing activities, but a means of supplementing HQ’s operations through local delivery of program objectives.</w:t>
      </w:r>
    </w:p>
    <w:p w:rsidR="006B41E4" w:rsidRDefault="006B41E4" w:rsidP="006B41E4"/>
    <w:p w:rsidR="006B41E4" w:rsidRPr="00101F76" w:rsidRDefault="006B41E4" w:rsidP="006B41E4">
      <w:pPr>
        <w:pStyle w:val="Heading3"/>
      </w:pPr>
      <w:bookmarkStart w:id="27" w:name="_Toc362612228"/>
      <w:r w:rsidRPr="00101F76">
        <w:t>Limited</w:t>
      </w:r>
      <w:bookmarkEnd w:id="27"/>
      <w:r w:rsidRPr="00101F76">
        <w:t xml:space="preserve"> </w:t>
      </w:r>
    </w:p>
    <w:p w:rsidR="006B41E4" w:rsidRDefault="006B41E4" w:rsidP="006B41E4"/>
    <w:p w:rsidR="006B41E4" w:rsidRDefault="006B41E4" w:rsidP="006B41E4">
      <w:r>
        <w:fldChar w:fldCharType="begin"/>
      </w:r>
      <w:r>
        <w:instrText xml:space="preserve"> AUTONUM  </w:instrText>
      </w:r>
      <w:r>
        <w:fldChar w:fldCharType="end"/>
      </w:r>
      <w:r>
        <w:tab/>
        <w:t xml:space="preserve">The total number of EOs cannot be determined </w:t>
      </w:r>
      <w:r w:rsidRPr="005D4A89">
        <w:rPr>
          <w:i/>
        </w:rPr>
        <w:t>a priori</w:t>
      </w:r>
      <w:r>
        <w:t>, as the process is driven by Member States.  However, it is the view of the Secretariat that the number of additional EOs should be limited to establish a prudent and appropriate balance between the HQ and EOs.</w:t>
      </w:r>
    </w:p>
    <w:p w:rsidR="006B41E4" w:rsidRDefault="006B41E4" w:rsidP="006B41E4"/>
    <w:p w:rsidR="006B41E4" w:rsidRPr="00101F76" w:rsidRDefault="006B41E4" w:rsidP="006B41E4">
      <w:pPr>
        <w:pStyle w:val="Heading3"/>
      </w:pPr>
      <w:bookmarkStart w:id="28" w:name="_Toc362612229"/>
      <w:r w:rsidRPr="00101F76">
        <w:lastRenderedPageBreak/>
        <w:t>Strategically positioned</w:t>
      </w:r>
      <w:bookmarkEnd w:id="28"/>
    </w:p>
    <w:p w:rsidR="006B41E4" w:rsidRDefault="006B41E4" w:rsidP="006B41E4"/>
    <w:p w:rsidR="006B41E4" w:rsidRDefault="006B41E4" w:rsidP="006B41E4">
      <w:r>
        <w:fldChar w:fldCharType="begin"/>
      </w:r>
      <w:r>
        <w:instrText xml:space="preserve"> AUTONUM  </w:instrText>
      </w:r>
      <w:r>
        <w:fldChar w:fldCharType="end"/>
      </w:r>
      <w:r>
        <w:tab/>
        <w:t xml:space="preserve">As mentioned in a section discussing the approval of the previous Program and Budget, </w:t>
      </w:r>
      <w:r w:rsidRPr="004B4875">
        <w:t>WIPO’s s</w:t>
      </w:r>
      <w:r>
        <w:t xml:space="preserve">trategy for EOs, initially focused on the external coordination for better understanding of WIPO and IP issues.  WIPO’s response to recent changes is reflected in the SRP and one of the core values is service orientation to </w:t>
      </w:r>
      <w:r w:rsidRPr="001D6DD4">
        <w:t xml:space="preserve">increase </w:t>
      </w:r>
      <w:r>
        <w:t xml:space="preserve">WIPO’s </w:t>
      </w:r>
      <w:r w:rsidRPr="001D6DD4">
        <w:t xml:space="preserve">responsiveness to global stakeholders and </w:t>
      </w:r>
      <w:r>
        <w:t xml:space="preserve">to satisfy WIPO’s </w:t>
      </w:r>
      <w:r w:rsidRPr="001D6DD4">
        <w:t xml:space="preserve">customers with </w:t>
      </w:r>
      <w:r>
        <w:t xml:space="preserve">WIPO Global IP systems and </w:t>
      </w:r>
      <w:r w:rsidRPr="001D6DD4">
        <w:t>services</w:t>
      </w:r>
      <w:r>
        <w:t xml:space="preserve">.  This is based on the fact that WIPO derives around 95 per cent of its revenue from fees for services rendered under WIPO's Global IP Systems.  As for the existing EOs in 2012, the local support includes the organization of seminars and workshops for training purposes and the provision of local support services for WIPO’s Global IP Systems.  </w:t>
      </w:r>
    </w:p>
    <w:p w:rsidR="006B41E4" w:rsidRDefault="006B41E4" w:rsidP="006B41E4"/>
    <w:p w:rsidR="006B41E4" w:rsidRDefault="006B41E4" w:rsidP="006B41E4">
      <w:r>
        <w:fldChar w:fldCharType="begin"/>
      </w:r>
      <w:r>
        <w:instrText xml:space="preserve"> AUTONUM  </w:instrText>
      </w:r>
      <w:r>
        <w:fldChar w:fldCharType="end"/>
      </w:r>
      <w:r>
        <w:tab/>
        <w:t xml:space="preserve">Demand for WIPO’s Global IP Systems comes from around the world.  In the PCT, which accounts for 75 per cent of the Organization’s revenue, around 30 per cent of the demand comes from the Americas and over 39 per cent from Asia.  In other words, over two-thirds of the demand comes from applicants operating in time zones where the working hours occur mainly outside business hours Geneva time.  </w:t>
      </w:r>
    </w:p>
    <w:p w:rsidR="006B41E4" w:rsidRDefault="006B41E4" w:rsidP="006B41E4"/>
    <w:p w:rsidR="006B41E4" w:rsidRDefault="006B41E4" w:rsidP="006B41E4">
      <w:r>
        <w:fldChar w:fldCharType="begin"/>
      </w:r>
      <w:r>
        <w:instrText xml:space="preserve"> AUTONUM  </w:instrText>
      </w:r>
      <w:r>
        <w:fldChar w:fldCharType="end"/>
      </w:r>
      <w:r>
        <w:tab/>
        <w:t xml:space="preserve">An essential part of the services that WIPO provides in respect of its Global IP Systems consists of information and assistance services to users of the systems.  For the PCT, around 38.4 per cent of telephone calls for advice on PCT come from the Americas and around </w:t>
      </w:r>
      <w:r>
        <w:br/>
        <w:t>27 per cent of the calls come from Asia.  EOs can perform an indispensable service in supporting the Organization’s Global IP Systems in the relevant time zones and in the locally applicable language.</w:t>
      </w:r>
    </w:p>
    <w:p w:rsidR="006B41E4" w:rsidRDefault="006B41E4" w:rsidP="006B41E4"/>
    <w:p w:rsidR="006B41E4" w:rsidRDefault="006B41E4" w:rsidP="006B41E4">
      <w:r>
        <w:fldChar w:fldCharType="begin"/>
      </w:r>
      <w:r>
        <w:instrText xml:space="preserve"> AUTONUM  </w:instrText>
      </w:r>
      <w:r>
        <w:fldChar w:fldCharType="end"/>
      </w:r>
      <w:r>
        <w:tab/>
        <w:t xml:space="preserve">To explain the strategic impact from on-line delivery of services, it may be useful to use the WIPO web site as an example.  WIPO has a number of popular web pages and the total unique </w:t>
      </w:r>
      <w:proofErr w:type="spellStart"/>
      <w:r>
        <w:t>pageviews</w:t>
      </w:r>
      <w:proofErr w:type="spellEnd"/>
      <w:r>
        <w:t xml:space="preserve"> in 2012 amounted to more than 130 million.  The number of users of WIPO’s on-line services or web information and the distribution are shown below to better understand the strategic implications for WIPO. </w:t>
      </w:r>
    </w:p>
    <w:p w:rsidR="006B41E4" w:rsidRDefault="006B41E4" w:rsidP="006B41E4"/>
    <w:p w:rsidR="006B41E4" w:rsidRDefault="006B41E4" w:rsidP="006B41E4">
      <w:pPr>
        <w:jc w:val="center"/>
        <w:rPr>
          <w:szCs w:val="22"/>
        </w:rPr>
      </w:pPr>
      <w:r w:rsidRPr="00994949">
        <w:rPr>
          <w:szCs w:val="22"/>
        </w:rPr>
        <w:t xml:space="preserve">Table </w:t>
      </w:r>
      <w:r>
        <w:rPr>
          <w:szCs w:val="22"/>
        </w:rPr>
        <w:t>7</w:t>
      </w:r>
      <w:r w:rsidRPr="00994949">
        <w:rPr>
          <w:szCs w:val="22"/>
        </w:rPr>
        <w:t xml:space="preserve">: </w:t>
      </w:r>
      <w:r>
        <w:rPr>
          <w:szCs w:val="22"/>
        </w:rPr>
        <w:t xml:space="preserve"> </w:t>
      </w:r>
      <w:r w:rsidRPr="00994949">
        <w:rPr>
          <w:szCs w:val="22"/>
        </w:rPr>
        <w:t xml:space="preserve">Top </w:t>
      </w:r>
      <w:r>
        <w:rPr>
          <w:szCs w:val="22"/>
        </w:rPr>
        <w:t>10</w:t>
      </w:r>
      <w:r w:rsidRPr="00994949">
        <w:rPr>
          <w:szCs w:val="22"/>
        </w:rPr>
        <w:t xml:space="preserve"> WIPO web sites </w:t>
      </w:r>
      <w:proofErr w:type="spellStart"/>
      <w:r>
        <w:rPr>
          <w:szCs w:val="22"/>
        </w:rPr>
        <w:t>page</w:t>
      </w:r>
      <w:r w:rsidRPr="00994949">
        <w:rPr>
          <w:szCs w:val="22"/>
        </w:rPr>
        <w:t>views</w:t>
      </w:r>
      <w:proofErr w:type="spellEnd"/>
      <w:r>
        <w:rPr>
          <w:szCs w:val="22"/>
        </w:rPr>
        <w:t xml:space="preserve"> in 2012</w:t>
      </w:r>
    </w:p>
    <w:p w:rsidR="006B41E4" w:rsidRDefault="006B41E4" w:rsidP="006B41E4">
      <w:pPr>
        <w:jc w:val="center"/>
        <w:rPr>
          <w:szCs w:val="22"/>
        </w:rPr>
      </w:pP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6B41E4" w:rsidRPr="009F253B" w:rsidTr="006B41E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6B41E4" w:rsidRPr="009F253B" w:rsidRDefault="006B41E4">
            <w:pPr>
              <w:rPr>
                <w:color w:val="000000"/>
                <w:szCs w:val="22"/>
              </w:rPr>
            </w:pPr>
            <w:r w:rsidRPr="009F253B">
              <w:rPr>
                <w:color w:val="000000"/>
                <w:szCs w:val="22"/>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6B41E4" w:rsidRPr="009F253B" w:rsidRDefault="006B41E4">
            <w:pPr>
              <w:jc w:val="right"/>
              <w:rPr>
                <w:color w:val="000000"/>
                <w:szCs w:val="22"/>
              </w:rPr>
            </w:pPr>
            <w:r w:rsidRPr="009F253B">
              <w:rPr>
                <w:color w:val="000000"/>
                <w:szCs w:val="22"/>
              </w:rPr>
              <w:t>98,728,090</w:t>
            </w:r>
          </w:p>
        </w:tc>
      </w:tr>
      <w:tr w:rsidR="006B41E4" w:rsidRPr="009F253B" w:rsidTr="006B41E4">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14,255,516</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WIPO Portal</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3,937,523</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Madrid</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4,873,650</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 xml:space="preserve">WIPO </w:t>
            </w:r>
            <w:proofErr w:type="spellStart"/>
            <w:r w:rsidRPr="009F253B">
              <w:rPr>
                <w:color w:val="000000"/>
                <w:szCs w:val="22"/>
              </w:rPr>
              <w:t>Lex</w:t>
            </w:r>
            <w:proofErr w:type="spellEnd"/>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2,880,905</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2,683,011</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AMC</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1,939,070</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6B41E4" w:rsidRPr="009F253B" w:rsidRDefault="006B41E4" w:rsidP="006B41E4">
            <w:pPr>
              <w:rPr>
                <w:color w:val="000000"/>
                <w:szCs w:val="22"/>
              </w:rPr>
            </w:pPr>
            <w:r w:rsidRPr="009F253B">
              <w:rPr>
                <w:color w:val="000000"/>
                <w:szCs w:val="22"/>
              </w:rPr>
              <w:t>Global Brand Database</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B41E4" w:rsidRPr="009F253B" w:rsidRDefault="006B41E4" w:rsidP="006B41E4">
            <w:pPr>
              <w:jc w:val="right"/>
              <w:rPr>
                <w:color w:val="000000"/>
                <w:szCs w:val="22"/>
              </w:rPr>
            </w:pPr>
            <w:r w:rsidRPr="009F253B">
              <w:rPr>
                <w:rFonts w:eastAsia="Times New Roman"/>
                <w:color w:val="000000"/>
                <w:szCs w:val="22"/>
              </w:rPr>
              <w:t>1,909,276</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Treaties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1,708,202</w:t>
            </w:r>
          </w:p>
        </w:tc>
      </w:tr>
      <w:tr w:rsidR="006B41E4" w:rsidRPr="009F253B" w:rsidTr="006B41E4">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rPr>
                <w:rFonts w:eastAsia="MS Mincho"/>
                <w:color w:val="000000"/>
                <w:szCs w:val="22"/>
              </w:rPr>
            </w:pPr>
            <w:r w:rsidRPr="009F253B">
              <w:rPr>
                <w:color w:val="000000"/>
                <w:szCs w:val="22"/>
              </w:rPr>
              <w:t>Patents</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B41E4" w:rsidRPr="009F253B" w:rsidRDefault="006B41E4">
            <w:pPr>
              <w:jc w:val="right"/>
              <w:rPr>
                <w:rFonts w:eastAsia="MS Mincho"/>
                <w:color w:val="000000"/>
                <w:szCs w:val="22"/>
              </w:rPr>
            </w:pPr>
            <w:r w:rsidRPr="009F253B">
              <w:rPr>
                <w:color w:val="000000"/>
                <w:szCs w:val="22"/>
              </w:rPr>
              <w:t>1,467,486</w:t>
            </w:r>
          </w:p>
        </w:tc>
      </w:tr>
    </w:tbl>
    <w:p w:rsidR="006B41E4" w:rsidRDefault="006B41E4" w:rsidP="006B41E4">
      <w:pPr>
        <w:rPr>
          <w:szCs w:val="22"/>
        </w:rPr>
      </w:pPr>
    </w:p>
    <w:p w:rsidR="006B41E4" w:rsidRDefault="006B41E4" w:rsidP="006B41E4">
      <w:pPr>
        <w:rPr>
          <w:szCs w:val="22"/>
        </w:rPr>
      </w:pPr>
      <w:r w:rsidRPr="00994949">
        <w:rPr>
          <w:szCs w:val="22"/>
        </w:rPr>
        <w:fldChar w:fldCharType="begin"/>
      </w:r>
      <w:r w:rsidRPr="00994949">
        <w:rPr>
          <w:szCs w:val="22"/>
        </w:rPr>
        <w:instrText xml:space="preserve"> AUTONUM  </w:instrText>
      </w:r>
      <w:r w:rsidRPr="00994949">
        <w:rPr>
          <w:szCs w:val="22"/>
        </w:rPr>
        <w:fldChar w:fldCharType="end"/>
      </w:r>
      <w:r w:rsidRPr="00994949">
        <w:rPr>
          <w:szCs w:val="22"/>
        </w:rPr>
        <w:tab/>
        <w:t>PATEN</w:t>
      </w:r>
      <w:r>
        <w:rPr>
          <w:szCs w:val="22"/>
        </w:rPr>
        <w:t>T</w:t>
      </w:r>
      <w:r w:rsidRPr="00994949">
        <w:rPr>
          <w:szCs w:val="22"/>
        </w:rPr>
        <w:t xml:space="preserve">SCOPE </w:t>
      </w:r>
      <w:r>
        <w:rPr>
          <w:szCs w:val="22"/>
        </w:rPr>
        <w:t>attracts particular users seeking technological information contained in patents (PCT and national patent collections).  The users regularly access PATENTSCOPE web site in Geneva from the areas given below.  This shows about half of users come from the opposite side of the globe to Geneva.  The speed of access to PATENTSCOPE from those areas is slow compared to the speed available for users from Europe (the latency problem).  WIPO also experiences technical issues for PATENTSCOPE occurring during the peak time of usage from Asia or the west coast of America, outside HQ</w:t>
      </w:r>
      <w:r w:rsidDel="00BF5CF9">
        <w:rPr>
          <w:szCs w:val="22"/>
        </w:rPr>
        <w:t xml:space="preserve"> </w:t>
      </w:r>
      <w:r>
        <w:rPr>
          <w:szCs w:val="22"/>
        </w:rPr>
        <w:t>working hours.</w:t>
      </w:r>
    </w:p>
    <w:p w:rsidR="006B41E4" w:rsidRDefault="006B41E4" w:rsidP="006B41E4">
      <w:pPr>
        <w:rPr>
          <w:szCs w:val="22"/>
        </w:rPr>
      </w:pPr>
    </w:p>
    <w:p w:rsidR="006B41E4" w:rsidRDefault="006B41E4" w:rsidP="006B41E4">
      <w:pPr>
        <w:rPr>
          <w:szCs w:val="22"/>
        </w:rPr>
      </w:pPr>
      <w:r>
        <w:rPr>
          <w:szCs w:val="22"/>
        </w:rPr>
        <w:br w:type="page"/>
      </w:r>
    </w:p>
    <w:p w:rsidR="006B41E4" w:rsidRDefault="006B41E4" w:rsidP="006B41E4">
      <w:pPr>
        <w:jc w:val="center"/>
        <w:rPr>
          <w:szCs w:val="22"/>
        </w:rPr>
      </w:pPr>
      <w:r>
        <w:rPr>
          <w:szCs w:val="22"/>
        </w:rPr>
        <w:lastRenderedPageBreak/>
        <w:t>Figure 3:  Access to PATENTSCOPE by users/visitors</w:t>
      </w:r>
    </w:p>
    <w:p w:rsidR="006B41E4" w:rsidRPr="00994949" w:rsidRDefault="006B41E4" w:rsidP="006B41E4">
      <w:pPr>
        <w:rPr>
          <w:szCs w:val="22"/>
        </w:rPr>
      </w:pPr>
      <w:r>
        <w:rPr>
          <w:szCs w:val="22"/>
        </w:rPr>
        <w:t xml:space="preserve"> </w:t>
      </w:r>
    </w:p>
    <w:p w:rsidR="006B41E4" w:rsidRPr="00C46B3D" w:rsidRDefault="006B41E4" w:rsidP="006B41E4">
      <w:pPr>
        <w:suppressAutoHyphens/>
        <w:jc w:val="center"/>
        <w:rPr>
          <w:rFonts w:ascii="Times New Roman" w:eastAsia="Times New Roman" w:hAnsi="Times New Roman" w:cs="Times New Roman"/>
          <w:sz w:val="24"/>
          <w:szCs w:val="24"/>
          <w:u w:val="single"/>
          <w:lang w:eastAsia="ar-SA"/>
        </w:rPr>
      </w:pPr>
      <w:r>
        <w:object w:dxaOrig="10800" w:dyaOrig="7500">
          <v:shape id="_x0000_i1028" type="#_x0000_t75" style="width:330pt;height:229pt" o:ole="">
            <v:imagedata r:id="rId21" o:title=""/>
          </v:shape>
          <o:OLEObject Type="Embed" ProgID="PBrush" ShapeID="_x0000_i1028" DrawAspect="Content" ObjectID="_1441105967" r:id="rId22"/>
        </w:object>
      </w:r>
    </w:p>
    <w:p w:rsidR="006B41E4" w:rsidRDefault="006B41E4" w:rsidP="006B41E4">
      <w:pPr>
        <w:rPr>
          <w:rFonts w:ascii="Times New Roman" w:eastAsia="Times New Roman" w:hAnsi="Times New Roman" w:cs="Times New Roman"/>
          <w:sz w:val="24"/>
          <w:szCs w:val="24"/>
          <w:lang w:eastAsia="ar-SA"/>
        </w:rPr>
      </w:pPr>
    </w:p>
    <w:p w:rsidR="006B41E4" w:rsidRDefault="006B41E4" w:rsidP="006B41E4">
      <w:r>
        <w:fldChar w:fldCharType="begin"/>
      </w:r>
      <w:r>
        <w:instrText xml:space="preserve"> AUTONUM  </w:instrText>
      </w:r>
      <w:r>
        <w:fldChar w:fldCharType="end"/>
      </w:r>
      <w:r>
        <w:tab/>
        <w:t>Users of other WIPO web sites show a similar geographical distribution as shown below (in the atlas, the thicker the color is, the higher the number of visitors to WIPO web sites).</w:t>
      </w:r>
    </w:p>
    <w:p w:rsidR="006B41E4" w:rsidRDefault="006B41E4" w:rsidP="006B41E4"/>
    <w:p w:rsidR="006B41E4" w:rsidRDefault="006B41E4" w:rsidP="006B41E4">
      <w:pPr>
        <w:jc w:val="center"/>
      </w:pPr>
      <w:r>
        <w:t>Figure 4:  WIPO Web site visitors</w:t>
      </w:r>
    </w:p>
    <w:p w:rsidR="006B41E4" w:rsidRDefault="00D578DA" w:rsidP="006B41E4">
      <w:pPr>
        <w:jc w:val="center"/>
        <w:rPr>
          <w:noProof/>
          <w:lang w:eastAsia="ja-JP"/>
        </w:rPr>
      </w:pPr>
      <w:r>
        <w:rPr>
          <w:noProof/>
          <w:lang w:eastAsia="ja-JP"/>
        </w:rPr>
        <w:pict>
          <v:shape id="_x0000_i1029" type="#_x0000_t75" style="width:370.5pt;height:286.5pt;visibility:visible">
            <v:imagedata r:id="rId23" o:title=""/>
          </v:shape>
        </w:pict>
      </w:r>
    </w:p>
    <w:p w:rsidR="006B41E4" w:rsidRDefault="006B41E4" w:rsidP="006B41E4">
      <w:pPr>
        <w:jc w:val="center"/>
      </w:pPr>
      <w:r>
        <w:br w:type="page"/>
      </w:r>
    </w:p>
    <w:p w:rsidR="006B41E4" w:rsidRDefault="006B41E4" w:rsidP="006B41E4">
      <w:pPr>
        <w:jc w:val="center"/>
      </w:pPr>
      <w:r>
        <w:lastRenderedPageBreak/>
        <w:t>Table 8:  Visitors to WIPO web site by country</w:t>
      </w:r>
    </w:p>
    <w:p w:rsidR="006B41E4" w:rsidRDefault="00D578DA" w:rsidP="006B41E4">
      <w:pPr>
        <w:jc w:val="center"/>
      </w:pPr>
      <w:r>
        <w:rPr>
          <w:noProof/>
          <w:lang w:eastAsia="ja-JP"/>
        </w:rPr>
        <w:pict>
          <v:shape id="_x0000_i1030" type="#_x0000_t75" style="width:402.5pt;height:302pt;visibility:visible">
            <v:imagedata r:id="rId24" o:title=""/>
          </v:shape>
        </w:pict>
      </w:r>
    </w:p>
    <w:p w:rsidR="006B41E4" w:rsidRDefault="006B41E4" w:rsidP="006B41E4"/>
    <w:p w:rsidR="006B41E4" w:rsidRDefault="006B41E4" w:rsidP="006B41E4"/>
    <w:p w:rsidR="006B41E4" w:rsidRDefault="006B41E4" w:rsidP="006B41E4">
      <w:r>
        <w:fldChar w:fldCharType="begin"/>
      </w:r>
      <w:r>
        <w:instrText xml:space="preserve"> AUTONUM  </w:instrText>
      </w:r>
      <w:r>
        <w:fldChar w:fldCharType="end"/>
      </w:r>
      <w:r>
        <w:tab/>
        <w:t xml:space="preserve">The geographical distribution of users of WIPO web services clearly indicates the need to create a global networked model of ICT infrastructure for effective delivery of WIPO services and information.  The Secretariat’s internal and external expert studies confirmed an urgent need for </w:t>
      </w:r>
      <w:r w:rsidRPr="0053470F">
        <w:t>adjust</w:t>
      </w:r>
      <w:r>
        <w:t xml:space="preserve">ment of </w:t>
      </w:r>
      <w:r w:rsidRPr="0053470F">
        <w:t xml:space="preserve">the current </w:t>
      </w:r>
      <w:r>
        <w:t xml:space="preserve">ICT architecture of WIPO </w:t>
      </w:r>
      <w:r w:rsidRPr="0053470F">
        <w:t xml:space="preserve">to a modernized model </w:t>
      </w:r>
      <w:r>
        <w:t>pertinent to</w:t>
      </w:r>
      <w:r w:rsidRPr="0053470F">
        <w:t xml:space="preserve"> this century, which should, on </w:t>
      </w:r>
      <w:r>
        <w:t xml:space="preserve">the </w:t>
      </w:r>
      <w:r w:rsidRPr="0053470F">
        <w:t>one hand, optimize the cost efficiency and added value in use of digital</w:t>
      </w:r>
      <w:r>
        <w:t>-</w:t>
      </w:r>
      <w:r w:rsidRPr="0053470F">
        <w:t>networked delivery systems, and</w:t>
      </w:r>
      <w:r>
        <w:t>,</w:t>
      </w:r>
      <w:r w:rsidRPr="0053470F">
        <w:t xml:space="preserve"> on the other hand, mitigate any risk</w:t>
      </w:r>
      <w:r>
        <w:t>s</w:t>
      </w:r>
      <w:r w:rsidRPr="0053470F">
        <w:t xml:space="preserve"> arising from the vulnerability of the model</w:t>
      </w:r>
      <w:r>
        <w:t xml:space="preserve"> centered on a single place.</w:t>
      </w:r>
    </w:p>
    <w:p w:rsidR="006B41E4" w:rsidRDefault="006B41E4" w:rsidP="006B41E4"/>
    <w:p w:rsidR="006B41E4" w:rsidRDefault="006B41E4" w:rsidP="006B41E4">
      <w:r>
        <w:fldChar w:fldCharType="begin"/>
      </w:r>
      <w:r>
        <w:instrText xml:space="preserve"> AUTONUM  </w:instrText>
      </w:r>
      <w:r>
        <w:fldChar w:fldCharType="end"/>
      </w:r>
      <w:r>
        <w:tab/>
        <w:t xml:space="preserve">PATENTSCOPE and other WIPO websites contain published and non-confidential information.  However, certain on-line services WIPO started recently, such as </w:t>
      </w:r>
      <w:proofErr w:type="spellStart"/>
      <w:r>
        <w:t>ePCT</w:t>
      </w:r>
      <w:proofErr w:type="spellEnd"/>
      <w:r>
        <w:t xml:space="preserve">, contain highly confidential unpublished information of patent applications.  It is crucial for the Organization to ensure the security of the Organization’s ICT platforms and systems, the capacity to provide business continuity in respect of them, the capacity to recover from a disaster and the capacity to provide consistent response times to users around the globe.  These functions will be greatly enhanced by the strategic establishment of a limited number of mirror sites that can be administered or supervised through EOs. </w:t>
      </w:r>
    </w:p>
    <w:p w:rsidR="006B41E4" w:rsidRDefault="006B41E4" w:rsidP="006B41E4"/>
    <w:p w:rsidR="006B41E4" w:rsidRPr="00101F76" w:rsidRDefault="006B41E4" w:rsidP="006B41E4">
      <w:pPr>
        <w:pStyle w:val="Heading3"/>
      </w:pPr>
      <w:bookmarkStart w:id="29" w:name="_Toc362612230"/>
      <w:r w:rsidRPr="00101F76">
        <w:t>Geographically representative</w:t>
      </w:r>
      <w:bookmarkEnd w:id="29"/>
    </w:p>
    <w:p w:rsidR="006B41E4" w:rsidRDefault="006B41E4" w:rsidP="006B41E4">
      <w:pPr>
        <w:rPr>
          <w:i/>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8B6036">
        <w:rPr>
          <w:rFonts w:eastAsia="Times New Roman"/>
          <w:noProof/>
          <w:szCs w:val="22"/>
          <w:lang w:eastAsia="en-US"/>
        </w:rPr>
        <w:t xml:space="preserve"> </w:t>
      </w:r>
      <w:r>
        <w:rPr>
          <w:rFonts w:eastAsia="Times New Roman"/>
          <w:noProof/>
          <w:szCs w:val="22"/>
          <w:lang w:eastAsia="en-US"/>
        </w:rPr>
        <w:t>T</w:t>
      </w:r>
      <w:r w:rsidRPr="008B6036">
        <w:rPr>
          <w:rFonts w:eastAsia="Times New Roman"/>
          <w:noProof/>
          <w:szCs w:val="22"/>
          <w:lang w:eastAsia="en-US"/>
        </w:rPr>
        <w:t>he locations of EOs need to be geographically representative.</w:t>
      </w:r>
      <w:r>
        <w:rPr>
          <w:rFonts w:eastAsia="Times New Roman"/>
          <w:noProof/>
          <w:szCs w:val="22"/>
          <w:lang w:eastAsia="en-US"/>
        </w:rPr>
        <w:t xml:space="preserve"> </w:t>
      </w:r>
      <w:r w:rsidRPr="008B6036">
        <w:rPr>
          <w:rFonts w:eastAsia="Times New Roman"/>
          <w:noProof/>
          <w:szCs w:val="22"/>
          <w:lang w:eastAsia="en-US"/>
        </w:rPr>
        <w:t xml:space="preserve"> This does not mean that EOs should be offices representing the particular region, as explain</w:t>
      </w:r>
      <w:r>
        <w:rPr>
          <w:rFonts w:eastAsia="Times New Roman"/>
          <w:noProof/>
          <w:szCs w:val="22"/>
          <w:lang w:eastAsia="en-US"/>
        </w:rPr>
        <w:t>ed</w:t>
      </w:r>
      <w:r w:rsidRPr="008B6036">
        <w:rPr>
          <w:rFonts w:eastAsia="Times New Roman"/>
          <w:noProof/>
          <w:szCs w:val="22"/>
          <w:lang w:eastAsia="en-US"/>
        </w:rPr>
        <w:t xml:space="preserve"> above.</w:t>
      </w:r>
    </w:p>
    <w:p w:rsidR="006B41E4"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 xml:space="preserve">As described in the section on existing EOs, activities undertaken to assist the </w:t>
      </w:r>
      <w:r>
        <w:rPr>
          <w:rFonts w:eastAsia="Times New Roman"/>
          <w:noProof/>
          <w:szCs w:val="22"/>
          <w:lang w:eastAsia="en-US"/>
        </w:rPr>
        <w:t>HQ</w:t>
      </w:r>
      <w:r w:rsidRPr="00397B17">
        <w:rPr>
          <w:rFonts w:eastAsia="Times New Roman"/>
          <w:noProof/>
          <w:szCs w:val="22"/>
          <w:lang w:eastAsia="en-US"/>
        </w:rPr>
        <w:t xml:space="preserve"> in strengthening WIPO’s program activities for the provision of technical assistance and capacity building in a number of countries that were covered by those EOs proved to be cost effective, timely delivered, tailor-made to specific local needs, valuable, and supplementary to activities of </w:t>
      </w:r>
      <w:r>
        <w:rPr>
          <w:rFonts w:eastAsia="Times New Roman"/>
          <w:noProof/>
          <w:szCs w:val="22"/>
          <w:lang w:eastAsia="en-US"/>
        </w:rPr>
        <w:t>WIPO</w:t>
      </w:r>
      <w:r w:rsidRPr="00397B17">
        <w:rPr>
          <w:rFonts w:eastAsia="Times New Roman"/>
          <w:noProof/>
          <w:szCs w:val="22"/>
          <w:lang w:eastAsia="en-US"/>
        </w:rPr>
        <w:t xml:space="preserve"> HQ.  </w:t>
      </w:r>
    </w:p>
    <w:p w:rsidR="006B41E4"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 xml:space="preserve">However, the existing EOs coverage is limited and there are many other </w:t>
      </w:r>
      <w:r>
        <w:rPr>
          <w:rFonts w:eastAsia="Times New Roman"/>
          <w:noProof/>
          <w:szCs w:val="22"/>
          <w:lang w:eastAsia="en-US"/>
        </w:rPr>
        <w:t>M</w:t>
      </w:r>
      <w:r w:rsidRPr="00397B17">
        <w:rPr>
          <w:rFonts w:eastAsia="Times New Roman"/>
          <w:noProof/>
          <w:szCs w:val="22"/>
          <w:lang w:eastAsia="en-US"/>
        </w:rPr>
        <w:t xml:space="preserve">ember States which could benefit from collaboration between </w:t>
      </w:r>
      <w:r>
        <w:rPr>
          <w:rFonts w:eastAsia="Times New Roman"/>
          <w:noProof/>
          <w:szCs w:val="22"/>
          <w:lang w:eastAsia="en-US"/>
        </w:rPr>
        <w:t>WIPO</w:t>
      </w:r>
      <w:r w:rsidRPr="00397B17">
        <w:rPr>
          <w:rFonts w:eastAsia="Times New Roman"/>
          <w:noProof/>
          <w:szCs w:val="22"/>
          <w:lang w:eastAsia="en-US"/>
        </w:rPr>
        <w:t xml:space="preserve"> HQ and EOs by creating new EOs in areas where there is extensive need for technical assistance and capacity building.  The proposed Program and Budget addressed the</w:t>
      </w:r>
      <w:r>
        <w:rPr>
          <w:rFonts w:eastAsia="Times New Roman"/>
          <w:noProof/>
          <w:szCs w:val="22"/>
          <w:lang w:eastAsia="en-US"/>
        </w:rPr>
        <w:t>se</w:t>
      </w:r>
      <w:r w:rsidRPr="00397B17">
        <w:rPr>
          <w:rFonts w:eastAsia="Times New Roman"/>
          <w:noProof/>
          <w:szCs w:val="22"/>
          <w:lang w:eastAsia="en-US"/>
        </w:rPr>
        <w:t xml:space="preserve"> needs by proposing two EOs in Africa where no EO has yet been established.  Following a holistic approach to the issue of criteria and strategy </w:t>
      </w:r>
      <w:r>
        <w:rPr>
          <w:rFonts w:eastAsia="Times New Roman"/>
          <w:noProof/>
          <w:szCs w:val="22"/>
          <w:lang w:eastAsia="en-US"/>
        </w:rPr>
        <w:t>for</w:t>
      </w:r>
      <w:r w:rsidRPr="00397B17">
        <w:rPr>
          <w:rFonts w:eastAsia="Times New Roman"/>
          <w:noProof/>
          <w:szCs w:val="22"/>
          <w:lang w:eastAsia="en-US"/>
        </w:rPr>
        <w:t xml:space="preserve"> EOs, geographical distribution is particularly important to the delivery of WIPO’s services for technical assistance and capacity building.</w:t>
      </w:r>
    </w:p>
    <w:p w:rsidR="006B41E4"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 xml:space="preserve">As proposed in </w:t>
      </w:r>
      <w:r>
        <w:rPr>
          <w:rFonts w:eastAsia="Times New Roman"/>
          <w:noProof/>
          <w:szCs w:val="22"/>
          <w:lang w:eastAsia="en-US"/>
        </w:rPr>
        <w:t>the Program and Budget 2014/15 (</w:t>
      </w:r>
      <w:r w:rsidRPr="00397B17">
        <w:rPr>
          <w:rFonts w:eastAsia="Times New Roman"/>
          <w:noProof/>
          <w:szCs w:val="22"/>
          <w:lang w:eastAsia="en-US"/>
        </w:rPr>
        <w:t>Program 15</w:t>
      </w:r>
      <w:r>
        <w:rPr>
          <w:rFonts w:eastAsia="Times New Roman"/>
          <w:noProof/>
          <w:szCs w:val="22"/>
          <w:lang w:eastAsia="en-US"/>
        </w:rPr>
        <w:t>,</w:t>
      </w:r>
      <w:r w:rsidRPr="00397B17">
        <w:rPr>
          <w:rFonts w:eastAsia="Times New Roman"/>
          <w:noProof/>
          <w:szCs w:val="22"/>
          <w:lang w:eastAsia="en-US"/>
        </w:rPr>
        <w:t xml:space="preserve"> Business Solutions for IP Offices</w:t>
      </w:r>
      <w:r>
        <w:rPr>
          <w:rFonts w:eastAsia="Times New Roman"/>
          <w:noProof/>
          <w:szCs w:val="22"/>
          <w:lang w:eastAsia="en-US"/>
        </w:rPr>
        <w:t>)</w:t>
      </w:r>
      <w:r w:rsidRPr="00397B17">
        <w:rPr>
          <w:rFonts w:eastAsia="Times New Roman"/>
          <w:noProof/>
          <w:szCs w:val="22"/>
          <w:lang w:eastAsia="en-US"/>
        </w:rPr>
        <w:t xml:space="preserve">, challenges facing the </w:t>
      </w:r>
      <w:r>
        <w:rPr>
          <w:rFonts w:eastAsia="Times New Roman"/>
          <w:noProof/>
          <w:szCs w:val="22"/>
          <w:lang w:eastAsia="en-US"/>
        </w:rPr>
        <w:t>Secretariat</w:t>
      </w:r>
      <w:r w:rsidRPr="00397B17">
        <w:rPr>
          <w:rFonts w:eastAsia="Times New Roman"/>
          <w:noProof/>
          <w:szCs w:val="22"/>
          <w:lang w:eastAsia="en-US"/>
        </w:rPr>
        <w:t xml:space="preserve"> include a shift from an initial deployment by the </w:t>
      </w:r>
      <w:r>
        <w:rPr>
          <w:rFonts w:eastAsia="Times New Roman"/>
          <w:noProof/>
          <w:szCs w:val="22"/>
          <w:lang w:eastAsia="en-US"/>
        </w:rPr>
        <w:t>Secretariat</w:t>
      </w:r>
      <w:r w:rsidRPr="00397B17">
        <w:rPr>
          <w:rFonts w:eastAsia="Times New Roman"/>
          <w:noProof/>
          <w:szCs w:val="22"/>
          <w:lang w:eastAsia="en-US"/>
        </w:rPr>
        <w:t xml:space="preserve"> of software packages and ICT systems for IP Office operation towards a more sustainable model in which IP Offices will take over the support and operation and acquir</w:t>
      </w:r>
      <w:r>
        <w:rPr>
          <w:rFonts w:eastAsia="Times New Roman"/>
          <w:noProof/>
          <w:szCs w:val="22"/>
          <w:lang w:eastAsia="en-US"/>
        </w:rPr>
        <w:t>e knowledge for further adaptation</w:t>
      </w:r>
      <w:r w:rsidRPr="00397B17">
        <w:rPr>
          <w:rFonts w:eastAsia="Times New Roman"/>
          <w:noProof/>
          <w:szCs w:val="22"/>
          <w:lang w:eastAsia="en-US"/>
        </w:rPr>
        <w:t xml:space="preserve"> of the system.  The initial intervention by the Secretariat for the deployment of the system requires a number of missions (for instance, more than 100 missions to 54 countries were undertaken in 2012 to deliver technical assistance to deploy and support IPAS and other business solutions applications, at a total cost of 635,000 CHF).  In the service provider model, more resources would be devoted to providing software support using the Geneva-based development team, and delivery to IP offices would be handled, to the extent possible, by regionally-based staff.  Overall coordination and direction would remain with the headquarters staff in Geneva.  There would be a focus on knowledge transfer and promoting autonomy in the operation and support of systems within and between IP offices.</w:t>
      </w:r>
    </w:p>
    <w:p w:rsidR="006B41E4"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As many businesses have discovered, the importance of a local presence cannot be over-estimated.  A regional expert, based in an EO</w:t>
      </w:r>
      <w:r>
        <w:rPr>
          <w:rFonts w:eastAsia="Times New Roman"/>
          <w:noProof/>
          <w:szCs w:val="22"/>
          <w:lang w:eastAsia="en-US"/>
        </w:rPr>
        <w:t xml:space="preserve"> (the WSO)</w:t>
      </w:r>
      <w:r w:rsidRPr="00397B17">
        <w:rPr>
          <w:rFonts w:eastAsia="Times New Roman"/>
          <w:noProof/>
          <w:szCs w:val="22"/>
          <w:lang w:eastAsia="en-US"/>
        </w:rPr>
        <w:t>, is closer to the IP offices that need support, in the same time zone, often speaking the same language and sharing the same culture.  These factors have intangible benefits that make the local support much more effective than remote support from Geneva.</w:t>
      </w:r>
    </w:p>
    <w:p w:rsidR="006B41E4" w:rsidRPr="00397B17"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The Secretariat will continue to intervene on-site whenever necessary, since there are always cases where remote intervention is not effective, especially in the area of knowledge transfer.  New EOs are expected to be used as nodal points where technical experts are pooled and stationed for rapid delivery of services and on-site interventions.</w:t>
      </w:r>
      <w:r>
        <w:rPr>
          <w:rFonts w:eastAsia="Times New Roman"/>
          <w:noProof/>
          <w:szCs w:val="22"/>
          <w:lang w:eastAsia="en-US"/>
        </w:rPr>
        <w:t xml:space="preserve"> </w:t>
      </w:r>
      <w:r w:rsidRPr="00397B17">
        <w:rPr>
          <w:rFonts w:eastAsia="Times New Roman"/>
          <w:noProof/>
          <w:szCs w:val="22"/>
          <w:lang w:eastAsia="en-US"/>
        </w:rPr>
        <w:t xml:space="preserve"> The presence of locally recruited experts should also contribute to effective transfer of knowledge, and enhancement of mutual support through </w:t>
      </w:r>
      <w:r>
        <w:rPr>
          <w:rFonts w:eastAsia="Times New Roman"/>
          <w:noProof/>
          <w:szCs w:val="22"/>
          <w:lang w:eastAsia="en-US"/>
        </w:rPr>
        <w:t>creation</w:t>
      </w:r>
      <w:r w:rsidRPr="00397B17">
        <w:rPr>
          <w:rFonts w:eastAsia="Times New Roman"/>
          <w:noProof/>
          <w:szCs w:val="22"/>
          <w:lang w:eastAsia="en-US"/>
        </w:rPr>
        <w:t xml:space="preserve"> of regional networks.  </w:t>
      </w:r>
    </w:p>
    <w:p w:rsidR="006B41E4"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Experience of having technical experts o</w:t>
      </w:r>
      <w:r>
        <w:rPr>
          <w:rFonts w:eastAsia="Times New Roman"/>
          <w:noProof/>
          <w:szCs w:val="22"/>
          <w:lang w:eastAsia="en-US"/>
        </w:rPr>
        <w:t>n</w:t>
      </w:r>
      <w:r w:rsidRPr="00397B17">
        <w:rPr>
          <w:rFonts w:eastAsia="Times New Roman"/>
          <w:noProof/>
          <w:szCs w:val="22"/>
          <w:lang w:eastAsia="en-US"/>
        </w:rPr>
        <w:t xml:space="preserve"> non-staff contracts has proved to be successful and demonstrated the potential of saving considerable resources.  For instance, in 2012, WIPO had six locally recruited experts in the field (Africa, Latin America, Asia) and they supplemented technical assistance delivered by the HQ in a cost effective way.  For comparison, a mission of one week by a local expert to a country in the same region typically costs around 2</w:t>
      </w:r>
      <w:r>
        <w:rPr>
          <w:rFonts w:eastAsia="Times New Roman"/>
          <w:noProof/>
          <w:szCs w:val="22"/>
          <w:lang w:eastAsia="en-US"/>
        </w:rPr>
        <w:t>,</w:t>
      </w:r>
      <w:r w:rsidRPr="00397B17">
        <w:rPr>
          <w:rFonts w:eastAsia="Times New Roman"/>
          <w:noProof/>
          <w:szCs w:val="22"/>
          <w:lang w:eastAsia="en-US"/>
        </w:rPr>
        <w:t>500 CHF whereas the equivalent mission by Geneva-based staff would cost 7</w:t>
      </w:r>
      <w:r>
        <w:rPr>
          <w:rFonts w:eastAsia="Times New Roman"/>
          <w:noProof/>
          <w:szCs w:val="22"/>
          <w:lang w:eastAsia="en-US"/>
        </w:rPr>
        <w:t>,</w:t>
      </w:r>
      <w:r w:rsidRPr="00397B17">
        <w:rPr>
          <w:rFonts w:eastAsia="Times New Roman"/>
          <w:noProof/>
          <w:szCs w:val="22"/>
          <w:lang w:eastAsia="en-US"/>
        </w:rPr>
        <w:t>000 CHF.  The figures are similar for Africa, A</w:t>
      </w:r>
      <w:r>
        <w:rPr>
          <w:rFonts w:eastAsia="Times New Roman"/>
          <w:noProof/>
          <w:szCs w:val="22"/>
          <w:lang w:eastAsia="en-US"/>
        </w:rPr>
        <w:t>sia and Latin America, and cost</w:t>
      </w:r>
      <w:r w:rsidRPr="00397B17">
        <w:rPr>
          <w:rFonts w:eastAsia="Times New Roman"/>
          <w:noProof/>
          <w:szCs w:val="22"/>
          <w:lang w:eastAsia="en-US"/>
        </w:rPr>
        <w:t xml:space="preserve"> savings are less for the Arab and Eastern European regions.  This means that significant cost savings are realized by having experts based in the regions, although the total cost saving depends on the extent to which local experts can substitute Geneva-based staff.  In 2012, only one of the local experts was based in an EO (the WSO).  The EOs provides office infrastructure such as robust secured network connectivity between </w:t>
      </w:r>
      <w:r>
        <w:rPr>
          <w:rFonts w:eastAsia="Times New Roman"/>
          <w:noProof/>
          <w:szCs w:val="22"/>
          <w:lang w:eastAsia="en-US"/>
        </w:rPr>
        <w:t>WIPO</w:t>
      </w:r>
      <w:r w:rsidRPr="00397B17">
        <w:rPr>
          <w:rFonts w:eastAsia="Times New Roman"/>
          <w:noProof/>
          <w:szCs w:val="22"/>
          <w:lang w:eastAsia="en-US"/>
        </w:rPr>
        <w:t xml:space="preserve"> HQ and EOs, administrative support, administrative supervision, and improves commun</w:t>
      </w:r>
      <w:r>
        <w:rPr>
          <w:rFonts w:eastAsia="Times New Roman"/>
          <w:noProof/>
          <w:szCs w:val="22"/>
          <w:lang w:eastAsia="en-US"/>
        </w:rPr>
        <w:t>ications and coordination with M</w:t>
      </w:r>
      <w:r w:rsidRPr="00397B17">
        <w:rPr>
          <w:rFonts w:eastAsia="Times New Roman"/>
          <w:noProof/>
          <w:szCs w:val="22"/>
          <w:lang w:eastAsia="en-US"/>
        </w:rPr>
        <w:t xml:space="preserve">ember </w:t>
      </w:r>
      <w:r>
        <w:rPr>
          <w:rFonts w:eastAsia="Times New Roman"/>
          <w:noProof/>
          <w:szCs w:val="22"/>
          <w:lang w:eastAsia="en-US"/>
        </w:rPr>
        <w:t>S</w:t>
      </w:r>
      <w:r w:rsidRPr="00397B17">
        <w:rPr>
          <w:rFonts w:eastAsia="Times New Roman"/>
          <w:noProof/>
          <w:szCs w:val="22"/>
          <w:lang w:eastAsia="en-US"/>
        </w:rPr>
        <w:t>tates in the respecti</w:t>
      </w:r>
      <w:r>
        <w:rPr>
          <w:rFonts w:eastAsia="Times New Roman"/>
          <w:noProof/>
          <w:szCs w:val="22"/>
          <w:lang w:eastAsia="en-US"/>
        </w:rPr>
        <w:t>ve region through nodal points.</w:t>
      </w:r>
    </w:p>
    <w:p w:rsidR="006B41E4" w:rsidRPr="00397B17" w:rsidRDefault="006B41E4" w:rsidP="006B41E4">
      <w:pPr>
        <w:rPr>
          <w:rFonts w:eastAsia="Times New Roman"/>
          <w:noProof/>
          <w:szCs w:val="22"/>
          <w:lang w:eastAsia="en-US"/>
        </w:rPr>
      </w:pPr>
    </w:p>
    <w:p w:rsidR="006B41E4"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397B17">
        <w:rPr>
          <w:rFonts w:eastAsia="Times New Roman"/>
          <w:noProof/>
          <w:szCs w:val="22"/>
          <w:lang w:eastAsia="en-US"/>
        </w:rPr>
        <w:t xml:space="preserve">Many </w:t>
      </w:r>
      <w:r>
        <w:rPr>
          <w:rFonts w:eastAsia="Times New Roman"/>
          <w:noProof/>
          <w:szCs w:val="22"/>
          <w:lang w:eastAsia="en-US"/>
        </w:rPr>
        <w:t>M</w:t>
      </w:r>
      <w:r w:rsidRPr="00397B17">
        <w:rPr>
          <w:rFonts w:eastAsia="Times New Roman"/>
          <w:noProof/>
          <w:szCs w:val="22"/>
          <w:lang w:eastAsia="en-US"/>
        </w:rPr>
        <w:t xml:space="preserve">ember States IPOs have also established capability </w:t>
      </w:r>
      <w:r>
        <w:rPr>
          <w:rFonts w:eastAsia="Times New Roman"/>
          <w:noProof/>
          <w:szCs w:val="22"/>
          <w:lang w:eastAsia="en-US"/>
        </w:rPr>
        <w:t>in</w:t>
      </w:r>
      <w:r w:rsidRPr="00397B17">
        <w:rPr>
          <w:rFonts w:eastAsia="Times New Roman"/>
          <w:noProof/>
          <w:szCs w:val="22"/>
          <w:lang w:eastAsia="en-US"/>
        </w:rPr>
        <w:t xml:space="preserve"> IP operation</w:t>
      </w:r>
      <w:r>
        <w:rPr>
          <w:rFonts w:eastAsia="Times New Roman"/>
          <w:noProof/>
          <w:szCs w:val="22"/>
          <w:lang w:eastAsia="en-US"/>
        </w:rPr>
        <w:t>,</w:t>
      </w:r>
      <w:r w:rsidRPr="00397B17">
        <w:rPr>
          <w:rFonts w:eastAsia="Times New Roman"/>
          <w:noProof/>
          <w:szCs w:val="22"/>
          <w:lang w:eastAsia="en-US"/>
        </w:rPr>
        <w:t xml:space="preserve"> and partnerships with IPOs in those countries is strategically wise.  Geographically representative presence of new EOs will address the future needs arising from countries which have proactively used IP for development.  If IP statistics are not very helpful to measure the future </w:t>
      </w:r>
      <w:r w:rsidRPr="00397B17">
        <w:rPr>
          <w:rFonts w:eastAsia="Times New Roman"/>
          <w:noProof/>
          <w:szCs w:val="22"/>
          <w:lang w:eastAsia="en-US"/>
        </w:rPr>
        <w:lastRenderedPageBreak/>
        <w:t xml:space="preserve">potential, it may be useful to consider a list of countries which have started to develop IP technical infrastructure through the deployment of IPAS.  The following list of countries which use IPAS may be a good indicator to discuss where nodal points for technical assistance could be effectively made and what countries could be better partners for the provision of technical assistance.   </w:t>
      </w:r>
    </w:p>
    <w:p w:rsidR="006B41E4" w:rsidRDefault="006B41E4" w:rsidP="006B41E4">
      <w:pPr>
        <w:rPr>
          <w:rFonts w:eastAsia="Times New Roman"/>
          <w:noProof/>
          <w:szCs w:val="22"/>
          <w:lang w:eastAsia="en-US"/>
        </w:rPr>
      </w:pPr>
    </w:p>
    <w:p w:rsidR="006B41E4" w:rsidRPr="004B4236" w:rsidRDefault="006B41E4" w:rsidP="006B41E4">
      <w:pPr>
        <w:spacing w:after="200" w:line="276" w:lineRule="auto"/>
        <w:rPr>
          <w:rFonts w:eastAsia="MS Mincho"/>
          <w:szCs w:val="22"/>
          <w:lang w:eastAsia="ja-JP"/>
        </w:rPr>
      </w:pPr>
      <w:r>
        <w:rPr>
          <w:rFonts w:eastAsia="MS Mincho"/>
          <w:szCs w:val="22"/>
          <w:lang w:eastAsia="ja-JP"/>
        </w:rPr>
        <w:t xml:space="preserve">Table 9: </w:t>
      </w:r>
      <w:r w:rsidRPr="004B4236">
        <w:rPr>
          <w:rFonts w:eastAsia="MS Mincho"/>
          <w:szCs w:val="22"/>
          <w:lang w:eastAsia="ja-JP"/>
        </w:rPr>
        <w:t>Use of WIPO IP Office software packages; breakdown by country and by region</w:t>
      </w:r>
      <w:r>
        <w:rPr>
          <w:rFonts w:eastAsia="MS Mincho"/>
          <w:szCs w:val="22"/>
          <w:lang w:eastAsia="ja-JP"/>
        </w:rPr>
        <w:t xml:space="preserve"> (2012)</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6B41E4" w:rsidRPr="00397B17" w:rsidTr="006B41E4">
        <w:trPr>
          <w:trHeight w:val="300"/>
          <w:jc w:val="center"/>
        </w:trPr>
        <w:tc>
          <w:tcPr>
            <w:tcW w:w="2736" w:type="dxa"/>
            <w:tcBorders>
              <w:top w:val="single" w:sz="4" w:space="0" w:color="auto"/>
              <w:left w:val="single" w:sz="4" w:space="0" w:color="auto"/>
              <w:bottom w:val="nil"/>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 </w:t>
            </w:r>
          </w:p>
        </w:tc>
        <w:tc>
          <w:tcPr>
            <w:tcW w:w="1037" w:type="dxa"/>
            <w:tcBorders>
              <w:top w:val="single" w:sz="4" w:space="0" w:color="auto"/>
              <w:left w:val="nil"/>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AIPMS</w:t>
            </w:r>
          </w:p>
        </w:tc>
        <w:tc>
          <w:tcPr>
            <w:tcW w:w="1038" w:type="dxa"/>
            <w:tcBorders>
              <w:top w:val="single" w:sz="4" w:space="0" w:color="auto"/>
              <w:left w:val="single" w:sz="4" w:space="0" w:color="auto"/>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IPAS</w:t>
            </w:r>
          </w:p>
        </w:tc>
        <w:tc>
          <w:tcPr>
            <w:tcW w:w="1038" w:type="dxa"/>
            <w:tcBorders>
              <w:top w:val="single" w:sz="4" w:space="0" w:color="auto"/>
              <w:left w:val="nil"/>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single" w:sz="4" w:space="0" w:color="auto"/>
              <w:left w:val="nil"/>
              <w:bottom w:val="nil"/>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single" w:sz="4" w:space="0" w:color="auto"/>
              <w:left w:val="nil"/>
              <w:bottom w:val="nil"/>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proofErr w:type="spellStart"/>
            <w:r w:rsidRPr="00397B17">
              <w:rPr>
                <w:rFonts w:eastAsia="Times New Roman"/>
                <w:color w:val="000000"/>
                <w:sz w:val="20"/>
                <w:lang w:eastAsia="en-US"/>
              </w:rPr>
              <w:t>WIPOScan</w:t>
            </w:r>
            <w:proofErr w:type="spellEnd"/>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 </w:t>
            </w:r>
          </w:p>
        </w:tc>
        <w:tc>
          <w:tcPr>
            <w:tcW w:w="1037" w:type="dxa"/>
            <w:tcBorders>
              <w:top w:val="nil"/>
              <w:left w:val="nil"/>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ID</w:t>
            </w:r>
          </w:p>
        </w:tc>
        <w:tc>
          <w:tcPr>
            <w:tcW w:w="1038" w:type="dxa"/>
            <w:tcBorders>
              <w:top w:val="nil"/>
              <w:left w:val="nil"/>
              <w:bottom w:val="nil"/>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P</w:t>
            </w:r>
          </w:p>
        </w:tc>
        <w:tc>
          <w:tcPr>
            <w:tcW w:w="933" w:type="dxa"/>
            <w:tcBorders>
              <w:top w:val="nil"/>
              <w:left w:val="nil"/>
              <w:bottom w:val="nil"/>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TM</w:t>
            </w:r>
          </w:p>
        </w:tc>
        <w:tc>
          <w:tcPr>
            <w:tcW w:w="1246" w:type="dxa"/>
            <w:tcBorders>
              <w:top w:val="nil"/>
              <w:left w:val="nil"/>
              <w:bottom w:val="nil"/>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AFRICA (totals)</w:t>
            </w:r>
          </w:p>
        </w:tc>
        <w:tc>
          <w:tcPr>
            <w:tcW w:w="1037" w:type="dxa"/>
            <w:tcBorders>
              <w:top w:val="single" w:sz="4" w:space="0" w:color="auto"/>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7</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ARIPO</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Botswana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Ethiopia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Gambia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Ghana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Kenya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Madagascar</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Malawi</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Mauritius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Mozambique</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Namibia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South Africa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Uganda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United Republic of Tanzania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Zambia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Zanzibar (Tanzania)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Zimbabwe</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ARAB (totals)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10</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3</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3</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Algeria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Bahrain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Egypt</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Jordan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Kuwait</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Lebanon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Morocco</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Oman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Qatar</w:t>
            </w:r>
          </w:p>
        </w:tc>
        <w:tc>
          <w:tcPr>
            <w:tcW w:w="1037"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Sudan</w:t>
            </w:r>
          </w:p>
        </w:tc>
        <w:tc>
          <w:tcPr>
            <w:tcW w:w="1037"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Syria</w:t>
            </w:r>
          </w:p>
        </w:tc>
        <w:tc>
          <w:tcPr>
            <w:tcW w:w="1037"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single" w:sz="4" w:space="0" w:color="auto"/>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038" w:type="dxa"/>
            <w:tcBorders>
              <w:top w:val="nil"/>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933"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c>
          <w:tcPr>
            <w:tcW w:w="1246" w:type="dxa"/>
            <w:tcBorders>
              <w:top w:val="nil"/>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color w:val="000000"/>
                <w:sz w:val="20"/>
                <w:lang w:eastAsia="en-US"/>
              </w:rPr>
            </w:pP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Tunisia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United Arab Emirates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ASPAC (totals)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3</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7</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9</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2</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Bhutan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bl>
    <w:p w:rsidR="006B41E4" w:rsidRDefault="006B41E4">
      <w:r>
        <w:br w:type="page"/>
      </w:r>
    </w:p>
    <w:p w:rsidR="006B41E4" w:rsidRDefault="006B41E4"/>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6B41E4" w:rsidRPr="00397B17" w:rsidTr="006B41E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Cambodia</w:t>
            </w:r>
          </w:p>
        </w:tc>
        <w:tc>
          <w:tcPr>
            <w:tcW w:w="1037" w:type="dxa"/>
            <w:tcBorders>
              <w:top w:val="single" w:sz="4" w:space="0" w:color="auto"/>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Indonesia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Lao People's Democratic Republic</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Nepal</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Pakistan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Papua New Guinea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Philippines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Sri Lanka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CCEA (totals)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4</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6</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Albania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Azerbaijan</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Belarus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Kosovo</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Macedonia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San Marino</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Serbia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LAC (totals)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8</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12</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3</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Argentina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Bahamas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Barbados</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Belize</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Brazil</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Chile</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Costa Rica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Cuba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Dominican Republic</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Jamaica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Panama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Saint Lucia</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Trinidad and Tobago</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rsidR="006B41E4" w:rsidRPr="00397B17" w:rsidRDefault="006B41E4" w:rsidP="006B41E4">
            <w:pPr>
              <w:rPr>
                <w:rFonts w:eastAsia="Times New Roman"/>
                <w:color w:val="000000"/>
                <w:sz w:val="20"/>
                <w:lang w:eastAsia="en-US"/>
              </w:rPr>
            </w:pPr>
            <w:r w:rsidRPr="00397B17">
              <w:rPr>
                <w:rFonts w:eastAsia="Times New Roman"/>
                <w:color w:val="000000"/>
                <w:sz w:val="20"/>
                <w:lang w:eastAsia="en-US"/>
              </w:rPr>
              <w:t>Uruguay</w:t>
            </w:r>
          </w:p>
        </w:tc>
        <w:tc>
          <w:tcPr>
            <w:tcW w:w="1037"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single" w:sz="4" w:space="0" w:color="auto"/>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c>
          <w:tcPr>
            <w:tcW w:w="1038" w:type="dxa"/>
            <w:tcBorders>
              <w:top w:val="nil"/>
              <w:left w:val="nil"/>
              <w:bottom w:val="single" w:sz="4" w:space="0" w:color="auto"/>
              <w:right w:val="nil"/>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933"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1</w:t>
            </w:r>
          </w:p>
        </w:tc>
        <w:tc>
          <w:tcPr>
            <w:tcW w:w="1246" w:type="dxa"/>
            <w:tcBorders>
              <w:top w:val="nil"/>
              <w:left w:val="nil"/>
              <w:bottom w:val="single" w:sz="4" w:space="0" w:color="auto"/>
              <w:right w:val="single" w:sz="4" w:space="0" w:color="auto"/>
            </w:tcBorders>
            <w:shd w:val="clear" w:color="auto" w:fill="auto"/>
            <w:noWrap/>
            <w:vAlign w:val="bottom"/>
            <w:hideMark/>
          </w:tcPr>
          <w:p w:rsidR="006B41E4" w:rsidRPr="00397B17" w:rsidRDefault="006B41E4" w:rsidP="006B41E4">
            <w:pPr>
              <w:jc w:val="right"/>
              <w:rPr>
                <w:rFonts w:eastAsia="Times New Roman"/>
                <w:color w:val="000000"/>
                <w:sz w:val="20"/>
                <w:lang w:eastAsia="en-US"/>
              </w:rPr>
            </w:pPr>
            <w:r w:rsidRPr="00397B17">
              <w:rPr>
                <w:rFonts w:eastAsia="Times New Roman"/>
                <w:color w:val="000000"/>
                <w:sz w:val="20"/>
                <w:lang w:eastAsia="en-US"/>
              </w:rPr>
              <w:t> </w:t>
            </w:r>
          </w:p>
        </w:tc>
      </w:tr>
      <w:tr w:rsidR="006B41E4" w:rsidRPr="00397B17" w:rsidTr="006B41E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1E4" w:rsidRPr="00397B17" w:rsidRDefault="006B41E4" w:rsidP="006B41E4">
            <w:pPr>
              <w:rPr>
                <w:rFonts w:eastAsia="Times New Roman"/>
                <w:b/>
                <w:i/>
                <w:color w:val="000000"/>
                <w:sz w:val="20"/>
                <w:lang w:eastAsia="en-US"/>
              </w:rPr>
            </w:pPr>
            <w:r w:rsidRPr="00397B17">
              <w:rPr>
                <w:rFonts w:eastAsia="Times New Roman"/>
                <w:b/>
                <w:i/>
                <w:color w:val="000000"/>
                <w:sz w:val="20"/>
                <w:lang w:eastAsia="en-US"/>
              </w:rPr>
              <w:t>GRAND TOTALS</w:t>
            </w:r>
          </w:p>
        </w:tc>
        <w:tc>
          <w:tcPr>
            <w:tcW w:w="1037" w:type="dxa"/>
            <w:tcBorders>
              <w:top w:val="single" w:sz="4" w:space="0" w:color="auto"/>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4</w:t>
            </w:r>
          </w:p>
        </w:tc>
        <w:tc>
          <w:tcPr>
            <w:tcW w:w="1038" w:type="dxa"/>
            <w:tcBorders>
              <w:top w:val="single" w:sz="4" w:space="0" w:color="auto"/>
              <w:left w:val="nil"/>
              <w:bottom w:val="single" w:sz="4" w:space="0" w:color="auto"/>
              <w:right w:val="nil"/>
            </w:tcBorders>
            <w:shd w:val="clear" w:color="auto" w:fill="auto"/>
            <w:noWrap/>
            <w:vAlign w:val="bottom"/>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rsidR="006B41E4" w:rsidRPr="00397B17" w:rsidRDefault="006B41E4" w:rsidP="006B41E4">
            <w:pPr>
              <w:jc w:val="right"/>
              <w:rPr>
                <w:rFonts w:eastAsia="Times New Roman"/>
                <w:b/>
                <w:i/>
                <w:color w:val="000000"/>
                <w:sz w:val="20"/>
                <w:lang w:eastAsia="en-US"/>
              </w:rPr>
            </w:pPr>
            <w:r w:rsidRPr="00397B17">
              <w:rPr>
                <w:rFonts w:eastAsia="Times New Roman"/>
                <w:b/>
                <w:i/>
                <w:color w:val="000000"/>
                <w:sz w:val="20"/>
                <w:lang w:eastAsia="en-US"/>
              </w:rPr>
              <w:t>16</w:t>
            </w:r>
          </w:p>
        </w:tc>
      </w:tr>
    </w:tbl>
    <w:p w:rsidR="006B41E4" w:rsidRPr="00397B17" w:rsidRDefault="006B41E4" w:rsidP="006B41E4">
      <w:pPr>
        <w:spacing w:after="200" w:line="276" w:lineRule="auto"/>
        <w:jc w:val="center"/>
        <w:rPr>
          <w:rFonts w:eastAsia="MS Mincho"/>
          <w:sz w:val="20"/>
          <w:lang w:eastAsia="ja-JP"/>
        </w:rPr>
      </w:pPr>
    </w:p>
    <w:p w:rsidR="006B41E4" w:rsidRPr="00397B17" w:rsidRDefault="006B41E4" w:rsidP="006B41E4">
      <w:pPr>
        <w:spacing w:after="200" w:line="276" w:lineRule="auto"/>
        <w:contextualSpacing/>
        <w:rPr>
          <w:rFonts w:eastAsia="MS Mincho"/>
          <w:color w:val="000000"/>
          <w:szCs w:val="22"/>
          <w:lang w:eastAsia="ja-JP"/>
        </w:rPr>
      </w:pPr>
      <w:r>
        <w:rPr>
          <w:rFonts w:eastAsia="MS Mincho"/>
          <w:szCs w:val="22"/>
          <w:lang w:eastAsia="ja-JP"/>
        </w:rPr>
        <w:t xml:space="preserve">NOTE: </w:t>
      </w:r>
      <w:r w:rsidRPr="00397B17">
        <w:rPr>
          <w:rFonts w:eastAsia="MS Mincho"/>
          <w:szCs w:val="22"/>
          <w:lang w:eastAsia="ja-JP"/>
        </w:rPr>
        <w:t xml:space="preserve">AIPMS; </w:t>
      </w:r>
      <w:r w:rsidRPr="00397B17">
        <w:rPr>
          <w:rFonts w:eastAsia="MS Mincho"/>
          <w:color w:val="000000"/>
          <w:szCs w:val="22"/>
          <w:lang w:eastAsia="ja-JP"/>
        </w:rPr>
        <w:t>Arab IP Management System</w:t>
      </w:r>
    </w:p>
    <w:p w:rsidR="006B41E4" w:rsidRPr="00397B17" w:rsidRDefault="006B41E4" w:rsidP="006B41E4">
      <w:pPr>
        <w:spacing w:after="200" w:line="276" w:lineRule="auto"/>
        <w:ind w:left="720"/>
        <w:contextualSpacing/>
        <w:rPr>
          <w:rFonts w:eastAsia="MS Mincho"/>
          <w:color w:val="000000"/>
          <w:szCs w:val="22"/>
          <w:lang w:eastAsia="ja-JP"/>
        </w:rPr>
      </w:pPr>
      <w:r w:rsidRPr="00397B17">
        <w:rPr>
          <w:rFonts w:eastAsia="MS Mincho"/>
          <w:szCs w:val="22"/>
          <w:lang w:eastAsia="ja-JP"/>
        </w:rPr>
        <w:t>IPAS ID;</w:t>
      </w:r>
      <w:r w:rsidRPr="00397B17">
        <w:rPr>
          <w:rFonts w:eastAsia="MS Mincho"/>
          <w:color w:val="000000"/>
          <w:szCs w:val="22"/>
          <w:lang w:eastAsia="ja-JP"/>
        </w:rPr>
        <w:t xml:space="preserve"> IP Office Administration System for Industrial Design</w:t>
      </w:r>
    </w:p>
    <w:p w:rsidR="006B41E4" w:rsidRPr="00397B17" w:rsidRDefault="006B41E4" w:rsidP="006B41E4">
      <w:pPr>
        <w:spacing w:after="200" w:line="276" w:lineRule="auto"/>
        <w:ind w:left="720"/>
        <w:contextualSpacing/>
        <w:rPr>
          <w:rFonts w:eastAsia="MS Mincho"/>
          <w:color w:val="000000"/>
          <w:szCs w:val="22"/>
          <w:lang w:eastAsia="ja-JP"/>
        </w:rPr>
      </w:pPr>
      <w:r w:rsidRPr="00397B17">
        <w:rPr>
          <w:rFonts w:eastAsia="MS Mincho"/>
          <w:szCs w:val="22"/>
          <w:lang w:eastAsia="ja-JP"/>
        </w:rPr>
        <w:t>IPAS P;</w:t>
      </w:r>
      <w:r w:rsidRPr="00397B17">
        <w:rPr>
          <w:rFonts w:eastAsia="MS Mincho"/>
          <w:color w:val="000000"/>
          <w:szCs w:val="22"/>
          <w:lang w:eastAsia="ja-JP"/>
        </w:rPr>
        <w:t xml:space="preserve"> IPAS for Patents</w:t>
      </w:r>
    </w:p>
    <w:p w:rsidR="006B41E4" w:rsidRPr="00397B17" w:rsidRDefault="006B41E4" w:rsidP="006B41E4">
      <w:pPr>
        <w:spacing w:after="200" w:line="276" w:lineRule="auto"/>
        <w:ind w:left="720"/>
        <w:contextualSpacing/>
        <w:rPr>
          <w:rFonts w:eastAsia="MS Mincho"/>
          <w:color w:val="000000"/>
          <w:szCs w:val="22"/>
          <w:lang w:eastAsia="ja-JP"/>
        </w:rPr>
      </w:pPr>
      <w:r w:rsidRPr="00397B17">
        <w:rPr>
          <w:rFonts w:eastAsia="MS Mincho"/>
          <w:szCs w:val="22"/>
          <w:lang w:eastAsia="ja-JP"/>
        </w:rPr>
        <w:t>IPAS TM;</w:t>
      </w:r>
      <w:r w:rsidRPr="00397B17">
        <w:rPr>
          <w:rFonts w:eastAsia="MS Mincho"/>
          <w:color w:val="000000"/>
          <w:szCs w:val="22"/>
          <w:lang w:eastAsia="ja-JP"/>
        </w:rPr>
        <w:t xml:space="preserve"> IPAS for Trademarks</w:t>
      </w:r>
    </w:p>
    <w:p w:rsidR="006B41E4" w:rsidRDefault="006B41E4" w:rsidP="006B41E4">
      <w:pPr>
        <w:rPr>
          <w:rFonts w:eastAsia="Times New Roman"/>
          <w:noProof/>
          <w:szCs w:val="22"/>
          <w:lang w:eastAsia="en-US"/>
        </w:rPr>
      </w:pPr>
    </w:p>
    <w:p w:rsidR="006B41E4" w:rsidRPr="00101F76" w:rsidRDefault="006B41E4" w:rsidP="006B41E4">
      <w:pPr>
        <w:pStyle w:val="Heading4"/>
      </w:pPr>
      <w:bookmarkStart w:id="30" w:name="_Toc362612231"/>
      <w:r w:rsidRPr="00101F76">
        <w:t>Geographic representation of other similar UN specialized agencies and of IP institutions</w:t>
      </w:r>
      <w:bookmarkEnd w:id="30"/>
    </w:p>
    <w:p w:rsidR="006B41E4" w:rsidRDefault="006B41E4" w:rsidP="006B41E4">
      <w:pPr>
        <w:rPr>
          <w:rFonts w:eastAsia="Times New Roman"/>
          <w:noProof/>
          <w:szCs w:val="22"/>
          <w:lang w:eastAsia="en-US"/>
        </w:rPr>
      </w:pPr>
    </w:p>
    <w:p w:rsidR="006B41E4" w:rsidRPr="008B6036" w:rsidRDefault="006B41E4" w:rsidP="006B41E4">
      <w:pPr>
        <w:rPr>
          <w:rFonts w:eastAsia="Times New Roman"/>
          <w:noProof/>
          <w:szCs w:val="22"/>
          <w:lang w:eastAsia="en-US"/>
        </w:rPr>
      </w:pPr>
      <w:r>
        <w:rPr>
          <w:rFonts w:eastAsia="Times New Roman"/>
          <w:noProof/>
          <w:szCs w:val="22"/>
          <w:lang w:eastAsia="en-US"/>
        </w:rPr>
        <w:fldChar w:fldCharType="begin"/>
      </w:r>
      <w:r>
        <w:rPr>
          <w:rFonts w:eastAsia="Times New Roman"/>
          <w:noProof/>
          <w:szCs w:val="22"/>
          <w:lang w:eastAsia="en-US"/>
        </w:rPr>
        <w:instrText xml:space="preserve"> AUTONUM  </w:instrText>
      </w:r>
      <w:r>
        <w:rPr>
          <w:rFonts w:eastAsia="Times New Roman"/>
          <w:noProof/>
          <w:szCs w:val="22"/>
          <w:lang w:eastAsia="en-US"/>
        </w:rPr>
        <w:fldChar w:fldCharType="end"/>
      </w:r>
      <w:r>
        <w:rPr>
          <w:rFonts w:eastAsia="Times New Roman"/>
          <w:noProof/>
          <w:szCs w:val="22"/>
          <w:lang w:eastAsia="en-US"/>
        </w:rPr>
        <w:tab/>
      </w:r>
      <w:r w:rsidRPr="008B6036">
        <w:rPr>
          <w:rFonts w:eastAsia="Times New Roman"/>
          <w:noProof/>
          <w:szCs w:val="22"/>
          <w:lang w:eastAsia="en-US"/>
        </w:rPr>
        <w:t>The geographic representation of the offices of other similar UN specialized agencies reflects the strategic and organizational objectives of each individual agency.</w:t>
      </w:r>
      <w:r>
        <w:rPr>
          <w:rFonts w:eastAsia="Times New Roman"/>
          <w:noProof/>
          <w:szCs w:val="22"/>
          <w:lang w:eastAsia="en-US"/>
        </w:rPr>
        <w:t xml:space="preserve"> </w:t>
      </w:r>
      <w:r w:rsidRPr="008B6036">
        <w:rPr>
          <w:rFonts w:eastAsia="Times New Roman"/>
          <w:noProof/>
          <w:szCs w:val="22"/>
          <w:lang w:eastAsia="en-US"/>
        </w:rPr>
        <w:t xml:space="preserve"> For comparison, the main regional, or other, offices of ITU, ILO, WHO and WMO are listed below with brief </w:t>
      </w:r>
      <w:r w:rsidRPr="008B6036">
        <w:rPr>
          <w:rFonts w:eastAsia="Times New Roman"/>
          <w:noProof/>
          <w:szCs w:val="22"/>
          <w:lang w:eastAsia="en-US"/>
        </w:rPr>
        <w:lastRenderedPageBreak/>
        <w:t>statements on the strategic function these offices hold within the structure of each agency.</w:t>
      </w:r>
      <w:r>
        <w:rPr>
          <w:rFonts w:eastAsia="Times New Roman"/>
          <w:noProof/>
          <w:szCs w:val="22"/>
          <w:lang w:eastAsia="en-US"/>
        </w:rPr>
        <w:t xml:space="preserve"> </w:t>
      </w:r>
      <w:r w:rsidRPr="008B6036">
        <w:rPr>
          <w:rFonts w:eastAsia="Times New Roman"/>
          <w:noProof/>
          <w:szCs w:val="22"/>
          <w:lang w:eastAsia="en-US"/>
        </w:rPr>
        <w:t xml:space="preserve"> All information is taken from the agencies’ websites.</w:t>
      </w:r>
    </w:p>
    <w:p w:rsidR="006B41E4" w:rsidRPr="008B6036" w:rsidRDefault="006B41E4" w:rsidP="006B41E4">
      <w:pPr>
        <w:rPr>
          <w:rFonts w:eastAsia="Times New Roman"/>
          <w:noProof/>
          <w:szCs w:val="22"/>
          <w:lang w:eastAsia="en-US"/>
        </w:rPr>
      </w:pPr>
    </w:p>
    <w:p w:rsidR="006B41E4" w:rsidRPr="00101F76" w:rsidRDefault="006B41E4" w:rsidP="006B41E4">
      <w:pPr>
        <w:pStyle w:val="Heading4"/>
      </w:pPr>
      <w:bookmarkStart w:id="31" w:name="_Toc362612232"/>
      <w:r w:rsidRPr="00101F76">
        <w:t>ILO</w:t>
      </w:r>
      <w:bookmarkEnd w:id="31"/>
    </w:p>
    <w:p w:rsidR="006B41E4" w:rsidRPr="008B6036" w:rsidRDefault="006B41E4" w:rsidP="006B41E4">
      <w:pPr>
        <w:rPr>
          <w:rFonts w:eastAsia="Times New Roman"/>
          <w:szCs w:val="22"/>
          <w:lang w:eastAsia="en-US"/>
        </w:rPr>
      </w:pPr>
    </w:p>
    <w:p w:rsidR="006B41E4" w:rsidRPr="008B6036"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t>“</w:t>
      </w:r>
      <w:r w:rsidRPr="008B6036">
        <w:rPr>
          <w:rFonts w:eastAsia="Times New Roman"/>
          <w:szCs w:val="22"/>
          <w:lang w:eastAsia="en-US"/>
        </w:rPr>
        <w:t>ILO action in the field bring (sic) together regular budget and extra-budgetary activities, in full consultation with the tripartite constituents at the regional, sub-regional and country levels, to provide services in the areas of standards and fundamental principles and rights at work, employment, social protection and social dialogue.</w:t>
      </w:r>
      <w:r>
        <w:rPr>
          <w:rFonts w:eastAsia="Times New Roman"/>
          <w:szCs w:val="22"/>
          <w:lang w:eastAsia="en-US"/>
        </w:rPr>
        <w:t xml:space="preserve">  </w:t>
      </w:r>
      <w:r w:rsidRPr="008B6036">
        <w:rPr>
          <w:rFonts w:eastAsia="Times New Roman"/>
          <w:szCs w:val="22"/>
          <w:lang w:eastAsia="en-US"/>
        </w:rPr>
        <w:t xml:space="preserve">The network of field offices and technical specialists underpins the ILO’s work in promoting the </w:t>
      </w:r>
      <w:r w:rsidRPr="008B6036">
        <w:rPr>
          <w:rFonts w:eastAsia="Times New Roman"/>
          <w:i/>
          <w:szCs w:val="22"/>
          <w:lang w:eastAsia="en-US"/>
        </w:rPr>
        <w:t>Decent Work Agenda</w:t>
      </w:r>
      <w:r w:rsidRPr="008B6036">
        <w:rPr>
          <w:rFonts w:eastAsia="Times New Roman"/>
          <w:szCs w:val="22"/>
          <w:lang w:eastAsia="en-US"/>
        </w:rPr>
        <w:t xml:space="preserve"> as an integral part of national development policies</w:t>
      </w:r>
      <w:r>
        <w:rPr>
          <w:rFonts w:eastAsia="Times New Roman"/>
          <w:szCs w:val="22"/>
          <w:lang w:eastAsia="en-US"/>
        </w:rPr>
        <w:t>”.</w:t>
      </w:r>
    </w:p>
    <w:p w:rsidR="006B41E4" w:rsidRPr="008B6036" w:rsidRDefault="006B41E4" w:rsidP="006B41E4">
      <w:pPr>
        <w:rPr>
          <w:rFonts w:eastAsia="Times New Roman"/>
          <w:szCs w:val="22"/>
          <w:lang w:eastAsia="en-US"/>
        </w:rPr>
      </w:pPr>
    </w:p>
    <w:p w:rsidR="006B41E4" w:rsidRPr="008B6036" w:rsidRDefault="006B41E4" w:rsidP="006B41E4">
      <w:pPr>
        <w:numPr>
          <w:ilvl w:val="0"/>
          <w:numId w:val="42"/>
        </w:numPr>
        <w:rPr>
          <w:rFonts w:eastAsia="Times New Roman"/>
          <w:noProof/>
          <w:szCs w:val="22"/>
          <w:lang w:eastAsia="en-US"/>
        </w:rPr>
      </w:pPr>
      <w:r w:rsidRPr="008B6036">
        <w:rPr>
          <w:rFonts w:eastAsia="Times New Roman"/>
          <w:noProof/>
          <w:szCs w:val="22"/>
          <w:lang w:eastAsia="en-US"/>
        </w:rPr>
        <w:t>Ethiopia; ILO Regional Office for Africa - Addis Ababa</w:t>
      </w:r>
    </w:p>
    <w:p w:rsidR="006B41E4" w:rsidRPr="008B6036" w:rsidRDefault="006B41E4" w:rsidP="006B41E4">
      <w:pPr>
        <w:numPr>
          <w:ilvl w:val="0"/>
          <w:numId w:val="42"/>
        </w:numPr>
        <w:rPr>
          <w:rFonts w:eastAsia="Times New Roman"/>
          <w:szCs w:val="22"/>
          <w:lang w:eastAsia="en-US"/>
        </w:rPr>
      </w:pPr>
      <w:r w:rsidRPr="008B6036">
        <w:rPr>
          <w:rFonts w:eastAsia="Times New Roman"/>
          <w:noProof/>
          <w:szCs w:val="22"/>
          <w:lang w:eastAsia="en-US"/>
        </w:rPr>
        <w:t>Lebanon; ILO Regional Office for Arab States - Beirut</w:t>
      </w:r>
    </w:p>
    <w:p w:rsidR="006B41E4" w:rsidRPr="008B6036" w:rsidRDefault="006B41E4" w:rsidP="006B41E4">
      <w:pPr>
        <w:numPr>
          <w:ilvl w:val="0"/>
          <w:numId w:val="42"/>
        </w:numPr>
        <w:rPr>
          <w:rFonts w:eastAsia="Times New Roman"/>
          <w:szCs w:val="22"/>
          <w:lang w:eastAsia="en-US"/>
        </w:rPr>
      </w:pPr>
      <w:r w:rsidRPr="008B6036">
        <w:rPr>
          <w:rFonts w:eastAsia="Times New Roman"/>
          <w:noProof/>
          <w:szCs w:val="22"/>
          <w:lang w:eastAsia="en-US"/>
        </w:rPr>
        <w:t>Peru; ILO Regional Office for Latin America and the Carribean - Lima</w:t>
      </w:r>
    </w:p>
    <w:p w:rsidR="006B41E4" w:rsidRPr="008B6036" w:rsidRDefault="006B41E4" w:rsidP="006B41E4">
      <w:pPr>
        <w:numPr>
          <w:ilvl w:val="0"/>
          <w:numId w:val="42"/>
        </w:numPr>
        <w:rPr>
          <w:rFonts w:eastAsia="Times New Roman"/>
          <w:szCs w:val="22"/>
          <w:lang w:eastAsia="en-US"/>
        </w:rPr>
      </w:pPr>
      <w:r w:rsidRPr="008B6036">
        <w:rPr>
          <w:rFonts w:eastAsia="Times New Roman"/>
          <w:noProof/>
          <w:szCs w:val="22"/>
          <w:lang w:eastAsia="en-US"/>
        </w:rPr>
        <w:t>Thailand; ILO Regional Office for Asia and the Pacific - Bangkok</w:t>
      </w:r>
    </w:p>
    <w:p w:rsidR="006B41E4" w:rsidRPr="00101F76" w:rsidRDefault="006B41E4" w:rsidP="006B41E4">
      <w:pPr>
        <w:pStyle w:val="Heading4"/>
      </w:pPr>
      <w:r>
        <w:rPr>
          <w:noProof/>
          <w:lang w:eastAsia="en-US"/>
        </w:rPr>
        <w:br/>
      </w:r>
      <w:bookmarkStart w:id="32" w:name="_Toc362612233"/>
      <w:r w:rsidRPr="00101F76">
        <w:t>ITU</w:t>
      </w:r>
      <w:bookmarkEnd w:id="32"/>
    </w:p>
    <w:p w:rsidR="006B41E4" w:rsidRPr="008B6036" w:rsidRDefault="006B41E4" w:rsidP="006B41E4">
      <w:pPr>
        <w:rPr>
          <w:rFonts w:eastAsia="Times New Roman"/>
          <w:szCs w:val="22"/>
          <w:lang w:eastAsia="en-US"/>
        </w:rPr>
      </w:pPr>
    </w:p>
    <w:p w:rsidR="006B41E4"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t>“</w:t>
      </w:r>
      <w:proofErr w:type="spellStart"/>
      <w:r>
        <w:rPr>
          <w:rFonts w:eastAsia="Times New Roman"/>
          <w:szCs w:val="22"/>
          <w:lang w:eastAsia="en-US"/>
        </w:rPr>
        <w:t>ITUʼ</w:t>
      </w:r>
      <w:r w:rsidRPr="008B6036">
        <w:rPr>
          <w:rFonts w:eastAsia="Times New Roman"/>
          <w:szCs w:val="22"/>
          <w:lang w:eastAsia="en-US"/>
        </w:rPr>
        <w:t>s</w:t>
      </w:r>
      <w:proofErr w:type="spellEnd"/>
      <w:r w:rsidRPr="008B6036">
        <w:rPr>
          <w:rFonts w:eastAsia="Times New Roman"/>
          <w:szCs w:val="22"/>
          <w:lang w:eastAsia="en-US"/>
        </w:rPr>
        <w:t xml:space="preserve"> policy on </w:t>
      </w:r>
      <w:r>
        <w:rPr>
          <w:rFonts w:eastAsia="Times New Roman"/>
          <w:szCs w:val="22"/>
          <w:lang w:eastAsia="en-US"/>
        </w:rPr>
        <w:t>r</w:t>
      </w:r>
      <w:r w:rsidRPr="008B6036">
        <w:rPr>
          <w:rFonts w:eastAsia="Times New Roman"/>
          <w:szCs w:val="22"/>
          <w:lang w:eastAsia="en-US"/>
        </w:rPr>
        <w:t xml:space="preserve">egional presence is designed to enable the Union to work as closely as possible with its members and to tailor ITU activities to meet the ever-increasing and diverse needs of the world's developing and least developed countries. </w:t>
      </w:r>
      <w:r>
        <w:rPr>
          <w:rFonts w:eastAsia="Times New Roman"/>
          <w:szCs w:val="22"/>
          <w:lang w:eastAsia="en-US"/>
        </w:rPr>
        <w:t xml:space="preserve"> </w:t>
      </w:r>
      <w:r w:rsidRPr="008B6036">
        <w:rPr>
          <w:rFonts w:eastAsia="Times New Roman"/>
          <w:szCs w:val="22"/>
          <w:lang w:eastAsia="en-US"/>
        </w:rPr>
        <w:t xml:space="preserve">ITU currently manages a network of </w:t>
      </w:r>
      <w:r>
        <w:rPr>
          <w:rFonts w:eastAsia="Times New Roman"/>
          <w:szCs w:val="22"/>
          <w:lang w:eastAsia="en-US"/>
        </w:rPr>
        <w:t>thirteen</w:t>
      </w:r>
      <w:r w:rsidRPr="008B6036">
        <w:rPr>
          <w:rFonts w:eastAsia="Times New Roman"/>
          <w:szCs w:val="22"/>
          <w:lang w:eastAsia="en-US"/>
        </w:rPr>
        <w:t xml:space="preserve"> field offices</w:t>
      </w:r>
      <w:r>
        <w:rPr>
          <w:rFonts w:eastAsia="Times New Roman"/>
          <w:szCs w:val="22"/>
          <w:lang w:eastAsia="en-US"/>
        </w:rPr>
        <w:t xml:space="preserve">”. </w:t>
      </w:r>
      <w:r w:rsidRPr="008B6036">
        <w:rPr>
          <w:rFonts w:eastAsia="Times New Roman"/>
          <w:szCs w:val="22"/>
          <w:lang w:eastAsia="en-US"/>
        </w:rPr>
        <w:t xml:space="preserve"> These</w:t>
      </w:r>
      <w:r>
        <w:rPr>
          <w:rFonts w:eastAsia="Times New Roman"/>
          <w:szCs w:val="22"/>
          <w:lang w:eastAsia="en-US"/>
        </w:rPr>
        <w:t xml:space="preserve"> are:</w:t>
      </w:r>
      <w:r>
        <w:rPr>
          <w:rFonts w:eastAsia="Times New Roman"/>
          <w:szCs w:val="22"/>
          <w:lang w:eastAsia="en-US"/>
        </w:rPr>
        <w:br/>
      </w:r>
    </w:p>
    <w:p w:rsidR="006B41E4" w:rsidRDefault="006B41E4" w:rsidP="006B41E4">
      <w:pPr>
        <w:rPr>
          <w:rFonts w:eastAsia="Times New Roman"/>
          <w:szCs w:val="22"/>
          <w:lang w:eastAsia="en-US"/>
        </w:rPr>
      </w:pP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Barbados</w:t>
      </w:r>
      <w:r>
        <w:rPr>
          <w:rFonts w:eastAsia="Times New Roman"/>
          <w:noProof/>
          <w:szCs w:val="22"/>
          <w:lang w:eastAsia="en-US"/>
        </w:rPr>
        <w:t xml:space="preserve">; </w:t>
      </w:r>
      <w:r w:rsidRPr="008B6036">
        <w:rPr>
          <w:rFonts w:eastAsia="Times New Roman"/>
          <w:noProof/>
          <w:szCs w:val="22"/>
          <w:lang w:eastAsia="en-US"/>
        </w:rPr>
        <w:t>Bridgetown ITU Area Office</w:t>
      </w:r>
    </w:p>
    <w:p w:rsidR="006B41E4" w:rsidRPr="00583B1F" w:rsidRDefault="006B41E4" w:rsidP="006B41E4">
      <w:pPr>
        <w:numPr>
          <w:ilvl w:val="0"/>
          <w:numId w:val="44"/>
        </w:numPr>
        <w:rPr>
          <w:rFonts w:eastAsia="Times New Roman"/>
          <w:szCs w:val="22"/>
          <w:lang w:eastAsia="en-US"/>
        </w:rPr>
      </w:pPr>
      <w:r w:rsidRPr="008B6036">
        <w:rPr>
          <w:rFonts w:eastAsia="Times New Roman"/>
          <w:noProof/>
          <w:szCs w:val="22"/>
          <w:lang w:eastAsia="en-US"/>
        </w:rPr>
        <w:t>Brazil</w:t>
      </w:r>
      <w:r>
        <w:rPr>
          <w:rFonts w:eastAsia="Times New Roman"/>
          <w:noProof/>
          <w:szCs w:val="22"/>
          <w:lang w:eastAsia="en-US"/>
        </w:rPr>
        <w:t xml:space="preserve">; </w:t>
      </w:r>
      <w:r w:rsidRPr="008B6036">
        <w:rPr>
          <w:rFonts w:eastAsia="Times New Roman"/>
          <w:noProof/>
          <w:szCs w:val="22"/>
          <w:lang w:eastAsia="en-US"/>
        </w:rPr>
        <w:t>Brasilia ITU Regional Office</w:t>
      </w:r>
    </w:p>
    <w:p w:rsidR="006B41E4" w:rsidRPr="00E91F5F" w:rsidRDefault="006B41E4" w:rsidP="006B41E4">
      <w:pPr>
        <w:numPr>
          <w:ilvl w:val="0"/>
          <w:numId w:val="44"/>
        </w:numPr>
        <w:rPr>
          <w:rFonts w:eastAsia="Times New Roman"/>
          <w:szCs w:val="22"/>
          <w:lang w:val="fr-CH" w:eastAsia="en-US"/>
        </w:rPr>
      </w:pPr>
      <w:r w:rsidRPr="00E91F5F">
        <w:rPr>
          <w:rFonts w:eastAsia="Times New Roman"/>
          <w:noProof/>
          <w:szCs w:val="22"/>
          <w:lang w:val="fr-CH" w:eastAsia="en-US"/>
        </w:rPr>
        <w:t>Cameroon ; Bureau de zone de lÚIT Yaoundé</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Chile</w:t>
      </w:r>
      <w:r>
        <w:rPr>
          <w:rFonts w:eastAsia="Times New Roman"/>
          <w:noProof/>
          <w:szCs w:val="22"/>
          <w:lang w:eastAsia="en-US"/>
        </w:rPr>
        <w:t xml:space="preserve">; </w:t>
      </w:r>
      <w:r w:rsidRPr="008B6036">
        <w:rPr>
          <w:rFonts w:eastAsia="Times New Roman"/>
          <w:noProof/>
          <w:szCs w:val="22"/>
          <w:lang w:eastAsia="en-US"/>
        </w:rPr>
        <w:t>Santiago ITU Area Office</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Egypt</w:t>
      </w:r>
      <w:r>
        <w:rPr>
          <w:rFonts w:eastAsia="Times New Roman"/>
          <w:noProof/>
          <w:szCs w:val="22"/>
          <w:lang w:eastAsia="en-US"/>
        </w:rPr>
        <w:t xml:space="preserve">; </w:t>
      </w:r>
      <w:r w:rsidRPr="008B6036">
        <w:rPr>
          <w:rFonts w:eastAsia="Times New Roman"/>
          <w:noProof/>
          <w:szCs w:val="22"/>
          <w:lang w:eastAsia="en-US"/>
        </w:rPr>
        <w:t>Arab Regional Office</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Ethiopia</w:t>
      </w:r>
      <w:r>
        <w:rPr>
          <w:rFonts w:eastAsia="Times New Roman"/>
          <w:noProof/>
          <w:szCs w:val="22"/>
          <w:lang w:eastAsia="en-US"/>
        </w:rPr>
        <w:t xml:space="preserve">; </w:t>
      </w:r>
      <w:r w:rsidRPr="008B6036">
        <w:rPr>
          <w:rFonts w:eastAsia="Times New Roman"/>
          <w:noProof/>
          <w:szCs w:val="22"/>
          <w:lang w:eastAsia="en-US"/>
        </w:rPr>
        <w:t>Regional Office - Addis Ababa</w:t>
      </w:r>
    </w:p>
    <w:p w:rsidR="006B41E4" w:rsidRPr="003E6C97" w:rsidRDefault="006B41E4" w:rsidP="006B41E4">
      <w:pPr>
        <w:numPr>
          <w:ilvl w:val="0"/>
          <w:numId w:val="44"/>
        </w:numPr>
        <w:rPr>
          <w:rFonts w:eastAsia="Times New Roman"/>
          <w:szCs w:val="22"/>
          <w:lang w:val="es-AR" w:eastAsia="en-US"/>
        </w:rPr>
      </w:pPr>
      <w:r w:rsidRPr="003E6C97">
        <w:rPr>
          <w:rFonts w:eastAsia="Times New Roman"/>
          <w:noProof/>
          <w:szCs w:val="22"/>
          <w:lang w:val="es-AR" w:eastAsia="en-US"/>
        </w:rPr>
        <w:t>Honduras; Oficina de Area de Tegucigalpa</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Indonesia</w:t>
      </w:r>
      <w:r>
        <w:rPr>
          <w:rFonts w:eastAsia="Times New Roman"/>
          <w:noProof/>
          <w:szCs w:val="22"/>
          <w:lang w:eastAsia="en-US"/>
        </w:rPr>
        <w:t xml:space="preserve">; </w:t>
      </w:r>
      <w:r w:rsidRPr="008B6036">
        <w:rPr>
          <w:rFonts w:eastAsia="Times New Roman"/>
          <w:noProof/>
          <w:szCs w:val="22"/>
          <w:lang w:eastAsia="en-US"/>
        </w:rPr>
        <w:t>Jakarta ITU Area Office</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Russian Federation</w:t>
      </w:r>
      <w:r>
        <w:rPr>
          <w:rFonts w:eastAsia="Times New Roman"/>
          <w:noProof/>
          <w:szCs w:val="22"/>
          <w:lang w:eastAsia="en-US"/>
        </w:rPr>
        <w:t xml:space="preserve">; </w:t>
      </w:r>
      <w:r w:rsidRPr="008B6036">
        <w:rPr>
          <w:rFonts w:eastAsia="Times New Roman"/>
          <w:noProof/>
          <w:szCs w:val="22"/>
          <w:lang w:eastAsia="en-US"/>
        </w:rPr>
        <w:t>Area Office (CIS) - Moscow</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Senegal</w:t>
      </w:r>
      <w:r>
        <w:rPr>
          <w:rFonts w:eastAsia="Times New Roman"/>
          <w:noProof/>
          <w:szCs w:val="22"/>
          <w:lang w:eastAsia="en-US"/>
        </w:rPr>
        <w:t xml:space="preserve">; </w:t>
      </w:r>
      <w:r w:rsidRPr="008B6036">
        <w:rPr>
          <w:rFonts w:eastAsia="Times New Roman"/>
          <w:noProof/>
          <w:szCs w:val="22"/>
          <w:lang w:eastAsia="en-US"/>
        </w:rPr>
        <w:t>Area Office - Dakar</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Thailand</w:t>
      </w:r>
      <w:r>
        <w:rPr>
          <w:rFonts w:eastAsia="Times New Roman"/>
          <w:noProof/>
          <w:szCs w:val="22"/>
          <w:lang w:eastAsia="en-US"/>
        </w:rPr>
        <w:t xml:space="preserve">; </w:t>
      </w:r>
      <w:r w:rsidRPr="008B6036">
        <w:rPr>
          <w:rFonts w:eastAsia="Times New Roman"/>
          <w:noProof/>
          <w:szCs w:val="22"/>
          <w:lang w:eastAsia="en-US"/>
        </w:rPr>
        <w:t>Regional Office for Asia and the Pacific - Bangkok</w:t>
      </w:r>
    </w:p>
    <w:p w:rsidR="006B41E4" w:rsidRPr="008B6036" w:rsidRDefault="006B41E4" w:rsidP="006B41E4">
      <w:pPr>
        <w:numPr>
          <w:ilvl w:val="0"/>
          <w:numId w:val="44"/>
        </w:numPr>
        <w:rPr>
          <w:rFonts w:eastAsia="Times New Roman"/>
          <w:szCs w:val="22"/>
          <w:lang w:eastAsia="en-US"/>
        </w:rPr>
      </w:pPr>
      <w:r>
        <w:rPr>
          <w:rFonts w:eastAsia="Times New Roman"/>
          <w:noProof/>
          <w:szCs w:val="22"/>
          <w:lang w:eastAsia="en-US"/>
        </w:rPr>
        <w:t xml:space="preserve">United States of America; </w:t>
      </w:r>
      <w:r w:rsidRPr="008B6036">
        <w:rPr>
          <w:rFonts w:eastAsia="Times New Roman"/>
          <w:noProof/>
          <w:szCs w:val="22"/>
          <w:lang w:eastAsia="en-US"/>
        </w:rPr>
        <w:t>Liasion Office to the United Nations - New York</w:t>
      </w:r>
    </w:p>
    <w:p w:rsidR="006B41E4" w:rsidRPr="008B6036" w:rsidRDefault="006B41E4" w:rsidP="006B41E4">
      <w:pPr>
        <w:numPr>
          <w:ilvl w:val="0"/>
          <w:numId w:val="44"/>
        </w:numPr>
        <w:rPr>
          <w:rFonts w:eastAsia="Times New Roman"/>
          <w:szCs w:val="22"/>
          <w:lang w:eastAsia="en-US"/>
        </w:rPr>
      </w:pPr>
      <w:r w:rsidRPr="008B6036">
        <w:rPr>
          <w:rFonts w:eastAsia="Times New Roman"/>
          <w:noProof/>
          <w:szCs w:val="22"/>
          <w:lang w:eastAsia="en-US"/>
        </w:rPr>
        <w:t>Zimbabwe</w:t>
      </w:r>
      <w:r>
        <w:rPr>
          <w:rFonts w:eastAsia="Times New Roman"/>
          <w:noProof/>
          <w:szCs w:val="22"/>
          <w:lang w:eastAsia="en-US"/>
        </w:rPr>
        <w:t xml:space="preserve">; </w:t>
      </w:r>
      <w:r w:rsidRPr="008B6036">
        <w:rPr>
          <w:rFonts w:eastAsia="Times New Roman"/>
          <w:noProof/>
          <w:szCs w:val="22"/>
          <w:lang w:eastAsia="en-US"/>
        </w:rPr>
        <w:t>Harare ITU Area Office</w:t>
      </w:r>
    </w:p>
    <w:p w:rsidR="006B41E4" w:rsidRDefault="006B41E4" w:rsidP="006B41E4">
      <w:pPr>
        <w:rPr>
          <w:rFonts w:eastAsia="Times New Roman"/>
          <w:szCs w:val="22"/>
          <w:lang w:eastAsia="en-US"/>
        </w:rPr>
      </w:pPr>
    </w:p>
    <w:p w:rsidR="006B41E4"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Pr="008B6036">
        <w:rPr>
          <w:rFonts w:eastAsia="Times New Roman"/>
          <w:szCs w:val="22"/>
          <w:lang w:eastAsia="en-US"/>
        </w:rPr>
        <w:t>ITU field offices provide support for all Union activities, helping implement its strategic and policy objectives through direct, sustained contact with national authorities, regional telecommunication organizations and other relevant bodies.</w:t>
      </w:r>
      <w:r>
        <w:rPr>
          <w:rFonts w:eastAsia="Times New Roman"/>
          <w:szCs w:val="22"/>
          <w:lang w:eastAsia="en-US"/>
        </w:rPr>
        <w:t xml:space="preserve">  </w:t>
      </w:r>
      <w:r w:rsidRPr="008B6036">
        <w:rPr>
          <w:rFonts w:eastAsia="Times New Roman"/>
          <w:szCs w:val="22"/>
          <w:lang w:eastAsia="en-US"/>
        </w:rPr>
        <w:t>They also assist developing and least developed countries to meet their development goals.</w:t>
      </w:r>
      <w:r>
        <w:rPr>
          <w:rFonts w:eastAsia="Times New Roman"/>
          <w:szCs w:val="22"/>
          <w:lang w:eastAsia="en-US"/>
        </w:rPr>
        <w:t xml:space="preserve"> </w:t>
      </w:r>
      <w:r w:rsidRPr="008B6036">
        <w:rPr>
          <w:rFonts w:eastAsia="Times New Roman"/>
          <w:szCs w:val="22"/>
          <w:lang w:eastAsia="en-US"/>
        </w:rPr>
        <w:t xml:space="preserve"> In addition to providing technical and logistical support to development activities, field offices fulfill the basic functions of the development sector as a specialized and executing agency, resource mobilizer and information cent</w:t>
      </w:r>
      <w:r>
        <w:rPr>
          <w:rFonts w:eastAsia="Times New Roman"/>
          <w:szCs w:val="22"/>
          <w:lang w:eastAsia="en-US"/>
        </w:rPr>
        <w:t>er</w:t>
      </w:r>
      <w:r w:rsidRPr="008B6036">
        <w:rPr>
          <w:rFonts w:eastAsia="Times New Roman"/>
          <w:szCs w:val="22"/>
          <w:lang w:eastAsia="en-US"/>
        </w:rPr>
        <w:t>.</w:t>
      </w:r>
      <w:r>
        <w:rPr>
          <w:rFonts w:eastAsia="Times New Roman"/>
          <w:szCs w:val="22"/>
          <w:lang w:eastAsia="en-US"/>
        </w:rPr>
        <w:t xml:space="preserve">  </w:t>
      </w:r>
    </w:p>
    <w:p w:rsidR="006B41E4" w:rsidRDefault="006B41E4" w:rsidP="006B41E4">
      <w:pPr>
        <w:rPr>
          <w:rFonts w:eastAsia="Times New Roman"/>
          <w:szCs w:val="22"/>
          <w:lang w:eastAsia="en-US"/>
        </w:rPr>
      </w:pPr>
    </w:p>
    <w:p w:rsidR="006B41E4" w:rsidRPr="008B6036"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Pr="008B6036">
        <w:rPr>
          <w:rFonts w:eastAsia="Times New Roman"/>
          <w:szCs w:val="22"/>
          <w:lang w:eastAsia="en-US"/>
        </w:rPr>
        <w:t>ITU</w:t>
      </w:r>
      <w:r w:rsidRPr="008B6036">
        <w:rPr>
          <w:rFonts w:eastAsia="Times New Roman"/>
          <w:noProof/>
          <w:szCs w:val="22"/>
          <w:lang w:eastAsia="en-US"/>
        </w:rPr>
        <w:t>’</w:t>
      </w:r>
      <w:r w:rsidRPr="008B6036">
        <w:rPr>
          <w:rFonts w:eastAsia="Times New Roman"/>
          <w:szCs w:val="22"/>
          <w:lang w:eastAsia="en-US"/>
        </w:rPr>
        <w:t xml:space="preserve">s regional presence serves also to assist the ITU General Secretariat, the </w:t>
      </w:r>
      <w:proofErr w:type="spellStart"/>
      <w:r w:rsidRPr="008B6036">
        <w:rPr>
          <w:rFonts w:eastAsia="Times New Roman"/>
          <w:szCs w:val="22"/>
          <w:lang w:eastAsia="en-US"/>
        </w:rPr>
        <w:t>Radiocommunication</w:t>
      </w:r>
      <w:proofErr w:type="spellEnd"/>
      <w:r w:rsidRPr="008B6036">
        <w:rPr>
          <w:rFonts w:eastAsia="Times New Roman"/>
          <w:szCs w:val="22"/>
          <w:lang w:eastAsia="en-US"/>
        </w:rPr>
        <w:t xml:space="preserve"> Bureau and the Telecommunication Standardization Bureau in fulfilling their missions by:</w:t>
      </w:r>
      <w:r>
        <w:rPr>
          <w:rFonts w:eastAsia="Times New Roman"/>
          <w:szCs w:val="22"/>
          <w:lang w:eastAsia="en-US"/>
        </w:rPr>
        <w:br/>
      </w:r>
    </w:p>
    <w:p w:rsidR="006B41E4" w:rsidRPr="008B6036" w:rsidRDefault="006B41E4" w:rsidP="006B41E4">
      <w:pPr>
        <w:numPr>
          <w:ilvl w:val="0"/>
          <w:numId w:val="43"/>
        </w:numPr>
        <w:tabs>
          <w:tab w:val="clear" w:pos="794"/>
        </w:tabs>
        <w:ind w:left="1134" w:hanging="567"/>
        <w:rPr>
          <w:rFonts w:eastAsia="Times New Roman"/>
          <w:szCs w:val="22"/>
          <w:lang w:eastAsia="en-US"/>
        </w:rPr>
      </w:pPr>
      <w:r w:rsidRPr="008B6036">
        <w:rPr>
          <w:rFonts w:eastAsia="Times New Roman"/>
          <w:szCs w:val="22"/>
          <w:lang w:eastAsia="en-US"/>
        </w:rPr>
        <w:t>promoting their work, representing them at regional and national events</w:t>
      </w:r>
    </w:p>
    <w:p w:rsidR="006B41E4" w:rsidRPr="008B6036" w:rsidRDefault="006B41E4" w:rsidP="006B41E4">
      <w:pPr>
        <w:numPr>
          <w:ilvl w:val="0"/>
          <w:numId w:val="43"/>
        </w:numPr>
        <w:tabs>
          <w:tab w:val="clear" w:pos="794"/>
        </w:tabs>
        <w:ind w:left="1134" w:hanging="567"/>
        <w:rPr>
          <w:rFonts w:eastAsia="Times New Roman"/>
          <w:szCs w:val="22"/>
          <w:lang w:eastAsia="en-US"/>
        </w:rPr>
      </w:pPr>
      <w:r w:rsidRPr="008B6036">
        <w:rPr>
          <w:rFonts w:eastAsia="Times New Roman"/>
          <w:szCs w:val="22"/>
          <w:lang w:eastAsia="en-US"/>
        </w:rPr>
        <w:lastRenderedPageBreak/>
        <w:t>assisting them in organizing events of a regional character in their respective domain of activities or in joint activities with BDT</w:t>
      </w:r>
    </w:p>
    <w:p w:rsidR="006B41E4" w:rsidRPr="008B6036" w:rsidRDefault="006B41E4" w:rsidP="006B41E4">
      <w:pPr>
        <w:numPr>
          <w:ilvl w:val="0"/>
          <w:numId w:val="43"/>
        </w:numPr>
        <w:tabs>
          <w:tab w:val="clear" w:pos="794"/>
        </w:tabs>
        <w:ind w:left="1134" w:hanging="567"/>
        <w:rPr>
          <w:rFonts w:eastAsia="Times New Roman"/>
          <w:szCs w:val="22"/>
          <w:lang w:eastAsia="en-US"/>
        </w:rPr>
      </w:pPr>
      <w:r>
        <w:rPr>
          <w:rFonts w:eastAsia="Times New Roman"/>
          <w:szCs w:val="22"/>
          <w:lang w:eastAsia="en-US"/>
        </w:rPr>
        <w:t>representing ITU</w:t>
      </w:r>
      <w:r w:rsidRPr="008B6036">
        <w:rPr>
          <w:rFonts w:eastAsia="Times New Roman"/>
          <w:noProof/>
          <w:szCs w:val="22"/>
          <w:lang w:eastAsia="en-US"/>
        </w:rPr>
        <w:t>’</w:t>
      </w:r>
      <w:r w:rsidRPr="008B6036">
        <w:rPr>
          <w:rFonts w:eastAsia="Times New Roman"/>
          <w:szCs w:val="22"/>
          <w:lang w:eastAsia="en-US"/>
        </w:rPr>
        <w:t>s elected officials at regional events</w:t>
      </w:r>
    </w:p>
    <w:p w:rsidR="006B41E4" w:rsidRPr="008B6036" w:rsidRDefault="006B41E4" w:rsidP="006B41E4">
      <w:pPr>
        <w:numPr>
          <w:ilvl w:val="0"/>
          <w:numId w:val="43"/>
        </w:numPr>
        <w:tabs>
          <w:tab w:val="clear" w:pos="794"/>
        </w:tabs>
        <w:ind w:left="1134" w:hanging="567"/>
        <w:rPr>
          <w:rFonts w:eastAsia="Times New Roman"/>
          <w:szCs w:val="22"/>
          <w:lang w:eastAsia="en-US"/>
        </w:rPr>
      </w:pPr>
      <w:r w:rsidRPr="008B6036">
        <w:rPr>
          <w:rFonts w:eastAsia="Times New Roman"/>
          <w:szCs w:val="22"/>
          <w:lang w:eastAsia="en-US"/>
        </w:rPr>
        <w:t xml:space="preserve">expressing the visions and the needs of the countries in the different domains of activities and proposing actions for responding to their needs. </w:t>
      </w:r>
    </w:p>
    <w:p w:rsidR="006B41E4" w:rsidRPr="00101F76" w:rsidRDefault="006B41E4" w:rsidP="006B41E4">
      <w:pPr>
        <w:pStyle w:val="Heading4"/>
      </w:pPr>
      <w:bookmarkStart w:id="33" w:name="_Toc362612234"/>
      <w:r w:rsidRPr="00101F76">
        <w:t>WHO</w:t>
      </w:r>
      <w:bookmarkEnd w:id="33"/>
    </w:p>
    <w:p w:rsidR="006B41E4" w:rsidRPr="008B6036" w:rsidRDefault="006B41E4" w:rsidP="006B41E4">
      <w:pPr>
        <w:rPr>
          <w:rFonts w:eastAsia="Times New Roman"/>
          <w:szCs w:val="22"/>
          <w:lang w:eastAsia="en-US"/>
        </w:rPr>
      </w:pPr>
    </w:p>
    <w:p w:rsidR="006B41E4" w:rsidRPr="008B6036"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t xml:space="preserve"> “</w:t>
      </w:r>
      <w:r w:rsidRPr="008B6036">
        <w:rPr>
          <w:rFonts w:eastAsia="Times New Roman"/>
          <w:szCs w:val="22"/>
          <w:lang w:eastAsia="en-US"/>
        </w:rPr>
        <w:t>Each region of the world is served by a Regional Office with a responsibility to support the Member States in the generation and the use of appropriate health information to support decision making, health care delivery and management of health services, at the na</w:t>
      </w:r>
      <w:r>
        <w:rPr>
          <w:rFonts w:eastAsia="Times New Roman"/>
          <w:szCs w:val="22"/>
          <w:lang w:eastAsia="en-US"/>
        </w:rPr>
        <w:t>tional and sub-national levels”.</w:t>
      </w:r>
    </w:p>
    <w:p w:rsidR="006B41E4" w:rsidRPr="008B6036" w:rsidRDefault="006B41E4" w:rsidP="006B41E4">
      <w:pPr>
        <w:rPr>
          <w:rFonts w:eastAsia="Times New Roman"/>
          <w:szCs w:val="22"/>
          <w:lang w:eastAsia="en-US"/>
        </w:rPr>
      </w:pP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Congo; Regional Office for Africa - Brazzaville</w:t>
      </w: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Denmark; Regional Office for Europe - Copenhagen</w:t>
      </w: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Egypt; Regional Office for the Eastern Mediterranean - Cairo</w:t>
      </w: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India; Regional Office for South-East Asia - New Dehli</w:t>
      </w: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Philippines; Regional Office for the Western Pacific - Manila</w:t>
      </w:r>
    </w:p>
    <w:p w:rsidR="006B41E4" w:rsidRPr="008B6036" w:rsidRDefault="006B41E4" w:rsidP="006B41E4">
      <w:pPr>
        <w:numPr>
          <w:ilvl w:val="0"/>
          <w:numId w:val="45"/>
        </w:numPr>
        <w:rPr>
          <w:rFonts w:eastAsia="Times New Roman"/>
          <w:szCs w:val="22"/>
          <w:lang w:eastAsia="en-US"/>
        </w:rPr>
      </w:pPr>
      <w:r w:rsidRPr="008B6036">
        <w:rPr>
          <w:rFonts w:eastAsia="Times New Roman"/>
          <w:noProof/>
          <w:szCs w:val="22"/>
          <w:lang w:eastAsia="en-US"/>
        </w:rPr>
        <w:t>United States of America; Regional Office for the Americas - Washington</w:t>
      </w:r>
    </w:p>
    <w:p w:rsidR="006B41E4" w:rsidRPr="008B6036" w:rsidRDefault="006B41E4" w:rsidP="006B41E4">
      <w:pPr>
        <w:rPr>
          <w:rFonts w:eastAsia="Times New Roman"/>
          <w:szCs w:val="22"/>
          <w:lang w:eastAsia="en-US"/>
        </w:rPr>
      </w:pPr>
    </w:p>
    <w:p w:rsidR="006B41E4" w:rsidRPr="008B6036" w:rsidRDefault="006B41E4" w:rsidP="006B41E4">
      <w:pPr>
        <w:numPr>
          <w:ilvl w:val="0"/>
          <w:numId w:val="45"/>
        </w:numPr>
        <w:rPr>
          <w:rFonts w:eastAsia="Times New Roman"/>
          <w:szCs w:val="22"/>
          <w:lang w:eastAsia="en-US"/>
        </w:rPr>
      </w:pPr>
      <w:r w:rsidRPr="008B6036">
        <w:rPr>
          <w:rFonts w:eastAsia="Times New Roman"/>
          <w:szCs w:val="22"/>
          <w:lang w:eastAsia="en-US"/>
        </w:rPr>
        <w:t>Belgium; WHO Office at the European Union – Brussels</w:t>
      </w:r>
    </w:p>
    <w:p w:rsidR="006B41E4" w:rsidRPr="008B6036" w:rsidRDefault="006B41E4" w:rsidP="006B41E4">
      <w:pPr>
        <w:numPr>
          <w:ilvl w:val="0"/>
          <w:numId w:val="45"/>
        </w:numPr>
        <w:rPr>
          <w:rFonts w:eastAsia="Times New Roman"/>
          <w:szCs w:val="22"/>
          <w:lang w:eastAsia="en-US"/>
        </w:rPr>
      </w:pPr>
      <w:r w:rsidRPr="008B6036">
        <w:rPr>
          <w:rFonts w:eastAsia="Times New Roman"/>
          <w:szCs w:val="22"/>
          <w:lang w:eastAsia="en-US"/>
        </w:rPr>
        <w:t>France; International Agency for Research on Cancer (IARC) – Lyon</w:t>
      </w:r>
    </w:p>
    <w:p w:rsidR="006B41E4" w:rsidRPr="008B6036" w:rsidRDefault="006B41E4" w:rsidP="006B41E4">
      <w:pPr>
        <w:numPr>
          <w:ilvl w:val="0"/>
          <w:numId w:val="45"/>
        </w:numPr>
        <w:rPr>
          <w:rFonts w:eastAsia="Times New Roman"/>
          <w:szCs w:val="22"/>
          <w:lang w:eastAsia="en-US"/>
        </w:rPr>
      </w:pPr>
      <w:r w:rsidRPr="008B6036">
        <w:rPr>
          <w:rFonts w:eastAsia="Times New Roman"/>
          <w:szCs w:val="22"/>
          <w:lang w:eastAsia="en-US"/>
        </w:rPr>
        <w:t>Japan; WHO Centre for Health Development – Kobe</w:t>
      </w:r>
    </w:p>
    <w:p w:rsidR="006B41E4" w:rsidRPr="008B6036" w:rsidRDefault="006B41E4" w:rsidP="006B41E4">
      <w:pPr>
        <w:numPr>
          <w:ilvl w:val="0"/>
          <w:numId w:val="45"/>
        </w:numPr>
        <w:rPr>
          <w:rFonts w:eastAsia="Times New Roman"/>
          <w:szCs w:val="22"/>
          <w:lang w:eastAsia="en-US"/>
        </w:rPr>
      </w:pPr>
      <w:r w:rsidRPr="008B6036">
        <w:rPr>
          <w:rFonts w:eastAsia="Times New Roman"/>
          <w:szCs w:val="22"/>
          <w:lang w:eastAsia="en-US"/>
        </w:rPr>
        <w:t>Tunisia; WHO Mediterranean Centre for Health Risk Reduction - Tunis</w:t>
      </w:r>
    </w:p>
    <w:p w:rsidR="006B41E4" w:rsidRPr="008B6036" w:rsidRDefault="006B41E4" w:rsidP="006B41E4">
      <w:pPr>
        <w:numPr>
          <w:ilvl w:val="0"/>
          <w:numId w:val="45"/>
        </w:numPr>
        <w:rPr>
          <w:rFonts w:eastAsia="Times New Roman"/>
          <w:szCs w:val="22"/>
          <w:lang w:eastAsia="en-US"/>
        </w:rPr>
      </w:pPr>
      <w:r>
        <w:rPr>
          <w:rFonts w:eastAsia="Times New Roman"/>
          <w:szCs w:val="22"/>
          <w:lang w:eastAsia="en-US"/>
        </w:rPr>
        <w:t xml:space="preserve">United States of America; </w:t>
      </w:r>
      <w:r w:rsidRPr="008B6036">
        <w:rPr>
          <w:rFonts w:eastAsia="Times New Roman"/>
          <w:szCs w:val="22"/>
          <w:lang w:eastAsia="en-US"/>
        </w:rPr>
        <w:t>WHO Office at the United Nations – New York</w:t>
      </w:r>
      <w:r>
        <w:rPr>
          <w:rFonts w:eastAsia="Times New Roman"/>
          <w:szCs w:val="22"/>
          <w:lang w:eastAsia="en-US"/>
        </w:rPr>
        <w:t>, and WHO</w:t>
      </w:r>
      <w:r w:rsidRPr="008B6036">
        <w:rPr>
          <w:rFonts w:eastAsia="Times New Roman"/>
          <w:szCs w:val="22"/>
          <w:lang w:eastAsia="en-US"/>
        </w:rPr>
        <w:t xml:space="preserve"> Office at the World Bank and the International Monetary Fund (Washington)</w:t>
      </w:r>
    </w:p>
    <w:p w:rsidR="006B41E4" w:rsidRPr="00101F76" w:rsidRDefault="006B41E4" w:rsidP="006B41E4">
      <w:pPr>
        <w:pStyle w:val="Heading4"/>
      </w:pPr>
      <w:bookmarkStart w:id="34" w:name="_Toc362612235"/>
      <w:r w:rsidRPr="00101F76">
        <w:t>WMO</w:t>
      </w:r>
      <w:bookmarkEnd w:id="34"/>
      <w:r>
        <w:br/>
      </w:r>
    </w:p>
    <w:p w:rsidR="006B41E4" w:rsidRPr="008B6036"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t>“</w:t>
      </w:r>
      <w:r w:rsidRPr="008B6036">
        <w:rPr>
          <w:rFonts w:eastAsia="Times New Roman"/>
          <w:szCs w:val="22"/>
          <w:lang w:eastAsia="en-US"/>
        </w:rPr>
        <w:t xml:space="preserve">The overall objective of the Regional </w:t>
      </w:r>
      <w:proofErr w:type="spellStart"/>
      <w:r w:rsidRPr="008B6036">
        <w:rPr>
          <w:rFonts w:eastAsia="Times New Roman"/>
          <w:szCs w:val="22"/>
          <w:lang w:eastAsia="en-US"/>
        </w:rPr>
        <w:t>Programme</w:t>
      </w:r>
      <w:proofErr w:type="spellEnd"/>
      <w:r w:rsidRPr="008B6036">
        <w:rPr>
          <w:rFonts w:eastAsia="Times New Roman"/>
          <w:szCs w:val="22"/>
          <w:lang w:eastAsia="en-US"/>
        </w:rPr>
        <w:t xml:space="preserve"> (RP) is to ensure the efficient and effective functioning of the six Regional Associations of the Organization in coordinating meteorological, hydrological, climatological and related activities of their Members.</w:t>
      </w:r>
      <w:r>
        <w:rPr>
          <w:rFonts w:eastAsia="Times New Roman"/>
          <w:szCs w:val="22"/>
          <w:lang w:eastAsia="en-US"/>
        </w:rPr>
        <w:t xml:space="preserve"> </w:t>
      </w:r>
      <w:r w:rsidRPr="008B6036">
        <w:rPr>
          <w:rFonts w:eastAsia="Times New Roman"/>
          <w:szCs w:val="22"/>
          <w:lang w:eastAsia="en-US"/>
        </w:rPr>
        <w:t xml:space="preserve"> The RP provides a framework for regional cooperation in the implementation of the WMO strategies, policies and </w:t>
      </w:r>
      <w:proofErr w:type="spellStart"/>
      <w:r w:rsidRPr="008B6036">
        <w:rPr>
          <w:rFonts w:eastAsia="Times New Roman"/>
          <w:szCs w:val="22"/>
          <w:lang w:eastAsia="en-US"/>
        </w:rPr>
        <w:t>program</w:t>
      </w:r>
      <w:r>
        <w:rPr>
          <w:rFonts w:eastAsia="Times New Roman"/>
          <w:szCs w:val="22"/>
          <w:lang w:eastAsia="en-US"/>
        </w:rPr>
        <w:t>me</w:t>
      </w:r>
      <w:r w:rsidRPr="008B6036">
        <w:rPr>
          <w:rFonts w:eastAsia="Times New Roman"/>
          <w:szCs w:val="22"/>
          <w:lang w:eastAsia="en-US"/>
        </w:rPr>
        <w:t>s</w:t>
      </w:r>
      <w:proofErr w:type="spellEnd"/>
      <w:r w:rsidRPr="008B6036">
        <w:rPr>
          <w:rFonts w:eastAsia="Times New Roman"/>
          <w:szCs w:val="22"/>
          <w:lang w:eastAsia="en-US"/>
        </w:rPr>
        <w:t xml:space="preserve"> taking into account regional requirements, capacities and priorities</w:t>
      </w:r>
      <w:r>
        <w:rPr>
          <w:rFonts w:eastAsia="Times New Roman"/>
          <w:szCs w:val="22"/>
          <w:lang w:eastAsia="en-US"/>
        </w:rPr>
        <w:t>”.</w:t>
      </w:r>
    </w:p>
    <w:p w:rsidR="006B41E4" w:rsidRPr="008B6036" w:rsidRDefault="006B41E4" w:rsidP="006B41E4">
      <w:pPr>
        <w:rPr>
          <w:rFonts w:eastAsia="Times New Roman"/>
          <w:szCs w:val="22"/>
          <w:lang w:eastAsia="en-US"/>
        </w:rPr>
      </w:pPr>
    </w:p>
    <w:p w:rsidR="006B41E4" w:rsidRPr="008B6036" w:rsidRDefault="006B41E4" w:rsidP="006B41E4">
      <w:pPr>
        <w:rPr>
          <w:rFonts w:eastAsia="Times New Roman"/>
          <w:szCs w:val="22"/>
          <w:lang w:eastAsia="en-US"/>
        </w:rPr>
      </w:pPr>
      <w:r>
        <w:rPr>
          <w:rFonts w:eastAsia="Times New Roman"/>
          <w:szCs w:val="22"/>
          <w:lang w:eastAsia="en-US"/>
        </w:rPr>
        <w:t>“</w:t>
      </w:r>
      <w:r w:rsidRPr="008B6036">
        <w:rPr>
          <w:rFonts w:eastAsia="Times New Roman"/>
          <w:szCs w:val="22"/>
          <w:lang w:eastAsia="en-US"/>
        </w:rPr>
        <w:t>The Mission of the Regional Offices:</w:t>
      </w:r>
    </w:p>
    <w:p w:rsidR="006B41E4" w:rsidRPr="008B6036" w:rsidRDefault="006B41E4" w:rsidP="006B41E4">
      <w:pPr>
        <w:rPr>
          <w:rFonts w:eastAsia="Times New Roman"/>
          <w:szCs w:val="22"/>
          <w:lang w:eastAsia="en-US"/>
        </w:rPr>
      </w:pPr>
    </w:p>
    <w:p w:rsidR="006B41E4" w:rsidRPr="008B6036" w:rsidRDefault="006B41E4" w:rsidP="006B41E4">
      <w:pPr>
        <w:numPr>
          <w:ilvl w:val="0"/>
          <w:numId w:val="46"/>
        </w:numPr>
        <w:tabs>
          <w:tab w:val="clear" w:pos="794"/>
        </w:tabs>
        <w:ind w:left="1134" w:hanging="567"/>
        <w:rPr>
          <w:rFonts w:eastAsia="Times New Roman"/>
          <w:szCs w:val="22"/>
          <w:lang w:eastAsia="en-US"/>
        </w:rPr>
      </w:pPr>
      <w:r w:rsidRPr="008B6036">
        <w:rPr>
          <w:rFonts w:eastAsia="Times New Roman"/>
          <w:szCs w:val="22"/>
          <w:lang w:eastAsia="en-US"/>
        </w:rPr>
        <w:t xml:space="preserve">Assist Members in their respective Regions to develop their national Meteorological or </w:t>
      </w:r>
      <w:proofErr w:type="spellStart"/>
      <w:r w:rsidRPr="008B6036">
        <w:rPr>
          <w:rFonts w:eastAsia="Times New Roman"/>
          <w:szCs w:val="22"/>
          <w:lang w:eastAsia="en-US"/>
        </w:rPr>
        <w:t>Hydrometeorological</w:t>
      </w:r>
      <w:proofErr w:type="spellEnd"/>
      <w:r w:rsidRPr="008B6036">
        <w:rPr>
          <w:rFonts w:eastAsia="Times New Roman"/>
          <w:szCs w:val="22"/>
          <w:lang w:eastAsia="en-US"/>
        </w:rPr>
        <w:t xml:space="preserve"> and Hydrological Services (NMHSs) to enable them to play their full role in the economic and social development of their countries as well as in any high priority areas of the Organization;</w:t>
      </w:r>
    </w:p>
    <w:p w:rsidR="006B41E4" w:rsidRPr="008B6036" w:rsidRDefault="006B41E4" w:rsidP="006B41E4">
      <w:pPr>
        <w:numPr>
          <w:ilvl w:val="0"/>
          <w:numId w:val="46"/>
        </w:numPr>
        <w:tabs>
          <w:tab w:val="clear" w:pos="794"/>
        </w:tabs>
        <w:ind w:left="1134" w:hanging="567"/>
        <w:rPr>
          <w:rFonts w:eastAsia="Times New Roman"/>
          <w:szCs w:val="22"/>
          <w:lang w:eastAsia="en-US"/>
        </w:rPr>
      </w:pPr>
      <w:r w:rsidRPr="008B6036">
        <w:rPr>
          <w:rFonts w:eastAsia="Times New Roman"/>
          <w:szCs w:val="22"/>
          <w:lang w:eastAsia="en-US"/>
        </w:rPr>
        <w:t xml:space="preserve">Contribute to the development and implementation of the WMO Regional </w:t>
      </w:r>
      <w:proofErr w:type="spellStart"/>
      <w:r w:rsidRPr="008B6036">
        <w:rPr>
          <w:rFonts w:eastAsia="Times New Roman"/>
          <w:szCs w:val="22"/>
          <w:lang w:eastAsia="en-US"/>
        </w:rPr>
        <w:t>Programme</w:t>
      </w:r>
      <w:proofErr w:type="spellEnd"/>
      <w:r w:rsidRPr="008B6036">
        <w:rPr>
          <w:rFonts w:eastAsia="Times New Roman"/>
          <w:szCs w:val="22"/>
          <w:lang w:eastAsia="en-US"/>
        </w:rPr>
        <w:t xml:space="preserve"> and to assist the relevant Departments of the WMO Secretariat in discharging their responsibilities related to regional activities;</w:t>
      </w:r>
    </w:p>
    <w:p w:rsidR="006B41E4" w:rsidRPr="008B6036" w:rsidRDefault="006B41E4" w:rsidP="006B41E4">
      <w:pPr>
        <w:numPr>
          <w:ilvl w:val="0"/>
          <w:numId w:val="46"/>
        </w:numPr>
        <w:tabs>
          <w:tab w:val="clear" w:pos="794"/>
        </w:tabs>
        <w:ind w:left="1134" w:hanging="567"/>
        <w:rPr>
          <w:rFonts w:eastAsia="Times New Roman"/>
          <w:szCs w:val="22"/>
          <w:lang w:eastAsia="en-US"/>
        </w:rPr>
      </w:pPr>
      <w:r w:rsidRPr="008B6036">
        <w:rPr>
          <w:rFonts w:eastAsia="Times New Roman"/>
          <w:szCs w:val="22"/>
          <w:lang w:eastAsia="en-US"/>
        </w:rPr>
        <w:t xml:space="preserve">Promote and advise Members on any new high-priority activities of the Organization such as those emanating from the follow-up to UNCED and other relevant global and regional Conferences; </w:t>
      </w:r>
    </w:p>
    <w:p w:rsidR="006B41E4" w:rsidRPr="008B6036" w:rsidRDefault="006B41E4" w:rsidP="006B41E4">
      <w:pPr>
        <w:numPr>
          <w:ilvl w:val="0"/>
          <w:numId w:val="46"/>
        </w:numPr>
        <w:tabs>
          <w:tab w:val="clear" w:pos="794"/>
        </w:tabs>
        <w:ind w:left="1134" w:hanging="567"/>
        <w:rPr>
          <w:rFonts w:eastAsia="Times New Roman"/>
          <w:szCs w:val="22"/>
          <w:lang w:eastAsia="en-US"/>
        </w:rPr>
      </w:pPr>
      <w:r w:rsidRPr="008B6036">
        <w:rPr>
          <w:rFonts w:eastAsia="Times New Roman"/>
          <w:szCs w:val="22"/>
          <w:lang w:eastAsia="en-US"/>
        </w:rPr>
        <w:t>Liaise with bodies and agencies of the UN system located within the respective Regions and with regional inter-governmental bodies</w:t>
      </w:r>
      <w:r>
        <w:rPr>
          <w:rFonts w:eastAsia="Times New Roman"/>
          <w:szCs w:val="22"/>
          <w:lang w:eastAsia="en-US"/>
        </w:rPr>
        <w:t>.”</w:t>
      </w:r>
      <w:r>
        <w:rPr>
          <w:rFonts w:eastAsia="Times New Roman"/>
          <w:szCs w:val="22"/>
          <w:lang w:eastAsia="en-US"/>
        </w:rPr>
        <w:br/>
      </w:r>
    </w:p>
    <w:p w:rsidR="006B41E4" w:rsidRPr="008B6036" w:rsidRDefault="006B41E4" w:rsidP="006B41E4">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t>The existing offices are:</w:t>
      </w:r>
      <w:r>
        <w:rPr>
          <w:rFonts w:eastAsia="Times New Roman"/>
          <w:szCs w:val="22"/>
          <w:lang w:eastAsia="en-US"/>
        </w:rPr>
        <w:br/>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Bahrain; WMO Office for West Asia - Manama</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lastRenderedPageBreak/>
        <w:t>Costa Rica; WMO Office for North America, Central America &amp; the Caribbean - San Jose</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Kenya; WMO Office for Eastern and Southern Africa - Nairobi</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Nigeria; WMO Office for North, Central and West Africa - Abuja</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Paraguay; Regional Office for the Americas (RAM) - Asuncion</w:t>
      </w:r>
    </w:p>
    <w:p w:rsidR="006B41E4" w:rsidRDefault="006B41E4" w:rsidP="006B41E4">
      <w:pPr>
        <w:numPr>
          <w:ilvl w:val="0"/>
          <w:numId w:val="47"/>
        </w:numPr>
        <w:rPr>
          <w:rFonts w:eastAsia="Times New Roman"/>
          <w:szCs w:val="22"/>
          <w:lang w:eastAsia="en-US"/>
        </w:rPr>
      </w:pPr>
      <w:r w:rsidRPr="008B6036">
        <w:rPr>
          <w:rFonts w:eastAsia="Times New Roman"/>
          <w:noProof/>
          <w:szCs w:val="22"/>
          <w:lang w:eastAsia="en-US"/>
        </w:rPr>
        <w:t xml:space="preserve">Paraguay; WMO Office for South America </w:t>
      </w:r>
      <w:r>
        <w:rPr>
          <w:rFonts w:eastAsia="Times New Roman"/>
          <w:noProof/>
          <w:szCs w:val="22"/>
          <w:lang w:eastAsia="en-US"/>
        </w:rPr>
        <w:t>–</w:t>
      </w:r>
      <w:r w:rsidRPr="008B6036">
        <w:rPr>
          <w:rFonts w:eastAsia="Times New Roman"/>
          <w:noProof/>
          <w:szCs w:val="22"/>
          <w:lang w:eastAsia="en-US"/>
        </w:rPr>
        <w:t xml:space="preserve"> Asuncion</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Samoa; WMO Office for South-West Pacific - Apia</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Switzerland; Regional Office for Africa  (RAF) – WMO, Geneva</w:t>
      </w:r>
    </w:p>
    <w:p w:rsidR="006B41E4" w:rsidRPr="008B6036" w:rsidRDefault="006B41E4" w:rsidP="006B41E4">
      <w:pPr>
        <w:numPr>
          <w:ilvl w:val="0"/>
          <w:numId w:val="47"/>
        </w:numPr>
        <w:rPr>
          <w:rFonts w:eastAsia="Times New Roman"/>
          <w:szCs w:val="22"/>
          <w:lang w:eastAsia="en-US"/>
        </w:rPr>
      </w:pPr>
      <w:r w:rsidRPr="008B6036">
        <w:rPr>
          <w:rFonts w:eastAsia="Times New Roman"/>
          <w:noProof/>
          <w:szCs w:val="22"/>
          <w:lang w:eastAsia="en-US"/>
        </w:rPr>
        <w:t>Switzerland; Regional Office for Asia and the South-West Pacific (RAP) – WMO, Geneva</w:t>
      </w:r>
    </w:p>
    <w:p w:rsidR="006B41E4" w:rsidRPr="008B6036" w:rsidRDefault="006B41E4" w:rsidP="006B41E4">
      <w:pPr>
        <w:numPr>
          <w:ilvl w:val="0"/>
          <w:numId w:val="47"/>
        </w:numPr>
      </w:pPr>
      <w:r w:rsidRPr="008B6036">
        <w:rPr>
          <w:rFonts w:eastAsia="Times New Roman"/>
          <w:noProof/>
          <w:szCs w:val="22"/>
          <w:lang w:eastAsia="en-US"/>
        </w:rPr>
        <w:t>Switzerland; Regional Office for Europe (ROE) – WMO, Geneva</w:t>
      </w:r>
    </w:p>
    <w:p w:rsidR="006B41E4" w:rsidRPr="00101F76" w:rsidRDefault="006B41E4" w:rsidP="006B41E4">
      <w:pPr>
        <w:pStyle w:val="Heading4"/>
      </w:pPr>
      <w:bookmarkStart w:id="35" w:name="_Toc362612236"/>
      <w:r w:rsidRPr="00101F76">
        <w:t>IP Institutions</w:t>
      </w:r>
      <w:bookmarkEnd w:id="35"/>
    </w:p>
    <w:p w:rsidR="006B41E4" w:rsidRDefault="006B41E4" w:rsidP="006B41E4"/>
    <w:p w:rsidR="006B41E4" w:rsidRPr="00E57079" w:rsidRDefault="006B41E4" w:rsidP="006B41E4">
      <w:r>
        <w:fldChar w:fldCharType="begin"/>
      </w:r>
      <w:r>
        <w:instrText xml:space="preserve"> AUTONUM  </w:instrText>
      </w:r>
      <w:r>
        <w:fldChar w:fldCharType="end"/>
      </w:r>
      <w:r>
        <w:tab/>
        <w:t xml:space="preserve">IP Institutions such as national IP Offices and regional IP Organizations have geographic representation in certain regions in order to execute projects in collaboration with the host country, advocate best IP rights management practices in the region and reach out to and foster relations with users of IP registration services rendered by the IP institutions.  For instance, the </w:t>
      </w:r>
      <w:r w:rsidRPr="002F6CFE">
        <w:t>Trade Marks and Designs Registration Office of the European Union</w:t>
      </w:r>
      <w:r>
        <w:t xml:space="preserve"> (OHIM) has a representation in China, Mexico and Thailand.  The United States Patent and Trademark Office instituted its </w:t>
      </w:r>
      <w:r w:rsidRPr="00802B87">
        <w:t xml:space="preserve">Overseas Intellectual Property </w:t>
      </w:r>
      <w:r>
        <w:t>Rights Attaché program and it has a geographic representation in Brazil, China, Egypt, India, Mexico, Russian Federation, Switzerland and Thailand.  Similarly, the United Kingdom IP Office has a representation in the ASEAN region, Brazil, China and India.  In the region of ASEAN, there are several IP Attachés established by IP institutions (see paragraph 31 above).  These Institutions apparently believe that it is beneficial to an IP Institution to establish and maintain representation in these regions.</w:t>
      </w:r>
    </w:p>
    <w:p w:rsidR="006B41E4" w:rsidRPr="00101F76" w:rsidRDefault="006B41E4" w:rsidP="006B41E4">
      <w:pPr>
        <w:pStyle w:val="Heading4"/>
      </w:pPr>
      <w:bookmarkStart w:id="36" w:name="_Toc362612237"/>
      <w:r w:rsidRPr="00101F76">
        <w:t>Other Geographically Representative Factors</w:t>
      </w:r>
      <w:bookmarkEnd w:id="36"/>
      <w:r w:rsidRPr="00101F76">
        <w:br/>
      </w:r>
    </w:p>
    <w:p w:rsidR="006B41E4" w:rsidRDefault="006B41E4" w:rsidP="006B41E4">
      <w:r>
        <w:fldChar w:fldCharType="begin"/>
      </w:r>
      <w:r>
        <w:instrText xml:space="preserve"> AUTONUM  </w:instrText>
      </w:r>
      <w:r>
        <w:fldChar w:fldCharType="end"/>
      </w:r>
      <w:r>
        <w:tab/>
        <w:t>To show the remoteness of locations from Geneva, the following table may be useful.  According to the current policy of WIPO, flights shorter than 9 hours are in economy class, and this is reflected in the following travel cost estimate.</w:t>
      </w:r>
    </w:p>
    <w:p w:rsidR="006B41E4" w:rsidRDefault="006B41E4" w:rsidP="006B41E4"/>
    <w:p w:rsidR="006B41E4" w:rsidRDefault="006B41E4" w:rsidP="006B41E4">
      <w:pPr>
        <w:jc w:val="center"/>
      </w:pPr>
      <w:r w:rsidRPr="00BD19A4">
        <w:t xml:space="preserve">Table </w:t>
      </w:r>
      <w:r>
        <w:t>10</w:t>
      </w:r>
      <w:r w:rsidRPr="00BD19A4">
        <w:t>:</w:t>
      </w:r>
      <w:r>
        <w:t xml:space="preserve">  Distance and travel cost to various locations</w:t>
      </w:r>
    </w:p>
    <w:tbl>
      <w:tblPr>
        <w:tblW w:w="79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2031"/>
        <w:gridCol w:w="2070"/>
      </w:tblGrid>
      <w:tr w:rsidR="006B41E4" w:rsidRPr="009E7D4D" w:rsidTr="006B41E4">
        <w:trPr>
          <w:trHeight w:val="228"/>
          <w:jc w:val="center"/>
        </w:trPr>
        <w:tc>
          <w:tcPr>
            <w:tcW w:w="3819" w:type="dxa"/>
            <w:gridSpan w:val="2"/>
            <w:shd w:val="clear" w:color="auto" w:fill="auto"/>
          </w:tcPr>
          <w:p w:rsidR="006B41E4" w:rsidRPr="009E7D4D" w:rsidRDefault="006B41E4" w:rsidP="006B41E4">
            <w:pPr>
              <w:jc w:val="center"/>
              <w:rPr>
                <w:rFonts w:eastAsia="Times New Roman"/>
                <w:sz w:val="20"/>
                <w:lang w:eastAsia="en-US"/>
              </w:rPr>
            </w:pPr>
            <w:r w:rsidRPr="009E7D4D">
              <w:rPr>
                <w:rFonts w:eastAsia="Times New Roman"/>
                <w:sz w:val="20"/>
                <w:lang w:eastAsia="en-US"/>
              </w:rPr>
              <w:t xml:space="preserve">Countries </w:t>
            </w:r>
          </w:p>
        </w:tc>
        <w:tc>
          <w:tcPr>
            <w:tcW w:w="2031" w:type="dxa"/>
            <w:shd w:val="clear" w:color="auto" w:fill="auto"/>
          </w:tcPr>
          <w:p w:rsidR="006B41E4" w:rsidRPr="009E7D4D" w:rsidRDefault="006B41E4" w:rsidP="006B41E4">
            <w:pPr>
              <w:jc w:val="center"/>
              <w:rPr>
                <w:rFonts w:eastAsia="Times New Roman"/>
                <w:sz w:val="20"/>
                <w:lang w:eastAsia="en-US"/>
              </w:rPr>
            </w:pPr>
            <w:r>
              <w:rPr>
                <w:rFonts w:eastAsia="Times New Roman"/>
                <w:sz w:val="20"/>
                <w:lang w:eastAsia="en-US"/>
              </w:rPr>
              <w:t>Travel time in hours</w:t>
            </w:r>
          </w:p>
        </w:tc>
        <w:tc>
          <w:tcPr>
            <w:tcW w:w="2070" w:type="dxa"/>
          </w:tcPr>
          <w:p w:rsidR="006B41E4" w:rsidRPr="009E7D4D" w:rsidRDefault="006B41E4" w:rsidP="006B41E4">
            <w:pPr>
              <w:jc w:val="center"/>
              <w:rPr>
                <w:rFonts w:eastAsia="Times New Roman"/>
                <w:sz w:val="20"/>
                <w:lang w:eastAsia="en-US"/>
              </w:rPr>
            </w:pPr>
            <w:r>
              <w:rPr>
                <w:rFonts w:eastAsia="Times New Roman"/>
                <w:sz w:val="20"/>
                <w:lang w:eastAsia="en-US"/>
              </w:rPr>
              <w:t>Travel cost in CHF</w:t>
            </w:r>
          </w:p>
        </w:tc>
      </w:tr>
      <w:tr w:rsidR="006B41E4" w:rsidRPr="009E7D4D" w:rsidTr="006B41E4">
        <w:trPr>
          <w:jc w:val="center"/>
        </w:trPr>
        <w:tc>
          <w:tcPr>
            <w:tcW w:w="162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Africa</w:t>
            </w: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Algeria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2.00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745</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Cameroon</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9.50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4,090</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Egypt</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4.00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633</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Ethiopia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9.40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3,106</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Morocco</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2.55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533</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Nigeria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8.50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1,133</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Senegal</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7.35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1,320</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South Africa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12.15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4,221</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Tunisia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1.55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480</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Zimbabwe</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13.05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3,955</w:t>
            </w:r>
          </w:p>
        </w:tc>
      </w:tr>
      <w:tr w:rsidR="006B41E4" w:rsidRPr="009E7D4D" w:rsidTr="006B41E4">
        <w:trPr>
          <w:jc w:val="center"/>
        </w:trPr>
        <w:tc>
          <w:tcPr>
            <w:tcW w:w="162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Asia and the Pacific</w:t>
            </w: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Bangladesh</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13.15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3,498</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China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10.30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3,479</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India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9.20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3,047</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Jordan</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5.50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940</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Rep</w:t>
            </w:r>
            <w:r>
              <w:rPr>
                <w:rFonts w:eastAsia="Times New Roman"/>
                <w:sz w:val="20"/>
                <w:lang w:eastAsia="en-US"/>
              </w:rPr>
              <w:t>ublic</w:t>
            </w:r>
            <w:r w:rsidRPr="009E7D4D">
              <w:rPr>
                <w:rFonts w:eastAsia="Times New Roman"/>
                <w:sz w:val="20"/>
                <w:lang w:eastAsia="en-US"/>
              </w:rPr>
              <w:t xml:space="preserve"> </w:t>
            </w:r>
            <w:r>
              <w:rPr>
                <w:rFonts w:eastAsia="Times New Roman"/>
                <w:sz w:val="20"/>
                <w:lang w:eastAsia="en-US"/>
              </w:rPr>
              <w:t xml:space="preserve">of </w:t>
            </w:r>
            <w:r w:rsidRPr="009E7D4D">
              <w:rPr>
                <w:rFonts w:eastAsia="Times New Roman"/>
                <w:sz w:val="20"/>
                <w:lang w:eastAsia="en-US"/>
              </w:rPr>
              <w:t>Korea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12.00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3,431</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Turkey</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3.00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739</w:t>
            </w:r>
          </w:p>
        </w:tc>
      </w:tr>
      <w:tr w:rsidR="006B41E4" w:rsidRPr="009E7D4D" w:rsidTr="006B41E4">
        <w:trPr>
          <w:jc w:val="center"/>
        </w:trPr>
        <w:tc>
          <w:tcPr>
            <w:tcW w:w="162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Countries in transition</w:t>
            </w: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Romania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4.00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674</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Pr>
                <w:rFonts w:eastAsia="Times New Roman"/>
                <w:sz w:val="20"/>
                <w:lang w:eastAsia="en-US"/>
              </w:rPr>
              <w:t>Russia Federation</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3.30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576</w:t>
            </w:r>
          </w:p>
        </w:tc>
      </w:tr>
      <w:tr w:rsidR="006B41E4" w:rsidRPr="009E7D4D" w:rsidTr="006B41E4">
        <w:trPr>
          <w:jc w:val="center"/>
        </w:trPr>
        <w:tc>
          <w:tcPr>
            <w:tcW w:w="162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Latin America and the Caribbean</w:t>
            </w: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Chile</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19.05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5,016</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Mexico</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13.55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3,940</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Panama</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14.45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4,252</w:t>
            </w:r>
          </w:p>
        </w:tc>
      </w:tr>
      <w:tr w:rsidR="006B41E4" w:rsidRPr="009E7D4D" w:rsidTr="006B41E4">
        <w:trPr>
          <w:jc w:val="center"/>
        </w:trPr>
        <w:tc>
          <w:tcPr>
            <w:tcW w:w="1620" w:type="dxa"/>
            <w:vMerge/>
            <w:shd w:val="clear" w:color="auto" w:fill="auto"/>
          </w:tcPr>
          <w:p w:rsidR="006B41E4" w:rsidRPr="009E7D4D" w:rsidRDefault="006B41E4" w:rsidP="006B41E4">
            <w:pPr>
              <w:rPr>
                <w:rFonts w:eastAsia="Times New Roman"/>
                <w:sz w:val="20"/>
                <w:lang w:eastAsia="en-US"/>
              </w:rPr>
            </w:pPr>
          </w:p>
        </w:tc>
        <w:tc>
          <w:tcPr>
            <w:tcW w:w="2199"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Peru</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15.40</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3,998</w:t>
            </w:r>
          </w:p>
        </w:tc>
      </w:tr>
      <w:tr w:rsidR="006B41E4" w:rsidRPr="009E7D4D" w:rsidTr="006B41E4">
        <w:trPr>
          <w:jc w:val="center"/>
        </w:trPr>
        <w:tc>
          <w:tcPr>
            <w:tcW w:w="162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America</w:t>
            </w:r>
          </w:p>
        </w:tc>
        <w:tc>
          <w:tcPr>
            <w:tcW w:w="2199" w:type="dxa"/>
            <w:shd w:val="clear" w:color="auto" w:fill="auto"/>
          </w:tcPr>
          <w:p w:rsidR="006B41E4" w:rsidRPr="009E7D4D" w:rsidRDefault="006B41E4" w:rsidP="006B41E4">
            <w:pPr>
              <w:rPr>
                <w:rFonts w:eastAsia="Times New Roman"/>
                <w:sz w:val="20"/>
                <w:lang w:eastAsia="en-US"/>
              </w:rPr>
            </w:pPr>
            <w:r>
              <w:rPr>
                <w:rFonts w:eastAsia="Times New Roman"/>
                <w:sz w:val="20"/>
                <w:lang w:eastAsia="en-US"/>
              </w:rPr>
              <w:t>USA (West coast)</w:t>
            </w:r>
          </w:p>
        </w:tc>
        <w:tc>
          <w:tcPr>
            <w:tcW w:w="2031" w:type="dxa"/>
          </w:tcPr>
          <w:p w:rsidR="006B41E4" w:rsidRPr="009E7D4D" w:rsidRDefault="006B41E4" w:rsidP="006B41E4">
            <w:pPr>
              <w:jc w:val="right"/>
              <w:rPr>
                <w:rFonts w:eastAsia="Times New Roman"/>
                <w:sz w:val="20"/>
                <w:lang w:eastAsia="en-US"/>
              </w:rPr>
            </w:pPr>
            <w:r>
              <w:rPr>
                <w:rFonts w:eastAsia="Times New Roman"/>
                <w:sz w:val="20"/>
                <w:lang w:eastAsia="en-US"/>
              </w:rPr>
              <w:t>14.35</w:t>
            </w:r>
          </w:p>
        </w:tc>
        <w:tc>
          <w:tcPr>
            <w:tcW w:w="2070" w:type="dxa"/>
          </w:tcPr>
          <w:p w:rsidR="006B41E4" w:rsidRPr="009E7D4D" w:rsidRDefault="006B41E4" w:rsidP="006B41E4">
            <w:pPr>
              <w:jc w:val="right"/>
              <w:rPr>
                <w:rFonts w:eastAsia="Times New Roman"/>
                <w:sz w:val="20"/>
                <w:lang w:eastAsia="en-US"/>
              </w:rPr>
            </w:pPr>
            <w:r>
              <w:rPr>
                <w:rFonts w:eastAsia="Times New Roman"/>
                <w:sz w:val="20"/>
                <w:lang w:eastAsia="en-US"/>
              </w:rPr>
              <w:t>5,185</w:t>
            </w:r>
          </w:p>
        </w:tc>
      </w:tr>
    </w:tbl>
    <w:p w:rsidR="006B41E4" w:rsidRDefault="006B41E4" w:rsidP="006B41E4">
      <w:r>
        <w:fldChar w:fldCharType="begin"/>
      </w:r>
      <w:r>
        <w:instrText xml:space="preserve"> AUTONUM  </w:instrText>
      </w:r>
      <w:r>
        <w:fldChar w:fldCharType="end"/>
      </w:r>
      <w:r>
        <w:tab/>
        <w:t xml:space="preserve">In order for EOs to function as a nodal point to provide services to the host country and the zone of influence, it is necessary for an EO to be located in the country which has a good hub airport with effective travel connectivity.  </w:t>
      </w:r>
    </w:p>
    <w:p w:rsidR="006B41E4" w:rsidRDefault="006B41E4" w:rsidP="006B41E4"/>
    <w:p w:rsidR="006B41E4" w:rsidRDefault="006B41E4" w:rsidP="006B41E4">
      <w:r>
        <w:fldChar w:fldCharType="begin"/>
      </w:r>
      <w:r>
        <w:instrText xml:space="preserve"> AUTONUM  </w:instrText>
      </w:r>
      <w:r>
        <w:fldChar w:fldCharType="end"/>
      </w:r>
      <w:r>
        <w:tab/>
        <w:t>In conclusion of this section, if a proposal of WIPO’s global, small, strategically positioned and geographically representative network of EOs is supported by Member States, this will facilitate further consideration of the criteria of EOs.  Before discussing the criteria, it may be useful to make it clear that WIPO’s strategic objectives would continue to apply to new external offices within the results framework and the governance of the Program and Budget.</w:t>
      </w:r>
    </w:p>
    <w:p w:rsidR="006B41E4" w:rsidRDefault="006B41E4" w:rsidP="006B41E4"/>
    <w:p w:rsidR="006B41E4" w:rsidRDefault="006B41E4" w:rsidP="006B41E4">
      <w:pPr>
        <w:rPr>
          <w:i/>
        </w:rPr>
      </w:pPr>
    </w:p>
    <w:p w:rsidR="006B41E4" w:rsidRPr="00101F76" w:rsidRDefault="006B41E4" w:rsidP="006B41E4">
      <w:pPr>
        <w:pStyle w:val="Heading2"/>
      </w:pPr>
      <w:bookmarkStart w:id="37" w:name="_Toc362612238"/>
      <w:r w:rsidRPr="00101F76">
        <w:t>Monitoring of strategic objectives</w:t>
      </w:r>
      <w:bookmarkEnd w:id="37"/>
    </w:p>
    <w:p w:rsidR="006B41E4" w:rsidRDefault="006B41E4" w:rsidP="006B41E4">
      <w:pPr>
        <w:rPr>
          <w:i/>
        </w:rPr>
      </w:pPr>
    </w:p>
    <w:p w:rsidR="006B41E4" w:rsidRDefault="006B41E4" w:rsidP="006B41E4">
      <w:r>
        <w:fldChar w:fldCharType="begin"/>
      </w:r>
      <w:r>
        <w:instrText xml:space="preserve"> AUTONUM  </w:instrText>
      </w:r>
      <w:r>
        <w:fldChar w:fldCharType="end"/>
      </w:r>
      <w:r>
        <w:tab/>
        <w:t xml:space="preserve">The Existing EOs are an integral part of WIPO’s results-based management framework.  Like any other organizational unit at WIPO, the work of the existing EOs is governed by a comprehensive results framework comprising of expected results, indicators, baselines and targets (see pages 144-146 in the draft Program and Budget 2014/15 (English version) ).  The strategic goals and expected results to which a particular external office contributes will depend on its defined functions.  </w:t>
      </w:r>
    </w:p>
    <w:p w:rsidR="006B41E4" w:rsidRDefault="006B41E4" w:rsidP="006B41E4"/>
    <w:p w:rsidR="006B41E4" w:rsidRDefault="006B41E4" w:rsidP="006B41E4">
      <w:r>
        <w:fldChar w:fldCharType="begin"/>
      </w:r>
      <w:r>
        <w:instrText xml:space="preserve"> AUTONUM  </w:instrText>
      </w:r>
      <w:r>
        <w:fldChar w:fldCharType="end"/>
      </w:r>
      <w:r>
        <w:tab/>
        <w:t xml:space="preserve">The biennial results frameworks form the basis for annual </w:t>
      </w:r>
      <w:proofErr w:type="spellStart"/>
      <w:r>
        <w:t>workplans</w:t>
      </w:r>
      <w:proofErr w:type="spellEnd"/>
      <w:r>
        <w:t xml:space="preserve"> for each existing EO which are reviewed for organizational consistency and coherence and approved by the Director General.   </w:t>
      </w:r>
    </w:p>
    <w:p w:rsidR="006B41E4" w:rsidRDefault="006B41E4" w:rsidP="006B41E4"/>
    <w:p w:rsidR="006B41E4" w:rsidRDefault="006B41E4" w:rsidP="006B41E4">
      <w:r>
        <w:fldChar w:fldCharType="begin"/>
      </w:r>
      <w:r>
        <w:instrText xml:space="preserve"> AUTONUM  </w:instrText>
      </w:r>
      <w:r>
        <w:fldChar w:fldCharType="end"/>
      </w:r>
      <w:r>
        <w:tab/>
        <w:t xml:space="preserve">The results frameworks also form the basis for monitoring and assessing organizational performance, both internally on a continuous basis within the Secretariat and through the performance dialogue with Member States on the annual and biennial Program Performance Reports.  Satisfactory or unsatisfactory performance by EOs based on the performance criteria supports decision-making regarding renewal of the mandate of the EOs, eventual corrective measures and, in the extreme case, closure. </w:t>
      </w:r>
    </w:p>
    <w:p w:rsidR="006B41E4" w:rsidRDefault="006B41E4" w:rsidP="006B41E4"/>
    <w:p w:rsidR="006B41E4" w:rsidRDefault="006B41E4" w:rsidP="006B41E4">
      <w:r>
        <w:fldChar w:fldCharType="begin"/>
      </w:r>
      <w:r>
        <w:instrText xml:space="preserve"> AUTONUM  </w:instrText>
      </w:r>
      <w:r>
        <w:fldChar w:fldCharType="end"/>
      </w:r>
      <w:r>
        <w:tab/>
        <w:t xml:space="preserve">The performance of new EOs would be subject to the development of similar comprehensive results framework to those for existing EOs in the draft proposed Program and Budget for the biennium 2014/15.  Such frameworks will be developed as soon as new EOs are approved by the WIPO Assemblies and will be reported on in subsequent PPRs.     </w:t>
      </w:r>
    </w:p>
    <w:p w:rsidR="006B41E4" w:rsidRPr="007D73A9" w:rsidRDefault="006B41E4" w:rsidP="006B41E4">
      <w:pPr>
        <w:rPr>
          <w:i/>
        </w:rPr>
      </w:pPr>
    </w:p>
    <w:p w:rsidR="006B41E4" w:rsidRPr="003C0235" w:rsidRDefault="006B41E4" w:rsidP="006B41E4">
      <w:pPr>
        <w:rPr>
          <w:szCs w:val="22"/>
        </w:rPr>
      </w:pPr>
    </w:p>
    <w:p w:rsidR="006B41E4" w:rsidRPr="00101F76" w:rsidRDefault="006B41E4" w:rsidP="006B41E4">
      <w:pPr>
        <w:pStyle w:val="Heading2"/>
      </w:pPr>
      <w:bookmarkStart w:id="38" w:name="_Toc362612239"/>
      <w:r w:rsidRPr="00101F76">
        <w:t>Criteria</w:t>
      </w:r>
      <w:bookmarkEnd w:id="38"/>
    </w:p>
    <w:p w:rsidR="006B41E4" w:rsidRDefault="006B41E4" w:rsidP="006B41E4"/>
    <w:p w:rsidR="006B41E4" w:rsidRDefault="006B41E4" w:rsidP="006B41E4">
      <w:r>
        <w:fldChar w:fldCharType="begin"/>
      </w:r>
      <w:r>
        <w:instrText xml:space="preserve"> AUTONUM  </w:instrText>
      </w:r>
      <w:r>
        <w:fldChar w:fldCharType="end"/>
      </w:r>
      <w:r>
        <w:tab/>
        <w:t>Analysis of needs, strategic objectives and the requirements for implementing a proposed strategy leads to elements which may be considered as indicators of criteria for selecting new EOs.  Some data are given below, bearing in mind a proposed strategy, that is, to use EOs to contribute to the achievement of strategic goals through a global, small,</w:t>
      </w:r>
      <w:r w:rsidRPr="00F533F2">
        <w:t xml:space="preserve"> limited, strategically</w:t>
      </w:r>
      <w:r>
        <w:t>-</w:t>
      </w:r>
      <w:r w:rsidRPr="00F533F2">
        <w:t xml:space="preserve"> positioned, geographically</w:t>
      </w:r>
      <w:r>
        <w:t xml:space="preserve"> </w:t>
      </w:r>
      <w:r w:rsidRPr="00F533F2">
        <w:t xml:space="preserve">representative network </w:t>
      </w:r>
      <w:r w:rsidRPr="007068D8">
        <w:t xml:space="preserve">of </w:t>
      </w:r>
      <w:r>
        <w:t>EO</w:t>
      </w:r>
      <w:r w:rsidRPr="007068D8">
        <w:t>s</w:t>
      </w:r>
      <w:r>
        <w:t xml:space="preserve"> with a view to </w:t>
      </w:r>
      <w:r w:rsidRPr="007068D8">
        <w:t xml:space="preserve">add value by providing political and logistical support for the delivery of the strategic objectives of the Organization in a way that cannot be achieved through operations at </w:t>
      </w:r>
      <w:r>
        <w:t>HQ</w:t>
      </w:r>
      <w:r w:rsidRPr="007068D8">
        <w:t xml:space="preserve"> alone.</w:t>
      </w:r>
    </w:p>
    <w:p w:rsidR="006B41E4" w:rsidRDefault="006B41E4" w:rsidP="006B41E4"/>
    <w:p w:rsidR="006B41E4" w:rsidRDefault="006B41E4" w:rsidP="006B41E4">
      <w:r>
        <w:fldChar w:fldCharType="begin"/>
      </w:r>
      <w:r>
        <w:instrText xml:space="preserve"> AUTONUM  </w:instrText>
      </w:r>
      <w:r>
        <w:fldChar w:fldCharType="end"/>
      </w:r>
      <w:r>
        <w:tab/>
        <w:t xml:space="preserve">Apart from general information about the host country, such as the size of the country and population, other UN agencies (generally humanitarian aid agencies) appear to have considered such elements as financial structure (measured by salary levels), infrastructure (ICT connectivity), people’s skills and ability (human development index) and environment (political </w:t>
      </w:r>
      <w:r>
        <w:lastRenderedPageBreak/>
        <w:t xml:space="preserve">stability, flight availability, etc.).  In addition to these generic UN factors, it is useful to examine other factors particularly relevant to WIPO’s mission.  Recalling that WIPO encourages and promotes innovation and creativity through the IP system, the host country is expected to share the common goal. In this regard, the degree of innovation and creativity recently measured by the Global Innovation Index 2013 may be a good reference.  </w:t>
      </w:r>
    </w:p>
    <w:p w:rsidR="006B41E4" w:rsidRDefault="006B41E4" w:rsidP="006B41E4"/>
    <w:p w:rsidR="006B41E4" w:rsidRDefault="006B41E4" w:rsidP="006B41E4">
      <w:r>
        <w:fldChar w:fldCharType="begin"/>
      </w:r>
      <w:r>
        <w:instrText xml:space="preserve"> AUTONUM  </w:instrText>
      </w:r>
      <w:r>
        <w:fldChar w:fldCharType="end"/>
      </w:r>
      <w:r>
        <w:tab/>
        <w:t xml:space="preserve">In the case where Strategic Goal II, Provision of Premier Global IP Services is relevant to the host country concerned, the intensity of IP activities and the concentration of users of WIPO Global IP Services are relevant elements and the most authoritative and representative indicator may be the number of PCT applications.  </w:t>
      </w:r>
    </w:p>
    <w:p w:rsidR="006B41E4" w:rsidRDefault="006B41E4" w:rsidP="006B41E4"/>
    <w:p w:rsidR="006B41E4" w:rsidRDefault="006B41E4" w:rsidP="006B41E4">
      <w:r>
        <w:fldChar w:fldCharType="begin"/>
      </w:r>
      <w:r>
        <w:instrText xml:space="preserve"> AUTONUM  </w:instrText>
      </w:r>
      <w:r>
        <w:fldChar w:fldCharType="end"/>
      </w:r>
      <w:r>
        <w:tab/>
        <w:t>In the case where Strategic Goal III, Facilitating the Use of IP for Development is relevant to the host country concerned, certain elements concerning the delivery of technical assistance and capacity building are important to consider.  In this regard, the minimum technical infrastructure (such as Internet connectivity and stable supply of electricity) for this assistance, as measured by the Infrastructure index included in the Global Innovation Index could be useful.  A list of IPAS system users indicated above may be also relevant.</w:t>
      </w:r>
    </w:p>
    <w:p w:rsidR="006B41E4" w:rsidRDefault="006B41E4" w:rsidP="006B41E4"/>
    <w:p w:rsidR="006B41E4" w:rsidRDefault="006B41E4" w:rsidP="006B41E4">
      <w:r>
        <w:fldChar w:fldCharType="begin"/>
      </w:r>
      <w:r>
        <w:instrText xml:space="preserve"> AUTONUM  </w:instrText>
      </w:r>
      <w:r>
        <w:fldChar w:fldCharType="end"/>
      </w:r>
      <w:r>
        <w:tab/>
        <w:t xml:space="preserve">WIPO will continue to work with other UN specialized agencies, as described in the proposed Program and the Budget (see Program 20).  The presence of other UN organizations, in particular, those with which WIPO has strengthened collaboration, may facilitate the continued partnerships also through EOs.  In this regard, the location of other UN agencies such as ITU and WHO, as listed in the previous section could be relevant.  Based on the recent experience gained by the existing EOs, however, collaboration with other UN EOs in the field did not yield noteworthy results, mainly because the expertise required for technical assistance and capacity building in the field of IP could not be found except in WIPO itself. </w:t>
      </w:r>
    </w:p>
    <w:p w:rsidR="006B41E4" w:rsidRDefault="006B41E4" w:rsidP="006B41E4"/>
    <w:p w:rsidR="006B41E4" w:rsidRPr="002469FE" w:rsidRDefault="006B41E4" w:rsidP="006B41E4">
      <w:r w:rsidRPr="002469FE">
        <w:fldChar w:fldCharType="begin"/>
      </w:r>
      <w:r w:rsidRPr="002469FE">
        <w:instrText xml:space="preserve"> AUTONUM  </w:instrText>
      </w:r>
      <w:r w:rsidRPr="002469FE">
        <w:fldChar w:fldCharType="end"/>
      </w:r>
      <w:r w:rsidRPr="002469FE">
        <w:tab/>
        <w:t>To summarize, the following indicators may be useful to discuss criteria:</w:t>
      </w:r>
    </w:p>
    <w:p w:rsidR="006B41E4" w:rsidRPr="002469FE" w:rsidRDefault="006B41E4" w:rsidP="006B41E4"/>
    <w:p w:rsidR="006B41E4" w:rsidRPr="002469FE" w:rsidRDefault="006B41E4" w:rsidP="006B41E4">
      <w:pPr>
        <w:numPr>
          <w:ilvl w:val="0"/>
          <w:numId w:val="41"/>
        </w:numPr>
        <w:ind w:left="1134" w:hanging="594"/>
      </w:pPr>
      <w:r>
        <w:t>Global I</w:t>
      </w:r>
      <w:r w:rsidRPr="002469FE">
        <w:t xml:space="preserve">nnovation </w:t>
      </w:r>
      <w:r>
        <w:t>I</w:t>
      </w:r>
      <w:r w:rsidRPr="002469FE">
        <w:t>ndex;</w:t>
      </w:r>
    </w:p>
    <w:p w:rsidR="006B41E4" w:rsidRPr="002469FE" w:rsidRDefault="006B41E4" w:rsidP="006B41E4">
      <w:pPr>
        <w:numPr>
          <w:ilvl w:val="0"/>
          <w:numId w:val="41"/>
        </w:numPr>
        <w:ind w:left="1134" w:hanging="594"/>
      </w:pPr>
      <w:r w:rsidRPr="002469FE">
        <w:t>PCT applications;</w:t>
      </w:r>
    </w:p>
    <w:p w:rsidR="006B41E4" w:rsidRPr="002469FE" w:rsidRDefault="006B41E4" w:rsidP="006B41E4">
      <w:pPr>
        <w:numPr>
          <w:ilvl w:val="0"/>
          <w:numId w:val="41"/>
        </w:numPr>
        <w:ind w:left="1134" w:hanging="594"/>
      </w:pPr>
      <w:r w:rsidRPr="002469FE">
        <w:t>Infrastructure index;</w:t>
      </w:r>
    </w:p>
    <w:p w:rsidR="006B41E4" w:rsidRPr="002469FE" w:rsidRDefault="006B41E4" w:rsidP="006B41E4">
      <w:pPr>
        <w:numPr>
          <w:ilvl w:val="0"/>
          <w:numId w:val="41"/>
        </w:numPr>
        <w:ind w:left="1134" w:hanging="594"/>
      </w:pPr>
      <w:r>
        <w:t>T</w:t>
      </w:r>
      <w:r w:rsidRPr="002469FE">
        <w:t>ravel connectivity (represented by ranking of hub airports);</w:t>
      </w:r>
    </w:p>
    <w:p w:rsidR="006B41E4" w:rsidRPr="002469FE" w:rsidRDefault="006B41E4" w:rsidP="006B41E4">
      <w:pPr>
        <w:numPr>
          <w:ilvl w:val="0"/>
          <w:numId w:val="41"/>
        </w:numPr>
        <w:ind w:left="1134" w:hanging="594"/>
      </w:pPr>
      <w:r>
        <w:t>Institutional Considerations</w:t>
      </w:r>
      <w:r w:rsidRPr="002469FE">
        <w:t>.</w:t>
      </w:r>
    </w:p>
    <w:p w:rsidR="006B41E4" w:rsidRDefault="006B41E4" w:rsidP="006B41E4"/>
    <w:p w:rsidR="006B41E4" w:rsidRPr="002469FE" w:rsidRDefault="006B41E4" w:rsidP="006B41E4">
      <w:r>
        <w:fldChar w:fldCharType="begin"/>
      </w:r>
      <w:r>
        <w:instrText xml:space="preserve"> AUTONUM  </w:instrText>
      </w:r>
      <w:r>
        <w:fldChar w:fldCharType="end"/>
      </w:r>
      <w:r>
        <w:tab/>
      </w:r>
      <w:r w:rsidRPr="002469FE">
        <w:t>Without prejudice to the adoption of these indicators as criteria, the following table shows value of the indicators of each location by world rank.</w:t>
      </w:r>
    </w:p>
    <w:p w:rsidR="006B41E4" w:rsidRDefault="006B41E4" w:rsidP="006B41E4">
      <w:r>
        <w:br w:type="page"/>
      </w:r>
    </w:p>
    <w:p w:rsidR="006B41E4" w:rsidRPr="002469FE" w:rsidRDefault="006B41E4" w:rsidP="006B41E4">
      <w:pPr>
        <w:jc w:val="center"/>
      </w:pPr>
      <w:r w:rsidRPr="00BD19A4">
        <w:lastRenderedPageBreak/>
        <w:t>Table 1</w:t>
      </w:r>
      <w:r>
        <w:t>1</w:t>
      </w:r>
      <w:r w:rsidRPr="00BD19A4">
        <w:t>:</w:t>
      </w:r>
      <w:r>
        <w:t xml:space="preserve">  Locations and their positions in the respective world ranking</w:t>
      </w:r>
    </w:p>
    <w:p w:rsidR="006B41E4" w:rsidRPr="002469FE" w:rsidRDefault="006B41E4" w:rsidP="006B41E4"/>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810"/>
        <w:gridCol w:w="810"/>
        <w:gridCol w:w="810"/>
        <w:gridCol w:w="810"/>
        <w:gridCol w:w="810"/>
        <w:gridCol w:w="810"/>
        <w:gridCol w:w="810"/>
        <w:gridCol w:w="810"/>
        <w:gridCol w:w="810"/>
      </w:tblGrid>
      <w:tr w:rsidR="006B41E4" w:rsidRPr="002469FE" w:rsidTr="006B41E4">
        <w:trPr>
          <w:trHeight w:val="485"/>
        </w:trPr>
        <w:tc>
          <w:tcPr>
            <w:tcW w:w="2700" w:type="dxa"/>
            <w:gridSpan w:val="2"/>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 xml:space="preserve">Countries </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A</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B</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C</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D</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E</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F</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G</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H</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center"/>
              <w:rPr>
                <w:rFonts w:eastAsia="Times New Roman"/>
                <w:sz w:val="20"/>
                <w:lang w:eastAsia="en-US"/>
              </w:rPr>
            </w:pPr>
          </w:p>
          <w:p w:rsidR="006B41E4" w:rsidRPr="002469FE" w:rsidRDefault="006B41E4" w:rsidP="006B41E4">
            <w:pPr>
              <w:jc w:val="center"/>
              <w:rPr>
                <w:rFonts w:eastAsia="Times New Roman"/>
                <w:sz w:val="20"/>
                <w:lang w:eastAsia="en-US"/>
              </w:rPr>
            </w:pPr>
            <w:r w:rsidRPr="002469FE">
              <w:rPr>
                <w:rFonts w:eastAsia="Times New Roman"/>
                <w:sz w:val="20"/>
                <w:lang w:eastAsia="en-US"/>
              </w:rPr>
              <w:t>I</w:t>
            </w:r>
          </w:p>
        </w:tc>
      </w:tr>
      <w:tr w:rsidR="006B41E4" w:rsidRPr="002469FE" w:rsidTr="006B41E4">
        <w:tc>
          <w:tcPr>
            <w:tcW w:w="1260" w:type="dxa"/>
            <w:vMerge w:val="restart"/>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Africa</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Algeria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140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93</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Cameroon</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r>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150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126</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Egypt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29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114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112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66</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Ethiopia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28</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137</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173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113</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Morocco</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107</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87</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Nigeria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139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153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133</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Senegal</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154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104</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South Africa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27</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83</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Tunisia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81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68</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Zimbabwe</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60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172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132</w:t>
            </w:r>
          </w:p>
        </w:tc>
      </w:tr>
      <w:tr w:rsidR="006B41E4" w:rsidRPr="002469FE" w:rsidTr="006B41E4">
        <w:tc>
          <w:tcPr>
            <w:tcW w:w="1260" w:type="dxa"/>
            <w:vMerge w:val="restart"/>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Asia and the Pacific</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Bangladesh</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94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131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134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146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109</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China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35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44</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India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136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89</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Jordan</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110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90</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Rep. Korea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w:t>
            </w:r>
            <w:r>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Turkey</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36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117</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73</w:t>
            </w:r>
          </w:p>
        </w:tc>
      </w:tr>
      <w:tr w:rsidR="006B41E4" w:rsidRPr="002469FE" w:rsidTr="006B41E4">
        <w:tc>
          <w:tcPr>
            <w:tcW w:w="1260" w:type="dxa"/>
            <w:vMerge w:val="restart"/>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Countries in transition</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Romania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35</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Russia</w:t>
            </w:r>
            <w:r>
              <w:rPr>
                <w:rFonts w:eastAsia="Times New Roman"/>
                <w:sz w:val="20"/>
                <w:lang w:eastAsia="en-US"/>
              </w:rPr>
              <w:t>n</w:t>
            </w:r>
            <w:r w:rsidRPr="002469FE">
              <w:rPr>
                <w:rFonts w:eastAsia="Times New Roman"/>
                <w:sz w:val="20"/>
                <w:lang w:eastAsia="en-US"/>
              </w:rPr>
              <w:t xml:space="preserve"> Fed.</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Pr>
                <w:rFonts w:eastAsia="Times New Roman"/>
                <w:sz w:val="20"/>
                <w:lang w:eastAsia="en-US"/>
              </w:rPr>
              <w:t>62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101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113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49</w:t>
            </w:r>
          </w:p>
        </w:tc>
      </w:tr>
      <w:tr w:rsidR="006B41E4" w:rsidRPr="002469FE" w:rsidTr="006B41E4">
        <w:tc>
          <w:tcPr>
            <w:tcW w:w="1260" w:type="dxa"/>
            <w:vMerge w:val="restart"/>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Latin America and the Caribbean</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Chile</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37</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39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40</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Mexico</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33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57</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Panama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116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129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86</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62</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Peru</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77</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64</w:t>
            </w:r>
          </w:p>
        </w:tc>
      </w:tr>
      <w:tr w:rsidR="006B41E4" w:rsidRPr="002469FE" w:rsidTr="006B41E4">
        <w:tc>
          <w:tcPr>
            <w:tcW w:w="126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America</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USA</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44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17</w:t>
            </w:r>
          </w:p>
        </w:tc>
      </w:tr>
      <w:tr w:rsidR="006B41E4" w:rsidRPr="002469FE" w:rsidTr="006B41E4">
        <w:tc>
          <w:tcPr>
            <w:tcW w:w="1260" w:type="dxa"/>
            <w:vMerge w:val="restart"/>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Existing EOs</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Brazil</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64</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72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71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85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51</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Japan</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61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63</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21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5</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9</w:t>
            </w:r>
          </w:p>
        </w:tc>
      </w:tr>
      <w:tr w:rsidR="006B41E4" w:rsidRPr="002469FE" w:rsidTr="006B41E4">
        <w:tc>
          <w:tcPr>
            <w:tcW w:w="2700" w:type="dxa"/>
            <w:vMerge/>
            <w:tcBorders>
              <w:top w:val="single" w:sz="4" w:space="0" w:color="auto"/>
              <w:left w:val="single" w:sz="4" w:space="0" w:color="auto"/>
              <w:bottom w:val="single" w:sz="4" w:space="0" w:color="auto"/>
              <w:right w:val="single" w:sz="4" w:space="0" w:color="auto"/>
            </w:tcBorders>
            <w:vAlign w:val="center"/>
            <w:hideMark/>
          </w:tcPr>
          <w:p w:rsidR="006B41E4" w:rsidRPr="002469FE" w:rsidRDefault="006B41E4" w:rsidP="006B41E4">
            <w:pPr>
              <w:rPr>
                <w:rFonts w:eastAsia="Times New Roman"/>
                <w:sz w:val="20"/>
                <w:lang w:eastAsia="en-US"/>
              </w:rPr>
            </w:pP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Singapore</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184</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115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40</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22</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10</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18</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6</w:t>
            </w:r>
          </w:p>
        </w:tc>
      </w:tr>
      <w:tr w:rsidR="006B41E4" w:rsidRPr="002469FE" w:rsidTr="006B41E4">
        <w:tc>
          <w:tcPr>
            <w:tcW w:w="126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HQ</w:t>
            </w:r>
          </w:p>
        </w:tc>
        <w:tc>
          <w:tcPr>
            <w:tcW w:w="144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rPr>
                <w:rFonts w:eastAsia="Times New Roman"/>
                <w:sz w:val="20"/>
                <w:lang w:eastAsia="en-US"/>
              </w:rPr>
            </w:pPr>
            <w:r w:rsidRPr="002469FE">
              <w:rPr>
                <w:rFonts w:eastAsia="Times New Roman"/>
                <w:sz w:val="20"/>
                <w:lang w:eastAsia="en-US"/>
              </w:rPr>
              <w:t>Switzerland</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1</w:t>
            </w:r>
            <w:r>
              <w:rPr>
                <w:rFonts w:eastAsia="Times New Roman"/>
                <w:sz w:val="20"/>
                <w:lang w:eastAsia="en-US"/>
              </w:rPr>
              <w:t>31</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95</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1</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2</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6</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Pr>
                <w:rFonts w:eastAsia="Times New Roman"/>
                <w:sz w:val="20"/>
                <w:lang w:eastAsia="en-US"/>
              </w:rPr>
              <w:t>-</w:t>
            </w:r>
          </w:p>
        </w:tc>
        <w:tc>
          <w:tcPr>
            <w:tcW w:w="810" w:type="dxa"/>
            <w:tcBorders>
              <w:top w:val="single" w:sz="4" w:space="0" w:color="auto"/>
              <w:left w:val="single" w:sz="4" w:space="0" w:color="auto"/>
              <w:bottom w:val="single" w:sz="4" w:space="0" w:color="auto"/>
              <w:right w:val="single" w:sz="4" w:space="0" w:color="auto"/>
            </w:tcBorders>
            <w:hideMark/>
          </w:tcPr>
          <w:p w:rsidR="006B41E4" w:rsidRPr="002469FE" w:rsidRDefault="006B41E4" w:rsidP="006B41E4">
            <w:pPr>
              <w:jc w:val="right"/>
              <w:rPr>
                <w:rFonts w:eastAsia="Times New Roman"/>
                <w:sz w:val="20"/>
                <w:lang w:eastAsia="en-US"/>
              </w:rPr>
            </w:pPr>
            <w:r w:rsidRPr="002469FE">
              <w:rPr>
                <w:rFonts w:eastAsia="Times New Roman"/>
                <w:sz w:val="20"/>
                <w:lang w:eastAsia="en-US"/>
              </w:rPr>
              <w:t>9</w:t>
            </w:r>
          </w:p>
        </w:tc>
        <w:tc>
          <w:tcPr>
            <w:tcW w:w="810" w:type="dxa"/>
            <w:tcBorders>
              <w:top w:val="single" w:sz="4" w:space="0" w:color="auto"/>
              <w:left w:val="single" w:sz="4" w:space="0" w:color="auto"/>
              <w:bottom w:val="single" w:sz="4" w:space="0" w:color="auto"/>
              <w:right w:val="single" w:sz="4" w:space="0" w:color="auto"/>
            </w:tcBorders>
          </w:tcPr>
          <w:p w:rsidR="006B41E4" w:rsidRPr="002469FE" w:rsidRDefault="006B41E4" w:rsidP="006B41E4">
            <w:pPr>
              <w:jc w:val="right"/>
              <w:rPr>
                <w:rFonts w:eastAsia="Times New Roman"/>
                <w:sz w:val="20"/>
                <w:lang w:eastAsia="en-US"/>
              </w:rPr>
            </w:pPr>
            <w:r w:rsidRPr="002469FE">
              <w:rPr>
                <w:rFonts w:eastAsia="Times New Roman"/>
                <w:sz w:val="20"/>
                <w:lang w:eastAsia="en-US"/>
              </w:rPr>
              <w:t>8</w:t>
            </w:r>
          </w:p>
        </w:tc>
      </w:tr>
    </w:tbl>
    <w:p w:rsidR="006B41E4" w:rsidRPr="002469FE" w:rsidRDefault="006B41E4" w:rsidP="006B41E4">
      <w:pPr>
        <w:jc w:val="both"/>
      </w:pPr>
    </w:p>
    <w:p w:rsidR="006B41E4" w:rsidRPr="002469FE" w:rsidRDefault="006B41E4" w:rsidP="006B41E4">
      <w:pPr>
        <w:tabs>
          <w:tab w:val="left" w:pos="426"/>
        </w:tabs>
      </w:pPr>
      <w:r w:rsidRPr="002469FE">
        <w:t>A:</w:t>
      </w:r>
      <w:r>
        <w:tab/>
        <w:t>W</w:t>
      </w:r>
      <w:r w:rsidRPr="002469FE">
        <w:t>orld rank by surface area (World Bank data)</w:t>
      </w:r>
    </w:p>
    <w:p w:rsidR="006B41E4" w:rsidRPr="002469FE" w:rsidRDefault="006B41E4" w:rsidP="006B41E4">
      <w:pPr>
        <w:tabs>
          <w:tab w:val="left" w:pos="426"/>
        </w:tabs>
      </w:pPr>
      <w:r w:rsidRPr="002469FE">
        <w:t>B:</w:t>
      </w:r>
      <w:r>
        <w:tab/>
      </w:r>
      <w:r w:rsidRPr="002469FE">
        <w:t>World rank by population (World Bank data)</w:t>
      </w:r>
    </w:p>
    <w:p w:rsidR="006B41E4" w:rsidRPr="002469FE" w:rsidRDefault="006B41E4" w:rsidP="006B41E4">
      <w:pPr>
        <w:tabs>
          <w:tab w:val="left" w:pos="426"/>
        </w:tabs>
      </w:pPr>
      <w:r w:rsidRPr="002469FE">
        <w:t>C:</w:t>
      </w:r>
      <w:r>
        <w:tab/>
      </w:r>
      <w:r w:rsidRPr="002469FE">
        <w:t xml:space="preserve">World rank by </w:t>
      </w:r>
      <w:r>
        <w:t>Innovation I</w:t>
      </w:r>
      <w:r w:rsidRPr="002469FE">
        <w:t xml:space="preserve">ndex (The Global Innovation Index 2013) </w:t>
      </w:r>
    </w:p>
    <w:p w:rsidR="006B41E4" w:rsidRPr="002469FE" w:rsidRDefault="006B41E4" w:rsidP="006B41E4">
      <w:pPr>
        <w:tabs>
          <w:tab w:val="left" w:pos="426"/>
        </w:tabs>
      </w:pPr>
      <w:r>
        <w:t>D:</w:t>
      </w:r>
      <w:r>
        <w:tab/>
      </w:r>
      <w:r w:rsidRPr="002469FE">
        <w:t>World rank by creative outputs (The Global Innovation Index 2013)</w:t>
      </w:r>
    </w:p>
    <w:p w:rsidR="006B41E4" w:rsidRPr="002469FE" w:rsidRDefault="006B41E4" w:rsidP="006B41E4">
      <w:pPr>
        <w:tabs>
          <w:tab w:val="left" w:pos="426"/>
        </w:tabs>
      </w:pPr>
      <w:r>
        <w:t>E:</w:t>
      </w:r>
      <w:r>
        <w:tab/>
      </w:r>
      <w:r w:rsidRPr="002469FE">
        <w:t>World rank by PCT applications in 2012 (WIPO Country Database, WIPO)</w:t>
      </w:r>
      <w:r w:rsidRPr="002469FE">
        <w:br/>
        <w:t>F:</w:t>
      </w:r>
      <w:r>
        <w:tab/>
      </w:r>
      <w:r w:rsidRPr="002469FE">
        <w:t xml:space="preserve">Political </w:t>
      </w:r>
      <w:r>
        <w:t>Stability I</w:t>
      </w:r>
      <w:r w:rsidRPr="002469FE">
        <w:t>ndicator (The Global Innovation Index 2013)</w:t>
      </w:r>
      <w:r w:rsidRPr="002469FE">
        <w:br/>
        <w:t>G:</w:t>
      </w:r>
      <w:r>
        <w:tab/>
      </w:r>
      <w:r w:rsidRPr="002469FE">
        <w:t xml:space="preserve">World rank of airports by Airports Council International (the airport located in the capital) </w:t>
      </w:r>
      <w:r w:rsidRPr="002469FE">
        <w:br/>
        <w:t>H:</w:t>
      </w:r>
      <w:r>
        <w:tab/>
      </w:r>
      <w:r w:rsidRPr="002469FE">
        <w:t xml:space="preserve">Human Development Index (UNDP 2013) </w:t>
      </w:r>
      <w:r w:rsidRPr="002469FE">
        <w:br/>
      </w:r>
      <w:r>
        <w:t xml:space="preserve"> </w:t>
      </w:r>
      <w:r w:rsidRPr="002469FE">
        <w:t>I:</w:t>
      </w:r>
      <w:r>
        <w:tab/>
        <w:t>Infrastructure I</w:t>
      </w:r>
      <w:r w:rsidRPr="002469FE">
        <w:t>ndex (The Global Innovation Index 2013)</w:t>
      </w:r>
      <w:r w:rsidRPr="002469FE">
        <w:br/>
      </w:r>
    </w:p>
    <w:p w:rsidR="006B41E4" w:rsidRPr="002469FE" w:rsidRDefault="006B41E4" w:rsidP="006B41E4"/>
    <w:p w:rsidR="006B41E4" w:rsidRPr="00101F76" w:rsidRDefault="006B41E4" w:rsidP="006B41E4">
      <w:pPr>
        <w:pStyle w:val="Heading2"/>
      </w:pPr>
      <w:bookmarkStart w:id="39" w:name="_Toc362612240"/>
      <w:r w:rsidRPr="00101F76">
        <w:t>Analysis of the five proposed EOs</w:t>
      </w:r>
      <w:bookmarkEnd w:id="39"/>
    </w:p>
    <w:p w:rsidR="006B41E4" w:rsidRDefault="006B41E4" w:rsidP="006B41E4"/>
    <w:p w:rsidR="006B41E4" w:rsidRDefault="006B41E4" w:rsidP="006B41E4">
      <w:r>
        <w:fldChar w:fldCharType="begin"/>
      </w:r>
      <w:r>
        <w:instrText xml:space="preserve"> AUTONUM  </w:instrText>
      </w:r>
      <w:r>
        <w:fldChar w:fldCharType="end"/>
      </w:r>
      <w:r>
        <w:tab/>
      </w:r>
      <w:r w:rsidRPr="004C252F">
        <w:t xml:space="preserve">The five </w:t>
      </w:r>
      <w:r>
        <w:t>proposed</w:t>
      </w:r>
      <w:r w:rsidRPr="004C252F">
        <w:t xml:space="preserve"> EOs will have general strategic objectives and specific priorities to respond to local needs.  General objectives are to contribute to all strategic goals of the Organization. Without prejudice to the outcome of the consultation, strategic objectives of the five proposed offices may correspond to the following WIPO strategic goals.</w:t>
      </w:r>
    </w:p>
    <w:p w:rsidR="006B41E4" w:rsidRPr="003A1B94" w:rsidRDefault="006B41E4" w:rsidP="006B41E4"/>
    <w:p w:rsidR="006B41E4" w:rsidRDefault="006B41E4" w:rsidP="006B41E4">
      <w:pPr>
        <w:rPr>
          <w:i/>
        </w:rPr>
      </w:pPr>
      <w:r>
        <w:rPr>
          <w:i/>
        </w:rPr>
        <w:br w:type="page"/>
      </w:r>
    </w:p>
    <w:p w:rsidR="006B41E4" w:rsidRDefault="006B41E4" w:rsidP="006B41E4">
      <w:pPr>
        <w:jc w:val="center"/>
      </w:pPr>
      <w:r>
        <w:lastRenderedPageBreak/>
        <w:t xml:space="preserve">Table 12:  The links between Objectives of the Proposed EOs and WIPO Strategic Goals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1250"/>
        <w:gridCol w:w="1251"/>
        <w:gridCol w:w="1268"/>
        <w:gridCol w:w="1160"/>
      </w:tblGrid>
      <w:tr w:rsidR="006B41E4" w:rsidTr="006B41E4">
        <w:tc>
          <w:tcPr>
            <w:tcW w:w="4698" w:type="dxa"/>
            <w:shd w:val="clear" w:color="auto" w:fill="auto"/>
          </w:tcPr>
          <w:p w:rsidR="006B41E4" w:rsidRDefault="006B41E4" w:rsidP="006B41E4">
            <w:pPr>
              <w:jc w:val="center"/>
            </w:pPr>
            <w:r>
              <w:t>Strategic Goals</w:t>
            </w:r>
          </w:p>
        </w:tc>
        <w:tc>
          <w:tcPr>
            <w:tcW w:w="1260" w:type="dxa"/>
            <w:shd w:val="clear" w:color="auto" w:fill="auto"/>
          </w:tcPr>
          <w:p w:rsidR="006B41E4" w:rsidRDefault="006B41E4" w:rsidP="006B41E4">
            <w:pPr>
              <w:jc w:val="center"/>
            </w:pPr>
            <w:r>
              <w:t>Africa</w:t>
            </w:r>
          </w:p>
        </w:tc>
        <w:tc>
          <w:tcPr>
            <w:tcW w:w="1260" w:type="dxa"/>
            <w:shd w:val="clear" w:color="auto" w:fill="auto"/>
          </w:tcPr>
          <w:p w:rsidR="006B41E4" w:rsidRDefault="006B41E4" w:rsidP="006B41E4">
            <w:pPr>
              <w:jc w:val="center"/>
            </w:pPr>
            <w:r>
              <w:t>China</w:t>
            </w:r>
          </w:p>
        </w:tc>
        <w:tc>
          <w:tcPr>
            <w:tcW w:w="1170" w:type="dxa"/>
            <w:shd w:val="clear" w:color="auto" w:fill="auto"/>
          </w:tcPr>
          <w:p w:rsidR="006B41E4" w:rsidRDefault="006B41E4" w:rsidP="006B41E4">
            <w:pPr>
              <w:jc w:val="center"/>
            </w:pPr>
            <w:r>
              <w:t xml:space="preserve">Russian Federation </w:t>
            </w:r>
          </w:p>
        </w:tc>
        <w:tc>
          <w:tcPr>
            <w:tcW w:w="1170" w:type="dxa"/>
          </w:tcPr>
          <w:p w:rsidR="006B41E4" w:rsidRDefault="006B41E4" w:rsidP="006B41E4">
            <w:pPr>
              <w:jc w:val="center"/>
            </w:pPr>
            <w:r>
              <w:t>USA</w:t>
            </w:r>
          </w:p>
        </w:tc>
      </w:tr>
      <w:tr w:rsidR="006B41E4" w:rsidTr="006B41E4">
        <w:tc>
          <w:tcPr>
            <w:tcW w:w="4698" w:type="dxa"/>
            <w:shd w:val="clear" w:color="auto" w:fill="auto"/>
          </w:tcPr>
          <w:p w:rsidR="006B41E4" w:rsidRDefault="006B41E4" w:rsidP="006B41E4">
            <w:pPr>
              <w:jc w:val="center"/>
            </w:pPr>
            <w:r>
              <w:t>II Provision of Premier Global IP Services</w:t>
            </w:r>
          </w:p>
        </w:tc>
        <w:tc>
          <w:tcPr>
            <w:tcW w:w="1260" w:type="dxa"/>
            <w:shd w:val="clear" w:color="auto" w:fill="auto"/>
          </w:tcPr>
          <w:p w:rsidR="006B41E4" w:rsidRDefault="006B41E4" w:rsidP="006B41E4">
            <w:pPr>
              <w:jc w:val="center"/>
            </w:pPr>
          </w:p>
        </w:tc>
        <w:tc>
          <w:tcPr>
            <w:tcW w:w="1260" w:type="dxa"/>
            <w:shd w:val="clear" w:color="auto" w:fill="auto"/>
          </w:tcPr>
          <w:p w:rsidR="006B41E4" w:rsidRDefault="006B41E4" w:rsidP="006B41E4">
            <w:pPr>
              <w:jc w:val="center"/>
            </w:pPr>
            <w:r>
              <w:t>x</w:t>
            </w:r>
          </w:p>
        </w:tc>
        <w:tc>
          <w:tcPr>
            <w:tcW w:w="1170" w:type="dxa"/>
            <w:shd w:val="clear" w:color="auto" w:fill="auto"/>
          </w:tcPr>
          <w:p w:rsidR="006B41E4" w:rsidRDefault="006B41E4" w:rsidP="006B41E4">
            <w:pPr>
              <w:jc w:val="center"/>
            </w:pPr>
            <w:r>
              <w:t>x</w:t>
            </w:r>
          </w:p>
        </w:tc>
        <w:tc>
          <w:tcPr>
            <w:tcW w:w="1170" w:type="dxa"/>
          </w:tcPr>
          <w:p w:rsidR="006B41E4" w:rsidRDefault="006B41E4" w:rsidP="006B41E4">
            <w:pPr>
              <w:jc w:val="center"/>
            </w:pPr>
            <w:r>
              <w:t>x</w:t>
            </w:r>
          </w:p>
        </w:tc>
      </w:tr>
      <w:tr w:rsidR="006B41E4" w:rsidTr="006B41E4">
        <w:tc>
          <w:tcPr>
            <w:tcW w:w="4698" w:type="dxa"/>
            <w:shd w:val="clear" w:color="auto" w:fill="auto"/>
          </w:tcPr>
          <w:p w:rsidR="006B41E4" w:rsidRDefault="006B41E4" w:rsidP="006B41E4">
            <w:pPr>
              <w:jc w:val="center"/>
            </w:pPr>
            <w:r>
              <w:t xml:space="preserve">III Facilitating the Use of IP for Development </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170" w:type="dxa"/>
            <w:shd w:val="clear" w:color="auto" w:fill="auto"/>
          </w:tcPr>
          <w:p w:rsidR="006B41E4" w:rsidRDefault="006B41E4" w:rsidP="006B41E4">
            <w:pPr>
              <w:jc w:val="center"/>
            </w:pPr>
            <w:r>
              <w:t>x</w:t>
            </w:r>
          </w:p>
        </w:tc>
        <w:tc>
          <w:tcPr>
            <w:tcW w:w="1170" w:type="dxa"/>
          </w:tcPr>
          <w:p w:rsidR="006B41E4" w:rsidRDefault="006B41E4" w:rsidP="006B41E4">
            <w:pPr>
              <w:jc w:val="center"/>
            </w:pPr>
          </w:p>
        </w:tc>
      </w:tr>
      <w:tr w:rsidR="006B41E4" w:rsidTr="006B41E4">
        <w:tc>
          <w:tcPr>
            <w:tcW w:w="4698" w:type="dxa"/>
            <w:shd w:val="clear" w:color="auto" w:fill="auto"/>
          </w:tcPr>
          <w:p w:rsidR="006B41E4" w:rsidRDefault="006B41E4" w:rsidP="006B41E4">
            <w:pPr>
              <w:jc w:val="center"/>
            </w:pPr>
            <w:r>
              <w:t>IV Coordination and Development of Global IP Infrastructure</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170" w:type="dxa"/>
            <w:shd w:val="clear" w:color="auto" w:fill="auto"/>
          </w:tcPr>
          <w:p w:rsidR="006B41E4" w:rsidRDefault="006B41E4" w:rsidP="006B41E4">
            <w:pPr>
              <w:jc w:val="center"/>
            </w:pPr>
            <w:r>
              <w:t>x</w:t>
            </w:r>
          </w:p>
        </w:tc>
        <w:tc>
          <w:tcPr>
            <w:tcW w:w="1170" w:type="dxa"/>
          </w:tcPr>
          <w:p w:rsidR="006B41E4" w:rsidRDefault="006B41E4" w:rsidP="006B41E4">
            <w:pPr>
              <w:jc w:val="center"/>
            </w:pPr>
            <w:r>
              <w:t>x</w:t>
            </w:r>
          </w:p>
        </w:tc>
      </w:tr>
      <w:tr w:rsidR="006B41E4" w:rsidTr="006B41E4">
        <w:tc>
          <w:tcPr>
            <w:tcW w:w="4698" w:type="dxa"/>
            <w:shd w:val="clear" w:color="auto" w:fill="auto"/>
          </w:tcPr>
          <w:p w:rsidR="006B41E4" w:rsidRDefault="006B41E4" w:rsidP="006B41E4">
            <w:pPr>
              <w:jc w:val="center"/>
            </w:pPr>
            <w:r>
              <w:t>VII Addressing IP in Relation to Global Policy Issues</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170" w:type="dxa"/>
            <w:shd w:val="clear" w:color="auto" w:fill="auto"/>
          </w:tcPr>
          <w:p w:rsidR="006B41E4" w:rsidRDefault="006B41E4" w:rsidP="006B41E4">
            <w:pPr>
              <w:jc w:val="center"/>
            </w:pPr>
            <w:r>
              <w:t>x</w:t>
            </w:r>
          </w:p>
        </w:tc>
        <w:tc>
          <w:tcPr>
            <w:tcW w:w="1170" w:type="dxa"/>
          </w:tcPr>
          <w:p w:rsidR="006B41E4" w:rsidRDefault="006B41E4" w:rsidP="006B41E4">
            <w:pPr>
              <w:jc w:val="center"/>
            </w:pPr>
            <w:r>
              <w:t>x</w:t>
            </w:r>
          </w:p>
        </w:tc>
      </w:tr>
      <w:tr w:rsidR="006B41E4" w:rsidTr="006B41E4">
        <w:tc>
          <w:tcPr>
            <w:tcW w:w="4698" w:type="dxa"/>
            <w:shd w:val="clear" w:color="auto" w:fill="auto"/>
          </w:tcPr>
          <w:p w:rsidR="006B41E4" w:rsidRDefault="006B41E4" w:rsidP="006B41E4">
            <w:pPr>
              <w:jc w:val="center"/>
            </w:pPr>
            <w:r>
              <w:t>VIII A Responsive Communications Interface between WIPO, its Member States and All Stakeholders</w:t>
            </w:r>
          </w:p>
        </w:tc>
        <w:tc>
          <w:tcPr>
            <w:tcW w:w="1260" w:type="dxa"/>
            <w:shd w:val="clear" w:color="auto" w:fill="auto"/>
          </w:tcPr>
          <w:p w:rsidR="006B41E4" w:rsidRDefault="006B41E4" w:rsidP="006B41E4">
            <w:pPr>
              <w:jc w:val="center"/>
            </w:pPr>
            <w:r>
              <w:t>x</w:t>
            </w:r>
          </w:p>
        </w:tc>
        <w:tc>
          <w:tcPr>
            <w:tcW w:w="1260" w:type="dxa"/>
            <w:shd w:val="clear" w:color="auto" w:fill="auto"/>
          </w:tcPr>
          <w:p w:rsidR="006B41E4" w:rsidRDefault="006B41E4" w:rsidP="006B41E4">
            <w:pPr>
              <w:jc w:val="center"/>
            </w:pPr>
            <w:r>
              <w:t>x</w:t>
            </w:r>
          </w:p>
        </w:tc>
        <w:tc>
          <w:tcPr>
            <w:tcW w:w="1170" w:type="dxa"/>
            <w:shd w:val="clear" w:color="auto" w:fill="auto"/>
          </w:tcPr>
          <w:p w:rsidR="006B41E4" w:rsidRDefault="006B41E4" w:rsidP="006B41E4">
            <w:pPr>
              <w:jc w:val="center"/>
            </w:pPr>
            <w:r>
              <w:t>x</w:t>
            </w:r>
          </w:p>
        </w:tc>
        <w:tc>
          <w:tcPr>
            <w:tcW w:w="1170" w:type="dxa"/>
          </w:tcPr>
          <w:p w:rsidR="006B41E4" w:rsidRDefault="006B41E4" w:rsidP="006B41E4">
            <w:pPr>
              <w:jc w:val="center"/>
            </w:pPr>
            <w:r>
              <w:t>x</w:t>
            </w:r>
          </w:p>
        </w:tc>
      </w:tr>
    </w:tbl>
    <w:p w:rsidR="006B41E4" w:rsidRPr="00EF0F61" w:rsidRDefault="006B41E4" w:rsidP="006B41E4"/>
    <w:p w:rsidR="006B41E4" w:rsidRPr="003C0235" w:rsidRDefault="006B41E4" w:rsidP="006B41E4">
      <w:pPr>
        <w:rPr>
          <w:szCs w:val="22"/>
        </w:rPr>
      </w:pPr>
      <w:r w:rsidRPr="00EF0F61">
        <w:fldChar w:fldCharType="begin"/>
      </w:r>
      <w:r w:rsidRPr="00EF0F61">
        <w:instrText xml:space="preserve"> AUTONUM  </w:instrText>
      </w:r>
      <w:r w:rsidRPr="00EF0F61">
        <w:fldChar w:fldCharType="end"/>
      </w:r>
      <w:r w:rsidRPr="00EF0F61">
        <w:tab/>
      </w:r>
      <w:r>
        <w:t>As summarized in paragraph 82</w:t>
      </w:r>
      <w:r w:rsidRPr="00DC32D3">
        <w:t xml:space="preserve">, </w:t>
      </w:r>
      <w:r>
        <w:t>the existing EOs have added value and not duplicated</w:t>
      </w:r>
      <w:r w:rsidRPr="00DC32D3">
        <w:t xml:space="preserve"> work performed at HQ</w:t>
      </w:r>
      <w:r>
        <w:t xml:space="preserve"> in five areas.  It is expected that the proposed EOs will achieve similar results by caring out the following five functions and d</w:t>
      </w:r>
      <w:r w:rsidRPr="00DC32D3">
        <w:t>epending on the local priorities and objectives of each EO, some or all of the five functions are carried out.  For instance, apart from the third function which is a new proposition, the existing offices perform all the other four functions. As regards the third function (the administration of mirror sites for the Organization’s I</w:t>
      </w:r>
      <w:r>
        <w:t>C</w:t>
      </w:r>
      <w:r w:rsidRPr="00DC32D3">
        <w:t>T systems and the delivery of services in case of disruption of services at WIPO HQ in Geneva), it is expected that two EOs should be able to function as back-ups and additional capabilities of redundancy which should constitute a dynamic and resilient network of institutions in the world. In summary, five functions indicated below are cumulative and supplementary to the functions of WIPO HQ.</w:t>
      </w:r>
    </w:p>
    <w:p w:rsidR="006B41E4" w:rsidRPr="003C0235" w:rsidRDefault="006B41E4" w:rsidP="006B41E4">
      <w:pPr>
        <w:rPr>
          <w:szCs w:val="22"/>
        </w:rPr>
      </w:pPr>
    </w:p>
    <w:p w:rsidR="006B41E4" w:rsidRPr="003C0235" w:rsidRDefault="006B41E4" w:rsidP="006B41E4">
      <w:pPr>
        <w:numPr>
          <w:ilvl w:val="0"/>
          <w:numId w:val="36"/>
        </w:numPr>
        <w:ind w:left="1134" w:hanging="567"/>
        <w:rPr>
          <w:szCs w:val="22"/>
        </w:rPr>
      </w:pPr>
      <w:r w:rsidRPr="003C0235">
        <w:rPr>
          <w:szCs w:val="22"/>
        </w:rPr>
        <w:t>local support services for WIPO’S Global IP Systems;</w:t>
      </w:r>
    </w:p>
    <w:p w:rsidR="006B41E4" w:rsidRPr="003C0235" w:rsidRDefault="006B41E4" w:rsidP="006B41E4">
      <w:pPr>
        <w:numPr>
          <w:ilvl w:val="0"/>
          <w:numId w:val="36"/>
        </w:numPr>
        <w:ind w:left="1134" w:hanging="567"/>
        <w:rPr>
          <w:szCs w:val="22"/>
        </w:rPr>
      </w:pPr>
      <w:r w:rsidRPr="003C0235">
        <w:rPr>
          <w:szCs w:val="22"/>
        </w:rPr>
        <w:t>to provide support for WIPO’s general customer response network;</w:t>
      </w:r>
    </w:p>
    <w:p w:rsidR="006B41E4" w:rsidRPr="003C0235" w:rsidRDefault="006B41E4" w:rsidP="006B41E4">
      <w:pPr>
        <w:numPr>
          <w:ilvl w:val="0"/>
          <w:numId w:val="36"/>
        </w:numPr>
        <w:ind w:left="1134" w:hanging="567"/>
        <w:rPr>
          <w:szCs w:val="22"/>
        </w:rPr>
      </w:pPr>
      <w:r w:rsidRPr="003C0235">
        <w:rPr>
          <w:szCs w:val="22"/>
        </w:rPr>
        <w:t xml:space="preserve">the administration of </w:t>
      </w:r>
      <w:r>
        <w:rPr>
          <w:szCs w:val="22"/>
        </w:rPr>
        <w:t xml:space="preserve">the requisite redundancy capacity and/or </w:t>
      </w:r>
      <w:r w:rsidRPr="003C0235">
        <w:rPr>
          <w:szCs w:val="22"/>
        </w:rPr>
        <w:t>mirror sites for the Organization’s I</w:t>
      </w:r>
      <w:r>
        <w:rPr>
          <w:szCs w:val="22"/>
        </w:rPr>
        <w:t>C</w:t>
      </w:r>
      <w:r w:rsidRPr="003C0235">
        <w:rPr>
          <w:szCs w:val="22"/>
        </w:rPr>
        <w:t>T systems, platforms and databases of the purposes of I</w:t>
      </w:r>
      <w:r>
        <w:rPr>
          <w:szCs w:val="22"/>
        </w:rPr>
        <w:t>C</w:t>
      </w:r>
      <w:r w:rsidRPr="003C0235">
        <w:rPr>
          <w:szCs w:val="22"/>
        </w:rPr>
        <w:t>T security, business continuity, disaster recovery and load-sharing;</w:t>
      </w:r>
    </w:p>
    <w:p w:rsidR="006B41E4" w:rsidRPr="003C0235" w:rsidRDefault="006B41E4" w:rsidP="006B41E4">
      <w:pPr>
        <w:numPr>
          <w:ilvl w:val="0"/>
          <w:numId w:val="36"/>
        </w:numPr>
        <w:ind w:left="1134" w:hanging="567"/>
        <w:rPr>
          <w:szCs w:val="22"/>
        </w:rPr>
      </w:pPr>
      <w:r w:rsidRPr="003C0235">
        <w:rPr>
          <w:szCs w:val="22"/>
        </w:rPr>
        <w:t>the provision of technical support in relation to the various technical assistance programs administered in the Global Infrastructure Sector of the Organization; and</w:t>
      </w:r>
    </w:p>
    <w:p w:rsidR="006B41E4" w:rsidRPr="003C0235" w:rsidRDefault="006B41E4" w:rsidP="006B41E4">
      <w:pPr>
        <w:numPr>
          <w:ilvl w:val="0"/>
          <w:numId w:val="36"/>
        </w:numPr>
        <w:ind w:left="1134" w:hanging="567"/>
        <w:rPr>
          <w:szCs w:val="22"/>
        </w:rPr>
      </w:pPr>
      <w:r w:rsidRPr="003C0235">
        <w:rPr>
          <w:szCs w:val="22"/>
        </w:rPr>
        <w:t>general capacity building and other development cooperation activities.</w:t>
      </w:r>
    </w:p>
    <w:p w:rsidR="006B41E4" w:rsidRDefault="006B41E4" w:rsidP="006B41E4"/>
    <w:p w:rsidR="006B41E4" w:rsidRDefault="006B41E4" w:rsidP="006B41E4"/>
    <w:p w:rsidR="006B41E4" w:rsidRPr="00101F76" w:rsidRDefault="006B41E4" w:rsidP="006B41E4">
      <w:pPr>
        <w:pStyle w:val="Heading3"/>
      </w:pPr>
      <w:bookmarkStart w:id="40" w:name="_Toc362612241"/>
      <w:r w:rsidRPr="00101F76">
        <w:t>China</w:t>
      </w:r>
      <w:bookmarkEnd w:id="40"/>
    </w:p>
    <w:p w:rsidR="006B41E4" w:rsidRDefault="006B41E4" w:rsidP="006B41E4">
      <w:pPr>
        <w:rPr>
          <w:i/>
        </w:rPr>
      </w:pPr>
    </w:p>
    <w:p w:rsidR="006B41E4" w:rsidRDefault="006B41E4" w:rsidP="006B41E4">
      <w:r>
        <w:fldChar w:fldCharType="begin"/>
      </w:r>
      <w:r>
        <w:instrText xml:space="preserve"> AUTONUM  </w:instrText>
      </w:r>
      <w:r>
        <w:fldChar w:fldCharType="end"/>
      </w:r>
      <w:r>
        <w:tab/>
      </w:r>
      <w:r w:rsidRPr="007E66AD">
        <w:t>China has a population of 1.3 billion people.  Its national language is Mandarin, which is one of the official languages of WIPO and the UN.  It has the largest trademark office in the world, the largest patent office, the largest designs office and one of the largest and most vibrant creative sectors.</w:t>
      </w:r>
    </w:p>
    <w:p w:rsidR="006B41E4" w:rsidRPr="007E66AD" w:rsidRDefault="006B41E4" w:rsidP="006B41E4">
      <w:pPr>
        <w:rPr>
          <w:rFonts w:eastAsia="MS Mincho"/>
          <w:szCs w:val="22"/>
          <w:lang w:eastAsia="ja-JP"/>
        </w:rPr>
      </w:pPr>
    </w:p>
    <w:p w:rsidR="006B41E4" w:rsidRDefault="006B41E4" w:rsidP="006B41E4">
      <w:r>
        <w:fldChar w:fldCharType="begin"/>
      </w:r>
      <w:r>
        <w:instrText xml:space="preserve"> AUTONUM  </w:instrText>
      </w:r>
      <w:r>
        <w:fldChar w:fldCharType="end"/>
      </w:r>
      <w:r>
        <w:tab/>
      </w:r>
      <w:r w:rsidRPr="007E66AD">
        <w:t xml:space="preserve">Intellectual property activity in China is exploding.  Over the past 15 years, the number of patent applications filed in China has </w:t>
      </w:r>
      <w:r>
        <w:t>risen</w:t>
      </w:r>
      <w:r w:rsidRPr="007E66AD">
        <w:t xml:space="preserve"> from 18,699 to 526,412; the number of trademark applications from 172,146 to 1,057,480; and the number of industrial design applications from 17,688 to 521,468:</w:t>
      </w:r>
    </w:p>
    <w:p w:rsidR="006B41E4" w:rsidRDefault="006B41E4" w:rsidP="006B41E4"/>
    <w:p w:rsidR="006B41E4" w:rsidRDefault="006B41E4" w:rsidP="006B41E4">
      <w:r>
        <w:br w:type="page"/>
      </w:r>
    </w:p>
    <w:p w:rsidR="006B41E4" w:rsidRPr="007E66AD" w:rsidRDefault="006B41E4" w:rsidP="006B41E4">
      <w:pPr>
        <w:spacing w:after="200" w:line="360" w:lineRule="auto"/>
        <w:jc w:val="center"/>
        <w:rPr>
          <w:rFonts w:eastAsia="MS Mincho"/>
          <w:szCs w:val="22"/>
          <w:lang w:eastAsia="ja-JP"/>
        </w:rPr>
      </w:pPr>
      <w:r w:rsidRPr="007E66AD">
        <w:rPr>
          <w:rFonts w:eastAsia="MS Mincho"/>
          <w:szCs w:val="22"/>
          <w:lang w:eastAsia="ja-JP"/>
        </w:rPr>
        <w:lastRenderedPageBreak/>
        <w:t xml:space="preserve">Figure </w:t>
      </w:r>
      <w:r>
        <w:rPr>
          <w:rFonts w:eastAsia="MS Mincho"/>
          <w:szCs w:val="22"/>
          <w:lang w:eastAsia="ja-JP"/>
        </w:rPr>
        <w:t>5</w:t>
      </w:r>
      <w:r w:rsidRPr="007E66AD">
        <w:rPr>
          <w:rFonts w:eastAsia="MS Mincho"/>
          <w:szCs w:val="22"/>
          <w:lang w:eastAsia="ja-JP"/>
        </w:rPr>
        <w:t>:  Patent, Trademark and Industrial Design Applications in China</w:t>
      </w:r>
    </w:p>
    <w:p w:rsidR="006B41E4" w:rsidRPr="007E66AD" w:rsidRDefault="00D578DA" w:rsidP="006B41E4">
      <w:pPr>
        <w:spacing w:after="200" w:line="360" w:lineRule="auto"/>
        <w:jc w:val="center"/>
        <w:rPr>
          <w:rFonts w:eastAsia="MS Mincho"/>
          <w:szCs w:val="22"/>
          <w:lang w:eastAsia="ja-JP"/>
        </w:rPr>
      </w:pPr>
      <w:r>
        <w:rPr>
          <w:rFonts w:eastAsia="MS Mincho"/>
          <w:noProof/>
          <w:szCs w:val="22"/>
          <w:lang w:eastAsia="ja-JP"/>
        </w:rPr>
        <w:pict>
          <v:shape id="_x0000_i1031" type="#_x0000_t75" style="width:349pt;height:239.5pt;visibility:visible">
            <v:imagedata r:id="rId25" o:title=""/>
          </v:shape>
        </w:pict>
      </w:r>
    </w:p>
    <w:p w:rsidR="006B41E4" w:rsidRDefault="006B41E4" w:rsidP="006B41E4">
      <w:r>
        <w:fldChar w:fldCharType="begin"/>
      </w:r>
      <w:r>
        <w:instrText xml:space="preserve"> AUTONUM  </w:instrText>
      </w:r>
      <w:r>
        <w:fldChar w:fldCharType="end"/>
      </w:r>
      <w:r>
        <w:tab/>
      </w:r>
      <w:r w:rsidRPr="007E66AD">
        <w:t xml:space="preserve">The number of domestic IP applications in China that are being internationalized through filings under WIPO’s Global IP Systems is growing at a very rapid </w:t>
      </w:r>
      <w:r>
        <w:t xml:space="preserve">pace.  China files just over </w:t>
      </w:r>
      <w:r>
        <w:br/>
        <w:t>10 per cent</w:t>
      </w:r>
      <w:r w:rsidRPr="007E66AD">
        <w:t xml:space="preserve"> of PCT applications and is expected to pass Germany in 2013 to become the third largest filer of PCT applications after the United States of America and Japan.  It is the eighth largest filer of Madrid applications (filing over 5</w:t>
      </w:r>
      <w:r>
        <w:t xml:space="preserve"> per cent</w:t>
      </w:r>
      <w:r w:rsidRPr="007E66AD">
        <w:t xml:space="preserve"> of all Madrid applications) and the most designated country in the Madrid System (that is, the country that applicants around the world designate most frequently to obtain protection for their marks).  It is actively examining accession to the Hague System.</w:t>
      </w:r>
    </w:p>
    <w:p w:rsidR="006B41E4" w:rsidRPr="007E66AD" w:rsidRDefault="006B41E4" w:rsidP="006B41E4"/>
    <w:p w:rsidR="006B41E4" w:rsidRDefault="006B41E4" w:rsidP="006B41E4">
      <w:r>
        <w:fldChar w:fldCharType="begin"/>
      </w:r>
      <w:r>
        <w:instrText xml:space="preserve"> AUTONUM  </w:instrText>
      </w:r>
      <w:r>
        <w:fldChar w:fldCharType="end"/>
      </w:r>
      <w:r>
        <w:tab/>
      </w:r>
      <w:r w:rsidRPr="007E66AD">
        <w:t>The existing use by China of WIPO’s Global IP Systems is one of the most active in the world.  When the level of domestic applications is considered, the potential for further growth in use of WIPO’s Systems is enor</w:t>
      </w:r>
      <w:r>
        <w:t>mou</w:t>
      </w:r>
      <w:r w:rsidRPr="007E66AD">
        <w:t>s.  To achieve this, however, intense engagement with the enterprise sector in China, in the Chinese language, is required.  Rare would be the Organization that relies on China for a substantial part of its revenue and that does not have a presence in China to service the Chinese market.  It may also be expected that China will, in the future, play an increasingly important role in capacity-building activities.</w:t>
      </w:r>
    </w:p>
    <w:p w:rsidR="006B41E4" w:rsidRPr="007E66AD" w:rsidRDefault="006B41E4" w:rsidP="006B41E4"/>
    <w:p w:rsidR="006B41E4" w:rsidRPr="00101F76" w:rsidRDefault="006B41E4" w:rsidP="006B41E4">
      <w:pPr>
        <w:pStyle w:val="Heading3"/>
      </w:pPr>
      <w:bookmarkStart w:id="41" w:name="_Toc362612242"/>
      <w:r w:rsidRPr="00101F76">
        <w:t>Russian Federation</w:t>
      </w:r>
      <w:bookmarkEnd w:id="41"/>
    </w:p>
    <w:p w:rsidR="006B41E4" w:rsidRPr="007E66AD" w:rsidRDefault="006B41E4" w:rsidP="006B41E4"/>
    <w:p w:rsidR="006B41E4" w:rsidRDefault="006B41E4" w:rsidP="006B41E4">
      <w:r>
        <w:fldChar w:fldCharType="begin"/>
      </w:r>
      <w:r>
        <w:instrText xml:space="preserve"> AUTONUM  </w:instrText>
      </w:r>
      <w:r>
        <w:fldChar w:fldCharType="end"/>
      </w:r>
      <w:r>
        <w:tab/>
      </w:r>
      <w:r w:rsidRPr="007E66AD">
        <w:t>The Russian Federation is the ninth most populous country in the world, with a population of over 140 million people.  Russian is one of the official languages of both the UN and WIPO and is also widely spoken throughout Central Asia and Eastern Europe.</w:t>
      </w:r>
    </w:p>
    <w:p w:rsidR="006B41E4" w:rsidRPr="007E66AD" w:rsidRDefault="006B41E4" w:rsidP="006B41E4"/>
    <w:p w:rsidR="006B41E4" w:rsidRDefault="006B41E4" w:rsidP="006B41E4">
      <w:r>
        <w:fldChar w:fldCharType="begin"/>
      </w:r>
      <w:r>
        <w:instrText xml:space="preserve"> AUTONUM  </w:instrText>
      </w:r>
      <w:r>
        <w:fldChar w:fldCharType="end"/>
      </w:r>
      <w:r>
        <w:tab/>
      </w:r>
      <w:r w:rsidRPr="007E66AD">
        <w:t xml:space="preserve">The importance of intellectual property and innovation in the sustainable economic development of the Russian Federation has been emphasized by the country’s leadership.  The scientific tradition in the country is extremely strong and the creative output in literature, film and music is rich.  The use of intellectual property has been steadily increasing.  Over the past 15 years, the number of patent applications filed in the Russian Federation has </w:t>
      </w:r>
      <w:r>
        <w:t>risen</w:t>
      </w:r>
      <w:r w:rsidRPr="007E66AD">
        <w:t xml:space="preserve"> from 24,444 to 41,414; the number of trademark applications from 21,403 to 56,856; and the number of industrial design applications from 1,370 to 3,997:</w:t>
      </w:r>
    </w:p>
    <w:p w:rsidR="006B41E4" w:rsidRDefault="006B41E4" w:rsidP="006B41E4"/>
    <w:p w:rsidR="006B41E4" w:rsidRPr="007E66AD" w:rsidRDefault="006B41E4" w:rsidP="006B41E4"/>
    <w:p w:rsidR="006B41E4" w:rsidRPr="007E66AD" w:rsidRDefault="006B41E4" w:rsidP="006B41E4">
      <w:pPr>
        <w:spacing w:after="200" w:line="360" w:lineRule="auto"/>
        <w:jc w:val="center"/>
        <w:rPr>
          <w:rFonts w:eastAsia="MS Mincho"/>
          <w:szCs w:val="22"/>
          <w:lang w:eastAsia="ja-JP"/>
        </w:rPr>
      </w:pPr>
      <w:r w:rsidRPr="007E66AD">
        <w:rPr>
          <w:rFonts w:eastAsia="MS Mincho"/>
          <w:szCs w:val="22"/>
          <w:lang w:eastAsia="ja-JP"/>
        </w:rPr>
        <w:lastRenderedPageBreak/>
        <w:t xml:space="preserve">Figure </w:t>
      </w:r>
      <w:r>
        <w:rPr>
          <w:rFonts w:eastAsia="MS Mincho"/>
          <w:szCs w:val="22"/>
          <w:lang w:eastAsia="ja-JP"/>
        </w:rPr>
        <w:t>6</w:t>
      </w:r>
      <w:r w:rsidRPr="007E66AD">
        <w:rPr>
          <w:rFonts w:eastAsia="MS Mincho"/>
          <w:szCs w:val="22"/>
          <w:lang w:eastAsia="ja-JP"/>
        </w:rPr>
        <w:t>:</w:t>
      </w:r>
      <w:r>
        <w:rPr>
          <w:rFonts w:eastAsia="MS Mincho"/>
          <w:szCs w:val="22"/>
          <w:lang w:eastAsia="ja-JP"/>
        </w:rPr>
        <w:t xml:space="preserve"> </w:t>
      </w:r>
      <w:r w:rsidRPr="007E66AD">
        <w:rPr>
          <w:rFonts w:eastAsia="MS Mincho"/>
          <w:szCs w:val="22"/>
          <w:lang w:eastAsia="ja-JP"/>
        </w:rPr>
        <w:t xml:space="preserve"> Patent, Trademark and Industrial Design Applications in the Russian Federation</w:t>
      </w:r>
    </w:p>
    <w:p w:rsidR="006B41E4" w:rsidRPr="007E66AD" w:rsidRDefault="00D578DA" w:rsidP="006B41E4">
      <w:pPr>
        <w:spacing w:after="200" w:line="360" w:lineRule="auto"/>
        <w:jc w:val="center"/>
        <w:rPr>
          <w:rFonts w:eastAsia="MS Mincho"/>
          <w:szCs w:val="22"/>
          <w:lang w:eastAsia="ja-JP"/>
        </w:rPr>
      </w:pPr>
      <w:r>
        <w:rPr>
          <w:rFonts w:eastAsia="MS Mincho"/>
          <w:noProof/>
          <w:szCs w:val="22"/>
          <w:lang w:eastAsia="ja-JP"/>
        </w:rPr>
        <w:pict>
          <v:shape id="_x0000_i1032" type="#_x0000_t75" style="width:324pt;height:223pt;visibility:visible">
            <v:imagedata r:id="rId26" o:title=""/>
          </v:shape>
        </w:pict>
      </w:r>
    </w:p>
    <w:p w:rsidR="006B41E4" w:rsidRDefault="006B41E4" w:rsidP="006B41E4">
      <w:r>
        <w:fldChar w:fldCharType="begin"/>
      </w:r>
      <w:r>
        <w:instrText xml:space="preserve"> AUTONUM  </w:instrText>
      </w:r>
      <w:r>
        <w:fldChar w:fldCharType="end"/>
      </w:r>
      <w:r>
        <w:tab/>
      </w:r>
      <w:r w:rsidRPr="007E66AD">
        <w:t>The use of WIPO’s Global IP Systems by the Russian Federation has also been rising.  PCT applications filed by applicants in the Russian Federation have risen considerably over the past five years.  The number of Madrid applications in 2012 rose by 19.7</w:t>
      </w:r>
      <w:r>
        <w:t xml:space="preserve"> per cent (having increased by 35.6 per cent</w:t>
      </w:r>
      <w:r w:rsidRPr="007E66AD">
        <w:t xml:space="preserve"> in the preceding year), making the Russian Federation the ninth larges</w:t>
      </w:r>
      <w:r>
        <w:t xml:space="preserve">t filer in the Madrid System.  </w:t>
      </w:r>
      <w:r w:rsidRPr="007E66AD">
        <w:t>It was also the third most designated country in the Madrid System.  The Russian Federation is actively considering accession to the Hague System.</w:t>
      </w:r>
    </w:p>
    <w:p w:rsidR="006B41E4" w:rsidRPr="007E66AD" w:rsidRDefault="006B41E4" w:rsidP="006B41E4"/>
    <w:p w:rsidR="006B41E4" w:rsidRDefault="006B41E4" w:rsidP="006B41E4">
      <w:r>
        <w:fldChar w:fldCharType="begin"/>
      </w:r>
      <w:r>
        <w:instrText xml:space="preserve"> AUTONUM  </w:instrText>
      </w:r>
      <w:r>
        <w:fldChar w:fldCharType="end"/>
      </w:r>
      <w:r>
        <w:tab/>
      </w:r>
      <w:r w:rsidRPr="007E66AD">
        <w:t xml:space="preserve">An </w:t>
      </w:r>
      <w:r>
        <w:t>EO</w:t>
      </w:r>
      <w:r w:rsidRPr="007E66AD">
        <w:t xml:space="preserve"> in the Russian Federation would offer considerable advantages in terms of strengthening the participation of the country in WIPO’s Global IP Systems, enabling the Organization to service more effectively a vast territory and its surrounding region, and would assist in building capacity for the use of IP in a region where most national economic strategies aim to use a rich resource base as a foundation for value addition in more knowledge-based industries.</w:t>
      </w:r>
    </w:p>
    <w:p w:rsidR="006B41E4" w:rsidRPr="007E66AD" w:rsidRDefault="006B41E4" w:rsidP="006B41E4"/>
    <w:p w:rsidR="006B41E4" w:rsidRPr="00101F76" w:rsidRDefault="006B41E4" w:rsidP="006B41E4">
      <w:pPr>
        <w:pStyle w:val="Heading3"/>
      </w:pPr>
      <w:bookmarkStart w:id="42" w:name="_Toc362612243"/>
      <w:r w:rsidRPr="00101F76">
        <w:t>United States of America</w:t>
      </w:r>
      <w:bookmarkEnd w:id="42"/>
    </w:p>
    <w:p w:rsidR="006B41E4" w:rsidRPr="00634F25" w:rsidRDefault="006B41E4" w:rsidP="006B41E4">
      <w:pPr>
        <w:rPr>
          <w:lang w:eastAsia="ja-JP"/>
        </w:rPr>
      </w:pPr>
    </w:p>
    <w:p w:rsidR="006B41E4" w:rsidRDefault="006B41E4" w:rsidP="006B41E4">
      <w:r>
        <w:fldChar w:fldCharType="begin"/>
      </w:r>
      <w:r>
        <w:instrText xml:space="preserve"> AUTONUM  </w:instrText>
      </w:r>
      <w:r>
        <w:fldChar w:fldCharType="end"/>
      </w:r>
      <w:r>
        <w:tab/>
      </w:r>
      <w:r w:rsidRPr="007E66AD">
        <w:t>The USA is the largest economy in the world, with the third-largest population.  It is the largest filer of PCT applications, filing around 27</w:t>
      </w:r>
      <w:r>
        <w:t xml:space="preserve"> per cent</w:t>
      </w:r>
      <w:r w:rsidRPr="007E66AD">
        <w:t xml:space="preserve"> of all applications.  It is the second largest filer of Madrid applications, filing 12.3</w:t>
      </w:r>
      <w:r>
        <w:t xml:space="preserve"> per cent</w:t>
      </w:r>
      <w:r w:rsidRPr="007E66AD">
        <w:t xml:space="preserve"> of all applications, and is the third most designated country in the Madrid System.  It is expected to accede to the Hague System in the near future.  It also has the largest </w:t>
      </w:r>
      <w:r>
        <w:t xml:space="preserve">concentration of </w:t>
      </w:r>
      <w:r w:rsidRPr="007E66AD">
        <w:t>creative industries in the world.  It is, in short, the largest producer of innovation and creative outputs in the world.</w:t>
      </w:r>
    </w:p>
    <w:p w:rsidR="006B41E4" w:rsidRPr="007E66AD" w:rsidRDefault="006B41E4" w:rsidP="006B41E4"/>
    <w:p w:rsidR="006B41E4" w:rsidRDefault="006B41E4" w:rsidP="006B41E4">
      <w:r>
        <w:fldChar w:fldCharType="begin"/>
      </w:r>
      <w:r>
        <w:instrText xml:space="preserve"> AUTONUM  </w:instrText>
      </w:r>
      <w:r>
        <w:fldChar w:fldCharType="end"/>
      </w:r>
      <w:r>
        <w:tab/>
      </w:r>
      <w:r w:rsidRPr="007E66AD">
        <w:t>The State of California is the home of the much admired and much emulated Silicon Valley, a pioneer of the successful innovation ecosystem.  Almost half of PCT applications filed from the United States of America and more than 10</w:t>
      </w:r>
      <w:r>
        <w:t xml:space="preserve"> per cent</w:t>
      </w:r>
      <w:r w:rsidRPr="007E66AD">
        <w:t xml:space="preserve"> of total PCT filings have at least one applicant or inventor with an address in California.  The University of California files more PCT applications than any other university in the world.  According to figures from the United States Patent and Trademark Office (USPTO), the share of US patents granted to Californian applicants has steadily increased over the past years, reaching 25.4</w:t>
      </w:r>
      <w:r>
        <w:t xml:space="preserve"> per cent</w:t>
      </w:r>
      <w:r w:rsidRPr="007E66AD">
        <w:t xml:space="preserve"> of all patents granted to US residents in 2010.  California is also the home of Hollywood, the highest value film industry in the world.</w:t>
      </w:r>
    </w:p>
    <w:p w:rsidR="006B41E4" w:rsidRPr="007E66AD" w:rsidRDefault="006B41E4" w:rsidP="006B41E4">
      <w:r>
        <w:lastRenderedPageBreak/>
        <w:fldChar w:fldCharType="begin"/>
      </w:r>
      <w:r>
        <w:instrText xml:space="preserve"> AUTONUM  </w:instrText>
      </w:r>
      <w:r>
        <w:fldChar w:fldCharType="end"/>
      </w:r>
      <w:r>
        <w:tab/>
      </w:r>
      <w:r w:rsidRPr="007E66AD">
        <w:t>Enor</w:t>
      </w:r>
      <w:r>
        <w:t>mou</w:t>
      </w:r>
      <w:r w:rsidRPr="007E66AD">
        <w:t>s opportunity exists to increase the use of WIPO’s Global IP Systems through a presence in Silicon Valley.  Such a presence would also offer a more effective way of servicing the largest customer base of those Systems in the world.</w:t>
      </w:r>
    </w:p>
    <w:p w:rsidR="006B41E4" w:rsidRDefault="006B41E4" w:rsidP="006B41E4">
      <w:pPr>
        <w:spacing w:after="200" w:line="360" w:lineRule="auto"/>
        <w:rPr>
          <w:rFonts w:eastAsia="MS Mincho"/>
          <w:b/>
          <w:szCs w:val="22"/>
          <w:lang w:eastAsia="ja-JP"/>
        </w:rPr>
      </w:pPr>
    </w:p>
    <w:p w:rsidR="006B41E4" w:rsidRPr="00101F76" w:rsidRDefault="006B41E4" w:rsidP="006B41E4">
      <w:pPr>
        <w:pStyle w:val="Heading3"/>
      </w:pPr>
      <w:bookmarkStart w:id="43" w:name="_Toc362612244"/>
      <w:r w:rsidRPr="00101F76">
        <w:t>Africa</w:t>
      </w:r>
      <w:bookmarkEnd w:id="43"/>
    </w:p>
    <w:p w:rsidR="006B41E4" w:rsidRPr="00634F25" w:rsidRDefault="006B41E4" w:rsidP="006B41E4">
      <w:pPr>
        <w:rPr>
          <w:lang w:eastAsia="ja-JP"/>
        </w:rPr>
      </w:pPr>
    </w:p>
    <w:p w:rsidR="006B41E4" w:rsidRDefault="006B41E4" w:rsidP="006B41E4">
      <w:r>
        <w:fldChar w:fldCharType="begin"/>
      </w:r>
      <w:r>
        <w:instrText xml:space="preserve"> AUTONUM  </w:instrText>
      </w:r>
      <w:r>
        <w:fldChar w:fldCharType="end"/>
      </w:r>
      <w:r>
        <w:tab/>
      </w:r>
      <w:r w:rsidRPr="007E66AD">
        <w:t xml:space="preserve">Africa comprises 54 countries and a vast territorial area and is not represented in the existing </w:t>
      </w:r>
      <w:r>
        <w:t>EO</w:t>
      </w:r>
      <w:r w:rsidRPr="007E66AD">
        <w:t>s.  The interest in both WIPO and IP has been growing steadily in the region, particularly now that growth rates have stabilized and that Africa is, overall, the fastest growing region of the world economy.  The need for capacity-building activities in order to increase the region’s use of, and participation in, the intellectual property system is huge.</w:t>
      </w:r>
    </w:p>
    <w:p w:rsidR="006B41E4" w:rsidRPr="007E66AD" w:rsidRDefault="006B41E4" w:rsidP="006B41E4"/>
    <w:p w:rsidR="006B41E4" w:rsidRPr="007E66AD" w:rsidRDefault="006B41E4" w:rsidP="006B41E4">
      <w:r>
        <w:fldChar w:fldCharType="begin"/>
      </w:r>
      <w:r>
        <w:instrText xml:space="preserve"> AUTONUM  </w:instrText>
      </w:r>
      <w:r>
        <w:fldChar w:fldCharType="end"/>
      </w:r>
      <w:r>
        <w:tab/>
      </w:r>
      <w:r w:rsidRPr="007E66AD">
        <w:t xml:space="preserve">The proposed </w:t>
      </w:r>
      <w:r>
        <w:t>EO</w:t>
      </w:r>
      <w:r w:rsidRPr="007E66AD">
        <w:t xml:space="preserve">s in Africa would focus essentially on capacity building, as described in the outline of the functions of </w:t>
      </w:r>
      <w:r>
        <w:t>EO</w:t>
      </w:r>
      <w:r w:rsidRPr="007E66AD">
        <w:t xml:space="preserve">s given above.  Locations within Africa for the two proposed offices have not been specified, as this is the subject of a continuing discussion with and within the African Group. </w:t>
      </w:r>
    </w:p>
    <w:p w:rsidR="006B41E4" w:rsidRPr="007E66AD" w:rsidRDefault="006B41E4" w:rsidP="006B41E4">
      <w:pPr>
        <w:rPr>
          <w:i/>
          <w:szCs w:val="22"/>
        </w:rPr>
      </w:pPr>
    </w:p>
    <w:p w:rsidR="006B41E4" w:rsidRDefault="006B41E4" w:rsidP="006B41E4">
      <w:pPr>
        <w:rPr>
          <w:i/>
          <w:szCs w:val="22"/>
        </w:rPr>
      </w:pPr>
      <w:r w:rsidRPr="007E728A">
        <w:rPr>
          <w:i/>
          <w:szCs w:val="22"/>
        </w:rPr>
        <w:t>Map of External Offices (Existing</w:t>
      </w:r>
      <w:r>
        <w:rPr>
          <w:i/>
          <w:szCs w:val="22"/>
        </w:rPr>
        <w:t>,</w:t>
      </w:r>
      <w:r w:rsidRPr="007E728A">
        <w:rPr>
          <w:i/>
          <w:szCs w:val="22"/>
        </w:rPr>
        <w:t xml:space="preserve"> Proposed</w:t>
      </w:r>
      <w:r>
        <w:rPr>
          <w:i/>
          <w:szCs w:val="22"/>
        </w:rPr>
        <w:t xml:space="preserve"> and Requested</w:t>
      </w:r>
      <w:r w:rsidRPr="007E728A">
        <w:rPr>
          <w:i/>
          <w:szCs w:val="22"/>
        </w:rPr>
        <w:t>)</w:t>
      </w:r>
    </w:p>
    <w:p w:rsidR="006B41E4" w:rsidRPr="007E66AD" w:rsidRDefault="006B41E4" w:rsidP="006B41E4">
      <w:pPr>
        <w:rPr>
          <w:i/>
          <w:szCs w:val="22"/>
        </w:rPr>
      </w:pPr>
    </w:p>
    <w:p w:rsidR="006B41E4" w:rsidRDefault="006B41E4" w:rsidP="006B41E4">
      <w:r>
        <w:rPr>
          <w:szCs w:val="22"/>
        </w:rPr>
        <w:fldChar w:fldCharType="begin"/>
      </w:r>
      <w:r>
        <w:rPr>
          <w:szCs w:val="22"/>
        </w:rPr>
        <w:instrText xml:space="preserve"> AUTONUM  </w:instrText>
      </w:r>
      <w:r>
        <w:rPr>
          <w:szCs w:val="22"/>
        </w:rPr>
        <w:fldChar w:fldCharType="end"/>
      </w:r>
      <w:r>
        <w:rPr>
          <w:szCs w:val="22"/>
        </w:rPr>
        <w:tab/>
      </w:r>
      <w:r w:rsidRPr="007E66AD">
        <w:rPr>
          <w:szCs w:val="22"/>
        </w:rPr>
        <w:t xml:space="preserve">The following map illustrates locations of the existing </w:t>
      </w:r>
      <w:r>
        <w:rPr>
          <w:szCs w:val="22"/>
        </w:rPr>
        <w:t>EO</w:t>
      </w:r>
      <w:r w:rsidRPr="007E66AD">
        <w:rPr>
          <w:szCs w:val="22"/>
        </w:rPr>
        <w:t>s and all locations</w:t>
      </w:r>
      <w:r>
        <w:rPr>
          <w:szCs w:val="22"/>
        </w:rPr>
        <w:t xml:space="preserve"> of capitals or cities from </w:t>
      </w:r>
      <w:r w:rsidRPr="007E66AD">
        <w:rPr>
          <w:szCs w:val="22"/>
        </w:rPr>
        <w:t>countries which have</w:t>
      </w:r>
      <w:r>
        <w:rPr>
          <w:szCs w:val="22"/>
        </w:rPr>
        <w:t xml:space="preserve"> filed requests </w:t>
      </w:r>
      <w:r w:rsidRPr="007E66AD">
        <w:rPr>
          <w:szCs w:val="22"/>
        </w:rPr>
        <w:t xml:space="preserve">before July 2013 </w:t>
      </w:r>
      <w:r>
        <w:rPr>
          <w:szCs w:val="22"/>
        </w:rPr>
        <w:t xml:space="preserve">with </w:t>
      </w:r>
      <w:r w:rsidRPr="007E66AD">
        <w:rPr>
          <w:szCs w:val="22"/>
        </w:rPr>
        <w:t xml:space="preserve">the Director General to </w:t>
      </w:r>
      <w:r>
        <w:rPr>
          <w:szCs w:val="22"/>
        </w:rPr>
        <w:t>h</w:t>
      </w:r>
      <w:r w:rsidRPr="007E66AD">
        <w:rPr>
          <w:szCs w:val="22"/>
        </w:rPr>
        <w:t xml:space="preserve">ost new </w:t>
      </w:r>
      <w:r>
        <w:rPr>
          <w:szCs w:val="22"/>
        </w:rPr>
        <w:t>EO</w:t>
      </w:r>
      <w:r w:rsidRPr="007E66AD">
        <w:rPr>
          <w:szCs w:val="22"/>
        </w:rPr>
        <w:t>s.</w:t>
      </w:r>
      <w:r>
        <w:t xml:space="preserve"> </w:t>
      </w:r>
    </w:p>
    <w:p w:rsidR="006B41E4" w:rsidRDefault="006B41E4" w:rsidP="006B41E4"/>
    <w:p w:rsidR="006B41E4" w:rsidRDefault="006B41E4" w:rsidP="006B41E4">
      <w:pPr>
        <w:jc w:val="center"/>
      </w:pPr>
      <w:r w:rsidRPr="00BD19A4">
        <w:t xml:space="preserve">Figure 7: Locations of external offices (including those requested by certain </w:t>
      </w:r>
      <w:r>
        <w:t>M</w:t>
      </w:r>
      <w:r w:rsidRPr="00BD19A4">
        <w:t>ember States)</w:t>
      </w:r>
    </w:p>
    <w:p w:rsidR="006B41E4" w:rsidRDefault="00D578DA" w:rsidP="006B41E4">
      <w:pPr>
        <w:rPr>
          <w:i/>
        </w:rPr>
      </w:pPr>
      <w:r>
        <w:rPr>
          <w:noProof/>
          <w:lang w:eastAsia="ja-JP"/>
        </w:rPr>
        <w:pict>
          <v:shape id="_x0000_i1033" type="#_x0000_t75" style="width:468.5pt;height:351pt;visibility:visible">
            <v:imagedata r:id="rId27" o:title=""/>
          </v:shape>
        </w:pict>
      </w:r>
    </w:p>
    <w:p w:rsidR="006B41E4" w:rsidRPr="00101F76" w:rsidRDefault="006B41E4" w:rsidP="006B41E4">
      <w:pPr>
        <w:pStyle w:val="Heading2"/>
      </w:pPr>
      <w:r>
        <w:lastRenderedPageBreak/>
        <w:br/>
      </w:r>
      <w:bookmarkStart w:id="44" w:name="_Toc362612245"/>
      <w:r w:rsidRPr="00101F76">
        <w:t>Cost, Financial Details and the Proposed Budget</w:t>
      </w:r>
      <w:bookmarkEnd w:id="44"/>
    </w:p>
    <w:p w:rsidR="006B41E4" w:rsidRDefault="006B41E4" w:rsidP="006B41E4"/>
    <w:p w:rsidR="006B41E4" w:rsidRDefault="006B41E4" w:rsidP="006B41E4">
      <w:r w:rsidRPr="00AD49B5">
        <w:fldChar w:fldCharType="begin"/>
      </w:r>
      <w:r w:rsidRPr="00AD49B5">
        <w:instrText xml:space="preserve"> AUTONUM  </w:instrText>
      </w:r>
      <w:r w:rsidRPr="00AD49B5">
        <w:fldChar w:fldCharType="end"/>
      </w:r>
      <w:r w:rsidRPr="00AD49B5">
        <w:tab/>
      </w:r>
      <w:r>
        <w:t>The resources proposed for new EOs allocation is based on a standard model of a new EO, which is similar to existing offices, in which the following staff will gradually be deployed:</w:t>
      </w:r>
    </w:p>
    <w:p w:rsidR="006B41E4" w:rsidRDefault="006B41E4" w:rsidP="006B41E4"/>
    <w:p w:rsidR="006B41E4" w:rsidRDefault="006B41E4" w:rsidP="006B41E4">
      <w:pPr>
        <w:numPr>
          <w:ilvl w:val="0"/>
          <w:numId w:val="35"/>
        </w:numPr>
        <w:ind w:left="1134" w:hanging="567"/>
      </w:pPr>
      <w:r>
        <w:t>One Director of the Office;</w:t>
      </w:r>
    </w:p>
    <w:p w:rsidR="006B41E4" w:rsidRDefault="006B41E4" w:rsidP="006B41E4">
      <w:pPr>
        <w:numPr>
          <w:ilvl w:val="0"/>
          <w:numId w:val="35"/>
        </w:numPr>
        <w:ind w:left="1134" w:hanging="567"/>
      </w:pPr>
      <w:r>
        <w:t>One or two Professional grade staff for the management and implementation of program activities;</w:t>
      </w:r>
    </w:p>
    <w:p w:rsidR="006B41E4" w:rsidRDefault="006B41E4" w:rsidP="006B41E4">
      <w:pPr>
        <w:numPr>
          <w:ilvl w:val="0"/>
          <w:numId w:val="35"/>
        </w:numPr>
        <w:ind w:left="1134" w:hanging="567"/>
      </w:pPr>
      <w:r>
        <w:t>One general-service staff (most likely recruited locally as a short-term employee at an initial stage).</w:t>
      </w:r>
    </w:p>
    <w:p w:rsidR="006B41E4" w:rsidRDefault="006B41E4" w:rsidP="006B41E4"/>
    <w:p w:rsidR="006B41E4" w:rsidRDefault="006B41E4" w:rsidP="006B41E4">
      <w:r>
        <w:fldChar w:fldCharType="begin"/>
      </w:r>
      <w:r>
        <w:instrText xml:space="preserve"> AUTONUM  </w:instrText>
      </w:r>
      <w:r>
        <w:fldChar w:fldCharType="end"/>
      </w:r>
      <w:r>
        <w:tab/>
        <w:t xml:space="preserve">The cost estimate of each EO for human resources also depends on the local job markets.  To give an idea of the estimated cost in countries which requested WIPO EOs, without prejudice to the selection of new EOs, the following table shows the post adjustment of professional staff in locations of the current 23 applications, alongside with existing EOs and WIPO </w:t>
      </w:r>
      <w:r w:rsidRPr="008D5A8F">
        <w:rPr>
          <w:szCs w:val="22"/>
        </w:rPr>
        <w:t>HQ for comparison.  It is to be noted that t</w:t>
      </w:r>
      <w:r w:rsidRPr="008D5A8F">
        <w:rPr>
          <w:rFonts w:eastAsia="Times New Roman"/>
          <w:color w:val="000000"/>
          <w:szCs w:val="22"/>
        </w:rPr>
        <w:t>he lower post adjustment in some of the duty stations listed may in part or in total be offset by higher costs of assignment grant and other benefits related to field duty stations.</w:t>
      </w:r>
      <w:r>
        <w:rPr>
          <w:rFonts w:eastAsia="Times New Roman"/>
          <w:color w:val="000000"/>
          <w:szCs w:val="22"/>
        </w:rPr>
        <w:t xml:space="preserve"> </w:t>
      </w:r>
      <w:r w:rsidRPr="008D5A8F">
        <w:rPr>
          <w:rFonts w:eastAsia="Times New Roman"/>
          <w:color w:val="000000"/>
          <w:szCs w:val="22"/>
        </w:rPr>
        <w:t xml:space="preserve"> The a</w:t>
      </w:r>
      <w:r>
        <w:rPr>
          <w:rFonts w:eastAsia="Times New Roman"/>
          <w:color w:val="000000"/>
          <w:szCs w:val="22"/>
        </w:rPr>
        <w:t>mou</w:t>
      </w:r>
      <w:r w:rsidRPr="008D5A8F">
        <w:rPr>
          <w:rFonts w:eastAsia="Times New Roman"/>
          <w:color w:val="000000"/>
          <w:szCs w:val="22"/>
        </w:rPr>
        <w:t xml:space="preserve">nts depend also the mobility status of the job holder and on </w:t>
      </w:r>
      <w:r>
        <w:rPr>
          <w:rFonts w:eastAsia="Times New Roman"/>
          <w:color w:val="000000"/>
          <w:szCs w:val="22"/>
        </w:rPr>
        <w:t xml:space="preserve">the </w:t>
      </w:r>
      <w:r w:rsidRPr="008D5A8F">
        <w:rPr>
          <w:rFonts w:eastAsia="Times New Roman"/>
          <w:color w:val="000000"/>
          <w:szCs w:val="22"/>
        </w:rPr>
        <w:t>hardship classification of the duty station.</w:t>
      </w:r>
      <w:r>
        <w:rPr>
          <w:rFonts w:ascii="Tahoma" w:eastAsia="Times New Roman" w:hAnsi="Tahoma" w:cs="Tahoma"/>
          <w:color w:val="000000"/>
          <w:sz w:val="20"/>
        </w:rPr>
        <w:t xml:space="preserve"> </w:t>
      </w:r>
      <w:r>
        <w:t xml:space="preserve"> </w:t>
      </w:r>
    </w:p>
    <w:p w:rsidR="006B41E4" w:rsidRDefault="006B41E4" w:rsidP="006B41E4"/>
    <w:p w:rsidR="006B41E4" w:rsidRDefault="006B41E4" w:rsidP="006B41E4">
      <w:pPr>
        <w:jc w:val="center"/>
      </w:pPr>
      <w:r>
        <w:t>Table 13:  Post Adjustment index in different locations</w:t>
      </w:r>
    </w:p>
    <w:p w:rsidR="006B41E4" w:rsidRDefault="006B41E4" w:rsidP="006B41E4">
      <w:pPr>
        <w:jc w:val="center"/>
      </w:pPr>
    </w:p>
    <w:tbl>
      <w:tblPr>
        <w:tblW w:w="558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2070"/>
      </w:tblGrid>
      <w:tr w:rsidR="006B41E4" w:rsidRPr="009E7D4D" w:rsidTr="006B41E4">
        <w:trPr>
          <w:trHeight w:val="485"/>
          <w:jc w:val="center"/>
        </w:trPr>
        <w:tc>
          <w:tcPr>
            <w:tcW w:w="3510" w:type="dxa"/>
            <w:gridSpan w:val="2"/>
            <w:shd w:val="clear" w:color="auto" w:fill="auto"/>
          </w:tcPr>
          <w:p w:rsidR="006B41E4" w:rsidRPr="009E7D4D" w:rsidRDefault="006B41E4" w:rsidP="006B41E4">
            <w:pPr>
              <w:jc w:val="center"/>
              <w:rPr>
                <w:rFonts w:eastAsia="Times New Roman"/>
                <w:sz w:val="20"/>
                <w:lang w:eastAsia="en-US"/>
              </w:rPr>
            </w:pPr>
          </w:p>
          <w:p w:rsidR="006B41E4" w:rsidRPr="009E7D4D" w:rsidRDefault="006B41E4" w:rsidP="006B41E4">
            <w:pPr>
              <w:jc w:val="center"/>
              <w:rPr>
                <w:rFonts w:eastAsia="Times New Roman"/>
                <w:sz w:val="20"/>
                <w:lang w:eastAsia="en-US"/>
              </w:rPr>
            </w:pPr>
            <w:r w:rsidRPr="009E7D4D">
              <w:rPr>
                <w:rFonts w:eastAsia="Times New Roman"/>
                <w:sz w:val="20"/>
                <w:lang w:eastAsia="en-US"/>
              </w:rPr>
              <w:t xml:space="preserve">Countries </w:t>
            </w:r>
          </w:p>
        </w:tc>
        <w:tc>
          <w:tcPr>
            <w:tcW w:w="2070" w:type="dxa"/>
            <w:shd w:val="clear" w:color="auto" w:fill="auto"/>
          </w:tcPr>
          <w:p w:rsidR="006B41E4" w:rsidRPr="009E7D4D" w:rsidRDefault="006B41E4" w:rsidP="006B41E4">
            <w:pPr>
              <w:jc w:val="center"/>
              <w:rPr>
                <w:rFonts w:eastAsia="Times New Roman"/>
                <w:sz w:val="20"/>
                <w:lang w:eastAsia="en-US"/>
              </w:rPr>
            </w:pPr>
            <w:r w:rsidRPr="009E7D4D">
              <w:rPr>
                <w:rFonts w:eastAsia="Times New Roman"/>
                <w:sz w:val="20"/>
                <w:lang w:eastAsia="en-US"/>
              </w:rPr>
              <w:t>Post adjustment index (ICSC data as of July 15, 2013)</w:t>
            </w:r>
          </w:p>
        </w:tc>
      </w:tr>
      <w:tr w:rsidR="006B41E4" w:rsidRPr="009E7D4D" w:rsidTr="006B41E4">
        <w:trPr>
          <w:jc w:val="center"/>
        </w:trPr>
        <w:tc>
          <w:tcPr>
            <w:tcW w:w="144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Africa</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Algeria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143.2</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Cameroon</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150.6</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Egypt</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134.3</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Ethiopia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141.9</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Morocco</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136.3</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Nigeria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174.1</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Senegal</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156.4</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South Africa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128.4</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Tunisia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125.1</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Zimbabwe</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151.5</w:t>
            </w:r>
          </w:p>
        </w:tc>
      </w:tr>
      <w:tr w:rsidR="006B41E4" w:rsidRPr="009E7D4D" w:rsidTr="006B41E4">
        <w:trPr>
          <w:jc w:val="center"/>
        </w:trPr>
        <w:tc>
          <w:tcPr>
            <w:tcW w:w="144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Asia and the Pacific</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Bangladesh</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143.9</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China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170.1</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India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136.1</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Jordan</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147.4</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Republic of Korea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166.7</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Turkey</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144.6</w:t>
            </w:r>
          </w:p>
        </w:tc>
      </w:tr>
      <w:tr w:rsidR="006B41E4" w:rsidRPr="009E7D4D" w:rsidTr="006B41E4">
        <w:trPr>
          <w:jc w:val="center"/>
        </w:trPr>
        <w:tc>
          <w:tcPr>
            <w:tcW w:w="144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Countries in transition</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Romania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122.8</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Russian Federation</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180.4</w:t>
            </w:r>
          </w:p>
        </w:tc>
      </w:tr>
      <w:tr w:rsidR="006B41E4" w:rsidRPr="009E7D4D" w:rsidTr="006B41E4">
        <w:trPr>
          <w:jc w:val="center"/>
        </w:trPr>
        <w:tc>
          <w:tcPr>
            <w:tcW w:w="144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Latin America and the Caribbean</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Chile</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138.7</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Mexico</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151.6</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Panama</w:t>
            </w:r>
          </w:p>
        </w:tc>
        <w:tc>
          <w:tcPr>
            <w:tcW w:w="2070" w:type="dxa"/>
            <w:shd w:val="clear" w:color="auto" w:fill="auto"/>
          </w:tcPr>
          <w:p w:rsidR="006B41E4" w:rsidRPr="009E7D4D" w:rsidRDefault="006B41E4" w:rsidP="006B41E4">
            <w:pPr>
              <w:jc w:val="right"/>
              <w:rPr>
                <w:rFonts w:eastAsia="Times New Roman"/>
                <w:sz w:val="20"/>
                <w:lang w:eastAsia="en-US"/>
              </w:rPr>
            </w:pPr>
            <w:r>
              <w:rPr>
                <w:rFonts w:eastAsia="Times New Roman"/>
                <w:sz w:val="20"/>
                <w:lang w:eastAsia="en-US"/>
              </w:rPr>
              <w:t>136.7</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Peru</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147.9</w:t>
            </w:r>
          </w:p>
        </w:tc>
      </w:tr>
      <w:tr w:rsidR="006B41E4" w:rsidRPr="009E7D4D" w:rsidTr="006B41E4">
        <w:trPr>
          <w:jc w:val="center"/>
        </w:trPr>
        <w:tc>
          <w:tcPr>
            <w:tcW w:w="144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America</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USA</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159.1</w:t>
            </w:r>
          </w:p>
        </w:tc>
      </w:tr>
      <w:tr w:rsidR="006B41E4" w:rsidRPr="009E7D4D" w:rsidTr="006B41E4">
        <w:trPr>
          <w:jc w:val="center"/>
        </w:trPr>
        <w:tc>
          <w:tcPr>
            <w:tcW w:w="1440" w:type="dxa"/>
            <w:vMerge w:val="restart"/>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 xml:space="preserve">Existing </w:t>
            </w:r>
            <w:r>
              <w:rPr>
                <w:rFonts w:eastAsia="Times New Roman"/>
                <w:sz w:val="20"/>
                <w:lang w:eastAsia="en-US"/>
              </w:rPr>
              <w:t>EO</w:t>
            </w:r>
            <w:r w:rsidRPr="009E7D4D">
              <w:rPr>
                <w:rFonts w:eastAsia="Times New Roman"/>
                <w:sz w:val="20"/>
                <w:lang w:eastAsia="en-US"/>
              </w:rPr>
              <w:t>s</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Brazil</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171.6</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Japan</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198.3</w:t>
            </w:r>
          </w:p>
        </w:tc>
      </w:tr>
      <w:tr w:rsidR="006B41E4" w:rsidRPr="009E7D4D" w:rsidTr="006B41E4">
        <w:trPr>
          <w:jc w:val="center"/>
        </w:trPr>
        <w:tc>
          <w:tcPr>
            <w:tcW w:w="1440" w:type="dxa"/>
            <w:vMerge/>
            <w:shd w:val="clear" w:color="auto" w:fill="auto"/>
          </w:tcPr>
          <w:p w:rsidR="006B41E4" w:rsidRPr="009E7D4D" w:rsidRDefault="006B41E4" w:rsidP="006B41E4">
            <w:pPr>
              <w:rPr>
                <w:rFonts w:eastAsia="Times New Roman"/>
                <w:sz w:val="20"/>
                <w:lang w:eastAsia="en-US"/>
              </w:rPr>
            </w:pP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Singapore</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193.2</w:t>
            </w:r>
          </w:p>
        </w:tc>
      </w:tr>
      <w:tr w:rsidR="006B41E4" w:rsidRPr="009E7D4D" w:rsidTr="006B41E4">
        <w:trPr>
          <w:jc w:val="center"/>
        </w:trPr>
        <w:tc>
          <w:tcPr>
            <w:tcW w:w="144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HQ</w:t>
            </w:r>
          </w:p>
        </w:tc>
        <w:tc>
          <w:tcPr>
            <w:tcW w:w="2070" w:type="dxa"/>
            <w:shd w:val="clear" w:color="auto" w:fill="auto"/>
          </w:tcPr>
          <w:p w:rsidR="006B41E4" w:rsidRPr="009E7D4D" w:rsidRDefault="006B41E4" w:rsidP="006B41E4">
            <w:pPr>
              <w:rPr>
                <w:rFonts w:eastAsia="Times New Roman"/>
                <w:sz w:val="20"/>
                <w:lang w:eastAsia="en-US"/>
              </w:rPr>
            </w:pPr>
            <w:r w:rsidRPr="009E7D4D">
              <w:rPr>
                <w:rFonts w:eastAsia="Times New Roman"/>
                <w:sz w:val="20"/>
                <w:lang w:eastAsia="en-US"/>
              </w:rPr>
              <w:t>Switzerland</w:t>
            </w:r>
          </w:p>
        </w:tc>
        <w:tc>
          <w:tcPr>
            <w:tcW w:w="2070" w:type="dxa"/>
            <w:shd w:val="clear" w:color="auto" w:fill="auto"/>
          </w:tcPr>
          <w:p w:rsidR="006B41E4" w:rsidRPr="009E7D4D" w:rsidRDefault="006B41E4" w:rsidP="006B41E4">
            <w:pPr>
              <w:jc w:val="right"/>
              <w:rPr>
                <w:rFonts w:eastAsia="Times New Roman"/>
                <w:sz w:val="20"/>
                <w:lang w:eastAsia="en-US"/>
              </w:rPr>
            </w:pPr>
            <w:r w:rsidRPr="009E7D4D">
              <w:rPr>
                <w:rFonts w:eastAsia="Times New Roman"/>
                <w:sz w:val="20"/>
                <w:lang w:eastAsia="en-US"/>
              </w:rPr>
              <w:t>195.9</w:t>
            </w:r>
          </w:p>
        </w:tc>
      </w:tr>
    </w:tbl>
    <w:p w:rsidR="006B41E4" w:rsidRDefault="006B41E4" w:rsidP="006B41E4"/>
    <w:p w:rsidR="006B41E4" w:rsidRDefault="006B41E4" w:rsidP="006B41E4">
      <w:r>
        <w:fldChar w:fldCharType="begin"/>
      </w:r>
      <w:r>
        <w:instrText xml:space="preserve"> AUTONUM  </w:instrText>
      </w:r>
      <w:r>
        <w:fldChar w:fldCharType="end"/>
      </w:r>
      <w:r>
        <w:tab/>
        <w:t>Lastly, it is expected that the premises will usually be provided by the host government.  Any additional contribution and in-kind support such as personnel resources will also have to be factored in.</w:t>
      </w:r>
    </w:p>
    <w:p w:rsidR="006B41E4" w:rsidRDefault="006B41E4" w:rsidP="006B41E4"/>
    <w:p w:rsidR="006B41E4" w:rsidRDefault="006B41E4" w:rsidP="006B41E4">
      <w:r>
        <w:fldChar w:fldCharType="begin"/>
      </w:r>
      <w:r>
        <w:instrText xml:space="preserve"> AUTONUM  </w:instrText>
      </w:r>
      <w:r>
        <w:fldChar w:fldCharType="end"/>
      </w:r>
      <w:r>
        <w:tab/>
        <w:t xml:space="preserve">The draft Program and Budget has been prepared on the assumption that the five proposed EOs will gradually be staffed by using existing posts without increasing the headcount of the Organization.  WIPO’s </w:t>
      </w:r>
      <w:r w:rsidRPr="008D5A8F">
        <w:rPr>
          <w:rFonts w:eastAsia="Times New Roman"/>
          <w:color w:val="000000"/>
          <w:szCs w:val="22"/>
        </w:rPr>
        <w:t xml:space="preserve">HR Strategy </w:t>
      </w:r>
      <w:r>
        <w:rPr>
          <w:rFonts w:eastAsia="Times New Roman"/>
          <w:color w:val="000000"/>
          <w:szCs w:val="22"/>
        </w:rPr>
        <w:t>does</w:t>
      </w:r>
      <w:r w:rsidRPr="008D5A8F">
        <w:rPr>
          <w:rFonts w:eastAsia="Times New Roman"/>
          <w:color w:val="000000"/>
          <w:szCs w:val="22"/>
        </w:rPr>
        <w:t xml:space="preserve"> not make specific reference to E</w:t>
      </w:r>
      <w:r>
        <w:rPr>
          <w:rFonts w:eastAsia="Times New Roman"/>
          <w:color w:val="000000"/>
          <w:szCs w:val="22"/>
        </w:rPr>
        <w:t>Os</w:t>
      </w:r>
      <w:r w:rsidRPr="008D5A8F">
        <w:rPr>
          <w:rFonts w:eastAsia="Times New Roman"/>
          <w:color w:val="000000"/>
          <w:szCs w:val="22"/>
        </w:rPr>
        <w:t xml:space="preserve"> but states in a general way that new activities have to be funded by redeployment of existing resources.</w:t>
      </w:r>
      <w:r>
        <w:rPr>
          <w:rFonts w:eastAsia="Times New Roman"/>
          <w:color w:val="000000"/>
          <w:szCs w:val="22"/>
        </w:rPr>
        <w:t xml:space="preserve">  </w:t>
      </w:r>
      <w:r>
        <w:t xml:space="preserve">The phased implementation of the EOs has been factored in the estimate of personnel resources required for external EOs.  </w:t>
      </w:r>
      <w:r w:rsidRPr="00503E03">
        <w:t xml:space="preserve">The Secretariat introduced in the revised SRR the category of National Professional Officers (NPO) who are recruited locally at a duty station outside of Geneva. Salary scales for the NPO category are established on a local basis by comparison with best prevailing conditions of service in the duty station. </w:t>
      </w:r>
      <w:r>
        <w:t xml:space="preserve"> </w:t>
      </w:r>
      <w:r w:rsidRPr="00503E03">
        <w:t xml:space="preserve">NPOs are also entitled to the same allowances and benefits as General Service staff except for overtime compensation. </w:t>
      </w:r>
      <w:r>
        <w:t xml:space="preserve"> It is also to be noted that </w:t>
      </w:r>
      <w:r w:rsidRPr="007A5225">
        <w:t>the post adjustment applies only to internationally</w:t>
      </w:r>
      <w:r>
        <w:t>-</w:t>
      </w:r>
      <w:r w:rsidRPr="007A5225">
        <w:t>recruited staff</w:t>
      </w:r>
      <w:r>
        <w:t xml:space="preserve"> and that NPOs</w:t>
      </w:r>
      <w:r w:rsidRPr="007A5225">
        <w:t xml:space="preserve"> do not get post adjustment. </w:t>
      </w:r>
      <w:r>
        <w:t xml:space="preserve"> </w:t>
      </w:r>
      <w:r w:rsidRPr="00503E03">
        <w:t>The availability of local corporations providing administrative support will be considered.</w:t>
      </w:r>
      <w:r>
        <w:t xml:space="preserve"> </w:t>
      </w:r>
    </w:p>
    <w:p w:rsidR="006B41E4" w:rsidRDefault="006B41E4" w:rsidP="006B41E4"/>
    <w:p w:rsidR="006B41E4" w:rsidRDefault="006B41E4" w:rsidP="006B41E4">
      <w:r>
        <w:fldChar w:fldCharType="begin"/>
      </w:r>
      <w:r>
        <w:instrText xml:space="preserve"> AUTONUM  </w:instrText>
      </w:r>
      <w:r>
        <w:fldChar w:fldCharType="end"/>
      </w:r>
      <w:r>
        <w:tab/>
        <w:t>Taking all the above factors into consideration, the estimated costs in the biennium 2014/15 for the existing EOs and the five proposed EOs are included in the table below.</w:t>
      </w:r>
    </w:p>
    <w:p w:rsidR="006B41E4" w:rsidRDefault="006B41E4" w:rsidP="006B41E4"/>
    <w:p w:rsidR="006B41E4" w:rsidRDefault="006B41E4" w:rsidP="006B41E4"/>
    <w:p w:rsidR="006B41E4" w:rsidRDefault="006B41E4" w:rsidP="006B41E4">
      <w:pPr>
        <w:jc w:val="center"/>
      </w:pPr>
      <w:r>
        <w:t>Table 14:  Estimated Resources of the five proposed EOs in 2014/15</w:t>
      </w:r>
    </w:p>
    <w:bookmarkStart w:id="45" w:name="_MON_1436162492"/>
    <w:bookmarkStart w:id="46" w:name="_MON_1436193183"/>
    <w:bookmarkStart w:id="47" w:name="_MON_1436193210"/>
    <w:bookmarkStart w:id="48" w:name="_MON_1436193231"/>
    <w:bookmarkStart w:id="49" w:name="_MON_1436193284"/>
    <w:bookmarkStart w:id="50" w:name="_MON_1436283139"/>
    <w:bookmarkStart w:id="51" w:name="_MON_1436017886"/>
    <w:bookmarkStart w:id="52" w:name="_MON_1436107099"/>
    <w:bookmarkStart w:id="53" w:name="_MON_1436162180"/>
    <w:bookmarkStart w:id="54" w:name="_MON_1436162205"/>
    <w:bookmarkEnd w:id="45"/>
    <w:bookmarkEnd w:id="46"/>
    <w:bookmarkEnd w:id="47"/>
    <w:bookmarkEnd w:id="48"/>
    <w:bookmarkEnd w:id="49"/>
    <w:bookmarkEnd w:id="50"/>
    <w:bookmarkEnd w:id="51"/>
    <w:bookmarkEnd w:id="52"/>
    <w:bookmarkEnd w:id="53"/>
    <w:bookmarkEnd w:id="54"/>
    <w:bookmarkStart w:id="55" w:name="_MON_1436162438"/>
    <w:bookmarkEnd w:id="55"/>
    <w:p w:rsidR="006B41E4" w:rsidRDefault="006B41E4" w:rsidP="006B41E4">
      <w:r>
        <w:object w:dxaOrig="10229" w:dyaOrig="6507">
          <v:shape id="_x0000_i1034" type="#_x0000_t75" style="width:445pt;height:282pt" o:ole="">
            <v:imagedata r:id="rId28" o:title=""/>
          </v:shape>
          <o:OLEObject Type="Embed" ProgID="Excel.Sheet.12" ShapeID="_x0000_i1034" DrawAspect="Content" ObjectID="_1441105968" r:id="rId29"/>
        </w:object>
      </w:r>
    </w:p>
    <w:p w:rsidR="006B41E4" w:rsidRDefault="006B41E4" w:rsidP="006B41E4"/>
    <w:p w:rsidR="006B41E4" w:rsidRDefault="006B41E4" w:rsidP="006B41E4">
      <w:r>
        <w:fldChar w:fldCharType="begin"/>
      </w:r>
      <w:r>
        <w:instrText xml:space="preserve"> AUTONUM  </w:instrText>
      </w:r>
      <w:r>
        <w:fldChar w:fldCharType="end"/>
      </w:r>
      <w:r>
        <w:tab/>
        <w:t>As part of WIPO’s business continuity and disaster recovery plan which will involve certain EOs, resources requirements for the two mirror sites to create the desired redundancy capability will be met by other relevant Programs in order to gradually develop processing team capacities, one for the PCT, and the other for the Madrid/Hague operation.</w:t>
      </w:r>
    </w:p>
    <w:p w:rsidR="006B41E4" w:rsidRDefault="006B41E4" w:rsidP="006B41E4"/>
    <w:p w:rsidR="006B41E4" w:rsidRDefault="006B41E4" w:rsidP="006B41E4">
      <w:pPr>
        <w:pStyle w:val="Heading2"/>
      </w:pPr>
      <w:bookmarkStart w:id="56" w:name="_Toc362612246"/>
      <w:r>
        <w:t>Legal Issues and Procedures for creating new EO</w:t>
      </w:r>
      <w:r w:rsidRPr="004373A7">
        <w:rPr>
          <w:b/>
          <w:sz w:val="16"/>
          <w:szCs w:val="16"/>
        </w:rPr>
        <w:t>s</w:t>
      </w:r>
      <w:bookmarkEnd w:id="56"/>
    </w:p>
    <w:p w:rsidR="006B41E4" w:rsidRDefault="006B41E4" w:rsidP="006B41E4">
      <w:pPr>
        <w:rPr>
          <w:i/>
        </w:rPr>
      </w:pPr>
    </w:p>
    <w:p w:rsidR="006B41E4" w:rsidRDefault="006B41E4" w:rsidP="006B41E4">
      <w:r>
        <w:fldChar w:fldCharType="begin"/>
      </w:r>
      <w:r>
        <w:instrText xml:space="preserve"> AUTONUM  </w:instrText>
      </w:r>
      <w:r>
        <w:fldChar w:fldCharType="end"/>
      </w:r>
      <w:r>
        <w:tab/>
      </w:r>
      <w:r w:rsidRPr="00EC4441">
        <w:t xml:space="preserve">The decision to establish a new </w:t>
      </w:r>
      <w:r>
        <w:t>EO</w:t>
      </w:r>
      <w:r w:rsidRPr="00EC4441">
        <w:t xml:space="preserve"> is taken by the Assemblies in the adoption of the Program and Budget and upon the advice and recommendation of the </w:t>
      </w:r>
      <w:r>
        <w:t>PBC</w:t>
      </w:r>
      <w:r w:rsidRPr="00EC4441">
        <w:t xml:space="preserve">.  A separate question from the decision to establish an </w:t>
      </w:r>
      <w:r>
        <w:t>EO</w:t>
      </w:r>
      <w:r w:rsidRPr="00EC4441">
        <w:t xml:space="preserve"> is the terms and conditions under which the </w:t>
      </w:r>
      <w:r>
        <w:t>EO</w:t>
      </w:r>
      <w:r w:rsidRPr="00EC4441">
        <w:t xml:space="preserve"> will operate in a host country.  These terms and conditions, including the application of </w:t>
      </w:r>
      <w:r w:rsidRPr="00EC4441">
        <w:lastRenderedPageBreak/>
        <w:t xml:space="preserve">privileges and immunities, are defined in an agreement which is submitted to the Coordination Committee for approval.  This agreement does not constitute the agreement to establish an </w:t>
      </w:r>
      <w:r>
        <w:t>EO</w:t>
      </w:r>
      <w:r w:rsidRPr="00EC4441">
        <w:t xml:space="preserve">, but constitutes the agreement of the terms and conditions under which an </w:t>
      </w:r>
      <w:r>
        <w:t>EO</w:t>
      </w:r>
      <w:r w:rsidRPr="00EC4441">
        <w:t xml:space="preserve"> will operate.</w:t>
      </w:r>
      <w:r>
        <w:t xml:space="preserve">  As described above, the existing EOs were included in the Program and Budget for approval by the Assemblies meetings. </w:t>
      </w:r>
    </w:p>
    <w:p w:rsidR="006B41E4" w:rsidRDefault="006B41E4" w:rsidP="006B41E4"/>
    <w:p w:rsidR="006B41E4" w:rsidRDefault="006B41E4" w:rsidP="006B41E4">
      <w:r>
        <w:fldChar w:fldCharType="begin"/>
      </w:r>
      <w:r>
        <w:instrText xml:space="preserve"> AUTONUM  </w:instrText>
      </w:r>
      <w:r>
        <w:fldChar w:fldCharType="end"/>
      </w:r>
      <w:r>
        <w:tab/>
        <w:t>As regards a question raised by some delegations at the July session of the PBC in connection with the procedures and legal questions on agreements with Russian Federation and China, the Legal Counsel clarified this matter.  The Secretariat signed the agreements and included express provisions in both agreements that they were subject to confirmation by the Coordination Committee.  This has been the practice each time an agreement is submitted to the Coordination Committee for its approval.  If the Member States so wish, the practice can be changed such that, in future, agreements will only be signed after they have been approved by the Coordination Committee.  They do contain the necessary provision: Article 8(3) of the agreement with the People’s Republic of China, and Article 7(3) of the agreement with the Russian Federation both state that they “shall enter into force on the date of the last notification where either Party notifies the other in writing of the completion of the respective internal procedures required for the entry into force” of the agreements.  Only the Coordination Committee gives its approval under WIPO’s internal procedures.</w:t>
      </w:r>
    </w:p>
    <w:p w:rsidR="006B41E4" w:rsidRDefault="006B41E4" w:rsidP="006B41E4">
      <w:pPr>
        <w:rPr>
          <w:i/>
        </w:rPr>
      </w:pPr>
    </w:p>
    <w:p w:rsidR="006B41E4" w:rsidRPr="00101F76" w:rsidRDefault="006B41E4" w:rsidP="006B41E4">
      <w:pPr>
        <w:pStyle w:val="Heading1"/>
      </w:pPr>
      <w:bookmarkStart w:id="57" w:name="_Toc362612247"/>
      <w:r w:rsidRPr="00101F76">
        <w:t>Beyond the Proposed Five</w:t>
      </w:r>
      <w:bookmarkEnd w:id="57"/>
    </w:p>
    <w:p w:rsidR="006B41E4" w:rsidRDefault="006B41E4" w:rsidP="006B41E4">
      <w:pPr>
        <w:rPr>
          <w:i/>
        </w:rPr>
      </w:pPr>
    </w:p>
    <w:p w:rsidR="006B41E4" w:rsidRPr="009D0AEF" w:rsidRDefault="006B41E4" w:rsidP="006B41E4">
      <w:r w:rsidRPr="009D0AEF">
        <w:fldChar w:fldCharType="begin"/>
      </w:r>
      <w:r w:rsidRPr="009D0AEF">
        <w:instrText xml:space="preserve"> AUTONUM  </w:instrText>
      </w:r>
      <w:r w:rsidRPr="009D0AEF">
        <w:fldChar w:fldCharType="end"/>
      </w:r>
      <w:r w:rsidRPr="009D0AEF">
        <w:tab/>
        <w:t xml:space="preserve">It is considered that the establishment of </w:t>
      </w:r>
      <w:r>
        <w:t>EO</w:t>
      </w:r>
      <w:r w:rsidRPr="009D0AEF">
        <w:t>s is a process, rather than a single event.  Five new offices within a Biennium represent what is considered to be</w:t>
      </w:r>
      <w:r>
        <w:t xml:space="preserve"> optimal </w:t>
      </w:r>
      <w:r w:rsidRPr="009D0AEF">
        <w:t>in order to ensure a smooth deployment</w:t>
      </w:r>
      <w:r>
        <w:t xml:space="preserve"> of a geographically representative and strategically important sample.  H</w:t>
      </w:r>
      <w:r w:rsidRPr="009D0AEF">
        <w:t xml:space="preserve">owever, there are strong demands for additional offices.  </w:t>
      </w:r>
      <w:r>
        <w:t>T</w:t>
      </w:r>
      <w:r w:rsidRPr="009D0AEF">
        <w:t xml:space="preserve">he Group of Latin America and the Caribbean </w:t>
      </w:r>
      <w:r>
        <w:t xml:space="preserve">(GRULAC) </w:t>
      </w:r>
      <w:r w:rsidRPr="009D0AEF">
        <w:t>has called for the establishment of a second office in the region, notably one that might be located in a Spanish-speaking country</w:t>
      </w:r>
      <w:r>
        <w:t xml:space="preserve">.  The countries of GRULAC consider that the proposal in the draft </w:t>
      </w:r>
      <w:r w:rsidRPr="006375F7">
        <w:t>Program and</w:t>
      </w:r>
      <w:r>
        <w:t xml:space="preserve"> Budget should be expanded to six EOs, including a second office in Latin America as the sixth. </w:t>
      </w:r>
      <w:r w:rsidRPr="009D0AEF">
        <w:t xml:space="preserve"> India, the second most populous country in the world and the tenth largest economy in the world, has </w:t>
      </w:r>
      <w:r>
        <w:t xml:space="preserve">also </w:t>
      </w:r>
      <w:r w:rsidRPr="009D0AEF">
        <w:t xml:space="preserve">requested to host an </w:t>
      </w:r>
      <w:r>
        <w:t>EO</w:t>
      </w:r>
      <w:r w:rsidRPr="009D0AEF">
        <w:t xml:space="preserve">.  </w:t>
      </w:r>
      <w:r>
        <w:t xml:space="preserve">It is understood that the patience being demonstrated by India for the coming Biennium, does not lessen the strength of its conviction that an EO should be established in India.  </w:t>
      </w:r>
      <w:r w:rsidRPr="009D0AEF">
        <w:t xml:space="preserve">The list could be </w:t>
      </w:r>
      <w:r>
        <w:t xml:space="preserve">further </w:t>
      </w:r>
      <w:r w:rsidRPr="009D0AEF">
        <w:t xml:space="preserve">extended.  </w:t>
      </w:r>
      <w:r>
        <w:t>T</w:t>
      </w:r>
      <w:r w:rsidRPr="009D0AEF">
        <w:t>hese other demands will need to be discussed and decided</w:t>
      </w:r>
      <w:r>
        <w:t xml:space="preserve"> upon.</w:t>
      </w:r>
    </w:p>
    <w:p w:rsidR="006B41E4" w:rsidRDefault="006B41E4" w:rsidP="006B41E4"/>
    <w:p w:rsidR="006B41E4" w:rsidRDefault="006B41E4" w:rsidP="006B41E4">
      <w:r>
        <w:fldChar w:fldCharType="begin"/>
      </w:r>
      <w:r>
        <w:instrText xml:space="preserve"> AUTONUM  </w:instrText>
      </w:r>
      <w:r>
        <w:fldChar w:fldCharType="end"/>
      </w:r>
      <w:r>
        <w:tab/>
        <w:t>As agreed at the PBC in July 2013, further informal consultations are planned on the basis of this document, and a member-driven process will determine what process should be established to decide whether and what additional EOs should be created in the next biennium and beyond.</w:t>
      </w:r>
    </w:p>
    <w:p w:rsidR="006B41E4" w:rsidRDefault="006B41E4" w:rsidP="006B41E4">
      <w:r>
        <w:br w:type="page"/>
      </w:r>
    </w:p>
    <w:p w:rsidR="006B41E4" w:rsidRDefault="006B41E4" w:rsidP="006B41E4"/>
    <w:p w:rsidR="006B41E4" w:rsidRDefault="006B41E4" w:rsidP="006B41E4"/>
    <w:p w:rsidR="006B41E4" w:rsidRDefault="006B41E4" w:rsidP="006B41E4">
      <w:pPr>
        <w:pStyle w:val="Heading1"/>
      </w:pPr>
      <w:bookmarkStart w:id="58" w:name="_Toc362612248"/>
      <w:r>
        <w:t>List of Documents in Annex</w:t>
      </w:r>
      <w:bookmarkEnd w:id="58"/>
      <w:r>
        <w:t xml:space="preserve"> </w:t>
      </w:r>
    </w:p>
    <w:p w:rsidR="006B41E4" w:rsidRDefault="006B41E4" w:rsidP="006B41E4"/>
    <w:p w:rsidR="006B41E4" w:rsidRPr="006B1117" w:rsidRDefault="006B41E4" w:rsidP="006B41E4">
      <w:pPr>
        <w:rPr>
          <w:rFonts w:eastAsia="MS Mincho"/>
          <w:szCs w:val="22"/>
          <w:lang w:eastAsia="ja-JP"/>
        </w:rPr>
      </w:pPr>
      <w:r>
        <w:fldChar w:fldCharType="begin"/>
      </w:r>
      <w:r>
        <w:instrText xml:space="preserve"> AUTONUM  </w:instrText>
      </w:r>
      <w:r>
        <w:fldChar w:fldCharType="end"/>
      </w:r>
      <w:r>
        <w:tab/>
        <w:t>At the request of several delegations, this document reproduces the previously published relevant documents as annexes, as follows:</w:t>
      </w:r>
    </w:p>
    <w:p w:rsidR="006B41E4" w:rsidRPr="006B1117" w:rsidRDefault="006B41E4" w:rsidP="006B41E4">
      <w:pPr>
        <w:spacing w:after="200" w:line="276" w:lineRule="auto"/>
        <w:ind w:left="567"/>
        <w:jc w:val="center"/>
        <w:rPr>
          <w:rFonts w:eastAsia="MS Mincho"/>
          <w:szCs w:val="22"/>
          <w:lang w:eastAsia="ja-JP"/>
        </w:rPr>
      </w:pPr>
    </w:p>
    <w:p w:rsidR="006B41E4" w:rsidRPr="00745F3C" w:rsidRDefault="006B41E4" w:rsidP="006B41E4">
      <w:pPr>
        <w:tabs>
          <w:tab w:val="left" w:pos="1701"/>
          <w:tab w:val="left" w:pos="1985"/>
        </w:tabs>
        <w:spacing w:after="200" w:line="276" w:lineRule="auto"/>
        <w:ind w:left="567"/>
      </w:pPr>
      <w:r w:rsidRPr="00745F3C">
        <w:rPr>
          <w:rFonts w:eastAsia="MS Mincho"/>
          <w:szCs w:val="22"/>
          <w:lang w:eastAsia="ja-JP"/>
        </w:rPr>
        <w:t>Annex I</w:t>
      </w:r>
      <w:r w:rsidRPr="00745F3C">
        <w:rPr>
          <w:rFonts w:eastAsia="MS Mincho"/>
          <w:szCs w:val="22"/>
          <w:lang w:eastAsia="ja-JP"/>
        </w:rPr>
        <w:tab/>
      </w:r>
      <w:r w:rsidRPr="00745F3C">
        <w:rPr>
          <w:rFonts w:eastAsia="MS Mincho"/>
          <w:szCs w:val="22"/>
          <w:lang w:eastAsia="ja-JP"/>
        </w:rPr>
        <w:tab/>
      </w:r>
      <w:r w:rsidRPr="00745F3C">
        <w:t>Paragraph 144 of document WO/PBC/4/2</w:t>
      </w:r>
    </w:p>
    <w:p w:rsidR="006B41E4" w:rsidRPr="00745F3C" w:rsidRDefault="006B41E4" w:rsidP="006B41E4">
      <w:pPr>
        <w:tabs>
          <w:tab w:val="left" w:pos="1701"/>
          <w:tab w:val="left" w:pos="1985"/>
        </w:tabs>
        <w:spacing w:after="200" w:line="276" w:lineRule="auto"/>
        <w:ind w:left="567"/>
        <w:rPr>
          <w:rFonts w:eastAsia="MS Mincho"/>
          <w:szCs w:val="22"/>
          <w:lang w:eastAsia="ja-JP"/>
        </w:rPr>
      </w:pPr>
      <w:r w:rsidRPr="00745F3C">
        <w:rPr>
          <w:rFonts w:eastAsia="MS Mincho"/>
          <w:szCs w:val="22"/>
          <w:lang w:eastAsia="ja-JP"/>
        </w:rPr>
        <w:t>Annex II</w:t>
      </w:r>
      <w:r w:rsidRPr="00745F3C">
        <w:rPr>
          <w:rFonts w:eastAsia="MS Mincho"/>
          <w:szCs w:val="22"/>
          <w:lang w:eastAsia="ja-JP"/>
        </w:rPr>
        <w:tab/>
      </w:r>
      <w:r w:rsidRPr="00745F3C">
        <w:rPr>
          <w:rFonts w:eastAsia="MS Mincho"/>
          <w:szCs w:val="22"/>
          <w:lang w:eastAsia="ja-JP"/>
        </w:rPr>
        <w:tab/>
        <w:t xml:space="preserve">Annex IV of document WO/CC/52/1 </w:t>
      </w:r>
    </w:p>
    <w:p w:rsidR="006B41E4" w:rsidRPr="00745F3C" w:rsidRDefault="006B41E4" w:rsidP="006B41E4">
      <w:pPr>
        <w:tabs>
          <w:tab w:val="left" w:pos="1701"/>
          <w:tab w:val="left" w:pos="1985"/>
        </w:tabs>
        <w:spacing w:after="200" w:line="276" w:lineRule="auto"/>
        <w:ind w:left="567"/>
        <w:rPr>
          <w:rFonts w:eastAsia="MS Mincho"/>
          <w:szCs w:val="22"/>
          <w:lang w:eastAsia="ja-JP"/>
        </w:rPr>
      </w:pPr>
      <w:r w:rsidRPr="00745F3C">
        <w:rPr>
          <w:rFonts w:eastAsia="MS Mincho"/>
          <w:szCs w:val="22"/>
          <w:lang w:eastAsia="ja-JP"/>
        </w:rPr>
        <w:t>Annex III</w:t>
      </w:r>
      <w:r w:rsidRPr="00745F3C">
        <w:rPr>
          <w:rFonts w:eastAsia="MS Mincho"/>
          <w:szCs w:val="22"/>
          <w:lang w:eastAsia="ja-JP"/>
        </w:rPr>
        <w:tab/>
      </w:r>
      <w:r w:rsidRPr="00745F3C">
        <w:rPr>
          <w:rFonts w:eastAsia="MS Mincho"/>
          <w:szCs w:val="22"/>
          <w:lang w:eastAsia="ja-JP"/>
        </w:rPr>
        <w:tab/>
        <w:t xml:space="preserve">Paragraphs 67 and 142 of document A/40/7 </w:t>
      </w:r>
    </w:p>
    <w:p w:rsidR="006B41E4" w:rsidRPr="00745F3C" w:rsidRDefault="006B41E4" w:rsidP="006B41E4">
      <w:pPr>
        <w:tabs>
          <w:tab w:val="left" w:pos="1701"/>
          <w:tab w:val="left" w:pos="1985"/>
        </w:tabs>
        <w:spacing w:after="200" w:line="276" w:lineRule="auto"/>
        <w:ind w:left="567"/>
      </w:pPr>
      <w:r w:rsidRPr="00745F3C">
        <w:rPr>
          <w:rFonts w:eastAsia="MS Mincho"/>
          <w:szCs w:val="22"/>
          <w:lang w:eastAsia="ja-JP"/>
        </w:rPr>
        <w:t>Annex IV</w:t>
      </w:r>
      <w:r w:rsidRPr="00745F3C">
        <w:rPr>
          <w:rFonts w:eastAsia="MS Mincho"/>
          <w:szCs w:val="22"/>
          <w:lang w:eastAsia="ja-JP"/>
        </w:rPr>
        <w:tab/>
      </w:r>
      <w:r w:rsidRPr="00745F3C">
        <w:rPr>
          <w:rFonts w:eastAsia="MS Mincho"/>
          <w:szCs w:val="22"/>
          <w:lang w:eastAsia="ja-JP"/>
        </w:rPr>
        <w:tab/>
      </w:r>
      <w:r w:rsidRPr="00745F3C">
        <w:t xml:space="preserve">Annex I of document WO/CC/53/2 </w:t>
      </w:r>
    </w:p>
    <w:p w:rsidR="006B41E4" w:rsidRPr="00745F3C" w:rsidRDefault="006B41E4" w:rsidP="006B41E4">
      <w:pPr>
        <w:tabs>
          <w:tab w:val="left" w:pos="1701"/>
          <w:tab w:val="left" w:pos="1985"/>
        </w:tabs>
        <w:spacing w:after="200" w:line="276" w:lineRule="auto"/>
        <w:ind w:left="567"/>
      </w:pPr>
      <w:r w:rsidRPr="00745F3C">
        <w:rPr>
          <w:rFonts w:eastAsia="MS Mincho"/>
          <w:szCs w:val="22"/>
          <w:lang w:eastAsia="ja-JP"/>
        </w:rPr>
        <w:t>Annex V</w:t>
      </w:r>
      <w:r w:rsidRPr="00745F3C">
        <w:rPr>
          <w:rFonts w:eastAsia="MS Mincho"/>
          <w:szCs w:val="22"/>
          <w:lang w:eastAsia="ja-JP"/>
        </w:rPr>
        <w:tab/>
      </w:r>
      <w:r w:rsidRPr="00745F3C">
        <w:rPr>
          <w:rFonts w:eastAsia="MS Mincho"/>
          <w:szCs w:val="22"/>
          <w:lang w:eastAsia="ja-JP"/>
        </w:rPr>
        <w:tab/>
        <w:t>P</w:t>
      </w:r>
      <w:r w:rsidRPr="00745F3C">
        <w:t xml:space="preserve">aragraphs </w:t>
      </w:r>
      <w:r>
        <w:t>3</w:t>
      </w:r>
      <w:r w:rsidRPr="00745F3C">
        <w:t>8 and 141 of document A/41/17</w:t>
      </w:r>
    </w:p>
    <w:p w:rsidR="006B41E4" w:rsidRPr="00745F3C" w:rsidRDefault="006B41E4" w:rsidP="006B41E4">
      <w:pPr>
        <w:tabs>
          <w:tab w:val="left" w:pos="1701"/>
          <w:tab w:val="left" w:pos="1985"/>
        </w:tabs>
        <w:spacing w:after="200" w:line="276" w:lineRule="auto"/>
        <w:ind w:left="567"/>
      </w:pPr>
      <w:r w:rsidRPr="00745F3C">
        <w:rPr>
          <w:rFonts w:eastAsia="MS Mincho"/>
          <w:szCs w:val="22"/>
          <w:lang w:eastAsia="ja-JP"/>
        </w:rPr>
        <w:t>Annex VI</w:t>
      </w:r>
      <w:r w:rsidRPr="00745F3C">
        <w:rPr>
          <w:rFonts w:eastAsia="MS Mincho"/>
          <w:szCs w:val="22"/>
          <w:lang w:eastAsia="ja-JP"/>
        </w:rPr>
        <w:tab/>
      </w:r>
      <w:r w:rsidRPr="00745F3C">
        <w:rPr>
          <w:rFonts w:eastAsia="MS Mincho"/>
          <w:szCs w:val="22"/>
          <w:lang w:eastAsia="ja-JP"/>
        </w:rPr>
        <w:tab/>
        <w:t>D</w:t>
      </w:r>
      <w:r w:rsidRPr="00745F3C">
        <w:t>ocument WO/PBC/12/3 (Program 02 External Coordination)</w:t>
      </w:r>
    </w:p>
    <w:p w:rsidR="006B41E4" w:rsidRPr="00745F3C" w:rsidRDefault="006B41E4" w:rsidP="006B41E4">
      <w:pPr>
        <w:tabs>
          <w:tab w:val="left" w:pos="1701"/>
          <w:tab w:val="left" w:pos="1985"/>
        </w:tabs>
        <w:spacing w:after="200" w:line="276" w:lineRule="auto"/>
        <w:ind w:left="567"/>
      </w:pPr>
      <w:r w:rsidRPr="00745F3C">
        <w:rPr>
          <w:rFonts w:eastAsia="MS Mincho"/>
          <w:szCs w:val="22"/>
          <w:lang w:eastAsia="ja-JP"/>
        </w:rPr>
        <w:t>Annex VII</w:t>
      </w:r>
      <w:r w:rsidRPr="00745F3C">
        <w:rPr>
          <w:rFonts w:eastAsia="MS Mincho"/>
          <w:szCs w:val="22"/>
          <w:lang w:eastAsia="ja-JP"/>
        </w:rPr>
        <w:tab/>
      </w:r>
      <w:r w:rsidRPr="00745F3C">
        <w:rPr>
          <w:rFonts w:eastAsia="MS Mincho"/>
          <w:szCs w:val="22"/>
          <w:lang w:eastAsia="ja-JP"/>
        </w:rPr>
        <w:tab/>
        <w:t>P</w:t>
      </w:r>
      <w:r w:rsidRPr="00745F3C">
        <w:t xml:space="preserve">aragraph 39 of document A/46/12  </w:t>
      </w:r>
    </w:p>
    <w:p w:rsidR="006B41E4" w:rsidRPr="00745F3C" w:rsidRDefault="006B41E4" w:rsidP="006B41E4">
      <w:pPr>
        <w:tabs>
          <w:tab w:val="left" w:pos="1701"/>
          <w:tab w:val="left" w:pos="1985"/>
        </w:tabs>
        <w:spacing w:after="200" w:line="276" w:lineRule="auto"/>
        <w:ind w:left="567"/>
        <w:rPr>
          <w:rFonts w:eastAsia="MS Mincho"/>
          <w:szCs w:val="22"/>
          <w:lang w:eastAsia="ja-JP"/>
        </w:rPr>
      </w:pPr>
      <w:r w:rsidRPr="00745F3C">
        <w:rPr>
          <w:rFonts w:eastAsia="MS Mincho"/>
          <w:szCs w:val="22"/>
          <w:lang w:eastAsia="ja-JP"/>
        </w:rPr>
        <w:t>Annex VIII</w:t>
      </w:r>
      <w:r w:rsidRPr="00745F3C">
        <w:rPr>
          <w:rFonts w:eastAsia="MS Mincho"/>
          <w:szCs w:val="22"/>
          <w:lang w:eastAsia="ja-JP"/>
        </w:rPr>
        <w:tab/>
      </w:r>
      <w:r w:rsidRPr="00745F3C">
        <w:rPr>
          <w:rFonts w:eastAsia="MS Mincho"/>
          <w:szCs w:val="22"/>
          <w:lang w:eastAsia="ja-JP"/>
        </w:rPr>
        <w:tab/>
        <w:t>Document WO/CC/62/3</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IX</w:t>
      </w:r>
      <w:r w:rsidRPr="00745F3C">
        <w:rPr>
          <w:rFonts w:eastAsia="MS Mincho"/>
          <w:szCs w:val="22"/>
          <w:lang w:eastAsia="ja-JP"/>
        </w:rPr>
        <w:tab/>
        <w:t>Document WO/CC/62/4</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 xml:space="preserve">Annex X </w:t>
      </w:r>
      <w:r w:rsidRPr="00745F3C">
        <w:rPr>
          <w:rFonts w:eastAsia="MS Mincho"/>
          <w:szCs w:val="22"/>
          <w:lang w:eastAsia="ja-JP"/>
        </w:rPr>
        <w:tab/>
        <w:t>Page 122 of document WO/PBC/13/4</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XI</w:t>
      </w:r>
      <w:r w:rsidRPr="00745F3C">
        <w:rPr>
          <w:rFonts w:eastAsia="MS Mincho"/>
          <w:szCs w:val="22"/>
          <w:lang w:eastAsia="ja-JP"/>
        </w:rPr>
        <w:tab/>
        <w:t xml:space="preserve">Document A/48/12 Rev. </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XII</w:t>
      </w:r>
      <w:r w:rsidRPr="00745F3C">
        <w:rPr>
          <w:rFonts w:eastAsia="MS Mincho"/>
          <w:szCs w:val="22"/>
          <w:lang w:eastAsia="ja-JP"/>
        </w:rPr>
        <w:tab/>
        <w:t>Paragraph 262 of document A/48/26</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XIII</w:t>
      </w:r>
      <w:r w:rsidRPr="00745F3C">
        <w:rPr>
          <w:rFonts w:eastAsia="MS Mincho"/>
          <w:szCs w:val="22"/>
          <w:lang w:eastAsia="ja-JP"/>
        </w:rPr>
        <w:tab/>
        <w:t>Information note distributed at the first informal consultation in 2010</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XIV</w:t>
      </w:r>
      <w:r w:rsidRPr="00745F3C">
        <w:rPr>
          <w:rFonts w:eastAsia="MS Mincho"/>
          <w:szCs w:val="22"/>
          <w:lang w:eastAsia="ja-JP"/>
        </w:rPr>
        <w:tab/>
        <w:t>Information note distributed at the second informal consultation in 2011</w:t>
      </w:r>
    </w:p>
    <w:p w:rsidR="006B41E4" w:rsidRPr="00745F3C" w:rsidRDefault="006B41E4" w:rsidP="006B41E4">
      <w:pPr>
        <w:tabs>
          <w:tab w:val="left" w:pos="1985"/>
        </w:tabs>
        <w:spacing w:after="200" w:line="276" w:lineRule="auto"/>
        <w:ind w:left="567"/>
        <w:rPr>
          <w:rFonts w:eastAsia="MS Mincho"/>
          <w:szCs w:val="22"/>
          <w:lang w:eastAsia="ja-JP"/>
        </w:rPr>
      </w:pPr>
      <w:r w:rsidRPr="00745F3C">
        <w:rPr>
          <w:rFonts w:eastAsia="MS Mincho"/>
          <w:szCs w:val="22"/>
          <w:lang w:eastAsia="ja-JP"/>
        </w:rPr>
        <w:t>Annex XV</w:t>
      </w:r>
      <w:r w:rsidRPr="00745F3C">
        <w:rPr>
          <w:rFonts w:eastAsia="MS Mincho"/>
          <w:szCs w:val="22"/>
          <w:lang w:eastAsia="ja-JP"/>
        </w:rPr>
        <w:tab/>
        <w:t>White Paper distributed at the Program and Budget Committee in July</w:t>
      </w:r>
    </w:p>
    <w:p w:rsidR="006B41E4" w:rsidRPr="002208C3" w:rsidRDefault="006B41E4" w:rsidP="006B41E4">
      <w:pPr>
        <w:spacing w:after="200" w:line="276" w:lineRule="auto"/>
        <w:ind w:left="567"/>
        <w:rPr>
          <w:rFonts w:eastAsia="MS Mincho"/>
          <w:szCs w:val="22"/>
          <w:lang w:eastAsia="ja-JP"/>
        </w:rPr>
      </w:pPr>
    </w:p>
    <w:p w:rsidR="006B41E4" w:rsidRPr="00165587" w:rsidRDefault="006B41E4" w:rsidP="006B41E4"/>
    <w:p w:rsidR="006B41E4" w:rsidRDefault="006B41E4" w:rsidP="006B41E4"/>
    <w:p w:rsidR="006B41E4" w:rsidRPr="00D578DA" w:rsidRDefault="006B41E4" w:rsidP="00D578DA">
      <w:pPr>
        <w:ind w:left="5533"/>
        <w:jc w:val="right"/>
      </w:pPr>
      <w:r w:rsidRPr="00D578DA">
        <w:t>[Annexes follow]</w:t>
      </w:r>
    </w:p>
    <w:p w:rsidR="006B41E4" w:rsidRDefault="006B41E4" w:rsidP="006B41E4"/>
    <w:p w:rsidR="005658DB" w:rsidRDefault="005658DB"/>
    <w:p w:rsidR="005658DB" w:rsidRDefault="005658DB" w:rsidP="00735FE5"/>
    <w:sectPr w:rsidR="005658DB" w:rsidSect="00D578DA">
      <w:headerReference w:type="first" r:id="rId30"/>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4BA" w:rsidRDefault="001A34BA">
      <w:r>
        <w:separator/>
      </w:r>
    </w:p>
  </w:endnote>
  <w:endnote w:type="continuationSeparator" w:id="0">
    <w:p w:rsidR="001A34BA" w:rsidRDefault="001A34BA" w:rsidP="003B38C1">
      <w:r>
        <w:separator/>
      </w:r>
    </w:p>
    <w:p w:rsidR="001A34BA" w:rsidRPr="003B38C1" w:rsidRDefault="001A34BA" w:rsidP="003B38C1">
      <w:pPr>
        <w:spacing w:after="60"/>
        <w:rPr>
          <w:sz w:val="17"/>
        </w:rPr>
      </w:pPr>
      <w:r>
        <w:rPr>
          <w:sz w:val="17"/>
        </w:rPr>
        <w:t>[Endnote continued from previous page]</w:t>
      </w:r>
    </w:p>
  </w:endnote>
  <w:endnote w:type="continuationNotice" w:id="1">
    <w:p w:rsidR="001A34BA" w:rsidRPr="003B38C1" w:rsidRDefault="001A34B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4BA" w:rsidRDefault="001A34BA">
      <w:r>
        <w:separator/>
      </w:r>
    </w:p>
  </w:footnote>
  <w:footnote w:type="continuationSeparator" w:id="0">
    <w:p w:rsidR="001A34BA" w:rsidRDefault="001A34BA" w:rsidP="008B60B2">
      <w:r>
        <w:separator/>
      </w:r>
    </w:p>
    <w:p w:rsidR="001A34BA" w:rsidRPr="00ED77FB" w:rsidRDefault="001A34BA" w:rsidP="008B60B2">
      <w:pPr>
        <w:spacing w:after="60"/>
        <w:rPr>
          <w:sz w:val="17"/>
          <w:szCs w:val="17"/>
        </w:rPr>
      </w:pPr>
      <w:r w:rsidRPr="00ED77FB">
        <w:rPr>
          <w:sz w:val="17"/>
          <w:szCs w:val="17"/>
        </w:rPr>
        <w:t>[Footnote continued from previous page]</w:t>
      </w:r>
    </w:p>
  </w:footnote>
  <w:footnote w:type="continuationNotice" w:id="1">
    <w:p w:rsidR="001A34BA" w:rsidRPr="00ED77FB" w:rsidRDefault="001A34BA"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E4" w:rsidRPr="006B41E4" w:rsidRDefault="006B41E4" w:rsidP="006B41E4">
    <w:pPr>
      <w:tabs>
        <w:tab w:val="center" w:pos="4536"/>
        <w:tab w:val="right" w:pos="9072"/>
      </w:tabs>
      <w:ind w:left="720"/>
      <w:jc w:val="right"/>
    </w:pPr>
    <w:r w:rsidRPr="006B41E4">
      <w:t>WO/PBC/21/INF.1</w:t>
    </w:r>
  </w:p>
  <w:p w:rsidR="006B41E4" w:rsidRDefault="006B41E4" w:rsidP="00477D6B">
    <w:pPr>
      <w:jc w:val="right"/>
    </w:pPr>
    <w:proofErr w:type="gramStart"/>
    <w:r>
      <w:t>page</w:t>
    </w:r>
    <w:proofErr w:type="gramEnd"/>
    <w:r>
      <w:t xml:space="preserve"> </w:t>
    </w:r>
    <w:r>
      <w:fldChar w:fldCharType="begin"/>
    </w:r>
    <w:r>
      <w:instrText xml:space="preserve"> PAGE  \* MERGEFORMAT </w:instrText>
    </w:r>
    <w:r>
      <w:fldChar w:fldCharType="separate"/>
    </w:r>
    <w:r w:rsidR="00D578DA">
      <w:rPr>
        <w:noProof/>
      </w:rPr>
      <w:t>2</w:t>
    </w:r>
    <w:r>
      <w:fldChar w:fldCharType="end"/>
    </w:r>
  </w:p>
  <w:p w:rsidR="006B41E4" w:rsidRDefault="006B41E4"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E4" w:rsidRDefault="006B41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40E31AF"/>
    <w:multiLevelType w:val="hybridMultilevel"/>
    <w:tmpl w:val="BB1A8978"/>
    <w:lvl w:ilvl="0" w:tplc="42841F5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48931C0"/>
    <w:multiLevelType w:val="hybridMultilevel"/>
    <w:tmpl w:val="D5CA4B96"/>
    <w:lvl w:ilvl="0" w:tplc="0409000F">
      <w:start w:val="3"/>
      <w:numFmt w:val="decimal"/>
      <w:lvlText w:val="%1."/>
      <w:lvlJc w:val="left"/>
      <w:pPr>
        <w:tabs>
          <w:tab w:val="num" w:pos="720"/>
        </w:tabs>
        <w:ind w:left="720" w:hanging="360"/>
      </w:pPr>
      <w:rPr>
        <w:rFonts w:hint="default"/>
      </w:rPr>
    </w:lvl>
    <w:lvl w:ilvl="1" w:tplc="0E3A0A36">
      <w:start w:val="2"/>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3F25B4"/>
    <w:multiLevelType w:val="hybridMultilevel"/>
    <w:tmpl w:val="3696878C"/>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F46CB9"/>
    <w:multiLevelType w:val="hybridMultilevel"/>
    <w:tmpl w:val="A134D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4F1D00"/>
    <w:multiLevelType w:val="hybridMultilevel"/>
    <w:tmpl w:val="ADBA30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9361C"/>
    <w:multiLevelType w:val="hybridMultilevel"/>
    <w:tmpl w:val="901C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7D5000"/>
    <w:multiLevelType w:val="singleLevel"/>
    <w:tmpl w:val="0409000F"/>
    <w:lvl w:ilvl="0">
      <w:start w:val="1"/>
      <w:numFmt w:val="decimal"/>
      <w:lvlText w:val="%1."/>
      <w:lvlJc w:val="left"/>
      <w:pPr>
        <w:tabs>
          <w:tab w:val="num" w:pos="360"/>
        </w:tabs>
        <w:ind w:left="360" w:hanging="360"/>
      </w:pPr>
    </w:lvl>
  </w:abstractNum>
  <w:abstractNum w:abstractNumId="9">
    <w:nsid w:val="1C0C3AE7"/>
    <w:multiLevelType w:val="hybridMultilevel"/>
    <w:tmpl w:val="ECAC08A8"/>
    <w:lvl w:ilvl="0" w:tplc="843449A2">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0C37DDD"/>
    <w:multiLevelType w:val="hybridMultilevel"/>
    <w:tmpl w:val="227E9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836131"/>
    <w:multiLevelType w:val="hybridMultilevel"/>
    <w:tmpl w:val="9B56E366"/>
    <w:lvl w:ilvl="0" w:tplc="B700EC88">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00D09"/>
    <w:multiLevelType w:val="hybridMultilevel"/>
    <w:tmpl w:val="18722EE2"/>
    <w:lvl w:ilvl="0" w:tplc="1FF2CB20">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4001BE"/>
    <w:multiLevelType w:val="hybridMultilevel"/>
    <w:tmpl w:val="8CB6C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F032A5"/>
    <w:multiLevelType w:val="hybridMultilevel"/>
    <w:tmpl w:val="5DD65F36"/>
    <w:lvl w:ilvl="0" w:tplc="F42853E2">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6">
    <w:nsid w:val="342954F8"/>
    <w:multiLevelType w:val="hybridMultilevel"/>
    <w:tmpl w:val="5352DAA6"/>
    <w:lvl w:ilvl="0" w:tplc="C44C48FA">
      <w:start w:val="1"/>
      <w:numFmt w:val="lowerRoman"/>
      <w:lvlText w:val="(%1)"/>
      <w:lvlJc w:val="left"/>
      <w:pPr>
        <w:ind w:left="780" w:hanging="360"/>
      </w:pPr>
      <w:rPr>
        <w:rFonts w:ascii="Arial" w:hAnsi="Arial" w:cs="Arial" w:hint="default"/>
        <w:sz w:val="22"/>
        <w:szCs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34387871"/>
    <w:multiLevelType w:val="hybridMultilevel"/>
    <w:tmpl w:val="960A6138"/>
    <w:lvl w:ilvl="0" w:tplc="37587AD4">
      <w:start w:val="1"/>
      <w:numFmt w:val="lowerRoman"/>
      <w:lvlText w:val="(%1)"/>
      <w:lvlJc w:val="left"/>
      <w:pPr>
        <w:ind w:left="720" w:hanging="360"/>
      </w:pPr>
      <w:rPr>
        <w:rFonts w:hint="default"/>
        <w:b w:val="0"/>
        <w:bCs w:val="0"/>
        <w:sz w:val="22"/>
        <w:szCs w:val="22"/>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813C13"/>
    <w:multiLevelType w:val="hybridMultilevel"/>
    <w:tmpl w:val="D1042322"/>
    <w:lvl w:ilvl="0" w:tplc="2E92F310">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EBE323A"/>
    <w:multiLevelType w:val="hybridMultilevel"/>
    <w:tmpl w:val="7F2AEB84"/>
    <w:lvl w:ilvl="0" w:tplc="DBF62A12">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2">
    <w:nsid w:val="434D167A"/>
    <w:multiLevelType w:val="hybridMultilevel"/>
    <w:tmpl w:val="50FC2E58"/>
    <w:lvl w:ilvl="0" w:tplc="5C303632">
      <w:start w:val="2"/>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abstractNum w:abstractNumId="23">
    <w:nsid w:val="435961C7"/>
    <w:multiLevelType w:val="hybridMultilevel"/>
    <w:tmpl w:val="48487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D5032D"/>
    <w:multiLevelType w:val="hybridMultilevel"/>
    <w:tmpl w:val="8000EFA8"/>
    <w:lvl w:ilvl="0" w:tplc="9C98F7FA">
      <w:start w:val="1"/>
      <w:numFmt w:val="lowerRoman"/>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5341EAD"/>
    <w:multiLevelType w:val="hybridMultilevel"/>
    <w:tmpl w:val="EFE4ADB8"/>
    <w:lvl w:ilvl="0" w:tplc="E39ECB3A">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E56887"/>
    <w:multiLevelType w:val="hybridMultilevel"/>
    <w:tmpl w:val="285A7106"/>
    <w:lvl w:ilvl="0" w:tplc="77D2333C">
      <w:start w:val="1"/>
      <w:numFmt w:val="lowerRoman"/>
      <w:lvlText w:val="(%1)"/>
      <w:lvlJc w:val="left"/>
      <w:pPr>
        <w:ind w:left="927" w:hanging="360"/>
      </w:pPr>
      <w:rPr>
        <w:rFonts w:hint="default"/>
        <w:b w:val="0"/>
        <w:bCs w:val="0"/>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050E19"/>
    <w:multiLevelType w:val="hybridMultilevel"/>
    <w:tmpl w:val="C6D678BE"/>
    <w:lvl w:ilvl="0" w:tplc="B700EC88">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4ED76690"/>
    <w:multiLevelType w:val="hybridMultilevel"/>
    <w:tmpl w:val="00F4E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F855581"/>
    <w:multiLevelType w:val="hybridMultilevel"/>
    <w:tmpl w:val="882678F0"/>
    <w:lvl w:ilvl="0" w:tplc="FB92B678">
      <w:start w:val="1"/>
      <w:numFmt w:val="lowerRoman"/>
      <w:lvlText w:val="(%1)"/>
      <w:lvlJc w:val="left"/>
      <w:pPr>
        <w:ind w:left="900" w:hanging="360"/>
      </w:pPr>
      <w:rPr>
        <w:rFonts w:ascii="Arial" w:hAnsi="Arial" w:cs="Arial"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64908FD"/>
    <w:multiLevelType w:val="hybridMultilevel"/>
    <w:tmpl w:val="013E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C2E0863"/>
    <w:multiLevelType w:val="hybridMultilevel"/>
    <w:tmpl w:val="CF625A9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6">
    <w:nsid w:val="5E6A63D6"/>
    <w:multiLevelType w:val="singleLevel"/>
    <w:tmpl w:val="99942F8E"/>
    <w:lvl w:ilvl="0">
      <w:start w:val="1"/>
      <w:numFmt w:val="upperRoman"/>
      <w:lvlText w:val="%1."/>
      <w:lvlJc w:val="left"/>
      <w:pPr>
        <w:tabs>
          <w:tab w:val="num" w:pos="567"/>
        </w:tabs>
        <w:ind w:left="567" w:hanging="567"/>
      </w:pPr>
      <w:rPr>
        <w:rFonts w:ascii="Times New Roman" w:hAnsi="Times New Roman" w:hint="default"/>
        <w:b w:val="0"/>
        <w:i w:val="0"/>
        <w:caps/>
        <w:strike w:val="0"/>
        <w:dstrike w:val="0"/>
        <w:outline w:val="0"/>
        <w:shadow w:val="0"/>
        <w:emboss w:val="0"/>
        <w:imprint w:val="0"/>
        <w:vanish w:val="0"/>
        <w:sz w:val="24"/>
        <w:vertAlign w:val="baseline"/>
      </w:rPr>
    </w:lvl>
  </w:abstractNum>
  <w:abstractNum w:abstractNumId="37">
    <w:nsid w:val="5FC97D7E"/>
    <w:multiLevelType w:val="hybridMultilevel"/>
    <w:tmpl w:val="82F8E00E"/>
    <w:lvl w:ilvl="0" w:tplc="FCF4BD3E">
      <w:start w:val="1"/>
      <w:numFmt w:val="lowerRoman"/>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D8650C"/>
    <w:multiLevelType w:val="hybridMultilevel"/>
    <w:tmpl w:val="21D65312"/>
    <w:lvl w:ilvl="0" w:tplc="32868B14">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935E9C"/>
    <w:multiLevelType w:val="hybridMultilevel"/>
    <w:tmpl w:val="2C96C770"/>
    <w:lvl w:ilvl="0" w:tplc="A64C5BB2">
      <w:start w:val="1"/>
      <w:numFmt w:val="lowerRoman"/>
      <w:lvlText w:val="(%1)"/>
      <w:lvlJc w:val="left"/>
      <w:pPr>
        <w:ind w:left="900" w:hanging="360"/>
      </w:pPr>
      <w:rPr>
        <w:rFonts w:ascii="Arial" w:hAnsi="Arial" w:cs="Arial" w:hint="default"/>
        <w:sz w:val="22"/>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695E07AA"/>
    <w:multiLevelType w:val="hybridMultilevel"/>
    <w:tmpl w:val="45C404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A4E018A"/>
    <w:multiLevelType w:val="hybridMultilevel"/>
    <w:tmpl w:val="6D7CBBB6"/>
    <w:lvl w:ilvl="0" w:tplc="D49E7088">
      <w:start w:val="1"/>
      <w:numFmt w:val="lowerRoman"/>
      <w:lvlText w:val="(%1)"/>
      <w:lvlJc w:val="left"/>
      <w:pPr>
        <w:tabs>
          <w:tab w:val="num" w:pos="794"/>
        </w:tabs>
        <w:ind w:left="794" w:hanging="397"/>
      </w:pPr>
      <w:rPr>
        <w:rFonts w:hint="default"/>
        <w:b w:val="0"/>
        <w:bCs w:val="0"/>
        <w:sz w:val="22"/>
        <w:szCs w:val="22"/>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43">
    <w:nsid w:val="6C513DC4"/>
    <w:multiLevelType w:val="hybridMultilevel"/>
    <w:tmpl w:val="FA229794"/>
    <w:lvl w:ilvl="0" w:tplc="A444460C">
      <w:start w:val="1"/>
      <w:numFmt w:val="lowerRoman"/>
      <w:lvlText w:val="(%1)"/>
      <w:lvlJc w:val="left"/>
      <w:pPr>
        <w:ind w:left="720" w:hanging="360"/>
      </w:pPr>
      <w:rPr>
        <w:rFonts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nsid w:val="7B4974EC"/>
    <w:multiLevelType w:val="hybridMultilevel"/>
    <w:tmpl w:val="ACF49DD8"/>
    <w:lvl w:ilvl="0" w:tplc="E6D6498C">
      <w:start w:val="1"/>
      <w:numFmt w:val="lowerRoman"/>
      <w:lvlText w:val="(%1)"/>
      <w:lvlJc w:val="left"/>
      <w:pPr>
        <w:ind w:left="927" w:hanging="360"/>
      </w:pPr>
      <w:rPr>
        <w:rFonts w:ascii="Arial" w:hAnsi="Arial" w:cs="Arial"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7D421ABB"/>
    <w:multiLevelType w:val="hybridMultilevel"/>
    <w:tmpl w:val="8842B654"/>
    <w:lvl w:ilvl="0" w:tplc="B2AC1BE6">
      <w:start w:val="1"/>
      <w:numFmt w:val="lowerRoman"/>
      <w:lvlText w:val="(%1)"/>
      <w:lvlJc w:val="left"/>
      <w:pPr>
        <w:tabs>
          <w:tab w:val="num" w:pos="2416"/>
        </w:tabs>
        <w:ind w:left="2416" w:hanging="720"/>
      </w:pPr>
      <w:rPr>
        <w:rFonts w:hint="default"/>
      </w:rPr>
    </w:lvl>
    <w:lvl w:ilvl="1" w:tplc="04090019" w:tentative="1">
      <w:start w:val="1"/>
      <w:numFmt w:val="lowerLetter"/>
      <w:lvlText w:val="%2."/>
      <w:lvlJc w:val="left"/>
      <w:pPr>
        <w:tabs>
          <w:tab w:val="num" w:pos="2776"/>
        </w:tabs>
        <w:ind w:left="2776" w:hanging="360"/>
      </w:pPr>
    </w:lvl>
    <w:lvl w:ilvl="2" w:tplc="0409001B" w:tentative="1">
      <w:start w:val="1"/>
      <w:numFmt w:val="lowerRoman"/>
      <w:lvlText w:val="%3."/>
      <w:lvlJc w:val="right"/>
      <w:pPr>
        <w:tabs>
          <w:tab w:val="num" w:pos="3496"/>
        </w:tabs>
        <w:ind w:left="3496" w:hanging="180"/>
      </w:pPr>
    </w:lvl>
    <w:lvl w:ilvl="3" w:tplc="0409000F" w:tentative="1">
      <w:start w:val="1"/>
      <w:numFmt w:val="decimal"/>
      <w:lvlText w:val="%4."/>
      <w:lvlJc w:val="left"/>
      <w:pPr>
        <w:tabs>
          <w:tab w:val="num" w:pos="4216"/>
        </w:tabs>
        <w:ind w:left="4216" w:hanging="360"/>
      </w:pPr>
    </w:lvl>
    <w:lvl w:ilvl="4" w:tplc="04090019" w:tentative="1">
      <w:start w:val="1"/>
      <w:numFmt w:val="lowerLetter"/>
      <w:lvlText w:val="%5."/>
      <w:lvlJc w:val="left"/>
      <w:pPr>
        <w:tabs>
          <w:tab w:val="num" w:pos="4936"/>
        </w:tabs>
        <w:ind w:left="4936" w:hanging="360"/>
      </w:pPr>
    </w:lvl>
    <w:lvl w:ilvl="5" w:tplc="0409001B" w:tentative="1">
      <w:start w:val="1"/>
      <w:numFmt w:val="lowerRoman"/>
      <w:lvlText w:val="%6."/>
      <w:lvlJc w:val="right"/>
      <w:pPr>
        <w:tabs>
          <w:tab w:val="num" w:pos="5656"/>
        </w:tabs>
        <w:ind w:left="5656" w:hanging="180"/>
      </w:pPr>
    </w:lvl>
    <w:lvl w:ilvl="6" w:tplc="0409000F" w:tentative="1">
      <w:start w:val="1"/>
      <w:numFmt w:val="decimal"/>
      <w:lvlText w:val="%7."/>
      <w:lvlJc w:val="left"/>
      <w:pPr>
        <w:tabs>
          <w:tab w:val="num" w:pos="6376"/>
        </w:tabs>
        <w:ind w:left="6376" w:hanging="360"/>
      </w:pPr>
    </w:lvl>
    <w:lvl w:ilvl="7" w:tplc="04090019" w:tentative="1">
      <w:start w:val="1"/>
      <w:numFmt w:val="lowerLetter"/>
      <w:lvlText w:val="%8."/>
      <w:lvlJc w:val="left"/>
      <w:pPr>
        <w:tabs>
          <w:tab w:val="num" w:pos="7096"/>
        </w:tabs>
        <w:ind w:left="7096" w:hanging="360"/>
      </w:pPr>
    </w:lvl>
    <w:lvl w:ilvl="8" w:tplc="0409001B" w:tentative="1">
      <w:start w:val="1"/>
      <w:numFmt w:val="lowerRoman"/>
      <w:lvlText w:val="%9."/>
      <w:lvlJc w:val="right"/>
      <w:pPr>
        <w:tabs>
          <w:tab w:val="num" w:pos="7816"/>
        </w:tabs>
        <w:ind w:left="7816" w:hanging="180"/>
      </w:pPr>
    </w:lvl>
  </w:abstractNum>
  <w:num w:numId="1">
    <w:abstractNumId w:val="8"/>
  </w:num>
  <w:num w:numId="2">
    <w:abstractNumId w:val="25"/>
  </w:num>
  <w:num w:numId="3">
    <w:abstractNumId w:val="0"/>
  </w:num>
  <w:num w:numId="4">
    <w:abstractNumId w:val="30"/>
  </w:num>
  <w:num w:numId="5">
    <w:abstractNumId w:val="3"/>
  </w:num>
  <w:num w:numId="6">
    <w:abstractNumId w:val="1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45"/>
  </w:num>
  <w:num w:numId="10">
    <w:abstractNumId w:val="28"/>
  </w:num>
  <w:num w:numId="11">
    <w:abstractNumId w:val="36"/>
  </w:num>
  <w:num w:numId="12">
    <w:abstractNumId w:val="2"/>
  </w:num>
  <w:num w:numId="13">
    <w:abstractNumId w:val="22"/>
  </w:num>
  <w:num w:numId="14">
    <w:abstractNumId w:val="47"/>
  </w:num>
  <w:num w:numId="15">
    <w:abstractNumId w:val="41"/>
  </w:num>
  <w:num w:numId="16">
    <w:abstractNumId w:val="14"/>
  </w:num>
  <w:num w:numId="17">
    <w:abstractNumId w:val="11"/>
  </w:num>
  <w:num w:numId="18">
    <w:abstractNumId w:val="23"/>
  </w:num>
  <w:num w:numId="19">
    <w:abstractNumId w:val="7"/>
  </w:num>
  <w:num w:numId="20">
    <w:abstractNumId w:val="34"/>
  </w:num>
  <w:num w:numId="21">
    <w:abstractNumId w:val="32"/>
  </w:num>
  <w:num w:numId="22">
    <w:abstractNumId w:val="4"/>
  </w:num>
  <w:num w:numId="23">
    <w:abstractNumId w:val="18"/>
  </w:num>
  <w:num w:numId="24">
    <w:abstractNumId w:val="6"/>
  </w:num>
  <w:num w:numId="25">
    <w:abstractNumId w:val="31"/>
  </w:num>
  <w:num w:numId="26">
    <w:abstractNumId w:val="9"/>
  </w:num>
  <w:num w:numId="27">
    <w:abstractNumId w:val="38"/>
  </w:num>
  <w:num w:numId="28">
    <w:abstractNumId w:val="13"/>
  </w:num>
  <w:num w:numId="29">
    <w:abstractNumId w:val="24"/>
  </w:num>
  <w:num w:numId="30">
    <w:abstractNumId w:val="17"/>
  </w:num>
  <w:num w:numId="31">
    <w:abstractNumId w:val="20"/>
  </w:num>
  <w:num w:numId="32">
    <w:abstractNumId w:val="43"/>
  </w:num>
  <w:num w:numId="33">
    <w:abstractNumId w:val="12"/>
  </w:num>
  <w:num w:numId="34">
    <w:abstractNumId w:val="40"/>
  </w:num>
  <w:num w:numId="35">
    <w:abstractNumId w:val="16"/>
  </w:num>
  <w:num w:numId="36">
    <w:abstractNumId w:val="26"/>
  </w:num>
  <w:num w:numId="37">
    <w:abstractNumId w:val="46"/>
  </w:num>
  <w:num w:numId="38">
    <w:abstractNumId w:val="19"/>
  </w:num>
  <w:num w:numId="39">
    <w:abstractNumId w:val="37"/>
  </w:num>
  <w:num w:numId="40">
    <w:abstractNumId w:val="1"/>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42"/>
  </w:num>
  <w:num w:numId="44">
    <w:abstractNumId w:val="21"/>
  </w:num>
  <w:num w:numId="45">
    <w:abstractNumId w:val="29"/>
  </w:num>
  <w:num w:numId="46">
    <w:abstractNumId w:val="15"/>
  </w:num>
  <w:num w:numId="47">
    <w:abstractNumId w:val="3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022"/>
    <w:rsid w:val="00013620"/>
    <w:rsid w:val="00043CAA"/>
    <w:rsid w:val="00075432"/>
    <w:rsid w:val="000968ED"/>
    <w:rsid w:val="000D71F3"/>
    <w:rsid w:val="000F5E56"/>
    <w:rsid w:val="001362EE"/>
    <w:rsid w:val="001651E0"/>
    <w:rsid w:val="001832A6"/>
    <w:rsid w:val="001A34BA"/>
    <w:rsid w:val="00226097"/>
    <w:rsid w:val="00242BE2"/>
    <w:rsid w:val="002634C4"/>
    <w:rsid w:val="002928D3"/>
    <w:rsid w:val="002F1FE6"/>
    <w:rsid w:val="002F4E68"/>
    <w:rsid w:val="00312F7F"/>
    <w:rsid w:val="003228B7"/>
    <w:rsid w:val="003673CF"/>
    <w:rsid w:val="003845C1"/>
    <w:rsid w:val="003A6F89"/>
    <w:rsid w:val="003B38C1"/>
    <w:rsid w:val="00423E3E"/>
    <w:rsid w:val="00427AF4"/>
    <w:rsid w:val="004400E2"/>
    <w:rsid w:val="004625E9"/>
    <w:rsid w:val="004647DA"/>
    <w:rsid w:val="00474062"/>
    <w:rsid w:val="00477D6B"/>
    <w:rsid w:val="004F7F25"/>
    <w:rsid w:val="0053057A"/>
    <w:rsid w:val="00553F9A"/>
    <w:rsid w:val="00560A29"/>
    <w:rsid w:val="005658DB"/>
    <w:rsid w:val="00605827"/>
    <w:rsid w:val="00646050"/>
    <w:rsid w:val="006713CA"/>
    <w:rsid w:val="00676C5C"/>
    <w:rsid w:val="006B41E4"/>
    <w:rsid w:val="006F417E"/>
    <w:rsid w:val="007058FB"/>
    <w:rsid w:val="00735FE5"/>
    <w:rsid w:val="007B6A58"/>
    <w:rsid w:val="007D1613"/>
    <w:rsid w:val="008B2CC1"/>
    <w:rsid w:val="008B60B2"/>
    <w:rsid w:val="0090375D"/>
    <w:rsid w:val="0090731E"/>
    <w:rsid w:val="00912CE1"/>
    <w:rsid w:val="00916EE2"/>
    <w:rsid w:val="0094210A"/>
    <w:rsid w:val="00966A22"/>
    <w:rsid w:val="0096722F"/>
    <w:rsid w:val="00976022"/>
    <w:rsid w:val="00980843"/>
    <w:rsid w:val="009E2791"/>
    <w:rsid w:val="009E3F6F"/>
    <w:rsid w:val="009F499F"/>
    <w:rsid w:val="00A42DAF"/>
    <w:rsid w:val="00A45BD8"/>
    <w:rsid w:val="00A85B8E"/>
    <w:rsid w:val="00AC205C"/>
    <w:rsid w:val="00AD73C8"/>
    <w:rsid w:val="00B05A69"/>
    <w:rsid w:val="00B9734B"/>
    <w:rsid w:val="00BD4248"/>
    <w:rsid w:val="00C072FE"/>
    <w:rsid w:val="00C11BFE"/>
    <w:rsid w:val="00C42169"/>
    <w:rsid w:val="00C94629"/>
    <w:rsid w:val="00D45252"/>
    <w:rsid w:val="00D578DA"/>
    <w:rsid w:val="00D71B4D"/>
    <w:rsid w:val="00D929A4"/>
    <w:rsid w:val="00D93D55"/>
    <w:rsid w:val="00E335FE"/>
    <w:rsid w:val="00E5021F"/>
    <w:rsid w:val="00EC4E49"/>
    <w:rsid w:val="00ED1B43"/>
    <w:rsid w:val="00ED77FB"/>
    <w:rsid w:val="00EF30E0"/>
    <w:rsid w:val="00F021A6"/>
    <w:rsid w:val="00F115A7"/>
    <w:rsid w:val="00F66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ED1B43"/>
    <w:rPr>
      <w:rFonts w:ascii="Tahoma" w:hAnsi="Tahoma" w:cs="Tahoma"/>
      <w:sz w:val="16"/>
      <w:szCs w:val="16"/>
    </w:rPr>
  </w:style>
  <w:style w:type="character" w:customStyle="1" w:styleId="BalloonTextChar">
    <w:name w:val="Balloon Text Char"/>
    <w:basedOn w:val="DefaultParagraphFont"/>
    <w:link w:val="BalloonText"/>
    <w:uiPriority w:val="99"/>
    <w:rsid w:val="00ED1B43"/>
    <w:rPr>
      <w:rFonts w:ascii="Tahoma" w:eastAsia="SimSun" w:hAnsi="Tahoma" w:cs="Tahoma"/>
      <w:sz w:val="16"/>
      <w:szCs w:val="16"/>
      <w:lang w:eastAsia="zh-CN"/>
    </w:rPr>
  </w:style>
  <w:style w:type="character" w:customStyle="1" w:styleId="Heading1Char">
    <w:name w:val="Heading 1 Char"/>
    <w:basedOn w:val="DefaultParagraphFont"/>
    <w:link w:val="Heading1"/>
    <w:rsid w:val="0001362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01362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01362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013620"/>
    <w:rPr>
      <w:rFonts w:ascii="Arial" w:eastAsia="SimSun" w:hAnsi="Arial" w:cs="Arial"/>
      <w:bCs/>
      <w:i/>
      <w:sz w:val="22"/>
      <w:szCs w:val="28"/>
      <w:lang w:eastAsia="zh-CN"/>
    </w:rPr>
  </w:style>
  <w:style w:type="numbering" w:customStyle="1" w:styleId="NoList1">
    <w:name w:val="No List1"/>
    <w:next w:val="NoList"/>
    <w:uiPriority w:val="99"/>
    <w:semiHidden/>
    <w:rsid w:val="00013620"/>
  </w:style>
  <w:style w:type="character" w:customStyle="1" w:styleId="BodyTextChar">
    <w:name w:val="Body Text Char"/>
    <w:basedOn w:val="DefaultParagraphFont"/>
    <w:link w:val="BodyText"/>
    <w:rsid w:val="00013620"/>
    <w:rPr>
      <w:rFonts w:ascii="Arial" w:eastAsia="SimSun" w:hAnsi="Arial" w:cs="Arial"/>
      <w:sz w:val="22"/>
      <w:lang w:eastAsia="zh-CN"/>
    </w:rPr>
  </w:style>
  <w:style w:type="character" w:customStyle="1" w:styleId="CommentTextChar">
    <w:name w:val="Comment Text Char"/>
    <w:basedOn w:val="DefaultParagraphFont"/>
    <w:semiHidden/>
    <w:rsid w:val="00013620"/>
    <w:rPr>
      <w:rFonts w:ascii="Arial" w:eastAsia="SimSun" w:hAnsi="Arial" w:cs="Arial"/>
      <w:sz w:val="18"/>
      <w:szCs w:val="20"/>
      <w:lang w:eastAsia="zh-CN"/>
    </w:rPr>
  </w:style>
  <w:style w:type="character" w:customStyle="1" w:styleId="EndnoteTextChar">
    <w:name w:val="Endnote Text Char"/>
    <w:basedOn w:val="DefaultParagraphFont"/>
    <w:link w:val="EndnoteText"/>
    <w:semiHidden/>
    <w:rsid w:val="00013620"/>
    <w:rPr>
      <w:rFonts w:ascii="Arial" w:eastAsia="SimSun" w:hAnsi="Arial" w:cs="Arial"/>
      <w:sz w:val="18"/>
      <w:lang w:eastAsia="zh-CN"/>
    </w:rPr>
  </w:style>
  <w:style w:type="character" w:customStyle="1" w:styleId="FooterChar">
    <w:name w:val="Footer Char"/>
    <w:basedOn w:val="DefaultParagraphFont"/>
    <w:link w:val="Footer"/>
    <w:uiPriority w:val="99"/>
    <w:rsid w:val="00013620"/>
    <w:rPr>
      <w:rFonts w:ascii="Arial" w:eastAsia="SimSun" w:hAnsi="Arial" w:cs="Arial"/>
      <w:sz w:val="22"/>
      <w:lang w:eastAsia="zh-CN"/>
    </w:rPr>
  </w:style>
  <w:style w:type="character" w:styleId="FootnoteReference">
    <w:name w:val="footnote reference"/>
    <w:uiPriority w:val="99"/>
    <w:rsid w:val="00013620"/>
    <w:rPr>
      <w:vertAlign w:val="superscript"/>
    </w:rPr>
  </w:style>
  <w:style w:type="character" w:customStyle="1" w:styleId="FootnoteTextChar">
    <w:name w:val="Footnote Text Char"/>
    <w:basedOn w:val="DefaultParagraphFont"/>
    <w:link w:val="FootnoteText"/>
    <w:semiHidden/>
    <w:rsid w:val="00013620"/>
    <w:rPr>
      <w:rFonts w:ascii="Arial" w:eastAsia="SimSun" w:hAnsi="Arial" w:cs="Arial"/>
      <w:sz w:val="18"/>
      <w:lang w:eastAsia="zh-CN"/>
    </w:rPr>
  </w:style>
  <w:style w:type="character" w:customStyle="1" w:styleId="HeaderChar">
    <w:name w:val="Header Char"/>
    <w:basedOn w:val="DefaultParagraphFont"/>
    <w:link w:val="Header"/>
    <w:uiPriority w:val="99"/>
    <w:rsid w:val="00013620"/>
    <w:rPr>
      <w:rFonts w:ascii="Arial" w:eastAsia="SimSun" w:hAnsi="Arial" w:cs="Arial"/>
      <w:sz w:val="22"/>
      <w:lang w:eastAsia="zh-CN"/>
    </w:rPr>
  </w:style>
  <w:style w:type="character" w:customStyle="1" w:styleId="SalutationChar">
    <w:name w:val="Salutation Char"/>
    <w:basedOn w:val="DefaultParagraphFont"/>
    <w:link w:val="Salutation"/>
    <w:semiHidden/>
    <w:rsid w:val="00013620"/>
    <w:rPr>
      <w:rFonts w:ascii="Arial" w:eastAsia="SimSun" w:hAnsi="Arial" w:cs="Arial"/>
      <w:sz w:val="22"/>
      <w:lang w:eastAsia="zh-CN"/>
    </w:rPr>
  </w:style>
  <w:style w:type="character" w:customStyle="1" w:styleId="SignatureChar">
    <w:name w:val="Signature Char"/>
    <w:basedOn w:val="DefaultParagraphFont"/>
    <w:link w:val="Signature"/>
    <w:semiHidden/>
    <w:rsid w:val="00013620"/>
    <w:rPr>
      <w:rFonts w:ascii="Arial" w:eastAsia="SimSun" w:hAnsi="Arial" w:cs="Arial"/>
      <w:sz w:val="22"/>
      <w:lang w:eastAsia="zh-CN"/>
    </w:rPr>
  </w:style>
  <w:style w:type="table" w:styleId="TableGrid">
    <w:name w:val="Table Grid"/>
    <w:basedOn w:val="TableNormal"/>
    <w:rsid w:val="00013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013620"/>
    <w:rPr>
      <w:sz w:val="16"/>
      <w:szCs w:val="16"/>
    </w:rPr>
  </w:style>
  <w:style w:type="paragraph" w:styleId="CommentSubject">
    <w:name w:val="annotation subject"/>
    <w:basedOn w:val="CommentText"/>
    <w:next w:val="CommentText"/>
    <w:link w:val="CommentSubjectChar"/>
    <w:rsid w:val="00013620"/>
    <w:rPr>
      <w:b/>
      <w:bCs/>
      <w:sz w:val="20"/>
    </w:rPr>
  </w:style>
  <w:style w:type="character" w:customStyle="1" w:styleId="CommentTextChar1">
    <w:name w:val="Comment Text Char1"/>
    <w:basedOn w:val="DefaultParagraphFont"/>
    <w:link w:val="CommentText"/>
    <w:semiHidden/>
    <w:rsid w:val="00013620"/>
    <w:rPr>
      <w:rFonts w:ascii="Arial" w:eastAsia="SimSun" w:hAnsi="Arial" w:cs="Arial"/>
      <w:sz w:val="18"/>
      <w:lang w:eastAsia="zh-CN"/>
    </w:rPr>
  </w:style>
  <w:style w:type="character" w:customStyle="1" w:styleId="CommentSubjectChar">
    <w:name w:val="Comment Subject Char"/>
    <w:basedOn w:val="CommentTextChar1"/>
    <w:link w:val="CommentSubject"/>
    <w:rsid w:val="00013620"/>
    <w:rPr>
      <w:rFonts w:ascii="Arial" w:eastAsia="SimSun" w:hAnsi="Arial" w:cs="Arial"/>
      <w:b/>
      <w:bCs/>
      <w:sz w:val="18"/>
      <w:lang w:eastAsia="zh-CN"/>
    </w:rPr>
  </w:style>
  <w:style w:type="character" w:styleId="Hyperlink">
    <w:name w:val="Hyperlink"/>
    <w:uiPriority w:val="99"/>
    <w:rsid w:val="00013620"/>
    <w:rPr>
      <w:color w:val="0000FF"/>
      <w:u w:val="single"/>
    </w:rPr>
  </w:style>
  <w:style w:type="character" w:styleId="PageNumber">
    <w:name w:val="page number"/>
    <w:basedOn w:val="DefaultParagraphFont"/>
    <w:rsid w:val="00013620"/>
  </w:style>
  <w:style w:type="table" w:customStyle="1" w:styleId="TableGrid1">
    <w:name w:val="Table Grid1"/>
    <w:basedOn w:val="TableNormal"/>
    <w:next w:val="TableGrid"/>
    <w:uiPriority w:val="59"/>
    <w:rsid w:val="0001362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3620"/>
    <w:pPr>
      <w:ind w:left="720"/>
    </w:pPr>
  </w:style>
  <w:style w:type="paragraph" w:styleId="TOC1">
    <w:name w:val="toc 1"/>
    <w:basedOn w:val="Normal"/>
    <w:next w:val="Normal"/>
    <w:autoRedefine/>
    <w:uiPriority w:val="39"/>
    <w:rsid w:val="006B41E4"/>
    <w:pPr>
      <w:tabs>
        <w:tab w:val="right" w:leader="dot" w:pos="9345"/>
      </w:tabs>
    </w:pPr>
    <w:rPr>
      <w:noProof/>
    </w:rPr>
  </w:style>
  <w:style w:type="paragraph" w:styleId="TOC2">
    <w:name w:val="toc 2"/>
    <w:basedOn w:val="Normal"/>
    <w:next w:val="Normal"/>
    <w:autoRedefine/>
    <w:uiPriority w:val="39"/>
    <w:rsid w:val="00013620"/>
    <w:pPr>
      <w:ind w:left="220"/>
    </w:pPr>
  </w:style>
  <w:style w:type="paragraph" w:styleId="TOC3">
    <w:name w:val="toc 3"/>
    <w:basedOn w:val="Normal"/>
    <w:next w:val="Normal"/>
    <w:autoRedefine/>
    <w:uiPriority w:val="39"/>
    <w:rsid w:val="00013620"/>
    <w:pPr>
      <w:ind w:left="440"/>
    </w:pPr>
  </w:style>
  <w:style w:type="character" w:styleId="Emphasis">
    <w:name w:val="Emphasis"/>
    <w:qFormat/>
    <w:rsid w:val="00013620"/>
    <w:rPr>
      <w:i/>
      <w:iCs/>
    </w:rPr>
  </w:style>
  <w:style w:type="paragraph" w:styleId="TOC4">
    <w:name w:val="toc 4"/>
    <w:basedOn w:val="Normal"/>
    <w:next w:val="Normal"/>
    <w:autoRedefine/>
    <w:uiPriority w:val="39"/>
    <w:rsid w:val="00013620"/>
    <w:pPr>
      <w:ind w:left="660"/>
    </w:pPr>
  </w:style>
  <w:style w:type="paragraph" w:customStyle="1" w:styleId="TitleofDoc">
    <w:name w:val="Title of Doc"/>
    <w:basedOn w:val="Normal"/>
    <w:rsid w:val="00013620"/>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013620"/>
    <w:pPr>
      <w:spacing w:after="160" w:line="240" w:lineRule="exact"/>
    </w:pPr>
    <w:rPr>
      <w:rFonts w:ascii="Verdana" w:eastAsia="Times New Roman" w:hAnsi="Verdana" w:cs="Times New Roman"/>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ED1B43"/>
    <w:rPr>
      <w:rFonts w:ascii="Tahoma" w:hAnsi="Tahoma" w:cs="Tahoma"/>
      <w:sz w:val="16"/>
      <w:szCs w:val="16"/>
    </w:rPr>
  </w:style>
  <w:style w:type="character" w:customStyle="1" w:styleId="BalloonTextChar">
    <w:name w:val="Balloon Text Char"/>
    <w:basedOn w:val="DefaultParagraphFont"/>
    <w:link w:val="BalloonText"/>
    <w:uiPriority w:val="99"/>
    <w:rsid w:val="00ED1B43"/>
    <w:rPr>
      <w:rFonts w:ascii="Tahoma" w:eastAsia="SimSun" w:hAnsi="Tahoma" w:cs="Tahoma"/>
      <w:sz w:val="16"/>
      <w:szCs w:val="16"/>
      <w:lang w:eastAsia="zh-CN"/>
    </w:rPr>
  </w:style>
  <w:style w:type="character" w:customStyle="1" w:styleId="Heading1Char">
    <w:name w:val="Heading 1 Char"/>
    <w:basedOn w:val="DefaultParagraphFont"/>
    <w:link w:val="Heading1"/>
    <w:rsid w:val="0001362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01362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01362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013620"/>
    <w:rPr>
      <w:rFonts w:ascii="Arial" w:eastAsia="SimSun" w:hAnsi="Arial" w:cs="Arial"/>
      <w:bCs/>
      <w:i/>
      <w:sz w:val="22"/>
      <w:szCs w:val="28"/>
      <w:lang w:eastAsia="zh-CN"/>
    </w:rPr>
  </w:style>
  <w:style w:type="numbering" w:customStyle="1" w:styleId="NoList1">
    <w:name w:val="No List1"/>
    <w:next w:val="NoList"/>
    <w:uiPriority w:val="99"/>
    <w:semiHidden/>
    <w:rsid w:val="00013620"/>
  </w:style>
  <w:style w:type="character" w:customStyle="1" w:styleId="BodyTextChar">
    <w:name w:val="Body Text Char"/>
    <w:basedOn w:val="DefaultParagraphFont"/>
    <w:link w:val="BodyText"/>
    <w:rsid w:val="00013620"/>
    <w:rPr>
      <w:rFonts w:ascii="Arial" w:eastAsia="SimSun" w:hAnsi="Arial" w:cs="Arial"/>
      <w:sz w:val="22"/>
      <w:lang w:eastAsia="zh-CN"/>
    </w:rPr>
  </w:style>
  <w:style w:type="character" w:customStyle="1" w:styleId="CommentTextChar">
    <w:name w:val="Comment Text Char"/>
    <w:basedOn w:val="DefaultParagraphFont"/>
    <w:semiHidden/>
    <w:rsid w:val="00013620"/>
    <w:rPr>
      <w:rFonts w:ascii="Arial" w:eastAsia="SimSun" w:hAnsi="Arial" w:cs="Arial"/>
      <w:sz w:val="18"/>
      <w:szCs w:val="20"/>
      <w:lang w:eastAsia="zh-CN"/>
    </w:rPr>
  </w:style>
  <w:style w:type="character" w:customStyle="1" w:styleId="EndnoteTextChar">
    <w:name w:val="Endnote Text Char"/>
    <w:basedOn w:val="DefaultParagraphFont"/>
    <w:link w:val="EndnoteText"/>
    <w:semiHidden/>
    <w:rsid w:val="00013620"/>
    <w:rPr>
      <w:rFonts w:ascii="Arial" w:eastAsia="SimSun" w:hAnsi="Arial" w:cs="Arial"/>
      <w:sz w:val="18"/>
      <w:lang w:eastAsia="zh-CN"/>
    </w:rPr>
  </w:style>
  <w:style w:type="character" w:customStyle="1" w:styleId="FooterChar">
    <w:name w:val="Footer Char"/>
    <w:basedOn w:val="DefaultParagraphFont"/>
    <w:link w:val="Footer"/>
    <w:uiPriority w:val="99"/>
    <w:rsid w:val="00013620"/>
    <w:rPr>
      <w:rFonts w:ascii="Arial" w:eastAsia="SimSun" w:hAnsi="Arial" w:cs="Arial"/>
      <w:sz w:val="22"/>
      <w:lang w:eastAsia="zh-CN"/>
    </w:rPr>
  </w:style>
  <w:style w:type="character" w:styleId="FootnoteReference">
    <w:name w:val="footnote reference"/>
    <w:uiPriority w:val="99"/>
    <w:rsid w:val="00013620"/>
    <w:rPr>
      <w:vertAlign w:val="superscript"/>
    </w:rPr>
  </w:style>
  <w:style w:type="character" w:customStyle="1" w:styleId="FootnoteTextChar">
    <w:name w:val="Footnote Text Char"/>
    <w:basedOn w:val="DefaultParagraphFont"/>
    <w:link w:val="FootnoteText"/>
    <w:semiHidden/>
    <w:rsid w:val="00013620"/>
    <w:rPr>
      <w:rFonts w:ascii="Arial" w:eastAsia="SimSun" w:hAnsi="Arial" w:cs="Arial"/>
      <w:sz w:val="18"/>
      <w:lang w:eastAsia="zh-CN"/>
    </w:rPr>
  </w:style>
  <w:style w:type="character" w:customStyle="1" w:styleId="HeaderChar">
    <w:name w:val="Header Char"/>
    <w:basedOn w:val="DefaultParagraphFont"/>
    <w:link w:val="Header"/>
    <w:uiPriority w:val="99"/>
    <w:rsid w:val="00013620"/>
    <w:rPr>
      <w:rFonts w:ascii="Arial" w:eastAsia="SimSun" w:hAnsi="Arial" w:cs="Arial"/>
      <w:sz w:val="22"/>
      <w:lang w:eastAsia="zh-CN"/>
    </w:rPr>
  </w:style>
  <w:style w:type="character" w:customStyle="1" w:styleId="SalutationChar">
    <w:name w:val="Salutation Char"/>
    <w:basedOn w:val="DefaultParagraphFont"/>
    <w:link w:val="Salutation"/>
    <w:semiHidden/>
    <w:rsid w:val="00013620"/>
    <w:rPr>
      <w:rFonts w:ascii="Arial" w:eastAsia="SimSun" w:hAnsi="Arial" w:cs="Arial"/>
      <w:sz w:val="22"/>
      <w:lang w:eastAsia="zh-CN"/>
    </w:rPr>
  </w:style>
  <w:style w:type="character" w:customStyle="1" w:styleId="SignatureChar">
    <w:name w:val="Signature Char"/>
    <w:basedOn w:val="DefaultParagraphFont"/>
    <w:link w:val="Signature"/>
    <w:semiHidden/>
    <w:rsid w:val="00013620"/>
    <w:rPr>
      <w:rFonts w:ascii="Arial" w:eastAsia="SimSun" w:hAnsi="Arial" w:cs="Arial"/>
      <w:sz w:val="22"/>
      <w:lang w:eastAsia="zh-CN"/>
    </w:rPr>
  </w:style>
  <w:style w:type="table" w:styleId="TableGrid">
    <w:name w:val="Table Grid"/>
    <w:basedOn w:val="TableNormal"/>
    <w:rsid w:val="00013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013620"/>
    <w:rPr>
      <w:sz w:val="16"/>
      <w:szCs w:val="16"/>
    </w:rPr>
  </w:style>
  <w:style w:type="paragraph" w:styleId="CommentSubject">
    <w:name w:val="annotation subject"/>
    <w:basedOn w:val="CommentText"/>
    <w:next w:val="CommentText"/>
    <w:link w:val="CommentSubjectChar"/>
    <w:rsid w:val="00013620"/>
    <w:rPr>
      <w:b/>
      <w:bCs/>
      <w:sz w:val="20"/>
    </w:rPr>
  </w:style>
  <w:style w:type="character" w:customStyle="1" w:styleId="CommentTextChar1">
    <w:name w:val="Comment Text Char1"/>
    <w:basedOn w:val="DefaultParagraphFont"/>
    <w:link w:val="CommentText"/>
    <w:semiHidden/>
    <w:rsid w:val="00013620"/>
    <w:rPr>
      <w:rFonts w:ascii="Arial" w:eastAsia="SimSun" w:hAnsi="Arial" w:cs="Arial"/>
      <w:sz w:val="18"/>
      <w:lang w:eastAsia="zh-CN"/>
    </w:rPr>
  </w:style>
  <w:style w:type="character" w:customStyle="1" w:styleId="CommentSubjectChar">
    <w:name w:val="Comment Subject Char"/>
    <w:basedOn w:val="CommentTextChar1"/>
    <w:link w:val="CommentSubject"/>
    <w:rsid w:val="00013620"/>
    <w:rPr>
      <w:rFonts w:ascii="Arial" w:eastAsia="SimSun" w:hAnsi="Arial" w:cs="Arial"/>
      <w:b/>
      <w:bCs/>
      <w:sz w:val="18"/>
      <w:lang w:eastAsia="zh-CN"/>
    </w:rPr>
  </w:style>
  <w:style w:type="character" w:styleId="Hyperlink">
    <w:name w:val="Hyperlink"/>
    <w:uiPriority w:val="99"/>
    <w:rsid w:val="00013620"/>
    <w:rPr>
      <w:color w:val="0000FF"/>
      <w:u w:val="single"/>
    </w:rPr>
  </w:style>
  <w:style w:type="character" w:styleId="PageNumber">
    <w:name w:val="page number"/>
    <w:basedOn w:val="DefaultParagraphFont"/>
    <w:rsid w:val="00013620"/>
  </w:style>
  <w:style w:type="table" w:customStyle="1" w:styleId="TableGrid1">
    <w:name w:val="Table Grid1"/>
    <w:basedOn w:val="TableNormal"/>
    <w:next w:val="TableGrid"/>
    <w:uiPriority w:val="59"/>
    <w:rsid w:val="0001362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3620"/>
    <w:pPr>
      <w:ind w:left="720"/>
    </w:pPr>
  </w:style>
  <w:style w:type="paragraph" w:styleId="TOC1">
    <w:name w:val="toc 1"/>
    <w:basedOn w:val="Normal"/>
    <w:next w:val="Normal"/>
    <w:autoRedefine/>
    <w:uiPriority w:val="39"/>
    <w:rsid w:val="006B41E4"/>
    <w:pPr>
      <w:tabs>
        <w:tab w:val="right" w:leader="dot" w:pos="9345"/>
      </w:tabs>
    </w:pPr>
    <w:rPr>
      <w:noProof/>
    </w:rPr>
  </w:style>
  <w:style w:type="paragraph" w:styleId="TOC2">
    <w:name w:val="toc 2"/>
    <w:basedOn w:val="Normal"/>
    <w:next w:val="Normal"/>
    <w:autoRedefine/>
    <w:uiPriority w:val="39"/>
    <w:rsid w:val="00013620"/>
    <w:pPr>
      <w:ind w:left="220"/>
    </w:pPr>
  </w:style>
  <w:style w:type="paragraph" w:styleId="TOC3">
    <w:name w:val="toc 3"/>
    <w:basedOn w:val="Normal"/>
    <w:next w:val="Normal"/>
    <w:autoRedefine/>
    <w:uiPriority w:val="39"/>
    <w:rsid w:val="00013620"/>
    <w:pPr>
      <w:ind w:left="440"/>
    </w:pPr>
  </w:style>
  <w:style w:type="character" w:styleId="Emphasis">
    <w:name w:val="Emphasis"/>
    <w:qFormat/>
    <w:rsid w:val="00013620"/>
    <w:rPr>
      <w:i/>
      <w:iCs/>
    </w:rPr>
  </w:style>
  <w:style w:type="paragraph" w:styleId="TOC4">
    <w:name w:val="toc 4"/>
    <w:basedOn w:val="Normal"/>
    <w:next w:val="Normal"/>
    <w:autoRedefine/>
    <w:uiPriority w:val="39"/>
    <w:rsid w:val="00013620"/>
    <w:pPr>
      <w:ind w:left="660"/>
    </w:pPr>
  </w:style>
  <w:style w:type="paragraph" w:customStyle="1" w:styleId="TitleofDoc">
    <w:name w:val="Title of Doc"/>
    <w:basedOn w:val="Normal"/>
    <w:rsid w:val="00013620"/>
    <w:pPr>
      <w:spacing w:before="1200"/>
      <w:jc w:val="center"/>
    </w:pPr>
    <w:rPr>
      <w:rFonts w:ascii="Times New Roman" w:eastAsia="Times New Roman" w:hAnsi="Times New Roman" w:cs="Times New Roman"/>
      <w:caps/>
      <w:sz w:val="24"/>
      <w:lang w:eastAsia="en-US"/>
    </w:rPr>
  </w:style>
  <w:style w:type="paragraph" w:customStyle="1" w:styleId="CharCharCharChar">
    <w:name w:val="Char Char Char Char"/>
    <w:basedOn w:val="Normal"/>
    <w:rsid w:val="00013620"/>
    <w:pPr>
      <w:spacing w:after="160" w:line="240" w:lineRule="exact"/>
    </w:pPr>
    <w:rPr>
      <w:rFonts w:ascii="Verdana" w:eastAsia="Times New Roman" w:hAnsi="Verdana" w:cs="Times New Roman"/>
      <w:sz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0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hyperlink" Target="http://www.wipo.int/about-wipo/ja/offices/japan/"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wipo.int/ipadvantage/en/"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wipo.int/about-wipo/en/offices/singapore/resources.html" TargetMode="External"/><Relationship Id="rId20" Type="http://schemas.openxmlformats.org/officeDocument/2006/relationships/oleObject" Target="embeddings/oleObject1.bin"/><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po.int/singapore" TargetMode="Externa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51%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DBE6-4D7B-423A-AF36-DC699892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 (E)</Template>
  <TotalTime>35</TotalTime>
  <Pages>45</Pages>
  <Words>18722</Words>
  <Characters>104106</Characters>
  <Application>Microsoft Office Word</Application>
  <DocSecurity>0</DocSecurity>
  <Lines>1794</Lines>
  <Paragraphs>286</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122542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HÄFLIGER Patience</dc:creator>
  <cp:lastModifiedBy>HÄFLIGER Patience</cp:lastModifiedBy>
  <cp:revision>12</cp:revision>
  <cp:lastPrinted>2013-09-18T08:41:00Z</cp:lastPrinted>
  <dcterms:created xsi:type="dcterms:W3CDTF">2013-09-17T16:12:00Z</dcterms:created>
  <dcterms:modified xsi:type="dcterms:W3CDTF">2013-09-19T12:25:00Z</dcterms:modified>
</cp:coreProperties>
</file>