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lang w:val="fr-CH" w:eastAsia="fr-CH"/>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1C506C">
            <w:pPr>
              <w:pStyle w:val="DocumentCodeAR"/>
              <w:bidi/>
              <w:rPr>
                <w:rtl/>
              </w:rPr>
            </w:pPr>
            <w:r>
              <w:t>WO/PBC</w:t>
            </w:r>
            <w:r w:rsidR="00100F97">
              <w:t>/</w:t>
            </w:r>
            <w:r>
              <w:t>2</w:t>
            </w:r>
            <w:r w:rsidR="001C506C">
              <w:t>5</w:t>
            </w:r>
            <w:r w:rsidR="00B6101C" w:rsidRPr="00B6101C">
              <w:t>/</w:t>
            </w:r>
            <w:r w:rsidR="00E626FA">
              <w:t>6</w:t>
            </w:r>
          </w:p>
        </w:tc>
      </w:tr>
      <w:tr w:rsidR="001667B6" w:rsidTr="00BF164F">
        <w:tc>
          <w:tcPr>
            <w:tcW w:w="9571" w:type="dxa"/>
            <w:gridSpan w:val="3"/>
          </w:tcPr>
          <w:p w:rsidR="001667B6" w:rsidRPr="00B6101C" w:rsidRDefault="00B6101C" w:rsidP="00E626FA">
            <w:pPr>
              <w:pStyle w:val="DocumentLanguageAR"/>
              <w:bidi/>
              <w:rPr>
                <w:rtl/>
              </w:rPr>
            </w:pPr>
            <w:r w:rsidRPr="00B6101C">
              <w:rPr>
                <w:rFonts w:hint="cs"/>
                <w:rtl/>
              </w:rPr>
              <w:t xml:space="preserve">الأصل: </w:t>
            </w:r>
            <w:r w:rsidR="00E626FA">
              <w:rPr>
                <w:rFonts w:hint="cs"/>
                <w:rtl/>
              </w:rPr>
              <w:t>بالإنكليزية</w:t>
            </w:r>
          </w:p>
        </w:tc>
      </w:tr>
      <w:tr w:rsidR="001667B6" w:rsidTr="00BF164F">
        <w:tc>
          <w:tcPr>
            <w:tcW w:w="9571" w:type="dxa"/>
            <w:gridSpan w:val="3"/>
          </w:tcPr>
          <w:p w:rsidR="001667B6" w:rsidRPr="00B6101C" w:rsidRDefault="00B6101C" w:rsidP="00E626FA">
            <w:pPr>
              <w:pStyle w:val="DocumentDateAR"/>
              <w:bidi/>
              <w:rPr>
                <w:rtl/>
              </w:rPr>
            </w:pPr>
            <w:r w:rsidRPr="00B6101C">
              <w:rPr>
                <w:rFonts w:hint="cs"/>
                <w:rtl/>
              </w:rPr>
              <w:t xml:space="preserve">التاريخ: </w:t>
            </w:r>
            <w:r w:rsidR="00E626FA">
              <w:rPr>
                <w:rFonts w:hint="cs"/>
                <w:rtl/>
              </w:rPr>
              <w:t>10</w:t>
            </w:r>
            <w:r w:rsidRPr="00B6101C">
              <w:rPr>
                <w:rFonts w:hint="cs"/>
                <w:rtl/>
              </w:rPr>
              <w:t xml:space="preserve"> </w:t>
            </w:r>
            <w:r w:rsidR="00E626FA">
              <w:rPr>
                <w:rFonts w:hint="cs"/>
                <w:rtl/>
              </w:rPr>
              <w:t>يونيو</w:t>
            </w:r>
            <w:r w:rsidRPr="00B6101C">
              <w:rPr>
                <w:rFonts w:hint="cs"/>
                <w:rtl/>
              </w:rPr>
              <w:t xml:space="preserve"> </w:t>
            </w:r>
            <w:r w:rsidR="0064165D">
              <w:rPr>
                <w:rFonts w:hint="cs"/>
                <w:rtl/>
              </w:rPr>
              <w:t>2016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1C506C">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sidR="001C506C">
        <w:rPr>
          <w:rFonts w:ascii="Cambria Math" w:hAnsi="Cambria Math" w:cs="PT Bold Heading" w:hint="cs"/>
          <w:sz w:val="30"/>
          <w:szCs w:val="30"/>
          <w:rtl/>
        </w:rPr>
        <w:t>الخامسة</w:t>
      </w:r>
      <w:r w:rsidRPr="001A28BF">
        <w:rPr>
          <w:rFonts w:ascii="Cambria Math" w:hAnsi="Cambria Math" w:cs="PT Bold Heading" w:hint="cs"/>
          <w:sz w:val="30"/>
          <w:szCs w:val="30"/>
          <w:rtl/>
        </w:rPr>
        <w:t xml:space="preserve"> والعشرون</w:t>
      </w:r>
    </w:p>
    <w:p w:rsidR="00A9449A" w:rsidRPr="001A28BF" w:rsidRDefault="00A9449A" w:rsidP="001C506C">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sidR="001C506C">
        <w:rPr>
          <w:rFonts w:ascii="Arabic Typesetting" w:hAnsi="Arabic Typesetting" w:cs="Arabic Typesetting" w:hint="cs"/>
          <w:b/>
          <w:bCs/>
          <w:sz w:val="36"/>
          <w:szCs w:val="36"/>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E626FA" w:rsidP="00A9449A">
      <w:pPr>
        <w:bidi/>
        <w:spacing w:line="360" w:lineRule="exact"/>
        <w:rPr>
          <w:rFonts w:ascii="Arial Black" w:hAnsi="Arial Black" w:cs="PT Bold Heading"/>
          <w:sz w:val="26"/>
          <w:szCs w:val="26"/>
          <w:rtl/>
        </w:rPr>
      </w:pPr>
      <w:r w:rsidRPr="00E626FA">
        <w:rPr>
          <w:rFonts w:ascii="Arial Black" w:hAnsi="Arial Black" w:cs="PT Bold Heading"/>
          <w:sz w:val="26"/>
          <w:szCs w:val="26"/>
          <w:rtl/>
        </w:rPr>
        <w:t>تقرير مرحلي عن تنفيذ توصيات وحدة التفتيش المشتركة</w:t>
      </w:r>
    </w:p>
    <w:p w:rsidR="00A9449A" w:rsidRPr="001A28BF" w:rsidRDefault="00A9449A" w:rsidP="00A9449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sidR="00E626FA">
        <w:rPr>
          <w:rFonts w:ascii="Arabic Typesetting" w:hAnsi="Arabic Typesetting" w:cs="Arabic Typesetting" w:hint="cs"/>
          <w:i/>
          <w:iCs/>
          <w:sz w:val="36"/>
          <w:szCs w:val="36"/>
          <w:rtl/>
        </w:rPr>
        <w:t xml:space="preserve"> الأمانة</w:t>
      </w:r>
    </w:p>
    <w:p w:rsidR="00E626FA" w:rsidRDefault="00FB1C62" w:rsidP="00FB1C62">
      <w:pPr>
        <w:pStyle w:val="NumberedParaAR"/>
      </w:pPr>
      <w:r>
        <w:rPr>
          <w:rFonts w:hint="cs"/>
          <w:rtl/>
        </w:rPr>
        <w:t>تعرض</w:t>
      </w:r>
      <w:r w:rsidR="00E626FA">
        <w:rPr>
          <w:rtl/>
        </w:rPr>
        <w:t xml:space="preserve"> هذه الوثيقة </w:t>
      </w:r>
      <w:r>
        <w:rPr>
          <w:rFonts w:hint="cs"/>
          <w:rtl/>
        </w:rPr>
        <w:t>حالة</w:t>
      </w:r>
      <w:r w:rsidR="00E626FA">
        <w:rPr>
          <w:rtl/>
        </w:rPr>
        <w:t xml:space="preserve"> تنفيذ التوصيات التي وجهتها وحدة التفتيش المشتركة إلى الهيئات التشريعية للويبو عقب عمليات الاستعراض التي أجرتها في الفترة</w:t>
      </w:r>
      <w:r w:rsidR="0015182B">
        <w:rPr>
          <w:rFonts w:hint="cs"/>
          <w:rtl/>
        </w:rPr>
        <w:t xml:space="preserve"> الممتدة</w:t>
      </w:r>
      <w:r w:rsidR="00E626FA">
        <w:rPr>
          <w:rtl/>
        </w:rPr>
        <w:t xml:space="preserve"> من 2010 إلى 2015، ومنها استعراض الإدارة والتسيير في الويبو.</w:t>
      </w:r>
    </w:p>
    <w:p w:rsidR="00E626FA" w:rsidRDefault="00E626FA" w:rsidP="00C209AA">
      <w:pPr>
        <w:pStyle w:val="NumberedParaAR"/>
      </w:pPr>
      <w:r>
        <w:rPr>
          <w:rtl/>
        </w:rPr>
        <w:t>و</w:t>
      </w:r>
      <w:r w:rsidR="00FB1C62">
        <w:rPr>
          <w:rFonts w:hint="cs"/>
          <w:rtl/>
        </w:rPr>
        <w:t>ترد في</w:t>
      </w:r>
      <w:r>
        <w:rPr>
          <w:rtl/>
        </w:rPr>
        <w:t xml:space="preserve"> المرفق الأول لهذه الوثيقة التوصيات الموجهة إلى الهيئات التشريعية لمؤسسات منظومة الأمم المتحدة والتي</w:t>
      </w:r>
      <w:r w:rsidR="00FB1C62">
        <w:rPr>
          <w:rFonts w:hint="cs"/>
          <w:rtl/>
        </w:rPr>
        <w:t> قررت</w:t>
      </w:r>
      <w:r>
        <w:rPr>
          <w:rtl/>
        </w:rPr>
        <w:t xml:space="preserve"> الويبو </w:t>
      </w:r>
      <w:r w:rsidR="00FB1C62">
        <w:rPr>
          <w:rFonts w:hint="cs"/>
          <w:rtl/>
        </w:rPr>
        <w:t>ا</w:t>
      </w:r>
      <w:r>
        <w:rPr>
          <w:rtl/>
        </w:rPr>
        <w:t xml:space="preserve">لعمل على تنفيذها. </w:t>
      </w:r>
      <w:r w:rsidR="00FB1C62">
        <w:rPr>
          <w:rFonts w:hint="cs"/>
          <w:rtl/>
        </w:rPr>
        <w:t>وإضافة إلى</w:t>
      </w:r>
      <w:r>
        <w:rPr>
          <w:rtl/>
        </w:rPr>
        <w:t xml:space="preserve"> </w:t>
      </w:r>
      <w:r w:rsidR="00C209AA">
        <w:rPr>
          <w:rFonts w:hint="cs"/>
          <w:rtl/>
        </w:rPr>
        <w:t>وضع</w:t>
      </w:r>
      <w:r w:rsidR="00FB1C62">
        <w:rPr>
          <w:rFonts w:hint="cs"/>
          <w:rtl/>
        </w:rPr>
        <w:t xml:space="preserve"> </w:t>
      </w:r>
      <w:r>
        <w:rPr>
          <w:rtl/>
        </w:rPr>
        <w:t>قبول</w:t>
      </w:r>
      <w:r w:rsidR="00FB1C62">
        <w:rPr>
          <w:rFonts w:hint="cs"/>
          <w:rtl/>
        </w:rPr>
        <w:t xml:space="preserve"> </w:t>
      </w:r>
      <w:r>
        <w:rPr>
          <w:rtl/>
        </w:rPr>
        <w:t xml:space="preserve">التوصيات </w:t>
      </w:r>
      <w:r w:rsidR="00FB1C62">
        <w:rPr>
          <w:rFonts w:hint="cs"/>
          <w:rtl/>
        </w:rPr>
        <w:t>و</w:t>
      </w:r>
      <w:r w:rsidR="00C209AA">
        <w:rPr>
          <w:rFonts w:hint="cs"/>
          <w:rtl/>
        </w:rPr>
        <w:t xml:space="preserve">حالة </w:t>
      </w:r>
      <w:r w:rsidR="00FB1C62">
        <w:rPr>
          <w:rtl/>
        </w:rPr>
        <w:t>تنفيذ</w:t>
      </w:r>
      <w:r w:rsidR="00FB1C62">
        <w:rPr>
          <w:rFonts w:hint="cs"/>
          <w:rtl/>
        </w:rPr>
        <w:t xml:space="preserve">ها، يُعرض </w:t>
      </w:r>
      <w:r>
        <w:rPr>
          <w:rtl/>
        </w:rPr>
        <w:t>ما تيسر توفيره من اقتراحات الأمانة وتقييماتها كي تنظر فيها الدول الأعضاء.</w:t>
      </w:r>
    </w:p>
    <w:p w:rsidR="00E626FA" w:rsidRDefault="00E626FA" w:rsidP="004C3C5D">
      <w:pPr>
        <w:pStyle w:val="NumberedParaAR"/>
      </w:pPr>
      <w:r>
        <w:rPr>
          <w:rtl/>
        </w:rPr>
        <w:t xml:space="preserve">وأصدرت وحدة التفتيش المشتركة </w:t>
      </w:r>
      <w:r w:rsidR="0015182B">
        <w:rPr>
          <w:rtl/>
        </w:rPr>
        <w:t>خمسة تقارير ت</w:t>
      </w:r>
      <w:r w:rsidR="0015182B">
        <w:rPr>
          <w:rFonts w:hint="cs"/>
          <w:rtl/>
        </w:rPr>
        <w:t>ُ</w:t>
      </w:r>
      <w:r w:rsidR="0015182B">
        <w:rPr>
          <w:rtl/>
        </w:rPr>
        <w:t xml:space="preserve">عنى الويبو بثلاثة منها </w:t>
      </w:r>
      <w:r>
        <w:rPr>
          <w:rtl/>
        </w:rPr>
        <w:t xml:space="preserve">منذ تقريرها الماضي المقدَّم إلى الدول الأعضاء </w:t>
      </w:r>
      <w:r w:rsidR="0015182B">
        <w:rPr>
          <w:rFonts w:hint="cs"/>
          <w:rtl/>
        </w:rPr>
        <w:t xml:space="preserve">عن </w:t>
      </w:r>
      <w:r w:rsidR="0015182B">
        <w:rPr>
          <w:rtl/>
        </w:rPr>
        <w:t xml:space="preserve">الموضوع ذاته </w:t>
      </w:r>
      <w:r>
        <w:rPr>
          <w:rtl/>
        </w:rPr>
        <w:t>(الوثيقة</w:t>
      </w:r>
      <w:r w:rsidR="0015182B">
        <w:rPr>
          <w:rFonts w:hint="cs"/>
          <w:rtl/>
        </w:rPr>
        <w:t> </w:t>
      </w:r>
      <w:r>
        <w:t>WO/PBC/24/7</w:t>
      </w:r>
      <w:r>
        <w:rPr>
          <w:rtl/>
        </w:rPr>
        <w:t xml:space="preserve">). </w:t>
      </w:r>
      <w:r w:rsidR="0015182B">
        <w:rPr>
          <w:rFonts w:hint="cs"/>
          <w:rtl/>
        </w:rPr>
        <w:t>وأشير إلى التقارير الجديدة بعلامة مميزة، وحدِّثت</w:t>
      </w:r>
      <w:r>
        <w:rPr>
          <w:rtl/>
        </w:rPr>
        <w:t xml:space="preserve"> </w:t>
      </w:r>
      <w:r w:rsidR="0015182B">
        <w:rPr>
          <w:rFonts w:hint="cs"/>
          <w:rtl/>
        </w:rPr>
        <w:t>حالة</w:t>
      </w:r>
      <w:r>
        <w:rPr>
          <w:rtl/>
        </w:rPr>
        <w:t xml:space="preserve"> </w:t>
      </w:r>
      <w:r w:rsidR="0015182B">
        <w:rPr>
          <w:rFonts w:hint="cs"/>
          <w:rtl/>
        </w:rPr>
        <w:t xml:space="preserve">تنفيذ التوصيات </w:t>
      </w:r>
      <w:r w:rsidR="004C3C5D">
        <w:rPr>
          <w:rFonts w:hint="cs"/>
          <w:rtl/>
        </w:rPr>
        <w:t>الخاصة</w:t>
      </w:r>
      <w:r w:rsidR="0015182B">
        <w:rPr>
          <w:rFonts w:hint="cs"/>
          <w:rtl/>
        </w:rPr>
        <w:t xml:space="preserve"> </w:t>
      </w:r>
      <w:r w:rsidR="004C3C5D">
        <w:rPr>
          <w:rFonts w:hint="cs"/>
          <w:rtl/>
        </w:rPr>
        <w:t>ب</w:t>
      </w:r>
      <w:r w:rsidR="0015182B">
        <w:rPr>
          <w:rFonts w:hint="cs"/>
          <w:rtl/>
        </w:rPr>
        <w:t>التقارير السابقة</w:t>
      </w:r>
      <w:r w:rsidR="004C3C5D">
        <w:rPr>
          <w:rFonts w:hint="cs"/>
          <w:rtl/>
        </w:rPr>
        <w:t xml:space="preserve"> مع التذكير بحالة</w:t>
      </w:r>
      <w:r w:rsidR="0015182B">
        <w:rPr>
          <w:rFonts w:hint="cs"/>
          <w:rtl/>
        </w:rPr>
        <w:t xml:space="preserve"> </w:t>
      </w:r>
      <w:r w:rsidR="004C3C5D">
        <w:rPr>
          <w:rFonts w:hint="cs"/>
          <w:rtl/>
        </w:rPr>
        <w:t>التنفيذ السابقة</w:t>
      </w:r>
      <w:r>
        <w:rPr>
          <w:rtl/>
        </w:rPr>
        <w:t>.</w:t>
      </w:r>
    </w:p>
    <w:p w:rsidR="00A9449A" w:rsidRDefault="004C3C5D" w:rsidP="004C3C5D">
      <w:pPr>
        <w:pStyle w:val="NumberedParaAR"/>
        <w:rPr>
          <w:rtl/>
        </w:rPr>
      </w:pPr>
      <w:r>
        <w:rPr>
          <w:rFonts w:hint="cs"/>
          <w:rtl/>
        </w:rPr>
        <w:t>وستوجَّه</w:t>
      </w:r>
      <w:r w:rsidR="00E626FA">
        <w:rPr>
          <w:rtl/>
        </w:rPr>
        <w:t xml:space="preserve"> خمس توصيات إلى الهيئات التشريعية للويبو</w:t>
      </w:r>
      <w:r>
        <w:rPr>
          <w:rFonts w:hint="cs"/>
          <w:rtl/>
        </w:rPr>
        <w:t xml:space="preserve"> </w:t>
      </w:r>
      <w:r>
        <w:rPr>
          <w:rtl/>
        </w:rPr>
        <w:t>في نهاية أبريل 2016</w:t>
      </w:r>
      <w:r>
        <w:rPr>
          <w:rFonts w:hint="cs"/>
          <w:rtl/>
        </w:rPr>
        <w:t xml:space="preserve"> </w:t>
      </w:r>
      <w:r>
        <w:rPr>
          <w:rtl/>
        </w:rPr>
        <w:t>–</w:t>
      </w:r>
      <w:r w:rsidR="00E626FA">
        <w:rPr>
          <w:rtl/>
        </w:rPr>
        <w:t xml:space="preserve"> </w:t>
      </w:r>
      <w:r>
        <w:rPr>
          <w:rFonts w:hint="cs"/>
          <w:rtl/>
        </w:rPr>
        <w:t>وهي</w:t>
      </w:r>
      <w:r w:rsidR="00E626FA">
        <w:rPr>
          <w:rtl/>
        </w:rPr>
        <w:t xml:space="preserve"> التوصيات الوحيدة المفتوحة عقب إغلاق كل التوصيات الأخرى (إما بسبب تنفيذها </w:t>
      </w:r>
      <w:r>
        <w:rPr>
          <w:rtl/>
        </w:rPr>
        <w:t>أو عدم وجاهتها للويبو أو رفضها)</w:t>
      </w:r>
      <w:r>
        <w:rPr>
          <w:rFonts w:hint="cs"/>
          <w:rtl/>
        </w:rPr>
        <w:t xml:space="preserve"> </w:t>
      </w:r>
      <w:r>
        <w:rPr>
          <w:rtl/>
        </w:rPr>
        <w:t>–</w:t>
      </w:r>
      <w:r>
        <w:rPr>
          <w:rFonts w:hint="cs"/>
          <w:rtl/>
        </w:rPr>
        <w:t xml:space="preserve"> على أن تقر</w:t>
      </w:r>
      <w:r w:rsidR="00E626FA">
        <w:rPr>
          <w:rtl/>
        </w:rPr>
        <w:t xml:space="preserve"> الدول الأعضاء </w:t>
      </w:r>
      <w:r>
        <w:rPr>
          <w:rFonts w:hint="cs"/>
          <w:rtl/>
        </w:rPr>
        <w:t>ا</w:t>
      </w:r>
      <w:r w:rsidR="00E626FA">
        <w:rPr>
          <w:rtl/>
        </w:rPr>
        <w:t>لتوصيات الواردة في هذا التقرير.</w:t>
      </w:r>
    </w:p>
    <w:p w:rsidR="00E626FA" w:rsidRPr="00E626FA" w:rsidRDefault="00E626FA" w:rsidP="004C3C5D">
      <w:pPr>
        <w:pStyle w:val="NormalParaAR"/>
        <w:keepNext/>
        <w:spacing w:after="120"/>
        <w:jc w:val="center"/>
        <w:rPr>
          <w:b/>
          <w:bCs/>
          <w:rtl/>
        </w:rPr>
      </w:pPr>
      <w:r w:rsidRPr="00E626FA">
        <w:rPr>
          <w:b/>
          <w:bCs/>
          <w:rtl/>
        </w:rPr>
        <w:lastRenderedPageBreak/>
        <w:t xml:space="preserve">الشكل 1 – توصيات وحدة التفتيش المشتركة </w:t>
      </w:r>
      <w:r w:rsidR="004C3C5D">
        <w:rPr>
          <w:rFonts w:hint="cs"/>
          <w:b/>
          <w:bCs/>
          <w:rtl/>
        </w:rPr>
        <w:t>التي تعني</w:t>
      </w:r>
      <w:r w:rsidRPr="00E626FA">
        <w:rPr>
          <w:b/>
          <w:bCs/>
          <w:rtl/>
        </w:rPr>
        <w:t xml:space="preserve"> الويبو </w:t>
      </w:r>
      <w:r w:rsidR="004C3C5D">
        <w:rPr>
          <w:rFonts w:hint="cs"/>
          <w:b/>
          <w:bCs/>
          <w:rtl/>
        </w:rPr>
        <w:t>من</w:t>
      </w:r>
      <w:r w:rsidRPr="00E626FA">
        <w:rPr>
          <w:b/>
          <w:bCs/>
          <w:rtl/>
        </w:rPr>
        <w:t xml:space="preserve"> </w:t>
      </w:r>
      <w:r w:rsidR="004C3C5D">
        <w:rPr>
          <w:rFonts w:hint="cs"/>
          <w:b/>
          <w:bCs/>
          <w:rtl/>
        </w:rPr>
        <w:t>ال</w:t>
      </w:r>
      <w:r w:rsidRPr="00E626FA">
        <w:rPr>
          <w:b/>
          <w:bCs/>
          <w:rtl/>
        </w:rPr>
        <w:t xml:space="preserve">تقارير </w:t>
      </w:r>
      <w:r w:rsidR="004C3C5D">
        <w:rPr>
          <w:rFonts w:hint="cs"/>
          <w:b/>
          <w:bCs/>
          <w:rtl/>
        </w:rPr>
        <w:t>الصادرة</w:t>
      </w:r>
      <w:r w:rsidRPr="00E626FA">
        <w:rPr>
          <w:b/>
          <w:bCs/>
          <w:rtl/>
        </w:rPr>
        <w:t xml:space="preserve"> </w:t>
      </w:r>
      <w:r w:rsidR="004C3C5D">
        <w:rPr>
          <w:rFonts w:hint="cs"/>
          <w:b/>
          <w:bCs/>
          <w:rtl/>
        </w:rPr>
        <w:t>في الفترة</w:t>
      </w:r>
      <w:r w:rsidRPr="00E626FA">
        <w:rPr>
          <w:b/>
          <w:bCs/>
          <w:rtl/>
        </w:rPr>
        <w:t xml:space="preserve"> 2010</w:t>
      </w:r>
      <w:r w:rsidR="004C3C5D">
        <w:rPr>
          <w:rFonts w:hint="cs"/>
          <w:b/>
          <w:bCs/>
          <w:rtl/>
        </w:rPr>
        <w:t>-</w:t>
      </w:r>
      <w:r w:rsidRPr="00E626FA">
        <w:rPr>
          <w:b/>
          <w:bCs/>
          <w:rtl/>
        </w:rPr>
        <w:t>2015</w:t>
      </w:r>
    </w:p>
    <w:p w:rsidR="00145FD6" w:rsidRPr="00E626FA" w:rsidRDefault="004C3C5D" w:rsidP="00E626FA">
      <w:pPr>
        <w:pStyle w:val="NormalParaAR"/>
        <w:keepNext/>
        <w:jc w:val="center"/>
        <w:rPr>
          <w:b/>
          <w:bCs/>
        </w:rPr>
      </w:pPr>
      <w:r>
        <w:rPr>
          <w:rFonts w:hint="cs"/>
          <w:b/>
          <w:bCs/>
          <w:rtl/>
        </w:rPr>
        <w:t>الحالة</w:t>
      </w:r>
      <w:r w:rsidR="00E626FA" w:rsidRPr="00E626FA">
        <w:rPr>
          <w:b/>
          <w:bCs/>
          <w:rtl/>
        </w:rPr>
        <w:t xml:space="preserve"> في نهاية أبريل 2016</w:t>
      </w:r>
    </w:p>
    <w:p w:rsidR="00145FD6" w:rsidRPr="00A9449A" w:rsidRDefault="00E626FA" w:rsidP="00E626FA">
      <w:pPr>
        <w:pStyle w:val="NormalParaAR"/>
        <w:spacing w:line="240" w:lineRule="auto"/>
        <w:jc w:val="center"/>
      </w:pPr>
      <w:r>
        <w:rPr>
          <w:noProof/>
          <w:lang w:val="fr-CH" w:eastAsia="fr-CH"/>
        </w:rPr>
        <w:drawing>
          <wp:inline distT="0" distB="0" distL="0" distR="0" wp14:anchorId="309AA426" wp14:editId="37981082">
            <wp:extent cx="4512623" cy="3028207"/>
            <wp:effectExtent l="0" t="0" r="2159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626FA" w:rsidRPr="00E626FA" w:rsidRDefault="00E626FA" w:rsidP="004C3C5D">
      <w:pPr>
        <w:pStyle w:val="NormalParaAR"/>
        <w:keepNext/>
        <w:spacing w:after="120"/>
        <w:jc w:val="center"/>
        <w:rPr>
          <w:b/>
          <w:bCs/>
          <w:rtl/>
        </w:rPr>
      </w:pPr>
      <w:r w:rsidRPr="00E626FA">
        <w:rPr>
          <w:b/>
          <w:bCs/>
          <w:rtl/>
        </w:rPr>
        <w:t xml:space="preserve">الشكل 2 – عدد توصيات وحدة التفتيش المشتركة التي </w:t>
      </w:r>
      <w:r w:rsidR="004C3C5D">
        <w:rPr>
          <w:rFonts w:hint="cs"/>
          <w:b/>
          <w:bCs/>
          <w:rtl/>
        </w:rPr>
        <w:t>تعني</w:t>
      </w:r>
      <w:r w:rsidRPr="00E626FA">
        <w:rPr>
          <w:b/>
          <w:bCs/>
          <w:rtl/>
        </w:rPr>
        <w:t xml:space="preserve"> الويبو </w:t>
      </w:r>
      <w:r w:rsidR="004C3C5D">
        <w:rPr>
          <w:rFonts w:hint="cs"/>
          <w:b/>
          <w:bCs/>
          <w:rtl/>
        </w:rPr>
        <w:t>من</w:t>
      </w:r>
      <w:r w:rsidR="004C3C5D" w:rsidRPr="00E626FA">
        <w:rPr>
          <w:b/>
          <w:bCs/>
          <w:rtl/>
        </w:rPr>
        <w:t xml:space="preserve"> </w:t>
      </w:r>
      <w:r w:rsidR="004C3C5D">
        <w:rPr>
          <w:rFonts w:hint="cs"/>
          <w:b/>
          <w:bCs/>
          <w:rtl/>
        </w:rPr>
        <w:t>ال</w:t>
      </w:r>
      <w:r w:rsidR="004C3C5D" w:rsidRPr="00E626FA">
        <w:rPr>
          <w:b/>
          <w:bCs/>
          <w:rtl/>
        </w:rPr>
        <w:t xml:space="preserve">تقارير </w:t>
      </w:r>
      <w:r w:rsidR="004C3C5D">
        <w:rPr>
          <w:rFonts w:hint="cs"/>
          <w:b/>
          <w:bCs/>
          <w:rtl/>
        </w:rPr>
        <w:t>الصادرة</w:t>
      </w:r>
      <w:r w:rsidR="004C3C5D" w:rsidRPr="00E626FA">
        <w:rPr>
          <w:b/>
          <w:bCs/>
          <w:rtl/>
        </w:rPr>
        <w:t xml:space="preserve"> </w:t>
      </w:r>
      <w:r w:rsidR="004C3C5D">
        <w:rPr>
          <w:rFonts w:hint="cs"/>
          <w:b/>
          <w:bCs/>
          <w:rtl/>
        </w:rPr>
        <w:t>في الفترة</w:t>
      </w:r>
      <w:r w:rsidR="004C3C5D" w:rsidRPr="00E626FA">
        <w:rPr>
          <w:b/>
          <w:bCs/>
          <w:rtl/>
        </w:rPr>
        <w:t xml:space="preserve"> 2010</w:t>
      </w:r>
      <w:r w:rsidR="004C3C5D">
        <w:rPr>
          <w:rFonts w:hint="cs"/>
          <w:b/>
          <w:bCs/>
          <w:rtl/>
        </w:rPr>
        <w:t>-</w:t>
      </w:r>
      <w:r w:rsidR="004C3C5D" w:rsidRPr="00E626FA">
        <w:rPr>
          <w:b/>
          <w:bCs/>
          <w:rtl/>
        </w:rPr>
        <w:t>2015</w:t>
      </w:r>
    </w:p>
    <w:p w:rsidR="00E36CD9" w:rsidRPr="00E626FA" w:rsidRDefault="00E626FA" w:rsidP="00E626FA">
      <w:pPr>
        <w:pStyle w:val="NormalParaAR"/>
        <w:keepNext/>
        <w:jc w:val="center"/>
        <w:rPr>
          <w:b/>
          <w:bCs/>
          <w:rtl/>
        </w:rPr>
      </w:pPr>
      <w:r w:rsidRPr="00E626FA">
        <w:rPr>
          <w:b/>
          <w:bCs/>
          <w:rtl/>
        </w:rPr>
        <w:t>الوضع في نهاية أبريل 2016</w:t>
      </w:r>
      <w:r w:rsidRPr="007152E7">
        <w:rPr>
          <w:vertAlign w:val="superscript"/>
          <w:rtl/>
        </w:rPr>
        <w:footnoteReference w:id="1"/>
      </w:r>
    </w:p>
    <w:p w:rsidR="006A7CB9" w:rsidRDefault="00E626FA" w:rsidP="00E626FA">
      <w:pPr>
        <w:pStyle w:val="NormalParaAR"/>
        <w:spacing w:line="240" w:lineRule="auto"/>
        <w:jc w:val="center"/>
        <w:rPr>
          <w:rtl/>
        </w:rPr>
      </w:pPr>
      <w:r>
        <w:rPr>
          <w:noProof/>
          <w:lang w:val="fr-CH" w:eastAsia="fr-CH"/>
        </w:rPr>
        <w:drawing>
          <wp:inline distT="0" distB="0" distL="0" distR="0" wp14:anchorId="4430F022" wp14:editId="2479256A">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626FA" w:rsidRPr="00E626FA" w:rsidRDefault="00E626FA" w:rsidP="004C3C5D">
      <w:pPr>
        <w:pStyle w:val="NormalParaAR"/>
        <w:keepNext/>
        <w:spacing w:after="120"/>
        <w:jc w:val="center"/>
        <w:rPr>
          <w:b/>
          <w:bCs/>
          <w:rtl/>
        </w:rPr>
      </w:pPr>
      <w:r w:rsidRPr="00E626FA">
        <w:rPr>
          <w:b/>
          <w:bCs/>
          <w:rtl/>
        </w:rPr>
        <w:lastRenderedPageBreak/>
        <w:t>الشكل 3 –</w:t>
      </w:r>
      <w:r w:rsidR="00C209AA">
        <w:rPr>
          <w:rFonts w:hint="cs"/>
          <w:b/>
          <w:bCs/>
          <w:rtl/>
        </w:rPr>
        <w:t xml:space="preserve"> </w:t>
      </w:r>
      <w:r w:rsidRPr="00E626FA">
        <w:rPr>
          <w:b/>
          <w:bCs/>
          <w:rtl/>
        </w:rPr>
        <w:t xml:space="preserve">توصيات وحدة التفتيش المشتركة الموجهة إلى الهيئات التشريعية في الفترة </w:t>
      </w:r>
      <w:r w:rsidR="004C3C5D">
        <w:rPr>
          <w:rFonts w:hint="cs"/>
          <w:b/>
          <w:bCs/>
          <w:rtl/>
        </w:rPr>
        <w:t>2010-2015</w:t>
      </w:r>
    </w:p>
    <w:p w:rsidR="00E626FA" w:rsidRPr="00E626FA" w:rsidRDefault="00E626FA" w:rsidP="00E626FA">
      <w:pPr>
        <w:pStyle w:val="NormalParaAR"/>
        <w:keepNext/>
        <w:jc w:val="center"/>
        <w:rPr>
          <w:b/>
          <w:bCs/>
          <w:rtl/>
        </w:rPr>
      </w:pPr>
      <w:r w:rsidRPr="00E626FA">
        <w:rPr>
          <w:b/>
          <w:bCs/>
          <w:rtl/>
        </w:rPr>
        <w:t>الوضع في نهاية أبريل 2016</w:t>
      </w:r>
    </w:p>
    <w:p w:rsidR="00E626FA" w:rsidRDefault="00C209AA" w:rsidP="00E626FA">
      <w:pPr>
        <w:pStyle w:val="NormalParaAR"/>
        <w:spacing w:line="240" w:lineRule="auto"/>
        <w:jc w:val="center"/>
        <w:rPr>
          <w:rtl/>
        </w:rPr>
      </w:pPr>
      <w:r>
        <w:rPr>
          <w:noProof/>
          <w:lang w:val="fr-CH" w:eastAsia="fr-CH"/>
        </w:rPr>
        <w:drawing>
          <wp:inline distT="0" distB="0" distL="0" distR="0" wp14:anchorId="021AC963" wp14:editId="716AF97F">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626FA" w:rsidRDefault="00C209AA" w:rsidP="00930662">
      <w:pPr>
        <w:pStyle w:val="NumberedParaAR"/>
        <w:rPr>
          <w:rtl/>
        </w:rPr>
      </w:pPr>
      <w:r>
        <w:rPr>
          <w:rFonts w:hint="cs"/>
          <w:rtl/>
        </w:rPr>
        <w:t>و</w:t>
      </w:r>
      <w:r w:rsidR="00E626FA" w:rsidRPr="00E626FA">
        <w:rPr>
          <w:rtl/>
        </w:rPr>
        <w:t xml:space="preserve">استهلت وحدة التفتيش المشتركة في عام 2015 مجموعة من عمليات الاستعراض في إطار </w:t>
      </w:r>
      <w:r w:rsidR="00F35EC7">
        <w:rPr>
          <w:rFonts w:hint="cs"/>
          <w:rtl/>
        </w:rPr>
        <w:t xml:space="preserve">استعراض </w:t>
      </w:r>
      <w:r>
        <w:rPr>
          <w:rFonts w:hint="cs"/>
          <w:rtl/>
        </w:rPr>
        <w:t>قبول</w:t>
      </w:r>
      <w:r w:rsidR="00E626FA" w:rsidRPr="00E626FA">
        <w:rPr>
          <w:rtl/>
        </w:rPr>
        <w:t xml:space="preserve"> </w:t>
      </w:r>
      <w:r>
        <w:rPr>
          <w:rFonts w:hint="cs"/>
          <w:rtl/>
        </w:rPr>
        <w:t>توصياته</w:t>
      </w:r>
      <w:r w:rsidR="00E626FA" w:rsidRPr="00E626FA">
        <w:rPr>
          <w:rtl/>
        </w:rPr>
        <w:t xml:space="preserve"> </w:t>
      </w:r>
      <w:r>
        <w:rPr>
          <w:rFonts w:hint="cs"/>
          <w:rtl/>
        </w:rPr>
        <w:t>و</w:t>
      </w:r>
      <w:r w:rsidR="00E626FA" w:rsidRPr="00E626FA">
        <w:rPr>
          <w:rtl/>
        </w:rPr>
        <w:t>تنفيذها</w:t>
      </w:r>
      <w:r>
        <w:rPr>
          <w:rFonts w:hint="cs"/>
          <w:rtl/>
        </w:rPr>
        <w:t xml:space="preserve"> على مستوى منظومة الأمم المتحدة</w:t>
      </w:r>
      <w:r w:rsidR="00E626FA" w:rsidRPr="00E626FA">
        <w:rPr>
          <w:rtl/>
        </w:rPr>
        <w:t xml:space="preserve">؛ وتمخض ذلك عن توجيه </w:t>
      </w:r>
      <w:r w:rsidR="00935632">
        <w:rPr>
          <w:rFonts w:hint="cs"/>
          <w:rtl/>
        </w:rPr>
        <w:t>رسائل</w:t>
      </w:r>
      <w:r w:rsidR="00E626FA" w:rsidRPr="00E626FA">
        <w:rPr>
          <w:rtl/>
        </w:rPr>
        <w:t xml:space="preserve"> إلى إدارات عدة منظمات</w:t>
      </w:r>
      <w:r w:rsidR="001705D0">
        <w:rPr>
          <w:rFonts w:hint="cs"/>
          <w:rtl/>
        </w:rPr>
        <w:t xml:space="preserve"> محددة</w:t>
      </w:r>
      <w:r w:rsidR="00E626FA" w:rsidRPr="00E626FA">
        <w:rPr>
          <w:rtl/>
        </w:rPr>
        <w:t>.</w:t>
      </w:r>
      <w:r w:rsidR="00EC6AD0" w:rsidRPr="007152E7">
        <w:rPr>
          <w:vertAlign w:val="superscript"/>
          <w:rtl/>
        </w:rPr>
        <w:footnoteReference w:id="2"/>
      </w:r>
      <w:r w:rsidR="00E626FA" w:rsidRPr="00E626FA">
        <w:rPr>
          <w:rtl/>
        </w:rPr>
        <w:t xml:space="preserve"> واستجابة</w:t>
      </w:r>
      <w:r>
        <w:rPr>
          <w:rFonts w:hint="cs"/>
          <w:rtl/>
        </w:rPr>
        <w:t>ً</w:t>
      </w:r>
      <w:r w:rsidR="00930662">
        <w:rPr>
          <w:rFonts w:hint="cs"/>
          <w:rtl/>
        </w:rPr>
        <w:t> </w:t>
      </w:r>
      <w:r w:rsidR="00E626FA" w:rsidRPr="00E626FA">
        <w:rPr>
          <w:rtl/>
        </w:rPr>
        <w:t>للتوصيات الواردة في الرسالة الموجهة إلى إدارة الويبو في أوائل عام 2016، اعت</w:t>
      </w:r>
      <w:r>
        <w:rPr>
          <w:rFonts w:hint="cs"/>
          <w:rtl/>
        </w:rPr>
        <w:t>ُ</w:t>
      </w:r>
      <w:r w:rsidR="00E626FA" w:rsidRPr="00E626FA">
        <w:rPr>
          <w:rtl/>
        </w:rPr>
        <w:t>مدت بعض التغييرات في محتوى هذا التقرير. وتخص تلك التغييرات المسائل التالية:</w:t>
      </w:r>
    </w:p>
    <w:p w:rsidR="00E626FA" w:rsidRDefault="00E626FA" w:rsidP="00930662">
      <w:pPr>
        <w:pStyle w:val="NormalParaAR"/>
        <w:ind w:left="1134" w:hanging="567"/>
        <w:rPr>
          <w:rtl/>
        </w:rPr>
      </w:pPr>
      <w:r>
        <w:rPr>
          <w:rtl/>
        </w:rPr>
        <w:t>(أ)</w:t>
      </w:r>
      <w:r>
        <w:rPr>
          <w:rtl/>
        </w:rPr>
        <w:tab/>
      </w:r>
      <w:r w:rsidR="001705D0">
        <w:rPr>
          <w:rtl/>
        </w:rPr>
        <w:t>أدرجت</w:t>
      </w:r>
      <w:r w:rsidR="001705D0">
        <w:rPr>
          <w:rFonts w:hint="cs"/>
          <w:rtl/>
        </w:rPr>
        <w:t xml:space="preserve"> </w:t>
      </w:r>
      <w:r w:rsidR="001705D0">
        <w:rPr>
          <w:rtl/>
        </w:rPr>
        <w:t xml:space="preserve">روابط شبكية </w:t>
      </w:r>
      <w:r w:rsidR="001705D0">
        <w:rPr>
          <w:rFonts w:hint="cs"/>
          <w:rtl/>
        </w:rPr>
        <w:t>بعد عناوين</w:t>
      </w:r>
      <w:r w:rsidR="001705D0">
        <w:rPr>
          <w:rtl/>
        </w:rPr>
        <w:t xml:space="preserve"> </w:t>
      </w:r>
      <w:r w:rsidR="001705D0">
        <w:rPr>
          <w:rFonts w:hint="cs"/>
          <w:rtl/>
        </w:rPr>
        <w:t>تقارير وحدة التفتيش المشتركة</w:t>
      </w:r>
      <w:r w:rsidR="001705D0">
        <w:rPr>
          <w:rtl/>
        </w:rPr>
        <w:t xml:space="preserve"> </w:t>
      </w:r>
      <w:r w:rsidR="001705D0">
        <w:rPr>
          <w:rFonts w:hint="cs"/>
          <w:rtl/>
        </w:rPr>
        <w:t>التي تعن</w:t>
      </w:r>
      <w:r w:rsidR="00930662">
        <w:rPr>
          <w:rFonts w:hint="cs"/>
          <w:rtl/>
        </w:rPr>
        <w:t>ي</w:t>
      </w:r>
      <w:r w:rsidR="001705D0">
        <w:rPr>
          <w:rFonts w:hint="cs"/>
          <w:rtl/>
        </w:rPr>
        <w:t xml:space="preserve"> </w:t>
      </w:r>
      <w:r w:rsidR="001705D0">
        <w:rPr>
          <w:rtl/>
        </w:rPr>
        <w:t xml:space="preserve">الويبو </w:t>
      </w:r>
      <w:r w:rsidR="001705D0">
        <w:rPr>
          <w:rFonts w:hint="cs"/>
          <w:rtl/>
        </w:rPr>
        <w:t>بغية</w:t>
      </w:r>
      <w:r>
        <w:rPr>
          <w:rtl/>
        </w:rPr>
        <w:t xml:space="preserve"> تيسير </w:t>
      </w:r>
      <w:r w:rsidR="001705D0">
        <w:rPr>
          <w:rFonts w:hint="cs"/>
          <w:rtl/>
        </w:rPr>
        <w:t>نفاذ</w:t>
      </w:r>
      <w:r>
        <w:rPr>
          <w:rtl/>
        </w:rPr>
        <w:t xml:space="preserve"> الدول الأعضاء </w:t>
      </w:r>
      <w:r w:rsidR="001705D0">
        <w:rPr>
          <w:rFonts w:hint="cs"/>
          <w:rtl/>
        </w:rPr>
        <w:t>إليها واطلاعها عليها ورجوعها إليها</w:t>
      </w:r>
      <w:r>
        <w:rPr>
          <w:rtl/>
        </w:rPr>
        <w:t xml:space="preserve">. </w:t>
      </w:r>
      <w:r w:rsidR="001705D0">
        <w:rPr>
          <w:rFonts w:hint="cs"/>
          <w:rtl/>
        </w:rPr>
        <w:t>وترد في</w:t>
      </w:r>
      <w:r>
        <w:rPr>
          <w:rtl/>
        </w:rPr>
        <w:t xml:space="preserve"> المرفق الثاني قائمة كاملة ومستفيضة لكل </w:t>
      </w:r>
      <w:r w:rsidR="00EF32A9">
        <w:rPr>
          <w:rFonts w:hint="cs"/>
          <w:rtl/>
        </w:rPr>
        <w:t>ال</w:t>
      </w:r>
      <w:r>
        <w:rPr>
          <w:rtl/>
        </w:rPr>
        <w:t xml:space="preserve">تقارير </w:t>
      </w:r>
      <w:r w:rsidR="00F35EC7">
        <w:rPr>
          <w:rFonts w:hint="cs"/>
          <w:rtl/>
        </w:rPr>
        <w:t>قيد</w:t>
      </w:r>
      <w:r w:rsidR="00935632">
        <w:rPr>
          <w:rFonts w:hint="eastAsia"/>
          <w:rtl/>
        </w:rPr>
        <w:t> </w:t>
      </w:r>
      <w:r w:rsidR="00F35EC7">
        <w:rPr>
          <w:rFonts w:hint="cs"/>
          <w:rtl/>
        </w:rPr>
        <w:t>النظر</w:t>
      </w:r>
      <w:r w:rsidRPr="00E626FA">
        <w:rPr>
          <w:vertAlign w:val="superscript"/>
          <w:rtl/>
        </w:rPr>
        <w:footnoteReference w:id="3"/>
      </w:r>
      <w:r>
        <w:rPr>
          <w:rtl/>
        </w:rPr>
        <w:t xml:space="preserve"> </w:t>
      </w:r>
      <w:r w:rsidR="00EF32A9">
        <w:rPr>
          <w:rFonts w:hint="cs"/>
          <w:rtl/>
        </w:rPr>
        <w:t xml:space="preserve">الصادرة عن </w:t>
      </w:r>
      <w:r w:rsidR="00EF32A9">
        <w:rPr>
          <w:rtl/>
        </w:rPr>
        <w:t xml:space="preserve">وحدة التفتيش المشتركة </w:t>
      </w:r>
      <w:r w:rsidR="00EF32A9">
        <w:rPr>
          <w:rFonts w:hint="cs"/>
          <w:rtl/>
        </w:rPr>
        <w:t>لتحيط الدول الأعضاء علماً بها فقط</w:t>
      </w:r>
      <w:r>
        <w:rPr>
          <w:rtl/>
        </w:rPr>
        <w:t>؛</w:t>
      </w:r>
    </w:p>
    <w:p w:rsidR="00E626FA" w:rsidRDefault="00E626FA" w:rsidP="00EF32A9">
      <w:pPr>
        <w:pStyle w:val="NormalParaAR"/>
        <w:spacing w:line="240" w:lineRule="auto"/>
        <w:ind w:left="1134" w:hanging="567"/>
        <w:rPr>
          <w:rtl/>
        </w:rPr>
      </w:pPr>
      <w:r>
        <w:rPr>
          <w:rtl/>
        </w:rPr>
        <w:t>(ب)</w:t>
      </w:r>
      <w:r>
        <w:rPr>
          <w:rtl/>
        </w:rPr>
        <w:tab/>
        <w:t>و</w:t>
      </w:r>
      <w:r w:rsidR="00EF32A9">
        <w:rPr>
          <w:rFonts w:hint="cs"/>
          <w:rtl/>
        </w:rPr>
        <w:t>أدرجت في</w:t>
      </w:r>
      <w:r>
        <w:rPr>
          <w:rtl/>
        </w:rPr>
        <w:t xml:space="preserve"> المرفق الثاني</w:t>
      </w:r>
      <w:r w:rsidR="00EF32A9">
        <w:rPr>
          <w:rFonts w:hint="cs"/>
          <w:rtl/>
        </w:rPr>
        <w:t xml:space="preserve"> أيضاً</w:t>
      </w:r>
      <w:r>
        <w:rPr>
          <w:rtl/>
        </w:rPr>
        <w:t xml:space="preserve"> روابط شبكية إلى تعليقات الرؤساء التنفيذيين</w:t>
      </w:r>
      <w:r w:rsidR="00EF32A9">
        <w:rPr>
          <w:rFonts w:hint="cs"/>
          <w:rtl/>
        </w:rPr>
        <w:t xml:space="preserve"> على</w:t>
      </w:r>
      <w:r>
        <w:rPr>
          <w:rtl/>
        </w:rPr>
        <w:t xml:space="preserve"> تقارير وحدة التفتيش المشتركة وتوصياتها التي جم</w:t>
      </w:r>
      <w:r w:rsidR="00EF32A9">
        <w:rPr>
          <w:rFonts w:hint="cs"/>
          <w:rtl/>
        </w:rPr>
        <w:t>َّ</w:t>
      </w:r>
      <w:r>
        <w:rPr>
          <w:rtl/>
        </w:rPr>
        <w:t xml:space="preserve">عها مجلس الرؤساء التنفيذيين </w:t>
      </w:r>
      <w:r w:rsidR="00EF32A9">
        <w:rPr>
          <w:rFonts w:hint="cs"/>
          <w:rtl/>
        </w:rPr>
        <w:t>وقدمها</w:t>
      </w:r>
      <w:r>
        <w:rPr>
          <w:rtl/>
        </w:rPr>
        <w:t xml:space="preserve"> إلى الجمعية العامة للأمم المتحدة. وتقدم الويبو تعليقاتها إلى </w:t>
      </w:r>
      <w:r w:rsidR="00EF32A9">
        <w:rPr>
          <w:rFonts w:hint="cs"/>
          <w:rtl/>
        </w:rPr>
        <w:t xml:space="preserve">الدول الأعضاء </w:t>
      </w:r>
      <w:r>
        <w:rPr>
          <w:rtl/>
        </w:rPr>
        <w:t>في</w:t>
      </w:r>
      <w:r w:rsidR="00EF32A9">
        <w:rPr>
          <w:rFonts w:hint="cs"/>
          <w:rtl/>
        </w:rPr>
        <w:t xml:space="preserve"> إطار</w:t>
      </w:r>
      <w:r>
        <w:rPr>
          <w:rtl/>
        </w:rPr>
        <w:t xml:space="preserve"> هذا التقرير وليس وثيقة مجلس الرؤساء التنفيذيين </w:t>
      </w:r>
      <w:r w:rsidR="00EF32A9">
        <w:rPr>
          <w:rFonts w:hint="cs"/>
          <w:rtl/>
        </w:rPr>
        <w:t>المدرجة لغرض العلم</w:t>
      </w:r>
      <w:r w:rsidR="00EF32A9">
        <w:rPr>
          <w:rFonts w:hint="eastAsia"/>
          <w:rtl/>
        </w:rPr>
        <w:t> </w:t>
      </w:r>
      <w:r w:rsidR="00EF32A9">
        <w:rPr>
          <w:rFonts w:hint="cs"/>
          <w:rtl/>
        </w:rPr>
        <w:t>بها فقط</w:t>
      </w:r>
      <w:r>
        <w:rPr>
          <w:rtl/>
        </w:rPr>
        <w:t>.</w:t>
      </w:r>
    </w:p>
    <w:p w:rsidR="00E626FA" w:rsidRDefault="00EF32A9" w:rsidP="00E626FA">
      <w:pPr>
        <w:pStyle w:val="NumberedParaAR"/>
      </w:pPr>
      <w:r>
        <w:rPr>
          <w:rFonts w:hint="cs"/>
          <w:rtl/>
        </w:rPr>
        <w:t>و</w:t>
      </w:r>
      <w:r w:rsidR="00E626FA">
        <w:rPr>
          <w:rtl/>
        </w:rPr>
        <w:t>حسِّنت طريقة عرض الجدول الوارد في المرفق ال</w:t>
      </w:r>
      <w:r>
        <w:rPr>
          <w:rtl/>
        </w:rPr>
        <w:t>أول لتيسير عملية الاستعراض</w:t>
      </w:r>
      <w:r w:rsidR="00E626FA">
        <w:rPr>
          <w:rtl/>
        </w:rPr>
        <w:t>.</w:t>
      </w:r>
    </w:p>
    <w:p w:rsidR="00E626FA" w:rsidRDefault="00E626FA" w:rsidP="00930662">
      <w:pPr>
        <w:pStyle w:val="NumberedParaAR"/>
      </w:pPr>
      <w:r>
        <w:rPr>
          <w:rtl/>
        </w:rPr>
        <w:t xml:space="preserve"> </w:t>
      </w:r>
      <w:r w:rsidR="001128B4">
        <w:rPr>
          <w:rFonts w:hint="cs"/>
          <w:rtl/>
        </w:rPr>
        <w:t>ونتيجة</w:t>
      </w:r>
      <w:r w:rsidR="00930662">
        <w:rPr>
          <w:rFonts w:hint="cs"/>
          <w:rtl/>
        </w:rPr>
        <w:t>ً</w:t>
      </w:r>
      <w:r w:rsidR="001128B4">
        <w:rPr>
          <w:rFonts w:hint="cs"/>
          <w:rtl/>
        </w:rPr>
        <w:t xml:space="preserve"> للحوار </w:t>
      </w:r>
      <w:r w:rsidR="00935632">
        <w:rPr>
          <w:rFonts w:hint="cs"/>
          <w:rtl/>
        </w:rPr>
        <w:t xml:space="preserve">القائم </w:t>
      </w:r>
      <w:r w:rsidR="001128B4">
        <w:rPr>
          <w:rFonts w:hint="cs"/>
          <w:rtl/>
        </w:rPr>
        <w:t>بين الويبو ووحدة</w:t>
      </w:r>
      <w:r>
        <w:rPr>
          <w:rtl/>
        </w:rPr>
        <w:t xml:space="preserve"> التفتيش المشتركة </w:t>
      </w:r>
      <w:r w:rsidR="001128B4">
        <w:rPr>
          <w:rFonts w:hint="cs"/>
          <w:rtl/>
        </w:rPr>
        <w:t>عن</w:t>
      </w:r>
      <w:r w:rsidR="001128B4">
        <w:rPr>
          <w:rtl/>
        </w:rPr>
        <w:t xml:space="preserve"> موضوع </w:t>
      </w:r>
      <w:r w:rsidR="00935632">
        <w:rPr>
          <w:rFonts w:hint="cs"/>
          <w:rtl/>
        </w:rPr>
        <w:t>ال</w:t>
      </w:r>
      <w:r w:rsidR="001128B4">
        <w:rPr>
          <w:rtl/>
        </w:rPr>
        <w:t>رسالة</w:t>
      </w:r>
      <w:r w:rsidR="00935632">
        <w:rPr>
          <w:rFonts w:hint="cs"/>
          <w:rtl/>
        </w:rPr>
        <w:t xml:space="preserve"> </w:t>
      </w:r>
      <w:r w:rsidR="00930662">
        <w:rPr>
          <w:rFonts w:hint="cs"/>
          <w:rtl/>
        </w:rPr>
        <w:t xml:space="preserve">الموجَّهة </w:t>
      </w:r>
      <w:r w:rsidR="00935632">
        <w:rPr>
          <w:rFonts w:hint="cs"/>
          <w:rtl/>
        </w:rPr>
        <w:t>إلى</w:t>
      </w:r>
      <w:r w:rsidR="001128B4">
        <w:rPr>
          <w:rtl/>
        </w:rPr>
        <w:t xml:space="preserve"> الإدارة، اقترحت </w:t>
      </w:r>
      <w:r w:rsidR="001128B4">
        <w:rPr>
          <w:rFonts w:hint="cs"/>
          <w:rtl/>
        </w:rPr>
        <w:t>المنظمة</w:t>
      </w:r>
      <w:r>
        <w:rPr>
          <w:rtl/>
        </w:rPr>
        <w:t xml:space="preserve"> </w:t>
      </w:r>
      <w:r w:rsidR="00930662">
        <w:rPr>
          <w:rFonts w:hint="cs"/>
          <w:rtl/>
        </w:rPr>
        <w:t xml:space="preserve">إدخال </w:t>
      </w:r>
      <w:r>
        <w:rPr>
          <w:rtl/>
        </w:rPr>
        <w:t xml:space="preserve">عدد من التغييرات على </w:t>
      </w:r>
      <w:r w:rsidR="001128B4">
        <w:rPr>
          <w:rFonts w:hint="cs"/>
          <w:rtl/>
        </w:rPr>
        <w:t>عملية</w:t>
      </w:r>
      <w:r>
        <w:rPr>
          <w:rtl/>
        </w:rPr>
        <w:t xml:space="preserve"> صياغة توصيات وحدة التفتيش المشتركة </w:t>
      </w:r>
      <w:r w:rsidR="001128B4">
        <w:rPr>
          <w:rtl/>
        </w:rPr>
        <w:t xml:space="preserve">ونشرها </w:t>
      </w:r>
      <w:r>
        <w:rPr>
          <w:rtl/>
        </w:rPr>
        <w:t>و</w:t>
      </w:r>
      <w:r w:rsidR="001128B4">
        <w:rPr>
          <w:rFonts w:hint="cs"/>
          <w:rtl/>
        </w:rPr>
        <w:t xml:space="preserve">الإبلاغ </w:t>
      </w:r>
      <w:r w:rsidR="00930662">
        <w:rPr>
          <w:rFonts w:hint="cs"/>
          <w:rtl/>
        </w:rPr>
        <w:t>عنها</w:t>
      </w:r>
      <w:r>
        <w:rPr>
          <w:rtl/>
        </w:rPr>
        <w:t xml:space="preserve"> </w:t>
      </w:r>
      <w:r w:rsidR="00935632">
        <w:rPr>
          <w:rFonts w:hint="cs"/>
          <w:rtl/>
        </w:rPr>
        <w:t>بغية تحسينها وتبسيطها</w:t>
      </w:r>
      <w:r w:rsidR="00930662">
        <w:rPr>
          <w:rFonts w:hint="cs"/>
          <w:rtl/>
        </w:rPr>
        <w:t xml:space="preserve"> أكثر</w:t>
      </w:r>
      <w:r>
        <w:rPr>
          <w:rtl/>
        </w:rPr>
        <w:t>. وستستمر مناقشة هذه المسائل مع وحدة التفتيش المشتركة على مدار الأشهار المقبلة.</w:t>
      </w:r>
    </w:p>
    <w:p w:rsidR="00E626FA" w:rsidRDefault="00E626FA" w:rsidP="00E626FA">
      <w:pPr>
        <w:pStyle w:val="NumberedParaAR"/>
        <w:keepNext/>
      </w:pPr>
      <w:r>
        <w:rPr>
          <w:rtl/>
        </w:rPr>
        <w:lastRenderedPageBreak/>
        <w:t>وفيما يلي فقرة القرار المقترحة.</w:t>
      </w:r>
    </w:p>
    <w:p w:rsidR="00E626FA" w:rsidRDefault="00E626FA" w:rsidP="00E626FA">
      <w:pPr>
        <w:pStyle w:val="DecisionParaAR"/>
        <w:rPr>
          <w:rtl/>
        </w:rPr>
      </w:pPr>
      <w:r>
        <w:rPr>
          <w:rtl/>
        </w:rPr>
        <w:t>إن لجنة البرنامج والميزانية:</w:t>
      </w:r>
    </w:p>
    <w:p w:rsidR="00E626FA" w:rsidRPr="00E626FA" w:rsidRDefault="00E626FA" w:rsidP="00935632">
      <w:pPr>
        <w:pStyle w:val="NormalParaAR"/>
        <w:ind w:left="6237"/>
        <w:rPr>
          <w:i/>
          <w:iCs/>
          <w:rtl/>
        </w:rPr>
      </w:pPr>
      <w:r w:rsidRPr="00E626FA">
        <w:rPr>
          <w:i/>
          <w:iCs/>
          <w:rtl/>
        </w:rPr>
        <w:t>"1"</w:t>
      </w:r>
      <w:r w:rsidRPr="00E626FA">
        <w:rPr>
          <w:i/>
          <w:iCs/>
          <w:rtl/>
        </w:rPr>
        <w:tab/>
        <w:t>أحاطت علماً بهذا التقرير (الوثيقة</w:t>
      </w:r>
      <w:r w:rsidR="00935632">
        <w:rPr>
          <w:rFonts w:hint="cs"/>
          <w:i/>
          <w:iCs/>
          <w:rtl/>
        </w:rPr>
        <w:t> </w:t>
      </w:r>
      <w:r w:rsidRPr="00E626FA">
        <w:rPr>
          <w:i/>
          <w:iCs/>
        </w:rPr>
        <w:t>WO/PBC/25/6</w:t>
      </w:r>
      <w:r w:rsidRPr="00E626FA">
        <w:rPr>
          <w:i/>
          <w:iCs/>
          <w:rtl/>
        </w:rPr>
        <w:t>)؛</w:t>
      </w:r>
    </w:p>
    <w:p w:rsidR="00E626FA" w:rsidRPr="00E626FA" w:rsidRDefault="00E626FA" w:rsidP="00E626FA">
      <w:pPr>
        <w:pStyle w:val="NormalParaAR"/>
        <w:ind w:left="6237"/>
        <w:rPr>
          <w:i/>
          <w:iCs/>
          <w:rtl/>
        </w:rPr>
      </w:pPr>
      <w:r w:rsidRPr="00E626FA">
        <w:rPr>
          <w:i/>
          <w:iCs/>
          <w:rtl/>
        </w:rPr>
        <w:t>"2"</w:t>
      </w:r>
      <w:r w:rsidRPr="00E626FA">
        <w:rPr>
          <w:i/>
          <w:iCs/>
          <w:rtl/>
        </w:rPr>
        <w:tab/>
        <w:t>ورحبت وأيدت تقييم الأمانة لحالة تنفيذ التوصيات الواردة في إطار</w:t>
      </w:r>
      <w:r>
        <w:rPr>
          <w:rFonts w:hint="cs"/>
          <w:i/>
          <w:iCs/>
          <w:rtl/>
        </w:rPr>
        <w:t xml:space="preserve"> الوثائق التالية وبصيغتها المبينة في هذا التقرير:</w:t>
      </w:r>
    </w:p>
    <w:p w:rsidR="00E626FA" w:rsidRPr="00E626FA" w:rsidRDefault="00E626FA" w:rsidP="00E626FA">
      <w:pPr>
        <w:pStyle w:val="NormalParaAR"/>
        <w:ind w:left="6237"/>
        <w:rPr>
          <w:i/>
          <w:iCs/>
          <w:rtl/>
        </w:rPr>
      </w:pPr>
      <w:r w:rsidRPr="00E626FA">
        <w:rPr>
          <w:i/>
          <w:iCs/>
          <w:cs/>
        </w:rPr>
        <w:t>‎</w:t>
      </w:r>
      <w:r w:rsidRPr="00E626FA">
        <w:rPr>
          <w:i/>
          <w:iCs/>
        </w:rPr>
        <w:t>JIU/REP/2015/5</w:t>
      </w:r>
      <w:r w:rsidRPr="00E626FA">
        <w:rPr>
          <w:i/>
          <w:iCs/>
          <w:rtl/>
        </w:rPr>
        <w:t xml:space="preserve">‏ (التوصية رقم 2)؛ </w:t>
      </w:r>
      <w:r w:rsidRPr="00E626FA">
        <w:rPr>
          <w:i/>
          <w:iCs/>
          <w:cs/>
        </w:rPr>
        <w:t>‎</w:t>
      </w:r>
      <w:r w:rsidRPr="00E626FA">
        <w:rPr>
          <w:i/>
          <w:iCs/>
        </w:rPr>
        <w:t>JIU/REP/2015/4</w:t>
      </w:r>
      <w:r w:rsidRPr="00E626FA">
        <w:rPr>
          <w:i/>
          <w:iCs/>
          <w:rtl/>
        </w:rPr>
        <w:t xml:space="preserve">‏ (التوصية رقم 1)؛ </w:t>
      </w:r>
      <w:r w:rsidRPr="00E626FA">
        <w:rPr>
          <w:i/>
          <w:iCs/>
          <w:cs/>
        </w:rPr>
        <w:t>‎</w:t>
      </w:r>
      <w:r w:rsidRPr="00E626FA">
        <w:rPr>
          <w:i/>
          <w:iCs/>
        </w:rPr>
        <w:t>JIU/REP/2014/9</w:t>
      </w:r>
      <w:r w:rsidRPr="00E626FA">
        <w:rPr>
          <w:i/>
          <w:iCs/>
          <w:rtl/>
        </w:rPr>
        <w:t xml:space="preserve">‏ (التوصية رقم 1)؛ </w:t>
      </w:r>
      <w:r w:rsidRPr="00E626FA">
        <w:rPr>
          <w:i/>
          <w:iCs/>
          <w:spacing w:val="-4"/>
          <w:cs/>
        </w:rPr>
        <w:t>‎</w:t>
      </w:r>
      <w:r w:rsidRPr="00E626FA">
        <w:rPr>
          <w:i/>
          <w:iCs/>
          <w:spacing w:val="-4"/>
        </w:rPr>
        <w:t>JIU/REP/2012/12</w:t>
      </w:r>
      <w:r w:rsidRPr="00E626FA">
        <w:rPr>
          <w:i/>
          <w:iCs/>
          <w:spacing w:val="-4"/>
          <w:rtl/>
        </w:rPr>
        <w:t>‏ (التوصية رقم 4)</w:t>
      </w:r>
      <w:r w:rsidRPr="00E626FA">
        <w:rPr>
          <w:i/>
          <w:iCs/>
          <w:rtl/>
        </w:rPr>
        <w:t>؛</w:t>
      </w:r>
      <w:r>
        <w:rPr>
          <w:rFonts w:hint="cs"/>
          <w:i/>
          <w:iCs/>
          <w:rtl/>
        </w:rPr>
        <w:t xml:space="preserve"> </w:t>
      </w:r>
      <w:r w:rsidRPr="00E626FA">
        <w:rPr>
          <w:i/>
          <w:iCs/>
          <w:spacing w:val="-13"/>
          <w:cs/>
        </w:rPr>
        <w:t>‎</w:t>
      </w:r>
      <w:r w:rsidRPr="00E626FA">
        <w:rPr>
          <w:i/>
          <w:iCs/>
          <w:spacing w:val="-13"/>
        </w:rPr>
        <w:t>JIU/REP/2011/3</w:t>
      </w:r>
      <w:r w:rsidRPr="00E626FA">
        <w:rPr>
          <w:i/>
          <w:iCs/>
          <w:spacing w:val="-13"/>
          <w:rtl/>
        </w:rPr>
        <w:t>‏ (التوصيتان رقم 3 و9)</w:t>
      </w:r>
      <w:r w:rsidRPr="00E626FA">
        <w:rPr>
          <w:i/>
          <w:iCs/>
          <w:rtl/>
        </w:rPr>
        <w:t>؛</w:t>
      </w:r>
      <w:r>
        <w:rPr>
          <w:rFonts w:hint="cs"/>
          <w:i/>
          <w:iCs/>
          <w:rtl/>
        </w:rPr>
        <w:t xml:space="preserve"> </w:t>
      </w:r>
      <w:r w:rsidRPr="00E626FA">
        <w:rPr>
          <w:i/>
          <w:iCs/>
          <w:cs/>
        </w:rPr>
        <w:t>‎</w:t>
      </w:r>
      <w:r w:rsidRPr="00E626FA">
        <w:rPr>
          <w:i/>
          <w:iCs/>
        </w:rPr>
        <w:t>JIU/REP/2010/7</w:t>
      </w:r>
      <w:r w:rsidRPr="00E626FA">
        <w:rPr>
          <w:i/>
          <w:iCs/>
          <w:rtl/>
        </w:rPr>
        <w:t xml:space="preserve"> (التوصية رقم 7)؛ </w:t>
      </w:r>
      <w:r w:rsidRPr="00E626FA">
        <w:rPr>
          <w:i/>
          <w:iCs/>
          <w:cs/>
        </w:rPr>
        <w:t>‎</w:t>
      </w:r>
      <w:r w:rsidRPr="00E626FA">
        <w:rPr>
          <w:i/>
          <w:iCs/>
          <w:spacing w:val="-4"/>
        </w:rPr>
        <w:t>JIU/REP/2010/3</w:t>
      </w:r>
      <w:r w:rsidRPr="00E626FA">
        <w:rPr>
          <w:i/>
          <w:iCs/>
          <w:spacing w:val="-4"/>
          <w:rtl/>
        </w:rPr>
        <w:t>‏ (التوصية رقم 17)</w:t>
      </w:r>
      <w:r w:rsidRPr="00E626FA">
        <w:rPr>
          <w:i/>
          <w:iCs/>
          <w:rtl/>
        </w:rPr>
        <w:t>؛</w:t>
      </w:r>
    </w:p>
    <w:p w:rsidR="00E626FA" w:rsidRPr="00E626FA" w:rsidRDefault="00E626FA" w:rsidP="00930662">
      <w:pPr>
        <w:pStyle w:val="NormalParaAR"/>
        <w:ind w:left="6237"/>
        <w:rPr>
          <w:i/>
          <w:iCs/>
          <w:rtl/>
        </w:rPr>
      </w:pPr>
      <w:r w:rsidRPr="00E626FA">
        <w:rPr>
          <w:i/>
          <w:iCs/>
          <w:rtl/>
        </w:rPr>
        <w:t>"3"</w:t>
      </w:r>
      <w:r w:rsidRPr="00E626FA">
        <w:rPr>
          <w:i/>
          <w:iCs/>
          <w:rtl/>
        </w:rPr>
        <w:tab/>
        <w:t>‏ودعت الأمانة إلى اقتراح تقييم للتوصيات المفتوحة التي قدمتها وحدة التفتيش المشتركة كي تنظر في</w:t>
      </w:r>
      <w:r w:rsidR="00930662">
        <w:rPr>
          <w:rFonts w:hint="cs"/>
          <w:i/>
          <w:iCs/>
          <w:rtl/>
        </w:rPr>
        <w:t>ه</w:t>
      </w:r>
      <w:r w:rsidRPr="00E626FA">
        <w:rPr>
          <w:i/>
          <w:iCs/>
          <w:rtl/>
        </w:rPr>
        <w:t xml:space="preserve"> الدول</w:t>
      </w:r>
      <w:r w:rsidR="00935632">
        <w:rPr>
          <w:rFonts w:hint="cs"/>
          <w:i/>
          <w:iCs/>
          <w:rtl/>
        </w:rPr>
        <w:t> </w:t>
      </w:r>
      <w:r w:rsidRPr="00E626FA">
        <w:rPr>
          <w:i/>
          <w:iCs/>
          <w:rtl/>
        </w:rPr>
        <w:t>الأعضاء.</w:t>
      </w:r>
    </w:p>
    <w:p w:rsidR="00E626FA" w:rsidRDefault="00E626FA" w:rsidP="00E626FA">
      <w:pPr>
        <w:pStyle w:val="EndofDocumentAR"/>
        <w:rPr>
          <w:rtl/>
        </w:rPr>
      </w:pPr>
      <w:r w:rsidRPr="00E626FA">
        <w:rPr>
          <w:rtl/>
        </w:rPr>
        <w:t>[يلي ذلك المرفقان]</w:t>
      </w:r>
    </w:p>
    <w:p w:rsidR="00E626FA" w:rsidRDefault="00E626FA" w:rsidP="00E626FA">
      <w:pPr>
        <w:pStyle w:val="NormalParaAR"/>
        <w:rPr>
          <w:rtl/>
        </w:rPr>
      </w:pPr>
    </w:p>
    <w:p w:rsidR="00E626FA" w:rsidRDefault="00E626FA" w:rsidP="00E626FA">
      <w:pPr>
        <w:pStyle w:val="NormalParaAR"/>
        <w:rPr>
          <w:rtl/>
        </w:rPr>
        <w:sectPr w:rsidR="00E626FA" w:rsidSect="00EB7752">
          <w:headerReference w:type="default" r:id="rId13"/>
          <w:pgSz w:w="11907" w:h="16840" w:code="9"/>
          <w:pgMar w:top="567" w:right="1418" w:bottom="1418" w:left="1134" w:header="510" w:footer="1021" w:gutter="0"/>
          <w:cols w:space="720"/>
          <w:titlePg/>
          <w:docGrid w:linePitch="299"/>
        </w:sectPr>
      </w:pPr>
    </w:p>
    <w:p w:rsidR="00E626FA" w:rsidRPr="00E626FA" w:rsidRDefault="00E626FA" w:rsidP="000D29A0">
      <w:pPr>
        <w:pStyle w:val="NormalParaAR"/>
        <w:keepNext/>
        <w:spacing w:after="0"/>
        <w:jc w:val="center"/>
        <w:rPr>
          <w:b/>
          <w:bCs/>
          <w:rtl/>
        </w:rPr>
      </w:pPr>
      <w:r w:rsidRPr="00E626FA">
        <w:rPr>
          <w:b/>
          <w:bCs/>
          <w:rtl/>
        </w:rPr>
        <w:lastRenderedPageBreak/>
        <w:t>توصيات وحدة التفتيش المشتركة الموجهة إلى الهيئات التشريعية للمنظمات المشاركة في هذه الوحدة</w:t>
      </w:r>
    </w:p>
    <w:p w:rsidR="00E626FA" w:rsidRPr="00E626FA" w:rsidRDefault="00E626FA" w:rsidP="000D29A0">
      <w:pPr>
        <w:pStyle w:val="NormalParaAR"/>
        <w:keepNext/>
        <w:jc w:val="center"/>
        <w:rPr>
          <w:b/>
          <w:bCs/>
          <w:rtl/>
        </w:rPr>
      </w:pPr>
      <w:r w:rsidRPr="00E626FA">
        <w:rPr>
          <w:b/>
          <w:bCs/>
          <w:rtl/>
        </w:rPr>
        <w:t>الوضع في نهاية أبريل 2016</w:t>
      </w:r>
    </w:p>
    <w:p w:rsidR="00E626FA" w:rsidRPr="00E626FA" w:rsidRDefault="00E626FA" w:rsidP="000D29A0">
      <w:pPr>
        <w:pStyle w:val="NormalParaAR"/>
        <w:keepNext/>
        <w:rPr>
          <w:b/>
          <w:bCs/>
          <w:rtl/>
        </w:rPr>
      </w:pPr>
      <w:r w:rsidRPr="00E626FA">
        <w:rPr>
          <w:b/>
          <w:bCs/>
          <w:rtl/>
        </w:rPr>
        <w:t>أولاً.</w:t>
      </w:r>
      <w:r w:rsidRPr="00E626FA">
        <w:rPr>
          <w:b/>
          <w:bCs/>
          <w:rtl/>
        </w:rPr>
        <w:tab/>
        <w:t>توصيات من الاستعراضات التي أجرتها وحدة التفتيش المشتركة في عام 2015</w:t>
      </w:r>
    </w:p>
    <w:p w:rsidR="00E626FA" w:rsidRDefault="00097CE0" w:rsidP="000D29A0">
      <w:pPr>
        <w:pStyle w:val="NormalParaAR"/>
        <w:keepNext/>
        <w:spacing w:line="460" w:lineRule="exact"/>
        <w:rPr>
          <w:rtl/>
        </w:rPr>
      </w:pPr>
      <w:r>
        <w:rPr>
          <w:rFonts w:hint="cs"/>
          <w:noProof/>
          <w:lang w:val="fr-CH" w:eastAsia="fr-CH"/>
        </w:rPr>
        <w:drawing>
          <wp:anchor distT="0" distB="0" distL="114300" distR="114300" simplePos="0" relativeHeight="251682816" behindDoc="0" locked="0" layoutInCell="1" allowOverlap="1" wp14:anchorId="78C28F27" wp14:editId="5AFACFB7">
            <wp:simplePos x="0" y="0"/>
            <wp:positionH relativeFrom="column">
              <wp:posOffset>213995</wp:posOffset>
            </wp:positionH>
            <wp:positionV relativeFrom="paragraph">
              <wp:posOffset>59529</wp:posOffset>
            </wp:positionV>
            <wp:extent cx="356870" cy="238125"/>
            <wp:effectExtent l="0" t="0" r="5080" b="9525"/>
            <wp:wrapNone/>
            <wp:docPr id="24" name="Picture 2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26FA" w:rsidRPr="00E626FA">
        <w:rPr>
          <w:b/>
          <w:bCs/>
        </w:rPr>
        <w:t>JIU/REP/2015/6</w:t>
      </w:r>
      <w:r w:rsidR="00E626FA">
        <w:rPr>
          <w:rtl/>
        </w:rPr>
        <w:t xml:space="preserve"> "استعراض خــدمـات أمين المظالم التي توفرها المنظمات على نطاق منظومة الأمم المتحدة"</w:t>
      </w:r>
    </w:p>
    <w:p w:rsidR="00E626FA" w:rsidRPr="00E626FA" w:rsidRDefault="00E626FA" w:rsidP="000D29A0">
      <w:pPr>
        <w:pStyle w:val="NormalParaAR"/>
        <w:keepNext/>
        <w:rPr>
          <w:rtl/>
        </w:rPr>
      </w:pPr>
      <w:r>
        <w:rPr>
          <w:rtl/>
        </w:rPr>
        <w:t>أصدرت وحدة التفتيش المشتركة هذا التقرير في 13 يناير 2016. ومن ثم فإن جميع التوصيات تعد</w:t>
      </w:r>
      <w:r w:rsidR="00B53FAA">
        <w:rPr>
          <w:rFonts w:hint="cs"/>
          <w:rtl/>
        </w:rPr>
        <w:t>ّ</w:t>
      </w:r>
      <w:r>
        <w:rPr>
          <w:rtl/>
        </w:rPr>
        <w:t xml:space="preserve"> جديدة على الدول الأعضاء في سياق هذا التقرير.</w:t>
      </w:r>
    </w:p>
    <w:tbl>
      <w:tblPr>
        <w:tblStyle w:val="TableGrid"/>
        <w:bidiVisual/>
        <w:tblW w:w="5000" w:type="pct"/>
        <w:tblBorders>
          <w:insideH w:val="none" w:sz="0" w:space="0" w:color="auto"/>
          <w:insideV w:val="none" w:sz="0" w:space="0" w:color="auto"/>
        </w:tblBorders>
        <w:tblLook w:val="04A0" w:firstRow="1" w:lastRow="0" w:firstColumn="1" w:lastColumn="0" w:noHBand="0" w:noVBand="1"/>
      </w:tblPr>
      <w:tblGrid>
        <w:gridCol w:w="3055"/>
        <w:gridCol w:w="6516"/>
      </w:tblGrid>
      <w:tr w:rsidR="00E626FA" w:rsidRPr="00E626FA" w:rsidTr="00383541">
        <w:trPr>
          <w:cantSplit/>
        </w:trPr>
        <w:tc>
          <w:tcPr>
            <w:tcW w:w="1596" w:type="pct"/>
            <w:shd w:val="clear" w:color="auto" w:fill="DBE5F1" w:themeFill="accent1" w:themeFillTint="33"/>
          </w:tcPr>
          <w:p w:rsidR="00E626FA" w:rsidRPr="00E626FA" w:rsidRDefault="00383541" w:rsidP="00383541">
            <w:pPr>
              <w:pStyle w:val="NormalParaAR"/>
              <w:spacing w:before="240"/>
              <w:rPr>
                <w:b/>
                <w:bCs/>
                <w:rtl/>
              </w:rPr>
            </w:pPr>
            <w:r w:rsidRPr="00E626FA">
              <w:rPr>
                <w:b/>
                <w:bCs/>
                <w:noProof/>
                <w:lang w:val="fr-CH" w:eastAsia="fr-CH"/>
              </w:rPr>
              <w:drawing>
                <wp:anchor distT="0" distB="0" distL="114300" distR="114300" simplePos="0" relativeHeight="251658240" behindDoc="0" locked="0" layoutInCell="1" allowOverlap="1" wp14:anchorId="2CD65425" wp14:editId="3566E1B7">
                  <wp:simplePos x="0" y="0"/>
                  <wp:positionH relativeFrom="margin">
                    <wp:posOffset>1658222</wp:posOffset>
                  </wp:positionH>
                  <wp:positionV relativeFrom="margin">
                    <wp:posOffset>6350</wp:posOffset>
                  </wp:positionV>
                  <wp:extent cx="231775" cy="2317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26FA" w:rsidRPr="00E626FA">
              <w:rPr>
                <w:b/>
                <w:bCs/>
                <w:rtl/>
              </w:rPr>
              <w:t>التوصية 5</w:t>
            </w:r>
          </w:p>
        </w:tc>
        <w:tc>
          <w:tcPr>
            <w:tcW w:w="3404" w:type="pct"/>
          </w:tcPr>
          <w:p w:rsidR="00E626FA" w:rsidRPr="00E626FA" w:rsidRDefault="00E626FA" w:rsidP="00383541">
            <w:pPr>
              <w:pStyle w:val="NormalParaAR"/>
            </w:pPr>
            <w:r w:rsidRPr="00E626FA">
              <w:rPr>
                <w:rtl/>
              </w:rPr>
              <w:t>ينبغي أن تتيح الهيئات التشريعية في مؤسسات منظومة الأمم المتحدة لأمين المظالم إبلاغها بانتظام بالمسائل التي يتم تحديدها.</w:t>
            </w:r>
          </w:p>
        </w:tc>
      </w:tr>
      <w:tr w:rsidR="00E626FA" w:rsidRPr="00E626FA" w:rsidTr="00383541">
        <w:trPr>
          <w:cantSplit/>
        </w:trPr>
        <w:tc>
          <w:tcPr>
            <w:tcW w:w="1596" w:type="pct"/>
            <w:shd w:val="clear" w:color="auto" w:fill="DBE5F1" w:themeFill="accent1" w:themeFillTint="33"/>
          </w:tcPr>
          <w:p w:rsidR="00E626FA" w:rsidRPr="00E626FA" w:rsidRDefault="00E626FA" w:rsidP="00383541">
            <w:pPr>
              <w:pStyle w:val="NormalParaAR"/>
              <w:rPr>
                <w:b/>
                <w:bCs/>
                <w:rtl/>
              </w:rPr>
            </w:pPr>
            <w:r w:rsidRPr="00E626FA">
              <w:rPr>
                <w:b/>
                <w:bCs/>
                <w:rtl/>
              </w:rPr>
              <w:t>تقييم الإدارة/الجهة المنسقة</w:t>
            </w:r>
          </w:p>
        </w:tc>
        <w:tc>
          <w:tcPr>
            <w:tcW w:w="3404" w:type="pct"/>
          </w:tcPr>
          <w:p w:rsidR="00E626FA" w:rsidRPr="00E626FA" w:rsidRDefault="00E626FA" w:rsidP="00383541">
            <w:pPr>
              <w:pStyle w:val="NormalParaAR"/>
            </w:pPr>
            <w:r w:rsidRPr="00E626FA">
              <w:rPr>
                <w:rtl/>
              </w:rPr>
              <w:t>يعدُّ أمين المظالم حالياً تقريراً سنوياً يقدمه إلى المدير العام.</w:t>
            </w:r>
          </w:p>
        </w:tc>
      </w:tr>
      <w:tr w:rsidR="00E626FA" w:rsidRPr="00E626FA" w:rsidTr="00383541">
        <w:trPr>
          <w:cantSplit/>
        </w:trPr>
        <w:tc>
          <w:tcPr>
            <w:tcW w:w="1596" w:type="pct"/>
            <w:shd w:val="clear" w:color="auto" w:fill="DBE5F1" w:themeFill="accent1" w:themeFillTint="33"/>
          </w:tcPr>
          <w:p w:rsidR="00E626FA" w:rsidRPr="00E626FA" w:rsidRDefault="00B53FAA" w:rsidP="00383541">
            <w:pPr>
              <w:pStyle w:val="NormalParaAR"/>
              <w:rPr>
                <w:b/>
                <w:bCs/>
                <w:rtl/>
              </w:rPr>
            </w:pPr>
            <w:r>
              <w:rPr>
                <w:rFonts w:hint="cs"/>
                <w:b/>
                <w:bCs/>
                <w:rtl/>
              </w:rPr>
              <w:t xml:space="preserve">وضع </w:t>
            </w:r>
            <w:r w:rsidR="00E626FA" w:rsidRPr="00E626FA">
              <w:rPr>
                <w:b/>
                <w:bCs/>
                <w:rtl/>
              </w:rPr>
              <w:t>القبول</w:t>
            </w:r>
          </w:p>
        </w:tc>
        <w:tc>
          <w:tcPr>
            <w:tcW w:w="3404" w:type="pct"/>
          </w:tcPr>
          <w:p w:rsidR="00E626FA" w:rsidRPr="00E626FA" w:rsidRDefault="00E626FA" w:rsidP="00383541">
            <w:pPr>
              <w:pStyle w:val="NormalParaAR"/>
            </w:pPr>
            <w:r w:rsidRPr="00E626FA">
              <w:rPr>
                <w:rtl/>
              </w:rPr>
              <w:t>مقبولة</w:t>
            </w:r>
          </w:p>
        </w:tc>
      </w:tr>
      <w:tr w:rsidR="00E626FA" w:rsidRPr="00E626FA" w:rsidTr="00383541">
        <w:trPr>
          <w:cantSplit/>
        </w:trPr>
        <w:tc>
          <w:tcPr>
            <w:tcW w:w="1596" w:type="pct"/>
            <w:shd w:val="clear" w:color="auto" w:fill="DBE5F1" w:themeFill="accent1" w:themeFillTint="33"/>
          </w:tcPr>
          <w:p w:rsidR="00E626FA" w:rsidRPr="00E626FA" w:rsidRDefault="00B53FAA" w:rsidP="00383541">
            <w:pPr>
              <w:pStyle w:val="NormalParaAR"/>
              <w:rPr>
                <w:b/>
                <w:bCs/>
                <w:rtl/>
              </w:rPr>
            </w:pPr>
            <w:r>
              <w:rPr>
                <w:rFonts w:hint="cs"/>
                <w:b/>
                <w:bCs/>
                <w:rtl/>
              </w:rPr>
              <w:t xml:space="preserve">حالة </w:t>
            </w:r>
            <w:r w:rsidR="00E626FA" w:rsidRPr="00E626FA">
              <w:rPr>
                <w:b/>
                <w:bCs/>
                <w:rtl/>
              </w:rPr>
              <w:t>التنفيذ</w:t>
            </w:r>
          </w:p>
        </w:tc>
        <w:tc>
          <w:tcPr>
            <w:tcW w:w="3404" w:type="pct"/>
          </w:tcPr>
          <w:p w:rsidR="00E626FA" w:rsidRPr="00E626FA" w:rsidRDefault="00E626FA" w:rsidP="00383541">
            <w:pPr>
              <w:pStyle w:val="NormalParaAR"/>
            </w:pPr>
            <w:r w:rsidRPr="00E626FA">
              <w:rPr>
                <w:rtl/>
              </w:rPr>
              <w:t>لم يبدأ</w:t>
            </w:r>
          </w:p>
        </w:tc>
      </w:tr>
      <w:tr w:rsidR="00E626FA" w:rsidRPr="00E626FA" w:rsidTr="00383541">
        <w:trPr>
          <w:cantSplit/>
        </w:trPr>
        <w:tc>
          <w:tcPr>
            <w:tcW w:w="1596" w:type="pct"/>
            <w:shd w:val="clear" w:color="auto" w:fill="DBE5F1" w:themeFill="accent1" w:themeFillTint="33"/>
          </w:tcPr>
          <w:p w:rsidR="00E626FA" w:rsidRPr="00E626FA" w:rsidRDefault="00E626FA" w:rsidP="00383541">
            <w:pPr>
              <w:pStyle w:val="NormalParaAR"/>
              <w:rPr>
                <w:b/>
                <w:bCs/>
                <w:rtl/>
              </w:rPr>
            </w:pPr>
            <w:r w:rsidRPr="00E626FA">
              <w:rPr>
                <w:b/>
                <w:bCs/>
                <w:rtl/>
              </w:rPr>
              <w:t>الجهة المسؤولة</w:t>
            </w:r>
          </w:p>
        </w:tc>
        <w:tc>
          <w:tcPr>
            <w:tcW w:w="3404" w:type="pct"/>
          </w:tcPr>
          <w:p w:rsidR="00E626FA" w:rsidRPr="00E626FA" w:rsidRDefault="00E626FA" w:rsidP="00383541">
            <w:pPr>
              <w:pStyle w:val="NormalParaAR"/>
              <w:rPr>
                <w:rtl/>
              </w:rPr>
            </w:pPr>
            <w:r w:rsidRPr="00E626FA">
              <w:rPr>
                <w:rtl/>
              </w:rPr>
              <w:t>أمين المظالم</w:t>
            </w:r>
          </w:p>
        </w:tc>
      </w:tr>
    </w:tbl>
    <w:p w:rsidR="00097CE0" w:rsidRPr="00097CE0" w:rsidRDefault="00097CE0" w:rsidP="00097CE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60288" behindDoc="0" locked="0" layoutInCell="1" allowOverlap="1" wp14:anchorId="0187C717" wp14:editId="50ED6704">
            <wp:simplePos x="0" y="0"/>
            <wp:positionH relativeFrom="column">
              <wp:posOffset>-120176</wp:posOffset>
            </wp:positionH>
            <wp:positionV relativeFrom="paragraph">
              <wp:posOffset>154940</wp:posOffset>
            </wp:positionV>
            <wp:extent cx="356870" cy="238125"/>
            <wp:effectExtent l="0" t="0" r="5080" b="9525"/>
            <wp:wrapNone/>
            <wp:docPr id="6" name="Picture 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JIU/REP/2015/5</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استعراض الأنشطة والموارد المخصصة للتصدي لتغير المناخ</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في مؤسسات منظومة الأمم المتحدة</w:t>
      </w:r>
      <w:r w:rsidRPr="00097CE0">
        <w:rPr>
          <w:rFonts w:ascii="Arabic Typesetting" w:hAnsi="Arabic Typesetting" w:cs="Arabic Typesetting" w:hint="cs"/>
          <w:sz w:val="36"/>
          <w:szCs w:val="36"/>
          <w:rtl/>
        </w:rPr>
        <w:t xml:space="preserve">" </w:t>
      </w:r>
    </w:p>
    <w:p w:rsidR="00097CE0" w:rsidRPr="00097CE0" w:rsidRDefault="00383541" w:rsidP="00B53FAA">
      <w:pPr>
        <w:keepNext/>
        <w:bidi/>
        <w:spacing w:after="240" w:line="360" w:lineRule="exact"/>
        <w:rPr>
          <w:rFonts w:ascii="Arabic Typesetting" w:hAnsi="Arabic Typesetting" w:cs="Arabic Typesetting"/>
          <w:sz w:val="36"/>
          <w:szCs w:val="36"/>
          <w:rtl/>
        </w:rPr>
      </w:pPr>
      <w:r w:rsidRPr="00097CE0">
        <w:rPr>
          <w:b/>
          <w:bCs/>
          <w:noProof/>
          <w:lang w:val="fr-CH" w:eastAsia="fr-CH"/>
        </w:rPr>
        <w:drawing>
          <wp:anchor distT="0" distB="0" distL="114300" distR="114300" simplePos="0" relativeHeight="251686912" behindDoc="0" locked="0" layoutInCell="1" allowOverlap="1" wp14:anchorId="21E316FB" wp14:editId="1FF55AA6">
            <wp:simplePos x="0" y="0"/>
            <wp:positionH relativeFrom="column">
              <wp:posOffset>5767705</wp:posOffset>
            </wp:positionH>
            <wp:positionV relativeFrom="paragraph">
              <wp:posOffset>603250</wp:posOffset>
            </wp:positionV>
            <wp:extent cx="228600" cy="2286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CE0" w:rsidRPr="00097CE0">
        <w:rPr>
          <w:rFonts w:ascii="Arabic Typesetting" w:hAnsi="Arabic Typesetting" w:cs="Arabic Typesetting"/>
          <w:sz w:val="36"/>
          <w:szCs w:val="36"/>
          <w:rtl/>
        </w:rPr>
        <w:t xml:space="preserve">أصدرت وحدة التفتيش المشتركة هذا التقرير في </w:t>
      </w:r>
      <w:r w:rsidR="00097CE0" w:rsidRPr="00097CE0">
        <w:rPr>
          <w:rFonts w:ascii="Arabic Typesetting" w:hAnsi="Arabic Typesetting" w:cs="Arabic Typesetting" w:hint="cs"/>
          <w:sz w:val="36"/>
          <w:szCs w:val="36"/>
          <w:rtl/>
        </w:rPr>
        <w:t>25</w:t>
      </w:r>
      <w:r w:rsidR="00097CE0" w:rsidRPr="00097CE0">
        <w:rPr>
          <w:rFonts w:ascii="Arabic Typesetting" w:hAnsi="Arabic Typesetting" w:cs="Arabic Typesetting"/>
          <w:sz w:val="36"/>
          <w:szCs w:val="36"/>
          <w:rtl/>
        </w:rPr>
        <w:t xml:space="preserve"> </w:t>
      </w:r>
      <w:r w:rsidR="00B53FAA">
        <w:rPr>
          <w:rFonts w:ascii="Arabic Typesetting" w:hAnsi="Arabic Typesetting" w:cs="Arabic Typesetting" w:hint="cs"/>
          <w:sz w:val="36"/>
          <w:szCs w:val="36"/>
          <w:rtl/>
        </w:rPr>
        <w:t>سبتمبر</w:t>
      </w:r>
      <w:r w:rsidR="00097CE0" w:rsidRPr="00097CE0">
        <w:rPr>
          <w:rFonts w:ascii="Arabic Typesetting" w:hAnsi="Arabic Typesetting" w:cs="Arabic Typesetting"/>
          <w:sz w:val="36"/>
          <w:szCs w:val="36"/>
          <w:rtl/>
        </w:rPr>
        <w:t xml:space="preserve"> </w:t>
      </w:r>
      <w:r w:rsidR="00097CE0" w:rsidRPr="00097CE0">
        <w:rPr>
          <w:rFonts w:ascii="Arabic Typesetting" w:hAnsi="Arabic Typesetting" w:cs="Arabic Typesetting" w:hint="cs"/>
          <w:sz w:val="36"/>
          <w:szCs w:val="36"/>
          <w:rtl/>
        </w:rPr>
        <w:t>2015</w:t>
      </w:r>
      <w:r w:rsidR="00097CE0" w:rsidRPr="00097CE0">
        <w:rPr>
          <w:rFonts w:ascii="Arabic Typesetting" w:hAnsi="Arabic Typesetting" w:cs="Arabic Typesetting"/>
          <w:sz w:val="36"/>
          <w:szCs w:val="36"/>
          <w:rtl/>
        </w:rPr>
        <w:t>. ومن ثم فإن جميع التوصيات تعد</w:t>
      </w:r>
      <w:r w:rsidR="00B53FAA">
        <w:rPr>
          <w:rFonts w:ascii="Arabic Typesetting" w:hAnsi="Arabic Typesetting" w:cs="Arabic Typesetting" w:hint="cs"/>
          <w:sz w:val="36"/>
          <w:szCs w:val="36"/>
          <w:rtl/>
        </w:rPr>
        <w:t>ّ</w:t>
      </w:r>
      <w:r w:rsidR="00097CE0" w:rsidRPr="00097CE0">
        <w:rPr>
          <w:rFonts w:ascii="Arabic Typesetting" w:hAnsi="Arabic Typesetting" w:cs="Arabic Typesetting"/>
          <w:sz w:val="36"/>
          <w:szCs w:val="36"/>
          <w:rtl/>
        </w:rPr>
        <w:t xml:space="preserve"> جديدة على الدول الأعضاء في سياق </w:t>
      </w:r>
      <w:r w:rsidR="00097CE0" w:rsidRPr="00097CE0">
        <w:rPr>
          <w:rFonts w:ascii="Arabic Typesetting" w:hAnsi="Arabic Typesetting" w:cs="Arabic Typesetting" w:hint="cs"/>
          <w:sz w:val="36"/>
          <w:szCs w:val="36"/>
          <w:rtl/>
        </w:rPr>
        <w:t>هذا التقرير</w:t>
      </w:r>
      <w:r w:rsidR="00097CE0" w:rsidRPr="00097CE0">
        <w:rPr>
          <w:rFonts w:ascii="Arabic Typesetting" w:hAnsi="Arabic Typesetting" w:cs="Arabic Typesetting"/>
          <w:sz w:val="36"/>
          <w:szCs w:val="36"/>
          <w:rtl/>
        </w:rPr>
        <w:t>.</w:t>
      </w:r>
    </w:p>
    <w:tbl>
      <w:tblPr>
        <w:tblStyle w:val="TableGrid1"/>
        <w:bidiVisual/>
        <w:tblW w:w="5000" w:type="pct"/>
        <w:tblLook w:val="04A0" w:firstRow="1" w:lastRow="0" w:firstColumn="1" w:lastColumn="0" w:noHBand="0" w:noVBand="1"/>
      </w:tblPr>
      <w:tblGrid>
        <w:gridCol w:w="2148"/>
        <w:gridCol w:w="7423"/>
      </w:tblGrid>
      <w:tr w:rsidR="00097CE0" w:rsidRPr="00097CE0" w:rsidTr="00383541">
        <w:trPr>
          <w:cantSplit/>
          <w:trHeight w:val="1078"/>
        </w:trPr>
        <w:tc>
          <w:tcPr>
            <w:tcW w:w="1122" w:type="pct"/>
            <w:tcBorders>
              <w:bottom w:val="nil"/>
            </w:tcBorders>
            <w:shd w:val="clear" w:color="auto" w:fill="DBE5F1" w:themeFill="accent1" w:themeFillTint="33"/>
          </w:tcPr>
          <w:p w:rsidR="00097CE0" w:rsidRPr="00097CE0" w:rsidRDefault="00097CE0" w:rsidP="00383541">
            <w:pPr>
              <w:pStyle w:val="NormalParaAR"/>
              <w:spacing w:before="240" w:after="0"/>
              <w:rPr>
                <w:b/>
                <w:bCs/>
                <w:rtl/>
                <w:lang w:eastAsia="en-US"/>
              </w:rPr>
            </w:pPr>
            <w:r w:rsidRPr="00097CE0">
              <w:rPr>
                <w:rFonts w:hint="cs"/>
                <w:b/>
                <w:bCs/>
                <w:rtl/>
                <w:lang w:eastAsia="en-US"/>
              </w:rPr>
              <w:t>التوصية 2</w:t>
            </w:r>
          </w:p>
        </w:tc>
        <w:tc>
          <w:tcPr>
            <w:tcW w:w="3878" w:type="pct"/>
            <w:tcBorders>
              <w:bottom w:val="nil"/>
            </w:tcBorders>
          </w:tcPr>
          <w:p w:rsidR="00097CE0" w:rsidRPr="00097CE0" w:rsidRDefault="00097CE0" w:rsidP="00383541">
            <w:pPr>
              <w:pStyle w:val="NormalParaAR"/>
              <w:rPr>
                <w:rtl/>
                <w:lang w:eastAsia="en-US"/>
              </w:rPr>
            </w:pPr>
            <w:r w:rsidRPr="00097CE0">
              <w:rPr>
                <w:rtl/>
                <w:lang w:eastAsia="en-US"/>
              </w:rPr>
              <w:t>ينبغي لهيئات إدارة مؤسسات منظومة الأمم المتحدة أن تدعم وتقر مشاركة مؤسساتها المعنية بمجالات متداخلة ذات صلة مباشرة أو غير مباشرة بتغير المناخ في استراتيجية على نطاق منظومة الأمم المتحدة لمكافحة تغير المناخ، على نحو ينسجم مع محصلة الدورة الحادية والعشرين لمؤتمر الأطراف في اتفاقية الأمم المتحدة الإطارية بشأن تغير المناخ.</w:t>
            </w:r>
          </w:p>
        </w:tc>
      </w:tr>
      <w:tr w:rsidR="00097CE0" w:rsidRPr="00097CE0" w:rsidTr="00383541">
        <w:trPr>
          <w:cantSplit/>
          <w:trHeight w:val="106"/>
        </w:trPr>
        <w:tc>
          <w:tcPr>
            <w:tcW w:w="1122" w:type="pct"/>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3878" w:type="pct"/>
            <w:tcBorders>
              <w:top w:val="nil"/>
              <w:bottom w:val="nil"/>
            </w:tcBorders>
          </w:tcPr>
          <w:p w:rsidR="00097CE0" w:rsidRPr="00097CE0" w:rsidRDefault="00097CE0" w:rsidP="00B53FAA">
            <w:pPr>
              <w:pStyle w:val="NormalParaAR"/>
              <w:rPr>
                <w:rtl/>
                <w:lang w:eastAsia="en-US"/>
              </w:rPr>
            </w:pPr>
            <w:r w:rsidRPr="00097CE0">
              <w:rPr>
                <w:rFonts w:hint="cs"/>
                <w:rtl/>
                <w:lang w:eastAsia="en-US"/>
              </w:rPr>
              <w:t>يشمل برنامج الويبو وميزانيته للثنائية نتيجة مرتقبة صريحة بشأن ضمان إقامة "</w:t>
            </w:r>
            <w:r w:rsidRPr="00097CE0">
              <w:rPr>
                <w:rtl/>
                <w:lang w:eastAsia="en-US"/>
              </w:rPr>
              <w:t>‏منظمة ذات مسؤولية بيئية واجتماعية تكفل السلامة والأمن للموظفين في الويبو والمندوبين والزائرين والممتلكات المادية والمعلومات</w:t>
            </w:r>
            <w:r w:rsidRPr="00097CE0">
              <w:rPr>
                <w:rFonts w:hint="cs"/>
                <w:rtl/>
                <w:lang w:eastAsia="en-US"/>
              </w:rPr>
              <w:t xml:space="preserve">" </w:t>
            </w:r>
            <w:r w:rsidR="00B53FAA">
              <w:rPr>
                <w:rFonts w:hint="cs"/>
                <w:rtl/>
                <w:lang w:eastAsia="en-US"/>
              </w:rPr>
              <w:t>تحظى بكامل دعم الدول الأعضاء وتأييدها</w:t>
            </w:r>
            <w:r w:rsidRPr="00097CE0">
              <w:rPr>
                <w:rtl/>
                <w:lang w:eastAsia="en-US"/>
              </w:rPr>
              <w:t>.</w:t>
            </w:r>
          </w:p>
        </w:tc>
      </w:tr>
      <w:tr w:rsidR="00097CE0" w:rsidRPr="00097CE0" w:rsidTr="00383541">
        <w:trPr>
          <w:cantSplit/>
        </w:trPr>
        <w:tc>
          <w:tcPr>
            <w:tcW w:w="1122" w:type="pct"/>
            <w:tcBorders>
              <w:top w:val="nil"/>
              <w:bottom w:val="nil"/>
            </w:tcBorders>
            <w:shd w:val="clear" w:color="auto" w:fill="DBE5F1" w:themeFill="accent1" w:themeFillTint="33"/>
          </w:tcPr>
          <w:p w:rsidR="00097CE0" w:rsidRPr="00097CE0" w:rsidRDefault="00B53FAA" w:rsidP="00383541">
            <w:pPr>
              <w:pStyle w:val="NormalParaAR"/>
              <w:rPr>
                <w:b/>
                <w:bCs/>
                <w:rtl/>
                <w:lang w:eastAsia="en-US"/>
              </w:rPr>
            </w:pPr>
            <w:r>
              <w:rPr>
                <w:rFonts w:hint="cs"/>
                <w:b/>
                <w:bCs/>
                <w:rtl/>
                <w:lang w:eastAsia="en-US"/>
              </w:rPr>
              <w:t xml:space="preserve">وضع </w:t>
            </w:r>
            <w:r w:rsidR="00097CE0" w:rsidRPr="00097CE0">
              <w:rPr>
                <w:rFonts w:hint="cs"/>
                <w:b/>
                <w:bCs/>
                <w:rtl/>
                <w:lang w:eastAsia="en-US"/>
              </w:rPr>
              <w:t>القبول</w:t>
            </w:r>
          </w:p>
        </w:tc>
        <w:tc>
          <w:tcPr>
            <w:tcW w:w="3878" w:type="pct"/>
            <w:tcBorders>
              <w:top w:val="nil"/>
              <w:bottom w:val="nil"/>
            </w:tcBorders>
          </w:tcPr>
          <w:p w:rsidR="00097CE0" w:rsidRPr="00097CE0" w:rsidRDefault="00097CE0" w:rsidP="00383541">
            <w:pPr>
              <w:pStyle w:val="NormalParaAR"/>
              <w:rPr>
                <w:rtl/>
                <w:lang w:eastAsia="en-US"/>
              </w:rPr>
            </w:pPr>
            <w:r w:rsidRPr="00097CE0">
              <w:rPr>
                <w:rFonts w:hint="cs"/>
                <w:rtl/>
                <w:lang w:eastAsia="en-US"/>
              </w:rPr>
              <w:t>مقبولة</w:t>
            </w:r>
          </w:p>
        </w:tc>
      </w:tr>
      <w:tr w:rsidR="00097CE0" w:rsidRPr="00097CE0" w:rsidTr="00383541">
        <w:trPr>
          <w:cantSplit/>
        </w:trPr>
        <w:tc>
          <w:tcPr>
            <w:tcW w:w="1122" w:type="pct"/>
            <w:tcBorders>
              <w:top w:val="nil"/>
              <w:bottom w:val="nil"/>
            </w:tcBorders>
            <w:shd w:val="clear" w:color="auto" w:fill="DBE5F1" w:themeFill="accent1" w:themeFillTint="33"/>
          </w:tcPr>
          <w:p w:rsidR="00097CE0" w:rsidRPr="00097CE0" w:rsidRDefault="00B53FAA" w:rsidP="00383541">
            <w:pPr>
              <w:pStyle w:val="NormalParaAR"/>
              <w:rPr>
                <w:b/>
                <w:bCs/>
                <w:rtl/>
                <w:lang w:eastAsia="en-US"/>
              </w:rPr>
            </w:pPr>
            <w:r>
              <w:rPr>
                <w:rFonts w:hint="cs"/>
                <w:b/>
                <w:bCs/>
                <w:rtl/>
                <w:lang w:eastAsia="en-US"/>
              </w:rPr>
              <w:t xml:space="preserve">حالة </w:t>
            </w:r>
            <w:r w:rsidR="00097CE0" w:rsidRPr="00097CE0">
              <w:rPr>
                <w:rFonts w:hint="cs"/>
                <w:b/>
                <w:bCs/>
                <w:rtl/>
                <w:lang w:eastAsia="en-US"/>
              </w:rPr>
              <w:t>التنفيذ</w:t>
            </w:r>
          </w:p>
        </w:tc>
        <w:tc>
          <w:tcPr>
            <w:tcW w:w="3878" w:type="pct"/>
            <w:tcBorders>
              <w:top w:val="nil"/>
              <w:bottom w:val="nil"/>
            </w:tcBorders>
          </w:tcPr>
          <w:p w:rsidR="00097CE0" w:rsidRPr="00097CE0" w:rsidRDefault="00097CE0" w:rsidP="00383541">
            <w:pPr>
              <w:pStyle w:val="NormalParaAR"/>
              <w:rPr>
                <w:rtl/>
                <w:lang w:eastAsia="en-US"/>
              </w:rPr>
            </w:pPr>
            <w:r w:rsidRPr="00097CE0">
              <w:rPr>
                <w:rFonts w:hint="cs"/>
                <w:rtl/>
                <w:lang w:eastAsia="en-US"/>
              </w:rPr>
              <w:t>نف</w:t>
            </w:r>
            <w:r w:rsidR="00B53FAA">
              <w:rPr>
                <w:rFonts w:hint="cs"/>
                <w:rtl/>
                <w:lang w:eastAsia="en-US"/>
              </w:rPr>
              <w:t>ِّ</w:t>
            </w:r>
            <w:r w:rsidRPr="00097CE0">
              <w:rPr>
                <w:rFonts w:hint="cs"/>
                <w:rtl/>
                <w:lang w:eastAsia="en-US"/>
              </w:rPr>
              <w:t>ذت</w:t>
            </w:r>
          </w:p>
        </w:tc>
      </w:tr>
      <w:tr w:rsidR="00097CE0" w:rsidRPr="00097CE0" w:rsidTr="00383541">
        <w:trPr>
          <w:cantSplit/>
          <w:trHeight w:val="63"/>
        </w:trPr>
        <w:tc>
          <w:tcPr>
            <w:tcW w:w="1122" w:type="pct"/>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3878" w:type="pct"/>
            <w:tcBorders>
              <w:top w:val="nil"/>
            </w:tcBorders>
          </w:tcPr>
          <w:p w:rsidR="00097CE0" w:rsidRPr="00097CE0" w:rsidRDefault="00097CE0" w:rsidP="00383541">
            <w:pPr>
              <w:pStyle w:val="NormalParaAR"/>
              <w:rPr>
                <w:rtl/>
                <w:lang w:eastAsia="en-US"/>
              </w:rPr>
            </w:pPr>
            <w:r w:rsidRPr="00097CE0">
              <w:rPr>
                <w:rFonts w:hint="cs"/>
                <w:rtl/>
                <w:lang w:eastAsia="en-US"/>
              </w:rPr>
              <w:t xml:space="preserve">مدير </w:t>
            </w:r>
            <w:r w:rsidRPr="00097CE0">
              <w:rPr>
                <w:rtl/>
                <w:lang w:eastAsia="en-US"/>
              </w:rPr>
              <w:t>شعبة البنى التحتية للمباني</w:t>
            </w:r>
          </w:p>
        </w:tc>
      </w:tr>
    </w:tbl>
    <w:p w:rsidR="00097CE0" w:rsidRPr="00097CE0" w:rsidRDefault="00097CE0" w:rsidP="00B53FAA">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lastRenderedPageBreak/>
        <w:drawing>
          <wp:anchor distT="0" distB="0" distL="114300" distR="114300" simplePos="0" relativeHeight="251661312" behindDoc="0" locked="0" layoutInCell="1" allowOverlap="1" wp14:anchorId="3782DB31" wp14:editId="321FC43D">
            <wp:simplePos x="0" y="0"/>
            <wp:positionH relativeFrom="column">
              <wp:posOffset>-10662</wp:posOffset>
            </wp:positionH>
            <wp:positionV relativeFrom="paragraph">
              <wp:posOffset>21590</wp:posOffset>
            </wp:positionV>
            <wp:extent cx="356870" cy="238125"/>
            <wp:effectExtent l="0" t="0" r="5080" b="9525"/>
            <wp:wrapNone/>
            <wp:docPr id="8" name="Picture 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JIU/REP/2015/4</w:t>
      </w:r>
      <w:r w:rsidRPr="00097CE0">
        <w:rPr>
          <w:rFonts w:ascii="Arabic Typesetting" w:hAnsi="Arabic Typesetting" w:cs="Arabic Typesetting" w:hint="cs"/>
          <w:sz w:val="36"/>
          <w:szCs w:val="36"/>
          <w:rtl/>
        </w:rPr>
        <w:t xml:space="preserve"> "السياسات والممارسات الخاصة بإعلام الجمهور </w:t>
      </w:r>
      <w:r w:rsidR="00B53FAA">
        <w:rPr>
          <w:rFonts w:ascii="Arabic Typesetting" w:hAnsi="Arabic Typesetting" w:cs="Arabic Typesetting" w:hint="cs"/>
          <w:sz w:val="36"/>
          <w:szCs w:val="36"/>
          <w:rtl/>
        </w:rPr>
        <w:t>والتواصل</w:t>
      </w:r>
      <w:r w:rsidRPr="00097CE0">
        <w:rPr>
          <w:rFonts w:ascii="Arabic Typesetting" w:hAnsi="Arabic Typesetting" w:cs="Arabic Typesetting" w:hint="cs"/>
          <w:sz w:val="36"/>
          <w:szCs w:val="36"/>
          <w:rtl/>
        </w:rPr>
        <w:t xml:space="preserve"> في</w:t>
      </w:r>
      <w:r w:rsidR="003615EF">
        <w:rPr>
          <w:rFonts w:ascii="Arabic Typesetting" w:hAnsi="Arabic Typesetting" w:cs="Arabic Typesetting" w:hint="cs"/>
          <w:sz w:val="36"/>
          <w:szCs w:val="36"/>
          <w:rtl/>
        </w:rPr>
        <w:t xml:space="preserve"> مؤسسات</w:t>
      </w:r>
      <w:r w:rsidRPr="00097CE0">
        <w:rPr>
          <w:rFonts w:ascii="Arabic Typesetting" w:hAnsi="Arabic Typesetting" w:cs="Arabic Typesetting" w:hint="cs"/>
          <w:sz w:val="36"/>
          <w:szCs w:val="36"/>
          <w:rtl/>
        </w:rPr>
        <w:t xml:space="preserve"> منظومة الأمم المتحدة"</w:t>
      </w:r>
    </w:p>
    <w:p w:rsidR="00097CE0" w:rsidRPr="00097CE0" w:rsidRDefault="00097CE0" w:rsidP="000D29A0">
      <w:pPr>
        <w:keepNext/>
        <w:bidi/>
        <w:spacing w:after="240" w:line="360" w:lineRule="exact"/>
        <w:rPr>
          <w:rFonts w:ascii="Arabic Typesetting" w:hAnsi="Arabic Typesetting" w:cs="Arabic Typesetting"/>
          <w:sz w:val="36"/>
          <w:szCs w:val="36"/>
          <w:rtl/>
        </w:rPr>
      </w:pPr>
      <w:r w:rsidRPr="00097CE0">
        <w:rPr>
          <w:rFonts w:ascii="Arabic Typesetting" w:hAnsi="Arabic Typesetting" w:cs="Arabic Typesetting"/>
          <w:sz w:val="36"/>
          <w:szCs w:val="36"/>
          <w:rtl/>
        </w:rPr>
        <w:t xml:space="preserve">أصدرت وحدة التفتيش المشتركة هذا التقرير في </w:t>
      </w:r>
      <w:r w:rsidRPr="00097CE0">
        <w:rPr>
          <w:rFonts w:ascii="Arabic Typesetting" w:hAnsi="Arabic Typesetting" w:cs="Arabic Typesetting" w:hint="cs"/>
          <w:sz w:val="36"/>
          <w:szCs w:val="36"/>
          <w:rtl/>
        </w:rPr>
        <w:t>12</w:t>
      </w:r>
      <w:r w:rsidRPr="00097CE0">
        <w:rPr>
          <w:rFonts w:ascii="Arabic Typesetting" w:hAnsi="Arabic Typesetting" w:cs="Arabic Typesetting"/>
          <w:sz w:val="36"/>
          <w:szCs w:val="36"/>
          <w:rtl/>
        </w:rPr>
        <w:t xml:space="preserve"> </w:t>
      </w:r>
      <w:r w:rsidRPr="00097CE0">
        <w:rPr>
          <w:rFonts w:ascii="Arabic Typesetting" w:hAnsi="Arabic Typesetting" w:cs="Arabic Typesetting" w:hint="cs"/>
          <w:sz w:val="36"/>
          <w:szCs w:val="36"/>
          <w:rtl/>
        </w:rPr>
        <w:t>أغسطس</w:t>
      </w:r>
      <w:r w:rsidRPr="00097CE0">
        <w:rPr>
          <w:rFonts w:ascii="Arabic Typesetting" w:hAnsi="Arabic Typesetting" w:cs="Arabic Typesetting"/>
          <w:sz w:val="36"/>
          <w:szCs w:val="36"/>
          <w:rtl/>
        </w:rPr>
        <w:t xml:space="preserve"> </w:t>
      </w:r>
      <w:r w:rsidRPr="00097CE0">
        <w:rPr>
          <w:rFonts w:ascii="Arabic Typesetting" w:hAnsi="Arabic Typesetting" w:cs="Arabic Typesetting" w:hint="cs"/>
          <w:sz w:val="36"/>
          <w:szCs w:val="36"/>
          <w:rtl/>
        </w:rPr>
        <w:t>2015</w:t>
      </w:r>
      <w:r w:rsidRPr="00097CE0">
        <w:rPr>
          <w:rFonts w:ascii="Arabic Typesetting" w:hAnsi="Arabic Typesetting" w:cs="Arabic Typesetting"/>
          <w:sz w:val="36"/>
          <w:szCs w:val="36"/>
          <w:rtl/>
        </w:rPr>
        <w:t>. ومن ثم فإن جميع التوصيات تعد</w:t>
      </w:r>
      <w:r w:rsidR="00B53FAA">
        <w:rPr>
          <w:rFonts w:ascii="Arabic Typesetting" w:hAnsi="Arabic Typesetting" w:cs="Arabic Typesetting" w:hint="cs"/>
          <w:sz w:val="36"/>
          <w:szCs w:val="36"/>
          <w:rtl/>
        </w:rPr>
        <w:t>ّ</w:t>
      </w:r>
      <w:r w:rsidRPr="00097CE0">
        <w:rPr>
          <w:rFonts w:ascii="Arabic Typesetting" w:hAnsi="Arabic Typesetting" w:cs="Arabic Typesetting"/>
          <w:sz w:val="36"/>
          <w:szCs w:val="36"/>
          <w:rtl/>
        </w:rPr>
        <w:t xml:space="preserve"> جديدة على الدول الأعضاء في سياق </w:t>
      </w:r>
      <w:r w:rsidRPr="00097CE0">
        <w:rPr>
          <w:rFonts w:ascii="Arabic Typesetting" w:hAnsi="Arabic Typesetting" w:cs="Arabic Typesetting" w:hint="cs"/>
          <w:sz w:val="36"/>
          <w:szCs w:val="36"/>
          <w:rtl/>
        </w:rPr>
        <w:t>هذا التقرير</w:t>
      </w:r>
      <w:r w:rsidRPr="00097CE0">
        <w:rPr>
          <w:rFonts w:ascii="Arabic Typesetting" w:hAnsi="Arabic Typesetting" w:cs="Arabic Typesetting"/>
          <w:sz w:val="36"/>
          <w:szCs w:val="36"/>
          <w:rtl/>
        </w:rPr>
        <w:t>.</w:t>
      </w:r>
    </w:p>
    <w:tbl>
      <w:tblPr>
        <w:tblStyle w:val="TableGrid1"/>
        <w:bidiVisual/>
        <w:tblW w:w="5000" w:type="pct"/>
        <w:tblLook w:val="04A0" w:firstRow="1" w:lastRow="0" w:firstColumn="1" w:lastColumn="0" w:noHBand="0" w:noVBand="1"/>
      </w:tblPr>
      <w:tblGrid>
        <w:gridCol w:w="2148"/>
        <w:gridCol w:w="7423"/>
      </w:tblGrid>
      <w:tr w:rsidR="00097CE0" w:rsidRPr="00383541" w:rsidTr="00FB1C62">
        <w:trPr>
          <w:cantSplit/>
          <w:trHeight w:val="965"/>
        </w:trPr>
        <w:tc>
          <w:tcPr>
            <w:tcW w:w="1122" w:type="pct"/>
            <w:tcBorders>
              <w:bottom w:val="nil"/>
            </w:tcBorders>
            <w:shd w:val="clear" w:color="auto" w:fill="DBE5F1" w:themeFill="accent1" w:themeFillTint="33"/>
          </w:tcPr>
          <w:p w:rsidR="00097CE0" w:rsidRPr="00097CE0" w:rsidRDefault="00FB1C62" w:rsidP="00383541">
            <w:pPr>
              <w:pStyle w:val="NormalParaAR"/>
              <w:spacing w:before="240"/>
              <w:rPr>
                <w:b/>
                <w:bCs/>
                <w:rtl/>
                <w:lang w:eastAsia="en-US"/>
              </w:rPr>
            </w:pPr>
            <w:r w:rsidRPr="00097CE0">
              <w:rPr>
                <w:b/>
                <w:bCs/>
                <w:noProof/>
                <w:lang w:val="fr-CH" w:eastAsia="fr-CH"/>
              </w:rPr>
              <w:drawing>
                <wp:anchor distT="0" distB="0" distL="114300" distR="114300" simplePos="0" relativeHeight="251687936" behindDoc="0" locked="0" layoutInCell="1" allowOverlap="1" wp14:anchorId="7343DAB7" wp14:editId="0D2AA248">
                  <wp:simplePos x="0" y="0"/>
                  <wp:positionH relativeFrom="column">
                    <wp:posOffset>1072240</wp:posOffset>
                  </wp:positionH>
                  <wp:positionV relativeFrom="paragraph">
                    <wp:posOffset>1905</wp:posOffset>
                  </wp:positionV>
                  <wp:extent cx="228600" cy="228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7CE0" w:rsidRPr="00097CE0">
              <w:rPr>
                <w:rFonts w:hint="cs"/>
                <w:b/>
                <w:bCs/>
                <w:rtl/>
                <w:lang w:eastAsia="en-US"/>
              </w:rPr>
              <w:t>التوصية 1</w:t>
            </w:r>
          </w:p>
        </w:tc>
        <w:tc>
          <w:tcPr>
            <w:tcW w:w="3878" w:type="pct"/>
            <w:tcBorders>
              <w:bottom w:val="nil"/>
            </w:tcBorders>
          </w:tcPr>
          <w:p w:rsidR="00097CE0" w:rsidRPr="00383541" w:rsidRDefault="00097CE0" w:rsidP="00B53FAA">
            <w:pPr>
              <w:pStyle w:val="NormalParaAR"/>
              <w:rPr>
                <w:rtl/>
                <w:lang w:eastAsia="en-US"/>
              </w:rPr>
            </w:pPr>
            <w:r w:rsidRPr="00383541">
              <w:rPr>
                <w:rtl/>
                <w:lang w:eastAsia="en-US"/>
              </w:rPr>
              <w:t>ينبغي للهيئات التشريعية</w:t>
            </w:r>
            <w:r w:rsidR="00B53FAA">
              <w:rPr>
                <w:rFonts w:hint="cs"/>
                <w:rtl/>
                <w:lang w:eastAsia="en-US"/>
              </w:rPr>
              <w:t xml:space="preserve"> و</w:t>
            </w:r>
            <w:r w:rsidRPr="00383541">
              <w:rPr>
                <w:rtl/>
                <w:lang w:eastAsia="en-US"/>
              </w:rPr>
              <w:t>مجالس الإدارة في مؤسسات منظومة الأمم المتحدة</w:t>
            </w:r>
            <w:r w:rsidRPr="00383541">
              <w:rPr>
                <w:rFonts w:hint="cs"/>
                <w:rtl/>
                <w:lang w:eastAsia="en-US"/>
              </w:rPr>
              <w:t xml:space="preserve"> أن </w:t>
            </w:r>
            <w:r w:rsidR="00B53FAA">
              <w:rPr>
                <w:rFonts w:hint="cs"/>
                <w:rtl/>
                <w:lang w:eastAsia="en-US"/>
              </w:rPr>
              <w:t>تطلب</w:t>
            </w:r>
            <w:r w:rsidRPr="00383541">
              <w:rPr>
                <w:rFonts w:hint="cs"/>
                <w:rtl/>
                <w:lang w:eastAsia="en-US"/>
              </w:rPr>
              <w:t xml:space="preserve"> من الرؤساء التنفيذيين مراعاة </w:t>
            </w:r>
            <w:r w:rsidR="00B53FAA">
              <w:rPr>
                <w:rFonts w:hint="cs"/>
                <w:rtl/>
                <w:lang w:eastAsia="en-US"/>
              </w:rPr>
              <w:t>المؤشرات المرجعية</w:t>
            </w:r>
            <w:r w:rsidRPr="00383541">
              <w:rPr>
                <w:rFonts w:hint="cs"/>
                <w:rtl/>
                <w:lang w:eastAsia="en-US"/>
              </w:rPr>
              <w:t xml:space="preserve"> التسعة المقترحة في هذا التقرير بغية تعزيز الدور الاستراتيجي </w:t>
            </w:r>
            <w:r w:rsidR="00B53FAA">
              <w:rPr>
                <w:rFonts w:hint="cs"/>
                <w:rtl/>
                <w:lang w:eastAsia="en-US"/>
              </w:rPr>
              <w:t xml:space="preserve">الذي تؤديه </w:t>
            </w:r>
            <w:r w:rsidRPr="00383541">
              <w:rPr>
                <w:rFonts w:hint="cs"/>
                <w:rtl/>
                <w:lang w:eastAsia="en-US"/>
              </w:rPr>
              <w:t>وظيفت</w:t>
            </w:r>
            <w:r w:rsidR="00B53FAA">
              <w:rPr>
                <w:rFonts w:hint="cs"/>
                <w:rtl/>
                <w:lang w:eastAsia="en-US"/>
              </w:rPr>
              <w:t>ا</w:t>
            </w:r>
            <w:r w:rsidRPr="00383541">
              <w:rPr>
                <w:rFonts w:hint="cs"/>
                <w:rtl/>
                <w:lang w:eastAsia="en-US"/>
              </w:rPr>
              <w:t xml:space="preserve"> إعلام الجمهور والتواصل في تحقيق الأهداف والأولويات التنظيمية ومن ثم حشد دعم عالمي لمنظماتهم.</w:t>
            </w:r>
          </w:p>
        </w:tc>
      </w:tr>
      <w:tr w:rsidR="00097CE0" w:rsidRPr="00383541" w:rsidTr="00B53FAA">
        <w:trPr>
          <w:cantSplit/>
          <w:trHeight w:val="843"/>
        </w:trPr>
        <w:tc>
          <w:tcPr>
            <w:tcW w:w="1122" w:type="pct"/>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3878" w:type="pct"/>
            <w:tcBorders>
              <w:top w:val="nil"/>
              <w:bottom w:val="nil"/>
            </w:tcBorders>
          </w:tcPr>
          <w:p w:rsidR="00097CE0" w:rsidRPr="00383541" w:rsidRDefault="00097CE0" w:rsidP="00B53FAA">
            <w:pPr>
              <w:pStyle w:val="NormalParaAR"/>
              <w:rPr>
                <w:rtl/>
                <w:lang w:eastAsia="en-US"/>
              </w:rPr>
            </w:pPr>
            <w:r w:rsidRPr="00383541">
              <w:rPr>
                <w:rFonts w:hint="cs"/>
                <w:rtl/>
                <w:lang w:eastAsia="en-US"/>
              </w:rPr>
              <w:t>قدمت الدول الأعضاء في الويبو إلى الأمانة معلومات مفصلة عن وظيفة التواصل في المناقشات المتعلقة بالبرنامج والميزانية وأداء البرنامج. و</w:t>
            </w:r>
            <w:r w:rsidR="00B53FAA">
              <w:rPr>
                <w:rFonts w:hint="cs"/>
                <w:rtl/>
                <w:lang w:eastAsia="en-US"/>
              </w:rPr>
              <w:t>إن</w:t>
            </w:r>
            <w:r w:rsidRPr="00383541">
              <w:rPr>
                <w:rFonts w:hint="cs"/>
                <w:rtl/>
                <w:lang w:eastAsia="en-US"/>
              </w:rPr>
              <w:t xml:space="preserve"> النهج</w:t>
            </w:r>
            <w:r w:rsidR="00B53FAA">
              <w:rPr>
                <w:rFonts w:hint="cs"/>
                <w:rtl/>
                <w:lang w:eastAsia="en-US"/>
              </w:rPr>
              <w:t xml:space="preserve"> المعتمَد</w:t>
            </w:r>
            <w:r w:rsidRPr="00383541">
              <w:rPr>
                <w:rFonts w:hint="cs"/>
                <w:rtl/>
                <w:lang w:eastAsia="en-US"/>
              </w:rPr>
              <w:t xml:space="preserve"> على مستوى المنظمة </w:t>
            </w:r>
            <w:r w:rsidR="00B53FAA">
              <w:rPr>
                <w:rFonts w:hint="cs"/>
                <w:rtl/>
                <w:lang w:eastAsia="en-US"/>
              </w:rPr>
              <w:t>بشأن التواصل</w:t>
            </w:r>
            <w:r w:rsidRPr="00383541">
              <w:rPr>
                <w:rFonts w:hint="cs"/>
                <w:rtl/>
                <w:lang w:eastAsia="en-US"/>
              </w:rPr>
              <w:t xml:space="preserve"> </w:t>
            </w:r>
            <w:r w:rsidR="00B53FAA">
              <w:rPr>
                <w:rFonts w:hint="cs"/>
                <w:rtl/>
                <w:lang w:eastAsia="en-US"/>
              </w:rPr>
              <w:t xml:space="preserve">يشمل </w:t>
            </w:r>
            <w:r w:rsidRPr="00383541">
              <w:rPr>
                <w:rFonts w:hint="cs"/>
                <w:rtl/>
                <w:lang w:eastAsia="en-US"/>
              </w:rPr>
              <w:t xml:space="preserve">الامتثال </w:t>
            </w:r>
            <w:r w:rsidR="00B53FAA">
              <w:rPr>
                <w:rFonts w:hint="cs"/>
                <w:rtl/>
                <w:lang w:eastAsia="en-US"/>
              </w:rPr>
              <w:t>لمؤشرات القياس</w:t>
            </w:r>
            <w:r w:rsidRPr="00383541">
              <w:rPr>
                <w:rFonts w:hint="cs"/>
                <w:rtl/>
                <w:lang w:eastAsia="en-US"/>
              </w:rPr>
              <w:t xml:space="preserve"> المقترحة في هذا التقرير.</w:t>
            </w:r>
          </w:p>
        </w:tc>
      </w:tr>
      <w:tr w:rsidR="00097CE0" w:rsidRPr="00383541" w:rsidTr="00FB1C62">
        <w:trPr>
          <w:cantSplit/>
          <w:trHeight w:val="63"/>
        </w:trPr>
        <w:tc>
          <w:tcPr>
            <w:tcW w:w="1122" w:type="pct"/>
            <w:tcBorders>
              <w:top w:val="nil"/>
              <w:bottom w:val="nil"/>
            </w:tcBorders>
            <w:shd w:val="clear" w:color="auto" w:fill="DBE5F1" w:themeFill="accent1" w:themeFillTint="33"/>
          </w:tcPr>
          <w:p w:rsidR="00097CE0" w:rsidRPr="00097CE0" w:rsidRDefault="00B53FAA" w:rsidP="00383541">
            <w:pPr>
              <w:pStyle w:val="NormalParaAR"/>
              <w:rPr>
                <w:b/>
                <w:bCs/>
                <w:rtl/>
                <w:lang w:eastAsia="en-US"/>
              </w:rPr>
            </w:pPr>
            <w:r>
              <w:rPr>
                <w:rFonts w:hint="cs"/>
                <w:b/>
                <w:bCs/>
                <w:rtl/>
                <w:lang w:eastAsia="en-US"/>
              </w:rPr>
              <w:t xml:space="preserve">وضع </w:t>
            </w:r>
            <w:r w:rsidR="00097CE0" w:rsidRPr="00097CE0">
              <w:rPr>
                <w:rFonts w:hint="cs"/>
                <w:b/>
                <w:bCs/>
                <w:rtl/>
                <w:lang w:eastAsia="en-US"/>
              </w:rPr>
              <w:t>القبول</w:t>
            </w:r>
          </w:p>
        </w:tc>
        <w:tc>
          <w:tcPr>
            <w:tcW w:w="3878" w:type="pct"/>
            <w:tcBorders>
              <w:top w:val="nil"/>
              <w:bottom w:val="nil"/>
            </w:tcBorders>
          </w:tcPr>
          <w:p w:rsidR="00097CE0" w:rsidRPr="00383541" w:rsidRDefault="00097CE0" w:rsidP="00383541">
            <w:pPr>
              <w:pStyle w:val="NormalParaAR"/>
              <w:rPr>
                <w:rtl/>
                <w:lang w:eastAsia="en-US"/>
              </w:rPr>
            </w:pPr>
            <w:r w:rsidRPr="00383541">
              <w:rPr>
                <w:rFonts w:hint="cs"/>
                <w:rtl/>
                <w:lang w:eastAsia="en-US"/>
              </w:rPr>
              <w:t>مقبولة</w:t>
            </w:r>
          </w:p>
        </w:tc>
      </w:tr>
      <w:tr w:rsidR="00097CE0" w:rsidRPr="00383541" w:rsidTr="00FB1C62">
        <w:trPr>
          <w:cantSplit/>
        </w:trPr>
        <w:tc>
          <w:tcPr>
            <w:tcW w:w="1122" w:type="pct"/>
            <w:tcBorders>
              <w:top w:val="nil"/>
              <w:bottom w:val="nil"/>
            </w:tcBorders>
            <w:shd w:val="clear" w:color="auto" w:fill="DBE5F1" w:themeFill="accent1" w:themeFillTint="33"/>
          </w:tcPr>
          <w:p w:rsidR="00097CE0" w:rsidRPr="00097CE0" w:rsidRDefault="00B53FAA" w:rsidP="00383541">
            <w:pPr>
              <w:pStyle w:val="NormalParaAR"/>
              <w:rPr>
                <w:b/>
                <w:bCs/>
                <w:rtl/>
                <w:lang w:eastAsia="en-US"/>
              </w:rPr>
            </w:pPr>
            <w:r>
              <w:rPr>
                <w:rFonts w:hint="cs"/>
                <w:b/>
                <w:bCs/>
                <w:rtl/>
                <w:lang w:eastAsia="en-US"/>
              </w:rPr>
              <w:t xml:space="preserve">حالة </w:t>
            </w:r>
            <w:r w:rsidR="00097CE0" w:rsidRPr="00097CE0">
              <w:rPr>
                <w:rFonts w:hint="cs"/>
                <w:b/>
                <w:bCs/>
                <w:rtl/>
                <w:lang w:eastAsia="en-US"/>
              </w:rPr>
              <w:t>التنفيذ</w:t>
            </w:r>
          </w:p>
        </w:tc>
        <w:tc>
          <w:tcPr>
            <w:tcW w:w="3878" w:type="pct"/>
            <w:tcBorders>
              <w:top w:val="nil"/>
              <w:bottom w:val="nil"/>
            </w:tcBorders>
          </w:tcPr>
          <w:p w:rsidR="00097CE0" w:rsidRPr="00383541" w:rsidRDefault="00097CE0" w:rsidP="00383541">
            <w:pPr>
              <w:pStyle w:val="NormalParaAR"/>
              <w:rPr>
                <w:rtl/>
                <w:lang w:eastAsia="en-US"/>
              </w:rPr>
            </w:pPr>
            <w:r w:rsidRPr="00383541">
              <w:rPr>
                <w:rFonts w:hint="cs"/>
                <w:rtl/>
                <w:lang w:eastAsia="en-US"/>
              </w:rPr>
              <w:t>نف</w:t>
            </w:r>
            <w:r w:rsidR="00B53FAA">
              <w:rPr>
                <w:rFonts w:hint="cs"/>
                <w:rtl/>
                <w:lang w:eastAsia="en-US"/>
              </w:rPr>
              <w:t>ِّ</w:t>
            </w:r>
            <w:r w:rsidRPr="00383541">
              <w:rPr>
                <w:rFonts w:hint="cs"/>
                <w:rtl/>
                <w:lang w:eastAsia="en-US"/>
              </w:rPr>
              <w:t>ذت</w:t>
            </w:r>
          </w:p>
        </w:tc>
      </w:tr>
      <w:tr w:rsidR="00097CE0" w:rsidRPr="00383541" w:rsidTr="00FB1C62">
        <w:trPr>
          <w:cantSplit/>
        </w:trPr>
        <w:tc>
          <w:tcPr>
            <w:tcW w:w="1122" w:type="pct"/>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3878" w:type="pct"/>
            <w:tcBorders>
              <w:top w:val="nil"/>
            </w:tcBorders>
          </w:tcPr>
          <w:p w:rsidR="00097CE0" w:rsidRPr="00383541" w:rsidRDefault="00097CE0" w:rsidP="00383541">
            <w:pPr>
              <w:pStyle w:val="NormalParaAR"/>
              <w:rPr>
                <w:rtl/>
                <w:lang w:eastAsia="en-US"/>
              </w:rPr>
            </w:pPr>
            <w:r w:rsidRPr="00383541">
              <w:rPr>
                <w:rFonts w:hint="cs"/>
                <w:rtl/>
                <w:lang w:eastAsia="en-US"/>
              </w:rPr>
              <w:t>مدير شعبة التواصل</w:t>
            </w:r>
          </w:p>
        </w:tc>
      </w:tr>
    </w:tbl>
    <w:p w:rsidR="00097CE0" w:rsidRPr="00097CE0" w:rsidRDefault="00097CE0" w:rsidP="000D29A0">
      <w:pPr>
        <w:pStyle w:val="NormalParaAR"/>
        <w:keepNext/>
        <w:spacing w:before="240"/>
        <w:rPr>
          <w:b/>
          <w:bCs/>
          <w:rtl/>
        </w:rPr>
      </w:pPr>
      <w:r w:rsidRPr="00097CE0">
        <w:rPr>
          <w:rFonts w:hint="cs"/>
          <w:b/>
          <w:bCs/>
          <w:rtl/>
        </w:rPr>
        <w:t>ثانياً.</w:t>
      </w:r>
      <w:r w:rsidRPr="00097CE0">
        <w:rPr>
          <w:b/>
          <w:bCs/>
          <w:rtl/>
        </w:rPr>
        <w:tab/>
        <w:t xml:space="preserve">‏توصيات من الاستعراضات التي أجرتها وحدة التفتيش المشتركة في </w:t>
      </w:r>
      <w:r w:rsidRPr="00097CE0">
        <w:rPr>
          <w:rFonts w:hint="cs"/>
          <w:b/>
          <w:bCs/>
          <w:rtl/>
        </w:rPr>
        <w:t>عام 2014</w:t>
      </w:r>
    </w:p>
    <w:p w:rsidR="00097CE0" w:rsidRPr="00097CE0" w:rsidRDefault="00097CE0" w:rsidP="00097CE0">
      <w:pPr>
        <w:bidi/>
        <w:spacing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62336" behindDoc="0" locked="0" layoutInCell="1" allowOverlap="1" wp14:anchorId="270731D7" wp14:editId="5A0FD0DB">
            <wp:simplePos x="0" y="0"/>
            <wp:positionH relativeFrom="column">
              <wp:posOffset>2202351</wp:posOffset>
            </wp:positionH>
            <wp:positionV relativeFrom="paragraph">
              <wp:posOffset>21590</wp:posOffset>
            </wp:positionV>
            <wp:extent cx="356870" cy="238125"/>
            <wp:effectExtent l="0" t="0" r="5080" b="9525"/>
            <wp:wrapNone/>
            <wp:docPr id="10"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JIU/REP/2014/9</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إدارة العقود وتنظيمها في منظومة الأمم المتحدة</w:t>
      </w:r>
      <w:r w:rsidRPr="00097CE0">
        <w:rPr>
          <w:rFonts w:ascii="Arabic Typesetting" w:hAnsi="Arabic Typesetting" w:cs="Arabic Typesetting" w:hint="cs"/>
          <w:sz w:val="36"/>
          <w:szCs w:val="36"/>
          <w:rtl/>
        </w:rPr>
        <w:t>"</w:t>
      </w:r>
    </w:p>
    <w:tbl>
      <w:tblPr>
        <w:tblStyle w:val="TableGrid1"/>
        <w:bidiVisual/>
        <w:tblW w:w="10009" w:type="dxa"/>
        <w:tblLook w:val="04A0" w:firstRow="1" w:lastRow="0" w:firstColumn="1" w:lastColumn="0" w:noHBand="0" w:noVBand="1"/>
      </w:tblPr>
      <w:tblGrid>
        <w:gridCol w:w="2246"/>
        <w:gridCol w:w="7763"/>
      </w:tblGrid>
      <w:tr w:rsidR="00097CE0" w:rsidRPr="00097CE0" w:rsidTr="00383541">
        <w:trPr>
          <w:cantSplit/>
        </w:trPr>
        <w:tc>
          <w:tcPr>
            <w:tcW w:w="2246" w:type="dxa"/>
            <w:tcBorders>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التوصية 1</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للهيئات التشريعية لمؤسسات منظومة الأمم المتحدة أن توجه الرؤساء التنفيذيين لمؤسساتها إلى تحديث، وعند الضرورة تطوير، سياسات وإجراءات وتوجيهات ونظم متابعة محددة لكفالة إدارة أنشطة العقود في مرحلة ما بعد منحها، بفعالية وكفاءة.</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7763" w:type="dxa"/>
            <w:tcBorders>
              <w:top w:val="nil"/>
              <w:bottom w:val="nil"/>
            </w:tcBorders>
          </w:tcPr>
          <w:p w:rsidR="00097CE0" w:rsidRPr="00097CE0" w:rsidRDefault="00097CE0" w:rsidP="000F3C8A">
            <w:pPr>
              <w:pStyle w:val="NormalParaAR"/>
              <w:rPr>
                <w:rtl/>
                <w:lang w:eastAsia="en-US"/>
              </w:rPr>
            </w:pPr>
            <w:r w:rsidRPr="00097CE0">
              <w:rPr>
                <w:rFonts w:hint="cs"/>
                <w:rtl/>
                <w:lang w:eastAsia="en-US"/>
              </w:rPr>
              <w:t xml:space="preserve">اعتباراً من عام 2016، بات </w:t>
            </w:r>
            <w:r w:rsidR="000F3C8A">
              <w:rPr>
                <w:rFonts w:hint="cs"/>
                <w:rtl/>
                <w:lang w:eastAsia="en-US"/>
              </w:rPr>
              <w:t>الموردون</w:t>
            </w:r>
            <w:r w:rsidRPr="00097CE0">
              <w:rPr>
                <w:rFonts w:hint="cs"/>
                <w:rtl/>
                <w:lang w:eastAsia="en-US"/>
              </w:rPr>
              <w:t xml:space="preserve"> الاستراتيجيون ملزمين بأن تلتقي المنظمة بهم مرتين في السنة ويجرى استعراض لأداء البائعين في هذه المناسبة استناداً إلى مؤشرات الأداء الرئيسية المعتمدة. وأنشئت في عام 2015 قاعدة بيانات العقود التي تتيح تخزين نتائج عمليات استعراض الأداء ومتابعتها. واستعين بمدير عقود قانوني وكلِّف </w:t>
            </w:r>
            <w:r w:rsidR="000F3C8A">
              <w:rPr>
                <w:rFonts w:hint="cs"/>
                <w:rtl/>
                <w:lang w:eastAsia="en-US"/>
              </w:rPr>
              <w:t>بعدة</w:t>
            </w:r>
            <w:r w:rsidRPr="00097CE0">
              <w:rPr>
                <w:rFonts w:hint="cs"/>
                <w:rtl/>
                <w:lang w:eastAsia="en-US"/>
              </w:rPr>
              <w:t xml:space="preserve"> مهام منها متابعة عمليات تقييم أداء البائعين المعنيين بالعقود المذكورة آنفاً. </w:t>
            </w:r>
            <w:r w:rsidRPr="00097CE0">
              <w:rPr>
                <w:rtl/>
                <w:lang w:eastAsia="en-US"/>
              </w:rPr>
              <w:t>و</w:t>
            </w:r>
            <w:r w:rsidRPr="00097CE0">
              <w:rPr>
                <w:rFonts w:hint="cs"/>
                <w:rtl/>
                <w:lang w:eastAsia="en-US"/>
              </w:rPr>
              <w:t xml:space="preserve">وافقت </w:t>
            </w:r>
            <w:r w:rsidRPr="00097CE0">
              <w:rPr>
                <w:rtl/>
                <w:lang w:eastAsia="en-US"/>
              </w:rPr>
              <w:t>اللجنة الإدارية الرفيعة المستوى (</w:t>
            </w:r>
            <w:r w:rsidRPr="00097CE0">
              <w:rPr>
                <w:lang w:eastAsia="en-US"/>
              </w:rPr>
              <w:t>HLCM</w:t>
            </w:r>
            <w:r w:rsidRPr="00097CE0">
              <w:rPr>
                <w:rtl/>
                <w:lang w:eastAsia="en-US"/>
              </w:rPr>
              <w:t>) المعنية بشبكة المشتريات</w:t>
            </w:r>
            <w:r w:rsidRPr="00097CE0">
              <w:rPr>
                <w:rFonts w:hint="cs"/>
                <w:rtl/>
                <w:lang w:eastAsia="en-US"/>
              </w:rPr>
              <w:t xml:space="preserve"> على أنه ينبغي التعاون في هذا العمل </w:t>
            </w:r>
            <w:r w:rsidR="000F3C8A">
              <w:rPr>
                <w:rFonts w:hint="cs"/>
                <w:rtl/>
                <w:lang w:eastAsia="en-US"/>
              </w:rPr>
              <w:t>للتوصل إلى مبادئ توجيهية وإجراءات مشتركة</w:t>
            </w:r>
            <w:r w:rsidRPr="00097CE0">
              <w:rPr>
                <w:rFonts w:hint="cs"/>
                <w:rtl/>
                <w:lang w:eastAsia="en-US"/>
              </w:rPr>
              <w:t xml:space="preserve"> </w:t>
            </w:r>
            <w:r w:rsidR="000F3C8A">
              <w:rPr>
                <w:rFonts w:hint="cs"/>
                <w:rtl/>
                <w:lang w:eastAsia="en-US"/>
              </w:rPr>
              <w:t>بشأن</w:t>
            </w:r>
            <w:r w:rsidRPr="00097CE0">
              <w:rPr>
                <w:rFonts w:hint="cs"/>
                <w:rtl/>
                <w:lang w:eastAsia="en-US"/>
              </w:rPr>
              <w:t xml:space="preserve"> أداء البائع</w:t>
            </w:r>
            <w:r w:rsidR="000F3C8A">
              <w:rPr>
                <w:rFonts w:hint="cs"/>
                <w:rtl/>
                <w:lang w:eastAsia="en-US"/>
              </w:rPr>
              <w:t>ين</w:t>
            </w:r>
            <w:r w:rsidRPr="00097CE0">
              <w:rPr>
                <w:rFonts w:hint="cs"/>
                <w:rtl/>
                <w:lang w:eastAsia="en-US"/>
              </w:rPr>
              <w:t xml:space="preserve">. وسيعدَّل دليل الويبو للمشتريات عقب إصدار الإجراء الموحد وإن </w:t>
            </w:r>
            <w:r w:rsidR="000F3C8A">
              <w:rPr>
                <w:rFonts w:hint="cs"/>
                <w:rtl/>
                <w:lang w:eastAsia="en-US"/>
              </w:rPr>
              <w:t>وُجد</w:t>
            </w:r>
            <w:r w:rsidRPr="00097CE0">
              <w:rPr>
                <w:rFonts w:hint="cs"/>
                <w:rtl/>
                <w:lang w:eastAsia="en-US"/>
              </w:rPr>
              <w:t xml:space="preserve"> إجراء </w:t>
            </w:r>
            <w:r w:rsidR="000F3C8A">
              <w:rPr>
                <w:rFonts w:hint="cs"/>
                <w:rtl/>
                <w:lang w:eastAsia="en-US"/>
              </w:rPr>
              <w:t xml:space="preserve">في الويبو </w:t>
            </w:r>
            <w:r w:rsidRPr="00097CE0">
              <w:rPr>
                <w:rFonts w:hint="cs"/>
                <w:rtl/>
                <w:lang w:eastAsia="en-US"/>
              </w:rPr>
              <w:t>حالياً.</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63360" behindDoc="0" locked="0" layoutInCell="1" allowOverlap="1" wp14:anchorId="2764B5D7" wp14:editId="5DA0C5E8">
                      <wp:simplePos x="0" y="0"/>
                      <wp:positionH relativeFrom="column">
                        <wp:posOffset>1465987</wp:posOffset>
                      </wp:positionH>
                      <wp:positionV relativeFrom="paragraph">
                        <wp:posOffset>132393</wp:posOffset>
                      </wp:positionV>
                      <wp:extent cx="1781175" cy="361665"/>
                      <wp:effectExtent l="0" t="0" r="28575" b="19685"/>
                      <wp:wrapNone/>
                      <wp:docPr id="71" name="Rounded Rectangle 71"/>
                      <wp:cNvGraphicFramePr/>
                      <a:graphic xmlns:a="http://schemas.openxmlformats.org/drawingml/2006/main">
                        <a:graphicData uri="http://schemas.microsoft.com/office/word/2010/wordprocessingShape">
                          <wps:wsp>
                            <wps:cNvSpPr/>
                            <wps:spPr>
                              <a:xfrm>
                                <a:off x="0" y="0"/>
                                <a:ext cx="1781175" cy="36166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"قيد التنفيذ"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1" o:spid="_x0000_s1026" style="position:absolute;left:0;text-align:left;margin-left:115.45pt;margin-top:10.4pt;width:140.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"قيد التنفيذ" سابقاً</w:t>
                            </w:r>
                          </w:p>
                        </w:txbxContent>
                      </v:textbox>
                    </v:roundrect>
                  </w:pict>
                </mc:Fallback>
              </mc:AlternateContent>
            </w:r>
            <w:r w:rsidRPr="00097CE0">
              <w:rPr>
                <w:rFonts w:hint="cs"/>
                <w:rtl/>
                <w:lang w:eastAsia="en-US"/>
              </w:rPr>
              <w:t>مقبولة</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لم يبدأ</w:t>
            </w:r>
          </w:p>
        </w:tc>
      </w:tr>
      <w:tr w:rsidR="00097CE0" w:rsidRPr="00097CE0" w:rsidTr="00383541">
        <w:trPr>
          <w:cantSplit/>
        </w:trPr>
        <w:tc>
          <w:tcPr>
            <w:tcW w:w="2246" w:type="dxa"/>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7763" w:type="dxa"/>
            <w:tcBorders>
              <w:top w:val="nil"/>
            </w:tcBorders>
          </w:tcPr>
          <w:p w:rsidR="00097CE0" w:rsidRPr="00097CE0" w:rsidRDefault="00097CE0" w:rsidP="00383541">
            <w:pPr>
              <w:pStyle w:val="NormalParaAR"/>
              <w:rPr>
                <w:rtl/>
                <w:lang w:eastAsia="en-US"/>
              </w:rPr>
            </w:pPr>
            <w:r w:rsidRPr="00097CE0">
              <w:rPr>
                <w:rtl/>
                <w:lang w:eastAsia="en-US"/>
              </w:rPr>
              <w:t>‏مدير شعبة المشتريات والسفر</w:t>
            </w:r>
          </w:p>
        </w:tc>
      </w:tr>
    </w:tbl>
    <w:p w:rsidR="00097CE0" w:rsidRPr="00097CE0" w:rsidRDefault="00097CE0" w:rsidP="00EB6F52">
      <w:pPr>
        <w:bidi/>
        <w:spacing w:line="360" w:lineRule="exact"/>
        <w:rPr>
          <w:rFonts w:ascii="Arabic Typesetting" w:hAnsi="Arabic Typesetting" w:cs="Arabic Typesetting"/>
          <w:sz w:val="36"/>
          <w:szCs w:val="36"/>
          <w:rtl/>
        </w:rPr>
      </w:pPr>
    </w:p>
    <w:tbl>
      <w:tblPr>
        <w:tblStyle w:val="TableGrid1"/>
        <w:bidiVisual/>
        <w:tblW w:w="10009" w:type="dxa"/>
        <w:tblLook w:val="04A0" w:firstRow="1" w:lastRow="0" w:firstColumn="1" w:lastColumn="0" w:noHBand="0" w:noVBand="1"/>
      </w:tblPr>
      <w:tblGrid>
        <w:gridCol w:w="2246"/>
        <w:gridCol w:w="7763"/>
      </w:tblGrid>
      <w:tr w:rsidR="00097CE0" w:rsidRPr="00097CE0" w:rsidTr="00EB6F52">
        <w:trPr>
          <w:cantSplit/>
        </w:trPr>
        <w:tc>
          <w:tcPr>
            <w:tcW w:w="2246" w:type="dxa"/>
            <w:tcBorders>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التوصية 3</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للهيئات التشريعية لمؤسسات منظومة الأمم المتحدة أن توجه الرؤساء التنفيذيين لمؤسساتها إلى إنشاء نظام يتم بموجبه إبلاغ الأشخاص المعينين لإدارة العقود بعد منحها، خطياً، بخضوعهم للمساءلة وبمسؤولياتهم عند إدارة عقد ما، والتأكد من أنه تتوفر لديهم المؤهلات اللازمة لإدارة العقد.</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وضعت الويبو قاعدة البيانات اللازمة للاستجابة لهذه التوصية وتمتلك الأداة التقنية لإدارة الإخطارات.</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64384" behindDoc="0" locked="0" layoutInCell="1" allowOverlap="1" wp14:anchorId="2BD6B376" wp14:editId="66AF77F4">
                      <wp:simplePos x="0" y="0"/>
                      <wp:positionH relativeFrom="column">
                        <wp:posOffset>1383266</wp:posOffset>
                      </wp:positionH>
                      <wp:positionV relativeFrom="paragraph">
                        <wp:posOffset>122555</wp:posOffset>
                      </wp:positionV>
                      <wp:extent cx="1781175" cy="361315"/>
                      <wp:effectExtent l="0" t="0" r="28575" b="19685"/>
                      <wp:wrapNone/>
                      <wp:docPr id="51" name="Rounded Rectangle 51"/>
                      <wp:cNvGraphicFramePr/>
                      <a:graphic xmlns:a="http://schemas.openxmlformats.org/drawingml/2006/main">
                        <a:graphicData uri="http://schemas.microsoft.com/office/word/2010/wordprocessingShape">
                          <wps:wsp>
                            <wps:cNvSpPr/>
                            <wps:spPr>
                              <a:xfrm>
                                <a:off x="0" y="0"/>
                                <a:ext cx="178117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1" o:spid="_x0000_s1027" style="position:absolute;left:0;text-align:left;margin-left:108.9pt;margin-top:9.65pt;width:140.2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قيد التنفيذ</w:t>
            </w:r>
          </w:p>
        </w:tc>
      </w:tr>
      <w:tr w:rsidR="00097CE0" w:rsidRPr="00097CE0" w:rsidTr="00EB6F52">
        <w:trPr>
          <w:cantSplit/>
        </w:trPr>
        <w:tc>
          <w:tcPr>
            <w:tcW w:w="2246" w:type="dxa"/>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7763" w:type="dxa"/>
            <w:tcBorders>
              <w:top w:val="nil"/>
            </w:tcBorders>
          </w:tcPr>
          <w:p w:rsidR="00097CE0" w:rsidRPr="00097CE0" w:rsidRDefault="00097CE0" w:rsidP="00383541">
            <w:pPr>
              <w:pStyle w:val="NormalParaAR"/>
              <w:rPr>
                <w:rtl/>
                <w:lang w:eastAsia="en-US"/>
              </w:rPr>
            </w:pPr>
            <w:r w:rsidRPr="00097CE0">
              <w:rPr>
                <w:rtl/>
                <w:lang w:eastAsia="en-US"/>
              </w:rPr>
              <w:t>مدير شعبة المشتريات والسفر</w:t>
            </w:r>
          </w:p>
        </w:tc>
      </w:tr>
    </w:tbl>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65408" behindDoc="0" locked="0" layoutInCell="1" allowOverlap="1" wp14:anchorId="1A0ED2C9" wp14:editId="45B932AD">
            <wp:simplePos x="0" y="0"/>
            <wp:positionH relativeFrom="column">
              <wp:posOffset>889161</wp:posOffset>
            </wp:positionH>
            <wp:positionV relativeFrom="paragraph">
              <wp:posOffset>184785</wp:posOffset>
            </wp:positionV>
            <wp:extent cx="356870" cy="238125"/>
            <wp:effectExtent l="0" t="0" r="5080" b="9525"/>
            <wp:wrapNone/>
            <wp:docPr id="11"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JIU/REP/2014/2</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"استعراض الإدارة والتسيير في المنظمة العالمية للملكية الفكرية (الويبو)"</w:t>
      </w:r>
    </w:p>
    <w:tbl>
      <w:tblPr>
        <w:tblStyle w:val="TableGrid1"/>
        <w:bidiVisual/>
        <w:tblW w:w="10009" w:type="dxa"/>
        <w:tblLook w:val="04A0" w:firstRow="1" w:lastRow="0" w:firstColumn="1" w:lastColumn="0" w:noHBand="0" w:noVBand="1"/>
      </w:tblPr>
      <w:tblGrid>
        <w:gridCol w:w="2246"/>
        <w:gridCol w:w="7763"/>
      </w:tblGrid>
      <w:tr w:rsidR="00097CE0" w:rsidRPr="00097CE0" w:rsidTr="00EB6F52">
        <w:trPr>
          <w:cantSplit/>
        </w:trPr>
        <w:tc>
          <w:tcPr>
            <w:tcW w:w="2246" w:type="dxa"/>
            <w:tcBorders>
              <w:bottom w:val="nil"/>
            </w:tcBorders>
            <w:shd w:val="clear" w:color="auto" w:fill="DBE5F1" w:themeFill="accent1" w:themeFillTint="33"/>
          </w:tcPr>
          <w:p w:rsidR="00097CE0" w:rsidRPr="00097CE0" w:rsidRDefault="00097CE0" w:rsidP="00EB6F52">
            <w:pPr>
              <w:pStyle w:val="NormalParaAR"/>
              <w:spacing w:after="140"/>
              <w:rPr>
                <w:b/>
                <w:bCs/>
                <w:rtl/>
                <w:lang w:eastAsia="en-US"/>
              </w:rPr>
            </w:pPr>
            <w:r w:rsidRPr="00097CE0">
              <w:rPr>
                <w:rFonts w:hint="cs"/>
                <w:b/>
                <w:bCs/>
                <w:rtl/>
                <w:lang w:eastAsia="en-US"/>
              </w:rPr>
              <w:t>التوصية 1</w:t>
            </w:r>
          </w:p>
        </w:tc>
        <w:tc>
          <w:tcPr>
            <w:tcW w:w="7763" w:type="dxa"/>
            <w:tcBorders>
              <w:bottom w:val="nil"/>
            </w:tcBorders>
          </w:tcPr>
          <w:p w:rsidR="00097CE0" w:rsidRPr="00097CE0" w:rsidRDefault="00097CE0" w:rsidP="00EB6F52">
            <w:pPr>
              <w:pStyle w:val="NormalParaAR"/>
              <w:spacing w:after="60"/>
              <w:rPr>
                <w:rtl/>
                <w:lang w:eastAsia="en-US"/>
              </w:rPr>
            </w:pPr>
            <w:r w:rsidRPr="00097CE0">
              <w:rPr>
                <w:rtl/>
                <w:lang w:eastAsia="en-US"/>
              </w:rPr>
              <w:t>ينبغي أن تراجع الجمعية العامة للويبو إطار الحوكمة في الويبو وكذلك الممارسات الحالية بهدف تعزيز قدرة الهيئات الرئاسية على إرشاد عمل المنظمة ورصده.</w:t>
            </w:r>
            <w:r w:rsidRPr="00097CE0">
              <w:rPr>
                <w:cs/>
                <w:lang w:eastAsia="en-US"/>
              </w:rPr>
              <w:t>‎</w:t>
            </w:r>
            <w:r w:rsidRPr="00097CE0">
              <w:rPr>
                <w:rtl/>
                <w:lang w:eastAsia="en-US"/>
              </w:rPr>
              <w:t xml:space="preserve"> ‏وفي إطار هذه العملية، قد ترغب الدول الأعضاء في أن تنظر خلال مداولاتها في الخيارات المقترحة بهذا التقرير.</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EB6F52">
            <w:pPr>
              <w:pStyle w:val="NormalParaAR"/>
              <w:spacing w:after="140"/>
              <w:rPr>
                <w:b/>
                <w:bCs/>
                <w:rtl/>
                <w:lang w:eastAsia="en-US"/>
              </w:rPr>
            </w:pPr>
            <w:r w:rsidRPr="00097CE0">
              <w:rPr>
                <w:rFonts w:hint="cs"/>
                <w:b/>
                <w:bCs/>
                <w:rtl/>
                <w:lang w:eastAsia="en-US"/>
              </w:rPr>
              <w:t>تقييم الإدارة/الجهة المنسقة</w:t>
            </w:r>
          </w:p>
        </w:tc>
        <w:tc>
          <w:tcPr>
            <w:tcW w:w="7763" w:type="dxa"/>
            <w:tcBorders>
              <w:top w:val="nil"/>
              <w:bottom w:val="nil"/>
            </w:tcBorders>
          </w:tcPr>
          <w:p w:rsidR="00EB6F52" w:rsidRDefault="00097CE0" w:rsidP="00EB6F52">
            <w:pPr>
              <w:pStyle w:val="NormalParaAR"/>
              <w:spacing w:after="60"/>
              <w:rPr>
                <w:rtl/>
                <w:lang w:eastAsia="en-US"/>
              </w:rPr>
            </w:pPr>
            <w:r w:rsidRPr="00097CE0">
              <w:rPr>
                <w:rtl/>
                <w:lang w:eastAsia="en-US"/>
              </w:rPr>
              <w:t>إن لجنة البرنامج والميزانية (</w:t>
            </w:r>
            <w:r w:rsidRPr="00097CE0">
              <w:rPr>
                <w:cs/>
                <w:lang w:eastAsia="en-US"/>
              </w:rPr>
              <w:t>‎</w:t>
            </w:r>
            <w:r w:rsidRPr="00097CE0">
              <w:rPr>
                <w:lang w:eastAsia="en-US"/>
              </w:rPr>
              <w:t>PBC</w:t>
            </w:r>
            <w:r w:rsidRPr="00097CE0">
              <w:rPr>
                <w:rtl/>
                <w:lang w:eastAsia="en-US"/>
              </w:rPr>
              <w:t>‏)</w:t>
            </w:r>
            <w:r w:rsidR="000F3C8A">
              <w:rPr>
                <w:rFonts w:hint="cs"/>
                <w:rtl/>
                <w:lang w:eastAsia="en-US"/>
              </w:rPr>
              <w:t xml:space="preserve"> في دورتها الرابعة والعشرين</w:t>
            </w:r>
            <w:r w:rsidR="00EB6F52">
              <w:rPr>
                <w:rFonts w:hint="cs"/>
                <w:rtl/>
                <w:lang w:eastAsia="en-US"/>
              </w:rPr>
              <w:t>،</w:t>
            </w:r>
          </w:p>
          <w:p w:rsidR="00097CE0" w:rsidRPr="00097CE0" w:rsidRDefault="00097CE0" w:rsidP="00EB6F52">
            <w:pPr>
              <w:pStyle w:val="NormalParaAR"/>
              <w:spacing w:after="60"/>
              <w:rPr>
                <w:lang w:eastAsia="en-US"/>
              </w:rPr>
            </w:pPr>
            <w:r w:rsidRPr="00097CE0">
              <w:rPr>
                <w:rtl/>
                <w:lang w:eastAsia="en-US"/>
              </w:rPr>
              <w:t xml:space="preserve">إدراكا منها للحاجة إلى معالجة مسألة الحوكمة، وفقا لطلب الجمعيات </w:t>
            </w:r>
            <w:r w:rsidR="000F3C8A">
              <w:rPr>
                <w:rFonts w:hint="cs"/>
                <w:rtl/>
                <w:lang w:eastAsia="en-US"/>
              </w:rPr>
              <w:t>الرابعة والخمسين</w:t>
            </w:r>
            <w:r w:rsidRPr="00097CE0">
              <w:rPr>
                <w:rtl/>
                <w:lang w:eastAsia="en-US"/>
              </w:rPr>
              <w:t xml:space="preserve"> للدول الأعضاء في الويبو</w:t>
            </w:r>
            <w:r w:rsidR="000F3C8A">
              <w:rPr>
                <w:rFonts w:hint="cs"/>
                <w:rtl/>
                <w:lang w:eastAsia="en-US"/>
              </w:rPr>
              <w:t>،</w:t>
            </w:r>
          </w:p>
          <w:p w:rsidR="00097CE0" w:rsidRPr="00097CE0" w:rsidRDefault="00097CE0" w:rsidP="00EB6F52">
            <w:pPr>
              <w:pStyle w:val="NormalParaAR"/>
              <w:spacing w:after="60"/>
              <w:rPr>
                <w:lang w:eastAsia="en-US"/>
              </w:rPr>
            </w:pPr>
            <w:r w:rsidRPr="00097CE0">
              <w:rPr>
                <w:rFonts w:hint="cs"/>
                <w:rtl/>
                <w:lang w:eastAsia="en-US"/>
              </w:rPr>
              <w:t xml:space="preserve">""1" </w:t>
            </w:r>
            <w:r w:rsidRPr="00097CE0">
              <w:rPr>
                <w:rtl/>
                <w:lang w:eastAsia="en-US"/>
              </w:rPr>
              <w:t xml:space="preserve">‏شاركت في مناقشات نشطة حول الموضوع في كل من الدورتين </w:t>
            </w:r>
            <w:r w:rsidR="000F3C8A">
              <w:rPr>
                <w:rFonts w:hint="cs"/>
                <w:rtl/>
                <w:lang w:eastAsia="en-US"/>
              </w:rPr>
              <w:t>الثالثة والعشرين</w:t>
            </w:r>
            <w:r w:rsidRPr="00097CE0">
              <w:rPr>
                <w:rtl/>
                <w:lang w:eastAsia="en-US"/>
              </w:rPr>
              <w:t xml:space="preserve"> </w:t>
            </w:r>
            <w:r w:rsidR="000F3C8A">
              <w:rPr>
                <w:rFonts w:hint="cs"/>
                <w:rtl/>
                <w:lang w:eastAsia="en-US"/>
              </w:rPr>
              <w:t>والرابعة والعشرين</w:t>
            </w:r>
            <w:r w:rsidRPr="00097CE0">
              <w:rPr>
                <w:rtl/>
                <w:lang w:eastAsia="en-US"/>
              </w:rPr>
              <w:t xml:space="preserve">. وأسفرت هذه المناقشات عن المقترحات التي قُدمت خلال الدورة </w:t>
            </w:r>
            <w:r w:rsidR="000F3C8A">
              <w:rPr>
                <w:rFonts w:hint="cs"/>
                <w:rtl/>
                <w:lang w:eastAsia="en-US"/>
              </w:rPr>
              <w:t>الثالثة والعشرين</w:t>
            </w:r>
            <w:r w:rsidRPr="00097CE0">
              <w:rPr>
                <w:rtl/>
                <w:lang w:eastAsia="en-US"/>
              </w:rPr>
              <w:t xml:space="preserve"> على النحو المبين في المرفقين </w:t>
            </w:r>
            <w:r w:rsidR="000F3C8A">
              <w:rPr>
                <w:rFonts w:hint="cs"/>
                <w:rtl/>
                <w:lang w:eastAsia="en-US"/>
              </w:rPr>
              <w:t>الأول</w:t>
            </w:r>
            <w:r w:rsidRPr="00097CE0">
              <w:rPr>
                <w:rtl/>
                <w:lang w:eastAsia="en-US"/>
              </w:rPr>
              <w:t xml:space="preserve"> و</w:t>
            </w:r>
            <w:r w:rsidR="000F3C8A">
              <w:rPr>
                <w:rFonts w:hint="cs"/>
                <w:rtl/>
                <w:lang w:eastAsia="en-US"/>
              </w:rPr>
              <w:t>الثاني</w:t>
            </w:r>
            <w:r w:rsidRPr="00097CE0">
              <w:rPr>
                <w:rtl/>
                <w:lang w:eastAsia="en-US"/>
              </w:rPr>
              <w:t xml:space="preserve"> من الوثيقة </w:t>
            </w:r>
            <w:r w:rsidRPr="00097CE0">
              <w:rPr>
                <w:cs/>
                <w:lang w:eastAsia="en-US"/>
              </w:rPr>
              <w:t>‎</w:t>
            </w:r>
            <w:r w:rsidRPr="00097CE0">
              <w:rPr>
                <w:lang w:eastAsia="en-US"/>
              </w:rPr>
              <w:t>WO/PBC/23/9</w:t>
            </w:r>
            <w:r w:rsidRPr="00097CE0">
              <w:rPr>
                <w:rtl/>
                <w:lang w:eastAsia="en-US"/>
              </w:rPr>
              <w:t xml:space="preserve">‏، وفي وثيقة الرئيس التي </w:t>
            </w:r>
            <w:r w:rsidR="000F3C8A">
              <w:rPr>
                <w:rFonts w:hint="cs"/>
                <w:rtl/>
                <w:lang w:eastAsia="en-US"/>
              </w:rPr>
              <w:t>وزِّعت</w:t>
            </w:r>
            <w:r w:rsidRPr="00097CE0">
              <w:rPr>
                <w:rtl/>
                <w:lang w:eastAsia="en-US"/>
              </w:rPr>
              <w:t xml:space="preserve"> خلال الدورة </w:t>
            </w:r>
            <w:r w:rsidR="000F3C8A">
              <w:rPr>
                <w:rFonts w:hint="cs"/>
                <w:rtl/>
                <w:lang w:eastAsia="en-US"/>
              </w:rPr>
              <w:t>الرابعة والعشرين</w:t>
            </w:r>
            <w:r w:rsidRPr="00097CE0">
              <w:rPr>
                <w:rtl/>
                <w:lang w:eastAsia="en-US"/>
              </w:rPr>
              <w:t xml:space="preserve"> (بوصفها المرفق الأول لهذه الوثيقة (</w:t>
            </w:r>
            <w:r w:rsidRPr="00097CE0">
              <w:rPr>
                <w:cs/>
                <w:lang w:eastAsia="en-US"/>
              </w:rPr>
              <w:t>‎</w:t>
            </w:r>
            <w:r w:rsidRPr="00097CE0">
              <w:rPr>
                <w:lang w:eastAsia="en-US"/>
              </w:rPr>
              <w:t>WO/PBC/24/17</w:t>
            </w:r>
            <w:r w:rsidRPr="00097CE0">
              <w:rPr>
                <w:rtl/>
                <w:lang w:eastAsia="en-US"/>
              </w:rPr>
              <w:t>‏)</w:t>
            </w:r>
            <w:r w:rsidRPr="00097CE0">
              <w:rPr>
                <w:rFonts w:hint="cs"/>
                <w:rtl/>
                <w:lang w:eastAsia="en-US"/>
              </w:rPr>
              <w:t>)</w:t>
            </w:r>
            <w:r w:rsidRPr="00097CE0">
              <w:rPr>
                <w:rtl/>
                <w:lang w:eastAsia="en-US"/>
              </w:rPr>
              <w:t>. وبينما استمرت الخلافات في وجهات نظر الوفود، فقد أعربت الوفود عن استعدادها لمواصلة المناقشات بشأن هذا الموضوع</w:t>
            </w:r>
            <w:r w:rsidRPr="00097CE0">
              <w:rPr>
                <w:rFonts w:hint="cs"/>
                <w:rtl/>
                <w:lang w:eastAsia="en-US"/>
              </w:rPr>
              <w:t>؛</w:t>
            </w:r>
          </w:p>
          <w:p w:rsidR="00097CE0" w:rsidRPr="00097CE0" w:rsidRDefault="00097CE0" w:rsidP="00EB6F52">
            <w:pPr>
              <w:pStyle w:val="NormalParaAR"/>
              <w:spacing w:after="60"/>
              <w:rPr>
                <w:lang w:eastAsia="en-US"/>
              </w:rPr>
            </w:pPr>
            <w:r w:rsidRPr="00097CE0">
              <w:rPr>
                <w:rFonts w:hint="cs"/>
                <w:rtl/>
                <w:lang w:eastAsia="en-US"/>
              </w:rPr>
              <w:t xml:space="preserve">"2" </w:t>
            </w:r>
            <w:r w:rsidRPr="00097CE0">
              <w:rPr>
                <w:rtl/>
                <w:lang w:eastAsia="en-US"/>
              </w:rPr>
              <w:t>‏</w:t>
            </w:r>
            <w:r w:rsidR="000F3C8A">
              <w:rPr>
                <w:rFonts w:hint="cs"/>
                <w:rtl/>
                <w:lang w:eastAsia="en-US"/>
              </w:rPr>
              <w:t>و</w:t>
            </w:r>
            <w:r w:rsidRPr="00097CE0">
              <w:rPr>
                <w:rtl/>
                <w:lang w:eastAsia="en-US"/>
              </w:rPr>
              <w:t xml:space="preserve">وافقت على استمرار المناقشات حول موضوع الحوكمة في الويبو خلال الدورة </w:t>
            </w:r>
            <w:r w:rsidR="000F3C8A">
              <w:rPr>
                <w:rFonts w:hint="cs"/>
                <w:rtl/>
                <w:lang w:eastAsia="en-US"/>
              </w:rPr>
              <w:t>الخامسة والعشرين</w:t>
            </w:r>
            <w:r w:rsidRPr="00097CE0">
              <w:rPr>
                <w:rtl/>
                <w:lang w:eastAsia="en-US"/>
              </w:rPr>
              <w:t xml:space="preserve"> للجنة البرنامج والميزاني</w:t>
            </w:r>
            <w:r w:rsidR="000F3C8A">
              <w:rPr>
                <w:rFonts w:hint="cs"/>
                <w:rtl/>
                <w:lang w:eastAsia="en-US"/>
              </w:rPr>
              <w:t>ة</w:t>
            </w:r>
            <w:r w:rsidRPr="00097CE0">
              <w:rPr>
                <w:cs/>
                <w:lang w:eastAsia="en-US"/>
              </w:rPr>
              <w:t>‎</w:t>
            </w:r>
            <w:r w:rsidRPr="00097CE0">
              <w:rPr>
                <w:rtl/>
                <w:lang w:eastAsia="en-US"/>
              </w:rPr>
              <w:t xml:space="preserve">.‏ </w:t>
            </w:r>
            <w:r w:rsidR="000F3C8A">
              <w:rPr>
                <w:rFonts w:hint="cs"/>
                <w:rtl/>
                <w:lang w:eastAsia="en-US"/>
              </w:rPr>
              <w:t>و</w:t>
            </w:r>
            <w:r w:rsidRPr="00097CE0">
              <w:rPr>
                <w:rtl/>
                <w:lang w:eastAsia="en-US"/>
              </w:rPr>
              <w:t xml:space="preserve">في ضوء التوصية 1 </w:t>
            </w:r>
            <w:r w:rsidR="000F3C8A">
              <w:rPr>
                <w:rFonts w:hint="cs"/>
                <w:rtl/>
                <w:lang w:eastAsia="en-US"/>
              </w:rPr>
              <w:t>ل</w:t>
            </w:r>
            <w:r w:rsidR="000F3C8A" w:rsidRPr="00097CE0">
              <w:rPr>
                <w:rtl/>
              </w:rPr>
              <w:t>استعراض الإدارة والتسيير</w:t>
            </w:r>
            <w:r w:rsidR="000F3C8A" w:rsidRPr="00097CE0">
              <w:rPr>
                <w:rtl/>
                <w:lang w:eastAsia="en-US"/>
              </w:rPr>
              <w:t xml:space="preserve"> في المنظمة العالمية للملكية الفكرية</w:t>
            </w:r>
            <w:r w:rsidR="000F3C8A">
              <w:rPr>
                <w:rFonts w:hint="cs"/>
                <w:rtl/>
                <w:lang w:eastAsia="en-US"/>
              </w:rPr>
              <w:t xml:space="preserve"> (الويبو)</w:t>
            </w:r>
            <w:r w:rsidR="000F3C8A" w:rsidRPr="00097CE0">
              <w:rPr>
                <w:rtl/>
                <w:lang w:eastAsia="en-US"/>
              </w:rPr>
              <w:t xml:space="preserve"> </w:t>
            </w:r>
            <w:r w:rsidR="000F3C8A">
              <w:rPr>
                <w:rFonts w:hint="cs"/>
                <w:rtl/>
                <w:lang w:eastAsia="en-US"/>
              </w:rPr>
              <w:t>الذي</w:t>
            </w:r>
            <w:r w:rsidRPr="00097CE0">
              <w:rPr>
                <w:rtl/>
                <w:lang w:eastAsia="en-US"/>
              </w:rPr>
              <w:t xml:space="preserve"> أجرته وحدة التفتيش المشتركة (الوثيقة</w:t>
            </w:r>
            <w:r w:rsidR="000F3C8A">
              <w:rPr>
                <w:rFonts w:hint="cs"/>
                <w:rtl/>
                <w:lang w:eastAsia="en-US"/>
              </w:rPr>
              <w:t> </w:t>
            </w:r>
            <w:r w:rsidRPr="00097CE0">
              <w:rPr>
                <w:cs/>
                <w:lang w:eastAsia="en-US"/>
              </w:rPr>
              <w:t>‎</w:t>
            </w:r>
            <w:r w:rsidRPr="00097CE0">
              <w:rPr>
                <w:lang w:eastAsia="en-US"/>
              </w:rPr>
              <w:t>JIU/REP/2014/2</w:t>
            </w:r>
            <w:r w:rsidRPr="00097CE0">
              <w:rPr>
                <w:rtl/>
                <w:lang w:eastAsia="en-US"/>
              </w:rPr>
              <w:t>‏)</w:t>
            </w:r>
            <w:r w:rsidRPr="00097CE0">
              <w:rPr>
                <w:rFonts w:hint="cs"/>
                <w:rtl/>
                <w:lang w:eastAsia="en-US"/>
              </w:rPr>
              <w:t>؛</w:t>
            </w:r>
          </w:p>
          <w:p w:rsidR="00097CE0" w:rsidRPr="00097CE0" w:rsidRDefault="00097CE0" w:rsidP="00EB6F52">
            <w:pPr>
              <w:pStyle w:val="NormalParaAR"/>
              <w:spacing w:after="60"/>
              <w:rPr>
                <w:rtl/>
                <w:lang w:eastAsia="en-US"/>
              </w:rPr>
            </w:pPr>
            <w:r w:rsidRPr="00097CE0">
              <w:rPr>
                <w:rFonts w:hint="cs"/>
                <w:rtl/>
                <w:lang w:eastAsia="en-US"/>
              </w:rPr>
              <w:t xml:space="preserve">"3" </w:t>
            </w:r>
            <w:r w:rsidRPr="00097CE0">
              <w:rPr>
                <w:rtl/>
                <w:lang w:eastAsia="en-US"/>
              </w:rPr>
              <w:t>‏</w:t>
            </w:r>
            <w:r w:rsidR="000F3C8A">
              <w:rPr>
                <w:rFonts w:hint="cs"/>
                <w:rtl/>
                <w:lang w:eastAsia="en-US"/>
              </w:rPr>
              <w:t>و</w:t>
            </w:r>
            <w:r w:rsidRPr="00097CE0">
              <w:rPr>
                <w:rtl/>
                <w:lang w:eastAsia="en-US"/>
              </w:rPr>
              <w:t>وافقت</w:t>
            </w:r>
            <w:r w:rsidR="000F3C8A">
              <w:rPr>
                <w:rFonts w:hint="cs"/>
                <w:rtl/>
                <w:lang w:eastAsia="en-US"/>
              </w:rPr>
              <w:t xml:space="preserve"> أيضاً</w:t>
            </w:r>
            <w:r w:rsidRPr="00097CE0">
              <w:rPr>
                <w:rtl/>
                <w:lang w:eastAsia="en-US"/>
              </w:rPr>
              <w:t xml:space="preserve"> على أن تقدم الدول الأعضاء مقترحات لمواضيع محددة للمناقشة في الوقت المناسب قبل </w:t>
            </w:r>
            <w:r w:rsidR="00EB6F52">
              <w:rPr>
                <w:rFonts w:hint="cs"/>
                <w:rtl/>
                <w:lang w:eastAsia="en-US"/>
              </w:rPr>
              <w:t>عقد</w:t>
            </w:r>
            <w:r w:rsidRPr="00097CE0">
              <w:rPr>
                <w:rtl/>
                <w:lang w:eastAsia="en-US"/>
              </w:rPr>
              <w:t xml:space="preserve"> الدورة </w:t>
            </w:r>
            <w:r w:rsidRPr="00097CE0">
              <w:rPr>
                <w:rFonts w:hint="cs"/>
                <w:rtl/>
                <w:lang w:eastAsia="en-US"/>
              </w:rPr>
              <w:t xml:space="preserve">الخامسة والعشرين </w:t>
            </w:r>
            <w:r w:rsidRPr="00097CE0">
              <w:rPr>
                <w:rtl/>
                <w:lang w:eastAsia="en-US"/>
              </w:rPr>
              <w:t xml:space="preserve">وفي موعد أقصاه 1 يوليو 2016، </w:t>
            </w:r>
            <w:r w:rsidR="00EB6F52">
              <w:rPr>
                <w:rFonts w:hint="cs"/>
                <w:rtl/>
                <w:lang w:eastAsia="en-US"/>
              </w:rPr>
              <w:t>وطلبت</w:t>
            </w:r>
            <w:r w:rsidRPr="00097CE0">
              <w:rPr>
                <w:rtl/>
                <w:lang w:eastAsia="en-US"/>
              </w:rPr>
              <w:t xml:space="preserve"> من الأمانة أن </w:t>
            </w:r>
            <w:r w:rsidR="00AF6144">
              <w:rPr>
                <w:rFonts w:hint="cs"/>
                <w:rtl/>
                <w:lang w:eastAsia="en-US"/>
              </w:rPr>
              <w:t>تدرج هذه المقتر</w:t>
            </w:r>
            <w:r w:rsidR="00EB6F52">
              <w:rPr>
                <w:rFonts w:hint="cs"/>
                <w:rtl/>
                <w:lang w:eastAsia="en-US"/>
              </w:rPr>
              <w:t>حات كجزء</w:t>
            </w:r>
            <w:r w:rsidRPr="00097CE0">
              <w:rPr>
                <w:rtl/>
                <w:lang w:eastAsia="en-US"/>
              </w:rPr>
              <w:t xml:space="preserve"> من وثائق تلك الدورة.</w:t>
            </w:r>
            <w:r w:rsidRPr="00097CE0">
              <w:rPr>
                <w:rFonts w:hint="cs"/>
                <w:rtl/>
                <w:lang w:eastAsia="en-US"/>
              </w:rPr>
              <w:t>" (</w:t>
            </w:r>
            <w:r w:rsidRPr="00097CE0">
              <w:rPr>
                <w:lang w:eastAsia="en-US"/>
              </w:rPr>
              <w:t>WIPO/PBC/24/17</w:t>
            </w:r>
            <w:r w:rsidRPr="00097CE0">
              <w:rPr>
                <w:rFonts w:hint="cs"/>
                <w:rtl/>
                <w:lang w:eastAsia="en-US"/>
              </w:rPr>
              <w:t>)</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EB6F52">
            <w:pPr>
              <w:pStyle w:val="NormalParaAR"/>
              <w:spacing w:after="140"/>
              <w:rPr>
                <w:b/>
                <w:bCs/>
                <w:rtl/>
                <w:lang w:eastAsia="en-US"/>
              </w:rPr>
            </w:pPr>
            <w:r w:rsidRPr="00097CE0">
              <w:rPr>
                <w:rFonts w:hint="cs"/>
                <w:b/>
                <w:bCs/>
                <w:rtl/>
                <w:lang w:eastAsia="en-US"/>
              </w:rPr>
              <w:t>القبول</w:t>
            </w:r>
          </w:p>
        </w:tc>
        <w:tc>
          <w:tcPr>
            <w:tcW w:w="7763" w:type="dxa"/>
            <w:tcBorders>
              <w:top w:val="nil"/>
              <w:bottom w:val="nil"/>
            </w:tcBorders>
          </w:tcPr>
          <w:p w:rsidR="00097CE0" w:rsidRPr="00097CE0" w:rsidRDefault="00097CE0" w:rsidP="00EB6F52">
            <w:pPr>
              <w:pStyle w:val="NormalParaAR"/>
              <w:spacing w:after="60"/>
              <w:rPr>
                <w:rtl/>
                <w:lang w:eastAsia="en-US"/>
              </w:rPr>
            </w:pPr>
            <w:r w:rsidRPr="00097CE0">
              <w:rPr>
                <w:noProof/>
                <w:lang w:val="fr-CH" w:eastAsia="fr-CH"/>
              </w:rPr>
              <mc:AlternateContent>
                <mc:Choice Requires="wps">
                  <w:drawing>
                    <wp:anchor distT="0" distB="0" distL="114300" distR="114300" simplePos="0" relativeHeight="251666432" behindDoc="0" locked="0" layoutInCell="1" allowOverlap="1" wp14:anchorId="2CE3600B" wp14:editId="29E8532D">
                      <wp:simplePos x="0" y="0"/>
                      <wp:positionH relativeFrom="column">
                        <wp:posOffset>1621790</wp:posOffset>
                      </wp:positionH>
                      <wp:positionV relativeFrom="paragraph">
                        <wp:posOffset>163830</wp:posOffset>
                      </wp:positionV>
                      <wp:extent cx="1781175" cy="361315"/>
                      <wp:effectExtent l="0" t="0" r="28575" b="19685"/>
                      <wp:wrapNone/>
                      <wp:docPr id="53" name="Rounded Rectangle 53"/>
                      <wp:cNvGraphicFramePr/>
                      <a:graphic xmlns:a="http://schemas.openxmlformats.org/drawingml/2006/main">
                        <a:graphicData uri="http://schemas.microsoft.com/office/word/2010/wordprocessingShape">
                          <wps:wsp>
                            <wps:cNvSpPr/>
                            <wps:spPr>
                              <a:xfrm>
                                <a:off x="0" y="0"/>
                                <a:ext cx="178117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28" style="position:absolute;left:0;text-align:left;margin-left:127.7pt;margin-top:12.9pt;width:140.25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EB6F52">
        <w:trPr>
          <w:cantSplit/>
        </w:trPr>
        <w:tc>
          <w:tcPr>
            <w:tcW w:w="2246" w:type="dxa"/>
            <w:tcBorders>
              <w:top w:val="nil"/>
              <w:bottom w:val="nil"/>
            </w:tcBorders>
            <w:shd w:val="clear" w:color="auto" w:fill="DBE5F1" w:themeFill="accent1" w:themeFillTint="33"/>
          </w:tcPr>
          <w:p w:rsidR="00097CE0" w:rsidRPr="00097CE0" w:rsidRDefault="00097CE0" w:rsidP="00EB6F52">
            <w:pPr>
              <w:pStyle w:val="NormalParaAR"/>
              <w:spacing w:after="140"/>
              <w:rPr>
                <w:b/>
                <w:bCs/>
                <w:rtl/>
                <w:lang w:eastAsia="en-US"/>
              </w:rPr>
            </w:pPr>
            <w:r w:rsidRPr="00097CE0">
              <w:rPr>
                <w:rFonts w:hint="cs"/>
                <w:b/>
                <w:bCs/>
                <w:rtl/>
                <w:lang w:eastAsia="en-US"/>
              </w:rPr>
              <w:t>التنفيذ</w:t>
            </w:r>
          </w:p>
        </w:tc>
        <w:tc>
          <w:tcPr>
            <w:tcW w:w="7763" w:type="dxa"/>
            <w:tcBorders>
              <w:top w:val="nil"/>
              <w:bottom w:val="nil"/>
            </w:tcBorders>
          </w:tcPr>
          <w:p w:rsidR="00097CE0" w:rsidRPr="00097CE0" w:rsidRDefault="00097CE0" w:rsidP="00EB6F52">
            <w:pPr>
              <w:pStyle w:val="NormalParaAR"/>
              <w:spacing w:after="60"/>
              <w:rPr>
                <w:rtl/>
                <w:lang w:eastAsia="en-US"/>
              </w:rPr>
            </w:pPr>
            <w:r w:rsidRPr="00097CE0">
              <w:rPr>
                <w:rFonts w:hint="cs"/>
                <w:rtl/>
                <w:lang w:eastAsia="en-US"/>
              </w:rPr>
              <w:t>قيد التنفيذ</w:t>
            </w:r>
          </w:p>
        </w:tc>
      </w:tr>
      <w:tr w:rsidR="00097CE0" w:rsidRPr="00097CE0" w:rsidTr="00EB6F52">
        <w:trPr>
          <w:cantSplit/>
        </w:trPr>
        <w:tc>
          <w:tcPr>
            <w:tcW w:w="2246" w:type="dxa"/>
            <w:tcBorders>
              <w:top w:val="nil"/>
            </w:tcBorders>
            <w:shd w:val="clear" w:color="auto" w:fill="DBE5F1" w:themeFill="accent1" w:themeFillTint="33"/>
          </w:tcPr>
          <w:p w:rsidR="00097CE0" w:rsidRPr="00097CE0" w:rsidRDefault="00097CE0" w:rsidP="00EB6F52">
            <w:pPr>
              <w:pStyle w:val="NormalParaAR"/>
              <w:spacing w:after="140"/>
              <w:rPr>
                <w:b/>
                <w:bCs/>
                <w:rtl/>
                <w:lang w:eastAsia="en-US"/>
              </w:rPr>
            </w:pPr>
            <w:r w:rsidRPr="00097CE0">
              <w:rPr>
                <w:rFonts w:hint="cs"/>
                <w:b/>
                <w:bCs/>
                <w:rtl/>
                <w:lang w:eastAsia="en-US"/>
              </w:rPr>
              <w:t>الجهة المسؤولة</w:t>
            </w:r>
          </w:p>
        </w:tc>
        <w:tc>
          <w:tcPr>
            <w:tcW w:w="7763" w:type="dxa"/>
            <w:tcBorders>
              <w:top w:val="nil"/>
            </w:tcBorders>
          </w:tcPr>
          <w:p w:rsidR="00097CE0" w:rsidRPr="00097CE0" w:rsidRDefault="00097CE0" w:rsidP="00EB6F52">
            <w:pPr>
              <w:pStyle w:val="NormalParaAR"/>
              <w:spacing w:after="60"/>
              <w:rPr>
                <w:rtl/>
                <w:lang w:eastAsia="en-US"/>
              </w:rPr>
            </w:pPr>
            <w:r w:rsidRPr="00097CE0">
              <w:rPr>
                <w:rtl/>
                <w:lang w:eastAsia="en-US"/>
              </w:rPr>
              <w:t>مساعد المدير العام</w:t>
            </w:r>
            <w:r w:rsidR="00EB6F52">
              <w:rPr>
                <w:lang w:eastAsia="en-US"/>
              </w:rPr>
              <w:t xml:space="preserve"> </w:t>
            </w:r>
            <w:r w:rsidR="00EB6F52">
              <w:rPr>
                <w:rFonts w:hint="cs"/>
                <w:rtl/>
                <w:lang w:eastAsia="en-US"/>
              </w:rPr>
              <w:t>ل</w:t>
            </w:r>
            <w:r w:rsidRPr="00097CE0">
              <w:rPr>
                <w:rtl/>
                <w:lang w:eastAsia="en-US"/>
              </w:rPr>
              <w:t>قطاع الإدارة والتسيير</w:t>
            </w:r>
            <w:r w:rsidRPr="00097CE0">
              <w:rPr>
                <w:rFonts w:hint="cs"/>
                <w:rtl/>
                <w:lang w:eastAsia="en-US"/>
              </w:rPr>
              <w:t xml:space="preserve"> ورئيس الموظفين</w:t>
            </w:r>
          </w:p>
        </w:tc>
      </w:tr>
    </w:tbl>
    <w:p w:rsidR="00097CE0" w:rsidRPr="00EB6F52" w:rsidRDefault="00097CE0" w:rsidP="00EB6F52">
      <w:pPr>
        <w:bidi/>
        <w:spacing w:line="360" w:lineRule="exact"/>
        <w:rPr>
          <w:rFonts w:ascii="Arabic Typesetting" w:hAnsi="Arabic Typesetting" w:cs="Arabic Typesetting"/>
          <w:sz w:val="36"/>
          <w:szCs w:val="36"/>
          <w:rtl/>
        </w:rPr>
      </w:pPr>
    </w:p>
    <w:tbl>
      <w:tblPr>
        <w:tblStyle w:val="TableGrid1"/>
        <w:bidiVisual/>
        <w:tblW w:w="10009" w:type="dxa"/>
        <w:tblLook w:val="04A0" w:firstRow="1" w:lastRow="0" w:firstColumn="1" w:lastColumn="0" w:noHBand="0" w:noVBand="1"/>
      </w:tblPr>
      <w:tblGrid>
        <w:gridCol w:w="2246"/>
        <w:gridCol w:w="7763"/>
      </w:tblGrid>
      <w:tr w:rsidR="00097CE0" w:rsidRPr="00097CE0" w:rsidTr="00383541">
        <w:tc>
          <w:tcPr>
            <w:tcW w:w="2246" w:type="dxa"/>
            <w:tcBorders>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التوصية 6</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أن تعيد لجنة التنسيق النظر في المبادئ الحالية المتعلقة بالتوزيع الجغرافي بغية ضمان مزيد من التنوع الجغرافي داخل القوى العاملة المهنية في الويبو.</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7763" w:type="dxa"/>
            <w:tcBorders>
              <w:top w:val="nil"/>
              <w:bottom w:val="nil"/>
            </w:tcBorders>
          </w:tcPr>
          <w:p w:rsidR="00097CE0" w:rsidRPr="00097CE0" w:rsidRDefault="00097CE0" w:rsidP="00EB6F52">
            <w:pPr>
              <w:pStyle w:val="NormalParaAR"/>
              <w:rPr>
                <w:rtl/>
                <w:lang w:eastAsia="en-US"/>
              </w:rPr>
            </w:pPr>
            <w:r w:rsidRPr="00097CE0">
              <w:rPr>
                <w:rFonts w:hint="cs"/>
                <w:rtl/>
                <w:lang w:eastAsia="en-US"/>
              </w:rPr>
              <w:t>إن لجنة التنسيق، في اجتماعها السنوي في 12 أكتوبر 2015، قد "</w:t>
            </w:r>
            <w:r w:rsidRPr="00097CE0">
              <w:rPr>
                <w:rtl/>
                <w:lang w:eastAsia="en-US"/>
              </w:rPr>
              <w:t>أحاطت علماً بأن المشاورات ستُعقد تحت إشراف رئيس لجنة الويبو للتنسيق بغية مراجعة مبادئ التمثيل الجغرافي لعام 1975 بهدف تقديم اقتراح إلى لجنة التنسيق خلال جمعيات الدول الأعضاء لعام 2016</w:t>
            </w:r>
            <w:r w:rsidRPr="00097CE0">
              <w:rPr>
                <w:rFonts w:hint="cs"/>
                <w:rtl/>
                <w:lang w:eastAsia="en-US"/>
              </w:rPr>
              <w:t>"</w:t>
            </w:r>
            <w:r w:rsidRPr="00097CE0">
              <w:rPr>
                <w:rtl/>
                <w:lang w:eastAsia="en-US"/>
              </w:rPr>
              <w:t>.</w:t>
            </w:r>
            <w:r w:rsidRPr="00097CE0">
              <w:rPr>
                <w:rFonts w:hint="cs"/>
                <w:rtl/>
                <w:lang w:eastAsia="en-US"/>
              </w:rPr>
              <w:t xml:space="preserve"> ([انظر</w:t>
            </w:r>
            <w:r w:rsidRPr="00097CE0">
              <w:rPr>
                <w:rFonts w:hint="eastAsia"/>
                <w:rtl/>
                <w:lang w:eastAsia="en-US"/>
              </w:rPr>
              <w:t> </w:t>
            </w:r>
            <w:r w:rsidRPr="00097CE0">
              <w:rPr>
                <w:rFonts w:hint="cs"/>
                <w:rtl/>
                <w:lang w:eastAsia="en-US"/>
              </w:rPr>
              <w:t xml:space="preserve">الصفحة 13 من الوثيقة </w:t>
            </w:r>
            <w:r w:rsidRPr="00097CE0">
              <w:rPr>
                <w:lang w:eastAsia="en-US"/>
              </w:rPr>
              <w:t>WO/CC/71/7 PROV.</w:t>
            </w:r>
            <w:r w:rsidRPr="00097CE0">
              <w:rPr>
                <w:rFonts w:hint="cs"/>
                <w:rtl/>
                <w:lang w:eastAsia="en-US"/>
              </w:rPr>
              <w:t xml:space="preserve">). واستهلالاً </w:t>
            </w:r>
            <w:r w:rsidR="00EB6F52">
              <w:rPr>
                <w:rFonts w:hint="cs"/>
                <w:rtl/>
                <w:lang w:eastAsia="en-US"/>
              </w:rPr>
              <w:t>لهذه العملية</w:t>
            </w:r>
            <w:r w:rsidRPr="00097CE0">
              <w:rPr>
                <w:rFonts w:hint="cs"/>
                <w:rtl/>
                <w:lang w:eastAsia="en-US"/>
              </w:rPr>
              <w:t>، عقد</w:t>
            </w:r>
            <w:r w:rsidR="00EB6F52">
              <w:rPr>
                <w:rFonts w:hint="eastAsia"/>
                <w:rtl/>
                <w:lang w:eastAsia="en-US"/>
              </w:rPr>
              <w:t> </w:t>
            </w:r>
            <w:r w:rsidRPr="00097CE0">
              <w:rPr>
                <w:rFonts w:hint="cs"/>
                <w:rtl/>
                <w:lang w:eastAsia="en-US"/>
              </w:rPr>
              <w:t>الرئيس اجتماع</w:t>
            </w:r>
            <w:r w:rsidR="00EB6F52">
              <w:rPr>
                <w:rFonts w:hint="cs"/>
                <w:rtl/>
                <w:lang w:eastAsia="en-US"/>
              </w:rPr>
              <w:t>اً</w:t>
            </w:r>
            <w:r w:rsidRPr="00097CE0">
              <w:rPr>
                <w:rFonts w:hint="cs"/>
                <w:rtl/>
                <w:lang w:eastAsia="en-US"/>
              </w:rPr>
              <w:t xml:space="preserve"> تشاوري</w:t>
            </w:r>
            <w:r w:rsidR="00EB6F52">
              <w:rPr>
                <w:rFonts w:hint="cs"/>
                <w:rtl/>
                <w:lang w:eastAsia="en-US"/>
              </w:rPr>
              <w:t>اً</w:t>
            </w:r>
            <w:r w:rsidRPr="00097CE0">
              <w:rPr>
                <w:rFonts w:hint="cs"/>
                <w:rtl/>
                <w:lang w:eastAsia="en-US"/>
              </w:rPr>
              <w:t xml:space="preserve"> أول مع المنسقين الإقليميين في 28 يناير 2015. وأعدت الأمانة مجموعة من موضوعات المناقشة المقترحة والمعلومات المتعلقة بها لهذا الاجتماع بناء على طلب الرئيس. وعُقد</w:t>
            </w:r>
            <w:r w:rsidR="00EB6F52">
              <w:rPr>
                <w:rFonts w:hint="eastAsia"/>
                <w:rtl/>
                <w:lang w:eastAsia="en-US"/>
              </w:rPr>
              <w:t> </w:t>
            </w:r>
            <w:r w:rsidRPr="00097CE0">
              <w:rPr>
                <w:rFonts w:hint="cs"/>
                <w:rtl/>
                <w:lang w:eastAsia="en-US"/>
              </w:rPr>
              <w:t>اجتماع متابعة في 4 مارس 2016</w:t>
            </w:r>
            <w:r w:rsidR="00EB6F52">
              <w:rPr>
                <w:rFonts w:hint="cs"/>
                <w:rtl/>
                <w:lang w:eastAsia="en-US"/>
              </w:rPr>
              <w:t>،</w:t>
            </w:r>
            <w:r w:rsidRPr="00097CE0">
              <w:rPr>
                <w:rFonts w:hint="cs"/>
                <w:rtl/>
                <w:lang w:eastAsia="en-US"/>
              </w:rPr>
              <w:t xml:space="preserve"> ويزمع عقد اجتماع ثالث في شهر مايو.</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67456" behindDoc="0" locked="0" layoutInCell="1" allowOverlap="1" wp14:anchorId="47328522" wp14:editId="782A3806">
                      <wp:simplePos x="0" y="0"/>
                      <wp:positionH relativeFrom="column">
                        <wp:posOffset>1498013</wp:posOffset>
                      </wp:positionH>
                      <wp:positionV relativeFrom="paragraph">
                        <wp:posOffset>-1270</wp:posOffset>
                      </wp:positionV>
                      <wp:extent cx="1937982" cy="757102"/>
                      <wp:effectExtent l="0" t="0" r="24765" b="24130"/>
                      <wp:wrapNone/>
                      <wp:docPr id="54" name="Rounded Rectangle 54"/>
                      <wp:cNvGraphicFramePr/>
                      <a:graphic xmlns:a="http://schemas.openxmlformats.org/drawingml/2006/main">
                        <a:graphicData uri="http://schemas.microsoft.com/office/word/2010/wordprocessingShape">
                          <wps:wsp>
                            <wps:cNvSpPr/>
                            <wps:spPr>
                              <a:xfrm>
                                <a:off x="0" y="0"/>
                                <a:ext cx="1937982" cy="757102"/>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iCs/>
                                      <w:sz w:val="34"/>
                                      <w:szCs w:val="34"/>
                                      <w:rtl/>
                                    </w:rPr>
                                    <w:t>‏لا يوجد أي تغيير منذ الوضع السابق</w:t>
                                  </w:r>
                                </w:p>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hint="cs"/>
                                      <w:iCs/>
                                      <w:sz w:val="34"/>
                                      <w:szCs w:val="34"/>
                                      <w:rtl/>
                                    </w:rPr>
                                    <w:t>حدِّث التقييم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29" style="position:absolute;left:0;text-align:left;margin-left:117.95pt;margin-top:-.1pt;width:152.6pt;height:5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" fillcolor="window" strokecolor="#8eb4e3" strokeweight="2pt">
                      <v:textbox>
                        <w:txbxContent>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iCs/>
                                <w:sz w:val="34"/>
                                <w:szCs w:val="34"/>
                                <w:rtl/>
                              </w:rPr>
                              <w:t xml:space="preserve">‏لا </w:t>
                            </w:r>
                            <w:r w:rsidRPr="00621087">
                              <w:rPr>
                                <w:rFonts w:ascii="Arabic Typesetting" w:hAnsi="Arabic Typesetting" w:cs="Arabic Typesetting"/>
                                <w:iCs/>
                                <w:sz w:val="34"/>
                                <w:szCs w:val="34"/>
                                <w:rtl/>
                              </w:rPr>
                              <w:t>يوجد أي تغيير منذ الوضع السابق</w:t>
                            </w:r>
                          </w:p>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hint="cs"/>
                                <w:iCs/>
                                <w:sz w:val="34"/>
                                <w:szCs w:val="34"/>
                                <w:rtl/>
                              </w:rPr>
                              <w:t>حدِّث التقييم</w:t>
                            </w:r>
                          </w:p>
                        </w:txbxContent>
                      </v:textbox>
                    </v:roundrect>
                  </w:pict>
                </mc:Fallback>
              </mc:AlternateContent>
            </w:r>
            <w:r w:rsidRPr="00097CE0">
              <w:rPr>
                <w:rFonts w:hint="cs"/>
                <w:rtl/>
                <w:lang w:eastAsia="en-US"/>
              </w:rPr>
              <w:t>قيد النظر</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p>
        </w:tc>
      </w:tr>
      <w:tr w:rsidR="00097CE0" w:rsidRPr="00097CE0" w:rsidTr="00383541">
        <w:tc>
          <w:tcPr>
            <w:tcW w:w="2246" w:type="dxa"/>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7763" w:type="dxa"/>
            <w:tcBorders>
              <w:top w:val="nil"/>
            </w:tcBorders>
          </w:tcPr>
          <w:p w:rsidR="00097CE0" w:rsidRPr="00097CE0" w:rsidRDefault="00097CE0" w:rsidP="00383541">
            <w:pPr>
              <w:pStyle w:val="NormalParaAR"/>
              <w:rPr>
                <w:rtl/>
                <w:lang w:eastAsia="en-US"/>
              </w:rPr>
            </w:pPr>
            <w:r w:rsidRPr="00097CE0">
              <w:rPr>
                <w:rFonts w:hint="cs"/>
                <w:rtl/>
                <w:lang w:eastAsia="en-US"/>
              </w:rPr>
              <w:t>مدير إدارة الموارد البشرية</w:t>
            </w:r>
          </w:p>
        </w:tc>
      </w:tr>
    </w:tbl>
    <w:p w:rsidR="00097CE0" w:rsidRPr="00097CE0" w:rsidRDefault="00097CE0" w:rsidP="000D29A0">
      <w:pPr>
        <w:pStyle w:val="NormalParaAR"/>
        <w:keepNext/>
        <w:spacing w:before="240"/>
        <w:rPr>
          <w:b/>
          <w:bCs/>
          <w:rtl/>
        </w:rPr>
      </w:pPr>
      <w:r w:rsidRPr="00097CE0">
        <w:rPr>
          <w:rFonts w:hint="cs"/>
          <w:b/>
          <w:bCs/>
          <w:rtl/>
        </w:rPr>
        <w:t>ثالثاً.</w:t>
      </w:r>
      <w:r w:rsidRPr="00097CE0">
        <w:rPr>
          <w:b/>
          <w:bCs/>
          <w:rtl/>
        </w:rPr>
        <w:tab/>
        <w:t xml:space="preserve">‏توصيات من الاستعراضات التي أجرتها وحدة التفتيش المشتركة في </w:t>
      </w:r>
      <w:r w:rsidRPr="00097CE0">
        <w:rPr>
          <w:rFonts w:hint="cs"/>
          <w:b/>
          <w:bCs/>
          <w:rtl/>
        </w:rPr>
        <w:t>عام 2012</w:t>
      </w:r>
    </w:p>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68480" behindDoc="0" locked="0" layoutInCell="1" allowOverlap="1" wp14:anchorId="3B18A6BB" wp14:editId="3BC11678">
            <wp:simplePos x="0" y="0"/>
            <wp:positionH relativeFrom="column">
              <wp:posOffset>1983579</wp:posOffset>
            </wp:positionH>
            <wp:positionV relativeFrom="paragraph">
              <wp:posOffset>20955</wp:posOffset>
            </wp:positionV>
            <wp:extent cx="356870" cy="238125"/>
            <wp:effectExtent l="0" t="0" r="5080" b="9525"/>
            <wp:wrapNone/>
            <wp:docPr id="12" name="Picture 1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JIU/REP/2012/12</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التخطيط الاستراتيجي</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في منظومة الأمم المتحدة</w:t>
      </w:r>
      <w:r w:rsidRPr="00097CE0">
        <w:rPr>
          <w:rFonts w:ascii="Arabic Typesetting" w:hAnsi="Arabic Typesetting" w:cs="Arabic Typesetting" w:hint="cs"/>
          <w:sz w:val="36"/>
          <w:szCs w:val="36"/>
          <w:rtl/>
        </w:rPr>
        <w:t>"</w:t>
      </w:r>
    </w:p>
    <w:tbl>
      <w:tblPr>
        <w:tblStyle w:val="TableGrid1"/>
        <w:bidiVisual/>
        <w:tblW w:w="10009" w:type="dxa"/>
        <w:tblLook w:val="04A0" w:firstRow="1" w:lastRow="0" w:firstColumn="1" w:lastColumn="0" w:noHBand="0" w:noVBand="1"/>
      </w:tblPr>
      <w:tblGrid>
        <w:gridCol w:w="2246"/>
        <w:gridCol w:w="7763"/>
      </w:tblGrid>
      <w:tr w:rsidR="00097CE0" w:rsidRPr="00097CE0" w:rsidTr="00383541">
        <w:tc>
          <w:tcPr>
            <w:tcW w:w="2246" w:type="dxa"/>
            <w:tcBorders>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التوصية 4</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أن تعمل الهيئات التشريعية في مؤسسات منظومة الأمم المتحدة على صياغة وتحديد أطر استراتيجية قطاعية ذات صلة على نطاق المنظومة عن طريق المجلس الاقتصادي والاجتماعي لتحقيق الأهداف الطويلة الأجل التي حُددت في الوثيقة الختامية لمؤتمر القمة العالمي لعام 2005، واعتمدتها الجمعية العامة في قرارها 60/1، فضلاً عن الأهداف التي ترسمها بعثات وولايات مؤسسات المنظومة نتيجة للمؤتمرات العالمية.</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تقييم الإدارة/الجهة المنسقة</w:t>
            </w:r>
          </w:p>
        </w:tc>
        <w:tc>
          <w:tcPr>
            <w:tcW w:w="7763" w:type="dxa"/>
            <w:tcBorders>
              <w:top w:val="nil"/>
              <w:bottom w:val="nil"/>
            </w:tcBorders>
          </w:tcPr>
          <w:p w:rsidR="00097CE0" w:rsidRPr="00097CE0" w:rsidRDefault="00EB6F52" w:rsidP="00EB6F52">
            <w:pPr>
              <w:pStyle w:val="NormalParaAR"/>
              <w:rPr>
                <w:rtl/>
                <w:lang w:eastAsia="en-US"/>
              </w:rPr>
            </w:pPr>
            <w:r>
              <w:rPr>
                <w:rFonts w:hint="cs"/>
                <w:rtl/>
                <w:lang w:eastAsia="en-US"/>
              </w:rPr>
              <w:t xml:space="preserve">تتجلى </w:t>
            </w:r>
            <w:r w:rsidR="00097CE0" w:rsidRPr="00097CE0">
              <w:rPr>
                <w:rFonts w:hint="cs"/>
                <w:rtl/>
                <w:lang w:eastAsia="en-US"/>
              </w:rPr>
              <w:t>الأهداف</w:t>
            </w:r>
            <w:r>
              <w:rPr>
                <w:rFonts w:hint="cs"/>
                <w:rtl/>
                <w:lang w:eastAsia="en-US"/>
              </w:rPr>
              <w:t xml:space="preserve"> المشتركة لمنظومة الأمم المتحدة</w:t>
            </w:r>
            <w:r w:rsidR="00097CE0" w:rsidRPr="00097CE0">
              <w:rPr>
                <w:rFonts w:hint="cs"/>
                <w:rtl/>
                <w:lang w:eastAsia="en-US"/>
              </w:rPr>
              <w:t xml:space="preserve"> في برنامج التنمية المستدامة لعام 2030 أي في أهداف التنمية المستدامة السبعة عشر التي ترسي إطاراً لإعداد الخطط الاستراتيجية</w:t>
            </w:r>
            <w:r>
              <w:rPr>
                <w:rFonts w:hint="cs"/>
                <w:rtl/>
                <w:lang w:eastAsia="en-US"/>
              </w:rPr>
              <w:t xml:space="preserve"> في شتى مؤسسات منظومة الأمم المتحدة.</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69504" behindDoc="0" locked="0" layoutInCell="1" allowOverlap="1" wp14:anchorId="12FEA51A" wp14:editId="4E10831A">
                      <wp:simplePos x="0" y="0"/>
                      <wp:positionH relativeFrom="column">
                        <wp:posOffset>1522938</wp:posOffset>
                      </wp:positionH>
                      <wp:positionV relativeFrom="paragraph">
                        <wp:posOffset>125095</wp:posOffset>
                      </wp:positionV>
                      <wp:extent cx="1781175" cy="361315"/>
                      <wp:effectExtent l="0" t="0" r="28575" b="19685"/>
                      <wp:wrapNone/>
                      <wp:docPr id="56" name="Rounded Rectangle 56"/>
                      <wp:cNvGraphicFramePr/>
                      <a:graphic xmlns:a="http://schemas.openxmlformats.org/drawingml/2006/main">
                        <a:graphicData uri="http://schemas.microsoft.com/office/word/2010/wordprocessingShape">
                          <wps:wsp>
                            <wps:cNvSpPr/>
                            <wps:spPr>
                              <a:xfrm>
                                <a:off x="0" y="0"/>
                                <a:ext cx="178117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6" o:spid="_x0000_s1030" style="position:absolute;left:0;text-align:left;margin-left:119.9pt;margin-top:9.85pt;width:140.25pt;height:2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383541">
        <w:tc>
          <w:tcPr>
            <w:tcW w:w="2246" w:type="dxa"/>
            <w:tcBorders>
              <w:top w:val="nil"/>
              <w:bottom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نف</w:t>
            </w:r>
            <w:r w:rsidR="00EB6F52">
              <w:rPr>
                <w:rFonts w:hint="cs"/>
                <w:rtl/>
                <w:lang w:eastAsia="en-US"/>
              </w:rPr>
              <w:t>ِّ</w:t>
            </w:r>
            <w:r w:rsidRPr="00097CE0">
              <w:rPr>
                <w:rFonts w:hint="cs"/>
                <w:rtl/>
                <w:lang w:eastAsia="en-US"/>
              </w:rPr>
              <w:t>ذت</w:t>
            </w:r>
          </w:p>
        </w:tc>
      </w:tr>
      <w:tr w:rsidR="00097CE0" w:rsidRPr="00097CE0" w:rsidTr="00383541">
        <w:tc>
          <w:tcPr>
            <w:tcW w:w="2246" w:type="dxa"/>
            <w:tcBorders>
              <w:top w:val="nil"/>
            </w:tcBorders>
            <w:shd w:val="clear" w:color="auto" w:fill="DBE5F1" w:themeFill="accent1" w:themeFillTint="33"/>
          </w:tcPr>
          <w:p w:rsidR="00097CE0" w:rsidRPr="00097CE0" w:rsidRDefault="00097CE0" w:rsidP="00383541">
            <w:pPr>
              <w:pStyle w:val="NormalParaAR"/>
              <w:rPr>
                <w:b/>
                <w:bCs/>
                <w:rtl/>
                <w:lang w:eastAsia="en-US"/>
              </w:rPr>
            </w:pPr>
            <w:r w:rsidRPr="00097CE0">
              <w:rPr>
                <w:rFonts w:hint="cs"/>
                <w:b/>
                <w:bCs/>
                <w:rtl/>
                <w:lang w:eastAsia="en-US"/>
              </w:rPr>
              <w:t>الجهة المسؤولة</w:t>
            </w:r>
          </w:p>
        </w:tc>
        <w:tc>
          <w:tcPr>
            <w:tcW w:w="7763" w:type="dxa"/>
            <w:tcBorders>
              <w:top w:val="nil"/>
            </w:tcBorders>
          </w:tcPr>
          <w:p w:rsidR="00097CE0" w:rsidRPr="00097CE0" w:rsidRDefault="00097CE0" w:rsidP="00EB6F52">
            <w:pPr>
              <w:pStyle w:val="NormalParaAR"/>
              <w:rPr>
                <w:rtl/>
                <w:lang w:eastAsia="en-US"/>
              </w:rPr>
            </w:pPr>
            <w:r w:rsidRPr="00097CE0">
              <w:rPr>
                <w:rtl/>
                <w:lang w:eastAsia="en-US"/>
              </w:rPr>
              <w:t>‏مدير تخطيط البرامج والشؤون المالية (المراقب المالي)</w:t>
            </w:r>
          </w:p>
        </w:tc>
      </w:tr>
    </w:tbl>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lastRenderedPageBreak/>
        <w:drawing>
          <wp:anchor distT="0" distB="0" distL="114300" distR="114300" simplePos="0" relativeHeight="251670528" behindDoc="0" locked="0" layoutInCell="1" allowOverlap="1" wp14:anchorId="7B2C5559" wp14:editId="6ED33A4E">
            <wp:simplePos x="0" y="0"/>
            <wp:positionH relativeFrom="column">
              <wp:posOffset>1413349</wp:posOffset>
            </wp:positionH>
            <wp:positionV relativeFrom="paragraph">
              <wp:posOffset>31115</wp:posOffset>
            </wp:positionV>
            <wp:extent cx="356870" cy="238125"/>
            <wp:effectExtent l="0" t="0" r="5080" b="9525"/>
            <wp:wrapNone/>
            <wp:docPr id="14" name="Picture 14">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JIU/REP/2012/9</w:t>
      </w:r>
      <w:r w:rsidRPr="00097CE0">
        <w:rPr>
          <w:rFonts w:ascii="Arabic Typesetting" w:hAnsi="Arabic Typesetting" w:cs="Arabic Typesetting" w:hint="cs"/>
          <w:sz w:val="36"/>
          <w:szCs w:val="36"/>
          <w:rtl/>
        </w:rPr>
        <w:t xml:space="preserve"> "اللجوء إلى دفع المبلغ الإجمالي المقطوع بدلاً من الاستحقاقات"</w:t>
      </w:r>
    </w:p>
    <w:tbl>
      <w:tblPr>
        <w:tblStyle w:val="TableGrid1"/>
        <w:bidiVisual/>
        <w:tblW w:w="10009" w:type="dxa"/>
        <w:tblLook w:val="04A0" w:firstRow="1" w:lastRow="0" w:firstColumn="1" w:lastColumn="0" w:noHBand="0" w:noVBand="1"/>
      </w:tblPr>
      <w:tblGrid>
        <w:gridCol w:w="2246"/>
        <w:gridCol w:w="7763"/>
      </w:tblGrid>
      <w:tr w:rsidR="00097CE0" w:rsidRPr="00097CE0" w:rsidTr="000D29A0">
        <w:trPr>
          <w:cantSplit/>
        </w:trPr>
        <w:tc>
          <w:tcPr>
            <w:tcW w:w="2246" w:type="dxa"/>
            <w:tcBorders>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التوصية 3</w:t>
            </w:r>
          </w:p>
        </w:tc>
        <w:tc>
          <w:tcPr>
            <w:tcW w:w="7763" w:type="dxa"/>
            <w:tcBorders>
              <w:bottom w:val="nil"/>
            </w:tcBorders>
          </w:tcPr>
          <w:p w:rsidR="00097CE0" w:rsidRPr="00097CE0" w:rsidRDefault="00097CE0" w:rsidP="00097CE0">
            <w:pPr>
              <w:pStyle w:val="NormalParaAR"/>
              <w:rPr>
                <w:rtl/>
                <w:lang w:eastAsia="en-US"/>
              </w:rPr>
            </w:pPr>
            <w:r w:rsidRPr="00097CE0">
              <w:rPr>
                <w:rtl/>
                <w:lang w:eastAsia="en-US"/>
              </w:rPr>
              <w:t>ينبغي أن تطلب الهيئات التشريعية/مجالس الإدارة في مؤسسات منظومة الأمم المتحدة إلى رؤسائها التنفيذيين، إن لم يسبق لهم أن فعلوا ذلك، تعليق دفع بدل الإقامة اليومي الإضافي (بنسبة 15 أو 40 بالمائة) إلى المسؤولين الذين يسافرون على حساب ميزانيات المؤسسات.</w:t>
            </w:r>
          </w:p>
        </w:tc>
      </w:tr>
      <w:tr w:rsidR="00097CE0" w:rsidRPr="00097CE0" w:rsidTr="000D29A0">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تقييم الإدارة/الجهة المنسقة</w:t>
            </w:r>
          </w:p>
        </w:tc>
        <w:tc>
          <w:tcPr>
            <w:tcW w:w="7763" w:type="dxa"/>
            <w:tcBorders>
              <w:top w:val="nil"/>
              <w:bottom w:val="nil"/>
            </w:tcBorders>
          </w:tcPr>
          <w:p w:rsidR="00097CE0" w:rsidRPr="00097CE0" w:rsidRDefault="00097CE0" w:rsidP="00097CE0">
            <w:pPr>
              <w:pStyle w:val="NormalParaAR"/>
              <w:rPr>
                <w:rtl/>
                <w:lang w:eastAsia="en-US"/>
              </w:rPr>
            </w:pPr>
            <w:r w:rsidRPr="00097CE0">
              <w:rPr>
                <w:noProof/>
                <w:lang w:val="fr-CH" w:eastAsia="fr-CH"/>
              </w:rPr>
              <mc:AlternateContent>
                <mc:Choice Requires="wps">
                  <w:drawing>
                    <wp:anchor distT="0" distB="0" distL="114300" distR="114300" simplePos="0" relativeHeight="251671552" behindDoc="0" locked="0" layoutInCell="1" allowOverlap="1" wp14:anchorId="7D572B24" wp14:editId="141F0602">
                      <wp:simplePos x="0" y="0"/>
                      <wp:positionH relativeFrom="column">
                        <wp:posOffset>1291827</wp:posOffset>
                      </wp:positionH>
                      <wp:positionV relativeFrom="paragraph">
                        <wp:posOffset>603885</wp:posOffset>
                      </wp:positionV>
                      <wp:extent cx="1937385" cy="756920"/>
                      <wp:effectExtent l="0" t="0" r="24765" b="24130"/>
                      <wp:wrapNone/>
                      <wp:docPr id="60" name="Rounded Rectangle 60"/>
                      <wp:cNvGraphicFramePr/>
                      <a:graphic xmlns:a="http://schemas.openxmlformats.org/drawingml/2006/main">
                        <a:graphicData uri="http://schemas.microsoft.com/office/word/2010/wordprocessingShape">
                          <wps:wsp>
                            <wps:cNvSpPr/>
                            <wps:spPr>
                              <a:xfrm>
                                <a:off x="0" y="0"/>
                                <a:ext cx="1937385" cy="756920"/>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iCs/>
                                      <w:sz w:val="34"/>
                                      <w:szCs w:val="34"/>
                                      <w:rtl/>
                                    </w:rPr>
                                    <w:t>‏لا يوجد أي تغيير منذ الوضع السابق</w:t>
                                  </w:r>
                                </w:p>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hint="cs"/>
                                      <w:iCs/>
                                      <w:sz w:val="34"/>
                                      <w:szCs w:val="34"/>
                                      <w:rtl/>
                                    </w:rPr>
                                    <w:t>حدِّث التقييم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0" o:spid="_x0000_s1031" style="position:absolute;left:0;text-align:left;margin-left:101.7pt;margin-top:47.55pt;width:152.55pt;height:5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" fillcolor="window" strokecolor="#8eb4e3" strokeweight="2pt">
                      <v:textbox>
                        <w:txbxContent>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iCs/>
                                <w:sz w:val="34"/>
                                <w:szCs w:val="34"/>
                                <w:rtl/>
                              </w:rPr>
                              <w:t>‏لا يوجد أي تغيير منذ الوضع السابق</w:t>
                            </w:r>
                          </w:p>
                          <w:p w:rsidR="001705D0" w:rsidRPr="00621087" w:rsidRDefault="001705D0" w:rsidP="00097CE0">
                            <w:pPr>
                              <w:bidi/>
                              <w:jc w:val="center"/>
                              <w:rPr>
                                <w:rFonts w:ascii="Arabic Typesetting" w:hAnsi="Arabic Typesetting" w:cs="Arabic Typesetting"/>
                                <w:iCs/>
                                <w:sz w:val="34"/>
                                <w:szCs w:val="34"/>
                                <w:rtl/>
                              </w:rPr>
                            </w:pPr>
                            <w:r w:rsidRPr="00621087">
                              <w:rPr>
                                <w:rFonts w:ascii="Arabic Typesetting" w:hAnsi="Arabic Typesetting" w:cs="Arabic Typesetting" w:hint="cs"/>
                                <w:iCs/>
                                <w:sz w:val="34"/>
                                <w:szCs w:val="34"/>
                                <w:rtl/>
                              </w:rPr>
                              <w:t>حدِّث التقييم</w:t>
                            </w:r>
                          </w:p>
                        </w:txbxContent>
                      </v:textbox>
                    </v:roundrect>
                  </w:pict>
                </mc:Fallback>
              </mc:AlternateContent>
            </w:r>
            <w:r w:rsidRPr="00097CE0">
              <w:rPr>
                <w:rFonts w:hint="cs"/>
                <w:rtl/>
                <w:lang w:eastAsia="en-US"/>
              </w:rPr>
              <w:t>سعياً إلى وضع سياسة متسقة عامة بشأن الأسفار، سيُنظر في هذه التوصية مع مراعاة نتائج عملية استعراض وحدة التفتيش المشتركة لسياسات الأسفار في منظومة الأمم المتحدة.</w:t>
            </w:r>
          </w:p>
        </w:tc>
      </w:tr>
      <w:tr w:rsidR="00097CE0" w:rsidRPr="00097CE0" w:rsidTr="000D29A0">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القبول</w:t>
            </w:r>
          </w:p>
        </w:tc>
        <w:tc>
          <w:tcPr>
            <w:tcW w:w="7763" w:type="dxa"/>
            <w:tcBorders>
              <w:top w:val="nil"/>
              <w:bottom w:val="nil"/>
            </w:tcBorders>
          </w:tcPr>
          <w:p w:rsidR="00097CE0" w:rsidRPr="00097CE0" w:rsidRDefault="00097CE0" w:rsidP="00097CE0">
            <w:pPr>
              <w:pStyle w:val="NormalParaAR"/>
              <w:rPr>
                <w:rtl/>
                <w:lang w:eastAsia="en-US"/>
              </w:rPr>
            </w:pPr>
            <w:r w:rsidRPr="00097CE0">
              <w:rPr>
                <w:rFonts w:hint="cs"/>
                <w:rtl/>
                <w:lang w:eastAsia="en-US"/>
              </w:rPr>
              <w:t>قيد النظر</w:t>
            </w:r>
          </w:p>
        </w:tc>
      </w:tr>
      <w:tr w:rsidR="00097CE0" w:rsidRPr="00097CE0" w:rsidTr="000D29A0">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التنفيذ</w:t>
            </w:r>
          </w:p>
        </w:tc>
        <w:tc>
          <w:tcPr>
            <w:tcW w:w="7763" w:type="dxa"/>
            <w:tcBorders>
              <w:top w:val="nil"/>
              <w:bottom w:val="nil"/>
            </w:tcBorders>
          </w:tcPr>
          <w:p w:rsidR="00097CE0" w:rsidRPr="00097CE0" w:rsidRDefault="00097CE0" w:rsidP="00097CE0">
            <w:pPr>
              <w:pStyle w:val="NormalParaAR"/>
              <w:rPr>
                <w:rtl/>
                <w:lang w:eastAsia="en-US"/>
              </w:rPr>
            </w:pPr>
          </w:p>
        </w:tc>
      </w:tr>
      <w:tr w:rsidR="00097CE0" w:rsidRPr="00097CE0" w:rsidTr="000D29A0">
        <w:trPr>
          <w:cantSplit/>
        </w:trPr>
        <w:tc>
          <w:tcPr>
            <w:tcW w:w="2246" w:type="dxa"/>
            <w:tcBorders>
              <w:top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الجهة المسؤولة</w:t>
            </w:r>
          </w:p>
        </w:tc>
        <w:tc>
          <w:tcPr>
            <w:tcW w:w="7763" w:type="dxa"/>
            <w:tcBorders>
              <w:top w:val="nil"/>
            </w:tcBorders>
          </w:tcPr>
          <w:p w:rsidR="00097CE0" w:rsidRPr="00097CE0" w:rsidRDefault="00097CE0" w:rsidP="00097CE0">
            <w:pPr>
              <w:pStyle w:val="NormalParaAR"/>
              <w:rPr>
                <w:rtl/>
                <w:lang w:eastAsia="en-US"/>
              </w:rPr>
            </w:pPr>
            <w:r w:rsidRPr="00097CE0">
              <w:rPr>
                <w:rtl/>
                <w:lang w:eastAsia="en-US"/>
              </w:rPr>
              <w:t>مدير شعبة المشتريات والسفر</w:t>
            </w:r>
          </w:p>
        </w:tc>
      </w:tr>
    </w:tbl>
    <w:p w:rsidR="00097CE0" w:rsidRPr="00097CE0" w:rsidRDefault="00097CE0" w:rsidP="000D29A0">
      <w:pPr>
        <w:pStyle w:val="NormalParaAR"/>
        <w:keepNext/>
        <w:spacing w:before="240"/>
        <w:rPr>
          <w:b/>
          <w:bCs/>
          <w:rtl/>
        </w:rPr>
      </w:pPr>
      <w:r w:rsidRPr="00097CE0">
        <w:rPr>
          <w:rFonts w:hint="cs"/>
          <w:b/>
          <w:bCs/>
          <w:rtl/>
        </w:rPr>
        <w:t>رابعاً.</w:t>
      </w:r>
      <w:r w:rsidRPr="00097CE0">
        <w:rPr>
          <w:b/>
          <w:bCs/>
          <w:rtl/>
        </w:rPr>
        <w:tab/>
        <w:t xml:space="preserve">‏توصيات من الاستعراضات التي أجرتها وحدة التفتيش المشتركة في </w:t>
      </w:r>
      <w:r w:rsidRPr="00097CE0">
        <w:rPr>
          <w:rFonts w:hint="cs"/>
          <w:b/>
          <w:bCs/>
          <w:rtl/>
        </w:rPr>
        <w:t>عام 2011</w:t>
      </w:r>
    </w:p>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72576" behindDoc="0" locked="0" layoutInCell="1" allowOverlap="1" wp14:anchorId="15E0F695" wp14:editId="726061B5">
            <wp:simplePos x="0" y="0"/>
            <wp:positionH relativeFrom="column">
              <wp:posOffset>928531</wp:posOffset>
            </wp:positionH>
            <wp:positionV relativeFrom="paragraph">
              <wp:posOffset>20955</wp:posOffset>
            </wp:positionV>
            <wp:extent cx="356870" cy="238125"/>
            <wp:effectExtent l="0" t="0" r="5080" b="9525"/>
            <wp:wrapNone/>
            <wp:docPr id="15" name="Picture 1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JIU/REP/2011/3</w:t>
      </w:r>
      <w:r w:rsidRPr="00097CE0">
        <w:rPr>
          <w:rFonts w:ascii="Arabic Typesetting" w:hAnsi="Arabic Typesetting" w:cs="Arabic Typesetting" w:hint="cs"/>
          <w:sz w:val="36"/>
          <w:szCs w:val="36"/>
          <w:rtl/>
        </w:rPr>
        <w:t xml:space="preserve"> "التعاون فيما بين بلدان الجنوب والتعاون الثلاثي في منظومة الأمم المتحدة"</w:t>
      </w:r>
    </w:p>
    <w:tbl>
      <w:tblPr>
        <w:tblStyle w:val="TableGrid1"/>
        <w:bidiVisual/>
        <w:tblW w:w="10009" w:type="dxa"/>
        <w:tblLook w:val="04A0" w:firstRow="1" w:lastRow="0" w:firstColumn="1" w:lastColumn="0" w:noHBand="0" w:noVBand="1"/>
      </w:tblPr>
      <w:tblGrid>
        <w:gridCol w:w="2246"/>
        <w:gridCol w:w="7763"/>
      </w:tblGrid>
      <w:tr w:rsidR="00097CE0" w:rsidRPr="00097CE0" w:rsidTr="00383541">
        <w:tc>
          <w:tcPr>
            <w:tcW w:w="2246" w:type="dxa"/>
            <w:tcBorders>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التوصية 3</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للهيئات التشريعية لمؤسسات منظومة الأمم المتحدة أن تطلب إلى الرؤساء التنفيذيين إنشاء هياكل وآليات ومراكز اتصال محددة ومخصصة، تكلف بوضع سياسة مؤسسية واستراتيجية دعم خاصتين بكل وكالة، وضمان التنسيق بشأن التعاون فيما بين بلدان الجنوب والتعاون الثلاثي داخل منظمات كل منهم وبين الوكالات، من خلال إعادة توزيع ما يلزم من الموظفين والموارد لهذا الغرض، حسب الاقتضاء.</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تقييم الإدارة/الجهة المنسقة</w:t>
            </w:r>
          </w:p>
        </w:tc>
        <w:tc>
          <w:tcPr>
            <w:tcW w:w="7763" w:type="dxa"/>
            <w:tcBorders>
              <w:top w:val="nil"/>
              <w:bottom w:val="nil"/>
            </w:tcBorders>
          </w:tcPr>
          <w:p w:rsidR="00097CE0" w:rsidRPr="00097CE0" w:rsidRDefault="00097CE0" w:rsidP="001E01FC">
            <w:pPr>
              <w:pStyle w:val="NormalParaAR"/>
              <w:rPr>
                <w:rtl/>
                <w:lang w:eastAsia="en-US"/>
              </w:rPr>
            </w:pPr>
            <w:r w:rsidRPr="00097CE0">
              <w:rPr>
                <w:rFonts w:hint="cs"/>
                <w:rtl/>
                <w:lang w:eastAsia="en-US"/>
              </w:rPr>
              <w:t xml:space="preserve">أنشأت الويبو وحدة مخصصة تتولى دور جهة التنسيق في إطار قطاع التنمية لتيسير التعاون فيما بين بلدان الجنوب </w:t>
            </w:r>
            <w:r w:rsidR="001E01FC">
              <w:rPr>
                <w:rFonts w:hint="cs"/>
                <w:rtl/>
                <w:lang w:eastAsia="en-US"/>
              </w:rPr>
              <w:t>من</w:t>
            </w:r>
            <w:r w:rsidRPr="00097CE0">
              <w:rPr>
                <w:rFonts w:hint="cs"/>
                <w:rtl/>
                <w:lang w:eastAsia="en-US"/>
              </w:rPr>
              <w:t xml:space="preserve"> البلدان النامية. </w:t>
            </w:r>
            <w:r w:rsidR="001E01FC">
              <w:rPr>
                <w:rFonts w:hint="cs"/>
                <w:rtl/>
                <w:lang w:eastAsia="en-US"/>
              </w:rPr>
              <w:t>ويتولى</w:t>
            </w:r>
            <w:r w:rsidRPr="00097CE0">
              <w:rPr>
                <w:rFonts w:hint="cs"/>
                <w:rtl/>
                <w:lang w:eastAsia="en-US"/>
              </w:rPr>
              <w:t xml:space="preserve"> القسم</w:t>
            </w:r>
            <w:r w:rsidR="001E01FC">
              <w:rPr>
                <w:rFonts w:hint="cs"/>
                <w:rtl/>
                <w:lang w:eastAsia="en-US"/>
              </w:rPr>
              <w:t xml:space="preserve"> ضمان الاتساق في</w:t>
            </w:r>
            <w:r w:rsidRPr="00097CE0">
              <w:rPr>
                <w:rFonts w:hint="cs"/>
                <w:rtl/>
                <w:lang w:eastAsia="en-US"/>
              </w:rPr>
              <w:t xml:space="preserve"> تخطيط أنشطة</w:t>
            </w:r>
            <w:r w:rsidR="001E01FC">
              <w:rPr>
                <w:rFonts w:hint="cs"/>
                <w:rtl/>
                <w:lang w:eastAsia="en-US"/>
              </w:rPr>
              <w:t xml:space="preserve"> التعاون</w:t>
            </w:r>
            <w:r w:rsidRPr="00097CE0">
              <w:rPr>
                <w:rFonts w:hint="cs"/>
                <w:rtl/>
                <w:lang w:eastAsia="en-US"/>
              </w:rPr>
              <w:t xml:space="preserve"> فيما بين بلدان الجنوب وإعداد التقارير بشأنها على المستوى التنظيمي و</w:t>
            </w:r>
            <w:r w:rsidR="001E01FC">
              <w:rPr>
                <w:rFonts w:hint="cs"/>
                <w:rtl/>
                <w:lang w:eastAsia="en-US"/>
              </w:rPr>
              <w:t>إقامة</w:t>
            </w:r>
            <w:r w:rsidRPr="00097CE0">
              <w:rPr>
                <w:rFonts w:hint="cs"/>
                <w:rtl/>
                <w:lang w:eastAsia="en-US"/>
              </w:rPr>
              <w:t xml:space="preserve"> صلة مع جميع أصحاب المصلحة المعنيين داخلياً وخارجياً.</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73600" behindDoc="0" locked="0" layoutInCell="1" allowOverlap="1" wp14:anchorId="5AC70D78" wp14:editId="215C9BC6">
                      <wp:simplePos x="0" y="0"/>
                      <wp:positionH relativeFrom="column">
                        <wp:posOffset>1182910</wp:posOffset>
                      </wp:positionH>
                      <wp:positionV relativeFrom="paragraph">
                        <wp:posOffset>151765</wp:posOffset>
                      </wp:positionV>
                      <wp:extent cx="1957857" cy="361315"/>
                      <wp:effectExtent l="0" t="0" r="23495" b="19685"/>
                      <wp:wrapNone/>
                      <wp:docPr id="63" name="Rounded Rectangle 63"/>
                      <wp:cNvGraphicFramePr/>
                      <a:graphic xmlns:a="http://schemas.openxmlformats.org/drawingml/2006/main">
                        <a:graphicData uri="http://schemas.microsoft.com/office/word/2010/wordprocessingShape">
                          <wps:wsp>
                            <wps:cNvSpPr/>
                            <wps:spPr>
                              <a:xfrm>
                                <a:off x="0" y="0"/>
                                <a:ext cx="1957857"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3" o:spid="_x0000_s1032" style="position:absolute;left:0;text-align:left;margin-left:93.15pt;margin-top:11.95pt;width:154.15pt;height:28.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نفِّذت</w:t>
            </w:r>
          </w:p>
        </w:tc>
      </w:tr>
      <w:tr w:rsidR="00097CE0" w:rsidRPr="00097CE0" w:rsidTr="00383541">
        <w:tc>
          <w:tcPr>
            <w:tcW w:w="2246" w:type="dxa"/>
            <w:tcBorders>
              <w:top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الجهة المسؤولة</w:t>
            </w:r>
          </w:p>
        </w:tc>
        <w:tc>
          <w:tcPr>
            <w:tcW w:w="7763" w:type="dxa"/>
            <w:tcBorders>
              <w:top w:val="nil"/>
            </w:tcBorders>
          </w:tcPr>
          <w:p w:rsidR="00097CE0" w:rsidRPr="00097CE0" w:rsidRDefault="00097CE0" w:rsidP="001E01FC">
            <w:pPr>
              <w:pStyle w:val="NormalParaAR"/>
              <w:rPr>
                <w:rtl/>
                <w:lang w:eastAsia="en-US"/>
              </w:rPr>
            </w:pPr>
            <w:r w:rsidRPr="00097CE0">
              <w:rPr>
                <w:rtl/>
                <w:lang w:eastAsia="en-US"/>
              </w:rPr>
              <w:t>نائب المدير العام</w:t>
            </w:r>
            <w:r w:rsidR="001E01FC">
              <w:rPr>
                <w:rFonts w:hint="cs"/>
                <w:rtl/>
                <w:lang w:eastAsia="en-US"/>
              </w:rPr>
              <w:t xml:space="preserve"> ل</w:t>
            </w:r>
            <w:r w:rsidRPr="00097CE0">
              <w:rPr>
                <w:rtl/>
                <w:lang w:eastAsia="en-US"/>
              </w:rPr>
              <w:t>قطاع التنمية</w:t>
            </w:r>
          </w:p>
        </w:tc>
      </w:tr>
    </w:tbl>
    <w:p w:rsidR="00097CE0" w:rsidRPr="00097CE0" w:rsidRDefault="00097CE0" w:rsidP="00097CE0">
      <w:pPr>
        <w:bidi/>
        <w:spacing w:after="240" w:line="360" w:lineRule="exact"/>
        <w:rPr>
          <w:rFonts w:ascii="Arabic Typesetting" w:hAnsi="Arabic Typesetting" w:cs="Arabic Typesetting"/>
          <w:sz w:val="36"/>
          <w:szCs w:val="36"/>
          <w:rtl/>
        </w:rPr>
      </w:pPr>
    </w:p>
    <w:tbl>
      <w:tblPr>
        <w:tblStyle w:val="TableGrid1"/>
        <w:bidiVisual/>
        <w:tblW w:w="10009" w:type="dxa"/>
        <w:tblLook w:val="04A0" w:firstRow="1" w:lastRow="0" w:firstColumn="1" w:lastColumn="0" w:noHBand="0" w:noVBand="1"/>
      </w:tblPr>
      <w:tblGrid>
        <w:gridCol w:w="2246"/>
        <w:gridCol w:w="7763"/>
      </w:tblGrid>
      <w:tr w:rsidR="00097CE0" w:rsidRPr="00097CE0" w:rsidTr="00383541">
        <w:trPr>
          <w:cantSplit/>
        </w:trPr>
        <w:tc>
          <w:tcPr>
            <w:tcW w:w="2246" w:type="dxa"/>
            <w:tcBorders>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lastRenderedPageBreak/>
              <w:t>التوصية 9</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للهيئات التشريعية لمؤسسات منظومة الأمم المتحدة أن تطلب إلى الرؤساء التنفيذيين تخصيص نسبة معينة - لا تقل عن 0,5 بالمائة - من موارد الميزانية الأساسية من أجل تعزيز التعاون بين بلدان الجنوب في مجالات اختصاص كل منهم، وذلك بالتشاور مع البلدان المستفيدة من البرامج؛ والاتفاق مع الدول المانحة لاستخدام جزء محدد من الموارد الخارجة عن الميزانية لتمويل مبادرات التعاون بين بلدان الجنوب والتعاون الثلاثي.</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تقييم الإدارة/الجهة المنسقة</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(أ) خصصت موارد الميزانية العادية لتوطيد التعاون فيما بين بلدان الجنوب في إطار تكاليف الوحدة المبيَّنة في إطار التوصية 3.</w:t>
            </w:r>
          </w:p>
          <w:p w:rsidR="00097CE0" w:rsidRPr="00097CE0" w:rsidRDefault="00097CE0" w:rsidP="001E01FC">
            <w:pPr>
              <w:pStyle w:val="NormalParaAR"/>
              <w:rPr>
                <w:rtl/>
                <w:lang w:eastAsia="en-US"/>
              </w:rPr>
            </w:pPr>
            <w:r w:rsidRPr="00097CE0">
              <w:rPr>
                <w:rFonts w:hint="cs"/>
                <w:rtl/>
                <w:lang w:eastAsia="en-US"/>
              </w:rPr>
              <w:t xml:space="preserve">(ب) أجري استقصاء لأنشطة التعاون فيما بين بلدان الجنوب خلال الثنائية 15/2014 بناء على طلب الدول الأعضاء في الويبو (الوثيقة </w:t>
            </w:r>
            <w:r w:rsidRPr="00097CE0">
              <w:rPr>
                <w:lang w:eastAsia="en-US"/>
              </w:rPr>
              <w:t>CDIP/17/4</w:t>
            </w:r>
            <w:r w:rsidRPr="00097CE0">
              <w:rPr>
                <w:rFonts w:hint="cs"/>
                <w:rtl/>
                <w:lang w:eastAsia="en-US"/>
              </w:rPr>
              <w:t xml:space="preserve">). وبلغت التكاليف الإجمالية </w:t>
            </w:r>
            <w:r w:rsidR="001E01FC">
              <w:rPr>
                <w:rFonts w:hint="cs"/>
                <w:rtl/>
                <w:lang w:eastAsia="en-US"/>
              </w:rPr>
              <w:t>غير المرتبطة</w:t>
            </w:r>
            <w:r w:rsidRPr="00097CE0">
              <w:rPr>
                <w:rFonts w:hint="cs"/>
                <w:rtl/>
                <w:lang w:eastAsia="en-US"/>
              </w:rPr>
              <w:t xml:space="preserve"> </w:t>
            </w:r>
            <w:r w:rsidR="001E01FC">
              <w:rPr>
                <w:rFonts w:hint="cs"/>
                <w:rtl/>
                <w:lang w:eastAsia="en-US"/>
              </w:rPr>
              <w:t>ب</w:t>
            </w:r>
            <w:r w:rsidRPr="00097CE0">
              <w:rPr>
                <w:rFonts w:hint="cs"/>
                <w:rtl/>
                <w:lang w:eastAsia="en-US"/>
              </w:rPr>
              <w:t xml:space="preserve">الموظفين </w:t>
            </w:r>
            <w:r w:rsidR="001E01FC">
              <w:rPr>
                <w:rFonts w:hint="cs"/>
                <w:rtl/>
                <w:lang w:eastAsia="en-US"/>
              </w:rPr>
              <w:t>و</w:t>
            </w:r>
            <w:r w:rsidRPr="00097CE0">
              <w:rPr>
                <w:rFonts w:hint="cs"/>
                <w:rtl/>
                <w:lang w:eastAsia="en-US"/>
              </w:rPr>
              <w:t xml:space="preserve">الخاصة بأنشطة التعاون فيما بين بلدان الجنوب 1.5% من إجمالي </w:t>
            </w:r>
            <w:r w:rsidR="001E01FC">
              <w:rPr>
                <w:rFonts w:hint="cs"/>
                <w:rtl/>
                <w:lang w:eastAsia="en-US"/>
              </w:rPr>
              <w:t>ال</w:t>
            </w:r>
            <w:r w:rsidRPr="00097CE0">
              <w:rPr>
                <w:rFonts w:hint="cs"/>
                <w:rtl/>
                <w:lang w:eastAsia="en-US"/>
              </w:rPr>
              <w:t xml:space="preserve">تكاليف </w:t>
            </w:r>
            <w:r w:rsidR="001E01FC">
              <w:rPr>
                <w:rFonts w:hint="cs"/>
                <w:rtl/>
                <w:lang w:eastAsia="en-US"/>
              </w:rPr>
              <w:t>غير المرتبطة ب</w:t>
            </w:r>
            <w:r w:rsidRPr="00097CE0">
              <w:rPr>
                <w:rFonts w:hint="cs"/>
                <w:rtl/>
                <w:lang w:eastAsia="en-US"/>
              </w:rPr>
              <w:t xml:space="preserve">الموظفين </w:t>
            </w:r>
            <w:r w:rsidR="001E01FC">
              <w:rPr>
                <w:rFonts w:hint="cs"/>
                <w:rtl/>
                <w:lang w:eastAsia="en-US"/>
              </w:rPr>
              <w:t>خلال</w:t>
            </w:r>
            <w:r w:rsidRPr="00097CE0">
              <w:rPr>
                <w:rFonts w:hint="cs"/>
                <w:rtl/>
                <w:lang w:eastAsia="en-US"/>
              </w:rPr>
              <w:t xml:space="preserve"> الثنائية 15/2014.</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74624" behindDoc="0" locked="0" layoutInCell="1" allowOverlap="1" wp14:anchorId="398D3803" wp14:editId="79AA8E13">
                      <wp:simplePos x="0" y="0"/>
                      <wp:positionH relativeFrom="column">
                        <wp:posOffset>1261196</wp:posOffset>
                      </wp:positionH>
                      <wp:positionV relativeFrom="paragraph">
                        <wp:posOffset>160020</wp:posOffset>
                      </wp:positionV>
                      <wp:extent cx="1957705" cy="361315"/>
                      <wp:effectExtent l="0" t="0" r="23495" b="19685"/>
                      <wp:wrapNone/>
                      <wp:docPr id="64" name="Rounded Rectangle 64"/>
                      <wp:cNvGraphicFramePr/>
                      <a:graphic xmlns:a="http://schemas.openxmlformats.org/drawingml/2006/main">
                        <a:graphicData uri="http://schemas.microsoft.com/office/word/2010/wordprocessingShape">
                          <wps:wsp>
                            <wps:cNvSpPr/>
                            <wps:spPr>
                              <a:xfrm>
                                <a:off x="0" y="0"/>
                                <a:ext cx="195770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4" o:spid="_x0000_s1033" style="position:absolute;left:0;text-align:left;margin-left:99.3pt;margin-top:12.6pt;width:154.15pt;height:28.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383541">
        <w:trPr>
          <w:cantSplit/>
        </w:trPr>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نفِّذت</w:t>
            </w:r>
          </w:p>
        </w:tc>
      </w:tr>
      <w:tr w:rsidR="00097CE0" w:rsidRPr="00097CE0" w:rsidTr="00383541">
        <w:trPr>
          <w:cantSplit/>
        </w:trPr>
        <w:tc>
          <w:tcPr>
            <w:tcW w:w="2246" w:type="dxa"/>
            <w:tcBorders>
              <w:top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الجهة المسؤولة</w:t>
            </w:r>
          </w:p>
        </w:tc>
        <w:tc>
          <w:tcPr>
            <w:tcW w:w="7763" w:type="dxa"/>
            <w:tcBorders>
              <w:top w:val="nil"/>
            </w:tcBorders>
          </w:tcPr>
          <w:p w:rsidR="00097CE0" w:rsidRPr="00097CE0" w:rsidRDefault="00097CE0" w:rsidP="001E01FC">
            <w:pPr>
              <w:pStyle w:val="NormalParaAR"/>
              <w:rPr>
                <w:rtl/>
                <w:lang w:eastAsia="en-US"/>
              </w:rPr>
            </w:pPr>
            <w:r w:rsidRPr="00097CE0">
              <w:rPr>
                <w:rtl/>
                <w:lang w:eastAsia="en-US"/>
              </w:rPr>
              <w:t xml:space="preserve">نائب المدير العام </w:t>
            </w:r>
            <w:r w:rsidR="001E01FC">
              <w:rPr>
                <w:rFonts w:hint="cs"/>
                <w:rtl/>
                <w:lang w:eastAsia="en-US"/>
              </w:rPr>
              <w:t>ل</w:t>
            </w:r>
            <w:r w:rsidRPr="00097CE0">
              <w:rPr>
                <w:rtl/>
                <w:lang w:eastAsia="en-US"/>
              </w:rPr>
              <w:t>قطاع التنمية</w:t>
            </w:r>
          </w:p>
        </w:tc>
      </w:tr>
    </w:tbl>
    <w:p w:rsidR="00097CE0" w:rsidRPr="00097CE0" w:rsidRDefault="00097CE0" w:rsidP="000D29A0">
      <w:pPr>
        <w:pStyle w:val="NormalParaAR"/>
        <w:keepNext/>
        <w:spacing w:before="240"/>
        <w:rPr>
          <w:b/>
          <w:bCs/>
          <w:rtl/>
        </w:rPr>
      </w:pPr>
      <w:r w:rsidRPr="00097CE0">
        <w:rPr>
          <w:rFonts w:hint="cs"/>
          <w:b/>
          <w:bCs/>
          <w:rtl/>
        </w:rPr>
        <w:t>خامساً.</w:t>
      </w:r>
      <w:r w:rsidRPr="00097CE0">
        <w:rPr>
          <w:b/>
          <w:bCs/>
          <w:rtl/>
        </w:rPr>
        <w:tab/>
        <w:t xml:space="preserve">‏توصيات من الاستعراضات التي أجرتها وحدة التفتيش المشتركة في </w:t>
      </w:r>
      <w:r w:rsidRPr="00097CE0">
        <w:rPr>
          <w:rFonts w:hint="cs"/>
          <w:b/>
          <w:bCs/>
          <w:rtl/>
        </w:rPr>
        <w:t>عام 2010</w:t>
      </w:r>
    </w:p>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drawing>
          <wp:anchor distT="0" distB="0" distL="114300" distR="114300" simplePos="0" relativeHeight="251675648" behindDoc="0" locked="0" layoutInCell="1" allowOverlap="1" wp14:anchorId="2F12AC42" wp14:editId="7A672CA0">
            <wp:simplePos x="0" y="0"/>
            <wp:positionH relativeFrom="column">
              <wp:posOffset>-190974</wp:posOffset>
            </wp:positionH>
            <wp:positionV relativeFrom="paragraph">
              <wp:posOffset>20955</wp:posOffset>
            </wp:positionV>
            <wp:extent cx="356870" cy="238125"/>
            <wp:effectExtent l="0" t="0" r="5080" b="9525"/>
            <wp:wrapNone/>
            <wp:docPr id="16" name="Picture 1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JIU/REP/2010/7</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السياسات والإجراءات المتعلقة بإدارة الصناديق الاستئمانية في مؤسسات منظومة الأمم المتحدة</w:t>
      </w:r>
      <w:r w:rsidRPr="00097CE0">
        <w:rPr>
          <w:rFonts w:ascii="Arabic Typesetting" w:hAnsi="Arabic Typesetting" w:cs="Arabic Typesetting" w:hint="cs"/>
          <w:sz w:val="36"/>
          <w:szCs w:val="36"/>
          <w:rtl/>
        </w:rPr>
        <w:t>"</w:t>
      </w:r>
    </w:p>
    <w:tbl>
      <w:tblPr>
        <w:tblStyle w:val="TableGrid1"/>
        <w:bidiVisual/>
        <w:tblW w:w="10009" w:type="dxa"/>
        <w:tblLook w:val="04A0" w:firstRow="1" w:lastRow="0" w:firstColumn="1" w:lastColumn="0" w:noHBand="0" w:noVBand="1"/>
      </w:tblPr>
      <w:tblGrid>
        <w:gridCol w:w="2246"/>
        <w:gridCol w:w="7763"/>
      </w:tblGrid>
      <w:tr w:rsidR="00097CE0" w:rsidRPr="00097CE0" w:rsidTr="00383541">
        <w:tc>
          <w:tcPr>
            <w:tcW w:w="2246" w:type="dxa"/>
            <w:tcBorders>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التوصية 7</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للهيئات التشريعية لمؤسسات منظومة الأمم المتحدة أن تستعرض السياسات والمبادئ المتسقة لاسترداد التكاليف المتعلقة بالصناديق الاستئمانية والأنشطة الممولة من موارد أخرى خارجة عن الميزانية، حالما يتم الاتفاق عليها في مجلس الرؤساء التنفيذيين، بغية تحديث سياسات استرداد التكاليف لدى منظماتها.</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تقييم الإدارة/الجهة المنسقة</w:t>
            </w:r>
          </w:p>
        </w:tc>
        <w:tc>
          <w:tcPr>
            <w:tcW w:w="7763" w:type="dxa"/>
            <w:tcBorders>
              <w:top w:val="nil"/>
              <w:bottom w:val="nil"/>
            </w:tcBorders>
          </w:tcPr>
          <w:p w:rsidR="00097CE0" w:rsidRPr="00097CE0" w:rsidRDefault="00097CE0" w:rsidP="001E01FC">
            <w:pPr>
              <w:pStyle w:val="NormalParaAR"/>
              <w:rPr>
                <w:rtl/>
                <w:lang w:eastAsia="en-US"/>
              </w:rPr>
            </w:pPr>
            <w:r w:rsidRPr="00097CE0">
              <w:rPr>
                <w:rFonts w:hint="cs"/>
                <w:rtl/>
                <w:lang w:eastAsia="en-US"/>
              </w:rPr>
              <w:t>تستمر المناقشات بشأن مواءمة سياسات استرداد التكاليف في إطار شبكة الأمم المتحدة ل</w:t>
            </w:r>
            <w:r w:rsidRPr="00097CE0">
              <w:rPr>
                <w:rtl/>
                <w:lang w:eastAsia="en-US"/>
              </w:rPr>
              <w:t>لميزانية والمالية</w:t>
            </w:r>
            <w:r w:rsidRPr="00097CE0">
              <w:rPr>
                <w:rFonts w:hint="cs"/>
                <w:rtl/>
                <w:lang w:eastAsia="en-US"/>
              </w:rPr>
              <w:t xml:space="preserve">. ومع ذلك، نُشرت سياسة الويبو بشأن إدارة </w:t>
            </w:r>
            <w:r w:rsidR="001E01FC">
              <w:rPr>
                <w:rFonts w:hint="cs"/>
                <w:rtl/>
                <w:lang w:eastAsia="en-US"/>
              </w:rPr>
              <w:t>التبرعات</w:t>
            </w:r>
            <w:r w:rsidRPr="00097CE0">
              <w:rPr>
                <w:rFonts w:hint="cs"/>
                <w:rtl/>
                <w:lang w:eastAsia="en-US"/>
              </w:rPr>
              <w:t xml:space="preserve"> في 16 ديسمبر 2015. وتلخص هذه السياسة العناصر السياسية البالغة الأهمية التي توج</w:t>
            </w:r>
            <w:r w:rsidR="001E01FC">
              <w:rPr>
                <w:rFonts w:hint="cs"/>
                <w:rtl/>
                <w:lang w:eastAsia="en-US"/>
              </w:rPr>
              <w:t>ِّ</w:t>
            </w:r>
            <w:r w:rsidRPr="00097CE0">
              <w:rPr>
                <w:rFonts w:hint="cs"/>
                <w:rtl/>
                <w:lang w:eastAsia="en-US"/>
              </w:rPr>
              <w:t xml:space="preserve">ه قبول </w:t>
            </w:r>
            <w:r w:rsidR="001E01FC">
              <w:rPr>
                <w:rFonts w:hint="cs"/>
                <w:rtl/>
                <w:lang w:eastAsia="en-US"/>
              </w:rPr>
              <w:t>التبرعات</w:t>
            </w:r>
            <w:r w:rsidRPr="00097CE0">
              <w:rPr>
                <w:rFonts w:hint="cs"/>
                <w:rtl/>
                <w:lang w:eastAsia="en-US"/>
              </w:rPr>
              <w:t xml:space="preserve"> وإدارتها، وتحدد الأدوار والمسؤول</w:t>
            </w:r>
            <w:r w:rsidR="001E01FC">
              <w:rPr>
                <w:rFonts w:hint="cs"/>
                <w:rtl/>
                <w:lang w:eastAsia="en-US"/>
              </w:rPr>
              <w:t>ي</w:t>
            </w:r>
            <w:r w:rsidRPr="00097CE0">
              <w:rPr>
                <w:rFonts w:hint="cs"/>
                <w:rtl/>
                <w:lang w:eastAsia="en-US"/>
              </w:rPr>
              <w:t>ات والإجراءات الرئيسية في هذا الشأن وتضم إرشادات بشأن استرداد التكاليف.</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76672" behindDoc="0" locked="0" layoutInCell="1" allowOverlap="1" wp14:anchorId="0F5D0DF2" wp14:editId="7FECC79D">
                      <wp:simplePos x="0" y="0"/>
                      <wp:positionH relativeFrom="column">
                        <wp:posOffset>1377240</wp:posOffset>
                      </wp:positionH>
                      <wp:positionV relativeFrom="paragraph">
                        <wp:posOffset>116840</wp:posOffset>
                      </wp:positionV>
                      <wp:extent cx="1957705" cy="361315"/>
                      <wp:effectExtent l="0" t="0" r="23495" b="19685"/>
                      <wp:wrapNone/>
                      <wp:docPr id="66" name="Rounded Rectangle 66"/>
                      <wp:cNvGraphicFramePr/>
                      <a:graphic xmlns:a="http://schemas.openxmlformats.org/drawingml/2006/main">
                        <a:graphicData uri="http://schemas.microsoft.com/office/word/2010/wordprocessingShape">
                          <wps:wsp>
                            <wps:cNvSpPr/>
                            <wps:spPr>
                              <a:xfrm>
                                <a:off x="0" y="0"/>
                                <a:ext cx="195770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6" o:spid="_x0000_s1034" style="position:absolute;left:0;text-align:left;margin-left:108.45pt;margin-top:9.2pt;width:154.15pt;height:28.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نفِّذت</w:t>
            </w:r>
          </w:p>
        </w:tc>
      </w:tr>
      <w:tr w:rsidR="00097CE0" w:rsidRPr="00097CE0" w:rsidTr="00383541">
        <w:tc>
          <w:tcPr>
            <w:tcW w:w="2246" w:type="dxa"/>
            <w:tcBorders>
              <w:top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الجهة المسؤولة</w:t>
            </w:r>
          </w:p>
        </w:tc>
        <w:tc>
          <w:tcPr>
            <w:tcW w:w="7763" w:type="dxa"/>
            <w:tcBorders>
              <w:top w:val="nil"/>
            </w:tcBorders>
          </w:tcPr>
          <w:p w:rsidR="00097CE0" w:rsidRPr="00097CE0" w:rsidRDefault="00097CE0" w:rsidP="001E01FC">
            <w:pPr>
              <w:pStyle w:val="NormalParaAR"/>
              <w:rPr>
                <w:rtl/>
                <w:lang w:eastAsia="en-US"/>
              </w:rPr>
            </w:pPr>
            <w:r w:rsidRPr="00097CE0">
              <w:rPr>
                <w:rtl/>
                <w:lang w:eastAsia="en-US"/>
              </w:rPr>
              <w:t>‏مدير تخطيط البرامج والشؤون المالية (المراقب المالي)</w:t>
            </w:r>
          </w:p>
        </w:tc>
      </w:tr>
    </w:tbl>
    <w:p w:rsidR="00097CE0" w:rsidRPr="00097CE0" w:rsidRDefault="00097CE0" w:rsidP="000D29A0">
      <w:pPr>
        <w:keepNext/>
        <w:bidi/>
        <w:spacing w:before="240" w:after="240" w:line="360" w:lineRule="exact"/>
        <w:rPr>
          <w:rFonts w:ascii="Arabic Typesetting" w:hAnsi="Arabic Typesetting" w:cs="Arabic Typesetting"/>
          <w:sz w:val="36"/>
          <w:szCs w:val="36"/>
          <w:rtl/>
        </w:rPr>
      </w:pPr>
      <w:r w:rsidRPr="00097CE0">
        <w:rPr>
          <w:rFonts w:ascii="Arabic Typesetting" w:hAnsi="Arabic Typesetting" w:cs="Arabic Typesetting" w:hint="cs"/>
          <w:b/>
          <w:bCs/>
          <w:noProof/>
          <w:sz w:val="36"/>
          <w:szCs w:val="36"/>
          <w:lang w:val="fr-CH" w:eastAsia="fr-CH"/>
        </w:rPr>
        <w:lastRenderedPageBreak/>
        <w:drawing>
          <wp:anchor distT="0" distB="0" distL="114300" distR="114300" simplePos="0" relativeHeight="251677696" behindDoc="0" locked="0" layoutInCell="1" allowOverlap="1" wp14:anchorId="1421F7F6" wp14:editId="76326278">
            <wp:simplePos x="0" y="0"/>
            <wp:positionH relativeFrom="column">
              <wp:posOffset>2443319</wp:posOffset>
            </wp:positionH>
            <wp:positionV relativeFrom="paragraph">
              <wp:posOffset>20955</wp:posOffset>
            </wp:positionV>
            <wp:extent cx="356870" cy="238125"/>
            <wp:effectExtent l="0" t="0" r="5080" b="9525"/>
            <wp:wrapNone/>
            <wp:docPr id="17" name="Picture 1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7CE0">
        <w:rPr>
          <w:rFonts w:ascii="Arabic Typesetting" w:hAnsi="Arabic Typesetting" w:cs="Arabic Typesetting"/>
          <w:b/>
          <w:bCs/>
          <w:sz w:val="36"/>
          <w:szCs w:val="36"/>
        </w:rPr>
        <w:t>JIU/REP/2010/3</w:t>
      </w:r>
      <w:r w:rsidRPr="00097CE0">
        <w:rPr>
          <w:rFonts w:ascii="Arabic Typesetting" w:hAnsi="Arabic Typesetting" w:cs="Arabic Typesetting" w:hint="cs"/>
          <w:sz w:val="36"/>
          <w:szCs w:val="36"/>
          <w:rtl/>
        </w:rPr>
        <w:t xml:space="preserve"> "</w:t>
      </w:r>
      <w:r w:rsidRPr="00097CE0">
        <w:rPr>
          <w:rFonts w:ascii="Arabic Typesetting" w:hAnsi="Arabic Typesetting" w:cs="Arabic Typesetting"/>
          <w:sz w:val="36"/>
          <w:szCs w:val="36"/>
          <w:rtl/>
        </w:rPr>
        <w:t>قواعد الأخلاق في منظومة الأمم المتحدة</w:t>
      </w:r>
      <w:r w:rsidRPr="00097CE0">
        <w:rPr>
          <w:rFonts w:ascii="Arabic Typesetting" w:hAnsi="Arabic Typesetting" w:cs="Arabic Typesetting" w:hint="cs"/>
          <w:sz w:val="36"/>
          <w:szCs w:val="36"/>
          <w:rtl/>
        </w:rPr>
        <w:t>"</w:t>
      </w:r>
    </w:p>
    <w:tbl>
      <w:tblPr>
        <w:tblStyle w:val="TableGrid1"/>
        <w:bidiVisual/>
        <w:tblW w:w="10009" w:type="dxa"/>
        <w:tblLook w:val="04A0" w:firstRow="1" w:lastRow="0" w:firstColumn="1" w:lastColumn="0" w:noHBand="0" w:noVBand="1"/>
      </w:tblPr>
      <w:tblGrid>
        <w:gridCol w:w="2246"/>
        <w:gridCol w:w="7763"/>
      </w:tblGrid>
      <w:tr w:rsidR="00097CE0" w:rsidRPr="00097CE0" w:rsidTr="00383541">
        <w:tc>
          <w:tcPr>
            <w:tcW w:w="2246" w:type="dxa"/>
            <w:tcBorders>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التوصية 17</w:t>
            </w:r>
          </w:p>
        </w:tc>
        <w:tc>
          <w:tcPr>
            <w:tcW w:w="7763" w:type="dxa"/>
            <w:tcBorders>
              <w:bottom w:val="nil"/>
            </w:tcBorders>
          </w:tcPr>
          <w:p w:rsidR="00097CE0" w:rsidRPr="00097CE0" w:rsidRDefault="00097CE0" w:rsidP="00383541">
            <w:pPr>
              <w:pStyle w:val="NormalParaAR"/>
              <w:rPr>
                <w:rtl/>
                <w:lang w:eastAsia="en-US"/>
              </w:rPr>
            </w:pPr>
            <w:r w:rsidRPr="00097CE0">
              <w:rPr>
                <w:rtl/>
                <w:lang w:eastAsia="en-US"/>
              </w:rPr>
              <w:t>ينبغي أن توعز الهيئات التشريعية إلى الرؤساء التنفيذيين لمنظماتها تقديم مقترحات من أجل إنشاء آلية داخلية تحدِّد الطرائق التي يسير عليها مكتب الأخلاقيات و/أو دائرة الرقابة الداخلية في إجراء تحقيق أو استعراض بشأن الادعاءات الموجهة ضد الرئيس التنفيذي للمنظمة، بما في ذلك تقديم نتائج التحقيق أو الاستعراض مباشرة إلى الهيئة التشريعية المعنية.</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تقييم الإدارة/الجهة المنسقة</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تنص الفقرة 21 من ميثاق الرقابة الداخلية للويبو على ما يلي: "</w:t>
            </w:r>
            <w:r w:rsidRPr="00097CE0">
              <w:rPr>
                <w:rtl/>
                <w:lang w:eastAsia="en-US"/>
              </w:rPr>
              <w:t>‏وفي الحالات التي تتعلق بمزاعم لسوء سلوك ضد المدير العام، يرفع مدير شعبة الرقابة الداخلية الأمر إلى رئيس الجمعية العامة مع توجيه نسخة إلى رئيس لجنة التنسيق ورئيس اللجنة الاستشارية المستقلة للرقابة. يلتمس مدير الشعبة المشورة من اللجنة الاستشارية المستقلة للرقابة حول سبل التصرف الواجب.</w:t>
            </w:r>
            <w:r w:rsidRPr="00097CE0">
              <w:rPr>
                <w:rFonts w:hint="cs"/>
                <w:rtl/>
                <w:lang w:eastAsia="en-US"/>
              </w:rPr>
              <w:t>"</w:t>
            </w:r>
          </w:p>
          <w:p w:rsidR="00097CE0" w:rsidRPr="00097CE0" w:rsidRDefault="003615EF" w:rsidP="003615EF">
            <w:pPr>
              <w:pStyle w:val="NormalParaAR"/>
              <w:rPr>
                <w:rtl/>
                <w:lang w:eastAsia="en-US"/>
              </w:rPr>
            </w:pPr>
            <w:r>
              <w:rPr>
                <w:rFonts w:hint="cs"/>
                <w:rtl/>
                <w:lang w:eastAsia="en-US"/>
              </w:rPr>
              <w:t>و</w:t>
            </w:r>
            <w:r w:rsidR="00097CE0" w:rsidRPr="00097CE0">
              <w:rPr>
                <w:rFonts w:hint="cs"/>
                <w:rtl/>
                <w:lang w:eastAsia="en-US"/>
              </w:rPr>
              <w:t xml:space="preserve">تنص الفقرة الفرعية 2 من الفقرة (ه) من المرفق الثالث من </w:t>
            </w:r>
            <w:r w:rsidR="00097CE0" w:rsidRPr="00097CE0">
              <w:rPr>
                <w:rtl/>
                <w:lang w:eastAsia="en-US"/>
              </w:rPr>
              <w:t>النظام المالي ولائحته</w:t>
            </w:r>
            <w:r>
              <w:rPr>
                <w:rFonts w:hint="cs"/>
                <w:rtl/>
                <w:lang w:eastAsia="en-US"/>
              </w:rPr>
              <w:t xml:space="preserve"> للويبو</w:t>
            </w:r>
            <w:r w:rsidR="00097CE0" w:rsidRPr="00097CE0">
              <w:rPr>
                <w:rFonts w:hint="cs"/>
                <w:rtl/>
                <w:lang w:eastAsia="en-US"/>
              </w:rPr>
              <w:t xml:space="preserve"> "</w:t>
            </w:r>
            <w:r w:rsidR="00097CE0" w:rsidRPr="00097CE0">
              <w:rPr>
                <w:rtl/>
                <w:lang w:eastAsia="en-US"/>
              </w:rPr>
              <w:t>اختصاصات لجنة الويبو الاستشارية المستقلة للرقابة</w:t>
            </w:r>
            <w:r w:rsidR="00097CE0" w:rsidRPr="00097CE0">
              <w:rPr>
                <w:rFonts w:hint="cs"/>
                <w:rtl/>
                <w:lang w:eastAsia="en-US"/>
              </w:rPr>
              <w:t>" على ما يلي: "</w:t>
            </w:r>
            <w:r>
              <w:rPr>
                <w:rtl/>
              </w:rPr>
              <w:t xml:space="preserve"> </w:t>
            </w:r>
            <w:r w:rsidRPr="003615EF">
              <w:rPr>
                <w:rtl/>
                <w:lang w:eastAsia="en-US"/>
              </w:rPr>
              <w:t>وفقاً لميثاق الرقابة الداخلية، يتعين على اللجنة تقديم المشورة لمدير شعبة الرقابة الداخلية بشأن كيفية التصرف في قضايا ادعاءات سوء السلوك الموجهة ضد المدير العام. وإذا لم يكن باستطاعة مدير شعبة الرقابة الداخلية تقييم الادعاءات أو التحقيق فيها،على أساس تضارب المصالح، فيتعين على اللجنة مراجعة هذه الادعاءات وتقديم المشورة لرئيس الجمعية العامة وإرسال نسخة إلى رئي</w:t>
            </w:r>
            <w:r>
              <w:rPr>
                <w:rtl/>
                <w:lang w:eastAsia="en-US"/>
              </w:rPr>
              <w:t>س لجنة التنسيق حول كيفية</w:t>
            </w:r>
            <w:r>
              <w:rPr>
                <w:rFonts w:hint="cs"/>
                <w:rtl/>
                <w:lang w:eastAsia="en-US"/>
              </w:rPr>
              <w:t> </w:t>
            </w:r>
            <w:r>
              <w:rPr>
                <w:rtl/>
                <w:lang w:eastAsia="en-US"/>
              </w:rPr>
              <w:t>التصرف</w:t>
            </w:r>
            <w:r w:rsidR="00097CE0" w:rsidRPr="00097CE0">
              <w:rPr>
                <w:rFonts w:hint="cs"/>
                <w:rtl/>
                <w:lang w:eastAsia="en-US"/>
              </w:rPr>
              <w:t>"</w:t>
            </w:r>
            <w:r>
              <w:rPr>
                <w:rFonts w:hint="cs"/>
                <w:rtl/>
                <w:lang w:eastAsia="en-US"/>
              </w:rPr>
              <w:t>.</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القبول</w:t>
            </w:r>
          </w:p>
        </w:tc>
        <w:tc>
          <w:tcPr>
            <w:tcW w:w="7763" w:type="dxa"/>
            <w:tcBorders>
              <w:top w:val="nil"/>
              <w:bottom w:val="nil"/>
            </w:tcBorders>
          </w:tcPr>
          <w:p w:rsidR="00097CE0" w:rsidRPr="00097CE0" w:rsidRDefault="00097CE0" w:rsidP="00383541">
            <w:pPr>
              <w:pStyle w:val="NormalParaAR"/>
              <w:rPr>
                <w:rtl/>
                <w:lang w:eastAsia="en-US"/>
              </w:rPr>
            </w:pPr>
            <w:r w:rsidRPr="00097CE0">
              <w:rPr>
                <w:noProof/>
                <w:lang w:val="fr-CH" w:eastAsia="fr-CH"/>
              </w:rPr>
              <mc:AlternateContent>
                <mc:Choice Requires="wps">
                  <w:drawing>
                    <wp:anchor distT="0" distB="0" distL="114300" distR="114300" simplePos="0" relativeHeight="251678720" behindDoc="0" locked="0" layoutInCell="1" allowOverlap="1" wp14:anchorId="7F49DE75" wp14:editId="4FE82D48">
                      <wp:simplePos x="0" y="0"/>
                      <wp:positionH relativeFrom="column">
                        <wp:posOffset>1435015</wp:posOffset>
                      </wp:positionH>
                      <wp:positionV relativeFrom="paragraph">
                        <wp:posOffset>157480</wp:posOffset>
                      </wp:positionV>
                      <wp:extent cx="1957705" cy="361315"/>
                      <wp:effectExtent l="0" t="0" r="23495" b="19685"/>
                      <wp:wrapNone/>
                      <wp:docPr id="68" name="Rounded Rectangle 68"/>
                      <wp:cNvGraphicFramePr/>
                      <a:graphic xmlns:a="http://schemas.openxmlformats.org/drawingml/2006/main">
                        <a:graphicData uri="http://schemas.microsoft.com/office/word/2010/wordprocessingShape">
                          <wps:wsp>
                            <wps:cNvSpPr/>
                            <wps:spPr>
                              <a:xfrm>
                                <a:off x="0" y="0"/>
                                <a:ext cx="1957705" cy="361315"/>
                              </a:xfrm>
                              <a:prstGeom prst="roundRect">
                                <a:avLst/>
                              </a:prstGeom>
                              <a:solidFill>
                                <a:sysClr val="window" lastClr="FFFFFF"/>
                              </a:solidFill>
                              <a:ln w="25400" cap="flat" cmpd="sng" algn="ctr">
                                <a:solidFill>
                                  <a:srgbClr val="1F497D">
                                    <a:lumMod val="40000"/>
                                    <a:lumOff val="60000"/>
                                  </a:srgbClr>
                                </a:solidFill>
                                <a:prstDash val="solid"/>
                              </a:ln>
                              <a:effectLst/>
                            </wps:spPr>
                            <wps:txb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35" style="position:absolute;left:0;text-align:left;margin-left:113pt;margin-top:12.4pt;width:154.15pt;height:2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" fillcolor="window" strokecolor="#8eb4e3" strokeweight="2pt">
                      <v:textbox>
                        <w:txbxContent>
                          <w:p w:rsidR="001705D0" w:rsidRPr="0098202B" w:rsidRDefault="001705D0" w:rsidP="00097CE0">
                            <w:pPr>
                              <w:bidi/>
                              <w:jc w:val="center"/>
                              <w:rPr>
                                <w:rFonts w:ascii="Arabic Typesetting" w:hAnsi="Arabic Typesetting" w:cs="Arabic Typesetting"/>
                                <w:iCs/>
                                <w:sz w:val="36"/>
                                <w:szCs w:val="36"/>
                                <w:rtl/>
                              </w:rPr>
                            </w:pPr>
                            <w:r w:rsidRPr="0098202B">
                              <w:rPr>
                                <w:rFonts w:ascii="Arabic Typesetting" w:hAnsi="Arabic Typesetting" w:cs="Arabic Typesetting"/>
                                <w:iCs/>
                                <w:sz w:val="36"/>
                                <w:szCs w:val="36"/>
                                <w:rtl/>
                              </w:rPr>
                              <w:t xml:space="preserve">"قيد </w:t>
                            </w:r>
                            <w:r w:rsidRPr="0098202B">
                              <w:rPr>
                                <w:rFonts w:ascii="Arabic Typesetting" w:hAnsi="Arabic Typesetting" w:cs="Arabic Typesetting" w:hint="cs"/>
                                <w:iCs/>
                                <w:sz w:val="36"/>
                                <w:szCs w:val="36"/>
                                <w:rtl/>
                              </w:rPr>
                              <w:t>النظر</w:t>
                            </w:r>
                            <w:r w:rsidRPr="0098202B">
                              <w:rPr>
                                <w:rFonts w:ascii="Arabic Typesetting" w:hAnsi="Arabic Typesetting" w:cs="Arabic Typesetting"/>
                                <w:iCs/>
                                <w:sz w:val="36"/>
                                <w:szCs w:val="36"/>
                                <w:rtl/>
                              </w:rPr>
                              <w:t>" سابقاً</w:t>
                            </w:r>
                          </w:p>
                        </w:txbxContent>
                      </v:textbox>
                    </v:roundrect>
                  </w:pict>
                </mc:Fallback>
              </mc:AlternateContent>
            </w:r>
            <w:r w:rsidRPr="00097CE0">
              <w:rPr>
                <w:rFonts w:hint="cs"/>
                <w:rtl/>
                <w:lang w:eastAsia="en-US"/>
              </w:rPr>
              <w:t>مقبولة</w:t>
            </w:r>
          </w:p>
        </w:tc>
      </w:tr>
      <w:tr w:rsidR="00097CE0" w:rsidRPr="00097CE0" w:rsidTr="00383541">
        <w:tc>
          <w:tcPr>
            <w:tcW w:w="2246" w:type="dxa"/>
            <w:tcBorders>
              <w:top w:val="nil"/>
              <w:bottom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التنفيذ</w:t>
            </w:r>
          </w:p>
        </w:tc>
        <w:tc>
          <w:tcPr>
            <w:tcW w:w="7763" w:type="dxa"/>
            <w:tcBorders>
              <w:top w:val="nil"/>
              <w:bottom w:val="nil"/>
            </w:tcBorders>
          </w:tcPr>
          <w:p w:rsidR="00097CE0" w:rsidRPr="00097CE0" w:rsidRDefault="00097CE0" w:rsidP="00383541">
            <w:pPr>
              <w:pStyle w:val="NormalParaAR"/>
              <w:rPr>
                <w:rtl/>
                <w:lang w:eastAsia="en-US"/>
              </w:rPr>
            </w:pPr>
            <w:r w:rsidRPr="00097CE0">
              <w:rPr>
                <w:rFonts w:hint="cs"/>
                <w:rtl/>
                <w:lang w:eastAsia="en-US"/>
              </w:rPr>
              <w:t>نفِّذت</w:t>
            </w:r>
          </w:p>
        </w:tc>
      </w:tr>
      <w:tr w:rsidR="00097CE0" w:rsidRPr="00097CE0" w:rsidTr="00383541">
        <w:tc>
          <w:tcPr>
            <w:tcW w:w="2246" w:type="dxa"/>
            <w:tcBorders>
              <w:top w:val="nil"/>
            </w:tcBorders>
            <w:shd w:val="clear" w:color="auto" w:fill="DBE5F1" w:themeFill="accent1" w:themeFillTint="33"/>
          </w:tcPr>
          <w:p w:rsidR="00097CE0" w:rsidRPr="00383541" w:rsidRDefault="00097CE0" w:rsidP="00383541">
            <w:pPr>
              <w:pStyle w:val="NormalParaAR"/>
              <w:rPr>
                <w:b/>
                <w:bCs/>
                <w:rtl/>
                <w:lang w:eastAsia="en-US"/>
              </w:rPr>
            </w:pPr>
            <w:r w:rsidRPr="00383541">
              <w:rPr>
                <w:rFonts w:hint="cs"/>
                <w:b/>
                <w:bCs/>
                <w:rtl/>
                <w:lang w:eastAsia="en-US"/>
              </w:rPr>
              <w:t>الجهة المسؤولة</w:t>
            </w:r>
          </w:p>
        </w:tc>
        <w:tc>
          <w:tcPr>
            <w:tcW w:w="7763" w:type="dxa"/>
            <w:tcBorders>
              <w:top w:val="nil"/>
            </w:tcBorders>
          </w:tcPr>
          <w:p w:rsidR="00097CE0" w:rsidRPr="00097CE0" w:rsidRDefault="00097CE0" w:rsidP="003615EF">
            <w:pPr>
              <w:pStyle w:val="NormalParaAR"/>
              <w:rPr>
                <w:rtl/>
                <w:lang w:eastAsia="en-US"/>
              </w:rPr>
            </w:pPr>
            <w:r w:rsidRPr="00097CE0">
              <w:rPr>
                <w:rFonts w:hint="cs"/>
                <w:rtl/>
                <w:lang w:eastAsia="en-US"/>
              </w:rPr>
              <w:t>مدير شعبة الرقابة الداخلية</w:t>
            </w:r>
          </w:p>
        </w:tc>
      </w:tr>
    </w:tbl>
    <w:p w:rsidR="00097CE0" w:rsidRPr="00097CE0" w:rsidRDefault="00097CE0" w:rsidP="000D29A0">
      <w:pPr>
        <w:pStyle w:val="EndofDocumentAR"/>
        <w:spacing w:before="720"/>
        <w:rPr>
          <w:rtl/>
        </w:rPr>
      </w:pPr>
      <w:r w:rsidRPr="00097CE0">
        <w:rPr>
          <w:rFonts w:hint="cs"/>
          <w:rtl/>
        </w:rPr>
        <w:t>[يلي ذلك المرفق الثاني]</w:t>
      </w:r>
    </w:p>
    <w:p w:rsidR="00097CE0" w:rsidRPr="00097CE0" w:rsidRDefault="00097CE0" w:rsidP="00097CE0">
      <w:pPr>
        <w:bidi/>
        <w:spacing w:after="240" w:line="360" w:lineRule="exact"/>
        <w:rPr>
          <w:rFonts w:ascii="Arabic Typesetting" w:hAnsi="Arabic Typesetting" w:cs="Arabic Typesetting"/>
          <w:sz w:val="36"/>
          <w:szCs w:val="36"/>
          <w:rtl/>
        </w:rPr>
      </w:pPr>
    </w:p>
    <w:p w:rsidR="00097CE0" w:rsidRPr="00097CE0" w:rsidRDefault="00097CE0" w:rsidP="00097CE0">
      <w:pPr>
        <w:bidi/>
        <w:spacing w:after="240" w:line="360" w:lineRule="exact"/>
        <w:rPr>
          <w:rFonts w:ascii="Arabic Typesetting" w:hAnsi="Arabic Typesetting" w:cs="Arabic Typesetting"/>
          <w:sz w:val="36"/>
          <w:szCs w:val="36"/>
          <w:rtl/>
        </w:rPr>
        <w:sectPr w:rsidR="00097CE0" w:rsidRPr="00097CE0" w:rsidSect="000D29A0">
          <w:headerReference w:type="default" r:id="rId26"/>
          <w:headerReference w:type="first" r:id="rId27"/>
          <w:pgSz w:w="11907" w:h="16840" w:code="9"/>
          <w:pgMar w:top="567" w:right="1418" w:bottom="1418" w:left="1134" w:header="510" w:footer="1021" w:gutter="0"/>
          <w:pgNumType w:start="1"/>
          <w:cols w:space="720"/>
          <w:titlePg/>
          <w:docGrid w:linePitch="299"/>
        </w:sectPr>
      </w:pPr>
    </w:p>
    <w:p w:rsidR="00097CE0" w:rsidRPr="00383541" w:rsidRDefault="00097CE0" w:rsidP="003615EF">
      <w:pPr>
        <w:pStyle w:val="NormalParaAR"/>
        <w:keepNext/>
        <w:jc w:val="center"/>
        <w:rPr>
          <w:b/>
          <w:bCs/>
          <w:rtl/>
        </w:rPr>
      </w:pPr>
      <w:r w:rsidRPr="00383541">
        <w:rPr>
          <w:rFonts w:hint="cs"/>
          <w:b/>
          <w:bCs/>
          <w:rtl/>
        </w:rPr>
        <w:lastRenderedPageBreak/>
        <w:t xml:space="preserve">قائمة تقارير وحدة التفتيش </w:t>
      </w:r>
      <w:r w:rsidR="003615EF">
        <w:rPr>
          <w:rFonts w:hint="cs"/>
          <w:b/>
          <w:bCs/>
          <w:rtl/>
        </w:rPr>
        <w:t>قيد النظر</w:t>
      </w:r>
      <w:r w:rsidR="00EC6AD0">
        <w:rPr>
          <w:rStyle w:val="FootnoteReference"/>
          <w:b/>
          <w:bCs/>
          <w:rtl/>
        </w:rPr>
        <w:footnoteReference w:id="4"/>
      </w:r>
      <w:r w:rsidRPr="00383541">
        <w:rPr>
          <w:rFonts w:hint="cs"/>
          <w:b/>
          <w:bCs/>
          <w:rtl/>
        </w:rPr>
        <w:t xml:space="preserve"> التي </w:t>
      </w:r>
      <w:r w:rsidR="003615EF">
        <w:rPr>
          <w:rFonts w:hint="cs"/>
          <w:b/>
          <w:bCs/>
          <w:rtl/>
        </w:rPr>
        <w:t>تعني</w:t>
      </w:r>
      <w:r w:rsidRPr="00383541">
        <w:rPr>
          <w:rFonts w:hint="cs"/>
          <w:b/>
          <w:bCs/>
          <w:rtl/>
        </w:rPr>
        <w:t xml:space="preserve"> الويبو في نهاية أبريل 2016</w:t>
      </w:r>
    </w:p>
    <w:p w:rsidR="00097CE0" w:rsidRPr="00383541" w:rsidRDefault="00097CE0" w:rsidP="003615EF">
      <w:pPr>
        <w:pStyle w:val="NormalParaAR"/>
        <w:keepNext/>
        <w:rPr>
          <w:rtl/>
        </w:rPr>
      </w:pPr>
      <w:r w:rsidRPr="00383541">
        <w:rPr>
          <w:rFonts w:hint="cs"/>
          <w:noProof/>
          <w:lang w:val="fr-CH" w:eastAsia="fr-CH"/>
        </w:rPr>
        <w:drawing>
          <wp:anchor distT="0" distB="0" distL="114300" distR="114300" simplePos="0" relativeHeight="251679744" behindDoc="0" locked="0" layoutInCell="1" allowOverlap="1" wp14:anchorId="3E55E790" wp14:editId="00A148E5">
            <wp:simplePos x="0" y="0"/>
            <wp:positionH relativeFrom="column">
              <wp:posOffset>263108</wp:posOffset>
            </wp:positionH>
            <wp:positionV relativeFrom="paragraph">
              <wp:posOffset>250825</wp:posOffset>
            </wp:positionV>
            <wp:extent cx="356870" cy="238125"/>
            <wp:effectExtent l="0" t="0" r="5080" b="9525"/>
            <wp:wrapNone/>
            <wp:docPr id="18" name="Picture 1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87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615EF">
        <w:rPr>
          <w:rFonts w:hint="cs"/>
          <w:noProof/>
          <w:rtl/>
        </w:rPr>
        <w:t>يقدِّم هذا المرفق روابط</w:t>
      </w:r>
      <w:r w:rsidR="003615EF">
        <w:rPr>
          <w:rFonts w:hint="cs"/>
          <w:rtl/>
        </w:rPr>
        <w:t xml:space="preserve"> شبكية</w:t>
      </w:r>
      <w:r w:rsidRPr="00383541">
        <w:rPr>
          <w:rFonts w:hint="cs"/>
          <w:rtl/>
        </w:rPr>
        <w:t xml:space="preserve"> إلى </w:t>
      </w:r>
      <w:r w:rsidR="003615EF">
        <w:rPr>
          <w:rFonts w:hint="cs"/>
          <w:rtl/>
        </w:rPr>
        <w:t>ال</w:t>
      </w:r>
      <w:r w:rsidRPr="00383541">
        <w:rPr>
          <w:rFonts w:hint="cs"/>
          <w:rtl/>
        </w:rPr>
        <w:t>تقارير</w:t>
      </w:r>
      <w:r w:rsidR="003615EF">
        <w:rPr>
          <w:rFonts w:hint="cs"/>
          <w:rtl/>
        </w:rPr>
        <w:t xml:space="preserve"> قيد النظر الصادرة عن</w:t>
      </w:r>
      <w:r w:rsidRPr="00383541">
        <w:rPr>
          <w:rFonts w:hint="cs"/>
          <w:rtl/>
        </w:rPr>
        <w:t xml:space="preserve"> وحدة التفتيش المشتركة</w:t>
      </w:r>
      <w:r w:rsidR="003615EF">
        <w:rPr>
          <w:rFonts w:hint="cs"/>
          <w:rtl/>
        </w:rPr>
        <w:t xml:space="preserve"> والتي تعني </w:t>
      </w:r>
      <w:r w:rsidRPr="00383541">
        <w:rPr>
          <w:rFonts w:hint="cs"/>
          <w:rtl/>
        </w:rPr>
        <w:t>الويبو. ويمكن النفاذ إلى كل تقارير وحدة التفتيش المشتركة ومذكراتها ورسائل</w:t>
      </w:r>
      <w:r w:rsidR="003615EF">
        <w:rPr>
          <w:rFonts w:hint="cs"/>
          <w:rtl/>
        </w:rPr>
        <w:t>ها</w:t>
      </w:r>
      <w:r w:rsidRPr="00383541">
        <w:rPr>
          <w:rFonts w:hint="cs"/>
          <w:rtl/>
        </w:rPr>
        <w:t xml:space="preserve"> عن طريق الموقع الإلكتروني لوحدة التفتيش المشتركة.</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2747"/>
        <w:gridCol w:w="2420"/>
        <w:gridCol w:w="2617"/>
      </w:tblGrid>
      <w:tr w:rsidR="008811FE" w:rsidRPr="008811FE" w:rsidTr="003615EF">
        <w:trPr>
          <w:cantSplit/>
          <w:trHeight w:val="655"/>
          <w:tblHeader/>
          <w:jc w:val="center"/>
        </w:trPr>
        <w:tc>
          <w:tcPr>
            <w:tcW w:w="934" w:type="pct"/>
            <w:tcBorders>
              <w:top w:val="single" w:sz="4" w:space="0" w:color="auto"/>
              <w:left w:val="single" w:sz="4" w:space="0" w:color="auto"/>
              <w:bottom w:val="single" w:sz="4" w:space="0" w:color="auto"/>
            </w:tcBorders>
            <w:shd w:val="clear" w:color="auto" w:fill="92CDDC" w:themeFill="accent5" w:themeFillTint="99"/>
            <w:vAlign w:val="center"/>
          </w:tcPr>
          <w:p w:rsidR="008811FE" w:rsidRPr="003615EF" w:rsidRDefault="008811FE" w:rsidP="008811FE">
            <w:pPr>
              <w:pStyle w:val="NormalParaAR"/>
              <w:spacing w:before="120" w:after="120" w:line="240" w:lineRule="auto"/>
              <w:jc w:val="center"/>
              <w:rPr>
                <w:b/>
                <w:bCs/>
                <w:sz w:val="32"/>
                <w:szCs w:val="32"/>
              </w:rPr>
            </w:pPr>
            <w:r w:rsidRPr="003615EF">
              <w:rPr>
                <w:b/>
                <w:bCs/>
                <w:sz w:val="32"/>
                <w:szCs w:val="32"/>
                <w:rtl/>
              </w:rPr>
              <w:t>المرجع</w:t>
            </w:r>
          </w:p>
        </w:tc>
        <w:tc>
          <w:tcPr>
            <w:tcW w:w="1435" w:type="pct"/>
            <w:tcBorders>
              <w:top w:val="single" w:sz="4" w:space="0" w:color="auto"/>
              <w:bottom w:val="single" w:sz="4" w:space="0" w:color="auto"/>
            </w:tcBorders>
            <w:shd w:val="clear" w:color="auto" w:fill="92CDDC" w:themeFill="accent5" w:themeFillTint="99"/>
            <w:vAlign w:val="center"/>
          </w:tcPr>
          <w:p w:rsidR="008811FE" w:rsidRPr="003615EF" w:rsidRDefault="008811FE" w:rsidP="008811FE">
            <w:pPr>
              <w:pStyle w:val="NormalParaAR"/>
              <w:spacing w:before="120" w:after="120" w:line="240" w:lineRule="auto"/>
              <w:jc w:val="center"/>
              <w:rPr>
                <w:b/>
                <w:bCs/>
                <w:sz w:val="32"/>
                <w:szCs w:val="32"/>
              </w:rPr>
            </w:pPr>
            <w:r w:rsidRPr="003615EF">
              <w:rPr>
                <w:b/>
                <w:bCs/>
                <w:sz w:val="32"/>
                <w:szCs w:val="32"/>
                <w:rtl/>
              </w:rPr>
              <w:t>رابط إلى تقرير وحدة التفتيش المشتركة</w:t>
            </w:r>
          </w:p>
        </w:tc>
        <w:tc>
          <w:tcPr>
            <w:tcW w:w="1264" w:type="pct"/>
            <w:tcBorders>
              <w:top w:val="single" w:sz="4" w:space="0" w:color="auto"/>
              <w:bottom w:val="single" w:sz="4" w:space="0" w:color="auto"/>
            </w:tcBorders>
            <w:shd w:val="clear" w:color="auto" w:fill="92CDDC" w:themeFill="accent5" w:themeFillTint="99"/>
            <w:vAlign w:val="center"/>
          </w:tcPr>
          <w:p w:rsidR="008811FE" w:rsidRPr="003615EF" w:rsidRDefault="008811FE" w:rsidP="008811FE">
            <w:pPr>
              <w:pStyle w:val="NormalParaAR"/>
              <w:spacing w:before="120" w:after="120" w:line="240" w:lineRule="auto"/>
              <w:jc w:val="center"/>
              <w:rPr>
                <w:b/>
                <w:bCs/>
                <w:sz w:val="32"/>
                <w:szCs w:val="32"/>
              </w:rPr>
            </w:pPr>
            <w:r w:rsidRPr="003615EF">
              <w:rPr>
                <w:b/>
                <w:bCs/>
                <w:sz w:val="32"/>
                <w:szCs w:val="32"/>
                <w:rtl/>
              </w:rPr>
              <w:t>تعليقات</w:t>
            </w:r>
          </w:p>
        </w:tc>
        <w:tc>
          <w:tcPr>
            <w:tcW w:w="1367" w:type="pct"/>
            <w:tcBorders>
              <w:top w:val="single" w:sz="4" w:space="0" w:color="auto"/>
              <w:bottom w:val="single" w:sz="4" w:space="0" w:color="auto"/>
              <w:right w:val="single" w:sz="4" w:space="0" w:color="auto"/>
            </w:tcBorders>
            <w:shd w:val="clear" w:color="auto" w:fill="92CDDC" w:themeFill="accent5" w:themeFillTint="99"/>
            <w:vAlign w:val="center"/>
          </w:tcPr>
          <w:p w:rsidR="008811FE" w:rsidRPr="003615EF" w:rsidRDefault="008811FE" w:rsidP="008811FE">
            <w:pPr>
              <w:bidi/>
              <w:jc w:val="center"/>
              <w:rPr>
                <w:rFonts w:ascii="Arabic Typesetting" w:hAnsi="Arabic Typesetting" w:cs="Arabic Typesetting"/>
                <w:b/>
                <w:bCs/>
                <w:sz w:val="32"/>
                <w:szCs w:val="32"/>
              </w:rPr>
            </w:pPr>
            <w:r w:rsidRPr="003615EF">
              <w:rPr>
                <w:rFonts w:ascii="Arabic Typesetting" w:hAnsi="Arabic Typesetting" w:cs="Arabic Typesetting"/>
                <w:b/>
                <w:bCs/>
                <w:sz w:val="32"/>
                <w:szCs w:val="32"/>
                <w:rtl/>
              </w:rPr>
              <w:t>وثائق أخرى</w:t>
            </w:r>
          </w:p>
        </w:tc>
      </w:tr>
      <w:tr w:rsidR="008811FE" w:rsidRPr="008811FE" w:rsidTr="003615EF">
        <w:trPr>
          <w:cantSplit/>
          <w:trHeight w:val="555"/>
          <w:jc w:val="center"/>
        </w:trPr>
        <w:tc>
          <w:tcPr>
            <w:tcW w:w="934" w:type="pct"/>
            <w:tcBorders>
              <w:top w:val="single" w:sz="4" w:space="0" w:color="auto"/>
            </w:tcBorders>
          </w:tcPr>
          <w:p w:rsidR="008811FE" w:rsidRPr="008811FE" w:rsidRDefault="008811FE" w:rsidP="008811FE">
            <w:pPr>
              <w:pStyle w:val="NormalParaAR"/>
              <w:spacing w:before="120" w:after="120" w:line="240" w:lineRule="auto"/>
              <w:rPr>
                <w:sz w:val="30"/>
                <w:szCs w:val="30"/>
              </w:rPr>
            </w:pPr>
            <w:r w:rsidRPr="008811FE">
              <w:rPr>
                <w:sz w:val="30"/>
                <w:szCs w:val="30"/>
              </w:rPr>
              <w:t>JIU/REP/2015/6</w:t>
            </w:r>
          </w:p>
        </w:tc>
        <w:tc>
          <w:tcPr>
            <w:tcW w:w="1435" w:type="pct"/>
            <w:tcBorders>
              <w:top w:val="single" w:sz="4" w:space="0" w:color="auto"/>
            </w:tcBorders>
          </w:tcPr>
          <w:p w:rsidR="008811FE" w:rsidRPr="008811FE" w:rsidRDefault="00BB637F" w:rsidP="008811FE">
            <w:pPr>
              <w:bidi/>
              <w:spacing w:before="120" w:after="120"/>
              <w:rPr>
                <w:rFonts w:ascii="Arabic Typesetting" w:hAnsi="Arabic Typesetting" w:cs="Arabic Typesetting"/>
                <w:sz w:val="30"/>
                <w:szCs w:val="30"/>
              </w:rPr>
            </w:pPr>
            <w:hyperlink r:id="rId29" w:history="1">
              <w:r w:rsidR="008811FE" w:rsidRPr="008811FE">
                <w:rPr>
                  <w:rStyle w:val="Hyperlink"/>
                  <w:rFonts w:ascii="Arabic Typesetting" w:hAnsi="Arabic Typesetting" w:cs="Arabic Typesetting"/>
                  <w:sz w:val="30"/>
                  <w:szCs w:val="30"/>
                  <w:rtl/>
                </w:rPr>
                <w:t>استعراض خــدمـات أمين المظالم التي توفرها المنظمات على نطاق منظومة الأمم المتحدة</w:t>
              </w:r>
            </w:hyperlink>
          </w:p>
        </w:tc>
        <w:tc>
          <w:tcPr>
            <w:tcW w:w="1264" w:type="pct"/>
            <w:tcBorders>
              <w:top w:val="single" w:sz="4" w:space="0" w:color="auto"/>
            </w:tcBorders>
          </w:tcPr>
          <w:p w:rsidR="008811FE" w:rsidRPr="008811FE" w:rsidRDefault="008811FE" w:rsidP="008811FE">
            <w:pPr>
              <w:pStyle w:val="NormalParaAR"/>
              <w:spacing w:before="120" w:after="120" w:line="240" w:lineRule="auto"/>
              <w:rPr>
                <w:sz w:val="30"/>
                <w:szCs w:val="30"/>
              </w:rPr>
            </w:pPr>
          </w:p>
        </w:tc>
        <w:tc>
          <w:tcPr>
            <w:tcW w:w="1367" w:type="pct"/>
            <w:tcBorders>
              <w:top w:val="single" w:sz="4" w:space="0" w:color="auto"/>
            </w:tcBorders>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994"/>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JIU/REP/2015/5</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30" w:history="1">
              <w:r w:rsidR="008811FE" w:rsidRPr="008811FE">
                <w:rPr>
                  <w:rStyle w:val="Hyperlink"/>
                  <w:rFonts w:ascii="Arabic Typesetting" w:hAnsi="Arabic Typesetting" w:cs="Arabic Typesetting"/>
                  <w:sz w:val="30"/>
                  <w:szCs w:val="30"/>
                  <w:rtl/>
                </w:rPr>
                <w:t>استعراض الأنشطة والموارد المخصصة للتصدي لتغير المناخ في مؤسسات منظومة الأمم المتحدة</w:t>
              </w:r>
            </w:hyperlink>
          </w:p>
        </w:tc>
        <w:tc>
          <w:tcPr>
            <w:tcW w:w="1264" w:type="pct"/>
          </w:tcPr>
          <w:p w:rsidR="008811FE" w:rsidRPr="008811FE" w:rsidRDefault="008811FE" w:rsidP="008811FE">
            <w:pPr>
              <w:pStyle w:val="NormalParaAR"/>
              <w:spacing w:before="120" w:after="120" w:line="240" w:lineRule="auto"/>
              <w:rPr>
                <w:sz w:val="30"/>
                <w:szCs w:val="30"/>
              </w:rPr>
            </w:pPr>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995"/>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JIU/REP/2015/4</w:t>
            </w:r>
          </w:p>
        </w:tc>
        <w:tc>
          <w:tcPr>
            <w:tcW w:w="1435" w:type="pct"/>
          </w:tcPr>
          <w:p w:rsidR="008811FE" w:rsidRPr="008811FE" w:rsidRDefault="00BB637F" w:rsidP="008811FE">
            <w:pPr>
              <w:bidi/>
              <w:spacing w:before="120" w:after="120"/>
              <w:rPr>
                <w:rFonts w:ascii="Arabic Typesetting" w:hAnsi="Arabic Typesetting" w:cs="Arabic Typesetting"/>
                <w:sz w:val="30"/>
                <w:szCs w:val="30"/>
                <w:rtl/>
              </w:rPr>
            </w:pPr>
            <w:hyperlink r:id="rId31" w:history="1">
              <w:r w:rsidR="003615EF">
                <w:rPr>
                  <w:rStyle w:val="Hyperlink"/>
                  <w:rFonts w:ascii="Arabic Typesetting" w:hAnsi="Arabic Typesetting" w:cs="Arabic Typesetting"/>
                  <w:sz w:val="30"/>
                  <w:szCs w:val="30"/>
                  <w:rtl/>
                </w:rPr>
                <w:t>السياسات والممارسات الخاصة بإعلام الجمهور والتواصل في</w:t>
              </w:r>
              <w:r w:rsidR="003615EF">
                <w:rPr>
                  <w:rStyle w:val="Hyperlink"/>
                  <w:rFonts w:ascii="Arabic Typesetting" w:hAnsi="Arabic Typesetting" w:cs="Arabic Typesetting" w:hint="cs"/>
                  <w:sz w:val="30"/>
                  <w:szCs w:val="30"/>
                  <w:rtl/>
                </w:rPr>
                <w:t xml:space="preserve"> مؤسسات</w:t>
              </w:r>
              <w:r w:rsidR="003615EF">
                <w:rPr>
                  <w:rStyle w:val="Hyperlink"/>
                  <w:rFonts w:ascii="Arabic Typesetting" w:hAnsi="Arabic Typesetting" w:cs="Arabic Typesetting"/>
                  <w:sz w:val="30"/>
                  <w:szCs w:val="30"/>
                  <w:rtl/>
                </w:rPr>
                <w:t xml:space="preserve"> منظومة الأمم المتحدة</w:t>
              </w:r>
            </w:hyperlink>
          </w:p>
        </w:tc>
        <w:tc>
          <w:tcPr>
            <w:tcW w:w="1264" w:type="pct"/>
          </w:tcPr>
          <w:p w:rsidR="008811FE" w:rsidRPr="008811FE" w:rsidRDefault="008811FE" w:rsidP="008811FE">
            <w:pPr>
              <w:pStyle w:val="NormalParaAR"/>
              <w:spacing w:before="120" w:after="120" w:line="240" w:lineRule="auto"/>
              <w:rPr>
                <w:sz w:val="30"/>
                <w:szCs w:val="30"/>
              </w:rPr>
            </w:pPr>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66"/>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JIU/REP/2014/9</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32" w:history="1">
              <w:r w:rsidR="008811FE" w:rsidRPr="008811FE">
                <w:rPr>
                  <w:rStyle w:val="Hyperlink"/>
                  <w:rFonts w:ascii="Arabic Typesetting" w:hAnsi="Arabic Typesetting" w:cs="Arabic Typesetting"/>
                  <w:sz w:val="30"/>
                  <w:szCs w:val="30"/>
                  <w:rtl/>
                </w:rPr>
                <w:t>إدارة العقود وتنظيمها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33" w:history="1">
              <w:r w:rsidR="008811FE" w:rsidRPr="008811FE">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66"/>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JIU/REP/2014/6</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34" w:history="1">
              <w:r w:rsidR="008811FE" w:rsidRPr="008811FE">
                <w:rPr>
                  <w:rStyle w:val="Hyperlink"/>
                  <w:rFonts w:ascii="Arabic Typesetting" w:hAnsi="Arabic Typesetting" w:cs="Arabic Typesetting"/>
                  <w:sz w:val="30"/>
                  <w:szCs w:val="30"/>
                  <w:rtl/>
                </w:rPr>
                <w:t>تحليل وظيفة التقييم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35" w:history="1">
              <w:r w:rsidR="008811FE" w:rsidRPr="008811FE">
                <w:rPr>
                  <w:rStyle w:val="Hyperlink"/>
                  <w:sz w:val="30"/>
                  <w:szCs w:val="30"/>
                  <w:rtl/>
                </w:rPr>
                <w:t>تعليقات مجلس الرؤساء التنفيذيين</w:t>
              </w:r>
            </w:hyperlink>
          </w:p>
        </w:tc>
        <w:tc>
          <w:tcPr>
            <w:tcW w:w="1367" w:type="pct"/>
          </w:tcPr>
          <w:p w:rsidR="008811FE" w:rsidRPr="008811FE" w:rsidRDefault="00BB637F" w:rsidP="008811FE">
            <w:pPr>
              <w:pStyle w:val="NormalParaAR"/>
              <w:spacing w:before="120" w:after="120" w:line="240" w:lineRule="auto"/>
              <w:rPr>
                <w:sz w:val="30"/>
                <w:szCs w:val="30"/>
              </w:rPr>
            </w:pPr>
            <w:hyperlink r:id="rId36" w:history="1">
              <w:r w:rsidR="008811FE" w:rsidRPr="008811FE">
                <w:rPr>
                  <w:rStyle w:val="Hyperlink"/>
                  <w:sz w:val="30"/>
                  <w:szCs w:val="30"/>
                  <w:rtl/>
                </w:rPr>
                <w:t>مرفقات تكميلية للوثيقة</w:t>
              </w:r>
              <w:r w:rsidR="008811FE" w:rsidRPr="008811FE">
                <w:rPr>
                  <w:rStyle w:val="Hyperlink"/>
                  <w:sz w:val="30"/>
                  <w:szCs w:val="30"/>
                </w:rPr>
                <w:t xml:space="preserve"> JIU/REP/2014/6</w:t>
              </w:r>
            </w:hyperlink>
          </w:p>
        </w:tc>
      </w:tr>
      <w:tr w:rsidR="008811FE" w:rsidRPr="008811FE" w:rsidTr="003615EF">
        <w:trPr>
          <w:cantSplit/>
          <w:trHeight w:val="994"/>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JIU/REP/2014/2</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37" w:history="1">
              <w:r w:rsidR="008811FE" w:rsidRPr="008811FE">
                <w:rPr>
                  <w:rStyle w:val="Hyperlink"/>
                  <w:rFonts w:ascii="Arabic Typesetting" w:hAnsi="Arabic Typesetting" w:cs="Arabic Typesetting"/>
                  <w:sz w:val="30"/>
                  <w:szCs w:val="30"/>
                  <w:rtl/>
                </w:rPr>
                <w:t>استعراض الإدارة والتسيير في المنظمة العالمية للملكية الفكرية (الويبو</w:t>
              </w:r>
              <w:r w:rsidR="008811FE" w:rsidRPr="008811FE">
                <w:rPr>
                  <w:rStyle w:val="Hyperlink"/>
                  <w:rFonts w:ascii="Arabic Typesetting" w:hAnsi="Arabic Typesetting" w:cs="Arabic Typesetting" w:hint="cs"/>
                  <w:sz w:val="30"/>
                  <w:szCs w:val="30"/>
                  <w:rtl/>
                </w:rPr>
                <w:t>)</w:t>
              </w:r>
            </w:hyperlink>
          </w:p>
        </w:tc>
        <w:tc>
          <w:tcPr>
            <w:tcW w:w="1264" w:type="pct"/>
          </w:tcPr>
          <w:p w:rsidR="008811FE" w:rsidRPr="008811FE" w:rsidRDefault="008811FE" w:rsidP="008811FE">
            <w:pPr>
              <w:pStyle w:val="NormalParaAR"/>
              <w:spacing w:before="120" w:after="120" w:line="240" w:lineRule="auto"/>
              <w:rPr>
                <w:sz w:val="30"/>
                <w:szCs w:val="30"/>
              </w:rPr>
            </w:pPr>
          </w:p>
        </w:tc>
        <w:tc>
          <w:tcPr>
            <w:tcW w:w="1367" w:type="pct"/>
          </w:tcPr>
          <w:p w:rsidR="008811FE" w:rsidRPr="008811FE" w:rsidRDefault="00BB637F" w:rsidP="008811FE">
            <w:pPr>
              <w:pStyle w:val="NormalParaAR"/>
              <w:spacing w:before="120" w:after="120" w:line="240" w:lineRule="auto"/>
              <w:rPr>
                <w:sz w:val="30"/>
                <w:szCs w:val="30"/>
              </w:rPr>
            </w:pPr>
            <w:hyperlink r:id="rId38" w:history="1">
              <w:r w:rsidR="008811FE" w:rsidRPr="008811FE">
                <w:rPr>
                  <w:rStyle w:val="Hyperlink"/>
                  <w:sz w:val="30"/>
                  <w:szCs w:val="30"/>
                  <w:rtl/>
                </w:rPr>
                <w:t>تعليقات الويبو</w:t>
              </w:r>
            </w:hyperlink>
          </w:p>
        </w:tc>
      </w:tr>
      <w:tr w:rsidR="008811FE" w:rsidRPr="008811FE" w:rsidTr="003615EF">
        <w:trPr>
          <w:cantSplit/>
          <w:trHeight w:val="66"/>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JIU/REP/2014/1</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39" w:history="1">
              <w:r w:rsidR="008811FE" w:rsidRPr="008811FE">
                <w:rPr>
                  <w:rStyle w:val="Hyperlink"/>
                  <w:rFonts w:ascii="Arabic Typesetting" w:hAnsi="Arabic Typesetting" w:cs="Arabic Typesetting"/>
                  <w:sz w:val="30"/>
                  <w:szCs w:val="30"/>
                  <w:rtl/>
                </w:rPr>
                <w:t>تحليل لوظيفة تعبئة الموارد داخل منظومة الأمم المتحد</w:t>
              </w:r>
              <w:r w:rsidR="008811FE" w:rsidRPr="008811FE">
                <w:rPr>
                  <w:rStyle w:val="Hyperlink"/>
                  <w:rFonts w:ascii="Arabic Typesetting" w:hAnsi="Arabic Typesetting" w:cs="Arabic Typesetting" w:hint="cs"/>
                  <w:sz w:val="30"/>
                  <w:szCs w:val="30"/>
                  <w:rtl/>
                </w:rPr>
                <w:t>ة</w:t>
              </w:r>
            </w:hyperlink>
          </w:p>
        </w:tc>
        <w:tc>
          <w:tcPr>
            <w:tcW w:w="1264" w:type="pct"/>
          </w:tcPr>
          <w:p w:rsidR="008811FE" w:rsidRPr="008811FE" w:rsidRDefault="00BB637F" w:rsidP="008811FE">
            <w:pPr>
              <w:pStyle w:val="NormalParaAR"/>
              <w:spacing w:before="120" w:after="120" w:line="240" w:lineRule="auto"/>
              <w:rPr>
                <w:sz w:val="30"/>
                <w:szCs w:val="30"/>
              </w:rPr>
            </w:pPr>
            <w:hyperlink r:id="rId40" w:history="1">
              <w:r w:rsidR="008811FE" w:rsidRPr="008811FE">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850"/>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JIU/REP/2013/1</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41" w:history="1">
              <w:r w:rsidR="008811FE" w:rsidRPr="008811FE">
                <w:rPr>
                  <w:rStyle w:val="Hyperlink"/>
                  <w:rFonts w:ascii="Arabic Typesetting" w:hAnsi="Arabic Typesetting" w:cs="Arabic Typesetting"/>
                  <w:sz w:val="30"/>
                  <w:szCs w:val="30"/>
                  <w:rtl/>
                </w:rPr>
                <w:t>استعراض الاتفاقات الطويلة الأجل في مجال المشتريات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42" w:history="1">
              <w:r w:rsidR="008811FE" w:rsidRPr="008811FE">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707"/>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JIU/REP/2012/12</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43" w:history="1">
              <w:r w:rsidR="008811FE" w:rsidRPr="008811FE">
                <w:rPr>
                  <w:rStyle w:val="Hyperlink"/>
                  <w:rFonts w:ascii="Arabic Typesetting" w:hAnsi="Arabic Typesetting" w:cs="Arabic Typesetting"/>
                  <w:sz w:val="30"/>
                  <w:szCs w:val="30"/>
                  <w:rtl/>
                </w:rPr>
                <w:t>التخطيط الاستراتيجي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44"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858"/>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JIU/REP/2012/10</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45" w:history="1">
              <w:r w:rsidR="008811FE" w:rsidRPr="008811FE">
                <w:rPr>
                  <w:rStyle w:val="Hyperlink"/>
                  <w:rFonts w:ascii="Arabic Typesetting" w:hAnsi="Arabic Typesetting" w:cs="Arabic Typesetting"/>
                  <w:sz w:val="30"/>
                  <w:szCs w:val="30"/>
                  <w:rtl/>
                </w:rPr>
                <w:t>العلاقة بين الموظفين والإدارة في الوكالات المتخصَّصة التابعة للأمم المتحدة والنظام الموحَّد</w:t>
              </w:r>
            </w:hyperlink>
          </w:p>
        </w:tc>
        <w:tc>
          <w:tcPr>
            <w:tcW w:w="1264" w:type="pct"/>
          </w:tcPr>
          <w:p w:rsidR="008811FE" w:rsidRPr="008811FE" w:rsidRDefault="008811FE" w:rsidP="008811FE">
            <w:pPr>
              <w:pStyle w:val="NormalParaAR"/>
              <w:spacing w:before="120" w:after="120" w:line="240" w:lineRule="auto"/>
              <w:rPr>
                <w:sz w:val="30"/>
                <w:szCs w:val="30"/>
              </w:rPr>
            </w:pPr>
          </w:p>
        </w:tc>
        <w:tc>
          <w:tcPr>
            <w:tcW w:w="1367" w:type="pct"/>
          </w:tcPr>
          <w:p w:rsidR="008811FE" w:rsidRPr="008811FE" w:rsidRDefault="00BB637F" w:rsidP="008811FE">
            <w:pPr>
              <w:pStyle w:val="NormalParaAR"/>
              <w:spacing w:before="120" w:after="120" w:line="240" w:lineRule="auto"/>
              <w:rPr>
                <w:sz w:val="30"/>
                <w:szCs w:val="30"/>
              </w:rPr>
            </w:pPr>
            <w:hyperlink r:id="rId46" w:history="1">
              <w:r w:rsidR="008811FE" w:rsidRPr="009457E4">
                <w:rPr>
                  <w:rStyle w:val="Hyperlink"/>
                  <w:sz w:val="30"/>
                  <w:szCs w:val="30"/>
                  <w:rtl/>
                </w:rPr>
                <w:t>وثيقة تكميلية للوثيقة</w:t>
              </w:r>
              <w:r w:rsidR="008811FE" w:rsidRPr="009457E4">
                <w:rPr>
                  <w:rStyle w:val="Hyperlink"/>
                  <w:sz w:val="30"/>
                  <w:szCs w:val="30"/>
                </w:rPr>
                <w:t xml:space="preserve"> JIU/REP/2012/10</w:t>
              </w:r>
            </w:hyperlink>
          </w:p>
        </w:tc>
      </w:tr>
      <w:tr w:rsidR="008811FE" w:rsidRPr="008811FE" w:rsidTr="003615EF">
        <w:trPr>
          <w:cantSplit/>
          <w:trHeight w:val="238"/>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lastRenderedPageBreak/>
              <w:t>JIU/REP/2012/9</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47" w:history="1">
              <w:r w:rsidR="008811FE" w:rsidRPr="008811FE">
                <w:rPr>
                  <w:rStyle w:val="Hyperlink"/>
                  <w:rFonts w:ascii="Arabic Typesetting" w:hAnsi="Arabic Typesetting" w:cs="Arabic Typesetting"/>
                  <w:sz w:val="30"/>
                  <w:szCs w:val="30"/>
                  <w:rtl/>
                </w:rPr>
                <w:t>اللجوء إلى دفع المبلغ الإجمالي المقطوع بدلاً من الاستحقاقات</w:t>
              </w:r>
            </w:hyperlink>
          </w:p>
        </w:tc>
        <w:tc>
          <w:tcPr>
            <w:tcW w:w="1264" w:type="pct"/>
          </w:tcPr>
          <w:p w:rsidR="008811FE" w:rsidRPr="008811FE" w:rsidRDefault="00BB637F" w:rsidP="008811FE">
            <w:pPr>
              <w:pStyle w:val="NormalParaAR"/>
              <w:spacing w:before="120" w:after="120" w:line="240" w:lineRule="auto"/>
              <w:rPr>
                <w:sz w:val="30"/>
                <w:szCs w:val="30"/>
              </w:rPr>
            </w:pPr>
            <w:hyperlink r:id="rId48"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1188"/>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JIU/REP/2012/4</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49" w:history="1">
              <w:r w:rsidR="008811FE" w:rsidRPr="008811FE">
                <w:rPr>
                  <w:rStyle w:val="Hyperlink"/>
                  <w:rFonts w:ascii="Arabic Typesetting" w:hAnsi="Arabic Typesetting" w:cs="Arabic Typesetting" w:hint="cs"/>
                  <w:sz w:val="30"/>
                  <w:szCs w:val="30"/>
                  <w:rtl/>
                </w:rPr>
                <w:t>استقدام الموظفين في مؤسسات منظومة الأمم المتحدة: تحليل مقارن وإطار مرجعي</w:t>
              </w:r>
            </w:hyperlink>
          </w:p>
        </w:tc>
        <w:tc>
          <w:tcPr>
            <w:tcW w:w="1264" w:type="pct"/>
          </w:tcPr>
          <w:p w:rsidR="008811FE" w:rsidRPr="008811FE" w:rsidRDefault="00BB637F" w:rsidP="008811FE">
            <w:pPr>
              <w:pStyle w:val="NormalParaAR"/>
              <w:spacing w:before="120" w:after="120" w:line="240" w:lineRule="auto"/>
              <w:rPr>
                <w:sz w:val="30"/>
                <w:szCs w:val="30"/>
              </w:rPr>
            </w:pPr>
            <w:hyperlink r:id="rId50"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381"/>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JIU/REP/2012/2</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51" w:history="1">
              <w:r w:rsidR="008811FE" w:rsidRPr="008811FE">
                <w:rPr>
                  <w:rStyle w:val="Hyperlink"/>
                  <w:rFonts w:ascii="Arabic Typesetting" w:hAnsi="Arabic Typesetting" w:cs="Arabic Typesetting"/>
                  <w:sz w:val="30"/>
                  <w:szCs w:val="30"/>
                  <w:rtl/>
                </w:rPr>
                <w:t>عملية إدارة الإجازات المرضية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52"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221"/>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JIU/REP/2011/7</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53" w:history="1">
              <w:r w:rsidR="008811FE" w:rsidRPr="008811FE">
                <w:rPr>
                  <w:rStyle w:val="Hyperlink"/>
                  <w:rFonts w:ascii="Arabic Typesetting" w:hAnsi="Arabic Typesetting" w:cs="Arabic Typesetting"/>
                  <w:sz w:val="30"/>
                  <w:szCs w:val="30"/>
                  <w:rtl/>
                </w:rPr>
                <w:t>وظيفة التحقيق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54"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66"/>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JIU/REP/2011/5</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55" w:history="1">
              <w:r w:rsidR="008811FE" w:rsidRPr="008811FE">
                <w:rPr>
                  <w:rStyle w:val="Hyperlink"/>
                  <w:rFonts w:ascii="Arabic Typesetting" w:hAnsi="Arabic Typesetting" w:cs="Arabic Typesetting"/>
                  <w:sz w:val="30"/>
                  <w:szCs w:val="30"/>
                  <w:rtl/>
                </w:rPr>
                <w:t>أطر المساءلة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56"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223"/>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JIU/REP/2011/4</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57" w:history="1">
              <w:r w:rsidR="008811FE" w:rsidRPr="008811FE">
                <w:rPr>
                  <w:rStyle w:val="Hyperlink"/>
                  <w:rFonts w:ascii="Arabic Typesetting" w:hAnsi="Arabic Typesetting" w:cs="Arabic Typesetting"/>
                  <w:sz w:val="30"/>
                  <w:szCs w:val="30"/>
                  <w:rtl/>
                </w:rPr>
                <w:t>التعددية اللغوية في مؤسسات منظومة الأمم المتحدة: حالة التنفيذ</w:t>
              </w:r>
            </w:hyperlink>
          </w:p>
        </w:tc>
        <w:tc>
          <w:tcPr>
            <w:tcW w:w="1264" w:type="pct"/>
          </w:tcPr>
          <w:p w:rsidR="008811FE" w:rsidRPr="008811FE" w:rsidRDefault="00BB637F" w:rsidP="008811FE">
            <w:pPr>
              <w:pStyle w:val="NormalParaAR"/>
              <w:spacing w:before="120" w:after="120" w:line="240" w:lineRule="auto"/>
              <w:rPr>
                <w:sz w:val="30"/>
                <w:szCs w:val="30"/>
              </w:rPr>
            </w:pPr>
            <w:hyperlink r:id="rId58"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1140"/>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JIU/REP/2011/3</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59" w:history="1">
              <w:r w:rsidR="008811FE" w:rsidRPr="008811FE">
                <w:rPr>
                  <w:rStyle w:val="Hyperlink"/>
                  <w:rFonts w:ascii="Arabic Typesetting" w:hAnsi="Arabic Typesetting" w:cs="Arabic Typesetting"/>
                  <w:sz w:val="30"/>
                  <w:szCs w:val="30"/>
                  <w:rtl/>
                </w:rPr>
                <w:t>التعاون فيما بين بلدان الجنوب والتعاون الثلاثي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60"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912"/>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JIU/REP/2010/7</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61" w:history="1">
              <w:r w:rsidR="008811FE" w:rsidRPr="008811FE">
                <w:rPr>
                  <w:rStyle w:val="Hyperlink"/>
                  <w:rFonts w:ascii="Arabic Typesetting" w:hAnsi="Arabic Typesetting" w:cs="Arabic Typesetting"/>
                  <w:sz w:val="30"/>
                  <w:szCs w:val="30"/>
                  <w:rtl/>
                </w:rPr>
                <w:t>السياسات والإجراءات المتعلقة بإدارة الصناديق الاستئمانية في مؤسسات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62"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r w:rsidR="008811FE" w:rsidRPr="008811FE" w:rsidTr="003615EF">
        <w:trPr>
          <w:cantSplit/>
          <w:trHeight w:val="66"/>
          <w:jc w:val="center"/>
        </w:trPr>
        <w:tc>
          <w:tcPr>
            <w:tcW w:w="934" w:type="pct"/>
          </w:tcPr>
          <w:p w:rsidR="008811FE" w:rsidRPr="008811FE" w:rsidRDefault="008811FE" w:rsidP="008811FE">
            <w:pPr>
              <w:pStyle w:val="NormalParaAR"/>
              <w:spacing w:before="120" w:after="120" w:line="240" w:lineRule="auto"/>
              <w:rPr>
                <w:sz w:val="30"/>
                <w:szCs w:val="30"/>
              </w:rPr>
            </w:pPr>
            <w:r w:rsidRPr="008811FE">
              <w:rPr>
                <w:sz w:val="30"/>
                <w:szCs w:val="30"/>
              </w:rPr>
              <w:t>JIU/REP/2010/3</w:t>
            </w:r>
          </w:p>
        </w:tc>
        <w:tc>
          <w:tcPr>
            <w:tcW w:w="1435" w:type="pct"/>
          </w:tcPr>
          <w:p w:rsidR="008811FE" w:rsidRPr="008811FE" w:rsidRDefault="00BB637F" w:rsidP="008811FE">
            <w:pPr>
              <w:bidi/>
              <w:spacing w:before="120" w:after="120"/>
              <w:rPr>
                <w:rFonts w:ascii="Arabic Typesetting" w:hAnsi="Arabic Typesetting" w:cs="Arabic Typesetting"/>
                <w:sz w:val="30"/>
                <w:szCs w:val="30"/>
              </w:rPr>
            </w:pPr>
            <w:hyperlink r:id="rId63" w:history="1">
              <w:r w:rsidR="008811FE" w:rsidRPr="008811FE">
                <w:rPr>
                  <w:rStyle w:val="Hyperlink"/>
                  <w:rFonts w:ascii="Arabic Typesetting" w:hAnsi="Arabic Typesetting" w:cs="Arabic Typesetting"/>
                  <w:sz w:val="30"/>
                  <w:szCs w:val="30"/>
                  <w:rtl/>
                </w:rPr>
                <w:t>قواعد الأخلاق في منظومة الأمم المتحدة</w:t>
              </w:r>
            </w:hyperlink>
          </w:p>
        </w:tc>
        <w:tc>
          <w:tcPr>
            <w:tcW w:w="1264" w:type="pct"/>
          </w:tcPr>
          <w:p w:rsidR="008811FE" w:rsidRPr="008811FE" w:rsidRDefault="00BB637F" w:rsidP="008811FE">
            <w:pPr>
              <w:pStyle w:val="NormalParaAR"/>
              <w:spacing w:before="120" w:after="120" w:line="240" w:lineRule="auto"/>
              <w:rPr>
                <w:sz w:val="30"/>
                <w:szCs w:val="30"/>
              </w:rPr>
            </w:pPr>
            <w:hyperlink r:id="rId64" w:history="1">
              <w:r w:rsidR="008811FE" w:rsidRPr="009457E4">
                <w:rPr>
                  <w:rStyle w:val="Hyperlink"/>
                  <w:sz w:val="30"/>
                  <w:szCs w:val="30"/>
                  <w:rtl/>
                </w:rPr>
                <w:t>تعليقات مجلس الرؤساء التنفيذيين</w:t>
              </w:r>
            </w:hyperlink>
          </w:p>
        </w:tc>
        <w:tc>
          <w:tcPr>
            <w:tcW w:w="1367" w:type="pct"/>
          </w:tcPr>
          <w:p w:rsidR="008811FE" w:rsidRPr="008811FE" w:rsidRDefault="008811FE" w:rsidP="008811FE">
            <w:pPr>
              <w:pStyle w:val="NormalParaAR"/>
              <w:spacing w:before="120" w:after="120" w:line="240" w:lineRule="auto"/>
              <w:rPr>
                <w:sz w:val="30"/>
                <w:szCs w:val="30"/>
              </w:rPr>
            </w:pPr>
          </w:p>
        </w:tc>
      </w:tr>
    </w:tbl>
    <w:p w:rsidR="00097CE0" w:rsidRPr="00097CE0" w:rsidRDefault="00097CE0" w:rsidP="00EC6AD0">
      <w:pPr>
        <w:pStyle w:val="EndofDocumentAR"/>
        <w:spacing w:before="240"/>
      </w:pPr>
      <w:r w:rsidRPr="00097CE0">
        <w:rPr>
          <w:rtl/>
        </w:rPr>
        <w:t xml:space="preserve">[نهاية المرفق </w:t>
      </w:r>
      <w:r w:rsidRPr="00097CE0">
        <w:rPr>
          <w:rFonts w:hint="cs"/>
          <w:rtl/>
        </w:rPr>
        <w:t xml:space="preserve">الثاني </w:t>
      </w:r>
      <w:r w:rsidRPr="00097CE0">
        <w:rPr>
          <w:rtl/>
        </w:rPr>
        <w:t>والوثيقة]</w:t>
      </w:r>
    </w:p>
    <w:sectPr w:rsidR="00097CE0" w:rsidRPr="00097CE0" w:rsidSect="00EB7752">
      <w:headerReference w:type="default" r:id="rId65"/>
      <w:headerReference w:type="first" r:id="rId6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82" w:rsidRDefault="003C2282">
      <w:r>
        <w:separator/>
      </w:r>
    </w:p>
  </w:endnote>
  <w:endnote w:type="continuationSeparator" w:id="0">
    <w:p w:rsidR="003C2282" w:rsidRDefault="003C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82" w:rsidRDefault="003C2282" w:rsidP="009622BF">
      <w:pPr>
        <w:bidi/>
      </w:pPr>
      <w:bookmarkStart w:id="0" w:name="OLE_LINK1"/>
      <w:bookmarkStart w:id="1" w:name="OLE_LINK2"/>
      <w:r>
        <w:separator/>
      </w:r>
      <w:bookmarkEnd w:id="0"/>
      <w:bookmarkEnd w:id="1"/>
    </w:p>
  </w:footnote>
  <w:footnote w:type="continuationSeparator" w:id="0">
    <w:p w:rsidR="003C2282" w:rsidRDefault="003C2282" w:rsidP="009622BF">
      <w:pPr>
        <w:bidi/>
      </w:pPr>
      <w:r>
        <w:separator/>
      </w:r>
    </w:p>
  </w:footnote>
  <w:footnote w:id="1">
    <w:p w:rsidR="001705D0" w:rsidRPr="004A0E3D" w:rsidRDefault="001705D0" w:rsidP="004C3C5D">
      <w:pPr>
        <w:pStyle w:val="FootnoteText"/>
      </w:pPr>
      <w:r w:rsidRPr="004A0E3D">
        <w:rPr>
          <w:rStyle w:val="FootnoteReference"/>
        </w:rPr>
        <w:footnoteRef/>
      </w:r>
      <w:r w:rsidRPr="004A0E3D">
        <w:rPr>
          <w:rtl/>
        </w:rPr>
        <w:t xml:space="preserve"> التوصيات الجديدة والمغلقة موزعة بحسب سنة </w:t>
      </w:r>
      <w:r>
        <w:rPr>
          <w:rFonts w:hint="cs"/>
          <w:rtl/>
        </w:rPr>
        <w:t>صدور التقرير المعني</w:t>
      </w:r>
      <w:r w:rsidRPr="004A0E3D">
        <w:rPr>
          <w:rtl/>
        </w:rPr>
        <w:t xml:space="preserve"> </w:t>
      </w:r>
      <w:r>
        <w:rPr>
          <w:rFonts w:hint="cs"/>
          <w:rtl/>
        </w:rPr>
        <w:t>ل</w:t>
      </w:r>
      <w:r>
        <w:rPr>
          <w:rtl/>
        </w:rPr>
        <w:t>وحدة التفتيش المشتركة</w:t>
      </w:r>
      <w:r w:rsidRPr="004A0E3D">
        <w:rPr>
          <w:rtl/>
        </w:rPr>
        <w:t>.</w:t>
      </w:r>
    </w:p>
  </w:footnote>
  <w:footnote w:id="2">
    <w:p w:rsidR="001705D0" w:rsidRPr="004A0E3D" w:rsidRDefault="001705D0" w:rsidP="00930662">
      <w:pPr>
        <w:pStyle w:val="FootnoteText"/>
      </w:pPr>
      <w:r w:rsidRPr="004A0E3D">
        <w:rPr>
          <w:rStyle w:val="FootnoteReference"/>
        </w:rPr>
        <w:footnoteRef/>
      </w:r>
      <w:r w:rsidRPr="004A0E3D">
        <w:rPr>
          <w:rtl/>
        </w:rPr>
        <w:t xml:space="preserve"> وجهت رسائل إلى إدارة </w:t>
      </w:r>
      <w:r w:rsidR="00935632" w:rsidRPr="00935632">
        <w:rPr>
          <w:rtl/>
        </w:rPr>
        <w:t>الوكالة الدولية للطاقة الذرية</w:t>
      </w:r>
      <w:r w:rsidRPr="004A0E3D">
        <w:rPr>
          <w:rtl/>
        </w:rPr>
        <w:t>، وبرنامج الأغذية العالمي</w:t>
      </w:r>
      <w:r w:rsidR="00930662">
        <w:rPr>
          <w:rFonts w:hint="cs"/>
          <w:rtl/>
        </w:rPr>
        <w:t>،</w:t>
      </w:r>
      <w:r w:rsidRPr="004A0E3D">
        <w:rPr>
          <w:rtl/>
        </w:rPr>
        <w:t xml:space="preserve"> والمنظمة العالمية للأرصاد الجوية</w:t>
      </w:r>
      <w:r w:rsidR="00930662">
        <w:rPr>
          <w:rFonts w:hint="cs"/>
          <w:rtl/>
        </w:rPr>
        <w:t>،</w:t>
      </w:r>
      <w:r w:rsidRPr="004A0E3D">
        <w:rPr>
          <w:rtl/>
        </w:rPr>
        <w:t xml:space="preserve"> وأمانة الأمم المتحدة</w:t>
      </w:r>
      <w:r w:rsidR="00930662">
        <w:rPr>
          <w:rFonts w:hint="cs"/>
          <w:rtl/>
        </w:rPr>
        <w:t>،</w:t>
      </w:r>
      <w:r w:rsidRPr="004A0E3D">
        <w:rPr>
          <w:rtl/>
        </w:rPr>
        <w:t xml:space="preserve"> والمنظمة العالمية للملكية</w:t>
      </w:r>
      <w:r w:rsidR="00930662">
        <w:rPr>
          <w:rFonts w:hint="cs"/>
          <w:rtl/>
        </w:rPr>
        <w:t> </w:t>
      </w:r>
      <w:r w:rsidRPr="004A0E3D">
        <w:rPr>
          <w:rtl/>
        </w:rPr>
        <w:t>الفكرية حتى نهاية أبريل 2016.</w:t>
      </w:r>
    </w:p>
  </w:footnote>
  <w:footnote w:id="3">
    <w:p w:rsidR="001705D0" w:rsidRPr="004A0E3D" w:rsidRDefault="001705D0" w:rsidP="00E626FA">
      <w:pPr>
        <w:pStyle w:val="FootnoteText"/>
      </w:pPr>
      <w:r w:rsidRPr="004A0E3D">
        <w:rPr>
          <w:rStyle w:val="FootnoteReference"/>
        </w:rPr>
        <w:footnoteRef/>
      </w:r>
      <w:r w:rsidRPr="004A0E3D">
        <w:rPr>
          <w:rtl/>
        </w:rPr>
        <w:t xml:space="preserve"> </w:t>
      </w:r>
      <w:r>
        <w:rPr>
          <w:rFonts w:hint="cs"/>
          <w:rtl/>
        </w:rPr>
        <w:t>تقارير وحدة التفتيش المشتركة التي تضم توصيات مفتوحة ومنها التوصيات الواردة في هذا التقرير.</w:t>
      </w:r>
    </w:p>
  </w:footnote>
  <w:footnote w:id="4">
    <w:p w:rsidR="001705D0" w:rsidRDefault="001705D0">
      <w:pPr>
        <w:pStyle w:val="FootnoteText"/>
      </w:pPr>
      <w:r>
        <w:rPr>
          <w:rStyle w:val="FootnoteReference"/>
        </w:rPr>
        <w:footnoteRef/>
      </w:r>
      <w:r>
        <w:rPr>
          <w:rtl/>
        </w:rPr>
        <w:t xml:space="preserve"> </w:t>
      </w:r>
      <w:r>
        <w:rPr>
          <w:rFonts w:hint="cs"/>
          <w:rtl/>
        </w:rPr>
        <w:t>تقارير وحدة التفتيش المشتركة التي تضم توصيات مفتوحة ومنها التوصيات الواردة في هذا التقرير.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D0" w:rsidRDefault="001705D0" w:rsidP="00865956">
    <w:r>
      <w:t>WO/PBC/25/6</w:t>
    </w:r>
  </w:p>
  <w:p w:rsidR="001705D0" w:rsidRDefault="001705D0" w:rsidP="00D61541">
    <w:r>
      <w:fldChar w:fldCharType="begin"/>
    </w:r>
    <w:r>
      <w:instrText xml:space="preserve"> PAGE  \* MERGEFORMAT </w:instrText>
    </w:r>
    <w:r>
      <w:fldChar w:fldCharType="separate"/>
    </w:r>
    <w:r w:rsidR="00BB637F">
      <w:rPr>
        <w:noProof/>
      </w:rPr>
      <w:t>4</w:t>
    </w:r>
    <w:r>
      <w:fldChar w:fldCharType="end"/>
    </w:r>
  </w:p>
  <w:p w:rsidR="001705D0" w:rsidRDefault="001705D0"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D0" w:rsidRDefault="001705D0" w:rsidP="000D29A0">
    <w:r>
      <w:t>WO/PBC/25/</w:t>
    </w:r>
    <w:r>
      <w:rPr>
        <w:sz w:val="24"/>
        <w:szCs w:val="22"/>
      </w:rPr>
      <w:t>6</w:t>
    </w:r>
  </w:p>
  <w:p w:rsidR="001705D0" w:rsidRDefault="001705D0" w:rsidP="000D29A0">
    <w:r>
      <w:t>Annex I</w:t>
    </w:r>
  </w:p>
  <w:p w:rsidR="001705D0" w:rsidRDefault="001705D0" w:rsidP="000D29A0">
    <w:pP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BB637F">
      <w:rPr>
        <w:rFonts w:cs="Times New Roman"/>
        <w:noProof/>
        <w:szCs w:val="24"/>
      </w:rPr>
      <w:t>7</w:t>
    </w:r>
    <w:r>
      <w:rPr>
        <w:rFonts w:cs="Times New Roman"/>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D0" w:rsidRDefault="001705D0" w:rsidP="000D29A0">
    <w:r>
      <w:t>WO/PBC/25/6</w:t>
    </w:r>
  </w:p>
  <w:p w:rsidR="001705D0" w:rsidRDefault="001705D0" w:rsidP="000D29A0">
    <w:pPr>
      <w:rPr>
        <w:rtl/>
      </w:rPr>
    </w:pPr>
    <w:r w:rsidRPr="00FE409B">
      <w:t>A</w:t>
    </w:r>
    <w:r>
      <w:t>NNEX I</w:t>
    </w:r>
  </w:p>
  <w:p w:rsidR="001705D0" w:rsidRPr="00FC7BA7" w:rsidRDefault="001705D0" w:rsidP="000D29A0">
    <w:r w:rsidRPr="00D5629C">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D0" w:rsidRDefault="001705D0" w:rsidP="000D29A0">
    <w:r>
      <w:t>WO/PBC/25/</w:t>
    </w:r>
    <w:r>
      <w:rPr>
        <w:sz w:val="24"/>
        <w:szCs w:val="22"/>
      </w:rPr>
      <w:t>6</w:t>
    </w:r>
  </w:p>
  <w:p w:rsidR="001705D0" w:rsidRDefault="001705D0" w:rsidP="000D29A0">
    <w:r>
      <w:t>Annex II</w:t>
    </w:r>
  </w:p>
  <w:p w:rsidR="001705D0" w:rsidRDefault="001705D0" w:rsidP="000D29A0">
    <w:pP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BB637F">
      <w:rPr>
        <w:rFonts w:cs="Times New Roman"/>
        <w:noProof/>
        <w:szCs w:val="24"/>
      </w:rPr>
      <w:t>9</w:t>
    </w:r>
    <w:r>
      <w:rPr>
        <w:rFonts w:cs="Times New Roman"/>
        <w:szCs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5D0" w:rsidRDefault="001705D0" w:rsidP="00E626FA">
    <w:r>
      <w:t>WO/PBC/25/6</w:t>
    </w:r>
  </w:p>
  <w:p w:rsidR="001705D0" w:rsidRDefault="001705D0" w:rsidP="00E626FA">
    <w:pPr>
      <w:rPr>
        <w:rtl/>
      </w:rPr>
    </w:pPr>
    <w:r w:rsidRPr="00FE409B">
      <w:t>A</w:t>
    </w:r>
    <w:r>
      <w:t>NNEX II</w:t>
    </w:r>
  </w:p>
  <w:p w:rsidR="001705D0" w:rsidRPr="00FC7BA7" w:rsidRDefault="001705D0" w:rsidP="000D29A0">
    <w:r w:rsidRPr="00D5629C">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E104DD94"/>
    <w:lvl w:ilvl="0" w:tplc="F53E0CA8">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FA"/>
    <w:rsid w:val="00002CBE"/>
    <w:rsid w:val="00003232"/>
    <w:rsid w:val="000033DA"/>
    <w:rsid w:val="0000579F"/>
    <w:rsid w:val="000074D1"/>
    <w:rsid w:val="000076BD"/>
    <w:rsid w:val="000077A8"/>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DC5"/>
    <w:rsid w:val="00031B2C"/>
    <w:rsid w:val="00033D2C"/>
    <w:rsid w:val="00035CE8"/>
    <w:rsid w:val="00036041"/>
    <w:rsid w:val="00040637"/>
    <w:rsid w:val="00040688"/>
    <w:rsid w:val="0004070F"/>
    <w:rsid w:val="00040AC1"/>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CE0"/>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9A0"/>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C8A"/>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28B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82B"/>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5D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01FC"/>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5EF"/>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41"/>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2282"/>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C5D"/>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242F"/>
    <w:rsid w:val="005B37D9"/>
    <w:rsid w:val="005B445B"/>
    <w:rsid w:val="005B474E"/>
    <w:rsid w:val="005B489A"/>
    <w:rsid w:val="005B63A6"/>
    <w:rsid w:val="005B64D1"/>
    <w:rsid w:val="005B6A88"/>
    <w:rsid w:val="005B6E05"/>
    <w:rsid w:val="005B6EE1"/>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0FC"/>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1FE"/>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662"/>
    <w:rsid w:val="00931859"/>
    <w:rsid w:val="0093205C"/>
    <w:rsid w:val="009343F5"/>
    <w:rsid w:val="0093456A"/>
    <w:rsid w:val="009345AE"/>
    <w:rsid w:val="00935301"/>
    <w:rsid w:val="00935632"/>
    <w:rsid w:val="00936F64"/>
    <w:rsid w:val="00937B8E"/>
    <w:rsid w:val="00940C5B"/>
    <w:rsid w:val="009411F7"/>
    <w:rsid w:val="009417F1"/>
    <w:rsid w:val="00941A84"/>
    <w:rsid w:val="0094204A"/>
    <w:rsid w:val="009443ED"/>
    <w:rsid w:val="009457E4"/>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0F96"/>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733"/>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144"/>
    <w:rsid w:val="00AF6318"/>
    <w:rsid w:val="00B0072E"/>
    <w:rsid w:val="00B03B63"/>
    <w:rsid w:val="00B0513A"/>
    <w:rsid w:val="00B06089"/>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FAA"/>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37F"/>
    <w:rsid w:val="00BB7A5D"/>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9A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6FA"/>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6F52"/>
    <w:rsid w:val="00EB7752"/>
    <w:rsid w:val="00EC0725"/>
    <w:rsid w:val="00EC0889"/>
    <w:rsid w:val="00EC0C13"/>
    <w:rsid w:val="00EC148C"/>
    <w:rsid w:val="00EC2D7D"/>
    <w:rsid w:val="00EC36AD"/>
    <w:rsid w:val="00EC3BCF"/>
    <w:rsid w:val="00EC56B1"/>
    <w:rsid w:val="00EC664F"/>
    <w:rsid w:val="00EC6749"/>
    <w:rsid w:val="00EC6AD0"/>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A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5EC7"/>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B50"/>
    <w:rsid w:val="00FA0C9D"/>
    <w:rsid w:val="00FA169B"/>
    <w:rsid w:val="00FA2C4B"/>
    <w:rsid w:val="00FA5CC6"/>
    <w:rsid w:val="00FA64D5"/>
    <w:rsid w:val="00FA6760"/>
    <w:rsid w:val="00FA70F6"/>
    <w:rsid w:val="00FA7420"/>
    <w:rsid w:val="00FA756C"/>
    <w:rsid w:val="00FA75E4"/>
    <w:rsid w:val="00FA776B"/>
    <w:rsid w:val="00FB0AB1"/>
    <w:rsid w:val="00FB1C62"/>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D21"/>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E626FA"/>
    <w:rPr>
      <w:rFonts w:ascii="Arabic Typesetting" w:hAnsi="Arabic Typesetting" w:cs="Arabic Typesetting"/>
      <w:sz w:val="28"/>
      <w:szCs w:val="28"/>
    </w:rPr>
  </w:style>
  <w:style w:type="table" w:customStyle="1" w:styleId="TableGrid1">
    <w:name w:val="Table Grid1"/>
    <w:basedOn w:val="TableNormal"/>
    <w:next w:val="TableGrid"/>
    <w:uiPriority w:val="59"/>
    <w:rsid w:val="00097CE0"/>
    <w:rPr>
      <w:rFonts w:ascii="Arial" w:hAnsi="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D29A0"/>
    <w:rPr>
      <w:sz w:val="16"/>
      <w:szCs w:val="16"/>
    </w:rPr>
  </w:style>
  <w:style w:type="paragraph" w:styleId="CommentSubject">
    <w:name w:val="annotation subject"/>
    <w:basedOn w:val="CommentText"/>
    <w:next w:val="CommentText"/>
    <w:link w:val="CommentSubjectChar"/>
    <w:rsid w:val="000D29A0"/>
    <w:rPr>
      <w:b/>
      <w:bCs/>
      <w:sz w:val="20"/>
    </w:rPr>
  </w:style>
  <w:style w:type="character" w:customStyle="1" w:styleId="CommentTextChar">
    <w:name w:val="Comment Text Char"/>
    <w:basedOn w:val="DefaultParagraphFont"/>
    <w:link w:val="CommentText"/>
    <w:semiHidden/>
    <w:rsid w:val="000D29A0"/>
    <w:rPr>
      <w:rFonts w:ascii="Arial" w:hAnsi="Arial" w:cs="Arial"/>
      <w:sz w:val="18"/>
    </w:rPr>
  </w:style>
  <w:style w:type="character" w:customStyle="1" w:styleId="CommentSubjectChar">
    <w:name w:val="Comment Subject Char"/>
    <w:basedOn w:val="CommentTextChar"/>
    <w:link w:val="CommentSubject"/>
    <w:rsid w:val="000D29A0"/>
    <w:rPr>
      <w:rFonts w:ascii="Arial" w:hAnsi="Arial" w:cs="Arial"/>
      <w:b/>
      <w:bCs/>
      <w:sz w:val="18"/>
    </w:rPr>
  </w:style>
  <w:style w:type="character" w:styleId="Hyperlink">
    <w:name w:val="Hyperlink"/>
    <w:basedOn w:val="DefaultParagraphFont"/>
    <w:rsid w:val="00EC6AD0"/>
    <w:rPr>
      <w:color w:val="0000FF" w:themeColor="hyperlink"/>
      <w:u w:val="single"/>
    </w:rPr>
  </w:style>
  <w:style w:type="character" w:styleId="FollowedHyperlink">
    <w:name w:val="FollowedHyperlink"/>
    <w:basedOn w:val="DefaultParagraphFont"/>
    <w:rsid w:val="00EC6A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rsid w:val="00E626FA"/>
    <w:rPr>
      <w:rFonts w:ascii="Arabic Typesetting" w:hAnsi="Arabic Typesetting" w:cs="Arabic Typesetting"/>
      <w:sz w:val="28"/>
      <w:szCs w:val="28"/>
    </w:rPr>
  </w:style>
  <w:style w:type="table" w:customStyle="1" w:styleId="TableGrid1">
    <w:name w:val="Table Grid1"/>
    <w:basedOn w:val="TableNormal"/>
    <w:next w:val="TableGrid"/>
    <w:uiPriority w:val="59"/>
    <w:rsid w:val="00097CE0"/>
    <w:rPr>
      <w:rFonts w:ascii="Arial" w:hAnsi="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D29A0"/>
    <w:rPr>
      <w:sz w:val="16"/>
      <w:szCs w:val="16"/>
    </w:rPr>
  </w:style>
  <w:style w:type="paragraph" w:styleId="CommentSubject">
    <w:name w:val="annotation subject"/>
    <w:basedOn w:val="CommentText"/>
    <w:next w:val="CommentText"/>
    <w:link w:val="CommentSubjectChar"/>
    <w:rsid w:val="000D29A0"/>
    <w:rPr>
      <w:b/>
      <w:bCs/>
      <w:sz w:val="20"/>
    </w:rPr>
  </w:style>
  <w:style w:type="character" w:customStyle="1" w:styleId="CommentTextChar">
    <w:name w:val="Comment Text Char"/>
    <w:basedOn w:val="DefaultParagraphFont"/>
    <w:link w:val="CommentText"/>
    <w:semiHidden/>
    <w:rsid w:val="000D29A0"/>
    <w:rPr>
      <w:rFonts w:ascii="Arial" w:hAnsi="Arial" w:cs="Arial"/>
      <w:sz w:val="18"/>
    </w:rPr>
  </w:style>
  <w:style w:type="character" w:customStyle="1" w:styleId="CommentSubjectChar">
    <w:name w:val="Comment Subject Char"/>
    <w:basedOn w:val="CommentTextChar"/>
    <w:link w:val="CommentSubject"/>
    <w:rsid w:val="000D29A0"/>
    <w:rPr>
      <w:rFonts w:ascii="Arial" w:hAnsi="Arial" w:cs="Arial"/>
      <w:b/>
      <w:bCs/>
      <w:sz w:val="18"/>
    </w:rPr>
  </w:style>
  <w:style w:type="character" w:styleId="Hyperlink">
    <w:name w:val="Hyperlink"/>
    <w:basedOn w:val="DefaultParagraphFont"/>
    <w:rsid w:val="00EC6AD0"/>
    <w:rPr>
      <w:color w:val="0000FF" w:themeColor="hyperlink"/>
      <w:u w:val="single"/>
    </w:rPr>
  </w:style>
  <w:style w:type="character" w:styleId="FollowedHyperlink">
    <w:name w:val="FollowedHyperlink"/>
    <w:basedOn w:val="DefaultParagraphFont"/>
    <w:rsid w:val="00EC6A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unjiu.org/en/reports-notes/JIU%20Products/JIU_REP_2015_4_English.pdf" TargetMode="External"/><Relationship Id="rId26" Type="http://schemas.openxmlformats.org/officeDocument/2006/relationships/header" Target="header2.xml"/><Relationship Id="rId39" Type="http://schemas.openxmlformats.org/officeDocument/2006/relationships/hyperlink" Target="https://www.unjiu.org/ar/reports-notes/JIU%20Products/JIU_REP_2014_1_Arabic.pdf" TargetMode="External"/><Relationship Id="rId21" Type="http://schemas.openxmlformats.org/officeDocument/2006/relationships/hyperlink" Target="https://www.unjiu.org/ar/reports-notes/JIU%20Products/JIU_REP_2012_12_Arabic.pdf" TargetMode="External"/><Relationship Id="rId34" Type="http://schemas.openxmlformats.org/officeDocument/2006/relationships/hyperlink" Target="https://www.unjiu.org/ar/reports-notes/JIU%20Products/JIU_REP_2014_6_Arabic.pdf" TargetMode="External"/><Relationship Id="rId42" Type="http://schemas.openxmlformats.org/officeDocument/2006/relationships/hyperlink" Target="https://www.unjiu.org/ar/reports-notes/CEB%20comments/CEB_JIU_REP_2013_1.pdf" TargetMode="External"/><Relationship Id="rId47" Type="http://schemas.openxmlformats.org/officeDocument/2006/relationships/hyperlink" Target="https://www.unjiu.org/ar/reports-notes/JIU%20Products/JIU_REP_2012_9_Arabic.pdf" TargetMode="External"/><Relationship Id="rId50" Type="http://schemas.openxmlformats.org/officeDocument/2006/relationships/hyperlink" Target="https://www.unjiu.org/ar/reports-notes/CEB%20comments/CEB%20_JIU_REP_2012_4.pdf" TargetMode="External"/><Relationship Id="rId55" Type="http://schemas.openxmlformats.org/officeDocument/2006/relationships/hyperlink" Target="https://www.unjiu.org/ar/reports-notes/JIU%20Products/JIU_REP_2011_5_Arabic.pdf" TargetMode="External"/><Relationship Id="rId63" Type="http://schemas.openxmlformats.org/officeDocument/2006/relationships/hyperlink" Target="https://www.unjiu.org/ar/reports-notes/JIU%20Products/JIU_REP_2010_3_Arabic.pdf"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unjiu.org/en/reports-notes/JIU%20Products/JIU_REP_2015_6_English.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www.unjiu.org/ar/reports-notes/JIU%20Products/JIU_REP_2010_7_Arabic.pdf" TargetMode="External"/><Relationship Id="rId32" Type="http://schemas.openxmlformats.org/officeDocument/2006/relationships/hyperlink" Target="https://www.unjiu.org/ar/reports-notes/JIU%20Products/JIU_REP_2014_9_Arabic.pdf" TargetMode="External"/><Relationship Id="rId37" Type="http://schemas.openxmlformats.org/officeDocument/2006/relationships/hyperlink" Target="https://www.unjiu.org/ar/reports-notes/JIU%20Products/JIU_REP_2014_2_Arabic.pdf" TargetMode="External"/><Relationship Id="rId40" Type="http://schemas.openxmlformats.org/officeDocument/2006/relationships/hyperlink" Target="https://www.unjiu.org/ar/reports-notes/CEB%20comments/A_69_737_Add1_Arabic.pdf" TargetMode="External"/><Relationship Id="rId45" Type="http://schemas.openxmlformats.org/officeDocument/2006/relationships/hyperlink" Target="https://www.unjiu.org/ar/reports-notes/JIU%20Products/JIU_REP_2012_10_Arabic.pdf" TargetMode="External"/><Relationship Id="rId53" Type="http://schemas.openxmlformats.org/officeDocument/2006/relationships/hyperlink" Target="https://www.unjiu.org/ar/reports-notes/JIU%20Products/JIU_REP_2011_7_Arabic.pdf" TargetMode="External"/><Relationship Id="rId58" Type="http://schemas.openxmlformats.org/officeDocument/2006/relationships/hyperlink" Target="https://www.unjiu.org/ar/reports-notes/CEB%20comments/CEB%20_JIU_REP_2011_4.pdf" TargetMode="External"/><Relationship Id="rId66"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unjiu.org/ar/reports-notes/JIU%20Products/JIU_REP_2011_3_Arabic.pdf" TargetMode="External"/><Relationship Id="rId28" Type="http://schemas.openxmlformats.org/officeDocument/2006/relationships/hyperlink" Target="https://www.unjiu.org/ar/Pages/default.aspx" TargetMode="External"/><Relationship Id="rId36" Type="http://schemas.openxmlformats.org/officeDocument/2006/relationships/hyperlink" Target="https://www.unjiu.org/en/reports-notes/Other%20related%20documents/Supplimentaryl%20Paper_JIU_REP_2014_6.pdf" TargetMode="External"/><Relationship Id="rId49" Type="http://schemas.openxmlformats.org/officeDocument/2006/relationships/hyperlink" Target="https://www.unjiu.org/ar/reports-notes/JIU%20Products/JIU_REP_2012_4_Arabic.pdf" TargetMode="External"/><Relationship Id="rId57" Type="http://schemas.openxmlformats.org/officeDocument/2006/relationships/hyperlink" Target="https://www.unjiu.org/ar/reports-notes/JIU%20Products/JIU_REP_2011_4_Arabic.pdf" TargetMode="External"/><Relationship Id="rId61" Type="http://schemas.openxmlformats.org/officeDocument/2006/relationships/hyperlink" Target="https://www.unjiu.org/ar/reports-notes/JIU%20Products/JIU_REP_2010_7_Arabic.pdf" TargetMode="External"/><Relationship Id="rId10" Type="http://schemas.openxmlformats.org/officeDocument/2006/relationships/chart" Target="charts/chart1.xml"/><Relationship Id="rId19" Type="http://schemas.openxmlformats.org/officeDocument/2006/relationships/hyperlink" Target="https://www.unjiu.org/ar/reports-notes/JIU%20Products/JIU_REP_2014_9_Arabic.pdf" TargetMode="External"/><Relationship Id="rId31" Type="http://schemas.openxmlformats.org/officeDocument/2006/relationships/hyperlink" Target="https://www.unjiu.org/en/reports-notes/JIU%20Products/JIU_REP_2015_4_English.pdf" TargetMode="External"/><Relationship Id="rId44" Type="http://schemas.openxmlformats.org/officeDocument/2006/relationships/hyperlink" Target="https://www.unjiu.org/ar/reports-notes/CEB%20comments/CEB%20_JIU_REP_2012_12.pdf" TargetMode="External"/><Relationship Id="rId52" Type="http://schemas.openxmlformats.org/officeDocument/2006/relationships/hyperlink" Target="https://www.unjiu.org/ar/reports-notes/CEB%20comments/CEB%20_JIU_REP_2012_2.pdf" TargetMode="External"/><Relationship Id="rId60" Type="http://schemas.openxmlformats.org/officeDocument/2006/relationships/hyperlink" Target="https://www.unjiu.org/ar/reports-notes/CEB%20comments/CEB%20_JIU_REP_2011_3.pdf" TargetMode="External"/><Relationship Id="rId65"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unjiu.org/en/reports-notes/JIU%20Products/JIU_REP_2015_6_English.pdf" TargetMode="External"/><Relationship Id="rId22" Type="http://schemas.openxmlformats.org/officeDocument/2006/relationships/hyperlink" Target="https://www.unjiu.org/ar/reports-notes/JIU%20Products/JIU_REP_2012_9_Arabic.pdf" TargetMode="External"/><Relationship Id="rId27" Type="http://schemas.openxmlformats.org/officeDocument/2006/relationships/header" Target="header3.xml"/><Relationship Id="rId30" Type="http://schemas.openxmlformats.org/officeDocument/2006/relationships/hyperlink" Target="https://www.unjiu.org/ar/reports-notes/JIU%20Products/JIU_REP_2015_5_Arabic.pdf" TargetMode="External"/><Relationship Id="rId35" Type="http://schemas.openxmlformats.org/officeDocument/2006/relationships/hyperlink" Target="https://www.unjiu.org/ar/reports-notes/CEB%20comments/A_70_686_Add1_Arabic.pdf" TargetMode="External"/><Relationship Id="rId43" Type="http://schemas.openxmlformats.org/officeDocument/2006/relationships/hyperlink" Target="https://www.unjiu.org/ar/reports-notes/JIU%20Products/JIU_REP_2012_12_Arabic.pdf" TargetMode="External"/><Relationship Id="rId48" Type="http://schemas.openxmlformats.org/officeDocument/2006/relationships/hyperlink" Target="https://www.unjiu.org/ar/reports-notes/CEB%20comments/CEB%20_JIU_REP_2012_9.pdf" TargetMode="External"/><Relationship Id="rId56" Type="http://schemas.openxmlformats.org/officeDocument/2006/relationships/hyperlink" Target="https://www.unjiu.org/ar/reports-notes/CEB%20comments/CEB%20_JIU_REP_2011_5.pdf" TargetMode="External"/><Relationship Id="rId64" Type="http://schemas.openxmlformats.org/officeDocument/2006/relationships/hyperlink" Target="https://www.unjiu.org/ar/reports-notes/CEB%20comments/CEB%20_JIU_REP_2010_3.pdf" TargetMode="External"/><Relationship Id="rId8" Type="http://schemas.openxmlformats.org/officeDocument/2006/relationships/endnotes" Target="endnotes.xml"/><Relationship Id="rId51" Type="http://schemas.openxmlformats.org/officeDocument/2006/relationships/hyperlink" Target="https://www.unjiu.org/ar/reports-notes/JIU%20Products/JIU_REP_2012_2_Arabic.pdf"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www.unjiu.org/ar/reports-notes/JIU%20Products/JIU_REP_2015_5_Arabic.pdf" TargetMode="External"/><Relationship Id="rId25" Type="http://schemas.openxmlformats.org/officeDocument/2006/relationships/hyperlink" Target="https://www.unjiu.org/ar/reports-notes/JIU%20Products/JIU_REP_2010_3_Arabic.pdf" TargetMode="External"/><Relationship Id="rId33" Type="http://schemas.openxmlformats.org/officeDocument/2006/relationships/hyperlink" Target="https://www.unjiu.org/ar/reports-notes/CEB%20comments/A_70_676-Add1_Arabic.pdf" TargetMode="External"/><Relationship Id="rId38" Type="http://schemas.openxmlformats.org/officeDocument/2006/relationships/hyperlink" Target="https://www.unjiu.org/ar/reports-notes/CEB%20comments/WIPO%20Comments_Arabic.pdf" TargetMode="External"/><Relationship Id="rId46" Type="http://schemas.openxmlformats.org/officeDocument/2006/relationships/hyperlink" Target="https://www.unjiu.org/ar/reports-notes/CEB%20comments/Complementary%20Paper_JIU_REP_2012_10.pdf" TargetMode="External"/><Relationship Id="rId59" Type="http://schemas.openxmlformats.org/officeDocument/2006/relationships/hyperlink" Target="https://www.unjiu.org/ar/reports-notes/JIU%20Products/JIU_REP_2011_3_Arabic.pdf" TargetMode="External"/><Relationship Id="rId67" Type="http://schemas.openxmlformats.org/officeDocument/2006/relationships/fontTable" Target="fontTable.xml"/><Relationship Id="rId20" Type="http://schemas.openxmlformats.org/officeDocument/2006/relationships/hyperlink" Target="https://www.unjiu.org/ar/reports-notes/JIU%20Products/JIU_REP_2014_2_Arabic.pdf" TargetMode="External"/><Relationship Id="rId41" Type="http://schemas.openxmlformats.org/officeDocument/2006/relationships/hyperlink" Target="https://www.unjiu.org/ar/reports-notes/JIU%20Products/JIU_REP_2013_1_Arabic.pdf" TargetMode="External"/><Relationship Id="rId54" Type="http://schemas.openxmlformats.org/officeDocument/2006/relationships/hyperlink" Target="https://www.unjiu.org/ar/reports-notes/CEB%20comments/CEB%20_JIU_REP_2011_7.pdf" TargetMode="External"/><Relationship Id="rId62" Type="http://schemas.openxmlformats.org/officeDocument/2006/relationships/hyperlink" Target="https://www.unjiu.org/ar/reports-notes/CEB%20comments/CEB%20_JIU_REP_2010_7.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39"/>
          <c:dPt>
            <c:idx val="0"/>
            <c:bubble3D val="0"/>
            <c:spPr>
              <a:solidFill>
                <a:srgbClr val="1126E9"/>
              </a:solidFill>
            </c:spPr>
          </c:dPt>
          <c:dPt>
            <c:idx val="1"/>
            <c:bubble3D val="0"/>
            <c:spPr>
              <a:solidFill>
                <a:srgbClr val="92D050"/>
              </a:solidFill>
            </c:spPr>
          </c:dPt>
          <c:dPt>
            <c:idx val="2"/>
            <c:bubble3D val="0"/>
            <c:spPr>
              <a:solidFill>
                <a:schemeClr val="accent2">
                  <a:lumMod val="40000"/>
                  <a:lumOff val="60000"/>
                </a:schemeClr>
              </a:solidFill>
            </c:spPr>
          </c:dPt>
          <c:dPt>
            <c:idx val="4"/>
            <c:bubble3D val="0"/>
            <c:spPr>
              <a:solidFill>
                <a:schemeClr val="accent1">
                  <a:lumMod val="40000"/>
                  <a:lumOff val="60000"/>
                </a:schemeClr>
              </a:solidFill>
            </c:spPr>
          </c:dPt>
          <c:dLbls>
            <c:dLbl>
              <c:idx val="0"/>
              <c:layout>
                <c:manualLayout>
                  <c:x val="2.532415135290346E-2"/>
                  <c:y val="1.6774019289461789E-2"/>
                </c:manualLayout>
              </c:layout>
              <c:dLblPos val="bestFit"/>
              <c:showLegendKey val="0"/>
              <c:showVal val="0"/>
              <c:showCatName val="1"/>
              <c:showSerName val="0"/>
              <c:showPercent val="1"/>
              <c:showBubbleSize val="0"/>
            </c:dLbl>
            <c:dLbl>
              <c:idx val="1"/>
              <c:layout>
                <c:manualLayout>
                  <c:x val="-5.8333333333333327E-2"/>
                  <c:y val="0"/>
                </c:manualLayout>
              </c:layout>
              <c:dLblPos val="bestFit"/>
              <c:showLegendKey val="0"/>
              <c:showVal val="0"/>
              <c:showCatName val="1"/>
              <c:showSerName val="0"/>
              <c:showPercent val="1"/>
              <c:showBubbleSize val="0"/>
            </c:dLbl>
            <c:dLbl>
              <c:idx val="2"/>
              <c:layout>
                <c:manualLayout>
                  <c:x val="-2.2377615805997231E-2"/>
                  <c:y val="-2.1705426356589147E-2"/>
                </c:manualLayout>
              </c:layout>
              <c:dLblPos val="bestFit"/>
              <c:showLegendKey val="0"/>
              <c:showVal val="0"/>
              <c:showCatName val="1"/>
              <c:showSerName val="0"/>
              <c:showPercent val="1"/>
              <c:showBubbleSize val="0"/>
            </c:dLbl>
            <c:dLbl>
              <c:idx val="3"/>
              <c:layout>
                <c:manualLayout>
                  <c:x val="4.2890430294828023E-2"/>
                  <c:y val="-4.0310077519379844E-2"/>
                </c:manualLayout>
              </c:layout>
              <c:dLblPos val="bestFit"/>
              <c:showLegendKey val="0"/>
              <c:showVal val="0"/>
              <c:showCatName val="1"/>
              <c:showSerName val="0"/>
              <c:showPercent val="1"/>
              <c:showBubbleSize val="0"/>
            </c:dLbl>
            <c:dLbl>
              <c:idx val="4"/>
              <c:layout>
                <c:manualLayout>
                  <c:x val="0.18461533039947714"/>
                  <c:y val="1.8604651162790704E-2"/>
                </c:manualLayout>
              </c:layout>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'PBC 25_6 Chart 1'!$B$2:$F$2</c:f>
              <c:strCache>
                <c:ptCount val="5"/>
                <c:pt idx="0">
                  <c:v>منفذة</c:v>
                </c:pt>
                <c:pt idx="1">
                  <c:v>جارية</c:v>
                </c:pt>
                <c:pt idx="2">
                  <c:v>غير وجيهة</c:v>
                </c:pt>
                <c:pt idx="3">
                  <c:v>مرفوضة</c:v>
                </c:pt>
                <c:pt idx="4">
                  <c:v>قيد النظر</c:v>
                </c:pt>
              </c:strCache>
            </c:strRef>
          </c:cat>
          <c:val>
            <c:numRef>
              <c:f>'PBC 25_6 Chart 1'!$B$3:$F$3</c:f>
              <c:numCache>
                <c:formatCode>General</c:formatCode>
                <c:ptCount val="5"/>
                <c:pt idx="0">
                  <c:v>182</c:v>
                </c:pt>
                <c:pt idx="1">
                  <c:v>10</c:v>
                </c:pt>
                <c:pt idx="2">
                  <c:v>15</c:v>
                </c:pt>
                <c:pt idx="3">
                  <c:v>4</c:v>
                </c:pt>
                <c:pt idx="4">
                  <c:v>5</c:v>
                </c:pt>
              </c:numCache>
            </c:numRef>
          </c:val>
        </c:ser>
        <c:ser>
          <c:idx val="1"/>
          <c:order val="1"/>
          <c:explosion val="25"/>
          <c:dLbls>
            <c:dLblPos val="outEnd"/>
            <c:showLegendKey val="0"/>
            <c:showVal val="1"/>
            <c:showCatName val="0"/>
            <c:showSerName val="0"/>
            <c:showPercent val="0"/>
            <c:showBubbleSize val="0"/>
            <c:showLeaderLines val="1"/>
          </c:dLbls>
          <c:cat>
            <c:strRef>
              <c:f>'PBC 25_6 Chart 1'!$B$2:$F$2</c:f>
              <c:strCache>
                <c:ptCount val="5"/>
                <c:pt idx="0">
                  <c:v>منفذة</c:v>
                </c:pt>
                <c:pt idx="1">
                  <c:v>جارية</c:v>
                </c:pt>
                <c:pt idx="2">
                  <c:v>غير وجيهة</c:v>
                </c:pt>
                <c:pt idx="3">
                  <c:v>مرفوضة</c:v>
                </c:pt>
                <c:pt idx="4">
                  <c:v>قيد النظر</c:v>
                </c:pt>
              </c:strCache>
            </c:strRef>
          </c:cat>
          <c:val>
            <c:numRef>
              <c:f>'PBC 25_6 Chart 1'!$B$4:$F$4</c:f>
              <c:numCache>
                <c:formatCode>General</c:formatCode>
                <c:ptCount val="5"/>
                <c:pt idx="0">
                  <c:v>256</c:v>
                </c:pt>
                <c:pt idx="1">
                  <c:v>10</c:v>
                </c:pt>
                <c:pt idx="2">
                  <c:v>53</c:v>
                </c:pt>
                <c:pt idx="3">
                  <c:v>4</c:v>
                </c:pt>
                <c:pt idx="4">
                  <c:v>5</c:v>
                </c:pt>
              </c:numCache>
            </c:numRef>
          </c:val>
        </c:ser>
        <c:dLbls>
          <c:dLblPos val="outEnd"/>
          <c:showLegendKey val="0"/>
          <c:showVal val="1"/>
          <c:showCatName val="0"/>
          <c:showSerName val="0"/>
          <c:showPercent val="0"/>
          <c:showBubbleSize val="0"/>
          <c:showLeaderLines val="1"/>
        </c:dLbls>
      </c:pie3DChart>
    </c:plotArea>
    <c:plotVisOnly val="1"/>
    <c:dispBlanksAs val="gap"/>
    <c:showDLblsOverMax val="0"/>
  </c:chart>
  <c:txPr>
    <a:bodyPr/>
    <a:lstStyle/>
    <a:p>
      <a:pPr>
        <a:defRPr sz="1500">
          <a:latin typeface="Arabic Typesetting" panose="03020402040406030203" pitchFamily="66" charset="-78"/>
          <a:cs typeface="Arabic Typesetting" panose="03020402040406030203" pitchFamily="66" charset="-78"/>
        </a:defRPr>
      </a:pPr>
      <a:endParaRPr lang="fr-F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'PBC 25_6 Chart 2'!$C$5</c:f>
              <c:strCache>
                <c:ptCount val="1"/>
                <c:pt idx="0">
                  <c:v>الجديدة</c:v>
                </c:pt>
              </c:strCache>
            </c:strRef>
          </c:tx>
          <c:spPr>
            <a:solidFill>
              <a:schemeClr val="accent6">
                <a:lumMod val="20000"/>
                <a:lumOff val="80000"/>
              </a:schemeClr>
            </a:solidFill>
          </c:spPr>
          <c:invertIfNegative val="0"/>
          <c:dLbls>
            <c:showLegendKey val="0"/>
            <c:showVal val="1"/>
            <c:showCatName val="0"/>
            <c:showSerName val="0"/>
            <c:showPercent val="0"/>
            <c:showBubbleSize val="0"/>
            <c:showLeaderLines val="0"/>
          </c:dLbls>
          <c:cat>
            <c:numRef>
              <c:f>'PBC 25_6 Chart 2'!$H$4:$M$4</c:f>
              <c:numCache>
                <c:formatCode>General</c:formatCode>
                <c:ptCount val="6"/>
                <c:pt idx="0">
                  <c:v>2010</c:v>
                </c:pt>
                <c:pt idx="1">
                  <c:v>2011</c:v>
                </c:pt>
                <c:pt idx="2">
                  <c:v>2012</c:v>
                </c:pt>
                <c:pt idx="3">
                  <c:v>2013</c:v>
                </c:pt>
                <c:pt idx="4">
                  <c:v>2014</c:v>
                </c:pt>
                <c:pt idx="5">
                  <c:v>2015</c:v>
                </c:pt>
              </c:numCache>
            </c:numRef>
          </c:cat>
          <c:val>
            <c:numRef>
              <c:f>'PBC 25_6 Chart 2'!$H$5:$M$5</c:f>
              <c:numCache>
                <c:formatCode>General</c:formatCode>
                <c:ptCount val="6"/>
                <c:pt idx="0">
                  <c:v>65</c:v>
                </c:pt>
                <c:pt idx="1">
                  <c:v>46</c:v>
                </c:pt>
                <c:pt idx="2">
                  <c:v>41</c:v>
                </c:pt>
                <c:pt idx="3">
                  <c:v>5</c:v>
                </c:pt>
                <c:pt idx="4">
                  <c:v>43</c:v>
                </c:pt>
                <c:pt idx="5">
                  <c:v>16</c:v>
                </c:pt>
              </c:numCache>
            </c:numRef>
          </c:val>
        </c:ser>
        <c:ser>
          <c:idx val="1"/>
          <c:order val="1"/>
          <c:tx>
            <c:strRef>
              <c:f>'PBC 25_6 Chart 2'!$C$6</c:f>
              <c:strCache>
                <c:ptCount val="1"/>
                <c:pt idx="0">
                  <c:v>المغلقة</c:v>
                </c:pt>
              </c:strCache>
            </c:strRef>
          </c:tx>
          <c:spPr>
            <a:solidFill>
              <a:srgbClr val="92D050"/>
            </a:solidFill>
          </c:spPr>
          <c:invertIfNegative val="0"/>
          <c:dLbls>
            <c:dLbl>
              <c:idx val="0"/>
              <c:layout>
                <c:manualLayout>
                  <c:x val="1.9444444444444469E-2"/>
                  <c:y val="-1.060944534001666E-17"/>
                </c:manualLayout>
              </c:layout>
              <c:showLegendKey val="0"/>
              <c:showVal val="1"/>
              <c:showCatName val="0"/>
              <c:showSerName val="0"/>
              <c:showPercent val="0"/>
              <c:showBubbleSize val="0"/>
            </c:dLbl>
            <c:dLbl>
              <c:idx val="2"/>
              <c:layout>
                <c:manualLayout>
                  <c:x val="1.1111111111111112E-2"/>
                  <c:y val="-4.2437781360066642E-17"/>
                </c:manualLayout>
              </c:layout>
              <c:showLegendKey val="0"/>
              <c:showVal val="1"/>
              <c:showCatName val="0"/>
              <c:showSerName val="0"/>
              <c:showPercent val="0"/>
              <c:showBubbleSize val="0"/>
            </c:dLbl>
            <c:dLbl>
              <c:idx val="4"/>
              <c:layout>
                <c:manualLayout>
                  <c:x val="1.9444225721784777E-2"/>
                  <c:y val="4.2437781360066642E-17"/>
                </c:manualLayout>
              </c:layout>
              <c:showLegendKey val="0"/>
              <c:showVal val="1"/>
              <c:showCatName val="0"/>
              <c:showSerName val="0"/>
              <c:showPercent val="0"/>
              <c:showBubbleSize val="0"/>
            </c:dLbl>
            <c:dLbl>
              <c:idx val="5"/>
              <c:layout>
                <c:manualLayout>
                  <c:x val="8.3333333333333332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'PBC 25_6 Chart 2'!$H$4:$M$4</c:f>
              <c:numCache>
                <c:formatCode>General</c:formatCode>
                <c:ptCount val="6"/>
                <c:pt idx="0">
                  <c:v>2010</c:v>
                </c:pt>
                <c:pt idx="1">
                  <c:v>2011</c:v>
                </c:pt>
                <c:pt idx="2">
                  <c:v>2012</c:v>
                </c:pt>
                <c:pt idx="3">
                  <c:v>2013</c:v>
                </c:pt>
                <c:pt idx="4">
                  <c:v>2014</c:v>
                </c:pt>
                <c:pt idx="5">
                  <c:v>2015</c:v>
                </c:pt>
              </c:numCache>
            </c:numRef>
          </c:cat>
          <c:val>
            <c:numRef>
              <c:f>'PBC 25_6 Chart 2'!$H$6:$M$6</c:f>
              <c:numCache>
                <c:formatCode>General</c:formatCode>
                <c:ptCount val="6"/>
                <c:pt idx="0">
                  <c:v>64</c:v>
                </c:pt>
                <c:pt idx="1">
                  <c:v>46</c:v>
                </c:pt>
                <c:pt idx="2">
                  <c:v>39</c:v>
                </c:pt>
                <c:pt idx="3">
                  <c:v>4</c:v>
                </c:pt>
                <c:pt idx="4">
                  <c:v>36</c:v>
                </c:pt>
                <c:pt idx="5">
                  <c:v>12</c:v>
                </c:pt>
              </c:numCache>
            </c:numRef>
          </c:val>
        </c:ser>
        <c:ser>
          <c:idx val="2"/>
          <c:order val="2"/>
          <c:tx>
            <c:strRef>
              <c:f>'PBC 25_6 Chart 2'!$C$7</c:f>
              <c:strCache>
                <c:ptCount val="1"/>
                <c:pt idx="0">
                  <c:v>مجموع المفتوحة</c:v>
                </c:pt>
              </c:strCache>
            </c:strRef>
          </c:tx>
          <c:spPr>
            <a:solidFill>
              <a:srgbClr val="FF0000"/>
            </a:solidFill>
          </c:spPr>
          <c:invertIfNegative val="0"/>
          <c:dLbls>
            <c:dLbl>
              <c:idx val="0"/>
              <c:layout>
                <c:manualLayout>
                  <c:x val="1.3888888888888888E-2"/>
                  <c:y val="0"/>
                </c:manualLayout>
              </c:layout>
              <c:showLegendKey val="0"/>
              <c:showVal val="1"/>
              <c:showCatName val="0"/>
              <c:showSerName val="0"/>
              <c:showPercent val="0"/>
              <c:showBubbleSize val="0"/>
            </c:dLbl>
            <c:dLbl>
              <c:idx val="2"/>
              <c:layout>
                <c:manualLayout>
                  <c:x val="1.6666666666666666E-2"/>
                  <c:y val="0"/>
                </c:manualLayout>
              </c:layout>
              <c:showLegendKey val="0"/>
              <c:showVal val="1"/>
              <c:showCatName val="0"/>
              <c:showSerName val="0"/>
              <c:showPercent val="0"/>
              <c:showBubbleSize val="0"/>
            </c:dLbl>
            <c:dLbl>
              <c:idx val="3"/>
              <c:layout>
                <c:manualLayout>
                  <c:x val="1.3888888888888888E-2"/>
                  <c:y val="0"/>
                </c:manualLayout>
              </c:layout>
              <c:showLegendKey val="0"/>
              <c:showVal val="1"/>
              <c:showCatName val="0"/>
              <c:showSerName val="0"/>
              <c:showPercent val="0"/>
              <c:showBubbleSize val="0"/>
            </c:dLbl>
            <c:dLbl>
              <c:idx val="4"/>
              <c:layout>
                <c:manualLayout>
                  <c:x val="1.388888888888899E-2"/>
                  <c:y val="8.4875562720133283E-17"/>
                </c:manualLayout>
              </c:layout>
              <c:showLegendKey val="0"/>
              <c:showVal val="1"/>
              <c:showCatName val="0"/>
              <c:showSerName val="0"/>
              <c:showPercent val="0"/>
              <c:showBubbleSize val="0"/>
            </c:dLbl>
            <c:dLbl>
              <c:idx val="5"/>
              <c:layout>
                <c:manualLayout>
                  <c:x val="1.388888888888878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'PBC 25_6 Chart 2'!$H$4:$M$4</c:f>
              <c:numCache>
                <c:formatCode>General</c:formatCode>
                <c:ptCount val="6"/>
                <c:pt idx="0">
                  <c:v>2010</c:v>
                </c:pt>
                <c:pt idx="1">
                  <c:v>2011</c:v>
                </c:pt>
                <c:pt idx="2">
                  <c:v>2012</c:v>
                </c:pt>
                <c:pt idx="3">
                  <c:v>2013</c:v>
                </c:pt>
                <c:pt idx="4">
                  <c:v>2014</c:v>
                </c:pt>
                <c:pt idx="5">
                  <c:v>2015</c:v>
                </c:pt>
              </c:numCache>
            </c:numRef>
          </c:cat>
          <c:val>
            <c:numRef>
              <c:f>'PBC 25_6 Chart 2'!$H$7:$M$7</c:f>
              <c:numCache>
                <c:formatCode>#,##0_);\(#,##0\);" "</c:formatCode>
                <c:ptCount val="6"/>
                <c:pt idx="0" formatCode="General">
                  <c:v>1</c:v>
                </c:pt>
                <c:pt idx="1">
                  <c:v>0</c:v>
                </c:pt>
                <c:pt idx="2" formatCode="General">
                  <c:v>2</c:v>
                </c:pt>
                <c:pt idx="3" formatCode="General">
                  <c:v>1</c:v>
                </c:pt>
                <c:pt idx="4" formatCode="General">
                  <c:v>7</c:v>
                </c:pt>
                <c:pt idx="5" formatCode="General">
                  <c:v>4</c:v>
                </c:pt>
              </c:numCache>
            </c:numRef>
          </c:val>
        </c:ser>
        <c:dLbls>
          <c:showLegendKey val="0"/>
          <c:showVal val="0"/>
          <c:showCatName val="0"/>
          <c:showSerName val="0"/>
          <c:showPercent val="0"/>
          <c:showBubbleSize val="0"/>
        </c:dLbls>
        <c:gapWidth val="150"/>
        <c:shape val="box"/>
        <c:axId val="31780864"/>
        <c:axId val="31782400"/>
        <c:axId val="0"/>
      </c:bar3DChart>
      <c:catAx>
        <c:axId val="31780864"/>
        <c:scaling>
          <c:orientation val="minMax"/>
        </c:scaling>
        <c:delete val="0"/>
        <c:axPos val="b"/>
        <c:numFmt formatCode="General" sourceLinked="1"/>
        <c:majorTickMark val="out"/>
        <c:minorTickMark val="none"/>
        <c:tickLblPos val="nextTo"/>
        <c:crossAx val="31782400"/>
        <c:crosses val="autoZero"/>
        <c:auto val="1"/>
        <c:lblAlgn val="ctr"/>
        <c:lblOffset val="100"/>
        <c:noMultiLvlLbl val="0"/>
      </c:catAx>
      <c:valAx>
        <c:axId val="31782400"/>
        <c:scaling>
          <c:orientation val="minMax"/>
          <c:max val="70"/>
        </c:scaling>
        <c:delete val="0"/>
        <c:axPos val="l"/>
        <c:majorGridlines>
          <c:spPr>
            <a:ln>
              <a:noFill/>
            </a:ln>
          </c:spPr>
        </c:majorGridlines>
        <c:title>
          <c:tx>
            <c:rich>
              <a:bodyPr rot="-5400000" vert="horz"/>
              <a:lstStyle/>
              <a:p>
                <a:pPr>
                  <a:defRPr/>
                </a:pPr>
                <a:r>
                  <a:rPr lang="ar-SA"/>
                  <a:t>عدد التوصيات</a:t>
                </a:r>
                <a:endParaRPr lang="fr-CH"/>
              </a:p>
            </c:rich>
          </c:tx>
          <c:overlay val="0"/>
        </c:title>
        <c:numFmt formatCode="General" sourceLinked="1"/>
        <c:majorTickMark val="out"/>
        <c:minorTickMark val="none"/>
        <c:tickLblPos val="nextTo"/>
        <c:crossAx val="31780864"/>
        <c:crosses val="autoZero"/>
        <c:crossBetween val="between"/>
        <c:minorUnit val="2"/>
      </c:valAx>
    </c:plotArea>
    <c:legend>
      <c:legendPos val="b"/>
      <c:overlay val="0"/>
    </c:legend>
    <c:plotVisOnly val="1"/>
    <c:dispBlanksAs val="gap"/>
    <c:showDLblsOverMax val="0"/>
  </c:chart>
  <c:txPr>
    <a:bodyPr/>
    <a:lstStyle/>
    <a:p>
      <a:pPr>
        <a:defRPr sz="1400">
          <a:latin typeface="Arabic Typesetting" panose="03020402040406030203" pitchFamily="66" charset="-78"/>
          <a:cs typeface="Arabic Typesetting" panose="03020402040406030203" pitchFamily="66" charset="-78"/>
        </a:defRPr>
      </a:pPr>
      <a:endParaRPr lang="fr-F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'PBC 25_6 Chart 3'!$C$5</c:f>
              <c:strCache>
                <c:ptCount val="1"/>
                <c:pt idx="0">
                  <c:v>الجديدة</c:v>
                </c:pt>
              </c:strCache>
            </c:strRef>
          </c:tx>
          <c:invertIfNegative val="0"/>
          <c:dLbls>
            <c:dLbl>
              <c:idx val="5"/>
              <c:layout>
                <c:manualLayout>
                  <c:x val="8.3333333333334356E-3"/>
                  <c:y val="8.4875562720133283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'PBC 25_6 Chart 3'!$H$4:$M$4</c:f>
              <c:numCache>
                <c:formatCode>General</c:formatCode>
                <c:ptCount val="6"/>
                <c:pt idx="0">
                  <c:v>2010</c:v>
                </c:pt>
                <c:pt idx="1">
                  <c:v>2011</c:v>
                </c:pt>
                <c:pt idx="2">
                  <c:v>2012</c:v>
                </c:pt>
                <c:pt idx="3">
                  <c:v>2013</c:v>
                </c:pt>
                <c:pt idx="4">
                  <c:v>2014</c:v>
                </c:pt>
                <c:pt idx="5">
                  <c:v>2015</c:v>
                </c:pt>
              </c:numCache>
            </c:numRef>
          </c:cat>
          <c:val>
            <c:numRef>
              <c:f>'PBC 25_6 Chart 3'!$H$5:$M$5</c:f>
              <c:numCache>
                <c:formatCode>General</c:formatCode>
                <c:ptCount val="6"/>
                <c:pt idx="0">
                  <c:v>25</c:v>
                </c:pt>
                <c:pt idx="1">
                  <c:v>12</c:v>
                </c:pt>
                <c:pt idx="2">
                  <c:v>11</c:v>
                </c:pt>
                <c:pt idx="3">
                  <c:v>1</c:v>
                </c:pt>
                <c:pt idx="4">
                  <c:v>10</c:v>
                </c:pt>
                <c:pt idx="5">
                  <c:v>3</c:v>
                </c:pt>
              </c:numCache>
            </c:numRef>
          </c:val>
        </c:ser>
        <c:ser>
          <c:idx val="1"/>
          <c:order val="1"/>
          <c:tx>
            <c:strRef>
              <c:f>'PBC 25_6 Chart 3'!$C$6</c:f>
              <c:strCache>
                <c:ptCount val="1"/>
                <c:pt idx="0">
                  <c:v>المغلقة</c:v>
                </c:pt>
              </c:strCache>
            </c:strRef>
          </c:tx>
          <c:spPr>
            <a:solidFill>
              <a:schemeClr val="accent6">
                <a:lumMod val="40000"/>
                <a:lumOff val="60000"/>
              </a:schemeClr>
            </a:solidFill>
          </c:spPr>
          <c:invertIfNegative val="0"/>
          <c:dLbls>
            <c:dLbl>
              <c:idx val="0"/>
              <c:layout>
                <c:manualLayout>
                  <c:x val="1.6666666666666691E-2"/>
                  <c:y val="0"/>
                </c:manualLayout>
              </c:layout>
              <c:showLegendKey val="0"/>
              <c:showVal val="1"/>
              <c:showCatName val="0"/>
              <c:showSerName val="0"/>
              <c:showPercent val="0"/>
              <c:showBubbleSize val="0"/>
            </c:dLbl>
            <c:dLbl>
              <c:idx val="1"/>
              <c:layout>
                <c:manualLayout>
                  <c:x val="1.6666666666666666E-2"/>
                  <c:y val="0"/>
                </c:manualLayout>
              </c:layout>
              <c:showLegendKey val="0"/>
              <c:showVal val="1"/>
              <c:showCatName val="0"/>
              <c:showSerName val="0"/>
              <c:showPercent val="0"/>
              <c:showBubbleSize val="0"/>
            </c:dLbl>
            <c:dLbl>
              <c:idx val="2"/>
              <c:layout>
                <c:manualLayout>
                  <c:x val="1.3888888888888888E-2"/>
                  <c:y val="0"/>
                </c:manualLayout>
              </c:layout>
              <c:showLegendKey val="0"/>
              <c:showVal val="1"/>
              <c:showCatName val="0"/>
              <c:showSerName val="0"/>
              <c:showPercent val="0"/>
              <c:showBubbleSize val="0"/>
            </c:dLbl>
            <c:dLbl>
              <c:idx val="4"/>
              <c:layout>
                <c:manualLayout>
                  <c:x val="1.3888888888888888E-2"/>
                  <c:y val="0"/>
                </c:manualLayout>
              </c:layout>
              <c:showLegendKey val="0"/>
              <c:showVal val="1"/>
              <c:showCatName val="0"/>
              <c:showSerName val="0"/>
              <c:showPercent val="0"/>
              <c:showBubbleSize val="0"/>
            </c:dLbl>
            <c:dLbl>
              <c:idx val="5"/>
              <c:layout>
                <c:manualLayout>
                  <c:x val="1.6666666666666767E-2"/>
                  <c:y val="8.4875562720133283E-17"/>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'PBC 25_6 Chart 3'!$H$4:$M$4</c:f>
              <c:numCache>
                <c:formatCode>General</c:formatCode>
                <c:ptCount val="6"/>
                <c:pt idx="0">
                  <c:v>2010</c:v>
                </c:pt>
                <c:pt idx="1">
                  <c:v>2011</c:v>
                </c:pt>
                <c:pt idx="2">
                  <c:v>2012</c:v>
                </c:pt>
                <c:pt idx="3">
                  <c:v>2013</c:v>
                </c:pt>
                <c:pt idx="4">
                  <c:v>2014</c:v>
                </c:pt>
                <c:pt idx="5">
                  <c:v>2015</c:v>
                </c:pt>
              </c:numCache>
            </c:numRef>
          </c:cat>
          <c:val>
            <c:numRef>
              <c:f>'PBC 25_6 Chart 3'!$H$6:$M$6</c:f>
              <c:numCache>
                <c:formatCode>General</c:formatCode>
                <c:ptCount val="6"/>
                <c:pt idx="0">
                  <c:v>25</c:v>
                </c:pt>
                <c:pt idx="1">
                  <c:v>12</c:v>
                </c:pt>
                <c:pt idx="2">
                  <c:v>10</c:v>
                </c:pt>
                <c:pt idx="3">
                  <c:v>1</c:v>
                </c:pt>
                <c:pt idx="4">
                  <c:v>7</c:v>
                </c:pt>
                <c:pt idx="5">
                  <c:v>2</c:v>
                </c:pt>
              </c:numCache>
            </c:numRef>
          </c:val>
        </c:ser>
        <c:ser>
          <c:idx val="2"/>
          <c:order val="2"/>
          <c:tx>
            <c:strRef>
              <c:f>'PBC 25_6 Chart 3'!$C$7</c:f>
              <c:strCache>
                <c:ptCount val="1"/>
                <c:pt idx="0">
                  <c:v>المفتوحة</c:v>
                </c:pt>
              </c:strCache>
            </c:strRef>
          </c:tx>
          <c:invertIfNegative val="0"/>
          <c:dLbls>
            <c:dLbl>
              <c:idx val="2"/>
              <c:layout>
                <c:manualLayout>
                  <c:x val="1.6666666666666666E-2"/>
                  <c:y val="4.6296296296296294E-3"/>
                </c:manualLayout>
              </c:layout>
              <c:showLegendKey val="0"/>
              <c:showVal val="1"/>
              <c:showCatName val="0"/>
              <c:showSerName val="0"/>
              <c:showPercent val="0"/>
              <c:showBubbleSize val="0"/>
            </c:dLbl>
            <c:dLbl>
              <c:idx val="4"/>
              <c:layout>
                <c:manualLayout>
                  <c:x val="1.6666666666666767E-2"/>
                  <c:y val="8.4875562720133283E-17"/>
                </c:manualLayout>
              </c:layout>
              <c:showLegendKey val="0"/>
              <c:showVal val="1"/>
              <c:showCatName val="0"/>
              <c:showSerName val="0"/>
              <c:showPercent val="0"/>
              <c:showBubbleSize val="0"/>
            </c:dLbl>
            <c:dLbl>
              <c:idx val="5"/>
              <c:layout>
                <c:manualLayout>
                  <c:x val="1.6666666666666566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'PBC 25_6 Chart 3'!$H$4:$M$4</c:f>
              <c:numCache>
                <c:formatCode>General</c:formatCode>
                <c:ptCount val="6"/>
                <c:pt idx="0">
                  <c:v>2010</c:v>
                </c:pt>
                <c:pt idx="1">
                  <c:v>2011</c:v>
                </c:pt>
                <c:pt idx="2">
                  <c:v>2012</c:v>
                </c:pt>
                <c:pt idx="3">
                  <c:v>2013</c:v>
                </c:pt>
                <c:pt idx="4">
                  <c:v>2014</c:v>
                </c:pt>
                <c:pt idx="5">
                  <c:v>2015</c:v>
                </c:pt>
              </c:numCache>
            </c:numRef>
          </c:cat>
          <c:val>
            <c:numRef>
              <c:f>'PBC 25_6 Chart 3'!$H$7:$M$7</c:f>
              <c:numCache>
                <c:formatCode>#,##0_);\(#,##0\);" "</c:formatCode>
                <c:ptCount val="6"/>
                <c:pt idx="0">
                  <c:v>0</c:v>
                </c:pt>
                <c:pt idx="1">
                  <c:v>0</c:v>
                </c:pt>
                <c:pt idx="2" formatCode="General">
                  <c:v>1</c:v>
                </c:pt>
                <c:pt idx="3">
                  <c:v>0</c:v>
                </c:pt>
                <c:pt idx="4" formatCode="General">
                  <c:v>3</c:v>
                </c:pt>
                <c:pt idx="5" formatCode="General">
                  <c:v>1</c:v>
                </c:pt>
              </c:numCache>
            </c:numRef>
          </c:val>
        </c:ser>
        <c:dLbls>
          <c:showLegendKey val="0"/>
          <c:showVal val="0"/>
          <c:showCatName val="0"/>
          <c:showSerName val="0"/>
          <c:showPercent val="0"/>
          <c:showBubbleSize val="0"/>
        </c:dLbls>
        <c:gapWidth val="150"/>
        <c:shape val="box"/>
        <c:axId val="31871744"/>
        <c:axId val="31873280"/>
        <c:axId val="0"/>
      </c:bar3DChart>
      <c:catAx>
        <c:axId val="31871744"/>
        <c:scaling>
          <c:orientation val="minMax"/>
        </c:scaling>
        <c:delete val="0"/>
        <c:axPos val="b"/>
        <c:numFmt formatCode="General" sourceLinked="1"/>
        <c:majorTickMark val="out"/>
        <c:minorTickMark val="none"/>
        <c:tickLblPos val="nextTo"/>
        <c:crossAx val="31873280"/>
        <c:crosses val="autoZero"/>
        <c:auto val="1"/>
        <c:lblAlgn val="ctr"/>
        <c:lblOffset val="100"/>
        <c:noMultiLvlLbl val="0"/>
      </c:catAx>
      <c:valAx>
        <c:axId val="31873280"/>
        <c:scaling>
          <c:orientation val="minMax"/>
          <c:max val="50"/>
        </c:scaling>
        <c:delete val="0"/>
        <c:axPos val="l"/>
        <c:title>
          <c:tx>
            <c:rich>
              <a:bodyPr rot="-5400000" vert="horz"/>
              <a:lstStyle/>
              <a:p>
                <a:pPr>
                  <a:defRPr/>
                </a:pPr>
                <a:r>
                  <a:rPr lang="ar-SA"/>
                  <a:t>عدد التوصيات</a:t>
                </a:r>
                <a:endParaRPr lang="fr-CH"/>
              </a:p>
            </c:rich>
          </c:tx>
          <c:overlay val="0"/>
        </c:title>
        <c:numFmt formatCode="General" sourceLinked="1"/>
        <c:majorTickMark val="out"/>
        <c:minorTickMark val="none"/>
        <c:tickLblPos val="nextTo"/>
        <c:crossAx val="31871744"/>
        <c:crosses val="autoZero"/>
        <c:crossBetween val="between"/>
        <c:majorUnit val="5"/>
      </c:valAx>
    </c:plotArea>
    <c:legend>
      <c:legendPos val="b"/>
      <c:overlay val="0"/>
    </c:legend>
    <c:plotVisOnly val="1"/>
    <c:dispBlanksAs val="gap"/>
    <c:showDLblsOverMax val="0"/>
  </c:chart>
  <c:txPr>
    <a:bodyPr/>
    <a:lstStyle/>
    <a:p>
      <a:pPr>
        <a:defRPr sz="1500">
          <a:latin typeface="Arabic Typesetting" panose="03020402040406030203" pitchFamily="66" charset="-78"/>
          <a:cs typeface="Arabic Typesetting" panose="03020402040406030203" pitchFamily="66" charset="-78"/>
        </a:defRPr>
      </a:pPr>
      <a:endParaRPr lang="fr-F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4FE4C-75F3-4206-A8F0-9F307DBC8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3359</Words>
  <Characters>18475</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WO/PBC/25/6 (Arabic)</vt:lpstr>
    </vt:vector>
  </TitlesOfParts>
  <Company>World Intellectual Property Organization</Company>
  <LinksUpToDate>false</LinksUpToDate>
  <CharactersWithSpaces>21791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WO/PBC/25/6 (Arabic)</dc:title>
  <dc:creator>Ahmed Hassan</dc:creator>
  <cp:lastModifiedBy>DOYON Geneviève</cp:lastModifiedBy>
  <cp:revision>2</cp:revision>
  <cp:lastPrinted>2016-06-06T13:12:00Z</cp:lastPrinted>
  <dcterms:created xsi:type="dcterms:W3CDTF">2016-06-06T13:36:00Z</dcterms:created>
  <dcterms:modified xsi:type="dcterms:W3CDTF">2016-06-06T13:36:00Z</dcterms:modified>
</cp:coreProperties>
</file>