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203A53" w:rsidTr="007B169B">
        <w:tc>
          <w:tcPr>
            <w:tcW w:w="4843" w:type="dxa"/>
            <w:tcBorders>
              <w:bottom w:val="single" w:sz="4" w:space="0" w:color="auto"/>
            </w:tcBorders>
          </w:tcPr>
          <w:p w:rsidR="00203A53" w:rsidRDefault="00203A53" w:rsidP="007B169B">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203A53" w:rsidRDefault="00203A53" w:rsidP="007B169B">
            <w:pPr>
              <w:bidi/>
              <w:spacing w:after="20"/>
              <w:rPr>
                <w:rFonts w:ascii="Arabic Typesetting" w:hAnsi="Arabic Typesetting" w:cs="Arabic Typesetting"/>
                <w:sz w:val="36"/>
                <w:szCs w:val="36"/>
                <w:rtl/>
              </w:rPr>
            </w:pPr>
            <w:r>
              <w:rPr>
                <w:noProof/>
              </w:rPr>
              <w:drawing>
                <wp:inline distT="0" distB="0" distL="0" distR="0" wp14:anchorId="794BDD48" wp14:editId="6E751F1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203A53" w:rsidRPr="001667B6" w:rsidRDefault="00203A53" w:rsidP="007B169B">
            <w:pPr>
              <w:rPr>
                <w:b/>
                <w:bCs/>
                <w:sz w:val="40"/>
                <w:szCs w:val="40"/>
              </w:rPr>
            </w:pPr>
            <w:r>
              <w:rPr>
                <w:b/>
                <w:bCs/>
                <w:sz w:val="40"/>
                <w:szCs w:val="40"/>
              </w:rPr>
              <w:t>A</w:t>
            </w:r>
          </w:p>
        </w:tc>
      </w:tr>
      <w:tr w:rsidR="00203A53" w:rsidTr="007B169B">
        <w:trPr>
          <w:trHeight w:val="333"/>
        </w:trPr>
        <w:tc>
          <w:tcPr>
            <w:tcW w:w="9571" w:type="dxa"/>
            <w:gridSpan w:val="3"/>
            <w:tcBorders>
              <w:top w:val="single" w:sz="4" w:space="0" w:color="auto"/>
            </w:tcBorders>
            <w:vAlign w:val="bottom"/>
          </w:tcPr>
          <w:p w:rsidR="00203A53" w:rsidRPr="00B6101C" w:rsidRDefault="00203A53" w:rsidP="007B169B">
            <w:pPr>
              <w:pStyle w:val="DocumentCodeAR"/>
              <w:bidi/>
              <w:rPr>
                <w:rtl/>
              </w:rPr>
            </w:pPr>
            <w:r>
              <w:t>WO/PBC/25</w:t>
            </w:r>
            <w:r w:rsidRPr="00B6101C">
              <w:t>/</w:t>
            </w:r>
            <w:r w:rsidR="00927178">
              <w:t>5</w:t>
            </w:r>
          </w:p>
        </w:tc>
      </w:tr>
      <w:tr w:rsidR="00203A53" w:rsidTr="007B169B">
        <w:tc>
          <w:tcPr>
            <w:tcW w:w="9571" w:type="dxa"/>
            <w:gridSpan w:val="3"/>
          </w:tcPr>
          <w:p w:rsidR="00203A53" w:rsidRPr="00B6101C" w:rsidRDefault="00203A53" w:rsidP="00927178">
            <w:pPr>
              <w:pStyle w:val="DocumentLanguageAR"/>
              <w:bidi/>
              <w:rPr>
                <w:rtl/>
              </w:rPr>
            </w:pPr>
            <w:r w:rsidRPr="00B6101C">
              <w:rPr>
                <w:rFonts w:hint="cs"/>
                <w:rtl/>
              </w:rPr>
              <w:t xml:space="preserve">الأصل: </w:t>
            </w:r>
            <w:r w:rsidR="00927178">
              <w:rPr>
                <w:rFonts w:hint="cs"/>
                <w:rtl/>
              </w:rPr>
              <w:t>بالإنكليزية</w:t>
            </w:r>
          </w:p>
        </w:tc>
      </w:tr>
      <w:tr w:rsidR="00203A53" w:rsidTr="007B169B">
        <w:tc>
          <w:tcPr>
            <w:tcW w:w="9571" w:type="dxa"/>
            <w:gridSpan w:val="3"/>
          </w:tcPr>
          <w:p w:rsidR="00203A53" w:rsidRPr="00B6101C" w:rsidRDefault="00203A53" w:rsidP="00927178">
            <w:pPr>
              <w:pStyle w:val="DocumentDateAR"/>
              <w:bidi/>
              <w:rPr>
                <w:rtl/>
              </w:rPr>
            </w:pPr>
            <w:r w:rsidRPr="00B6101C">
              <w:rPr>
                <w:rFonts w:hint="cs"/>
                <w:rtl/>
              </w:rPr>
              <w:t xml:space="preserve">التاريخ: </w:t>
            </w:r>
            <w:r w:rsidR="00927178">
              <w:rPr>
                <w:rFonts w:hint="cs"/>
                <w:rtl/>
              </w:rPr>
              <w:t>30</w:t>
            </w:r>
            <w:r w:rsidRPr="00B6101C">
              <w:rPr>
                <w:rFonts w:hint="cs"/>
                <w:rtl/>
              </w:rPr>
              <w:t xml:space="preserve"> </w:t>
            </w:r>
            <w:r w:rsidR="00927178">
              <w:rPr>
                <w:rFonts w:hint="cs"/>
                <w:rtl/>
              </w:rPr>
              <w:t>يونيو</w:t>
            </w:r>
            <w:r w:rsidRPr="00B6101C">
              <w:rPr>
                <w:rFonts w:hint="cs"/>
                <w:rtl/>
              </w:rPr>
              <w:t xml:space="preserve"> </w:t>
            </w:r>
            <w:r>
              <w:rPr>
                <w:rFonts w:hint="cs"/>
                <w:rtl/>
              </w:rPr>
              <w:t>2016</w:t>
            </w:r>
          </w:p>
        </w:tc>
      </w:tr>
    </w:tbl>
    <w:p w:rsidR="00203A53" w:rsidRPr="001A28BF" w:rsidRDefault="00203A53" w:rsidP="00203A53">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1C506C">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1C506C">
        <w:rPr>
          <w:rFonts w:ascii="Cambria Math" w:hAnsi="Cambria Math" w:cs="PT Bold Heading" w:hint="cs"/>
          <w:sz w:val="30"/>
          <w:szCs w:val="30"/>
          <w:rtl/>
        </w:rPr>
        <w:t>الخامسة</w:t>
      </w:r>
      <w:r w:rsidRPr="001A28BF">
        <w:rPr>
          <w:rFonts w:ascii="Cambria Math" w:hAnsi="Cambria Math" w:cs="PT Bold Heading" w:hint="cs"/>
          <w:sz w:val="30"/>
          <w:szCs w:val="30"/>
          <w:rtl/>
        </w:rPr>
        <w:t xml:space="preserve"> والعشرون</w:t>
      </w:r>
    </w:p>
    <w:p w:rsidR="00A9449A" w:rsidRPr="001A28BF" w:rsidRDefault="00A9449A" w:rsidP="001C506C">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1C506C">
        <w:rPr>
          <w:rFonts w:ascii="Arabic Typesetting" w:hAnsi="Arabic Typesetting" w:cs="Arabic Typesetting" w:hint="cs"/>
          <w:b/>
          <w:bCs/>
          <w:sz w:val="36"/>
          <w:szCs w:val="36"/>
          <w:rtl/>
        </w:rPr>
        <w:t>29 أغسطس إلى 2 سبتمبر 2016</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927178" w:rsidP="00A9449A">
      <w:pPr>
        <w:bidi/>
        <w:spacing w:line="360" w:lineRule="exact"/>
        <w:rPr>
          <w:rFonts w:ascii="Arial Black" w:hAnsi="Arial Black" w:cs="PT Bold Heading"/>
          <w:sz w:val="26"/>
          <w:szCs w:val="26"/>
          <w:rtl/>
        </w:rPr>
      </w:pPr>
      <w:r w:rsidRPr="00927178">
        <w:rPr>
          <w:rFonts w:ascii="Arial Black" w:hAnsi="Arial Black" w:cs="PT Bold Heading"/>
          <w:sz w:val="26"/>
          <w:szCs w:val="26"/>
          <w:rtl/>
        </w:rPr>
        <w:t>‏التقرير السنوي لمدير شعبة الرقابة الداخلية</w:t>
      </w:r>
    </w:p>
    <w:p w:rsidR="00A9449A" w:rsidRPr="001A28BF" w:rsidRDefault="00A9449A" w:rsidP="00A9449A">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sidR="00927178">
        <w:rPr>
          <w:rFonts w:ascii="Arabic Typesetting" w:hAnsi="Arabic Typesetting" w:cs="Arabic Typesetting" w:hint="cs"/>
          <w:i/>
          <w:iCs/>
          <w:sz w:val="36"/>
          <w:szCs w:val="36"/>
          <w:rtl/>
        </w:rPr>
        <w:t xml:space="preserve"> الأمانة</w:t>
      </w:r>
    </w:p>
    <w:p w:rsidR="00834E03" w:rsidRDefault="00834E03" w:rsidP="000B62B2">
      <w:pPr>
        <w:pStyle w:val="NumberedParaAR"/>
        <w:numPr>
          <w:ilvl w:val="0"/>
          <w:numId w:val="3"/>
        </w:numPr>
        <w:rPr>
          <w:rtl/>
        </w:rPr>
      </w:pPr>
      <w:r>
        <w:rPr>
          <w:rtl/>
        </w:rPr>
        <w:t xml:space="preserve">وفقاً للفقرة 38 من ميثاق الرقابة الداخلية، </w:t>
      </w:r>
      <w:r w:rsidRPr="00834E03">
        <w:rPr>
          <w:rtl/>
        </w:rPr>
        <w:t xml:space="preserve">يقدِّم مدير شعبة الرقابة الداخلية تقريراً سنوياً موجزاً إلى الجمعية العامة للويبو، من خلال لجنة البرنامج والميزانية (التقرير السنوي). </w:t>
      </w:r>
      <w:r w:rsidR="00561823">
        <w:rPr>
          <w:rFonts w:hint="cs"/>
          <w:rtl/>
        </w:rPr>
        <w:t>و</w:t>
      </w:r>
      <w:r w:rsidR="00561823" w:rsidRPr="00561823">
        <w:rPr>
          <w:rtl/>
        </w:rPr>
        <w:t>يتناول التقرير السنوي لمحة عامة عن أنشطة الرقابة الداخلية التي أُنجزت خلال الفترة المشمولة بالتقرير،</w:t>
      </w:r>
      <w:r>
        <w:rPr>
          <w:rFonts w:hint="cs"/>
          <w:rtl/>
        </w:rPr>
        <w:t xml:space="preserve"> أي من 1 يوليو 2015 إلى 30 يونيو 2016.</w:t>
      </w:r>
    </w:p>
    <w:p w:rsidR="00834E03" w:rsidRDefault="00834E03" w:rsidP="00834E03">
      <w:pPr>
        <w:pStyle w:val="NumberedParaAR"/>
        <w:rPr>
          <w:rtl/>
        </w:rPr>
      </w:pPr>
      <w:r>
        <w:rPr>
          <w:rtl/>
        </w:rPr>
        <w:t>وفيما يلي فقرة القرار المقترحة.</w:t>
      </w:r>
    </w:p>
    <w:p w:rsidR="00834E03" w:rsidRDefault="00834E03" w:rsidP="00834E03">
      <w:pPr>
        <w:pStyle w:val="DecisionParaAR"/>
        <w:rPr>
          <w:rtl/>
        </w:rPr>
      </w:pPr>
      <w:r>
        <w:rPr>
          <w:rFonts w:hint="cs"/>
          <w:rtl/>
        </w:rPr>
        <w:t>أ</w:t>
      </w:r>
      <w:r>
        <w:rPr>
          <w:rtl/>
        </w:rPr>
        <w:t xml:space="preserve">حاطت لجنة البرنامج والميزانية علماً بالتقرير السنوي لمدير شعبة الرقابة الداخلية (الوثيقة </w:t>
      </w:r>
      <w:r>
        <w:t>WO/PBC/25/5</w:t>
      </w:r>
      <w:r>
        <w:rPr>
          <w:rtl/>
        </w:rPr>
        <w:t>).</w:t>
      </w:r>
    </w:p>
    <w:p w:rsidR="00E36CD9" w:rsidRDefault="00834E03" w:rsidP="00834E03">
      <w:pPr>
        <w:pStyle w:val="EndofDocumentAR"/>
        <w:spacing w:before="720"/>
        <w:rPr>
          <w:rtl/>
        </w:rPr>
      </w:pPr>
      <w:r>
        <w:rPr>
          <w:rtl/>
        </w:rPr>
        <w:t>[يلي ذلك التقرير السنوي لمدير شعبة الرقابة</w:t>
      </w:r>
      <w:r>
        <w:rPr>
          <w:rFonts w:hint="cs"/>
          <w:rtl/>
        </w:rPr>
        <w:t> </w:t>
      </w:r>
      <w:r>
        <w:rPr>
          <w:rtl/>
        </w:rPr>
        <w:t>الداخلية]</w:t>
      </w:r>
    </w:p>
    <w:p w:rsidR="00834E03" w:rsidRPr="00834E03" w:rsidRDefault="00834E03" w:rsidP="00834E03">
      <w:pPr>
        <w:pStyle w:val="NormalParaAR"/>
        <w:rPr>
          <w:rtl/>
        </w:rPr>
      </w:pPr>
    </w:p>
    <w:p w:rsidR="00927178" w:rsidRDefault="00927178" w:rsidP="007F38D1">
      <w:pPr>
        <w:pStyle w:val="NormalParaAR"/>
        <w:rPr>
          <w:rtl/>
        </w:rPr>
        <w:sectPr w:rsidR="00927178" w:rsidSect="002C5A9C">
          <w:type w:val="oddPage"/>
          <w:pgSz w:w="11907" w:h="16840" w:code="9"/>
          <w:pgMar w:top="567" w:right="1418" w:bottom="1418" w:left="1134" w:header="510" w:footer="1021" w:gutter="0"/>
          <w:pgNumType w:start="1"/>
          <w:cols w:space="720"/>
          <w:titlePg/>
          <w:docGrid w:linePitch="299"/>
        </w:sectPr>
      </w:pPr>
    </w:p>
    <w:p w:rsidR="00834E03" w:rsidRPr="00834E03" w:rsidRDefault="00834E03" w:rsidP="00834E03">
      <w:pPr>
        <w:pStyle w:val="NormalParaAR"/>
        <w:jc w:val="center"/>
        <w:rPr>
          <w:b/>
          <w:bCs/>
          <w:sz w:val="40"/>
          <w:szCs w:val="40"/>
          <w:rtl/>
        </w:rPr>
      </w:pPr>
      <w:r w:rsidRPr="00834E03">
        <w:rPr>
          <w:rFonts w:hint="cs"/>
          <w:b/>
          <w:bCs/>
          <w:sz w:val="40"/>
          <w:szCs w:val="40"/>
          <w:rtl/>
        </w:rPr>
        <w:lastRenderedPageBreak/>
        <w:t>التقرير السنوي لمدير شعبة الرقابة الداخلية</w:t>
      </w:r>
    </w:p>
    <w:p w:rsidR="00834E03" w:rsidRDefault="00834E03" w:rsidP="00834E03">
      <w:pPr>
        <w:pStyle w:val="NormalParaAR"/>
        <w:jc w:val="center"/>
        <w:rPr>
          <w:rtl/>
        </w:rPr>
      </w:pPr>
      <w:r>
        <w:rPr>
          <w:rFonts w:hint="cs"/>
          <w:rtl/>
        </w:rPr>
        <w:t>1 يوليو 2015 إلى 30 يونيو 2016</w:t>
      </w:r>
    </w:p>
    <w:p w:rsidR="00834E03" w:rsidRDefault="00834E03" w:rsidP="00834E03">
      <w:pPr>
        <w:pStyle w:val="NormalParaAR"/>
        <w:jc w:val="center"/>
        <w:rPr>
          <w:rtl/>
        </w:rPr>
      </w:pPr>
      <w:r w:rsidRPr="00834E03">
        <w:rPr>
          <w:rFonts w:hint="cs"/>
          <w:b/>
          <w:bCs/>
          <w:rtl/>
        </w:rPr>
        <w:t>قائمة المحتويات</w:t>
      </w:r>
    </w:p>
    <w:sdt>
      <w:sdtPr>
        <w:rPr>
          <w:rFonts w:ascii="Arial" w:hAnsi="Arial" w:cs="Arial"/>
          <w:sz w:val="22"/>
          <w:szCs w:val="20"/>
          <w:rtl/>
        </w:rPr>
        <w:id w:val="721882109"/>
        <w:docPartObj>
          <w:docPartGallery w:val="Table of Contents"/>
          <w:docPartUnique/>
        </w:docPartObj>
      </w:sdtPr>
      <w:sdtEndPr>
        <w:rPr>
          <w:rFonts w:ascii="Arabic Typesetting" w:hAnsi="Arabic Typesetting" w:cs="Arabic Typesetting"/>
          <w:b/>
          <w:bCs/>
          <w:noProof/>
          <w:sz w:val="30"/>
          <w:szCs w:val="30"/>
        </w:rPr>
      </w:sdtEndPr>
      <w:sdtContent>
        <w:p w:rsidR="009A5C0F" w:rsidRDefault="00834E03" w:rsidP="009A5C0F">
          <w:pPr>
            <w:pStyle w:val="TOC1"/>
            <w:rPr>
              <w:rFonts w:asciiTheme="minorHAnsi" w:eastAsiaTheme="minorEastAsia" w:hAnsiTheme="minorHAnsi" w:cstheme="minorBidi"/>
              <w:noProof/>
              <w:sz w:val="22"/>
              <w:szCs w:val="22"/>
            </w:rPr>
          </w:pPr>
          <w:r>
            <w:fldChar w:fldCharType="begin"/>
          </w:r>
          <w:r>
            <w:instrText xml:space="preserve"> TOC \h \z \t "Heading_1_AR,1" </w:instrText>
          </w:r>
          <w:r>
            <w:fldChar w:fldCharType="separate"/>
          </w:r>
          <w:hyperlink w:anchor="_Toc456010985" w:history="1">
            <w:r w:rsidR="009A5C0F" w:rsidRPr="00EA40C6">
              <w:rPr>
                <w:rStyle w:val="Hyperlink"/>
                <w:rFonts w:hint="eastAsia"/>
                <w:noProof/>
                <w:rtl/>
              </w:rPr>
              <w:t>قائمة</w:t>
            </w:r>
            <w:r w:rsidR="009A5C0F" w:rsidRPr="00EA40C6">
              <w:rPr>
                <w:rStyle w:val="Hyperlink"/>
                <w:noProof/>
                <w:rtl/>
              </w:rPr>
              <w:t xml:space="preserve"> </w:t>
            </w:r>
            <w:r w:rsidR="009A5C0F" w:rsidRPr="00EA40C6">
              <w:rPr>
                <w:rStyle w:val="Hyperlink"/>
                <w:rFonts w:hint="eastAsia"/>
                <w:noProof/>
                <w:rtl/>
              </w:rPr>
              <w:t>المختصرات</w:t>
            </w:r>
            <w:r w:rsidR="009A5C0F" w:rsidRPr="00EA40C6">
              <w:rPr>
                <w:rStyle w:val="Hyperlink"/>
                <w:noProof/>
                <w:rtl/>
              </w:rPr>
              <w:t xml:space="preserve"> </w:t>
            </w:r>
            <w:r w:rsidR="009A5C0F" w:rsidRPr="00EA40C6">
              <w:rPr>
                <w:rStyle w:val="Hyperlink"/>
                <w:rFonts w:hint="eastAsia"/>
                <w:noProof/>
                <w:rtl/>
              </w:rPr>
              <w:t>المستخدمة</w:t>
            </w:r>
            <w:r w:rsidR="009A5C0F" w:rsidRPr="00EA40C6">
              <w:rPr>
                <w:rStyle w:val="Hyperlink"/>
                <w:noProof/>
                <w:rtl/>
              </w:rPr>
              <w:t xml:space="preserve"> </w:t>
            </w:r>
            <w:r w:rsidR="009A5C0F" w:rsidRPr="00EA40C6">
              <w:rPr>
                <w:rStyle w:val="Hyperlink"/>
                <w:rFonts w:hint="eastAsia"/>
                <w:noProof/>
                <w:rtl/>
              </w:rPr>
              <w:t>في</w:t>
            </w:r>
            <w:r w:rsidR="009A5C0F" w:rsidRPr="00EA40C6">
              <w:rPr>
                <w:rStyle w:val="Hyperlink"/>
                <w:noProof/>
                <w:rtl/>
              </w:rPr>
              <w:t xml:space="preserve"> </w:t>
            </w:r>
            <w:r w:rsidR="009A5C0F" w:rsidRPr="00EA40C6">
              <w:rPr>
                <w:rStyle w:val="Hyperlink"/>
                <w:rFonts w:hint="eastAsia"/>
                <w:noProof/>
                <w:rtl/>
              </w:rPr>
              <w:t>النص</w:t>
            </w:r>
            <w:r w:rsidR="009A5C0F" w:rsidRPr="00EA40C6">
              <w:rPr>
                <w:rStyle w:val="Hyperlink"/>
                <w:noProof/>
                <w:rtl/>
              </w:rPr>
              <w:t xml:space="preserve"> </w:t>
            </w:r>
            <w:r w:rsidR="009A5C0F" w:rsidRPr="00EA40C6">
              <w:rPr>
                <w:rStyle w:val="Hyperlink"/>
                <w:rFonts w:hint="eastAsia"/>
                <w:noProof/>
                <w:rtl/>
              </w:rPr>
              <w:t>الإنكليزي</w:t>
            </w:r>
            <w:r w:rsidR="009A5C0F">
              <w:rPr>
                <w:noProof/>
                <w:webHidden/>
              </w:rPr>
              <w:tab/>
            </w:r>
            <w:r w:rsidR="009A5C0F">
              <w:rPr>
                <w:noProof/>
                <w:webHidden/>
              </w:rPr>
              <w:fldChar w:fldCharType="begin"/>
            </w:r>
            <w:r w:rsidR="009A5C0F">
              <w:rPr>
                <w:noProof/>
                <w:webHidden/>
              </w:rPr>
              <w:instrText xml:space="preserve"> PAGEREF _Toc456010985 \h </w:instrText>
            </w:r>
            <w:r w:rsidR="009A5C0F">
              <w:rPr>
                <w:noProof/>
                <w:webHidden/>
              </w:rPr>
            </w:r>
            <w:r w:rsidR="009A5C0F">
              <w:rPr>
                <w:noProof/>
                <w:webHidden/>
              </w:rPr>
              <w:fldChar w:fldCharType="separate"/>
            </w:r>
            <w:r w:rsidR="000803A9">
              <w:rPr>
                <w:noProof/>
                <w:webHidden/>
                <w:rtl/>
              </w:rPr>
              <w:t>4</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86" w:history="1">
            <w:r w:rsidR="009A5C0F" w:rsidRPr="00EA40C6">
              <w:rPr>
                <w:rStyle w:val="Hyperlink"/>
                <w:rFonts w:hint="eastAsia"/>
                <w:noProof/>
                <w:rtl/>
              </w:rPr>
              <w:t>معلومات</w:t>
            </w:r>
            <w:r w:rsidR="009A5C0F" w:rsidRPr="00EA40C6">
              <w:rPr>
                <w:rStyle w:val="Hyperlink"/>
                <w:noProof/>
                <w:rtl/>
              </w:rPr>
              <w:t xml:space="preserve"> </w:t>
            </w:r>
            <w:r w:rsidR="009A5C0F" w:rsidRPr="00EA40C6">
              <w:rPr>
                <w:rStyle w:val="Hyperlink"/>
                <w:rFonts w:hint="eastAsia"/>
                <w:noProof/>
                <w:rtl/>
              </w:rPr>
              <w:t>أساسية</w:t>
            </w:r>
            <w:r w:rsidR="009A5C0F">
              <w:rPr>
                <w:noProof/>
                <w:webHidden/>
              </w:rPr>
              <w:tab/>
            </w:r>
            <w:r w:rsidR="009A5C0F">
              <w:rPr>
                <w:noProof/>
                <w:webHidden/>
              </w:rPr>
              <w:fldChar w:fldCharType="begin"/>
            </w:r>
            <w:r w:rsidR="009A5C0F">
              <w:rPr>
                <w:noProof/>
                <w:webHidden/>
              </w:rPr>
              <w:instrText xml:space="preserve"> PAGEREF _Toc456010986 \h </w:instrText>
            </w:r>
            <w:r w:rsidR="009A5C0F">
              <w:rPr>
                <w:noProof/>
                <w:webHidden/>
              </w:rPr>
            </w:r>
            <w:r w:rsidR="009A5C0F">
              <w:rPr>
                <w:noProof/>
                <w:webHidden/>
              </w:rPr>
              <w:fldChar w:fldCharType="separate"/>
            </w:r>
            <w:r>
              <w:rPr>
                <w:noProof/>
                <w:webHidden/>
                <w:rtl/>
              </w:rPr>
              <w:t>6</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87" w:history="1">
            <w:r w:rsidR="009A5C0F" w:rsidRPr="00EA40C6">
              <w:rPr>
                <w:rStyle w:val="Hyperlink"/>
                <w:rFonts w:hint="eastAsia"/>
                <w:noProof/>
                <w:rtl/>
              </w:rPr>
              <w:t>مبادئ</w:t>
            </w:r>
            <w:r w:rsidR="009A5C0F" w:rsidRPr="00EA40C6">
              <w:rPr>
                <w:rStyle w:val="Hyperlink"/>
                <w:noProof/>
                <w:rtl/>
              </w:rPr>
              <w:t xml:space="preserve"> </w:t>
            </w:r>
            <w:r w:rsidR="009A5C0F" w:rsidRPr="00EA40C6">
              <w:rPr>
                <w:rStyle w:val="Hyperlink"/>
                <w:rFonts w:hint="eastAsia"/>
                <w:noProof/>
                <w:rtl/>
              </w:rPr>
              <w:t>التخطيط</w:t>
            </w:r>
            <w:r w:rsidR="009A5C0F">
              <w:rPr>
                <w:noProof/>
                <w:webHidden/>
              </w:rPr>
              <w:tab/>
            </w:r>
            <w:r w:rsidR="009A5C0F">
              <w:rPr>
                <w:noProof/>
                <w:webHidden/>
              </w:rPr>
              <w:fldChar w:fldCharType="begin"/>
            </w:r>
            <w:r w:rsidR="009A5C0F">
              <w:rPr>
                <w:noProof/>
                <w:webHidden/>
              </w:rPr>
              <w:instrText xml:space="preserve"> PAGEREF _Toc456010987 \h </w:instrText>
            </w:r>
            <w:r w:rsidR="009A5C0F">
              <w:rPr>
                <w:noProof/>
                <w:webHidden/>
              </w:rPr>
            </w:r>
            <w:r w:rsidR="009A5C0F">
              <w:rPr>
                <w:noProof/>
                <w:webHidden/>
              </w:rPr>
              <w:fldChar w:fldCharType="separate"/>
            </w:r>
            <w:r>
              <w:rPr>
                <w:noProof/>
                <w:webHidden/>
                <w:rtl/>
              </w:rPr>
              <w:t>6</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88" w:history="1">
            <w:r w:rsidR="009A5C0F" w:rsidRPr="00EA40C6">
              <w:rPr>
                <w:rStyle w:val="Hyperlink"/>
                <w:rFonts w:hint="eastAsia"/>
                <w:noProof/>
                <w:rtl/>
              </w:rPr>
              <w:t>المعايير</w:t>
            </w:r>
            <w:r w:rsidR="009A5C0F" w:rsidRPr="00EA40C6">
              <w:rPr>
                <w:rStyle w:val="Hyperlink"/>
                <w:noProof/>
                <w:rtl/>
              </w:rPr>
              <w:t xml:space="preserve"> </w:t>
            </w:r>
            <w:r w:rsidR="009A5C0F" w:rsidRPr="00EA40C6">
              <w:rPr>
                <w:rStyle w:val="Hyperlink"/>
                <w:rFonts w:hint="eastAsia"/>
                <w:noProof/>
                <w:rtl/>
              </w:rPr>
              <w:t>المهنية</w:t>
            </w:r>
            <w:r w:rsidR="009A5C0F">
              <w:rPr>
                <w:noProof/>
                <w:webHidden/>
              </w:rPr>
              <w:tab/>
            </w:r>
            <w:r w:rsidR="009A5C0F">
              <w:rPr>
                <w:noProof/>
                <w:webHidden/>
              </w:rPr>
              <w:fldChar w:fldCharType="begin"/>
            </w:r>
            <w:r w:rsidR="009A5C0F">
              <w:rPr>
                <w:noProof/>
                <w:webHidden/>
              </w:rPr>
              <w:instrText xml:space="preserve"> PAGEREF _Toc456010988 \h </w:instrText>
            </w:r>
            <w:r w:rsidR="009A5C0F">
              <w:rPr>
                <w:noProof/>
                <w:webHidden/>
              </w:rPr>
            </w:r>
            <w:r w:rsidR="009A5C0F">
              <w:rPr>
                <w:noProof/>
                <w:webHidden/>
              </w:rPr>
              <w:fldChar w:fldCharType="separate"/>
            </w:r>
            <w:r>
              <w:rPr>
                <w:noProof/>
                <w:webHidden/>
                <w:rtl/>
              </w:rPr>
              <w:t>6</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89" w:history="1">
            <w:r w:rsidR="009A5C0F" w:rsidRPr="00EA40C6">
              <w:rPr>
                <w:rStyle w:val="Hyperlink"/>
                <w:rFonts w:hint="eastAsia"/>
                <w:noProof/>
                <w:rtl/>
              </w:rPr>
              <w:t>مسائل</w:t>
            </w:r>
            <w:r w:rsidR="009A5C0F" w:rsidRPr="00EA40C6">
              <w:rPr>
                <w:rStyle w:val="Hyperlink"/>
                <w:noProof/>
                <w:rtl/>
              </w:rPr>
              <w:t xml:space="preserve"> </w:t>
            </w:r>
            <w:r w:rsidR="009A5C0F" w:rsidRPr="00EA40C6">
              <w:rPr>
                <w:rStyle w:val="Hyperlink"/>
                <w:rFonts w:hint="eastAsia"/>
                <w:noProof/>
                <w:rtl/>
              </w:rPr>
              <w:t>مهمة</w:t>
            </w:r>
            <w:r w:rsidR="009A5C0F" w:rsidRPr="00EA40C6">
              <w:rPr>
                <w:rStyle w:val="Hyperlink"/>
                <w:noProof/>
                <w:rtl/>
              </w:rPr>
              <w:t xml:space="preserve"> </w:t>
            </w:r>
            <w:r w:rsidR="009A5C0F" w:rsidRPr="00EA40C6">
              <w:rPr>
                <w:rStyle w:val="Hyperlink"/>
                <w:rFonts w:hint="eastAsia"/>
                <w:noProof/>
                <w:rtl/>
              </w:rPr>
              <w:t>وتوصيات</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العالية</w:t>
            </w:r>
            <w:r w:rsidR="009A5C0F" w:rsidRPr="00EA40C6">
              <w:rPr>
                <w:rStyle w:val="Hyperlink"/>
                <w:noProof/>
                <w:rtl/>
              </w:rPr>
              <w:t xml:space="preserve"> </w:t>
            </w:r>
            <w:r w:rsidR="009A5C0F" w:rsidRPr="00EA40C6">
              <w:rPr>
                <w:rStyle w:val="Hyperlink"/>
                <w:rFonts w:hint="eastAsia"/>
                <w:noProof/>
                <w:rtl/>
              </w:rPr>
              <w:t>الأولوية</w:t>
            </w:r>
            <w:r w:rsidR="009A5C0F">
              <w:rPr>
                <w:noProof/>
                <w:webHidden/>
              </w:rPr>
              <w:tab/>
            </w:r>
            <w:r w:rsidR="009A5C0F">
              <w:rPr>
                <w:noProof/>
                <w:webHidden/>
              </w:rPr>
              <w:fldChar w:fldCharType="begin"/>
            </w:r>
            <w:r w:rsidR="009A5C0F">
              <w:rPr>
                <w:noProof/>
                <w:webHidden/>
              </w:rPr>
              <w:instrText xml:space="preserve"> PAGEREF _Toc456010989 \h </w:instrText>
            </w:r>
            <w:r w:rsidR="009A5C0F">
              <w:rPr>
                <w:noProof/>
                <w:webHidden/>
              </w:rPr>
            </w:r>
            <w:r w:rsidR="009A5C0F">
              <w:rPr>
                <w:noProof/>
                <w:webHidden/>
              </w:rPr>
              <w:fldChar w:fldCharType="separate"/>
            </w:r>
            <w:r>
              <w:rPr>
                <w:noProof/>
                <w:webHidden/>
                <w:rtl/>
              </w:rPr>
              <w:t>7</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90" w:history="1">
            <w:r w:rsidR="009A5C0F" w:rsidRPr="00EA40C6">
              <w:rPr>
                <w:rStyle w:val="Hyperlink"/>
                <w:rFonts w:hint="eastAsia"/>
                <w:noProof/>
                <w:rtl/>
              </w:rPr>
              <w:t>أنشطة</w:t>
            </w:r>
            <w:r w:rsidR="009A5C0F" w:rsidRPr="00EA40C6">
              <w:rPr>
                <w:rStyle w:val="Hyperlink"/>
                <w:noProof/>
                <w:rtl/>
              </w:rPr>
              <w:t xml:space="preserve"> </w:t>
            </w:r>
            <w:r w:rsidR="009A5C0F" w:rsidRPr="00EA40C6">
              <w:rPr>
                <w:rStyle w:val="Hyperlink"/>
                <w:rFonts w:hint="eastAsia"/>
                <w:noProof/>
                <w:rtl/>
              </w:rPr>
              <w:t>التحقيق</w:t>
            </w:r>
            <w:r w:rsidR="009A5C0F">
              <w:rPr>
                <w:noProof/>
                <w:webHidden/>
              </w:rPr>
              <w:tab/>
            </w:r>
            <w:r w:rsidR="009A5C0F">
              <w:rPr>
                <w:noProof/>
                <w:webHidden/>
              </w:rPr>
              <w:fldChar w:fldCharType="begin"/>
            </w:r>
            <w:r w:rsidR="009A5C0F">
              <w:rPr>
                <w:noProof/>
                <w:webHidden/>
              </w:rPr>
              <w:instrText xml:space="preserve"> PAGEREF _Toc456010990 \h </w:instrText>
            </w:r>
            <w:r w:rsidR="009A5C0F">
              <w:rPr>
                <w:noProof/>
                <w:webHidden/>
              </w:rPr>
            </w:r>
            <w:r w:rsidR="009A5C0F">
              <w:rPr>
                <w:noProof/>
                <w:webHidden/>
              </w:rPr>
              <w:fldChar w:fldCharType="separate"/>
            </w:r>
            <w:r>
              <w:rPr>
                <w:noProof/>
                <w:webHidden/>
                <w:rtl/>
              </w:rPr>
              <w:t>14</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91" w:history="1">
            <w:r w:rsidR="009A5C0F" w:rsidRPr="00EA40C6">
              <w:rPr>
                <w:rStyle w:val="Hyperlink"/>
                <w:rFonts w:hint="eastAsia"/>
                <w:noProof/>
                <w:rtl/>
              </w:rPr>
              <w:t>الحالات</w:t>
            </w:r>
            <w:r w:rsidR="009A5C0F" w:rsidRPr="00EA40C6">
              <w:rPr>
                <w:rStyle w:val="Hyperlink"/>
                <w:noProof/>
                <w:rtl/>
              </w:rPr>
              <w:t xml:space="preserve"> </w:t>
            </w:r>
            <w:r w:rsidR="009A5C0F" w:rsidRPr="00EA40C6">
              <w:rPr>
                <w:rStyle w:val="Hyperlink"/>
                <w:rFonts w:hint="eastAsia"/>
                <w:noProof/>
                <w:rtl/>
              </w:rPr>
              <w:t>التي</w:t>
            </w:r>
            <w:r w:rsidR="009A5C0F" w:rsidRPr="00EA40C6">
              <w:rPr>
                <w:rStyle w:val="Hyperlink"/>
                <w:noProof/>
                <w:rtl/>
              </w:rPr>
              <w:t xml:space="preserve"> </w:t>
            </w:r>
            <w:r w:rsidR="009A5C0F" w:rsidRPr="00EA40C6">
              <w:rPr>
                <w:rStyle w:val="Hyperlink"/>
                <w:rFonts w:hint="eastAsia"/>
                <w:noProof/>
                <w:rtl/>
              </w:rPr>
              <w:t>رُفض</w:t>
            </w:r>
            <w:r w:rsidR="009A5C0F" w:rsidRPr="00EA40C6">
              <w:rPr>
                <w:rStyle w:val="Hyperlink"/>
                <w:noProof/>
                <w:rtl/>
              </w:rPr>
              <w:t xml:space="preserve"> </w:t>
            </w:r>
            <w:r w:rsidR="009A5C0F" w:rsidRPr="00EA40C6">
              <w:rPr>
                <w:rStyle w:val="Hyperlink"/>
                <w:rFonts w:hint="eastAsia"/>
                <w:noProof/>
                <w:rtl/>
              </w:rPr>
              <w:t>فيها</w:t>
            </w:r>
            <w:r w:rsidR="009A5C0F" w:rsidRPr="00EA40C6">
              <w:rPr>
                <w:rStyle w:val="Hyperlink"/>
                <w:noProof/>
                <w:rtl/>
              </w:rPr>
              <w:t xml:space="preserve"> </w:t>
            </w:r>
            <w:r w:rsidR="009A5C0F" w:rsidRPr="00EA40C6">
              <w:rPr>
                <w:rStyle w:val="Hyperlink"/>
                <w:rFonts w:hint="eastAsia"/>
                <w:noProof/>
                <w:rtl/>
              </w:rPr>
              <w:t>تقديم</w:t>
            </w:r>
            <w:r w:rsidR="009A5C0F" w:rsidRPr="00EA40C6">
              <w:rPr>
                <w:rStyle w:val="Hyperlink"/>
                <w:noProof/>
                <w:rtl/>
              </w:rPr>
              <w:t xml:space="preserve"> </w:t>
            </w:r>
            <w:r w:rsidR="009A5C0F" w:rsidRPr="00EA40C6">
              <w:rPr>
                <w:rStyle w:val="Hyperlink"/>
                <w:rFonts w:hint="eastAsia"/>
                <w:noProof/>
                <w:rtl/>
              </w:rPr>
              <w:t>معلومات</w:t>
            </w:r>
            <w:r w:rsidR="009A5C0F" w:rsidRPr="00EA40C6">
              <w:rPr>
                <w:rStyle w:val="Hyperlink"/>
                <w:noProof/>
                <w:rtl/>
              </w:rPr>
              <w:t xml:space="preserve"> </w:t>
            </w:r>
            <w:r w:rsidR="009A5C0F" w:rsidRPr="00EA40C6">
              <w:rPr>
                <w:rStyle w:val="Hyperlink"/>
                <w:rFonts w:hint="eastAsia"/>
                <w:noProof/>
                <w:rtl/>
              </w:rPr>
              <w:t>أو</w:t>
            </w:r>
            <w:r w:rsidR="009A5C0F" w:rsidRPr="00EA40C6">
              <w:rPr>
                <w:rStyle w:val="Hyperlink"/>
                <w:noProof/>
                <w:rtl/>
              </w:rPr>
              <w:t xml:space="preserve"> </w:t>
            </w:r>
            <w:r w:rsidR="009A5C0F" w:rsidRPr="00EA40C6">
              <w:rPr>
                <w:rStyle w:val="Hyperlink"/>
                <w:rFonts w:hint="eastAsia"/>
                <w:noProof/>
                <w:rtl/>
              </w:rPr>
              <w:t>مساعدات</w:t>
            </w:r>
            <w:r w:rsidR="009A5C0F">
              <w:rPr>
                <w:noProof/>
                <w:webHidden/>
              </w:rPr>
              <w:tab/>
            </w:r>
            <w:r w:rsidR="009A5C0F">
              <w:rPr>
                <w:noProof/>
                <w:webHidden/>
              </w:rPr>
              <w:fldChar w:fldCharType="begin"/>
            </w:r>
            <w:r w:rsidR="009A5C0F">
              <w:rPr>
                <w:noProof/>
                <w:webHidden/>
              </w:rPr>
              <w:instrText xml:space="preserve"> PAGEREF _Toc456010991 \h </w:instrText>
            </w:r>
            <w:r w:rsidR="009A5C0F">
              <w:rPr>
                <w:noProof/>
                <w:webHidden/>
              </w:rPr>
            </w:r>
            <w:r w:rsidR="009A5C0F">
              <w:rPr>
                <w:noProof/>
                <w:webHidden/>
              </w:rPr>
              <w:fldChar w:fldCharType="separate"/>
            </w:r>
            <w:r>
              <w:rPr>
                <w:noProof/>
                <w:webHidden/>
                <w:rtl/>
              </w:rPr>
              <w:t>16</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92" w:history="1">
            <w:r w:rsidR="009A5C0F" w:rsidRPr="00EA40C6">
              <w:rPr>
                <w:rStyle w:val="Hyperlink"/>
                <w:rFonts w:hint="eastAsia"/>
                <w:noProof/>
                <w:rtl/>
              </w:rPr>
              <w:t>وضع</w:t>
            </w:r>
            <w:r w:rsidR="009A5C0F" w:rsidRPr="00EA40C6">
              <w:rPr>
                <w:rStyle w:val="Hyperlink"/>
                <w:noProof/>
                <w:rtl/>
              </w:rPr>
              <w:t xml:space="preserve"> </w:t>
            </w:r>
            <w:r w:rsidR="009A5C0F" w:rsidRPr="00EA40C6">
              <w:rPr>
                <w:rStyle w:val="Hyperlink"/>
                <w:rFonts w:hint="eastAsia"/>
                <w:noProof/>
                <w:rtl/>
              </w:rPr>
              <w:t>تنفيذ</w:t>
            </w:r>
            <w:r w:rsidR="009A5C0F" w:rsidRPr="00EA40C6">
              <w:rPr>
                <w:rStyle w:val="Hyperlink"/>
                <w:noProof/>
                <w:rtl/>
              </w:rPr>
              <w:t xml:space="preserve"> </w:t>
            </w:r>
            <w:r w:rsidR="009A5C0F" w:rsidRPr="00EA40C6">
              <w:rPr>
                <w:rStyle w:val="Hyperlink"/>
                <w:rFonts w:hint="eastAsia"/>
                <w:noProof/>
                <w:rtl/>
              </w:rPr>
              <w:t>توصيات</w:t>
            </w:r>
            <w:r w:rsidR="009A5C0F" w:rsidRPr="00EA40C6">
              <w:rPr>
                <w:rStyle w:val="Hyperlink"/>
                <w:noProof/>
                <w:rtl/>
              </w:rPr>
              <w:t xml:space="preserve"> </w:t>
            </w:r>
            <w:r w:rsidR="009A5C0F" w:rsidRPr="00EA40C6">
              <w:rPr>
                <w:rStyle w:val="Hyperlink"/>
                <w:rFonts w:hint="eastAsia"/>
                <w:noProof/>
                <w:rtl/>
              </w:rPr>
              <w:t>الرقابة</w:t>
            </w:r>
            <w:r w:rsidR="009A5C0F">
              <w:rPr>
                <w:noProof/>
                <w:webHidden/>
              </w:rPr>
              <w:tab/>
            </w:r>
            <w:r w:rsidR="009A5C0F">
              <w:rPr>
                <w:noProof/>
                <w:webHidden/>
              </w:rPr>
              <w:fldChar w:fldCharType="begin"/>
            </w:r>
            <w:r w:rsidR="009A5C0F">
              <w:rPr>
                <w:noProof/>
                <w:webHidden/>
              </w:rPr>
              <w:instrText xml:space="preserve"> PAGEREF _Toc456010992 \h </w:instrText>
            </w:r>
            <w:r w:rsidR="009A5C0F">
              <w:rPr>
                <w:noProof/>
                <w:webHidden/>
              </w:rPr>
            </w:r>
            <w:r w:rsidR="009A5C0F">
              <w:rPr>
                <w:noProof/>
                <w:webHidden/>
              </w:rPr>
              <w:fldChar w:fldCharType="separate"/>
            </w:r>
            <w:r>
              <w:rPr>
                <w:noProof/>
                <w:webHidden/>
                <w:rtl/>
              </w:rPr>
              <w:t>16</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93" w:history="1">
            <w:r w:rsidR="009A5C0F" w:rsidRPr="00EA40C6">
              <w:rPr>
                <w:rStyle w:val="Hyperlink"/>
                <w:rFonts w:hint="eastAsia"/>
                <w:noProof/>
                <w:rtl/>
              </w:rPr>
              <w:t>تقييم</w:t>
            </w:r>
            <w:r w:rsidR="009A5C0F" w:rsidRPr="00EA40C6">
              <w:rPr>
                <w:rStyle w:val="Hyperlink"/>
                <w:noProof/>
                <w:rtl/>
              </w:rPr>
              <w:t xml:space="preserve"> </w:t>
            </w:r>
            <w:r w:rsidR="009A5C0F" w:rsidRPr="00EA40C6">
              <w:rPr>
                <w:rStyle w:val="Hyperlink"/>
                <w:rFonts w:hint="eastAsia"/>
                <w:noProof/>
                <w:rtl/>
              </w:rPr>
              <w:t>الجودة</w:t>
            </w:r>
            <w:r w:rsidR="009A5C0F" w:rsidRPr="00EA40C6">
              <w:rPr>
                <w:rStyle w:val="Hyperlink"/>
                <w:noProof/>
                <w:rtl/>
              </w:rPr>
              <w:t xml:space="preserve"> </w:t>
            </w:r>
            <w:r w:rsidR="009A5C0F" w:rsidRPr="00EA40C6">
              <w:rPr>
                <w:rStyle w:val="Hyperlink"/>
                <w:rFonts w:hint="eastAsia"/>
                <w:noProof/>
                <w:rtl/>
              </w:rPr>
              <w:t>الخارجي</w:t>
            </w:r>
            <w:r w:rsidR="009A5C0F" w:rsidRPr="00EA40C6">
              <w:rPr>
                <w:rStyle w:val="Hyperlink"/>
                <w:noProof/>
                <w:rtl/>
              </w:rPr>
              <w:t xml:space="preserve"> </w:t>
            </w:r>
            <w:r w:rsidR="009A5C0F" w:rsidRPr="00EA40C6">
              <w:rPr>
                <w:rStyle w:val="Hyperlink"/>
                <w:rFonts w:hint="eastAsia"/>
                <w:noProof/>
                <w:rtl/>
              </w:rPr>
              <w:t>لعمل</w:t>
            </w:r>
            <w:r w:rsidR="009A5C0F" w:rsidRPr="00EA40C6">
              <w:rPr>
                <w:rStyle w:val="Hyperlink"/>
                <w:noProof/>
                <w:rtl/>
              </w:rPr>
              <w:t xml:space="preserve"> </w:t>
            </w:r>
            <w:r w:rsidR="009A5C0F" w:rsidRPr="00EA40C6">
              <w:rPr>
                <w:rStyle w:val="Hyperlink"/>
                <w:rFonts w:hint="eastAsia"/>
                <w:noProof/>
                <w:rtl/>
              </w:rPr>
              <w:t>شعبة</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الداخلية</w:t>
            </w:r>
            <w:r w:rsidR="009A5C0F">
              <w:rPr>
                <w:noProof/>
                <w:webHidden/>
              </w:rPr>
              <w:tab/>
            </w:r>
            <w:r w:rsidR="009A5C0F">
              <w:rPr>
                <w:noProof/>
                <w:webHidden/>
              </w:rPr>
              <w:fldChar w:fldCharType="begin"/>
            </w:r>
            <w:r w:rsidR="009A5C0F">
              <w:rPr>
                <w:noProof/>
                <w:webHidden/>
              </w:rPr>
              <w:instrText xml:space="preserve"> PAGEREF _Toc456010993 \h </w:instrText>
            </w:r>
            <w:r w:rsidR="009A5C0F">
              <w:rPr>
                <w:noProof/>
                <w:webHidden/>
              </w:rPr>
            </w:r>
            <w:r w:rsidR="009A5C0F">
              <w:rPr>
                <w:noProof/>
                <w:webHidden/>
              </w:rPr>
              <w:fldChar w:fldCharType="separate"/>
            </w:r>
            <w:r>
              <w:rPr>
                <w:noProof/>
                <w:webHidden/>
                <w:rtl/>
              </w:rPr>
              <w:t>19</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94" w:history="1">
            <w:r w:rsidR="009A5C0F" w:rsidRPr="00EA40C6">
              <w:rPr>
                <w:rStyle w:val="Hyperlink"/>
                <w:rFonts w:hint="eastAsia"/>
                <w:noProof/>
                <w:rtl/>
              </w:rPr>
              <w:t>العمل</w:t>
            </w:r>
            <w:r w:rsidR="009A5C0F" w:rsidRPr="00EA40C6">
              <w:rPr>
                <w:rStyle w:val="Hyperlink"/>
                <w:noProof/>
                <w:rtl/>
              </w:rPr>
              <w:t xml:space="preserve"> </w:t>
            </w:r>
            <w:r w:rsidR="009A5C0F" w:rsidRPr="00EA40C6">
              <w:rPr>
                <w:rStyle w:val="Hyperlink"/>
                <w:rFonts w:hint="eastAsia"/>
                <w:noProof/>
                <w:rtl/>
              </w:rPr>
              <w:t>الاستشاري</w:t>
            </w:r>
            <w:r w:rsidR="009A5C0F" w:rsidRPr="00EA40C6">
              <w:rPr>
                <w:rStyle w:val="Hyperlink"/>
                <w:noProof/>
                <w:rtl/>
              </w:rPr>
              <w:t xml:space="preserve"> </w:t>
            </w:r>
            <w:r w:rsidR="009A5C0F" w:rsidRPr="00EA40C6">
              <w:rPr>
                <w:rStyle w:val="Hyperlink"/>
                <w:rFonts w:hint="eastAsia"/>
                <w:noProof/>
                <w:rtl/>
              </w:rPr>
              <w:t>والرقابي</w:t>
            </w:r>
            <w:r w:rsidR="009A5C0F" w:rsidRPr="00EA40C6">
              <w:rPr>
                <w:rStyle w:val="Hyperlink"/>
                <w:noProof/>
                <w:rtl/>
              </w:rPr>
              <w:t xml:space="preserve"> </w:t>
            </w:r>
            <w:r w:rsidR="009A5C0F" w:rsidRPr="00EA40C6">
              <w:rPr>
                <w:rStyle w:val="Hyperlink"/>
                <w:rFonts w:hint="eastAsia"/>
                <w:noProof/>
                <w:rtl/>
              </w:rPr>
              <w:t>الاستشاري</w:t>
            </w:r>
            <w:r w:rsidR="009A5C0F">
              <w:rPr>
                <w:noProof/>
                <w:webHidden/>
              </w:rPr>
              <w:tab/>
            </w:r>
            <w:r w:rsidR="009A5C0F">
              <w:rPr>
                <w:noProof/>
                <w:webHidden/>
              </w:rPr>
              <w:fldChar w:fldCharType="begin"/>
            </w:r>
            <w:r w:rsidR="009A5C0F">
              <w:rPr>
                <w:noProof/>
                <w:webHidden/>
              </w:rPr>
              <w:instrText xml:space="preserve"> PAGEREF _Toc456010994 \h </w:instrText>
            </w:r>
            <w:r w:rsidR="009A5C0F">
              <w:rPr>
                <w:noProof/>
                <w:webHidden/>
              </w:rPr>
            </w:r>
            <w:r w:rsidR="009A5C0F">
              <w:rPr>
                <w:noProof/>
                <w:webHidden/>
              </w:rPr>
              <w:fldChar w:fldCharType="separate"/>
            </w:r>
            <w:r>
              <w:rPr>
                <w:noProof/>
                <w:webHidden/>
                <w:rtl/>
              </w:rPr>
              <w:t>19</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95" w:history="1">
            <w:r w:rsidR="009A5C0F" w:rsidRPr="00EA40C6">
              <w:rPr>
                <w:rStyle w:val="Hyperlink"/>
                <w:rFonts w:hint="eastAsia"/>
                <w:noProof/>
                <w:rtl/>
              </w:rPr>
              <w:t>التعاون</w:t>
            </w:r>
            <w:r w:rsidR="009A5C0F" w:rsidRPr="00EA40C6">
              <w:rPr>
                <w:rStyle w:val="Hyperlink"/>
                <w:noProof/>
                <w:rtl/>
              </w:rPr>
              <w:t xml:space="preserve"> </w:t>
            </w:r>
            <w:r w:rsidR="009A5C0F" w:rsidRPr="00EA40C6">
              <w:rPr>
                <w:rStyle w:val="Hyperlink"/>
                <w:rFonts w:hint="eastAsia"/>
                <w:noProof/>
                <w:rtl/>
              </w:rPr>
              <w:t>مع</w:t>
            </w:r>
            <w:r w:rsidR="009A5C0F" w:rsidRPr="00EA40C6">
              <w:rPr>
                <w:rStyle w:val="Hyperlink"/>
                <w:noProof/>
                <w:rtl/>
              </w:rPr>
              <w:t xml:space="preserve"> </w:t>
            </w:r>
            <w:r w:rsidR="009A5C0F" w:rsidRPr="00EA40C6">
              <w:rPr>
                <w:rStyle w:val="Hyperlink"/>
                <w:rFonts w:hint="eastAsia"/>
                <w:noProof/>
                <w:rtl/>
              </w:rPr>
              <w:t>هيئات</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الخارجية</w:t>
            </w:r>
            <w:r w:rsidR="009A5C0F">
              <w:rPr>
                <w:noProof/>
                <w:webHidden/>
              </w:rPr>
              <w:tab/>
            </w:r>
            <w:r w:rsidR="009A5C0F">
              <w:rPr>
                <w:noProof/>
                <w:webHidden/>
              </w:rPr>
              <w:fldChar w:fldCharType="begin"/>
            </w:r>
            <w:r w:rsidR="009A5C0F">
              <w:rPr>
                <w:noProof/>
                <w:webHidden/>
              </w:rPr>
              <w:instrText xml:space="preserve"> PAGEREF _Toc456010995 \h </w:instrText>
            </w:r>
            <w:r w:rsidR="009A5C0F">
              <w:rPr>
                <w:noProof/>
                <w:webHidden/>
              </w:rPr>
            </w:r>
            <w:r w:rsidR="009A5C0F">
              <w:rPr>
                <w:noProof/>
                <w:webHidden/>
              </w:rPr>
              <w:fldChar w:fldCharType="separate"/>
            </w:r>
            <w:r>
              <w:rPr>
                <w:noProof/>
                <w:webHidden/>
                <w:rtl/>
              </w:rPr>
              <w:t>19</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96" w:history="1">
            <w:r w:rsidR="009A5C0F" w:rsidRPr="00EA40C6">
              <w:rPr>
                <w:rStyle w:val="Hyperlink"/>
                <w:rFonts w:hint="eastAsia"/>
                <w:noProof/>
                <w:rtl/>
              </w:rPr>
              <w:t>التعاون</w:t>
            </w:r>
            <w:r w:rsidR="009A5C0F" w:rsidRPr="00EA40C6">
              <w:rPr>
                <w:rStyle w:val="Hyperlink"/>
                <w:noProof/>
                <w:rtl/>
              </w:rPr>
              <w:t xml:space="preserve"> </w:t>
            </w:r>
            <w:r w:rsidR="009A5C0F" w:rsidRPr="00EA40C6">
              <w:rPr>
                <w:rStyle w:val="Hyperlink"/>
                <w:rFonts w:hint="eastAsia"/>
                <w:noProof/>
                <w:rtl/>
              </w:rPr>
              <w:t>مع</w:t>
            </w:r>
            <w:r w:rsidR="009A5C0F" w:rsidRPr="00EA40C6">
              <w:rPr>
                <w:rStyle w:val="Hyperlink"/>
                <w:noProof/>
                <w:rtl/>
              </w:rPr>
              <w:t xml:space="preserve"> </w:t>
            </w:r>
            <w:r w:rsidR="009A5C0F" w:rsidRPr="00EA40C6">
              <w:rPr>
                <w:rStyle w:val="Hyperlink"/>
                <w:rFonts w:hint="eastAsia"/>
                <w:noProof/>
                <w:rtl/>
              </w:rPr>
              <w:t>أمين</w:t>
            </w:r>
            <w:r w:rsidR="009A5C0F" w:rsidRPr="00EA40C6">
              <w:rPr>
                <w:rStyle w:val="Hyperlink"/>
                <w:noProof/>
                <w:rtl/>
              </w:rPr>
              <w:t xml:space="preserve"> </w:t>
            </w:r>
            <w:r w:rsidR="009A5C0F" w:rsidRPr="00EA40C6">
              <w:rPr>
                <w:rStyle w:val="Hyperlink"/>
                <w:rFonts w:hint="eastAsia"/>
                <w:noProof/>
                <w:rtl/>
              </w:rPr>
              <w:t>المظالم</w:t>
            </w:r>
            <w:r w:rsidR="009A5C0F" w:rsidRPr="00EA40C6">
              <w:rPr>
                <w:rStyle w:val="Hyperlink"/>
                <w:noProof/>
                <w:rtl/>
              </w:rPr>
              <w:t xml:space="preserve"> </w:t>
            </w:r>
            <w:r w:rsidR="009A5C0F" w:rsidRPr="00EA40C6">
              <w:rPr>
                <w:rStyle w:val="Hyperlink"/>
                <w:rFonts w:hint="eastAsia"/>
                <w:noProof/>
                <w:rtl/>
              </w:rPr>
              <w:t>ومكتب</w:t>
            </w:r>
            <w:r w:rsidR="009A5C0F" w:rsidRPr="00EA40C6">
              <w:rPr>
                <w:rStyle w:val="Hyperlink"/>
                <w:noProof/>
                <w:rtl/>
              </w:rPr>
              <w:t xml:space="preserve"> </w:t>
            </w:r>
            <w:r w:rsidR="009A5C0F" w:rsidRPr="00EA40C6">
              <w:rPr>
                <w:rStyle w:val="Hyperlink"/>
                <w:rFonts w:hint="eastAsia"/>
                <w:noProof/>
                <w:rtl/>
              </w:rPr>
              <w:t>الأخلاقيات</w:t>
            </w:r>
            <w:r w:rsidR="009A5C0F">
              <w:rPr>
                <w:noProof/>
                <w:webHidden/>
              </w:rPr>
              <w:tab/>
            </w:r>
            <w:r w:rsidR="009A5C0F">
              <w:rPr>
                <w:noProof/>
                <w:webHidden/>
              </w:rPr>
              <w:fldChar w:fldCharType="begin"/>
            </w:r>
            <w:r w:rsidR="009A5C0F">
              <w:rPr>
                <w:noProof/>
                <w:webHidden/>
              </w:rPr>
              <w:instrText xml:space="preserve"> PAGEREF _Toc456010996 \h </w:instrText>
            </w:r>
            <w:r w:rsidR="009A5C0F">
              <w:rPr>
                <w:noProof/>
                <w:webHidden/>
              </w:rPr>
            </w:r>
            <w:r w:rsidR="009A5C0F">
              <w:rPr>
                <w:noProof/>
                <w:webHidden/>
              </w:rPr>
              <w:fldChar w:fldCharType="separate"/>
            </w:r>
            <w:r>
              <w:rPr>
                <w:noProof/>
                <w:webHidden/>
                <w:rtl/>
              </w:rPr>
              <w:t>19</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97" w:history="1">
            <w:r w:rsidR="009A5C0F" w:rsidRPr="00EA40C6">
              <w:rPr>
                <w:rStyle w:val="Hyperlink"/>
                <w:rFonts w:hint="eastAsia"/>
                <w:noProof/>
                <w:rtl/>
              </w:rPr>
              <w:t>أنشطة</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الأخرى</w:t>
            </w:r>
            <w:r w:rsidR="009A5C0F">
              <w:rPr>
                <w:noProof/>
                <w:webHidden/>
              </w:rPr>
              <w:tab/>
            </w:r>
            <w:r w:rsidR="009A5C0F">
              <w:rPr>
                <w:noProof/>
                <w:webHidden/>
              </w:rPr>
              <w:fldChar w:fldCharType="begin"/>
            </w:r>
            <w:r w:rsidR="009A5C0F">
              <w:rPr>
                <w:noProof/>
                <w:webHidden/>
              </w:rPr>
              <w:instrText xml:space="preserve"> PAGEREF _Toc456010997 \h </w:instrText>
            </w:r>
            <w:r w:rsidR="009A5C0F">
              <w:rPr>
                <w:noProof/>
                <w:webHidden/>
              </w:rPr>
            </w:r>
            <w:r w:rsidR="009A5C0F">
              <w:rPr>
                <w:noProof/>
                <w:webHidden/>
              </w:rPr>
              <w:fldChar w:fldCharType="separate"/>
            </w:r>
            <w:r>
              <w:rPr>
                <w:noProof/>
                <w:webHidden/>
                <w:rtl/>
              </w:rPr>
              <w:t>20</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98" w:history="1">
            <w:r w:rsidR="009A5C0F" w:rsidRPr="00EA40C6">
              <w:rPr>
                <w:rStyle w:val="Hyperlink"/>
                <w:rFonts w:hint="eastAsia"/>
                <w:noProof/>
                <w:rtl/>
              </w:rPr>
              <w:t>الاستقلالية</w:t>
            </w:r>
            <w:r w:rsidR="009A5C0F" w:rsidRPr="00EA40C6">
              <w:rPr>
                <w:rStyle w:val="Hyperlink"/>
                <w:noProof/>
                <w:rtl/>
              </w:rPr>
              <w:t xml:space="preserve"> </w:t>
            </w:r>
            <w:r w:rsidR="009A5C0F" w:rsidRPr="00EA40C6">
              <w:rPr>
                <w:rStyle w:val="Hyperlink"/>
                <w:rFonts w:hint="eastAsia"/>
                <w:noProof/>
                <w:rtl/>
              </w:rPr>
              <w:t>التشغيلية</w:t>
            </w:r>
            <w:r w:rsidR="009A5C0F" w:rsidRPr="00EA40C6">
              <w:rPr>
                <w:rStyle w:val="Hyperlink"/>
                <w:noProof/>
                <w:rtl/>
              </w:rPr>
              <w:t xml:space="preserve"> </w:t>
            </w:r>
            <w:r w:rsidR="009A5C0F" w:rsidRPr="00EA40C6">
              <w:rPr>
                <w:rStyle w:val="Hyperlink"/>
                <w:rFonts w:hint="eastAsia"/>
                <w:noProof/>
                <w:rtl/>
              </w:rPr>
              <w:t>لشعبة</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الداخلية</w:t>
            </w:r>
            <w:r w:rsidR="009A5C0F">
              <w:rPr>
                <w:noProof/>
                <w:webHidden/>
              </w:rPr>
              <w:tab/>
            </w:r>
            <w:r w:rsidR="009A5C0F">
              <w:rPr>
                <w:noProof/>
                <w:webHidden/>
              </w:rPr>
              <w:fldChar w:fldCharType="begin"/>
            </w:r>
            <w:r w:rsidR="009A5C0F">
              <w:rPr>
                <w:noProof/>
                <w:webHidden/>
              </w:rPr>
              <w:instrText xml:space="preserve"> PAGEREF _Toc456010998 \h </w:instrText>
            </w:r>
            <w:r w:rsidR="009A5C0F">
              <w:rPr>
                <w:noProof/>
                <w:webHidden/>
              </w:rPr>
            </w:r>
            <w:r w:rsidR="009A5C0F">
              <w:rPr>
                <w:noProof/>
                <w:webHidden/>
              </w:rPr>
              <w:fldChar w:fldCharType="separate"/>
            </w:r>
            <w:r>
              <w:rPr>
                <w:noProof/>
                <w:webHidden/>
                <w:rtl/>
              </w:rPr>
              <w:t>21</w:t>
            </w:r>
            <w:r w:rsidR="009A5C0F">
              <w:rPr>
                <w:noProof/>
                <w:webHidden/>
              </w:rPr>
              <w:fldChar w:fldCharType="end"/>
            </w:r>
          </w:hyperlink>
        </w:p>
        <w:p w:rsidR="009A5C0F" w:rsidRDefault="000803A9" w:rsidP="009A5C0F">
          <w:pPr>
            <w:pStyle w:val="TOC1"/>
            <w:rPr>
              <w:rFonts w:asciiTheme="minorHAnsi" w:eastAsiaTheme="minorEastAsia" w:hAnsiTheme="minorHAnsi" w:cstheme="minorBidi"/>
              <w:noProof/>
              <w:sz w:val="22"/>
              <w:szCs w:val="22"/>
            </w:rPr>
          </w:pPr>
          <w:hyperlink w:anchor="_Toc456010999" w:history="1">
            <w:r w:rsidR="009A5C0F" w:rsidRPr="00EA40C6">
              <w:rPr>
                <w:rStyle w:val="Hyperlink"/>
                <w:rFonts w:hint="eastAsia"/>
                <w:noProof/>
                <w:rtl/>
              </w:rPr>
              <w:t>موارد</w:t>
            </w:r>
            <w:r w:rsidR="009A5C0F" w:rsidRPr="00EA40C6">
              <w:rPr>
                <w:rStyle w:val="Hyperlink"/>
                <w:noProof/>
                <w:rtl/>
              </w:rPr>
              <w:t xml:space="preserve"> </w:t>
            </w:r>
            <w:r w:rsidR="009A5C0F" w:rsidRPr="00EA40C6">
              <w:rPr>
                <w:rStyle w:val="Hyperlink"/>
                <w:rFonts w:hint="eastAsia"/>
                <w:noProof/>
                <w:rtl/>
              </w:rPr>
              <w:t>الرقابة</w:t>
            </w:r>
            <w:r w:rsidR="009A5C0F">
              <w:rPr>
                <w:noProof/>
                <w:webHidden/>
              </w:rPr>
              <w:tab/>
            </w:r>
            <w:r w:rsidR="009A5C0F">
              <w:rPr>
                <w:noProof/>
                <w:webHidden/>
              </w:rPr>
              <w:fldChar w:fldCharType="begin"/>
            </w:r>
            <w:r w:rsidR="009A5C0F">
              <w:rPr>
                <w:noProof/>
                <w:webHidden/>
              </w:rPr>
              <w:instrText xml:space="preserve"> PAGEREF _Toc456010999 \h </w:instrText>
            </w:r>
            <w:r w:rsidR="009A5C0F">
              <w:rPr>
                <w:noProof/>
                <w:webHidden/>
              </w:rPr>
            </w:r>
            <w:r w:rsidR="009A5C0F">
              <w:rPr>
                <w:noProof/>
                <w:webHidden/>
              </w:rPr>
              <w:fldChar w:fldCharType="separate"/>
            </w:r>
            <w:r>
              <w:rPr>
                <w:noProof/>
                <w:webHidden/>
                <w:rtl/>
              </w:rPr>
              <w:t>21</w:t>
            </w:r>
            <w:r w:rsidR="009A5C0F">
              <w:rPr>
                <w:noProof/>
                <w:webHidden/>
              </w:rPr>
              <w:fldChar w:fldCharType="end"/>
            </w:r>
          </w:hyperlink>
        </w:p>
        <w:p w:rsidR="009A5C0F" w:rsidRPr="009A5C0F" w:rsidRDefault="000803A9" w:rsidP="009A5C0F">
          <w:pPr>
            <w:pStyle w:val="TOC1"/>
            <w:rPr>
              <w:rFonts w:asciiTheme="minorHAnsi" w:eastAsiaTheme="minorEastAsia" w:hAnsiTheme="minorHAnsi" w:cstheme="minorBidi"/>
              <w:b/>
              <w:bCs/>
              <w:noProof/>
              <w:sz w:val="22"/>
              <w:szCs w:val="22"/>
            </w:rPr>
          </w:pPr>
          <w:hyperlink w:anchor="_Toc456011000" w:history="1">
            <w:r w:rsidR="009A5C0F" w:rsidRPr="009A5C0F">
              <w:rPr>
                <w:rStyle w:val="Hyperlink"/>
                <w:rFonts w:hint="eastAsia"/>
                <w:b/>
                <w:bCs/>
                <w:noProof/>
                <w:rtl/>
              </w:rPr>
              <w:t>المرفقان</w:t>
            </w:r>
          </w:hyperlink>
        </w:p>
        <w:p w:rsidR="009A5C0F" w:rsidRDefault="000803A9" w:rsidP="009A5C0F">
          <w:pPr>
            <w:pStyle w:val="TOC1"/>
            <w:tabs>
              <w:tab w:val="left" w:pos="1133"/>
            </w:tabs>
            <w:rPr>
              <w:rFonts w:asciiTheme="minorHAnsi" w:eastAsiaTheme="minorEastAsia" w:hAnsiTheme="minorHAnsi" w:cstheme="minorBidi"/>
              <w:noProof/>
              <w:sz w:val="22"/>
              <w:szCs w:val="22"/>
            </w:rPr>
          </w:pPr>
          <w:hyperlink w:anchor="_Toc456011001" w:history="1">
            <w:r w:rsidR="009A5C0F" w:rsidRPr="00EA40C6">
              <w:rPr>
                <w:rStyle w:val="Hyperlink"/>
                <w:rFonts w:hint="eastAsia"/>
                <w:noProof/>
                <w:rtl/>
              </w:rPr>
              <w:t>المرفق</w:t>
            </w:r>
            <w:r w:rsidR="009A5C0F" w:rsidRPr="00EA40C6">
              <w:rPr>
                <w:rStyle w:val="Hyperlink"/>
                <w:noProof/>
                <w:rtl/>
              </w:rPr>
              <w:t xml:space="preserve"> </w:t>
            </w:r>
            <w:r w:rsidR="009A5C0F" w:rsidRPr="00EA40C6">
              <w:rPr>
                <w:rStyle w:val="Hyperlink"/>
                <w:rFonts w:hint="eastAsia"/>
                <w:noProof/>
                <w:rtl/>
              </w:rPr>
              <w:t>الأول</w:t>
            </w:r>
            <w:r w:rsidR="009A5C0F">
              <w:rPr>
                <w:rFonts w:asciiTheme="minorHAnsi" w:eastAsiaTheme="minorEastAsia" w:hAnsiTheme="minorHAnsi" w:cstheme="minorBidi"/>
                <w:noProof/>
                <w:sz w:val="22"/>
                <w:szCs w:val="22"/>
              </w:rPr>
              <w:tab/>
            </w:r>
            <w:r w:rsidR="009A5C0F" w:rsidRPr="00EA40C6">
              <w:rPr>
                <w:rStyle w:val="Hyperlink"/>
                <w:rFonts w:hint="eastAsia"/>
                <w:noProof/>
                <w:rtl/>
              </w:rPr>
              <w:t>قائمة</w:t>
            </w:r>
            <w:r w:rsidR="009A5C0F" w:rsidRPr="00EA40C6">
              <w:rPr>
                <w:rStyle w:val="Hyperlink"/>
                <w:noProof/>
                <w:rtl/>
              </w:rPr>
              <w:t xml:space="preserve"> </w:t>
            </w:r>
            <w:r w:rsidR="009A5C0F" w:rsidRPr="00EA40C6">
              <w:rPr>
                <w:rStyle w:val="Hyperlink"/>
                <w:rFonts w:hint="eastAsia"/>
                <w:noProof/>
                <w:rtl/>
              </w:rPr>
              <w:t>تقارير</w:t>
            </w:r>
            <w:r w:rsidR="009A5C0F" w:rsidRPr="00EA40C6">
              <w:rPr>
                <w:rStyle w:val="Hyperlink"/>
                <w:noProof/>
                <w:rtl/>
              </w:rPr>
              <w:t xml:space="preserve"> </w:t>
            </w:r>
            <w:r w:rsidR="009A5C0F" w:rsidRPr="00EA40C6">
              <w:rPr>
                <w:rStyle w:val="Hyperlink"/>
                <w:rFonts w:hint="eastAsia"/>
                <w:noProof/>
                <w:rtl/>
              </w:rPr>
              <w:t>شعبة</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الداخلية</w:t>
            </w:r>
          </w:hyperlink>
        </w:p>
        <w:p w:rsidR="009A5C0F" w:rsidRDefault="000803A9" w:rsidP="009A5C0F">
          <w:pPr>
            <w:pStyle w:val="TOC1"/>
            <w:tabs>
              <w:tab w:val="left" w:pos="1133"/>
              <w:tab w:val="left" w:pos="3276"/>
            </w:tabs>
            <w:rPr>
              <w:rFonts w:asciiTheme="minorHAnsi" w:eastAsiaTheme="minorEastAsia" w:hAnsiTheme="minorHAnsi" w:cstheme="minorBidi"/>
              <w:noProof/>
              <w:sz w:val="22"/>
              <w:szCs w:val="22"/>
            </w:rPr>
          </w:pPr>
          <w:hyperlink w:anchor="_Toc456011002" w:history="1">
            <w:r w:rsidR="009A5C0F" w:rsidRPr="00EA40C6">
              <w:rPr>
                <w:rStyle w:val="Hyperlink"/>
                <w:rFonts w:hint="eastAsia"/>
                <w:noProof/>
                <w:rtl/>
              </w:rPr>
              <w:t>المرفق</w:t>
            </w:r>
            <w:r w:rsidR="009A5C0F" w:rsidRPr="00EA40C6">
              <w:rPr>
                <w:rStyle w:val="Hyperlink"/>
                <w:noProof/>
                <w:rtl/>
              </w:rPr>
              <w:t xml:space="preserve"> </w:t>
            </w:r>
            <w:r w:rsidR="009A5C0F" w:rsidRPr="00EA40C6">
              <w:rPr>
                <w:rStyle w:val="Hyperlink"/>
                <w:rFonts w:hint="eastAsia"/>
                <w:noProof/>
                <w:rtl/>
              </w:rPr>
              <w:t>الثاني</w:t>
            </w:r>
            <w:r w:rsidR="009A5C0F">
              <w:rPr>
                <w:rFonts w:asciiTheme="minorHAnsi" w:eastAsiaTheme="minorEastAsia" w:hAnsiTheme="minorHAnsi" w:cstheme="minorBidi"/>
                <w:noProof/>
                <w:sz w:val="22"/>
                <w:szCs w:val="22"/>
              </w:rPr>
              <w:tab/>
            </w:r>
            <w:r w:rsidR="009A5C0F" w:rsidRPr="00EA40C6">
              <w:rPr>
                <w:rStyle w:val="Hyperlink"/>
                <w:rFonts w:hint="eastAsia"/>
                <w:noProof/>
                <w:rtl/>
              </w:rPr>
              <w:t>قائمة</w:t>
            </w:r>
            <w:r w:rsidR="009A5C0F" w:rsidRPr="00EA40C6">
              <w:rPr>
                <w:rStyle w:val="Hyperlink"/>
                <w:noProof/>
                <w:rtl/>
              </w:rPr>
              <w:t xml:space="preserve"> </w:t>
            </w:r>
            <w:r w:rsidR="009A5C0F" w:rsidRPr="00EA40C6">
              <w:rPr>
                <w:rStyle w:val="Hyperlink"/>
                <w:rFonts w:hint="eastAsia"/>
                <w:noProof/>
                <w:rtl/>
              </w:rPr>
              <w:t>الأنشطة</w:t>
            </w:r>
            <w:r w:rsidR="009A5C0F" w:rsidRPr="00EA40C6">
              <w:rPr>
                <w:rStyle w:val="Hyperlink"/>
                <w:noProof/>
                <w:rtl/>
              </w:rPr>
              <w:t xml:space="preserve"> </w:t>
            </w:r>
            <w:r w:rsidR="009A5C0F" w:rsidRPr="00EA40C6">
              <w:rPr>
                <w:rStyle w:val="Hyperlink"/>
                <w:rFonts w:hint="eastAsia"/>
                <w:noProof/>
                <w:rtl/>
              </w:rPr>
              <w:t>الاستشارية</w:t>
            </w:r>
            <w:r w:rsidR="009A5C0F" w:rsidRPr="00EA40C6">
              <w:rPr>
                <w:rStyle w:val="Hyperlink"/>
                <w:noProof/>
                <w:rtl/>
              </w:rPr>
              <w:t xml:space="preserve"> </w:t>
            </w:r>
            <w:r w:rsidR="009A5C0F" w:rsidRPr="00EA40C6">
              <w:rPr>
                <w:rStyle w:val="Hyperlink"/>
                <w:rFonts w:hint="eastAsia"/>
                <w:noProof/>
                <w:rtl/>
              </w:rPr>
              <w:t>لشعبة</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الداخلية</w:t>
            </w:r>
          </w:hyperlink>
        </w:p>
        <w:p w:rsidR="00834E03" w:rsidRDefault="00834E03" w:rsidP="009A5C0F">
          <w:pPr>
            <w:pStyle w:val="TOC1"/>
            <w:tabs>
              <w:tab w:val="left" w:pos="1133"/>
            </w:tabs>
            <w:jc w:val="right"/>
          </w:pPr>
          <w:r>
            <w:fldChar w:fldCharType="end"/>
          </w:r>
        </w:p>
      </w:sdtContent>
    </w:sdt>
    <w:p w:rsidR="003A3CD3" w:rsidRPr="003A3CD3" w:rsidRDefault="003A3CD3" w:rsidP="00561823">
      <w:pPr>
        <w:pStyle w:val="Heading1AR"/>
        <w:pageBreakBefore/>
      </w:pPr>
      <w:bookmarkStart w:id="3" w:name="_Toc456010985"/>
      <w:bookmarkStart w:id="4" w:name="_Toc423533508"/>
      <w:bookmarkStart w:id="5" w:name="Acronyms"/>
      <w:r w:rsidRPr="003A3CD3">
        <w:rPr>
          <w:rtl/>
        </w:rPr>
        <w:lastRenderedPageBreak/>
        <w:t>قائمة المختصرات المستخدمة في النص الإنكليزي</w:t>
      </w:r>
      <w:bookmarkEnd w:id="3"/>
    </w:p>
    <w:tbl>
      <w:tblPr>
        <w:bidiVisual/>
        <w:tblW w:w="5000" w:type="pct"/>
        <w:tblLook w:val="01E0" w:firstRow="1" w:lastRow="1" w:firstColumn="1" w:lastColumn="1" w:noHBand="0" w:noVBand="0"/>
      </w:tblPr>
      <w:tblGrid>
        <w:gridCol w:w="1933"/>
        <w:gridCol w:w="7638"/>
      </w:tblGrid>
      <w:tr w:rsidR="003A3CD3" w:rsidRPr="00E93CA6" w:rsidTr="007B169B">
        <w:trPr>
          <w:trHeight w:val="340"/>
        </w:trPr>
        <w:tc>
          <w:tcPr>
            <w:tcW w:w="1010" w:type="pct"/>
            <w:vAlign w:val="center"/>
          </w:tcPr>
          <w:bookmarkEnd w:id="4"/>
          <w:bookmarkEnd w:id="5"/>
          <w:p w:rsidR="003A3CD3" w:rsidRPr="001E55A4" w:rsidRDefault="003A3CD3" w:rsidP="00327C08">
            <w:pPr>
              <w:bidi/>
              <w:rPr>
                <w:rFonts w:ascii="Arabic Typesetting" w:hAnsi="Arabic Typesetting" w:cs="Arabic Typesetting"/>
                <w:b/>
                <w:sz w:val="36"/>
                <w:szCs w:val="36"/>
              </w:rPr>
            </w:pPr>
            <w:r w:rsidRPr="00086EB3">
              <w:rPr>
                <w:rFonts w:ascii="Arabic Typesetting" w:hAnsi="Arabic Typesetting" w:cs="Arabic Typesetting"/>
                <w:b/>
                <w:sz w:val="36"/>
                <w:szCs w:val="36"/>
              </w:rPr>
              <w:t>BCM</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إدارة استمرارية الأعمال</w:t>
            </w:r>
          </w:p>
        </w:tc>
      </w:tr>
      <w:tr w:rsidR="003A3CD3" w:rsidRPr="00E93CA6" w:rsidTr="007B169B">
        <w:trPr>
          <w:trHeight w:val="340"/>
        </w:trPr>
        <w:tc>
          <w:tcPr>
            <w:tcW w:w="1010" w:type="pct"/>
            <w:vAlign w:val="center"/>
          </w:tcPr>
          <w:p w:rsidR="003A3CD3" w:rsidRPr="00086EB3" w:rsidRDefault="003A3CD3" w:rsidP="00327C08">
            <w:pPr>
              <w:bidi/>
              <w:rPr>
                <w:rFonts w:ascii="Arabic Typesetting" w:hAnsi="Arabic Typesetting" w:cs="Arabic Typesetting"/>
                <w:b/>
                <w:sz w:val="36"/>
                <w:szCs w:val="36"/>
              </w:rPr>
            </w:pPr>
            <w:r>
              <w:rPr>
                <w:rFonts w:ascii="Arabic Typesetting" w:hAnsi="Arabic Typesetting" w:cs="Arabic Typesetting"/>
                <w:b/>
                <w:sz w:val="36"/>
                <w:szCs w:val="36"/>
              </w:rPr>
              <w:t>CDIP</w:t>
            </w:r>
          </w:p>
        </w:tc>
        <w:tc>
          <w:tcPr>
            <w:tcW w:w="3990" w:type="pct"/>
            <w:vAlign w:val="center"/>
          </w:tcPr>
          <w:p w:rsidR="003A3CD3" w:rsidRPr="00086EB3" w:rsidRDefault="003A3CD3" w:rsidP="00327C08">
            <w:pPr>
              <w:bidi/>
              <w:rPr>
                <w:rFonts w:ascii="Arabic Typesetting" w:hAnsi="Arabic Typesetting" w:cs="Arabic Typesetting"/>
                <w:sz w:val="36"/>
                <w:szCs w:val="36"/>
                <w:rtl/>
              </w:rPr>
            </w:pPr>
            <w:r>
              <w:rPr>
                <w:rFonts w:ascii="Arabic Typesetting" w:hAnsi="Arabic Typesetting" w:cs="Arabic Typesetting" w:hint="cs"/>
                <w:sz w:val="36"/>
                <w:szCs w:val="36"/>
                <w:rtl/>
              </w:rPr>
              <w:t>اللجنة المعنية بالتنمية والملكية الفكرية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CII</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1E55A4">
              <w:rPr>
                <w:rFonts w:ascii="Arabic Typesetting" w:hAnsi="Arabic Typesetting" w:cs="Arabic Typesetting"/>
                <w:sz w:val="36"/>
                <w:szCs w:val="36"/>
                <w:rtl/>
                <w:lang w:bidi="ar-EG"/>
              </w:rPr>
              <w:t>مؤتمر المحققين الدوليين</w:t>
            </w:r>
          </w:p>
        </w:tc>
      </w:tr>
      <w:tr w:rsidR="003A3CD3" w:rsidRPr="00E93CA6" w:rsidTr="007B169B">
        <w:trPr>
          <w:trHeight w:val="340"/>
        </w:trPr>
        <w:tc>
          <w:tcPr>
            <w:tcW w:w="1010" w:type="pct"/>
            <w:vAlign w:val="center"/>
          </w:tcPr>
          <w:p w:rsidR="003A3CD3" w:rsidRPr="002C5A9C" w:rsidRDefault="003A3CD3" w:rsidP="00327C08">
            <w:pPr>
              <w:bidi/>
              <w:rPr>
                <w:rFonts w:ascii="Arabic Typesetting" w:hAnsi="Arabic Typesetting" w:cs="Arabic Typesetting"/>
                <w:b/>
                <w:sz w:val="36"/>
                <w:szCs w:val="36"/>
              </w:rPr>
            </w:pPr>
            <w:r w:rsidRPr="002C5A9C">
              <w:rPr>
                <w:rFonts w:ascii="Arabic Typesetting" w:hAnsi="Arabic Typesetting" w:cs="Arabic Typesetting"/>
                <w:b/>
                <w:sz w:val="36"/>
                <w:szCs w:val="36"/>
              </w:rPr>
              <w:t>CPE</w:t>
            </w:r>
          </w:p>
        </w:tc>
        <w:tc>
          <w:tcPr>
            <w:tcW w:w="3990" w:type="pct"/>
            <w:vAlign w:val="center"/>
          </w:tcPr>
          <w:p w:rsidR="003A3CD3" w:rsidRPr="002C5A9C" w:rsidRDefault="003A3CD3" w:rsidP="00327C08">
            <w:pPr>
              <w:bidi/>
              <w:ind w:left="43"/>
              <w:rPr>
                <w:rFonts w:ascii="Arabic Typesetting" w:hAnsi="Arabic Typesetting" w:cs="Arabic Typesetting"/>
                <w:sz w:val="36"/>
                <w:szCs w:val="36"/>
                <w:lang w:bidi="ar-EG"/>
              </w:rPr>
            </w:pPr>
            <w:r w:rsidRPr="002C5A9C">
              <w:rPr>
                <w:rFonts w:ascii="Arabic Typesetting" w:hAnsi="Arabic Typesetting" w:cs="Arabic Typesetting"/>
                <w:sz w:val="36"/>
                <w:szCs w:val="36"/>
                <w:rtl/>
                <w:lang w:bidi="ar-EG"/>
              </w:rPr>
              <w:t>تقييم محفظة البلد</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Pr>
                <w:rFonts w:ascii="Arabic Typesetting" w:hAnsi="Arabic Typesetting" w:cs="Arabic Typesetting"/>
                <w:b/>
                <w:sz w:val="36"/>
                <w:szCs w:val="36"/>
              </w:rPr>
              <w:t>CRR</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rPr>
            </w:pPr>
            <w:r>
              <w:rPr>
                <w:rFonts w:ascii="Arabic Typesetting" w:hAnsi="Arabic Typesetting" w:cs="Arabic Typesetting" w:hint="cs"/>
                <w:sz w:val="36"/>
                <w:szCs w:val="36"/>
                <w:rtl/>
              </w:rPr>
              <w:t xml:space="preserve">حق </w:t>
            </w:r>
            <w:r>
              <w:rPr>
                <w:rFonts w:ascii="Arabic Typesetting" w:hAnsi="Arabic Typesetting" w:cs="Arabic Typesetting" w:hint="cs"/>
                <w:sz w:val="36"/>
                <w:szCs w:val="36"/>
                <w:rtl/>
                <w:lang w:bidi="ar-EG"/>
              </w:rPr>
              <w:t>المؤلف</w:t>
            </w:r>
            <w:r>
              <w:rPr>
                <w:rFonts w:ascii="Arabic Typesetting" w:hAnsi="Arabic Typesetting" w:cs="Arabic Typesetting" w:hint="cs"/>
                <w:sz w:val="36"/>
                <w:szCs w:val="36"/>
                <w:rtl/>
              </w:rPr>
              <w:t xml:space="preserve"> والحقوق المجاورة</w:t>
            </w:r>
          </w:p>
        </w:tc>
      </w:tr>
      <w:tr w:rsidR="003A3CD3" w:rsidRPr="00E93CA6" w:rsidTr="007B169B">
        <w:trPr>
          <w:trHeight w:val="340"/>
        </w:trPr>
        <w:tc>
          <w:tcPr>
            <w:tcW w:w="1010" w:type="pct"/>
            <w:vAlign w:val="center"/>
          </w:tcPr>
          <w:p w:rsidR="003A3CD3" w:rsidRPr="0095558F" w:rsidRDefault="003A3CD3" w:rsidP="00327C08">
            <w:pPr>
              <w:bidi/>
              <w:rPr>
                <w:rFonts w:ascii="Arabic Typesetting" w:hAnsi="Arabic Typesetting" w:cs="Arabic Typesetting"/>
                <w:b/>
                <w:sz w:val="36"/>
                <w:szCs w:val="36"/>
              </w:rPr>
            </w:pPr>
            <w:r w:rsidRPr="0095558F">
              <w:rPr>
                <w:rFonts w:ascii="Arabic Typesetting" w:hAnsi="Arabic Typesetting" w:cs="Arabic Typesetting"/>
                <w:b/>
                <w:sz w:val="36"/>
                <w:szCs w:val="36"/>
              </w:rPr>
              <w:t>EQA</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تقييم الجودة الخارجي</w:t>
            </w:r>
          </w:p>
        </w:tc>
      </w:tr>
      <w:tr w:rsidR="003A3CD3" w:rsidRPr="00E93CA6" w:rsidTr="007B169B">
        <w:trPr>
          <w:trHeight w:val="340"/>
        </w:trPr>
        <w:tc>
          <w:tcPr>
            <w:tcW w:w="1010" w:type="pct"/>
            <w:vAlign w:val="center"/>
          </w:tcPr>
          <w:p w:rsidR="003A3CD3" w:rsidRPr="0095558F" w:rsidRDefault="003A3CD3" w:rsidP="00327C08">
            <w:pPr>
              <w:bidi/>
              <w:rPr>
                <w:rFonts w:ascii="Arabic Typesetting" w:hAnsi="Arabic Typesetting" w:cs="Arabic Typesetting"/>
                <w:b/>
                <w:sz w:val="36"/>
                <w:szCs w:val="36"/>
              </w:rPr>
            </w:pPr>
            <w:r w:rsidRPr="0095558F">
              <w:rPr>
                <w:rFonts w:ascii="Arabic Typesetting" w:hAnsi="Arabic Typesetting" w:cs="Arabic Typesetting"/>
                <w:b/>
                <w:sz w:val="36"/>
                <w:szCs w:val="36"/>
              </w:rPr>
              <w:t>HOIA</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lang w:bidi="ar-EG"/>
              </w:rPr>
            </w:pPr>
            <w:r w:rsidRPr="00834624">
              <w:rPr>
                <w:rFonts w:ascii="Arabic Typesetting" w:hAnsi="Arabic Typesetting" w:cs="Arabic Typesetting"/>
                <w:sz w:val="36"/>
                <w:szCs w:val="36"/>
                <w:rtl/>
                <w:lang w:bidi="ar-EG"/>
              </w:rPr>
              <w:t>رؤساء التدقيق الداخلي في المنظمات الدولية الأوروبية المقر</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HR</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الموارد البشرية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HRMD</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إدارة الموارد البشرية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IAOC</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اللجنة الاستشارية المستقلة للرقابة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IIA</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معهد المدققين الداخليين</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IOC</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ميثاق الرقابة الداخلية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tl/>
                <w:lang w:bidi="ar-EG"/>
              </w:rPr>
            </w:pPr>
            <w:r>
              <w:rPr>
                <w:rFonts w:ascii="Arabic Typesetting" w:hAnsi="Arabic Typesetting" w:cs="Arabic Typesetting"/>
                <w:b/>
                <w:sz w:val="36"/>
                <w:szCs w:val="36"/>
              </w:rPr>
              <w:t>IOD</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شعبة التدقيق الداخلي</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IP</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الملكية الفكرية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tl/>
              </w:rPr>
            </w:pPr>
            <w:proofErr w:type="spellStart"/>
            <w:r>
              <w:rPr>
                <w:rFonts w:ascii="Arabic Typesetting" w:hAnsi="Arabic Typesetting" w:cs="Arabic Typesetting"/>
                <w:b/>
                <w:sz w:val="36"/>
                <w:szCs w:val="36"/>
              </w:rPr>
              <w:t>IPoA</w:t>
            </w:r>
            <w:proofErr w:type="spellEnd"/>
          </w:p>
        </w:tc>
        <w:tc>
          <w:tcPr>
            <w:tcW w:w="3990" w:type="pct"/>
            <w:vAlign w:val="center"/>
          </w:tcPr>
          <w:p w:rsidR="003A3CD3" w:rsidRPr="00333681" w:rsidRDefault="003A3CD3" w:rsidP="00327C08">
            <w:pPr>
              <w:bidi/>
              <w:ind w:left="43"/>
              <w:rPr>
                <w:rFonts w:ascii="Arabic Typesetting" w:hAnsi="Arabic Typesetting" w:cs="Arabic Typesetting"/>
                <w:sz w:val="36"/>
                <w:szCs w:val="36"/>
                <w:rtl/>
              </w:rPr>
            </w:pPr>
            <w:r w:rsidRPr="00834624">
              <w:rPr>
                <w:rFonts w:ascii="Arabic Typesetting" w:hAnsi="Arabic Typesetting" w:cs="Arabic Typesetting"/>
                <w:sz w:val="36"/>
                <w:szCs w:val="36"/>
                <w:rtl/>
                <w:lang w:bidi="ar-EG"/>
              </w:rPr>
              <w:t>إعلان اسطنبول وبرنامج العمل لصالح البلدان الأقل نموا</w:t>
            </w:r>
            <w:r w:rsidR="002C5A9C">
              <w:rPr>
                <w:rFonts w:ascii="Arabic Typesetting" w:hAnsi="Arabic Typesetting" w:cs="Arabic Typesetting" w:hint="cs"/>
                <w:sz w:val="36"/>
                <w:szCs w:val="36"/>
                <w:rtl/>
              </w:rPr>
              <w:t>ً</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IPPF</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333681">
              <w:rPr>
                <w:rFonts w:ascii="Arabic Typesetting" w:hAnsi="Arabic Typesetting" w:cs="Arabic Typesetting"/>
                <w:sz w:val="36"/>
                <w:szCs w:val="36"/>
                <w:rtl/>
                <w:lang w:bidi="ar-EG"/>
              </w:rPr>
              <w:t>الإطار الدولي للممارسات المهنية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IT</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تكنولوجيا المعلومات</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JGP</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لجنة التظلمات المشتركة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JIU</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وحدة التفتيش المشتركة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LDC</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1E55A4">
              <w:rPr>
                <w:rFonts w:ascii="Arabic Typesetting" w:hAnsi="Arabic Typesetting" w:cs="Arabic Typesetting" w:hint="cs"/>
                <w:sz w:val="36"/>
                <w:szCs w:val="36"/>
                <w:rtl/>
                <w:lang w:bidi="ar-EG"/>
              </w:rPr>
              <w:t>البلدان الأقل نمواً</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MIR</w:t>
            </w:r>
          </w:p>
        </w:tc>
        <w:tc>
          <w:tcPr>
            <w:tcW w:w="3990" w:type="pct"/>
            <w:vAlign w:val="center"/>
          </w:tcPr>
          <w:p w:rsidR="003A3CD3" w:rsidRPr="001E55A4" w:rsidRDefault="003A3CD3" w:rsidP="00787C92">
            <w:pPr>
              <w:bidi/>
              <w:ind w:left="43"/>
              <w:rPr>
                <w:rFonts w:ascii="Arabic Typesetting" w:hAnsi="Arabic Typesetting" w:cs="Arabic Typesetting"/>
                <w:sz w:val="36"/>
                <w:szCs w:val="36"/>
                <w:lang w:bidi="ar-EG"/>
              </w:rPr>
            </w:pPr>
            <w:r w:rsidRPr="001E55A4">
              <w:rPr>
                <w:rFonts w:ascii="Arabic Typesetting" w:hAnsi="Arabic Typesetting" w:cs="Arabic Typesetting" w:hint="cs"/>
                <w:sz w:val="36"/>
                <w:szCs w:val="36"/>
                <w:rtl/>
                <w:lang w:bidi="ar-EG"/>
              </w:rPr>
              <w:t>تقرير الإدارة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tl/>
              </w:rPr>
            </w:pPr>
            <w:r>
              <w:rPr>
                <w:rFonts w:ascii="Arabic Typesetting" w:hAnsi="Arabic Typesetting" w:cs="Arabic Typesetting"/>
                <w:b/>
                <w:sz w:val="36"/>
                <w:szCs w:val="36"/>
              </w:rPr>
              <w:t>OECD</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lang w:bidi="ar-EG"/>
              </w:rPr>
            </w:pPr>
            <w:r w:rsidRPr="00834624">
              <w:rPr>
                <w:rFonts w:ascii="Arabic Typesetting" w:hAnsi="Arabic Typesetting" w:cs="Arabic Typesetting"/>
                <w:sz w:val="36"/>
                <w:szCs w:val="36"/>
                <w:rtl/>
                <w:lang w:bidi="ar-EG"/>
              </w:rPr>
              <w:t>منظمة التعاون والتنمية في الميدان الاقتصادي</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PBC</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لجنة البرنامج والميزانية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Pr>
                <w:rFonts w:ascii="Arabic Typesetting" w:hAnsi="Arabic Typesetting" w:cs="Arabic Typesetting"/>
                <w:b/>
                <w:sz w:val="36"/>
                <w:szCs w:val="36"/>
              </w:rPr>
              <w:t>PD</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rPr>
            </w:pPr>
            <w:r>
              <w:rPr>
                <w:rFonts w:ascii="Arabic Typesetting" w:hAnsi="Arabic Typesetting" w:cs="Arabic Typesetting" w:hint="cs"/>
                <w:sz w:val="36"/>
                <w:szCs w:val="36"/>
                <w:rtl/>
              </w:rPr>
              <w:t>بيانات الأداء</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Pr>
                <w:rFonts w:ascii="Arabic Typesetting" w:hAnsi="Arabic Typesetting" w:cs="Arabic Typesetting"/>
                <w:b/>
                <w:sz w:val="36"/>
                <w:szCs w:val="36"/>
              </w:rPr>
              <w:t>PI</w:t>
            </w:r>
          </w:p>
        </w:tc>
        <w:tc>
          <w:tcPr>
            <w:tcW w:w="3990" w:type="pct"/>
            <w:vAlign w:val="center"/>
          </w:tcPr>
          <w:p w:rsidR="003A3CD3" w:rsidRPr="001E55A4" w:rsidRDefault="003A3CD3" w:rsidP="00327C08">
            <w:pPr>
              <w:bidi/>
              <w:ind w:left="43"/>
              <w:rPr>
                <w:rFonts w:ascii="Arabic Typesetting" w:hAnsi="Arabic Typesetting" w:cs="Arabic Typesetting"/>
                <w:sz w:val="36"/>
                <w:szCs w:val="36"/>
              </w:rPr>
            </w:pPr>
            <w:r>
              <w:rPr>
                <w:rFonts w:ascii="Arabic Typesetting" w:hAnsi="Arabic Typesetting" w:cs="Arabic Typesetting" w:hint="cs"/>
                <w:sz w:val="36"/>
                <w:szCs w:val="36"/>
                <w:rtl/>
              </w:rPr>
              <w:t>مؤشر الأداء</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PPR</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تقرير أداء البرنامج</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Pr>
                <w:rFonts w:ascii="Arabic Typesetting" w:hAnsi="Arabic Typesetting" w:cs="Arabic Typesetting"/>
                <w:b/>
                <w:sz w:val="36"/>
                <w:szCs w:val="36"/>
              </w:rPr>
              <w:t>PMSDS</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نظام إدارة الأداء وتطوير الموظفين</w:t>
            </w:r>
          </w:p>
        </w:tc>
      </w:tr>
      <w:tr w:rsidR="003A3CD3" w:rsidRPr="00E93CA6" w:rsidTr="007B169B">
        <w:trPr>
          <w:trHeight w:val="340"/>
        </w:trPr>
        <w:tc>
          <w:tcPr>
            <w:tcW w:w="1010" w:type="pct"/>
            <w:vAlign w:val="center"/>
          </w:tcPr>
          <w:p w:rsidR="003A3CD3" w:rsidRPr="001E55A4" w:rsidRDefault="003A3CD3" w:rsidP="002C5A9C">
            <w:pPr>
              <w:bidi/>
              <w:rPr>
                <w:rFonts w:ascii="Arabic Typesetting" w:hAnsi="Arabic Typesetting" w:cs="Arabic Typesetting"/>
                <w:b/>
                <w:sz w:val="36"/>
                <w:szCs w:val="36"/>
              </w:rPr>
            </w:pPr>
            <w:r w:rsidRPr="001E55A4">
              <w:rPr>
                <w:rFonts w:ascii="Arabic Typesetting" w:hAnsi="Arabic Typesetting" w:cs="Arabic Typesetting"/>
                <w:b/>
                <w:sz w:val="36"/>
                <w:szCs w:val="36"/>
              </w:rPr>
              <w:t>RBM</w:t>
            </w:r>
          </w:p>
        </w:tc>
        <w:tc>
          <w:tcPr>
            <w:tcW w:w="3990" w:type="pct"/>
            <w:vAlign w:val="center"/>
          </w:tcPr>
          <w:p w:rsidR="003A3CD3" w:rsidRPr="00086EB3" w:rsidRDefault="003A3CD3" w:rsidP="002C5A9C">
            <w:pPr>
              <w:bidi/>
              <w:ind w:left="45"/>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الإدارة القائمة على النتائج</w:t>
            </w:r>
          </w:p>
        </w:tc>
      </w:tr>
      <w:tr w:rsidR="003A3CD3" w:rsidRPr="00E93CA6" w:rsidTr="007B169B">
        <w:trPr>
          <w:trHeight w:val="340"/>
        </w:trPr>
        <w:tc>
          <w:tcPr>
            <w:tcW w:w="1010" w:type="pct"/>
            <w:vAlign w:val="center"/>
          </w:tcPr>
          <w:p w:rsidR="003A3CD3" w:rsidRPr="001E55A4" w:rsidRDefault="003A3CD3" w:rsidP="002C5A9C">
            <w:pPr>
              <w:bidi/>
              <w:rPr>
                <w:rFonts w:ascii="Arabic Typesetting" w:hAnsi="Arabic Typesetting" w:cs="Arabic Typesetting"/>
                <w:b/>
                <w:sz w:val="36"/>
                <w:szCs w:val="36"/>
              </w:rPr>
            </w:pPr>
            <w:r w:rsidRPr="001E55A4">
              <w:rPr>
                <w:rFonts w:ascii="Arabic Typesetting" w:hAnsi="Arabic Typesetting" w:cs="Arabic Typesetting"/>
                <w:b/>
                <w:sz w:val="36"/>
                <w:szCs w:val="36"/>
              </w:rPr>
              <w:t>RIAS</w:t>
            </w:r>
          </w:p>
        </w:tc>
        <w:tc>
          <w:tcPr>
            <w:tcW w:w="3990" w:type="pct"/>
            <w:vAlign w:val="center"/>
          </w:tcPr>
          <w:p w:rsidR="003A3CD3" w:rsidRPr="00086EB3" w:rsidRDefault="003A3CD3" w:rsidP="002C5A9C">
            <w:pPr>
              <w:bidi/>
              <w:ind w:left="45"/>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ممثلو دوائر التدقيق الداخلي</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RRP</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برنامج المكافآت والتقدير</w:t>
            </w:r>
          </w:p>
        </w:tc>
      </w:tr>
      <w:tr w:rsidR="003A3CD3" w:rsidRPr="00E93CA6" w:rsidTr="007B169B">
        <w:trPr>
          <w:trHeight w:val="340"/>
        </w:trPr>
        <w:tc>
          <w:tcPr>
            <w:tcW w:w="1010" w:type="pct"/>
            <w:vAlign w:val="center"/>
          </w:tcPr>
          <w:p w:rsidR="003A3CD3" w:rsidRPr="00834624" w:rsidRDefault="003A3CD3" w:rsidP="00327C08">
            <w:pPr>
              <w:keepNext/>
              <w:bidi/>
              <w:rPr>
                <w:rFonts w:ascii="Arabic Typesetting" w:hAnsi="Arabic Typesetting" w:cs="Arabic Typesetting"/>
                <w:b/>
                <w:sz w:val="36"/>
                <w:szCs w:val="36"/>
              </w:rPr>
            </w:pPr>
            <w:r w:rsidRPr="00834624">
              <w:rPr>
                <w:rFonts w:ascii="Arabic Typesetting" w:hAnsi="Arabic Typesetting" w:cs="Arabic Typesetting"/>
                <w:b/>
                <w:sz w:val="36"/>
                <w:szCs w:val="36"/>
              </w:rPr>
              <w:lastRenderedPageBreak/>
              <w:t>SG</w:t>
            </w:r>
          </w:p>
        </w:tc>
        <w:tc>
          <w:tcPr>
            <w:tcW w:w="3990" w:type="pct"/>
            <w:vAlign w:val="center"/>
          </w:tcPr>
          <w:p w:rsidR="003A3CD3" w:rsidRPr="00086EB3" w:rsidRDefault="003A3CD3" w:rsidP="00327C08">
            <w:pPr>
              <w:keepNext/>
              <w:bidi/>
              <w:ind w:left="43"/>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الهدف الاستراتيجي</w:t>
            </w:r>
          </w:p>
        </w:tc>
      </w:tr>
      <w:tr w:rsidR="003A3CD3" w:rsidRPr="00E93CA6" w:rsidTr="007B169B">
        <w:trPr>
          <w:trHeight w:val="340"/>
        </w:trPr>
        <w:tc>
          <w:tcPr>
            <w:tcW w:w="1010" w:type="pct"/>
            <w:vAlign w:val="center"/>
          </w:tcPr>
          <w:p w:rsidR="003A3CD3" w:rsidRPr="00834624" w:rsidRDefault="003A3CD3" w:rsidP="00327C08">
            <w:pPr>
              <w:keepNext/>
              <w:bidi/>
              <w:rPr>
                <w:rFonts w:ascii="Arabic Typesetting" w:hAnsi="Arabic Typesetting" w:cs="Arabic Typesetting"/>
                <w:b/>
                <w:sz w:val="36"/>
                <w:szCs w:val="36"/>
              </w:rPr>
            </w:pPr>
            <w:r w:rsidRPr="00834624">
              <w:rPr>
                <w:rFonts w:ascii="Arabic Typesetting" w:hAnsi="Arabic Typesetting" w:cs="Arabic Typesetting"/>
                <w:b/>
                <w:sz w:val="36"/>
                <w:szCs w:val="36"/>
              </w:rPr>
              <w:t>SME</w:t>
            </w:r>
          </w:p>
        </w:tc>
        <w:tc>
          <w:tcPr>
            <w:tcW w:w="3990" w:type="pct"/>
            <w:vAlign w:val="center"/>
          </w:tcPr>
          <w:p w:rsidR="003A3CD3" w:rsidRPr="00086EB3" w:rsidRDefault="003A3CD3" w:rsidP="00327C08">
            <w:pPr>
              <w:keepNext/>
              <w:bidi/>
              <w:ind w:left="43"/>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الشركات الصغيرة والمتوسطة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SMT</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فريق الإدارة العليا</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SRP</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1E55A4">
              <w:rPr>
                <w:rFonts w:ascii="Arabic Typesetting" w:hAnsi="Arabic Typesetting" w:cs="Arabic Typesetting" w:hint="cs"/>
                <w:sz w:val="36"/>
                <w:szCs w:val="36"/>
                <w:rtl/>
                <w:lang w:bidi="ar-EG"/>
              </w:rPr>
              <w:t>برنامج التقويم الاستراتيجي</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834624">
              <w:rPr>
                <w:rFonts w:ascii="Arabic Typesetting" w:hAnsi="Arabic Typesetting" w:cs="Arabic Typesetting"/>
                <w:b/>
                <w:sz w:val="36"/>
                <w:szCs w:val="36"/>
              </w:rPr>
              <w:t>UAT</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اختبارات قبول المستخدمين</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UN</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الأمم المتحدة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UNEG</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فريق الأمم المتحدة المعني بالتقييم</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UNICC</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1E55A4">
              <w:rPr>
                <w:rFonts w:ascii="Arabic Typesetting" w:hAnsi="Arabic Typesetting" w:cs="Arabic Typesetting"/>
                <w:sz w:val="36"/>
                <w:szCs w:val="36"/>
                <w:rtl/>
                <w:lang w:bidi="ar-EG"/>
              </w:rPr>
              <w:t xml:space="preserve">مركز الأمم المتحدة الدولي </w:t>
            </w:r>
            <w:r w:rsidRPr="001E55A4">
              <w:rPr>
                <w:rFonts w:ascii="Arabic Typesetting" w:hAnsi="Arabic Typesetting" w:cs="Arabic Typesetting" w:hint="cs"/>
                <w:sz w:val="36"/>
                <w:szCs w:val="36"/>
                <w:rtl/>
                <w:lang w:bidi="ar-EG"/>
              </w:rPr>
              <w:t>للحوسبة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UNRIS</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ممثلو دوائر التحقيق في الأمم المتحدة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WAB</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1E55A4">
              <w:rPr>
                <w:rFonts w:ascii="Arabic Typesetting" w:hAnsi="Arabic Typesetting" w:cs="Arabic Typesetting" w:hint="cs"/>
                <w:sz w:val="36"/>
                <w:szCs w:val="36"/>
                <w:rtl/>
                <w:lang w:bidi="ar-EG"/>
              </w:rPr>
              <w:t>مجلس الويبو للطعون</w:t>
            </w:r>
          </w:p>
        </w:tc>
      </w:tr>
      <w:tr w:rsidR="003A3CD3" w:rsidRPr="00E93CA6" w:rsidTr="007B169B">
        <w:trPr>
          <w:trHeight w:val="340"/>
        </w:trPr>
        <w:tc>
          <w:tcPr>
            <w:tcW w:w="1010" w:type="pct"/>
            <w:vAlign w:val="center"/>
          </w:tcPr>
          <w:p w:rsidR="003A3CD3" w:rsidRPr="001E55A4" w:rsidRDefault="003A3CD3" w:rsidP="007B169B">
            <w:pPr>
              <w:bidi/>
              <w:rPr>
                <w:rFonts w:ascii="Arabic Typesetting" w:hAnsi="Arabic Typesetting" w:cs="Arabic Typesetting"/>
                <w:b/>
                <w:sz w:val="36"/>
                <w:szCs w:val="36"/>
              </w:rPr>
            </w:pPr>
            <w:r w:rsidRPr="001E55A4">
              <w:rPr>
                <w:rFonts w:ascii="Arabic Typesetting" w:hAnsi="Arabic Typesetting" w:cs="Arabic Typesetting"/>
                <w:b/>
                <w:sz w:val="36"/>
                <w:szCs w:val="36"/>
              </w:rPr>
              <w:t>WIPO</w:t>
            </w:r>
          </w:p>
        </w:tc>
        <w:tc>
          <w:tcPr>
            <w:tcW w:w="3990" w:type="pct"/>
            <w:vAlign w:val="center"/>
          </w:tcPr>
          <w:p w:rsidR="003A3CD3" w:rsidRPr="001E55A4" w:rsidRDefault="003A3CD3" w:rsidP="007B169B">
            <w:pPr>
              <w:bidi/>
              <w:ind w:left="43"/>
              <w:rPr>
                <w:rFonts w:ascii="Arabic Typesetting" w:hAnsi="Arabic Typesetting" w:cs="Arabic Typesetting"/>
                <w:sz w:val="36"/>
                <w:szCs w:val="36"/>
                <w:lang w:bidi="ar-EG"/>
              </w:rPr>
            </w:pPr>
            <w:r w:rsidRPr="001E55A4">
              <w:rPr>
                <w:rFonts w:ascii="Arabic Typesetting" w:hAnsi="Arabic Typesetting" w:cs="Arabic Typesetting" w:hint="cs"/>
                <w:sz w:val="36"/>
                <w:szCs w:val="36"/>
                <w:rtl/>
                <w:lang w:bidi="ar-EG"/>
              </w:rPr>
              <w:t>المنظمة العالمية للملكية الفكرية</w:t>
            </w:r>
          </w:p>
        </w:tc>
      </w:tr>
    </w:tbl>
    <w:p w:rsidR="003A3CD3" w:rsidRDefault="00C9624B" w:rsidP="00561823">
      <w:pPr>
        <w:pStyle w:val="Heading1AR"/>
        <w:pageBreakBefore/>
      </w:pPr>
      <w:bookmarkStart w:id="6" w:name="_Toc456010986"/>
      <w:r>
        <w:rPr>
          <w:rFonts w:hint="cs"/>
          <w:rtl/>
        </w:rPr>
        <w:lastRenderedPageBreak/>
        <w:t>معلومات أساسية</w:t>
      </w:r>
      <w:bookmarkEnd w:id="6"/>
    </w:p>
    <w:p w:rsidR="003A3CD3" w:rsidRDefault="003A3CD3" w:rsidP="000B62B2">
      <w:pPr>
        <w:pStyle w:val="NumberedParaAR"/>
        <w:numPr>
          <w:ilvl w:val="0"/>
          <w:numId w:val="4"/>
        </w:numPr>
        <w:rPr>
          <w:lang w:eastAsia="zh-CN"/>
        </w:rPr>
      </w:pPr>
      <w:r>
        <w:rPr>
          <w:rtl/>
          <w:lang w:eastAsia="zh-CN"/>
        </w:rPr>
        <w:t>الغرض من شعبة الويبو للرقابة الداخلية هو توفير رقابة داخلية مستقلة وفعالة للويبو، وفقاً للأحكام المنصوص عليها في ميثاق الرقابة الداخلية.</w:t>
      </w:r>
    </w:p>
    <w:p w:rsidR="00561823" w:rsidRDefault="003A3CD3" w:rsidP="000B62B2">
      <w:pPr>
        <w:pStyle w:val="NumberedParaAR"/>
        <w:numPr>
          <w:ilvl w:val="0"/>
          <w:numId w:val="4"/>
        </w:numPr>
        <w:rPr>
          <w:lang w:eastAsia="zh-CN"/>
        </w:rPr>
      </w:pPr>
      <w:r>
        <w:rPr>
          <w:rtl/>
          <w:lang w:eastAsia="zh-CN"/>
        </w:rPr>
        <w:t>ويقضي ميثاق الرقابة الداخلية</w:t>
      </w:r>
      <w:r w:rsidRPr="006A0DC8">
        <w:rPr>
          <w:rStyle w:val="FootnoteReference"/>
          <w:rFonts w:eastAsia="SimSun"/>
          <w:sz w:val="36"/>
          <w:szCs w:val="36"/>
          <w:rtl/>
          <w:lang w:eastAsia="zh-CN"/>
        </w:rPr>
        <w:footnoteReference w:id="1"/>
      </w:r>
      <w:r>
        <w:rPr>
          <w:rtl/>
          <w:lang w:eastAsia="zh-CN"/>
        </w:rPr>
        <w:t xml:space="preserve"> </w:t>
      </w:r>
      <w:r w:rsidR="00561823">
        <w:rPr>
          <w:rFonts w:hint="cs"/>
          <w:rtl/>
          <w:lang w:eastAsia="zh-CN"/>
        </w:rPr>
        <w:t xml:space="preserve">بأن </w:t>
      </w:r>
      <w:r w:rsidR="00561823" w:rsidRPr="00834E03">
        <w:rPr>
          <w:rtl/>
        </w:rPr>
        <w:t>يقدِّم مدير شعبة الرقابة الداخلية تقريراً سنوياً موجزاً إلى الجمعية العامة للويبو، من</w:t>
      </w:r>
      <w:r w:rsidR="00561823">
        <w:rPr>
          <w:rFonts w:hint="cs"/>
          <w:rtl/>
        </w:rPr>
        <w:t> </w:t>
      </w:r>
      <w:r w:rsidR="00561823" w:rsidRPr="00834E03">
        <w:rPr>
          <w:rtl/>
        </w:rPr>
        <w:t xml:space="preserve">خلال لجنة البرنامج والميزانية (التقرير السنوي). </w:t>
      </w:r>
      <w:r w:rsidR="00561823">
        <w:rPr>
          <w:rFonts w:hint="cs"/>
          <w:rtl/>
        </w:rPr>
        <w:t>و</w:t>
      </w:r>
      <w:r w:rsidR="00561823" w:rsidRPr="00561823">
        <w:rPr>
          <w:rtl/>
        </w:rPr>
        <w:t>يتناول التقرير السنوي لمحة عامة عن أنشطة الرقابة الداخلية التي أُنجزت خلال الفترة المشمولة بالتقرير، بما في ذلك نطاق وأهداف هذه الأنشطة والجدول الزمني للعمل المُنجز والتقدم المُحرز في تنفيذ توصيات الرقابة الداخلية</w:t>
      </w:r>
      <w:r w:rsidR="00561823">
        <w:rPr>
          <w:rFonts w:hint="cs"/>
          <w:rtl/>
        </w:rPr>
        <w:t>.</w:t>
      </w:r>
    </w:p>
    <w:p w:rsidR="00561823" w:rsidRDefault="00561823" w:rsidP="000B62B2">
      <w:pPr>
        <w:pStyle w:val="NumberedParaAR"/>
        <w:numPr>
          <w:ilvl w:val="0"/>
          <w:numId w:val="4"/>
        </w:numPr>
        <w:rPr>
          <w:lang w:eastAsia="zh-CN"/>
        </w:rPr>
      </w:pPr>
      <w:r>
        <w:rPr>
          <w:rFonts w:hint="cs"/>
          <w:rtl/>
        </w:rPr>
        <w:t>ووفقاً لميثاق الرقابة الداخلية، قدِّمت إلى</w:t>
      </w:r>
      <w:r w:rsidRPr="00561823">
        <w:rPr>
          <w:rtl/>
        </w:rPr>
        <w:t xml:space="preserve"> المدير العام واللجنة الاستشارية المستقلة للرقابة نسخة من مشروع التقرير السنوي </w:t>
      </w:r>
      <w:r>
        <w:rPr>
          <w:rFonts w:hint="cs"/>
          <w:rtl/>
        </w:rPr>
        <w:t>ل</w:t>
      </w:r>
      <w:r w:rsidRPr="00561823">
        <w:rPr>
          <w:rtl/>
        </w:rPr>
        <w:t>تقديم تعليقات</w:t>
      </w:r>
      <w:r>
        <w:rPr>
          <w:rFonts w:hint="cs"/>
          <w:rtl/>
        </w:rPr>
        <w:t xml:space="preserve"> عليه؛ وروعيت تلك التعليقات في النسخة النهائية من التقرير</w:t>
      </w:r>
      <w:r w:rsidRPr="00561823">
        <w:rPr>
          <w:rtl/>
        </w:rPr>
        <w:t>.</w:t>
      </w:r>
    </w:p>
    <w:p w:rsidR="003A3CD3" w:rsidRPr="00561823" w:rsidRDefault="003A3CD3" w:rsidP="00561823">
      <w:pPr>
        <w:pStyle w:val="Heading1AR"/>
      </w:pPr>
      <w:bookmarkStart w:id="7" w:name="_Toc456010987"/>
      <w:r w:rsidRPr="00561823">
        <w:rPr>
          <w:rtl/>
        </w:rPr>
        <w:t>مبادئ التخطيط</w:t>
      </w:r>
      <w:bookmarkEnd w:id="7"/>
    </w:p>
    <w:p w:rsidR="003A3CD3" w:rsidRDefault="003A3CD3" w:rsidP="000B62B2">
      <w:pPr>
        <w:pStyle w:val="NumberedParaAR"/>
        <w:numPr>
          <w:ilvl w:val="0"/>
          <w:numId w:val="4"/>
        </w:numPr>
        <w:rPr>
          <w:lang w:eastAsia="zh-CN"/>
        </w:rPr>
      </w:pPr>
      <w:r>
        <w:rPr>
          <w:rtl/>
          <w:lang w:eastAsia="zh-CN"/>
        </w:rPr>
        <w:t>راعت الشعبة العوامل التالية في وضع خطة عملها: تقييم المخاطر ودراسة الجدوى والأثر في البلد ودورة الرقابة والآراء النقدية لإدارة الويبو والدول الأعضاء والموارد المتاحة. وقبل وضع الصيغة النهائية لخطة العمل، قُدِّم مشروع خطة الرقابة أيضاً إلى اللجنة الاستشارية المستقلة للرقابة لاستعراضه وتقديم المشورة بشأنه وفقاً للفقرة 24(أ) من ميثاق الرقابة الداخلية.</w:t>
      </w:r>
    </w:p>
    <w:p w:rsidR="003A3CD3" w:rsidRDefault="003A3CD3" w:rsidP="00A94E0F">
      <w:pPr>
        <w:pStyle w:val="NumberedParaAR"/>
        <w:numPr>
          <w:ilvl w:val="0"/>
          <w:numId w:val="4"/>
        </w:numPr>
        <w:rPr>
          <w:lang w:eastAsia="zh-CN"/>
        </w:rPr>
      </w:pPr>
      <w:r>
        <w:rPr>
          <w:rtl/>
          <w:lang w:eastAsia="zh-CN"/>
        </w:rPr>
        <w:t>وتحقيقاً لأكبر قدر من التغطية الرقاب</w:t>
      </w:r>
      <w:r w:rsidR="00561823">
        <w:rPr>
          <w:rFonts w:hint="cs"/>
          <w:rtl/>
          <w:lang w:eastAsia="zh-CN"/>
        </w:rPr>
        <w:t>ي</w:t>
      </w:r>
      <w:r>
        <w:rPr>
          <w:rtl/>
          <w:lang w:eastAsia="zh-CN"/>
        </w:rPr>
        <w:t>ة وتعظيماً للفعالية في استخدام الموارد</w:t>
      </w:r>
      <w:r w:rsidR="00A866AC">
        <w:rPr>
          <w:rFonts w:hint="cs"/>
          <w:rtl/>
          <w:lang w:eastAsia="zh-CN"/>
        </w:rPr>
        <w:t xml:space="preserve"> وتفادياً للازدواجية في الأنشطة</w:t>
      </w:r>
      <w:r>
        <w:rPr>
          <w:rtl/>
          <w:lang w:eastAsia="zh-CN"/>
        </w:rPr>
        <w:t xml:space="preserve">، </w:t>
      </w:r>
      <w:r w:rsidR="00A94E0F">
        <w:rPr>
          <w:rFonts w:hint="cs"/>
          <w:rtl/>
          <w:lang w:eastAsia="zh-CN"/>
        </w:rPr>
        <w:t>راعت</w:t>
      </w:r>
      <w:r w:rsidR="00A866AC">
        <w:rPr>
          <w:rFonts w:hint="cs"/>
          <w:rtl/>
          <w:lang w:eastAsia="zh-CN"/>
        </w:rPr>
        <w:t> </w:t>
      </w:r>
      <w:r>
        <w:rPr>
          <w:rtl/>
          <w:lang w:eastAsia="zh-CN"/>
        </w:rPr>
        <w:t xml:space="preserve">الشعبة أيضاً العمل الذي أنجزته هيئات رقابة أخرى مثل المدقق الخارجي ووحدة التفتيش المشتركة </w:t>
      </w:r>
      <w:r w:rsidR="00A94E0F">
        <w:rPr>
          <w:rFonts w:hint="cs"/>
          <w:rtl/>
          <w:lang w:eastAsia="zh-CN"/>
        </w:rPr>
        <w:t>فضلاً عن</w:t>
      </w:r>
      <w:r>
        <w:rPr>
          <w:rtl/>
          <w:lang w:eastAsia="zh-CN"/>
        </w:rPr>
        <w:t xml:space="preserve"> التقييمات التي طلب</w:t>
      </w:r>
      <w:r w:rsidR="00A866AC">
        <w:rPr>
          <w:rFonts w:hint="cs"/>
          <w:rtl/>
          <w:lang w:eastAsia="zh-CN"/>
        </w:rPr>
        <w:t>ت</w:t>
      </w:r>
      <w:r>
        <w:rPr>
          <w:rtl/>
          <w:lang w:eastAsia="zh-CN"/>
        </w:rPr>
        <w:t>ها اللجنة المعنية بالتنمية والملكية</w:t>
      </w:r>
      <w:r w:rsidR="00561823">
        <w:rPr>
          <w:rFonts w:hint="cs"/>
          <w:rtl/>
          <w:lang w:eastAsia="zh-CN"/>
        </w:rPr>
        <w:t> </w:t>
      </w:r>
      <w:r>
        <w:rPr>
          <w:rtl/>
          <w:lang w:eastAsia="zh-CN"/>
        </w:rPr>
        <w:t>الفكرية.</w:t>
      </w:r>
    </w:p>
    <w:p w:rsidR="003A3CD3" w:rsidRDefault="003A3CD3" w:rsidP="000B62B2">
      <w:pPr>
        <w:pStyle w:val="NumberedParaAR"/>
        <w:numPr>
          <w:ilvl w:val="0"/>
          <w:numId w:val="4"/>
        </w:numPr>
        <w:rPr>
          <w:lang w:eastAsia="zh-CN"/>
        </w:rPr>
      </w:pPr>
      <w:r>
        <w:rPr>
          <w:rtl/>
          <w:lang w:eastAsia="zh-CN"/>
        </w:rPr>
        <w:t xml:space="preserve">ووُزعت خطة الرقابة لعام </w:t>
      </w:r>
      <w:r w:rsidR="00561823">
        <w:rPr>
          <w:rFonts w:hint="cs"/>
          <w:rtl/>
          <w:lang w:eastAsia="zh-CN"/>
        </w:rPr>
        <w:t>2016</w:t>
      </w:r>
      <w:r>
        <w:rPr>
          <w:rtl/>
          <w:lang w:eastAsia="zh-CN"/>
        </w:rPr>
        <w:t xml:space="preserve"> على جميع مديري البرامج وأتيحت لموظفي الويبو عبر الشبكة الداخلية للويبو. وأُنجزت خطة عام </w:t>
      </w:r>
      <w:r w:rsidR="00561823">
        <w:rPr>
          <w:rFonts w:hint="cs"/>
          <w:rtl/>
          <w:lang w:eastAsia="zh-CN"/>
        </w:rPr>
        <w:t>2015</w:t>
      </w:r>
      <w:r>
        <w:rPr>
          <w:rtl/>
          <w:lang w:eastAsia="zh-CN"/>
        </w:rPr>
        <w:t xml:space="preserve"> وفقاً للجدول الزمني المحدد وفي حدود الميزانية المخصصة.</w:t>
      </w:r>
    </w:p>
    <w:p w:rsidR="003A3CD3" w:rsidRDefault="003A3CD3" w:rsidP="00561823">
      <w:pPr>
        <w:pStyle w:val="Heading1AR"/>
      </w:pPr>
      <w:bookmarkStart w:id="8" w:name="_Toc456010988"/>
      <w:r>
        <w:rPr>
          <w:rtl/>
        </w:rPr>
        <w:t>المعايير المهنية</w:t>
      </w:r>
      <w:bookmarkEnd w:id="8"/>
    </w:p>
    <w:p w:rsidR="003A3CD3" w:rsidRDefault="003A3CD3" w:rsidP="00A94E0F">
      <w:pPr>
        <w:pStyle w:val="NumberedParaAR"/>
        <w:numPr>
          <w:ilvl w:val="0"/>
          <w:numId w:val="4"/>
        </w:numPr>
        <w:rPr>
          <w:lang w:eastAsia="zh-CN"/>
        </w:rPr>
      </w:pPr>
      <w:r>
        <w:rPr>
          <w:rtl/>
          <w:lang w:eastAsia="zh-CN"/>
        </w:rPr>
        <w:t xml:space="preserve">تلتزم شعبة الرقابة الداخلية في أنشطة التدقيق </w:t>
      </w:r>
      <w:r w:rsidR="0002148F">
        <w:rPr>
          <w:rFonts w:hint="cs"/>
          <w:rtl/>
          <w:lang w:eastAsia="zh-CN"/>
        </w:rPr>
        <w:t xml:space="preserve">التي تجريها </w:t>
      </w:r>
      <w:r>
        <w:rPr>
          <w:rtl/>
          <w:lang w:eastAsia="zh-CN"/>
        </w:rPr>
        <w:t xml:space="preserve">بالإطار الدولي للممارسات المهنية الذي أصدره معهد المدققين الداخليين. وتسترشد الشعبة في أعمال التحقيق التي تجريها بالمبادئ التوجيهية الموحدة والمبادئ التوجيهية للتحقيق التي أقرها مؤتمر المحققين الدوليين. </w:t>
      </w:r>
      <w:r w:rsidR="0002148F">
        <w:rPr>
          <w:rFonts w:hint="cs"/>
          <w:rtl/>
          <w:lang w:eastAsia="zh-CN"/>
        </w:rPr>
        <w:t>وتمتثل الشعبة في أنشطة</w:t>
      </w:r>
      <w:r>
        <w:rPr>
          <w:rtl/>
          <w:lang w:eastAsia="zh-CN"/>
        </w:rPr>
        <w:t xml:space="preserve"> التقييم</w:t>
      </w:r>
      <w:r w:rsidR="00A94E0F">
        <w:rPr>
          <w:rFonts w:hint="cs"/>
          <w:rtl/>
          <w:lang w:eastAsia="zh-CN"/>
        </w:rPr>
        <w:t xml:space="preserve"> التي تجريها</w:t>
      </w:r>
      <w:r>
        <w:rPr>
          <w:rtl/>
          <w:lang w:eastAsia="zh-CN"/>
        </w:rPr>
        <w:t xml:space="preserve"> </w:t>
      </w:r>
      <w:r w:rsidR="0002148F">
        <w:rPr>
          <w:rFonts w:hint="cs"/>
          <w:rtl/>
          <w:lang w:eastAsia="zh-CN"/>
        </w:rPr>
        <w:t>با</w:t>
      </w:r>
      <w:r>
        <w:rPr>
          <w:rtl/>
          <w:lang w:eastAsia="zh-CN"/>
        </w:rPr>
        <w:t>لمعايير الدولية لممارسات التقييم كما حددها فريق الأمم المتحدة المعني بالتقييم.</w:t>
      </w:r>
    </w:p>
    <w:p w:rsidR="003A3CD3" w:rsidRDefault="0002148F" w:rsidP="00A94E0F">
      <w:pPr>
        <w:pStyle w:val="Heading1AR"/>
      </w:pPr>
      <w:bookmarkStart w:id="9" w:name="_Toc456010989"/>
      <w:r>
        <w:rPr>
          <w:rFonts w:hint="cs"/>
          <w:rtl/>
        </w:rPr>
        <w:lastRenderedPageBreak/>
        <w:t xml:space="preserve">مسائل مهمة </w:t>
      </w:r>
      <w:r w:rsidR="003A3CD3">
        <w:rPr>
          <w:rtl/>
        </w:rPr>
        <w:t xml:space="preserve">وتوصيات </w:t>
      </w:r>
      <w:r w:rsidR="00A94E0F">
        <w:rPr>
          <w:rFonts w:hint="cs"/>
          <w:rtl/>
        </w:rPr>
        <w:t>الرقابة العالية الأولوية</w:t>
      </w:r>
      <w:bookmarkEnd w:id="9"/>
    </w:p>
    <w:p w:rsidR="003A3CD3" w:rsidRDefault="003A3CD3" w:rsidP="00787C92">
      <w:pPr>
        <w:pStyle w:val="NumberedParaAR"/>
        <w:keepNext/>
        <w:numPr>
          <w:ilvl w:val="0"/>
          <w:numId w:val="4"/>
        </w:numPr>
        <w:rPr>
          <w:lang w:eastAsia="zh-CN"/>
        </w:rPr>
      </w:pPr>
      <w:r>
        <w:rPr>
          <w:rtl/>
          <w:lang w:eastAsia="zh-CN"/>
        </w:rPr>
        <w:t>يحتوي هذا الجزء على معلومات عن النتائج والتوصيات الرئيسية ويعالج المخاطر العالية ذات الأولوية المدرجة في تقارير الرقابة الداخلية (عمليات المراجعة والتقييم وتقارير الإدارة) التي صدرت خلال الفترة المشمولة بهذا التقرير.</w:t>
      </w:r>
    </w:p>
    <w:p w:rsidR="003A3CD3" w:rsidRDefault="003A3CD3" w:rsidP="000B62B2">
      <w:pPr>
        <w:pStyle w:val="NumberedParaAR"/>
        <w:keepNext/>
        <w:numPr>
          <w:ilvl w:val="0"/>
          <w:numId w:val="4"/>
        </w:numPr>
        <w:rPr>
          <w:lang w:eastAsia="zh-CN"/>
        </w:rPr>
      </w:pPr>
      <w:r>
        <w:rPr>
          <w:rtl/>
          <w:lang w:eastAsia="zh-CN"/>
        </w:rPr>
        <w:t xml:space="preserve">وتتعلق النتائج والتوصيات الرئيسية </w:t>
      </w:r>
      <w:r w:rsidR="0002148F">
        <w:rPr>
          <w:rFonts w:hint="cs"/>
          <w:rtl/>
          <w:lang w:eastAsia="zh-CN"/>
        </w:rPr>
        <w:t>بالتقارير</w:t>
      </w:r>
      <w:r>
        <w:rPr>
          <w:rtl/>
          <w:lang w:eastAsia="zh-CN"/>
        </w:rPr>
        <w:t xml:space="preserve"> التالية</w:t>
      </w:r>
      <w:r w:rsidR="0002148F">
        <w:rPr>
          <w:rFonts w:hint="cs"/>
          <w:rtl/>
          <w:lang w:eastAsia="zh-CN"/>
        </w:rPr>
        <w:t xml:space="preserve"> الصادرة خلال الفترة المشمولة بهذا التقرير</w:t>
      </w:r>
      <w:r w:rsidR="0002148F" w:rsidRPr="006A0DC8">
        <w:rPr>
          <w:rStyle w:val="FootnoteReference"/>
          <w:sz w:val="36"/>
          <w:szCs w:val="36"/>
          <w:rtl/>
          <w:lang w:eastAsia="zh-CN"/>
        </w:rPr>
        <w:footnoteReference w:id="2"/>
      </w:r>
      <w:r>
        <w:rPr>
          <w:rtl/>
          <w:lang w:eastAsia="zh-CN"/>
        </w:rPr>
        <w:t xml:space="preserve">: </w:t>
      </w:r>
    </w:p>
    <w:p w:rsidR="00000D78" w:rsidRDefault="003A3CD3" w:rsidP="00000D78">
      <w:pPr>
        <w:pStyle w:val="NormalParaAR"/>
        <w:ind w:left="1134" w:hanging="567"/>
        <w:rPr>
          <w:rtl/>
          <w:lang w:eastAsia="zh-CN"/>
        </w:rPr>
      </w:pPr>
      <w:r>
        <w:rPr>
          <w:rtl/>
          <w:lang w:eastAsia="zh-CN"/>
        </w:rPr>
        <w:t>(أ)</w:t>
      </w:r>
      <w:r>
        <w:rPr>
          <w:rtl/>
          <w:lang w:eastAsia="zh-CN"/>
        </w:rPr>
        <w:tab/>
      </w:r>
      <w:r w:rsidR="00000D78">
        <w:rPr>
          <w:rFonts w:hint="cs"/>
          <w:rtl/>
          <w:lang w:eastAsia="zh-CN"/>
        </w:rPr>
        <w:t>إدارة استمرارية الأعمال</w:t>
      </w:r>
      <w:r w:rsidR="004708FA">
        <w:rPr>
          <w:rFonts w:hint="cs"/>
          <w:rtl/>
          <w:lang w:eastAsia="zh-CN"/>
        </w:rPr>
        <w:t>؛</w:t>
      </w:r>
    </w:p>
    <w:p w:rsidR="003A3CD3" w:rsidRDefault="00000D78" w:rsidP="00000D78">
      <w:pPr>
        <w:pStyle w:val="NormalParaAR"/>
        <w:ind w:left="1134" w:hanging="567"/>
        <w:rPr>
          <w:rtl/>
          <w:lang w:eastAsia="zh-CN"/>
        </w:rPr>
      </w:pPr>
      <w:r>
        <w:rPr>
          <w:rFonts w:hint="cs"/>
          <w:rtl/>
          <w:lang w:eastAsia="zh-CN"/>
        </w:rPr>
        <w:t>(ب)</w:t>
      </w:r>
      <w:r>
        <w:rPr>
          <w:rtl/>
          <w:lang w:eastAsia="zh-CN"/>
        </w:rPr>
        <w:tab/>
      </w:r>
      <w:r>
        <w:rPr>
          <w:rFonts w:hint="cs"/>
          <w:rtl/>
          <w:lang w:eastAsia="zh-CN"/>
        </w:rPr>
        <w:t>إدارة خدمات الزبائن في الويبو</w:t>
      </w:r>
      <w:r w:rsidR="003A3CD3">
        <w:rPr>
          <w:rtl/>
          <w:lang w:eastAsia="zh-CN"/>
        </w:rPr>
        <w:t>؛</w:t>
      </w:r>
    </w:p>
    <w:p w:rsidR="003A3CD3" w:rsidRDefault="003A3CD3" w:rsidP="00000D78">
      <w:pPr>
        <w:pStyle w:val="NormalParaAR"/>
        <w:ind w:left="1134" w:hanging="567"/>
        <w:rPr>
          <w:rtl/>
          <w:lang w:eastAsia="zh-CN"/>
        </w:rPr>
      </w:pPr>
      <w:r>
        <w:rPr>
          <w:rtl/>
          <w:lang w:eastAsia="zh-CN"/>
        </w:rPr>
        <w:t>(ج)</w:t>
      </w:r>
      <w:r>
        <w:rPr>
          <w:rtl/>
          <w:lang w:eastAsia="zh-CN"/>
        </w:rPr>
        <w:tab/>
      </w:r>
      <w:r w:rsidR="00000D78">
        <w:rPr>
          <w:rFonts w:hint="cs"/>
          <w:rtl/>
          <w:lang w:eastAsia="zh-CN"/>
        </w:rPr>
        <w:t>إدارة الخدمات التعاقدية الفردية؛</w:t>
      </w:r>
    </w:p>
    <w:p w:rsidR="00000D78" w:rsidRDefault="00000D78" w:rsidP="00000D78">
      <w:pPr>
        <w:pStyle w:val="NormalParaAR"/>
        <w:ind w:left="1134" w:hanging="567"/>
        <w:rPr>
          <w:rtl/>
          <w:lang w:eastAsia="zh-CN"/>
        </w:rPr>
      </w:pPr>
      <w:r>
        <w:rPr>
          <w:rFonts w:hint="cs"/>
          <w:rtl/>
          <w:lang w:eastAsia="zh-CN"/>
        </w:rPr>
        <w:t>(د)</w:t>
      </w:r>
      <w:r>
        <w:rPr>
          <w:rtl/>
          <w:lang w:eastAsia="zh-CN"/>
        </w:rPr>
        <w:tab/>
      </w:r>
      <w:r>
        <w:rPr>
          <w:rFonts w:hint="cs"/>
          <w:rtl/>
          <w:lang w:eastAsia="zh-CN"/>
        </w:rPr>
        <w:t>إدارة أداء الموظفين؛</w:t>
      </w:r>
    </w:p>
    <w:p w:rsidR="00000D78" w:rsidRDefault="00000D78" w:rsidP="00000D78">
      <w:pPr>
        <w:pStyle w:val="NormalParaAR"/>
        <w:ind w:left="1134" w:hanging="567"/>
        <w:rPr>
          <w:rtl/>
          <w:lang w:eastAsia="zh-CN"/>
        </w:rPr>
      </w:pPr>
      <w:r>
        <w:rPr>
          <w:rFonts w:hint="cs"/>
          <w:rtl/>
          <w:lang w:eastAsia="zh-CN"/>
        </w:rPr>
        <w:t>(ه)</w:t>
      </w:r>
      <w:r>
        <w:rPr>
          <w:rtl/>
          <w:lang w:eastAsia="zh-CN"/>
        </w:rPr>
        <w:tab/>
      </w:r>
      <w:r>
        <w:rPr>
          <w:rFonts w:hint="cs"/>
          <w:rtl/>
          <w:lang w:eastAsia="zh-CN"/>
        </w:rPr>
        <w:t xml:space="preserve">اختبار أداة </w:t>
      </w:r>
      <w:proofErr w:type="spellStart"/>
      <w:r>
        <w:rPr>
          <w:lang w:eastAsia="zh-CN"/>
        </w:rPr>
        <w:t>Taleo</w:t>
      </w:r>
      <w:proofErr w:type="spellEnd"/>
      <w:r>
        <w:rPr>
          <w:rFonts w:hint="cs"/>
          <w:rtl/>
          <w:lang w:eastAsia="zh-CN"/>
        </w:rPr>
        <w:t>؛</w:t>
      </w:r>
    </w:p>
    <w:p w:rsidR="00000D78" w:rsidRDefault="00000D78" w:rsidP="00000D78">
      <w:pPr>
        <w:pStyle w:val="NormalParaAR"/>
        <w:ind w:left="1134" w:hanging="567"/>
        <w:rPr>
          <w:rtl/>
          <w:lang w:eastAsia="zh-CN"/>
        </w:rPr>
      </w:pPr>
      <w:r>
        <w:rPr>
          <w:rFonts w:hint="cs"/>
          <w:rtl/>
          <w:lang w:eastAsia="zh-CN"/>
        </w:rPr>
        <w:t>(و)</w:t>
      </w:r>
      <w:r>
        <w:rPr>
          <w:rtl/>
          <w:lang w:eastAsia="zh-CN"/>
        </w:rPr>
        <w:tab/>
      </w:r>
      <w:r>
        <w:rPr>
          <w:rFonts w:hint="cs"/>
          <w:rtl/>
          <w:lang w:eastAsia="zh-CN"/>
        </w:rPr>
        <w:t>حلول لأعمال مكاتب الملكية الفكرية؛</w:t>
      </w:r>
    </w:p>
    <w:p w:rsidR="00000D78" w:rsidRDefault="00000D78" w:rsidP="00000D78">
      <w:pPr>
        <w:pStyle w:val="NormalParaAR"/>
        <w:ind w:left="1134" w:hanging="567"/>
        <w:rPr>
          <w:rtl/>
          <w:lang w:eastAsia="zh-CN"/>
        </w:rPr>
      </w:pPr>
      <w:r>
        <w:rPr>
          <w:rFonts w:hint="cs"/>
          <w:rtl/>
          <w:lang w:eastAsia="zh-CN"/>
        </w:rPr>
        <w:t>(ز)</w:t>
      </w:r>
      <w:r>
        <w:rPr>
          <w:rtl/>
          <w:lang w:eastAsia="zh-CN"/>
        </w:rPr>
        <w:tab/>
      </w:r>
      <w:r>
        <w:rPr>
          <w:rFonts w:hint="cs"/>
          <w:rtl/>
          <w:lang w:eastAsia="zh-CN"/>
        </w:rPr>
        <w:t>البرنامج 30: الشركات الصغيرة والمتوسطة والابتكار؛</w:t>
      </w:r>
    </w:p>
    <w:p w:rsidR="00000D78" w:rsidRDefault="00000D78" w:rsidP="00000D78">
      <w:pPr>
        <w:pStyle w:val="NormalParaAR"/>
        <w:ind w:left="1134" w:hanging="567"/>
        <w:rPr>
          <w:rtl/>
          <w:lang w:eastAsia="zh-CN"/>
        </w:rPr>
      </w:pPr>
      <w:r>
        <w:rPr>
          <w:rFonts w:hint="cs"/>
          <w:rtl/>
          <w:lang w:eastAsia="zh-CN"/>
        </w:rPr>
        <w:t>(ح)</w:t>
      </w:r>
      <w:r>
        <w:rPr>
          <w:rtl/>
          <w:lang w:eastAsia="zh-CN"/>
        </w:rPr>
        <w:tab/>
      </w:r>
      <w:r>
        <w:rPr>
          <w:rFonts w:hint="cs"/>
          <w:rtl/>
          <w:lang w:eastAsia="zh-CN"/>
        </w:rPr>
        <w:t>البرنامج 3: حق المؤلف والحقوق المجاورة؛</w:t>
      </w:r>
    </w:p>
    <w:p w:rsidR="00000D78" w:rsidRDefault="00000D78" w:rsidP="00000D78">
      <w:pPr>
        <w:pStyle w:val="NormalParaAR"/>
        <w:ind w:left="1134" w:hanging="567"/>
        <w:rPr>
          <w:rtl/>
          <w:lang w:eastAsia="zh-CN"/>
        </w:rPr>
      </w:pPr>
      <w:r>
        <w:rPr>
          <w:rFonts w:hint="cs"/>
          <w:rtl/>
          <w:lang w:eastAsia="zh-CN"/>
        </w:rPr>
        <w:t>(ط)</w:t>
      </w:r>
      <w:r>
        <w:rPr>
          <w:rtl/>
          <w:lang w:eastAsia="zh-CN"/>
        </w:rPr>
        <w:tab/>
      </w:r>
      <w:r>
        <w:rPr>
          <w:rFonts w:hint="cs"/>
          <w:rtl/>
          <w:lang w:eastAsia="zh-CN"/>
        </w:rPr>
        <w:t>مساعدة الويبو للبلدان الأقل نمواً؛</w:t>
      </w:r>
    </w:p>
    <w:p w:rsidR="00000D78" w:rsidRDefault="003A3CD3" w:rsidP="00000D78">
      <w:pPr>
        <w:pStyle w:val="NormalParaAR"/>
        <w:ind w:left="1134" w:hanging="567"/>
        <w:rPr>
          <w:lang w:eastAsia="zh-CN"/>
        </w:rPr>
      </w:pPr>
      <w:r>
        <w:rPr>
          <w:rtl/>
          <w:lang w:eastAsia="zh-CN"/>
        </w:rPr>
        <w:t>(</w:t>
      </w:r>
      <w:r w:rsidR="00000D78">
        <w:rPr>
          <w:rFonts w:hint="cs"/>
          <w:rtl/>
          <w:lang w:eastAsia="zh-CN"/>
        </w:rPr>
        <w:t>ي</w:t>
      </w:r>
      <w:r>
        <w:rPr>
          <w:rtl/>
          <w:lang w:eastAsia="zh-CN"/>
        </w:rPr>
        <w:t>)</w:t>
      </w:r>
      <w:r>
        <w:rPr>
          <w:rtl/>
          <w:lang w:eastAsia="zh-CN"/>
        </w:rPr>
        <w:tab/>
      </w:r>
      <w:r w:rsidR="00000D78">
        <w:rPr>
          <w:rFonts w:hint="cs"/>
          <w:rtl/>
          <w:lang w:eastAsia="zh-CN"/>
        </w:rPr>
        <w:t>مشروع الويبو الرائد بشأن التقدم المهني للنساء</w:t>
      </w:r>
      <w:r>
        <w:rPr>
          <w:rtl/>
          <w:lang w:eastAsia="zh-CN"/>
        </w:rPr>
        <w:t>.</w:t>
      </w:r>
    </w:p>
    <w:p w:rsidR="003A3CD3" w:rsidRDefault="00000D78" w:rsidP="000B62B2">
      <w:pPr>
        <w:pStyle w:val="NumberedParaAR"/>
        <w:numPr>
          <w:ilvl w:val="0"/>
          <w:numId w:val="4"/>
        </w:numPr>
        <w:rPr>
          <w:lang w:eastAsia="zh-CN"/>
        </w:rPr>
      </w:pPr>
      <w:r>
        <w:rPr>
          <w:rFonts w:hint="cs"/>
          <w:rtl/>
          <w:lang w:eastAsia="zh-CN"/>
        </w:rPr>
        <w:t xml:space="preserve">وحرصت الشعبة على التواصل مع الإدارة </w:t>
      </w:r>
      <w:r>
        <w:rPr>
          <w:rtl/>
          <w:lang w:eastAsia="zh-CN"/>
        </w:rPr>
        <w:t>بانتظام لاستعراض التوصيات المفتوحة</w:t>
      </w:r>
      <w:r>
        <w:rPr>
          <w:rFonts w:hint="cs"/>
          <w:rtl/>
          <w:lang w:eastAsia="zh-CN"/>
        </w:rPr>
        <w:t xml:space="preserve"> ومتابعة وضع تنفيذها</w:t>
      </w:r>
      <w:r>
        <w:rPr>
          <w:rtl/>
          <w:lang w:eastAsia="zh-CN"/>
        </w:rPr>
        <w:t>.</w:t>
      </w:r>
      <w:r>
        <w:rPr>
          <w:rFonts w:hint="cs"/>
          <w:rtl/>
          <w:lang w:eastAsia="zh-CN"/>
        </w:rPr>
        <w:t xml:space="preserve"> </w:t>
      </w:r>
      <w:r>
        <w:rPr>
          <w:rtl/>
          <w:lang w:eastAsia="zh-CN"/>
        </w:rPr>
        <w:t xml:space="preserve">وتعالج الإدارة جميع التوصيات من خلال خطة عمل </w:t>
      </w:r>
      <w:r w:rsidR="00B75A1B">
        <w:rPr>
          <w:rFonts w:hint="cs"/>
          <w:rtl/>
          <w:lang w:eastAsia="zh-CN"/>
        </w:rPr>
        <w:t>تحدد</w:t>
      </w:r>
      <w:r>
        <w:rPr>
          <w:rtl/>
          <w:lang w:eastAsia="zh-CN"/>
        </w:rPr>
        <w:t xml:space="preserve"> الأنشطة المقترحة والموظفين المسؤولين وأجل التنفيذ.</w:t>
      </w:r>
      <w:r>
        <w:rPr>
          <w:rFonts w:hint="cs"/>
          <w:rtl/>
          <w:lang w:eastAsia="zh-CN"/>
        </w:rPr>
        <w:t xml:space="preserve"> </w:t>
      </w:r>
      <w:r w:rsidR="00B75A1B">
        <w:rPr>
          <w:rtl/>
          <w:lang w:eastAsia="zh-CN"/>
        </w:rPr>
        <w:t>وتدار التوصيات المفتوحة من خلال نظام قاعدة بيانات الفرق المركزية (</w:t>
      </w:r>
      <w:proofErr w:type="spellStart"/>
      <w:r w:rsidR="00B75A1B" w:rsidRPr="00B75A1B">
        <w:rPr>
          <w:lang w:eastAsia="zh-CN"/>
        </w:rPr>
        <w:t>TeamCentral</w:t>
      </w:r>
      <w:proofErr w:type="spellEnd"/>
      <w:r w:rsidR="00B75A1B" w:rsidRPr="00B75A1B">
        <w:rPr>
          <w:lang w:eastAsia="zh-CN"/>
        </w:rPr>
        <w:t>©</w:t>
      </w:r>
      <w:r w:rsidR="00B75A1B">
        <w:rPr>
          <w:rtl/>
          <w:lang w:eastAsia="zh-CN"/>
        </w:rPr>
        <w:t>)</w:t>
      </w:r>
      <w:r w:rsidR="00B75A1B" w:rsidRPr="006A0DC8">
        <w:rPr>
          <w:rStyle w:val="FootnoteReference"/>
          <w:sz w:val="36"/>
          <w:szCs w:val="36"/>
          <w:rtl/>
          <w:lang w:eastAsia="zh-CN"/>
        </w:rPr>
        <w:footnoteReference w:id="3"/>
      </w:r>
      <w:r w:rsidR="00B75A1B">
        <w:rPr>
          <w:rtl/>
          <w:lang w:eastAsia="zh-CN"/>
        </w:rPr>
        <w:t xml:space="preserve"> المتاح للشعبة وإدارة الويبو والمدققين الخارجيين.</w:t>
      </w:r>
    </w:p>
    <w:p w:rsidR="00B75A1B" w:rsidRDefault="00B75A1B" w:rsidP="00B75A1B">
      <w:pPr>
        <w:pStyle w:val="Heading2AR"/>
      </w:pPr>
      <w:r w:rsidRPr="00B75A1B">
        <w:rPr>
          <w:rtl/>
        </w:rPr>
        <w:t>‏التدقيق في إدارة استمرارية الأعمال</w:t>
      </w:r>
    </w:p>
    <w:p w:rsidR="003A3CD3" w:rsidRDefault="00B75A1B" w:rsidP="000B62B2">
      <w:pPr>
        <w:pStyle w:val="NumberedParaAR"/>
        <w:numPr>
          <w:ilvl w:val="0"/>
          <w:numId w:val="4"/>
        </w:numPr>
        <w:rPr>
          <w:lang w:eastAsia="zh-CN"/>
        </w:rPr>
      </w:pPr>
      <w:r>
        <w:rPr>
          <w:rFonts w:hint="cs"/>
          <w:rtl/>
          <w:lang w:eastAsia="zh-CN"/>
        </w:rPr>
        <w:t>استعرضت الشعبة في الفترة الممتدة من أبريل إلى يوليو 2015 استعداد الويبو واعتمادها للمارسات الجيدة في مجال إدارة استمرارية الأعمال</w:t>
      </w:r>
      <w:r w:rsidR="00A94E0F">
        <w:rPr>
          <w:rFonts w:hint="cs"/>
          <w:rtl/>
          <w:lang w:eastAsia="zh-CN"/>
        </w:rPr>
        <w:t>،</w:t>
      </w:r>
      <w:r>
        <w:rPr>
          <w:rFonts w:hint="cs"/>
          <w:rtl/>
          <w:lang w:eastAsia="zh-CN"/>
        </w:rPr>
        <w:t xml:space="preserve"> بالاتفاق مع الإدارة العليا</w:t>
      </w:r>
      <w:r w:rsidR="00A94E0F">
        <w:rPr>
          <w:rFonts w:hint="cs"/>
          <w:rtl/>
          <w:lang w:eastAsia="zh-CN"/>
        </w:rPr>
        <w:t>،</w:t>
      </w:r>
      <w:r>
        <w:rPr>
          <w:rFonts w:hint="cs"/>
          <w:rtl/>
          <w:lang w:eastAsia="zh-CN"/>
        </w:rPr>
        <w:t xml:space="preserve"> بغية وضع مؤشرات مرجعية لعمليات الاستعراض المقبلة.</w:t>
      </w:r>
    </w:p>
    <w:p w:rsidR="00B75A1B" w:rsidRDefault="00B75A1B" w:rsidP="000B62B2">
      <w:pPr>
        <w:pStyle w:val="NumberedParaAR"/>
        <w:keepNext/>
        <w:numPr>
          <w:ilvl w:val="0"/>
          <w:numId w:val="4"/>
        </w:numPr>
        <w:rPr>
          <w:lang w:eastAsia="zh-CN"/>
        </w:rPr>
      </w:pPr>
      <w:r>
        <w:rPr>
          <w:rFonts w:hint="cs"/>
          <w:rtl/>
          <w:lang w:eastAsia="zh-CN"/>
        </w:rPr>
        <w:lastRenderedPageBreak/>
        <w:t>وخلص تقرير التدقيق إلى النتائج</w:t>
      </w:r>
      <w:r w:rsidR="0034061A">
        <w:rPr>
          <w:rFonts w:hint="cs"/>
          <w:rtl/>
          <w:lang w:eastAsia="zh-CN"/>
        </w:rPr>
        <w:t xml:space="preserve"> الرئيسية</w:t>
      </w:r>
      <w:r>
        <w:rPr>
          <w:rFonts w:hint="cs"/>
          <w:rtl/>
          <w:lang w:eastAsia="zh-CN"/>
        </w:rPr>
        <w:t xml:space="preserve"> التالية:</w:t>
      </w:r>
    </w:p>
    <w:p w:rsidR="00B75A1B" w:rsidRDefault="005C2100" w:rsidP="00A94E0F">
      <w:pPr>
        <w:pStyle w:val="NormalParaAR"/>
        <w:keepNext/>
        <w:ind w:left="1134" w:hanging="567"/>
        <w:rPr>
          <w:rtl/>
          <w:lang w:eastAsia="zh-CN"/>
        </w:rPr>
      </w:pPr>
      <w:r>
        <w:rPr>
          <w:rFonts w:hint="cs"/>
          <w:rtl/>
          <w:lang w:eastAsia="zh-CN"/>
        </w:rPr>
        <w:t>(أ)</w:t>
      </w:r>
      <w:r>
        <w:rPr>
          <w:rtl/>
          <w:lang w:eastAsia="zh-CN"/>
        </w:rPr>
        <w:tab/>
      </w:r>
      <w:r w:rsidR="00B75A1B">
        <w:rPr>
          <w:rFonts w:hint="cs"/>
          <w:rtl/>
          <w:lang w:eastAsia="zh-CN"/>
        </w:rPr>
        <w:t xml:space="preserve">ينبغي إيلاء الأولوية القصوى </w:t>
      </w:r>
      <w:r w:rsidR="00A94E0F">
        <w:rPr>
          <w:rFonts w:hint="cs"/>
          <w:rtl/>
          <w:lang w:eastAsia="zh-CN"/>
        </w:rPr>
        <w:t>لال</w:t>
      </w:r>
      <w:r w:rsidR="00B75A1B">
        <w:rPr>
          <w:rFonts w:hint="cs"/>
          <w:rtl/>
          <w:lang w:eastAsia="zh-CN"/>
        </w:rPr>
        <w:t>تزام الدول الأعضاء ب</w:t>
      </w:r>
      <w:r>
        <w:rPr>
          <w:rFonts w:hint="cs"/>
          <w:rtl/>
          <w:lang w:eastAsia="zh-CN"/>
        </w:rPr>
        <w:t xml:space="preserve">مبادرة </w:t>
      </w:r>
      <w:r w:rsidR="00B75A1B">
        <w:rPr>
          <w:rFonts w:hint="cs"/>
          <w:rtl/>
          <w:lang w:eastAsia="zh-CN"/>
        </w:rPr>
        <w:t xml:space="preserve">إدارة استمرارية الأعمال حتى تقر بأهميتها بالنسبة إلى عمليات الويبو وبضرورة توفير الموارد اللازمة لضمان </w:t>
      </w:r>
      <w:r>
        <w:rPr>
          <w:rFonts w:hint="cs"/>
          <w:rtl/>
          <w:lang w:eastAsia="zh-CN"/>
        </w:rPr>
        <w:t>استدامتها؛</w:t>
      </w:r>
    </w:p>
    <w:p w:rsidR="00B75A1B" w:rsidRDefault="005C2100" w:rsidP="005C2100">
      <w:pPr>
        <w:pStyle w:val="NormalParaAR"/>
        <w:ind w:left="1134" w:hanging="567"/>
        <w:rPr>
          <w:lang w:eastAsia="zh-CN"/>
        </w:rPr>
      </w:pPr>
      <w:r>
        <w:rPr>
          <w:rFonts w:hint="cs"/>
          <w:rtl/>
          <w:lang w:eastAsia="zh-CN"/>
        </w:rPr>
        <w:t>(ب)</w:t>
      </w:r>
      <w:r>
        <w:rPr>
          <w:rtl/>
          <w:lang w:eastAsia="zh-CN"/>
        </w:rPr>
        <w:tab/>
      </w:r>
      <w:r>
        <w:rPr>
          <w:rFonts w:hint="cs"/>
          <w:rtl/>
          <w:lang w:eastAsia="zh-CN"/>
        </w:rPr>
        <w:t>ينبغي لإدارة الموارد البشرية أن تتعاون مع منسق استمرارية الأعمال بغية إعلام موظفي الويبو بمبادرة إدارة استمرارية الأعمال وإدراج وحدة</w:t>
      </w:r>
      <w:r w:rsidR="00031C3F">
        <w:rPr>
          <w:rFonts w:hint="cs"/>
          <w:rtl/>
          <w:lang w:eastAsia="zh-CN"/>
        </w:rPr>
        <w:t xml:space="preserve"> عن</w:t>
      </w:r>
      <w:r>
        <w:rPr>
          <w:rFonts w:hint="cs"/>
          <w:rtl/>
          <w:lang w:eastAsia="zh-CN"/>
        </w:rPr>
        <w:t xml:space="preserve"> استمرارية الأعمال في البرنامج التمهيدي للموظفين؛</w:t>
      </w:r>
    </w:p>
    <w:p w:rsidR="005C2100" w:rsidRDefault="005C2100" w:rsidP="005C2100">
      <w:pPr>
        <w:pStyle w:val="NormalParaAR"/>
        <w:ind w:left="1134" w:hanging="567"/>
        <w:rPr>
          <w:rtl/>
          <w:lang w:eastAsia="zh-CN"/>
        </w:rPr>
      </w:pPr>
      <w:r>
        <w:rPr>
          <w:rFonts w:hint="cs"/>
          <w:rtl/>
          <w:lang w:eastAsia="zh-CN"/>
        </w:rPr>
        <w:t>(ج)</w:t>
      </w:r>
      <w:r>
        <w:rPr>
          <w:rtl/>
          <w:lang w:eastAsia="zh-CN"/>
        </w:rPr>
        <w:tab/>
      </w:r>
      <w:r>
        <w:rPr>
          <w:rFonts w:hint="cs"/>
          <w:rtl/>
          <w:lang w:eastAsia="zh-CN"/>
        </w:rPr>
        <w:t>ينبغي جمع خبرات فريق إدارة المخاطر ومجلس تكنولوجيا المعلومات والاتصالات ومبادرة إدارة استمرارية الأعمال للاستفادة منها في بحث مخاطر عرقلة الأعمال ووضع خطط للتخفيف من آثارها؛</w:t>
      </w:r>
    </w:p>
    <w:p w:rsidR="005C2100" w:rsidRDefault="005C2100" w:rsidP="005C2100">
      <w:pPr>
        <w:pStyle w:val="NormalParaAR"/>
        <w:ind w:left="1134" w:hanging="567"/>
        <w:rPr>
          <w:rtl/>
          <w:lang w:eastAsia="zh-CN"/>
        </w:rPr>
      </w:pPr>
      <w:r>
        <w:rPr>
          <w:rFonts w:hint="cs"/>
          <w:rtl/>
          <w:lang w:eastAsia="zh-CN"/>
        </w:rPr>
        <w:t>(د)</w:t>
      </w:r>
      <w:r>
        <w:rPr>
          <w:rtl/>
          <w:lang w:eastAsia="zh-CN"/>
        </w:rPr>
        <w:tab/>
      </w:r>
      <w:r>
        <w:rPr>
          <w:rFonts w:hint="cs"/>
          <w:rtl/>
          <w:lang w:eastAsia="zh-CN"/>
        </w:rPr>
        <w:t>ينبغي تجميع الأحداث التي تشهدها المباني والأمن المادي والتكنولوجي والمعلوماتي فضلاً عن المعلومات الخاصة بتحليل المخاطر وتدابير التخفيف من آثارها تجميعاً مركزياً وتقديمها دورياً إلى فريق إدارة المخاطر بغية مساعدة الويبو على تحقيق هدف</w:t>
      </w:r>
      <w:r w:rsidR="00031C3F">
        <w:rPr>
          <w:rFonts w:hint="cs"/>
          <w:rtl/>
          <w:lang w:eastAsia="zh-CN"/>
        </w:rPr>
        <w:t xml:space="preserve"> إقامة</w:t>
      </w:r>
      <w:r>
        <w:rPr>
          <w:rFonts w:hint="cs"/>
          <w:rtl/>
          <w:lang w:eastAsia="zh-CN"/>
        </w:rPr>
        <w:t xml:space="preserve"> "منظمة دائمة الاستعداد".</w:t>
      </w:r>
    </w:p>
    <w:p w:rsidR="00B75A1B" w:rsidRDefault="006639AF" w:rsidP="005C2100">
      <w:pPr>
        <w:pStyle w:val="Heading2AR"/>
        <w:rPr>
          <w:rtl/>
        </w:rPr>
      </w:pPr>
      <w:r>
        <w:rPr>
          <w:rFonts w:hint="cs"/>
          <w:rtl/>
        </w:rPr>
        <w:t>التدقيق في إدارة خدمات الزبائن في الويبو</w:t>
      </w:r>
    </w:p>
    <w:p w:rsidR="00B75A1B" w:rsidRDefault="006639AF" w:rsidP="00031C3F">
      <w:pPr>
        <w:pStyle w:val="NumberedParaAR"/>
        <w:keepNext/>
        <w:numPr>
          <w:ilvl w:val="0"/>
          <w:numId w:val="4"/>
        </w:numPr>
        <w:rPr>
          <w:rtl/>
          <w:lang w:eastAsia="zh-CN"/>
        </w:rPr>
      </w:pPr>
      <w:r>
        <w:rPr>
          <w:rFonts w:hint="cs"/>
          <w:rtl/>
          <w:lang w:eastAsia="zh-CN"/>
        </w:rPr>
        <w:t xml:space="preserve">خلص التدقيق في إدارة خدمات الزبائن في الويبو خلال الفترة الممتدة من يوليو </w:t>
      </w:r>
      <w:r w:rsidR="00960E45">
        <w:rPr>
          <w:rFonts w:hint="cs"/>
          <w:rtl/>
          <w:lang w:eastAsia="zh-CN"/>
        </w:rPr>
        <w:t>إلى سبتمبر 2015 إلى النتائج</w:t>
      </w:r>
      <w:r w:rsidR="00031C3F">
        <w:rPr>
          <w:rFonts w:hint="eastAsia"/>
          <w:rtl/>
          <w:lang w:eastAsia="zh-CN"/>
        </w:rPr>
        <w:t> </w:t>
      </w:r>
      <w:r w:rsidR="0034061A">
        <w:rPr>
          <w:rFonts w:hint="cs"/>
          <w:rtl/>
          <w:lang w:eastAsia="zh-CN"/>
        </w:rPr>
        <w:t>الرئيسية</w:t>
      </w:r>
      <w:r w:rsidR="00960E45">
        <w:rPr>
          <w:rFonts w:hint="cs"/>
          <w:rtl/>
          <w:lang w:eastAsia="zh-CN"/>
        </w:rPr>
        <w:t xml:space="preserve"> التالية:</w:t>
      </w:r>
    </w:p>
    <w:p w:rsidR="00B75A1B" w:rsidRDefault="00960E45" w:rsidP="00031C3F">
      <w:pPr>
        <w:pStyle w:val="NormalParaAR"/>
        <w:ind w:left="1134" w:hanging="567"/>
        <w:rPr>
          <w:rtl/>
          <w:lang w:eastAsia="zh-CN"/>
        </w:rPr>
      </w:pPr>
      <w:r>
        <w:rPr>
          <w:rFonts w:hint="cs"/>
          <w:rtl/>
          <w:lang w:eastAsia="zh-CN"/>
        </w:rPr>
        <w:t>(أ)</w:t>
      </w:r>
      <w:r>
        <w:rPr>
          <w:rtl/>
          <w:lang w:eastAsia="zh-CN"/>
        </w:rPr>
        <w:tab/>
      </w:r>
      <w:r>
        <w:rPr>
          <w:rFonts w:hint="cs"/>
          <w:rtl/>
          <w:lang w:eastAsia="zh-CN"/>
        </w:rPr>
        <w:t xml:space="preserve">ينبغي الانتهاء من إنشاء مجلس خدمة </w:t>
      </w:r>
      <w:r w:rsidR="00031C3F">
        <w:rPr>
          <w:rFonts w:hint="cs"/>
          <w:rtl/>
          <w:lang w:eastAsia="zh-CN"/>
        </w:rPr>
        <w:t>الزبائن</w:t>
      </w:r>
      <w:r>
        <w:rPr>
          <w:rFonts w:hint="cs"/>
          <w:rtl/>
          <w:lang w:eastAsia="zh-CN"/>
        </w:rPr>
        <w:t>، الذي وافق عليه المدير العام، بغية تحسين الفعالية والكفاءة في إدارة خدمات الزبائن على مستوى الويبو.</w:t>
      </w:r>
      <w:r w:rsidRPr="006A0DC8">
        <w:rPr>
          <w:rStyle w:val="FootnoteReference"/>
          <w:sz w:val="36"/>
          <w:szCs w:val="36"/>
          <w:rtl/>
          <w:lang w:eastAsia="zh-CN"/>
        </w:rPr>
        <w:footnoteReference w:id="4"/>
      </w:r>
      <w:r>
        <w:rPr>
          <w:rFonts w:hint="cs"/>
          <w:rtl/>
          <w:lang w:eastAsia="zh-CN"/>
        </w:rPr>
        <w:t xml:space="preserve"> و</w:t>
      </w:r>
      <w:r w:rsidR="0034061A">
        <w:rPr>
          <w:rFonts w:hint="cs"/>
          <w:rtl/>
          <w:lang w:eastAsia="zh-CN"/>
        </w:rPr>
        <w:t>سيوفر</w:t>
      </w:r>
      <w:r>
        <w:rPr>
          <w:rFonts w:hint="cs"/>
          <w:rtl/>
          <w:lang w:eastAsia="zh-CN"/>
        </w:rPr>
        <w:t xml:space="preserve"> هذا المجلس بنية إدارية واضحة ويحدد الأدوار والمسؤوليات المنوطة بمختلف وحدات خدمات الزبائن </w:t>
      </w:r>
      <w:r w:rsidR="0034061A">
        <w:rPr>
          <w:rFonts w:hint="cs"/>
          <w:rtl/>
          <w:lang w:eastAsia="zh-CN"/>
        </w:rPr>
        <w:t>في الويبو ويحسن عمليتي الرصد واتخاذ القرار</w:t>
      </w:r>
      <w:r w:rsidR="00031C3F">
        <w:rPr>
          <w:rFonts w:hint="cs"/>
          <w:rtl/>
          <w:lang w:eastAsia="zh-CN"/>
        </w:rPr>
        <w:t>ات</w:t>
      </w:r>
      <w:r w:rsidR="0034061A">
        <w:rPr>
          <w:rFonts w:hint="cs"/>
          <w:rtl/>
          <w:lang w:eastAsia="zh-CN"/>
        </w:rPr>
        <w:t xml:space="preserve"> على المستوى التنظيمي؛</w:t>
      </w:r>
    </w:p>
    <w:p w:rsidR="0034061A" w:rsidRDefault="0034061A" w:rsidP="00031C3F">
      <w:pPr>
        <w:pStyle w:val="NormalParaAR"/>
        <w:ind w:left="1134" w:hanging="567"/>
        <w:rPr>
          <w:rtl/>
          <w:lang w:eastAsia="zh-CN"/>
        </w:rPr>
      </w:pPr>
      <w:r>
        <w:rPr>
          <w:rFonts w:hint="cs"/>
          <w:rtl/>
          <w:lang w:eastAsia="zh-CN"/>
        </w:rPr>
        <w:t>(ب)</w:t>
      </w:r>
      <w:r>
        <w:rPr>
          <w:rtl/>
          <w:lang w:eastAsia="zh-CN"/>
        </w:rPr>
        <w:tab/>
      </w:r>
      <w:r>
        <w:rPr>
          <w:rFonts w:hint="cs"/>
          <w:rtl/>
          <w:lang w:eastAsia="zh-CN"/>
        </w:rPr>
        <w:t xml:space="preserve">ينبغي نشر الولاية المراجعة </w:t>
      </w:r>
      <w:r w:rsidR="00031C3F">
        <w:rPr>
          <w:rFonts w:hint="cs"/>
          <w:rtl/>
          <w:lang w:eastAsia="zh-CN"/>
        </w:rPr>
        <w:t>لقسم</w:t>
      </w:r>
      <w:r>
        <w:rPr>
          <w:rFonts w:hint="cs"/>
          <w:rtl/>
          <w:lang w:eastAsia="zh-CN"/>
        </w:rPr>
        <w:t xml:space="preserve"> خدمة الزبائن التابع لشعبة </w:t>
      </w:r>
      <w:r w:rsidR="00031C3F">
        <w:rPr>
          <w:rFonts w:hint="cs"/>
          <w:rtl/>
          <w:lang w:eastAsia="zh-CN"/>
        </w:rPr>
        <w:t>التواصل</w:t>
      </w:r>
      <w:r>
        <w:rPr>
          <w:rFonts w:hint="cs"/>
          <w:rtl/>
          <w:lang w:eastAsia="zh-CN"/>
        </w:rPr>
        <w:t xml:space="preserve"> رسمياً بغية دعم هذا </w:t>
      </w:r>
      <w:r w:rsidR="00031C3F">
        <w:rPr>
          <w:rFonts w:hint="cs"/>
          <w:rtl/>
          <w:lang w:eastAsia="zh-CN"/>
        </w:rPr>
        <w:t>القسم</w:t>
      </w:r>
      <w:r>
        <w:rPr>
          <w:rFonts w:hint="cs"/>
          <w:rtl/>
          <w:lang w:eastAsia="zh-CN"/>
        </w:rPr>
        <w:t xml:space="preserve"> في تنفيذ مبادرات خدمة الزبائن وتنسيقها على مستوى المنظمة؛</w:t>
      </w:r>
    </w:p>
    <w:p w:rsidR="0034061A" w:rsidRDefault="0034061A" w:rsidP="0034061A">
      <w:pPr>
        <w:pStyle w:val="NormalParaAR"/>
        <w:ind w:left="1134" w:hanging="567"/>
        <w:rPr>
          <w:rtl/>
          <w:lang w:eastAsia="zh-CN"/>
        </w:rPr>
      </w:pPr>
      <w:r>
        <w:rPr>
          <w:rFonts w:hint="cs"/>
          <w:rtl/>
          <w:lang w:eastAsia="zh-CN"/>
        </w:rPr>
        <w:t>(ج)</w:t>
      </w:r>
      <w:r>
        <w:rPr>
          <w:rtl/>
          <w:lang w:eastAsia="zh-CN"/>
        </w:rPr>
        <w:tab/>
      </w:r>
      <w:r>
        <w:rPr>
          <w:rFonts w:hint="cs"/>
          <w:rtl/>
          <w:lang w:eastAsia="zh-CN"/>
        </w:rPr>
        <w:t>ينبغي وضع استراتيجية وإطار لخدمة الزبائن يحددان مبادئ توجيهية عامة لمبادرات خدمات الزبائن في الويبو؛ وممارسات ومعايير منسقة تتماشى مع ميثاق خدمات الويبو.</w:t>
      </w:r>
    </w:p>
    <w:p w:rsidR="00B75A1B" w:rsidRDefault="0034061A" w:rsidP="0034061A">
      <w:pPr>
        <w:pStyle w:val="Heading2AR"/>
        <w:rPr>
          <w:rtl/>
        </w:rPr>
      </w:pPr>
      <w:r>
        <w:rPr>
          <w:rFonts w:hint="cs"/>
          <w:rtl/>
        </w:rPr>
        <w:t>التدقيق في إدارة الخدمات التعاقدية الفردية</w:t>
      </w:r>
    </w:p>
    <w:p w:rsidR="00B75A1B" w:rsidRDefault="0034061A" w:rsidP="000B62B2">
      <w:pPr>
        <w:pStyle w:val="NumberedParaAR"/>
        <w:numPr>
          <w:ilvl w:val="0"/>
          <w:numId w:val="4"/>
        </w:numPr>
        <w:rPr>
          <w:rtl/>
          <w:lang w:eastAsia="zh-CN"/>
        </w:rPr>
      </w:pPr>
      <w:r>
        <w:rPr>
          <w:rFonts w:hint="cs"/>
          <w:rtl/>
          <w:lang w:eastAsia="zh-CN"/>
        </w:rPr>
        <w:t>هدف هذا التدقيق إلى تقييم مستوى الفعالية والكفاءة والامتثال في إدارة الخدمات التعاقدية الفردية استناداً إلى التعميم الإداري رقم 45/2013.</w:t>
      </w:r>
    </w:p>
    <w:p w:rsidR="00B75A1B" w:rsidRDefault="0034061A" w:rsidP="00031C3F">
      <w:pPr>
        <w:pStyle w:val="NumberedParaAR"/>
        <w:numPr>
          <w:ilvl w:val="0"/>
          <w:numId w:val="4"/>
        </w:numPr>
        <w:rPr>
          <w:rtl/>
          <w:lang w:eastAsia="zh-CN"/>
        </w:rPr>
      </w:pPr>
      <w:r>
        <w:rPr>
          <w:rFonts w:hint="cs"/>
          <w:rtl/>
          <w:lang w:eastAsia="zh-CN"/>
        </w:rPr>
        <w:t xml:space="preserve">وأشار التدقيق إلى الممارسات الجيدة المتبعة في توثيق مسارات الخدمات التعاقدية الفردية، والتدابير المتخذة في التلزيم الخارجي للترجمات، والامتثال العام </w:t>
      </w:r>
      <w:r w:rsidR="00031C3F">
        <w:rPr>
          <w:rFonts w:hint="cs"/>
          <w:rtl/>
          <w:lang w:eastAsia="zh-CN"/>
        </w:rPr>
        <w:t>لسياسة الخدمات التعاقدية الفردية</w:t>
      </w:r>
      <w:r>
        <w:rPr>
          <w:rFonts w:hint="cs"/>
          <w:rtl/>
          <w:lang w:eastAsia="zh-CN"/>
        </w:rPr>
        <w:t>.</w:t>
      </w:r>
    </w:p>
    <w:p w:rsidR="00B75A1B" w:rsidRDefault="0034061A" w:rsidP="000B62B2">
      <w:pPr>
        <w:pStyle w:val="NumberedParaAR"/>
        <w:keepNext/>
        <w:numPr>
          <w:ilvl w:val="0"/>
          <w:numId w:val="4"/>
        </w:numPr>
        <w:rPr>
          <w:rtl/>
          <w:lang w:eastAsia="zh-CN"/>
        </w:rPr>
      </w:pPr>
      <w:r>
        <w:rPr>
          <w:rFonts w:hint="cs"/>
          <w:rtl/>
          <w:lang w:eastAsia="zh-CN"/>
        </w:rPr>
        <w:lastRenderedPageBreak/>
        <w:t>وخلص التدقيق إلى النتائج الرئيسية التالية:</w:t>
      </w:r>
    </w:p>
    <w:p w:rsidR="00B75A1B" w:rsidRDefault="0034061A" w:rsidP="009A5C0F">
      <w:pPr>
        <w:pStyle w:val="NormalParaAR"/>
        <w:ind w:left="1134" w:hanging="567"/>
        <w:rPr>
          <w:rtl/>
          <w:lang w:eastAsia="zh-CN"/>
        </w:rPr>
      </w:pPr>
      <w:r>
        <w:rPr>
          <w:rFonts w:hint="cs"/>
          <w:rtl/>
          <w:lang w:eastAsia="zh-CN"/>
        </w:rPr>
        <w:t>(أ)</w:t>
      </w:r>
      <w:r>
        <w:rPr>
          <w:rtl/>
          <w:lang w:eastAsia="zh-CN"/>
        </w:rPr>
        <w:tab/>
      </w:r>
      <w:r>
        <w:rPr>
          <w:rFonts w:hint="cs"/>
          <w:rtl/>
          <w:lang w:eastAsia="zh-CN"/>
        </w:rPr>
        <w:t xml:space="preserve">ينبغي أن </w:t>
      </w:r>
      <w:r w:rsidR="00031C3F">
        <w:rPr>
          <w:rFonts w:hint="cs"/>
          <w:rtl/>
          <w:lang w:eastAsia="zh-CN"/>
        </w:rPr>
        <w:t>يشتمل</w:t>
      </w:r>
      <w:r>
        <w:rPr>
          <w:rFonts w:hint="cs"/>
          <w:rtl/>
          <w:lang w:eastAsia="zh-CN"/>
        </w:rPr>
        <w:t xml:space="preserve"> مسار التعاقد مع موظفي الخدمات التعاقدية الفردية </w:t>
      </w:r>
      <w:r w:rsidR="00031C3F">
        <w:rPr>
          <w:rFonts w:hint="cs"/>
          <w:rtl/>
          <w:lang w:eastAsia="zh-CN"/>
        </w:rPr>
        <w:t xml:space="preserve">على </w:t>
      </w:r>
      <w:r w:rsidR="009A5C0F">
        <w:rPr>
          <w:rFonts w:hint="cs"/>
          <w:rtl/>
          <w:lang w:eastAsia="zh-CN"/>
        </w:rPr>
        <w:t>توقيع</w:t>
      </w:r>
      <w:r w:rsidR="0077444E">
        <w:rPr>
          <w:rFonts w:hint="cs"/>
          <w:rtl/>
          <w:lang w:eastAsia="zh-CN"/>
        </w:rPr>
        <w:t xml:space="preserve"> شعب الويبو المتعاقدة </w:t>
      </w:r>
      <w:r w:rsidR="009A5C0F">
        <w:rPr>
          <w:rFonts w:hint="cs"/>
          <w:rtl/>
          <w:lang w:eastAsia="zh-CN"/>
        </w:rPr>
        <w:t>إعلانات تضارب مصالح</w:t>
      </w:r>
      <w:r w:rsidR="008C31DE">
        <w:rPr>
          <w:rFonts w:hint="cs"/>
          <w:rtl/>
          <w:lang w:eastAsia="zh-CN"/>
        </w:rPr>
        <w:t>؛</w:t>
      </w:r>
    </w:p>
    <w:p w:rsidR="00B75A1B" w:rsidRDefault="008C31DE" w:rsidP="0077444E">
      <w:pPr>
        <w:pStyle w:val="NormalParaAR"/>
        <w:ind w:left="1134" w:hanging="567"/>
        <w:rPr>
          <w:rtl/>
          <w:lang w:eastAsia="zh-CN"/>
        </w:rPr>
      </w:pPr>
      <w:r>
        <w:rPr>
          <w:rFonts w:hint="cs"/>
          <w:rtl/>
          <w:lang w:eastAsia="zh-CN"/>
        </w:rPr>
        <w:t>(ب)</w:t>
      </w:r>
      <w:r>
        <w:rPr>
          <w:rtl/>
          <w:lang w:eastAsia="zh-CN"/>
        </w:rPr>
        <w:tab/>
      </w:r>
      <w:r>
        <w:rPr>
          <w:rFonts w:hint="cs"/>
          <w:rtl/>
          <w:lang w:eastAsia="zh-CN"/>
        </w:rPr>
        <w:t>ينبغي تقييم أداء موظفي الخدمات التعاقدية الفردية بانتظام بعد انتهاء عقودهم. وينبغي إحراز تقدم في هذا</w:t>
      </w:r>
      <w:r w:rsidR="0077444E">
        <w:rPr>
          <w:rFonts w:hint="eastAsia"/>
          <w:rtl/>
          <w:lang w:eastAsia="zh-CN"/>
        </w:rPr>
        <w:t> </w:t>
      </w:r>
      <w:r>
        <w:rPr>
          <w:rFonts w:hint="cs"/>
          <w:rtl/>
          <w:lang w:eastAsia="zh-CN"/>
        </w:rPr>
        <w:t>المجال وتجميع بيانات أداء موظفي الخدمات التعاقدية الفردية ونشرها كبيانات مرجعية؛</w:t>
      </w:r>
    </w:p>
    <w:p w:rsidR="008C31DE" w:rsidRDefault="008C31DE" w:rsidP="008C31DE">
      <w:pPr>
        <w:pStyle w:val="NormalParaAR"/>
        <w:ind w:left="1134" w:hanging="567"/>
        <w:rPr>
          <w:rtl/>
          <w:lang w:eastAsia="zh-CN"/>
        </w:rPr>
      </w:pPr>
      <w:r>
        <w:rPr>
          <w:rFonts w:hint="cs"/>
          <w:rtl/>
          <w:lang w:eastAsia="zh-CN"/>
        </w:rPr>
        <w:t>(ج)</w:t>
      </w:r>
      <w:r>
        <w:rPr>
          <w:rtl/>
          <w:lang w:eastAsia="zh-CN"/>
        </w:rPr>
        <w:tab/>
      </w:r>
      <w:r>
        <w:rPr>
          <w:rFonts w:hint="cs"/>
          <w:rtl/>
          <w:lang w:eastAsia="zh-CN"/>
        </w:rPr>
        <w:t>ينبغي إعادة النظر في أحكام لائحة الويبو التي تحدد مدة عقود الموظفين المؤقتين بسنتين في ضوء الخبرة العملية المكتسبة منذ تنفيذ السياسة المعنية.</w:t>
      </w:r>
    </w:p>
    <w:p w:rsidR="00B75A1B" w:rsidRDefault="008C31DE" w:rsidP="0077444E">
      <w:pPr>
        <w:pStyle w:val="NumberedParaAR"/>
        <w:numPr>
          <w:ilvl w:val="0"/>
          <w:numId w:val="4"/>
        </w:numPr>
        <w:rPr>
          <w:lang w:eastAsia="zh-CN"/>
        </w:rPr>
      </w:pPr>
      <w:r>
        <w:rPr>
          <w:rFonts w:hint="cs"/>
          <w:rtl/>
          <w:lang w:eastAsia="zh-CN"/>
        </w:rPr>
        <w:t xml:space="preserve">وتشمل المجالات الأخرى الواجب تحسينها إدراج ضوابط نظمية لمتابعة المهل الزمنية القصوى لعقود الخدمات التعاقدية الفردية وتقييم أداء المتعاقدين بموجب </w:t>
      </w:r>
      <w:r w:rsidR="0077444E">
        <w:rPr>
          <w:rFonts w:hint="cs"/>
          <w:rtl/>
          <w:lang w:eastAsia="zh-CN"/>
        </w:rPr>
        <w:t>تلك العقود</w:t>
      </w:r>
      <w:r>
        <w:rPr>
          <w:rFonts w:hint="cs"/>
          <w:rtl/>
          <w:lang w:eastAsia="zh-CN"/>
        </w:rPr>
        <w:t xml:space="preserve"> بانتظام أكبر </w:t>
      </w:r>
      <w:r w:rsidR="0077444E">
        <w:rPr>
          <w:rFonts w:hint="cs"/>
          <w:rtl/>
          <w:lang w:eastAsia="zh-CN"/>
        </w:rPr>
        <w:t>من أجل خدمة مصلحة</w:t>
      </w:r>
      <w:r>
        <w:rPr>
          <w:rFonts w:hint="cs"/>
          <w:rtl/>
          <w:lang w:eastAsia="zh-CN"/>
        </w:rPr>
        <w:t xml:space="preserve"> المنظمة ك</w:t>
      </w:r>
      <w:r w:rsidR="0077444E">
        <w:rPr>
          <w:rFonts w:hint="cs"/>
          <w:rtl/>
          <w:lang w:eastAsia="zh-CN"/>
        </w:rPr>
        <w:t>كل</w:t>
      </w:r>
      <w:r>
        <w:rPr>
          <w:rFonts w:hint="cs"/>
          <w:rtl/>
          <w:lang w:eastAsia="zh-CN"/>
        </w:rPr>
        <w:t>.</w:t>
      </w:r>
    </w:p>
    <w:p w:rsidR="008C31DE" w:rsidRDefault="008C31DE" w:rsidP="008C31DE">
      <w:pPr>
        <w:pStyle w:val="Heading2AR"/>
        <w:rPr>
          <w:rtl/>
        </w:rPr>
      </w:pPr>
      <w:r>
        <w:rPr>
          <w:rFonts w:hint="cs"/>
          <w:rtl/>
        </w:rPr>
        <w:t>التدقيق في إدارة أداء الموظفين</w:t>
      </w:r>
    </w:p>
    <w:p w:rsidR="00B75A1B" w:rsidRDefault="00C7582F" w:rsidP="0077444E">
      <w:pPr>
        <w:pStyle w:val="NumberedParaAR"/>
        <w:keepNext/>
        <w:numPr>
          <w:ilvl w:val="0"/>
          <w:numId w:val="4"/>
        </w:numPr>
        <w:rPr>
          <w:rtl/>
          <w:lang w:eastAsia="zh-CN"/>
        </w:rPr>
      </w:pPr>
      <w:r>
        <w:rPr>
          <w:rFonts w:hint="cs"/>
          <w:rtl/>
          <w:lang w:eastAsia="zh-CN"/>
        </w:rPr>
        <w:t>أ</w:t>
      </w:r>
      <w:r w:rsidR="008C31DE">
        <w:rPr>
          <w:rFonts w:hint="cs"/>
          <w:rtl/>
          <w:lang w:eastAsia="zh-CN"/>
        </w:rPr>
        <w:t xml:space="preserve">قر تقرير </w:t>
      </w:r>
      <w:r w:rsidR="0077444E">
        <w:rPr>
          <w:rFonts w:hint="cs"/>
          <w:rtl/>
          <w:lang w:eastAsia="zh-CN"/>
        </w:rPr>
        <w:t>التدقيق</w:t>
      </w:r>
      <w:r w:rsidR="008C31DE">
        <w:rPr>
          <w:rFonts w:hint="cs"/>
          <w:rtl/>
          <w:lang w:eastAsia="zh-CN"/>
        </w:rPr>
        <w:t xml:space="preserve"> بما حققه نظام الويبو لإدارة الأداء وتطوير الموظفين، وخلص إلى النتائج والتوصيات الرئيسية</w:t>
      </w:r>
      <w:r w:rsidR="0077444E">
        <w:rPr>
          <w:rFonts w:hint="eastAsia"/>
          <w:rtl/>
          <w:lang w:eastAsia="zh-CN"/>
        </w:rPr>
        <w:t> </w:t>
      </w:r>
      <w:r w:rsidR="008C31DE">
        <w:rPr>
          <w:rFonts w:hint="cs"/>
          <w:rtl/>
          <w:lang w:eastAsia="zh-CN"/>
        </w:rPr>
        <w:t>التالية:</w:t>
      </w:r>
    </w:p>
    <w:p w:rsidR="00B75A1B" w:rsidRDefault="008C31DE" w:rsidP="004D3622">
      <w:pPr>
        <w:pStyle w:val="NormalParaAR"/>
        <w:ind w:left="1134" w:hanging="567"/>
        <w:rPr>
          <w:rtl/>
          <w:lang w:eastAsia="zh-CN"/>
        </w:rPr>
      </w:pPr>
      <w:r>
        <w:rPr>
          <w:rFonts w:hint="cs"/>
          <w:rtl/>
          <w:lang w:eastAsia="zh-CN"/>
        </w:rPr>
        <w:t>(أ)</w:t>
      </w:r>
      <w:r>
        <w:rPr>
          <w:rtl/>
          <w:lang w:eastAsia="zh-CN"/>
        </w:rPr>
        <w:tab/>
      </w:r>
      <w:r>
        <w:rPr>
          <w:rFonts w:hint="cs"/>
          <w:rtl/>
          <w:lang w:eastAsia="zh-CN"/>
        </w:rPr>
        <w:t xml:space="preserve">ينبغي تحسين </w:t>
      </w:r>
      <w:r w:rsidR="004D3622">
        <w:rPr>
          <w:rFonts w:hint="cs"/>
          <w:rtl/>
          <w:lang w:eastAsia="zh-CN"/>
        </w:rPr>
        <w:t>التوافق بين</w:t>
      </w:r>
      <w:r>
        <w:rPr>
          <w:rFonts w:hint="cs"/>
          <w:rtl/>
          <w:lang w:eastAsia="zh-CN"/>
        </w:rPr>
        <w:t xml:space="preserve"> إدارة الأداء ومسار التعل</w:t>
      </w:r>
      <w:r w:rsidR="004D3622">
        <w:rPr>
          <w:rFonts w:hint="cs"/>
          <w:rtl/>
          <w:lang w:eastAsia="zh-CN"/>
        </w:rPr>
        <w:t>ّ</w:t>
      </w:r>
      <w:r>
        <w:rPr>
          <w:rFonts w:hint="cs"/>
          <w:rtl/>
          <w:lang w:eastAsia="zh-CN"/>
        </w:rPr>
        <w:t>م وتخطيط القوى العاملة وإعداد التقارير عن أداء الموظفين وتطورهم. ويمكن تحقيق</w:t>
      </w:r>
      <w:r w:rsidR="004D3622">
        <w:rPr>
          <w:rFonts w:hint="cs"/>
          <w:rtl/>
          <w:lang w:eastAsia="zh-CN"/>
        </w:rPr>
        <w:t xml:space="preserve"> ذلك</w:t>
      </w:r>
      <w:r>
        <w:rPr>
          <w:rFonts w:hint="cs"/>
          <w:rtl/>
          <w:lang w:eastAsia="zh-CN"/>
        </w:rPr>
        <w:t xml:space="preserve"> ب</w:t>
      </w:r>
      <w:r w:rsidR="004D3622">
        <w:rPr>
          <w:rFonts w:hint="cs"/>
          <w:rtl/>
          <w:lang w:eastAsia="zh-CN"/>
        </w:rPr>
        <w:t>ت</w:t>
      </w:r>
      <w:r w:rsidR="0055676C">
        <w:rPr>
          <w:rFonts w:hint="cs"/>
          <w:rtl/>
          <w:lang w:eastAsia="zh-CN"/>
        </w:rPr>
        <w:t xml:space="preserve">نفيذ خطة إدارة الموارد البشرية الرامية إلى </w:t>
      </w:r>
      <w:r>
        <w:rPr>
          <w:rFonts w:hint="cs"/>
          <w:rtl/>
          <w:lang w:eastAsia="zh-CN"/>
        </w:rPr>
        <w:t>إدماج النظام الإلكتروني لإدارة الأداء وتطوير الموظفين</w:t>
      </w:r>
      <w:r w:rsidR="0055676C">
        <w:rPr>
          <w:rFonts w:hint="cs"/>
          <w:rtl/>
          <w:lang w:eastAsia="zh-CN"/>
        </w:rPr>
        <w:t xml:space="preserve"> وقاعدة بيانات التدريب الراهنة في نظام التخطيط للموارد المؤسسية؛</w:t>
      </w:r>
    </w:p>
    <w:p w:rsidR="0055676C" w:rsidRDefault="0055676C" w:rsidP="008C31DE">
      <w:pPr>
        <w:pStyle w:val="NormalParaAR"/>
        <w:ind w:left="1134" w:hanging="567"/>
        <w:rPr>
          <w:rtl/>
          <w:lang w:eastAsia="zh-CN"/>
        </w:rPr>
      </w:pPr>
      <w:r>
        <w:rPr>
          <w:rFonts w:hint="cs"/>
          <w:rtl/>
          <w:lang w:eastAsia="zh-CN"/>
        </w:rPr>
        <w:t>(ب)</w:t>
      </w:r>
      <w:r>
        <w:rPr>
          <w:rtl/>
          <w:lang w:eastAsia="zh-CN"/>
        </w:rPr>
        <w:tab/>
      </w:r>
      <w:r>
        <w:rPr>
          <w:rFonts w:hint="cs"/>
          <w:rtl/>
          <w:lang w:eastAsia="zh-CN"/>
        </w:rPr>
        <w:t>ينبغي توثيق الصلة بين أهداف الموظفين والنتائج التنظيمية المرتقبة، وينبغي مواءمة الأهداف الفردية للموظفين مع أنشطة البرامج وخطط عملها في إطار نظام إدارة الأداء وتطور ا</w:t>
      </w:r>
      <w:r w:rsidR="004708FA">
        <w:rPr>
          <w:rFonts w:hint="cs"/>
          <w:rtl/>
          <w:lang w:eastAsia="zh-CN"/>
        </w:rPr>
        <w:t>لموظفين؛</w:t>
      </w:r>
    </w:p>
    <w:p w:rsidR="0055676C" w:rsidRDefault="0055676C" w:rsidP="004D3622">
      <w:pPr>
        <w:pStyle w:val="NormalParaAR"/>
        <w:ind w:left="1134" w:hanging="567"/>
        <w:rPr>
          <w:rtl/>
          <w:lang w:eastAsia="zh-CN"/>
        </w:rPr>
      </w:pPr>
      <w:r>
        <w:rPr>
          <w:rFonts w:hint="cs"/>
          <w:rtl/>
          <w:lang w:eastAsia="zh-CN"/>
        </w:rPr>
        <w:t>(ج)</w:t>
      </w:r>
      <w:r>
        <w:rPr>
          <w:rtl/>
          <w:lang w:eastAsia="zh-CN"/>
        </w:rPr>
        <w:tab/>
      </w:r>
      <w:r>
        <w:rPr>
          <w:rFonts w:hint="cs"/>
          <w:rtl/>
          <w:lang w:eastAsia="zh-CN"/>
        </w:rPr>
        <w:t xml:space="preserve">ينبغي تعزيز الموضوعية والإنصاف في منهجية تقييم الموظفين الراهنة عن طريق اعتماد أساليب تقييم إضافية منها التقييم الذاتي والتقييم الثنائي المتبادل والتقييم </w:t>
      </w:r>
      <w:r w:rsidR="004D3622">
        <w:rPr>
          <w:rFonts w:hint="cs"/>
          <w:rtl/>
          <w:lang w:eastAsia="zh-CN"/>
        </w:rPr>
        <w:t>الشمولي (</w:t>
      </w:r>
      <w:r>
        <w:rPr>
          <w:rFonts w:hint="cs"/>
          <w:rtl/>
          <w:lang w:eastAsia="zh-CN"/>
        </w:rPr>
        <w:t xml:space="preserve">360 درجة). وتشير نتائج استبيان وزعته الشعبة على الأمم المتحدة ومنظمات دولية أخرى إلى أن 58 بالمئة من المجيبين </w:t>
      </w:r>
      <w:r w:rsidR="004708FA">
        <w:rPr>
          <w:rFonts w:hint="cs"/>
          <w:rtl/>
          <w:lang w:eastAsia="zh-CN"/>
        </w:rPr>
        <w:t>قد اعتمدوا أسلوب التقييم الذاتي؛</w:t>
      </w:r>
    </w:p>
    <w:p w:rsidR="0055676C" w:rsidRDefault="0055676C" w:rsidP="004D3622">
      <w:pPr>
        <w:pStyle w:val="NormalParaAR"/>
        <w:ind w:left="1134" w:hanging="567"/>
        <w:rPr>
          <w:rtl/>
          <w:lang w:eastAsia="zh-CN"/>
        </w:rPr>
      </w:pPr>
      <w:r>
        <w:rPr>
          <w:rFonts w:hint="cs"/>
          <w:rtl/>
          <w:lang w:eastAsia="zh-CN"/>
        </w:rPr>
        <w:t>(د)</w:t>
      </w:r>
      <w:r>
        <w:rPr>
          <w:rtl/>
          <w:lang w:eastAsia="zh-CN"/>
        </w:rPr>
        <w:tab/>
      </w:r>
      <w:r>
        <w:rPr>
          <w:rFonts w:hint="cs"/>
          <w:rtl/>
          <w:lang w:eastAsia="zh-CN"/>
        </w:rPr>
        <w:t xml:space="preserve">ينبغي وضع آلية </w:t>
      </w:r>
      <w:r w:rsidR="004D3622">
        <w:rPr>
          <w:rFonts w:hint="cs"/>
          <w:rtl/>
          <w:lang w:eastAsia="zh-CN"/>
        </w:rPr>
        <w:t>ل</w:t>
      </w:r>
      <w:r>
        <w:rPr>
          <w:rFonts w:hint="cs"/>
          <w:rtl/>
          <w:lang w:eastAsia="zh-CN"/>
        </w:rPr>
        <w:t>استعراض فعالية نظام إدارة الأداء واتساقه</w:t>
      </w:r>
      <w:r w:rsidR="004D3622">
        <w:rPr>
          <w:rFonts w:hint="cs"/>
          <w:rtl/>
          <w:lang w:eastAsia="zh-CN"/>
        </w:rPr>
        <w:t xml:space="preserve"> وتقييمهما بانتظام</w:t>
      </w:r>
      <w:r>
        <w:rPr>
          <w:rFonts w:hint="cs"/>
          <w:rtl/>
          <w:lang w:eastAsia="zh-CN"/>
        </w:rPr>
        <w:t xml:space="preserve"> لتحسين نظام إدارة الأداء وتطور</w:t>
      </w:r>
      <w:r w:rsidR="004D3622">
        <w:rPr>
          <w:rFonts w:hint="eastAsia"/>
          <w:rtl/>
          <w:lang w:eastAsia="zh-CN"/>
        </w:rPr>
        <w:t> </w:t>
      </w:r>
      <w:r>
        <w:rPr>
          <w:rFonts w:hint="cs"/>
          <w:rtl/>
          <w:lang w:eastAsia="zh-CN"/>
        </w:rPr>
        <w:t>الموظفين.</w:t>
      </w:r>
    </w:p>
    <w:p w:rsidR="00B75A1B" w:rsidRPr="0055676C" w:rsidRDefault="004D3622" w:rsidP="0055676C">
      <w:pPr>
        <w:pStyle w:val="Heading2AR"/>
        <w:rPr>
          <w:rtl/>
        </w:rPr>
      </w:pPr>
      <w:r>
        <w:rPr>
          <w:rFonts w:hint="cs"/>
          <w:rtl/>
        </w:rPr>
        <w:t xml:space="preserve">استعراض </w:t>
      </w:r>
      <w:r w:rsidR="0055676C">
        <w:rPr>
          <w:rFonts w:hint="cs"/>
          <w:rtl/>
        </w:rPr>
        <w:t xml:space="preserve">اختبار نظام </w:t>
      </w:r>
      <w:r w:rsidR="0055676C">
        <w:t>TALEO</w:t>
      </w:r>
      <w:r w:rsidR="0055676C" w:rsidRPr="004946A5">
        <w:rPr>
          <w:vertAlign w:val="superscript"/>
        </w:rPr>
        <w:t>TM</w:t>
      </w:r>
      <w:r w:rsidR="0055676C">
        <w:rPr>
          <w:rFonts w:hint="cs"/>
          <w:rtl/>
        </w:rPr>
        <w:t xml:space="preserve"> ونقل البيانات إليه</w:t>
      </w:r>
    </w:p>
    <w:p w:rsidR="004946A5" w:rsidRDefault="004946A5" w:rsidP="00066E1D">
      <w:pPr>
        <w:pStyle w:val="NumberedParaAR"/>
        <w:numPr>
          <w:ilvl w:val="0"/>
          <w:numId w:val="4"/>
        </w:numPr>
        <w:rPr>
          <w:rtl/>
          <w:lang w:eastAsia="zh-CN"/>
        </w:rPr>
      </w:pPr>
      <w:r>
        <w:rPr>
          <w:rFonts w:hint="cs"/>
          <w:rtl/>
          <w:lang w:eastAsia="zh-CN"/>
        </w:rPr>
        <w:t xml:space="preserve">استعرضت الشعبة نظام </w:t>
      </w:r>
      <w:r>
        <w:rPr>
          <w:lang w:eastAsia="zh-CN"/>
        </w:rPr>
        <w:t>TALEO</w:t>
      </w:r>
      <w:r w:rsidRPr="004946A5">
        <w:rPr>
          <w:vertAlign w:val="superscript"/>
          <w:lang w:eastAsia="zh-CN"/>
        </w:rPr>
        <w:t>TM</w:t>
      </w:r>
      <w:r w:rsidRPr="004946A5">
        <w:rPr>
          <w:rFonts w:hint="cs"/>
          <w:rtl/>
          <w:lang w:eastAsia="zh-CN"/>
        </w:rPr>
        <w:t xml:space="preserve"> ال</w:t>
      </w:r>
      <w:r>
        <w:rPr>
          <w:rFonts w:hint="cs"/>
          <w:rtl/>
          <w:lang w:eastAsia="zh-CN"/>
        </w:rPr>
        <w:t>جاري تنفيذه ليحل محل "نظام التوظيف الإلكتروني" السابق لإدارة التعيينات في الويبو. وأعربت الشعبة عن سرورها لمراعاة الدروس المستخلصة من مشروعات الأنظمة السابقة في إدارة مرحلة التنفيذ ما أفضي إلى تحسين إدارة المشروع ككل.</w:t>
      </w:r>
    </w:p>
    <w:p w:rsidR="00B75A1B" w:rsidRDefault="004946A5" w:rsidP="002F1360">
      <w:pPr>
        <w:pStyle w:val="NumberedParaAR"/>
        <w:keepNext/>
        <w:numPr>
          <w:ilvl w:val="0"/>
          <w:numId w:val="0"/>
        </w:numPr>
        <w:rPr>
          <w:rtl/>
          <w:lang w:eastAsia="zh-CN"/>
        </w:rPr>
      </w:pPr>
      <w:r>
        <w:rPr>
          <w:rFonts w:hint="cs"/>
          <w:rtl/>
          <w:lang w:eastAsia="zh-CN"/>
        </w:rPr>
        <w:lastRenderedPageBreak/>
        <w:t>وخلص التقرير إلى الملاحظات والتوصيات الرئيسية التالية:</w:t>
      </w:r>
    </w:p>
    <w:p w:rsidR="00B75A1B" w:rsidRDefault="004946A5" w:rsidP="00066E1D">
      <w:pPr>
        <w:pStyle w:val="NormalParaAR"/>
        <w:keepNext/>
        <w:ind w:left="1134" w:hanging="567"/>
        <w:rPr>
          <w:rtl/>
          <w:lang w:eastAsia="zh-CN"/>
        </w:rPr>
      </w:pPr>
      <w:r>
        <w:rPr>
          <w:rFonts w:hint="cs"/>
          <w:rtl/>
          <w:lang w:eastAsia="zh-CN"/>
        </w:rPr>
        <w:t>(أ)</w:t>
      </w:r>
      <w:r>
        <w:rPr>
          <w:rtl/>
          <w:lang w:eastAsia="zh-CN"/>
        </w:rPr>
        <w:tab/>
      </w:r>
      <w:r w:rsidR="00127FCB">
        <w:rPr>
          <w:rFonts w:hint="cs"/>
          <w:rtl/>
          <w:lang w:eastAsia="zh-CN"/>
        </w:rPr>
        <w:t>ينبغي توثيق مسار نقل البيانات من النظام القديم إلى مستودع البيانات الداخلي توثيقاً كاملاً ودقيقاً كي يتسنى حل أي مشكلات محتملة في نقل البيانات في أسرع وقت؛</w:t>
      </w:r>
    </w:p>
    <w:p w:rsidR="00B75A1B" w:rsidRDefault="00127FCB" w:rsidP="00066E1D">
      <w:pPr>
        <w:pStyle w:val="NormalParaAR"/>
        <w:ind w:left="1134" w:hanging="567"/>
        <w:rPr>
          <w:rtl/>
          <w:lang w:eastAsia="zh-CN"/>
        </w:rPr>
      </w:pPr>
      <w:r>
        <w:rPr>
          <w:rFonts w:hint="cs"/>
          <w:rtl/>
          <w:lang w:eastAsia="zh-CN"/>
        </w:rPr>
        <w:t>(ب)</w:t>
      </w:r>
      <w:r>
        <w:rPr>
          <w:rtl/>
          <w:lang w:eastAsia="zh-CN"/>
        </w:rPr>
        <w:tab/>
      </w:r>
      <w:r>
        <w:rPr>
          <w:rFonts w:hint="cs"/>
          <w:rtl/>
          <w:lang w:eastAsia="zh-CN"/>
        </w:rPr>
        <w:t xml:space="preserve">ينبغي </w:t>
      </w:r>
      <w:r w:rsidR="00066E1D">
        <w:rPr>
          <w:rFonts w:hint="cs"/>
          <w:rtl/>
          <w:lang w:eastAsia="zh-CN"/>
        </w:rPr>
        <w:t>تضمين منهجية إدارة المشروعات</w:t>
      </w:r>
      <w:r>
        <w:rPr>
          <w:rFonts w:hint="cs"/>
          <w:rtl/>
          <w:lang w:eastAsia="zh-CN"/>
        </w:rPr>
        <w:t xml:space="preserve"> تقييم</w:t>
      </w:r>
      <w:r w:rsidR="00066E1D">
        <w:rPr>
          <w:rFonts w:hint="cs"/>
          <w:rtl/>
          <w:lang w:eastAsia="zh-CN"/>
        </w:rPr>
        <w:t>اً</w:t>
      </w:r>
      <w:r>
        <w:rPr>
          <w:rFonts w:hint="cs"/>
          <w:rtl/>
          <w:lang w:eastAsia="zh-CN"/>
        </w:rPr>
        <w:t xml:space="preserve"> للمخاطر والضوابط الرئيسية في مرحلة تصميم مسارات الأعمال (المقبلة). وينبغي إشراك المستخدمين الرئيسيين في دورات إعلامية ومراعاة تعليقاتهم على اختبارات قبول المستخدمين بغية تعزيز فعالية هذه الاختبارات ونجاعتها في المشروعات المقبلة.</w:t>
      </w:r>
    </w:p>
    <w:p w:rsidR="0055676C" w:rsidRDefault="00127FCB" w:rsidP="00127FCB">
      <w:pPr>
        <w:pStyle w:val="Heading2AR"/>
        <w:rPr>
          <w:rtl/>
        </w:rPr>
      </w:pPr>
      <w:r>
        <w:rPr>
          <w:rFonts w:hint="cs"/>
          <w:rtl/>
        </w:rPr>
        <w:t>التدقيق في الحلول لأعمال مكاتب الملكية الفكرية</w:t>
      </w:r>
    </w:p>
    <w:p w:rsidR="0055676C" w:rsidRDefault="00127FCB" w:rsidP="00066E1D">
      <w:pPr>
        <w:pStyle w:val="NumberedParaAR"/>
        <w:numPr>
          <w:ilvl w:val="0"/>
          <w:numId w:val="4"/>
        </w:numPr>
        <w:rPr>
          <w:rtl/>
          <w:lang w:eastAsia="zh-CN"/>
        </w:rPr>
      </w:pPr>
      <w:r>
        <w:rPr>
          <w:rFonts w:hint="cs"/>
          <w:rtl/>
          <w:lang w:eastAsia="zh-CN"/>
        </w:rPr>
        <w:t xml:space="preserve">أجرت الشعبة هذا التدقيق في الفترة الممتدة من فبراير </w:t>
      </w:r>
      <w:r w:rsidR="00066E1D">
        <w:rPr>
          <w:rFonts w:hint="cs"/>
          <w:rtl/>
          <w:lang w:eastAsia="zh-CN"/>
        </w:rPr>
        <w:t xml:space="preserve">إلى </w:t>
      </w:r>
      <w:r>
        <w:rPr>
          <w:rFonts w:hint="cs"/>
          <w:rtl/>
          <w:lang w:eastAsia="zh-CN"/>
        </w:rPr>
        <w:t>أبريل 2016. ويرمي البرنامج 15 (حلول لأعمال مكاتب الملكية الفكرية) إلى تعزيز مسارات الأعمال في مكاتب أو مؤسسات الملكية الفكرية القائمة في الدول الأعضاء عن طريق تزويدها بأدوات وخدمات تحسن فعاليتها وكفاءتها.</w:t>
      </w:r>
    </w:p>
    <w:p w:rsidR="0055676C" w:rsidRDefault="00127FCB" w:rsidP="000B62B2">
      <w:pPr>
        <w:pStyle w:val="NumberedParaAR"/>
        <w:keepNext/>
        <w:numPr>
          <w:ilvl w:val="0"/>
          <w:numId w:val="4"/>
        </w:numPr>
        <w:rPr>
          <w:rtl/>
          <w:lang w:eastAsia="zh-CN"/>
        </w:rPr>
      </w:pPr>
      <w:r>
        <w:rPr>
          <w:rFonts w:hint="cs"/>
          <w:rtl/>
          <w:lang w:eastAsia="zh-CN"/>
        </w:rPr>
        <w:t>وخلص التقرير إلى الملاحظات والتوصيات الرئيسية التالية:</w:t>
      </w:r>
    </w:p>
    <w:p w:rsidR="0055676C" w:rsidRDefault="00127FCB" w:rsidP="00066E1D">
      <w:pPr>
        <w:pStyle w:val="NormalParaAR"/>
        <w:ind w:left="1134" w:hanging="567"/>
        <w:rPr>
          <w:rtl/>
          <w:lang w:eastAsia="zh-CN"/>
        </w:rPr>
      </w:pPr>
      <w:r>
        <w:rPr>
          <w:rFonts w:hint="cs"/>
          <w:rtl/>
          <w:lang w:eastAsia="zh-CN"/>
        </w:rPr>
        <w:t>(أ)</w:t>
      </w:r>
      <w:r>
        <w:rPr>
          <w:rtl/>
          <w:lang w:eastAsia="zh-CN"/>
        </w:rPr>
        <w:tab/>
      </w:r>
      <w:r>
        <w:rPr>
          <w:rFonts w:hint="cs"/>
          <w:rtl/>
          <w:lang w:eastAsia="zh-CN"/>
        </w:rPr>
        <w:t xml:space="preserve">ينبغي توضيح الأدوار والمسؤوليات الحالية للبرنامج 15 </w:t>
      </w:r>
      <w:r w:rsidR="00066E1D">
        <w:rPr>
          <w:rFonts w:hint="cs"/>
          <w:rtl/>
          <w:lang w:eastAsia="zh-CN"/>
        </w:rPr>
        <w:t>(</w:t>
      </w:r>
      <w:r>
        <w:rPr>
          <w:rFonts w:hint="cs"/>
          <w:rtl/>
          <w:lang w:eastAsia="zh-CN"/>
        </w:rPr>
        <w:t>حلول لأعمال مكاتب الملكية الفكرية</w:t>
      </w:r>
      <w:r w:rsidR="00066E1D">
        <w:rPr>
          <w:rFonts w:hint="cs"/>
          <w:rtl/>
          <w:lang w:eastAsia="zh-CN"/>
        </w:rPr>
        <w:t>)</w:t>
      </w:r>
      <w:r>
        <w:rPr>
          <w:rFonts w:hint="cs"/>
          <w:rtl/>
          <w:lang w:eastAsia="zh-CN"/>
        </w:rPr>
        <w:t xml:space="preserve"> </w:t>
      </w:r>
      <w:r w:rsidR="00066E1D">
        <w:rPr>
          <w:rFonts w:hint="cs"/>
          <w:rtl/>
          <w:lang w:eastAsia="zh-CN"/>
        </w:rPr>
        <w:t>ل</w:t>
      </w:r>
      <w:r>
        <w:rPr>
          <w:rFonts w:hint="cs"/>
          <w:rtl/>
          <w:lang w:eastAsia="zh-CN"/>
        </w:rPr>
        <w:t>ضمان اتساقها وتماشيها مع ولاي</w:t>
      </w:r>
      <w:r w:rsidR="00066E1D">
        <w:rPr>
          <w:rFonts w:hint="cs"/>
          <w:rtl/>
          <w:lang w:eastAsia="zh-CN"/>
        </w:rPr>
        <w:t>ة البرنامج</w:t>
      </w:r>
      <w:r>
        <w:rPr>
          <w:rFonts w:hint="cs"/>
          <w:rtl/>
          <w:lang w:eastAsia="zh-CN"/>
        </w:rPr>
        <w:t xml:space="preserve"> وبنيته والنتائج المرتقبة منه؛</w:t>
      </w:r>
    </w:p>
    <w:p w:rsidR="00127FCB" w:rsidRDefault="00127FCB" w:rsidP="00127FCB">
      <w:pPr>
        <w:pStyle w:val="NormalParaAR"/>
        <w:ind w:left="1134" w:hanging="567"/>
        <w:rPr>
          <w:rtl/>
          <w:lang w:eastAsia="zh-CN"/>
        </w:rPr>
      </w:pPr>
      <w:r>
        <w:rPr>
          <w:rFonts w:hint="cs"/>
          <w:rtl/>
          <w:lang w:eastAsia="zh-CN"/>
        </w:rPr>
        <w:t>(ب)</w:t>
      </w:r>
      <w:r>
        <w:rPr>
          <w:rtl/>
          <w:lang w:eastAsia="zh-CN"/>
        </w:rPr>
        <w:tab/>
      </w:r>
      <w:r>
        <w:rPr>
          <w:rFonts w:hint="cs"/>
          <w:rtl/>
          <w:lang w:eastAsia="zh-CN"/>
        </w:rPr>
        <w:t>ينبغي وضع خطة عمل استراتيجية لتمكين البرنامج 15 من تحقيق غاياته وأهدافه والاستجابة بفعالية لاحتياجات الأطراف المعنية الداخلية والخارجية. وسيسهم ذلك في تحديد الموارد والمتطلبات التقنية اللازمة للنجاح ف</w:t>
      </w:r>
      <w:r w:rsidR="004708FA">
        <w:rPr>
          <w:rFonts w:hint="cs"/>
          <w:rtl/>
          <w:lang w:eastAsia="zh-CN"/>
        </w:rPr>
        <w:t>ي إدارة البرنامج وضمان استدامته؛</w:t>
      </w:r>
    </w:p>
    <w:p w:rsidR="00127FCB" w:rsidRDefault="00127FCB" w:rsidP="00066E1D">
      <w:pPr>
        <w:pStyle w:val="NormalParaAR"/>
        <w:ind w:left="1134" w:hanging="567"/>
        <w:rPr>
          <w:rtl/>
          <w:lang w:eastAsia="zh-CN"/>
        </w:rPr>
      </w:pPr>
      <w:r>
        <w:rPr>
          <w:rFonts w:hint="cs"/>
          <w:rtl/>
          <w:lang w:eastAsia="zh-CN"/>
        </w:rPr>
        <w:t>(ج)</w:t>
      </w:r>
      <w:r>
        <w:rPr>
          <w:rtl/>
          <w:lang w:eastAsia="zh-CN"/>
        </w:rPr>
        <w:tab/>
      </w:r>
      <w:r>
        <w:rPr>
          <w:rFonts w:hint="cs"/>
          <w:rtl/>
          <w:lang w:eastAsia="zh-CN"/>
        </w:rPr>
        <w:t>ينبغي وضع معايير أهلية واضحة لمكاتب أو م</w:t>
      </w:r>
      <w:r w:rsidR="00066E1D">
        <w:rPr>
          <w:rFonts w:hint="cs"/>
          <w:rtl/>
          <w:lang w:eastAsia="zh-CN"/>
        </w:rPr>
        <w:t xml:space="preserve">ؤسسات الملكية الفكرية التي تلتمس حلول أعمال من </w:t>
      </w:r>
      <w:r>
        <w:rPr>
          <w:rFonts w:hint="cs"/>
          <w:rtl/>
          <w:lang w:eastAsia="zh-CN"/>
        </w:rPr>
        <w:t>الويبو بغية تعزيز الات</w:t>
      </w:r>
      <w:r w:rsidR="004708FA">
        <w:rPr>
          <w:rFonts w:hint="cs"/>
          <w:rtl/>
          <w:lang w:eastAsia="zh-CN"/>
        </w:rPr>
        <w:t>ساق والفعالية في مسارات الأعمال؛</w:t>
      </w:r>
    </w:p>
    <w:p w:rsidR="00127FCB" w:rsidRDefault="00127FCB" w:rsidP="00066E1D">
      <w:pPr>
        <w:pStyle w:val="NormalParaAR"/>
        <w:ind w:left="1134" w:hanging="567"/>
        <w:rPr>
          <w:lang w:eastAsia="zh-CN"/>
        </w:rPr>
      </w:pPr>
      <w:r>
        <w:rPr>
          <w:rFonts w:hint="cs"/>
          <w:rtl/>
          <w:lang w:eastAsia="zh-CN"/>
        </w:rPr>
        <w:t>(د)</w:t>
      </w:r>
      <w:r>
        <w:rPr>
          <w:rtl/>
          <w:lang w:eastAsia="zh-CN"/>
        </w:rPr>
        <w:tab/>
      </w:r>
      <w:r w:rsidR="00827FF8">
        <w:rPr>
          <w:rFonts w:hint="cs"/>
          <w:rtl/>
          <w:lang w:eastAsia="zh-CN"/>
        </w:rPr>
        <w:t>ينبغي إبرام اتفاقات تعاون مع كل مكاتب الملكية الفكرية التي تستخدم أنظمة الويبو وأدواتها وإبرام اتفاقات على مستوى الخدمات مع مكاتب الملكية الفكرية التي تطلب خدمات إضافية بغية تعزيز الاتساق في إدارة المخاطر القانونية والتشغيلية و</w:t>
      </w:r>
      <w:r w:rsidR="00066E1D">
        <w:rPr>
          <w:rFonts w:hint="cs"/>
          <w:rtl/>
          <w:lang w:eastAsia="zh-CN"/>
        </w:rPr>
        <w:t>الحد</w:t>
      </w:r>
      <w:r w:rsidR="00827FF8">
        <w:rPr>
          <w:rFonts w:hint="cs"/>
          <w:rtl/>
          <w:lang w:eastAsia="zh-CN"/>
        </w:rPr>
        <w:t xml:space="preserve"> من آثارها.</w:t>
      </w:r>
    </w:p>
    <w:p w:rsidR="0055676C" w:rsidRDefault="007B169B" w:rsidP="00827FF8">
      <w:pPr>
        <w:pStyle w:val="Heading2AR"/>
        <w:rPr>
          <w:rtl/>
        </w:rPr>
      </w:pPr>
      <w:r>
        <w:rPr>
          <w:rFonts w:hint="cs"/>
          <w:rtl/>
        </w:rPr>
        <w:t>تقييم البرنامج 30: الشركات الصغيرة والمتوسطة والابتكار</w:t>
      </w:r>
    </w:p>
    <w:p w:rsidR="007B169B" w:rsidRDefault="00F94EEF" w:rsidP="00F94EEF">
      <w:pPr>
        <w:pStyle w:val="NumberedParaAR"/>
        <w:keepNext/>
        <w:numPr>
          <w:ilvl w:val="0"/>
          <w:numId w:val="4"/>
        </w:numPr>
        <w:rPr>
          <w:rtl/>
          <w:lang w:eastAsia="zh-CN"/>
        </w:rPr>
      </w:pPr>
      <w:r>
        <w:rPr>
          <w:rFonts w:hint="cs"/>
          <w:rtl/>
          <w:lang w:eastAsia="zh-CN"/>
        </w:rPr>
        <w:t>قيَّمت</w:t>
      </w:r>
      <w:r w:rsidR="007B169B">
        <w:rPr>
          <w:rFonts w:hint="cs"/>
          <w:rtl/>
          <w:lang w:eastAsia="zh-CN"/>
        </w:rPr>
        <w:t xml:space="preserve"> الشعبة البرنامج 30 خلال الفترة الممتدة من سبتمبر 2014 إلى أكتوبر 2015</w:t>
      </w:r>
      <w:r>
        <w:rPr>
          <w:rFonts w:hint="cs"/>
          <w:rtl/>
          <w:lang w:eastAsia="zh-CN"/>
        </w:rPr>
        <w:t>،</w:t>
      </w:r>
      <w:r w:rsidR="007B169B">
        <w:rPr>
          <w:rFonts w:hint="cs"/>
          <w:rtl/>
          <w:lang w:eastAsia="zh-CN"/>
        </w:rPr>
        <w:t xml:space="preserve"> وخلصت إلى النتائج والاستنتاجات والتوصيات الرئيسية التالية:</w:t>
      </w:r>
    </w:p>
    <w:p w:rsidR="0055676C" w:rsidRDefault="007B169B" w:rsidP="00F94EEF">
      <w:pPr>
        <w:pStyle w:val="NormalParaAR"/>
        <w:ind w:left="1134" w:hanging="567"/>
        <w:rPr>
          <w:rtl/>
          <w:lang w:eastAsia="zh-CN"/>
        </w:rPr>
      </w:pPr>
      <w:r>
        <w:rPr>
          <w:rFonts w:hint="cs"/>
          <w:rtl/>
          <w:lang w:eastAsia="zh-CN"/>
        </w:rPr>
        <w:t>(أ)</w:t>
      </w:r>
      <w:r>
        <w:rPr>
          <w:rtl/>
          <w:lang w:eastAsia="zh-CN"/>
        </w:rPr>
        <w:tab/>
      </w:r>
      <w:r>
        <w:rPr>
          <w:rFonts w:hint="cs"/>
          <w:rtl/>
          <w:lang w:eastAsia="zh-CN"/>
        </w:rPr>
        <w:t>تبيَّن أن مساهمة البرنامج 30 في تحقيق الأهداف الاستراتيجية وبخاصة الهدف الثالث منها كانت مساهمة جليلة ومجدية. وعلى الرغم مما واجه البرنامج 30 من صعوبات و</w:t>
      </w:r>
      <w:r w:rsidR="00F94EEF">
        <w:rPr>
          <w:rFonts w:hint="cs"/>
          <w:rtl/>
          <w:lang w:eastAsia="zh-CN"/>
        </w:rPr>
        <w:t>ثغرات</w:t>
      </w:r>
      <w:r>
        <w:rPr>
          <w:rFonts w:hint="cs"/>
          <w:rtl/>
          <w:lang w:eastAsia="zh-CN"/>
        </w:rPr>
        <w:t xml:space="preserve"> إدارية أثرت في أدائه، فقد حُققت النتائج المرتقبة منه كما ورد في تقرير</w:t>
      </w:r>
      <w:r w:rsidR="00F94EEF">
        <w:rPr>
          <w:rFonts w:hint="cs"/>
          <w:rtl/>
          <w:lang w:eastAsia="zh-CN"/>
        </w:rPr>
        <w:t>َ</w:t>
      </w:r>
      <w:r>
        <w:rPr>
          <w:rFonts w:hint="cs"/>
          <w:rtl/>
          <w:lang w:eastAsia="zh-CN"/>
        </w:rPr>
        <w:t xml:space="preserve">ي </w:t>
      </w:r>
      <w:r w:rsidR="004708FA">
        <w:rPr>
          <w:rFonts w:hint="cs"/>
          <w:rtl/>
          <w:lang w:eastAsia="zh-CN"/>
        </w:rPr>
        <w:t>أداء البرنامج. وعليه، يوصى البرنامج بتحقيق الاستقرار في بنيته التنظيمية ووضع إطار أداء أدق؛</w:t>
      </w:r>
    </w:p>
    <w:p w:rsidR="004708FA" w:rsidRDefault="004708FA" w:rsidP="004708FA">
      <w:pPr>
        <w:pStyle w:val="NormalParaAR"/>
        <w:ind w:left="1134" w:hanging="567"/>
        <w:rPr>
          <w:rtl/>
          <w:lang w:eastAsia="zh-CN"/>
        </w:rPr>
      </w:pPr>
      <w:r>
        <w:rPr>
          <w:rFonts w:hint="cs"/>
          <w:rtl/>
          <w:lang w:eastAsia="zh-CN"/>
        </w:rPr>
        <w:t>(ب)</w:t>
      </w:r>
      <w:r>
        <w:rPr>
          <w:rtl/>
          <w:lang w:eastAsia="zh-CN"/>
        </w:rPr>
        <w:tab/>
      </w:r>
      <w:r>
        <w:rPr>
          <w:rFonts w:hint="cs"/>
          <w:rtl/>
          <w:lang w:eastAsia="zh-CN"/>
        </w:rPr>
        <w:t>تبيَّنت وجاهة أهداف البرنامج بالنسبة إلى المستفيدين والأطراف المعنية الهدف. وعليه، يوصى البرنامج بإنشاء منصات شبكية أوسع نطاقاً للتواصل مع عدد أكبر من الناس وتحقيق الفعالية من حيث التكلفة؛</w:t>
      </w:r>
    </w:p>
    <w:p w:rsidR="004708FA" w:rsidRDefault="004708FA" w:rsidP="00F94EEF">
      <w:pPr>
        <w:pStyle w:val="NormalParaAR"/>
        <w:ind w:left="1134" w:hanging="567"/>
        <w:rPr>
          <w:rtl/>
          <w:lang w:eastAsia="zh-CN"/>
        </w:rPr>
      </w:pPr>
      <w:r>
        <w:rPr>
          <w:rFonts w:hint="cs"/>
          <w:rtl/>
          <w:lang w:eastAsia="zh-CN"/>
        </w:rPr>
        <w:lastRenderedPageBreak/>
        <w:t>(ج)</w:t>
      </w:r>
      <w:r>
        <w:rPr>
          <w:rtl/>
          <w:lang w:eastAsia="zh-CN"/>
        </w:rPr>
        <w:tab/>
      </w:r>
      <w:r>
        <w:rPr>
          <w:rFonts w:hint="cs"/>
          <w:rtl/>
          <w:lang w:eastAsia="zh-CN"/>
        </w:rPr>
        <w:t xml:space="preserve">تبيَّن وجود ازدواجية كبيرة في الأنشطة التدريبية مع أكاديمية الويبو. وعليه، ينبغي تحسين التنسيق والتواصل </w:t>
      </w:r>
      <w:r w:rsidR="00F94EEF">
        <w:rPr>
          <w:rFonts w:hint="cs"/>
          <w:rtl/>
          <w:lang w:eastAsia="zh-CN"/>
        </w:rPr>
        <w:t xml:space="preserve">مع </w:t>
      </w:r>
      <w:r>
        <w:rPr>
          <w:rFonts w:hint="cs"/>
          <w:rtl/>
          <w:lang w:eastAsia="zh-CN"/>
        </w:rPr>
        <w:t>قطاعات الويبو الأخرى؛</w:t>
      </w:r>
    </w:p>
    <w:p w:rsidR="004708FA" w:rsidRDefault="004708FA" w:rsidP="00F94EEF">
      <w:pPr>
        <w:pStyle w:val="NormalParaAR"/>
        <w:ind w:left="1134" w:hanging="567"/>
        <w:rPr>
          <w:rtl/>
          <w:lang w:eastAsia="zh-CN"/>
        </w:rPr>
      </w:pPr>
      <w:r>
        <w:rPr>
          <w:rFonts w:hint="cs"/>
          <w:rtl/>
          <w:lang w:eastAsia="zh-CN"/>
        </w:rPr>
        <w:t>(د)</w:t>
      </w:r>
      <w:r>
        <w:rPr>
          <w:rtl/>
          <w:lang w:eastAsia="zh-CN"/>
        </w:rPr>
        <w:tab/>
      </w:r>
      <w:r>
        <w:rPr>
          <w:rFonts w:hint="cs"/>
          <w:rtl/>
          <w:lang w:eastAsia="zh-CN"/>
        </w:rPr>
        <w:t xml:space="preserve">تبيَّنت صعوبة تقييم نواتج البرنامج بسبب </w:t>
      </w:r>
      <w:r w:rsidR="00F94EEF">
        <w:rPr>
          <w:rFonts w:hint="cs"/>
          <w:rtl/>
          <w:lang w:eastAsia="zh-CN"/>
        </w:rPr>
        <w:t>الثغرات التي شابت</w:t>
      </w:r>
      <w:r>
        <w:rPr>
          <w:rFonts w:hint="cs"/>
          <w:rtl/>
          <w:lang w:eastAsia="zh-CN"/>
        </w:rPr>
        <w:t xml:space="preserve"> إطار الأداء وعدم رصد الأداء بانتظام. وعليه،</w:t>
      </w:r>
      <w:r w:rsidR="00F94EEF">
        <w:rPr>
          <w:rFonts w:hint="eastAsia"/>
          <w:rtl/>
          <w:lang w:eastAsia="zh-CN"/>
        </w:rPr>
        <w:t> </w:t>
      </w:r>
      <w:r>
        <w:rPr>
          <w:rFonts w:hint="cs"/>
          <w:rtl/>
          <w:lang w:eastAsia="zh-CN"/>
        </w:rPr>
        <w:t>يوصى البرنامج بتعزيز رصد الأداء عن طريق وضع أطر منطقية أشمل تضم مؤشرات نتائج أدق؛</w:t>
      </w:r>
    </w:p>
    <w:p w:rsidR="00C7582F" w:rsidRDefault="004708FA" w:rsidP="00C7582F">
      <w:pPr>
        <w:pStyle w:val="NormalParaAR"/>
        <w:ind w:left="1134" w:hanging="567"/>
        <w:rPr>
          <w:rtl/>
          <w:lang w:eastAsia="zh-CN"/>
        </w:rPr>
      </w:pPr>
      <w:r>
        <w:rPr>
          <w:rFonts w:hint="cs"/>
          <w:rtl/>
          <w:lang w:eastAsia="zh-CN"/>
        </w:rPr>
        <w:t>(ه)</w:t>
      </w:r>
      <w:r>
        <w:rPr>
          <w:rtl/>
          <w:lang w:eastAsia="zh-CN"/>
        </w:rPr>
        <w:tab/>
      </w:r>
      <w:r>
        <w:rPr>
          <w:rFonts w:hint="cs"/>
          <w:rtl/>
          <w:lang w:eastAsia="zh-CN"/>
        </w:rPr>
        <w:t>ينبغي توحيد الأهداف على الأجلين المتوسط والطويل لضمان الاستقرار. إذ إن إقامة إدارة تدعم الشركات الصغيرة والمتوسطة وريادة الأعمال والابتكار، وتستجيب لكل الاحتياجات المعلنة بالتساوي وبموارد كافية هو أساس ضمان توفي</w:t>
      </w:r>
      <w:r w:rsidR="00C7582F">
        <w:rPr>
          <w:rFonts w:hint="cs"/>
          <w:rtl/>
          <w:lang w:eastAsia="zh-CN"/>
        </w:rPr>
        <w:t>ر تلك الخدمات لكل الدول الأعضاء؛</w:t>
      </w:r>
    </w:p>
    <w:p w:rsidR="00C7582F" w:rsidRDefault="00C7582F" w:rsidP="00F94EEF">
      <w:pPr>
        <w:pStyle w:val="NormalParaAR"/>
        <w:ind w:left="1134" w:hanging="567"/>
        <w:rPr>
          <w:rtl/>
          <w:lang w:eastAsia="zh-CN"/>
        </w:rPr>
      </w:pPr>
      <w:r>
        <w:rPr>
          <w:rFonts w:hint="cs"/>
          <w:rtl/>
          <w:lang w:eastAsia="zh-CN"/>
        </w:rPr>
        <w:t>(و)</w:t>
      </w:r>
      <w:r>
        <w:rPr>
          <w:rtl/>
          <w:lang w:eastAsia="zh-CN"/>
        </w:rPr>
        <w:tab/>
      </w:r>
      <w:r>
        <w:rPr>
          <w:rFonts w:hint="cs"/>
          <w:rtl/>
          <w:lang w:eastAsia="zh-CN"/>
        </w:rPr>
        <w:t xml:space="preserve">تبيَّن أن تعاون البرنامج مع الأطراف المعنية الداخلية والخارجية من حيث توجه الخدمات والاستجابة للاستفسارات كان جيداً. ولكن يمكن تحسين التنسيق القطري مع الجهات والمؤسسات الفاعلة في مجال الملكية الفكرية. وعليه، يوصى </w:t>
      </w:r>
      <w:r w:rsidR="00F94EEF">
        <w:rPr>
          <w:rFonts w:hint="cs"/>
          <w:rtl/>
          <w:lang w:eastAsia="zh-CN"/>
        </w:rPr>
        <w:t>بإضفاء طابع رسمي على ترتيبات التعاون والمشروعات المشتركة</w:t>
      </w:r>
      <w:r>
        <w:rPr>
          <w:rFonts w:hint="cs"/>
          <w:rtl/>
          <w:lang w:eastAsia="zh-CN"/>
        </w:rPr>
        <w:t>.</w:t>
      </w:r>
    </w:p>
    <w:p w:rsidR="00C7582F" w:rsidRDefault="00C7582F" w:rsidP="00C7582F">
      <w:pPr>
        <w:pStyle w:val="Heading2AR"/>
        <w:rPr>
          <w:rtl/>
        </w:rPr>
      </w:pPr>
      <w:r>
        <w:rPr>
          <w:rFonts w:hint="cs"/>
          <w:rtl/>
        </w:rPr>
        <w:t>تقييم البرنامج 3: حق المؤلف والحقوق المجاورة</w:t>
      </w:r>
    </w:p>
    <w:p w:rsidR="004708FA" w:rsidRDefault="00C7582F" w:rsidP="00F94EEF">
      <w:pPr>
        <w:pStyle w:val="NumberedParaAR"/>
        <w:keepNext/>
        <w:numPr>
          <w:ilvl w:val="0"/>
          <w:numId w:val="4"/>
        </w:numPr>
        <w:rPr>
          <w:lang w:eastAsia="zh-CN"/>
        </w:rPr>
      </w:pPr>
      <w:r>
        <w:rPr>
          <w:rFonts w:hint="cs"/>
          <w:rtl/>
          <w:lang w:eastAsia="zh-CN"/>
        </w:rPr>
        <w:t xml:space="preserve">أجرت الشعبة </w:t>
      </w:r>
      <w:r w:rsidR="00F94EEF">
        <w:rPr>
          <w:rFonts w:hint="cs"/>
          <w:rtl/>
          <w:lang w:eastAsia="zh-CN"/>
        </w:rPr>
        <w:t>هذا التقييم</w:t>
      </w:r>
      <w:r>
        <w:rPr>
          <w:rFonts w:hint="cs"/>
          <w:rtl/>
          <w:lang w:eastAsia="zh-CN"/>
        </w:rPr>
        <w:t xml:space="preserve"> في الفترة الممتدة من مارس إلى ديسمبر 2015. وخلصت إلى النتائج والاستنتاجات والتوصيات الرئيسية التالية:</w:t>
      </w:r>
    </w:p>
    <w:p w:rsidR="00C7582F" w:rsidRDefault="00C7582F" w:rsidP="00C7582F">
      <w:pPr>
        <w:pStyle w:val="NormalParaAR"/>
        <w:ind w:left="1134" w:hanging="567"/>
        <w:rPr>
          <w:rtl/>
          <w:lang w:eastAsia="zh-CN"/>
        </w:rPr>
      </w:pPr>
      <w:r>
        <w:rPr>
          <w:rFonts w:hint="cs"/>
          <w:rtl/>
          <w:lang w:eastAsia="zh-CN"/>
        </w:rPr>
        <w:t>(أ)</w:t>
      </w:r>
      <w:r>
        <w:rPr>
          <w:rtl/>
          <w:lang w:eastAsia="zh-CN"/>
        </w:rPr>
        <w:tab/>
      </w:r>
      <w:r>
        <w:rPr>
          <w:rFonts w:hint="cs"/>
          <w:rtl/>
          <w:lang w:eastAsia="zh-CN"/>
        </w:rPr>
        <w:t>تعدُّ الويبو جهة فاعلة رئيسية وفريدة في مجال خدمات حق المؤلف والحقوق المجاورة، ومن أهم محافل المناقشة وتحقيق التوافق في الآراء؛</w:t>
      </w:r>
    </w:p>
    <w:p w:rsidR="00C7582F" w:rsidRDefault="00C7582F" w:rsidP="00C7582F">
      <w:pPr>
        <w:pStyle w:val="NormalParaAR"/>
        <w:ind w:left="1134" w:hanging="567"/>
        <w:rPr>
          <w:rtl/>
          <w:lang w:eastAsia="zh-CN"/>
        </w:rPr>
      </w:pPr>
      <w:r>
        <w:rPr>
          <w:rFonts w:hint="cs"/>
          <w:rtl/>
          <w:lang w:eastAsia="zh-CN"/>
        </w:rPr>
        <w:t>(ب)</w:t>
      </w:r>
      <w:r>
        <w:rPr>
          <w:rtl/>
          <w:lang w:eastAsia="zh-CN"/>
        </w:rPr>
        <w:tab/>
      </w:r>
      <w:r w:rsidR="00507AA9">
        <w:rPr>
          <w:rFonts w:hint="cs"/>
          <w:rtl/>
          <w:lang w:eastAsia="zh-CN"/>
        </w:rPr>
        <w:t>تستجيب الويبو استجابة ملائمة لاحتياجات الدول الأعضاء وأصحاب الحقوق والمستخدمين النهائيين عن طريق خدماتها المخصصة؛</w:t>
      </w:r>
    </w:p>
    <w:p w:rsidR="00507AA9" w:rsidRDefault="00507AA9" w:rsidP="00C7582F">
      <w:pPr>
        <w:pStyle w:val="NormalParaAR"/>
        <w:ind w:left="1134" w:hanging="567"/>
        <w:rPr>
          <w:rtl/>
          <w:lang w:eastAsia="zh-CN"/>
        </w:rPr>
      </w:pPr>
      <w:r>
        <w:rPr>
          <w:rFonts w:hint="cs"/>
          <w:rtl/>
          <w:lang w:eastAsia="zh-CN"/>
        </w:rPr>
        <w:t>(ج)</w:t>
      </w:r>
      <w:r>
        <w:rPr>
          <w:rtl/>
          <w:lang w:eastAsia="zh-CN"/>
        </w:rPr>
        <w:tab/>
      </w:r>
      <w:r>
        <w:rPr>
          <w:rFonts w:hint="cs"/>
          <w:rtl/>
          <w:lang w:eastAsia="zh-CN"/>
        </w:rPr>
        <w:t>يسهم البرنامج</w:t>
      </w:r>
      <w:r w:rsidR="00F94EEF">
        <w:rPr>
          <w:rFonts w:hint="cs"/>
          <w:rtl/>
          <w:lang w:eastAsia="zh-CN"/>
        </w:rPr>
        <w:t xml:space="preserve"> 3</w:t>
      </w:r>
      <w:r>
        <w:rPr>
          <w:rFonts w:hint="cs"/>
          <w:rtl/>
          <w:lang w:eastAsia="zh-CN"/>
        </w:rPr>
        <w:t xml:space="preserve"> في تحقيق أربعة من الأهداف الاستراتيجية التسعة للويبو؛</w:t>
      </w:r>
    </w:p>
    <w:p w:rsidR="00507AA9" w:rsidRDefault="00507AA9" w:rsidP="00507AA9">
      <w:pPr>
        <w:pStyle w:val="NormalParaAR"/>
        <w:ind w:left="1134" w:hanging="567"/>
        <w:rPr>
          <w:rtl/>
          <w:lang w:eastAsia="zh-CN"/>
        </w:rPr>
      </w:pPr>
      <w:r>
        <w:rPr>
          <w:rFonts w:hint="cs"/>
          <w:rtl/>
          <w:lang w:eastAsia="zh-CN"/>
        </w:rPr>
        <w:t>(د)</w:t>
      </w:r>
      <w:r>
        <w:rPr>
          <w:rtl/>
          <w:lang w:eastAsia="zh-CN"/>
        </w:rPr>
        <w:tab/>
      </w:r>
      <w:r>
        <w:rPr>
          <w:rFonts w:hint="cs"/>
          <w:rtl/>
          <w:lang w:eastAsia="zh-CN"/>
        </w:rPr>
        <w:t>تعكس آليات التنسيق بين شعب</w:t>
      </w:r>
      <w:r w:rsidR="00F94EEF">
        <w:rPr>
          <w:rFonts w:hint="cs"/>
          <w:rtl/>
          <w:lang w:eastAsia="zh-CN"/>
        </w:rPr>
        <w:t>ات</w:t>
      </w:r>
      <w:r>
        <w:rPr>
          <w:rFonts w:hint="cs"/>
          <w:rtl/>
          <w:lang w:eastAsia="zh-CN"/>
        </w:rPr>
        <w:t xml:space="preserve"> قطاع حق المؤلف ومع برامج الويبو الأخرى والشركاء الخارجيين صورة</w:t>
      </w:r>
      <w:r>
        <w:rPr>
          <w:rFonts w:hint="eastAsia"/>
          <w:rtl/>
          <w:lang w:eastAsia="zh-CN"/>
        </w:rPr>
        <w:t> </w:t>
      </w:r>
      <w:r>
        <w:rPr>
          <w:rFonts w:hint="cs"/>
          <w:rtl/>
          <w:lang w:eastAsia="zh-CN"/>
        </w:rPr>
        <w:t>إيجابية.</w:t>
      </w:r>
    </w:p>
    <w:p w:rsidR="00507AA9" w:rsidRDefault="00507AA9" w:rsidP="00F94EEF">
      <w:pPr>
        <w:pStyle w:val="NormalParaAR"/>
        <w:ind w:left="1134" w:hanging="567"/>
        <w:rPr>
          <w:rtl/>
          <w:lang w:eastAsia="zh-CN"/>
        </w:rPr>
      </w:pPr>
      <w:r>
        <w:rPr>
          <w:rFonts w:hint="cs"/>
          <w:rtl/>
          <w:lang w:eastAsia="zh-CN"/>
        </w:rPr>
        <w:t>(ه)</w:t>
      </w:r>
      <w:r>
        <w:rPr>
          <w:rtl/>
          <w:lang w:eastAsia="zh-CN"/>
        </w:rPr>
        <w:tab/>
      </w:r>
      <w:r w:rsidR="00F94EEF">
        <w:rPr>
          <w:rFonts w:hint="cs"/>
          <w:rtl/>
          <w:lang w:eastAsia="zh-CN"/>
        </w:rPr>
        <w:t>يتسم</w:t>
      </w:r>
      <w:r>
        <w:rPr>
          <w:rFonts w:hint="cs"/>
          <w:rtl/>
          <w:lang w:eastAsia="zh-CN"/>
        </w:rPr>
        <w:t xml:space="preserve"> البرنامج </w:t>
      </w:r>
      <w:r w:rsidR="00F94EEF">
        <w:rPr>
          <w:rFonts w:hint="cs"/>
          <w:rtl/>
          <w:lang w:eastAsia="zh-CN"/>
        </w:rPr>
        <w:t>ب</w:t>
      </w:r>
      <w:r>
        <w:rPr>
          <w:rFonts w:hint="cs"/>
          <w:rtl/>
          <w:lang w:eastAsia="zh-CN"/>
        </w:rPr>
        <w:t>فعالية كبيرة في توفير خدمات مرضية بموارد محدودة؛</w:t>
      </w:r>
    </w:p>
    <w:p w:rsidR="00507AA9" w:rsidRDefault="00507AA9" w:rsidP="00F94EEF">
      <w:pPr>
        <w:pStyle w:val="NormalParaAR"/>
        <w:ind w:left="1134" w:hanging="567"/>
        <w:rPr>
          <w:rtl/>
          <w:lang w:eastAsia="zh-CN"/>
        </w:rPr>
      </w:pPr>
      <w:r>
        <w:rPr>
          <w:rFonts w:hint="cs"/>
          <w:rtl/>
          <w:lang w:eastAsia="zh-CN"/>
        </w:rPr>
        <w:t>(و)</w:t>
      </w:r>
      <w:r>
        <w:rPr>
          <w:rtl/>
          <w:lang w:eastAsia="zh-CN"/>
        </w:rPr>
        <w:tab/>
      </w:r>
      <w:r>
        <w:rPr>
          <w:rFonts w:hint="cs"/>
          <w:rtl/>
          <w:lang w:eastAsia="zh-CN"/>
        </w:rPr>
        <w:t>ينظر البرنامج في بعض الاستراتيجي</w:t>
      </w:r>
      <w:r w:rsidR="00F94EEF">
        <w:rPr>
          <w:rFonts w:hint="cs"/>
          <w:rtl/>
          <w:lang w:eastAsia="zh-CN"/>
        </w:rPr>
        <w:t>ات</w:t>
      </w:r>
      <w:r>
        <w:rPr>
          <w:rFonts w:hint="cs"/>
          <w:rtl/>
          <w:lang w:eastAsia="zh-CN"/>
        </w:rPr>
        <w:t xml:space="preserve"> لتعزيز استدامة أنشطته مثل تدريب المدربين واستحداث</w:t>
      </w:r>
      <w:r w:rsidR="00F94EEF">
        <w:rPr>
          <w:rFonts w:hint="eastAsia"/>
          <w:rtl/>
          <w:lang w:eastAsia="zh-CN"/>
        </w:rPr>
        <w:t> </w:t>
      </w:r>
      <w:r>
        <w:rPr>
          <w:rFonts w:hint="cs"/>
          <w:rtl/>
          <w:lang w:eastAsia="zh-CN"/>
        </w:rPr>
        <w:t>أدوات</w:t>
      </w:r>
      <w:r w:rsidR="00F94EEF">
        <w:rPr>
          <w:rFonts w:hint="eastAsia"/>
          <w:rtl/>
          <w:lang w:eastAsia="zh-CN"/>
        </w:rPr>
        <w:t> </w:t>
      </w:r>
      <w:r>
        <w:rPr>
          <w:rFonts w:hint="cs"/>
          <w:rtl/>
          <w:lang w:eastAsia="zh-CN"/>
        </w:rPr>
        <w:t>تعل</w:t>
      </w:r>
      <w:r w:rsidR="00F94EEF">
        <w:rPr>
          <w:rFonts w:hint="cs"/>
          <w:rtl/>
          <w:lang w:eastAsia="zh-CN"/>
        </w:rPr>
        <w:t>ي</w:t>
      </w:r>
      <w:r>
        <w:rPr>
          <w:rFonts w:hint="cs"/>
          <w:rtl/>
          <w:lang w:eastAsia="zh-CN"/>
        </w:rPr>
        <w:t>م عن بعد.</w:t>
      </w:r>
    </w:p>
    <w:p w:rsidR="00507AA9" w:rsidRDefault="00F94EEF" w:rsidP="00F94EEF">
      <w:pPr>
        <w:pStyle w:val="NumberedParaAR"/>
        <w:numPr>
          <w:ilvl w:val="0"/>
          <w:numId w:val="4"/>
        </w:numPr>
        <w:rPr>
          <w:lang w:eastAsia="zh-CN"/>
        </w:rPr>
      </w:pPr>
      <w:r>
        <w:rPr>
          <w:rFonts w:hint="cs"/>
          <w:rtl/>
          <w:lang w:eastAsia="zh-CN"/>
        </w:rPr>
        <w:t>و</w:t>
      </w:r>
      <w:r w:rsidR="00507AA9">
        <w:rPr>
          <w:rFonts w:hint="cs"/>
          <w:rtl/>
          <w:lang w:eastAsia="zh-CN"/>
        </w:rPr>
        <w:t>ح</w:t>
      </w:r>
      <w:r>
        <w:rPr>
          <w:rFonts w:hint="cs"/>
          <w:rtl/>
          <w:lang w:eastAsia="zh-CN"/>
        </w:rPr>
        <w:t>ُ</w:t>
      </w:r>
      <w:r w:rsidR="00507AA9">
        <w:rPr>
          <w:rFonts w:hint="cs"/>
          <w:rtl/>
          <w:lang w:eastAsia="zh-CN"/>
        </w:rPr>
        <w:t xml:space="preserve">ددت </w:t>
      </w:r>
      <w:r>
        <w:rPr>
          <w:rFonts w:hint="cs"/>
          <w:rtl/>
          <w:lang w:eastAsia="zh-CN"/>
        </w:rPr>
        <w:t>سبل</w:t>
      </w:r>
      <w:r w:rsidR="00507AA9">
        <w:rPr>
          <w:rFonts w:hint="cs"/>
          <w:rtl/>
          <w:lang w:eastAsia="zh-CN"/>
        </w:rPr>
        <w:t xml:space="preserve"> </w:t>
      </w:r>
      <w:r>
        <w:rPr>
          <w:rFonts w:hint="cs"/>
          <w:rtl/>
          <w:lang w:eastAsia="zh-CN"/>
        </w:rPr>
        <w:t>ل</w:t>
      </w:r>
      <w:r w:rsidR="00507AA9">
        <w:rPr>
          <w:rFonts w:hint="cs"/>
          <w:rtl/>
          <w:lang w:eastAsia="zh-CN"/>
        </w:rPr>
        <w:t xml:space="preserve">تحسين </w:t>
      </w:r>
      <w:r>
        <w:rPr>
          <w:rFonts w:hint="cs"/>
          <w:rtl/>
          <w:lang w:eastAsia="zh-CN"/>
        </w:rPr>
        <w:t>عملية وضع</w:t>
      </w:r>
      <w:r w:rsidR="00507AA9">
        <w:rPr>
          <w:rFonts w:hint="cs"/>
          <w:rtl/>
          <w:lang w:eastAsia="zh-CN"/>
        </w:rPr>
        <w:t xml:space="preserve"> أنظمة حق المؤلف والحقوق المجاورة وإطار النتائج</w:t>
      </w:r>
      <w:r>
        <w:rPr>
          <w:rFonts w:hint="cs"/>
          <w:rtl/>
          <w:lang w:eastAsia="zh-CN"/>
        </w:rPr>
        <w:t xml:space="preserve"> أو تطويرهما،</w:t>
      </w:r>
      <w:r w:rsidR="00507AA9">
        <w:rPr>
          <w:rFonts w:hint="cs"/>
          <w:rtl/>
          <w:lang w:eastAsia="zh-CN"/>
        </w:rPr>
        <w:t xml:space="preserve"> وتحليل الفعالية والاستدامة الطويلة الأجل.</w:t>
      </w:r>
    </w:p>
    <w:p w:rsidR="00507AA9" w:rsidRDefault="00507AA9" w:rsidP="00507AA9">
      <w:pPr>
        <w:pStyle w:val="Heading2AR"/>
        <w:rPr>
          <w:rtl/>
        </w:rPr>
      </w:pPr>
      <w:r>
        <w:rPr>
          <w:rFonts w:hint="cs"/>
          <w:rtl/>
        </w:rPr>
        <w:t>تقييم مساعدة الويبو للبلدان الأقل نمواً</w:t>
      </w:r>
    </w:p>
    <w:p w:rsidR="00507AA9" w:rsidRDefault="00507AA9" w:rsidP="002F1360">
      <w:pPr>
        <w:pStyle w:val="NumberedParaAR"/>
        <w:numPr>
          <w:ilvl w:val="0"/>
          <w:numId w:val="4"/>
        </w:numPr>
        <w:rPr>
          <w:lang w:eastAsia="zh-CN"/>
        </w:rPr>
      </w:pPr>
      <w:r>
        <w:rPr>
          <w:rFonts w:hint="cs"/>
          <w:rtl/>
          <w:lang w:eastAsia="zh-CN"/>
        </w:rPr>
        <w:t xml:space="preserve">أجرت الشعبة هذا التقييم في الفترة الممتدة من سبتمبر 2015 إلى أبريل 2016. وشمل التقييم كل الأنشطة التي </w:t>
      </w:r>
      <w:r w:rsidR="002F1360">
        <w:rPr>
          <w:rFonts w:hint="cs"/>
          <w:rtl/>
          <w:lang w:eastAsia="zh-CN"/>
        </w:rPr>
        <w:t>نفذتها</w:t>
      </w:r>
      <w:r>
        <w:rPr>
          <w:rFonts w:hint="cs"/>
          <w:rtl/>
          <w:lang w:eastAsia="zh-CN"/>
        </w:rPr>
        <w:t xml:space="preserve"> الويبو لمساعدة البلدان الأقل نمواً خلال الفترة الممتدة من 2010 إلى 2015.</w:t>
      </w:r>
    </w:p>
    <w:p w:rsidR="00507AA9" w:rsidRDefault="00507AA9" w:rsidP="000B62B2">
      <w:pPr>
        <w:pStyle w:val="NumberedParaAR"/>
        <w:keepNext/>
        <w:numPr>
          <w:ilvl w:val="0"/>
          <w:numId w:val="4"/>
        </w:numPr>
        <w:rPr>
          <w:lang w:eastAsia="zh-CN"/>
        </w:rPr>
      </w:pPr>
      <w:r>
        <w:rPr>
          <w:rFonts w:hint="cs"/>
          <w:rtl/>
          <w:lang w:eastAsia="zh-CN"/>
        </w:rPr>
        <w:lastRenderedPageBreak/>
        <w:t>وكشف التقرير عن الإنجازات التالية</w:t>
      </w:r>
      <w:r w:rsidR="0063329F">
        <w:rPr>
          <w:rFonts w:hint="cs"/>
          <w:rtl/>
          <w:lang w:eastAsia="zh-CN"/>
        </w:rPr>
        <w:t>:</w:t>
      </w:r>
    </w:p>
    <w:p w:rsidR="0063329F" w:rsidRDefault="0063329F" w:rsidP="002F1360">
      <w:pPr>
        <w:pStyle w:val="NormalParaAR"/>
        <w:ind w:left="1134" w:hanging="567"/>
        <w:rPr>
          <w:rtl/>
          <w:lang w:eastAsia="zh-CN"/>
        </w:rPr>
      </w:pPr>
      <w:r>
        <w:rPr>
          <w:rFonts w:hint="cs"/>
          <w:rtl/>
          <w:lang w:eastAsia="zh-CN"/>
        </w:rPr>
        <w:t>(أ)</w:t>
      </w:r>
      <w:r>
        <w:rPr>
          <w:rtl/>
          <w:lang w:eastAsia="zh-CN"/>
        </w:rPr>
        <w:tab/>
      </w:r>
      <w:r>
        <w:rPr>
          <w:rFonts w:hint="cs"/>
          <w:rtl/>
          <w:lang w:eastAsia="zh-CN"/>
        </w:rPr>
        <w:t xml:space="preserve">حُققت النتائج المرتقبة من مشروعات الويبو </w:t>
      </w:r>
      <w:r w:rsidR="002F1360">
        <w:rPr>
          <w:rFonts w:hint="cs"/>
          <w:rtl/>
          <w:lang w:eastAsia="zh-CN"/>
        </w:rPr>
        <w:t xml:space="preserve">المنفَّذة </w:t>
      </w:r>
      <w:r>
        <w:rPr>
          <w:rFonts w:hint="cs"/>
          <w:rtl/>
          <w:lang w:eastAsia="zh-CN"/>
        </w:rPr>
        <w:t xml:space="preserve">في إطار </w:t>
      </w:r>
      <w:r w:rsidRPr="00834624">
        <w:rPr>
          <w:rtl/>
          <w:lang w:eastAsia="zh-CN"/>
        </w:rPr>
        <w:t>إعلان اسطنبول وبرنامج العمل لصالح</w:t>
      </w:r>
      <w:r w:rsidRPr="0063329F">
        <w:rPr>
          <w:spacing w:val="-4"/>
          <w:rtl/>
          <w:lang w:eastAsia="zh-CN"/>
        </w:rPr>
        <w:t xml:space="preserve"> البلدان</w:t>
      </w:r>
      <w:r w:rsidR="002F1360">
        <w:rPr>
          <w:rFonts w:hint="cs"/>
          <w:rtl/>
        </w:rPr>
        <w:t> </w:t>
      </w:r>
      <w:r w:rsidRPr="0063329F">
        <w:rPr>
          <w:spacing w:val="-4"/>
          <w:rtl/>
          <w:lang w:eastAsia="zh-CN"/>
        </w:rPr>
        <w:t>الأقل نموا</w:t>
      </w:r>
      <w:r w:rsidR="002C5A9C">
        <w:rPr>
          <w:rFonts w:hint="cs"/>
          <w:spacing w:val="-4"/>
          <w:rtl/>
          <w:lang w:eastAsia="zh-CN"/>
        </w:rPr>
        <w:t>ً</w:t>
      </w:r>
      <w:r w:rsidRPr="0063329F">
        <w:rPr>
          <w:rFonts w:hint="cs"/>
          <w:spacing w:val="-4"/>
          <w:rtl/>
          <w:lang w:eastAsia="zh-CN"/>
        </w:rPr>
        <w:t>؛</w:t>
      </w:r>
    </w:p>
    <w:p w:rsidR="0063329F" w:rsidRDefault="0063329F" w:rsidP="002F1360">
      <w:pPr>
        <w:pStyle w:val="NormalParaAR"/>
        <w:ind w:left="1134" w:hanging="567"/>
        <w:rPr>
          <w:rtl/>
          <w:lang w:eastAsia="zh-CN"/>
        </w:rPr>
      </w:pPr>
      <w:r>
        <w:rPr>
          <w:rFonts w:hint="cs"/>
          <w:rtl/>
          <w:lang w:eastAsia="zh-CN"/>
        </w:rPr>
        <w:t>(ب)</w:t>
      </w:r>
      <w:r>
        <w:rPr>
          <w:rtl/>
          <w:lang w:eastAsia="zh-CN"/>
        </w:rPr>
        <w:tab/>
      </w:r>
      <w:r>
        <w:rPr>
          <w:rFonts w:hint="cs"/>
          <w:rtl/>
          <w:lang w:eastAsia="zh-CN"/>
        </w:rPr>
        <w:t xml:space="preserve">يسهم الدعم المقدم إلى أقل البلدان نمواً في </w:t>
      </w:r>
      <w:r w:rsidR="002F1360">
        <w:rPr>
          <w:rFonts w:hint="cs"/>
          <w:rtl/>
          <w:lang w:eastAsia="zh-CN"/>
        </w:rPr>
        <w:t>توعية</w:t>
      </w:r>
      <w:r>
        <w:rPr>
          <w:rFonts w:hint="cs"/>
          <w:rtl/>
          <w:lang w:eastAsia="zh-CN"/>
        </w:rPr>
        <w:t xml:space="preserve"> الأطراف المعنية الوطنية بالاستخدام الاستراتيجي للملكية الفكرية و</w:t>
      </w:r>
      <w:r w:rsidR="002F1360">
        <w:rPr>
          <w:rFonts w:hint="cs"/>
          <w:rtl/>
          <w:lang w:eastAsia="zh-CN"/>
        </w:rPr>
        <w:t>يمهد الطريق</w:t>
      </w:r>
      <w:r w:rsidR="0038663E">
        <w:rPr>
          <w:rFonts w:hint="cs"/>
          <w:rtl/>
          <w:lang w:eastAsia="zh-CN"/>
        </w:rPr>
        <w:t xml:space="preserve"> لإدراج الملكية الفكرية في الخطط الوطنية؛</w:t>
      </w:r>
    </w:p>
    <w:p w:rsidR="0038663E" w:rsidRDefault="0038663E" w:rsidP="009A5C0F">
      <w:pPr>
        <w:pStyle w:val="NormalParaAR"/>
        <w:ind w:left="1134" w:hanging="567"/>
        <w:rPr>
          <w:rtl/>
          <w:lang w:eastAsia="zh-CN"/>
        </w:rPr>
      </w:pPr>
      <w:r>
        <w:rPr>
          <w:rFonts w:hint="cs"/>
          <w:rtl/>
          <w:lang w:eastAsia="zh-CN"/>
        </w:rPr>
        <w:t>(ج)</w:t>
      </w:r>
      <w:r>
        <w:rPr>
          <w:rtl/>
          <w:lang w:eastAsia="zh-CN"/>
        </w:rPr>
        <w:tab/>
      </w:r>
      <w:r w:rsidR="002F1360">
        <w:rPr>
          <w:rFonts w:hint="cs"/>
          <w:rtl/>
          <w:lang w:eastAsia="zh-CN"/>
        </w:rPr>
        <w:t>ي</w:t>
      </w:r>
      <w:r>
        <w:rPr>
          <w:rFonts w:hint="cs"/>
          <w:rtl/>
          <w:lang w:eastAsia="zh-CN"/>
        </w:rPr>
        <w:t>سهم</w:t>
      </w:r>
      <w:r w:rsidR="002F1360">
        <w:rPr>
          <w:rFonts w:hint="cs"/>
          <w:rtl/>
          <w:lang w:eastAsia="zh-CN"/>
        </w:rPr>
        <w:t xml:space="preserve"> تلقي</w:t>
      </w:r>
      <w:r>
        <w:rPr>
          <w:rFonts w:hint="cs"/>
          <w:rtl/>
          <w:lang w:eastAsia="zh-CN"/>
        </w:rPr>
        <w:t xml:space="preserve"> الآراء النقدية في الوقت المناسب وتسريع </w:t>
      </w:r>
      <w:r w:rsidR="002F1360">
        <w:rPr>
          <w:rFonts w:hint="cs"/>
          <w:rtl/>
          <w:lang w:eastAsia="zh-CN"/>
        </w:rPr>
        <w:t>المشاورات</w:t>
      </w:r>
      <w:r>
        <w:rPr>
          <w:rFonts w:hint="cs"/>
          <w:rtl/>
          <w:lang w:eastAsia="zh-CN"/>
        </w:rPr>
        <w:t xml:space="preserve"> في </w:t>
      </w:r>
      <w:r w:rsidR="009A5C0F">
        <w:rPr>
          <w:rFonts w:hint="cs"/>
          <w:rtl/>
          <w:lang w:eastAsia="zh-CN"/>
        </w:rPr>
        <w:t>تعزيز تبني</w:t>
      </w:r>
      <w:r>
        <w:rPr>
          <w:rFonts w:hint="cs"/>
          <w:rtl/>
          <w:lang w:eastAsia="zh-CN"/>
        </w:rPr>
        <w:t xml:space="preserve"> السلطات الوطنية لنواتج</w:t>
      </w:r>
      <w:r w:rsidR="009A5C0F">
        <w:rPr>
          <w:rFonts w:hint="eastAsia"/>
          <w:rtl/>
          <w:lang w:eastAsia="zh-CN"/>
        </w:rPr>
        <w:t> </w:t>
      </w:r>
      <w:r w:rsidR="009A5C0F">
        <w:rPr>
          <w:rFonts w:hint="cs"/>
          <w:rtl/>
          <w:lang w:eastAsia="zh-CN"/>
        </w:rPr>
        <w:t>المشروعات</w:t>
      </w:r>
      <w:r>
        <w:rPr>
          <w:rFonts w:hint="cs"/>
          <w:rtl/>
          <w:lang w:eastAsia="zh-CN"/>
        </w:rPr>
        <w:t>؛</w:t>
      </w:r>
    </w:p>
    <w:p w:rsidR="0038663E" w:rsidRDefault="0038663E" w:rsidP="0038663E">
      <w:pPr>
        <w:pStyle w:val="NormalParaAR"/>
        <w:ind w:left="1134" w:hanging="567"/>
        <w:rPr>
          <w:rtl/>
          <w:lang w:eastAsia="zh-CN"/>
        </w:rPr>
      </w:pPr>
      <w:r>
        <w:rPr>
          <w:rFonts w:hint="cs"/>
          <w:rtl/>
          <w:lang w:eastAsia="zh-CN"/>
        </w:rPr>
        <w:t>(د)</w:t>
      </w:r>
      <w:r>
        <w:rPr>
          <w:rtl/>
          <w:lang w:eastAsia="zh-CN"/>
        </w:rPr>
        <w:tab/>
      </w:r>
      <w:r>
        <w:rPr>
          <w:rFonts w:hint="cs"/>
          <w:rtl/>
          <w:lang w:eastAsia="zh-CN"/>
        </w:rPr>
        <w:t>تعدُّ أنشطة الويبو التي يتراوح تقييمها بين متوسطة الجودة وعالية الجودة مفيدة للمستفيدين المباشرين والمستخدمين النهائيين للملكية الفكرية؛</w:t>
      </w:r>
    </w:p>
    <w:p w:rsidR="0038663E" w:rsidRDefault="0038663E" w:rsidP="002F1360">
      <w:pPr>
        <w:pStyle w:val="NormalParaAR"/>
        <w:ind w:left="1134" w:hanging="567"/>
        <w:rPr>
          <w:rtl/>
          <w:lang w:eastAsia="zh-CN"/>
        </w:rPr>
      </w:pPr>
      <w:r>
        <w:rPr>
          <w:rFonts w:hint="cs"/>
          <w:rtl/>
          <w:lang w:eastAsia="zh-CN"/>
        </w:rPr>
        <w:t>(ه)</w:t>
      </w:r>
      <w:r>
        <w:rPr>
          <w:rtl/>
          <w:lang w:eastAsia="zh-CN"/>
        </w:rPr>
        <w:tab/>
      </w:r>
      <w:r w:rsidR="002F1360">
        <w:rPr>
          <w:rFonts w:hint="cs"/>
          <w:rtl/>
          <w:lang w:eastAsia="zh-CN"/>
        </w:rPr>
        <w:t>يعدُّ</w:t>
      </w:r>
      <w:r>
        <w:rPr>
          <w:rFonts w:hint="cs"/>
          <w:rtl/>
          <w:lang w:eastAsia="zh-CN"/>
        </w:rPr>
        <w:t xml:space="preserve"> وضع أنظمة ملائمة لرصد أنشطة الويبو عاملاً رئيسياً لتحسين الاستجابة للاحتياجات والأولوليات</w:t>
      </w:r>
      <w:r w:rsidR="002F1360">
        <w:rPr>
          <w:rFonts w:hint="cs"/>
          <w:rtl/>
          <w:lang w:eastAsia="zh-CN"/>
        </w:rPr>
        <w:t xml:space="preserve"> على</w:t>
      </w:r>
      <w:r w:rsidR="002F1360">
        <w:rPr>
          <w:rFonts w:hint="eastAsia"/>
          <w:rtl/>
          <w:lang w:eastAsia="zh-CN"/>
        </w:rPr>
        <w:t> </w:t>
      </w:r>
      <w:r w:rsidR="002F1360">
        <w:rPr>
          <w:rFonts w:hint="cs"/>
          <w:rtl/>
          <w:lang w:eastAsia="zh-CN"/>
        </w:rPr>
        <w:t>الصعيد الوطني</w:t>
      </w:r>
      <w:r>
        <w:rPr>
          <w:rFonts w:hint="cs"/>
          <w:rtl/>
          <w:lang w:eastAsia="zh-CN"/>
        </w:rPr>
        <w:t>.</w:t>
      </w:r>
    </w:p>
    <w:p w:rsidR="0038663E" w:rsidRDefault="0038663E" w:rsidP="00BF5473">
      <w:pPr>
        <w:pStyle w:val="NumberedParaAR"/>
        <w:keepNext/>
        <w:numPr>
          <w:ilvl w:val="0"/>
          <w:numId w:val="4"/>
        </w:numPr>
        <w:rPr>
          <w:rtl/>
          <w:lang w:eastAsia="zh-CN"/>
        </w:rPr>
      </w:pPr>
      <w:r>
        <w:rPr>
          <w:rFonts w:hint="cs"/>
          <w:rtl/>
          <w:lang w:eastAsia="zh-CN"/>
        </w:rPr>
        <w:t>وح</w:t>
      </w:r>
      <w:r w:rsidR="00BF5473">
        <w:rPr>
          <w:rFonts w:hint="cs"/>
          <w:rtl/>
          <w:lang w:eastAsia="zh-CN"/>
        </w:rPr>
        <w:t>ُ</w:t>
      </w:r>
      <w:r>
        <w:rPr>
          <w:rFonts w:hint="cs"/>
          <w:rtl/>
          <w:lang w:eastAsia="zh-CN"/>
        </w:rPr>
        <w:t xml:space="preserve">ددت </w:t>
      </w:r>
      <w:r w:rsidR="00BF5473">
        <w:rPr>
          <w:rFonts w:hint="cs"/>
          <w:rtl/>
          <w:lang w:eastAsia="zh-CN"/>
        </w:rPr>
        <w:t>مجالات</w:t>
      </w:r>
      <w:r>
        <w:rPr>
          <w:rFonts w:hint="cs"/>
          <w:rtl/>
          <w:lang w:eastAsia="zh-CN"/>
        </w:rPr>
        <w:t xml:space="preserve"> التحسين التالية:</w:t>
      </w:r>
    </w:p>
    <w:p w:rsidR="0038663E" w:rsidRDefault="0038663E" w:rsidP="0038663E">
      <w:pPr>
        <w:pStyle w:val="NormalParaAR"/>
        <w:ind w:left="1134" w:hanging="567"/>
        <w:rPr>
          <w:rtl/>
          <w:lang w:eastAsia="zh-CN"/>
        </w:rPr>
      </w:pPr>
      <w:r>
        <w:rPr>
          <w:rFonts w:hint="cs"/>
          <w:rtl/>
          <w:lang w:eastAsia="zh-CN"/>
        </w:rPr>
        <w:t>(أ)</w:t>
      </w:r>
      <w:r>
        <w:rPr>
          <w:rtl/>
          <w:lang w:eastAsia="zh-CN"/>
        </w:rPr>
        <w:tab/>
      </w:r>
      <w:r>
        <w:rPr>
          <w:rFonts w:hint="cs"/>
          <w:rtl/>
          <w:lang w:eastAsia="zh-CN"/>
        </w:rPr>
        <w:t>على المستوى الاستراتيجي، يتعين على المكاتب الإقليمية أن تتعاون مع شعبة البلدان الأقل نمواً على وضع خرائط طريق وطنية متكاملة لتقديم مساعدة شاملة إلى تلك البلدان؛</w:t>
      </w:r>
    </w:p>
    <w:p w:rsidR="0038663E" w:rsidRDefault="0038663E" w:rsidP="0038663E">
      <w:pPr>
        <w:pStyle w:val="NormalParaAR"/>
        <w:ind w:left="1134" w:hanging="567"/>
        <w:rPr>
          <w:rtl/>
          <w:lang w:eastAsia="zh-CN"/>
        </w:rPr>
      </w:pPr>
      <w:r>
        <w:rPr>
          <w:rFonts w:hint="cs"/>
          <w:rtl/>
          <w:lang w:eastAsia="zh-CN"/>
        </w:rPr>
        <w:t>(ب)</w:t>
      </w:r>
      <w:r>
        <w:rPr>
          <w:rtl/>
          <w:lang w:eastAsia="zh-CN"/>
        </w:rPr>
        <w:tab/>
      </w:r>
      <w:r>
        <w:rPr>
          <w:rFonts w:hint="cs"/>
          <w:rtl/>
          <w:lang w:eastAsia="zh-CN"/>
        </w:rPr>
        <w:t>ينبغي توضيح المسؤوليات البرنامجية للمكاتب الإقليمية وشعبة البلدان الأقل نمواً بغية إطلاق كامل إمكانات الخبراء الداخليين والأفرقة التقنية؛</w:t>
      </w:r>
    </w:p>
    <w:p w:rsidR="0038663E" w:rsidRDefault="0038663E" w:rsidP="00BF5473">
      <w:pPr>
        <w:pStyle w:val="NormalParaAR"/>
        <w:ind w:left="1134" w:hanging="567"/>
        <w:rPr>
          <w:rtl/>
          <w:lang w:eastAsia="zh-CN"/>
        </w:rPr>
      </w:pPr>
      <w:r>
        <w:rPr>
          <w:rFonts w:hint="cs"/>
          <w:rtl/>
          <w:lang w:eastAsia="zh-CN"/>
        </w:rPr>
        <w:t>(ج)</w:t>
      </w:r>
      <w:r>
        <w:rPr>
          <w:rtl/>
          <w:lang w:eastAsia="zh-CN"/>
        </w:rPr>
        <w:tab/>
      </w:r>
      <w:r>
        <w:rPr>
          <w:rFonts w:hint="cs"/>
          <w:rtl/>
          <w:lang w:eastAsia="zh-CN"/>
        </w:rPr>
        <w:t xml:space="preserve">على المستوى التشغيلي، ينبغي تحديد المسؤوليات المشتركة بين الويبو </w:t>
      </w:r>
      <w:r w:rsidR="00740C9E">
        <w:rPr>
          <w:rFonts w:hint="cs"/>
          <w:rtl/>
          <w:lang w:eastAsia="zh-CN"/>
        </w:rPr>
        <w:t>و</w:t>
      </w:r>
      <w:r>
        <w:rPr>
          <w:rFonts w:hint="cs"/>
          <w:rtl/>
          <w:lang w:eastAsia="zh-CN"/>
        </w:rPr>
        <w:t xml:space="preserve">الهيئات الوطنية </w:t>
      </w:r>
      <w:r w:rsidR="00740C9E">
        <w:rPr>
          <w:rFonts w:hint="cs"/>
          <w:rtl/>
          <w:lang w:eastAsia="zh-CN"/>
        </w:rPr>
        <w:t>طوال فترة تنفيذ</w:t>
      </w:r>
      <w:r>
        <w:rPr>
          <w:rFonts w:hint="cs"/>
          <w:rtl/>
          <w:lang w:eastAsia="zh-CN"/>
        </w:rPr>
        <w:t xml:space="preserve"> المشروع</w:t>
      </w:r>
      <w:r w:rsidR="00740C9E">
        <w:rPr>
          <w:rFonts w:hint="cs"/>
          <w:rtl/>
          <w:lang w:eastAsia="zh-CN"/>
        </w:rPr>
        <w:t xml:space="preserve"> تحديداً واضحاً لضمان استدامة المشروع و</w:t>
      </w:r>
      <w:r w:rsidR="00BF5473">
        <w:rPr>
          <w:rFonts w:hint="cs"/>
          <w:rtl/>
          <w:lang w:eastAsia="zh-CN"/>
        </w:rPr>
        <w:t xml:space="preserve">ينبغي </w:t>
      </w:r>
      <w:r w:rsidR="00740C9E">
        <w:rPr>
          <w:rFonts w:hint="cs"/>
          <w:rtl/>
          <w:lang w:eastAsia="zh-CN"/>
        </w:rPr>
        <w:t xml:space="preserve">العمل على آثار النتائج. وينبغي مراعاة عامل الإنصاف في تخطيط الدعم في مجال الملكية الفكرية وتقديمه </w:t>
      </w:r>
      <w:r w:rsidR="00BF5473">
        <w:rPr>
          <w:rFonts w:hint="cs"/>
          <w:rtl/>
          <w:lang w:eastAsia="zh-CN"/>
        </w:rPr>
        <w:t xml:space="preserve">بغية توفير </w:t>
      </w:r>
      <w:r w:rsidR="00740C9E">
        <w:rPr>
          <w:rFonts w:hint="cs"/>
          <w:rtl/>
          <w:lang w:eastAsia="zh-CN"/>
        </w:rPr>
        <w:t>فرص متساوية</w:t>
      </w:r>
      <w:r w:rsidR="00BF5473" w:rsidRPr="00BF5473">
        <w:rPr>
          <w:rFonts w:hint="cs"/>
          <w:rtl/>
          <w:lang w:eastAsia="zh-CN"/>
        </w:rPr>
        <w:t xml:space="preserve"> </w:t>
      </w:r>
      <w:r w:rsidR="00BF5473">
        <w:rPr>
          <w:rFonts w:hint="cs"/>
          <w:rtl/>
          <w:lang w:eastAsia="zh-CN"/>
        </w:rPr>
        <w:t>للبلدان الأقل نمواً</w:t>
      </w:r>
      <w:r w:rsidR="00740C9E">
        <w:rPr>
          <w:rFonts w:hint="cs"/>
          <w:rtl/>
          <w:lang w:eastAsia="zh-CN"/>
        </w:rPr>
        <w:t xml:space="preserve"> في</w:t>
      </w:r>
      <w:r w:rsidR="00BF5473">
        <w:rPr>
          <w:rFonts w:hint="cs"/>
          <w:rtl/>
          <w:lang w:eastAsia="zh-CN"/>
        </w:rPr>
        <w:t xml:space="preserve"> مجالَي</w:t>
      </w:r>
      <w:r w:rsidR="00740C9E">
        <w:rPr>
          <w:rFonts w:hint="cs"/>
          <w:rtl/>
          <w:lang w:eastAsia="zh-CN"/>
        </w:rPr>
        <w:t xml:space="preserve"> حماية </w:t>
      </w:r>
      <w:r w:rsidR="00BF5473">
        <w:rPr>
          <w:rFonts w:hint="cs"/>
          <w:rtl/>
          <w:lang w:eastAsia="zh-CN"/>
        </w:rPr>
        <w:t>حقوق الملكية الفكرية واستخدامها</w:t>
      </w:r>
      <w:r w:rsidR="00740C9E">
        <w:rPr>
          <w:rFonts w:hint="cs"/>
          <w:rtl/>
          <w:lang w:eastAsia="zh-CN"/>
        </w:rPr>
        <w:t>؛</w:t>
      </w:r>
    </w:p>
    <w:p w:rsidR="00740C9E" w:rsidRDefault="00740C9E" w:rsidP="00BF5473">
      <w:pPr>
        <w:pStyle w:val="NormalParaAR"/>
        <w:ind w:left="1134" w:hanging="567"/>
        <w:rPr>
          <w:rtl/>
          <w:lang w:eastAsia="zh-CN"/>
        </w:rPr>
      </w:pPr>
      <w:r>
        <w:rPr>
          <w:rFonts w:hint="cs"/>
          <w:rtl/>
          <w:lang w:eastAsia="zh-CN"/>
        </w:rPr>
        <w:t>(د)</w:t>
      </w:r>
      <w:r>
        <w:rPr>
          <w:rtl/>
          <w:lang w:eastAsia="zh-CN"/>
        </w:rPr>
        <w:tab/>
      </w:r>
      <w:r w:rsidR="00BF5473">
        <w:rPr>
          <w:rFonts w:hint="cs"/>
          <w:rtl/>
          <w:lang w:eastAsia="zh-CN"/>
        </w:rPr>
        <w:t>ينبغي</w:t>
      </w:r>
      <w:r>
        <w:rPr>
          <w:rFonts w:hint="cs"/>
          <w:rtl/>
          <w:lang w:eastAsia="zh-CN"/>
        </w:rPr>
        <w:t xml:space="preserve"> إنشاء أنظمة لإدارة المعلومات الخاصة بالنفقات بحسب البلدان </w:t>
      </w:r>
      <w:r w:rsidR="00BF5473">
        <w:rPr>
          <w:rFonts w:hint="cs"/>
          <w:rtl/>
          <w:lang w:eastAsia="zh-CN"/>
        </w:rPr>
        <w:t>بغية</w:t>
      </w:r>
      <w:r>
        <w:rPr>
          <w:rFonts w:hint="cs"/>
          <w:rtl/>
          <w:lang w:eastAsia="zh-CN"/>
        </w:rPr>
        <w:t xml:space="preserve"> تحقيق الفعالية في تخصيص الموارد اللازمة لاستحداث أنظمة وطنية للملكية الفكرية أو تطويرها.</w:t>
      </w:r>
    </w:p>
    <w:p w:rsidR="00740C9E" w:rsidRDefault="00740C9E" w:rsidP="00740C9E">
      <w:pPr>
        <w:pStyle w:val="Heading2AR"/>
        <w:rPr>
          <w:rtl/>
        </w:rPr>
      </w:pPr>
      <w:r>
        <w:rPr>
          <w:rFonts w:hint="cs"/>
          <w:rtl/>
        </w:rPr>
        <w:t>تقييم مشروع الويبو الرائد بشأن التقدم المهني للنساء</w:t>
      </w:r>
    </w:p>
    <w:p w:rsidR="00740C9E" w:rsidRDefault="00740C9E" w:rsidP="00BF5473">
      <w:pPr>
        <w:pStyle w:val="NumberedParaAR"/>
        <w:numPr>
          <w:ilvl w:val="0"/>
          <w:numId w:val="4"/>
        </w:numPr>
        <w:rPr>
          <w:lang w:eastAsia="zh-CN"/>
        </w:rPr>
      </w:pPr>
      <w:r>
        <w:rPr>
          <w:rFonts w:hint="cs"/>
          <w:rtl/>
          <w:lang w:eastAsia="zh-CN"/>
        </w:rPr>
        <w:t>أجرت الشعبة تقييم المشروع الرائد بشأن التقدم المهني للنساء في الفترة الممتدة من يناير إلى أبريل 2016، وقيَّمت نتائج مرحلته الأولى (2015-2016). وتزمع إجراء تقييم ثانٍ في عام 2017 يخص تنفيذ المشروع الرائد الثاني (المزمع</w:t>
      </w:r>
      <w:r w:rsidR="00BF5473">
        <w:rPr>
          <w:rFonts w:hint="eastAsia"/>
          <w:rtl/>
          <w:lang w:eastAsia="zh-CN"/>
        </w:rPr>
        <w:t> </w:t>
      </w:r>
      <w:r>
        <w:rPr>
          <w:rFonts w:hint="cs"/>
          <w:rtl/>
          <w:lang w:eastAsia="zh-CN"/>
        </w:rPr>
        <w:t xml:space="preserve">استهلاله في مايو 2016). وستسهم نتائج هذين التقييمين واستنتاجاتهما وتوصياتهما في </w:t>
      </w:r>
      <w:r w:rsidR="00BF5473">
        <w:rPr>
          <w:rFonts w:hint="cs"/>
          <w:rtl/>
          <w:lang w:eastAsia="zh-CN"/>
        </w:rPr>
        <w:t xml:space="preserve">وضع </w:t>
      </w:r>
      <w:r>
        <w:rPr>
          <w:rFonts w:hint="cs"/>
          <w:rtl/>
          <w:lang w:eastAsia="zh-CN"/>
        </w:rPr>
        <w:t xml:space="preserve">برنامج أوسع </w:t>
      </w:r>
      <w:r w:rsidR="00BF5473">
        <w:rPr>
          <w:rFonts w:hint="cs"/>
          <w:rtl/>
          <w:lang w:eastAsia="zh-CN"/>
        </w:rPr>
        <w:t>بشأن ا</w:t>
      </w:r>
      <w:r>
        <w:rPr>
          <w:rFonts w:hint="cs"/>
          <w:rtl/>
          <w:lang w:eastAsia="zh-CN"/>
        </w:rPr>
        <w:t>لتقدم المهني للموظفين في الويبو.</w:t>
      </w:r>
    </w:p>
    <w:p w:rsidR="00740C9E" w:rsidRDefault="00740C9E" w:rsidP="000B62B2">
      <w:pPr>
        <w:pStyle w:val="NumberedParaAR"/>
        <w:keepNext/>
        <w:numPr>
          <w:ilvl w:val="0"/>
          <w:numId w:val="4"/>
        </w:numPr>
        <w:rPr>
          <w:lang w:eastAsia="zh-CN"/>
        </w:rPr>
      </w:pPr>
      <w:r>
        <w:rPr>
          <w:rFonts w:hint="cs"/>
          <w:rtl/>
          <w:lang w:eastAsia="zh-CN"/>
        </w:rPr>
        <w:lastRenderedPageBreak/>
        <w:t>وخلص التقرير إلى النتائج والاستنتاجات والتوصيات الرئيسية التالية:</w:t>
      </w:r>
    </w:p>
    <w:p w:rsidR="00740C9E" w:rsidRDefault="00740C9E" w:rsidP="00BF5473">
      <w:pPr>
        <w:pStyle w:val="NormalParaAR"/>
        <w:keepNext/>
        <w:ind w:left="1134" w:hanging="567"/>
        <w:rPr>
          <w:rtl/>
          <w:lang w:eastAsia="zh-CN"/>
        </w:rPr>
      </w:pPr>
      <w:r>
        <w:rPr>
          <w:rFonts w:hint="cs"/>
          <w:rtl/>
          <w:lang w:eastAsia="zh-CN"/>
        </w:rPr>
        <w:t>(أ)</w:t>
      </w:r>
      <w:r>
        <w:rPr>
          <w:rtl/>
          <w:lang w:eastAsia="zh-CN"/>
        </w:rPr>
        <w:tab/>
      </w:r>
      <w:r>
        <w:rPr>
          <w:rFonts w:hint="cs"/>
          <w:rtl/>
          <w:lang w:eastAsia="zh-CN"/>
        </w:rPr>
        <w:t>أصبح المشاركون أكثر إدراكاً للمجالات المهنية المتاحة وبحثاً عنها وبدأوا يركزون على تحسين معارفهم ومهاراته</w:t>
      </w:r>
      <w:r w:rsidR="00BF5473">
        <w:rPr>
          <w:rFonts w:hint="cs"/>
          <w:rtl/>
          <w:lang w:eastAsia="zh-CN"/>
        </w:rPr>
        <w:t>م المهنية للوصول إلى مناصب أعلى؛</w:t>
      </w:r>
    </w:p>
    <w:p w:rsidR="00740C9E" w:rsidRDefault="00740C9E" w:rsidP="00BF5473">
      <w:pPr>
        <w:pStyle w:val="NormalParaAR"/>
        <w:ind w:left="1134" w:hanging="567"/>
        <w:rPr>
          <w:rtl/>
          <w:lang w:eastAsia="zh-CN"/>
        </w:rPr>
      </w:pPr>
      <w:r>
        <w:rPr>
          <w:rFonts w:hint="cs"/>
          <w:rtl/>
          <w:lang w:eastAsia="zh-CN"/>
        </w:rPr>
        <w:t>(ب)</w:t>
      </w:r>
      <w:r>
        <w:rPr>
          <w:rtl/>
          <w:lang w:eastAsia="zh-CN"/>
        </w:rPr>
        <w:tab/>
      </w:r>
      <w:r>
        <w:rPr>
          <w:rFonts w:hint="cs"/>
          <w:rtl/>
          <w:lang w:eastAsia="zh-CN"/>
        </w:rPr>
        <w:t>كانت المشاركة الكبيرة لمنفذي المشروع وروحهم المهنية السامية والتزامهم ال</w:t>
      </w:r>
      <w:r w:rsidR="00BF5473">
        <w:rPr>
          <w:rFonts w:hint="cs"/>
          <w:rtl/>
          <w:lang w:eastAsia="zh-CN"/>
        </w:rPr>
        <w:t>راسخ</w:t>
      </w:r>
      <w:r>
        <w:rPr>
          <w:rFonts w:hint="cs"/>
          <w:rtl/>
          <w:lang w:eastAsia="zh-CN"/>
        </w:rPr>
        <w:t xml:space="preserve"> عوامل أساسية في نجاح المرحلة الأولى من المشروع؛</w:t>
      </w:r>
    </w:p>
    <w:p w:rsidR="00740C9E" w:rsidRDefault="00740C9E" w:rsidP="00BF5473">
      <w:pPr>
        <w:pStyle w:val="NormalParaAR"/>
        <w:ind w:left="1134" w:hanging="567"/>
        <w:rPr>
          <w:rtl/>
          <w:lang w:eastAsia="zh-CN"/>
        </w:rPr>
      </w:pPr>
      <w:r>
        <w:rPr>
          <w:rFonts w:hint="cs"/>
          <w:rtl/>
          <w:lang w:eastAsia="zh-CN"/>
        </w:rPr>
        <w:t>(ج)</w:t>
      </w:r>
      <w:r>
        <w:rPr>
          <w:rtl/>
          <w:lang w:eastAsia="zh-CN"/>
        </w:rPr>
        <w:tab/>
      </w:r>
      <w:r>
        <w:rPr>
          <w:rFonts w:hint="cs"/>
          <w:rtl/>
          <w:lang w:eastAsia="zh-CN"/>
        </w:rPr>
        <w:t xml:space="preserve">ينبغي تصميم المشروع </w:t>
      </w:r>
      <w:r w:rsidR="00327C08">
        <w:rPr>
          <w:rFonts w:hint="cs"/>
          <w:rtl/>
          <w:lang w:eastAsia="zh-CN"/>
        </w:rPr>
        <w:t>بحيث ينطوي على نطاق عمل محدد ومؤشرات نواتج للتقييم وتقارير مرحلية عن التقدم المحرز لتبديد</w:t>
      </w:r>
      <w:r w:rsidR="00BF5473">
        <w:rPr>
          <w:rFonts w:hint="cs"/>
          <w:rtl/>
          <w:lang w:eastAsia="zh-CN"/>
        </w:rPr>
        <w:t xml:space="preserve"> الشعور</w:t>
      </w:r>
      <w:r w:rsidR="00327C08">
        <w:rPr>
          <w:rFonts w:hint="cs"/>
          <w:rtl/>
          <w:lang w:eastAsia="zh-CN"/>
        </w:rPr>
        <w:t xml:space="preserve"> المتزايد</w:t>
      </w:r>
      <w:r w:rsidR="00BF5473">
        <w:rPr>
          <w:rFonts w:hint="cs"/>
          <w:rtl/>
          <w:lang w:eastAsia="zh-CN"/>
        </w:rPr>
        <w:t xml:space="preserve"> بالإحباط</w:t>
      </w:r>
      <w:r w:rsidR="00327C08">
        <w:rPr>
          <w:rFonts w:hint="cs"/>
          <w:rtl/>
          <w:lang w:eastAsia="zh-CN"/>
        </w:rPr>
        <w:t xml:space="preserve"> لدى ملاك الموظفين وتشكيكهم في قدرة الويبو على وضع خطة محكمة للتقدم المهني للموظفين؛</w:t>
      </w:r>
    </w:p>
    <w:p w:rsidR="00327C08" w:rsidRDefault="00327C08" w:rsidP="00327C08">
      <w:pPr>
        <w:pStyle w:val="NormalParaAR"/>
        <w:ind w:left="1134" w:hanging="567"/>
        <w:rPr>
          <w:rtl/>
          <w:lang w:eastAsia="zh-CN"/>
        </w:rPr>
      </w:pPr>
      <w:r>
        <w:rPr>
          <w:rFonts w:hint="cs"/>
          <w:rtl/>
          <w:lang w:eastAsia="zh-CN"/>
        </w:rPr>
        <w:t>(د)</w:t>
      </w:r>
      <w:r>
        <w:rPr>
          <w:rtl/>
          <w:lang w:eastAsia="zh-CN"/>
        </w:rPr>
        <w:tab/>
      </w:r>
      <w:r>
        <w:rPr>
          <w:rFonts w:hint="cs"/>
          <w:rtl/>
          <w:lang w:eastAsia="zh-CN"/>
        </w:rPr>
        <w:t>ينبغي للمشروع أن يحدد المخاطر الرئيسية و</w:t>
      </w:r>
      <w:r w:rsidR="00BF5473">
        <w:rPr>
          <w:rFonts w:hint="cs"/>
          <w:rtl/>
          <w:lang w:eastAsia="zh-CN"/>
        </w:rPr>
        <w:t xml:space="preserve">أن </w:t>
      </w:r>
      <w:r>
        <w:rPr>
          <w:rFonts w:hint="cs"/>
          <w:rtl/>
          <w:lang w:eastAsia="zh-CN"/>
        </w:rPr>
        <w:t>يض</w:t>
      </w:r>
      <w:r w:rsidR="00BF5473">
        <w:rPr>
          <w:rFonts w:hint="cs"/>
          <w:rtl/>
          <w:lang w:eastAsia="zh-CN"/>
        </w:rPr>
        <w:t>م</w:t>
      </w:r>
      <w:r>
        <w:rPr>
          <w:rFonts w:hint="cs"/>
          <w:rtl/>
          <w:lang w:eastAsia="zh-CN"/>
        </w:rPr>
        <w:t xml:space="preserve"> تدابير للتخفيف من آثارها لضمان استكماله بنجاح وزيادة مستويات قبول موظفي الويبو؛</w:t>
      </w:r>
    </w:p>
    <w:p w:rsidR="00327C08" w:rsidRDefault="00327C08" w:rsidP="00835DB0">
      <w:pPr>
        <w:pStyle w:val="NormalParaAR"/>
        <w:ind w:left="1134" w:hanging="567"/>
        <w:rPr>
          <w:rtl/>
          <w:lang w:eastAsia="zh-CN"/>
        </w:rPr>
      </w:pPr>
      <w:r>
        <w:rPr>
          <w:rFonts w:hint="cs"/>
          <w:rtl/>
          <w:lang w:eastAsia="zh-CN"/>
        </w:rPr>
        <w:t>(ه)</w:t>
      </w:r>
      <w:r>
        <w:rPr>
          <w:rtl/>
          <w:lang w:eastAsia="zh-CN"/>
        </w:rPr>
        <w:tab/>
      </w:r>
      <w:r>
        <w:rPr>
          <w:rFonts w:hint="cs"/>
          <w:rtl/>
          <w:lang w:eastAsia="zh-CN"/>
        </w:rPr>
        <w:t xml:space="preserve">ينبغي تحسين معايير الاختيار لتوسيع نطاق المشروع </w:t>
      </w:r>
      <w:r w:rsidR="00835DB0">
        <w:rPr>
          <w:rFonts w:hint="cs"/>
          <w:rtl/>
          <w:lang w:eastAsia="zh-CN"/>
        </w:rPr>
        <w:t xml:space="preserve">بحيث </w:t>
      </w:r>
      <w:r>
        <w:rPr>
          <w:rFonts w:hint="cs"/>
          <w:rtl/>
          <w:lang w:eastAsia="zh-CN"/>
        </w:rPr>
        <w:t>يشمل فئات جديدة تحتاج إلى الدعم في مجال التقدم المهني، بغية زيادة فرص تكرار النتائج الإيجابية على نطاق أوسع؛</w:t>
      </w:r>
    </w:p>
    <w:p w:rsidR="00327C08" w:rsidRDefault="00327C08" w:rsidP="00835DB0">
      <w:pPr>
        <w:pStyle w:val="NormalParaAR"/>
        <w:ind w:left="1134" w:hanging="567"/>
        <w:rPr>
          <w:rtl/>
          <w:lang w:eastAsia="zh-CN"/>
        </w:rPr>
      </w:pPr>
      <w:r>
        <w:rPr>
          <w:rFonts w:hint="cs"/>
          <w:rtl/>
          <w:lang w:eastAsia="zh-CN"/>
        </w:rPr>
        <w:t>(و)</w:t>
      </w:r>
      <w:r>
        <w:rPr>
          <w:rtl/>
          <w:lang w:eastAsia="zh-CN"/>
        </w:rPr>
        <w:tab/>
      </w:r>
      <w:r>
        <w:rPr>
          <w:rFonts w:hint="cs"/>
          <w:rtl/>
          <w:lang w:eastAsia="zh-CN"/>
        </w:rPr>
        <w:t>ينبغي إعداد تقديرات واقعية للموارد البشرية والوقت اللازمين لإدارة كل الأنشطة المزمعة بفعالية. وسيكفل</w:t>
      </w:r>
      <w:r w:rsidR="00835DB0">
        <w:rPr>
          <w:rFonts w:hint="eastAsia"/>
          <w:rtl/>
          <w:lang w:eastAsia="zh-CN"/>
        </w:rPr>
        <w:t> </w:t>
      </w:r>
      <w:r>
        <w:rPr>
          <w:rFonts w:hint="cs"/>
          <w:rtl/>
          <w:lang w:eastAsia="zh-CN"/>
        </w:rPr>
        <w:t>ذلك توفير دعم عالي الجودة ومخصص للمراحل المقبلة للمشروع.</w:t>
      </w:r>
    </w:p>
    <w:p w:rsidR="00327C08" w:rsidRDefault="00AD5E7F" w:rsidP="00AD5E7F">
      <w:pPr>
        <w:pStyle w:val="Heading2AR"/>
        <w:rPr>
          <w:rtl/>
        </w:rPr>
      </w:pPr>
      <w:r>
        <w:rPr>
          <w:rFonts w:hint="cs"/>
          <w:rtl/>
        </w:rPr>
        <w:t>تقرير شعبة الرقابة الداخلية لتثبيت تقرير أداء البرنامج 2014/15</w:t>
      </w:r>
    </w:p>
    <w:p w:rsidR="00327C08" w:rsidRDefault="00AD5E7F" w:rsidP="000B62B2">
      <w:pPr>
        <w:pStyle w:val="NumberedParaAR"/>
        <w:keepNext/>
        <w:numPr>
          <w:ilvl w:val="0"/>
          <w:numId w:val="4"/>
        </w:numPr>
        <w:rPr>
          <w:lang w:eastAsia="zh-CN"/>
        </w:rPr>
      </w:pPr>
      <w:r>
        <w:rPr>
          <w:rFonts w:hint="cs"/>
          <w:rtl/>
          <w:lang w:eastAsia="zh-CN"/>
        </w:rPr>
        <w:t>استكملت الشعبة تقرير تثبيت تقرير أداء البرنامج 2014/15. ويلي بيان الهدفين من التثبيت:</w:t>
      </w:r>
    </w:p>
    <w:p w:rsidR="00AD5E7F" w:rsidRDefault="00AD5E7F" w:rsidP="00AD5E7F">
      <w:pPr>
        <w:pStyle w:val="NormalParaAR"/>
        <w:ind w:left="1134" w:hanging="567"/>
        <w:rPr>
          <w:rtl/>
          <w:lang w:eastAsia="zh-CN"/>
        </w:rPr>
      </w:pPr>
      <w:r>
        <w:rPr>
          <w:rFonts w:hint="cs"/>
          <w:rtl/>
          <w:lang w:eastAsia="zh-CN"/>
        </w:rPr>
        <w:t>(أ)</w:t>
      </w:r>
      <w:r>
        <w:rPr>
          <w:rtl/>
          <w:lang w:eastAsia="zh-CN"/>
        </w:rPr>
        <w:tab/>
        <w:t xml:space="preserve">التحقق بصفة مستقلة من موثوقية </w:t>
      </w:r>
      <w:r>
        <w:rPr>
          <w:rFonts w:hint="cs"/>
          <w:rtl/>
          <w:lang w:eastAsia="zh-CN"/>
        </w:rPr>
        <w:t>بيانات الأداء ونتائج التقرير ومن دقتها؛</w:t>
      </w:r>
    </w:p>
    <w:p w:rsidR="00AD5E7F" w:rsidRDefault="00AD5E7F" w:rsidP="00AD5E7F">
      <w:pPr>
        <w:pStyle w:val="NormalParaAR"/>
        <w:ind w:left="1134" w:hanging="567"/>
        <w:rPr>
          <w:rtl/>
          <w:lang w:eastAsia="zh-CN"/>
        </w:rPr>
      </w:pPr>
      <w:r>
        <w:rPr>
          <w:rtl/>
          <w:lang w:eastAsia="zh-CN"/>
        </w:rPr>
        <w:t>(ب)</w:t>
      </w:r>
      <w:r>
        <w:rPr>
          <w:rFonts w:hint="cs"/>
          <w:rtl/>
          <w:lang w:eastAsia="zh-CN"/>
        </w:rPr>
        <w:tab/>
      </w:r>
      <w:r>
        <w:rPr>
          <w:rtl/>
          <w:lang w:eastAsia="zh-CN"/>
        </w:rPr>
        <w:t>ومتابعة تنفيذ توصيات تقرير تثبيت تقرير أداء البرنامج السابق</w:t>
      </w:r>
      <w:r>
        <w:rPr>
          <w:rFonts w:hint="cs"/>
          <w:rtl/>
          <w:lang w:eastAsia="zh-CN"/>
        </w:rPr>
        <w:t>.</w:t>
      </w:r>
    </w:p>
    <w:p w:rsidR="00AD5E7F" w:rsidRDefault="00AD5E7F" w:rsidP="000B62B2">
      <w:pPr>
        <w:pStyle w:val="NumberedParaAR"/>
        <w:numPr>
          <w:ilvl w:val="0"/>
          <w:numId w:val="4"/>
        </w:numPr>
        <w:rPr>
          <w:lang w:eastAsia="zh-CN"/>
        </w:rPr>
      </w:pPr>
      <w:r>
        <w:rPr>
          <w:rFonts w:hint="cs"/>
          <w:rtl/>
          <w:lang w:eastAsia="zh-CN"/>
        </w:rPr>
        <w:t>وشملت عملية التثبيت الاختيار العشوائي لمؤشر أداء من كل برنامج ورد في تقرير أداء البرنامج 2014/15. وشمل أيضاً استخلاص استنتاجات عامة عن التقدم المحرز في تحسين إطار الأداء خلال الثنائية قيد الاستعراض.</w:t>
      </w:r>
    </w:p>
    <w:p w:rsidR="00AD5E7F" w:rsidRDefault="00AD5E7F" w:rsidP="00835DB0">
      <w:pPr>
        <w:pStyle w:val="NumberedParaAR"/>
        <w:numPr>
          <w:ilvl w:val="0"/>
          <w:numId w:val="4"/>
        </w:numPr>
        <w:rPr>
          <w:lang w:eastAsia="zh-CN"/>
        </w:rPr>
      </w:pPr>
      <w:r>
        <w:rPr>
          <w:rFonts w:hint="cs"/>
          <w:rtl/>
          <w:lang w:eastAsia="zh-CN"/>
        </w:rPr>
        <w:t>وكشف تقرير التثبيت أن 93 بالمئة من البرامج جمع بيانات أداء وجيهة وقيمة، وأن 77 بالمئة منها أعد بيانات أداء دقيقة وقابلة للتحقق، وأن 85 بالمئة منها</w:t>
      </w:r>
      <w:r w:rsidR="00211478">
        <w:rPr>
          <w:rFonts w:hint="cs"/>
          <w:rtl/>
          <w:lang w:eastAsia="zh-CN"/>
        </w:rPr>
        <w:t xml:space="preserve"> قدم معلومات دقيقة عن تقييمه الذاتي باستخدام نظام إشارات السير.</w:t>
      </w:r>
    </w:p>
    <w:p w:rsidR="00211478" w:rsidRDefault="00211478" w:rsidP="00835DB0">
      <w:pPr>
        <w:pStyle w:val="NumberedParaAR"/>
        <w:numPr>
          <w:ilvl w:val="0"/>
          <w:numId w:val="4"/>
        </w:numPr>
        <w:rPr>
          <w:lang w:eastAsia="zh-CN"/>
        </w:rPr>
      </w:pPr>
      <w:r>
        <w:rPr>
          <w:rFonts w:hint="cs"/>
          <w:rtl/>
          <w:lang w:eastAsia="zh-CN"/>
        </w:rPr>
        <w:t>وخلص تقرير التثبيت إلى توصيات في المجالات التالية: (أ) تحسين مؤشرات الأداء غير المقترنة بأساس مقارنة ولا</w:t>
      </w:r>
      <w:r w:rsidR="00835DB0">
        <w:rPr>
          <w:rFonts w:hint="eastAsia"/>
          <w:rtl/>
          <w:lang w:eastAsia="zh-CN"/>
        </w:rPr>
        <w:t> </w:t>
      </w:r>
      <w:r>
        <w:rPr>
          <w:rFonts w:hint="cs"/>
          <w:rtl/>
          <w:lang w:eastAsia="zh-CN"/>
        </w:rPr>
        <w:t>أهداف وتبسيطها؛ (ب) ووضع معيار رسمي لمؤشرات الأداء المنقطعة؛ (ج) وتحسين الآليات الداخلية لمعالجة التغييرات في مؤشرات الأداء خلال الثنائية.</w:t>
      </w:r>
    </w:p>
    <w:p w:rsidR="00211478" w:rsidRDefault="00211478" w:rsidP="00211478">
      <w:pPr>
        <w:pStyle w:val="Heading1AR"/>
        <w:rPr>
          <w:rtl/>
        </w:rPr>
      </w:pPr>
      <w:bookmarkStart w:id="10" w:name="_Toc456010990"/>
      <w:r>
        <w:rPr>
          <w:rFonts w:hint="cs"/>
          <w:rtl/>
        </w:rPr>
        <w:lastRenderedPageBreak/>
        <w:t>أنشطة التحقيق</w:t>
      </w:r>
      <w:bookmarkEnd w:id="10"/>
    </w:p>
    <w:p w:rsidR="00211478" w:rsidRPr="00211478" w:rsidRDefault="00211478" w:rsidP="00211478">
      <w:pPr>
        <w:pStyle w:val="Heading2AR"/>
        <w:rPr>
          <w:rtl/>
        </w:rPr>
      </w:pPr>
      <w:r w:rsidRPr="00211478">
        <w:rPr>
          <w:rtl/>
        </w:rPr>
        <w:t>‏لمحة عامة عن عدد الحالات</w:t>
      </w:r>
    </w:p>
    <w:p w:rsidR="00211478" w:rsidRDefault="00211478" w:rsidP="000B62B2">
      <w:pPr>
        <w:pStyle w:val="NumberedParaAR"/>
        <w:numPr>
          <w:ilvl w:val="0"/>
          <w:numId w:val="4"/>
        </w:numPr>
        <w:rPr>
          <w:lang w:eastAsia="zh-CN"/>
        </w:rPr>
      </w:pPr>
      <w:r>
        <w:rPr>
          <w:rtl/>
          <w:lang w:eastAsia="zh-CN"/>
        </w:rPr>
        <w:t xml:space="preserve">‏خلال الفترة المشمولة بالتقرير، سُجلت </w:t>
      </w:r>
      <w:r>
        <w:rPr>
          <w:rFonts w:hint="cs"/>
          <w:rtl/>
          <w:lang w:eastAsia="zh-CN"/>
        </w:rPr>
        <w:t>31</w:t>
      </w:r>
      <w:r>
        <w:rPr>
          <w:rtl/>
          <w:lang w:eastAsia="zh-CN"/>
        </w:rPr>
        <w:t xml:space="preserve"> حالة استفسار جديدة واستجيب </w:t>
      </w:r>
      <w:r>
        <w:rPr>
          <w:rFonts w:hint="cs"/>
          <w:rtl/>
          <w:lang w:eastAsia="zh-CN"/>
        </w:rPr>
        <w:t>لاثنين وثلاثين</w:t>
      </w:r>
      <w:r>
        <w:rPr>
          <w:rtl/>
          <w:lang w:eastAsia="zh-CN"/>
        </w:rPr>
        <w:t xml:space="preserve"> منها. وفي</w:t>
      </w:r>
      <w:r>
        <w:rPr>
          <w:rFonts w:hint="cs"/>
          <w:rtl/>
          <w:lang w:eastAsia="zh-CN"/>
        </w:rPr>
        <w:t> </w:t>
      </w:r>
      <w:r>
        <w:rPr>
          <w:rtl/>
          <w:lang w:eastAsia="zh-CN"/>
        </w:rPr>
        <w:t>30</w:t>
      </w:r>
      <w:r>
        <w:rPr>
          <w:rFonts w:hint="cs"/>
          <w:rtl/>
          <w:lang w:eastAsia="zh-CN"/>
        </w:rPr>
        <w:t> </w:t>
      </w:r>
      <w:r>
        <w:rPr>
          <w:rtl/>
          <w:lang w:eastAsia="zh-CN"/>
        </w:rPr>
        <w:t>يونيو</w:t>
      </w:r>
      <w:r>
        <w:rPr>
          <w:rFonts w:hint="cs"/>
          <w:rtl/>
          <w:lang w:eastAsia="zh-CN"/>
        </w:rPr>
        <w:t> 2016</w:t>
      </w:r>
      <w:r>
        <w:rPr>
          <w:rtl/>
          <w:lang w:eastAsia="zh-CN"/>
        </w:rPr>
        <w:t>،</w:t>
      </w:r>
      <w:r>
        <w:rPr>
          <w:rFonts w:hint="cs"/>
          <w:rtl/>
          <w:lang w:eastAsia="zh-CN"/>
        </w:rPr>
        <w:t xml:space="preserve"> كانت</w:t>
      </w:r>
      <w:r>
        <w:rPr>
          <w:rtl/>
          <w:lang w:eastAsia="zh-CN"/>
        </w:rPr>
        <w:t xml:space="preserve"> </w:t>
      </w:r>
      <w:r>
        <w:rPr>
          <w:rFonts w:hint="cs"/>
          <w:rtl/>
          <w:lang w:eastAsia="zh-CN"/>
        </w:rPr>
        <w:t>17</w:t>
      </w:r>
      <w:r>
        <w:rPr>
          <w:rtl/>
          <w:lang w:eastAsia="zh-CN"/>
        </w:rPr>
        <w:t xml:space="preserve"> حالة عالقة </w:t>
      </w:r>
      <w:r>
        <w:rPr>
          <w:rFonts w:hint="cs"/>
          <w:rtl/>
          <w:lang w:eastAsia="zh-CN"/>
        </w:rPr>
        <w:t>منها عشر حالات في مرحلة التقييم الأولي</w:t>
      </w:r>
      <w:r>
        <w:rPr>
          <w:rtl/>
          <w:lang w:eastAsia="zh-CN"/>
        </w:rPr>
        <w:t>ي و</w:t>
      </w:r>
      <w:r>
        <w:rPr>
          <w:rFonts w:hint="cs"/>
          <w:rtl/>
          <w:lang w:eastAsia="zh-CN"/>
        </w:rPr>
        <w:t>سبع</w:t>
      </w:r>
      <w:r>
        <w:rPr>
          <w:rtl/>
          <w:lang w:eastAsia="zh-CN"/>
        </w:rPr>
        <w:t xml:space="preserve"> حالات في مرحلة التحقيق الكامل.</w:t>
      </w:r>
      <w:r>
        <w:rPr>
          <w:rFonts w:hint="cs"/>
          <w:rtl/>
          <w:lang w:eastAsia="zh-CN"/>
        </w:rPr>
        <w:t xml:space="preserve"> وفُتحت 12 حالة من الحالات العالقة في عام 2016 وأربع حالات في عام 2015 وحالة واحدة في عام 2014. وفي 30 يونيو 2016، </w:t>
      </w:r>
      <w:r w:rsidRPr="00211478">
        <w:rPr>
          <w:rtl/>
          <w:lang w:eastAsia="zh-CN"/>
        </w:rPr>
        <w:t xml:space="preserve">بلغ متوسط مهلة معالجة الحالات التي يُحقق فيها </w:t>
      </w:r>
      <w:r w:rsidR="00E14344">
        <w:rPr>
          <w:rFonts w:hint="cs"/>
          <w:rtl/>
          <w:lang w:eastAsia="zh-CN"/>
        </w:rPr>
        <w:t>ستة</w:t>
      </w:r>
      <w:r>
        <w:rPr>
          <w:rFonts w:hint="cs"/>
          <w:rtl/>
          <w:lang w:eastAsia="zh-CN"/>
        </w:rPr>
        <w:t xml:space="preserve"> أشهر.</w:t>
      </w:r>
    </w:p>
    <w:p w:rsidR="00211478" w:rsidRDefault="00211478" w:rsidP="00590283">
      <w:pPr>
        <w:pStyle w:val="NormalParaAR"/>
        <w:keepNext/>
        <w:jc w:val="center"/>
        <w:rPr>
          <w:lang w:eastAsia="zh-CN"/>
        </w:rPr>
      </w:pPr>
      <w:r>
        <w:rPr>
          <w:rtl/>
          <w:lang w:eastAsia="zh-CN"/>
        </w:rPr>
        <w:t>‏</w:t>
      </w:r>
      <w:r w:rsidRPr="00211478">
        <w:rPr>
          <w:b/>
          <w:bCs/>
          <w:rtl/>
          <w:lang w:eastAsia="zh-CN"/>
        </w:rPr>
        <w:t xml:space="preserve">الرسم البياني (1) – تحليل مقارنة لعدد قضايا التحقيق من 30 يونيو </w:t>
      </w:r>
      <w:r>
        <w:rPr>
          <w:rFonts w:hint="cs"/>
          <w:b/>
          <w:bCs/>
          <w:rtl/>
          <w:lang w:eastAsia="zh-CN"/>
        </w:rPr>
        <w:t>2013</w:t>
      </w:r>
      <w:r w:rsidRPr="00211478">
        <w:rPr>
          <w:b/>
          <w:bCs/>
          <w:rtl/>
          <w:lang w:eastAsia="zh-CN"/>
        </w:rPr>
        <w:t xml:space="preserve"> إلى 30 يونيو </w:t>
      </w:r>
      <w:r>
        <w:rPr>
          <w:rFonts w:hint="cs"/>
          <w:b/>
          <w:bCs/>
          <w:rtl/>
          <w:lang w:eastAsia="zh-CN"/>
        </w:rPr>
        <w:t>2016</w:t>
      </w:r>
    </w:p>
    <w:p w:rsidR="00936ABF" w:rsidRDefault="00936ABF" w:rsidP="00936ABF">
      <w:pPr>
        <w:pStyle w:val="NormalParaAR"/>
        <w:spacing w:line="240" w:lineRule="auto"/>
        <w:jc w:val="center"/>
        <w:rPr>
          <w:noProof/>
          <w:rtl/>
        </w:rPr>
      </w:pPr>
      <w:bookmarkStart w:id="11" w:name="_Toc328920437"/>
      <w:r>
        <w:rPr>
          <w:noProof/>
        </w:rPr>
        <w:drawing>
          <wp:inline distT="0" distB="0" distL="0" distR="0" wp14:anchorId="142A1AA7" wp14:editId="2E4D23C1">
            <wp:extent cx="5934075" cy="22002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1204" cy="2210334"/>
                    </a:xfrm>
                    <a:prstGeom prst="rect">
                      <a:avLst/>
                    </a:prstGeom>
                    <a:noFill/>
                  </pic:spPr>
                </pic:pic>
              </a:graphicData>
            </a:graphic>
          </wp:inline>
        </w:drawing>
      </w:r>
    </w:p>
    <w:p w:rsidR="00936ABF" w:rsidRDefault="00936ABF" w:rsidP="000B62B2">
      <w:pPr>
        <w:pStyle w:val="NumberedParaAR"/>
        <w:numPr>
          <w:ilvl w:val="0"/>
          <w:numId w:val="4"/>
        </w:numPr>
        <w:rPr>
          <w:noProof/>
        </w:rPr>
      </w:pPr>
      <w:r w:rsidRPr="00936ABF">
        <w:rPr>
          <w:noProof/>
          <w:rtl/>
        </w:rPr>
        <w:t xml:space="preserve">‏ومن ضمن </w:t>
      </w:r>
      <w:r>
        <w:rPr>
          <w:rFonts w:hint="cs"/>
          <w:noProof/>
          <w:rtl/>
        </w:rPr>
        <w:t>الحالات المفتوحة خلال الفترة المشمولة بالتقرير،</w:t>
      </w:r>
      <w:r w:rsidRPr="00936ABF">
        <w:rPr>
          <w:noProof/>
          <w:rtl/>
        </w:rPr>
        <w:t xml:space="preserve"> أحيلت أربع </w:t>
      </w:r>
      <w:r>
        <w:rPr>
          <w:rFonts w:hint="cs"/>
          <w:noProof/>
          <w:rtl/>
        </w:rPr>
        <w:t>حالات</w:t>
      </w:r>
      <w:r w:rsidRPr="00936ABF">
        <w:rPr>
          <w:noProof/>
          <w:rtl/>
        </w:rPr>
        <w:t xml:space="preserve"> إلى اللجنة الاستشارية المستقلة للرقابة لتسدي المشورة بشأنها وفقاً للفقرات 18 إلى 21 من ميثاق الرقابة الداخلية.</w:t>
      </w:r>
    </w:p>
    <w:p w:rsidR="00936ABF" w:rsidRDefault="00936ABF" w:rsidP="00936ABF">
      <w:pPr>
        <w:pStyle w:val="Heading2AR"/>
      </w:pPr>
      <w:r>
        <w:rPr>
          <w:rFonts w:hint="cs"/>
          <w:rtl/>
        </w:rPr>
        <w:t>حصيلة أنشطة التحقيق</w:t>
      </w:r>
    </w:p>
    <w:p w:rsidR="00FF6B6C" w:rsidRDefault="00936ABF" w:rsidP="000B62B2">
      <w:pPr>
        <w:pStyle w:val="NumberedParaAR"/>
        <w:keepNext/>
        <w:numPr>
          <w:ilvl w:val="0"/>
          <w:numId w:val="4"/>
        </w:numPr>
      </w:pPr>
      <w:r>
        <w:rPr>
          <w:rFonts w:hint="cs"/>
          <w:noProof/>
          <w:rtl/>
        </w:rPr>
        <w:t xml:space="preserve">وفقاً لميثاق الرقابة الداخلية، يشمل التقرير السنوي </w:t>
      </w:r>
      <w:r w:rsidR="00FF6B6C">
        <w:rPr>
          <w:rFonts w:hint="cs"/>
          <w:noProof/>
          <w:rtl/>
        </w:rPr>
        <w:t xml:space="preserve">وصفاً </w:t>
      </w:r>
      <w:r w:rsidR="00FF6B6C" w:rsidRPr="00FF6B6C">
        <w:rPr>
          <w:rtl/>
        </w:rPr>
        <w:t>لقضايا التحقيق التي تم إثباتها مع ما صدر بشأنها من أحكام</w:t>
      </w:r>
      <w:r w:rsidR="00FF6B6C">
        <w:rPr>
          <w:rFonts w:hint="cs"/>
          <w:rtl/>
        </w:rPr>
        <w:t xml:space="preserve">. وفي سبع من القضايا المحقق فيها، </w:t>
      </w:r>
      <w:r w:rsidR="00FF6B6C" w:rsidRPr="00FF6B6C">
        <w:rPr>
          <w:rtl/>
        </w:rPr>
        <w:t>وجد</w:t>
      </w:r>
      <w:r w:rsidR="00FF6B6C">
        <w:rPr>
          <w:rtl/>
        </w:rPr>
        <w:t>ت الشعبة أدلة على صحة الادعاءات</w:t>
      </w:r>
      <w:r w:rsidR="00FF6B6C">
        <w:rPr>
          <w:rFonts w:hint="cs"/>
          <w:rtl/>
        </w:rPr>
        <w:t xml:space="preserve"> وأوصت باتخاذ تدابير تأديبية في حق </w:t>
      </w:r>
      <w:r w:rsidR="00FF6B6C">
        <w:rPr>
          <w:rFonts w:hint="cs"/>
          <w:rtl/>
          <w:lang w:eastAsia="zh-CN"/>
        </w:rPr>
        <w:t>موظف</w:t>
      </w:r>
      <w:r w:rsidR="00FF6B6C">
        <w:rPr>
          <w:rFonts w:hint="cs"/>
          <w:rtl/>
        </w:rPr>
        <w:t>. وإضافة إلى ذلك:</w:t>
      </w:r>
    </w:p>
    <w:p w:rsidR="00FF6B6C" w:rsidRDefault="00FF6B6C" w:rsidP="00FF6B6C">
      <w:pPr>
        <w:pStyle w:val="NormalParaAR"/>
        <w:ind w:left="1134" w:hanging="567"/>
        <w:rPr>
          <w:noProof/>
          <w:rtl/>
        </w:rPr>
      </w:pPr>
      <w:r>
        <w:rPr>
          <w:rFonts w:hint="cs"/>
          <w:noProof/>
          <w:rtl/>
        </w:rPr>
        <w:t>(أ)</w:t>
      </w:r>
      <w:r>
        <w:rPr>
          <w:noProof/>
          <w:rtl/>
        </w:rPr>
        <w:tab/>
      </w:r>
      <w:r w:rsidRPr="00FF6B6C">
        <w:rPr>
          <w:noProof/>
          <w:rtl/>
        </w:rPr>
        <w:t>أدت قضي</w:t>
      </w:r>
      <w:r>
        <w:rPr>
          <w:noProof/>
          <w:rtl/>
        </w:rPr>
        <w:t>ة واحدة إلى الاستغناء عن خدمات</w:t>
      </w:r>
      <w:r>
        <w:rPr>
          <w:rFonts w:hint="cs"/>
          <w:noProof/>
          <w:rtl/>
        </w:rPr>
        <w:t xml:space="preserve"> موظف</w:t>
      </w:r>
      <w:r w:rsidRPr="00FF6B6C">
        <w:rPr>
          <w:noProof/>
          <w:rtl/>
        </w:rPr>
        <w:t>؛</w:t>
      </w:r>
    </w:p>
    <w:p w:rsidR="00FF6B6C" w:rsidRDefault="00FF6B6C" w:rsidP="00FF6B6C">
      <w:pPr>
        <w:pStyle w:val="NormalParaAR"/>
        <w:ind w:left="1134" w:hanging="567"/>
        <w:rPr>
          <w:rtl/>
        </w:rPr>
      </w:pPr>
      <w:r>
        <w:rPr>
          <w:rFonts w:hint="cs"/>
          <w:rtl/>
        </w:rPr>
        <w:t>(ب)</w:t>
      </w:r>
      <w:r>
        <w:rPr>
          <w:rtl/>
        </w:rPr>
        <w:tab/>
      </w:r>
      <w:r>
        <w:rPr>
          <w:rFonts w:hint="cs"/>
          <w:rtl/>
        </w:rPr>
        <w:t>وقررت الإدارة عدم اتباع توصية الشعبة باتخاذ تدابير تأديبية في قضية واحدة؛</w:t>
      </w:r>
    </w:p>
    <w:p w:rsidR="00FF6B6C" w:rsidRDefault="00FF6B6C" w:rsidP="00FF6B6C">
      <w:pPr>
        <w:pStyle w:val="NormalParaAR"/>
        <w:ind w:left="1134" w:hanging="567"/>
        <w:rPr>
          <w:rtl/>
        </w:rPr>
      </w:pPr>
      <w:r>
        <w:rPr>
          <w:rFonts w:hint="cs"/>
          <w:rtl/>
        </w:rPr>
        <w:t>(ج)</w:t>
      </w:r>
      <w:r>
        <w:rPr>
          <w:rtl/>
        </w:rPr>
        <w:tab/>
      </w:r>
      <w:r>
        <w:rPr>
          <w:rFonts w:hint="cs"/>
          <w:rtl/>
        </w:rPr>
        <w:t>ولم تتخذ الإدارة قراراً نهائياً في خمس قضايا حتى 30 يونيو 2016.</w:t>
      </w:r>
    </w:p>
    <w:p w:rsidR="00FF6B6C" w:rsidRDefault="00FF6B6C" w:rsidP="00787C92">
      <w:pPr>
        <w:pStyle w:val="NumberedParaAR"/>
        <w:keepLines/>
        <w:numPr>
          <w:ilvl w:val="0"/>
          <w:numId w:val="4"/>
        </w:numPr>
      </w:pPr>
      <w:r>
        <w:rPr>
          <w:rtl/>
        </w:rPr>
        <w:t xml:space="preserve">‏وإضافة إلى ذلك، مكَّنت أنشطة التحقيق التي نُفذت خلال الفترة المشمولة بالتقرير الشعبة من استخلاص بعض الدروس. وبوجه خاص، أُصدرت </w:t>
      </w:r>
      <w:r>
        <w:rPr>
          <w:rFonts w:hint="cs"/>
          <w:rtl/>
        </w:rPr>
        <w:t>أربعة</w:t>
      </w:r>
      <w:r>
        <w:rPr>
          <w:rtl/>
        </w:rPr>
        <w:t xml:space="preserve"> تقارير إدارة قدمت فيها توصيات لتحسين الضوابط</w:t>
      </w:r>
      <w:r>
        <w:rPr>
          <w:rFonts w:hint="cs"/>
          <w:rtl/>
        </w:rPr>
        <w:t xml:space="preserve"> والإجراءات</w:t>
      </w:r>
      <w:r>
        <w:rPr>
          <w:rtl/>
        </w:rPr>
        <w:t xml:space="preserve"> الداخلية</w:t>
      </w:r>
      <w:r>
        <w:rPr>
          <w:rFonts w:hint="cs"/>
          <w:rtl/>
        </w:rPr>
        <w:t>.</w:t>
      </w:r>
      <w:r>
        <w:rPr>
          <w:rtl/>
        </w:rPr>
        <w:t xml:space="preserve"> وتتعلق القضايا المعروضة على الإدارة بموضوعات مثل </w:t>
      </w:r>
      <w:r>
        <w:rPr>
          <w:rFonts w:hint="cs"/>
          <w:rtl/>
        </w:rPr>
        <w:t>مراقبة النفاذ المادي، وأمن المعلومات، والأسفار الرسمية، وإجراءات التعيين</w:t>
      </w:r>
      <w:r w:rsidR="00C3060D">
        <w:rPr>
          <w:rFonts w:hint="cs"/>
          <w:rtl/>
        </w:rPr>
        <w:t>،</w:t>
      </w:r>
      <w:r>
        <w:rPr>
          <w:rFonts w:hint="cs"/>
          <w:rtl/>
        </w:rPr>
        <w:t xml:space="preserve"> ومعالجة طلبات الزبائن في سجل مدريد.</w:t>
      </w:r>
    </w:p>
    <w:p w:rsidR="00FF6B6C" w:rsidRDefault="00FF6B6C" w:rsidP="000B62B2">
      <w:pPr>
        <w:pStyle w:val="NumberedParaAR"/>
        <w:keepNext/>
        <w:numPr>
          <w:ilvl w:val="0"/>
          <w:numId w:val="4"/>
        </w:numPr>
      </w:pPr>
      <w:r>
        <w:rPr>
          <w:rtl/>
        </w:rPr>
        <w:lastRenderedPageBreak/>
        <w:t xml:space="preserve">‏ويرد فيما يلي تحليل مقارنة للقضايا المسجلة في الفترة من 1 يوليو </w:t>
      </w:r>
      <w:r>
        <w:rPr>
          <w:rFonts w:hint="cs"/>
          <w:rtl/>
        </w:rPr>
        <w:t>2013</w:t>
      </w:r>
      <w:r>
        <w:rPr>
          <w:rtl/>
        </w:rPr>
        <w:t xml:space="preserve"> إلى 30 يونيو </w:t>
      </w:r>
      <w:r>
        <w:rPr>
          <w:rFonts w:hint="cs"/>
          <w:rtl/>
        </w:rPr>
        <w:t>2016</w:t>
      </w:r>
      <w:r>
        <w:rPr>
          <w:rtl/>
        </w:rPr>
        <w:t>.</w:t>
      </w:r>
    </w:p>
    <w:p w:rsidR="00FF6B6C" w:rsidRDefault="00FF6B6C" w:rsidP="006B16CA">
      <w:pPr>
        <w:pStyle w:val="NormalParaAR"/>
        <w:keepNext/>
        <w:jc w:val="center"/>
      </w:pPr>
      <w:r>
        <w:rPr>
          <w:rtl/>
        </w:rPr>
        <w:t>‏</w:t>
      </w:r>
      <w:r w:rsidRPr="00D5479C">
        <w:rPr>
          <w:b/>
          <w:bCs/>
          <w:rtl/>
        </w:rPr>
        <w:t xml:space="preserve">الجدول 1 – تحليل الشكاوى الواردة من </w:t>
      </w:r>
      <w:r w:rsidR="006B16CA">
        <w:rPr>
          <w:rFonts w:hint="cs"/>
          <w:b/>
          <w:bCs/>
          <w:rtl/>
        </w:rPr>
        <w:t>30</w:t>
      </w:r>
      <w:r w:rsidRPr="00D5479C">
        <w:rPr>
          <w:b/>
          <w:bCs/>
          <w:rtl/>
        </w:rPr>
        <w:t xml:space="preserve"> </w:t>
      </w:r>
      <w:r w:rsidR="006B16CA">
        <w:rPr>
          <w:rFonts w:hint="cs"/>
          <w:b/>
          <w:bCs/>
          <w:rtl/>
        </w:rPr>
        <w:t>يونيو</w:t>
      </w:r>
      <w:r w:rsidRPr="00D5479C">
        <w:rPr>
          <w:b/>
          <w:bCs/>
          <w:rtl/>
        </w:rPr>
        <w:t xml:space="preserve"> </w:t>
      </w:r>
      <w:r w:rsidR="00D5479C">
        <w:rPr>
          <w:rFonts w:hint="cs"/>
          <w:b/>
          <w:bCs/>
          <w:rtl/>
        </w:rPr>
        <w:t>2013</w:t>
      </w:r>
      <w:r w:rsidRPr="00D5479C">
        <w:rPr>
          <w:b/>
          <w:bCs/>
          <w:rtl/>
        </w:rPr>
        <w:t xml:space="preserve"> إلى 30 يونيو </w:t>
      </w:r>
      <w:r w:rsidR="00D5479C">
        <w:rPr>
          <w:rFonts w:hint="cs"/>
          <w:b/>
          <w:bCs/>
          <w:rtl/>
        </w:rPr>
        <w:t>2016</w:t>
      </w:r>
    </w:p>
    <w:tbl>
      <w:tblPr>
        <w:bidiVisual/>
        <w:tblW w:w="9322" w:type="dxa"/>
        <w:tblCellMar>
          <w:left w:w="0" w:type="dxa"/>
          <w:right w:w="0" w:type="dxa"/>
        </w:tblCellMar>
        <w:tblLook w:val="04A0" w:firstRow="1" w:lastRow="0" w:firstColumn="1" w:lastColumn="0" w:noHBand="0" w:noVBand="1"/>
      </w:tblPr>
      <w:tblGrid>
        <w:gridCol w:w="4468"/>
        <w:gridCol w:w="743"/>
        <w:gridCol w:w="993"/>
        <w:gridCol w:w="590"/>
        <w:gridCol w:w="969"/>
        <w:gridCol w:w="567"/>
        <w:gridCol w:w="992"/>
      </w:tblGrid>
      <w:tr w:rsidR="00D5479C" w:rsidRPr="00392CD6" w:rsidTr="003B0AD3">
        <w:trPr>
          <w:trHeight w:val="330"/>
        </w:trPr>
        <w:tc>
          <w:tcPr>
            <w:tcW w:w="4468" w:type="dxa"/>
            <w:noWrap/>
            <w:tcMar>
              <w:top w:w="0" w:type="dxa"/>
              <w:left w:w="108" w:type="dxa"/>
              <w:bottom w:w="0" w:type="dxa"/>
              <w:right w:w="108" w:type="dxa"/>
            </w:tcMar>
            <w:vAlign w:val="center"/>
          </w:tcPr>
          <w:p w:rsidR="00D5479C" w:rsidRPr="00BB0198" w:rsidRDefault="00D5479C" w:rsidP="00D5479C">
            <w:pPr>
              <w:bidi/>
              <w:spacing w:after="120"/>
              <w:rPr>
                <w:rFonts w:eastAsia="Calibri"/>
                <w:sz w:val="30"/>
                <w:szCs w:val="30"/>
              </w:rPr>
            </w:pPr>
          </w:p>
        </w:tc>
        <w:tc>
          <w:tcPr>
            <w:tcW w:w="1736"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hideMark/>
          </w:tcPr>
          <w:p w:rsidR="00D5479C" w:rsidRPr="006B16CA" w:rsidRDefault="00D5479C" w:rsidP="006B16CA">
            <w:pPr>
              <w:bidi/>
              <w:spacing w:after="120"/>
              <w:jc w:val="center"/>
              <w:rPr>
                <w:b/>
                <w:bCs/>
                <w:sz w:val="30"/>
                <w:szCs w:val="30"/>
              </w:rPr>
            </w:pPr>
            <w:r w:rsidRPr="006B16CA">
              <w:rPr>
                <w:rFonts w:ascii="Arabic Typesetting" w:hAnsi="Arabic Typesetting" w:cs="Arabic Typesetting"/>
                <w:b/>
                <w:bCs/>
                <w:sz w:val="30"/>
                <w:szCs w:val="30"/>
                <w:rtl/>
              </w:rPr>
              <w:t>1 يوليو 2013 – 30</w:t>
            </w:r>
            <w:r w:rsidRPr="006B16CA">
              <w:rPr>
                <w:rFonts w:ascii="Arabic Typesetting" w:hAnsi="Arabic Typesetting" w:cs="Arabic Typesetting" w:hint="cs"/>
                <w:b/>
                <w:bCs/>
                <w:sz w:val="30"/>
                <w:szCs w:val="30"/>
                <w:rtl/>
              </w:rPr>
              <w:t> </w:t>
            </w:r>
            <w:r w:rsidRPr="006B16CA">
              <w:rPr>
                <w:rFonts w:ascii="Arabic Typesetting" w:hAnsi="Arabic Typesetting" w:cs="Arabic Typesetting"/>
                <w:b/>
                <w:bCs/>
                <w:sz w:val="30"/>
                <w:szCs w:val="30"/>
                <w:rtl/>
              </w:rPr>
              <w:t>يونيو</w:t>
            </w:r>
            <w:r w:rsidRPr="006B16CA">
              <w:rPr>
                <w:rFonts w:ascii="Arabic Typesetting" w:hAnsi="Arabic Typesetting" w:cs="Arabic Typesetting" w:hint="cs"/>
                <w:b/>
                <w:bCs/>
                <w:sz w:val="30"/>
                <w:szCs w:val="30"/>
                <w:rtl/>
              </w:rPr>
              <w:t> </w:t>
            </w:r>
            <w:r w:rsidRPr="006B16CA">
              <w:rPr>
                <w:rFonts w:ascii="Arabic Typesetting" w:hAnsi="Arabic Typesetting" w:cs="Arabic Typesetting"/>
                <w:b/>
                <w:bCs/>
                <w:sz w:val="30"/>
                <w:szCs w:val="30"/>
                <w:rtl/>
              </w:rPr>
              <w:t>2014</w:t>
            </w:r>
          </w:p>
        </w:tc>
        <w:tc>
          <w:tcPr>
            <w:tcW w:w="1559"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rsidR="00D5479C" w:rsidRPr="006B16CA" w:rsidRDefault="00D5479C" w:rsidP="006B16CA">
            <w:pPr>
              <w:bidi/>
              <w:spacing w:after="120"/>
              <w:jc w:val="center"/>
              <w:rPr>
                <w:b/>
                <w:bCs/>
                <w:sz w:val="30"/>
                <w:szCs w:val="30"/>
              </w:rPr>
            </w:pPr>
            <w:r w:rsidRPr="006B16CA">
              <w:rPr>
                <w:rFonts w:ascii="Arabic Typesetting" w:hAnsi="Arabic Typesetting" w:cs="Arabic Typesetting"/>
                <w:b/>
                <w:bCs/>
                <w:sz w:val="30"/>
                <w:szCs w:val="30"/>
                <w:rtl/>
              </w:rPr>
              <w:t xml:space="preserve">1 يوليو </w:t>
            </w:r>
            <w:r w:rsidRPr="006B16CA">
              <w:rPr>
                <w:rFonts w:ascii="Arabic Typesetting" w:hAnsi="Arabic Typesetting" w:cs="Arabic Typesetting" w:hint="cs"/>
                <w:b/>
                <w:bCs/>
                <w:sz w:val="30"/>
                <w:szCs w:val="30"/>
                <w:rtl/>
              </w:rPr>
              <w:t>2014</w:t>
            </w:r>
            <w:r w:rsidRPr="006B16CA">
              <w:rPr>
                <w:rFonts w:ascii="Arabic Typesetting" w:hAnsi="Arabic Typesetting" w:cs="Arabic Typesetting"/>
                <w:b/>
                <w:bCs/>
                <w:sz w:val="30"/>
                <w:szCs w:val="30"/>
                <w:rtl/>
              </w:rPr>
              <w:t xml:space="preserve"> – 30</w:t>
            </w:r>
            <w:r w:rsidRPr="006B16CA">
              <w:rPr>
                <w:rFonts w:ascii="Arabic Typesetting" w:hAnsi="Arabic Typesetting" w:cs="Arabic Typesetting" w:hint="cs"/>
                <w:b/>
                <w:bCs/>
                <w:sz w:val="30"/>
                <w:szCs w:val="30"/>
                <w:rtl/>
              </w:rPr>
              <w:t> </w:t>
            </w:r>
            <w:r w:rsidRPr="006B16CA">
              <w:rPr>
                <w:rFonts w:ascii="Arabic Typesetting" w:hAnsi="Arabic Typesetting" w:cs="Arabic Typesetting"/>
                <w:b/>
                <w:bCs/>
                <w:sz w:val="30"/>
                <w:szCs w:val="30"/>
                <w:rtl/>
              </w:rPr>
              <w:t>يونيو</w:t>
            </w:r>
            <w:r w:rsidRPr="006B16CA">
              <w:rPr>
                <w:rFonts w:ascii="Arabic Typesetting" w:hAnsi="Arabic Typesetting" w:cs="Arabic Typesetting" w:hint="cs"/>
                <w:b/>
                <w:bCs/>
                <w:sz w:val="30"/>
                <w:szCs w:val="30"/>
                <w:rtl/>
              </w:rPr>
              <w:t> 2015</w:t>
            </w:r>
          </w:p>
        </w:tc>
        <w:tc>
          <w:tcPr>
            <w:tcW w:w="1559"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rsidR="00D5479C" w:rsidRPr="006B16CA" w:rsidRDefault="00D5479C" w:rsidP="006B16CA">
            <w:pPr>
              <w:bidi/>
              <w:spacing w:after="120"/>
              <w:jc w:val="center"/>
              <w:rPr>
                <w:b/>
                <w:bCs/>
                <w:sz w:val="30"/>
                <w:szCs w:val="30"/>
              </w:rPr>
            </w:pPr>
            <w:r w:rsidRPr="006B16CA">
              <w:rPr>
                <w:rFonts w:ascii="Arabic Typesetting" w:hAnsi="Arabic Typesetting" w:cs="Arabic Typesetting"/>
                <w:b/>
                <w:bCs/>
                <w:sz w:val="30"/>
                <w:szCs w:val="30"/>
                <w:rtl/>
              </w:rPr>
              <w:t xml:space="preserve">1 يوليو </w:t>
            </w:r>
            <w:r w:rsidRPr="006B16CA">
              <w:rPr>
                <w:rFonts w:ascii="Arabic Typesetting" w:hAnsi="Arabic Typesetting" w:cs="Arabic Typesetting" w:hint="cs"/>
                <w:b/>
                <w:bCs/>
                <w:sz w:val="30"/>
                <w:szCs w:val="30"/>
                <w:rtl/>
              </w:rPr>
              <w:t>2015</w:t>
            </w:r>
            <w:r w:rsidRPr="006B16CA">
              <w:rPr>
                <w:rFonts w:ascii="Arabic Typesetting" w:hAnsi="Arabic Typesetting" w:cs="Arabic Typesetting"/>
                <w:b/>
                <w:bCs/>
                <w:sz w:val="30"/>
                <w:szCs w:val="30"/>
                <w:rtl/>
              </w:rPr>
              <w:t xml:space="preserve"> – 30</w:t>
            </w:r>
            <w:r w:rsidRPr="006B16CA">
              <w:rPr>
                <w:rFonts w:ascii="Arabic Typesetting" w:hAnsi="Arabic Typesetting" w:cs="Arabic Typesetting" w:hint="cs"/>
                <w:b/>
                <w:bCs/>
                <w:sz w:val="30"/>
                <w:szCs w:val="30"/>
                <w:rtl/>
              </w:rPr>
              <w:t> </w:t>
            </w:r>
            <w:r w:rsidRPr="006B16CA">
              <w:rPr>
                <w:rFonts w:ascii="Arabic Typesetting" w:hAnsi="Arabic Typesetting" w:cs="Arabic Typesetting"/>
                <w:b/>
                <w:bCs/>
                <w:sz w:val="30"/>
                <w:szCs w:val="30"/>
                <w:rtl/>
              </w:rPr>
              <w:t>يونيو</w:t>
            </w:r>
            <w:r w:rsidRPr="006B16CA">
              <w:rPr>
                <w:rFonts w:ascii="Arabic Typesetting" w:hAnsi="Arabic Typesetting" w:cs="Arabic Typesetting" w:hint="cs"/>
                <w:b/>
                <w:bCs/>
                <w:sz w:val="30"/>
                <w:szCs w:val="30"/>
                <w:rtl/>
              </w:rPr>
              <w:t> 2016</w:t>
            </w:r>
          </w:p>
        </w:tc>
      </w:tr>
      <w:tr w:rsidR="007B169B" w:rsidRPr="00392CD6" w:rsidTr="00D5479C">
        <w:trPr>
          <w:trHeight w:val="255"/>
        </w:trPr>
        <w:tc>
          <w:tcPr>
            <w:tcW w:w="4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yellow"/>
              </w:rPr>
            </w:pPr>
            <w:r w:rsidRPr="00BB0198">
              <w:rPr>
                <w:rFonts w:ascii="Arabic Typesetting" w:hAnsi="Arabic Typesetting" w:cs="Arabic Typesetting"/>
                <w:sz w:val="30"/>
                <w:szCs w:val="30"/>
                <w:rtl/>
              </w:rPr>
              <w:t>إساءة استخدام وقت العمل</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5</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%20</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w:t>
            </w:r>
            <w:r w:rsidRPr="00392CD6">
              <w:rPr>
                <w:rFonts w:eastAsia="Calibri"/>
                <w:sz w:val="16"/>
                <w:szCs w:val="16"/>
              </w:rPr>
              <w:t>)</w:t>
            </w:r>
          </w:p>
        </w:tc>
      </w:tr>
      <w:tr w:rsidR="007B169B" w:rsidRPr="00392CD6" w:rsidTr="00D5479C">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lightGray"/>
              </w:rPr>
            </w:pPr>
            <w:r w:rsidRPr="00BB0198">
              <w:rPr>
                <w:rFonts w:ascii="Arabic Typesetting" w:hAnsi="Arabic Typesetting" w:cs="Arabic Typesetting" w:hint="cs"/>
                <w:color w:val="000000"/>
                <w:sz w:val="30"/>
                <w:szCs w:val="30"/>
                <w:rtl/>
              </w:rPr>
              <w:t>الغش للحصول على</w:t>
            </w:r>
            <w:r w:rsidRPr="00BB0198">
              <w:rPr>
                <w:rFonts w:ascii="Arabic Typesetting" w:hAnsi="Arabic Typesetting" w:cs="Arabic Typesetting"/>
                <w:color w:val="000000"/>
                <w:sz w:val="30"/>
                <w:szCs w:val="30"/>
                <w:rtl/>
              </w:rPr>
              <w:t xml:space="preserve"> مزايا </w:t>
            </w:r>
            <w:r w:rsidRPr="00BB0198">
              <w:rPr>
                <w:rFonts w:ascii="Arabic Typesetting" w:hAnsi="Arabic Typesetting" w:cs="Arabic Typesetting" w:hint="cs"/>
                <w:color w:val="000000"/>
                <w:sz w:val="30"/>
                <w:szCs w:val="30"/>
                <w:rtl/>
              </w:rPr>
              <w:t xml:space="preserve">أو </w:t>
            </w:r>
            <w:r w:rsidRPr="00BB0198">
              <w:rPr>
                <w:rFonts w:ascii="Arabic Typesetting" w:hAnsi="Arabic Typesetting" w:cs="Arabic Typesetting"/>
                <w:color w:val="000000"/>
                <w:sz w:val="30"/>
                <w:szCs w:val="30"/>
                <w:rtl/>
              </w:rPr>
              <w:t>مستحقات</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2</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%8</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%3</w:t>
            </w:r>
            <w:r w:rsidRPr="00392CD6">
              <w:rPr>
                <w:rFonts w:eastAsia="Calibri"/>
                <w:sz w:val="16"/>
                <w:szCs w:val="16"/>
              </w:rPr>
              <w:t>)</w:t>
            </w:r>
          </w:p>
        </w:tc>
      </w:tr>
      <w:tr w:rsidR="007B169B" w:rsidRPr="00392CD6" w:rsidTr="00D5479C">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yellow"/>
              </w:rPr>
            </w:pPr>
            <w:r w:rsidRPr="00BB0198">
              <w:rPr>
                <w:rFonts w:ascii="Arabic Typesetting" w:hAnsi="Arabic Typesetting" w:cs="Arabic Typesetting"/>
                <w:color w:val="000000"/>
                <w:sz w:val="30"/>
                <w:szCs w:val="30"/>
                <w:rtl/>
              </w:rPr>
              <w:t>مضايقة/تمييز/إساءة استخدام السلطة</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%26</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7</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%28</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%26</w:t>
            </w:r>
            <w:r w:rsidRPr="00392CD6">
              <w:rPr>
                <w:rFonts w:eastAsia="Calibri"/>
                <w:sz w:val="16"/>
                <w:szCs w:val="16"/>
              </w:rPr>
              <w:t>)</w:t>
            </w:r>
          </w:p>
        </w:tc>
      </w:tr>
      <w:tr w:rsidR="007B169B" w:rsidRPr="00392CD6" w:rsidTr="00BB0198">
        <w:trPr>
          <w:trHeight w:val="6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lightGray"/>
              </w:rPr>
            </w:pPr>
            <w:r w:rsidRPr="00BB0198">
              <w:rPr>
                <w:rFonts w:ascii="Arabic Typesetting" w:hAnsi="Arabic Typesetting" w:cs="Arabic Typesetting"/>
                <w:sz w:val="30"/>
                <w:szCs w:val="30"/>
                <w:rtl/>
              </w:rPr>
              <w:t xml:space="preserve">ممارسات مخالفة </w:t>
            </w:r>
            <w:r w:rsidRPr="00BB0198">
              <w:rPr>
                <w:rFonts w:ascii="Arabic Typesetting" w:hAnsi="Arabic Typesetting" w:cs="Arabic Typesetting" w:hint="cs"/>
                <w:sz w:val="30"/>
                <w:szCs w:val="30"/>
                <w:rtl/>
              </w:rPr>
              <w:t>بشأن</w:t>
            </w:r>
            <w:r w:rsidRPr="00BB0198">
              <w:rPr>
                <w:rFonts w:ascii="Arabic Typesetting" w:hAnsi="Arabic Typesetting" w:cs="Arabic Typesetting"/>
                <w:sz w:val="30"/>
                <w:szCs w:val="30"/>
                <w:rtl/>
              </w:rPr>
              <w:t xml:space="preserve"> الموارد البشرية</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%15</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0</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%0</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w:t>
            </w:r>
            <w:r w:rsidRPr="00392CD6">
              <w:rPr>
                <w:rFonts w:eastAsia="Calibri"/>
                <w:sz w:val="16"/>
                <w:szCs w:val="16"/>
              </w:rPr>
              <w:t>)</w:t>
            </w:r>
          </w:p>
        </w:tc>
      </w:tr>
      <w:tr w:rsidR="007B169B" w:rsidRPr="00392CD6" w:rsidTr="00BB0198">
        <w:trPr>
          <w:trHeight w:val="6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yellow"/>
              </w:rPr>
            </w:pPr>
            <w:r w:rsidRPr="00BB0198">
              <w:rPr>
                <w:rFonts w:ascii="Arabic Typesetting" w:hAnsi="Arabic Typesetting" w:cs="Arabic Typesetting"/>
                <w:color w:val="000000"/>
                <w:sz w:val="30"/>
                <w:szCs w:val="30"/>
                <w:rtl/>
              </w:rPr>
              <w:t>إساءة استخدام موارد تكنولوجيا المعلومات والاتصالات</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%0</w:t>
            </w:r>
            <w:r w:rsidRPr="00392CD6">
              <w:rPr>
                <w:rFonts w:eastAsia="Calibri"/>
                <w:sz w:val="16"/>
                <w:szCs w:val="16"/>
              </w:rPr>
              <w:t>)</w:t>
            </w:r>
          </w:p>
        </w:tc>
      </w:tr>
      <w:tr w:rsidR="007B169B" w:rsidRPr="00392CD6" w:rsidTr="00D5479C">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rPr>
            </w:pPr>
            <w:r w:rsidRPr="00BB0198">
              <w:rPr>
                <w:rFonts w:ascii="Arabic Typesetting" w:hAnsi="Arabic Typesetting" w:cs="Arabic Typesetting"/>
                <w:color w:val="000000"/>
                <w:sz w:val="30"/>
                <w:szCs w:val="30"/>
                <w:rtl/>
              </w:rPr>
              <w:t xml:space="preserve">ممارسات </w:t>
            </w:r>
            <w:r w:rsidRPr="00BB0198">
              <w:rPr>
                <w:rFonts w:ascii="Arabic Typesetting" w:hAnsi="Arabic Typesetting" w:cs="Arabic Typesetting" w:hint="cs"/>
                <w:color w:val="000000"/>
                <w:sz w:val="30"/>
                <w:szCs w:val="30"/>
                <w:rtl/>
              </w:rPr>
              <w:t>تنطوي على الغش أو الفساد أو إساءة استخدام السلطة</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%11</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%16</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%26</w:t>
            </w:r>
            <w:r w:rsidRPr="00392CD6">
              <w:rPr>
                <w:rFonts w:eastAsia="Calibri"/>
                <w:sz w:val="16"/>
                <w:szCs w:val="16"/>
              </w:rPr>
              <w:t>)</w:t>
            </w:r>
          </w:p>
        </w:tc>
      </w:tr>
      <w:tr w:rsidR="007B169B" w:rsidRPr="00392CD6" w:rsidTr="00BB0198">
        <w:trPr>
          <w:trHeight w:val="6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yellow"/>
              </w:rPr>
            </w:pPr>
            <w:r w:rsidRPr="00BB0198">
              <w:rPr>
                <w:rFonts w:ascii="Arabic Typesetting" w:hAnsi="Arabic Typesetting" w:cs="Arabic Typesetting"/>
                <w:color w:val="000000"/>
                <w:sz w:val="30"/>
                <w:szCs w:val="30"/>
                <w:rtl/>
              </w:rPr>
              <w:t xml:space="preserve">بيانات وتصريحات وأنشطة </w:t>
            </w:r>
            <w:r w:rsidRPr="00BB0198">
              <w:rPr>
                <w:rFonts w:ascii="Arabic Typesetting" w:hAnsi="Arabic Typesetting" w:cs="Arabic Typesetting" w:hint="cs"/>
                <w:color w:val="000000"/>
                <w:sz w:val="30"/>
                <w:szCs w:val="30"/>
                <w:rtl/>
              </w:rPr>
              <w:t>تخالف</w:t>
            </w:r>
            <w:r w:rsidRPr="00BB0198">
              <w:rPr>
                <w:rFonts w:ascii="Arabic Typesetting" w:hAnsi="Arabic Typesetting" w:cs="Arabic Typesetting"/>
                <w:color w:val="000000"/>
                <w:sz w:val="30"/>
                <w:szCs w:val="30"/>
                <w:rtl/>
              </w:rPr>
              <w:t xml:space="preserve"> التزامات موظف مدني دولي</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%26</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%13</w:t>
            </w:r>
            <w:r w:rsidRPr="00392CD6">
              <w:rPr>
                <w:rFonts w:eastAsia="Calibri"/>
                <w:sz w:val="16"/>
                <w:szCs w:val="16"/>
              </w:rPr>
              <w:t>)</w:t>
            </w:r>
          </w:p>
        </w:tc>
      </w:tr>
      <w:tr w:rsidR="007B169B" w:rsidRPr="00392CD6" w:rsidTr="00D5479C">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lightGray"/>
              </w:rPr>
            </w:pPr>
            <w:r w:rsidRPr="00BB0198">
              <w:rPr>
                <w:rFonts w:ascii="Arabic Typesetting" w:hAnsi="Arabic Typesetting" w:cs="Arabic Typesetting"/>
                <w:color w:val="000000"/>
                <w:sz w:val="30"/>
                <w:szCs w:val="30"/>
                <w:rtl/>
              </w:rPr>
              <w:t xml:space="preserve">الإفصاح عن معلومات دون </w:t>
            </w:r>
            <w:r w:rsidRPr="00BB0198">
              <w:rPr>
                <w:rFonts w:ascii="Arabic Typesetting" w:hAnsi="Arabic Typesetting" w:cs="Arabic Typesetting" w:hint="cs"/>
                <w:color w:val="000000"/>
                <w:sz w:val="30"/>
                <w:szCs w:val="30"/>
                <w:rtl/>
              </w:rPr>
              <w:t>إذن بذلك</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%11</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w:t>
            </w:r>
            <w:r w:rsidRPr="00392CD6">
              <w:rPr>
                <w:rFonts w:eastAsia="Calibri"/>
                <w:sz w:val="16"/>
                <w:szCs w:val="16"/>
              </w:rPr>
              <w:t>)</w:t>
            </w:r>
          </w:p>
        </w:tc>
      </w:tr>
      <w:tr w:rsidR="007B169B" w:rsidRPr="00392CD6" w:rsidTr="00BB0198">
        <w:trPr>
          <w:trHeight w:val="6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yellow"/>
              </w:rPr>
            </w:pPr>
            <w:r w:rsidRPr="00BB0198">
              <w:rPr>
                <w:rFonts w:ascii="Arabic Typesetting" w:hAnsi="Arabic Typesetting" w:cs="Arabic Typesetting"/>
                <w:sz w:val="30"/>
                <w:szCs w:val="30"/>
                <w:rtl/>
              </w:rPr>
              <w:t>مخالفة ارتكبها مرشح خلال مسار التعيين</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%0</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%16</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%3</w:t>
            </w:r>
            <w:r w:rsidRPr="00392CD6">
              <w:rPr>
                <w:rFonts w:eastAsia="Calibri"/>
                <w:sz w:val="16"/>
                <w:szCs w:val="16"/>
              </w:rPr>
              <w:t>)</w:t>
            </w:r>
          </w:p>
        </w:tc>
      </w:tr>
      <w:tr w:rsidR="007B169B" w:rsidRPr="00392CD6" w:rsidTr="00BB0198">
        <w:trPr>
          <w:trHeight w:val="6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b/>
                <w:bCs/>
                <w:sz w:val="30"/>
                <w:szCs w:val="30"/>
              </w:rPr>
            </w:pPr>
            <w:r w:rsidRPr="00BB0198">
              <w:rPr>
                <w:rFonts w:ascii="Arabic Typesetting" w:hAnsi="Arabic Typesetting" w:cs="Arabic Typesetting"/>
                <w:b/>
                <w:bCs/>
                <w:sz w:val="30"/>
                <w:szCs w:val="30"/>
                <w:rtl/>
              </w:rPr>
              <w:t>المجموع</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b/>
                <w:bCs/>
                <w:sz w:val="20"/>
              </w:rPr>
            </w:pPr>
            <w:r w:rsidRPr="00392CD6">
              <w:rPr>
                <w:rFonts w:eastAsia="Calibri"/>
                <w:b/>
                <w:bCs/>
                <w:sz w:val="20"/>
              </w:rPr>
              <w:t>27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%100</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b/>
                <w:bCs/>
                <w:sz w:val="20"/>
              </w:rPr>
            </w:pPr>
            <w:r w:rsidRPr="00392CD6">
              <w:rPr>
                <w:rFonts w:eastAsia="Calibri"/>
                <w:b/>
                <w:bCs/>
                <w:sz w:val="20"/>
              </w:rPr>
              <w:t>25</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%100</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b/>
                <w:bCs/>
                <w:sz w:val="20"/>
              </w:rPr>
            </w:pPr>
            <w:r w:rsidRPr="00392CD6">
              <w:rPr>
                <w:rFonts w:eastAsia="Calibri"/>
                <w:b/>
                <w:bCs/>
                <w:sz w:val="20"/>
              </w:rPr>
              <w:t>31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%100</w:t>
            </w:r>
            <w:r w:rsidRPr="00392CD6">
              <w:rPr>
                <w:rFonts w:eastAsia="Calibri"/>
                <w:sz w:val="16"/>
                <w:szCs w:val="16"/>
              </w:rPr>
              <w:t>)</w:t>
            </w:r>
          </w:p>
        </w:tc>
      </w:tr>
    </w:tbl>
    <w:p w:rsidR="007B169B" w:rsidRPr="00D5479C" w:rsidRDefault="00D5479C" w:rsidP="00D5479C">
      <w:pPr>
        <w:pStyle w:val="NormalParaAR"/>
        <w:spacing w:before="240"/>
        <w:jc w:val="center"/>
        <w:rPr>
          <w:b/>
          <w:bCs/>
          <w:rtl/>
        </w:rPr>
      </w:pPr>
      <w:r w:rsidRPr="00D5479C">
        <w:rPr>
          <w:b/>
          <w:bCs/>
          <w:rtl/>
        </w:rPr>
        <w:t>الرسم البياني (2) – تحليل القضايا المغلقة في الفترة من 30 يونيو 2013 إلى 30 يونيو 2016</w:t>
      </w:r>
    </w:p>
    <w:p w:rsidR="007B169B" w:rsidRDefault="00D5479C" w:rsidP="00D5479C">
      <w:pPr>
        <w:pStyle w:val="NormalParaAR"/>
        <w:spacing w:line="240" w:lineRule="auto"/>
        <w:jc w:val="center"/>
        <w:rPr>
          <w:noProof/>
        </w:rPr>
      </w:pPr>
      <w:r>
        <w:rPr>
          <w:noProof/>
        </w:rPr>
        <w:drawing>
          <wp:inline distT="0" distB="0" distL="0" distR="0" wp14:anchorId="60616799" wp14:editId="13D0332C">
            <wp:extent cx="4316095" cy="2755900"/>
            <wp:effectExtent l="0" t="0" r="825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6095" cy="2755900"/>
                    </a:xfrm>
                    <a:prstGeom prst="rect">
                      <a:avLst/>
                    </a:prstGeom>
                    <a:noFill/>
                  </pic:spPr>
                </pic:pic>
              </a:graphicData>
            </a:graphic>
          </wp:inline>
        </w:drawing>
      </w:r>
    </w:p>
    <w:p w:rsidR="00D5479C" w:rsidRDefault="00D5479C" w:rsidP="00D5479C">
      <w:pPr>
        <w:pStyle w:val="Heading1AR"/>
      </w:pPr>
      <w:bookmarkStart w:id="12" w:name="_Toc456010991"/>
      <w:bookmarkStart w:id="13" w:name="_Toc455667061"/>
      <w:r>
        <w:rPr>
          <w:rtl/>
        </w:rPr>
        <w:lastRenderedPageBreak/>
        <w:t>الحالات التي رُفض فيها تقديم معلومات أو مساعدات</w:t>
      </w:r>
      <w:bookmarkEnd w:id="12"/>
    </w:p>
    <w:p w:rsidR="00D5479C" w:rsidRDefault="00D5479C" w:rsidP="006B16CA">
      <w:pPr>
        <w:pStyle w:val="NumberedParaAR"/>
        <w:keepNext/>
        <w:numPr>
          <w:ilvl w:val="0"/>
          <w:numId w:val="4"/>
        </w:numPr>
      </w:pPr>
      <w:r>
        <w:rPr>
          <w:rtl/>
        </w:rPr>
        <w:t>وفقاً للفقرة 39(ز) من ميثاق الرقابة الداخلية، ينبغي لشعبة الرقابة الداخلية أن تبلغ عن أي حالات قيد فيها نفاذ الشعبة إلى سجلات أو موظفين أو مبانٍ خلال الفترة المشمولة بالتقرير.</w:t>
      </w:r>
    </w:p>
    <w:p w:rsidR="00D5479C" w:rsidRDefault="006B16CA" w:rsidP="005E79EC">
      <w:pPr>
        <w:pStyle w:val="NumberedParaAR"/>
        <w:numPr>
          <w:ilvl w:val="0"/>
          <w:numId w:val="4"/>
        </w:numPr>
      </w:pPr>
      <w:r>
        <w:rPr>
          <w:rFonts w:hint="cs"/>
          <w:rtl/>
        </w:rPr>
        <w:t>و</w:t>
      </w:r>
      <w:r w:rsidR="00D5479C">
        <w:rPr>
          <w:rFonts w:hint="cs"/>
          <w:rtl/>
        </w:rPr>
        <w:t xml:space="preserve">منذ عام 2014، </w:t>
      </w:r>
      <w:r w:rsidR="00D5479C">
        <w:rPr>
          <w:rtl/>
        </w:rPr>
        <w:t xml:space="preserve">رفض </w:t>
      </w:r>
      <w:r w:rsidR="00D5479C">
        <w:rPr>
          <w:rFonts w:hint="cs"/>
          <w:rtl/>
        </w:rPr>
        <w:t>موظف</w:t>
      </w:r>
      <w:r w:rsidR="00D5479C">
        <w:rPr>
          <w:rtl/>
        </w:rPr>
        <w:t xml:space="preserve"> طلب الاجتماع بالشعبة لأسباب صحية </w:t>
      </w:r>
      <w:r w:rsidR="00823983">
        <w:rPr>
          <w:rFonts w:hint="cs"/>
          <w:rtl/>
        </w:rPr>
        <w:t xml:space="preserve">وقدَّم </w:t>
      </w:r>
      <w:r w:rsidR="00D5479C">
        <w:rPr>
          <w:rtl/>
        </w:rPr>
        <w:t xml:space="preserve">شهادات </w:t>
      </w:r>
      <w:r>
        <w:rPr>
          <w:rFonts w:hint="cs"/>
          <w:rtl/>
        </w:rPr>
        <w:t>مرضية</w:t>
      </w:r>
      <w:r w:rsidR="00D5479C">
        <w:rPr>
          <w:rtl/>
        </w:rPr>
        <w:t xml:space="preserve">. </w:t>
      </w:r>
      <w:r w:rsidR="00D5479C">
        <w:rPr>
          <w:rFonts w:hint="cs"/>
          <w:rtl/>
        </w:rPr>
        <w:t>وأكد المرفق الطبي لمكتب الأمم المتحدة في جنيف عدم قدرة ذلك الموظف ع</w:t>
      </w:r>
      <w:r>
        <w:rPr>
          <w:rFonts w:hint="cs"/>
          <w:rtl/>
        </w:rPr>
        <w:t>لى</w:t>
      </w:r>
      <w:r w:rsidR="00D5479C">
        <w:rPr>
          <w:rFonts w:hint="cs"/>
          <w:rtl/>
        </w:rPr>
        <w:t xml:space="preserve"> الاجتماع بالشعبة. ومن ثم، </w:t>
      </w:r>
      <w:r w:rsidR="005E79EC">
        <w:rPr>
          <w:rFonts w:hint="cs"/>
          <w:rtl/>
        </w:rPr>
        <w:t>لا تزال</w:t>
      </w:r>
      <w:r w:rsidR="00D5479C">
        <w:rPr>
          <w:rFonts w:hint="cs"/>
          <w:rtl/>
        </w:rPr>
        <w:t xml:space="preserve"> هذه القضية عالقة.</w:t>
      </w:r>
    </w:p>
    <w:p w:rsidR="00D5479C" w:rsidRDefault="00D5479C" w:rsidP="00D5479C">
      <w:pPr>
        <w:pStyle w:val="Heading1AR"/>
      </w:pPr>
      <w:bookmarkStart w:id="14" w:name="_Toc456010992"/>
      <w:r>
        <w:rPr>
          <w:rtl/>
        </w:rPr>
        <w:t>وضع تنفيذ توصيات الرقابة</w:t>
      </w:r>
      <w:bookmarkEnd w:id="14"/>
    </w:p>
    <w:p w:rsidR="00D5479C" w:rsidRDefault="00D5479C" w:rsidP="00823983">
      <w:pPr>
        <w:pStyle w:val="NumberedParaAR"/>
        <w:numPr>
          <w:ilvl w:val="0"/>
          <w:numId w:val="4"/>
        </w:numPr>
      </w:pPr>
      <w:r>
        <w:rPr>
          <w:rtl/>
        </w:rPr>
        <w:t>المدير العام مسؤول عن ضمان تلبية جميع التوصيات الصادرة عن مدير الشعبة وغيرها من الهيئات الرقابية بسرعة، وعن ذكر الإجراءات المتخذة فيما يخص نتائج وتوصيات تقرير بعينه.</w:t>
      </w:r>
      <w:r w:rsidRPr="006A0DC8">
        <w:rPr>
          <w:rStyle w:val="FootnoteReference"/>
          <w:rFonts w:eastAsia="SimSun"/>
          <w:sz w:val="36"/>
          <w:szCs w:val="36"/>
          <w:rtl/>
          <w:lang w:eastAsia="zh-CN" w:bidi="ar-EG"/>
        </w:rPr>
        <w:footnoteReference w:id="5"/>
      </w:r>
      <w:r>
        <w:rPr>
          <w:rtl/>
        </w:rPr>
        <w:t xml:space="preserve"> ويحيل المدير العام هذه المسؤولية إلى مديري البرامج المسؤولين عن مجالات تشغيلية محددة في الويبو.</w:t>
      </w:r>
      <w:r w:rsidRPr="006A0DC8">
        <w:rPr>
          <w:rStyle w:val="FootnoteReference"/>
          <w:rFonts w:eastAsia="SimSun"/>
          <w:sz w:val="36"/>
          <w:szCs w:val="36"/>
          <w:rtl/>
          <w:lang w:eastAsia="zh-CN" w:bidi="ar-EG"/>
        </w:rPr>
        <w:footnoteReference w:id="6"/>
      </w:r>
      <w:r>
        <w:rPr>
          <w:rtl/>
        </w:rPr>
        <w:t xml:space="preserve"> ويخضع تنفيذ مديري برامج الويبو لجميع توصيات المراقبة لمتابعة منتظمة تتولاها شعبة الرقابة الداخلية.</w:t>
      </w:r>
      <w:r w:rsidR="000C78C0" w:rsidRPr="006A0DC8">
        <w:rPr>
          <w:rStyle w:val="FootnoteReference"/>
          <w:rFonts w:eastAsia="SimSun"/>
          <w:sz w:val="36"/>
          <w:szCs w:val="36"/>
          <w:rtl/>
          <w:lang w:eastAsia="zh-CN" w:bidi="ar-EG"/>
        </w:rPr>
        <w:footnoteReference w:id="7"/>
      </w:r>
    </w:p>
    <w:p w:rsidR="00D5479C" w:rsidRDefault="00D5479C" w:rsidP="000B62B2">
      <w:pPr>
        <w:pStyle w:val="NumberedParaAR"/>
        <w:numPr>
          <w:ilvl w:val="0"/>
          <w:numId w:val="4"/>
        </w:numPr>
      </w:pPr>
      <w:r>
        <w:rPr>
          <w:rtl/>
        </w:rPr>
        <w:t xml:space="preserve">وتواصل الشعبة إدارة التوصيات وإعداد التقارير بشأنها من خلال نظام </w:t>
      </w:r>
      <w:proofErr w:type="spellStart"/>
      <w:r>
        <w:t>TeamCentra</w:t>
      </w:r>
      <w:r w:rsidR="000C78C0">
        <w:t>l</w:t>
      </w:r>
      <w:proofErr w:type="spellEnd"/>
      <w:r w:rsidR="000C78C0" w:rsidRPr="000C78C0">
        <w:t>©</w:t>
      </w:r>
      <w:r>
        <w:rPr>
          <w:rtl/>
        </w:rPr>
        <w:t xml:space="preserve"> الذي يتيح إقامة حوار تفاعلي بين مديري البرامج </w:t>
      </w:r>
      <w:proofErr w:type="spellStart"/>
      <w:r>
        <w:rPr>
          <w:rtl/>
        </w:rPr>
        <w:t>ومندوبيهم</w:t>
      </w:r>
      <w:proofErr w:type="spellEnd"/>
      <w:r>
        <w:rPr>
          <w:rtl/>
        </w:rPr>
        <w:t xml:space="preserve"> تحقيقاً للفعالية في متابعة تنفيذ التوصيات المفتوحة.</w:t>
      </w:r>
    </w:p>
    <w:p w:rsidR="00D5479C" w:rsidRDefault="00D5479C" w:rsidP="00823983">
      <w:pPr>
        <w:pStyle w:val="NumberedParaAR"/>
        <w:numPr>
          <w:ilvl w:val="0"/>
          <w:numId w:val="4"/>
        </w:numPr>
      </w:pPr>
      <w:r>
        <w:rPr>
          <w:rtl/>
        </w:rPr>
        <w:t xml:space="preserve">وفي تاريخ إعداد هذا التقرير، </w:t>
      </w:r>
      <w:r w:rsidR="000C78C0">
        <w:rPr>
          <w:rFonts w:hint="cs"/>
          <w:rtl/>
        </w:rPr>
        <w:t>كانت</w:t>
      </w:r>
      <w:r>
        <w:rPr>
          <w:rtl/>
        </w:rPr>
        <w:t xml:space="preserve"> </w:t>
      </w:r>
      <w:r w:rsidR="000C78C0">
        <w:rPr>
          <w:rFonts w:hint="cs"/>
          <w:rtl/>
        </w:rPr>
        <w:t>161</w:t>
      </w:r>
      <w:r>
        <w:rPr>
          <w:rtl/>
        </w:rPr>
        <w:t xml:space="preserve"> توصية مفتوحة</w:t>
      </w:r>
      <w:r w:rsidR="00823983">
        <w:rPr>
          <w:rFonts w:hint="cs"/>
          <w:rtl/>
        </w:rPr>
        <w:t>ً</w:t>
      </w:r>
      <w:r>
        <w:rPr>
          <w:rtl/>
        </w:rPr>
        <w:t xml:space="preserve"> منها </w:t>
      </w:r>
      <w:r w:rsidR="000C78C0">
        <w:rPr>
          <w:rFonts w:hint="cs"/>
          <w:rtl/>
        </w:rPr>
        <w:t>93</w:t>
      </w:r>
      <w:r>
        <w:rPr>
          <w:rtl/>
        </w:rPr>
        <w:t xml:space="preserve"> </w:t>
      </w:r>
      <w:r w:rsidR="00823983">
        <w:rPr>
          <w:rFonts w:hint="cs"/>
          <w:rtl/>
        </w:rPr>
        <w:t xml:space="preserve">ذات </w:t>
      </w:r>
      <w:r w:rsidR="000C78C0">
        <w:rPr>
          <w:rFonts w:hint="cs"/>
          <w:rtl/>
        </w:rPr>
        <w:t xml:space="preserve">أولوية عالية و68 </w:t>
      </w:r>
      <w:r w:rsidR="00823983">
        <w:rPr>
          <w:rFonts w:hint="cs"/>
          <w:rtl/>
        </w:rPr>
        <w:t xml:space="preserve">ذات </w:t>
      </w:r>
      <w:r w:rsidR="000C78C0">
        <w:rPr>
          <w:rFonts w:hint="cs"/>
          <w:rtl/>
        </w:rPr>
        <w:t>أولوية متوسطة</w:t>
      </w:r>
      <w:r>
        <w:rPr>
          <w:rtl/>
        </w:rPr>
        <w:t>.</w:t>
      </w:r>
      <w:r w:rsidR="000C78C0">
        <w:rPr>
          <w:rFonts w:hint="cs"/>
          <w:rtl/>
        </w:rPr>
        <w:t xml:space="preserve"> وتستأثر توصيات الشعبة بنسبة 80 بالمئة من مجموع</w:t>
      </w:r>
      <w:r w:rsidR="000C78C0" w:rsidRPr="000C78C0">
        <w:rPr>
          <w:rtl/>
        </w:rPr>
        <w:t xml:space="preserve"> توصيات الرقابة </w:t>
      </w:r>
      <w:r w:rsidR="00823983">
        <w:rPr>
          <w:rFonts w:hint="cs"/>
          <w:rtl/>
        </w:rPr>
        <w:t>الداخلية</w:t>
      </w:r>
      <w:r w:rsidR="000C78C0" w:rsidRPr="000C78C0">
        <w:rPr>
          <w:rtl/>
        </w:rPr>
        <w:t xml:space="preserve"> المفتوحة</w:t>
      </w:r>
      <w:r w:rsidR="000C78C0">
        <w:rPr>
          <w:rFonts w:hint="cs"/>
          <w:rtl/>
        </w:rPr>
        <w:t>.</w:t>
      </w:r>
    </w:p>
    <w:p w:rsidR="003B0AD3" w:rsidRPr="003B0AD3" w:rsidRDefault="003B0AD3" w:rsidP="00590283">
      <w:pPr>
        <w:pStyle w:val="NormalParaAR"/>
        <w:keepNext/>
        <w:jc w:val="center"/>
        <w:rPr>
          <w:b/>
          <w:bCs/>
        </w:rPr>
      </w:pPr>
      <w:r w:rsidRPr="003B0AD3">
        <w:rPr>
          <w:b/>
          <w:bCs/>
          <w:rtl/>
        </w:rPr>
        <w:t>الرسم البياني (3) – التوصيات بحسب الأولوية</w:t>
      </w:r>
    </w:p>
    <w:bookmarkEnd w:id="11"/>
    <w:bookmarkEnd w:id="13"/>
    <w:p w:rsidR="007B169B" w:rsidRDefault="003B0AD3" w:rsidP="003B0AD3">
      <w:pPr>
        <w:pStyle w:val="NormalParaAR"/>
        <w:spacing w:line="240" w:lineRule="auto"/>
        <w:jc w:val="center"/>
        <w:rPr>
          <w:noProof/>
          <w:rtl/>
        </w:rPr>
      </w:pPr>
      <w:r>
        <w:rPr>
          <w:noProof/>
        </w:rPr>
        <w:drawing>
          <wp:inline distT="0" distB="0" distL="0" distR="0" wp14:anchorId="3547E99D" wp14:editId="22DA0294">
            <wp:extent cx="4157980" cy="29933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7980" cy="2993390"/>
                    </a:xfrm>
                    <a:prstGeom prst="rect">
                      <a:avLst/>
                    </a:prstGeom>
                    <a:noFill/>
                  </pic:spPr>
                </pic:pic>
              </a:graphicData>
            </a:graphic>
          </wp:inline>
        </w:drawing>
      </w:r>
    </w:p>
    <w:p w:rsidR="003B0AD3" w:rsidRDefault="003B0AD3" w:rsidP="000B62B2">
      <w:pPr>
        <w:pStyle w:val="NumberedParaAR"/>
        <w:keepNext/>
        <w:numPr>
          <w:ilvl w:val="0"/>
          <w:numId w:val="4"/>
        </w:numPr>
      </w:pPr>
      <w:r>
        <w:rPr>
          <w:rFonts w:hint="cs"/>
          <w:rtl/>
        </w:rPr>
        <w:lastRenderedPageBreak/>
        <w:t>ويرد فيما يلي جدول يبيِّن تطور التوصيات بحسب المصدر في الفترة الممتدة من 1 يوليو 2015 إلى</w:t>
      </w:r>
      <w:r>
        <w:rPr>
          <w:rFonts w:hint="eastAsia"/>
          <w:rtl/>
        </w:rPr>
        <w:t> </w:t>
      </w:r>
      <w:r>
        <w:rPr>
          <w:rFonts w:hint="cs"/>
          <w:rtl/>
        </w:rPr>
        <w:t>30</w:t>
      </w:r>
      <w:r>
        <w:rPr>
          <w:rFonts w:hint="eastAsia"/>
          <w:rtl/>
        </w:rPr>
        <w:t> </w:t>
      </w:r>
      <w:r>
        <w:rPr>
          <w:rFonts w:hint="cs"/>
          <w:rtl/>
        </w:rPr>
        <w:t>يونيو</w:t>
      </w:r>
      <w:r>
        <w:rPr>
          <w:rFonts w:hint="eastAsia"/>
          <w:rtl/>
        </w:rPr>
        <w:t> </w:t>
      </w:r>
      <w:r>
        <w:rPr>
          <w:rFonts w:hint="cs"/>
          <w:rtl/>
        </w:rPr>
        <w:t>2016.</w:t>
      </w:r>
    </w:p>
    <w:p w:rsidR="003B0AD3" w:rsidRPr="003B0AD3" w:rsidRDefault="003B0AD3" w:rsidP="002E0250">
      <w:pPr>
        <w:pStyle w:val="NormalParaAR"/>
        <w:keepNext/>
        <w:jc w:val="center"/>
        <w:rPr>
          <w:b/>
          <w:bCs/>
        </w:rPr>
      </w:pPr>
      <w:r>
        <w:rPr>
          <w:rFonts w:hint="cs"/>
          <w:b/>
          <w:bCs/>
          <w:rtl/>
        </w:rPr>
        <w:t xml:space="preserve">الجدول 2 </w:t>
      </w:r>
      <w:r>
        <w:rPr>
          <w:b/>
          <w:bCs/>
          <w:rtl/>
        </w:rPr>
        <w:t>–</w:t>
      </w:r>
      <w:r>
        <w:rPr>
          <w:rFonts w:hint="cs"/>
          <w:b/>
          <w:bCs/>
          <w:rtl/>
        </w:rPr>
        <w:t xml:space="preserve"> تطور التوصيات من </w:t>
      </w:r>
      <w:r w:rsidR="002E0250">
        <w:rPr>
          <w:rFonts w:hint="cs"/>
          <w:b/>
          <w:bCs/>
          <w:rtl/>
        </w:rPr>
        <w:t>30</w:t>
      </w:r>
      <w:r>
        <w:rPr>
          <w:rFonts w:hint="cs"/>
          <w:b/>
          <w:bCs/>
          <w:rtl/>
        </w:rPr>
        <w:t xml:space="preserve"> </w:t>
      </w:r>
      <w:r w:rsidR="002E0250">
        <w:rPr>
          <w:rFonts w:hint="cs"/>
          <w:b/>
          <w:bCs/>
          <w:rtl/>
        </w:rPr>
        <w:t>يونيو</w:t>
      </w:r>
      <w:r>
        <w:rPr>
          <w:rFonts w:hint="cs"/>
          <w:b/>
          <w:bCs/>
          <w:rtl/>
        </w:rPr>
        <w:t xml:space="preserve"> 2015 </w:t>
      </w:r>
      <w:r w:rsidR="00823983">
        <w:rPr>
          <w:rFonts w:hint="cs"/>
          <w:b/>
          <w:bCs/>
          <w:rtl/>
        </w:rPr>
        <w:t xml:space="preserve">إلى </w:t>
      </w:r>
      <w:r>
        <w:rPr>
          <w:rFonts w:hint="cs"/>
          <w:b/>
          <w:bCs/>
          <w:rtl/>
        </w:rPr>
        <w:t>30 يونيو 2016</w:t>
      </w:r>
    </w:p>
    <w:tbl>
      <w:tblPr>
        <w:bidiVisual/>
        <w:tblW w:w="9190" w:type="dxa"/>
        <w:tblInd w:w="103" w:type="dxa"/>
        <w:tblLayout w:type="fixed"/>
        <w:tblLook w:val="04A0" w:firstRow="1" w:lastRow="0" w:firstColumn="1" w:lastColumn="0" w:noHBand="0" w:noVBand="1"/>
      </w:tblPr>
      <w:tblGrid>
        <w:gridCol w:w="1625"/>
        <w:gridCol w:w="1715"/>
        <w:gridCol w:w="1890"/>
        <w:gridCol w:w="1890"/>
        <w:gridCol w:w="2070"/>
      </w:tblGrid>
      <w:tr w:rsidR="007B169B" w:rsidRPr="00E4156D" w:rsidTr="00596080">
        <w:trPr>
          <w:trHeight w:val="975"/>
        </w:trPr>
        <w:tc>
          <w:tcPr>
            <w:tcW w:w="16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7B169B" w:rsidRPr="003B0AD3" w:rsidRDefault="003B0AD3" w:rsidP="003B0AD3">
            <w:pPr>
              <w:bidi/>
              <w:rPr>
                <w:rFonts w:ascii="Arabic Typesetting" w:hAnsi="Arabic Typesetting" w:cs="Arabic Typesetting"/>
                <w:b/>
                <w:bCs/>
                <w:color w:val="000000"/>
                <w:sz w:val="30"/>
                <w:szCs w:val="30"/>
              </w:rPr>
            </w:pPr>
            <w:r w:rsidRPr="003B0AD3">
              <w:rPr>
                <w:rFonts w:ascii="Arabic Typesetting" w:hAnsi="Arabic Typesetting" w:cs="Arabic Typesetting"/>
                <w:b/>
                <w:bCs/>
                <w:color w:val="000000"/>
                <w:sz w:val="30"/>
                <w:szCs w:val="30"/>
                <w:rtl/>
              </w:rPr>
              <w:t>المصدر</w:t>
            </w:r>
          </w:p>
        </w:tc>
        <w:tc>
          <w:tcPr>
            <w:tcW w:w="1715" w:type="dxa"/>
            <w:tcBorders>
              <w:top w:val="single" w:sz="4" w:space="0" w:color="auto"/>
              <w:left w:val="nil"/>
              <w:bottom w:val="single" w:sz="4" w:space="0" w:color="auto"/>
              <w:right w:val="single" w:sz="4" w:space="0" w:color="auto"/>
            </w:tcBorders>
            <w:shd w:val="clear" w:color="000000" w:fill="D9D9D9"/>
            <w:vAlign w:val="center"/>
            <w:hideMark/>
          </w:tcPr>
          <w:p w:rsidR="007B169B" w:rsidRPr="003B0AD3" w:rsidRDefault="003B0AD3" w:rsidP="003B0AD3">
            <w:pPr>
              <w:bidi/>
              <w:jc w:val="center"/>
              <w:rPr>
                <w:rFonts w:ascii="Arabic Typesetting" w:hAnsi="Arabic Typesetting" w:cs="Arabic Typesetting"/>
                <w:b/>
                <w:bCs/>
                <w:color w:val="000000"/>
                <w:sz w:val="30"/>
                <w:szCs w:val="30"/>
              </w:rPr>
            </w:pPr>
            <w:r w:rsidRPr="003B0AD3">
              <w:rPr>
                <w:rFonts w:ascii="Arabic Typesetting" w:hAnsi="Arabic Typesetting" w:cs="Arabic Typesetting"/>
                <w:b/>
                <w:bCs/>
                <w:color w:val="000000"/>
                <w:sz w:val="30"/>
                <w:szCs w:val="30"/>
                <w:rtl/>
              </w:rPr>
              <w:t>مفتوحة</w:t>
            </w:r>
            <w:r w:rsidRPr="003B0AD3">
              <w:rPr>
                <w:rFonts w:ascii="Arabic Typesetting" w:hAnsi="Arabic Typesetting" w:cs="Arabic Typesetting"/>
                <w:b/>
                <w:bCs/>
                <w:color w:val="000000"/>
                <w:sz w:val="30"/>
                <w:szCs w:val="30"/>
              </w:rPr>
              <w:br/>
            </w:r>
            <w:r w:rsidRPr="003B0AD3">
              <w:rPr>
                <w:rFonts w:ascii="Arabic Typesetting" w:hAnsi="Arabic Typesetting" w:cs="Arabic Typesetting"/>
                <w:b/>
                <w:bCs/>
                <w:color w:val="000000"/>
                <w:sz w:val="30"/>
                <w:szCs w:val="30"/>
                <w:rtl/>
              </w:rPr>
              <w:t>في 1 يوليو 2015</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B169B" w:rsidRPr="003B0AD3" w:rsidRDefault="003B0AD3" w:rsidP="003B0AD3">
            <w:pPr>
              <w:bidi/>
              <w:jc w:val="center"/>
              <w:rPr>
                <w:rFonts w:ascii="Arabic Typesetting" w:hAnsi="Arabic Typesetting" w:cs="Arabic Typesetting"/>
                <w:b/>
                <w:bCs/>
                <w:color w:val="000000"/>
                <w:sz w:val="30"/>
                <w:szCs w:val="30"/>
              </w:rPr>
            </w:pPr>
            <w:r w:rsidRPr="003B0AD3">
              <w:rPr>
                <w:rFonts w:ascii="Arabic Typesetting" w:hAnsi="Arabic Typesetting" w:cs="Arabic Typesetting"/>
                <w:b/>
                <w:bCs/>
                <w:color w:val="000000"/>
                <w:sz w:val="30"/>
                <w:szCs w:val="30"/>
                <w:rtl/>
              </w:rPr>
              <w:t>مضافة خلال السنة</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B169B" w:rsidRPr="003B0AD3" w:rsidRDefault="003B0AD3" w:rsidP="003B0AD3">
            <w:pPr>
              <w:bidi/>
              <w:jc w:val="center"/>
              <w:rPr>
                <w:rFonts w:ascii="Arabic Typesetting" w:hAnsi="Arabic Typesetting" w:cs="Arabic Typesetting"/>
                <w:b/>
                <w:bCs/>
                <w:color w:val="000000"/>
                <w:sz w:val="30"/>
                <w:szCs w:val="30"/>
              </w:rPr>
            </w:pPr>
            <w:r w:rsidRPr="003B0AD3">
              <w:rPr>
                <w:rFonts w:ascii="Arabic Typesetting" w:hAnsi="Arabic Typesetting" w:cs="Arabic Typesetting"/>
                <w:b/>
                <w:bCs/>
                <w:color w:val="000000"/>
                <w:sz w:val="30"/>
                <w:szCs w:val="30"/>
                <w:rtl/>
              </w:rPr>
              <w:t>مغلقة</w:t>
            </w:r>
            <w:r>
              <w:rPr>
                <w:rFonts w:ascii="Arabic Typesetting" w:hAnsi="Arabic Typesetting" w:cs="Arabic Typesetting" w:hint="cs"/>
                <w:b/>
                <w:bCs/>
                <w:color w:val="000000"/>
                <w:sz w:val="30"/>
                <w:szCs w:val="30"/>
                <w:rtl/>
              </w:rPr>
              <w:t xml:space="preserve"> أو </w:t>
            </w:r>
            <w:r>
              <w:rPr>
                <w:rFonts w:ascii="Arabic Typesetting" w:hAnsi="Arabic Typesetting" w:cs="Arabic Typesetting"/>
                <w:b/>
                <w:bCs/>
                <w:color w:val="000000"/>
                <w:sz w:val="30"/>
                <w:szCs w:val="30"/>
                <w:rtl/>
              </w:rPr>
              <w:t>منقولة</w:t>
            </w:r>
            <w:r>
              <w:rPr>
                <w:rFonts w:ascii="Arabic Typesetting" w:hAnsi="Arabic Typesetting" w:cs="Arabic Typesetting" w:hint="cs"/>
                <w:b/>
                <w:bCs/>
                <w:color w:val="000000"/>
                <w:sz w:val="30"/>
                <w:szCs w:val="30"/>
                <w:rtl/>
              </w:rPr>
              <w:br/>
            </w:r>
            <w:r w:rsidRPr="003B0AD3">
              <w:rPr>
                <w:rFonts w:ascii="Arabic Typesetting" w:hAnsi="Arabic Typesetting" w:cs="Arabic Typesetting"/>
                <w:b/>
                <w:bCs/>
                <w:color w:val="000000"/>
                <w:sz w:val="30"/>
                <w:szCs w:val="30"/>
                <w:rtl/>
              </w:rPr>
              <w:t>خلال السنة</w:t>
            </w:r>
            <w:r w:rsidRPr="006A0DC8">
              <w:rPr>
                <w:rStyle w:val="FootnoteReference"/>
                <w:b/>
                <w:bCs/>
                <w:color w:val="000000"/>
                <w:sz w:val="36"/>
                <w:szCs w:val="36"/>
                <w:rtl/>
              </w:rPr>
              <w:footnoteReference w:id="8"/>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7B169B" w:rsidRPr="003B0AD3" w:rsidRDefault="003B0AD3" w:rsidP="003B0AD3">
            <w:pPr>
              <w:bidi/>
              <w:jc w:val="center"/>
              <w:rPr>
                <w:rFonts w:ascii="Arabic Typesetting" w:hAnsi="Arabic Typesetting" w:cs="Arabic Typesetting"/>
                <w:b/>
                <w:bCs/>
                <w:color w:val="000000"/>
                <w:sz w:val="30"/>
                <w:szCs w:val="30"/>
              </w:rPr>
            </w:pPr>
            <w:r w:rsidRPr="003B0AD3">
              <w:rPr>
                <w:rFonts w:ascii="Arabic Typesetting" w:hAnsi="Arabic Typesetting" w:cs="Arabic Typesetting"/>
                <w:b/>
                <w:bCs/>
                <w:color w:val="000000"/>
                <w:sz w:val="30"/>
                <w:szCs w:val="30"/>
                <w:rtl/>
              </w:rPr>
              <w:t>مفتوحة في 30 يونيو 2016</w:t>
            </w:r>
          </w:p>
        </w:tc>
      </w:tr>
      <w:tr w:rsidR="007B169B" w:rsidRPr="00E4156D" w:rsidTr="00596080">
        <w:trPr>
          <w:trHeight w:val="557"/>
        </w:trPr>
        <w:tc>
          <w:tcPr>
            <w:tcW w:w="1625" w:type="dxa"/>
            <w:tcBorders>
              <w:top w:val="nil"/>
              <w:left w:val="single" w:sz="4" w:space="0" w:color="auto"/>
              <w:bottom w:val="single" w:sz="4" w:space="0" w:color="auto"/>
              <w:right w:val="single" w:sz="4" w:space="0" w:color="auto"/>
            </w:tcBorders>
            <w:shd w:val="clear" w:color="000000" w:fill="C5D9F1"/>
            <w:noWrap/>
            <w:vAlign w:val="center"/>
            <w:hideMark/>
          </w:tcPr>
          <w:p w:rsidR="007B169B" w:rsidRPr="003B0AD3" w:rsidRDefault="003B0AD3" w:rsidP="003B0AD3">
            <w:pPr>
              <w:bidi/>
              <w:rPr>
                <w:rFonts w:ascii="Arabic Typesetting" w:hAnsi="Arabic Typesetting" w:cs="Arabic Typesetting"/>
                <w:color w:val="000000"/>
                <w:sz w:val="30"/>
                <w:szCs w:val="30"/>
                <w:rtl/>
              </w:rPr>
            </w:pPr>
            <w:r w:rsidRPr="003B0AD3">
              <w:rPr>
                <w:rFonts w:ascii="Arabic Typesetting" w:hAnsi="Arabic Typesetting" w:cs="Arabic Typesetting" w:hint="cs"/>
                <w:color w:val="000000"/>
                <w:sz w:val="30"/>
                <w:szCs w:val="30"/>
                <w:rtl/>
              </w:rPr>
              <w:t>شعبة الرقابة الداخلية</w:t>
            </w:r>
          </w:p>
        </w:tc>
        <w:tc>
          <w:tcPr>
            <w:tcW w:w="1715"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121</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75</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67</w:t>
            </w:r>
          </w:p>
        </w:tc>
        <w:tc>
          <w:tcPr>
            <w:tcW w:w="207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129</w:t>
            </w:r>
          </w:p>
        </w:tc>
      </w:tr>
      <w:tr w:rsidR="007B169B" w:rsidRPr="00E4156D" w:rsidTr="00596080">
        <w:trPr>
          <w:trHeight w:val="557"/>
        </w:trPr>
        <w:tc>
          <w:tcPr>
            <w:tcW w:w="1625" w:type="dxa"/>
            <w:tcBorders>
              <w:top w:val="nil"/>
              <w:left w:val="single" w:sz="4" w:space="0" w:color="auto"/>
              <w:bottom w:val="single" w:sz="4" w:space="0" w:color="auto"/>
              <w:right w:val="single" w:sz="4" w:space="0" w:color="auto"/>
            </w:tcBorders>
            <w:shd w:val="clear" w:color="000000" w:fill="C5D9F1"/>
            <w:noWrap/>
            <w:vAlign w:val="center"/>
            <w:hideMark/>
          </w:tcPr>
          <w:p w:rsidR="007B169B" w:rsidRPr="003B0AD3" w:rsidRDefault="00D07582" w:rsidP="003B0AD3">
            <w:pPr>
              <w:bidi/>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المدقق</w:t>
            </w:r>
            <w:r w:rsidR="003B0AD3" w:rsidRPr="003B0AD3">
              <w:rPr>
                <w:rFonts w:ascii="Arabic Typesetting" w:hAnsi="Arabic Typesetting" w:cs="Arabic Typesetting" w:hint="cs"/>
                <w:color w:val="000000"/>
                <w:sz w:val="30"/>
                <w:szCs w:val="30"/>
                <w:rtl/>
              </w:rPr>
              <w:t xml:space="preserve"> </w:t>
            </w:r>
            <w:r w:rsidR="003B0AD3">
              <w:rPr>
                <w:rFonts w:ascii="Arabic Typesetting" w:hAnsi="Arabic Typesetting" w:cs="Arabic Typesetting" w:hint="cs"/>
                <w:color w:val="000000"/>
                <w:sz w:val="30"/>
                <w:szCs w:val="30"/>
                <w:rtl/>
              </w:rPr>
              <w:t>الخارجي</w:t>
            </w:r>
          </w:p>
        </w:tc>
        <w:tc>
          <w:tcPr>
            <w:tcW w:w="1715"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49</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21</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39</w:t>
            </w:r>
          </w:p>
        </w:tc>
        <w:tc>
          <w:tcPr>
            <w:tcW w:w="207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31</w:t>
            </w:r>
          </w:p>
        </w:tc>
      </w:tr>
      <w:tr w:rsidR="007B169B" w:rsidRPr="00E4156D" w:rsidTr="00596080">
        <w:trPr>
          <w:trHeight w:val="575"/>
        </w:trPr>
        <w:tc>
          <w:tcPr>
            <w:tcW w:w="1625" w:type="dxa"/>
            <w:tcBorders>
              <w:top w:val="nil"/>
              <w:left w:val="single" w:sz="4" w:space="0" w:color="auto"/>
              <w:bottom w:val="single" w:sz="4" w:space="0" w:color="auto"/>
              <w:right w:val="single" w:sz="4" w:space="0" w:color="auto"/>
            </w:tcBorders>
            <w:shd w:val="clear" w:color="000000" w:fill="C5D9F1"/>
            <w:noWrap/>
            <w:vAlign w:val="center"/>
            <w:hideMark/>
          </w:tcPr>
          <w:p w:rsidR="007B169B" w:rsidRPr="003B0AD3" w:rsidRDefault="003B0AD3" w:rsidP="003B0AD3">
            <w:pPr>
              <w:bidi/>
              <w:rPr>
                <w:rFonts w:ascii="Arabic Typesetting" w:hAnsi="Arabic Typesetting" w:cs="Arabic Typesetting"/>
                <w:color w:val="000000"/>
                <w:sz w:val="30"/>
                <w:szCs w:val="30"/>
              </w:rPr>
            </w:pPr>
            <w:r w:rsidRPr="003B0AD3">
              <w:rPr>
                <w:rFonts w:ascii="Arabic Typesetting" w:hAnsi="Arabic Typesetting" w:cs="Arabic Typesetting" w:hint="cs"/>
                <w:color w:val="000000"/>
                <w:sz w:val="30"/>
                <w:szCs w:val="30"/>
                <w:rtl/>
              </w:rPr>
              <w:t>آخر</w:t>
            </w:r>
          </w:p>
        </w:tc>
        <w:tc>
          <w:tcPr>
            <w:tcW w:w="1715"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14</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0</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13</w:t>
            </w:r>
          </w:p>
        </w:tc>
        <w:tc>
          <w:tcPr>
            <w:tcW w:w="207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1</w:t>
            </w:r>
          </w:p>
        </w:tc>
      </w:tr>
      <w:tr w:rsidR="007B169B" w:rsidRPr="00E4156D" w:rsidTr="00596080">
        <w:trPr>
          <w:trHeight w:val="665"/>
        </w:trPr>
        <w:tc>
          <w:tcPr>
            <w:tcW w:w="16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7B169B" w:rsidRPr="003B0AD3" w:rsidRDefault="003B0AD3" w:rsidP="00596080">
            <w:pPr>
              <w:bidi/>
              <w:rPr>
                <w:rFonts w:ascii="Arabic Typesetting" w:hAnsi="Arabic Typesetting" w:cs="Arabic Typesetting"/>
                <w:b/>
                <w:bCs/>
                <w:color w:val="000000"/>
                <w:sz w:val="30"/>
                <w:szCs w:val="30"/>
              </w:rPr>
            </w:pPr>
            <w:r w:rsidRPr="003B0AD3">
              <w:rPr>
                <w:rFonts w:ascii="Arabic Typesetting" w:hAnsi="Arabic Typesetting" w:cs="Arabic Typesetting" w:hint="cs"/>
                <w:b/>
                <w:bCs/>
                <w:color w:val="000000"/>
                <w:sz w:val="30"/>
                <w:szCs w:val="30"/>
                <w:rtl/>
              </w:rPr>
              <w:t>المجموع</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b/>
                <w:bCs/>
                <w:color w:val="000000"/>
                <w:sz w:val="20"/>
              </w:rPr>
            </w:pPr>
            <w:r w:rsidRPr="003B0AD3">
              <w:rPr>
                <w:b/>
                <w:bCs/>
                <w:color w:val="000000"/>
                <w:sz w:val="20"/>
              </w:rPr>
              <w:t>184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b/>
                <w:bCs/>
                <w:color w:val="000000"/>
                <w:sz w:val="20"/>
              </w:rPr>
            </w:pPr>
            <w:r w:rsidRPr="003B0AD3">
              <w:rPr>
                <w:b/>
                <w:bCs/>
                <w:color w:val="000000"/>
                <w:sz w:val="20"/>
              </w:rPr>
              <w:t>96</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b/>
                <w:bCs/>
                <w:color w:val="000000"/>
                <w:sz w:val="20"/>
              </w:rPr>
            </w:pPr>
            <w:r w:rsidRPr="003B0AD3">
              <w:rPr>
                <w:b/>
                <w:bCs/>
                <w:color w:val="000000"/>
                <w:sz w:val="20"/>
              </w:rPr>
              <w:t>119</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b/>
                <w:bCs/>
                <w:color w:val="000000"/>
                <w:sz w:val="20"/>
              </w:rPr>
            </w:pPr>
            <w:r w:rsidRPr="003B0AD3">
              <w:rPr>
                <w:b/>
                <w:bCs/>
                <w:color w:val="000000"/>
                <w:sz w:val="20"/>
              </w:rPr>
              <w:t>161</w:t>
            </w:r>
          </w:p>
        </w:tc>
      </w:tr>
    </w:tbl>
    <w:p w:rsidR="007B169B" w:rsidRDefault="003B0AD3" w:rsidP="000B62B2">
      <w:pPr>
        <w:pStyle w:val="NumberedParaAR"/>
        <w:keepNext/>
        <w:numPr>
          <w:ilvl w:val="0"/>
          <w:numId w:val="4"/>
        </w:numPr>
        <w:spacing w:before="120"/>
      </w:pPr>
      <w:r>
        <w:rPr>
          <w:rFonts w:hint="cs"/>
          <w:rtl/>
        </w:rPr>
        <w:t xml:space="preserve">في 1 يوليو 2015، بلغ عدد توصيات الرقابة غير المنفذة 14 توصية من مصادر أخرى كانت مدرجة في إطار توصيات الشعبة (13 من </w:t>
      </w:r>
      <w:r w:rsidRPr="003B0AD3">
        <w:rPr>
          <w:rtl/>
        </w:rPr>
        <w:t>تقييم الجودة الخارجي لمهام التقييم</w:t>
      </w:r>
      <w:r w:rsidR="00842690">
        <w:rPr>
          <w:rFonts w:hint="cs"/>
          <w:rtl/>
        </w:rPr>
        <w:t xml:space="preserve"> وتوصية واحدة من </w:t>
      </w:r>
      <w:r w:rsidR="00842690" w:rsidRPr="00842690">
        <w:rPr>
          <w:rtl/>
        </w:rPr>
        <w:t>اللجنة الاستشارية المستقلة للرقابة</w:t>
      </w:r>
      <w:r w:rsidR="00842690">
        <w:rPr>
          <w:rFonts w:hint="cs"/>
          <w:rtl/>
        </w:rPr>
        <w:t>).</w:t>
      </w:r>
    </w:p>
    <w:p w:rsidR="00842690" w:rsidRDefault="00280014" w:rsidP="00823983">
      <w:pPr>
        <w:pStyle w:val="NumberedParaAR"/>
        <w:numPr>
          <w:ilvl w:val="0"/>
          <w:numId w:val="4"/>
        </w:numPr>
      </w:pPr>
      <w:r>
        <w:rPr>
          <w:rFonts w:hint="cs"/>
          <w:rtl/>
        </w:rPr>
        <w:t>ون</w:t>
      </w:r>
      <w:r w:rsidR="00823983">
        <w:rPr>
          <w:rFonts w:hint="cs"/>
          <w:rtl/>
        </w:rPr>
        <w:t>ُ</w:t>
      </w:r>
      <w:r>
        <w:rPr>
          <w:rFonts w:hint="cs"/>
          <w:rtl/>
        </w:rPr>
        <w:t xml:space="preserve">قلت 13 توصية </w:t>
      </w:r>
      <w:r w:rsidR="00823983">
        <w:rPr>
          <w:rFonts w:hint="cs"/>
          <w:rtl/>
        </w:rPr>
        <w:t>منبثقة عن</w:t>
      </w:r>
      <w:r>
        <w:rPr>
          <w:rFonts w:hint="cs"/>
          <w:rtl/>
        </w:rPr>
        <w:t xml:space="preserve"> </w:t>
      </w:r>
      <w:r w:rsidRPr="003B0AD3">
        <w:rPr>
          <w:rtl/>
        </w:rPr>
        <w:t>تقييم الجودة الخارجي لمهام التقييم</w:t>
      </w:r>
      <w:r w:rsidR="00823983">
        <w:rPr>
          <w:rFonts w:hint="cs"/>
          <w:rtl/>
        </w:rPr>
        <w:t xml:space="preserve"> وموجهة</w:t>
      </w:r>
      <w:r>
        <w:rPr>
          <w:rFonts w:hint="cs"/>
          <w:rtl/>
        </w:rPr>
        <w:t xml:space="preserve"> إلى الشعبة ومدرجة في إطار الفئة "آخر" خارج نظام متابعة التوصيات استجابة</w:t>
      </w:r>
      <w:r w:rsidR="00823983">
        <w:rPr>
          <w:rFonts w:hint="cs"/>
          <w:rtl/>
        </w:rPr>
        <w:t>ً</w:t>
      </w:r>
      <w:r>
        <w:rPr>
          <w:rFonts w:hint="cs"/>
          <w:rtl/>
        </w:rPr>
        <w:t xml:space="preserve"> لمشورة </w:t>
      </w:r>
      <w:r w:rsidRPr="00086EB3">
        <w:rPr>
          <w:rtl/>
          <w:lang w:bidi="ar-EG"/>
        </w:rPr>
        <w:t>اللجنة الاستشارية المستقلة للرقابة</w:t>
      </w:r>
      <w:r w:rsidR="00E14344">
        <w:rPr>
          <w:rFonts w:hint="cs"/>
          <w:rtl/>
          <w:lang w:bidi="ar-EG"/>
        </w:rPr>
        <w:t>.</w:t>
      </w:r>
    </w:p>
    <w:p w:rsidR="00E14344" w:rsidRDefault="00E14344" w:rsidP="000B62B2">
      <w:pPr>
        <w:pStyle w:val="NumberedParaAR"/>
        <w:numPr>
          <w:ilvl w:val="0"/>
          <w:numId w:val="4"/>
        </w:numPr>
      </w:pPr>
      <w:r>
        <w:rPr>
          <w:rFonts w:hint="cs"/>
          <w:rtl/>
          <w:lang w:bidi="ar-EG"/>
        </w:rPr>
        <w:t>ويرد فيما يلي رسم بياني لتوزيع التوصيات المفتوحة</w:t>
      </w:r>
      <w:r w:rsidR="00590283">
        <w:rPr>
          <w:rFonts w:hint="cs"/>
          <w:rtl/>
          <w:lang w:bidi="ar-EG"/>
        </w:rPr>
        <w:t xml:space="preserve"> بحسب المصدر</w:t>
      </w:r>
      <w:r>
        <w:rPr>
          <w:rFonts w:hint="cs"/>
          <w:rtl/>
          <w:lang w:bidi="ar-EG"/>
        </w:rPr>
        <w:t xml:space="preserve"> في 30 يونيو 2016.</w:t>
      </w:r>
    </w:p>
    <w:p w:rsidR="00E14344" w:rsidRDefault="00E14344" w:rsidP="00590283">
      <w:pPr>
        <w:pStyle w:val="NormalParaAR"/>
        <w:keepNext/>
        <w:jc w:val="center"/>
        <w:rPr>
          <w:b/>
          <w:bCs/>
          <w:rtl/>
        </w:rPr>
      </w:pPr>
      <w:r>
        <w:rPr>
          <w:rFonts w:hint="cs"/>
          <w:b/>
          <w:bCs/>
          <w:rtl/>
        </w:rPr>
        <w:t xml:space="preserve">الرسم البياني (4) </w:t>
      </w:r>
      <w:r>
        <w:rPr>
          <w:b/>
          <w:bCs/>
          <w:rtl/>
        </w:rPr>
        <w:t>–</w:t>
      </w:r>
      <w:r>
        <w:rPr>
          <w:rFonts w:hint="cs"/>
          <w:b/>
          <w:bCs/>
          <w:rtl/>
        </w:rPr>
        <w:t xml:space="preserve"> توصيات الرقابة المفتوحة بحسب المصدر</w:t>
      </w:r>
    </w:p>
    <w:p w:rsidR="00E14344" w:rsidRDefault="00D07582" w:rsidP="00E14344">
      <w:pPr>
        <w:pStyle w:val="NormalParaAR"/>
        <w:spacing w:line="240" w:lineRule="auto"/>
        <w:jc w:val="center"/>
        <w:rPr>
          <w:noProof/>
          <w:rtl/>
        </w:rPr>
      </w:pPr>
      <w:r>
        <w:rPr>
          <w:noProof/>
        </w:rPr>
        <w:drawing>
          <wp:inline distT="0" distB="0" distL="0" distR="0" wp14:anchorId="20A1B9BD" wp14:editId="775F568E">
            <wp:extent cx="3924736" cy="3024352"/>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9458" cy="3027990"/>
                    </a:xfrm>
                    <a:prstGeom prst="rect">
                      <a:avLst/>
                    </a:prstGeom>
                    <a:noFill/>
                  </pic:spPr>
                </pic:pic>
              </a:graphicData>
            </a:graphic>
          </wp:inline>
        </w:drawing>
      </w:r>
    </w:p>
    <w:p w:rsidR="00E14344" w:rsidRDefault="00E14344" w:rsidP="005C0B43">
      <w:pPr>
        <w:pStyle w:val="NormalParaAR"/>
        <w:keepNext/>
        <w:jc w:val="center"/>
        <w:rPr>
          <w:b/>
          <w:bCs/>
          <w:rtl/>
        </w:rPr>
      </w:pPr>
      <w:r>
        <w:rPr>
          <w:rFonts w:hint="cs"/>
          <w:b/>
          <w:bCs/>
          <w:rtl/>
        </w:rPr>
        <w:lastRenderedPageBreak/>
        <w:t>الرسم البياني (</w:t>
      </w:r>
      <w:r w:rsidR="00BB0198">
        <w:rPr>
          <w:rFonts w:hint="cs"/>
          <w:b/>
          <w:bCs/>
          <w:rtl/>
        </w:rPr>
        <w:t>5</w:t>
      </w:r>
      <w:r>
        <w:rPr>
          <w:rFonts w:hint="cs"/>
          <w:b/>
          <w:bCs/>
          <w:rtl/>
        </w:rPr>
        <w:t xml:space="preserve">) </w:t>
      </w:r>
      <w:r>
        <w:rPr>
          <w:b/>
          <w:bCs/>
          <w:rtl/>
        </w:rPr>
        <w:t>–</w:t>
      </w:r>
      <w:r w:rsidR="00823983">
        <w:rPr>
          <w:rFonts w:hint="cs"/>
          <w:b/>
          <w:bCs/>
          <w:rtl/>
        </w:rPr>
        <w:t xml:space="preserve"> توصيات</w:t>
      </w:r>
      <w:r>
        <w:rPr>
          <w:rFonts w:hint="cs"/>
          <w:b/>
          <w:bCs/>
          <w:rtl/>
        </w:rPr>
        <w:t xml:space="preserve"> الرقابة المفتوحة بحسب </w:t>
      </w:r>
      <w:r w:rsidR="00823983">
        <w:rPr>
          <w:rFonts w:hint="cs"/>
          <w:b/>
          <w:bCs/>
          <w:rtl/>
        </w:rPr>
        <w:t>الأولوية</w:t>
      </w:r>
      <w:r w:rsidR="005C0B43">
        <w:rPr>
          <w:rFonts w:hint="cs"/>
          <w:b/>
          <w:bCs/>
          <w:rtl/>
        </w:rPr>
        <w:t xml:space="preserve"> 2011-2016</w:t>
      </w:r>
    </w:p>
    <w:p w:rsidR="00E14344" w:rsidRDefault="00BB0198" w:rsidP="00E14344">
      <w:pPr>
        <w:pStyle w:val="NormalParaAR"/>
        <w:spacing w:line="240" w:lineRule="auto"/>
        <w:jc w:val="center"/>
        <w:rPr>
          <w:noProof/>
          <w:rtl/>
        </w:rPr>
      </w:pPr>
      <w:r>
        <w:rPr>
          <w:noProof/>
        </w:rPr>
        <w:drawing>
          <wp:inline distT="0" distB="0" distL="0" distR="0" wp14:anchorId="1F88900E" wp14:editId="550B3656">
            <wp:extent cx="3505464" cy="2225132"/>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0110" cy="2240776"/>
                    </a:xfrm>
                    <a:prstGeom prst="rect">
                      <a:avLst/>
                    </a:prstGeom>
                    <a:noFill/>
                  </pic:spPr>
                </pic:pic>
              </a:graphicData>
            </a:graphic>
          </wp:inline>
        </w:drawing>
      </w:r>
    </w:p>
    <w:p w:rsidR="00E14344" w:rsidRDefault="004D1D31" w:rsidP="00823983">
      <w:pPr>
        <w:pStyle w:val="NumberedParaAR"/>
        <w:numPr>
          <w:ilvl w:val="0"/>
          <w:numId w:val="4"/>
        </w:numPr>
        <w:rPr>
          <w:lang w:bidi="ar-EG"/>
        </w:rPr>
      </w:pPr>
      <w:r>
        <w:rPr>
          <w:rFonts w:hint="cs"/>
          <w:rtl/>
          <w:lang w:bidi="ar-EG"/>
        </w:rPr>
        <w:t>إن توصيتين عاليتي</w:t>
      </w:r>
      <w:r w:rsidR="00823983">
        <w:rPr>
          <w:rFonts w:hint="cs"/>
          <w:rtl/>
          <w:lang w:bidi="ar-EG"/>
        </w:rPr>
        <w:t xml:space="preserve"> الأولوية</w:t>
      </w:r>
      <w:r>
        <w:rPr>
          <w:rFonts w:hint="cs"/>
          <w:rtl/>
          <w:lang w:bidi="ar-EG"/>
        </w:rPr>
        <w:t xml:space="preserve"> و</w:t>
      </w:r>
      <w:r w:rsidR="00823983">
        <w:rPr>
          <w:rFonts w:hint="cs"/>
          <w:rtl/>
          <w:lang w:bidi="ar-EG"/>
        </w:rPr>
        <w:t xml:space="preserve">أخريين </w:t>
      </w:r>
      <w:r>
        <w:rPr>
          <w:rFonts w:hint="cs"/>
          <w:rtl/>
          <w:lang w:bidi="ar-EG"/>
        </w:rPr>
        <w:t>متوسطتي الأولوية مفتوح</w:t>
      </w:r>
      <w:r w:rsidR="00823983">
        <w:rPr>
          <w:rFonts w:hint="cs"/>
          <w:rtl/>
          <w:lang w:bidi="ar-EG"/>
        </w:rPr>
        <w:t>ة</w:t>
      </w:r>
      <w:r>
        <w:rPr>
          <w:rFonts w:hint="cs"/>
          <w:rtl/>
          <w:lang w:bidi="ar-EG"/>
        </w:rPr>
        <w:t xml:space="preserve"> منذ عام 2011، ويبلغ عدد التوصيات المفتوحة منذ عام 2013 تسع عشرة توصية.</w:t>
      </w:r>
    </w:p>
    <w:p w:rsidR="004D1D31" w:rsidRDefault="00F255CF" w:rsidP="00823983">
      <w:pPr>
        <w:pStyle w:val="NumberedParaAR"/>
        <w:keepNext/>
        <w:numPr>
          <w:ilvl w:val="0"/>
          <w:numId w:val="4"/>
        </w:numPr>
        <w:rPr>
          <w:lang w:bidi="ar-EG"/>
        </w:rPr>
      </w:pPr>
      <w:r>
        <w:rPr>
          <w:rtl/>
          <w:lang w:bidi="ar-EG"/>
        </w:rPr>
        <w:t>‏</w:t>
      </w:r>
      <w:r w:rsidR="00823983">
        <w:rPr>
          <w:rFonts w:hint="cs"/>
          <w:rtl/>
          <w:lang w:bidi="ar-EG"/>
        </w:rPr>
        <w:t>ويرد فيما يلي</w:t>
      </w:r>
      <w:r>
        <w:rPr>
          <w:rtl/>
          <w:lang w:bidi="ar-EG"/>
        </w:rPr>
        <w:t xml:space="preserve"> </w:t>
      </w:r>
      <w:r w:rsidR="00823983">
        <w:rPr>
          <w:rFonts w:hint="cs"/>
          <w:rtl/>
          <w:lang w:bidi="ar-EG"/>
        </w:rPr>
        <w:t>رسم بياني ل</w:t>
      </w:r>
      <w:r>
        <w:rPr>
          <w:rtl/>
          <w:lang w:bidi="ar-EG"/>
        </w:rPr>
        <w:t>عدد التوصيات بحسب بر</w:t>
      </w:r>
      <w:r w:rsidR="004D1D31" w:rsidRPr="004D1D31">
        <w:rPr>
          <w:rtl/>
          <w:lang w:bidi="ar-EG"/>
        </w:rPr>
        <w:t>امج الويبو</w:t>
      </w:r>
      <w:r w:rsidRPr="006A0DC8">
        <w:rPr>
          <w:rStyle w:val="FootnoteReference"/>
          <w:sz w:val="36"/>
          <w:szCs w:val="36"/>
          <w:rtl/>
          <w:lang w:bidi="ar-EG"/>
        </w:rPr>
        <w:footnoteReference w:id="9"/>
      </w:r>
      <w:r w:rsidR="004D1D31" w:rsidRPr="004D1D31">
        <w:rPr>
          <w:rtl/>
          <w:lang w:bidi="ar-EG"/>
        </w:rPr>
        <w:t xml:space="preserve"> والأولوية في 30 يونيو </w:t>
      </w:r>
      <w:r w:rsidR="004D1D31">
        <w:rPr>
          <w:rFonts w:hint="cs"/>
          <w:rtl/>
          <w:lang w:bidi="ar-EG"/>
        </w:rPr>
        <w:t>2016:</w:t>
      </w:r>
    </w:p>
    <w:p w:rsidR="004D1D31" w:rsidRPr="00626397" w:rsidRDefault="00626397" w:rsidP="00590283">
      <w:pPr>
        <w:pStyle w:val="NormalParaAR"/>
        <w:keepNext/>
        <w:jc w:val="center"/>
        <w:rPr>
          <w:b/>
          <w:bCs/>
        </w:rPr>
      </w:pPr>
      <w:r>
        <w:rPr>
          <w:rFonts w:hint="cs"/>
          <w:b/>
          <w:bCs/>
          <w:rtl/>
        </w:rPr>
        <w:t xml:space="preserve">الرسم البياني (6) </w:t>
      </w:r>
      <w:r>
        <w:rPr>
          <w:b/>
          <w:bCs/>
          <w:rtl/>
        </w:rPr>
        <w:t>–</w:t>
      </w:r>
      <w:r>
        <w:rPr>
          <w:rFonts w:hint="cs"/>
          <w:b/>
          <w:bCs/>
          <w:rtl/>
        </w:rPr>
        <w:t xml:space="preserve"> التوصيات </w:t>
      </w:r>
      <w:r w:rsidRPr="00626397">
        <w:rPr>
          <w:b/>
          <w:bCs/>
          <w:rtl/>
        </w:rPr>
        <w:t>بحسب البرنامج والأولوية</w:t>
      </w:r>
    </w:p>
    <w:p w:rsidR="00626397" w:rsidRDefault="00BB0198" w:rsidP="00626397">
      <w:pPr>
        <w:pStyle w:val="NormalParaAR"/>
        <w:spacing w:line="240" w:lineRule="auto"/>
        <w:jc w:val="center"/>
        <w:rPr>
          <w:noProof/>
        </w:rPr>
      </w:pPr>
      <w:r>
        <w:rPr>
          <w:noProof/>
        </w:rPr>
        <w:drawing>
          <wp:inline distT="0" distB="0" distL="0" distR="0" wp14:anchorId="2A30657F" wp14:editId="1DB29454">
            <wp:extent cx="4556888" cy="2914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3384" cy="2944390"/>
                    </a:xfrm>
                    <a:prstGeom prst="rect">
                      <a:avLst/>
                    </a:prstGeom>
                    <a:noFill/>
                  </pic:spPr>
                </pic:pic>
              </a:graphicData>
            </a:graphic>
          </wp:inline>
        </w:drawing>
      </w:r>
    </w:p>
    <w:p w:rsidR="00626397" w:rsidRDefault="00626397" w:rsidP="000B62B2">
      <w:pPr>
        <w:pStyle w:val="NumberedParaAR"/>
        <w:numPr>
          <w:ilvl w:val="0"/>
          <w:numId w:val="4"/>
        </w:numPr>
        <w:rPr>
          <w:lang w:bidi="ar-EG"/>
        </w:rPr>
      </w:pPr>
      <w:r>
        <w:rPr>
          <w:rFonts w:hint="cs"/>
          <w:rtl/>
          <w:lang w:bidi="ar-EG"/>
        </w:rPr>
        <w:t>ت</w:t>
      </w:r>
      <w:r w:rsidR="006C34AD">
        <w:rPr>
          <w:rFonts w:hint="cs"/>
          <w:rtl/>
          <w:lang w:bidi="ar-EG"/>
        </w:rPr>
        <w:t>ستأثر</w:t>
      </w:r>
      <w:r>
        <w:rPr>
          <w:rFonts w:hint="cs"/>
          <w:rtl/>
          <w:lang w:bidi="ar-EG"/>
        </w:rPr>
        <w:t xml:space="preserve"> أربعة برامج بخمسين بالمئة من التوصيات العالية الأولوية الثلاث والتسعين، </w:t>
      </w:r>
      <w:r w:rsidR="006C34AD">
        <w:rPr>
          <w:rFonts w:hint="cs"/>
          <w:rtl/>
          <w:lang w:bidi="ar-EG"/>
        </w:rPr>
        <w:t>وتخص الحصة الكبرى من التوصيات المفتوحة</w:t>
      </w:r>
      <w:r>
        <w:rPr>
          <w:rFonts w:hint="cs"/>
          <w:rtl/>
          <w:lang w:bidi="ar-EG"/>
        </w:rPr>
        <w:t xml:space="preserve"> البرنامج 23 (إدارة الموارد</w:t>
      </w:r>
      <w:r w:rsidR="006C34AD">
        <w:rPr>
          <w:rFonts w:hint="cs"/>
          <w:rtl/>
          <w:lang w:bidi="ar-EG"/>
        </w:rPr>
        <w:t xml:space="preserve"> البشرية وتطويرها) ثم البرنامج 22 (إدارة البرامج والموارد).</w:t>
      </w:r>
    </w:p>
    <w:p w:rsidR="006C34AD" w:rsidRDefault="006C34AD" w:rsidP="006C34AD">
      <w:pPr>
        <w:pStyle w:val="Heading1AR"/>
      </w:pPr>
      <w:bookmarkStart w:id="15" w:name="_Toc456010993"/>
      <w:r>
        <w:rPr>
          <w:rFonts w:hint="cs"/>
          <w:rtl/>
        </w:rPr>
        <w:lastRenderedPageBreak/>
        <w:t>تقييم الجودة الخارجي لعمل شعبة الرقابة الداخلية</w:t>
      </w:r>
      <w:bookmarkEnd w:id="15"/>
    </w:p>
    <w:p w:rsidR="006C34AD" w:rsidRDefault="006C34AD" w:rsidP="006C34AD">
      <w:pPr>
        <w:pStyle w:val="Heading2AR"/>
        <w:rPr>
          <w:lang w:bidi="ar-EG"/>
        </w:rPr>
      </w:pPr>
      <w:r w:rsidRPr="006C34AD">
        <w:rPr>
          <w:rtl/>
          <w:lang w:bidi="ar-EG"/>
        </w:rPr>
        <w:t>تقييم الجودة الخارجي لمهام التقييم</w:t>
      </w:r>
    </w:p>
    <w:p w:rsidR="006C34AD" w:rsidRDefault="006C34AD" w:rsidP="000B62B2">
      <w:pPr>
        <w:pStyle w:val="NumberedParaAR"/>
        <w:numPr>
          <w:ilvl w:val="0"/>
          <w:numId w:val="4"/>
        </w:numPr>
        <w:rPr>
          <w:lang w:bidi="ar-EG"/>
        </w:rPr>
      </w:pPr>
      <w:r>
        <w:rPr>
          <w:rFonts w:hint="cs"/>
          <w:rtl/>
          <w:lang w:bidi="ar-EG"/>
        </w:rPr>
        <w:t>عقب إصدار النسخة الجديدة من سياسة التقييم ودليل التقييم، نفِّذ</w:t>
      </w:r>
      <w:r w:rsidR="003413E3">
        <w:rPr>
          <w:rFonts w:hint="cs"/>
          <w:rtl/>
          <w:lang w:bidi="ar-EG"/>
        </w:rPr>
        <w:t>ت</w:t>
      </w:r>
      <w:r>
        <w:rPr>
          <w:rFonts w:hint="cs"/>
          <w:rtl/>
          <w:lang w:bidi="ar-EG"/>
        </w:rPr>
        <w:t xml:space="preserve"> التوصيات التسع عشرة كلها المنبثقة عن تقييم الجودة الخارجي لمهام التقييم.</w:t>
      </w:r>
    </w:p>
    <w:p w:rsidR="006C34AD" w:rsidRDefault="006C34AD" w:rsidP="006C34AD">
      <w:pPr>
        <w:pStyle w:val="Heading2AR"/>
        <w:rPr>
          <w:lang w:bidi="ar-EG"/>
        </w:rPr>
      </w:pPr>
      <w:r>
        <w:rPr>
          <w:rFonts w:hint="cs"/>
          <w:rtl/>
          <w:lang w:bidi="ar-EG"/>
        </w:rPr>
        <w:t>تقييم الجودة الخارجي لوظيفة التحقيق</w:t>
      </w:r>
    </w:p>
    <w:p w:rsidR="006C34AD" w:rsidRDefault="00E10C2E" w:rsidP="000B62B2">
      <w:pPr>
        <w:pStyle w:val="NumberedParaAR"/>
        <w:numPr>
          <w:ilvl w:val="0"/>
          <w:numId w:val="4"/>
        </w:numPr>
        <w:rPr>
          <w:lang w:bidi="ar-EG"/>
        </w:rPr>
      </w:pPr>
      <w:r>
        <w:rPr>
          <w:rFonts w:hint="cs"/>
          <w:rtl/>
          <w:lang w:bidi="ar-EG"/>
        </w:rPr>
        <w:t>نفِّذت توصيتان من أصل 13 توصية منبثقة عن تقييم الجودة الخارجي لوظيفة التحقيق. وستنفذ ست توصيات من أصل التوصيات الإحدى عشرة المتبقية عن طريق اعتماد سياسة تحقيق جديدة عقب انتهاء مشاورات الدول الأعضاء وإصدارها دليل التحقيق الجديد.</w:t>
      </w:r>
    </w:p>
    <w:p w:rsidR="00E10C2E" w:rsidRDefault="00E10C2E" w:rsidP="00E10C2E">
      <w:pPr>
        <w:pStyle w:val="Heading1AR"/>
        <w:rPr>
          <w:rtl/>
        </w:rPr>
      </w:pPr>
      <w:bookmarkStart w:id="16" w:name="_Toc456010994"/>
      <w:r>
        <w:rPr>
          <w:rtl/>
        </w:rPr>
        <w:t>العمل الاستشاري والرقابي الاستشاري</w:t>
      </w:r>
      <w:bookmarkEnd w:id="16"/>
    </w:p>
    <w:p w:rsidR="00E10C2E" w:rsidRDefault="00E10C2E" w:rsidP="000B62B2">
      <w:pPr>
        <w:pStyle w:val="NumberedParaAR"/>
        <w:numPr>
          <w:ilvl w:val="0"/>
          <w:numId w:val="4"/>
        </w:numPr>
        <w:rPr>
          <w:rtl/>
          <w:lang w:eastAsia="zh-CN"/>
        </w:rPr>
      </w:pPr>
      <w:r>
        <w:rPr>
          <w:rtl/>
          <w:lang w:eastAsia="zh-CN"/>
        </w:rPr>
        <w:t xml:space="preserve">إضافة إلى العمل الرقابي المزمع، استمرت الشعبة في إسداء المشورة المهنية بشأن السياسات والإجراءات المؤسسية وإدارة </w:t>
      </w:r>
      <w:r>
        <w:rPr>
          <w:rtl/>
          <w:lang w:bidi="ar-EG"/>
        </w:rPr>
        <w:t>المخاطر</w:t>
      </w:r>
      <w:r>
        <w:rPr>
          <w:rtl/>
          <w:lang w:eastAsia="zh-CN"/>
        </w:rPr>
        <w:t xml:space="preserve"> والضوابط الداخلية. وترد قائمة السياسات والإجراءات التي أسدت الشعبة مشورة بشأنها في مرفق هذا</w:t>
      </w:r>
      <w:r w:rsidR="00C77D81">
        <w:rPr>
          <w:rFonts w:hint="cs"/>
          <w:rtl/>
          <w:lang w:eastAsia="zh-CN"/>
        </w:rPr>
        <w:t> </w:t>
      </w:r>
      <w:r>
        <w:rPr>
          <w:rtl/>
          <w:lang w:eastAsia="zh-CN"/>
        </w:rPr>
        <w:t xml:space="preserve">التقرير (المرفق </w:t>
      </w:r>
      <w:r w:rsidR="00C77D81">
        <w:rPr>
          <w:rFonts w:hint="cs"/>
          <w:rtl/>
          <w:lang w:eastAsia="zh-CN"/>
        </w:rPr>
        <w:t>الثاني</w:t>
      </w:r>
      <w:r>
        <w:rPr>
          <w:rtl/>
          <w:lang w:eastAsia="zh-CN"/>
        </w:rPr>
        <w:t>).</w:t>
      </w:r>
    </w:p>
    <w:p w:rsidR="00E10C2E" w:rsidRDefault="00E10C2E" w:rsidP="00C77D81">
      <w:pPr>
        <w:pStyle w:val="Heading1AR"/>
        <w:rPr>
          <w:rtl/>
        </w:rPr>
      </w:pPr>
      <w:bookmarkStart w:id="17" w:name="_Toc456010995"/>
      <w:r>
        <w:rPr>
          <w:rtl/>
        </w:rPr>
        <w:t>التعاون مع هيئات الرقابة الخارجية</w:t>
      </w:r>
      <w:bookmarkEnd w:id="17"/>
    </w:p>
    <w:p w:rsidR="00E10C2E" w:rsidRDefault="00E10C2E" w:rsidP="00C77D81">
      <w:pPr>
        <w:pStyle w:val="Heading2AR"/>
        <w:rPr>
          <w:rtl/>
          <w:lang w:bidi="ar-EG"/>
        </w:rPr>
      </w:pPr>
      <w:r>
        <w:rPr>
          <w:rtl/>
          <w:lang w:bidi="ar-EG"/>
        </w:rPr>
        <w:t>اللجنة الاستشارية المستقلة للرقابة</w:t>
      </w:r>
    </w:p>
    <w:p w:rsidR="00D07582" w:rsidRDefault="00D07582" w:rsidP="003413E3">
      <w:pPr>
        <w:pStyle w:val="NumberedParaAR"/>
        <w:numPr>
          <w:ilvl w:val="0"/>
          <w:numId w:val="4"/>
        </w:numPr>
        <w:rPr>
          <w:rtl/>
          <w:lang w:eastAsia="zh-CN"/>
        </w:rPr>
      </w:pPr>
      <w:r>
        <w:rPr>
          <w:rFonts w:hint="cs"/>
          <w:rtl/>
          <w:lang w:eastAsia="zh-CN"/>
        </w:rPr>
        <w:t>تشارك الشعبة بانتظام في جلسات</w:t>
      </w:r>
      <w:r w:rsidR="00E10C2E">
        <w:rPr>
          <w:rtl/>
          <w:lang w:eastAsia="zh-CN"/>
        </w:rPr>
        <w:t xml:space="preserve"> اللجنة الاستشارية المستقلة للرقابة </w:t>
      </w:r>
      <w:r>
        <w:rPr>
          <w:rFonts w:hint="cs"/>
          <w:rtl/>
          <w:lang w:eastAsia="zh-CN"/>
        </w:rPr>
        <w:t xml:space="preserve">لإبلاغها </w:t>
      </w:r>
      <w:r w:rsidR="003413E3">
        <w:rPr>
          <w:rFonts w:hint="cs"/>
          <w:rtl/>
          <w:lang w:eastAsia="zh-CN"/>
        </w:rPr>
        <w:t xml:space="preserve">عن </w:t>
      </w:r>
      <w:r>
        <w:rPr>
          <w:rFonts w:hint="cs"/>
          <w:rtl/>
          <w:lang w:eastAsia="zh-CN"/>
        </w:rPr>
        <w:t>تنفيذ خطة الرقابة الداخلية، ومناقشة</w:t>
      </w:r>
      <w:r>
        <w:rPr>
          <w:rFonts w:hint="eastAsia"/>
          <w:rtl/>
          <w:lang w:eastAsia="zh-CN"/>
        </w:rPr>
        <w:t> </w:t>
      </w:r>
      <w:r>
        <w:rPr>
          <w:rFonts w:hint="cs"/>
          <w:rtl/>
          <w:lang w:eastAsia="zh-CN"/>
        </w:rPr>
        <w:t>نتائج الرقابة وغيرها من ال</w:t>
      </w:r>
      <w:r w:rsidR="003413E3">
        <w:rPr>
          <w:rFonts w:hint="cs"/>
          <w:rtl/>
          <w:lang w:eastAsia="zh-CN"/>
        </w:rPr>
        <w:t>مسائل</w:t>
      </w:r>
      <w:r>
        <w:rPr>
          <w:rFonts w:hint="cs"/>
          <w:rtl/>
          <w:lang w:eastAsia="zh-CN"/>
        </w:rPr>
        <w:t xml:space="preserve"> المتعلقة بعمل الشعبة وسير شؤونها، والتماس مشورة اللجنة الاستشارية المستقلة. وشهدت الفترة المشمولة بهذا التقرير عقد الجلسات 38 إلى 41 للجنة الاستشارية المستقلة للرقابة.</w:t>
      </w:r>
    </w:p>
    <w:p w:rsidR="00E10C2E" w:rsidRDefault="00E10C2E" w:rsidP="00D07582">
      <w:pPr>
        <w:pStyle w:val="Heading2AR"/>
        <w:rPr>
          <w:rtl/>
          <w:lang w:bidi="ar-EG"/>
        </w:rPr>
      </w:pPr>
      <w:r>
        <w:rPr>
          <w:rtl/>
          <w:lang w:bidi="ar-EG"/>
        </w:rPr>
        <w:t>المدقق الخارجي</w:t>
      </w:r>
    </w:p>
    <w:p w:rsidR="00E10C2E" w:rsidRDefault="00E10C2E" w:rsidP="000B62B2">
      <w:pPr>
        <w:pStyle w:val="NumberedParaAR"/>
        <w:numPr>
          <w:ilvl w:val="0"/>
          <w:numId w:val="4"/>
        </w:numPr>
        <w:rPr>
          <w:rtl/>
          <w:lang w:eastAsia="zh-CN"/>
        </w:rPr>
      </w:pPr>
      <w:r>
        <w:rPr>
          <w:rtl/>
          <w:lang w:eastAsia="zh-CN"/>
        </w:rPr>
        <w:t>تحافظ شعبة الرقابة الداخلية على علاقة عمل ممتازة مع المدقق الخارجي من خلال عقد اجتماعات منتظمة عن قضايا التدقيق والضوابط الداخلية وإدارة المخاطر. وتبادل المدقق الخارجي والشعبة استراتيجيات وخطط سنوية وتقارير فردية بغية ضمان فعالية التغطية الرقابية مع تفادي أي ازدواجية محتملة أو عبء رقابي مفرط.</w:t>
      </w:r>
    </w:p>
    <w:p w:rsidR="00E10C2E" w:rsidRDefault="00E10C2E" w:rsidP="009211E3">
      <w:pPr>
        <w:pStyle w:val="Heading1AR"/>
        <w:rPr>
          <w:rtl/>
        </w:rPr>
      </w:pPr>
      <w:bookmarkStart w:id="18" w:name="_Toc456010996"/>
      <w:r>
        <w:rPr>
          <w:rtl/>
        </w:rPr>
        <w:t>التعاون مع أمين المظالم ومكتب الأخلاقيات</w:t>
      </w:r>
      <w:bookmarkEnd w:id="18"/>
    </w:p>
    <w:p w:rsidR="00E10C2E" w:rsidRDefault="00E10C2E" w:rsidP="000B62B2">
      <w:pPr>
        <w:pStyle w:val="NumberedParaAR"/>
        <w:numPr>
          <w:ilvl w:val="0"/>
          <w:numId w:val="4"/>
        </w:numPr>
        <w:rPr>
          <w:rtl/>
          <w:lang w:eastAsia="zh-CN"/>
        </w:rPr>
      </w:pPr>
      <w:r>
        <w:rPr>
          <w:rtl/>
          <w:lang w:eastAsia="zh-CN"/>
        </w:rPr>
        <w:t>خلال الفترة المشمولة بالتقرير، اجتمع مدير الشعبة بانتظام مع أمين المظالم و</w:t>
      </w:r>
      <w:r w:rsidR="009211E3">
        <w:rPr>
          <w:rFonts w:hint="cs"/>
          <w:rtl/>
          <w:lang w:eastAsia="zh-CN"/>
        </w:rPr>
        <w:t xml:space="preserve">رئيس </w:t>
      </w:r>
      <w:r w:rsidR="009211E3">
        <w:rPr>
          <w:rtl/>
          <w:lang w:eastAsia="zh-CN"/>
        </w:rPr>
        <w:t>مكتب الأخلاقيات</w:t>
      </w:r>
      <w:r>
        <w:rPr>
          <w:rtl/>
          <w:lang w:eastAsia="zh-CN"/>
        </w:rPr>
        <w:t xml:space="preserve"> لضمان التنسيق الجيد وتفادي أي ازدواجية في الأنشطة.</w:t>
      </w:r>
    </w:p>
    <w:p w:rsidR="00E10C2E" w:rsidRDefault="00E10C2E" w:rsidP="009211E3">
      <w:pPr>
        <w:pStyle w:val="Heading1AR"/>
        <w:rPr>
          <w:rtl/>
        </w:rPr>
      </w:pPr>
      <w:bookmarkStart w:id="19" w:name="_Toc456010997"/>
      <w:r>
        <w:rPr>
          <w:rtl/>
        </w:rPr>
        <w:lastRenderedPageBreak/>
        <w:t>أنشطة الرقابة الأخرى</w:t>
      </w:r>
      <w:bookmarkEnd w:id="19"/>
    </w:p>
    <w:p w:rsidR="00E10C2E" w:rsidRDefault="00E10C2E" w:rsidP="009211E3">
      <w:pPr>
        <w:pStyle w:val="Heading2AR"/>
        <w:rPr>
          <w:rtl/>
          <w:lang w:bidi="ar-EG"/>
        </w:rPr>
      </w:pPr>
      <w:r>
        <w:rPr>
          <w:rtl/>
          <w:lang w:bidi="ar-EG"/>
        </w:rPr>
        <w:t>أنشطة التواصل في المنظمة</w:t>
      </w:r>
    </w:p>
    <w:p w:rsidR="00E10C2E" w:rsidRDefault="00E10C2E" w:rsidP="000B62B2">
      <w:pPr>
        <w:pStyle w:val="NumberedParaAR"/>
        <w:numPr>
          <w:ilvl w:val="0"/>
          <w:numId w:val="4"/>
        </w:numPr>
        <w:rPr>
          <w:rtl/>
          <w:lang w:eastAsia="zh-CN"/>
        </w:rPr>
      </w:pPr>
      <w:r>
        <w:rPr>
          <w:rtl/>
          <w:lang w:eastAsia="zh-CN"/>
        </w:rPr>
        <w:t xml:space="preserve">تبذل الشعبة جهوداً مستمرة لتوضيح عملها والدفاع عنه، </w:t>
      </w:r>
      <w:r w:rsidR="009211E3">
        <w:rPr>
          <w:rFonts w:hint="cs"/>
          <w:rtl/>
          <w:lang w:eastAsia="zh-CN"/>
        </w:rPr>
        <w:t xml:space="preserve">فاستمرت في التواصل </w:t>
      </w:r>
      <w:r>
        <w:rPr>
          <w:rtl/>
          <w:lang w:eastAsia="zh-CN"/>
        </w:rPr>
        <w:t xml:space="preserve">مع الزملاء داخل الويبو من خلال </w:t>
      </w:r>
      <w:r w:rsidR="009211E3">
        <w:rPr>
          <w:rFonts w:hint="cs"/>
          <w:rtl/>
          <w:lang w:eastAsia="zh-CN"/>
        </w:rPr>
        <w:t>تقديم عروض ل</w:t>
      </w:r>
      <w:r>
        <w:rPr>
          <w:rtl/>
          <w:lang w:eastAsia="zh-CN"/>
        </w:rPr>
        <w:t>لموظفين الجدد في</w:t>
      </w:r>
      <w:r w:rsidR="009211E3">
        <w:rPr>
          <w:rFonts w:hint="cs"/>
          <w:rtl/>
          <w:lang w:eastAsia="zh-CN"/>
        </w:rPr>
        <w:t xml:space="preserve"> إطار</w:t>
      </w:r>
      <w:r>
        <w:rPr>
          <w:rtl/>
          <w:lang w:eastAsia="zh-CN"/>
        </w:rPr>
        <w:t xml:space="preserve"> التدريبات التمهيدية، وإصدار النشرة الإخبارية للشعبة، وتقديم عروض للمدير وكبار</w:t>
      </w:r>
      <w:r w:rsidR="009211E3">
        <w:rPr>
          <w:rFonts w:hint="cs"/>
          <w:rtl/>
          <w:lang w:eastAsia="zh-CN"/>
        </w:rPr>
        <w:t> </w:t>
      </w:r>
      <w:r>
        <w:rPr>
          <w:rtl/>
          <w:lang w:eastAsia="zh-CN"/>
        </w:rPr>
        <w:t>الإداريين عند الاقتضاء.</w:t>
      </w:r>
    </w:p>
    <w:p w:rsidR="00E10C2E" w:rsidRDefault="00E10C2E" w:rsidP="009211E3">
      <w:pPr>
        <w:pStyle w:val="Heading2AR"/>
        <w:rPr>
          <w:rtl/>
          <w:lang w:bidi="ar-EG"/>
        </w:rPr>
      </w:pPr>
      <w:r>
        <w:rPr>
          <w:rtl/>
          <w:lang w:bidi="ar-EG"/>
        </w:rPr>
        <w:t>استقصاء الرضا</w:t>
      </w:r>
    </w:p>
    <w:p w:rsidR="009211E3" w:rsidRDefault="009211E3" w:rsidP="000B62B2">
      <w:pPr>
        <w:pStyle w:val="NumberedParaAR"/>
        <w:numPr>
          <w:ilvl w:val="0"/>
          <w:numId w:val="4"/>
        </w:numPr>
        <w:rPr>
          <w:lang w:eastAsia="zh-CN"/>
        </w:rPr>
      </w:pPr>
      <w:r>
        <w:rPr>
          <w:rFonts w:hint="cs"/>
          <w:rtl/>
          <w:lang w:eastAsia="zh-CN"/>
        </w:rPr>
        <w:t>و</w:t>
      </w:r>
      <w:r w:rsidR="00E10C2E">
        <w:rPr>
          <w:rtl/>
          <w:lang w:eastAsia="zh-CN"/>
        </w:rPr>
        <w:t>اصلت الشعبة ممارسة استقصاء رضا</w:t>
      </w:r>
      <w:r>
        <w:rPr>
          <w:rFonts w:hint="cs"/>
          <w:rtl/>
          <w:lang w:eastAsia="zh-CN"/>
        </w:rPr>
        <w:t xml:space="preserve"> الزملاء من وحدات الويبو الخاضعة للتدقيق أو التقييم عن طريق استقصاءات رضا الزبائن التالية لكل مهمة. ويهدف ذلك إلى الحصول على آراء الزملاء في العمل الرقابي وتحليله. و</w:t>
      </w:r>
      <w:r w:rsidR="00596080">
        <w:rPr>
          <w:rFonts w:hint="cs"/>
          <w:rtl/>
          <w:lang w:eastAsia="zh-CN"/>
        </w:rPr>
        <w:t>وفقاً للتحليل الموحد لنتائج الاستقصاء، بلغت نسبة الرضا 84 بالمئة.</w:t>
      </w:r>
    </w:p>
    <w:p w:rsidR="00596080" w:rsidRDefault="00596080" w:rsidP="006A0DC8">
      <w:pPr>
        <w:pStyle w:val="NumberedParaAR"/>
        <w:numPr>
          <w:ilvl w:val="0"/>
          <w:numId w:val="4"/>
        </w:numPr>
        <w:rPr>
          <w:lang w:eastAsia="zh-CN"/>
        </w:rPr>
      </w:pPr>
      <w:r>
        <w:rPr>
          <w:rFonts w:hint="cs"/>
          <w:rtl/>
          <w:lang w:eastAsia="zh-CN"/>
        </w:rPr>
        <w:t>و</w:t>
      </w:r>
      <w:r w:rsidR="006A0DC8">
        <w:rPr>
          <w:rFonts w:hint="cs"/>
          <w:rtl/>
          <w:lang w:eastAsia="zh-CN"/>
        </w:rPr>
        <w:t>أشارت</w:t>
      </w:r>
      <w:r>
        <w:rPr>
          <w:rFonts w:hint="cs"/>
          <w:rtl/>
          <w:lang w:eastAsia="zh-CN"/>
        </w:rPr>
        <w:t xml:space="preserve"> نتائج الاستقصاءات</w:t>
      </w:r>
      <w:r w:rsidR="006A0DC8">
        <w:rPr>
          <w:rFonts w:hint="cs"/>
          <w:rtl/>
          <w:lang w:eastAsia="zh-CN"/>
        </w:rPr>
        <w:t>،</w:t>
      </w:r>
      <w:r>
        <w:rPr>
          <w:rFonts w:hint="cs"/>
          <w:rtl/>
          <w:lang w:eastAsia="zh-CN"/>
        </w:rPr>
        <w:t xml:space="preserve"> ال</w:t>
      </w:r>
      <w:r w:rsidR="00E10C2E">
        <w:rPr>
          <w:rtl/>
          <w:lang w:eastAsia="zh-CN"/>
        </w:rPr>
        <w:t xml:space="preserve">تي أجريت بعد سنة من تنفيذ المهام والمستخدمة لقياس أثر </w:t>
      </w:r>
      <w:r>
        <w:rPr>
          <w:rFonts w:hint="cs"/>
          <w:rtl/>
          <w:lang w:eastAsia="zh-CN"/>
        </w:rPr>
        <w:t>ا</w:t>
      </w:r>
      <w:r w:rsidR="00E10C2E">
        <w:rPr>
          <w:rtl/>
          <w:lang w:eastAsia="zh-CN"/>
        </w:rPr>
        <w:t xml:space="preserve">لعمل الرقابي، إلى </w:t>
      </w:r>
      <w:r>
        <w:rPr>
          <w:rFonts w:hint="cs"/>
          <w:rtl/>
          <w:lang w:eastAsia="zh-CN"/>
        </w:rPr>
        <w:t xml:space="preserve">نسبة رضا متوسطة </w:t>
      </w:r>
      <w:r w:rsidR="006A0DC8">
        <w:rPr>
          <w:rFonts w:hint="cs"/>
          <w:rtl/>
          <w:lang w:eastAsia="zh-CN"/>
        </w:rPr>
        <w:t xml:space="preserve">تبلغ </w:t>
      </w:r>
      <w:r>
        <w:rPr>
          <w:rFonts w:hint="cs"/>
          <w:rtl/>
          <w:lang w:eastAsia="zh-CN"/>
        </w:rPr>
        <w:t>74 بالمئة. وستسعى الويبو جاهدة إلى تحسين أثر عملها الرقابي استناداً إلى آراء الزملاء.</w:t>
      </w:r>
    </w:p>
    <w:p w:rsidR="00E10C2E" w:rsidRDefault="00E10C2E" w:rsidP="000B62B2">
      <w:pPr>
        <w:pStyle w:val="NumberedParaAR"/>
        <w:numPr>
          <w:ilvl w:val="0"/>
          <w:numId w:val="4"/>
        </w:numPr>
        <w:rPr>
          <w:rtl/>
          <w:lang w:eastAsia="zh-CN"/>
        </w:rPr>
      </w:pPr>
      <w:r>
        <w:rPr>
          <w:rtl/>
          <w:lang w:eastAsia="zh-CN"/>
        </w:rPr>
        <w:t>وساعدت التعليقات الإضافية</w:t>
      </w:r>
      <w:r w:rsidR="006A0DC8">
        <w:rPr>
          <w:rFonts w:hint="cs"/>
          <w:rtl/>
          <w:lang w:eastAsia="zh-CN"/>
        </w:rPr>
        <w:t>،</w:t>
      </w:r>
      <w:r>
        <w:rPr>
          <w:rtl/>
          <w:lang w:eastAsia="zh-CN"/>
        </w:rPr>
        <w:t xml:space="preserve"> التي أرسلتها الوحدات التي خضعت للتدقيق/التقييم من خلال الاستقصاءات</w:t>
      </w:r>
      <w:r w:rsidR="006A0DC8">
        <w:rPr>
          <w:rFonts w:hint="cs"/>
          <w:rtl/>
          <w:lang w:eastAsia="zh-CN"/>
        </w:rPr>
        <w:t>،</w:t>
      </w:r>
      <w:r>
        <w:rPr>
          <w:rtl/>
          <w:lang w:eastAsia="zh-CN"/>
        </w:rPr>
        <w:t xml:space="preserve"> شعبة الرقابة الداخلية على تحديد أوجه القصور والعمل على اتخاذ إجراءات تصحيحية</w:t>
      </w:r>
      <w:r w:rsidR="00596080">
        <w:rPr>
          <w:rFonts w:hint="cs"/>
          <w:rtl/>
          <w:lang w:eastAsia="zh-CN"/>
        </w:rPr>
        <w:t>.</w:t>
      </w:r>
    </w:p>
    <w:p w:rsidR="00E10C2E" w:rsidRDefault="00E10C2E" w:rsidP="00596080">
      <w:pPr>
        <w:pStyle w:val="Heading2AR"/>
        <w:rPr>
          <w:rtl/>
          <w:lang w:bidi="ar-EG"/>
        </w:rPr>
      </w:pPr>
      <w:r>
        <w:rPr>
          <w:rtl/>
          <w:lang w:bidi="ar-EG"/>
        </w:rPr>
        <w:t>التواصل مع مهام رقابية أخرى</w:t>
      </w:r>
    </w:p>
    <w:p w:rsidR="00E10C2E" w:rsidRDefault="00E10C2E" w:rsidP="000B62B2">
      <w:pPr>
        <w:pStyle w:val="NumberedParaAR"/>
        <w:keepNext/>
        <w:numPr>
          <w:ilvl w:val="0"/>
          <w:numId w:val="4"/>
        </w:numPr>
        <w:rPr>
          <w:rtl/>
          <w:lang w:eastAsia="zh-CN"/>
        </w:rPr>
      </w:pPr>
      <w:r>
        <w:rPr>
          <w:rtl/>
          <w:lang w:eastAsia="zh-CN"/>
        </w:rPr>
        <w:t>يشمل ميثاق الرقابة الداخلية أحكاماً محددة</w:t>
      </w:r>
      <w:r w:rsidR="00596080" w:rsidRPr="006A0DC8">
        <w:rPr>
          <w:rStyle w:val="FootnoteReference"/>
          <w:rFonts w:eastAsia="SimSun"/>
          <w:sz w:val="36"/>
          <w:szCs w:val="36"/>
          <w:rtl/>
          <w:lang w:eastAsia="zh-CN" w:bidi="ar-EG"/>
        </w:rPr>
        <w:footnoteReference w:id="10"/>
      </w:r>
      <w:r w:rsidR="00596080">
        <w:rPr>
          <w:rtl/>
          <w:lang w:eastAsia="zh-CN"/>
        </w:rPr>
        <w:t xml:space="preserve"> عن ال</w:t>
      </w:r>
      <w:r w:rsidR="00596080" w:rsidRPr="00596080">
        <w:rPr>
          <w:rtl/>
          <w:lang w:eastAsia="zh-CN"/>
        </w:rPr>
        <w:t xml:space="preserve">تواصل مع دوائر الرقابة الداخلية في المنظمات الأخرى التابعة لمنظومة الأمم المتحدة وفي المؤسسات المالية </w:t>
      </w:r>
      <w:r w:rsidR="006A0DC8">
        <w:rPr>
          <w:rFonts w:hint="cs"/>
          <w:rtl/>
          <w:lang w:eastAsia="zh-CN"/>
        </w:rPr>
        <w:t>ال</w:t>
      </w:r>
      <w:r w:rsidR="00596080" w:rsidRPr="00596080">
        <w:rPr>
          <w:rtl/>
          <w:lang w:eastAsia="zh-CN"/>
        </w:rPr>
        <w:t>متعددة الأطراف، والتعاون معها.</w:t>
      </w:r>
      <w:r w:rsidR="00596080">
        <w:rPr>
          <w:rFonts w:hint="cs"/>
          <w:rtl/>
          <w:lang w:eastAsia="zh-CN"/>
        </w:rPr>
        <w:t xml:space="preserve"> </w:t>
      </w:r>
      <w:r>
        <w:rPr>
          <w:rtl/>
          <w:lang w:eastAsia="zh-CN"/>
        </w:rPr>
        <w:t>وتقر شعبة الرقابة الداخلية بقيمة وأهمية توطيد العلاقات مع نظيراتها. وخلال الفترة المشمولة بالاستعراض، واصلت الشعبة تعاونها النشط والمفيد وحافظت على علاقاتها مع المنظمات والهيئات الأخرى التابعة للأمم المتحدة. وشاركت الشعبة بفعالية بوجه خاص في المحافل التالية:</w:t>
      </w:r>
    </w:p>
    <w:p w:rsidR="00BB0198" w:rsidRDefault="00E10C2E" w:rsidP="009B6A78">
      <w:pPr>
        <w:pStyle w:val="NormalParaAR"/>
        <w:ind w:left="1133" w:hanging="567"/>
        <w:rPr>
          <w:rtl/>
        </w:rPr>
      </w:pPr>
      <w:r w:rsidRPr="00BB0198">
        <w:rPr>
          <w:rtl/>
        </w:rPr>
        <w:t>(أ)</w:t>
      </w:r>
      <w:r w:rsidRPr="00BB0198">
        <w:rPr>
          <w:rtl/>
        </w:rPr>
        <w:tab/>
      </w:r>
      <w:r w:rsidR="00BB0198">
        <w:rPr>
          <w:rFonts w:hint="cs"/>
          <w:rtl/>
        </w:rPr>
        <w:t>المؤتمر الدولي السنوي واجتماع لجنة القطاع العام لمعهد المحققين الداخليين المنظَّم</w:t>
      </w:r>
      <w:r w:rsidR="009B6A78">
        <w:rPr>
          <w:rFonts w:hint="cs"/>
          <w:rtl/>
        </w:rPr>
        <w:t>ان</w:t>
      </w:r>
      <w:r w:rsidR="00BB0198">
        <w:rPr>
          <w:rFonts w:hint="cs"/>
          <w:rtl/>
        </w:rPr>
        <w:t xml:space="preserve"> في فانكوفر بكندا من 5</w:t>
      </w:r>
      <w:r w:rsidR="009B6A78">
        <w:rPr>
          <w:rFonts w:hint="eastAsia"/>
          <w:rtl/>
        </w:rPr>
        <w:t> </w:t>
      </w:r>
      <w:r w:rsidR="00BB0198">
        <w:rPr>
          <w:rFonts w:hint="cs"/>
          <w:rtl/>
        </w:rPr>
        <w:t>إلى</w:t>
      </w:r>
      <w:r w:rsidR="009B6A78">
        <w:rPr>
          <w:rFonts w:hint="eastAsia"/>
          <w:rtl/>
        </w:rPr>
        <w:t> </w:t>
      </w:r>
      <w:r w:rsidR="00BB0198">
        <w:rPr>
          <w:rFonts w:hint="cs"/>
          <w:rtl/>
        </w:rPr>
        <w:t>8 يوليو 2015؛</w:t>
      </w:r>
    </w:p>
    <w:p w:rsidR="00E10C2E" w:rsidRDefault="00BB0198" w:rsidP="009B6A78">
      <w:pPr>
        <w:pStyle w:val="NormalParaAR"/>
        <w:ind w:left="1133" w:hanging="567"/>
        <w:rPr>
          <w:rtl/>
        </w:rPr>
      </w:pPr>
      <w:r>
        <w:rPr>
          <w:rFonts w:hint="cs"/>
          <w:rtl/>
        </w:rPr>
        <w:t>(ب)</w:t>
      </w:r>
      <w:r>
        <w:rPr>
          <w:rtl/>
        </w:rPr>
        <w:tab/>
      </w:r>
      <w:r w:rsidR="00E10C2E" w:rsidRPr="00BB0198">
        <w:rPr>
          <w:rtl/>
        </w:rPr>
        <w:t>الاجتماع السنوي لممثلي خدمات التدقيق الداخلي للمنظمات التابعة للأمم المتحدة</w:t>
      </w:r>
      <w:r w:rsidR="009B6A78">
        <w:rPr>
          <w:rFonts w:hint="cs"/>
          <w:rtl/>
        </w:rPr>
        <w:t xml:space="preserve"> المعقود</w:t>
      </w:r>
      <w:r>
        <w:rPr>
          <w:rFonts w:hint="cs"/>
          <w:rtl/>
        </w:rPr>
        <w:t xml:space="preserve"> </w:t>
      </w:r>
      <w:r w:rsidR="009B6A78">
        <w:rPr>
          <w:rFonts w:hint="cs"/>
          <w:rtl/>
        </w:rPr>
        <w:t xml:space="preserve">في مانيلا بالفلبين </w:t>
      </w:r>
      <w:r>
        <w:rPr>
          <w:rFonts w:hint="cs"/>
          <w:rtl/>
        </w:rPr>
        <w:t xml:space="preserve">من 8 إلى 11 سبتمبر 2015. وقدَّم مدير الشعبة عرضاً </w:t>
      </w:r>
      <w:r w:rsidR="009B6A78">
        <w:rPr>
          <w:rFonts w:hint="cs"/>
          <w:rtl/>
        </w:rPr>
        <w:t>عن</w:t>
      </w:r>
      <w:r>
        <w:rPr>
          <w:rFonts w:hint="cs"/>
          <w:rtl/>
        </w:rPr>
        <w:t xml:space="preserve"> إدارة استمرارية الأعمال بالتعاون مع بنك</w:t>
      </w:r>
      <w:r w:rsidR="009B6A78">
        <w:rPr>
          <w:rFonts w:hint="eastAsia"/>
          <w:rtl/>
        </w:rPr>
        <w:t> </w:t>
      </w:r>
      <w:r>
        <w:rPr>
          <w:rFonts w:hint="cs"/>
          <w:rtl/>
        </w:rPr>
        <w:t>التنمية</w:t>
      </w:r>
      <w:r w:rsidR="009B6A78">
        <w:rPr>
          <w:rFonts w:hint="eastAsia"/>
          <w:rtl/>
        </w:rPr>
        <w:t> </w:t>
      </w:r>
      <w:r>
        <w:rPr>
          <w:rFonts w:hint="cs"/>
          <w:rtl/>
        </w:rPr>
        <w:t>الآسيوي</w:t>
      </w:r>
      <w:r w:rsidR="00E10C2E" w:rsidRPr="00BB0198">
        <w:rPr>
          <w:rtl/>
        </w:rPr>
        <w:t>؛</w:t>
      </w:r>
    </w:p>
    <w:p w:rsidR="00BB0198" w:rsidRDefault="00BB0198" w:rsidP="00BB0198">
      <w:pPr>
        <w:pStyle w:val="NormalParaAR"/>
        <w:ind w:left="1133" w:hanging="567"/>
        <w:rPr>
          <w:rtl/>
          <w:lang w:bidi="ar-EG"/>
        </w:rPr>
      </w:pPr>
      <w:r>
        <w:rPr>
          <w:rFonts w:hint="cs"/>
          <w:rtl/>
        </w:rPr>
        <w:t>(ج)</w:t>
      </w:r>
      <w:r>
        <w:rPr>
          <w:rtl/>
        </w:rPr>
        <w:tab/>
      </w:r>
      <w:r>
        <w:rPr>
          <w:rFonts w:hint="cs"/>
          <w:rtl/>
        </w:rPr>
        <w:t>الاجتماع السنوي لم</w:t>
      </w:r>
      <w:r w:rsidRPr="00086EB3">
        <w:rPr>
          <w:rtl/>
          <w:lang w:bidi="ar-EG"/>
        </w:rPr>
        <w:t>مثل</w:t>
      </w:r>
      <w:r>
        <w:rPr>
          <w:rFonts w:hint="cs"/>
          <w:rtl/>
          <w:lang w:bidi="ar-EG"/>
        </w:rPr>
        <w:t>ي</w:t>
      </w:r>
      <w:r w:rsidRPr="00086EB3">
        <w:rPr>
          <w:rtl/>
          <w:lang w:bidi="ar-EG"/>
        </w:rPr>
        <w:t xml:space="preserve"> دوائر التحقيق في الأمم المتحدة</w:t>
      </w:r>
      <w:r>
        <w:rPr>
          <w:rFonts w:hint="cs"/>
          <w:rtl/>
          <w:lang w:bidi="ar-EG"/>
        </w:rPr>
        <w:t xml:space="preserve"> في 29 سبتمبر 2015 والمؤتمر السادس عشر للمحققين الدوليين من 30 سبتمبر إلى 2 أكتوبر 2015. وقدَّمت الشعبة عرضاً عن خصوصية البيانات والنفاذ إلى المعلومات في أثناء التحقيقات خلال المؤتمر المذكور. وعُقد الحدثان في مونترو بسويسرا.</w:t>
      </w:r>
    </w:p>
    <w:p w:rsidR="00F255CF" w:rsidRDefault="00F255CF" w:rsidP="009B6A78">
      <w:pPr>
        <w:pStyle w:val="NormalParaAR"/>
        <w:ind w:left="1133" w:hanging="567"/>
        <w:rPr>
          <w:rtl/>
          <w:lang w:bidi="ar-EG"/>
        </w:rPr>
      </w:pPr>
      <w:r>
        <w:rPr>
          <w:rFonts w:hint="cs"/>
          <w:rtl/>
          <w:lang w:bidi="ar-EG"/>
        </w:rPr>
        <w:t>(د)</w:t>
      </w:r>
      <w:r>
        <w:rPr>
          <w:rtl/>
          <w:lang w:bidi="ar-EG"/>
        </w:rPr>
        <w:tab/>
      </w:r>
      <w:r>
        <w:rPr>
          <w:rFonts w:hint="cs"/>
          <w:rtl/>
          <w:lang w:bidi="ar-EG"/>
        </w:rPr>
        <w:t>في 29 يناير 2016، نُظِّمت ندوة التقييم لعام 2016 عن "الدروس المستفادة وسبل المضي قدماً" لإبراز</w:t>
      </w:r>
      <w:r w:rsidR="009B6A78">
        <w:rPr>
          <w:rFonts w:hint="eastAsia"/>
          <w:rtl/>
          <w:lang w:bidi="ar-EG"/>
        </w:rPr>
        <w:t> </w:t>
      </w:r>
      <w:r>
        <w:rPr>
          <w:rFonts w:hint="cs"/>
          <w:rtl/>
          <w:lang w:bidi="ar-EG"/>
        </w:rPr>
        <w:t>عمل وظيفة التقييم المركزية في إطار الشعبة وسياسة التقييم الجديدة. وحضر الندوة أكثر من 70</w:t>
      </w:r>
      <w:r w:rsidR="009B6A78">
        <w:rPr>
          <w:rFonts w:hint="eastAsia"/>
          <w:rtl/>
          <w:lang w:bidi="ar-EG"/>
        </w:rPr>
        <w:t> </w:t>
      </w:r>
      <w:r>
        <w:rPr>
          <w:rFonts w:hint="cs"/>
          <w:rtl/>
          <w:lang w:bidi="ar-EG"/>
        </w:rPr>
        <w:t>مشاركاً من موظفي الويبو والدول الأعضاء والخبراء الخارجيين.</w:t>
      </w:r>
    </w:p>
    <w:p w:rsidR="00F255CF" w:rsidRDefault="00F255CF" w:rsidP="009B6A78">
      <w:pPr>
        <w:pStyle w:val="NormalParaAR"/>
        <w:ind w:left="1133" w:hanging="567"/>
        <w:rPr>
          <w:rtl/>
        </w:rPr>
      </w:pPr>
      <w:r>
        <w:rPr>
          <w:rFonts w:hint="cs"/>
          <w:rtl/>
          <w:lang w:bidi="ar-EG"/>
        </w:rPr>
        <w:lastRenderedPageBreak/>
        <w:t>(ه)</w:t>
      </w:r>
      <w:r>
        <w:rPr>
          <w:rtl/>
          <w:lang w:bidi="ar-EG"/>
        </w:rPr>
        <w:tab/>
      </w:r>
      <w:r>
        <w:rPr>
          <w:rFonts w:hint="cs"/>
          <w:rtl/>
          <w:lang w:bidi="ar-EG"/>
        </w:rPr>
        <w:t>الاجتماع السنوي ل</w:t>
      </w:r>
      <w:r w:rsidRPr="00BB0198">
        <w:rPr>
          <w:rtl/>
        </w:rPr>
        <w:t xml:space="preserve">رؤساء التدقيق الداخلي في المنظمات الدولية الأوروبية المقر الذي </w:t>
      </w:r>
      <w:r>
        <w:rPr>
          <w:rFonts w:hint="cs"/>
          <w:rtl/>
        </w:rPr>
        <w:t>استضافته منظمة التعاون والتنمية في الميدان الاقتصادي في باريس بفرنسا في يومي 7 و8 أبريل 2016؛</w:t>
      </w:r>
    </w:p>
    <w:p w:rsidR="00F255CF" w:rsidRPr="00BB0198" w:rsidRDefault="00F255CF" w:rsidP="009B6A78">
      <w:pPr>
        <w:pStyle w:val="NormalParaAR"/>
        <w:ind w:left="1133" w:hanging="567"/>
        <w:rPr>
          <w:rtl/>
        </w:rPr>
      </w:pPr>
      <w:r>
        <w:rPr>
          <w:rFonts w:hint="cs"/>
          <w:rtl/>
        </w:rPr>
        <w:t>(و)</w:t>
      </w:r>
      <w:r>
        <w:rPr>
          <w:rtl/>
        </w:rPr>
        <w:tab/>
      </w:r>
      <w:r>
        <w:rPr>
          <w:rFonts w:hint="cs"/>
          <w:rtl/>
        </w:rPr>
        <w:t xml:space="preserve">أسبوع التقييم لفريق الأمم المتحدة المعني بالتقييم </w:t>
      </w:r>
      <w:r w:rsidR="009B6A78">
        <w:rPr>
          <w:rFonts w:hint="cs"/>
          <w:rtl/>
        </w:rPr>
        <w:t xml:space="preserve">الذي استضافته الويبو </w:t>
      </w:r>
      <w:r>
        <w:rPr>
          <w:rFonts w:hint="cs"/>
          <w:rtl/>
        </w:rPr>
        <w:t xml:space="preserve">من 25 إلى 29 أبريل 2016 </w:t>
      </w:r>
      <w:r w:rsidR="009B6A78">
        <w:rPr>
          <w:rFonts w:hint="cs"/>
          <w:rtl/>
        </w:rPr>
        <w:t xml:space="preserve">وشارك فيه </w:t>
      </w:r>
      <w:r>
        <w:rPr>
          <w:rFonts w:hint="cs"/>
          <w:rtl/>
        </w:rPr>
        <w:t>أكثر من 100 زميل من 46 وكالة تابعة للأمم المتحدة.</w:t>
      </w:r>
    </w:p>
    <w:p w:rsidR="00F255CF" w:rsidRDefault="00F255CF" w:rsidP="00F255CF">
      <w:pPr>
        <w:pStyle w:val="Heading1AR"/>
        <w:rPr>
          <w:rtl/>
        </w:rPr>
      </w:pPr>
      <w:bookmarkStart w:id="20" w:name="_Toc456010998"/>
      <w:r>
        <w:rPr>
          <w:rFonts w:hint="cs"/>
          <w:rtl/>
        </w:rPr>
        <w:t>الاستقلالية التشغيلية لشعبة الرقابة الداخلية</w:t>
      </w:r>
      <w:bookmarkEnd w:id="20"/>
    </w:p>
    <w:p w:rsidR="00B71C4A" w:rsidRDefault="00B71C4A" w:rsidP="000B62B2">
      <w:pPr>
        <w:pStyle w:val="NumberedParaAR"/>
        <w:numPr>
          <w:ilvl w:val="0"/>
          <w:numId w:val="4"/>
        </w:numPr>
        <w:rPr>
          <w:lang w:eastAsia="zh-CN"/>
        </w:rPr>
      </w:pPr>
      <w:r w:rsidRPr="00BB0198">
        <w:rPr>
          <w:rtl/>
          <w:lang w:eastAsia="zh-CN"/>
        </w:rPr>
        <w:t>يقتضي ميثاق الرقابة الداخلية</w:t>
      </w:r>
      <w:r w:rsidRPr="006A0DC8">
        <w:rPr>
          <w:rStyle w:val="FootnoteReference"/>
          <w:rFonts w:eastAsia="SimSun"/>
          <w:sz w:val="36"/>
          <w:szCs w:val="36"/>
          <w:rtl/>
          <w:lang w:eastAsia="zh-CN" w:bidi="ar-EG"/>
        </w:rPr>
        <w:footnoteReference w:id="11"/>
      </w:r>
      <w:r w:rsidRPr="00BB0198">
        <w:rPr>
          <w:rtl/>
          <w:lang w:eastAsia="zh-CN"/>
        </w:rPr>
        <w:t xml:space="preserve"> من مدير الشعبة أن </w:t>
      </w:r>
      <w:r>
        <w:rPr>
          <w:rFonts w:hint="cs"/>
          <w:rtl/>
          <w:lang w:eastAsia="zh-CN"/>
        </w:rPr>
        <w:t xml:space="preserve">يؤكد الاستقلالية التشغيلية للشعبة وأن </w:t>
      </w:r>
      <w:r w:rsidRPr="00BB0198">
        <w:rPr>
          <w:rtl/>
          <w:lang w:eastAsia="zh-CN"/>
        </w:rPr>
        <w:t>يبدي تعليقاته على نطاق الأنشطة وملاءمة الموارد المخصصة لمهام الرقابة الداخلية.</w:t>
      </w:r>
    </w:p>
    <w:p w:rsidR="00B71C4A" w:rsidRPr="00BB0198" w:rsidRDefault="00B71C4A" w:rsidP="009B6A78">
      <w:pPr>
        <w:pStyle w:val="NumberedParaAR"/>
        <w:numPr>
          <w:ilvl w:val="0"/>
          <w:numId w:val="4"/>
        </w:numPr>
        <w:rPr>
          <w:rtl/>
          <w:lang w:eastAsia="zh-CN"/>
        </w:rPr>
      </w:pPr>
      <w:r>
        <w:rPr>
          <w:rFonts w:hint="cs"/>
          <w:rtl/>
        </w:rPr>
        <w:t>و</w:t>
      </w:r>
      <w:r w:rsidRPr="00BB0198">
        <w:rPr>
          <w:rtl/>
        </w:rPr>
        <w:t xml:space="preserve">خلال الفترة المشمولة بالتقرير، لم تقع أي حالة مست أو حدث أي نشاط مس بالاستقلالية التشغيلية لشعبة الرقابة الداخلية. فقد </w:t>
      </w:r>
      <w:r w:rsidR="009B6A78">
        <w:rPr>
          <w:rFonts w:hint="cs"/>
          <w:rtl/>
        </w:rPr>
        <w:t>حددت</w:t>
      </w:r>
      <w:r w:rsidRPr="00BB0198">
        <w:rPr>
          <w:rtl/>
        </w:rPr>
        <w:t xml:space="preserve"> الشعبة نطاق أنشطتها استناداً إلى التعليقات والآراء النقدية الواردة من إدارة الويبو واللجنة الاستشارية المستقلة للرقابة والدول الأعضاء.</w:t>
      </w:r>
    </w:p>
    <w:p w:rsidR="00E10C2E" w:rsidRPr="00BB0198" w:rsidRDefault="00E10C2E" w:rsidP="00F255CF">
      <w:pPr>
        <w:pStyle w:val="Heading1AR"/>
        <w:rPr>
          <w:rtl/>
        </w:rPr>
      </w:pPr>
      <w:bookmarkStart w:id="21" w:name="_Toc456010999"/>
      <w:r w:rsidRPr="00BB0198">
        <w:rPr>
          <w:rtl/>
        </w:rPr>
        <w:t>موارد الرقابة</w:t>
      </w:r>
      <w:bookmarkEnd w:id="21"/>
    </w:p>
    <w:p w:rsidR="00E10C2E" w:rsidRPr="00BB0198" w:rsidRDefault="00E10C2E" w:rsidP="00B71C4A">
      <w:pPr>
        <w:pStyle w:val="Heading2AR"/>
        <w:rPr>
          <w:rtl/>
          <w:lang w:bidi="ar-EG"/>
        </w:rPr>
      </w:pPr>
      <w:r w:rsidRPr="00BB0198">
        <w:rPr>
          <w:rtl/>
          <w:lang w:bidi="ar-EG"/>
        </w:rPr>
        <w:t>الميزانية والموظفون</w:t>
      </w:r>
    </w:p>
    <w:p w:rsidR="00D20A3E" w:rsidRDefault="00D20A3E" w:rsidP="009B6A78">
      <w:pPr>
        <w:pStyle w:val="NumberedParaAR"/>
        <w:numPr>
          <w:ilvl w:val="0"/>
          <w:numId w:val="4"/>
        </w:numPr>
      </w:pPr>
      <w:r>
        <w:rPr>
          <w:rFonts w:hint="cs"/>
          <w:rtl/>
        </w:rPr>
        <w:t>خ</w:t>
      </w:r>
      <w:r w:rsidR="009B6A78">
        <w:rPr>
          <w:rFonts w:hint="cs"/>
          <w:rtl/>
        </w:rPr>
        <w:t>ُ</w:t>
      </w:r>
      <w:r>
        <w:rPr>
          <w:rFonts w:hint="cs"/>
          <w:rtl/>
        </w:rPr>
        <w:t>صصت للشعبة ميزانية قدرها 4.97 مليون فرنك سويسري أي 0.74 بالمئة من ميزانية الويبو لتنفيذ ولايتها. وك</w:t>
      </w:r>
      <w:r w:rsidRPr="00D20A3E">
        <w:rPr>
          <w:rtl/>
        </w:rPr>
        <w:t>ان</w:t>
      </w:r>
      <w:r w:rsidR="009B6A78">
        <w:rPr>
          <w:rFonts w:hint="cs"/>
          <w:rtl/>
        </w:rPr>
        <w:t> </w:t>
      </w:r>
      <w:r w:rsidRPr="00D20A3E">
        <w:rPr>
          <w:rtl/>
        </w:rPr>
        <w:t>مستوى الموارد البشرية والمالية ملائماً كي تغطي الشعبة بفعالية المجالات ذات الأولوية المحددة في خطط عملها.</w:t>
      </w:r>
      <w:r w:rsidR="00590283">
        <w:rPr>
          <w:rFonts w:hint="cs"/>
          <w:rtl/>
        </w:rPr>
        <w:t xml:space="preserve"> وفضلاً</w:t>
      </w:r>
      <w:r w:rsidR="009B6A78">
        <w:rPr>
          <w:rFonts w:hint="eastAsia"/>
          <w:rtl/>
        </w:rPr>
        <w:t> </w:t>
      </w:r>
      <w:r w:rsidR="00590283">
        <w:rPr>
          <w:rFonts w:hint="cs"/>
          <w:rtl/>
        </w:rPr>
        <w:t xml:space="preserve">عن ذلك، </w:t>
      </w:r>
      <w:r w:rsidR="009B6A78">
        <w:rPr>
          <w:rFonts w:hint="cs"/>
          <w:rtl/>
        </w:rPr>
        <w:t>ساهم</w:t>
      </w:r>
      <w:r w:rsidR="00590283">
        <w:rPr>
          <w:rFonts w:hint="cs"/>
          <w:rtl/>
        </w:rPr>
        <w:t xml:space="preserve"> تبادل خطط الرقابة والتنسيق المستمر لأنشطة الرقابة مع المدقق الخارجي والاستخدام الفعال لأدوات تكنولوجيا المعلومات في تحقيق المزيد من الفعالية والكفاءة في تغطية المخاطر.</w:t>
      </w:r>
    </w:p>
    <w:p w:rsidR="00590283" w:rsidRDefault="00590283" w:rsidP="00590283">
      <w:pPr>
        <w:pStyle w:val="NormalParaAR"/>
        <w:keepNext/>
        <w:spacing w:before="240"/>
        <w:jc w:val="center"/>
        <w:rPr>
          <w:b/>
          <w:bCs/>
          <w:rtl/>
        </w:rPr>
      </w:pPr>
      <w:r>
        <w:rPr>
          <w:rFonts w:hint="cs"/>
          <w:b/>
          <w:bCs/>
          <w:rtl/>
        </w:rPr>
        <w:t xml:space="preserve">الجدول 3 - </w:t>
      </w:r>
      <w:r w:rsidRPr="00590283">
        <w:rPr>
          <w:b/>
          <w:bCs/>
          <w:rtl/>
        </w:rPr>
        <w:t>ميزانية ونفقات شعبة الرقابة الداخلية</w:t>
      </w:r>
      <w:r w:rsidRPr="006A0DC8">
        <w:rPr>
          <w:b/>
          <w:bCs/>
          <w:vertAlign w:val="superscript"/>
          <w:rtl/>
        </w:rPr>
        <w:footnoteReference w:id="12"/>
      </w:r>
      <w:r>
        <w:rPr>
          <w:b/>
          <w:bCs/>
          <w:rtl/>
        </w:rPr>
        <w:t xml:space="preserve"> ل</w:t>
      </w:r>
      <w:r>
        <w:rPr>
          <w:rFonts w:hint="cs"/>
          <w:b/>
          <w:bCs/>
          <w:rtl/>
        </w:rPr>
        <w:t xml:space="preserve">لثنائية 2014/15 </w:t>
      </w:r>
      <w:r w:rsidRPr="00590283">
        <w:rPr>
          <w:b/>
          <w:bCs/>
          <w:rtl/>
        </w:rPr>
        <w:t>بعد التحويلات</w:t>
      </w:r>
    </w:p>
    <w:tbl>
      <w:tblPr>
        <w:bidiVisual/>
        <w:tblW w:w="0" w:type="auto"/>
        <w:tblLook w:val="04A0" w:firstRow="1" w:lastRow="0" w:firstColumn="1" w:lastColumn="0" w:noHBand="0" w:noVBand="1"/>
      </w:tblPr>
      <w:tblGrid>
        <w:gridCol w:w="1623"/>
        <w:gridCol w:w="1852"/>
        <w:gridCol w:w="2354"/>
        <w:gridCol w:w="1323"/>
        <w:gridCol w:w="1326"/>
      </w:tblGrid>
      <w:tr w:rsidR="00590283" w:rsidRPr="00543FB7" w:rsidTr="009B6A78">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590283" w:rsidRPr="00684E26" w:rsidRDefault="00590283" w:rsidP="009B41E6">
            <w:pPr>
              <w:keepNext/>
              <w:bidi/>
              <w:spacing w:after="240"/>
              <w:rPr>
                <w:rFonts w:ascii="Arabic Typesetting" w:hAnsi="Arabic Typesetting" w:cs="Arabic Typesetting"/>
                <w:color w:val="000000"/>
                <w:sz w:val="30"/>
                <w:szCs w:val="30"/>
              </w:rPr>
            </w:pPr>
          </w:p>
        </w:tc>
        <w:tc>
          <w:tcPr>
            <w:tcW w:w="0" w:type="auto"/>
            <w:tcBorders>
              <w:top w:val="single" w:sz="4" w:space="0" w:color="auto"/>
              <w:left w:val="nil"/>
              <w:bottom w:val="nil"/>
              <w:right w:val="single" w:sz="4" w:space="0" w:color="auto"/>
            </w:tcBorders>
            <w:shd w:val="clear" w:color="000000" w:fill="CCFFFF"/>
            <w:vAlign w:val="center"/>
            <w:hideMark/>
          </w:tcPr>
          <w:p w:rsidR="00590283" w:rsidRPr="00684E26" w:rsidRDefault="00590283" w:rsidP="009B6A78">
            <w:pPr>
              <w:keepNext/>
              <w:bidi/>
              <w:spacing w:before="120" w:after="120"/>
              <w:jc w:val="center"/>
              <w:rPr>
                <w:rFonts w:ascii="Arabic Typesetting" w:hAnsi="Arabic Typesetting" w:cs="Arabic Typesetting"/>
                <w:b/>
                <w:bCs/>
                <w:color w:val="000000"/>
                <w:sz w:val="30"/>
                <w:szCs w:val="30"/>
              </w:rPr>
            </w:pPr>
            <w:r w:rsidRPr="00684E26">
              <w:rPr>
                <w:rFonts w:ascii="Arabic Typesetting" w:hAnsi="Arabic Typesetting" w:cs="Arabic Typesetting"/>
                <w:b/>
                <w:bCs/>
                <w:color w:val="000000"/>
                <w:sz w:val="30"/>
                <w:szCs w:val="30"/>
                <w:rtl/>
              </w:rPr>
              <w:t>الميزانية المعتمدة 2014/15</w:t>
            </w:r>
          </w:p>
        </w:tc>
        <w:tc>
          <w:tcPr>
            <w:tcW w:w="0" w:type="auto"/>
            <w:tcBorders>
              <w:top w:val="single" w:sz="4" w:space="0" w:color="auto"/>
              <w:left w:val="nil"/>
              <w:bottom w:val="nil"/>
              <w:right w:val="single" w:sz="4" w:space="0" w:color="auto"/>
            </w:tcBorders>
            <w:shd w:val="clear" w:color="000000" w:fill="CCFFFF"/>
            <w:vAlign w:val="center"/>
            <w:hideMark/>
          </w:tcPr>
          <w:p w:rsidR="00590283" w:rsidRPr="00684E26" w:rsidRDefault="00590283" w:rsidP="009B6A78">
            <w:pPr>
              <w:keepNext/>
              <w:bidi/>
              <w:spacing w:before="120" w:after="120"/>
              <w:jc w:val="center"/>
              <w:rPr>
                <w:rFonts w:ascii="Arabic Typesetting" w:hAnsi="Arabic Typesetting" w:cs="Arabic Typesetting"/>
                <w:b/>
                <w:bCs/>
                <w:color w:val="000000"/>
                <w:sz w:val="30"/>
                <w:szCs w:val="30"/>
              </w:rPr>
            </w:pPr>
            <w:r w:rsidRPr="00684E26">
              <w:rPr>
                <w:rFonts w:ascii="Arabic Typesetting" w:hAnsi="Arabic Typesetting" w:cs="Arabic Typesetting"/>
                <w:b/>
                <w:bCs/>
                <w:color w:val="000000"/>
                <w:sz w:val="30"/>
                <w:szCs w:val="30"/>
                <w:rtl/>
              </w:rPr>
              <w:t>ميزانية 2014/15 بعد التحويلات</w:t>
            </w:r>
          </w:p>
        </w:tc>
        <w:tc>
          <w:tcPr>
            <w:tcW w:w="0" w:type="auto"/>
            <w:tcBorders>
              <w:top w:val="single" w:sz="4" w:space="0" w:color="auto"/>
              <w:left w:val="nil"/>
              <w:bottom w:val="nil"/>
              <w:right w:val="single" w:sz="4" w:space="0" w:color="auto"/>
            </w:tcBorders>
            <w:shd w:val="clear" w:color="000000" w:fill="CCFFFF"/>
            <w:vAlign w:val="center"/>
            <w:hideMark/>
          </w:tcPr>
          <w:p w:rsidR="00590283" w:rsidRPr="00684E26" w:rsidRDefault="00590283" w:rsidP="009B6A78">
            <w:pPr>
              <w:keepNext/>
              <w:bidi/>
              <w:spacing w:before="120" w:after="120"/>
              <w:jc w:val="center"/>
              <w:rPr>
                <w:rFonts w:ascii="Arabic Typesetting" w:hAnsi="Arabic Typesetting" w:cs="Arabic Typesetting"/>
                <w:b/>
                <w:bCs/>
                <w:color w:val="000000"/>
                <w:sz w:val="30"/>
                <w:szCs w:val="30"/>
              </w:rPr>
            </w:pPr>
            <w:r w:rsidRPr="00684E26">
              <w:rPr>
                <w:rFonts w:ascii="Arabic Typesetting" w:hAnsi="Arabic Typesetting" w:cs="Arabic Typesetting"/>
                <w:b/>
                <w:bCs/>
                <w:color w:val="000000"/>
                <w:sz w:val="30"/>
                <w:szCs w:val="30"/>
                <w:rtl/>
              </w:rPr>
              <w:t>نفقات 2014/15</w:t>
            </w:r>
          </w:p>
        </w:tc>
        <w:tc>
          <w:tcPr>
            <w:tcW w:w="0" w:type="auto"/>
            <w:tcBorders>
              <w:top w:val="single" w:sz="4" w:space="0" w:color="auto"/>
              <w:left w:val="nil"/>
              <w:bottom w:val="nil"/>
              <w:right w:val="single" w:sz="4" w:space="0" w:color="auto"/>
            </w:tcBorders>
            <w:shd w:val="clear" w:color="000000" w:fill="CCFFFF"/>
            <w:vAlign w:val="center"/>
            <w:hideMark/>
          </w:tcPr>
          <w:p w:rsidR="00590283" w:rsidRPr="00684E26" w:rsidRDefault="00590283" w:rsidP="009B6A78">
            <w:pPr>
              <w:keepNext/>
              <w:bidi/>
              <w:spacing w:before="120" w:after="120"/>
              <w:jc w:val="center"/>
              <w:rPr>
                <w:rFonts w:ascii="Arabic Typesetting" w:hAnsi="Arabic Typesetting" w:cs="Arabic Typesetting"/>
                <w:b/>
                <w:bCs/>
                <w:color w:val="000000"/>
                <w:sz w:val="30"/>
                <w:szCs w:val="30"/>
              </w:rPr>
            </w:pPr>
            <w:r w:rsidRPr="00684E26">
              <w:rPr>
                <w:rFonts w:ascii="Arabic Typesetting" w:hAnsi="Arabic Typesetting" w:cs="Arabic Typesetting"/>
                <w:b/>
                <w:bCs/>
                <w:color w:val="000000"/>
                <w:sz w:val="30"/>
                <w:szCs w:val="30"/>
                <w:rtl/>
              </w:rPr>
              <w:t>نسبة الاستخدام</w:t>
            </w:r>
          </w:p>
        </w:tc>
      </w:tr>
      <w:tr w:rsidR="00590283" w:rsidRPr="00543FB7" w:rsidTr="009B41E6">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90283" w:rsidRPr="00684E26" w:rsidRDefault="00590283" w:rsidP="00787C92">
            <w:pPr>
              <w:keepNext/>
              <w:bidi/>
              <w:rPr>
                <w:rFonts w:ascii="Arabic Typesetting" w:hAnsi="Arabic Typesetting" w:cs="Arabic Typesetting"/>
                <w:color w:val="000000"/>
                <w:sz w:val="30"/>
                <w:szCs w:val="30"/>
                <w:rtl/>
              </w:rPr>
            </w:pPr>
            <w:r w:rsidRPr="00684E26">
              <w:rPr>
                <w:rFonts w:ascii="Arabic Typesetting" w:hAnsi="Arabic Typesetting" w:cs="Arabic Typesetting"/>
                <w:color w:val="000000"/>
                <w:sz w:val="30"/>
                <w:szCs w:val="30"/>
                <w:rtl/>
              </w:rPr>
              <w:t>موارد الموظفين</w:t>
            </w:r>
          </w:p>
        </w:tc>
        <w:tc>
          <w:tcPr>
            <w:tcW w:w="0" w:type="auto"/>
            <w:tcBorders>
              <w:top w:val="single" w:sz="4" w:space="0" w:color="auto"/>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4,396</w:t>
            </w:r>
          </w:p>
        </w:tc>
        <w:tc>
          <w:tcPr>
            <w:tcW w:w="0" w:type="auto"/>
            <w:tcBorders>
              <w:top w:val="single" w:sz="4" w:space="0" w:color="auto"/>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4,276</w:t>
            </w:r>
          </w:p>
        </w:tc>
        <w:tc>
          <w:tcPr>
            <w:tcW w:w="0" w:type="auto"/>
            <w:tcBorders>
              <w:top w:val="single" w:sz="4" w:space="0" w:color="auto"/>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3,938</w:t>
            </w:r>
          </w:p>
        </w:tc>
        <w:tc>
          <w:tcPr>
            <w:tcW w:w="0" w:type="auto"/>
            <w:tcBorders>
              <w:top w:val="single" w:sz="4" w:space="0" w:color="auto"/>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%92</w:t>
            </w:r>
          </w:p>
        </w:tc>
      </w:tr>
      <w:tr w:rsidR="00590283" w:rsidRPr="00543FB7" w:rsidTr="009B41E6">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90283" w:rsidRPr="00684E26" w:rsidRDefault="00590283" w:rsidP="00787C92">
            <w:pPr>
              <w:keepNext/>
              <w:bidi/>
              <w:rPr>
                <w:rFonts w:ascii="Arabic Typesetting" w:hAnsi="Arabic Typesetting" w:cs="Arabic Typesetting"/>
                <w:color w:val="000000"/>
                <w:sz w:val="30"/>
                <w:szCs w:val="30"/>
              </w:rPr>
            </w:pPr>
            <w:r w:rsidRPr="00684E26">
              <w:rPr>
                <w:rFonts w:ascii="Arabic Typesetting" w:hAnsi="Arabic Typesetting" w:cs="Arabic Typesetting"/>
                <w:color w:val="000000"/>
                <w:sz w:val="30"/>
                <w:szCs w:val="30"/>
                <w:rtl/>
              </w:rPr>
              <w:t>خلاف موارد الموظفين</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720</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696</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611</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%88</w:t>
            </w:r>
          </w:p>
        </w:tc>
      </w:tr>
      <w:tr w:rsidR="00590283" w:rsidRPr="00E32ADE" w:rsidTr="009B41E6">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590283" w:rsidRPr="00684E26" w:rsidRDefault="00590283" w:rsidP="00787C92">
            <w:pPr>
              <w:bidi/>
              <w:jc w:val="center"/>
              <w:rPr>
                <w:rFonts w:ascii="Arabic Typesetting" w:hAnsi="Arabic Typesetting" w:cs="Arabic Typesetting"/>
                <w:color w:val="000000"/>
                <w:sz w:val="30"/>
                <w:szCs w:val="30"/>
              </w:rPr>
            </w:pPr>
            <w:r w:rsidRPr="00684E26">
              <w:rPr>
                <w:rFonts w:ascii="Arabic Typesetting" w:hAnsi="Arabic Typesetting" w:cs="Arabic Typesetting"/>
                <w:b/>
                <w:bCs/>
                <w:color w:val="000000"/>
                <w:sz w:val="30"/>
                <w:szCs w:val="30"/>
                <w:rtl/>
              </w:rPr>
              <w:t>المجموع</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bidi/>
              <w:jc w:val="center"/>
              <w:rPr>
                <w:color w:val="000000"/>
                <w:sz w:val="18"/>
                <w:szCs w:val="18"/>
              </w:rPr>
            </w:pPr>
            <w:r w:rsidRPr="00684E26">
              <w:rPr>
                <w:color w:val="000000"/>
                <w:sz w:val="18"/>
                <w:szCs w:val="18"/>
              </w:rPr>
              <w:t>5,116</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bidi/>
              <w:jc w:val="center"/>
              <w:rPr>
                <w:color w:val="000000"/>
                <w:sz w:val="18"/>
                <w:szCs w:val="18"/>
              </w:rPr>
            </w:pPr>
            <w:r w:rsidRPr="00684E26">
              <w:rPr>
                <w:color w:val="000000"/>
                <w:sz w:val="18"/>
                <w:szCs w:val="18"/>
              </w:rPr>
              <w:t>4,972</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bidi/>
              <w:jc w:val="center"/>
              <w:rPr>
                <w:color w:val="000000"/>
                <w:sz w:val="18"/>
                <w:szCs w:val="18"/>
              </w:rPr>
            </w:pPr>
            <w:r w:rsidRPr="00684E26">
              <w:rPr>
                <w:color w:val="000000"/>
                <w:sz w:val="18"/>
                <w:szCs w:val="18"/>
              </w:rPr>
              <w:t>4,550</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bidi/>
              <w:jc w:val="center"/>
              <w:rPr>
                <w:color w:val="000000"/>
                <w:sz w:val="18"/>
                <w:szCs w:val="18"/>
              </w:rPr>
            </w:pPr>
            <w:r w:rsidRPr="00684E26">
              <w:rPr>
                <w:color w:val="000000"/>
                <w:sz w:val="18"/>
                <w:szCs w:val="18"/>
              </w:rPr>
              <w:t>%92</w:t>
            </w:r>
          </w:p>
        </w:tc>
      </w:tr>
    </w:tbl>
    <w:p w:rsidR="00590283" w:rsidRDefault="00590283" w:rsidP="00787C92">
      <w:pPr>
        <w:pStyle w:val="NumberedParaAR"/>
        <w:numPr>
          <w:ilvl w:val="0"/>
          <w:numId w:val="4"/>
        </w:numPr>
        <w:spacing w:before="240"/>
      </w:pPr>
      <w:r>
        <w:rPr>
          <w:rFonts w:hint="cs"/>
          <w:rtl/>
        </w:rPr>
        <w:t xml:space="preserve">أديرت التغيرات غير المتوقعة في ملاك موظفي الشعبة </w:t>
      </w:r>
      <w:r w:rsidR="00787C92">
        <w:rPr>
          <w:rFonts w:hint="cs"/>
          <w:rtl/>
        </w:rPr>
        <w:t>بهدف الحد</w:t>
      </w:r>
      <w:r>
        <w:rPr>
          <w:rFonts w:hint="cs"/>
          <w:rtl/>
        </w:rPr>
        <w:t xml:space="preserve"> من آثارها في أنشطة الرقابة المزمعة. وحقق ذلك بفضل كفاية </w:t>
      </w:r>
      <w:r w:rsidRPr="00590283">
        <w:rPr>
          <w:rtl/>
        </w:rPr>
        <w:t xml:space="preserve">الموارد المالية المخصصة </w:t>
      </w:r>
      <w:r w:rsidR="00787C92">
        <w:rPr>
          <w:rFonts w:hint="cs"/>
          <w:rtl/>
        </w:rPr>
        <w:t>للاستعانة</w:t>
      </w:r>
      <w:r w:rsidRPr="00590283">
        <w:rPr>
          <w:rtl/>
        </w:rPr>
        <w:t xml:space="preserve"> </w:t>
      </w:r>
      <w:r w:rsidR="00787C92">
        <w:rPr>
          <w:rFonts w:hint="cs"/>
          <w:rtl/>
        </w:rPr>
        <w:t>ب</w:t>
      </w:r>
      <w:r w:rsidRPr="00590283">
        <w:rPr>
          <w:rtl/>
        </w:rPr>
        <w:t xml:space="preserve">مزودي خدمات </w:t>
      </w:r>
      <w:r w:rsidR="00787C92">
        <w:rPr>
          <w:rFonts w:hint="cs"/>
          <w:rtl/>
        </w:rPr>
        <w:t xml:space="preserve">خارجيين </w:t>
      </w:r>
      <w:r w:rsidRPr="00590283">
        <w:rPr>
          <w:rtl/>
        </w:rPr>
        <w:t>في مساعدة الشعبة على تنفيذ خط</w:t>
      </w:r>
      <w:r>
        <w:rPr>
          <w:rFonts w:hint="cs"/>
          <w:rtl/>
        </w:rPr>
        <w:t>ت</w:t>
      </w:r>
      <w:r w:rsidRPr="00590283">
        <w:rPr>
          <w:rtl/>
        </w:rPr>
        <w:t>ها الرقابية.</w:t>
      </w:r>
    </w:p>
    <w:p w:rsidR="00590283" w:rsidRDefault="00590283" w:rsidP="000B62B2">
      <w:pPr>
        <w:pStyle w:val="NumberedParaAR"/>
        <w:numPr>
          <w:ilvl w:val="0"/>
          <w:numId w:val="4"/>
        </w:numPr>
        <w:spacing w:before="240"/>
      </w:pPr>
      <w:r>
        <w:rPr>
          <w:rFonts w:hint="cs"/>
          <w:rtl/>
        </w:rPr>
        <w:t>ومنذ رحيل المدير السابق للشعبة في 1 مايو 2015، عيِّ</w:t>
      </w:r>
      <w:r w:rsidRPr="00590283">
        <w:rPr>
          <w:rtl/>
        </w:rPr>
        <w:t>ن رئيس قسم التدقيق الداخلي مدير</w:t>
      </w:r>
      <w:r>
        <w:rPr>
          <w:rFonts w:hint="cs"/>
          <w:rtl/>
        </w:rPr>
        <w:t>اً</w:t>
      </w:r>
      <w:r w:rsidRPr="00590283">
        <w:rPr>
          <w:rtl/>
        </w:rPr>
        <w:t xml:space="preserve"> مؤقت</w:t>
      </w:r>
      <w:r>
        <w:rPr>
          <w:rFonts w:hint="cs"/>
          <w:rtl/>
        </w:rPr>
        <w:t>اً</w:t>
      </w:r>
      <w:r w:rsidRPr="00590283">
        <w:rPr>
          <w:rtl/>
        </w:rPr>
        <w:t xml:space="preserve"> للشعبة إلى أن يتولى مدير الشعبة الجدي</w:t>
      </w:r>
      <w:r>
        <w:rPr>
          <w:rFonts w:hint="cs"/>
          <w:rtl/>
        </w:rPr>
        <w:t>د</w:t>
      </w:r>
      <w:r w:rsidRPr="00590283">
        <w:rPr>
          <w:rtl/>
        </w:rPr>
        <w:t xml:space="preserve"> منصبه.</w:t>
      </w:r>
      <w:r>
        <w:rPr>
          <w:rFonts w:hint="cs"/>
          <w:rtl/>
        </w:rPr>
        <w:t xml:space="preserve"> وفي تاريخ إعداد هذا التقرير، كان مسار تعيين مدير الشعبة جارياً.</w:t>
      </w:r>
    </w:p>
    <w:p w:rsidR="00590283" w:rsidRDefault="00D3346E" w:rsidP="000B62B2">
      <w:pPr>
        <w:pStyle w:val="NumberedParaAR"/>
        <w:numPr>
          <w:ilvl w:val="0"/>
          <w:numId w:val="4"/>
        </w:numPr>
        <w:spacing w:before="240"/>
      </w:pPr>
      <w:r>
        <w:rPr>
          <w:rFonts w:hint="cs"/>
          <w:rtl/>
        </w:rPr>
        <w:t>وبعد التقاعد المبكر لرئيس قسم التقييم، أ</w:t>
      </w:r>
      <w:r w:rsidR="00787C92">
        <w:rPr>
          <w:rFonts w:hint="cs"/>
          <w:rtl/>
        </w:rPr>
        <w:t>ُ</w:t>
      </w:r>
      <w:r>
        <w:rPr>
          <w:rFonts w:hint="cs"/>
          <w:rtl/>
        </w:rPr>
        <w:t>علن شغر وظيفته وكان مسار التعيين جارياً في تاريخ إعداد هذا التقرير.</w:t>
      </w:r>
    </w:p>
    <w:p w:rsidR="00D3346E" w:rsidRDefault="00D3346E" w:rsidP="000B62B2">
      <w:pPr>
        <w:pStyle w:val="NumberedParaAR"/>
        <w:numPr>
          <w:ilvl w:val="0"/>
          <w:numId w:val="4"/>
        </w:numPr>
        <w:spacing w:before="240"/>
      </w:pPr>
      <w:r>
        <w:rPr>
          <w:rFonts w:hint="cs"/>
          <w:rtl/>
        </w:rPr>
        <w:lastRenderedPageBreak/>
        <w:t>وسعياً إلى استيعاب عبء العمل المتزايد على قسم التحقيقات بفعالية، عيِّن موظف تحقيق مؤقت من المزمع أن يباشر أعماله في منتصف شهر أغسطس 2016.</w:t>
      </w:r>
    </w:p>
    <w:p w:rsidR="00D3346E" w:rsidRDefault="00D3346E" w:rsidP="00787C92">
      <w:pPr>
        <w:pStyle w:val="NumberedParaAR"/>
        <w:numPr>
          <w:ilvl w:val="0"/>
          <w:numId w:val="4"/>
        </w:numPr>
        <w:spacing w:before="240"/>
      </w:pPr>
      <w:r>
        <w:rPr>
          <w:rFonts w:hint="cs"/>
          <w:rtl/>
        </w:rPr>
        <w:t xml:space="preserve">وعيِّن موظف مؤقت ليتولى أعمال المسؤول عن التقييم الذي </w:t>
      </w:r>
      <w:r w:rsidR="00787C92">
        <w:rPr>
          <w:rFonts w:hint="cs"/>
          <w:rtl/>
        </w:rPr>
        <w:t xml:space="preserve">بدأ </w:t>
      </w:r>
      <w:r>
        <w:rPr>
          <w:rFonts w:hint="cs"/>
          <w:rtl/>
        </w:rPr>
        <w:t>إجازة خاصة.</w:t>
      </w:r>
    </w:p>
    <w:p w:rsidR="00E10C2E" w:rsidRPr="00BB0198" w:rsidRDefault="00E10C2E" w:rsidP="00D3346E">
      <w:pPr>
        <w:pStyle w:val="Heading2AR"/>
        <w:rPr>
          <w:rtl/>
          <w:lang w:bidi="ar-EG"/>
        </w:rPr>
      </w:pPr>
      <w:r w:rsidRPr="00BB0198">
        <w:rPr>
          <w:rtl/>
          <w:lang w:bidi="ar-EG"/>
        </w:rPr>
        <w:t>التدريب</w:t>
      </w:r>
    </w:p>
    <w:p w:rsidR="00D3346E" w:rsidRDefault="00E10C2E" w:rsidP="00787C92">
      <w:pPr>
        <w:pStyle w:val="NumberedParaAR"/>
        <w:numPr>
          <w:ilvl w:val="0"/>
          <w:numId w:val="4"/>
        </w:numPr>
      </w:pPr>
      <w:r w:rsidRPr="00BB0198">
        <w:rPr>
          <w:rtl/>
        </w:rPr>
        <w:t xml:space="preserve">نظراً إلى أهمية </w:t>
      </w:r>
      <w:r w:rsidR="00D3346E">
        <w:rPr>
          <w:rFonts w:hint="cs"/>
          <w:rtl/>
        </w:rPr>
        <w:t>التقدم</w:t>
      </w:r>
      <w:r w:rsidRPr="00BB0198">
        <w:rPr>
          <w:rtl/>
        </w:rPr>
        <w:t xml:space="preserve"> المهني المستمر للموظفين ووفقاً لسياسة التدريب في الويبو، حضر موظفو شعبة الرقابة الداخلية أنشطة تدريب </w:t>
      </w:r>
      <w:r w:rsidR="00D3346E">
        <w:rPr>
          <w:rFonts w:hint="cs"/>
          <w:rtl/>
        </w:rPr>
        <w:t>مختلفة</w:t>
      </w:r>
      <w:r w:rsidRPr="00BB0198">
        <w:rPr>
          <w:rtl/>
        </w:rPr>
        <w:t xml:space="preserve"> لاكتساب معارف ومهارات تقنية وكفاءات جديدة لزيادة الفعالية والكفاءة التشغيلية للشعبة عند</w:t>
      </w:r>
      <w:r w:rsidR="00787C92">
        <w:rPr>
          <w:rFonts w:hint="cs"/>
          <w:rtl/>
        </w:rPr>
        <w:t> </w:t>
      </w:r>
      <w:r w:rsidRPr="00BB0198">
        <w:rPr>
          <w:rtl/>
        </w:rPr>
        <w:t>الاضطلاع بمهام رقابية.</w:t>
      </w:r>
    </w:p>
    <w:p w:rsidR="00E10C2E" w:rsidRDefault="00D3346E" w:rsidP="00787C92">
      <w:pPr>
        <w:pStyle w:val="NumberedParaAR"/>
        <w:numPr>
          <w:ilvl w:val="0"/>
          <w:numId w:val="4"/>
        </w:numPr>
        <w:rPr>
          <w:rtl/>
        </w:rPr>
      </w:pPr>
      <w:r>
        <w:rPr>
          <w:rFonts w:hint="cs"/>
          <w:rtl/>
        </w:rPr>
        <w:t xml:space="preserve">وفي المتوسط، حضر موظفو الشعبة 10 أيام من التدريب شملت المجالات التالية: إدارة </w:t>
      </w:r>
      <w:r w:rsidR="00E10C2E" w:rsidRPr="00BB0198">
        <w:rPr>
          <w:rtl/>
        </w:rPr>
        <w:t>مهمة التدقيق</w:t>
      </w:r>
      <w:r>
        <w:rPr>
          <w:rFonts w:hint="cs"/>
          <w:rtl/>
        </w:rPr>
        <w:t>،</w:t>
      </w:r>
      <w:r w:rsidR="00E10C2E" w:rsidRPr="00BB0198">
        <w:rPr>
          <w:rtl/>
        </w:rPr>
        <w:t xml:space="preserve"> ومكافحة الغش واكتشافه، وتقنيات البحث التحقيقي</w:t>
      </w:r>
      <w:r>
        <w:rPr>
          <w:rFonts w:hint="cs"/>
          <w:rtl/>
        </w:rPr>
        <w:t>،</w:t>
      </w:r>
      <w:r w:rsidR="00E10C2E" w:rsidRPr="00BB0198">
        <w:rPr>
          <w:rtl/>
        </w:rPr>
        <w:t xml:space="preserve"> و</w:t>
      </w:r>
      <w:r>
        <w:rPr>
          <w:rFonts w:hint="cs"/>
          <w:rtl/>
        </w:rPr>
        <w:t xml:space="preserve">تحليل البيانات، </w:t>
      </w:r>
      <w:r w:rsidR="00E10C2E" w:rsidRPr="00BB0198">
        <w:rPr>
          <w:rtl/>
        </w:rPr>
        <w:t>وتحليل الأسباب الجذرية</w:t>
      </w:r>
      <w:r>
        <w:rPr>
          <w:rFonts w:hint="cs"/>
          <w:rtl/>
        </w:rPr>
        <w:t xml:space="preserve">، ومهارات تقديم العروض </w:t>
      </w:r>
      <w:r w:rsidR="00787C92">
        <w:rPr>
          <w:rFonts w:hint="cs"/>
          <w:rtl/>
        </w:rPr>
        <w:t>وتبسيط</w:t>
      </w:r>
      <w:r>
        <w:rPr>
          <w:rFonts w:hint="cs"/>
          <w:rtl/>
        </w:rPr>
        <w:t xml:space="preserve"> المعلومات، وتخطيط التدقيق.</w:t>
      </w:r>
    </w:p>
    <w:p w:rsidR="00B71C4A" w:rsidRDefault="00B71C4A" w:rsidP="00B71C4A">
      <w:pPr>
        <w:pStyle w:val="EndofDocumentAR"/>
        <w:rPr>
          <w:rtl/>
        </w:rPr>
      </w:pPr>
      <w:r>
        <w:rPr>
          <w:rFonts w:hint="cs"/>
          <w:rtl/>
        </w:rPr>
        <w:t>[يلي ذلك المرفقان]</w:t>
      </w:r>
    </w:p>
    <w:p w:rsidR="00B71C4A" w:rsidRDefault="00B71C4A" w:rsidP="00B71C4A">
      <w:pPr>
        <w:pStyle w:val="NormalParaAR"/>
        <w:rPr>
          <w:rtl/>
        </w:rPr>
      </w:pPr>
    </w:p>
    <w:p w:rsidR="00B71C4A" w:rsidRDefault="00B71C4A" w:rsidP="00B71C4A">
      <w:pPr>
        <w:pStyle w:val="NormalParaAR"/>
        <w:rPr>
          <w:rtl/>
        </w:rPr>
        <w:sectPr w:rsidR="00B71C4A" w:rsidSect="002C5A9C">
          <w:headerReference w:type="default" r:id="rId16"/>
          <w:headerReference w:type="first" r:id="rId17"/>
          <w:endnotePr>
            <w:numFmt w:val="decimal"/>
          </w:endnotePr>
          <w:type w:val="oddPage"/>
          <w:pgSz w:w="11907" w:h="16840" w:code="9"/>
          <w:pgMar w:top="1305" w:right="1134" w:bottom="1418" w:left="1418" w:header="510" w:footer="1021" w:gutter="0"/>
          <w:cols w:space="720"/>
          <w:titlePg/>
          <w:docGrid w:linePitch="299"/>
        </w:sectPr>
      </w:pPr>
    </w:p>
    <w:p w:rsidR="009B41E6" w:rsidRDefault="009B41E6" w:rsidP="009B41E6">
      <w:pPr>
        <w:pStyle w:val="Heading1AR"/>
        <w:tabs>
          <w:tab w:val="left" w:pos="3259"/>
        </w:tabs>
        <w:jc w:val="center"/>
        <w:rPr>
          <w:color w:val="FFFFFF" w:themeColor="background1"/>
          <w:rtl/>
        </w:rPr>
      </w:pPr>
      <w:bookmarkStart w:id="22" w:name="_Toc456011000"/>
      <w:r>
        <w:rPr>
          <w:rFonts w:hint="cs"/>
          <w:color w:val="FFFFFF" w:themeColor="background1"/>
          <w:rtl/>
        </w:rPr>
        <w:lastRenderedPageBreak/>
        <w:t>المرفقان</w:t>
      </w:r>
      <w:bookmarkEnd w:id="22"/>
    </w:p>
    <w:p w:rsidR="009B41E6" w:rsidRDefault="009B41E6" w:rsidP="009B41E6">
      <w:pPr>
        <w:pStyle w:val="Heading1AR"/>
        <w:tabs>
          <w:tab w:val="left" w:pos="3259"/>
        </w:tabs>
        <w:rPr>
          <w:rtl/>
        </w:rPr>
      </w:pPr>
      <w:bookmarkStart w:id="23" w:name="_Toc456011001"/>
      <w:r w:rsidRPr="009B41E6">
        <w:rPr>
          <w:rFonts w:hint="cs"/>
          <w:color w:val="FFFFFF" w:themeColor="background1"/>
          <w:rtl/>
        </w:rPr>
        <w:t>المرفق الأول</w:t>
      </w:r>
      <w:r>
        <w:rPr>
          <w:color w:val="FFFFFF" w:themeColor="background1"/>
          <w:rtl/>
        </w:rPr>
        <w:tab/>
      </w:r>
      <w:r w:rsidRPr="009B41E6">
        <w:rPr>
          <w:rtl/>
        </w:rPr>
        <w:t>قائمة تقارير شعبة الرقابة الداخلية</w:t>
      </w:r>
      <w:bookmarkEnd w:id="23"/>
    </w:p>
    <w:p w:rsidR="009B41E6" w:rsidRPr="009B41E6" w:rsidRDefault="009B41E6" w:rsidP="009B41E6">
      <w:pPr>
        <w:pStyle w:val="NormalParaAR"/>
        <w:jc w:val="center"/>
        <w:rPr>
          <w:b/>
          <w:bCs/>
        </w:rPr>
      </w:pPr>
      <w:r w:rsidRPr="009B41E6">
        <w:rPr>
          <w:b/>
          <w:bCs/>
          <w:rtl/>
        </w:rPr>
        <w:t xml:space="preserve">من 1 يوليو </w:t>
      </w:r>
      <w:r w:rsidRPr="009B41E6">
        <w:rPr>
          <w:rFonts w:hint="cs"/>
          <w:b/>
          <w:bCs/>
          <w:rtl/>
        </w:rPr>
        <w:t>2015</w:t>
      </w:r>
      <w:r w:rsidRPr="009B41E6">
        <w:rPr>
          <w:b/>
          <w:bCs/>
          <w:rtl/>
        </w:rPr>
        <w:t xml:space="preserve"> إلى 30 يونيو </w:t>
      </w:r>
      <w:r w:rsidRPr="009B41E6">
        <w:rPr>
          <w:rFonts w:hint="cs"/>
          <w:b/>
          <w:bCs/>
          <w:rtl/>
        </w:rPr>
        <w:t>2016</w:t>
      </w:r>
    </w:p>
    <w:tbl>
      <w:tblPr>
        <w:bidiVisual/>
        <w:tblW w:w="0" w:type="auto"/>
        <w:tblLook w:val="04A0" w:firstRow="1" w:lastRow="0" w:firstColumn="1" w:lastColumn="0" w:noHBand="0" w:noVBand="1"/>
      </w:tblPr>
      <w:tblGrid>
        <w:gridCol w:w="7620"/>
        <w:gridCol w:w="1843"/>
      </w:tblGrid>
      <w:tr w:rsidR="00427A02" w:rsidRPr="008D5D49" w:rsidTr="00787C92">
        <w:trPr>
          <w:trHeight w:val="340"/>
        </w:trPr>
        <w:tc>
          <w:tcPr>
            <w:tcW w:w="7620" w:type="dxa"/>
          </w:tcPr>
          <w:p w:rsidR="00427A02" w:rsidRPr="00191F45" w:rsidRDefault="00427A02" w:rsidP="00427A02">
            <w:pPr>
              <w:pStyle w:val="NormalParaAR"/>
            </w:pPr>
            <w:r w:rsidRPr="00191F45">
              <w:rPr>
                <w:rtl/>
              </w:rPr>
              <w:t>التدقيق في إدارة استمرارية الأعمال</w:t>
            </w:r>
          </w:p>
        </w:tc>
        <w:tc>
          <w:tcPr>
            <w:tcW w:w="1843" w:type="dxa"/>
            <w:vAlign w:val="center"/>
          </w:tcPr>
          <w:p w:rsidR="00427A02" w:rsidRPr="00F73A5E" w:rsidRDefault="00427A02" w:rsidP="00427A02">
            <w:pPr>
              <w:keepLines/>
              <w:bidi/>
              <w:spacing w:after="240"/>
              <w:ind w:hanging="845"/>
              <w:jc w:val="right"/>
            </w:pPr>
            <w:r w:rsidRPr="00F73A5E">
              <w:t>IA 201</w:t>
            </w:r>
            <w:r>
              <w:t>5</w:t>
            </w:r>
            <w:r w:rsidRPr="00F73A5E">
              <w:t>-0</w:t>
            </w:r>
            <w:r>
              <w:t>1</w:t>
            </w:r>
          </w:p>
        </w:tc>
      </w:tr>
      <w:tr w:rsidR="00427A02" w:rsidRPr="008D5D49" w:rsidTr="00787C92">
        <w:trPr>
          <w:trHeight w:val="340"/>
        </w:trPr>
        <w:tc>
          <w:tcPr>
            <w:tcW w:w="7620" w:type="dxa"/>
          </w:tcPr>
          <w:p w:rsidR="00427A02" w:rsidRPr="00191F45" w:rsidRDefault="00427A02" w:rsidP="00427A02">
            <w:pPr>
              <w:pStyle w:val="NormalParaAR"/>
              <w:rPr>
                <w:rtl/>
              </w:rPr>
            </w:pPr>
            <w:r w:rsidRPr="00191F45">
              <w:rPr>
                <w:rFonts w:hint="cs"/>
                <w:rtl/>
              </w:rPr>
              <w:t>التدقيق في إدارة خدمات الزبائن في الويبو</w:t>
            </w:r>
          </w:p>
        </w:tc>
        <w:tc>
          <w:tcPr>
            <w:tcW w:w="1843" w:type="dxa"/>
            <w:vAlign w:val="center"/>
          </w:tcPr>
          <w:p w:rsidR="00427A02" w:rsidRPr="00F73A5E" w:rsidRDefault="00427A02" w:rsidP="00427A02">
            <w:pPr>
              <w:keepLines/>
              <w:bidi/>
              <w:spacing w:after="240"/>
              <w:ind w:hanging="845"/>
              <w:jc w:val="right"/>
            </w:pPr>
            <w:r w:rsidRPr="00F73A5E">
              <w:t>IA 201</w:t>
            </w:r>
            <w:r>
              <w:t>5</w:t>
            </w:r>
            <w:r w:rsidRPr="00F73A5E">
              <w:t>-0</w:t>
            </w:r>
            <w:r>
              <w:t>7</w:t>
            </w:r>
          </w:p>
        </w:tc>
      </w:tr>
      <w:tr w:rsidR="00427A02" w:rsidRPr="008D5D49" w:rsidTr="00787C92">
        <w:trPr>
          <w:trHeight w:val="340"/>
        </w:trPr>
        <w:tc>
          <w:tcPr>
            <w:tcW w:w="7620" w:type="dxa"/>
          </w:tcPr>
          <w:p w:rsidR="00427A02" w:rsidRPr="00191F45" w:rsidRDefault="00427A02" w:rsidP="00427A02">
            <w:pPr>
              <w:pStyle w:val="NormalParaAR"/>
              <w:rPr>
                <w:rtl/>
              </w:rPr>
            </w:pPr>
            <w:r w:rsidRPr="00191F45">
              <w:rPr>
                <w:rFonts w:hint="cs"/>
                <w:rtl/>
              </w:rPr>
              <w:t>التدقيق في إدارة الخدمات التعاقدية الفردية</w:t>
            </w:r>
          </w:p>
        </w:tc>
        <w:tc>
          <w:tcPr>
            <w:tcW w:w="1843" w:type="dxa"/>
            <w:vAlign w:val="center"/>
          </w:tcPr>
          <w:p w:rsidR="00427A02" w:rsidRPr="00F73A5E" w:rsidRDefault="00427A02" w:rsidP="00427A02">
            <w:pPr>
              <w:keepLines/>
              <w:bidi/>
              <w:spacing w:after="240"/>
              <w:ind w:hanging="845"/>
              <w:jc w:val="right"/>
            </w:pPr>
            <w:r>
              <w:t>IA 2015</w:t>
            </w:r>
            <w:r w:rsidRPr="00F73A5E">
              <w:t>-0</w:t>
            </w:r>
            <w:r>
              <w:t>6</w:t>
            </w:r>
          </w:p>
        </w:tc>
      </w:tr>
      <w:tr w:rsidR="00427A02" w:rsidRPr="008D5D49" w:rsidTr="00787C92">
        <w:trPr>
          <w:trHeight w:val="340"/>
        </w:trPr>
        <w:tc>
          <w:tcPr>
            <w:tcW w:w="7620" w:type="dxa"/>
          </w:tcPr>
          <w:p w:rsidR="00427A02" w:rsidRPr="00191F45" w:rsidRDefault="00427A02" w:rsidP="00427A02">
            <w:pPr>
              <w:pStyle w:val="NormalParaAR"/>
              <w:rPr>
                <w:rtl/>
              </w:rPr>
            </w:pPr>
            <w:r w:rsidRPr="00191F45">
              <w:rPr>
                <w:rFonts w:hint="cs"/>
                <w:rtl/>
              </w:rPr>
              <w:t>التدقيق في إدارة أداء الموظفين</w:t>
            </w:r>
          </w:p>
        </w:tc>
        <w:tc>
          <w:tcPr>
            <w:tcW w:w="1843" w:type="dxa"/>
            <w:vAlign w:val="center"/>
          </w:tcPr>
          <w:p w:rsidR="00427A02" w:rsidRPr="00F73A5E" w:rsidRDefault="00427A02" w:rsidP="00427A02">
            <w:pPr>
              <w:keepLines/>
              <w:bidi/>
              <w:spacing w:after="240"/>
              <w:ind w:hanging="845"/>
              <w:jc w:val="right"/>
            </w:pPr>
            <w:r>
              <w:t>IA 2015-04</w:t>
            </w:r>
          </w:p>
        </w:tc>
      </w:tr>
      <w:tr w:rsidR="00427A02" w:rsidRPr="008D5D49" w:rsidTr="00787C92">
        <w:trPr>
          <w:trHeight w:val="340"/>
        </w:trPr>
        <w:tc>
          <w:tcPr>
            <w:tcW w:w="7620" w:type="dxa"/>
          </w:tcPr>
          <w:p w:rsidR="00427A02" w:rsidRPr="00191F45" w:rsidRDefault="00427A02" w:rsidP="00427A02">
            <w:pPr>
              <w:pStyle w:val="NormalParaAR"/>
              <w:rPr>
                <w:rtl/>
              </w:rPr>
            </w:pPr>
            <w:r w:rsidRPr="00191F45">
              <w:rPr>
                <w:rFonts w:hint="cs"/>
                <w:rtl/>
              </w:rPr>
              <w:t xml:space="preserve">استعراض اختبار نظام </w:t>
            </w:r>
            <w:r w:rsidRPr="00191F45">
              <w:t>TALEO</w:t>
            </w:r>
            <w:r w:rsidRPr="00191F45">
              <w:rPr>
                <w:vertAlign w:val="superscript"/>
              </w:rPr>
              <w:t>TM</w:t>
            </w:r>
            <w:r w:rsidRPr="00191F45">
              <w:rPr>
                <w:rFonts w:hint="cs"/>
                <w:rtl/>
              </w:rPr>
              <w:t xml:space="preserve"> ونقل البيانات إليه</w:t>
            </w:r>
          </w:p>
        </w:tc>
        <w:tc>
          <w:tcPr>
            <w:tcW w:w="1843" w:type="dxa"/>
            <w:vAlign w:val="center"/>
          </w:tcPr>
          <w:p w:rsidR="00427A02" w:rsidRPr="00F73A5E" w:rsidRDefault="00427A02" w:rsidP="00427A02">
            <w:pPr>
              <w:keepLines/>
              <w:bidi/>
              <w:spacing w:after="240"/>
              <w:ind w:hanging="845"/>
              <w:jc w:val="right"/>
            </w:pPr>
            <w:r>
              <w:t>IA 2016</w:t>
            </w:r>
            <w:r w:rsidRPr="00F73A5E">
              <w:t>-0</w:t>
            </w:r>
            <w:r>
              <w:t>1</w:t>
            </w:r>
          </w:p>
        </w:tc>
      </w:tr>
      <w:tr w:rsidR="00427A02" w:rsidRPr="008D5D49" w:rsidTr="00787C92">
        <w:trPr>
          <w:trHeight w:val="340"/>
        </w:trPr>
        <w:tc>
          <w:tcPr>
            <w:tcW w:w="7620" w:type="dxa"/>
          </w:tcPr>
          <w:p w:rsidR="00427A02" w:rsidRPr="00191F45" w:rsidRDefault="00427A02" w:rsidP="00427A02">
            <w:pPr>
              <w:pStyle w:val="NormalParaAR"/>
              <w:rPr>
                <w:rtl/>
              </w:rPr>
            </w:pPr>
            <w:r w:rsidRPr="00191F45">
              <w:rPr>
                <w:rFonts w:hint="cs"/>
                <w:rtl/>
              </w:rPr>
              <w:t>التدقيق في الحلول لأعمال مكاتب الملكية الفكرية</w:t>
            </w:r>
          </w:p>
        </w:tc>
        <w:tc>
          <w:tcPr>
            <w:tcW w:w="1843" w:type="dxa"/>
            <w:vAlign w:val="center"/>
          </w:tcPr>
          <w:p w:rsidR="00427A02" w:rsidRPr="00F73A5E" w:rsidRDefault="00427A02" w:rsidP="00427A02">
            <w:pPr>
              <w:keepLines/>
              <w:bidi/>
              <w:spacing w:after="240"/>
              <w:ind w:hanging="845"/>
              <w:jc w:val="right"/>
            </w:pPr>
            <w:r>
              <w:t>IA 2016-02</w:t>
            </w:r>
          </w:p>
        </w:tc>
      </w:tr>
      <w:tr w:rsidR="00427A02" w:rsidRPr="008D5D49" w:rsidTr="00787C92">
        <w:trPr>
          <w:trHeight w:val="340"/>
        </w:trPr>
        <w:tc>
          <w:tcPr>
            <w:tcW w:w="7620" w:type="dxa"/>
            <w:vAlign w:val="center"/>
          </w:tcPr>
          <w:p w:rsidR="00427A02" w:rsidRDefault="00427A02" w:rsidP="00427A02">
            <w:pPr>
              <w:pStyle w:val="NormalParaAR"/>
            </w:pPr>
            <w:r>
              <w:rPr>
                <w:rFonts w:hint="cs"/>
                <w:rtl/>
              </w:rPr>
              <w:t>تقرير شعبة الرقابة الداخلية لتثبيت تقرير أداء البرنامج 2014/15</w:t>
            </w:r>
          </w:p>
        </w:tc>
        <w:tc>
          <w:tcPr>
            <w:tcW w:w="1843" w:type="dxa"/>
            <w:vAlign w:val="center"/>
          </w:tcPr>
          <w:p w:rsidR="00427A02" w:rsidRPr="00381AB7" w:rsidRDefault="00427A02" w:rsidP="00427A02">
            <w:pPr>
              <w:keepLines/>
              <w:bidi/>
              <w:spacing w:after="240"/>
              <w:ind w:hanging="845"/>
              <w:jc w:val="right"/>
            </w:pPr>
            <w:r>
              <w:t>PPRV 2016</w:t>
            </w:r>
            <w:r w:rsidRPr="00B06002">
              <w:t>-01</w:t>
            </w:r>
          </w:p>
        </w:tc>
      </w:tr>
      <w:tr w:rsidR="00427A02" w:rsidRPr="008D5D49" w:rsidTr="00787C92">
        <w:trPr>
          <w:trHeight w:val="340"/>
        </w:trPr>
        <w:tc>
          <w:tcPr>
            <w:tcW w:w="7620" w:type="dxa"/>
          </w:tcPr>
          <w:p w:rsidR="00427A02" w:rsidRPr="00E914B1" w:rsidRDefault="00427A02" w:rsidP="00427A02">
            <w:pPr>
              <w:pStyle w:val="NormalParaAR"/>
              <w:rPr>
                <w:rtl/>
              </w:rPr>
            </w:pPr>
            <w:r w:rsidRPr="00E914B1">
              <w:rPr>
                <w:rFonts w:hint="cs"/>
                <w:rtl/>
              </w:rPr>
              <w:t>تقييم البرنامج 30: الشركات الصغيرة والمتوسطة والابتكار</w:t>
            </w:r>
          </w:p>
        </w:tc>
        <w:tc>
          <w:tcPr>
            <w:tcW w:w="1843" w:type="dxa"/>
            <w:vAlign w:val="center"/>
          </w:tcPr>
          <w:p w:rsidR="00427A02" w:rsidRPr="008D5D49" w:rsidRDefault="00427A02" w:rsidP="00427A02">
            <w:pPr>
              <w:keepLines/>
              <w:bidi/>
              <w:spacing w:after="240"/>
              <w:ind w:hanging="845"/>
              <w:jc w:val="right"/>
              <w:rPr>
                <w:highlight w:val="yellow"/>
              </w:rPr>
            </w:pPr>
            <w:r w:rsidRPr="00381AB7">
              <w:t>EVAL 201</w:t>
            </w:r>
            <w:r>
              <w:t>4-04</w:t>
            </w:r>
          </w:p>
        </w:tc>
      </w:tr>
      <w:tr w:rsidR="00427A02" w:rsidRPr="008D5D49" w:rsidTr="00787C92">
        <w:trPr>
          <w:trHeight w:val="340"/>
        </w:trPr>
        <w:tc>
          <w:tcPr>
            <w:tcW w:w="7620" w:type="dxa"/>
          </w:tcPr>
          <w:p w:rsidR="00427A02" w:rsidRPr="00E914B1" w:rsidRDefault="00427A02" w:rsidP="00427A02">
            <w:pPr>
              <w:pStyle w:val="NormalParaAR"/>
              <w:rPr>
                <w:rtl/>
              </w:rPr>
            </w:pPr>
            <w:r w:rsidRPr="00E914B1">
              <w:rPr>
                <w:rFonts w:hint="cs"/>
                <w:rtl/>
              </w:rPr>
              <w:t>تقييم البرنامج 3: حق المؤلف والحقوق المجاورة</w:t>
            </w:r>
          </w:p>
        </w:tc>
        <w:tc>
          <w:tcPr>
            <w:tcW w:w="1843" w:type="dxa"/>
            <w:vAlign w:val="center"/>
          </w:tcPr>
          <w:p w:rsidR="00427A02" w:rsidRPr="008D5D49" w:rsidRDefault="00427A02" w:rsidP="00427A02">
            <w:pPr>
              <w:keepLines/>
              <w:bidi/>
              <w:spacing w:after="240"/>
              <w:ind w:hanging="845"/>
              <w:jc w:val="right"/>
              <w:rPr>
                <w:highlight w:val="yellow"/>
              </w:rPr>
            </w:pPr>
            <w:r>
              <w:t>EVAL 2015-01</w:t>
            </w:r>
          </w:p>
        </w:tc>
      </w:tr>
      <w:tr w:rsidR="00427A02" w:rsidRPr="008D5D49" w:rsidTr="00787C92">
        <w:trPr>
          <w:trHeight w:val="340"/>
        </w:trPr>
        <w:tc>
          <w:tcPr>
            <w:tcW w:w="7620" w:type="dxa"/>
          </w:tcPr>
          <w:p w:rsidR="00427A02" w:rsidRPr="00E914B1" w:rsidRDefault="00427A02" w:rsidP="00427A02">
            <w:pPr>
              <w:pStyle w:val="NormalParaAR"/>
              <w:rPr>
                <w:rtl/>
              </w:rPr>
            </w:pPr>
            <w:r w:rsidRPr="00E914B1">
              <w:rPr>
                <w:rFonts w:hint="cs"/>
                <w:rtl/>
              </w:rPr>
              <w:t>تقييم مساعدة الويبو للبلدان الأقل نمواً</w:t>
            </w:r>
          </w:p>
        </w:tc>
        <w:tc>
          <w:tcPr>
            <w:tcW w:w="1843" w:type="dxa"/>
            <w:vAlign w:val="center"/>
          </w:tcPr>
          <w:p w:rsidR="00427A02" w:rsidRPr="008D5D49" w:rsidRDefault="00427A02" w:rsidP="00427A02">
            <w:pPr>
              <w:keepLines/>
              <w:bidi/>
              <w:spacing w:after="240"/>
              <w:ind w:hanging="845"/>
              <w:jc w:val="right"/>
              <w:rPr>
                <w:highlight w:val="yellow"/>
              </w:rPr>
            </w:pPr>
            <w:r>
              <w:t>EVAL 2015-02</w:t>
            </w:r>
          </w:p>
        </w:tc>
      </w:tr>
      <w:tr w:rsidR="00427A02" w:rsidRPr="008D5D49" w:rsidTr="00787C92">
        <w:trPr>
          <w:trHeight w:val="340"/>
        </w:trPr>
        <w:tc>
          <w:tcPr>
            <w:tcW w:w="7620" w:type="dxa"/>
          </w:tcPr>
          <w:p w:rsidR="00427A02" w:rsidRPr="00E914B1" w:rsidRDefault="00427A02" w:rsidP="00427A02">
            <w:pPr>
              <w:pStyle w:val="NormalParaAR"/>
              <w:rPr>
                <w:rtl/>
              </w:rPr>
            </w:pPr>
            <w:r w:rsidRPr="00E914B1">
              <w:rPr>
                <w:rFonts w:hint="cs"/>
                <w:rtl/>
              </w:rPr>
              <w:t>تقييم مشروع الويبو الرائد بشأن التقدم المهني للنساء</w:t>
            </w:r>
          </w:p>
        </w:tc>
        <w:tc>
          <w:tcPr>
            <w:tcW w:w="1843" w:type="dxa"/>
            <w:vAlign w:val="center"/>
          </w:tcPr>
          <w:p w:rsidR="00427A02" w:rsidRPr="008D5D49" w:rsidRDefault="00427A02" w:rsidP="00427A02">
            <w:pPr>
              <w:keepLines/>
              <w:bidi/>
              <w:spacing w:after="240"/>
              <w:ind w:hanging="845"/>
              <w:jc w:val="right"/>
              <w:rPr>
                <w:highlight w:val="yellow"/>
              </w:rPr>
            </w:pPr>
            <w:r w:rsidRPr="00FC57A9">
              <w:t>EVAL 201</w:t>
            </w:r>
            <w:r>
              <w:t>6-02</w:t>
            </w:r>
          </w:p>
        </w:tc>
      </w:tr>
      <w:tr w:rsidR="00427A02" w:rsidRPr="008D5D49" w:rsidTr="00787C92">
        <w:trPr>
          <w:trHeight w:val="340"/>
        </w:trPr>
        <w:tc>
          <w:tcPr>
            <w:tcW w:w="7620" w:type="dxa"/>
            <w:vAlign w:val="center"/>
          </w:tcPr>
          <w:p w:rsidR="00427A02" w:rsidRDefault="00427A02" w:rsidP="00787C92">
            <w:pPr>
              <w:pStyle w:val="NormalParaAR"/>
            </w:pPr>
            <w:r>
              <w:rPr>
                <w:rFonts w:hint="cs"/>
                <w:rtl/>
              </w:rPr>
              <w:t xml:space="preserve">تقرير الإدارة </w:t>
            </w:r>
            <w:r w:rsidR="00787C92">
              <w:rPr>
                <w:rFonts w:hint="cs"/>
                <w:rtl/>
              </w:rPr>
              <w:t>عن</w:t>
            </w:r>
            <w:r>
              <w:rPr>
                <w:rFonts w:hint="cs"/>
                <w:rtl/>
              </w:rPr>
              <w:t xml:space="preserve"> ضوابط النفاذ المادي والمعلوماتي</w:t>
            </w:r>
          </w:p>
        </w:tc>
        <w:tc>
          <w:tcPr>
            <w:tcW w:w="1843" w:type="dxa"/>
            <w:vAlign w:val="center"/>
          </w:tcPr>
          <w:p w:rsidR="00427A02" w:rsidRPr="00FC57A9" w:rsidRDefault="00427A02" w:rsidP="00427A02">
            <w:pPr>
              <w:keepLines/>
              <w:bidi/>
              <w:spacing w:after="240"/>
              <w:ind w:hanging="845"/>
              <w:jc w:val="right"/>
            </w:pPr>
            <w:r>
              <w:t>MIR 2014-07</w:t>
            </w:r>
          </w:p>
        </w:tc>
      </w:tr>
      <w:tr w:rsidR="00427A02" w:rsidRPr="008D5D49" w:rsidTr="00787C92">
        <w:trPr>
          <w:trHeight w:val="340"/>
        </w:trPr>
        <w:tc>
          <w:tcPr>
            <w:tcW w:w="7620" w:type="dxa"/>
            <w:vAlign w:val="center"/>
          </w:tcPr>
          <w:p w:rsidR="00427A02" w:rsidRDefault="00427A02" w:rsidP="00787C92">
            <w:pPr>
              <w:pStyle w:val="NormalParaAR"/>
            </w:pPr>
            <w:r>
              <w:rPr>
                <w:rFonts w:hint="cs"/>
                <w:rtl/>
              </w:rPr>
              <w:t xml:space="preserve">تقرير الإدارة </w:t>
            </w:r>
            <w:r w:rsidR="00787C92">
              <w:rPr>
                <w:rFonts w:hint="cs"/>
                <w:rtl/>
              </w:rPr>
              <w:t>عن</w:t>
            </w:r>
            <w:r>
              <w:rPr>
                <w:rFonts w:hint="cs"/>
                <w:rtl/>
              </w:rPr>
              <w:t xml:space="preserve"> </w:t>
            </w:r>
            <w:r w:rsidR="00787C92">
              <w:rPr>
                <w:rFonts w:hint="cs"/>
                <w:rtl/>
              </w:rPr>
              <w:t xml:space="preserve">الحالة </w:t>
            </w:r>
            <w:r>
              <w:rPr>
                <w:rFonts w:hint="cs"/>
                <w:rtl/>
              </w:rPr>
              <w:t xml:space="preserve">الصحية </w:t>
            </w:r>
            <w:r w:rsidR="00787C92">
              <w:rPr>
                <w:rFonts w:hint="cs"/>
                <w:rtl/>
              </w:rPr>
              <w:t>اللازمة ل</w:t>
            </w:r>
            <w:r>
              <w:rPr>
                <w:rFonts w:hint="cs"/>
                <w:rtl/>
              </w:rPr>
              <w:t>لسفر في مهمات رسمية</w:t>
            </w:r>
          </w:p>
        </w:tc>
        <w:tc>
          <w:tcPr>
            <w:tcW w:w="1843" w:type="dxa"/>
            <w:vAlign w:val="center"/>
          </w:tcPr>
          <w:p w:rsidR="00427A02" w:rsidRPr="00FC57A9" w:rsidRDefault="00427A02" w:rsidP="00427A02">
            <w:pPr>
              <w:keepLines/>
              <w:bidi/>
              <w:spacing w:after="240"/>
              <w:ind w:hanging="845"/>
              <w:jc w:val="right"/>
            </w:pPr>
            <w:r>
              <w:t>MIR 2015-26</w:t>
            </w:r>
          </w:p>
        </w:tc>
      </w:tr>
      <w:tr w:rsidR="00427A02" w:rsidRPr="008D5D49" w:rsidTr="00787C92">
        <w:trPr>
          <w:trHeight w:val="340"/>
        </w:trPr>
        <w:tc>
          <w:tcPr>
            <w:tcW w:w="7620" w:type="dxa"/>
            <w:vAlign w:val="center"/>
          </w:tcPr>
          <w:p w:rsidR="00427A02" w:rsidRPr="00EC3D5D" w:rsidRDefault="00787C92" w:rsidP="00787C92">
            <w:pPr>
              <w:pStyle w:val="NormalParaAR"/>
            </w:pPr>
            <w:r>
              <w:rPr>
                <w:rFonts w:hint="cs"/>
                <w:rtl/>
              </w:rPr>
              <w:t xml:space="preserve">تقرير </w:t>
            </w:r>
            <w:r w:rsidR="00427A02">
              <w:rPr>
                <w:rFonts w:hint="cs"/>
                <w:rtl/>
              </w:rPr>
              <w:t xml:space="preserve">الإدارة </w:t>
            </w:r>
            <w:r>
              <w:rPr>
                <w:rFonts w:hint="cs"/>
                <w:rtl/>
              </w:rPr>
              <w:t>عن</w:t>
            </w:r>
            <w:r w:rsidR="00427A02">
              <w:rPr>
                <w:rFonts w:hint="cs"/>
                <w:rtl/>
              </w:rPr>
              <w:t xml:space="preserve"> التحقق من المعلومات المرجعية خلال مسار تعيين الموظفين من</w:t>
            </w:r>
            <w:r w:rsidR="00427A02">
              <w:rPr>
                <w:rFonts w:hint="eastAsia"/>
                <w:rtl/>
              </w:rPr>
              <w:t> </w:t>
            </w:r>
            <w:r w:rsidR="00427A02">
              <w:rPr>
                <w:rFonts w:hint="cs"/>
                <w:rtl/>
              </w:rPr>
              <w:t>جميع</w:t>
            </w:r>
            <w:r w:rsidR="00427A02">
              <w:rPr>
                <w:rFonts w:hint="eastAsia"/>
                <w:rtl/>
              </w:rPr>
              <w:t> </w:t>
            </w:r>
            <w:r w:rsidR="00427A02">
              <w:rPr>
                <w:rFonts w:hint="cs"/>
                <w:rtl/>
              </w:rPr>
              <w:t>المستويات</w:t>
            </w:r>
          </w:p>
        </w:tc>
        <w:tc>
          <w:tcPr>
            <w:tcW w:w="1843" w:type="dxa"/>
            <w:vAlign w:val="center"/>
          </w:tcPr>
          <w:p w:rsidR="00427A02" w:rsidRDefault="00427A02" w:rsidP="00427A02">
            <w:pPr>
              <w:keepLines/>
              <w:bidi/>
              <w:spacing w:after="240"/>
              <w:ind w:hanging="845"/>
              <w:jc w:val="right"/>
            </w:pPr>
            <w:r>
              <w:t>MIR 2015-15</w:t>
            </w:r>
          </w:p>
        </w:tc>
      </w:tr>
      <w:tr w:rsidR="00427A02" w:rsidRPr="008D5D49" w:rsidTr="00787C92">
        <w:trPr>
          <w:trHeight w:val="340"/>
        </w:trPr>
        <w:tc>
          <w:tcPr>
            <w:tcW w:w="7620" w:type="dxa"/>
            <w:vAlign w:val="center"/>
          </w:tcPr>
          <w:p w:rsidR="00427A02" w:rsidRDefault="00787C92" w:rsidP="00787C92">
            <w:pPr>
              <w:pStyle w:val="NormalParaAR"/>
            </w:pPr>
            <w:r>
              <w:rPr>
                <w:rFonts w:hint="cs"/>
                <w:rtl/>
              </w:rPr>
              <w:t xml:space="preserve">تقرير </w:t>
            </w:r>
            <w:r w:rsidR="00427A02">
              <w:rPr>
                <w:rFonts w:hint="cs"/>
                <w:rtl/>
              </w:rPr>
              <w:t xml:space="preserve">الإدارة </w:t>
            </w:r>
            <w:r>
              <w:rPr>
                <w:rFonts w:hint="cs"/>
                <w:rtl/>
              </w:rPr>
              <w:t>عن</w:t>
            </w:r>
            <w:r w:rsidR="00427A02">
              <w:rPr>
                <w:rFonts w:hint="cs"/>
                <w:rtl/>
              </w:rPr>
              <w:t xml:space="preserve"> منع احتيال الغير في استخدام سجل مدريد</w:t>
            </w:r>
          </w:p>
        </w:tc>
        <w:tc>
          <w:tcPr>
            <w:tcW w:w="1843" w:type="dxa"/>
            <w:vAlign w:val="center"/>
          </w:tcPr>
          <w:p w:rsidR="00427A02" w:rsidRPr="00FC57A9" w:rsidRDefault="00427A02" w:rsidP="00427A02">
            <w:pPr>
              <w:keepLines/>
              <w:bidi/>
              <w:spacing w:after="240"/>
              <w:ind w:hanging="845"/>
              <w:jc w:val="right"/>
            </w:pPr>
            <w:r>
              <w:t>MIR 2015-04</w:t>
            </w:r>
          </w:p>
        </w:tc>
      </w:tr>
    </w:tbl>
    <w:p w:rsidR="00427A02" w:rsidRDefault="00B71C4A" w:rsidP="00427A02">
      <w:pPr>
        <w:pStyle w:val="EndofDocumentAR"/>
        <w:spacing w:before="720"/>
        <w:rPr>
          <w:rtl/>
        </w:rPr>
      </w:pPr>
      <w:r>
        <w:rPr>
          <w:rFonts w:hint="cs"/>
          <w:rtl/>
        </w:rPr>
        <w:t>[يلي ذلك المرفق الثاني]</w:t>
      </w:r>
    </w:p>
    <w:p w:rsidR="00B71C4A" w:rsidRDefault="00B71C4A" w:rsidP="00B71C4A">
      <w:pPr>
        <w:pStyle w:val="NormalParaAR"/>
      </w:pPr>
    </w:p>
    <w:p w:rsidR="00B71C4A" w:rsidRDefault="00B71C4A" w:rsidP="00B71C4A">
      <w:pPr>
        <w:pStyle w:val="NormalParaAR"/>
        <w:rPr>
          <w:rtl/>
        </w:rPr>
        <w:sectPr w:rsidR="00B71C4A" w:rsidSect="00427A02">
          <w:headerReference w:type="default" r:id="rId18"/>
          <w:headerReference w:type="first" r:id="rId19"/>
          <w:endnotePr>
            <w:numFmt w:val="decimal"/>
          </w:endnotePr>
          <w:pgSz w:w="11907" w:h="16840" w:code="9"/>
          <w:pgMar w:top="1305" w:right="1134" w:bottom="1418" w:left="1418" w:header="510" w:footer="1021" w:gutter="0"/>
          <w:cols w:space="720"/>
          <w:titlePg/>
          <w:docGrid w:linePitch="299"/>
        </w:sectPr>
      </w:pPr>
    </w:p>
    <w:p w:rsidR="009B41E6" w:rsidRPr="009B41E6" w:rsidRDefault="009B41E6" w:rsidP="009A5C0F">
      <w:pPr>
        <w:pStyle w:val="Heading1AR"/>
        <w:tabs>
          <w:tab w:val="left" w:pos="2834"/>
        </w:tabs>
        <w:rPr>
          <w:rtl/>
        </w:rPr>
      </w:pPr>
      <w:bookmarkStart w:id="24" w:name="_Toc456011002"/>
      <w:r w:rsidRPr="009B41E6">
        <w:rPr>
          <w:rFonts w:hint="cs"/>
          <w:color w:val="FFFFFF" w:themeColor="background1"/>
          <w:rtl/>
        </w:rPr>
        <w:lastRenderedPageBreak/>
        <w:t>المرفق الثاني</w:t>
      </w:r>
      <w:r w:rsidRPr="009B41E6">
        <w:rPr>
          <w:color w:val="FFFFFF" w:themeColor="background1"/>
          <w:rtl/>
        </w:rPr>
        <w:tab/>
      </w:r>
      <w:r w:rsidRPr="009B41E6">
        <w:rPr>
          <w:rtl/>
        </w:rPr>
        <w:t>قائمة الأنشطة الاستشارية لشعبة الرقابة الداخلية</w:t>
      </w:r>
      <w:bookmarkEnd w:id="24"/>
    </w:p>
    <w:p w:rsidR="00427A02" w:rsidRDefault="00427A02" w:rsidP="00427A02">
      <w:pPr>
        <w:pStyle w:val="NormalParaAR"/>
        <w:rPr>
          <w:rtl/>
        </w:rPr>
      </w:pPr>
      <w:r w:rsidRPr="00427A02">
        <w:rPr>
          <w:rFonts w:hint="cs"/>
          <w:rtl/>
        </w:rPr>
        <w:t>1.</w:t>
      </w:r>
      <w:r w:rsidRPr="00427A02">
        <w:rPr>
          <w:rtl/>
        </w:rPr>
        <w:tab/>
      </w:r>
      <w:r>
        <w:rPr>
          <w:rFonts w:hint="cs"/>
          <w:rtl/>
        </w:rPr>
        <w:t>سياسة الاستثمار المراج</w:t>
      </w:r>
      <w:r w:rsidR="00C3060D">
        <w:rPr>
          <w:rFonts w:hint="cs"/>
          <w:rtl/>
        </w:rPr>
        <w:t>َ</w:t>
      </w:r>
      <w:r>
        <w:rPr>
          <w:rFonts w:hint="cs"/>
          <w:rtl/>
        </w:rPr>
        <w:t>عة</w:t>
      </w:r>
    </w:p>
    <w:p w:rsidR="00427A02" w:rsidRDefault="00427A02" w:rsidP="00427A02">
      <w:pPr>
        <w:pStyle w:val="NormalParaAR"/>
        <w:rPr>
          <w:rtl/>
        </w:rPr>
      </w:pPr>
      <w:r>
        <w:rPr>
          <w:rFonts w:hint="cs"/>
          <w:rtl/>
        </w:rPr>
        <w:t>2.</w:t>
      </w:r>
      <w:r>
        <w:rPr>
          <w:rFonts w:hint="cs"/>
          <w:rtl/>
        </w:rPr>
        <w:tab/>
        <w:t>التعميم الإداري الخاص بولاية الأكاديمية</w:t>
      </w:r>
    </w:p>
    <w:p w:rsidR="00427A02" w:rsidRDefault="00427A02" w:rsidP="00427A02">
      <w:pPr>
        <w:pStyle w:val="NormalParaAR"/>
        <w:rPr>
          <w:rtl/>
        </w:rPr>
      </w:pPr>
      <w:r>
        <w:rPr>
          <w:rFonts w:hint="cs"/>
          <w:rtl/>
        </w:rPr>
        <w:t>3.</w:t>
      </w:r>
      <w:r>
        <w:rPr>
          <w:rtl/>
        </w:rPr>
        <w:tab/>
      </w:r>
      <w:r>
        <w:rPr>
          <w:rFonts w:hint="cs"/>
          <w:rtl/>
        </w:rPr>
        <w:t>تقييم جدول أعمال التنمية</w:t>
      </w:r>
    </w:p>
    <w:p w:rsidR="00427A02" w:rsidRDefault="00427A02" w:rsidP="00427A02">
      <w:pPr>
        <w:pStyle w:val="NormalParaAR"/>
        <w:rPr>
          <w:rtl/>
        </w:rPr>
      </w:pPr>
      <w:r>
        <w:rPr>
          <w:rFonts w:hint="cs"/>
          <w:rtl/>
        </w:rPr>
        <w:t>4.</w:t>
      </w:r>
      <w:r>
        <w:rPr>
          <w:rtl/>
        </w:rPr>
        <w:tab/>
      </w:r>
      <w:r>
        <w:rPr>
          <w:rFonts w:hint="cs"/>
          <w:rtl/>
        </w:rPr>
        <w:t>استراتيجية حشد الموارد</w:t>
      </w:r>
    </w:p>
    <w:p w:rsidR="00427A02" w:rsidRDefault="00427A02" w:rsidP="00427A02">
      <w:pPr>
        <w:pStyle w:val="NormalParaAR"/>
        <w:rPr>
          <w:rtl/>
        </w:rPr>
      </w:pPr>
      <w:r>
        <w:rPr>
          <w:rFonts w:hint="cs"/>
          <w:rtl/>
        </w:rPr>
        <w:t>5.</w:t>
      </w:r>
      <w:r>
        <w:rPr>
          <w:rtl/>
        </w:rPr>
        <w:tab/>
      </w:r>
      <w:r>
        <w:rPr>
          <w:rFonts w:hint="cs"/>
          <w:rtl/>
        </w:rPr>
        <w:t>التعميم الإداري الخاص بتهيئة مكان عمل يسوده التوافق</w:t>
      </w:r>
    </w:p>
    <w:p w:rsidR="00427A02" w:rsidRDefault="00427A02" w:rsidP="00427A02">
      <w:pPr>
        <w:pStyle w:val="NormalParaAR"/>
        <w:rPr>
          <w:rtl/>
        </w:rPr>
      </w:pPr>
      <w:r>
        <w:rPr>
          <w:rFonts w:hint="cs"/>
          <w:rtl/>
        </w:rPr>
        <w:t>6.</w:t>
      </w:r>
      <w:r>
        <w:rPr>
          <w:rtl/>
        </w:rPr>
        <w:tab/>
      </w:r>
      <w:r>
        <w:rPr>
          <w:rFonts w:hint="cs"/>
          <w:rtl/>
        </w:rPr>
        <w:t xml:space="preserve">مشروع رائد </w:t>
      </w:r>
      <w:r>
        <w:rPr>
          <w:rtl/>
        </w:rPr>
        <w:t>–</w:t>
      </w:r>
      <w:r>
        <w:rPr>
          <w:rFonts w:hint="cs"/>
          <w:rtl/>
        </w:rPr>
        <w:t xml:space="preserve"> البرنامج 1</w:t>
      </w:r>
    </w:p>
    <w:p w:rsidR="00427A02" w:rsidRDefault="00427A02" w:rsidP="00427A02">
      <w:pPr>
        <w:pStyle w:val="NormalParaAR"/>
        <w:rPr>
          <w:rtl/>
        </w:rPr>
      </w:pPr>
      <w:r>
        <w:rPr>
          <w:rFonts w:hint="cs"/>
          <w:rtl/>
        </w:rPr>
        <w:t>7.</w:t>
      </w:r>
      <w:r>
        <w:rPr>
          <w:rtl/>
        </w:rPr>
        <w:tab/>
      </w:r>
      <w:r>
        <w:rPr>
          <w:rFonts w:hint="cs"/>
          <w:rtl/>
        </w:rPr>
        <w:t>معلومات عن أداء الخدمات التعاقدية الفردية في إطار نظام المحاسبة (</w:t>
      </w:r>
      <w:r>
        <w:t>AIMS</w:t>
      </w:r>
      <w:r>
        <w:rPr>
          <w:rFonts w:hint="cs"/>
          <w:rtl/>
        </w:rPr>
        <w:t>)</w:t>
      </w:r>
    </w:p>
    <w:p w:rsidR="00427A02" w:rsidRDefault="00427A02" w:rsidP="00427A02">
      <w:pPr>
        <w:pStyle w:val="NormalParaAR"/>
        <w:rPr>
          <w:rtl/>
        </w:rPr>
      </w:pPr>
      <w:r>
        <w:rPr>
          <w:rFonts w:hint="cs"/>
          <w:rtl/>
        </w:rPr>
        <w:t>8.</w:t>
      </w:r>
      <w:r>
        <w:rPr>
          <w:rtl/>
        </w:rPr>
        <w:tab/>
      </w:r>
      <w:r>
        <w:rPr>
          <w:rFonts w:hint="cs"/>
          <w:rtl/>
        </w:rPr>
        <w:t>عرض شعبة الرقابة الداخلية خلال خلوة مكتب آسيا والمحيط الهادئ</w:t>
      </w:r>
    </w:p>
    <w:p w:rsidR="00427A02" w:rsidRDefault="00427A02" w:rsidP="00427A02">
      <w:pPr>
        <w:pStyle w:val="NormalParaAR"/>
        <w:rPr>
          <w:rtl/>
        </w:rPr>
      </w:pPr>
      <w:r>
        <w:rPr>
          <w:rFonts w:hint="cs"/>
          <w:rtl/>
        </w:rPr>
        <w:t>9.</w:t>
      </w:r>
      <w:r>
        <w:rPr>
          <w:rtl/>
        </w:rPr>
        <w:tab/>
      </w:r>
      <w:r>
        <w:rPr>
          <w:rFonts w:hint="cs"/>
          <w:rtl/>
        </w:rPr>
        <w:t>تقييم الوضع الحالي ل</w:t>
      </w:r>
      <w:r w:rsidRPr="00427A02">
        <w:rPr>
          <w:rFonts w:hint="cs"/>
          <w:rtl/>
        </w:rPr>
        <w:t>إدارة الهوية والنفاذ وتشفير البيانات</w:t>
      </w:r>
      <w:r>
        <w:rPr>
          <w:rFonts w:hint="cs"/>
          <w:rtl/>
        </w:rPr>
        <w:t xml:space="preserve"> والبنى الأمنية المرجعية</w:t>
      </w:r>
    </w:p>
    <w:p w:rsidR="00427A02" w:rsidRDefault="00427A02" w:rsidP="00427A02">
      <w:pPr>
        <w:pStyle w:val="NormalParaAR"/>
        <w:rPr>
          <w:rtl/>
        </w:rPr>
      </w:pPr>
      <w:r>
        <w:rPr>
          <w:rFonts w:hint="cs"/>
          <w:rtl/>
        </w:rPr>
        <w:t>10.</w:t>
      </w:r>
      <w:r>
        <w:rPr>
          <w:rtl/>
        </w:rPr>
        <w:tab/>
      </w:r>
      <w:r>
        <w:rPr>
          <w:rFonts w:hint="cs"/>
          <w:rtl/>
        </w:rPr>
        <w:t>دليل إدارة الممتلكات</w:t>
      </w:r>
    </w:p>
    <w:p w:rsidR="00B71C4A" w:rsidRPr="00B71C4A" w:rsidRDefault="00427A02" w:rsidP="00427A02">
      <w:pPr>
        <w:pStyle w:val="EndofDocumentAR"/>
      </w:pPr>
      <w:r>
        <w:rPr>
          <w:rFonts w:hint="cs"/>
          <w:rtl/>
        </w:rPr>
        <w:t>[نهاية المرفق الثاني والوثيقة]</w:t>
      </w:r>
    </w:p>
    <w:sectPr w:rsidR="00B71C4A" w:rsidRPr="00B71C4A" w:rsidSect="00427A02">
      <w:headerReference w:type="default" r:id="rId20"/>
      <w:headerReference w:type="first" r:id="rId21"/>
      <w:endnotePr>
        <w:numFmt w:val="decimal"/>
      </w:endnotePr>
      <w:pgSz w:w="11907" w:h="16840" w:code="9"/>
      <w:pgMar w:top="1305"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0F" w:rsidRDefault="009A5C0F">
      <w:r>
        <w:separator/>
      </w:r>
    </w:p>
  </w:endnote>
  <w:endnote w:type="continuationSeparator" w:id="0">
    <w:p w:rsidR="009A5C0F" w:rsidRDefault="009A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altName w:val="Courier New"/>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0F" w:rsidRDefault="009A5C0F" w:rsidP="009622BF">
      <w:pPr>
        <w:bidi/>
      </w:pPr>
      <w:bookmarkStart w:id="0" w:name="OLE_LINK1"/>
      <w:bookmarkStart w:id="1" w:name="OLE_LINK2"/>
      <w:r>
        <w:separator/>
      </w:r>
      <w:bookmarkEnd w:id="0"/>
      <w:bookmarkEnd w:id="1"/>
    </w:p>
  </w:footnote>
  <w:footnote w:type="continuationSeparator" w:id="0">
    <w:p w:rsidR="009A5C0F" w:rsidRDefault="009A5C0F" w:rsidP="009622BF">
      <w:pPr>
        <w:bidi/>
      </w:pPr>
      <w:r>
        <w:separator/>
      </w:r>
    </w:p>
  </w:footnote>
  <w:footnote w:id="1">
    <w:p w:rsidR="009A5C0F" w:rsidRDefault="009A5C0F" w:rsidP="003A3CD3">
      <w:pPr>
        <w:pStyle w:val="FootnoteText"/>
        <w:rPr>
          <w:lang w:bidi="ar-EG"/>
        </w:rPr>
      </w:pPr>
      <w:r>
        <w:rPr>
          <w:rStyle w:val="FootnoteReference"/>
        </w:rPr>
        <w:footnoteRef/>
      </w:r>
      <w:r>
        <w:rPr>
          <w:rtl/>
        </w:rPr>
        <w:t xml:space="preserve"> </w:t>
      </w:r>
      <w:r>
        <w:rPr>
          <w:rFonts w:hint="cs"/>
          <w:rtl/>
        </w:rPr>
        <w:t>انظر الفقرتين 38 و39 من ميثاق الرقابة الداخلية.</w:t>
      </w:r>
    </w:p>
  </w:footnote>
  <w:footnote w:id="2">
    <w:p w:rsidR="009A5C0F" w:rsidRDefault="009A5C0F">
      <w:pPr>
        <w:pStyle w:val="FootnoteText"/>
      </w:pPr>
      <w:r>
        <w:rPr>
          <w:rStyle w:val="FootnoteReference"/>
        </w:rPr>
        <w:footnoteRef/>
      </w:r>
      <w:r>
        <w:rPr>
          <w:rtl/>
        </w:rPr>
        <w:t xml:space="preserve"> </w:t>
      </w:r>
      <w:r>
        <w:rPr>
          <w:rFonts w:hint="cs"/>
          <w:rtl/>
        </w:rPr>
        <w:t>ترد قائمة التقارير في المرفق الأول.</w:t>
      </w:r>
    </w:p>
  </w:footnote>
  <w:footnote w:id="3">
    <w:p w:rsidR="009A5C0F" w:rsidRDefault="009A5C0F" w:rsidP="00A94E0F">
      <w:pPr>
        <w:pStyle w:val="FootnoteText"/>
      </w:pPr>
      <w:r>
        <w:rPr>
          <w:rStyle w:val="FootnoteReference"/>
        </w:rPr>
        <w:footnoteRef/>
      </w:r>
      <w:r>
        <w:rPr>
          <w:rtl/>
        </w:rPr>
        <w:t xml:space="preserve"> </w:t>
      </w:r>
      <w:r w:rsidRPr="00B75A1B">
        <w:rPr>
          <w:rtl/>
        </w:rPr>
        <w:t xml:space="preserve">نظام </w:t>
      </w:r>
      <w:proofErr w:type="spellStart"/>
      <w:r w:rsidRPr="00B75A1B">
        <w:rPr>
          <w:lang w:eastAsia="zh-CN"/>
        </w:rPr>
        <w:t>TeamCentral</w:t>
      </w:r>
      <w:proofErr w:type="spellEnd"/>
      <w:r w:rsidRPr="00B75A1B">
        <w:rPr>
          <w:lang w:eastAsia="zh-CN"/>
        </w:rPr>
        <w:t>©</w:t>
      </w:r>
      <w:r>
        <w:rPr>
          <w:rFonts w:hint="cs"/>
          <w:rtl/>
          <w:lang w:eastAsia="zh-CN"/>
        </w:rPr>
        <w:t xml:space="preserve"> </w:t>
      </w:r>
      <w:r w:rsidRPr="00B75A1B">
        <w:rPr>
          <w:rtl/>
        </w:rPr>
        <w:t xml:space="preserve">هو أحد وحدات نظام </w:t>
      </w:r>
      <w:proofErr w:type="spellStart"/>
      <w:r w:rsidRPr="00B75A1B">
        <w:t>TeamMate</w:t>
      </w:r>
      <w:proofErr w:type="spellEnd"/>
      <w:r w:rsidRPr="00B75A1B">
        <w:rPr>
          <w:rtl/>
        </w:rPr>
        <w:t xml:space="preserve"> وهو برمجية مخصصة لمهام الرقابة تضم وحدات مختلفة مثل وثائق عمل إلكترونية؛ ومتابعة</w:t>
      </w:r>
      <w:r>
        <w:rPr>
          <w:rFonts w:hint="cs"/>
          <w:rtl/>
        </w:rPr>
        <w:t> </w:t>
      </w:r>
      <w:r w:rsidRPr="00B75A1B">
        <w:rPr>
          <w:rtl/>
        </w:rPr>
        <w:t>التوصيات وتقييم المخاطر وتحديد الجدول الزمني.</w:t>
      </w:r>
    </w:p>
  </w:footnote>
  <w:footnote w:id="4">
    <w:p w:rsidR="009A5C0F" w:rsidRDefault="009A5C0F">
      <w:pPr>
        <w:pStyle w:val="FootnoteText"/>
      </w:pPr>
      <w:r>
        <w:rPr>
          <w:rStyle w:val="FootnoteReference"/>
        </w:rPr>
        <w:footnoteRef/>
      </w:r>
      <w:r>
        <w:rPr>
          <w:rtl/>
        </w:rPr>
        <w:t xml:space="preserve"> </w:t>
      </w:r>
      <w:r>
        <w:rPr>
          <w:rFonts w:hint="cs"/>
          <w:rtl/>
        </w:rPr>
        <w:t>كانت استراتيجية خدمة الزبائن معتمدة في تاريخ إعداد هذا التقرير.</w:t>
      </w:r>
    </w:p>
  </w:footnote>
  <w:footnote w:id="5">
    <w:p w:rsidR="009A5C0F" w:rsidRDefault="009A5C0F" w:rsidP="00D5479C">
      <w:pPr>
        <w:pStyle w:val="FootnoteText"/>
        <w:rPr>
          <w:lang w:bidi="ar-EG"/>
        </w:rPr>
      </w:pPr>
      <w:r>
        <w:rPr>
          <w:rStyle w:val="FootnoteReference"/>
        </w:rPr>
        <w:footnoteRef/>
      </w:r>
      <w:r>
        <w:rPr>
          <w:rtl/>
        </w:rPr>
        <w:t xml:space="preserve"> </w:t>
      </w:r>
      <w:r>
        <w:rPr>
          <w:rFonts w:hint="cs"/>
          <w:rtl/>
        </w:rPr>
        <w:t>الفقرة 36 من ميثاق الرقابة الداخلية.</w:t>
      </w:r>
    </w:p>
  </w:footnote>
  <w:footnote w:id="6">
    <w:p w:rsidR="009A5C0F" w:rsidRDefault="009A5C0F" w:rsidP="005E79EC">
      <w:pPr>
        <w:pStyle w:val="FootnoteText"/>
        <w:rPr>
          <w:rtl/>
          <w:lang w:bidi="ar-EG"/>
        </w:rPr>
      </w:pPr>
      <w:r>
        <w:rPr>
          <w:rStyle w:val="FootnoteReference"/>
        </w:rPr>
        <w:footnoteRef/>
      </w:r>
      <w:r>
        <w:rPr>
          <w:rtl/>
        </w:rPr>
        <w:t xml:space="preserve"> </w:t>
      </w:r>
      <w:r>
        <w:rPr>
          <w:rFonts w:hint="cs"/>
          <w:rtl/>
        </w:rPr>
        <w:t>الفقرة 7 من التعميم الإداري</w:t>
      </w:r>
      <w:r w:rsidR="005E79EC">
        <w:rPr>
          <w:rFonts w:hint="cs"/>
          <w:rtl/>
        </w:rPr>
        <w:t xml:space="preserve"> 16/2010</w:t>
      </w:r>
      <w:r>
        <w:rPr>
          <w:rFonts w:hint="cs"/>
          <w:rtl/>
          <w:lang w:bidi="ar-EG"/>
        </w:rPr>
        <w:t>.</w:t>
      </w:r>
    </w:p>
  </w:footnote>
  <w:footnote w:id="7">
    <w:p w:rsidR="009A5C0F" w:rsidRDefault="009A5C0F" w:rsidP="005E79EC">
      <w:pPr>
        <w:pStyle w:val="FootnoteText"/>
        <w:rPr>
          <w:rtl/>
          <w:lang w:bidi="ar-EG"/>
        </w:rPr>
      </w:pPr>
      <w:r>
        <w:rPr>
          <w:rStyle w:val="FootnoteReference"/>
        </w:rPr>
        <w:footnoteRef/>
      </w:r>
      <w:r>
        <w:rPr>
          <w:rtl/>
        </w:rPr>
        <w:t xml:space="preserve"> </w:t>
      </w:r>
      <w:r>
        <w:rPr>
          <w:rFonts w:hint="cs"/>
          <w:rtl/>
        </w:rPr>
        <w:t xml:space="preserve">الفقرة 8 من التعميم الإداري </w:t>
      </w:r>
      <w:r w:rsidR="005E79EC">
        <w:rPr>
          <w:rFonts w:hint="cs"/>
          <w:rtl/>
        </w:rPr>
        <w:t>16/2010</w:t>
      </w:r>
      <w:r>
        <w:rPr>
          <w:rFonts w:hint="cs"/>
          <w:rtl/>
          <w:lang w:bidi="ar-EG"/>
        </w:rPr>
        <w:t>.</w:t>
      </w:r>
    </w:p>
  </w:footnote>
  <w:footnote w:id="8">
    <w:p w:rsidR="009A5C0F" w:rsidRDefault="009A5C0F" w:rsidP="00823983">
      <w:pPr>
        <w:pStyle w:val="FootnoteText"/>
      </w:pPr>
      <w:r>
        <w:rPr>
          <w:rStyle w:val="FootnoteReference"/>
        </w:rPr>
        <w:footnoteRef/>
      </w:r>
      <w:r>
        <w:rPr>
          <w:rtl/>
        </w:rPr>
        <w:t xml:space="preserve"> </w:t>
      </w:r>
      <w:r>
        <w:rPr>
          <w:rFonts w:hint="cs"/>
          <w:rtl/>
        </w:rPr>
        <w:t>أغلقت ثماني توصيات من المدققين الخارجيين دون تنفيذها خلال الفترة المشمولة بالتقرير بعد تقبل الإدارة خطر عدم تنفيذها. وتخص خمس من تلك التوصيات التدقيق في</w:t>
      </w:r>
      <w:r w:rsidRPr="003B0AD3">
        <w:rPr>
          <w:rtl/>
        </w:rPr>
        <w:t xml:space="preserve"> امتثال مشروع قاعة المؤتمرات الجديدة</w:t>
      </w:r>
      <w:r>
        <w:rPr>
          <w:rFonts w:hint="cs"/>
          <w:rtl/>
        </w:rPr>
        <w:t>.</w:t>
      </w:r>
    </w:p>
  </w:footnote>
  <w:footnote w:id="9">
    <w:p w:rsidR="009A5C0F" w:rsidRDefault="009A5C0F" w:rsidP="003413E3">
      <w:pPr>
        <w:pStyle w:val="FootnoteText"/>
      </w:pPr>
      <w:r>
        <w:rPr>
          <w:rStyle w:val="FootnoteReference"/>
        </w:rPr>
        <w:footnoteRef/>
      </w:r>
      <w:r>
        <w:rPr>
          <w:rtl/>
        </w:rPr>
        <w:t xml:space="preserve"> </w:t>
      </w:r>
      <w:r w:rsidRPr="00F255CF">
        <w:rPr>
          <w:rtl/>
        </w:rPr>
        <w:t>البرنامج 1 (قانون البراءات)، والبرنامج 3 (حق المؤلف والحقوق المجاورة)، والبرنامج 5 (نظام معاهدة التعاون بشأن البراءات)، والبرنامج 6 (نظام</w:t>
      </w:r>
      <w:r>
        <w:rPr>
          <w:rFonts w:hint="cs"/>
          <w:rtl/>
        </w:rPr>
        <w:t>ا</w:t>
      </w:r>
      <w:r w:rsidRPr="00F255CF">
        <w:rPr>
          <w:rtl/>
        </w:rPr>
        <w:t xml:space="preserve"> مدريد ولشبونة)، والبرنامج 9 (البلدان الأفريقية والعربية وبلدان آسيا والمحيط الهادئ وأمريكا اللاتينية والكاريبي والبلدان الأقل نمواً)، والبرنامج 11 (</w:t>
      </w:r>
      <w:r>
        <w:rPr>
          <w:rFonts w:hint="cs"/>
          <w:rtl/>
        </w:rPr>
        <w:t>أكاديمية الويبو</w:t>
      </w:r>
      <w:r w:rsidRPr="00F255CF">
        <w:rPr>
          <w:rtl/>
        </w:rPr>
        <w:t xml:space="preserve">)، </w:t>
      </w:r>
      <w:r>
        <w:rPr>
          <w:rFonts w:hint="cs"/>
          <w:rtl/>
        </w:rPr>
        <w:t xml:space="preserve">والبرنامج 15 (حلول لأعمال مكاتب الملكية الفكرية)، </w:t>
      </w:r>
      <w:r w:rsidRPr="00F255CF">
        <w:rPr>
          <w:rtl/>
        </w:rPr>
        <w:t>والبرنامج 19 (</w:t>
      </w:r>
      <w:r>
        <w:rPr>
          <w:rFonts w:hint="cs"/>
          <w:rtl/>
        </w:rPr>
        <w:t>التواصل</w:t>
      </w:r>
      <w:r w:rsidRPr="00F255CF">
        <w:rPr>
          <w:rtl/>
        </w:rPr>
        <w:t>)،</w:t>
      </w:r>
      <w:r>
        <w:rPr>
          <w:rFonts w:hint="cs"/>
          <w:rtl/>
        </w:rPr>
        <w:t xml:space="preserve"> و</w:t>
      </w:r>
      <w:r w:rsidRPr="00B71C4A">
        <w:rPr>
          <w:rtl/>
        </w:rPr>
        <w:t xml:space="preserve">البرنامج 21 </w:t>
      </w:r>
      <w:r>
        <w:rPr>
          <w:rFonts w:hint="cs"/>
          <w:rtl/>
        </w:rPr>
        <w:t>(</w:t>
      </w:r>
      <w:r w:rsidRPr="00B71C4A">
        <w:rPr>
          <w:rtl/>
        </w:rPr>
        <w:t>الإدارة التنفيذية</w:t>
      </w:r>
      <w:r>
        <w:rPr>
          <w:rFonts w:hint="cs"/>
          <w:rtl/>
        </w:rPr>
        <w:t>)</w:t>
      </w:r>
      <w:r w:rsidRPr="00B71C4A">
        <w:rPr>
          <w:rtl/>
        </w:rPr>
        <w:t xml:space="preserve">، </w:t>
      </w:r>
      <w:r>
        <w:rPr>
          <w:rFonts w:hint="cs"/>
          <w:rtl/>
        </w:rPr>
        <w:t>و</w:t>
      </w:r>
      <w:r w:rsidRPr="00B71C4A">
        <w:rPr>
          <w:rtl/>
        </w:rPr>
        <w:t xml:space="preserve">البرنامج 22 </w:t>
      </w:r>
      <w:r>
        <w:rPr>
          <w:rFonts w:hint="cs"/>
          <w:rtl/>
        </w:rPr>
        <w:t>(</w:t>
      </w:r>
      <w:r w:rsidRPr="00B71C4A">
        <w:rPr>
          <w:rtl/>
        </w:rPr>
        <w:t>إدارة البرامج والموارد</w:t>
      </w:r>
      <w:r>
        <w:rPr>
          <w:rFonts w:hint="cs"/>
          <w:rtl/>
        </w:rPr>
        <w:t>)</w:t>
      </w:r>
      <w:r w:rsidRPr="00B71C4A">
        <w:rPr>
          <w:rtl/>
        </w:rPr>
        <w:t xml:space="preserve">، </w:t>
      </w:r>
      <w:r>
        <w:rPr>
          <w:rFonts w:hint="cs"/>
          <w:rtl/>
        </w:rPr>
        <w:t>و</w:t>
      </w:r>
      <w:r w:rsidRPr="00B71C4A">
        <w:rPr>
          <w:rtl/>
        </w:rPr>
        <w:t xml:space="preserve">البرنامج 23 </w:t>
      </w:r>
      <w:r>
        <w:rPr>
          <w:rFonts w:hint="cs"/>
          <w:rtl/>
        </w:rPr>
        <w:t>(</w:t>
      </w:r>
      <w:r w:rsidRPr="00B71C4A">
        <w:rPr>
          <w:rtl/>
        </w:rPr>
        <w:t>إدارة الموارد البشرية وتطويرها</w:t>
      </w:r>
      <w:r>
        <w:rPr>
          <w:rFonts w:hint="cs"/>
          <w:rtl/>
        </w:rPr>
        <w:t>)</w:t>
      </w:r>
      <w:r w:rsidRPr="00B71C4A">
        <w:rPr>
          <w:rtl/>
        </w:rPr>
        <w:t xml:space="preserve">، </w:t>
      </w:r>
      <w:r>
        <w:rPr>
          <w:rFonts w:hint="cs"/>
          <w:rtl/>
        </w:rPr>
        <w:t>و</w:t>
      </w:r>
      <w:r w:rsidRPr="00B71C4A">
        <w:rPr>
          <w:rtl/>
        </w:rPr>
        <w:t xml:space="preserve">البرنامج 24 </w:t>
      </w:r>
      <w:r>
        <w:rPr>
          <w:rFonts w:hint="cs"/>
          <w:rtl/>
        </w:rPr>
        <w:t>(</w:t>
      </w:r>
      <w:r w:rsidRPr="00B71C4A">
        <w:rPr>
          <w:rtl/>
        </w:rPr>
        <w:t>خدمات الدعم العامة</w:t>
      </w:r>
      <w:r>
        <w:rPr>
          <w:rFonts w:hint="cs"/>
          <w:rtl/>
        </w:rPr>
        <w:t>)</w:t>
      </w:r>
      <w:r w:rsidRPr="00B71C4A">
        <w:rPr>
          <w:rtl/>
        </w:rPr>
        <w:t xml:space="preserve">، </w:t>
      </w:r>
      <w:r>
        <w:rPr>
          <w:rFonts w:hint="cs"/>
          <w:rtl/>
        </w:rPr>
        <w:t>و</w:t>
      </w:r>
      <w:r w:rsidRPr="00B71C4A">
        <w:rPr>
          <w:rtl/>
        </w:rPr>
        <w:t xml:space="preserve">البرنامج 25 </w:t>
      </w:r>
      <w:r>
        <w:rPr>
          <w:rFonts w:hint="cs"/>
          <w:rtl/>
        </w:rPr>
        <w:t>(</w:t>
      </w:r>
      <w:r w:rsidRPr="00B71C4A">
        <w:rPr>
          <w:rtl/>
        </w:rPr>
        <w:t>تكنولوجيا المعلومات والاتصالات</w:t>
      </w:r>
      <w:r>
        <w:rPr>
          <w:rFonts w:hint="cs"/>
          <w:rtl/>
        </w:rPr>
        <w:t>)</w:t>
      </w:r>
      <w:r w:rsidRPr="00B71C4A">
        <w:rPr>
          <w:rtl/>
        </w:rPr>
        <w:t xml:space="preserve">، </w:t>
      </w:r>
      <w:r>
        <w:rPr>
          <w:rFonts w:hint="cs"/>
          <w:rtl/>
        </w:rPr>
        <w:t>و</w:t>
      </w:r>
      <w:r w:rsidRPr="00B71C4A">
        <w:rPr>
          <w:rtl/>
        </w:rPr>
        <w:t>البرنامج</w:t>
      </w:r>
      <w:r>
        <w:rPr>
          <w:rFonts w:hint="cs"/>
          <w:rtl/>
        </w:rPr>
        <w:t> </w:t>
      </w:r>
      <w:r w:rsidRPr="00B71C4A">
        <w:rPr>
          <w:rtl/>
        </w:rPr>
        <w:t>27</w:t>
      </w:r>
      <w:r>
        <w:rPr>
          <w:rFonts w:hint="cs"/>
          <w:rtl/>
        </w:rPr>
        <w:t> (</w:t>
      </w:r>
      <w:r w:rsidRPr="00B71C4A">
        <w:rPr>
          <w:rtl/>
        </w:rPr>
        <w:t>خدمات المؤتمرات واللغات</w:t>
      </w:r>
      <w:r>
        <w:rPr>
          <w:rFonts w:hint="cs"/>
          <w:rtl/>
        </w:rPr>
        <w:t>)</w:t>
      </w:r>
      <w:r w:rsidRPr="00B71C4A">
        <w:rPr>
          <w:rtl/>
        </w:rPr>
        <w:t xml:space="preserve">، </w:t>
      </w:r>
      <w:r>
        <w:rPr>
          <w:rFonts w:hint="cs"/>
          <w:rtl/>
        </w:rPr>
        <w:t>و</w:t>
      </w:r>
      <w:r w:rsidRPr="00B71C4A">
        <w:rPr>
          <w:rtl/>
        </w:rPr>
        <w:t xml:space="preserve">البرنامج 28 </w:t>
      </w:r>
      <w:r>
        <w:rPr>
          <w:rFonts w:hint="cs"/>
          <w:rtl/>
        </w:rPr>
        <w:t>(</w:t>
      </w:r>
      <w:r w:rsidRPr="00B71C4A">
        <w:rPr>
          <w:rtl/>
        </w:rPr>
        <w:t>السلامة والأمن</w:t>
      </w:r>
      <w:r>
        <w:rPr>
          <w:rFonts w:hint="cs"/>
          <w:rtl/>
        </w:rPr>
        <w:t>)</w:t>
      </w:r>
      <w:r w:rsidRPr="00B71C4A">
        <w:rPr>
          <w:rtl/>
        </w:rPr>
        <w:t xml:space="preserve">، </w:t>
      </w:r>
      <w:r>
        <w:rPr>
          <w:rFonts w:hint="cs"/>
          <w:rtl/>
        </w:rPr>
        <w:t>و</w:t>
      </w:r>
      <w:r w:rsidRPr="00B71C4A">
        <w:rPr>
          <w:rtl/>
        </w:rPr>
        <w:t xml:space="preserve">البرنامج 29 </w:t>
      </w:r>
      <w:r>
        <w:rPr>
          <w:rFonts w:hint="cs"/>
          <w:rtl/>
        </w:rPr>
        <w:t>(</w:t>
      </w:r>
      <w:r w:rsidRPr="00B71C4A">
        <w:rPr>
          <w:rtl/>
        </w:rPr>
        <w:t>قاعة المؤتمرات الجديدة</w:t>
      </w:r>
      <w:r>
        <w:rPr>
          <w:rFonts w:hint="cs"/>
          <w:rtl/>
        </w:rPr>
        <w:t>)</w:t>
      </w:r>
      <w:r w:rsidRPr="00B71C4A">
        <w:rPr>
          <w:rtl/>
        </w:rPr>
        <w:t>،</w:t>
      </w:r>
      <w:r>
        <w:rPr>
          <w:rFonts w:hint="cs"/>
          <w:rtl/>
        </w:rPr>
        <w:t xml:space="preserve"> والبرنامج</w:t>
      </w:r>
      <w:r>
        <w:rPr>
          <w:rFonts w:hint="eastAsia"/>
          <w:rtl/>
        </w:rPr>
        <w:t> </w:t>
      </w:r>
      <w:r>
        <w:rPr>
          <w:rFonts w:hint="cs"/>
          <w:rtl/>
        </w:rPr>
        <w:t>30 (ا</w:t>
      </w:r>
      <w:r w:rsidRPr="00B71C4A">
        <w:rPr>
          <w:rtl/>
        </w:rPr>
        <w:t>لشركات</w:t>
      </w:r>
      <w:r>
        <w:rPr>
          <w:rFonts w:hint="cs"/>
          <w:rtl/>
        </w:rPr>
        <w:t> </w:t>
      </w:r>
      <w:r w:rsidRPr="00B71C4A">
        <w:rPr>
          <w:rtl/>
        </w:rPr>
        <w:t>الصغيرة</w:t>
      </w:r>
      <w:r>
        <w:rPr>
          <w:rFonts w:hint="cs"/>
          <w:rtl/>
        </w:rPr>
        <w:t> </w:t>
      </w:r>
      <w:r w:rsidRPr="00B71C4A">
        <w:rPr>
          <w:rtl/>
        </w:rPr>
        <w:t>والمتوسطة والابتكار</w:t>
      </w:r>
      <w:r>
        <w:rPr>
          <w:rFonts w:hint="cs"/>
          <w:rtl/>
        </w:rPr>
        <w:t>)، و</w:t>
      </w:r>
      <w:r w:rsidRPr="00B71C4A">
        <w:rPr>
          <w:rtl/>
        </w:rPr>
        <w:t xml:space="preserve">البرنامج 31 </w:t>
      </w:r>
      <w:r>
        <w:rPr>
          <w:rFonts w:hint="cs"/>
          <w:rtl/>
        </w:rPr>
        <w:t>(</w:t>
      </w:r>
      <w:r w:rsidRPr="00B71C4A">
        <w:rPr>
          <w:rtl/>
        </w:rPr>
        <w:t>نظام لاهاي</w:t>
      </w:r>
      <w:r>
        <w:rPr>
          <w:rFonts w:hint="cs"/>
          <w:rtl/>
        </w:rPr>
        <w:t>).</w:t>
      </w:r>
    </w:p>
  </w:footnote>
  <w:footnote w:id="10">
    <w:p w:rsidR="009A5C0F" w:rsidRDefault="009A5C0F" w:rsidP="00596080">
      <w:pPr>
        <w:pStyle w:val="FootnoteText"/>
        <w:rPr>
          <w:lang w:bidi="ar-EG"/>
        </w:rPr>
      </w:pPr>
      <w:r>
        <w:rPr>
          <w:rStyle w:val="FootnoteReference"/>
        </w:rPr>
        <w:footnoteRef/>
      </w:r>
      <w:r>
        <w:rPr>
          <w:rtl/>
        </w:rPr>
        <w:t xml:space="preserve"> </w:t>
      </w:r>
      <w:r>
        <w:rPr>
          <w:rFonts w:hint="cs"/>
          <w:rtl/>
        </w:rPr>
        <w:t>الفقرة 24(ز) من ميثاق الرقابة الداخلية.</w:t>
      </w:r>
    </w:p>
  </w:footnote>
  <w:footnote w:id="11">
    <w:p w:rsidR="009A5C0F" w:rsidRDefault="009A5C0F" w:rsidP="00B71C4A">
      <w:pPr>
        <w:pStyle w:val="FootnoteText"/>
        <w:rPr>
          <w:lang w:bidi="ar-EG"/>
        </w:rPr>
      </w:pPr>
      <w:r>
        <w:rPr>
          <w:rStyle w:val="FootnoteReference"/>
        </w:rPr>
        <w:footnoteRef/>
      </w:r>
      <w:r>
        <w:rPr>
          <w:rtl/>
        </w:rPr>
        <w:t xml:space="preserve"> </w:t>
      </w:r>
      <w:r>
        <w:rPr>
          <w:rFonts w:hint="cs"/>
          <w:rtl/>
        </w:rPr>
        <w:t>الفقرة 39(ط) من ميثاق الرقابة الداخلية.</w:t>
      </w:r>
    </w:p>
  </w:footnote>
  <w:footnote w:id="12">
    <w:p w:rsidR="009A5C0F" w:rsidRDefault="009A5C0F" w:rsidP="00590283">
      <w:pPr>
        <w:pStyle w:val="FootnoteText"/>
        <w:rPr>
          <w:rtl/>
          <w:lang w:bidi="ar-EG"/>
        </w:rPr>
      </w:pPr>
      <w:r>
        <w:rPr>
          <w:rStyle w:val="FootnoteReference"/>
        </w:rPr>
        <w:footnoteRef/>
      </w:r>
      <w:r>
        <w:rPr>
          <w:rtl/>
        </w:rPr>
        <w:t xml:space="preserve"> </w:t>
      </w:r>
      <w:r>
        <w:rPr>
          <w:rFonts w:hint="cs"/>
          <w:rtl/>
        </w:rPr>
        <w:t>المصدر: بيانات تقرير أداء البرنامج من نظام إدارة الأداء المؤسسي</w:t>
      </w:r>
      <w:r>
        <w:rPr>
          <w:rFonts w:hint="cs"/>
          <w:rtl/>
          <w:lang w:bidi="ar-EG"/>
        </w:rPr>
        <w:t>. وترد المبالغ بآلاف الفرنكات السويسرية.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865956">
    <w:r>
      <w:t>WO/PBC/25/5</w:t>
    </w:r>
  </w:p>
  <w:p w:rsidR="009A5C0F" w:rsidRDefault="009A5C0F" w:rsidP="00D61541">
    <w:r>
      <w:fldChar w:fldCharType="begin"/>
    </w:r>
    <w:r>
      <w:instrText xml:space="preserve"> PAGE  \* MERGEFORMAT </w:instrText>
    </w:r>
    <w:r>
      <w:fldChar w:fldCharType="separate"/>
    </w:r>
    <w:r w:rsidR="000803A9">
      <w:rPr>
        <w:noProof/>
      </w:rPr>
      <w:t>22</w:t>
    </w:r>
    <w:r>
      <w:fldChar w:fldCharType="end"/>
    </w:r>
  </w:p>
  <w:p w:rsidR="009A5C0F" w:rsidRDefault="009A5C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927178">
    <w:r>
      <w:t>WO/PBC/25/5</w:t>
    </w:r>
  </w:p>
  <w:p w:rsidR="009A5C0F" w:rsidRDefault="009A5C0F" w:rsidP="00927178">
    <w:r>
      <w:fldChar w:fldCharType="begin"/>
    </w:r>
    <w:r>
      <w:instrText xml:space="preserve"> PAGE  \* MERGEFORMAT </w:instrText>
    </w:r>
    <w:r>
      <w:fldChar w:fldCharType="separate"/>
    </w:r>
    <w:r w:rsidR="000803A9">
      <w:rPr>
        <w:noProof/>
      </w:rPr>
      <w:t>3</w:t>
    </w:r>
    <w:r>
      <w:fldChar w:fldCharType="end"/>
    </w:r>
  </w:p>
  <w:p w:rsidR="009A5C0F" w:rsidRDefault="009A5C0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B71C4A">
    <w:r>
      <w:t>WO/PBC/25/5</w:t>
    </w:r>
  </w:p>
  <w:p w:rsidR="009A5C0F" w:rsidRDefault="009A5C0F" w:rsidP="00B71C4A">
    <w:r>
      <w:t>Annex I</w:t>
    </w:r>
  </w:p>
  <w:p w:rsidR="009A5C0F" w:rsidRDefault="009A5C0F" w:rsidP="00B71C4A">
    <w:r>
      <w:fldChar w:fldCharType="begin"/>
    </w:r>
    <w:r>
      <w:instrText xml:space="preserve"> PAGE  \* MERGEFORMAT </w:instrText>
    </w:r>
    <w:r>
      <w:fldChar w:fldCharType="separate"/>
    </w:r>
    <w:r w:rsidR="000803A9">
      <w:rPr>
        <w:noProof/>
      </w:rPr>
      <w:t>21</w:t>
    </w:r>
    <w:r>
      <w:fldChar w:fldCharType="end"/>
    </w:r>
  </w:p>
  <w:p w:rsidR="009A5C0F" w:rsidRPr="00B71C4A" w:rsidRDefault="009A5C0F" w:rsidP="00B71C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927178">
    <w:r>
      <w:t>WO/PBC/25/5</w:t>
    </w:r>
  </w:p>
  <w:p w:rsidR="009A5C0F" w:rsidRDefault="009A5C0F" w:rsidP="00927178">
    <w:r>
      <w:t>ANNEX I</w:t>
    </w:r>
  </w:p>
  <w:p w:rsidR="009A5C0F" w:rsidRPr="00B71C4A" w:rsidRDefault="009A5C0F" w:rsidP="00927178">
    <w:pPr>
      <w:rPr>
        <w:rFonts w:ascii="Arabic Typesetting" w:hAnsi="Arabic Typesetting" w:cs="Arabic Typesetting"/>
        <w:sz w:val="36"/>
        <w:szCs w:val="36"/>
        <w:rtl/>
      </w:rPr>
    </w:pPr>
    <w:r w:rsidRPr="00B71C4A">
      <w:rPr>
        <w:rFonts w:ascii="Arabic Typesetting" w:hAnsi="Arabic Typesetting" w:cs="Arabic Typesetting"/>
        <w:sz w:val="36"/>
        <w:szCs w:val="36"/>
        <w:rtl/>
      </w:rPr>
      <w:t>المرفق الأول</w:t>
    </w:r>
  </w:p>
  <w:p w:rsidR="009A5C0F" w:rsidRDefault="009A5C0F" w:rsidP="0092717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B71C4A">
    <w:r>
      <w:t>WO/PBC/25/5</w:t>
    </w:r>
  </w:p>
  <w:p w:rsidR="009A5C0F" w:rsidRDefault="009A5C0F" w:rsidP="00B71C4A">
    <w:r>
      <w:t>Annex II</w:t>
    </w:r>
  </w:p>
  <w:p w:rsidR="009A5C0F" w:rsidRDefault="009A5C0F" w:rsidP="00B71C4A">
    <w:r>
      <w:fldChar w:fldCharType="begin"/>
    </w:r>
    <w:r>
      <w:instrText xml:space="preserve"> PAGE  \* MERGEFORMAT </w:instrText>
    </w:r>
    <w:r>
      <w:fldChar w:fldCharType="separate"/>
    </w:r>
    <w:r w:rsidR="000803A9">
      <w:rPr>
        <w:noProof/>
      </w:rPr>
      <w:t>21</w:t>
    </w:r>
    <w:r>
      <w:fldChar w:fldCharType="end"/>
    </w:r>
  </w:p>
  <w:p w:rsidR="009A5C0F" w:rsidRPr="00B71C4A" w:rsidRDefault="009A5C0F" w:rsidP="00B71C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927178">
    <w:r>
      <w:t>WO/PBC/25/5</w:t>
    </w:r>
  </w:p>
  <w:p w:rsidR="009A5C0F" w:rsidRDefault="009A5C0F" w:rsidP="00927178">
    <w:pPr>
      <w:rPr>
        <w:rtl/>
      </w:rPr>
    </w:pPr>
    <w:r>
      <w:t>ANNEX II</w:t>
    </w:r>
  </w:p>
  <w:p w:rsidR="009A5C0F" w:rsidRPr="00B71C4A" w:rsidRDefault="009A5C0F" w:rsidP="00B71C4A">
    <w:pPr>
      <w:rPr>
        <w:rFonts w:ascii="Arabic Typesetting" w:hAnsi="Arabic Typesetting" w:cs="Arabic Typesetting"/>
        <w:sz w:val="36"/>
        <w:szCs w:val="36"/>
        <w:rtl/>
      </w:rPr>
    </w:pPr>
    <w:r w:rsidRPr="00B71C4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9A5C0F" w:rsidRDefault="009A5C0F" w:rsidP="009271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9F506AA2"/>
    <w:lvl w:ilvl="0" w:tplc="696E204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DB0FF2"/>
    <w:multiLevelType w:val="multilevel"/>
    <w:tmpl w:val="0D444DD4"/>
    <w:lvl w:ilvl="0">
      <w:start w:val="1"/>
      <w:numFmt w:val="decimal"/>
      <w:lvlRestart w:val="0"/>
      <w:pStyle w:val="ONUME"/>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53"/>
    <w:rsid w:val="00000D7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48F"/>
    <w:rsid w:val="0002157B"/>
    <w:rsid w:val="00023101"/>
    <w:rsid w:val="0002407C"/>
    <w:rsid w:val="0002476F"/>
    <w:rsid w:val="00024E17"/>
    <w:rsid w:val="000258DB"/>
    <w:rsid w:val="000259E5"/>
    <w:rsid w:val="00031B2C"/>
    <w:rsid w:val="00031C3F"/>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31F"/>
    <w:rsid w:val="00061FF5"/>
    <w:rsid w:val="00062502"/>
    <w:rsid w:val="00063C91"/>
    <w:rsid w:val="000640E7"/>
    <w:rsid w:val="00066DC7"/>
    <w:rsid w:val="00066E1D"/>
    <w:rsid w:val="0006794A"/>
    <w:rsid w:val="00067F31"/>
    <w:rsid w:val="00071138"/>
    <w:rsid w:val="000717BF"/>
    <w:rsid w:val="00073402"/>
    <w:rsid w:val="00075745"/>
    <w:rsid w:val="00075A04"/>
    <w:rsid w:val="00075D39"/>
    <w:rsid w:val="000760C3"/>
    <w:rsid w:val="000763A4"/>
    <w:rsid w:val="00076901"/>
    <w:rsid w:val="000803A9"/>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62B2"/>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8C0"/>
    <w:rsid w:val="000D026B"/>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952"/>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FCB"/>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06C"/>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A53"/>
    <w:rsid w:val="00203D45"/>
    <w:rsid w:val="00205495"/>
    <w:rsid w:val="002061DE"/>
    <w:rsid w:val="002065E2"/>
    <w:rsid w:val="00206C61"/>
    <w:rsid w:val="00206F30"/>
    <w:rsid w:val="002072D8"/>
    <w:rsid w:val="00207616"/>
    <w:rsid w:val="00207F10"/>
    <w:rsid w:val="002112E6"/>
    <w:rsid w:val="00211478"/>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014"/>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A9C"/>
    <w:rsid w:val="002C7D29"/>
    <w:rsid w:val="002D0298"/>
    <w:rsid w:val="002D1662"/>
    <w:rsid w:val="002D1DE5"/>
    <w:rsid w:val="002D3506"/>
    <w:rsid w:val="002D3670"/>
    <w:rsid w:val="002D4807"/>
    <w:rsid w:val="002D5DDC"/>
    <w:rsid w:val="002D5F16"/>
    <w:rsid w:val="002D62F1"/>
    <w:rsid w:val="002D6FD8"/>
    <w:rsid w:val="002D727B"/>
    <w:rsid w:val="002D7EAD"/>
    <w:rsid w:val="002E0250"/>
    <w:rsid w:val="002E1169"/>
    <w:rsid w:val="002E1218"/>
    <w:rsid w:val="002E28F3"/>
    <w:rsid w:val="002E7615"/>
    <w:rsid w:val="002E7A2A"/>
    <w:rsid w:val="002E7F16"/>
    <w:rsid w:val="002F1360"/>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C08"/>
    <w:rsid w:val="00334127"/>
    <w:rsid w:val="00335CA6"/>
    <w:rsid w:val="003365F0"/>
    <w:rsid w:val="00336C50"/>
    <w:rsid w:val="00337388"/>
    <w:rsid w:val="0034007D"/>
    <w:rsid w:val="0034061A"/>
    <w:rsid w:val="003413E3"/>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63E"/>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3CD3"/>
    <w:rsid w:val="003A54E9"/>
    <w:rsid w:val="003A5E7C"/>
    <w:rsid w:val="003A78C7"/>
    <w:rsid w:val="003A7E9A"/>
    <w:rsid w:val="003B0AD3"/>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E93"/>
    <w:rsid w:val="00422A2A"/>
    <w:rsid w:val="00424BB4"/>
    <w:rsid w:val="004258CD"/>
    <w:rsid w:val="004261D2"/>
    <w:rsid w:val="00427A0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08FA"/>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46A5"/>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1D31"/>
    <w:rsid w:val="004D30CE"/>
    <w:rsid w:val="004D3622"/>
    <w:rsid w:val="004D4071"/>
    <w:rsid w:val="004D421A"/>
    <w:rsid w:val="004D4D0C"/>
    <w:rsid w:val="004D6144"/>
    <w:rsid w:val="004D678F"/>
    <w:rsid w:val="004E1264"/>
    <w:rsid w:val="004E2CBC"/>
    <w:rsid w:val="004E3DD4"/>
    <w:rsid w:val="004E5C1A"/>
    <w:rsid w:val="004E6C86"/>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AA9"/>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76C"/>
    <w:rsid w:val="0055764D"/>
    <w:rsid w:val="00560C6A"/>
    <w:rsid w:val="00560F85"/>
    <w:rsid w:val="005610A0"/>
    <w:rsid w:val="00561823"/>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283"/>
    <w:rsid w:val="005918E4"/>
    <w:rsid w:val="00591C6D"/>
    <w:rsid w:val="00591C71"/>
    <w:rsid w:val="00592392"/>
    <w:rsid w:val="00592484"/>
    <w:rsid w:val="0059283D"/>
    <w:rsid w:val="005928D3"/>
    <w:rsid w:val="00592D5D"/>
    <w:rsid w:val="005955C0"/>
    <w:rsid w:val="00595B68"/>
    <w:rsid w:val="00595EAA"/>
    <w:rsid w:val="00596080"/>
    <w:rsid w:val="0059672B"/>
    <w:rsid w:val="005A0C60"/>
    <w:rsid w:val="005A255F"/>
    <w:rsid w:val="005A330E"/>
    <w:rsid w:val="005A5554"/>
    <w:rsid w:val="005A5651"/>
    <w:rsid w:val="005A6AFE"/>
    <w:rsid w:val="005A7BF3"/>
    <w:rsid w:val="005A7DE0"/>
    <w:rsid w:val="005B0AEF"/>
    <w:rsid w:val="005B242F"/>
    <w:rsid w:val="005B37D9"/>
    <w:rsid w:val="005B445B"/>
    <w:rsid w:val="005B474E"/>
    <w:rsid w:val="005B489A"/>
    <w:rsid w:val="005B63A6"/>
    <w:rsid w:val="005B64D1"/>
    <w:rsid w:val="005B6A88"/>
    <w:rsid w:val="005B6E05"/>
    <w:rsid w:val="005B7F42"/>
    <w:rsid w:val="005C0B43"/>
    <w:rsid w:val="005C1D45"/>
    <w:rsid w:val="005C2100"/>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3CF4"/>
    <w:rsid w:val="005E427F"/>
    <w:rsid w:val="005E4574"/>
    <w:rsid w:val="005E4BBE"/>
    <w:rsid w:val="005E4C97"/>
    <w:rsid w:val="005E5014"/>
    <w:rsid w:val="005E684F"/>
    <w:rsid w:val="005E77BA"/>
    <w:rsid w:val="005E79EC"/>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397"/>
    <w:rsid w:val="00626594"/>
    <w:rsid w:val="00630442"/>
    <w:rsid w:val="0063048C"/>
    <w:rsid w:val="00630FCD"/>
    <w:rsid w:val="006319C2"/>
    <w:rsid w:val="00631FF6"/>
    <w:rsid w:val="006326AB"/>
    <w:rsid w:val="0063292C"/>
    <w:rsid w:val="0063312C"/>
    <w:rsid w:val="0063329F"/>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65D"/>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9AF"/>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DC8"/>
    <w:rsid w:val="006A1E95"/>
    <w:rsid w:val="006A20FB"/>
    <w:rsid w:val="006A339D"/>
    <w:rsid w:val="006A4462"/>
    <w:rsid w:val="006A5B59"/>
    <w:rsid w:val="006A6A14"/>
    <w:rsid w:val="006A753A"/>
    <w:rsid w:val="006A777C"/>
    <w:rsid w:val="006A7C46"/>
    <w:rsid w:val="006A7CB9"/>
    <w:rsid w:val="006B0F76"/>
    <w:rsid w:val="006B16CA"/>
    <w:rsid w:val="006B1F20"/>
    <w:rsid w:val="006B398A"/>
    <w:rsid w:val="006B3E04"/>
    <w:rsid w:val="006B4024"/>
    <w:rsid w:val="006B47D7"/>
    <w:rsid w:val="006B499D"/>
    <w:rsid w:val="006B5041"/>
    <w:rsid w:val="006B643D"/>
    <w:rsid w:val="006B79A4"/>
    <w:rsid w:val="006C1254"/>
    <w:rsid w:val="006C2DC5"/>
    <w:rsid w:val="006C34AD"/>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0C9E"/>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44E"/>
    <w:rsid w:val="00774756"/>
    <w:rsid w:val="00775181"/>
    <w:rsid w:val="007751B6"/>
    <w:rsid w:val="00775345"/>
    <w:rsid w:val="00776A33"/>
    <w:rsid w:val="00776F15"/>
    <w:rsid w:val="007779ED"/>
    <w:rsid w:val="00780B1A"/>
    <w:rsid w:val="007810D3"/>
    <w:rsid w:val="0078264A"/>
    <w:rsid w:val="00783D11"/>
    <w:rsid w:val="00785E46"/>
    <w:rsid w:val="00787917"/>
    <w:rsid w:val="00787C92"/>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69B"/>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72"/>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83"/>
    <w:rsid w:val="008239D1"/>
    <w:rsid w:val="00824071"/>
    <w:rsid w:val="008246B2"/>
    <w:rsid w:val="0082488A"/>
    <w:rsid w:val="00824C08"/>
    <w:rsid w:val="008250F6"/>
    <w:rsid w:val="00826560"/>
    <w:rsid w:val="00826CBB"/>
    <w:rsid w:val="00827180"/>
    <w:rsid w:val="0082770D"/>
    <w:rsid w:val="00827B6D"/>
    <w:rsid w:val="00827C90"/>
    <w:rsid w:val="00827E3D"/>
    <w:rsid w:val="00827FF8"/>
    <w:rsid w:val="0083004E"/>
    <w:rsid w:val="00831EAF"/>
    <w:rsid w:val="00832288"/>
    <w:rsid w:val="008326D6"/>
    <w:rsid w:val="008337EA"/>
    <w:rsid w:val="00833839"/>
    <w:rsid w:val="00833B4A"/>
    <w:rsid w:val="00833D15"/>
    <w:rsid w:val="008344C4"/>
    <w:rsid w:val="008348DA"/>
    <w:rsid w:val="00834E03"/>
    <w:rsid w:val="00835621"/>
    <w:rsid w:val="00835DB0"/>
    <w:rsid w:val="008362AE"/>
    <w:rsid w:val="00837719"/>
    <w:rsid w:val="00840419"/>
    <w:rsid w:val="00840A24"/>
    <w:rsid w:val="00840F1B"/>
    <w:rsid w:val="0084117A"/>
    <w:rsid w:val="00842690"/>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956"/>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1DE"/>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1E3"/>
    <w:rsid w:val="00921BB8"/>
    <w:rsid w:val="00921D28"/>
    <w:rsid w:val="00922034"/>
    <w:rsid w:val="0092266C"/>
    <w:rsid w:val="009241E8"/>
    <w:rsid w:val="0092545E"/>
    <w:rsid w:val="00925956"/>
    <w:rsid w:val="00925DD2"/>
    <w:rsid w:val="00926344"/>
    <w:rsid w:val="00926929"/>
    <w:rsid w:val="00927178"/>
    <w:rsid w:val="00927301"/>
    <w:rsid w:val="00927E9D"/>
    <w:rsid w:val="00931859"/>
    <w:rsid w:val="0093205C"/>
    <w:rsid w:val="009343F5"/>
    <w:rsid w:val="0093456A"/>
    <w:rsid w:val="009345AE"/>
    <w:rsid w:val="00935301"/>
    <w:rsid w:val="00936ABF"/>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0E45"/>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0F"/>
    <w:rsid w:val="009A5C82"/>
    <w:rsid w:val="009B010D"/>
    <w:rsid w:val="009B0AAB"/>
    <w:rsid w:val="009B0D3E"/>
    <w:rsid w:val="009B2AD1"/>
    <w:rsid w:val="009B3224"/>
    <w:rsid w:val="009B3A61"/>
    <w:rsid w:val="009B41E6"/>
    <w:rsid w:val="009B528E"/>
    <w:rsid w:val="009B54FE"/>
    <w:rsid w:val="009B6A78"/>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80D"/>
    <w:rsid w:val="00A54C5F"/>
    <w:rsid w:val="00A54D3B"/>
    <w:rsid w:val="00A5578A"/>
    <w:rsid w:val="00A61365"/>
    <w:rsid w:val="00A61759"/>
    <w:rsid w:val="00A61B88"/>
    <w:rsid w:val="00A62C70"/>
    <w:rsid w:val="00A63982"/>
    <w:rsid w:val="00A65845"/>
    <w:rsid w:val="00A65A41"/>
    <w:rsid w:val="00A666AA"/>
    <w:rsid w:val="00A671FC"/>
    <w:rsid w:val="00A70081"/>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6AC"/>
    <w:rsid w:val="00A86D25"/>
    <w:rsid w:val="00A877BD"/>
    <w:rsid w:val="00A8786B"/>
    <w:rsid w:val="00A903F1"/>
    <w:rsid w:val="00A905CC"/>
    <w:rsid w:val="00A90974"/>
    <w:rsid w:val="00A9197E"/>
    <w:rsid w:val="00A92040"/>
    <w:rsid w:val="00A92065"/>
    <w:rsid w:val="00A92184"/>
    <w:rsid w:val="00A9334F"/>
    <w:rsid w:val="00A93D6F"/>
    <w:rsid w:val="00A9449A"/>
    <w:rsid w:val="00A94E0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E7F"/>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C4A"/>
    <w:rsid w:val="00B72C1C"/>
    <w:rsid w:val="00B73BB7"/>
    <w:rsid w:val="00B751C3"/>
    <w:rsid w:val="00B75A1B"/>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19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73"/>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60D"/>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0455"/>
    <w:rsid w:val="00C720F8"/>
    <w:rsid w:val="00C7294B"/>
    <w:rsid w:val="00C75139"/>
    <w:rsid w:val="00C7525C"/>
    <w:rsid w:val="00C7582F"/>
    <w:rsid w:val="00C76CF7"/>
    <w:rsid w:val="00C77D81"/>
    <w:rsid w:val="00C83A4C"/>
    <w:rsid w:val="00C8533B"/>
    <w:rsid w:val="00C858BA"/>
    <w:rsid w:val="00C86977"/>
    <w:rsid w:val="00C916C8"/>
    <w:rsid w:val="00C9398D"/>
    <w:rsid w:val="00C939EE"/>
    <w:rsid w:val="00C93C6E"/>
    <w:rsid w:val="00C93F93"/>
    <w:rsid w:val="00C94D44"/>
    <w:rsid w:val="00C95EEE"/>
    <w:rsid w:val="00C9624B"/>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975"/>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582"/>
    <w:rsid w:val="00D07D07"/>
    <w:rsid w:val="00D10F87"/>
    <w:rsid w:val="00D1149D"/>
    <w:rsid w:val="00D11B8E"/>
    <w:rsid w:val="00D11D8D"/>
    <w:rsid w:val="00D12B12"/>
    <w:rsid w:val="00D12DD7"/>
    <w:rsid w:val="00D13A8C"/>
    <w:rsid w:val="00D149E1"/>
    <w:rsid w:val="00D14A44"/>
    <w:rsid w:val="00D15BCC"/>
    <w:rsid w:val="00D1628F"/>
    <w:rsid w:val="00D20A3E"/>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46E"/>
    <w:rsid w:val="00D3482C"/>
    <w:rsid w:val="00D3664C"/>
    <w:rsid w:val="00D3683A"/>
    <w:rsid w:val="00D379C5"/>
    <w:rsid w:val="00D37C36"/>
    <w:rsid w:val="00D40559"/>
    <w:rsid w:val="00D405B8"/>
    <w:rsid w:val="00D41493"/>
    <w:rsid w:val="00D4200A"/>
    <w:rsid w:val="00D4267F"/>
    <w:rsid w:val="00D4368E"/>
    <w:rsid w:val="00D441E9"/>
    <w:rsid w:val="00D44425"/>
    <w:rsid w:val="00D44FC8"/>
    <w:rsid w:val="00D45D8F"/>
    <w:rsid w:val="00D50332"/>
    <w:rsid w:val="00D52B95"/>
    <w:rsid w:val="00D5362B"/>
    <w:rsid w:val="00D53A09"/>
    <w:rsid w:val="00D53B50"/>
    <w:rsid w:val="00D5479C"/>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6951"/>
    <w:rsid w:val="00E10C2E"/>
    <w:rsid w:val="00E10C94"/>
    <w:rsid w:val="00E10EC4"/>
    <w:rsid w:val="00E118D7"/>
    <w:rsid w:val="00E13F46"/>
    <w:rsid w:val="00E14344"/>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362"/>
    <w:rsid w:val="00E30A8A"/>
    <w:rsid w:val="00E31BC7"/>
    <w:rsid w:val="00E31E7F"/>
    <w:rsid w:val="00E363CD"/>
    <w:rsid w:val="00E365C4"/>
    <w:rsid w:val="00E36C7F"/>
    <w:rsid w:val="00E36CD9"/>
    <w:rsid w:val="00E36F1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629"/>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A49"/>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5CF"/>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EEF"/>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6B6C"/>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B169B"/>
    <w:rPr>
      <w:rFonts w:ascii="Arial" w:eastAsia="SimSun" w:hAnsi="Arial" w:cs="Arial"/>
      <w:bCs/>
      <w:iCs/>
      <w:caps/>
      <w:sz w:val="22"/>
      <w:szCs w:val="28"/>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Char"/>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aliases w:val="Footnote Char,Char Char"/>
    <w:link w:val="FootnoteText"/>
    <w:semiHidden/>
    <w:locked/>
    <w:rsid w:val="003A3CD3"/>
    <w:rPr>
      <w:rFonts w:ascii="Arabic Typesetting" w:hAnsi="Arabic Typesetting" w:cs="Arabic Typesetting"/>
      <w:sz w:val="28"/>
      <w:szCs w:val="28"/>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3A3CD3"/>
    <w:rPr>
      <w:rFonts w:ascii="Arial" w:hAnsi="Arial" w:cs="Arial"/>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561823"/>
    <w:pPr>
      <w:keepNext/>
      <w:spacing w:line="400" w:lineRule="exact"/>
    </w:pPr>
    <w:rPr>
      <w:rFonts w:eastAsia="SimSun"/>
      <w:bCs/>
      <w:sz w:val="40"/>
      <w:szCs w:val="40"/>
      <w:lang w:eastAsia="zh-CN"/>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834E0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table" w:customStyle="1" w:styleId="TableGrid1">
    <w:name w:val="Table Grid1"/>
    <w:basedOn w:val="TableNormal"/>
    <w:next w:val="TableGrid"/>
    <w:uiPriority w:val="59"/>
    <w:rsid w:val="003A3CD3"/>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B41E6"/>
    <w:pPr>
      <w:tabs>
        <w:tab w:val="right" w:leader="dot" w:pos="9345"/>
      </w:tabs>
      <w:bidi/>
      <w:spacing w:after="200"/>
    </w:pPr>
    <w:rPr>
      <w:rFonts w:ascii="Arabic Typesetting" w:hAnsi="Arabic Typesetting" w:cs="Arabic Typesetting"/>
      <w:sz w:val="30"/>
      <w:szCs w:val="30"/>
    </w:rPr>
  </w:style>
  <w:style w:type="paragraph" w:styleId="TOC2">
    <w:name w:val="toc 2"/>
    <w:basedOn w:val="Normal"/>
    <w:next w:val="Normal"/>
    <w:autoRedefine/>
    <w:rsid w:val="00834E03"/>
    <w:pPr>
      <w:spacing w:after="100"/>
      <w:ind w:left="220"/>
    </w:pPr>
  </w:style>
  <w:style w:type="character" w:styleId="CommentReference">
    <w:name w:val="annotation reference"/>
    <w:basedOn w:val="DefaultParagraphFont"/>
    <w:rsid w:val="003A3CD3"/>
    <w:rPr>
      <w:sz w:val="16"/>
      <w:szCs w:val="16"/>
    </w:rPr>
  </w:style>
  <w:style w:type="character" w:styleId="Hyperlink">
    <w:name w:val="Hyperlink"/>
    <w:basedOn w:val="DefaultParagraphFont"/>
    <w:uiPriority w:val="99"/>
    <w:unhideWhenUsed/>
    <w:rsid w:val="003A3CD3"/>
    <w:rPr>
      <w:color w:val="0000FF" w:themeColor="hyperlink"/>
      <w:u w:val="single"/>
    </w:rPr>
  </w:style>
  <w:style w:type="paragraph" w:styleId="CommentSubject">
    <w:name w:val="annotation subject"/>
    <w:basedOn w:val="CommentText"/>
    <w:next w:val="CommentText"/>
    <w:link w:val="CommentSubjectChar"/>
    <w:rsid w:val="0002148F"/>
    <w:rPr>
      <w:b/>
      <w:bCs/>
      <w:sz w:val="20"/>
    </w:rPr>
  </w:style>
  <w:style w:type="character" w:customStyle="1" w:styleId="CommentSubjectChar">
    <w:name w:val="Comment Subject Char"/>
    <w:basedOn w:val="CommentTextChar"/>
    <w:link w:val="CommentSubject"/>
    <w:rsid w:val="0002148F"/>
    <w:rPr>
      <w:rFonts w:ascii="Arial" w:hAnsi="Arial" w:cs="Arial"/>
      <w:b/>
      <w:bCs/>
      <w:sz w:val="18"/>
    </w:rPr>
  </w:style>
  <w:style w:type="paragraph" w:styleId="Revision">
    <w:name w:val="Revision"/>
    <w:hidden/>
    <w:uiPriority w:val="99"/>
    <w:semiHidden/>
    <w:rsid w:val="0038663E"/>
    <w:rPr>
      <w:rFonts w:ascii="Arial" w:hAnsi="Arial" w:cs="Arial"/>
      <w:sz w:val="22"/>
    </w:rPr>
  </w:style>
  <w:style w:type="character" w:customStyle="1" w:styleId="HeaderChar">
    <w:name w:val="Header Char"/>
    <w:basedOn w:val="DefaultParagraphFont"/>
    <w:link w:val="Header"/>
    <w:uiPriority w:val="99"/>
    <w:rsid w:val="002C5A9C"/>
    <w:rPr>
      <w:rFonts w:ascii="Arial" w:hAnsi="Arial" w:cs="Arial"/>
      <w:sz w:val="22"/>
    </w:rPr>
  </w:style>
  <w:style w:type="paragraph" w:customStyle="1" w:styleId="ONUME">
    <w:name w:val="ONUM E"/>
    <w:basedOn w:val="BodyText"/>
    <w:link w:val="ONUMEChar"/>
    <w:rsid w:val="004E6C86"/>
    <w:pPr>
      <w:numPr>
        <w:numId w:val="5"/>
      </w:numPr>
      <w:spacing w:after="220"/>
    </w:pPr>
    <w:rPr>
      <w:rFonts w:eastAsia="SimSun"/>
      <w:lang w:eastAsia="zh-CN"/>
    </w:rPr>
  </w:style>
  <w:style w:type="character" w:customStyle="1" w:styleId="ONUMEChar">
    <w:name w:val="ONUM E Char"/>
    <w:link w:val="ONUME"/>
    <w:locked/>
    <w:rsid w:val="004E6C86"/>
    <w:rPr>
      <w:rFonts w:ascii="Arial" w:eastAsia="SimSun" w:hAnsi="Arial" w:cs="Arial"/>
      <w:sz w:val="22"/>
      <w:lang w:eastAsia="zh-CN"/>
    </w:rPr>
  </w:style>
  <w:style w:type="paragraph" w:styleId="BodyText">
    <w:name w:val="Body Text"/>
    <w:basedOn w:val="Normal"/>
    <w:link w:val="BodyTextChar"/>
    <w:rsid w:val="004E6C86"/>
    <w:pPr>
      <w:spacing w:after="120"/>
    </w:pPr>
  </w:style>
  <w:style w:type="character" w:customStyle="1" w:styleId="BodyTextChar">
    <w:name w:val="Body Text Char"/>
    <w:basedOn w:val="DefaultParagraphFont"/>
    <w:link w:val="BodyText"/>
    <w:rsid w:val="004E6C8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B169B"/>
    <w:rPr>
      <w:rFonts w:ascii="Arial" w:eastAsia="SimSun" w:hAnsi="Arial" w:cs="Arial"/>
      <w:bCs/>
      <w:iCs/>
      <w:caps/>
      <w:sz w:val="22"/>
      <w:szCs w:val="28"/>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Char"/>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aliases w:val="Footnote Char,Char Char"/>
    <w:link w:val="FootnoteText"/>
    <w:semiHidden/>
    <w:locked/>
    <w:rsid w:val="003A3CD3"/>
    <w:rPr>
      <w:rFonts w:ascii="Arabic Typesetting" w:hAnsi="Arabic Typesetting" w:cs="Arabic Typesetting"/>
      <w:sz w:val="28"/>
      <w:szCs w:val="28"/>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3A3CD3"/>
    <w:rPr>
      <w:rFonts w:ascii="Arial" w:hAnsi="Arial" w:cs="Arial"/>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561823"/>
    <w:pPr>
      <w:keepNext/>
      <w:spacing w:line="400" w:lineRule="exact"/>
    </w:pPr>
    <w:rPr>
      <w:rFonts w:eastAsia="SimSun"/>
      <w:bCs/>
      <w:sz w:val="40"/>
      <w:szCs w:val="40"/>
      <w:lang w:eastAsia="zh-CN"/>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834E0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table" w:customStyle="1" w:styleId="TableGrid1">
    <w:name w:val="Table Grid1"/>
    <w:basedOn w:val="TableNormal"/>
    <w:next w:val="TableGrid"/>
    <w:uiPriority w:val="59"/>
    <w:rsid w:val="003A3CD3"/>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B41E6"/>
    <w:pPr>
      <w:tabs>
        <w:tab w:val="right" w:leader="dot" w:pos="9345"/>
      </w:tabs>
      <w:bidi/>
      <w:spacing w:after="200"/>
    </w:pPr>
    <w:rPr>
      <w:rFonts w:ascii="Arabic Typesetting" w:hAnsi="Arabic Typesetting" w:cs="Arabic Typesetting"/>
      <w:sz w:val="30"/>
      <w:szCs w:val="30"/>
    </w:rPr>
  </w:style>
  <w:style w:type="paragraph" w:styleId="TOC2">
    <w:name w:val="toc 2"/>
    <w:basedOn w:val="Normal"/>
    <w:next w:val="Normal"/>
    <w:autoRedefine/>
    <w:rsid w:val="00834E03"/>
    <w:pPr>
      <w:spacing w:after="100"/>
      <w:ind w:left="220"/>
    </w:pPr>
  </w:style>
  <w:style w:type="character" w:styleId="CommentReference">
    <w:name w:val="annotation reference"/>
    <w:basedOn w:val="DefaultParagraphFont"/>
    <w:rsid w:val="003A3CD3"/>
    <w:rPr>
      <w:sz w:val="16"/>
      <w:szCs w:val="16"/>
    </w:rPr>
  </w:style>
  <w:style w:type="character" w:styleId="Hyperlink">
    <w:name w:val="Hyperlink"/>
    <w:basedOn w:val="DefaultParagraphFont"/>
    <w:uiPriority w:val="99"/>
    <w:unhideWhenUsed/>
    <w:rsid w:val="003A3CD3"/>
    <w:rPr>
      <w:color w:val="0000FF" w:themeColor="hyperlink"/>
      <w:u w:val="single"/>
    </w:rPr>
  </w:style>
  <w:style w:type="paragraph" w:styleId="CommentSubject">
    <w:name w:val="annotation subject"/>
    <w:basedOn w:val="CommentText"/>
    <w:next w:val="CommentText"/>
    <w:link w:val="CommentSubjectChar"/>
    <w:rsid w:val="0002148F"/>
    <w:rPr>
      <w:b/>
      <w:bCs/>
      <w:sz w:val="20"/>
    </w:rPr>
  </w:style>
  <w:style w:type="character" w:customStyle="1" w:styleId="CommentSubjectChar">
    <w:name w:val="Comment Subject Char"/>
    <w:basedOn w:val="CommentTextChar"/>
    <w:link w:val="CommentSubject"/>
    <w:rsid w:val="0002148F"/>
    <w:rPr>
      <w:rFonts w:ascii="Arial" w:hAnsi="Arial" w:cs="Arial"/>
      <w:b/>
      <w:bCs/>
      <w:sz w:val="18"/>
    </w:rPr>
  </w:style>
  <w:style w:type="paragraph" w:styleId="Revision">
    <w:name w:val="Revision"/>
    <w:hidden/>
    <w:uiPriority w:val="99"/>
    <w:semiHidden/>
    <w:rsid w:val="0038663E"/>
    <w:rPr>
      <w:rFonts w:ascii="Arial" w:hAnsi="Arial" w:cs="Arial"/>
      <w:sz w:val="22"/>
    </w:rPr>
  </w:style>
  <w:style w:type="character" w:customStyle="1" w:styleId="HeaderChar">
    <w:name w:val="Header Char"/>
    <w:basedOn w:val="DefaultParagraphFont"/>
    <w:link w:val="Header"/>
    <w:uiPriority w:val="99"/>
    <w:rsid w:val="002C5A9C"/>
    <w:rPr>
      <w:rFonts w:ascii="Arial" w:hAnsi="Arial" w:cs="Arial"/>
      <w:sz w:val="22"/>
    </w:rPr>
  </w:style>
  <w:style w:type="paragraph" w:customStyle="1" w:styleId="ONUME">
    <w:name w:val="ONUM E"/>
    <w:basedOn w:val="BodyText"/>
    <w:link w:val="ONUMEChar"/>
    <w:rsid w:val="004E6C86"/>
    <w:pPr>
      <w:numPr>
        <w:numId w:val="5"/>
      </w:numPr>
      <w:spacing w:after="220"/>
    </w:pPr>
    <w:rPr>
      <w:rFonts w:eastAsia="SimSun"/>
      <w:lang w:eastAsia="zh-CN"/>
    </w:rPr>
  </w:style>
  <w:style w:type="character" w:customStyle="1" w:styleId="ONUMEChar">
    <w:name w:val="ONUM E Char"/>
    <w:link w:val="ONUME"/>
    <w:locked/>
    <w:rsid w:val="004E6C86"/>
    <w:rPr>
      <w:rFonts w:ascii="Arial" w:eastAsia="SimSun" w:hAnsi="Arial" w:cs="Arial"/>
      <w:sz w:val="22"/>
      <w:lang w:eastAsia="zh-CN"/>
    </w:rPr>
  </w:style>
  <w:style w:type="paragraph" w:styleId="BodyText">
    <w:name w:val="Body Text"/>
    <w:basedOn w:val="Normal"/>
    <w:link w:val="BodyTextChar"/>
    <w:rsid w:val="004E6C86"/>
    <w:pPr>
      <w:spacing w:after="120"/>
    </w:pPr>
  </w:style>
  <w:style w:type="character" w:customStyle="1" w:styleId="BodyTextChar">
    <w:name w:val="Body Text Char"/>
    <w:basedOn w:val="DefaultParagraphFont"/>
    <w:link w:val="BodyText"/>
    <w:rsid w:val="004E6C8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3A1D5-3B82-4659-A6B2-5E1F067C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WO_PBC_25_AR.dotx</Template>
  <TotalTime>785</TotalTime>
  <Pages>24</Pages>
  <Words>4967</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WO/PBC/25/5 (Arabic)</vt:lpstr>
    </vt:vector>
  </TitlesOfParts>
  <Company>World Intellectual Property Organization</Company>
  <LinksUpToDate>false</LinksUpToDate>
  <CharactersWithSpaces>32718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WO/PBC/25/5 (Arabic)</dc:title>
  <dc:creator>Ahmed Hassan</dc:creator>
  <cp:lastModifiedBy>YOUSSEF Randa</cp:lastModifiedBy>
  <cp:revision>17</cp:revision>
  <cp:lastPrinted>2016-07-11T13:15:00Z</cp:lastPrinted>
  <dcterms:created xsi:type="dcterms:W3CDTF">2016-07-07T10:51:00Z</dcterms:created>
  <dcterms:modified xsi:type="dcterms:W3CDTF">2016-07-11T13:20:00Z</dcterms:modified>
</cp:coreProperties>
</file>