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E12168" w:rsidRPr="00E12168" w:rsidTr="00552740">
        <w:tc>
          <w:tcPr>
            <w:tcW w:w="4843" w:type="dxa"/>
            <w:tcBorders>
              <w:bottom w:val="single" w:sz="4" w:space="0" w:color="auto"/>
            </w:tcBorders>
          </w:tcPr>
          <w:p w:rsidR="00E12168" w:rsidRPr="00E12168" w:rsidRDefault="00E12168" w:rsidP="00E12168">
            <w:pPr>
              <w:bidi/>
              <w:spacing w:after="0" w:line="240" w:lineRule="auto"/>
              <w:rPr>
                <w:rFonts w:ascii="Arabic Typesetting" w:eastAsia="Times New Roman" w:hAnsi="Arabic Typesetting" w:cs="Arabic Typesetting"/>
                <w:sz w:val="36"/>
                <w:szCs w:val="36"/>
                <w:rtl/>
              </w:rPr>
            </w:pPr>
            <w:bookmarkStart w:id="2" w:name="_GoBack"/>
            <w:bookmarkEnd w:id="2"/>
          </w:p>
        </w:tc>
        <w:tc>
          <w:tcPr>
            <w:tcW w:w="4223" w:type="dxa"/>
            <w:tcBorders>
              <w:bottom w:val="single" w:sz="4" w:space="0" w:color="auto"/>
            </w:tcBorders>
          </w:tcPr>
          <w:p w:rsidR="00E12168" w:rsidRPr="00E12168" w:rsidRDefault="00E12168" w:rsidP="00E12168">
            <w:pPr>
              <w:bidi/>
              <w:spacing w:after="20" w:line="240" w:lineRule="auto"/>
              <w:rPr>
                <w:rFonts w:ascii="Arabic Typesetting" w:eastAsia="Times New Roman" w:hAnsi="Arabic Typesetting" w:cs="Arabic Typesetting"/>
                <w:sz w:val="36"/>
                <w:szCs w:val="36"/>
                <w:rtl/>
              </w:rPr>
            </w:pPr>
            <w:r w:rsidRPr="00E12168">
              <w:rPr>
                <w:rFonts w:ascii="Arial" w:eastAsia="Times New Roman" w:hAnsi="Arial" w:cs="Arial"/>
                <w:noProof/>
                <w:szCs w:val="20"/>
              </w:rPr>
              <w:drawing>
                <wp:inline distT="0" distB="0" distL="0" distR="0" wp14:anchorId="1D330654" wp14:editId="4986937D">
                  <wp:extent cx="1327150" cy="1263650"/>
                  <wp:effectExtent l="0" t="0" r="6350" b="0"/>
                  <wp:docPr id="6" name="Picture 6"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E12168" w:rsidRPr="00E12168" w:rsidRDefault="00E12168" w:rsidP="00E12168">
            <w:pPr>
              <w:spacing w:after="0" w:line="240" w:lineRule="auto"/>
              <w:rPr>
                <w:rFonts w:ascii="Arial" w:eastAsia="Times New Roman" w:hAnsi="Arial" w:cs="Arial"/>
                <w:b/>
                <w:bCs/>
                <w:sz w:val="40"/>
                <w:szCs w:val="40"/>
              </w:rPr>
            </w:pPr>
            <w:r w:rsidRPr="00E12168">
              <w:rPr>
                <w:rFonts w:ascii="Arial" w:eastAsia="Times New Roman" w:hAnsi="Arial" w:cs="Arial"/>
                <w:b/>
                <w:bCs/>
                <w:sz w:val="40"/>
                <w:szCs w:val="40"/>
              </w:rPr>
              <w:t>A</w:t>
            </w:r>
          </w:p>
        </w:tc>
      </w:tr>
      <w:tr w:rsidR="00E12168" w:rsidRPr="00E12168" w:rsidTr="00552740">
        <w:trPr>
          <w:trHeight w:val="333"/>
        </w:trPr>
        <w:tc>
          <w:tcPr>
            <w:tcW w:w="9571" w:type="dxa"/>
            <w:gridSpan w:val="3"/>
            <w:tcBorders>
              <w:top w:val="single" w:sz="4" w:space="0" w:color="auto"/>
            </w:tcBorders>
            <w:vAlign w:val="bottom"/>
          </w:tcPr>
          <w:p w:rsidR="00E12168" w:rsidRPr="00E12168" w:rsidRDefault="00E12168" w:rsidP="00E12168">
            <w:pPr>
              <w:bidi/>
              <w:spacing w:after="0" w:line="240" w:lineRule="auto"/>
              <w:jc w:val="right"/>
              <w:rPr>
                <w:rFonts w:ascii="Arial Black" w:eastAsia="Times New Roman" w:hAnsi="Arial Black" w:cs="Arabic Typesetting"/>
                <w:b/>
                <w:bCs/>
                <w:sz w:val="16"/>
                <w:szCs w:val="16"/>
                <w:rtl/>
              </w:rPr>
            </w:pPr>
            <w:r w:rsidRPr="00E12168">
              <w:rPr>
                <w:rFonts w:ascii="Arial Black" w:eastAsia="Times New Roman" w:hAnsi="Arial Black" w:cs="Arabic Typesetting"/>
                <w:b/>
                <w:bCs/>
                <w:sz w:val="16"/>
                <w:szCs w:val="16"/>
              </w:rPr>
              <w:t>WO/PBC/25/20</w:t>
            </w:r>
          </w:p>
        </w:tc>
      </w:tr>
      <w:tr w:rsidR="00E12168" w:rsidRPr="00E12168" w:rsidTr="00552740">
        <w:tc>
          <w:tcPr>
            <w:tcW w:w="9571" w:type="dxa"/>
            <w:gridSpan w:val="3"/>
          </w:tcPr>
          <w:p w:rsidR="00E12168" w:rsidRPr="00E12168" w:rsidRDefault="00E12168" w:rsidP="00E12168">
            <w:pPr>
              <w:bidi/>
              <w:spacing w:after="0" w:line="240" w:lineRule="exact"/>
              <w:jc w:val="right"/>
              <w:rPr>
                <w:rFonts w:ascii="Arabic Typesetting" w:eastAsia="Times New Roman" w:hAnsi="Arabic Typesetting" w:cs="Arabic Typesetting"/>
                <w:b/>
                <w:bCs/>
                <w:sz w:val="30"/>
                <w:szCs w:val="30"/>
                <w:rtl/>
              </w:rPr>
            </w:pPr>
            <w:r w:rsidRPr="00E12168">
              <w:rPr>
                <w:rFonts w:ascii="Arabic Typesetting" w:eastAsia="Times New Roman" w:hAnsi="Arabic Typesetting" w:cs="Arabic Typesetting" w:hint="cs"/>
                <w:b/>
                <w:bCs/>
                <w:sz w:val="30"/>
                <w:szCs w:val="30"/>
                <w:rtl/>
              </w:rPr>
              <w:t>الأصل: بالإنكليزية</w:t>
            </w:r>
          </w:p>
        </w:tc>
      </w:tr>
      <w:tr w:rsidR="00E12168" w:rsidRPr="00E12168" w:rsidTr="00552740">
        <w:tc>
          <w:tcPr>
            <w:tcW w:w="9571" w:type="dxa"/>
            <w:gridSpan w:val="3"/>
          </w:tcPr>
          <w:p w:rsidR="00E12168" w:rsidRPr="00E12168" w:rsidRDefault="00E12168" w:rsidP="00E12168">
            <w:pPr>
              <w:bidi/>
              <w:spacing w:after="0" w:line="240" w:lineRule="auto"/>
              <w:jc w:val="right"/>
              <w:rPr>
                <w:rFonts w:ascii="Arabic Typesetting" w:eastAsia="Times New Roman" w:hAnsi="Arabic Typesetting" w:cs="Arabic Typesetting"/>
                <w:b/>
                <w:bCs/>
                <w:sz w:val="30"/>
                <w:szCs w:val="30"/>
                <w:rtl/>
              </w:rPr>
            </w:pPr>
            <w:r w:rsidRPr="00E12168">
              <w:rPr>
                <w:rFonts w:ascii="Arabic Typesetting" w:eastAsia="Times New Roman" w:hAnsi="Arabic Typesetting" w:cs="Arabic Typesetting" w:hint="cs"/>
                <w:b/>
                <w:bCs/>
                <w:sz w:val="30"/>
                <w:szCs w:val="30"/>
                <w:rtl/>
              </w:rPr>
              <w:t>التاريخ: 1 يوليو 2016</w:t>
            </w:r>
          </w:p>
        </w:tc>
      </w:tr>
    </w:tbl>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A9449A" w:rsidP="00E12168">
      <w:pPr>
        <w:bidi/>
        <w:spacing w:after="0" w:line="360" w:lineRule="exact"/>
        <w:ind w:right="550"/>
        <w:rPr>
          <w:rFonts w:ascii="Arial Black" w:eastAsia="Times New Roman" w:hAnsi="Arial Black" w:cs="PT Bold Heading"/>
          <w:sz w:val="34"/>
          <w:szCs w:val="34"/>
          <w:rtl/>
          <w:lang w:val="fr-CH"/>
        </w:rPr>
      </w:pPr>
      <w:r w:rsidRPr="00E12168">
        <w:rPr>
          <w:rFonts w:ascii="Arial Black" w:eastAsia="Times New Roman" w:hAnsi="Arial Black" w:cs="PT Bold Heading"/>
          <w:sz w:val="34"/>
          <w:szCs w:val="34"/>
          <w:rtl/>
          <w:lang w:val="fr-CH"/>
        </w:rPr>
        <w:t xml:space="preserve">لجنة </w:t>
      </w:r>
      <w:r w:rsidRPr="00E12168">
        <w:rPr>
          <w:rFonts w:ascii="Arial Black" w:eastAsia="Times New Roman" w:hAnsi="Arial Black" w:cs="PT Bold Heading" w:hint="cs"/>
          <w:sz w:val="34"/>
          <w:szCs w:val="34"/>
          <w:rtl/>
          <w:lang w:val="fr-CH"/>
        </w:rPr>
        <w:t>البرنامج والميزانية</w:t>
      </w:r>
    </w:p>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A9449A" w:rsidP="00E12168">
      <w:pPr>
        <w:bidi/>
        <w:spacing w:after="0" w:line="360" w:lineRule="exact"/>
        <w:rPr>
          <w:rFonts w:ascii="Cambria Math" w:eastAsia="Times New Roman" w:hAnsi="Cambria Math" w:cs="PT Bold Heading"/>
          <w:sz w:val="30"/>
          <w:szCs w:val="30"/>
          <w:rtl/>
        </w:rPr>
      </w:pPr>
      <w:r w:rsidRPr="00E12168">
        <w:rPr>
          <w:rFonts w:ascii="Cambria Math" w:eastAsia="Times New Roman" w:hAnsi="Cambria Math" w:cs="PT Bold Heading"/>
          <w:sz w:val="30"/>
          <w:szCs w:val="30"/>
          <w:rtl/>
        </w:rPr>
        <w:t xml:space="preserve">الدورة </w:t>
      </w:r>
      <w:r w:rsidR="001C506C" w:rsidRPr="00E12168">
        <w:rPr>
          <w:rFonts w:ascii="Cambria Math" w:eastAsia="Times New Roman" w:hAnsi="Cambria Math" w:cs="PT Bold Heading" w:hint="cs"/>
          <w:sz w:val="30"/>
          <w:szCs w:val="30"/>
          <w:rtl/>
        </w:rPr>
        <w:t>الخامسة</w:t>
      </w:r>
      <w:r w:rsidRPr="00E12168">
        <w:rPr>
          <w:rFonts w:ascii="Cambria Math" w:eastAsia="Times New Roman" w:hAnsi="Cambria Math" w:cs="PT Bold Heading" w:hint="cs"/>
          <w:sz w:val="30"/>
          <w:szCs w:val="30"/>
          <w:rtl/>
        </w:rPr>
        <w:t xml:space="preserve"> والعشرون</w:t>
      </w:r>
    </w:p>
    <w:p w:rsidR="00A9449A" w:rsidRPr="00E12168" w:rsidRDefault="00A9449A" w:rsidP="00E12168">
      <w:pPr>
        <w:bidi/>
        <w:spacing w:after="0" w:line="360" w:lineRule="exact"/>
        <w:rPr>
          <w:rFonts w:ascii="Arabic Typesetting" w:eastAsia="Times New Roman" w:hAnsi="Arabic Typesetting" w:cs="Arabic Typesetting"/>
          <w:b/>
          <w:bCs/>
          <w:sz w:val="36"/>
          <w:szCs w:val="36"/>
          <w:rtl/>
        </w:rPr>
      </w:pPr>
      <w:r w:rsidRPr="00E12168">
        <w:rPr>
          <w:rFonts w:ascii="Arabic Typesetting" w:eastAsia="Times New Roman" w:hAnsi="Arabic Typesetting" w:cs="Arabic Typesetting" w:hint="cs"/>
          <w:b/>
          <w:bCs/>
          <w:sz w:val="36"/>
          <w:szCs w:val="36"/>
          <w:rtl/>
        </w:rPr>
        <w:t xml:space="preserve">جنيف، من </w:t>
      </w:r>
      <w:r w:rsidR="001C506C" w:rsidRPr="00E12168">
        <w:rPr>
          <w:rFonts w:ascii="Arabic Typesetting" w:eastAsia="Times New Roman" w:hAnsi="Arabic Typesetting" w:cs="Arabic Typesetting" w:hint="cs"/>
          <w:b/>
          <w:bCs/>
          <w:sz w:val="36"/>
          <w:szCs w:val="36"/>
          <w:rtl/>
        </w:rPr>
        <w:t>29 أغسطس إلى 2 سبتمبر 2016</w:t>
      </w:r>
    </w:p>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A9449A" w:rsidP="00E12168">
      <w:pPr>
        <w:bidi/>
        <w:spacing w:after="0" w:line="360" w:lineRule="exact"/>
        <w:rPr>
          <w:rFonts w:ascii="Arabic Typesetting" w:eastAsia="Times New Roman" w:hAnsi="Arabic Typesetting" w:cs="Arabic Typesetting"/>
          <w:sz w:val="36"/>
          <w:szCs w:val="36"/>
          <w:rtl/>
        </w:rPr>
      </w:pPr>
    </w:p>
    <w:p w:rsidR="00A9449A" w:rsidRPr="00E12168" w:rsidRDefault="002C74AD" w:rsidP="00E12168">
      <w:pPr>
        <w:bidi/>
        <w:spacing w:after="0" w:line="360" w:lineRule="exact"/>
        <w:rPr>
          <w:rFonts w:ascii="Arial Black" w:eastAsia="Times New Roman" w:hAnsi="Arial Black" w:cs="PT Bold Heading"/>
          <w:sz w:val="26"/>
          <w:szCs w:val="26"/>
          <w:rtl/>
        </w:rPr>
      </w:pPr>
      <w:r w:rsidRPr="00E12168">
        <w:rPr>
          <w:rFonts w:ascii="Arial Black" w:eastAsia="Times New Roman" w:hAnsi="Arial Black" w:cs="PT Bold Heading" w:hint="cs"/>
          <w:sz w:val="26"/>
          <w:szCs w:val="26"/>
          <w:rtl/>
        </w:rPr>
        <w:t xml:space="preserve">أحدث المستجدات بشأن اقتراح </w:t>
      </w:r>
      <w:r w:rsidRPr="00E12168">
        <w:rPr>
          <w:rFonts w:ascii="Arial Black" w:eastAsia="Times New Roman" w:hAnsi="Arial Black" w:cs="PT Bold Heading"/>
          <w:sz w:val="26"/>
          <w:szCs w:val="26"/>
          <w:rtl/>
        </w:rPr>
        <w:t>التحوّط لإيرادات معاهدة التعاون بشأن البراءا</w:t>
      </w:r>
      <w:r w:rsidRPr="00E12168">
        <w:rPr>
          <w:rFonts w:ascii="Arial Black" w:eastAsia="Times New Roman" w:hAnsi="Arial Black" w:cs="PT Bold Heading" w:hint="cs"/>
          <w:sz w:val="26"/>
          <w:szCs w:val="26"/>
          <w:rtl/>
        </w:rPr>
        <w:t>ت</w:t>
      </w:r>
    </w:p>
    <w:p w:rsidR="00A9449A" w:rsidRPr="00E12168" w:rsidRDefault="007B3BDF" w:rsidP="00A9449A">
      <w:pPr>
        <w:bidi/>
        <w:spacing w:before="240" w:after="840" w:line="360" w:lineRule="exact"/>
        <w:rPr>
          <w:rFonts w:ascii="Arabic Typesetting" w:eastAsia="Times New Roman" w:hAnsi="Arabic Typesetting" w:cs="Arabic Typesetting"/>
          <w:i/>
          <w:iCs/>
          <w:sz w:val="36"/>
          <w:szCs w:val="36"/>
          <w:rtl/>
        </w:rPr>
      </w:pPr>
      <w:r w:rsidRPr="00E12168">
        <w:rPr>
          <w:rFonts w:ascii="Arabic Typesetting" w:eastAsia="Times New Roman" w:hAnsi="Arabic Typesetting" w:cs="Arabic Typesetting" w:hint="cs"/>
          <w:i/>
          <w:iCs/>
          <w:sz w:val="36"/>
          <w:szCs w:val="36"/>
          <w:rtl/>
        </w:rPr>
        <w:t xml:space="preserve">وثيقة </w:t>
      </w:r>
      <w:r w:rsidR="00A9449A" w:rsidRPr="00E12168">
        <w:rPr>
          <w:rFonts w:ascii="Arabic Typesetting" w:eastAsia="Times New Roman" w:hAnsi="Arabic Typesetting" w:cs="Arabic Typesetting" w:hint="cs"/>
          <w:i/>
          <w:iCs/>
          <w:sz w:val="36"/>
          <w:szCs w:val="36"/>
          <w:rtl/>
        </w:rPr>
        <w:t>من إعداد</w:t>
      </w:r>
      <w:r w:rsidRPr="00E12168">
        <w:rPr>
          <w:rFonts w:ascii="Arabic Typesetting" w:eastAsia="Times New Roman" w:hAnsi="Arabic Typesetting" w:cs="Arabic Typesetting" w:hint="cs"/>
          <w:i/>
          <w:iCs/>
          <w:sz w:val="36"/>
          <w:szCs w:val="36"/>
          <w:rtl/>
        </w:rPr>
        <w:t xml:space="preserve"> الأمانة</w:t>
      </w:r>
    </w:p>
    <w:p w:rsidR="00A9449A" w:rsidRDefault="00136E19" w:rsidP="00E12168">
      <w:pPr>
        <w:pStyle w:val="Heading1AR"/>
        <w:rPr>
          <w:rtl/>
        </w:rPr>
      </w:pPr>
      <w:r w:rsidRPr="006E391E">
        <w:rPr>
          <w:rFonts w:hint="cs"/>
          <w:rtl/>
        </w:rPr>
        <w:t>معلومات</w:t>
      </w:r>
      <w:r>
        <w:rPr>
          <w:rFonts w:hint="cs"/>
          <w:rtl/>
        </w:rPr>
        <w:t xml:space="preserve"> </w:t>
      </w:r>
      <w:r w:rsidRPr="00E12168">
        <w:rPr>
          <w:rFonts w:hint="cs"/>
          <w:rtl/>
        </w:rPr>
        <w:t>أساسية</w:t>
      </w:r>
    </w:p>
    <w:p w:rsidR="00145FD6" w:rsidRDefault="00136E19" w:rsidP="00B24FE6">
      <w:pPr>
        <w:pStyle w:val="NumberedParaAR"/>
        <w:tabs>
          <w:tab w:val="clear" w:pos="567"/>
        </w:tabs>
      </w:pPr>
      <w:r>
        <w:rPr>
          <w:rFonts w:hint="cs"/>
          <w:rtl/>
        </w:rPr>
        <w:t>وجَّه المكتب الدولي التعميم</w:t>
      </w:r>
      <w:r w:rsidR="004761E5">
        <w:rPr>
          <w:rFonts w:hint="cs"/>
          <w:rtl/>
        </w:rPr>
        <w:t xml:space="preserve"> رقم</w:t>
      </w:r>
      <w:r>
        <w:rPr>
          <w:rFonts w:hint="cs"/>
          <w:rtl/>
        </w:rPr>
        <w:t xml:space="preserve"> </w:t>
      </w:r>
      <w:r>
        <w:t>C.PCT 1440</w:t>
      </w:r>
      <w:r>
        <w:rPr>
          <w:rFonts w:hint="cs"/>
          <w:rtl/>
        </w:rPr>
        <w:t xml:space="preserve"> "</w:t>
      </w:r>
      <w:r w:rsidRPr="00136E19">
        <w:rPr>
          <w:rtl/>
        </w:rPr>
        <w:t>الإيرادات المتأتية من رسوم معاهدة التعاون بشأن البراءات: تدابير ممكنة من أجل الحد من التعرّض لتغيرات أسعار الصرف</w:t>
      </w:r>
      <w:r>
        <w:rPr>
          <w:rFonts w:hint="cs"/>
          <w:rtl/>
        </w:rPr>
        <w:t>" إلى جميع أصحاب المصلحة المعنيين بمعاهدة التعاون بشأن البراءات</w:t>
      </w:r>
      <w:r w:rsidR="002C74AD">
        <w:rPr>
          <w:rFonts w:hint="cs"/>
          <w:rtl/>
        </w:rPr>
        <w:t xml:space="preserve"> (معاهدة البراءات) في يناير 2015، وحدد فيه مختلف التدابير الممكن اتخاذها </w:t>
      </w:r>
      <w:r w:rsidR="002C74AD" w:rsidRPr="002C74AD">
        <w:rPr>
          <w:rtl/>
        </w:rPr>
        <w:t>للحد من خطر تعرّض الإيرادات المتأتي</w:t>
      </w:r>
      <w:r w:rsidR="004761E5">
        <w:rPr>
          <w:rtl/>
        </w:rPr>
        <w:t xml:space="preserve">ة من رسوم معاهدة البراءات </w:t>
      </w:r>
      <w:r w:rsidR="00B24FE6">
        <w:rPr>
          <w:rFonts w:hint="cs"/>
          <w:rtl/>
        </w:rPr>
        <w:t>لتقلب</w:t>
      </w:r>
      <w:r w:rsidR="002C74AD" w:rsidRPr="002C74AD">
        <w:rPr>
          <w:rtl/>
        </w:rPr>
        <w:t xml:space="preserve"> أسعار الصرف</w:t>
      </w:r>
      <w:r w:rsidR="002C74AD">
        <w:rPr>
          <w:rFonts w:hint="cs"/>
          <w:rtl/>
        </w:rPr>
        <w:t xml:space="preserve">. وشملت هذه التدابير الشروع في التحوط </w:t>
      </w:r>
      <w:r w:rsidR="005500F8">
        <w:rPr>
          <w:rFonts w:hint="cs"/>
          <w:rtl/>
        </w:rPr>
        <w:t>لتلك الإيرادات</w:t>
      </w:r>
      <w:r w:rsidR="002C74AD">
        <w:rPr>
          <w:rFonts w:hint="cs"/>
          <w:rtl/>
        </w:rPr>
        <w:t xml:space="preserve"> بعملات محددة استناداً إلى توصية المكتب الاستشاري المستقل </w:t>
      </w:r>
      <w:r w:rsidR="002C74AD">
        <w:t>FTI Treasury</w:t>
      </w:r>
      <w:r w:rsidR="002C74AD">
        <w:rPr>
          <w:rFonts w:hint="cs"/>
          <w:rtl/>
        </w:rPr>
        <w:t xml:space="preserve"> </w:t>
      </w:r>
      <w:r w:rsidR="004761E5">
        <w:rPr>
          <w:rFonts w:hint="cs"/>
          <w:rtl/>
        </w:rPr>
        <w:t xml:space="preserve">الواقع </w:t>
      </w:r>
      <w:r w:rsidR="002C74AD">
        <w:rPr>
          <w:rFonts w:hint="cs"/>
          <w:rtl/>
        </w:rPr>
        <w:t>في دبلن بآيرلندا.</w:t>
      </w:r>
    </w:p>
    <w:p w:rsidR="00632A94" w:rsidRDefault="00F00AFB" w:rsidP="00FA05D2">
      <w:pPr>
        <w:pStyle w:val="NumberedParaAR"/>
        <w:tabs>
          <w:tab w:val="clear" w:pos="567"/>
        </w:tabs>
      </w:pPr>
      <w:r>
        <w:rPr>
          <w:rFonts w:hint="cs"/>
          <w:rtl/>
        </w:rPr>
        <w:t>وتنص استراتيجية التحوط التي اقترحها</w:t>
      </w:r>
      <w:r w:rsidR="00632A94">
        <w:rPr>
          <w:rFonts w:hint="cs"/>
          <w:rtl/>
        </w:rPr>
        <w:t xml:space="preserve"> المكتب الاستشاري </w:t>
      </w:r>
      <w:r>
        <w:rPr>
          <w:rFonts w:hint="cs"/>
          <w:rtl/>
        </w:rPr>
        <w:t xml:space="preserve">على </w:t>
      </w:r>
      <w:r w:rsidR="00632A94">
        <w:rPr>
          <w:rFonts w:hint="cs"/>
          <w:rtl/>
        </w:rPr>
        <w:t xml:space="preserve">تحديد رسوم إيداع معادلة </w:t>
      </w:r>
      <w:r w:rsidR="00627A7A">
        <w:rPr>
          <w:rFonts w:hint="cs"/>
          <w:rtl/>
        </w:rPr>
        <w:t>بالدولار الأمريكي</w:t>
      </w:r>
      <w:r w:rsidR="00632A94">
        <w:rPr>
          <w:rFonts w:hint="cs"/>
          <w:rtl/>
        </w:rPr>
        <w:t xml:space="preserve"> واليورو </w:t>
      </w:r>
      <w:r w:rsidR="00627A7A">
        <w:rPr>
          <w:rFonts w:hint="cs"/>
          <w:rtl/>
        </w:rPr>
        <w:t>والين الياباني</w:t>
      </w:r>
      <w:r w:rsidR="00632A94">
        <w:rPr>
          <w:rFonts w:hint="cs"/>
          <w:rtl/>
        </w:rPr>
        <w:t xml:space="preserve"> في شهر أكتوبر من كل سنة </w:t>
      </w:r>
      <w:r w:rsidR="004761E5">
        <w:rPr>
          <w:rFonts w:hint="cs"/>
          <w:rtl/>
        </w:rPr>
        <w:t>وتطبيقها</w:t>
      </w:r>
      <w:r>
        <w:rPr>
          <w:rFonts w:hint="cs"/>
          <w:rtl/>
        </w:rPr>
        <w:t xml:space="preserve"> </w:t>
      </w:r>
      <w:r w:rsidR="004761E5">
        <w:rPr>
          <w:rFonts w:hint="cs"/>
          <w:rtl/>
        </w:rPr>
        <w:t xml:space="preserve">من </w:t>
      </w:r>
      <w:r>
        <w:rPr>
          <w:rFonts w:hint="cs"/>
          <w:rtl/>
        </w:rPr>
        <w:t xml:space="preserve">1 يناير </w:t>
      </w:r>
      <w:r w:rsidR="004761E5">
        <w:rPr>
          <w:rFonts w:hint="cs"/>
          <w:rtl/>
        </w:rPr>
        <w:t>إلى 31 ديسمبر من السنة التالية</w:t>
      </w:r>
      <w:r>
        <w:rPr>
          <w:rFonts w:hint="cs"/>
          <w:rtl/>
        </w:rPr>
        <w:t>. وتحد</w:t>
      </w:r>
      <w:r w:rsidR="004761E5">
        <w:rPr>
          <w:rFonts w:hint="cs"/>
          <w:rtl/>
        </w:rPr>
        <w:t>َّ</w:t>
      </w:r>
      <w:r>
        <w:rPr>
          <w:rFonts w:hint="cs"/>
          <w:rtl/>
        </w:rPr>
        <w:t xml:space="preserve">د هذه الرسوم وفقاً لنسبة </w:t>
      </w:r>
      <w:r w:rsidR="00CA4C8E">
        <w:rPr>
          <w:rFonts w:hint="cs"/>
          <w:rtl/>
        </w:rPr>
        <w:t>ال</w:t>
      </w:r>
      <w:r>
        <w:rPr>
          <w:rFonts w:hint="cs"/>
          <w:rtl/>
        </w:rPr>
        <w:t xml:space="preserve">تحوط </w:t>
      </w:r>
      <w:r w:rsidR="00CA4C8E">
        <w:rPr>
          <w:rFonts w:hint="cs"/>
          <w:rtl/>
        </w:rPr>
        <w:t>ال</w:t>
      </w:r>
      <w:r>
        <w:rPr>
          <w:rFonts w:hint="cs"/>
          <w:rtl/>
        </w:rPr>
        <w:t xml:space="preserve">مختلطة </w:t>
      </w:r>
      <w:r w:rsidR="00CA4C8E">
        <w:rPr>
          <w:rFonts w:hint="cs"/>
          <w:rtl/>
        </w:rPr>
        <w:t>المنصوص عليها</w:t>
      </w:r>
      <w:r>
        <w:rPr>
          <w:rFonts w:hint="cs"/>
          <w:rtl/>
        </w:rPr>
        <w:t xml:space="preserve"> </w:t>
      </w:r>
      <w:r w:rsidR="00CA4C8E">
        <w:rPr>
          <w:rFonts w:hint="cs"/>
          <w:rtl/>
        </w:rPr>
        <w:t>في ال</w:t>
      </w:r>
      <w:r>
        <w:rPr>
          <w:rFonts w:hint="cs"/>
          <w:rtl/>
        </w:rPr>
        <w:t xml:space="preserve">عقود </w:t>
      </w:r>
      <w:r w:rsidR="00CA4C8E">
        <w:rPr>
          <w:rFonts w:hint="cs"/>
          <w:rtl/>
        </w:rPr>
        <w:t>ال</w:t>
      </w:r>
      <w:r>
        <w:rPr>
          <w:rFonts w:hint="cs"/>
          <w:rtl/>
        </w:rPr>
        <w:t xml:space="preserve">مبرمة مع مؤسسات مالية </w:t>
      </w:r>
      <w:r w:rsidR="00DC36F0">
        <w:rPr>
          <w:rFonts w:hint="cs"/>
          <w:rtl/>
        </w:rPr>
        <w:t>لتحويل</w:t>
      </w:r>
      <w:r>
        <w:rPr>
          <w:rFonts w:hint="cs"/>
          <w:rtl/>
        </w:rPr>
        <w:t xml:space="preserve"> فائض </w:t>
      </w:r>
      <w:r w:rsidR="00E436AE">
        <w:rPr>
          <w:rFonts w:hint="cs"/>
          <w:rtl/>
        </w:rPr>
        <w:t>السيولة</w:t>
      </w:r>
      <w:r>
        <w:rPr>
          <w:rFonts w:hint="cs"/>
          <w:rtl/>
        </w:rPr>
        <w:t xml:space="preserve"> ب</w:t>
      </w:r>
      <w:r w:rsidR="00DC36F0">
        <w:rPr>
          <w:rFonts w:hint="cs"/>
          <w:rtl/>
        </w:rPr>
        <w:t>تلك</w:t>
      </w:r>
      <w:r>
        <w:rPr>
          <w:rFonts w:hint="cs"/>
          <w:rtl/>
        </w:rPr>
        <w:t xml:space="preserve"> العملات </w:t>
      </w:r>
      <w:r w:rsidR="00DC36F0">
        <w:rPr>
          <w:rFonts w:hint="cs"/>
          <w:rtl/>
        </w:rPr>
        <w:t>إلى</w:t>
      </w:r>
      <w:r>
        <w:rPr>
          <w:rFonts w:hint="cs"/>
          <w:rtl/>
        </w:rPr>
        <w:t xml:space="preserve"> فرنكات سويسرية. ولما كانت مكاتب تسلّم الطلبات </w:t>
      </w:r>
      <w:r w:rsidR="009B1479">
        <w:rPr>
          <w:rFonts w:hint="cs"/>
          <w:rtl/>
        </w:rPr>
        <w:t>تحوِّ</w:t>
      </w:r>
      <w:r w:rsidR="00E436AE">
        <w:rPr>
          <w:rFonts w:hint="cs"/>
          <w:rtl/>
        </w:rPr>
        <w:t>ل حصيلتها</w:t>
      </w:r>
      <w:r>
        <w:rPr>
          <w:rFonts w:hint="cs"/>
          <w:rtl/>
        </w:rPr>
        <w:t xml:space="preserve"> إلى المكتب الدولي شهرياً، </w:t>
      </w:r>
      <w:r w:rsidR="00FA05D2">
        <w:rPr>
          <w:rFonts w:hint="cs"/>
          <w:rtl/>
        </w:rPr>
        <w:t>فإن</w:t>
      </w:r>
      <w:r>
        <w:rPr>
          <w:rFonts w:hint="cs"/>
          <w:rtl/>
        </w:rPr>
        <w:t xml:space="preserve"> المكتب الدولي </w:t>
      </w:r>
      <w:r w:rsidR="00FA05D2">
        <w:rPr>
          <w:rFonts w:hint="cs"/>
          <w:rtl/>
        </w:rPr>
        <w:t xml:space="preserve">سيبرم </w:t>
      </w:r>
      <w:r>
        <w:rPr>
          <w:rFonts w:hint="cs"/>
          <w:rtl/>
        </w:rPr>
        <w:t xml:space="preserve">عقوداً شهرية لشراء فرنكات سويسرية </w:t>
      </w:r>
      <w:r w:rsidR="005E56F8">
        <w:rPr>
          <w:rFonts w:hint="cs"/>
          <w:rtl/>
        </w:rPr>
        <w:t>آجلاً</w:t>
      </w:r>
      <w:r w:rsidR="00E436AE">
        <w:rPr>
          <w:rFonts w:hint="cs"/>
          <w:rtl/>
        </w:rPr>
        <w:t>،</w:t>
      </w:r>
      <w:r>
        <w:rPr>
          <w:rFonts w:hint="cs"/>
          <w:rtl/>
        </w:rPr>
        <w:t xml:space="preserve"> أي </w:t>
      </w:r>
      <w:r w:rsidR="00E436AE">
        <w:rPr>
          <w:rFonts w:hint="cs"/>
          <w:rtl/>
        </w:rPr>
        <w:t>بأسعار</w:t>
      </w:r>
      <w:r>
        <w:rPr>
          <w:rFonts w:hint="cs"/>
          <w:rtl/>
        </w:rPr>
        <w:t xml:space="preserve"> محددة مسبقاً</w:t>
      </w:r>
      <w:r w:rsidR="00E436AE">
        <w:rPr>
          <w:rFonts w:hint="cs"/>
          <w:rtl/>
        </w:rPr>
        <w:t>،</w:t>
      </w:r>
      <w:r>
        <w:rPr>
          <w:rFonts w:hint="cs"/>
          <w:rtl/>
        </w:rPr>
        <w:t xml:space="preserve"> مع ما لا يقل عن مصرفين </w:t>
      </w:r>
      <w:r w:rsidR="005B1E91">
        <w:rPr>
          <w:rFonts w:hint="cs"/>
          <w:rtl/>
        </w:rPr>
        <w:t>ل</w:t>
      </w:r>
      <w:r>
        <w:rPr>
          <w:rFonts w:hint="cs"/>
          <w:rtl/>
        </w:rPr>
        <w:t xml:space="preserve">كل عملة. وستعتمد المبالغ الشهرية </w:t>
      </w:r>
      <w:r w:rsidR="00BA7BB8">
        <w:rPr>
          <w:rFonts w:hint="cs"/>
          <w:rtl/>
        </w:rPr>
        <w:t>المباعة</w:t>
      </w:r>
      <w:r>
        <w:rPr>
          <w:rFonts w:hint="cs"/>
          <w:rtl/>
        </w:rPr>
        <w:t xml:space="preserve"> بكل عملة على </w:t>
      </w:r>
      <w:r w:rsidR="005E56F8">
        <w:rPr>
          <w:rFonts w:hint="cs"/>
          <w:rtl/>
        </w:rPr>
        <w:t>تقدير</w:t>
      </w:r>
      <w:r>
        <w:rPr>
          <w:rFonts w:hint="cs"/>
          <w:rtl/>
        </w:rPr>
        <w:t xml:space="preserve"> المكتب الدولي </w:t>
      </w:r>
      <w:r w:rsidR="005E56F8">
        <w:rPr>
          <w:rFonts w:hint="cs"/>
          <w:rtl/>
        </w:rPr>
        <w:t>للإيرادات</w:t>
      </w:r>
      <w:r>
        <w:rPr>
          <w:rFonts w:hint="cs"/>
          <w:rtl/>
        </w:rPr>
        <w:t xml:space="preserve"> المتأتية من رسوم معاهدة البراءات. وسي</w:t>
      </w:r>
      <w:r w:rsidR="005E56F8">
        <w:rPr>
          <w:rFonts w:hint="cs"/>
          <w:rtl/>
        </w:rPr>
        <w:t>ُ</w:t>
      </w:r>
      <w:r>
        <w:rPr>
          <w:rFonts w:hint="cs"/>
          <w:rtl/>
        </w:rPr>
        <w:t xml:space="preserve">خصم </w:t>
      </w:r>
      <w:r w:rsidR="005E56F8">
        <w:rPr>
          <w:rFonts w:hint="cs"/>
          <w:rtl/>
        </w:rPr>
        <w:t xml:space="preserve">منها </w:t>
      </w:r>
      <w:r>
        <w:rPr>
          <w:rFonts w:hint="cs"/>
          <w:rtl/>
        </w:rPr>
        <w:t xml:space="preserve">أية </w:t>
      </w:r>
      <w:r w:rsidR="005E56F8">
        <w:rPr>
          <w:rFonts w:hint="cs"/>
          <w:rtl/>
        </w:rPr>
        <w:t>مستحقات</w:t>
      </w:r>
      <w:r>
        <w:rPr>
          <w:rFonts w:hint="cs"/>
          <w:rtl/>
        </w:rPr>
        <w:t xml:space="preserve"> على المكتب الدولي بأي من العملات الثلاث </w:t>
      </w:r>
      <w:r w:rsidR="00BA7BB8">
        <w:rPr>
          <w:rFonts w:hint="cs"/>
          <w:rtl/>
        </w:rPr>
        <w:t>لأن</w:t>
      </w:r>
      <w:r w:rsidR="005E56F8">
        <w:rPr>
          <w:rFonts w:hint="cs"/>
          <w:rtl/>
        </w:rPr>
        <w:t xml:space="preserve"> شراء العقود الآجلة للفرنك السويسري</w:t>
      </w:r>
      <w:r>
        <w:rPr>
          <w:rFonts w:hint="cs"/>
          <w:rtl/>
        </w:rPr>
        <w:t xml:space="preserve"> </w:t>
      </w:r>
      <w:r w:rsidR="00BA7BB8">
        <w:rPr>
          <w:rFonts w:hint="cs"/>
          <w:rtl/>
        </w:rPr>
        <w:t>سيقتصر على</w:t>
      </w:r>
      <w:r w:rsidR="005E56F8">
        <w:rPr>
          <w:rFonts w:hint="cs"/>
          <w:rtl/>
        </w:rPr>
        <w:t xml:space="preserve"> </w:t>
      </w:r>
      <w:r>
        <w:rPr>
          <w:rFonts w:hint="cs"/>
          <w:rtl/>
        </w:rPr>
        <w:t>صافي الإيرادات (أي</w:t>
      </w:r>
      <w:r w:rsidR="005E56F8">
        <w:rPr>
          <w:rFonts w:hint="eastAsia"/>
          <w:rtl/>
        </w:rPr>
        <w:t> </w:t>
      </w:r>
      <w:r>
        <w:rPr>
          <w:rFonts w:hint="cs"/>
          <w:rtl/>
        </w:rPr>
        <w:t>بعد</w:t>
      </w:r>
      <w:r w:rsidR="005E56F8">
        <w:rPr>
          <w:rFonts w:hint="eastAsia"/>
          <w:rtl/>
        </w:rPr>
        <w:t> </w:t>
      </w:r>
      <w:r>
        <w:rPr>
          <w:rFonts w:hint="cs"/>
          <w:rtl/>
        </w:rPr>
        <w:t>خصم المدفوعات).</w:t>
      </w:r>
    </w:p>
    <w:p w:rsidR="00F00AFB" w:rsidRDefault="00F00AFB" w:rsidP="00B24FE6">
      <w:pPr>
        <w:pStyle w:val="NumberedParaAR"/>
        <w:keepLines/>
        <w:tabs>
          <w:tab w:val="clear" w:pos="567"/>
        </w:tabs>
      </w:pPr>
      <w:r>
        <w:rPr>
          <w:rFonts w:hint="cs"/>
          <w:rtl/>
        </w:rPr>
        <w:lastRenderedPageBreak/>
        <w:t>وستحد</w:t>
      </w:r>
      <w:r w:rsidR="00BA7BB8">
        <w:rPr>
          <w:rFonts w:hint="cs"/>
          <w:rtl/>
        </w:rPr>
        <w:t>َّ</w:t>
      </w:r>
      <w:r>
        <w:rPr>
          <w:rFonts w:hint="cs"/>
          <w:rtl/>
        </w:rPr>
        <w:t xml:space="preserve">د </w:t>
      </w:r>
      <w:r w:rsidR="00BA7BB8">
        <w:rPr>
          <w:rFonts w:hint="cs"/>
          <w:rtl/>
        </w:rPr>
        <w:t>رسوم الإيداع المعادلة</w:t>
      </w:r>
      <w:r>
        <w:rPr>
          <w:rFonts w:hint="cs"/>
          <w:rtl/>
        </w:rPr>
        <w:t xml:space="preserve"> بالعملات غير</w:t>
      </w:r>
      <w:r w:rsidR="00BA7BB8">
        <w:rPr>
          <w:rFonts w:hint="cs"/>
          <w:rtl/>
        </w:rPr>
        <w:t xml:space="preserve"> </w:t>
      </w:r>
      <w:r>
        <w:rPr>
          <w:rFonts w:hint="cs"/>
          <w:rtl/>
        </w:rPr>
        <w:t xml:space="preserve">المشمولة باستراتيجية التحوط </w:t>
      </w:r>
      <w:r w:rsidR="00BA7BB8">
        <w:rPr>
          <w:rFonts w:hint="cs"/>
          <w:rtl/>
        </w:rPr>
        <w:t>وفقاً لسعر</w:t>
      </w:r>
      <w:r>
        <w:rPr>
          <w:rFonts w:hint="cs"/>
          <w:rtl/>
        </w:rPr>
        <w:t xml:space="preserve"> الصرف</w:t>
      </w:r>
      <w:r w:rsidR="00BA7BB8">
        <w:rPr>
          <w:rFonts w:hint="cs"/>
          <w:rtl/>
        </w:rPr>
        <w:t xml:space="preserve"> المحدد</w:t>
      </w:r>
      <w:r>
        <w:rPr>
          <w:rFonts w:hint="cs"/>
          <w:rtl/>
        </w:rPr>
        <w:t xml:space="preserve"> في 1</w:t>
      </w:r>
      <w:r w:rsidR="00BA7BB8">
        <w:rPr>
          <w:rFonts w:hint="eastAsia"/>
          <w:rtl/>
        </w:rPr>
        <w:t> </w:t>
      </w:r>
      <w:r>
        <w:rPr>
          <w:rFonts w:hint="cs"/>
          <w:rtl/>
        </w:rPr>
        <w:t xml:space="preserve">أكتوبر من العام السابق. وستظل </w:t>
      </w:r>
      <w:r w:rsidR="00BA7BB8">
        <w:rPr>
          <w:rFonts w:hint="cs"/>
          <w:rtl/>
        </w:rPr>
        <w:t>تلك</w:t>
      </w:r>
      <w:r>
        <w:rPr>
          <w:rFonts w:hint="cs"/>
          <w:rtl/>
        </w:rPr>
        <w:t xml:space="preserve"> الرسوم ثابتة طوال </w:t>
      </w:r>
      <w:r w:rsidR="00BA7BB8">
        <w:rPr>
          <w:rFonts w:hint="cs"/>
          <w:rtl/>
        </w:rPr>
        <w:t>السنة، وسيتوقف العمل بآلية تسوية</w:t>
      </w:r>
      <w:r>
        <w:rPr>
          <w:rFonts w:hint="cs"/>
          <w:rtl/>
        </w:rPr>
        <w:t xml:space="preserve"> </w:t>
      </w:r>
      <w:r w:rsidR="00BA7BB8">
        <w:rPr>
          <w:rFonts w:hint="cs"/>
          <w:rtl/>
        </w:rPr>
        <w:t>الرسوم</w:t>
      </w:r>
      <w:r w:rsidR="00B24FE6">
        <w:rPr>
          <w:rFonts w:hint="cs"/>
          <w:rtl/>
        </w:rPr>
        <w:t xml:space="preserve"> </w:t>
      </w:r>
      <w:r>
        <w:rPr>
          <w:rFonts w:hint="cs"/>
          <w:rtl/>
        </w:rPr>
        <w:t>المعادلة</w:t>
      </w:r>
      <w:r w:rsidR="00A91233">
        <w:rPr>
          <w:rFonts w:hint="cs"/>
          <w:rtl/>
        </w:rPr>
        <w:t xml:space="preserve"> لإيداع الطلبات بناء على معاهدة البراءات (آلية تسوية الرسوم المعادلة)</w:t>
      </w:r>
      <w:r>
        <w:rPr>
          <w:rFonts w:hint="cs"/>
          <w:rtl/>
        </w:rPr>
        <w:t xml:space="preserve">. </w:t>
      </w:r>
      <w:r w:rsidR="004B38C8">
        <w:rPr>
          <w:rFonts w:hint="cs"/>
          <w:rtl/>
        </w:rPr>
        <w:t>و</w:t>
      </w:r>
      <w:r w:rsidR="00BA7BB8">
        <w:rPr>
          <w:rFonts w:hint="cs"/>
          <w:rtl/>
        </w:rPr>
        <w:t>من هذا المنطلق،</w:t>
      </w:r>
      <w:r w:rsidR="004B38C8">
        <w:rPr>
          <w:rFonts w:hint="cs"/>
          <w:rtl/>
        </w:rPr>
        <w:t xml:space="preserve"> </w:t>
      </w:r>
      <w:r w:rsidR="00BA7BB8">
        <w:rPr>
          <w:rFonts w:hint="cs"/>
          <w:rtl/>
        </w:rPr>
        <w:t>فإ</w:t>
      </w:r>
      <w:r w:rsidR="004B38C8">
        <w:rPr>
          <w:rFonts w:hint="cs"/>
          <w:rtl/>
        </w:rPr>
        <w:t xml:space="preserve">ن الحماية من مخاطر </w:t>
      </w:r>
      <w:r w:rsidR="00B24FE6">
        <w:rPr>
          <w:rFonts w:hint="cs"/>
          <w:rtl/>
        </w:rPr>
        <w:t>تقلب</w:t>
      </w:r>
      <w:r w:rsidR="004B38C8">
        <w:rPr>
          <w:rFonts w:hint="cs"/>
          <w:rtl/>
        </w:rPr>
        <w:t xml:space="preserve"> </w:t>
      </w:r>
      <w:r w:rsidR="00FA05D2">
        <w:rPr>
          <w:rFonts w:hint="cs"/>
          <w:rtl/>
        </w:rPr>
        <w:t>أ</w:t>
      </w:r>
      <w:r w:rsidR="004B38C8">
        <w:rPr>
          <w:rFonts w:hint="cs"/>
          <w:rtl/>
        </w:rPr>
        <w:t>سع</w:t>
      </w:r>
      <w:r w:rsidR="00FA05D2">
        <w:rPr>
          <w:rFonts w:hint="cs"/>
          <w:rtl/>
        </w:rPr>
        <w:t>ا</w:t>
      </w:r>
      <w:r w:rsidR="004B38C8">
        <w:rPr>
          <w:rFonts w:hint="cs"/>
          <w:rtl/>
        </w:rPr>
        <w:t xml:space="preserve">ر الصرف لن تشمل سوى </w:t>
      </w:r>
      <w:r w:rsidR="00BA7BB8">
        <w:rPr>
          <w:rFonts w:hint="cs"/>
          <w:rtl/>
        </w:rPr>
        <w:t>صافي الإيرادات</w:t>
      </w:r>
      <w:r w:rsidR="004B38C8">
        <w:rPr>
          <w:rFonts w:hint="cs"/>
          <w:rtl/>
        </w:rPr>
        <w:t xml:space="preserve"> المحص</w:t>
      </w:r>
      <w:r w:rsidR="005B1E91">
        <w:rPr>
          <w:rFonts w:hint="cs"/>
          <w:rtl/>
        </w:rPr>
        <w:t>َّ</w:t>
      </w:r>
      <w:r w:rsidR="004B38C8">
        <w:rPr>
          <w:rFonts w:hint="cs"/>
          <w:rtl/>
        </w:rPr>
        <w:t xml:space="preserve">لة </w:t>
      </w:r>
      <w:r w:rsidR="00BA7BB8">
        <w:rPr>
          <w:rFonts w:hint="cs"/>
          <w:rtl/>
        </w:rPr>
        <w:t>ب</w:t>
      </w:r>
      <w:r w:rsidR="004B38C8">
        <w:rPr>
          <w:rFonts w:hint="cs"/>
          <w:rtl/>
        </w:rPr>
        <w:t xml:space="preserve">العملات المشمولة بعقود شراء آجلة. </w:t>
      </w:r>
      <w:r w:rsidR="00BA7BB8">
        <w:rPr>
          <w:rFonts w:hint="cs"/>
          <w:rtl/>
        </w:rPr>
        <w:t>ويعني ذلك أنه</w:t>
      </w:r>
      <w:r w:rsidR="004B38C8">
        <w:rPr>
          <w:rFonts w:hint="cs"/>
          <w:rtl/>
        </w:rPr>
        <w:t xml:space="preserve"> كلما انخفضت نسبة التحوط، ارتفع احتمال انخفاض الإيرادات </w:t>
      </w:r>
      <w:r w:rsidR="00BA7BB8">
        <w:rPr>
          <w:rFonts w:hint="cs"/>
          <w:rtl/>
        </w:rPr>
        <w:t>المتوقعة</w:t>
      </w:r>
      <w:r w:rsidR="004B38C8">
        <w:rPr>
          <w:rFonts w:hint="cs"/>
          <w:rtl/>
        </w:rPr>
        <w:t xml:space="preserve"> بسبب تغير سعر </w:t>
      </w:r>
      <w:r w:rsidR="00BA7BB8">
        <w:rPr>
          <w:rFonts w:hint="cs"/>
          <w:rtl/>
        </w:rPr>
        <w:t>ال</w:t>
      </w:r>
      <w:r w:rsidR="004B38C8">
        <w:rPr>
          <w:rFonts w:hint="cs"/>
          <w:rtl/>
        </w:rPr>
        <w:t xml:space="preserve">عملات غير </w:t>
      </w:r>
      <w:r w:rsidR="00BA7BB8">
        <w:rPr>
          <w:rFonts w:hint="cs"/>
          <w:rtl/>
        </w:rPr>
        <w:t>ال</w:t>
      </w:r>
      <w:r w:rsidR="004B38C8">
        <w:rPr>
          <w:rFonts w:hint="cs"/>
          <w:rtl/>
        </w:rPr>
        <w:t>مشمولة بعقود</w:t>
      </w:r>
      <w:r w:rsidR="00BA7BB8">
        <w:rPr>
          <w:rFonts w:hint="cs"/>
          <w:rtl/>
        </w:rPr>
        <w:t xml:space="preserve"> </w:t>
      </w:r>
      <w:r w:rsidR="004B38C8">
        <w:rPr>
          <w:rFonts w:hint="cs"/>
          <w:rtl/>
        </w:rPr>
        <w:t>شراء آجلة.</w:t>
      </w:r>
    </w:p>
    <w:p w:rsidR="004B38C8" w:rsidRDefault="004B38C8" w:rsidP="009B3631">
      <w:pPr>
        <w:pStyle w:val="NumberedParaAR"/>
        <w:tabs>
          <w:tab w:val="clear" w:pos="567"/>
        </w:tabs>
      </w:pPr>
      <w:r>
        <w:rPr>
          <w:rFonts w:hint="cs"/>
          <w:rtl/>
        </w:rPr>
        <w:t xml:space="preserve">وقدِّم </w:t>
      </w:r>
      <w:r w:rsidRPr="004B38C8">
        <w:rPr>
          <w:rtl/>
        </w:rPr>
        <w:t xml:space="preserve">اقتراح للشروع في التحوّط </w:t>
      </w:r>
      <w:r>
        <w:rPr>
          <w:rFonts w:hint="cs"/>
          <w:rtl/>
        </w:rPr>
        <w:t>ل</w:t>
      </w:r>
      <w:r w:rsidRPr="004B38C8">
        <w:rPr>
          <w:rtl/>
        </w:rPr>
        <w:t>رسوم الإيداع الدولي لمجابهة الخطر الناجم عن المعاملات التي تُجرى بال</w:t>
      </w:r>
      <w:r w:rsidR="0014429C">
        <w:rPr>
          <w:rFonts w:hint="cs"/>
          <w:rtl/>
        </w:rPr>
        <w:t>دولار الأمريكي واليورو</w:t>
      </w:r>
      <w:r w:rsidRPr="004B38C8">
        <w:rPr>
          <w:rtl/>
        </w:rPr>
        <w:t xml:space="preserve"> و</w:t>
      </w:r>
      <w:r>
        <w:rPr>
          <w:rtl/>
        </w:rPr>
        <w:t>الين</w:t>
      </w:r>
      <w:r w:rsidR="00A75171">
        <w:rPr>
          <w:rFonts w:hint="cs"/>
          <w:rtl/>
        </w:rPr>
        <w:t> </w:t>
      </w:r>
      <w:r>
        <w:rPr>
          <w:rtl/>
        </w:rPr>
        <w:t>الياباني</w:t>
      </w:r>
      <w:r>
        <w:rPr>
          <w:rFonts w:hint="cs"/>
          <w:rtl/>
        </w:rPr>
        <w:t xml:space="preserve"> إلى الفريق العامل لمعاهدة التعاون بشأن البراءات</w:t>
      </w:r>
      <w:r w:rsidR="00AF57FF">
        <w:rPr>
          <w:rFonts w:hint="cs"/>
          <w:rtl/>
        </w:rPr>
        <w:t xml:space="preserve"> (الفريق العامل)</w:t>
      </w:r>
      <w:r>
        <w:rPr>
          <w:rFonts w:hint="cs"/>
          <w:rtl/>
        </w:rPr>
        <w:t xml:space="preserve"> في دورته الثامنة المعقودة في مايو 2015 (انظر</w:t>
      </w:r>
      <w:r>
        <w:rPr>
          <w:rFonts w:hint="eastAsia"/>
          <w:rtl/>
        </w:rPr>
        <w:t> </w:t>
      </w:r>
      <w:r>
        <w:rPr>
          <w:rFonts w:hint="cs"/>
          <w:rtl/>
        </w:rPr>
        <w:t xml:space="preserve">الوثيقة </w:t>
      </w:r>
      <w:r>
        <w:t>PCT/WG/8/15</w:t>
      </w:r>
      <w:r>
        <w:rPr>
          <w:rFonts w:hint="cs"/>
          <w:rtl/>
        </w:rPr>
        <w:t xml:space="preserve"> "</w:t>
      </w:r>
      <w:r w:rsidRPr="004B38C8">
        <w:rPr>
          <w:rtl/>
        </w:rPr>
        <w:t xml:space="preserve">‏الإيرادات المتأتية من رسوم معاهدة التعاون بشأن البراءات: تدابير ممكنة </w:t>
      </w:r>
      <w:r w:rsidR="009B3631">
        <w:rPr>
          <w:rFonts w:hint="cs"/>
          <w:rtl/>
        </w:rPr>
        <w:t>من أجل الحد من</w:t>
      </w:r>
      <w:r w:rsidRPr="004B38C8">
        <w:rPr>
          <w:rtl/>
        </w:rPr>
        <w:t xml:space="preserve"> التعر</w:t>
      </w:r>
      <w:r w:rsidR="009B3631">
        <w:rPr>
          <w:rFonts w:hint="cs"/>
          <w:rtl/>
        </w:rPr>
        <w:t>ّ</w:t>
      </w:r>
      <w:r w:rsidRPr="004B38C8">
        <w:rPr>
          <w:rtl/>
        </w:rPr>
        <w:t xml:space="preserve">ض </w:t>
      </w:r>
      <w:r w:rsidR="009B3631">
        <w:rPr>
          <w:rFonts w:hint="cs"/>
          <w:rtl/>
        </w:rPr>
        <w:t>لتغيرات أسعار الصرف</w:t>
      </w:r>
      <w:r>
        <w:rPr>
          <w:rFonts w:hint="cs"/>
          <w:rtl/>
        </w:rPr>
        <w:t>"</w:t>
      </w:r>
      <w:r w:rsidR="00B24FE6">
        <w:rPr>
          <w:rFonts w:hint="cs"/>
          <w:rtl/>
        </w:rPr>
        <w:t>)</w:t>
      </w:r>
      <w:r>
        <w:rPr>
          <w:rFonts w:hint="cs"/>
          <w:rtl/>
        </w:rPr>
        <w:t xml:space="preserve">. </w:t>
      </w:r>
      <w:r w:rsidR="00111062">
        <w:rPr>
          <w:rFonts w:hint="cs"/>
          <w:rtl/>
        </w:rPr>
        <w:t>وورد</w:t>
      </w:r>
      <w:r>
        <w:rPr>
          <w:rFonts w:hint="cs"/>
          <w:rtl/>
        </w:rPr>
        <w:t xml:space="preserve"> في الفقرة </w:t>
      </w:r>
      <w:r w:rsidR="00111062">
        <w:rPr>
          <w:rFonts w:hint="cs"/>
          <w:rtl/>
        </w:rPr>
        <w:t>25</w:t>
      </w:r>
      <w:r>
        <w:rPr>
          <w:rFonts w:hint="cs"/>
          <w:rtl/>
        </w:rPr>
        <w:t xml:space="preserve"> من الوثيقة </w:t>
      </w:r>
      <w:r>
        <w:t>PCT/WG/8/15</w:t>
      </w:r>
      <w:r w:rsidR="00111062">
        <w:rPr>
          <w:rFonts w:hint="cs"/>
          <w:rtl/>
        </w:rPr>
        <w:t xml:space="preserve"> أن </w:t>
      </w:r>
      <w:r w:rsidR="00A75171">
        <w:rPr>
          <w:rFonts w:hint="cs"/>
          <w:rtl/>
        </w:rPr>
        <w:t>استراتيجية</w:t>
      </w:r>
      <w:r w:rsidR="00111062">
        <w:rPr>
          <w:rFonts w:hint="cs"/>
          <w:rtl/>
        </w:rPr>
        <w:t xml:space="preserve"> التحوط لن تشمل إجمالي الإيرادات المتوقعة وإنما ستُحد</w:t>
      </w:r>
      <w:r w:rsidR="009B3631">
        <w:rPr>
          <w:rFonts w:hint="cs"/>
          <w:rtl/>
        </w:rPr>
        <w:t>َّ</w:t>
      </w:r>
      <w:r w:rsidR="00111062">
        <w:rPr>
          <w:rFonts w:hint="cs"/>
          <w:rtl/>
        </w:rPr>
        <w:t xml:space="preserve">د </w:t>
      </w:r>
      <w:r w:rsidR="0058639D">
        <w:rPr>
          <w:rFonts w:hint="cs"/>
          <w:rtl/>
        </w:rPr>
        <w:t>ب</w:t>
      </w:r>
      <w:r w:rsidR="00A75171">
        <w:rPr>
          <w:rFonts w:hint="cs"/>
          <w:rtl/>
        </w:rPr>
        <w:t>نسبة معينة لكل عملة (</w:t>
      </w:r>
      <w:r w:rsidR="00111062">
        <w:rPr>
          <w:rFonts w:hint="cs"/>
          <w:rtl/>
        </w:rPr>
        <w:t>بين 70 و90 بالمائة</w:t>
      </w:r>
      <w:r w:rsidR="00A75171">
        <w:rPr>
          <w:rFonts w:hint="cs"/>
          <w:rtl/>
        </w:rPr>
        <w:t xml:space="preserve"> مثلاً)</w:t>
      </w:r>
      <w:r w:rsidR="00111062">
        <w:rPr>
          <w:rFonts w:hint="cs"/>
          <w:rtl/>
        </w:rPr>
        <w:t>. واستندت النسبة القصوى إلى التوصية الواردة في تقرير المكتب الاستشاري</w:t>
      </w:r>
      <w:r w:rsidR="00A75171">
        <w:rPr>
          <w:rFonts w:hint="cs"/>
          <w:rtl/>
        </w:rPr>
        <w:t>،</w:t>
      </w:r>
      <w:r w:rsidR="00111062">
        <w:rPr>
          <w:rFonts w:hint="cs"/>
          <w:rtl/>
        </w:rPr>
        <w:t xml:space="preserve"> </w:t>
      </w:r>
      <w:r w:rsidR="00A75171">
        <w:rPr>
          <w:rFonts w:hint="cs"/>
          <w:rtl/>
        </w:rPr>
        <w:t>و</w:t>
      </w:r>
      <w:r w:rsidR="00111062">
        <w:rPr>
          <w:rFonts w:hint="cs"/>
          <w:rtl/>
        </w:rPr>
        <w:t xml:space="preserve">هدفت النسبة الدنيا إلى </w:t>
      </w:r>
      <w:r w:rsidR="00A75171">
        <w:rPr>
          <w:rFonts w:hint="cs"/>
          <w:rtl/>
        </w:rPr>
        <w:t>استيعاب</w:t>
      </w:r>
      <w:r w:rsidR="00111062" w:rsidRPr="00111062">
        <w:rPr>
          <w:rtl/>
        </w:rPr>
        <w:t xml:space="preserve"> التفاوتات</w:t>
      </w:r>
      <w:r w:rsidR="00A75171">
        <w:rPr>
          <w:rFonts w:hint="cs"/>
          <w:rtl/>
        </w:rPr>
        <w:t xml:space="preserve"> المحتملة</w:t>
      </w:r>
      <w:r w:rsidR="00A75171">
        <w:rPr>
          <w:rtl/>
        </w:rPr>
        <w:t xml:space="preserve"> بين الإيرادات المتوق</w:t>
      </w:r>
      <w:r w:rsidR="00111062" w:rsidRPr="00111062">
        <w:rPr>
          <w:rtl/>
        </w:rPr>
        <w:t xml:space="preserve">عة والإيرادات </w:t>
      </w:r>
      <w:r w:rsidR="00111062">
        <w:rPr>
          <w:rFonts w:hint="cs"/>
          <w:rtl/>
        </w:rPr>
        <w:t>الفعلية</w:t>
      </w:r>
      <w:r w:rsidR="00111062" w:rsidRPr="00111062">
        <w:rPr>
          <w:rtl/>
        </w:rPr>
        <w:t>.</w:t>
      </w:r>
      <w:r w:rsidR="00111062">
        <w:rPr>
          <w:rFonts w:hint="cs"/>
          <w:rtl/>
        </w:rPr>
        <w:t xml:space="preserve"> ولذلك، أوصى المكتب الاستشاري في تقريره </w:t>
      </w:r>
      <w:r w:rsidR="00A75171">
        <w:rPr>
          <w:rFonts w:hint="cs"/>
          <w:rtl/>
        </w:rPr>
        <w:t xml:space="preserve">بإعداد </w:t>
      </w:r>
      <w:r w:rsidR="00111062">
        <w:rPr>
          <w:rFonts w:hint="cs"/>
          <w:rtl/>
        </w:rPr>
        <w:t xml:space="preserve">توقعات </w:t>
      </w:r>
      <w:r w:rsidR="00AF57FF">
        <w:rPr>
          <w:rFonts w:hint="cs"/>
          <w:rtl/>
        </w:rPr>
        <w:t>للتدفق النقدي بالعملات</w:t>
      </w:r>
      <w:r w:rsidR="00A75171">
        <w:rPr>
          <w:rFonts w:hint="cs"/>
          <w:rtl/>
        </w:rPr>
        <w:t xml:space="preserve"> المعنية</w:t>
      </w:r>
      <w:r w:rsidR="00AF57FF">
        <w:rPr>
          <w:rFonts w:hint="cs"/>
          <w:rtl/>
        </w:rPr>
        <w:t xml:space="preserve"> </w:t>
      </w:r>
      <w:r w:rsidR="00A75171">
        <w:rPr>
          <w:rFonts w:hint="cs"/>
          <w:rtl/>
        </w:rPr>
        <w:t>بغية تقدير انخفاض قيمتها في الميزانية</w:t>
      </w:r>
      <w:r w:rsidR="00AF57FF">
        <w:rPr>
          <w:rFonts w:hint="cs"/>
          <w:rtl/>
        </w:rPr>
        <w:t>.</w:t>
      </w:r>
    </w:p>
    <w:p w:rsidR="00111062" w:rsidRPr="00AF57FF" w:rsidRDefault="00AF57FF" w:rsidP="00A91CC1">
      <w:pPr>
        <w:pStyle w:val="NumberedParaAR"/>
        <w:tabs>
          <w:tab w:val="clear" w:pos="567"/>
        </w:tabs>
      </w:pPr>
      <w:r>
        <w:rPr>
          <w:rFonts w:hint="cs"/>
          <w:rtl/>
          <w:lang w:val="fr-CH"/>
        </w:rPr>
        <w:t>و</w:t>
      </w:r>
      <w:r w:rsidRPr="00AF57FF">
        <w:rPr>
          <w:rtl/>
          <w:lang w:val="fr-CH"/>
        </w:rPr>
        <w:t xml:space="preserve">‏وافق </w:t>
      </w:r>
      <w:r w:rsidRPr="00A91CC1">
        <w:rPr>
          <w:rtl/>
        </w:rPr>
        <w:t>الفريق</w:t>
      </w:r>
      <w:r w:rsidRPr="00AF57FF">
        <w:rPr>
          <w:rtl/>
          <w:lang w:val="fr-CH"/>
        </w:rPr>
        <w:t xml:space="preserve"> العامل، في دورته الثامنة</w:t>
      </w:r>
      <w:r w:rsidR="0014429C">
        <w:rPr>
          <w:rFonts w:hint="cs"/>
          <w:rtl/>
          <w:lang w:val="fr-CH"/>
        </w:rPr>
        <w:t>،</w:t>
      </w:r>
      <w:r w:rsidRPr="00AF57FF">
        <w:rPr>
          <w:rtl/>
          <w:lang w:val="fr-CH"/>
        </w:rPr>
        <w:t xml:space="preserve"> على اقتراح المكتب الدولي الوارد في الوثيقة </w:t>
      </w:r>
      <w:r w:rsidRPr="00AF57FF">
        <w:rPr>
          <w:cs/>
          <w:lang w:val="fr-CH"/>
        </w:rPr>
        <w:t>‎</w:t>
      </w:r>
      <w:r w:rsidRPr="00AF57FF">
        <w:rPr>
          <w:lang w:val="fr-CH"/>
        </w:rPr>
        <w:t>PCT/WG/8/15</w:t>
      </w:r>
      <w:r w:rsidRPr="00AF57FF">
        <w:rPr>
          <w:rtl/>
          <w:lang w:val="fr-CH"/>
        </w:rPr>
        <w:t>‏ (انظر</w:t>
      </w:r>
      <w:r>
        <w:rPr>
          <w:rFonts w:hint="cs"/>
          <w:rtl/>
          <w:lang w:val="fr-CH"/>
        </w:rPr>
        <w:t> </w:t>
      </w:r>
      <w:r w:rsidRPr="00AF57FF">
        <w:rPr>
          <w:rtl/>
          <w:lang w:val="fr-CH"/>
        </w:rPr>
        <w:t>الفقرة 78 من تقرير الدورة، الوثيقة </w:t>
      </w:r>
      <w:r w:rsidRPr="00AF57FF">
        <w:rPr>
          <w:cs/>
          <w:lang w:val="fr-CH"/>
        </w:rPr>
        <w:t>‎</w:t>
      </w:r>
      <w:r w:rsidRPr="00AF57FF">
        <w:rPr>
          <w:lang w:val="fr-CH"/>
        </w:rPr>
        <w:t>PCT/WG/8/26</w:t>
      </w:r>
      <w:r w:rsidRPr="00AF57FF">
        <w:rPr>
          <w:rtl/>
          <w:lang w:val="fr-CH"/>
        </w:rPr>
        <w:t>‏)</w:t>
      </w:r>
      <w:r>
        <w:rPr>
          <w:rFonts w:hint="cs"/>
          <w:rtl/>
          <w:lang w:val="fr-CH"/>
        </w:rPr>
        <w:t xml:space="preserve"> ل</w:t>
      </w:r>
      <w:r w:rsidRPr="00AF57FF">
        <w:rPr>
          <w:rtl/>
          <w:lang w:val="fr-CH"/>
        </w:rPr>
        <w:t>غرض تقديمه إلى الجمعية كي تنظر فيه خلال دورتها في أكتوبر 2015.</w:t>
      </w:r>
    </w:p>
    <w:p w:rsidR="00AF57FF" w:rsidRDefault="00AF57FF" w:rsidP="00B24FE6">
      <w:pPr>
        <w:pStyle w:val="NumberedParaAR"/>
        <w:tabs>
          <w:tab w:val="clear" w:pos="567"/>
        </w:tabs>
      </w:pPr>
      <w:r w:rsidRPr="00AF57FF">
        <w:rPr>
          <w:rtl/>
        </w:rPr>
        <w:t xml:space="preserve">وقبل دورة </w:t>
      </w:r>
      <w:r>
        <w:rPr>
          <w:rFonts w:hint="cs"/>
          <w:rtl/>
        </w:rPr>
        <w:t>جمعية اتحاد معاهدة البراءات</w:t>
      </w:r>
      <w:r w:rsidRPr="00AF57FF">
        <w:rPr>
          <w:rtl/>
        </w:rPr>
        <w:t xml:space="preserve"> في أكتوبر 2015، قدم المكتب الدولي </w:t>
      </w:r>
      <w:r w:rsidR="000A013E">
        <w:rPr>
          <w:rFonts w:hint="cs"/>
          <w:rtl/>
        </w:rPr>
        <w:t>معلومات محدثة</w:t>
      </w:r>
      <w:r w:rsidRPr="00AF57FF">
        <w:rPr>
          <w:rtl/>
        </w:rPr>
        <w:t xml:space="preserve"> عن تنفيذ استراتيجية التحوّط المقترحة </w:t>
      </w:r>
      <w:r w:rsidR="0057636C">
        <w:rPr>
          <w:rFonts w:hint="cs"/>
          <w:rtl/>
        </w:rPr>
        <w:t>ل</w:t>
      </w:r>
      <w:r w:rsidRPr="00AF57FF">
        <w:rPr>
          <w:rtl/>
        </w:rPr>
        <w:t xml:space="preserve">لإيرادات المتأتية من رسوم </w:t>
      </w:r>
      <w:r>
        <w:rPr>
          <w:rFonts w:hint="cs"/>
          <w:rtl/>
        </w:rPr>
        <w:t>معاهدة البراءات</w:t>
      </w:r>
      <w:r w:rsidRPr="00AF57FF">
        <w:rPr>
          <w:rtl/>
        </w:rPr>
        <w:t xml:space="preserve"> إلى لجنة البرنامج والميزانية</w:t>
      </w:r>
      <w:r>
        <w:rPr>
          <w:rFonts w:hint="cs"/>
          <w:rtl/>
        </w:rPr>
        <w:t xml:space="preserve"> في</w:t>
      </w:r>
      <w:r w:rsidRPr="00AF57FF">
        <w:rPr>
          <w:rtl/>
        </w:rPr>
        <w:t xml:space="preserve"> دور</w:t>
      </w:r>
      <w:r>
        <w:rPr>
          <w:rFonts w:hint="cs"/>
          <w:rtl/>
        </w:rPr>
        <w:t>تها</w:t>
      </w:r>
      <w:r w:rsidRPr="00AF57FF">
        <w:rPr>
          <w:rtl/>
        </w:rPr>
        <w:t xml:space="preserve"> الرابعة والعشرين المعقودة من 14 إلى 18 سبتمبر 2015، استنادا إلى الوثيقة </w:t>
      </w:r>
      <w:r w:rsidRPr="00AF57FF">
        <w:rPr>
          <w:cs/>
        </w:rPr>
        <w:t>‎</w:t>
      </w:r>
      <w:r w:rsidRPr="00AF57FF">
        <w:t>WO/PBC/24/INF.3</w:t>
      </w:r>
      <w:r w:rsidRPr="00AF57FF">
        <w:rPr>
          <w:rtl/>
        </w:rPr>
        <w:t>‏</w:t>
      </w:r>
      <w:r>
        <w:rPr>
          <w:rFonts w:hint="cs"/>
          <w:rtl/>
        </w:rPr>
        <w:t>. وحددت</w:t>
      </w:r>
      <w:r w:rsidR="00B24FE6">
        <w:rPr>
          <w:rFonts w:hint="eastAsia"/>
          <w:rtl/>
        </w:rPr>
        <w:t> </w:t>
      </w:r>
      <w:r>
        <w:rPr>
          <w:rFonts w:hint="cs"/>
          <w:rtl/>
        </w:rPr>
        <w:t>الوثيقة</w:t>
      </w:r>
      <w:r w:rsidR="00B24FE6">
        <w:rPr>
          <w:rFonts w:hint="eastAsia"/>
          <w:rtl/>
        </w:rPr>
        <w:t> </w:t>
      </w:r>
      <w:r>
        <w:t>WO/PBC/24/INF.3</w:t>
      </w:r>
      <w:r w:rsidRPr="00AF57FF">
        <w:rPr>
          <w:rtl/>
        </w:rPr>
        <w:t xml:space="preserve"> عدة مخاطر وشواغل </w:t>
      </w:r>
      <w:r w:rsidR="0057636C">
        <w:rPr>
          <w:rFonts w:hint="cs"/>
          <w:rtl/>
        </w:rPr>
        <w:t>بشأن</w:t>
      </w:r>
      <w:r w:rsidRPr="00AF57FF">
        <w:rPr>
          <w:rtl/>
        </w:rPr>
        <w:t xml:space="preserve"> تلك الاستراتيجية </w:t>
      </w:r>
      <w:r>
        <w:rPr>
          <w:rFonts w:hint="cs"/>
          <w:rtl/>
        </w:rPr>
        <w:t>اقتضت</w:t>
      </w:r>
      <w:r w:rsidRPr="00AF57FF">
        <w:rPr>
          <w:rtl/>
        </w:rPr>
        <w:t>، في رأي الأمانة، مزيدا</w:t>
      </w:r>
      <w:r w:rsidR="0014429C">
        <w:rPr>
          <w:rFonts w:hint="cs"/>
          <w:rtl/>
        </w:rPr>
        <w:t>ً</w:t>
      </w:r>
      <w:r w:rsidRPr="00AF57FF">
        <w:rPr>
          <w:rtl/>
        </w:rPr>
        <w:t xml:space="preserve"> من البحث وتحليلا</w:t>
      </w:r>
      <w:r w:rsidR="0014429C">
        <w:rPr>
          <w:rFonts w:hint="cs"/>
          <w:rtl/>
        </w:rPr>
        <w:t>ً</w:t>
      </w:r>
      <w:r w:rsidRPr="00AF57FF">
        <w:rPr>
          <w:rtl/>
        </w:rPr>
        <w:t xml:space="preserve"> شاملا</w:t>
      </w:r>
      <w:r w:rsidR="0014429C">
        <w:rPr>
          <w:rFonts w:hint="cs"/>
          <w:rtl/>
        </w:rPr>
        <w:t>ً</w:t>
      </w:r>
      <w:r w:rsidRPr="00AF57FF">
        <w:rPr>
          <w:rtl/>
        </w:rPr>
        <w:t xml:space="preserve"> قبل الالتزام باستراتيجية تحوّط معيّنة والدخول في علاقات تعاقدية مع الجهات التي توفر خدمات التحوّط.</w:t>
      </w:r>
      <w:r>
        <w:rPr>
          <w:rFonts w:hint="cs"/>
          <w:rtl/>
        </w:rPr>
        <w:t xml:space="preserve"> وأشير في الوثيقة </w:t>
      </w:r>
      <w:r w:rsidR="0014429C">
        <w:rPr>
          <w:rFonts w:hint="cs"/>
          <w:rtl/>
        </w:rPr>
        <w:t xml:space="preserve">ذاتها </w:t>
      </w:r>
      <w:r>
        <w:rPr>
          <w:rFonts w:hint="cs"/>
          <w:rtl/>
        </w:rPr>
        <w:t xml:space="preserve">إلى أن ذلك العمل سيتطلب تخصيص وقت وموارد وأن الوقت المخصص قد يكون طويلاً نظراً إلى الطابع المعقد للقضايا المشمولة. وذُكر أن </w:t>
      </w:r>
      <w:r w:rsidRPr="00AF57FF">
        <w:rPr>
          <w:rtl/>
        </w:rPr>
        <w:t xml:space="preserve">تنفيذ الاستراتيجية دون الحد من المخاطر المرتبطة بالقضايا المُحدّدة </w:t>
      </w:r>
      <w:r>
        <w:rPr>
          <w:rFonts w:hint="cs"/>
          <w:rtl/>
        </w:rPr>
        <w:t>قد</w:t>
      </w:r>
      <w:r w:rsidR="00B24FE6">
        <w:rPr>
          <w:rFonts w:hint="eastAsia"/>
          <w:rtl/>
        </w:rPr>
        <w:t> </w:t>
      </w:r>
      <w:r>
        <w:rPr>
          <w:rFonts w:hint="cs"/>
          <w:rtl/>
        </w:rPr>
        <w:t>يؤدي إلى</w:t>
      </w:r>
      <w:r w:rsidRPr="00AF57FF">
        <w:rPr>
          <w:rtl/>
        </w:rPr>
        <w:t xml:space="preserve"> تكبّد المنظمة تك</w:t>
      </w:r>
      <w:r w:rsidR="0014429C">
        <w:rPr>
          <w:rFonts w:hint="cs"/>
          <w:rtl/>
        </w:rPr>
        <w:t>ا</w:t>
      </w:r>
      <w:r w:rsidRPr="00AF57FF">
        <w:rPr>
          <w:rtl/>
        </w:rPr>
        <w:t>ل</w:t>
      </w:r>
      <w:r w:rsidR="0014429C">
        <w:rPr>
          <w:rFonts w:hint="cs"/>
          <w:rtl/>
        </w:rPr>
        <w:t>يف</w:t>
      </w:r>
      <w:r w:rsidRPr="00AF57FF">
        <w:rPr>
          <w:rtl/>
        </w:rPr>
        <w:t xml:space="preserve"> مالية ضخمة.</w:t>
      </w:r>
    </w:p>
    <w:p w:rsidR="00AF57FF" w:rsidRDefault="00AF57FF" w:rsidP="00D01BD8">
      <w:pPr>
        <w:pStyle w:val="NumberedParaAR"/>
        <w:keepNext/>
        <w:tabs>
          <w:tab w:val="clear" w:pos="567"/>
        </w:tabs>
      </w:pPr>
      <w:r w:rsidRPr="00AF57FF">
        <w:rPr>
          <w:rtl/>
        </w:rPr>
        <w:t xml:space="preserve">وبعد النظر في </w:t>
      </w:r>
      <w:r w:rsidR="0014429C">
        <w:rPr>
          <w:rFonts w:hint="cs"/>
          <w:rtl/>
        </w:rPr>
        <w:t xml:space="preserve">تلك </w:t>
      </w:r>
      <w:r w:rsidRPr="00AF57FF">
        <w:rPr>
          <w:rtl/>
        </w:rPr>
        <w:t xml:space="preserve">الوثيقة، </w:t>
      </w:r>
      <w:r>
        <w:rPr>
          <w:rFonts w:hint="cs"/>
          <w:rtl/>
        </w:rPr>
        <w:t>وافقت</w:t>
      </w:r>
      <w:r w:rsidRPr="00AF57FF">
        <w:rPr>
          <w:rtl/>
        </w:rPr>
        <w:t xml:space="preserve"> لجنة البرنامج والميزانية على تقديم التوصية التالية إلى جمعية </w:t>
      </w:r>
      <w:r>
        <w:rPr>
          <w:rFonts w:hint="cs"/>
          <w:rtl/>
        </w:rPr>
        <w:t xml:space="preserve">اتحاد معاهدة البراءات (انظر البند 10 من جدول الأعمال الوارد في الوثيقة </w:t>
      </w:r>
      <w:r>
        <w:t>WO/PBC/24/17</w:t>
      </w:r>
      <w:r>
        <w:rPr>
          <w:rFonts w:hint="cs"/>
          <w:rtl/>
        </w:rPr>
        <w:t>):</w:t>
      </w:r>
    </w:p>
    <w:p w:rsidR="00D64F41" w:rsidRPr="0057636C" w:rsidRDefault="00D64F41" w:rsidP="00D64F41">
      <w:pPr>
        <w:pStyle w:val="NormalParaAR"/>
        <w:keepNext/>
        <w:ind w:left="567"/>
        <w:rPr>
          <w:rtl/>
        </w:rPr>
      </w:pPr>
      <w:r w:rsidRPr="0057636C">
        <w:rPr>
          <w:rFonts w:hint="cs"/>
          <w:rtl/>
        </w:rPr>
        <w:t>"</w:t>
      </w:r>
      <w:r w:rsidRPr="0057636C">
        <w:rPr>
          <w:rtl/>
        </w:rPr>
        <w:t>فيما يخص توصية الفريق العامل لمعاهدة التعاون بشأن البراءات الواردة في الوثيقة </w:t>
      </w:r>
      <w:r w:rsidRPr="0057636C">
        <w:t>PCT/WG/8/15</w:t>
      </w:r>
      <w:r w:rsidRPr="0057636C">
        <w:rPr>
          <w:rtl/>
        </w:rPr>
        <w:t>، أحيطت لجنة البرنامج والميزانية علما، من خلال الوثيقة </w:t>
      </w:r>
      <w:r w:rsidRPr="0057636C">
        <w:t>WO/PBC/24/INF.3</w:t>
      </w:r>
      <w:r w:rsidRPr="0057636C">
        <w:rPr>
          <w:rtl/>
        </w:rPr>
        <w:t>، بعدة قضايا تتعلق بتنفيذ استراتيجية 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D64F41" w:rsidRPr="0057636C" w:rsidRDefault="00D64F41" w:rsidP="00D64F41">
      <w:pPr>
        <w:pStyle w:val="NormalParaAR"/>
        <w:keepNext/>
        <w:ind w:left="1701" w:hanging="567"/>
        <w:rPr>
          <w:rtl/>
        </w:rPr>
      </w:pPr>
      <w:r w:rsidRPr="0057636C">
        <w:rPr>
          <w:rtl/>
        </w:rPr>
        <w:t>"1"</w:t>
      </w:r>
      <w:r w:rsidRPr="0057636C">
        <w:rPr>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D64F41" w:rsidRPr="0057636C" w:rsidRDefault="00D64F41" w:rsidP="00D64F41">
      <w:pPr>
        <w:pStyle w:val="NormalParaAR"/>
        <w:ind w:left="1701" w:hanging="567"/>
      </w:pPr>
      <w:r w:rsidRPr="0057636C">
        <w:rPr>
          <w:rtl/>
        </w:rPr>
        <w:t>"2"</w:t>
      </w:r>
      <w:r w:rsidRPr="0057636C">
        <w:rPr>
          <w:rtl/>
        </w:rPr>
        <w:tab/>
        <w:t>إرجاء قرارها بخصوص التوصية المذكورة أعلاه حتى يُجرى ذلك التحليل.</w:t>
      </w:r>
      <w:r w:rsidRPr="0057636C">
        <w:rPr>
          <w:rFonts w:hint="cs"/>
          <w:rtl/>
        </w:rPr>
        <w:t>"</w:t>
      </w:r>
    </w:p>
    <w:p w:rsidR="00D64F41" w:rsidRDefault="0057636C" w:rsidP="00D01BD8">
      <w:pPr>
        <w:pStyle w:val="NumberedParaAR"/>
        <w:keepNext/>
        <w:tabs>
          <w:tab w:val="clear" w:pos="567"/>
        </w:tabs>
      </w:pPr>
      <w:r>
        <w:rPr>
          <w:rFonts w:hint="cs"/>
          <w:rtl/>
        </w:rPr>
        <w:lastRenderedPageBreak/>
        <w:t>وعملاً</w:t>
      </w:r>
      <w:r w:rsidR="00D64F41">
        <w:rPr>
          <w:rtl/>
        </w:rPr>
        <w:t xml:space="preserve"> </w:t>
      </w:r>
      <w:r>
        <w:rPr>
          <w:rFonts w:hint="cs"/>
          <w:rtl/>
        </w:rPr>
        <w:t>ب</w:t>
      </w:r>
      <w:r w:rsidR="00D64F41">
        <w:rPr>
          <w:rtl/>
        </w:rPr>
        <w:t>توصية لجنة البرنامج والميزانية</w:t>
      </w:r>
      <w:r>
        <w:rPr>
          <w:rFonts w:hint="cs"/>
          <w:rtl/>
        </w:rPr>
        <w:t>،</w:t>
      </w:r>
      <w:r w:rsidR="00D64F41">
        <w:rPr>
          <w:rtl/>
        </w:rPr>
        <w:t xml:space="preserve"> اعتمدت جمعية</w:t>
      </w:r>
      <w:r>
        <w:rPr>
          <w:rFonts w:hint="cs"/>
          <w:rtl/>
        </w:rPr>
        <w:t xml:space="preserve"> اتحاد معاهدة البراءات</w:t>
      </w:r>
      <w:r w:rsidRPr="0057636C">
        <w:rPr>
          <w:rtl/>
        </w:rPr>
        <w:t xml:space="preserve"> </w:t>
      </w:r>
      <w:r w:rsidR="009B3631">
        <w:rPr>
          <w:rtl/>
        </w:rPr>
        <w:t>القرار التال</w:t>
      </w:r>
      <w:r w:rsidR="009B3631">
        <w:rPr>
          <w:rFonts w:hint="cs"/>
          <w:rtl/>
        </w:rPr>
        <w:t>ي</w:t>
      </w:r>
      <w:r w:rsidR="009B3631">
        <w:rPr>
          <w:rtl/>
        </w:rPr>
        <w:t xml:space="preserve"> ف</w:t>
      </w:r>
      <w:r w:rsidR="009B3631">
        <w:rPr>
          <w:rFonts w:hint="cs"/>
          <w:rtl/>
        </w:rPr>
        <w:t>ي</w:t>
      </w:r>
      <w:r w:rsidR="00D64F41">
        <w:rPr>
          <w:rtl/>
        </w:rPr>
        <w:t xml:space="preserve"> دو</w:t>
      </w:r>
      <w:r>
        <w:rPr>
          <w:rFonts w:hint="cs"/>
          <w:rtl/>
        </w:rPr>
        <w:t>ر</w:t>
      </w:r>
      <w:r w:rsidR="00D64F41">
        <w:rPr>
          <w:rtl/>
        </w:rPr>
        <w:t>تها السابعة والأربعين المعقودة في أكتوبر 2015 (انظر الوثيقة </w:t>
      </w:r>
      <w:r w:rsidR="00D64F41">
        <w:rPr>
          <w:cs/>
        </w:rPr>
        <w:t>‎</w:t>
      </w:r>
      <w:r w:rsidR="00D64F41">
        <w:t>PCT/A/47/5 R</w:t>
      </w:r>
      <w:r>
        <w:t>ev.</w:t>
      </w:r>
      <w:r>
        <w:rPr>
          <w:rtl/>
        </w:rPr>
        <w:t xml:space="preserve"> والفقرة 23 من تقرير الدورة</w:t>
      </w:r>
      <w:r>
        <w:rPr>
          <w:rFonts w:hint="cs"/>
          <w:rtl/>
        </w:rPr>
        <w:t xml:space="preserve"> </w:t>
      </w:r>
      <w:r>
        <w:rPr>
          <w:rtl/>
        </w:rPr>
        <w:t>–</w:t>
      </w:r>
      <w:r>
        <w:rPr>
          <w:rFonts w:hint="cs"/>
          <w:rtl/>
        </w:rPr>
        <w:t xml:space="preserve"> </w:t>
      </w:r>
      <w:r w:rsidR="00D64F41">
        <w:rPr>
          <w:rtl/>
        </w:rPr>
        <w:t>الوثيقة </w:t>
      </w:r>
      <w:r w:rsidR="00D64F41">
        <w:rPr>
          <w:cs/>
        </w:rPr>
        <w:t>‎</w:t>
      </w:r>
      <w:r w:rsidR="00D64F41">
        <w:t>PCT/A/47/9</w:t>
      </w:r>
      <w:r w:rsidR="00D64F41">
        <w:rPr>
          <w:rtl/>
        </w:rPr>
        <w:t>‏):</w:t>
      </w:r>
    </w:p>
    <w:p w:rsidR="00D64F41" w:rsidRPr="00D64F41" w:rsidRDefault="00D64F41" w:rsidP="00D64F41">
      <w:pPr>
        <w:pStyle w:val="NormalParaAR"/>
        <w:keepNext/>
        <w:ind w:left="567"/>
      </w:pPr>
      <w:r w:rsidRPr="00D64F41">
        <w:rPr>
          <w:rtl/>
        </w:rPr>
        <w:t>"23.</w:t>
      </w:r>
      <w:r w:rsidRPr="00D64F41">
        <w:rPr>
          <w:rtl/>
        </w:rPr>
        <w:tab/>
        <w:t>إن الجمعية:</w:t>
      </w:r>
    </w:p>
    <w:p w:rsidR="00D64F41" w:rsidRPr="00D64F41" w:rsidRDefault="00D64F41" w:rsidP="00D64F41">
      <w:pPr>
        <w:pStyle w:val="NormalParaAR"/>
        <w:keepNext/>
        <w:ind w:left="1701" w:hanging="567"/>
      </w:pPr>
      <w:r w:rsidRPr="00D64F41">
        <w:rPr>
          <w:rtl/>
        </w:rPr>
        <w:t>‏"1"</w:t>
      </w:r>
      <w:r w:rsidRPr="00D64F41">
        <w:rPr>
          <w:rtl/>
        </w:rPr>
        <w:tab/>
        <w:t>أحاطت علما بمضمون الوثيقة </w:t>
      </w:r>
      <w:r w:rsidRPr="00D64F41">
        <w:rPr>
          <w:cs/>
        </w:rPr>
        <w:t>‎</w:t>
      </w:r>
      <w:r w:rsidRPr="00D64F41">
        <w:t>PCT/A/47/5 Re</w:t>
      </w:r>
      <w:r>
        <w:t>v.</w:t>
      </w:r>
      <w:r w:rsidRPr="00D64F41">
        <w:rPr>
          <w:rtl/>
        </w:rPr>
        <w:t>‏؛</w:t>
      </w:r>
    </w:p>
    <w:p w:rsidR="00D64F41" w:rsidRPr="00D64F41" w:rsidRDefault="00D64F41" w:rsidP="00D64F41">
      <w:pPr>
        <w:pStyle w:val="NormalParaAR"/>
        <w:keepNext/>
        <w:ind w:left="1701" w:hanging="567"/>
      </w:pPr>
      <w:r w:rsidRPr="00D64F41">
        <w:rPr>
          <w:rtl/>
        </w:rPr>
        <w:t>‏"2"</w:t>
      </w:r>
      <w:r w:rsidRPr="00D64F41">
        <w:rPr>
          <w:rtl/>
        </w:rPr>
        <w:tab/>
        <w:t>ودعت الأمانة إلى زيادة تحليل القضايا المرتبطة بتنفيذ استراتيجية تحوّط بخصوص الإيرادات المتأتية من رسوم معاهدة التعاون بشأن البراءات والمبيّنة في الوثيقة </w:t>
      </w:r>
      <w:r w:rsidRPr="00D64F41">
        <w:rPr>
          <w:cs/>
        </w:rPr>
        <w:t>‎‎</w:t>
      </w:r>
      <w:r w:rsidRPr="00D64F41">
        <w:t>WO/PBC/24/INF.3</w:t>
      </w:r>
      <w:r w:rsidRPr="00D64F41">
        <w:rPr>
          <w:rtl/>
        </w:rPr>
        <w:t>‏؛</w:t>
      </w:r>
    </w:p>
    <w:p w:rsidR="00D64F41" w:rsidRPr="00D64F41" w:rsidRDefault="00D64F41" w:rsidP="00D64F41">
      <w:pPr>
        <w:pStyle w:val="NormalParaAR"/>
        <w:keepNext/>
        <w:ind w:left="1701" w:hanging="567"/>
      </w:pPr>
      <w:r w:rsidRPr="00D64F41">
        <w:rPr>
          <w:rtl/>
        </w:rPr>
        <w:t>‏"3"</w:t>
      </w:r>
      <w:r w:rsidRPr="00D64F41">
        <w:rPr>
          <w:rtl/>
        </w:rPr>
        <w:tab/>
        <w:t>وقرّرت إرجاء إصدارها لأي قرار بشأن التعديلات المقترح إدخالها على توجيهات الجمعية بخصوص تحديد المبالغ المعادلة لبعض الرسوم، كما اقترحه الفريق العامل، حتى يُجرى ذلك التحليل؛</w:t>
      </w:r>
    </w:p>
    <w:p w:rsidR="00D64F41" w:rsidRDefault="00D64F41" w:rsidP="00D01BD8">
      <w:pPr>
        <w:pStyle w:val="NormalParaAR"/>
        <w:ind w:left="1701" w:hanging="567"/>
        <w:rPr>
          <w:rtl/>
        </w:rPr>
      </w:pPr>
      <w:r w:rsidRPr="00D64F41">
        <w:rPr>
          <w:rtl/>
        </w:rPr>
        <w:t>‏"4"</w:t>
      </w:r>
      <w:r w:rsidRPr="00D64F41">
        <w:rPr>
          <w:rtl/>
        </w:rPr>
        <w:tab/>
        <w:t>ودعت الأمانة أيضا إلى تقديم تقرير مرحلي في هذا الشأن إلى الفريق العامل لمعاهدة التعاون بشأن البراءات في دورته لعام 2016</w:t>
      </w:r>
      <w:r>
        <w:rPr>
          <w:rtl/>
        </w:rPr>
        <w:t>."</w:t>
      </w:r>
    </w:p>
    <w:p w:rsidR="00D64F41" w:rsidRDefault="00D64F41" w:rsidP="005A2F37">
      <w:pPr>
        <w:pStyle w:val="NumberedParaAR"/>
        <w:keepNext/>
        <w:tabs>
          <w:tab w:val="clear" w:pos="567"/>
        </w:tabs>
      </w:pPr>
      <w:r>
        <w:rPr>
          <w:rFonts w:hint="cs"/>
          <w:rtl/>
        </w:rPr>
        <w:t>وأحاط الفريق العامل</w:t>
      </w:r>
      <w:r w:rsidR="0057636C">
        <w:rPr>
          <w:rFonts w:hint="cs"/>
          <w:rtl/>
        </w:rPr>
        <w:t xml:space="preserve"> </w:t>
      </w:r>
      <w:r>
        <w:rPr>
          <w:rFonts w:hint="cs"/>
          <w:rtl/>
        </w:rPr>
        <w:t>علماً في دورته التاسعة المعقودة في مايو 2016 بتقرير مرحلي أعدته الأمانة (الوثيقة</w:t>
      </w:r>
      <w:r w:rsidR="005A2F37">
        <w:rPr>
          <w:rFonts w:hint="eastAsia"/>
          <w:rtl/>
        </w:rPr>
        <w:t> </w:t>
      </w:r>
      <w:r>
        <w:t>PCT/WG/9/9</w:t>
      </w:r>
      <w:r>
        <w:rPr>
          <w:rFonts w:hint="cs"/>
          <w:rtl/>
        </w:rPr>
        <w:t xml:space="preserve"> "</w:t>
      </w:r>
      <w:r w:rsidRPr="00D64F41">
        <w:rPr>
          <w:rtl/>
        </w:rPr>
        <w:t>الإيرادات المتأتية من رسوم معاهدة التعاون بشأن البراءات: تدابير ممكنة من أجل الحد من التعرّض لتغيرات أسعار الصرف</w:t>
      </w:r>
      <w:r>
        <w:rPr>
          <w:rFonts w:hint="cs"/>
          <w:rtl/>
        </w:rPr>
        <w:t xml:space="preserve">"). ويرد هذا التقرير المرحلي في </w:t>
      </w:r>
      <w:r w:rsidR="00842031">
        <w:rPr>
          <w:rFonts w:hint="cs"/>
          <w:rtl/>
        </w:rPr>
        <w:t>مرفق</w:t>
      </w:r>
      <w:r>
        <w:rPr>
          <w:rFonts w:hint="cs"/>
          <w:rtl/>
        </w:rPr>
        <w:t xml:space="preserve"> هذه الوثيقة. وأحاط علماً أيضاً بمحتويات عرض قدمته الأمانة</w:t>
      </w:r>
      <w:r w:rsidR="00E37DB9">
        <w:rPr>
          <w:rFonts w:hint="cs"/>
          <w:rtl/>
        </w:rPr>
        <w:t>. وخلص</w:t>
      </w:r>
      <w:r w:rsidR="00842031">
        <w:rPr>
          <w:rFonts w:hint="cs"/>
          <w:rtl/>
        </w:rPr>
        <w:t xml:space="preserve"> </w:t>
      </w:r>
      <w:r w:rsidR="00E071FB">
        <w:rPr>
          <w:rFonts w:hint="cs"/>
          <w:rtl/>
        </w:rPr>
        <w:t xml:space="preserve">ذلك </w:t>
      </w:r>
      <w:r w:rsidR="00842031">
        <w:rPr>
          <w:rFonts w:hint="cs"/>
          <w:rtl/>
        </w:rPr>
        <w:t>العرض</w:t>
      </w:r>
      <w:r w:rsidR="00E37DB9">
        <w:rPr>
          <w:rFonts w:hint="cs"/>
          <w:rtl/>
        </w:rPr>
        <w:t xml:space="preserve"> إلى الملاحظات التالية </w:t>
      </w:r>
      <w:r w:rsidR="00E071FB">
        <w:rPr>
          <w:rFonts w:hint="cs"/>
          <w:rtl/>
        </w:rPr>
        <w:t>على</w:t>
      </w:r>
      <w:r w:rsidR="00E37DB9">
        <w:rPr>
          <w:rFonts w:hint="cs"/>
          <w:rtl/>
        </w:rPr>
        <w:t xml:space="preserve"> سبل التقدم في تنفيذ استراتيجية التحوط المحتملة:</w:t>
      </w:r>
    </w:p>
    <w:p w:rsidR="00E37DB9" w:rsidRDefault="00E37DB9" w:rsidP="00E071FB">
      <w:pPr>
        <w:pStyle w:val="NormalParaAR"/>
        <w:keepNext/>
        <w:ind w:left="567"/>
        <w:rPr>
          <w:rtl/>
        </w:rPr>
      </w:pPr>
      <w:r>
        <w:rPr>
          <w:rFonts w:hint="cs"/>
          <w:rtl/>
        </w:rPr>
        <w:t xml:space="preserve">"يقدم المكتب الدولي </w:t>
      </w:r>
      <w:r w:rsidR="00E071FB">
        <w:rPr>
          <w:rFonts w:hint="cs"/>
          <w:rtl/>
        </w:rPr>
        <w:t>مزيداً</w:t>
      </w:r>
      <w:r>
        <w:rPr>
          <w:rFonts w:hint="cs"/>
          <w:rtl/>
        </w:rPr>
        <w:t xml:space="preserve"> من المعلومات إلى لجنة البرنامج والميزانية في دورتها المقبلة في أغسطس 2016.</w:t>
      </w:r>
    </w:p>
    <w:p w:rsidR="00E37DB9" w:rsidRDefault="00E37DB9" w:rsidP="00E37DB9">
      <w:pPr>
        <w:pStyle w:val="NormalParaAR"/>
        <w:keepNext/>
        <w:ind w:left="567"/>
        <w:rPr>
          <w:rtl/>
        </w:rPr>
      </w:pPr>
      <w:r>
        <w:rPr>
          <w:rFonts w:hint="cs"/>
          <w:rtl/>
        </w:rPr>
        <w:t xml:space="preserve">"لا يعتزم المكتب الدولي، في هذه المرحلة، تنفيذ استراتيجية التحوط القائمة على العقود الآجلة بصيغتها المبينة في توصيات المكتب الاستشاري </w:t>
      </w:r>
      <w:r>
        <w:t>FTI Treasury</w:t>
      </w:r>
      <w:r>
        <w:rPr>
          <w:rFonts w:hint="cs"/>
          <w:rtl/>
        </w:rPr>
        <w:t>.</w:t>
      </w:r>
    </w:p>
    <w:p w:rsidR="00E37DB9" w:rsidRDefault="00E37DB9" w:rsidP="00FA05D2">
      <w:pPr>
        <w:pStyle w:val="NormalParaAR"/>
        <w:keepNext/>
        <w:ind w:left="567"/>
        <w:rPr>
          <w:rtl/>
        </w:rPr>
      </w:pPr>
      <w:r>
        <w:rPr>
          <w:rFonts w:hint="cs"/>
          <w:rtl/>
        </w:rPr>
        <w:t>"يعتزم المكتب الدولي مواصلة البحث عن استراتيجية تحوط بديلة تستخدم نهج</w:t>
      </w:r>
      <w:r w:rsidR="00FA05D2">
        <w:rPr>
          <w:rFonts w:hint="cs"/>
          <w:rtl/>
        </w:rPr>
        <w:t>اً</w:t>
      </w:r>
      <w:r>
        <w:rPr>
          <w:rFonts w:hint="cs"/>
          <w:rtl/>
        </w:rPr>
        <w:t xml:space="preserve"> مختلف</w:t>
      </w:r>
      <w:r w:rsidR="00FA05D2">
        <w:rPr>
          <w:rFonts w:hint="cs"/>
          <w:rtl/>
        </w:rPr>
        <w:t>اً</w:t>
      </w:r>
      <w:r>
        <w:rPr>
          <w:rFonts w:hint="cs"/>
          <w:rtl/>
        </w:rPr>
        <w:t xml:space="preserve"> عما اقترحه المكتب الاستشاري </w:t>
      </w:r>
      <w:r>
        <w:t>FTI Treasury</w:t>
      </w:r>
      <w:r>
        <w:rPr>
          <w:rFonts w:hint="cs"/>
          <w:rtl/>
        </w:rPr>
        <w:t xml:space="preserve"> وقد تنجح في الحد من تعرض الويبو لمخاطر </w:t>
      </w:r>
      <w:r w:rsidR="00FA05D2">
        <w:rPr>
          <w:rFonts w:hint="cs"/>
          <w:rtl/>
        </w:rPr>
        <w:t>تغير</w:t>
      </w:r>
      <w:r>
        <w:rPr>
          <w:rFonts w:hint="cs"/>
          <w:rtl/>
        </w:rPr>
        <w:t xml:space="preserve"> أسعار الصرف."</w:t>
      </w:r>
    </w:p>
    <w:p w:rsidR="00E37DB9" w:rsidRDefault="00E37DB9" w:rsidP="00DC36F0">
      <w:pPr>
        <w:pStyle w:val="NumberedParaAR"/>
        <w:tabs>
          <w:tab w:val="clear" w:pos="567"/>
        </w:tabs>
      </w:pPr>
      <w:r>
        <w:rPr>
          <w:rFonts w:hint="cs"/>
          <w:rtl/>
        </w:rPr>
        <w:t>وتحتوي هذه ال</w:t>
      </w:r>
      <w:r w:rsidR="006E391E">
        <w:rPr>
          <w:rFonts w:hint="cs"/>
          <w:rtl/>
        </w:rPr>
        <w:t xml:space="preserve">وثيقة على معلومات إضافية وتوصية </w:t>
      </w:r>
      <w:r w:rsidR="00DC36F0">
        <w:rPr>
          <w:rFonts w:hint="cs"/>
          <w:rtl/>
        </w:rPr>
        <w:t>لل</w:t>
      </w:r>
      <w:r w:rsidR="00E071FB">
        <w:rPr>
          <w:rFonts w:hint="cs"/>
          <w:rtl/>
        </w:rPr>
        <w:t>مضي</w:t>
      </w:r>
      <w:r w:rsidR="006E391E">
        <w:rPr>
          <w:rFonts w:hint="cs"/>
          <w:rtl/>
        </w:rPr>
        <w:t xml:space="preserve"> قدماً</w:t>
      </w:r>
      <w:r w:rsidR="00DC36F0">
        <w:rPr>
          <w:rFonts w:hint="cs"/>
          <w:rtl/>
        </w:rPr>
        <w:t xml:space="preserve"> في هذه المسألة</w:t>
      </w:r>
      <w:r w:rsidR="006E391E">
        <w:rPr>
          <w:rFonts w:hint="cs"/>
          <w:rtl/>
        </w:rPr>
        <w:t>.</w:t>
      </w:r>
    </w:p>
    <w:p w:rsidR="006E391E" w:rsidRDefault="006E391E" w:rsidP="006E391E">
      <w:pPr>
        <w:pStyle w:val="Heading1AR"/>
        <w:rPr>
          <w:rtl/>
        </w:rPr>
      </w:pPr>
      <w:r>
        <w:rPr>
          <w:rFonts w:hint="cs"/>
          <w:rtl/>
        </w:rPr>
        <w:t>التدابير التي اتخذتها الأمانة حتى الآن</w:t>
      </w:r>
    </w:p>
    <w:p w:rsidR="006E391E" w:rsidRDefault="006E391E" w:rsidP="009B3631">
      <w:pPr>
        <w:pStyle w:val="NumberedParaAR"/>
        <w:tabs>
          <w:tab w:val="clear" w:pos="567"/>
        </w:tabs>
      </w:pPr>
      <w:r>
        <w:rPr>
          <w:rFonts w:hint="cs"/>
          <w:rtl/>
        </w:rPr>
        <w:t xml:space="preserve">جمعت الأمانة </w:t>
      </w:r>
      <w:r w:rsidR="00E071FB">
        <w:rPr>
          <w:rFonts w:hint="cs"/>
          <w:rtl/>
        </w:rPr>
        <w:t>ال</w:t>
      </w:r>
      <w:r>
        <w:rPr>
          <w:rFonts w:hint="cs"/>
          <w:rtl/>
        </w:rPr>
        <w:t>معلومات</w:t>
      </w:r>
      <w:r w:rsidR="00E071FB">
        <w:rPr>
          <w:rFonts w:hint="cs"/>
          <w:rtl/>
        </w:rPr>
        <w:t xml:space="preserve"> اللازمة</w:t>
      </w:r>
      <w:r>
        <w:rPr>
          <w:rFonts w:hint="cs"/>
          <w:rtl/>
        </w:rPr>
        <w:t xml:space="preserve"> عن التدفق النقدي </w:t>
      </w:r>
      <w:r w:rsidR="009B3631">
        <w:rPr>
          <w:rFonts w:hint="cs"/>
          <w:rtl/>
        </w:rPr>
        <w:t>لتحليل</w:t>
      </w:r>
      <w:r>
        <w:rPr>
          <w:rFonts w:hint="cs"/>
          <w:rtl/>
        </w:rPr>
        <w:t xml:space="preserve"> المخاطر والمزايا المنبثقة عن تنفيذ استراتيجية التحوط المقترحة. وركز التحليل على </w:t>
      </w:r>
      <w:r w:rsidR="00E614C8">
        <w:rPr>
          <w:rFonts w:hint="cs"/>
          <w:rtl/>
        </w:rPr>
        <w:t>تجميع معلومات مفصلة عن التدفق النقدي</w:t>
      </w:r>
      <w:r w:rsidR="0014429C">
        <w:rPr>
          <w:rFonts w:hint="cs"/>
          <w:rtl/>
        </w:rPr>
        <w:t xml:space="preserve"> للويبو</w:t>
      </w:r>
      <w:r w:rsidR="00E614C8">
        <w:rPr>
          <w:rFonts w:hint="cs"/>
          <w:rtl/>
        </w:rPr>
        <w:t xml:space="preserve"> بكل من العملات الثلاث (الدولار الأمريكي واليورو والين الياباني) عن الفترة الممتدة من 1 يناير 2015 إلى 31 مايو 2016 </w:t>
      </w:r>
      <w:r w:rsidR="0014429C">
        <w:rPr>
          <w:rFonts w:hint="cs"/>
          <w:rtl/>
        </w:rPr>
        <w:t>ل</w:t>
      </w:r>
      <w:r w:rsidR="00E614C8">
        <w:rPr>
          <w:rFonts w:hint="cs"/>
          <w:rtl/>
        </w:rPr>
        <w:t xml:space="preserve">مقارنة المبالغ الصافية </w:t>
      </w:r>
      <w:r w:rsidR="0014429C">
        <w:rPr>
          <w:rFonts w:hint="cs"/>
          <w:rtl/>
        </w:rPr>
        <w:t>المتوفرة</w:t>
      </w:r>
      <w:r w:rsidR="00E614C8">
        <w:rPr>
          <w:rFonts w:hint="cs"/>
          <w:rtl/>
        </w:rPr>
        <w:t xml:space="preserve"> بالعملات الثلاث لشراء عقود آجلة </w:t>
      </w:r>
      <w:r w:rsidR="0014429C">
        <w:rPr>
          <w:rFonts w:hint="cs"/>
          <w:rtl/>
        </w:rPr>
        <w:t>و</w:t>
      </w:r>
      <w:r w:rsidR="00E071FB">
        <w:rPr>
          <w:rFonts w:hint="cs"/>
          <w:rtl/>
        </w:rPr>
        <w:t>النسبتين</w:t>
      </w:r>
      <w:r w:rsidR="00E614C8">
        <w:rPr>
          <w:rFonts w:hint="cs"/>
          <w:rtl/>
        </w:rPr>
        <w:t xml:space="preserve"> </w:t>
      </w:r>
      <w:r w:rsidR="00E071FB">
        <w:rPr>
          <w:rFonts w:hint="cs"/>
          <w:rtl/>
        </w:rPr>
        <w:t>اللتين</w:t>
      </w:r>
      <w:r w:rsidR="00E614C8">
        <w:rPr>
          <w:rFonts w:hint="cs"/>
          <w:rtl/>
        </w:rPr>
        <w:t xml:space="preserve"> اقترحه</w:t>
      </w:r>
      <w:r w:rsidR="00E071FB">
        <w:rPr>
          <w:rFonts w:hint="cs"/>
          <w:rtl/>
        </w:rPr>
        <w:t>م</w:t>
      </w:r>
      <w:r w:rsidR="00E614C8">
        <w:rPr>
          <w:rFonts w:hint="cs"/>
          <w:rtl/>
        </w:rPr>
        <w:t xml:space="preserve">ا المكتب الاستشاري </w:t>
      </w:r>
      <w:r w:rsidR="00E071FB">
        <w:rPr>
          <w:rFonts w:hint="cs"/>
          <w:rtl/>
        </w:rPr>
        <w:t>(انظر</w:t>
      </w:r>
      <w:r w:rsidR="00E071FB">
        <w:rPr>
          <w:rFonts w:hint="eastAsia"/>
          <w:rtl/>
        </w:rPr>
        <w:t> </w:t>
      </w:r>
      <w:r w:rsidR="00E071FB">
        <w:rPr>
          <w:rFonts w:hint="cs"/>
          <w:rtl/>
        </w:rPr>
        <w:t>الفقرة 4 من هذه الوثيقة)</w:t>
      </w:r>
      <w:r w:rsidR="00E614C8">
        <w:rPr>
          <w:rFonts w:hint="cs"/>
          <w:rtl/>
        </w:rPr>
        <w:t>. وأعدت تقارير التدفق النقدي باستخدام المعلومات المتاحة في نظام المحاسبة (</w:t>
      </w:r>
      <w:r w:rsidR="00E614C8">
        <w:t>AIMS</w:t>
      </w:r>
      <w:r w:rsidR="00E071FB">
        <w:rPr>
          <w:rFonts w:hint="cs"/>
          <w:rtl/>
        </w:rPr>
        <w:t>). وترد في الفقرات التالية</w:t>
      </w:r>
      <w:r w:rsidR="00E614C8">
        <w:rPr>
          <w:rFonts w:hint="cs"/>
          <w:rtl/>
        </w:rPr>
        <w:t xml:space="preserve"> المبالغ الصافية </w:t>
      </w:r>
      <w:r w:rsidR="0014429C">
        <w:rPr>
          <w:rFonts w:hint="cs"/>
          <w:rtl/>
        </w:rPr>
        <w:t>المتوفرة</w:t>
      </w:r>
      <w:r w:rsidR="00E614C8">
        <w:rPr>
          <w:rFonts w:hint="cs"/>
          <w:rtl/>
        </w:rPr>
        <w:t xml:space="preserve"> بكل من العملات الثلاث.</w:t>
      </w:r>
    </w:p>
    <w:p w:rsidR="00E614C8" w:rsidRDefault="00E614C8" w:rsidP="00E614C8">
      <w:pPr>
        <w:pStyle w:val="NormalParaAR"/>
        <w:keepNext/>
        <w:rPr>
          <w:rtl/>
        </w:rPr>
      </w:pPr>
      <w:r>
        <w:rPr>
          <w:rFonts w:hint="cs"/>
          <w:rtl/>
        </w:rPr>
        <w:lastRenderedPageBreak/>
        <w:t>الدولار الأمريكي</w:t>
      </w:r>
    </w:p>
    <w:p w:rsidR="00E614C8" w:rsidRDefault="00E614C8" w:rsidP="009B3631">
      <w:pPr>
        <w:pStyle w:val="NumberedParaAR"/>
        <w:keepLines/>
        <w:tabs>
          <w:tab w:val="clear" w:pos="567"/>
        </w:tabs>
      </w:pPr>
      <w:r>
        <w:rPr>
          <w:rFonts w:hint="cs"/>
          <w:rtl/>
        </w:rPr>
        <w:t xml:space="preserve">تبيَّن من التدفق النقدي الفعلي للويبو بالدولار الأمريكي </w:t>
      </w:r>
      <w:r w:rsidR="00B650AE">
        <w:rPr>
          <w:rFonts w:hint="cs"/>
          <w:rtl/>
        </w:rPr>
        <w:t>من</w:t>
      </w:r>
      <w:r>
        <w:rPr>
          <w:rFonts w:hint="cs"/>
          <w:rtl/>
        </w:rPr>
        <w:t xml:space="preserve"> </w:t>
      </w:r>
      <w:r w:rsidR="00B650AE">
        <w:rPr>
          <w:rFonts w:hint="cs"/>
          <w:rtl/>
        </w:rPr>
        <w:t xml:space="preserve">1 </w:t>
      </w:r>
      <w:r>
        <w:rPr>
          <w:rFonts w:hint="cs"/>
          <w:rtl/>
        </w:rPr>
        <w:t xml:space="preserve">يناير </w:t>
      </w:r>
      <w:r w:rsidR="00B650AE">
        <w:rPr>
          <w:rFonts w:hint="cs"/>
          <w:rtl/>
        </w:rPr>
        <w:t>2015</w:t>
      </w:r>
      <w:r>
        <w:rPr>
          <w:rFonts w:hint="cs"/>
          <w:rtl/>
        </w:rPr>
        <w:t xml:space="preserve"> </w:t>
      </w:r>
      <w:r w:rsidR="00B650AE">
        <w:rPr>
          <w:rFonts w:hint="cs"/>
          <w:rtl/>
        </w:rPr>
        <w:t>إلى</w:t>
      </w:r>
      <w:r>
        <w:rPr>
          <w:rFonts w:hint="cs"/>
          <w:rtl/>
        </w:rPr>
        <w:t xml:space="preserve"> 31 مايو 2016 أن المبلغ الفعلي المت</w:t>
      </w:r>
      <w:r w:rsidR="0014429C">
        <w:rPr>
          <w:rFonts w:hint="cs"/>
          <w:rtl/>
        </w:rPr>
        <w:t>وفر</w:t>
      </w:r>
      <w:r>
        <w:rPr>
          <w:rFonts w:hint="cs"/>
          <w:rtl/>
        </w:rPr>
        <w:t xml:space="preserve"> </w:t>
      </w:r>
      <w:r w:rsidR="00FA05D2">
        <w:rPr>
          <w:rFonts w:hint="cs"/>
          <w:rtl/>
        </w:rPr>
        <w:t>بتلك العملة</w:t>
      </w:r>
      <w:r>
        <w:rPr>
          <w:rFonts w:hint="cs"/>
          <w:rtl/>
        </w:rPr>
        <w:t xml:space="preserve"> لشراء عقود آجلة كان أقل من المقدَّر. </w:t>
      </w:r>
      <w:r w:rsidR="00FA05D2">
        <w:rPr>
          <w:rFonts w:hint="cs"/>
          <w:rtl/>
        </w:rPr>
        <w:t>ويذكَّر بأن</w:t>
      </w:r>
      <w:r w:rsidR="00E071FB">
        <w:rPr>
          <w:rFonts w:hint="cs"/>
          <w:rtl/>
        </w:rPr>
        <w:t xml:space="preserve"> وثيقة</w:t>
      </w:r>
      <w:r>
        <w:rPr>
          <w:rFonts w:hint="cs"/>
          <w:rtl/>
        </w:rPr>
        <w:t xml:space="preserve"> </w:t>
      </w:r>
      <w:r w:rsidR="00E13354">
        <w:rPr>
          <w:rFonts w:hint="cs"/>
          <w:rtl/>
        </w:rPr>
        <w:t>متابعة</w:t>
      </w:r>
      <w:r>
        <w:rPr>
          <w:rFonts w:hint="cs"/>
          <w:rtl/>
        </w:rPr>
        <w:t xml:space="preserve"> استراتيجية التحوط لإيرادات معاهدة البراءات المقدَّم</w:t>
      </w:r>
      <w:r w:rsidR="00E071FB">
        <w:rPr>
          <w:rFonts w:hint="cs"/>
          <w:rtl/>
        </w:rPr>
        <w:t>ة</w:t>
      </w:r>
      <w:r>
        <w:rPr>
          <w:rFonts w:hint="cs"/>
          <w:rtl/>
        </w:rPr>
        <w:t xml:space="preserve"> إلى لجنة البرنامج والميزانية في عام 2015 (انظر الفقرة 12 من الوثيقة </w:t>
      </w:r>
      <w:r>
        <w:t>WO/PBC/24/INF.3</w:t>
      </w:r>
      <w:r>
        <w:rPr>
          <w:rFonts w:hint="cs"/>
          <w:rtl/>
        </w:rPr>
        <w:t xml:space="preserve">) </w:t>
      </w:r>
      <w:r w:rsidR="00FA05D2">
        <w:rPr>
          <w:rFonts w:hint="cs"/>
          <w:rtl/>
        </w:rPr>
        <w:t>قد</w:t>
      </w:r>
      <w:r w:rsidR="009B3631">
        <w:rPr>
          <w:rFonts w:hint="eastAsia"/>
          <w:rtl/>
        </w:rPr>
        <w:t> </w:t>
      </w:r>
      <w:r w:rsidR="00FA05D2">
        <w:rPr>
          <w:rFonts w:hint="cs"/>
          <w:rtl/>
        </w:rPr>
        <w:t xml:space="preserve">استندت </w:t>
      </w:r>
      <w:r>
        <w:rPr>
          <w:rFonts w:hint="cs"/>
          <w:rtl/>
        </w:rPr>
        <w:t>إلى بيانات عام 2014 والنصف الأول من عام 2015</w:t>
      </w:r>
      <w:r w:rsidR="00E071FB">
        <w:rPr>
          <w:rFonts w:hint="cs"/>
          <w:rtl/>
        </w:rPr>
        <w:t>؛</w:t>
      </w:r>
      <w:r w:rsidR="009B3631">
        <w:rPr>
          <w:rFonts w:hint="cs"/>
          <w:rtl/>
        </w:rPr>
        <w:t xml:space="preserve"> وقدِّ</w:t>
      </w:r>
      <w:r>
        <w:rPr>
          <w:rFonts w:hint="cs"/>
          <w:rtl/>
        </w:rPr>
        <w:t xml:space="preserve">ر </w:t>
      </w:r>
      <w:r w:rsidR="005A2F37">
        <w:rPr>
          <w:rFonts w:hint="cs"/>
          <w:rtl/>
        </w:rPr>
        <w:t xml:space="preserve">فيها </w:t>
      </w:r>
      <w:r>
        <w:rPr>
          <w:rFonts w:hint="cs"/>
          <w:rtl/>
        </w:rPr>
        <w:t xml:space="preserve">أن 45 بالمئة من إيرادات </w:t>
      </w:r>
      <w:r w:rsidR="00627A7A">
        <w:rPr>
          <w:rFonts w:hint="cs"/>
          <w:rtl/>
        </w:rPr>
        <w:t xml:space="preserve">رسوم </w:t>
      </w:r>
      <w:r>
        <w:rPr>
          <w:rFonts w:hint="cs"/>
          <w:rtl/>
        </w:rPr>
        <w:t>معاهدة البراءات المحصَّلة بالدولار الأمريكي س</w:t>
      </w:r>
      <w:r w:rsidR="000558F8">
        <w:rPr>
          <w:rFonts w:hint="cs"/>
          <w:rtl/>
        </w:rPr>
        <w:t>ي</w:t>
      </w:r>
      <w:r>
        <w:rPr>
          <w:rFonts w:hint="cs"/>
          <w:rtl/>
        </w:rPr>
        <w:t xml:space="preserve">كفي لتغطية التزامات الويبو </w:t>
      </w:r>
      <w:r w:rsidR="000558F8">
        <w:rPr>
          <w:rFonts w:hint="cs"/>
          <w:rtl/>
        </w:rPr>
        <w:t>بتلك</w:t>
      </w:r>
      <w:r>
        <w:rPr>
          <w:rFonts w:hint="cs"/>
          <w:rtl/>
        </w:rPr>
        <w:t xml:space="preserve"> العملة. وشملت هذه الالتزامات </w:t>
      </w:r>
      <w:r w:rsidR="000558F8">
        <w:rPr>
          <w:rFonts w:hint="cs"/>
          <w:rtl/>
        </w:rPr>
        <w:t>دفع</w:t>
      </w:r>
      <w:r w:rsidR="00627A7A">
        <w:rPr>
          <w:rFonts w:hint="cs"/>
          <w:rtl/>
        </w:rPr>
        <w:t xml:space="preserve"> الاشتراكات</w:t>
      </w:r>
      <w:r w:rsidR="00572CF1">
        <w:rPr>
          <w:rFonts w:hint="cs"/>
          <w:rtl/>
        </w:rPr>
        <w:t xml:space="preserve"> في صندوق الأمم المتحدة المشترك للمعاشات التقاعدية، و</w:t>
      </w:r>
      <w:r w:rsidR="00B24FE6">
        <w:rPr>
          <w:rFonts w:hint="cs"/>
          <w:rtl/>
        </w:rPr>
        <w:t>سداد</w:t>
      </w:r>
      <w:r w:rsidR="000558F8">
        <w:rPr>
          <w:rFonts w:hint="cs"/>
          <w:rtl/>
        </w:rPr>
        <w:t xml:space="preserve"> </w:t>
      </w:r>
      <w:r w:rsidR="00572CF1">
        <w:rPr>
          <w:rFonts w:hint="cs"/>
          <w:rtl/>
        </w:rPr>
        <w:t xml:space="preserve">رسوم </w:t>
      </w:r>
      <w:r w:rsidR="00572CF1" w:rsidRPr="003F504E">
        <w:rPr>
          <w:rtl/>
        </w:rPr>
        <w:t>المركز الدولي للحساب الإلكتروني</w:t>
      </w:r>
      <w:r w:rsidR="00572CF1">
        <w:rPr>
          <w:rFonts w:hint="cs"/>
          <w:rtl/>
        </w:rPr>
        <w:t xml:space="preserve">، </w:t>
      </w:r>
      <w:r w:rsidR="00E840A7">
        <w:rPr>
          <w:rFonts w:hint="cs"/>
          <w:rtl/>
        </w:rPr>
        <w:t>واستيفاء حسابات دائنة أخرى</w:t>
      </w:r>
      <w:r w:rsidR="00572CF1">
        <w:rPr>
          <w:rFonts w:hint="cs"/>
          <w:rtl/>
        </w:rPr>
        <w:t>؛ و</w:t>
      </w:r>
      <w:r w:rsidR="00627A7A">
        <w:rPr>
          <w:rFonts w:hint="cs"/>
          <w:rtl/>
        </w:rPr>
        <w:t>عليه،</w:t>
      </w:r>
      <w:r w:rsidR="00E840A7">
        <w:rPr>
          <w:rFonts w:hint="eastAsia"/>
          <w:rtl/>
        </w:rPr>
        <w:t> </w:t>
      </w:r>
      <w:r w:rsidR="000558F8">
        <w:rPr>
          <w:rFonts w:hint="cs"/>
          <w:rtl/>
        </w:rPr>
        <w:t>خل</w:t>
      </w:r>
      <w:r w:rsidR="00627A7A">
        <w:rPr>
          <w:rFonts w:hint="cs"/>
          <w:rtl/>
        </w:rPr>
        <w:t xml:space="preserve">ص التقرير إلى </w:t>
      </w:r>
      <w:r w:rsidR="00572CF1">
        <w:rPr>
          <w:rFonts w:hint="cs"/>
          <w:rtl/>
        </w:rPr>
        <w:t>توفر</w:t>
      </w:r>
      <w:r w:rsidR="00627A7A">
        <w:rPr>
          <w:rFonts w:hint="cs"/>
          <w:rtl/>
        </w:rPr>
        <w:t xml:space="preserve"> 55 بالمئة من</w:t>
      </w:r>
      <w:r w:rsidR="005A2F37">
        <w:rPr>
          <w:rFonts w:hint="cs"/>
          <w:rtl/>
        </w:rPr>
        <w:t xml:space="preserve"> تلك</w:t>
      </w:r>
      <w:r w:rsidR="00627A7A">
        <w:rPr>
          <w:rFonts w:hint="cs"/>
          <w:rtl/>
        </w:rPr>
        <w:t xml:space="preserve"> الإيرادات لشراء عقود </w:t>
      </w:r>
      <w:r w:rsidR="00572CF1">
        <w:rPr>
          <w:rFonts w:hint="cs"/>
          <w:rtl/>
        </w:rPr>
        <w:t>آجلة.</w:t>
      </w:r>
    </w:p>
    <w:p w:rsidR="00572CF1" w:rsidRDefault="00572CF1" w:rsidP="009B3631">
      <w:pPr>
        <w:pStyle w:val="NumberedParaAR"/>
        <w:tabs>
          <w:tab w:val="clear" w:pos="567"/>
        </w:tabs>
      </w:pPr>
      <w:r>
        <w:rPr>
          <w:rFonts w:hint="cs"/>
          <w:rtl/>
        </w:rPr>
        <w:t xml:space="preserve">ولكن في الواقع، </w:t>
      </w:r>
      <w:r w:rsidR="00627A7A">
        <w:rPr>
          <w:rFonts w:hint="cs"/>
          <w:rtl/>
        </w:rPr>
        <w:t>أنفقت</w:t>
      </w:r>
      <w:r w:rsidR="000B0A0F">
        <w:rPr>
          <w:rFonts w:hint="cs"/>
          <w:rtl/>
        </w:rPr>
        <w:t xml:space="preserve"> المنظمة 63.2 بالمئة من إيرادات </w:t>
      </w:r>
      <w:r w:rsidR="00627A7A">
        <w:rPr>
          <w:rFonts w:hint="cs"/>
          <w:rtl/>
        </w:rPr>
        <w:t xml:space="preserve">رسوم </w:t>
      </w:r>
      <w:r w:rsidR="000B0A0F">
        <w:rPr>
          <w:rFonts w:hint="cs"/>
          <w:rtl/>
        </w:rPr>
        <w:t>معاهدة البراءات المحصَّلة بالدولار الأمريكي لتغطية التزاماتها ب</w:t>
      </w:r>
      <w:r w:rsidR="000558F8">
        <w:rPr>
          <w:rFonts w:hint="cs"/>
          <w:rtl/>
        </w:rPr>
        <w:t>تلك</w:t>
      </w:r>
      <w:r w:rsidR="000B0A0F">
        <w:rPr>
          <w:rFonts w:hint="cs"/>
          <w:rtl/>
        </w:rPr>
        <w:t xml:space="preserve"> العملة في الفترة الممتدة من 1 يناير 2015 إلى 31 مايو </w:t>
      </w:r>
      <w:r w:rsidR="00B650AE">
        <w:rPr>
          <w:rFonts w:hint="cs"/>
          <w:rtl/>
        </w:rPr>
        <w:t xml:space="preserve">2016؛ </w:t>
      </w:r>
      <w:r w:rsidR="00627A7A">
        <w:rPr>
          <w:rFonts w:hint="cs"/>
          <w:rtl/>
        </w:rPr>
        <w:t>فلم</w:t>
      </w:r>
      <w:r w:rsidR="000B0A0F">
        <w:rPr>
          <w:rFonts w:hint="cs"/>
          <w:rtl/>
        </w:rPr>
        <w:t xml:space="preserve"> </w:t>
      </w:r>
      <w:r w:rsidR="00B650AE">
        <w:rPr>
          <w:rFonts w:hint="cs"/>
          <w:rtl/>
        </w:rPr>
        <w:t xml:space="preserve">يتبقَ منها </w:t>
      </w:r>
      <w:r w:rsidR="000558F8">
        <w:rPr>
          <w:rFonts w:hint="cs"/>
          <w:rtl/>
        </w:rPr>
        <w:t>سوى</w:t>
      </w:r>
      <w:r w:rsidR="00B650AE">
        <w:rPr>
          <w:rFonts w:hint="cs"/>
          <w:rtl/>
        </w:rPr>
        <w:t xml:space="preserve"> </w:t>
      </w:r>
      <w:r w:rsidR="000B0A0F">
        <w:rPr>
          <w:rFonts w:hint="cs"/>
          <w:rtl/>
        </w:rPr>
        <w:t xml:space="preserve">36.8 بالمئة لشراء عقود آجلة. ويعزى الفارق بين النسبة المقدَّرة المقدَّمة إلى لجنة البرنامج والميزانية في عام 2015 والنسبة الفعلية </w:t>
      </w:r>
      <w:r w:rsidR="00B650AE">
        <w:rPr>
          <w:rFonts w:hint="cs"/>
          <w:rtl/>
        </w:rPr>
        <w:t xml:space="preserve">المتوفرة </w:t>
      </w:r>
      <w:r w:rsidR="000B0A0F">
        <w:rPr>
          <w:rFonts w:hint="cs"/>
          <w:rtl/>
        </w:rPr>
        <w:t xml:space="preserve">لشراء عقود آجلة إلى أن </w:t>
      </w:r>
      <w:r w:rsidR="00CF11FC">
        <w:rPr>
          <w:rFonts w:hint="cs"/>
          <w:rtl/>
        </w:rPr>
        <w:t>أحد ال</w:t>
      </w:r>
      <w:r w:rsidR="000B0A0F">
        <w:rPr>
          <w:rFonts w:hint="cs"/>
          <w:rtl/>
        </w:rPr>
        <w:t>مك</w:t>
      </w:r>
      <w:r w:rsidR="00CF11FC">
        <w:rPr>
          <w:rFonts w:hint="cs"/>
          <w:rtl/>
        </w:rPr>
        <w:t>ا</w:t>
      </w:r>
      <w:r w:rsidR="000B0A0F">
        <w:rPr>
          <w:rFonts w:hint="cs"/>
          <w:rtl/>
        </w:rPr>
        <w:t xml:space="preserve">تب </w:t>
      </w:r>
      <w:r w:rsidR="00CF11FC">
        <w:rPr>
          <w:rFonts w:hint="cs"/>
          <w:rtl/>
        </w:rPr>
        <w:t>ال</w:t>
      </w:r>
      <w:r w:rsidR="000B0A0F">
        <w:rPr>
          <w:rFonts w:hint="cs"/>
          <w:rtl/>
        </w:rPr>
        <w:t>رئيسي</w:t>
      </w:r>
      <w:r w:rsidR="00CF11FC">
        <w:rPr>
          <w:rFonts w:hint="cs"/>
          <w:rtl/>
        </w:rPr>
        <w:t>ة</w:t>
      </w:r>
      <w:r w:rsidR="000B0A0F">
        <w:rPr>
          <w:rFonts w:hint="cs"/>
          <w:rtl/>
        </w:rPr>
        <w:t xml:space="preserve"> </w:t>
      </w:r>
      <w:r w:rsidR="00CF11FC">
        <w:rPr>
          <w:rFonts w:hint="cs"/>
          <w:rtl/>
        </w:rPr>
        <w:t>ل</w:t>
      </w:r>
      <w:r w:rsidR="000B0A0F">
        <w:rPr>
          <w:rFonts w:hint="cs"/>
          <w:rtl/>
        </w:rPr>
        <w:t xml:space="preserve">تسلّم الطلبات بناء على معاهدة البراءات غيَّر </w:t>
      </w:r>
      <w:r w:rsidR="00CF11FC">
        <w:rPr>
          <w:rFonts w:hint="cs"/>
          <w:rtl/>
        </w:rPr>
        <w:t>عملة تحصيله</w:t>
      </w:r>
      <w:r w:rsidR="000B0A0F">
        <w:rPr>
          <w:rFonts w:hint="cs"/>
          <w:rtl/>
        </w:rPr>
        <w:t xml:space="preserve"> رسوم الإيداع الدولي من الدولار الأمريكي إلى الفرنك السويسري.</w:t>
      </w:r>
    </w:p>
    <w:p w:rsidR="000B0A0F" w:rsidRDefault="000B0A0F" w:rsidP="008D4D41">
      <w:pPr>
        <w:pStyle w:val="NumberedParaAR"/>
        <w:tabs>
          <w:tab w:val="clear" w:pos="567"/>
        </w:tabs>
      </w:pPr>
      <w:r>
        <w:rPr>
          <w:rFonts w:hint="cs"/>
          <w:rtl/>
        </w:rPr>
        <w:t xml:space="preserve">وفضلاً عن ذلك، </w:t>
      </w:r>
      <w:r w:rsidR="00CF11FC">
        <w:rPr>
          <w:rFonts w:hint="cs"/>
          <w:rtl/>
        </w:rPr>
        <w:t>يتفاوت</w:t>
      </w:r>
      <w:r>
        <w:rPr>
          <w:rFonts w:hint="cs"/>
          <w:rtl/>
        </w:rPr>
        <w:t xml:space="preserve"> التدفق النقدي لإيرادات </w:t>
      </w:r>
      <w:r w:rsidR="00CF11FC">
        <w:rPr>
          <w:rFonts w:hint="cs"/>
          <w:rtl/>
        </w:rPr>
        <w:t xml:space="preserve">رسوم </w:t>
      </w:r>
      <w:r>
        <w:rPr>
          <w:rFonts w:hint="cs"/>
          <w:rtl/>
        </w:rPr>
        <w:t>معاهدة البراءات</w:t>
      </w:r>
      <w:r w:rsidR="00CF11FC">
        <w:rPr>
          <w:rFonts w:hint="cs"/>
          <w:rtl/>
        </w:rPr>
        <w:t xml:space="preserve"> المحصَّلة بالدولار الأمريكي</w:t>
      </w:r>
      <w:r>
        <w:rPr>
          <w:rFonts w:hint="cs"/>
          <w:rtl/>
        </w:rPr>
        <w:t xml:space="preserve"> </w:t>
      </w:r>
      <w:r w:rsidR="00CF11FC">
        <w:rPr>
          <w:rFonts w:hint="cs"/>
          <w:rtl/>
        </w:rPr>
        <w:t xml:space="preserve">تفاوتاً شديداً </w:t>
      </w:r>
      <w:r>
        <w:rPr>
          <w:rFonts w:hint="cs"/>
          <w:rtl/>
        </w:rPr>
        <w:t>من شهر إلى آخر</w:t>
      </w:r>
      <w:r w:rsidR="00CF11FC">
        <w:rPr>
          <w:rFonts w:hint="cs"/>
          <w:rtl/>
        </w:rPr>
        <w:t xml:space="preserve"> كما يتضح من الجدول والرسم البياني التاليين؛ </w:t>
      </w:r>
      <w:r w:rsidR="008D4D41">
        <w:rPr>
          <w:rFonts w:hint="cs"/>
          <w:rtl/>
        </w:rPr>
        <w:t>فيصبح</w:t>
      </w:r>
      <w:r>
        <w:rPr>
          <w:rFonts w:hint="cs"/>
          <w:rtl/>
        </w:rPr>
        <w:t xml:space="preserve"> من الصعب تقدير المبلغ </w:t>
      </w:r>
      <w:r w:rsidR="00CF11FC">
        <w:rPr>
          <w:rFonts w:hint="cs"/>
          <w:rtl/>
        </w:rPr>
        <w:t>المتوفر</w:t>
      </w:r>
      <w:r>
        <w:rPr>
          <w:rFonts w:hint="cs"/>
          <w:rtl/>
        </w:rPr>
        <w:t xml:space="preserve"> لشراء العقود الآجلة. وعلى الرغم من أن التقديرات الإجمالية للطلبات المودعة التي </w:t>
      </w:r>
      <w:r w:rsidR="00CF11FC">
        <w:rPr>
          <w:rFonts w:hint="cs"/>
          <w:rtl/>
        </w:rPr>
        <w:t>أعدها</w:t>
      </w:r>
      <w:r>
        <w:rPr>
          <w:rFonts w:hint="cs"/>
          <w:rtl/>
        </w:rPr>
        <w:t xml:space="preserve"> </w:t>
      </w:r>
      <w:r w:rsidRPr="000B0A0F">
        <w:rPr>
          <w:rtl/>
        </w:rPr>
        <w:t>قسم تطوير البيانات التابع لشعبة الدراسات الاقتصادية والإحصاءات</w:t>
      </w:r>
      <w:r>
        <w:rPr>
          <w:rFonts w:hint="cs"/>
          <w:rtl/>
        </w:rPr>
        <w:t xml:space="preserve"> كانت في غاية الدقة، </w:t>
      </w:r>
      <w:r w:rsidR="00CF11FC">
        <w:rPr>
          <w:rFonts w:hint="cs"/>
          <w:rtl/>
        </w:rPr>
        <w:t>فإن</w:t>
      </w:r>
      <w:r w:rsidR="00842031">
        <w:rPr>
          <w:rFonts w:hint="cs"/>
          <w:rtl/>
        </w:rPr>
        <w:t xml:space="preserve"> </w:t>
      </w:r>
      <w:r w:rsidR="00CF11FC">
        <w:rPr>
          <w:rFonts w:hint="cs"/>
          <w:rtl/>
        </w:rPr>
        <w:t>تقدير</w:t>
      </w:r>
      <w:r w:rsidR="00842031">
        <w:rPr>
          <w:rFonts w:hint="cs"/>
          <w:rtl/>
        </w:rPr>
        <w:t xml:space="preserve"> التفاوت الشهري للتدفق النقدي</w:t>
      </w:r>
      <w:r w:rsidR="00CF11FC">
        <w:rPr>
          <w:rFonts w:hint="cs"/>
          <w:rtl/>
        </w:rPr>
        <w:t xml:space="preserve"> صعب</w:t>
      </w:r>
      <w:r w:rsidR="00842031">
        <w:rPr>
          <w:rFonts w:hint="cs"/>
          <w:rtl/>
        </w:rPr>
        <w:t>.</w:t>
      </w:r>
      <w:r w:rsidR="00CF11FC">
        <w:rPr>
          <w:rFonts w:hint="cs"/>
          <w:rtl/>
        </w:rPr>
        <w:t xml:space="preserve"> ويُلاحظ من</w:t>
      </w:r>
      <w:r w:rsidR="00842031">
        <w:rPr>
          <w:rFonts w:hint="cs"/>
          <w:rtl/>
        </w:rPr>
        <w:t xml:space="preserve"> الجدول التالي أن صافي الإيرادات بعد </w:t>
      </w:r>
      <w:r w:rsidR="00B24FE6">
        <w:rPr>
          <w:rFonts w:hint="cs"/>
          <w:rtl/>
        </w:rPr>
        <w:t>سداد</w:t>
      </w:r>
      <w:r w:rsidR="00842031">
        <w:rPr>
          <w:rFonts w:hint="cs"/>
          <w:rtl/>
        </w:rPr>
        <w:t xml:space="preserve"> التزامات الويبو بالدولار الأمريكي كان أقل من 10 بالمئة من </w:t>
      </w:r>
      <w:r w:rsidR="00CF11FC">
        <w:rPr>
          <w:rFonts w:hint="cs"/>
          <w:rtl/>
        </w:rPr>
        <w:t xml:space="preserve">إجمالي </w:t>
      </w:r>
      <w:r w:rsidR="00842031">
        <w:rPr>
          <w:rFonts w:hint="cs"/>
          <w:rtl/>
        </w:rPr>
        <w:t xml:space="preserve">الإيرادات </w:t>
      </w:r>
      <w:r w:rsidR="00CF11FC">
        <w:rPr>
          <w:rFonts w:hint="cs"/>
          <w:rtl/>
        </w:rPr>
        <w:t>المسجَّلة</w:t>
      </w:r>
      <w:r w:rsidR="00842031">
        <w:rPr>
          <w:rFonts w:hint="cs"/>
          <w:rtl/>
        </w:rPr>
        <w:t xml:space="preserve"> خلال عدة أشه</w:t>
      </w:r>
      <w:r w:rsidR="00CF11FC">
        <w:rPr>
          <w:rFonts w:hint="cs"/>
          <w:rtl/>
        </w:rPr>
        <w:t>ر. ويذكَّر بأن الشهر الذي تجاوز</w:t>
      </w:r>
      <w:r w:rsidR="00842031">
        <w:rPr>
          <w:rFonts w:hint="cs"/>
          <w:rtl/>
        </w:rPr>
        <w:t xml:space="preserve"> فيه صافي الإيرادات بالدولار الأمريكي 70 بالمئة كان نتيجة تغير في الإطار القانوني الأمريكي الذي ينظ</w:t>
      </w:r>
      <w:r w:rsidR="009B3631">
        <w:rPr>
          <w:rFonts w:hint="cs"/>
          <w:rtl/>
        </w:rPr>
        <w:t>ِّ</w:t>
      </w:r>
      <w:r w:rsidR="00842031">
        <w:rPr>
          <w:rFonts w:hint="cs"/>
          <w:rtl/>
        </w:rPr>
        <w:t xml:space="preserve">م إيداع الطلبات بناء على معاهدة البراءات، ما أدى إلى زيادة كبيرة في عدد الإيداعات ومن ثم </w:t>
      </w:r>
      <w:r w:rsidR="00CF11FC">
        <w:rPr>
          <w:rFonts w:hint="cs"/>
          <w:rtl/>
        </w:rPr>
        <w:t>زيادة</w:t>
      </w:r>
      <w:r w:rsidR="009B3631">
        <w:rPr>
          <w:rFonts w:hint="cs"/>
          <w:rtl/>
        </w:rPr>
        <w:t xml:space="preserve"> في</w:t>
      </w:r>
      <w:r w:rsidR="00842031">
        <w:rPr>
          <w:rFonts w:hint="cs"/>
          <w:rtl/>
        </w:rPr>
        <w:t xml:space="preserve"> تدفق الرسوم بالدولار الأمريكي.</w:t>
      </w:r>
    </w:p>
    <w:tbl>
      <w:tblPr>
        <w:bidiVisual/>
        <w:tblW w:w="4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3034"/>
      </w:tblGrid>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bCs/>
                <w:color w:val="000000"/>
                <w:sz w:val="28"/>
                <w:szCs w:val="28"/>
              </w:rPr>
            </w:pPr>
            <w:r w:rsidRPr="00D01BD8">
              <w:rPr>
                <w:rFonts w:ascii="Arabic Typesetting" w:hAnsi="Arabic Typesetting" w:cs="Arabic Typesetting"/>
                <w:bCs/>
                <w:color w:val="000000"/>
                <w:sz w:val="28"/>
                <w:szCs w:val="28"/>
                <w:rtl/>
              </w:rPr>
              <w:t>الشهر</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bCs/>
                <w:color w:val="000000"/>
                <w:sz w:val="28"/>
                <w:szCs w:val="28"/>
              </w:rPr>
            </w:pPr>
            <w:r w:rsidRPr="00D01BD8">
              <w:rPr>
                <w:rFonts w:ascii="Arabic Typesetting" w:hAnsi="Arabic Typesetting" w:cs="Arabic Typesetting"/>
                <w:bCs/>
                <w:color w:val="000000"/>
                <w:sz w:val="28"/>
                <w:szCs w:val="28"/>
                <w:rtl/>
              </w:rPr>
              <w:t>النسبة المئوية لإيرادات معاهدة البراءات المحص</w:t>
            </w:r>
            <w:r w:rsidR="00CF11FC" w:rsidRPr="00D01BD8">
              <w:rPr>
                <w:rFonts w:ascii="Arabic Typesetting" w:hAnsi="Arabic Typesetting" w:cs="Arabic Typesetting"/>
                <w:bCs/>
                <w:color w:val="000000"/>
                <w:sz w:val="28"/>
                <w:szCs w:val="28"/>
                <w:rtl/>
              </w:rPr>
              <w:t>َّ</w:t>
            </w:r>
            <w:r w:rsidRPr="00D01BD8">
              <w:rPr>
                <w:rFonts w:ascii="Arabic Typesetting" w:hAnsi="Arabic Typesetting" w:cs="Arabic Typesetting"/>
                <w:bCs/>
                <w:color w:val="000000"/>
                <w:sz w:val="28"/>
                <w:szCs w:val="28"/>
                <w:rtl/>
              </w:rPr>
              <w:t xml:space="preserve">لة بالدولار الأمريكي </w:t>
            </w:r>
            <w:r w:rsidR="00CF11FC" w:rsidRPr="00D01BD8">
              <w:rPr>
                <w:rFonts w:ascii="Arabic Typesetting" w:hAnsi="Arabic Typesetting" w:cs="Arabic Typesetting"/>
                <w:bCs/>
                <w:color w:val="000000"/>
                <w:sz w:val="28"/>
                <w:szCs w:val="28"/>
                <w:rtl/>
              </w:rPr>
              <w:t>والمتوفرة</w:t>
            </w:r>
            <w:r w:rsidRPr="00D01BD8">
              <w:rPr>
                <w:rFonts w:ascii="Arabic Typesetting" w:hAnsi="Arabic Typesetting" w:cs="Arabic Typesetting"/>
                <w:bCs/>
                <w:color w:val="000000"/>
                <w:sz w:val="28"/>
                <w:szCs w:val="28"/>
                <w:rtl/>
              </w:rPr>
              <w:t xml:space="preserve"> لشراء عقود آجلة</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يناير 2015</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%45.6</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فبراير 2015</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%23.0</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مارس 2015</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%42.0</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أبريل 2015</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%71.6</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مايو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%34.1</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يونيو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%49.9</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يوليو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%46.2</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أغسطس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%6.5</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سبتمبر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%39.2</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أكتوبر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%24.5</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نوفمبر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%47.0</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ديسمبر 2015</w:t>
            </w:r>
          </w:p>
        </w:tc>
        <w:tc>
          <w:tcPr>
            <w:tcW w:w="3034" w:type="dxa"/>
            <w:shd w:val="clear" w:color="auto" w:fill="auto"/>
            <w:noWrap/>
            <w:vAlign w:val="center"/>
            <w:hideMark/>
          </w:tcPr>
          <w:p w:rsidR="007B3BDF" w:rsidRPr="00D01BD8" w:rsidRDefault="006E391E"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%1.9-</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jc w:val="right"/>
              <w:rPr>
                <w:rFonts w:ascii="Arabic Typesetting" w:hAnsi="Arabic Typesetting" w:cs="Arabic Typesetting"/>
                <w:bCs/>
                <w:color w:val="000000"/>
                <w:sz w:val="28"/>
                <w:szCs w:val="28"/>
              </w:rPr>
            </w:pPr>
            <w:r w:rsidRPr="00D01BD8">
              <w:rPr>
                <w:rFonts w:ascii="Arabic Typesetting" w:hAnsi="Arabic Typesetting" w:cs="Arabic Typesetting"/>
                <w:bCs/>
                <w:color w:val="000000"/>
                <w:sz w:val="28"/>
                <w:szCs w:val="28"/>
                <w:rtl/>
              </w:rPr>
              <w:t>متوسط 2015</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b/>
                <w:color w:val="000000"/>
                <w:sz w:val="28"/>
                <w:szCs w:val="28"/>
              </w:rPr>
            </w:pPr>
            <w:r w:rsidRPr="00D01BD8">
              <w:rPr>
                <w:rFonts w:ascii="Arabic Typesetting" w:hAnsi="Arabic Typesetting" w:cs="Arabic Typesetting"/>
                <w:b/>
                <w:color w:val="000000"/>
                <w:sz w:val="28"/>
                <w:szCs w:val="28"/>
              </w:rPr>
              <w:t>%38.3</w:t>
            </w:r>
          </w:p>
        </w:tc>
      </w:tr>
      <w:tr w:rsidR="0068035B" w:rsidRPr="00D01BD8" w:rsidTr="007C1EE0">
        <w:trPr>
          <w:cantSplit/>
          <w:trHeight w:val="47"/>
          <w:jc w:val="center"/>
        </w:trPr>
        <w:tc>
          <w:tcPr>
            <w:tcW w:w="1580" w:type="dxa"/>
            <w:shd w:val="clear" w:color="auto" w:fill="auto"/>
            <w:noWrap/>
            <w:vAlign w:val="center"/>
          </w:tcPr>
          <w:p w:rsidR="0068035B" w:rsidRPr="00D01BD8" w:rsidRDefault="0068035B" w:rsidP="00D01BD8">
            <w:pPr>
              <w:bidi/>
              <w:spacing w:after="0" w:line="240" w:lineRule="auto"/>
              <w:jc w:val="right"/>
              <w:rPr>
                <w:rFonts w:ascii="Arabic Typesetting" w:hAnsi="Arabic Typesetting" w:cs="Arabic Typesetting"/>
                <w:bCs/>
                <w:color w:val="000000"/>
                <w:sz w:val="28"/>
                <w:szCs w:val="28"/>
                <w:rtl/>
              </w:rPr>
            </w:pPr>
          </w:p>
        </w:tc>
        <w:tc>
          <w:tcPr>
            <w:tcW w:w="3034" w:type="dxa"/>
            <w:shd w:val="clear" w:color="auto" w:fill="auto"/>
            <w:noWrap/>
            <w:vAlign w:val="center"/>
          </w:tcPr>
          <w:p w:rsidR="0068035B" w:rsidRPr="00D01BD8" w:rsidRDefault="0068035B" w:rsidP="00D01BD8">
            <w:pPr>
              <w:bidi/>
              <w:spacing w:after="0" w:line="240" w:lineRule="auto"/>
              <w:jc w:val="center"/>
              <w:rPr>
                <w:rFonts w:ascii="Arabic Typesetting" w:hAnsi="Arabic Typesetting" w:cs="Arabic Typesetting"/>
                <w:b/>
                <w:color w:val="000000"/>
                <w:sz w:val="28"/>
                <w:szCs w:val="28"/>
              </w:rPr>
            </w:pP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keepNext/>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lastRenderedPageBreak/>
              <w:t>يناير 2016</w:t>
            </w:r>
          </w:p>
        </w:tc>
        <w:tc>
          <w:tcPr>
            <w:tcW w:w="3034" w:type="dxa"/>
            <w:shd w:val="clear" w:color="auto" w:fill="auto"/>
            <w:noWrap/>
            <w:vAlign w:val="center"/>
            <w:hideMark/>
          </w:tcPr>
          <w:p w:rsidR="007B3BDF" w:rsidRPr="00D01BD8" w:rsidRDefault="00E37DB9" w:rsidP="00D01BD8">
            <w:pPr>
              <w:keepNext/>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%48.9</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فبراير 2016</w:t>
            </w:r>
          </w:p>
        </w:tc>
        <w:tc>
          <w:tcPr>
            <w:tcW w:w="3034" w:type="dxa"/>
            <w:shd w:val="clear" w:color="auto" w:fill="auto"/>
            <w:noWrap/>
            <w:vAlign w:val="center"/>
            <w:hideMark/>
          </w:tcPr>
          <w:p w:rsidR="007B3BDF" w:rsidRPr="00D01BD8" w:rsidRDefault="006E391E"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%6.4-</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مارس 2016</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%42.5</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أبريل 2016</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%51.9</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tl/>
              </w:rPr>
              <w:t>مايو 2016</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color w:val="000000"/>
                <w:sz w:val="28"/>
                <w:szCs w:val="28"/>
              </w:rPr>
            </w:pPr>
            <w:r w:rsidRPr="00D01BD8">
              <w:rPr>
                <w:rFonts w:ascii="Arabic Typesetting" w:hAnsi="Arabic Typesetting" w:cs="Arabic Typesetting"/>
                <w:color w:val="000000"/>
                <w:sz w:val="28"/>
                <w:szCs w:val="28"/>
              </w:rPr>
              <w:t>%18.6</w:t>
            </w: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jc w:val="right"/>
              <w:rPr>
                <w:rFonts w:ascii="Arabic Typesetting" w:hAnsi="Arabic Typesetting" w:cs="Arabic Typesetting"/>
                <w:bCs/>
                <w:color w:val="000000"/>
                <w:sz w:val="28"/>
                <w:szCs w:val="28"/>
              </w:rPr>
            </w:pPr>
            <w:r w:rsidRPr="00D01BD8">
              <w:rPr>
                <w:rFonts w:ascii="Arabic Typesetting" w:hAnsi="Arabic Typesetting" w:cs="Arabic Typesetting"/>
                <w:bCs/>
                <w:color w:val="000000"/>
                <w:sz w:val="28"/>
                <w:szCs w:val="28"/>
                <w:rtl/>
              </w:rPr>
              <w:t>متوسط 2016</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b/>
                <w:color w:val="000000"/>
                <w:sz w:val="28"/>
                <w:szCs w:val="28"/>
              </w:rPr>
            </w:pPr>
            <w:r w:rsidRPr="00D01BD8">
              <w:rPr>
                <w:rFonts w:ascii="Arabic Typesetting" w:hAnsi="Arabic Typesetting" w:cs="Arabic Typesetting"/>
                <w:b/>
                <w:color w:val="000000"/>
                <w:sz w:val="28"/>
                <w:szCs w:val="28"/>
              </w:rPr>
              <w:t>%32.8</w:t>
            </w:r>
          </w:p>
        </w:tc>
      </w:tr>
      <w:tr w:rsidR="003267BA" w:rsidRPr="00D01BD8" w:rsidTr="007C1EE0">
        <w:trPr>
          <w:cantSplit/>
          <w:trHeight w:val="20"/>
          <w:jc w:val="center"/>
        </w:trPr>
        <w:tc>
          <w:tcPr>
            <w:tcW w:w="1580" w:type="dxa"/>
            <w:shd w:val="clear" w:color="auto" w:fill="auto"/>
            <w:noWrap/>
            <w:vAlign w:val="center"/>
          </w:tcPr>
          <w:p w:rsidR="003267BA" w:rsidRPr="00D01BD8" w:rsidRDefault="003267BA" w:rsidP="00D01BD8">
            <w:pPr>
              <w:bidi/>
              <w:spacing w:after="0" w:line="240" w:lineRule="auto"/>
              <w:jc w:val="right"/>
              <w:rPr>
                <w:rFonts w:ascii="Arabic Typesetting" w:hAnsi="Arabic Typesetting" w:cs="Arabic Typesetting"/>
                <w:bCs/>
                <w:color w:val="000000"/>
                <w:sz w:val="28"/>
                <w:szCs w:val="28"/>
                <w:rtl/>
              </w:rPr>
            </w:pPr>
          </w:p>
        </w:tc>
        <w:tc>
          <w:tcPr>
            <w:tcW w:w="3034" w:type="dxa"/>
            <w:shd w:val="clear" w:color="auto" w:fill="auto"/>
            <w:noWrap/>
            <w:vAlign w:val="center"/>
          </w:tcPr>
          <w:p w:rsidR="003267BA" w:rsidRPr="00D01BD8" w:rsidRDefault="003267BA" w:rsidP="00D01BD8">
            <w:pPr>
              <w:bidi/>
              <w:spacing w:after="0" w:line="240" w:lineRule="auto"/>
              <w:jc w:val="center"/>
              <w:rPr>
                <w:rFonts w:ascii="Arabic Typesetting" w:hAnsi="Arabic Typesetting" w:cs="Arabic Typesetting"/>
                <w:b/>
                <w:color w:val="000000"/>
                <w:sz w:val="28"/>
                <w:szCs w:val="28"/>
              </w:rPr>
            </w:pPr>
          </w:p>
        </w:tc>
      </w:tr>
      <w:tr w:rsidR="007B3BDF" w:rsidRPr="00D01BD8" w:rsidTr="007C1EE0">
        <w:trPr>
          <w:cantSplit/>
          <w:trHeight w:val="20"/>
          <w:jc w:val="center"/>
        </w:trPr>
        <w:tc>
          <w:tcPr>
            <w:tcW w:w="1580" w:type="dxa"/>
            <w:shd w:val="clear" w:color="auto" w:fill="auto"/>
            <w:noWrap/>
            <w:vAlign w:val="center"/>
            <w:hideMark/>
          </w:tcPr>
          <w:p w:rsidR="007B3BDF" w:rsidRPr="00D01BD8" w:rsidRDefault="00E37DB9" w:rsidP="00D01BD8">
            <w:pPr>
              <w:bidi/>
              <w:spacing w:after="0" w:line="240" w:lineRule="auto"/>
              <w:jc w:val="right"/>
              <w:rPr>
                <w:rFonts w:ascii="Arabic Typesetting" w:hAnsi="Arabic Typesetting" w:cs="Arabic Typesetting"/>
                <w:bCs/>
                <w:color w:val="000000"/>
                <w:sz w:val="28"/>
                <w:szCs w:val="28"/>
              </w:rPr>
            </w:pPr>
            <w:r w:rsidRPr="00D01BD8">
              <w:rPr>
                <w:rFonts w:ascii="Arabic Typesetting" w:hAnsi="Arabic Typesetting" w:cs="Arabic Typesetting"/>
                <w:bCs/>
                <w:color w:val="000000"/>
                <w:sz w:val="28"/>
                <w:szCs w:val="28"/>
                <w:rtl/>
              </w:rPr>
              <w:t>المتوسط الإجمالي</w:t>
            </w:r>
          </w:p>
        </w:tc>
        <w:tc>
          <w:tcPr>
            <w:tcW w:w="3034" w:type="dxa"/>
            <w:shd w:val="clear" w:color="auto" w:fill="auto"/>
            <w:noWrap/>
            <w:vAlign w:val="center"/>
            <w:hideMark/>
          </w:tcPr>
          <w:p w:rsidR="007B3BDF" w:rsidRPr="00D01BD8" w:rsidRDefault="00E37DB9" w:rsidP="00D01BD8">
            <w:pPr>
              <w:bidi/>
              <w:spacing w:after="0" w:line="240" w:lineRule="auto"/>
              <w:jc w:val="center"/>
              <w:rPr>
                <w:rFonts w:ascii="Arabic Typesetting" w:hAnsi="Arabic Typesetting" w:cs="Arabic Typesetting"/>
                <w:b/>
                <w:color w:val="000000"/>
                <w:sz w:val="28"/>
                <w:szCs w:val="28"/>
              </w:rPr>
            </w:pPr>
            <w:r w:rsidRPr="00D01BD8">
              <w:rPr>
                <w:rFonts w:ascii="Arabic Typesetting" w:hAnsi="Arabic Typesetting" w:cs="Arabic Typesetting"/>
                <w:b/>
                <w:color w:val="000000"/>
                <w:sz w:val="28"/>
                <w:szCs w:val="28"/>
              </w:rPr>
              <w:t>%36.8</w:t>
            </w:r>
          </w:p>
        </w:tc>
      </w:tr>
    </w:tbl>
    <w:p w:rsidR="007B3BDF" w:rsidRDefault="0068035B" w:rsidP="00CA4C8E">
      <w:pPr>
        <w:pStyle w:val="NormalParaAR"/>
        <w:spacing w:before="240" w:line="240" w:lineRule="auto"/>
        <w:jc w:val="center"/>
        <w:rPr>
          <w:rFonts w:eastAsia="SimSun"/>
          <w:lang w:eastAsia="zh-CN"/>
        </w:rPr>
      </w:pPr>
      <w:r>
        <w:rPr>
          <w:noProof/>
        </w:rPr>
        <mc:AlternateContent>
          <mc:Choice Requires="wps">
            <w:drawing>
              <wp:anchor distT="0" distB="0" distL="114300" distR="114300" simplePos="0" relativeHeight="251659264" behindDoc="0" locked="0" layoutInCell="1" allowOverlap="1" wp14:anchorId="76EB84EF" wp14:editId="4457ADE0">
                <wp:simplePos x="0" y="0"/>
                <wp:positionH relativeFrom="column">
                  <wp:posOffset>742249</wp:posOffset>
                </wp:positionH>
                <wp:positionV relativeFrom="paragraph">
                  <wp:posOffset>919480</wp:posOffset>
                </wp:positionV>
                <wp:extent cx="1192378" cy="1828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378" cy="1828800"/>
                        </a:xfrm>
                        <a:prstGeom prst="rect">
                          <a:avLst/>
                        </a:prstGeom>
                        <a:noFill/>
                        <a:ln w="9525">
                          <a:noFill/>
                          <a:miter lim="800000"/>
                          <a:headEnd/>
                          <a:tailEnd/>
                        </a:ln>
                      </wps:spPr>
                      <wps:txbx>
                        <w:txbxContent>
                          <w:p w:rsidR="0058639D" w:rsidRDefault="0058639D" w:rsidP="0068035B">
                            <w:pPr>
                              <w:bidi/>
                              <w:ind w:left="284" w:hanging="284"/>
                              <w:rPr>
                                <w:rFonts w:ascii="Arabic Typesetting" w:hAnsi="Arabic Typesetting" w:cs="Arabic Typesetting"/>
                                <w:sz w:val="28"/>
                                <w:szCs w:val="28"/>
                              </w:rPr>
                            </w:pPr>
                            <w:r w:rsidRPr="00E44425">
                              <w:rPr>
                                <w:rFonts w:ascii="Wingdings" w:hAnsi="Wingdings"/>
                                <w:color w:val="4F81BD" w:themeColor="accent1"/>
                                <w:sz w:val="40"/>
                                <w:szCs w:val="40"/>
                              </w:rPr>
                              <w:t></w:t>
                            </w:r>
                            <w:r>
                              <w:rPr>
                                <w:rFonts w:ascii="Arabic Typesetting" w:hAnsi="Arabic Typesetting" w:cs="Arabic Typesetting"/>
                                <w:sz w:val="28"/>
                                <w:szCs w:val="28"/>
                                <w:rtl/>
                              </w:rPr>
                              <w:tab/>
                            </w:r>
                            <w:r w:rsidRPr="0068035B">
                              <w:rPr>
                                <w:rFonts w:ascii="Arabic Typesetting" w:hAnsi="Arabic Typesetting" w:cs="Arabic Typesetting"/>
                                <w:sz w:val="28"/>
                                <w:szCs w:val="28"/>
                                <w:rtl/>
                              </w:rPr>
                              <w:t>مجموع إيرادات معاهدة البراءات المحص</w:t>
                            </w:r>
                            <w:r>
                              <w:rPr>
                                <w:rFonts w:ascii="Arabic Typesetting" w:hAnsi="Arabic Typesetting" w:cs="Arabic Typesetting" w:hint="cs"/>
                                <w:sz w:val="28"/>
                                <w:szCs w:val="28"/>
                                <w:rtl/>
                              </w:rPr>
                              <w:t>َّ</w:t>
                            </w:r>
                            <w:r w:rsidRPr="0068035B">
                              <w:rPr>
                                <w:rFonts w:ascii="Arabic Typesetting" w:hAnsi="Arabic Typesetting" w:cs="Arabic Typesetting"/>
                                <w:sz w:val="28"/>
                                <w:szCs w:val="28"/>
                                <w:rtl/>
                              </w:rPr>
                              <w:t>لة بالدولار الأمريكي</w:t>
                            </w:r>
                          </w:p>
                          <w:p w:rsidR="0058639D" w:rsidRPr="0068035B" w:rsidRDefault="0058639D" w:rsidP="0068035B">
                            <w:pPr>
                              <w:bidi/>
                              <w:ind w:left="284" w:hanging="284"/>
                              <w:rPr>
                                <w:rFonts w:ascii="Arabic Typesetting" w:hAnsi="Arabic Typesetting" w:cs="Arabic Typesetting"/>
                                <w:sz w:val="28"/>
                                <w:szCs w:val="28"/>
                                <w:rtl/>
                              </w:rPr>
                            </w:pPr>
                            <w:r w:rsidRPr="007C1EE0">
                              <w:rPr>
                                <w:rFonts w:ascii="Wingdings" w:hAnsi="Wingdings"/>
                                <w:color w:val="943634" w:themeColor="accent2" w:themeShade="BF"/>
                                <w:sz w:val="40"/>
                                <w:szCs w:val="40"/>
                              </w:rPr>
                              <w:t></w:t>
                            </w:r>
                            <w:r>
                              <w:rPr>
                                <w:rFonts w:ascii="Wingdings" w:hAnsi="Wingdings" w:hint="cs"/>
                                <w:color w:val="C00000"/>
                                <w:sz w:val="40"/>
                                <w:szCs w:val="40"/>
                                <w:rtl/>
                              </w:rPr>
                              <w:tab/>
                            </w:r>
                            <w:r w:rsidRPr="00E44425">
                              <w:rPr>
                                <w:rFonts w:ascii="Arabic Typesetting" w:hAnsi="Arabic Typesetting" w:cs="Arabic Typesetting" w:hint="cs"/>
                                <w:sz w:val="28"/>
                                <w:szCs w:val="28"/>
                                <w:rtl/>
                              </w:rPr>
                              <w:t>الرصيد المتوفر بالدولار الأمريكي لشراء عقود آجلة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45pt;margin-top:72.4pt;width:93.9pt;height:2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" filled="f" stroked="f">
                <v:textbox>
                  <w:txbxContent>
                    <w:p w:rsidR="0058639D" w:rsidRDefault="0058639D" w:rsidP="0068035B">
                      <w:pPr>
                        <w:bidi/>
                        <w:ind w:left="284" w:hanging="284"/>
                        <w:rPr>
                          <w:rFonts w:ascii="Arabic Typesetting" w:hAnsi="Arabic Typesetting" w:cs="Arabic Typesetting"/>
                          <w:sz w:val="28"/>
                          <w:szCs w:val="28"/>
                        </w:rPr>
                      </w:pPr>
                      <w:r w:rsidRPr="00E44425">
                        <w:rPr>
                          <w:rFonts w:ascii="Wingdings" w:hAnsi="Wingdings"/>
                          <w:color w:val="4F81BD" w:themeColor="accent1"/>
                          <w:sz w:val="40"/>
                          <w:szCs w:val="40"/>
                        </w:rPr>
                        <w:t></w:t>
                      </w:r>
                      <w:r>
                        <w:rPr>
                          <w:rFonts w:ascii="Arabic Typesetting" w:hAnsi="Arabic Typesetting" w:cs="Arabic Typesetting"/>
                          <w:sz w:val="28"/>
                          <w:szCs w:val="28"/>
                          <w:rtl/>
                        </w:rPr>
                        <w:tab/>
                      </w:r>
                      <w:r w:rsidRPr="0068035B">
                        <w:rPr>
                          <w:rFonts w:ascii="Arabic Typesetting" w:hAnsi="Arabic Typesetting" w:cs="Arabic Typesetting"/>
                          <w:sz w:val="28"/>
                          <w:szCs w:val="28"/>
                          <w:rtl/>
                        </w:rPr>
                        <w:t>مجموع إيرادات معاهدة البراءات المحص</w:t>
                      </w:r>
                      <w:r>
                        <w:rPr>
                          <w:rFonts w:ascii="Arabic Typesetting" w:hAnsi="Arabic Typesetting" w:cs="Arabic Typesetting" w:hint="cs"/>
                          <w:sz w:val="28"/>
                          <w:szCs w:val="28"/>
                          <w:rtl/>
                        </w:rPr>
                        <w:t>َّ</w:t>
                      </w:r>
                      <w:r w:rsidRPr="0068035B">
                        <w:rPr>
                          <w:rFonts w:ascii="Arabic Typesetting" w:hAnsi="Arabic Typesetting" w:cs="Arabic Typesetting"/>
                          <w:sz w:val="28"/>
                          <w:szCs w:val="28"/>
                          <w:rtl/>
                        </w:rPr>
                        <w:t>لة بالدولار الأمريكي</w:t>
                      </w:r>
                    </w:p>
                    <w:p w:rsidR="0058639D" w:rsidRPr="0068035B" w:rsidRDefault="0058639D" w:rsidP="0068035B">
                      <w:pPr>
                        <w:bidi/>
                        <w:ind w:left="284" w:hanging="284"/>
                        <w:rPr>
                          <w:rFonts w:ascii="Arabic Typesetting" w:hAnsi="Arabic Typesetting" w:cs="Arabic Typesetting"/>
                          <w:sz w:val="28"/>
                          <w:szCs w:val="28"/>
                          <w:rtl/>
                        </w:rPr>
                      </w:pPr>
                      <w:r w:rsidRPr="007C1EE0">
                        <w:rPr>
                          <w:rFonts w:ascii="Wingdings" w:hAnsi="Wingdings"/>
                          <w:color w:val="943634" w:themeColor="accent2" w:themeShade="BF"/>
                          <w:sz w:val="40"/>
                          <w:szCs w:val="40"/>
                        </w:rPr>
                        <w:t></w:t>
                      </w:r>
                      <w:r>
                        <w:rPr>
                          <w:rFonts w:ascii="Wingdings" w:hAnsi="Wingdings" w:hint="cs"/>
                          <w:color w:val="C00000"/>
                          <w:sz w:val="40"/>
                          <w:szCs w:val="40"/>
                          <w:rtl/>
                        </w:rPr>
                        <w:tab/>
                      </w:r>
                      <w:r w:rsidRPr="00E44425">
                        <w:rPr>
                          <w:rFonts w:ascii="Arabic Typesetting" w:hAnsi="Arabic Typesetting" w:cs="Arabic Typesetting" w:hint="cs"/>
                          <w:sz w:val="28"/>
                          <w:szCs w:val="28"/>
                          <w:rtl/>
                        </w:rPr>
                        <w:t>الرصيد المتوفر بالدولار الأمريكي لشراء عقود آجلة</w:t>
                      </w:r>
                    </w:p>
                  </w:txbxContent>
                </v:textbox>
              </v:shape>
            </w:pict>
          </mc:Fallback>
        </mc:AlternateContent>
      </w:r>
      <w:r w:rsidR="007B3BDF" w:rsidRPr="007B3BDF">
        <w:rPr>
          <w:rFonts w:eastAsia="SimSun"/>
          <w:noProof/>
        </w:rPr>
        <w:drawing>
          <wp:inline distT="0" distB="0" distL="0" distR="0" wp14:anchorId="400F4BFA" wp14:editId="25E27968">
            <wp:extent cx="4447642" cy="3372308"/>
            <wp:effectExtent l="0" t="0" r="1016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42031" w:rsidRDefault="007F5739" w:rsidP="00F8413B">
      <w:pPr>
        <w:pStyle w:val="NumberedParaAR"/>
        <w:tabs>
          <w:tab w:val="clear" w:pos="567"/>
        </w:tabs>
      </w:pPr>
      <w:r>
        <w:rPr>
          <w:rFonts w:hint="cs"/>
          <w:rtl/>
        </w:rPr>
        <w:t>وكما يتبين من الجدول والرسم البياني السابقين، لم تتوفر أموال كافية بالدولار الأمريكي لتغطية نسبة التحوط الدنيا لإيرادات</w:t>
      </w:r>
      <w:r w:rsidR="007C1EE0">
        <w:rPr>
          <w:rFonts w:hint="cs"/>
          <w:rtl/>
        </w:rPr>
        <w:t xml:space="preserve"> رسوم</w:t>
      </w:r>
      <w:r>
        <w:rPr>
          <w:rFonts w:hint="cs"/>
          <w:rtl/>
        </w:rPr>
        <w:t xml:space="preserve"> معاهدة البراءات</w:t>
      </w:r>
      <w:r w:rsidR="007C1EE0">
        <w:rPr>
          <w:rFonts w:hint="cs"/>
          <w:rtl/>
        </w:rPr>
        <w:t xml:space="preserve"> المحصَّلة بالدولار الأمريكي</w:t>
      </w:r>
      <w:r>
        <w:rPr>
          <w:rFonts w:hint="cs"/>
          <w:rtl/>
        </w:rPr>
        <w:t xml:space="preserve"> (70 بالمئة) إلا في شهر واحد </w:t>
      </w:r>
      <w:r w:rsidR="009B3631">
        <w:rPr>
          <w:rFonts w:hint="cs"/>
          <w:rtl/>
        </w:rPr>
        <w:t>على مدى</w:t>
      </w:r>
      <w:r>
        <w:rPr>
          <w:rFonts w:hint="cs"/>
          <w:rtl/>
        </w:rPr>
        <w:t xml:space="preserve"> 17 شهراً نتيجة تغير في الإطار القانوني الأمريكي الذي ينظ</w:t>
      </w:r>
      <w:r w:rsidR="009B3631">
        <w:rPr>
          <w:rFonts w:hint="cs"/>
          <w:rtl/>
        </w:rPr>
        <w:t>ِّ</w:t>
      </w:r>
      <w:r>
        <w:rPr>
          <w:rFonts w:hint="cs"/>
          <w:rtl/>
        </w:rPr>
        <w:t xml:space="preserve">م إيداع الطلبات بناء على معاهدة البراءات. </w:t>
      </w:r>
      <w:r w:rsidR="007C1EE0">
        <w:rPr>
          <w:rFonts w:hint="cs"/>
          <w:rtl/>
        </w:rPr>
        <w:t>ولما كان</w:t>
      </w:r>
      <w:r>
        <w:rPr>
          <w:rFonts w:hint="cs"/>
          <w:rtl/>
        </w:rPr>
        <w:t xml:space="preserve"> 40 بالمئة من إيرادات</w:t>
      </w:r>
      <w:r w:rsidR="007C1EE0">
        <w:rPr>
          <w:rFonts w:hint="cs"/>
          <w:rtl/>
        </w:rPr>
        <w:t xml:space="preserve"> رسوم</w:t>
      </w:r>
      <w:r>
        <w:rPr>
          <w:rFonts w:hint="cs"/>
          <w:rtl/>
        </w:rPr>
        <w:t xml:space="preserve"> معاهدة البراءات محصَّل</w:t>
      </w:r>
      <w:r w:rsidR="005A2F37">
        <w:rPr>
          <w:rFonts w:hint="cs"/>
          <w:rtl/>
        </w:rPr>
        <w:t>اً</w:t>
      </w:r>
      <w:r>
        <w:rPr>
          <w:rFonts w:hint="cs"/>
          <w:rtl/>
        </w:rPr>
        <w:t xml:space="preserve"> بالدولار الأمريكي، فإن افتقار الويبو </w:t>
      </w:r>
      <w:r w:rsidR="007C1EE0">
        <w:rPr>
          <w:rFonts w:hint="cs"/>
          <w:rtl/>
        </w:rPr>
        <w:t>لرصيد كافٍ</w:t>
      </w:r>
      <w:r>
        <w:rPr>
          <w:rFonts w:hint="cs"/>
          <w:rtl/>
        </w:rPr>
        <w:t xml:space="preserve"> بالدولار الأمريكي لشراء عقود آجلة </w:t>
      </w:r>
      <w:r w:rsidR="00D01BD8">
        <w:rPr>
          <w:rFonts w:hint="cs"/>
          <w:rtl/>
        </w:rPr>
        <w:t>كان</w:t>
      </w:r>
      <w:r w:rsidR="007C1EE0">
        <w:rPr>
          <w:rFonts w:hint="cs"/>
          <w:rtl/>
        </w:rPr>
        <w:t xml:space="preserve"> </w:t>
      </w:r>
      <w:r w:rsidR="00D01BD8">
        <w:rPr>
          <w:rFonts w:hint="cs"/>
          <w:rtl/>
        </w:rPr>
        <w:t>س</w:t>
      </w:r>
      <w:r w:rsidR="005A2F37">
        <w:rPr>
          <w:rFonts w:hint="cs"/>
          <w:rtl/>
        </w:rPr>
        <w:t>يعرضها لم</w:t>
      </w:r>
      <w:r>
        <w:rPr>
          <w:rFonts w:hint="cs"/>
          <w:rtl/>
        </w:rPr>
        <w:t xml:space="preserve">خاطر كبيرة </w:t>
      </w:r>
      <w:r w:rsidR="00E840A7">
        <w:rPr>
          <w:rFonts w:hint="cs"/>
          <w:rtl/>
        </w:rPr>
        <w:t>بسبب تقلب</w:t>
      </w:r>
      <w:r>
        <w:rPr>
          <w:rFonts w:hint="cs"/>
          <w:rtl/>
        </w:rPr>
        <w:t xml:space="preserve"> </w:t>
      </w:r>
      <w:r w:rsidR="00E840A7">
        <w:rPr>
          <w:rFonts w:hint="cs"/>
          <w:rtl/>
        </w:rPr>
        <w:t>أ</w:t>
      </w:r>
      <w:r>
        <w:rPr>
          <w:rFonts w:hint="cs"/>
          <w:rtl/>
        </w:rPr>
        <w:t>سع</w:t>
      </w:r>
      <w:r w:rsidR="00E840A7">
        <w:rPr>
          <w:rFonts w:hint="cs"/>
          <w:rtl/>
        </w:rPr>
        <w:t>ا</w:t>
      </w:r>
      <w:r>
        <w:rPr>
          <w:rFonts w:hint="cs"/>
          <w:rtl/>
        </w:rPr>
        <w:t xml:space="preserve">ر الصرف </w:t>
      </w:r>
      <w:r w:rsidR="00A91233">
        <w:rPr>
          <w:rFonts w:hint="cs"/>
          <w:rtl/>
        </w:rPr>
        <w:t xml:space="preserve">بل </w:t>
      </w:r>
      <w:r w:rsidR="007C1EE0">
        <w:rPr>
          <w:rFonts w:hint="cs"/>
          <w:rtl/>
        </w:rPr>
        <w:t xml:space="preserve">قد </w:t>
      </w:r>
      <w:r w:rsidR="00A91233">
        <w:rPr>
          <w:rFonts w:hint="cs"/>
          <w:rtl/>
        </w:rPr>
        <w:t>ي</w:t>
      </w:r>
      <w:r>
        <w:rPr>
          <w:rFonts w:hint="cs"/>
          <w:rtl/>
        </w:rPr>
        <w:t>ؤثر</w:t>
      </w:r>
      <w:r w:rsidR="007C1EE0">
        <w:rPr>
          <w:rFonts w:hint="cs"/>
          <w:rtl/>
        </w:rPr>
        <w:t xml:space="preserve"> </w:t>
      </w:r>
      <w:r>
        <w:rPr>
          <w:rFonts w:hint="cs"/>
          <w:rtl/>
        </w:rPr>
        <w:t xml:space="preserve">في استقرار ميزانية المنظمة. ولا شك في أن هذه المخاطر كانت ستتفاقم عقب </w:t>
      </w:r>
      <w:r w:rsidR="007C1EE0">
        <w:rPr>
          <w:rFonts w:hint="cs"/>
          <w:rtl/>
        </w:rPr>
        <w:t>الإلغاء المقترح ل</w:t>
      </w:r>
      <w:r>
        <w:rPr>
          <w:rFonts w:hint="cs"/>
          <w:rtl/>
        </w:rPr>
        <w:t xml:space="preserve">آلية </w:t>
      </w:r>
      <w:r w:rsidR="007C1EE0">
        <w:rPr>
          <w:rFonts w:hint="cs"/>
          <w:rtl/>
        </w:rPr>
        <w:t>تسوية</w:t>
      </w:r>
      <w:r>
        <w:rPr>
          <w:rFonts w:hint="cs"/>
          <w:rtl/>
        </w:rPr>
        <w:t xml:space="preserve"> </w:t>
      </w:r>
      <w:r w:rsidR="007C1EE0">
        <w:rPr>
          <w:rFonts w:hint="cs"/>
          <w:rtl/>
        </w:rPr>
        <w:t>الرسوم</w:t>
      </w:r>
      <w:r>
        <w:rPr>
          <w:rFonts w:hint="cs"/>
          <w:rtl/>
        </w:rPr>
        <w:t xml:space="preserve"> المعادلة بعملات غير الفرنك السويسري التي</w:t>
      </w:r>
      <w:r w:rsidR="00D01BD8">
        <w:rPr>
          <w:rFonts w:hint="eastAsia"/>
          <w:rtl/>
        </w:rPr>
        <w:t> </w:t>
      </w:r>
      <w:r>
        <w:rPr>
          <w:rFonts w:hint="cs"/>
          <w:rtl/>
        </w:rPr>
        <w:t>تمك</w:t>
      </w:r>
      <w:r w:rsidR="00D01BD8">
        <w:rPr>
          <w:rFonts w:hint="cs"/>
          <w:rtl/>
        </w:rPr>
        <w:t>ِّ</w:t>
      </w:r>
      <w:r>
        <w:rPr>
          <w:rFonts w:hint="cs"/>
          <w:rtl/>
        </w:rPr>
        <w:t xml:space="preserve">ن المكتب الدولي من الاستجابة في وقت قصير نسبياً لتقلب أسعار الصرف </w:t>
      </w:r>
      <w:r w:rsidR="007C1EE0">
        <w:rPr>
          <w:rFonts w:hint="cs"/>
          <w:rtl/>
        </w:rPr>
        <w:t xml:space="preserve">مثلما </w:t>
      </w:r>
      <w:r w:rsidR="00A91233">
        <w:rPr>
          <w:rFonts w:hint="cs"/>
          <w:rtl/>
        </w:rPr>
        <w:t>ترتب على</w:t>
      </w:r>
      <w:r>
        <w:rPr>
          <w:rFonts w:hint="cs"/>
          <w:rtl/>
        </w:rPr>
        <w:t xml:space="preserve"> قرار البنك المركزي السويسري في يناير 2015 بفصل</w:t>
      </w:r>
      <w:r w:rsidR="000A1241">
        <w:rPr>
          <w:rFonts w:hint="cs"/>
          <w:rtl/>
        </w:rPr>
        <w:t xml:space="preserve"> سعر الفرنك السويسري عن اليورو. </w:t>
      </w:r>
      <w:r w:rsidR="009B3631">
        <w:rPr>
          <w:rFonts w:hint="cs"/>
          <w:rtl/>
        </w:rPr>
        <w:t>ولولا آلية تسوية الرسوم المعادلة</w:t>
      </w:r>
      <w:r w:rsidR="000A1241">
        <w:rPr>
          <w:rFonts w:hint="cs"/>
          <w:rtl/>
        </w:rPr>
        <w:t xml:space="preserve"> </w:t>
      </w:r>
      <w:r w:rsidR="007C1EE0">
        <w:rPr>
          <w:rFonts w:hint="cs"/>
          <w:rtl/>
        </w:rPr>
        <w:t xml:space="preserve">والتحوط </w:t>
      </w:r>
      <w:r w:rsidR="00E12168">
        <w:rPr>
          <w:rFonts w:hint="cs"/>
          <w:rtl/>
        </w:rPr>
        <w:t>ل</w:t>
      </w:r>
      <w:r w:rsidR="007C1EE0">
        <w:rPr>
          <w:rFonts w:hint="cs"/>
          <w:rtl/>
        </w:rPr>
        <w:t>نسبة</w:t>
      </w:r>
      <w:r w:rsidR="009B3631">
        <w:rPr>
          <w:rFonts w:hint="cs"/>
          <w:rtl/>
        </w:rPr>
        <w:t xml:space="preserve"> لا تزيد على</w:t>
      </w:r>
      <w:r w:rsidR="000A1241">
        <w:rPr>
          <w:rFonts w:hint="cs"/>
          <w:rtl/>
        </w:rPr>
        <w:t xml:space="preserve"> 40 بالمئة من إيرادات </w:t>
      </w:r>
      <w:r w:rsidR="00F8413B">
        <w:rPr>
          <w:rFonts w:hint="cs"/>
          <w:rtl/>
        </w:rPr>
        <w:t xml:space="preserve">رسوم </w:t>
      </w:r>
      <w:r w:rsidR="000A1241">
        <w:rPr>
          <w:rFonts w:hint="cs"/>
          <w:rtl/>
        </w:rPr>
        <w:t>معاهدة البراءات المحص</w:t>
      </w:r>
      <w:r w:rsidR="007C1EE0">
        <w:rPr>
          <w:rFonts w:hint="cs"/>
          <w:rtl/>
        </w:rPr>
        <w:t>َّ</w:t>
      </w:r>
      <w:r w:rsidR="000A1241">
        <w:rPr>
          <w:rFonts w:hint="cs"/>
          <w:rtl/>
        </w:rPr>
        <w:t>لة بالدولار الأمريكي</w:t>
      </w:r>
      <w:r w:rsidR="009B3631">
        <w:rPr>
          <w:rFonts w:hint="cs"/>
          <w:rtl/>
        </w:rPr>
        <w:t>، لت</w:t>
      </w:r>
      <w:r w:rsidR="000A1241">
        <w:rPr>
          <w:rFonts w:hint="cs"/>
          <w:rtl/>
        </w:rPr>
        <w:t>كبد</w:t>
      </w:r>
      <w:r w:rsidR="009B3631">
        <w:rPr>
          <w:rFonts w:hint="cs"/>
          <w:rtl/>
        </w:rPr>
        <w:t>ت</w:t>
      </w:r>
      <w:r w:rsidR="000A1241">
        <w:rPr>
          <w:rFonts w:hint="cs"/>
          <w:rtl/>
        </w:rPr>
        <w:t xml:space="preserve"> الويب</w:t>
      </w:r>
      <w:r w:rsidR="00A91233">
        <w:rPr>
          <w:rFonts w:hint="cs"/>
          <w:rtl/>
        </w:rPr>
        <w:t xml:space="preserve">و خسائر جسيمة بسبب </w:t>
      </w:r>
      <w:r w:rsidR="009B3631">
        <w:rPr>
          <w:rFonts w:hint="cs"/>
          <w:rtl/>
        </w:rPr>
        <w:t>تقلب</w:t>
      </w:r>
      <w:r w:rsidR="00A91233">
        <w:rPr>
          <w:rFonts w:hint="cs"/>
          <w:rtl/>
        </w:rPr>
        <w:t xml:space="preserve"> </w:t>
      </w:r>
      <w:r w:rsidR="00FA05D2">
        <w:rPr>
          <w:rFonts w:hint="cs"/>
          <w:rtl/>
        </w:rPr>
        <w:t>أ</w:t>
      </w:r>
      <w:r w:rsidR="00A91233">
        <w:rPr>
          <w:rFonts w:hint="cs"/>
          <w:rtl/>
        </w:rPr>
        <w:t>سع</w:t>
      </w:r>
      <w:r w:rsidR="00FA05D2">
        <w:rPr>
          <w:rFonts w:hint="cs"/>
          <w:rtl/>
        </w:rPr>
        <w:t>ا</w:t>
      </w:r>
      <w:r w:rsidR="00A91233">
        <w:rPr>
          <w:rFonts w:hint="cs"/>
          <w:rtl/>
        </w:rPr>
        <w:t xml:space="preserve">ر الصرف </w:t>
      </w:r>
      <w:r w:rsidR="00F8413B">
        <w:rPr>
          <w:rFonts w:hint="cs"/>
          <w:rtl/>
        </w:rPr>
        <w:t xml:space="preserve">وانخفضت </w:t>
      </w:r>
      <w:r w:rsidR="000A1241">
        <w:rPr>
          <w:rFonts w:hint="cs"/>
          <w:rtl/>
        </w:rPr>
        <w:t>النتيجة الصافية لعام 2015 والاحتياطي المالي</w:t>
      </w:r>
      <w:r w:rsidR="00A91233">
        <w:rPr>
          <w:rFonts w:hint="cs"/>
          <w:rtl/>
        </w:rPr>
        <w:t xml:space="preserve"> حتى</w:t>
      </w:r>
      <w:r w:rsidR="000A1241">
        <w:rPr>
          <w:rFonts w:hint="cs"/>
          <w:rtl/>
        </w:rPr>
        <w:t xml:space="preserve"> 31 ديسمبر 2015.</w:t>
      </w:r>
    </w:p>
    <w:p w:rsidR="000A1241" w:rsidRDefault="000A1241" w:rsidP="000A1241">
      <w:pPr>
        <w:pStyle w:val="NormalParaAR"/>
        <w:keepNext/>
        <w:rPr>
          <w:rtl/>
        </w:rPr>
      </w:pPr>
      <w:r>
        <w:rPr>
          <w:rFonts w:hint="cs"/>
          <w:rtl/>
        </w:rPr>
        <w:lastRenderedPageBreak/>
        <w:t>اليورو</w:t>
      </w:r>
    </w:p>
    <w:p w:rsidR="000A1241" w:rsidRDefault="000558F8" w:rsidP="00B24FE6">
      <w:pPr>
        <w:pStyle w:val="NumberedParaAR"/>
        <w:keepLines/>
        <w:tabs>
          <w:tab w:val="clear" w:pos="567"/>
        </w:tabs>
      </w:pPr>
      <w:r>
        <w:rPr>
          <w:rFonts w:hint="cs"/>
          <w:rtl/>
        </w:rPr>
        <w:t xml:space="preserve">استندت </w:t>
      </w:r>
      <w:r w:rsidR="000A1241">
        <w:rPr>
          <w:rFonts w:hint="cs"/>
          <w:rtl/>
        </w:rPr>
        <w:t>الوثيقة المقدَّمة إلى لجنة البرنامج والميزانية في عام 2015 (انظر الفقرة 12 من الوثيقة</w:t>
      </w:r>
      <w:r w:rsidR="00B24FE6">
        <w:rPr>
          <w:rFonts w:hint="eastAsia"/>
          <w:rtl/>
        </w:rPr>
        <w:t> </w:t>
      </w:r>
      <w:r w:rsidR="000A1241">
        <w:t>WO/PBC/24/INF.3</w:t>
      </w:r>
      <w:r w:rsidR="000A1241">
        <w:rPr>
          <w:rFonts w:hint="cs"/>
          <w:rtl/>
        </w:rPr>
        <w:t>) إلى بيانات عا</w:t>
      </w:r>
      <w:r>
        <w:rPr>
          <w:rFonts w:hint="cs"/>
          <w:rtl/>
        </w:rPr>
        <w:t xml:space="preserve">م 2014 والنصف الأول من عام 2015، وقدِّر فيها </w:t>
      </w:r>
      <w:r w:rsidR="000A1241">
        <w:rPr>
          <w:rFonts w:hint="cs"/>
          <w:rtl/>
        </w:rPr>
        <w:t>أن 40 بالمئة من إيرادات</w:t>
      </w:r>
      <w:r>
        <w:rPr>
          <w:rFonts w:hint="cs"/>
          <w:rtl/>
        </w:rPr>
        <w:t xml:space="preserve"> رسوم</w:t>
      </w:r>
      <w:r w:rsidR="000A1241">
        <w:rPr>
          <w:rFonts w:hint="cs"/>
          <w:rtl/>
        </w:rPr>
        <w:t xml:space="preserve"> معاهدة البراءات المحصَّلة باليورو س</w:t>
      </w:r>
      <w:r>
        <w:rPr>
          <w:rFonts w:hint="cs"/>
          <w:rtl/>
        </w:rPr>
        <w:t>ي</w:t>
      </w:r>
      <w:r w:rsidR="000A1241">
        <w:rPr>
          <w:rFonts w:hint="cs"/>
          <w:rtl/>
        </w:rPr>
        <w:t>كفي لتغطية التزامات الويبو ب</w:t>
      </w:r>
      <w:r>
        <w:rPr>
          <w:rFonts w:hint="cs"/>
          <w:rtl/>
        </w:rPr>
        <w:t>تلك</w:t>
      </w:r>
      <w:r w:rsidR="000A1241">
        <w:rPr>
          <w:rFonts w:hint="cs"/>
          <w:rtl/>
        </w:rPr>
        <w:t xml:space="preserve"> العملة</w:t>
      </w:r>
      <w:r w:rsidR="00D01BD8">
        <w:rPr>
          <w:rFonts w:hint="cs"/>
          <w:rtl/>
        </w:rPr>
        <w:t xml:space="preserve">. وشملت هذه الالتزامات خصم </w:t>
      </w:r>
      <w:r w:rsidR="000A1241">
        <w:rPr>
          <w:rFonts w:hint="cs"/>
          <w:rtl/>
        </w:rPr>
        <w:t>رسوم البحث الدولي التي يحص</w:t>
      </w:r>
      <w:r w:rsidR="002A61B7">
        <w:rPr>
          <w:rFonts w:hint="cs"/>
          <w:rtl/>
        </w:rPr>
        <w:t>ِّ</w:t>
      </w:r>
      <w:r w:rsidR="000A1241">
        <w:rPr>
          <w:rFonts w:hint="cs"/>
          <w:rtl/>
        </w:rPr>
        <w:t>لها المكتب الدولي</w:t>
      </w:r>
      <w:r>
        <w:rPr>
          <w:rFonts w:hint="cs"/>
          <w:rtl/>
        </w:rPr>
        <w:t>،</w:t>
      </w:r>
      <w:r w:rsidR="000A1241">
        <w:rPr>
          <w:rFonts w:hint="cs"/>
          <w:rtl/>
        </w:rPr>
        <w:t xml:space="preserve"> ورد</w:t>
      </w:r>
      <w:r w:rsidR="00B24FE6">
        <w:rPr>
          <w:rFonts w:hint="cs"/>
          <w:rtl/>
        </w:rPr>
        <w:t>ّ</w:t>
      </w:r>
      <w:r w:rsidR="000A1241">
        <w:rPr>
          <w:rFonts w:hint="cs"/>
          <w:rtl/>
        </w:rPr>
        <w:t xml:space="preserve"> تكاليف السفر المستحقة بتلك العملة</w:t>
      </w:r>
      <w:r>
        <w:rPr>
          <w:rFonts w:hint="cs"/>
          <w:rtl/>
        </w:rPr>
        <w:t>،</w:t>
      </w:r>
      <w:r w:rsidR="000A1241">
        <w:rPr>
          <w:rFonts w:hint="cs"/>
          <w:rtl/>
        </w:rPr>
        <w:t xml:space="preserve"> و</w:t>
      </w:r>
      <w:r w:rsidR="00D01BD8">
        <w:rPr>
          <w:rFonts w:hint="cs"/>
          <w:rtl/>
        </w:rPr>
        <w:t xml:space="preserve">استيفاء </w:t>
      </w:r>
      <w:r w:rsidR="003267BA">
        <w:rPr>
          <w:rFonts w:hint="cs"/>
          <w:rtl/>
        </w:rPr>
        <w:t xml:space="preserve">حسابات </w:t>
      </w:r>
      <w:r w:rsidR="000A1241">
        <w:rPr>
          <w:rFonts w:hint="cs"/>
          <w:rtl/>
        </w:rPr>
        <w:t>دائنة</w:t>
      </w:r>
      <w:r w:rsidR="003267BA">
        <w:rPr>
          <w:rFonts w:hint="cs"/>
          <w:rtl/>
        </w:rPr>
        <w:t xml:space="preserve"> أخرى</w:t>
      </w:r>
      <w:r w:rsidR="000A1241">
        <w:rPr>
          <w:rFonts w:hint="cs"/>
          <w:rtl/>
        </w:rPr>
        <w:t xml:space="preserve">؛ </w:t>
      </w:r>
      <w:r w:rsidR="00D01BD8">
        <w:rPr>
          <w:rFonts w:hint="cs"/>
          <w:rtl/>
        </w:rPr>
        <w:t>وعليه،</w:t>
      </w:r>
      <w:r w:rsidR="00D01BD8">
        <w:rPr>
          <w:rFonts w:hint="eastAsia"/>
          <w:rtl/>
        </w:rPr>
        <w:t> </w:t>
      </w:r>
      <w:r>
        <w:rPr>
          <w:rFonts w:hint="cs"/>
          <w:rtl/>
        </w:rPr>
        <w:t>خل</w:t>
      </w:r>
      <w:r w:rsidR="00D01BD8">
        <w:rPr>
          <w:rFonts w:hint="cs"/>
          <w:rtl/>
        </w:rPr>
        <w:t>ص</w:t>
      </w:r>
      <w:r w:rsidR="003267BA">
        <w:rPr>
          <w:rFonts w:hint="eastAsia"/>
          <w:rtl/>
        </w:rPr>
        <w:t> </w:t>
      </w:r>
      <w:r w:rsidR="00D01BD8">
        <w:rPr>
          <w:rFonts w:hint="cs"/>
          <w:rtl/>
        </w:rPr>
        <w:t xml:space="preserve">التقرير إلى توفر </w:t>
      </w:r>
      <w:r w:rsidR="003722B1">
        <w:rPr>
          <w:rFonts w:hint="cs"/>
          <w:rtl/>
        </w:rPr>
        <w:t>60</w:t>
      </w:r>
      <w:r w:rsidR="000A1241">
        <w:rPr>
          <w:rFonts w:hint="cs"/>
          <w:rtl/>
        </w:rPr>
        <w:t xml:space="preserve"> بالمئة من</w:t>
      </w:r>
      <w:r>
        <w:rPr>
          <w:rFonts w:hint="cs"/>
          <w:rtl/>
        </w:rPr>
        <w:t xml:space="preserve"> تلك</w:t>
      </w:r>
      <w:r w:rsidR="000A1241">
        <w:rPr>
          <w:rFonts w:hint="cs"/>
          <w:rtl/>
        </w:rPr>
        <w:t xml:space="preserve"> الإيرادات لشراء عقود آجلة.</w:t>
      </w:r>
    </w:p>
    <w:p w:rsidR="000A1241" w:rsidRDefault="003722B1" w:rsidP="00A91233">
      <w:pPr>
        <w:pStyle w:val="NumberedParaAR"/>
        <w:tabs>
          <w:tab w:val="clear" w:pos="567"/>
        </w:tabs>
      </w:pPr>
      <w:r>
        <w:rPr>
          <w:rFonts w:hint="cs"/>
          <w:rtl/>
        </w:rPr>
        <w:t xml:space="preserve">ولكن في الواقع، </w:t>
      </w:r>
      <w:r w:rsidR="003267BA">
        <w:rPr>
          <w:rFonts w:hint="cs"/>
          <w:rtl/>
        </w:rPr>
        <w:t xml:space="preserve">كان صافي الإيرادات المتأتية من رسوم </w:t>
      </w:r>
      <w:r>
        <w:rPr>
          <w:rFonts w:hint="cs"/>
          <w:rtl/>
        </w:rPr>
        <w:t>معاهدة البراءات وغيرها من المصادر</w:t>
      </w:r>
      <w:r w:rsidR="003267BA">
        <w:rPr>
          <w:rFonts w:hint="cs"/>
          <w:rtl/>
        </w:rPr>
        <w:t xml:space="preserve"> باليورو</w:t>
      </w:r>
      <w:r w:rsidR="00A91233">
        <w:rPr>
          <w:rFonts w:hint="cs"/>
          <w:rtl/>
        </w:rPr>
        <w:t xml:space="preserve"> </w:t>
      </w:r>
      <w:r w:rsidR="00A91233">
        <w:rPr>
          <w:rtl/>
        </w:rPr>
        <w:t>–</w:t>
      </w:r>
      <w:r w:rsidR="00A91233">
        <w:rPr>
          <w:rFonts w:hint="cs"/>
          <w:rtl/>
        </w:rPr>
        <w:t xml:space="preserve"> أي بعد </w:t>
      </w:r>
      <w:r w:rsidR="00B24FE6">
        <w:rPr>
          <w:rFonts w:hint="cs"/>
          <w:rtl/>
        </w:rPr>
        <w:t>سداد</w:t>
      </w:r>
      <w:r w:rsidR="00A91233">
        <w:rPr>
          <w:rFonts w:hint="cs"/>
          <w:rtl/>
        </w:rPr>
        <w:t xml:space="preserve"> الالتزامات المتعلقة برسوم البحث الدولي ومستحقات البائعين </w:t>
      </w:r>
      <w:r w:rsidR="00A91233">
        <w:rPr>
          <w:rtl/>
        </w:rPr>
        <w:t>–</w:t>
      </w:r>
      <w:r>
        <w:rPr>
          <w:rFonts w:hint="cs"/>
          <w:rtl/>
        </w:rPr>
        <w:t xml:space="preserve"> أعلى من المبلغ المقدَّر؛ إذ </w:t>
      </w:r>
      <w:r w:rsidR="003267BA">
        <w:rPr>
          <w:rFonts w:hint="cs"/>
          <w:rtl/>
        </w:rPr>
        <w:t>توفر نحو</w:t>
      </w:r>
      <w:r>
        <w:rPr>
          <w:rFonts w:hint="cs"/>
          <w:rtl/>
        </w:rPr>
        <w:t xml:space="preserve"> 70 بالمئة من الإيرادات</w:t>
      </w:r>
      <w:r w:rsidR="003267BA">
        <w:rPr>
          <w:rFonts w:hint="cs"/>
          <w:rtl/>
        </w:rPr>
        <w:t xml:space="preserve"> للتحوط أي أقل بقليل</w:t>
      </w:r>
      <w:r>
        <w:rPr>
          <w:rFonts w:hint="cs"/>
          <w:rtl/>
        </w:rPr>
        <w:t xml:space="preserve"> من </w:t>
      </w:r>
      <w:r w:rsidR="003267BA">
        <w:rPr>
          <w:rFonts w:hint="cs"/>
          <w:rtl/>
        </w:rPr>
        <w:t>النسبة</w:t>
      </w:r>
      <w:r>
        <w:rPr>
          <w:rFonts w:hint="cs"/>
          <w:rtl/>
        </w:rPr>
        <w:t xml:space="preserve"> </w:t>
      </w:r>
      <w:r w:rsidR="003267BA">
        <w:rPr>
          <w:rFonts w:hint="cs"/>
          <w:rtl/>
        </w:rPr>
        <w:t>القصوى</w:t>
      </w:r>
      <w:r>
        <w:rPr>
          <w:rFonts w:hint="cs"/>
          <w:rtl/>
        </w:rPr>
        <w:t xml:space="preserve"> المقترح</w:t>
      </w:r>
      <w:r w:rsidR="003267BA">
        <w:rPr>
          <w:rFonts w:hint="cs"/>
          <w:rtl/>
        </w:rPr>
        <w:t>ة</w:t>
      </w:r>
      <w:r>
        <w:rPr>
          <w:rFonts w:hint="cs"/>
          <w:rtl/>
        </w:rPr>
        <w:t xml:space="preserve"> في الوثيقة </w:t>
      </w:r>
      <w:r>
        <w:t>PCT/WG/8/15</w:t>
      </w:r>
      <w:r w:rsidR="003267BA">
        <w:rPr>
          <w:rFonts w:hint="cs"/>
          <w:rtl/>
        </w:rPr>
        <w:t xml:space="preserve"> على النحو المبيَّن في الجدول والرسم</w:t>
      </w:r>
      <w:r w:rsidR="003267BA">
        <w:rPr>
          <w:rFonts w:hint="eastAsia"/>
          <w:rtl/>
        </w:rPr>
        <w:t> </w:t>
      </w:r>
      <w:r w:rsidR="003267BA">
        <w:rPr>
          <w:rFonts w:hint="cs"/>
          <w:rtl/>
        </w:rPr>
        <w:t>البياني التاليين</w:t>
      </w:r>
      <w:r>
        <w:rPr>
          <w:rFonts w:hint="cs"/>
          <w:rtl/>
        </w:rPr>
        <w:t>:</w:t>
      </w:r>
    </w:p>
    <w:tbl>
      <w:tblPr>
        <w:bidiVisual/>
        <w:tblW w:w="4524" w:type="dxa"/>
        <w:jc w:val="center"/>
        <w:tblLook w:val="04A0" w:firstRow="1" w:lastRow="0" w:firstColumn="1" w:lastColumn="0" w:noHBand="0" w:noVBand="1"/>
      </w:tblPr>
      <w:tblGrid>
        <w:gridCol w:w="1580"/>
        <w:gridCol w:w="2944"/>
      </w:tblGrid>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A91233">
            <w:pPr>
              <w:bidi/>
              <w:spacing w:after="0" w:line="240" w:lineRule="auto"/>
              <w:jc w:val="center"/>
              <w:rPr>
                <w:rFonts w:ascii="Arabic Typesetting" w:hAnsi="Arabic Typesetting" w:cs="Arabic Typesetting"/>
                <w:bCs/>
                <w:color w:val="000000"/>
                <w:sz w:val="28"/>
                <w:szCs w:val="28"/>
              </w:rPr>
            </w:pPr>
            <w:r w:rsidRPr="00842031">
              <w:rPr>
                <w:rFonts w:ascii="Arabic Typesetting" w:hAnsi="Arabic Typesetting" w:cs="Arabic Typesetting"/>
                <w:bCs/>
                <w:color w:val="000000"/>
                <w:sz w:val="28"/>
                <w:szCs w:val="28"/>
                <w:rtl/>
              </w:rPr>
              <w:t>الشهر</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A91233">
            <w:pPr>
              <w:bidi/>
              <w:spacing w:after="0" w:line="240" w:lineRule="auto"/>
              <w:jc w:val="center"/>
              <w:rPr>
                <w:rFonts w:ascii="Arabic Typesetting" w:hAnsi="Arabic Typesetting" w:cs="Arabic Typesetting"/>
                <w:b/>
                <w:color w:val="000000"/>
                <w:sz w:val="28"/>
                <w:szCs w:val="28"/>
              </w:rPr>
            </w:pPr>
            <w:r w:rsidRPr="00842031">
              <w:rPr>
                <w:rFonts w:ascii="Arabic Typesetting" w:hAnsi="Arabic Typesetting" w:cs="Arabic Typesetting"/>
                <w:bCs/>
                <w:color w:val="000000"/>
                <w:sz w:val="28"/>
                <w:szCs w:val="28"/>
                <w:rtl/>
              </w:rPr>
              <w:t xml:space="preserve">النسبة المئوية لإيرادات معاهدة البراءات </w:t>
            </w:r>
            <w:r w:rsidR="003267BA" w:rsidRPr="00D01BD8">
              <w:rPr>
                <w:rFonts w:ascii="Arabic Typesetting" w:hAnsi="Arabic Typesetting" w:cs="Arabic Typesetting"/>
                <w:bCs/>
                <w:color w:val="000000"/>
                <w:sz w:val="28"/>
                <w:szCs w:val="28"/>
                <w:rtl/>
              </w:rPr>
              <w:t xml:space="preserve">المحصَّلة </w:t>
            </w:r>
            <w:r w:rsidRPr="00842031">
              <w:rPr>
                <w:rFonts w:ascii="Arabic Typesetting" w:hAnsi="Arabic Typesetting" w:cs="Arabic Typesetting"/>
                <w:bCs/>
                <w:color w:val="000000"/>
                <w:sz w:val="28"/>
                <w:szCs w:val="28"/>
                <w:rtl/>
              </w:rPr>
              <w:t xml:space="preserve">باليورو </w:t>
            </w:r>
            <w:r w:rsidR="003267BA">
              <w:rPr>
                <w:rFonts w:ascii="Arabic Typesetting" w:hAnsi="Arabic Typesetting" w:cs="Arabic Typesetting" w:hint="cs"/>
                <w:bCs/>
                <w:color w:val="000000"/>
                <w:sz w:val="28"/>
                <w:szCs w:val="28"/>
                <w:rtl/>
              </w:rPr>
              <w:t>والمتوفرة</w:t>
            </w:r>
            <w:r w:rsidRPr="00842031">
              <w:rPr>
                <w:rFonts w:ascii="Arabic Typesetting" w:hAnsi="Arabic Typesetting" w:cs="Arabic Typesetting"/>
                <w:bCs/>
                <w:color w:val="000000"/>
                <w:sz w:val="28"/>
                <w:szCs w:val="28"/>
                <w:rtl/>
              </w:rPr>
              <w:t xml:space="preserve"> لشراء عقود آجلة</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يناير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%63.5</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فبراير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%51.4</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مارس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%73.4</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أبريل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%74.5</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مايو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%75.3</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يونيو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%59.9</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يوليو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%61.2</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أغسطس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%75.8</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سبتمبر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%81.4</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أكتوبر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%64.9</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نوفمبر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%78.1</w:t>
            </w:r>
          </w:p>
        </w:tc>
      </w:tr>
      <w:tr w:rsidR="006E391E" w:rsidRPr="00842031" w:rsidTr="003722B1">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ديسمبر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%65.4</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jc w:val="right"/>
              <w:rPr>
                <w:rFonts w:ascii="Arabic Typesetting" w:hAnsi="Arabic Typesetting" w:cs="Arabic Typesetting"/>
                <w:bCs/>
                <w:color w:val="000000"/>
                <w:sz w:val="28"/>
                <w:szCs w:val="28"/>
              </w:rPr>
            </w:pPr>
            <w:r w:rsidRPr="00842031">
              <w:rPr>
                <w:rFonts w:ascii="Arabic Typesetting" w:hAnsi="Arabic Typesetting" w:cs="Arabic Typesetting"/>
                <w:bCs/>
                <w:color w:val="000000"/>
                <w:sz w:val="28"/>
                <w:szCs w:val="28"/>
                <w:rtl/>
              </w:rPr>
              <w:t>متوسط 2015</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b/>
                <w:color w:val="000000"/>
                <w:sz w:val="28"/>
                <w:szCs w:val="28"/>
              </w:rPr>
            </w:pPr>
            <w:r w:rsidRPr="00842031">
              <w:rPr>
                <w:rFonts w:ascii="Arabic Typesetting" w:hAnsi="Arabic Typesetting" w:cs="Arabic Typesetting"/>
                <w:b/>
                <w:color w:val="000000"/>
                <w:sz w:val="28"/>
                <w:szCs w:val="28"/>
              </w:rPr>
              <w:t>%68.9</w:t>
            </w:r>
          </w:p>
        </w:tc>
      </w:tr>
      <w:tr w:rsidR="007B3BDF"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842031" w:rsidRDefault="007B3BDF" w:rsidP="00E840A7">
            <w:pPr>
              <w:bidi/>
              <w:spacing w:after="0" w:line="240" w:lineRule="auto"/>
              <w:rPr>
                <w:rFonts w:ascii="Arabic Typesetting" w:hAnsi="Arabic Typesetting" w:cs="Arabic Typesetting"/>
                <w:color w:val="000000"/>
                <w:sz w:val="28"/>
                <w:szCs w:val="28"/>
              </w:rPr>
            </w:pP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842031" w:rsidRDefault="007B3BDF" w:rsidP="003267BA">
            <w:pPr>
              <w:bidi/>
              <w:spacing w:after="0" w:line="240" w:lineRule="auto"/>
              <w:jc w:val="center"/>
              <w:rPr>
                <w:rFonts w:ascii="Arabic Typesetting" w:hAnsi="Arabic Typesetting" w:cs="Arabic Typesetting"/>
                <w:color w:val="000000"/>
                <w:sz w:val="28"/>
                <w:szCs w:val="28"/>
              </w:rPr>
            </w:pP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keepNext/>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يناير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keepNext/>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%70.1</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فبراير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%59.2</w:t>
            </w:r>
          </w:p>
        </w:tc>
      </w:tr>
      <w:tr w:rsidR="006E391E" w:rsidRPr="00842031" w:rsidTr="003722B1">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مارس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%76.3</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أبريل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%80.1</w:t>
            </w:r>
          </w:p>
        </w:tc>
      </w:tr>
      <w:tr w:rsidR="006E391E" w:rsidRPr="00842031" w:rsidTr="003722B1">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tl/>
              </w:rPr>
              <w:t>مايو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r w:rsidRPr="00842031">
              <w:rPr>
                <w:rFonts w:ascii="Arabic Typesetting" w:hAnsi="Arabic Typesetting" w:cs="Arabic Typesetting"/>
                <w:color w:val="000000"/>
                <w:sz w:val="28"/>
                <w:szCs w:val="28"/>
              </w:rPr>
              <w:t>%68.8</w:t>
            </w:r>
          </w:p>
        </w:tc>
      </w:tr>
      <w:tr w:rsidR="006E391E" w:rsidRPr="00842031" w:rsidTr="003722B1">
        <w:trPr>
          <w:trHeight w:val="300"/>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jc w:val="right"/>
              <w:rPr>
                <w:rFonts w:ascii="Arabic Typesetting" w:hAnsi="Arabic Typesetting" w:cs="Arabic Typesetting"/>
                <w:bCs/>
                <w:color w:val="000000"/>
                <w:sz w:val="28"/>
                <w:szCs w:val="28"/>
              </w:rPr>
            </w:pPr>
            <w:r w:rsidRPr="00842031">
              <w:rPr>
                <w:rFonts w:ascii="Arabic Typesetting" w:hAnsi="Arabic Typesetting" w:cs="Arabic Typesetting"/>
                <w:bCs/>
                <w:color w:val="000000"/>
                <w:sz w:val="28"/>
                <w:szCs w:val="28"/>
                <w:rtl/>
              </w:rPr>
              <w:t>متوسط 2016</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b/>
                <w:color w:val="000000"/>
                <w:sz w:val="28"/>
                <w:szCs w:val="28"/>
              </w:rPr>
            </w:pPr>
            <w:r w:rsidRPr="00842031">
              <w:rPr>
                <w:rFonts w:ascii="Arabic Typesetting" w:hAnsi="Arabic Typesetting" w:cs="Arabic Typesetting"/>
                <w:b/>
                <w:color w:val="000000"/>
                <w:sz w:val="28"/>
                <w:szCs w:val="28"/>
              </w:rPr>
              <w:t>%71.1</w:t>
            </w: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rPr>
                <w:rFonts w:ascii="Arabic Typesetting" w:hAnsi="Arabic Typesetting" w:cs="Arabic Typesetting"/>
                <w:bCs/>
                <w:color w:val="000000"/>
                <w:sz w:val="28"/>
                <w:szCs w:val="28"/>
              </w:rPr>
            </w:pP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color w:val="000000"/>
                <w:sz w:val="28"/>
                <w:szCs w:val="28"/>
              </w:rPr>
            </w:pPr>
          </w:p>
        </w:tc>
      </w:tr>
      <w:tr w:rsidR="006E391E" w:rsidRPr="00842031" w:rsidTr="003722B1">
        <w:trPr>
          <w:trHeight w:val="255"/>
          <w:jc w:val="center"/>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E840A7">
            <w:pPr>
              <w:bidi/>
              <w:spacing w:after="0" w:line="240" w:lineRule="auto"/>
              <w:jc w:val="right"/>
              <w:rPr>
                <w:rFonts w:ascii="Arabic Typesetting" w:hAnsi="Arabic Typesetting" w:cs="Arabic Typesetting"/>
                <w:bCs/>
                <w:color w:val="000000"/>
                <w:sz w:val="28"/>
                <w:szCs w:val="28"/>
              </w:rPr>
            </w:pPr>
            <w:r w:rsidRPr="00842031">
              <w:rPr>
                <w:rFonts w:ascii="Arabic Typesetting" w:hAnsi="Arabic Typesetting" w:cs="Arabic Typesetting"/>
                <w:bCs/>
                <w:color w:val="000000"/>
                <w:sz w:val="28"/>
                <w:szCs w:val="28"/>
                <w:rtl/>
              </w:rPr>
              <w:t>المتوسط الإجمالي</w:t>
            </w:r>
          </w:p>
        </w:tc>
        <w:tc>
          <w:tcPr>
            <w:tcW w:w="29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91E" w:rsidRPr="00842031" w:rsidRDefault="006E391E" w:rsidP="003267BA">
            <w:pPr>
              <w:bidi/>
              <w:spacing w:after="0" w:line="240" w:lineRule="auto"/>
              <w:jc w:val="center"/>
              <w:rPr>
                <w:rFonts w:ascii="Arabic Typesetting" w:hAnsi="Arabic Typesetting" w:cs="Arabic Typesetting"/>
                <w:b/>
                <w:color w:val="000000"/>
                <w:sz w:val="28"/>
                <w:szCs w:val="28"/>
              </w:rPr>
            </w:pPr>
            <w:r w:rsidRPr="00842031">
              <w:rPr>
                <w:rFonts w:ascii="Arabic Typesetting" w:hAnsi="Arabic Typesetting" w:cs="Arabic Typesetting"/>
                <w:b/>
                <w:color w:val="000000"/>
                <w:sz w:val="28"/>
                <w:szCs w:val="28"/>
              </w:rPr>
              <w:t>%69.6</w:t>
            </w:r>
          </w:p>
        </w:tc>
      </w:tr>
    </w:tbl>
    <w:p w:rsidR="007B3BDF" w:rsidRPr="007B3BDF" w:rsidRDefault="003267BA" w:rsidP="00CA4C8E">
      <w:pPr>
        <w:pStyle w:val="NormalParaAR"/>
        <w:spacing w:before="240" w:line="240" w:lineRule="auto"/>
        <w:jc w:val="center"/>
        <w:rPr>
          <w:rFonts w:eastAsia="SimSun"/>
          <w:lang w:eastAsia="zh-CN"/>
        </w:rPr>
      </w:pPr>
      <w:r>
        <w:rPr>
          <w:noProof/>
        </w:rPr>
        <w:lastRenderedPageBreak/>
        <mc:AlternateContent>
          <mc:Choice Requires="wps">
            <w:drawing>
              <wp:anchor distT="0" distB="0" distL="114300" distR="114300" simplePos="0" relativeHeight="251661312" behindDoc="0" locked="0" layoutInCell="1" allowOverlap="1" wp14:anchorId="66779072" wp14:editId="13ED5942">
                <wp:simplePos x="0" y="0"/>
                <wp:positionH relativeFrom="column">
                  <wp:posOffset>360565</wp:posOffset>
                </wp:positionH>
                <wp:positionV relativeFrom="paragraph">
                  <wp:posOffset>660788</wp:posOffset>
                </wp:positionV>
                <wp:extent cx="1151906" cy="158535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906" cy="1585355"/>
                        </a:xfrm>
                        <a:prstGeom prst="rect">
                          <a:avLst/>
                        </a:prstGeom>
                        <a:noFill/>
                        <a:ln w="9525">
                          <a:noFill/>
                          <a:miter lim="800000"/>
                          <a:headEnd/>
                          <a:tailEnd/>
                        </a:ln>
                      </wps:spPr>
                      <wps:txbx>
                        <w:txbxContent>
                          <w:p w:rsidR="0058639D" w:rsidRDefault="0058639D" w:rsidP="003267BA">
                            <w:pPr>
                              <w:bidi/>
                              <w:ind w:left="284" w:hanging="284"/>
                              <w:rPr>
                                <w:rFonts w:ascii="Arabic Typesetting" w:hAnsi="Arabic Typesetting" w:cs="Arabic Typesetting"/>
                                <w:sz w:val="28"/>
                                <w:szCs w:val="28"/>
                              </w:rPr>
                            </w:pPr>
                            <w:r w:rsidRPr="00E44425">
                              <w:rPr>
                                <w:rFonts w:ascii="Wingdings" w:hAnsi="Wingdings"/>
                                <w:color w:val="4F81BD" w:themeColor="accent1"/>
                                <w:sz w:val="40"/>
                                <w:szCs w:val="40"/>
                              </w:rPr>
                              <w:t></w:t>
                            </w:r>
                            <w:r>
                              <w:rPr>
                                <w:rFonts w:ascii="Arabic Typesetting" w:hAnsi="Arabic Typesetting" w:cs="Arabic Typesetting"/>
                                <w:sz w:val="28"/>
                                <w:szCs w:val="28"/>
                                <w:rtl/>
                              </w:rPr>
                              <w:tab/>
                            </w:r>
                            <w:r w:rsidRPr="0068035B">
                              <w:rPr>
                                <w:rFonts w:ascii="Arabic Typesetting" w:hAnsi="Arabic Typesetting" w:cs="Arabic Typesetting"/>
                                <w:sz w:val="28"/>
                                <w:szCs w:val="28"/>
                                <w:rtl/>
                              </w:rPr>
                              <w:t xml:space="preserve">مجموع </w:t>
                            </w:r>
                            <w:r>
                              <w:rPr>
                                <w:rFonts w:ascii="Arabic Typesetting" w:hAnsi="Arabic Typesetting" w:cs="Arabic Typesetting" w:hint="cs"/>
                                <w:sz w:val="28"/>
                                <w:szCs w:val="28"/>
                                <w:rtl/>
                              </w:rPr>
                              <w:t>التدفق النقدي باليورو</w:t>
                            </w:r>
                          </w:p>
                          <w:p w:rsidR="0058639D" w:rsidRPr="0068035B" w:rsidRDefault="0058639D" w:rsidP="003267BA">
                            <w:pPr>
                              <w:bidi/>
                              <w:ind w:left="284" w:hanging="284"/>
                              <w:rPr>
                                <w:rFonts w:ascii="Arabic Typesetting" w:hAnsi="Arabic Typesetting" w:cs="Arabic Typesetting"/>
                                <w:sz w:val="28"/>
                                <w:szCs w:val="28"/>
                                <w:rtl/>
                              </w:rPr>
                            </w:pPr>
                            <w:r w:rsidRPr="007C1EE0">
                              <w:rPr>
                                <w:rFonts w:ascii="Wingdings" w:hAnsi="Wingdings"/>
                                <w:color w:val="943634" w:themeColor="accent2" w:themeShade="BF"/>
                                <w:sz w:val="40"/>
                                <w:szCs w:val="40"/>
                              </w:rPr>
                              <w:t></w:t>
                            </w:r>
                            <w:r>
                              <w:rPr>
                                <w:rFonts w:ascii="Wingdings" w:hAnsi="Wingdings" w:hint="cs"/>
                                <w:color w:val="C00000"/>
                                <w:sz w:val="40"/>
                                <w:szCs w:val="40"/>
                                <w:rtl/>
                              </w:rPr>
                              <w:tab/>
                            </w:r>
                            <w:r w:rsidRPr="00E44425">
                              <w:rPr>
                                <w:rFonts w:ascii="Arabic Typesetting" w:hAnsi="Arabic Typesetting" w:cs="Arabic Typesetting" w:hint="cs"/>
                                <w:sz w:val="28"/>
                                <w:szCs w:val="28"/>
                                <w:rtl/>
                              </w:rPr>
                              <w:t xml:space="preserve">الرصيد المتوفر </w:t>
                            </w:r>
                            <w:r>
                              <w:rPr>
                                <w:rFonts w:ascii="Arabic Typesetting" w:hAnsi="Arabic Typesetting" w:cs="Arabic Typesetting" w:hint="cs"/>
                                <w:sz w:val="28"/>
                                <w:szCs w:val="28"/>
                                <w:rtl/>
                              </w:rPr>
                              <w:t>باليورو</w:t>
                            </w:r>
                            <w:r w:rsidRPr="00E44425">
                              <w:rPr>
                                <w:rFonts w:ascii="Arabic Typesetting" w:hAnsi="Arabic Typesetting" w:cs="Arabic Typesetting" w:hint="cs"/>
                                <w:sz w:val="28"/>
                                <w:szCs w:val="28"/>
                                <w:rtl/>
                              </w:rPr>
                              <w:t xml:space="preserve"> لشراء عقود</w:t>
                            </w:r>
                            <w:r>
                              <w:rPr>
                                <w:rFonts w:ascii="Arabic Typesetting" w:hAnsi="Arabic Typesetting" w:cs="Arabic Typesetting" w:hint="eastAsia"/>
                                <w:sz w:val="28"/>
                                <w:szCs w:val="28"/>
                                <w:rtl/>
                              </w:rPr>
                              <w:t> </w:t>
                            </w:r>
                            <w:r w:rsidRPr="00E44425">
                              <w:rPr>
                                <w:rFonts w:ascii="Arabic Typesetting" w:hAnsi="Arabic Typesetting" w:cs="Arabic Typesetting" w:hint="cs"/>
                                <w:sz w:val="28"/>
                                <w:szCs w:val="28"/>
                                <w:rtl/>
                              </w:rPr>
                              <w:t>آجلة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8.4pt;margin-top:52.05pt;width:90.7pt;height:12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" filled="f" stroked="f">
                <v:textbox>
                  <w:txbxContent>
                    <w:p w:rsidR="0058639D" w:rsidRDefault="0058639D" w:rsidP="003267BA">
                      <w:pPr>
                        <w:bidi/>
                        <w:ind w:left="284" w:hanging="284"/>
                        <w:rPr>
                          <w:rFonts w:ascii="Arabic Typesetting" w:hAnsi="Arabic Typesetting" w:cs="Arabic Typesetting"/>
                          <w:sz w:val="28"/>
                          <w:szCs w:val="28"/>
                        </w:rPr>
                      </w:pPr>
                      <w:r w:rsidRPr="00E44425">
                        <w:rPr>
                          <w:rFonts w:ascii="Wingdings" w:hAnsi="Wingdings"/>
                          <w:color w:val="4F81BD" w:themeColor="accent1"/>
                          <w:sz w:val="40"/>
                          <w:szCs w:val="40"/>
                        </w:rPr>
                        <w:t></w:t>
                      </w:r>
                      <w:r>
                        <w:rPr>
                          <w:rFonts w:ascii="Arabic Typesetting" w:hAnsi="Arabic Typesetting" w:cs="Arabic Typesetting"/>
                          <w:sz w:val="28"/>
                          <w:szCs w:val="28"/>
                          <w:rtl/>
                        </w:rPr>
                        <w:tab/>
                      </w:r>
                      <w:r w:rsidRPr="0068035B">
                        <w:rPr>
                          <w:rFonts w:ascii="Arabic Typesetting" w:hAnsi="Arabic Typesetting" w:cs="Arabic Typesetting"/>
                          <w:sz w:val="28"/>
                          <w:szCs w:val="28"/>
                          <w:rtl/>
                        </w:rPr>
                        <w:t xml:space="preserve">مجموع </w:t>
                      </w:r>
                      <w:r>
                        <w:rPr>
                          <w:rFonts w:ascii="Arabic Typesetting" w:hAnsi="Arabic Typesetting" w:cs="Arabic Typesetting" w:hint="cs"/>
                          <w:sz w:val="28"/>
                          <w:szCs w:val="28"/>
                          <w:rtl/>
                        </w:rPr>
                        <w:t>التدفق النقدي باليورو</w:t>
                      </w:r>
                    </w:p>
                    <w:p w:rsidR="0058639D" w:rsidRPr="0068035B" w:rsidRDefault="0058639D" w:rsidP="003267BA">
                      <w:pPr>
                        <w:bidi/>
                        <w:ind w:left="284" w:hanging="284"/>
                        <w:rPr>
                          <w:rFonts w:ascii="Arabic Typesetting" w:hAnsi="Arabic Typesetting" w:cs="Arabic Typesetting"/>
                          <w:sz w:val="28"/>
                          <w:szCs w:val="28"/>
                          <w:rtl/>
                        </w:rPr>
                      </w:pPr>
                      <w:r w:rsidRPr="007C1EE0">
                        <w:rPr>
                          <w:rFonts w:ascii="Wingdings" w:hAnsi="Wingdings"/>
                          <w:color w:val="943634" w:themeColor="accent2" w:themeShade="BF"/>
                          <w:sz w:val="40"/>
                          <w:szCs w:val="40"/>
                        </w:rPr>
                        <w:t></w:t>
                      </w:r>
                      <w:r>
                        <w:rPr>
                          <w:rFonts w:ascii="Wingdings" w:hAnsi="Wingdings" w:hint="cs"/>
                          <w:color w:val="C00000"/>
                          <w:sz w:val="40"/>
                          <w:szCs w:val="40"/>
                          <w:rtl/>
                        </w:rPr>
                        <w:tab/>
                      </w:r>
                      <w:r w:rsidRPr="00E44425">
                        <w:rPr>
                          <w:rFonts w:ascii="Arabic Typesetting" w:hAnsi="Arabic Typesetting" w:cs="Arabic Typesetting" w:hint="cs"/>
                          <w:sz w:val="28"/>
                          <w:szCs w:val="28"/>
                          <w:rtl/>
                        </w:rPr>
                        <w:t xml:space="preserve">الرصيد المتوفر </w:t>
                      </w:r>
                      <w:r>
                        <w:rPr>
                          <w:rFonts w:ascii="Arabic Typesetting" w:hAnsi="Arabic Typesetting" w:cs="Arabic Typesetting" w:hint="cs"/>
                          <w:sz w:val="28"/>
                          <w:szCs w:val="28"/>
                          <w:rtl/>
                        </w:rPr>
                        <w:t>باليورو</w:t>
                      </w:r>
                      <w:r w:rsidRPr="00E44425">
                        <w:rPr>
                          <w:rFonts w:ascii="Arabic Typesetting" w:hAnsi="Arabic Typesetting" w:cs="Arabic Typesetting" w:hint="cs"/>
                          <w:sz w:val="28"/>
                          <w:szCs w:val="28"/>
                          <w:rtl/>
                        </w:rPr>
                        <w:t xml:space="preserve"> لشراء عقود</w:t>
                      </w:r>
                      <w:r>
                        <w:rPr>
                          <w:rFonts w:ascii="Arabic Typesetting" w:hAnsi="Arabic Typesetting" w:cs="Arabic Typesetting" w:hint="eastAsia"/>
                          <w:sz w:val="28"/>
                          <w:szCs w:val="28"/>
                          <w:rtl/>
                        </w:rPr>
                        <w:t> </w:t>
                      </w:r>
                      <w:r w:rsidRPr="00E44425">
                        <w:rPr>
                          <w:rFonts w:ascii="Arabic Typesetting" w:hAnsi="Arabic Typesetting" w:cs="Arabic Typesetting" w:hint="cs"/>
                          <w:sz w:val="28"/>
                          <w:szCs w:val="28"/>
                          <w:rtl/>
                        </w:rPr>
                        <w:t>آجلة</w:t>
                      </w:r>
                    </w:p>
                  </w:txbxContent>
                </v:textbox>
              </v:shape>
            </w:pict>
          </mc:Fallback>
        </mc:AlternateContent>
      </w:r>
      <w:r w:rsidR="007B3BDF" w:rsidRPr="007B3BDF">
        <w:rPr>
          <w:rFonts w:eastAsia="SimSun"/>
          <w:noProof/>
        </w:rPr>
        <w:drawing>
          <wp:inline distT="0" distB="0" distL="0" distR="0" wp14:anchorId="5262ADDC" wp14:editId="2EB4BB06">
            <wp:extent cx="5210175" cy="294322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B3BDF" w:rsidRDefault="003267BA" w:rsidP="00F8413B">
      <w:pPr>
        <w:pStyle w:val="NumberedParaAR"/>
        <w:tabs>
          <w:tab w:val="clear" w:pos="567"/>
        </w:tabs>
      </w:pPr>
      <w:r>
        <w:rPr>
          <w:rFonts w:hint="cs"/>
          <w:rtl/>
        </w:rPr>
        <w:t>وكما يتبيَّن من</w:t>
      </w:r>
      <w:r w:rsidR="003722B1">
        <w:rPr>
          <w:rFonts w:hint="cs"/>
          <w:rtl/>
        </w:rPr>
        <w:t xml:space="preserve"> الجدول </w:t>
      </w:r>
      <w:r>
        <w:rPr>
          <w:rFonts w:hint="cs"/>
          <w:rtl/>
        </w:rPr>
        <w:t xml:space="preserve">والرسم البياني السابقين، </w:t>
      </w:r>
      <w:r w:rsidR="00B24FE6">
        <w:rPr>
          <w:rFonts w:hint="cs"/>
          <w:rtl/>
        </w:rPr>
        <w:t>تفاوتت</w:t>
      </w:r>
      <w:r w:rsidR="003722B1">
        <w:rPr>
          <w:rFonts w:hint="cs"/>
          <w:rtl/>
        </w:rPr>
        <w:t xml:space="preserve"> الإيرادات المحص</w:t>
      </w:r>
      <w:r w:rsidR="002A61B7">
        <w:rPr>
          <w:rFonts w:hint="cs"/>
          <w:rtl/>
        </w:rPr>
        <w:t>َّ</w:t>
      </w:r>
      <w:r w:rsidR="003722B1">
        <w:rPr>
          <w:rFonts w:hint="cs"/>
          <w:rtl/>
        </w:rPr>
        <w:t>لة بال</w:t>
      </w:r>
      <w:r>
        <w:rPr>
          <w:rFonts w:hint="cs"/>
          <w:rtl/>
        </w:rPr>
        <w:t>يورو</w:t>
      </w:r>
      <w:r w:rsidR="003722B1">
        <w:rPr>
          <w:rFonts w:hint="cs"/>
          <w:rtl/>
        </w:rPr>
        <w:t xml:space="preserve"> </w:t>
      </w:r>
      <w:r>
        <w:rPr>
          <w:rFonts w:hint="cs"/>
          <w:rtl/>
        </w:rPr>
        <w:t xml:space="preserve">تفاوتاً </w:t>
      </w:r>
      <w:r w:rsidR="00E840A7">
        <w:rPr>
          <w:rFonts w:hint="cs"/>
          <w:rtl/>
        </w:rPr>
        <w:t>شديداً</w:t>
      </w:r>
      <w:r>
        <w:rPr>
          <w:rFonts w:hint="cs"/>
          <w:rtl/>
        </w:rPr>
        <w:t xml:space="preserve"> من شهر إلى آخر</w:t>
      </w:r>
      <w:r w:rsidR="003722B1">
        <w:rPr>
          <w:rFonts w:hint="cs"/>
          <w:rtl/>
        </w:rPr>
        <w:t xml:space="preserve"> </w:t>
      </w:r>
      <w:r w:rsidR="004D48AD">
        <w:rPr>
          <w:rFonts w:hint="cs"/>
          <w:rtl/>
        </w:rPr>
        <w:t>وإن</w:t>
      </w:r>
      <w:r w:rsidR="004D48AD">
        <w:rPr>
          <w:rFonts w:hint="eastAsia"/>
          <w:rtl/>
        </w:rPr>
        <w:t> </w:t>
      </w:r>
      <w:r w:rsidR="004D48AD">
        <w:rPr>
          <w:rFonts w:hint="cs"/>
          <w:rtl/>
        </w:rPr>
        <w:t>كان</w:t>
      </w:r>
      <w:r w:rsidR="000558F8">
        <w:rPr>
          <w:rFonts w:hint="cs"/>
          <w:rtl/>
        </w:rPr>
        <w:t xml:space="preserve"> ذلك التفاوت</w:t>
      </w:r>
      <w:r w:rsidR="004D48AD">
        <w:rPr>
          <w:rFonts w:hint="cs"/>
          <w:rtl/>
        </w:rPr>
        <w:t xml:space="preserve"> أكثر انتظاماً من نظير</w:t>
      </w:r>
      <w:r w:rsidR="00A91233">
        <w:rPr>
          <w:rFonts w:hint="cs"/>
          <w:rtl/>
        </w:rPr>
        <w:t>ه</w:t>
      </w:r>
      <w:r w:rsidR="003722B1">
        <w:rPr>
          <w:rFonts w:hint="cs"/>
          <w:rtl/>
        </w:rPr>
        <w:t xml:space="preserve"> بالدولار الأمريكي. و</w:t>
      </w:r>
      <w:r w:rsidR="004D48AD">
        <w:rPr>
          <w:rFonts w:hint="cs"/>
          <w:rtl/>
        </w:rPr>
        <w:t>إ</w:t>
      </w:r>
      <w:r w:rsidR="003722B1">
        <w:rPr>
          <w:rFonts w:hint="cs"/>
          <w:rtl/>
        </w:rPr>
        <w:t>ن المبلغ الصافي المت</w:t>
      </w:r>
      <w:r>
        <w:rPr>
          <w:rFonts w:hint="cs"/>
          <w:rtl/>
        </w:rPr>
        <w:t>وفر</w:t>
      </w:r>
      <w:r w:rsidR="003722B1">
        <w:rPr>
          <w:rFonts w:hint="cs"/>
          <w:rtl/>
        </w:rPr>
        <w:t xml:space="preserve"> لشراء العقود الآجلة </w:t>
      </w:r>
      <w:r>
        <w:rPr>
          <w:rFonts w:hint="cs"/>
          <w:rtl/>
        </w:rPr>
        <w:t>يقترب من</w:t>
      </w:r>
      <w:r w:rsidR="003722B1">
        <w:rPr>
          <w:rFonts w:hint="cs"/>
          <w:rtl/>
        </w:rPr>
        <w:t xml:space="preserve"> </w:t>
      </w:r>
      <w:r>
        <w:rPr>
          <w:rFonts w:hint="cs"/>
          <w:rtl/>
        </w:rPr>
        <w:t xml:space="preserve">النسبة الدنيا المقترحة </w:t>
      </w:r>
      <w:r w:rsidR="003722B1">
        <w:rPr>
          <w:rFonts w:hint="cs"/>
          <w:rtl/>
        </w:rPr>
        <w:t>في استراتيجية التحوط</w:t>
      </w:r>
      <w:r w:rsidR="004D48AD">
        <w:rPr>
          <w:rFonts w:hint="cs"/>
          <w:rtl/>
        </w:rPr>
        <w:t>؛ ولكن نظراً إلى أن 21.5 بالمئة</w:t>
      </w:r>
      <w:r w:rsidR="003722B1">
        <w:rPr>
          <w:rFonts w:hint="cs"/>
          <w:rtl/>
        </w:rPr>
        <w:t xml:space="preserve"> من إيرادات معاهدة البراءات محص</w:t>
      </w:r>
      <w:r w:rsidR="004D48AD">
        <w:rPr>
          <w:rFonts w:hint="cs"/>
          <w:rtl/>
        </w:rPr>
        <w:t>َّ</w:t>
      </w:r>
      <w:r w:rsidR="003722B1">
        <w:rPr>
          <w:rFonts w:hint="cs"/>
          <w:rtl/>
        </w:rPr>
        <w:t>لة باليورو</w:t>
      </w:r>
      <w:r w:rsidR="004D48AD">
        <w:rPr>
          <w:rFonts w:hint="cs"/>
          <w:rtl/>
        </w:rPr>
        <w:t>،</w:t>
      </w:r>
      <w:r w:rsidR="003722B1">
        <w:rPr>
          <w:rFonts w:hint="cs"/>
          <w:rtl/>
        </w:rPr>
        <w:t xml:space="preserve"> </w:t>
      </w:r>
      <w:r w:rsidR="004D48AD">
        <w:rPr>
          <w:rFonts w:hint="cs"/>
          <w:rtl/>
        </w:rPr>
        <w:t>فإ</w:t>
      </w:r>
      <w:r w:rsidR="003722B1">
        <w:rPr>
          <w:rFonts w:hint="cs"/>
          <w:rtl/>
        </w:rPr>
        <w:t xml:space="preserve">ن 30.4 بالمئة من </w:t>
      </w:r>
      <w:r w:rsidR="004D48AD">
        <w:rPr>
          <w:rFonts w:hint="cs"/>
          <w:rtl/>
        </w:rPr>
        <w:t>تلك الإيرادات</w:t>
      </w:r>
      <w:r w:rsidR="003722B1">
        <w:rPr>
          <w:rFonts w:hint="cs"/>
          <w:rtl/>
        </w:rPr>
        <w:t xml:space="preserve"> (أ</w:t>
      </w:r>
      <w:r w:rsidR="004D48AD">
        <w:rPr>
          <w:rFonts w:hint="cs"/>
          <w:rtl/>
        </w:rPr>
        <w:t>ي</w:t>
      </w:r>
      <w:r w:rsidR="003722B1">
        <w:rPr>
          <w:rFonts w:hint="cs"/>
          <w:rtl/>
        </w:rPr>
        <w:t xml:space="preserve"> 26.3 مليون فرنك سويسري) كان س</w:t>
      </w:r>
      <w:r w:rsidR="004D48AD">
        <w:rPr>
          <w:rFonts w:hint="cs"/>
          <w:rtl/>
        </w:rPr>
        <w:t>ي</w:t>
      </w:r>
      <w:r w:rsidR="003722B1">
        <w:rPr>
          <w:rFonts w:hint="cs"/>
          <w:rtl/>
        </w:rPr>
        <w:t>جمد عند سعر الصرف المحدد في شهر</w:t>
      </w:r>
      <w:r w:rsidR="00F8413B">
        <w:rPr>
          <w:rFonts w:hint="eastAsia"/>
          <w:rtl/>
        </w:rPr>
        <w:t> </w:t>
      </w:r>
      <w:r w:rsidR="003722B1">
        <w:rPr>
          <w:rFonts w:hint="cs"/>
          <w:rtl/>
        </w:rPr>
        <w:t xml:space="preserve">أكتوبر السابق دون </w:t>
      </w:r>
      <w:r w:rsidR="004D48AD">
        <w:rPr>
          <w:rFonts w:hint="cs"/>
          <w:rtl/>
        </w:rPr>
        <w:t>تغطيته بعقود آجلة</w:t>
      </w:r>
      <w:r w:rsidR="003722B1">
        <w:rPr>
          <w:rFonts w:hint="cs"/>
          <w:rtl/>
        </w:rPr>
        <w:t>.</w:t>
      </w:r>
    </w:p>
    <w:p w:rsidR="003722B1" w:rsidRDefault="003722B1" w:rsidP="003722B1">
      <w:pPr>
        <w:pStyle w:val="NormalParaAR"/>
        <w:keepNext/>
      </w:pPr>
      <w:r>
        <w:rPr>
          <w:rFonts w:hint="cs"/>
          <w:rtl/>
        </w:rPr>
        <w:t>الين الياباني</w:t>
      </w:r>
    </w:p>
    <w:p w:rsidR="003722B1" w:rsidRDefault="003722B1" w:rsidP="000558F8">
      <w:pPr>
        <w:pStyle w:val="NumberedParaAR"/>
        <w:tabs>
          <w:tab w:val="clear" w:pos="567"/>
        </w:tabs>
      </w:pPr>
      <w:r>
        <w:rPr>
          <w:rFonts w:hint="cs"/>
          <w:rtl/>
        </w:rPr>
        <w:t xml:space="preserve">تقتصر التزامات الويبو بالين الياباني على التكاليف الجارية لمكتب الويبو في اليابان؛ ومن ثم فإن غالبية الأموال المحصَّلة </w:t>
      </w:r>
      <w:r w:rsidR="004D48AD">
        <w:rPr>
          <w:rFonts w:hint="cs"/>
          <w:rtl/>
        </w:rPr>
        <w:t xml:space="preserve">بهذه العملة </w:t>
      </w:r>
      <w:r>
        <w:rPr>
          <w:rFonts w:hint="cs"/>
          <w:rtl/>
        </w:rPr>
        <w:t xml:space="preserve">ستكون </w:t>
      </w:r>
      <w:r w:rsidR="004D48AD">
        <w:rPr>
          <w:rFonts w:hint="cs"/>
          <w:rtl/>
        </w:rPr>
        <w:t>متوفرة</w:t>
      </w:r>
      <w:r>
        <w:rPr>
          <w:rFonts w:hint="cs"/>
          <w:rtl/>
        </w:rPr>
        <w:t xml:space="preserve"> </w:t>
      </w:r>
      <w:r w:rsidR="00B513C2">
        <w:rPr>
          <w:rFonts w:hint="cs"/>
          <w:rtl/>
        </w:rPr>
        <w:t>ل</w:t>
      </w:r>
      <w:r w:rsidR="004D48AD">
        <w:rPr>
          <w:rFonts w:hint="cs"/>
          <w:rtl/>
        </w:rPr>
        <w:t>لتحوط بموجب</w:t>
      </w:r>
      <w:r w:rsidR="00B513C2">
        <w:rPr>
          <w:rFonts w:hint="cs"/>
          <w:rtl/>
        </w:rPr>
        <w:t xml:space="preserve"> عقود آجلة</w:t>
      </w:r>
      <w:r w:rsidR="004D48AD">
        <w:rPr>
          <w:rFonts w:hint="cs"/>
          <w:rtl/>
        </w:rPr>
        <w:t>. ولكن الإيرادات الشهرية ت</w:t>
      </w:r>
      <w:r w:rsidR="00B513C2">
        <w:rPr>
          <w:rFonts w:hint="cs"/>
          <w:rtl/>
        </w:rPr>
        <w:t>فاوت</w:t>
      </w:r>
      <w:r w:rsidR="00A91233">
        <w:rPr>
          <w:rFonts w:hint="cs"/>
          <w:rtl/>
        </w:rPr>
        <w:t>ت</w:t>
      </w:r>
      <w:r w:rsidR="00B513C2">
        <w:rPr>
          <w:rFonts w:hint="cs"/>
          <w:rtl/>
        </w:rPr>
        <w:t xml:space="preserve"> </w:t>
      </w:r>
      <w:r w:rsidR="004D48AD">
        <w:rPr>
          <w:rFonts w:hint="cs"/>
          <w:rtl/>
        </w:rPr>
        <w:t>تفاوتاً شديد</w:t>
      </w:r>
      <w:r w:rsidR="00B513C2">
        <w:rPr>
          <w:rFonts w:hint="cs"/>
          <w:rtl/>
        </w:rPr>
        <w:t xml:space="preserve">اً </w:t>
      </w:r>
      <w:r w:rsidR="004D48AD">
        <w:rPr>
          <w:rFonts w:hint="cs"/>
          <w:rtl/>
        </w:rPr>
        <w:t>كما يتبين من الجدول التالي</w:t>
      </w:r>
      <w:r w:rsidR="00B513C2">
        <w:rPr>
          <w:rFonts w:hint="cs"/>
          <w:rtl/>
        </w:rPr>
        <w:t>. و</w:t>
      </w:r>
      <w:r w:rsidR="004D48AD">
        <w:rPr>
          <w:rFonts w:hint="cs"/>
          <w:rtl/>
        </w:rPr>
        <w:t xml:space="preserve">عليه، فإن </w:t>
      </w:r>
      <w:r w:rsidR="00B513C2">
        <w:rPr>
          <w:rFonts w:hint="cs"/>
          <w:rtl/>
        </w:rPr>
        <w:t xml:space="preserve">الطريقة الوحيدة للتحوط من شراء </w:t>
      </w:r>
      <w:r w:rsidR="004D48AD">
        <w:rPr>
          <w:rFonts w:hint="cs"/>
          <w:rtl/>
        </w:rPr>
        <w:t>ال</w:t>
      </w:r>
      <w:r w:rsidR="00B513C2">
        <w:rPr>
          <w:rFonts w:hint="cs"/>
          <w:rtl/>
        </w:rPr>
        <w:t xml:space="preserve">ين </w:t>
      </w:r>
      <w:r w:rsidR="004D48AD">
        <w:rPr>
          <w:rFonts w:hint="cs"/>
          <w:rtl/>
        </w:rPr>
        <w:t>ال</w:t>
      </w:r>
      <w:r w:rsidR="00B513C2">
        <w:rPr>
          <w:rFonts w:hint="cs"/>
          <w:rtl/>
        </w:rPr>
        <w:t>ياباني في الأشهر التي لا</w:t>
      </w:r>
      <w:r w:rsidR="000558F8">
        <w:rPr>
          <w:rFonts w:hint="cs"/>
          <w:rtl/>
        </w:rPr>
        <w:t xml:space="preserve"> </w:t>
      </w:r>
      <w:r w:rsidR="00B513C2">
        <w:rPr>
          <w:rFonts w:hint="cs"/>
          <w:rtl/>
        </w:rPr>
        <w:t>ت</w:t>
      </w:r>
      <w:r w:rsidR="00A91233">
        <w:rPr>
          <w:rFonts w:hint="cs"/>
          <w:rtl/>
        </w:rPr>
        <w:t>حقَّق</w:t>
      </w:r>
      <w:r w:rsidR="00B513C2">
        <w:rPr>
          <w:rFonts w:hint="cs"/>
          <w:rtl/>
        </w:rPr>
        <w:t xml:space="preserve"> فيها إيرادات كافية بهذه العملة هي الاحتفاظ </w:t>
      </w:r>
      <w:r w:rsidR="004D48AD">
        <w:rPr>
          <w:rFonts w:hint="cs"/>
          <w:rtl/>
        </w:rPr>
        <w:t>باحتياطي</w:t>
      </w:r>
      <w:r w:rsidR="00B513C2">
        <w:rPr>
          <w:rFonts w:hint="cs"/>
          <w:rtl/>
        </w:rPr>
        <w:t xml:space="preserve"> </w:t>
      </w:r>
      <w:r w:rsidR="00C06E50">
        <w:rPr>
          <w:rFonts w:hint="cs"/>
          <w:rtl/>
        </w:rPr>
        <w:t>كبير بالين الياباني في حساب جارٍ</w:t>
      </w:r>
      <w:r w:rsidR="00B513C2">
        <w:rPr>
          <w:rFonts w:hint="cs"/>
          <w:rtl/>
        </w:rPr>
        <w:t xml:space="preserve"> </w:t>
      </w:r>
      <w:r w:rsidR="004D48AD">
        <w:rPr>
          <w:rFonts w:hint="cs"/>
          <w:rtl/>
        </w:rPr>
        <w:t>والتعرض لل</w:t>
      </w:r>
      <w:r w:rsidR="00B513C2">
        <w:rPr>
          <w:rFonts w:hint="cs"/>
          <w:rtl/>
        </w:rPr>
        <w:t>مكاسب و</w:t>
      </w:r>
      <w:r w:rsidR="004D48AD">
        <w:rPr>
          <w:rFonts w:hint="cs"/>
          <w:rtl/>
        </w:rPr>
        <w:t>ال</w:t>
      </w:r>
      <w:r w:rsidR="00B513C2">
        <w:rPr>
          <w:rFonts w:hint="cs"/>
          <w:rtl/>
        </w:rPr>
        <w:t>خسائر</w:t>
      </w:r>
      <w:r w:rsidR="004D48AD">
        <w:rPr>
          <w:rFonts w:hint="cs"/>
          <w:rtl/>
        </w:rPr>
        <w:t xml:space="preserve"> المحتملة</w:t>
      </w:r>
      <w:r w:rsidR="00B513C2">
        <w:rPr>
          <w:rFonts w:hint="cs"/>
          <w:rtl/>
        </w:rPr>
        <w:t xml:space="preserve"> </w:t>
      </w:r>
      <w:r w:rsidR="00C06E50">
        <w:rPr>
          <w:rFonts w:hint="cs"/>
          <w:rtl/>
        </w:rPr>
        <w:t xml:space="preserve">نتيجة </w:t>
      </w:r>
      <w:r w:rsidR="004D48AD">
        <w:rPr>
          <w:rFonts w:hint="cs"/>
          <w:rtl/>
        </w:rPr>
        <w:t>تغير</w:t>
      </w:r>
      <w:r w:rsidR="00B513C2">
        <w:rPr>
          <w:rFonts w:hint="cs"/>
          <w:rtl/>
        </w:rPr>
        <w:t xml:space="preserve"> قيمة العملة، أو</w:t>
      </w:r>
      <w:r w:rsidR="004D48AD">
        <w:rPr>
          <w:rFonts w:hint="eastAsia"/>
          <w:rtl/>
        </w:rPr>
        <w:t> </w:t>
      </w:r>
      <w:r w:rsidR="00B513C2">
        <w:rPr>
          <w:rFonts w:hint="cs"/>
          <w:rtl/>
        </w:rPr>
        <w:t>استخدام</w:t>
      </w:r>
      <w:r w:rsidR="00A91233">
        <w:rPr>
          <w:rFonts w:hint="eastAsia"/>
          <w:rtl/>
        </w:rPr>
        <w:t> </w:t>
      </w:r>
      <w:r w:rsidR="00B513C2">
        <w:rPr>
          <w:rFonts w:hint="cs"/>
          <w:rtl/>
        </w:rPr>
        <w:t xml:space="preserve">آلية تحوط بديلة مثل شراء </w:t>
      </w:r>
      <w:r w:rsidR="000558F8">
        <w:rPr>
          <w:rFonts w:hint="cs"/>
          <w:rtl/>
        </w:rPr>
        <w:t xml:space="preserve">عقود مبادلة عملات </w:t>
      </w:r>
      <w:r w:rsidR="00A91233">
        <w:rPr>
          <w:rFonts w:hint="cs"/>
          <w:rtl/>
        </w:rPr>
        <w:t xml:space="preserve">مع ما </w:t>
      </w:r>
      <w:r w:rsidR="00C06E50">
        <w:rPr>
          <w:rFonts w:hint="cs"/>
          <w:rtl/>
        </w:rPr>
        <w:t>قد تنطوي عليه هذه الآلية من</w:t>
      </w:r>
      <w:r w:rsidR="00A91CC1">
        <w:rPr>
          <w:rFonts w:hint="cs"/>
          <w:rtl/>
        </w:rPr>
        <w:t xml:space="preserve"> تكاليف</w:t>
      </w:r>
      <w:r w:rsidR="004D48AD">
        <w:rPr>
          <w:rFonts w:hint="eastAsia"/>
          <w:rtl/>
        </w:rPr>
        <w:t> </w:t>
      </w:r>
      <w:r w:rsidR="00A91CC1">
        <w:rPr>
          <w:rFonts w:hint="cs"/>
          <w:rtl/>
        </w:rPr>
        <w:t>كبيرة</w:t>
      </w:r>
      <w:r w:rsidR="00A91233">
        <w:rPr>
          <w:rFonts w:hint="cs"/>
          <w:rtl/>
        </w:rPr>
        <w:t xml:space="preserve"> </w:t>
      </w:r>
      <w:r w:rsidR="00C06E50">
        <w:rPr>
          <w:rFonts w:hint="cs"/>
          <w:rtl/>
        </w:rPr>
        <w:t>ل</w:t>
      </w:r>
      <w:r w:rsidR="00A91233">
        <w:rPr>
          <w:rFonts w:hint="cs"/>
          <w:rtl/>
        </w:rPr>
        <w:t>لمنظمة</w:t>
      </w:r>
      <w:r w:rsidR="00A91CC1">
        <w:rPr>
          <w:rFonts w:hint="cs"/>
          <w:rtl/>
        </w:rPr>
        <w:t>.</w:t>
      </w:r>
    </w:p>
    <w:p w:rsidR="007B3BDF" w:rsidRPr="004D48AD" w:rsidRDefault="00A91CC1" w:rsidP="00A91CC1">
      <w:pPr>
        <w:pStyle w:val="NormalParaAR"/>
        <w:keepNext/>
        <w:jc w:val="center"/>
        <w:rPr>
          <w:b/>
          <w:bCs/>
        </w:rPr>
      </w:pPr>
      <w:r w:rsidRPr="004D48AD">
        <w:rPr>
          <w:rFonts w:hint="cs"/>
          <w:b/>
          <w:bCs/>
          <w:rtl/>
        </w:rPr>
        <w:t>إيرادات معاهدة البراءات بالين الياباني</w:t>
      </w:r>
    </w:p>
    <w:tbl>
      <w:tblPr>
        <w:bidiVisual/>
        <w:tblW w:w="4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2424"/>
      </w:tblGrid>
      <w:tr w:rsidR="006E391E" w:rsidRPr="00A91CC1" w:rsidTr="004D48AD">
        <w:trPr>
          <w:trHeight w:val="890"/>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bCs/>
                <w:color w:val="000000"/>
                <w:sz w:val="28"/>
                <w:szCs w:val="28"/>
              </w:rPr>
            </w:pPr>
            <w:r w:rsidRPr="00A91CC1">
              <w:rPr>
                <w:rFonts w:ascii="Arabic Typesetting" w:hAnsi="Arabic Typesetting" w:cs="Arabic Typesetting"/>
                <w:bCs/>
                <w:color w:val="000000"/>
                <w:sz w:val="28"/>
                <w:szCs w:val="28"/>
                <w:rtl/>
              </w:rPr>
              <w:t>الشهر</w:t>
            </w:r>
          </w:p>
        </w:tc>
        <w:tc>
          <w:tcPr>
            <w:tcW w:w="2424" w:type="dxa"/>
            <w:shd w:val="clear" w:color="auto" w:fill="auto"/>
            <w:vAlign w:val="center"/>
            <w:hideMark/>
          </w:tcPr>
          <w:p w:rsidR="006E391E" w:rsidRPr="00A91CC1" w:rsidRDefault="00A91CC1" w:rsidP="004D48AD">
            <w:pPr>
              <w:bidi/>
              <w:spacing w:after="0" w:line="240" w:lineRule="auto"/>
              <w:jc w:val="center"/>
              <w:rPr>
                <w:rFonts w:ascii="Arabic Typesetting" w:hAnsi="Arabic Typesetting" w:cs="Arabic Typesetting"/>
                <w:bCs/>
                <w:color w:val="000000"/>
                <w:sz w:val="28"/>
                <w:szCs w:val="28"/>
              </w:rPr>
            </w:pPr>
            <w:r w:rsidRPr="00A91CC1">
              <w:rPr>
                <w:rFonts w:ascii="Arabic Typesetting" w:hAnsi="Arabic Typesetting" w:cs="Arabic Typesetting"/>
                <w:bCs/>
                <w:color w:val="000000"/>
                <w:sz w:val="28"/>
                <w:szCs w:val="28"/>
                <w:rtl/>
              </w:rPr>
              <w:t>التدفق النقدي</w:t>
            </w:r>
            <w:r w:rsidR="004D48AD">
              <w:rPr>
                <w:rFonts w:ascii="Arabic Typesetting" w:hAnsi="Arabic Typesetting" w:cs="Arabic Typesetting" w:hint="cs"/>
                <w:bCs/>
                <w:color w:val="000000"/>
                <w:sz w:val="28"/>
                <w:szCs w:val="28"/>
                <w:rtl/>
              </w:rPr>
              <w:t xml:space="preserve"> </w:t>
            </w:r>
            <w:r w:rsidRPr="00A91CC1">
              <w:rPr>
                <w:rFonts w:ascii="Arabic Typesetting" w:hAnsi="Arabic Typesetting" w:cs="Arabic Typesetting"/>
                <w:bCs/>
                <w:color w:val="000000"/>
                <w:sz w:val="28"/>
                <w:szCs w:val="28"/>
                <w:rtl/>
              </w:rPr>
              <w:t>بالين الياباني</w:t>
            </w:r>
            <w:r>
              <w:rPr>
                <w:rFonts w:ascii="Arabic Typesetting" w:hAnsi="Arabic Typesetting" w:cs="Arabic Typesetting" w:hint="cs"/>
                <w:bCs/>
                <w:color w:val="000000"/>
                <w:sz w:val="28"/>
                <w:szCs w:val="28"/>
                <w:rtl/>
              </w:rPr>
              <w:br/>
            </w:r>
            <w:r w:rsidRPr="00A91CC1">
              <w:rPr>
                <w:rFonts w:ascii="Arabic Typesetting" w:hAnsi="Arabic Typesetting" w:cs="Arabic Typesetting"/>
                <w:bCs/>
                <w:color w:val="000000"/>
                <w:sz w:val="28"/>
                <w:szCs w:val="28"/>
                <w:rtl/>
              </w:rPr>
              <w:t>(بالفرنك السويسري)</w:t>
            </w:r>
          </w:p>
        </w:tc>
      </w:tr>
      <w:tr w:rsidR="006E391E" w:rsidRPr="00A91CC1" w:rsidTr="004D48AD">
        <w:trPr>
          <w:trHeight w:val="350"/>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يناير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3,815,965.13</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فبراير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4,081,877.44</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مارس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4,927,553.00</w:t>
            </w:r>
          </w:p>
        </w:tc>
      </w:tr>
      <w:tr w:rsidR="006E391E" w:rsidRPr="00A91CC1" w:rsidTr="004D48AD">
        <w:trPr>
          <w:trHeight w:val="242"/>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أبريل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0.00</w:t>
            </w:r>
          </w:p>
        </w:tc>
      </w:tr>
      <w:tr w:rsidR="006E391E" w:rsidRPr="00A91CC1" w:rsidTr="004D48AD">
        <w:trPr>
          <w:trHeight w:val="260"/>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مايو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3,752,036.29</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يونيو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6,082,617.44</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يوليو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4,674,292.93</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أغسطس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4,487,030.57</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سبتمبر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4,458,539.81</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lastRenderedPageBreak/>
              <w:t>أكتوبر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5,051,816.00</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نوفمبر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4,957,470.28</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ديسمبر 2015</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4,687,285.73</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يناير 2016</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5,022,062.70</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فبراير 2016</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4,341,516.95</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مارس 2016</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0.00</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أبريل 2016</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Pr>
              <w:t>5,465,945.33</w:t>
            </w:r>
          </w:p>
        </w:tc>
      </w:tr>
      <w:tr w:rsidR="006E391E" w:rsidRPr="00A91CC1" w:rsidTr="004D48AD">
        <w:trPr>
          <w:trHeight w:val="255"/>
          <w:jc w:val="center"/>
        </w:trPr>
        <w:tc>
          <w:tcPr>
            <w:tcW w:w="1680"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rPr>
            </w:pPr>
            <w:r w:rsidRPr="00A91CC1">
              <w:rPr>
                <w:rFonts w:ascii="Arabic Typesetting" w:hAnsi="Arabic Typesetting" w:cs="Arabic Typesetting"/>
                <w:color w:val="000000"/>
                <w:sz w:val="28"/>
                <w:szCs w:val="28"/>
                <w:rtl/>
              </w:rPr>
              <w:t>مايو 2016</w:t>
            </w:r>
          </w:p>
        </w:tc>
        <w:tc>
          <w:tcPr>
            <w:tcW w:w="2424" w:type="dxa"/>
            <w:shd w:val="clear" w:color="auto" w:fill="auto"/>
            <w:noWrap/>
            <w:vAlign w:val="center"/>
            <w:hideMark/>
          </w:tcPr>
          <w:p w:rsidR="006E391E" w:rsidRPr="00A91CC1" w:rsidRDefault="006E391E" w:rsidP="004D48AD">
            <w:pPr>
              <w:bidi/>
              <w:spacing w:after="0" w:line="240" w:lineRule="auto"/>
              <w:jc w:val="center"/>
              <w:rPr>
                <w:rFonts w:ascii="Arabic Typesetting" w:hAnsi="Arabic Typesetting" w:cs="Arabic Typesetting"/>
                <w:color w:val="000000"/>
                <w:sz w:val="28"/>
                <w:szCs w:val="28"/>
                <w:u w:val="single"/>
              </w:rPr>
            </w:pPr>
            <w:r w:rsidRPr="00A91CC1">
              <w:rPr>
                <w:rFonts w:ascii="Arabic Typesetting" w:hAnsi="Arabic Typesetting" w:cs="Arabic Typesetting"/>
                <w:color w:val="000000"/>
                <w:sz w:val="28"/>
                <w:szCs w:val="28"/>
                <w:u w:val="single"/>
              </w:rPr>
              <w:t>12,119,416.59</w:t>
            </w:r>
          </w:p>
        </w:tc>
      </w:tr>
      <w:tr w:rsidR="007B3BDF" w:rsidRPr="00A91CC1" w:rsidTr="004D48AD">
        <w:trPr>
          <w:trHeight w:val="350"/>
          <w:jc w:val="center"/>
        </w:trPr>
        <w:tc>
          <w:tcPr>
            <w:tcW w:w="1680" w:type="dxa"/>
            <w:shd w:val="clear" w:color="auto" w:fill="auto"/>
            <w:noWrap/>
            <w:vAlign w:val="center"/>
            <w:hideMark/>
          </w:tcPr>
          <w:p w:rsidR="007B3BDF" w:rsidRPr="00A91CC1" w:rsidRDefault="006E391E" w:rsidP="004D48AD">
            <w:pPr>
              <w:bidi/>
              <w:spacing w:after="0" w:line="240" w:lineRule="auto"/>
              <w:jc w:val="center"/>
              <w:rPr>
                <w:rFonts w:ascii="Arabic Typesetting" w:hAnsi="Arabic Typesetting" w:cs="Arabic Typesetting"/>
                <w:b/>
                <w:bCs/>
                <w:color w:val="000000"/>
                <w:sz w:val="28"/>
                <w:szCs w:val="28"/>
              </w:rPr>
            </w:pPr>
            <w:r w:rsidRPr="00A91CC1">
              <w:rPr>
                <w:rFonts w:ascii="Arabic Typesetting" w:hAnsi="Arabic Typesetting" w:cs="Arabic Typesetting"/>
                <w:b/>
                <w:bCs/>
                <w:color w:val="000000"/>
                <w:sz w:val="28"/>
                <w:szCs w:val="28"/>
                <w:rtl/>
              </w:rPr>
              <w:t>المجموع</w:t>
            </w:r>
          </w:p>
        </w:tc>
        <w:tc>
          <w:tcPr>
            <w:tcW w:w="2424" w:type="dxa"/>
            <w:shd w:val="clear" w:color="auto" w:fill="auto"/>
            <w:noWrap/>
            <w:vAlign w:val="center"/>
            <w:hideMark/>
          </w:tcPr>
          <w:p w:rsidR="007B3BDF" w:rsidRPr="00A91CC1" w:rsidRDefault="007B3BDF" w:rsidP="004D48AD">
            <w:pPr>
              <w:bidi/>
              <w:spacing w:after="0" w:line="240" w:lineRule="auto"/>
              <w:jc w:val="center"/>
              <w:rPr>
                <w:rFonts w:ascii="Arabic Typesetting" w:hAnsi="Arabic Typesetting" w:cs="Arabic Typesetting"/>
                <w:b/>
                <w:color w:val="000000"/>
                <w:sz w:val="28"/>
                <w:szCs w:val="28"/>
              </w:rPr>
            </w:pPr>
            <w:r w:rsidRPr="00A91CC1">
              <w:rPr>
                <w:rFonts w:ascii="Arabic Typesetting" w:hAnsi="Arabic Typesetting" w:cs="Arabic Typesetting"/>
                <w:b/>
                <w:color w:val="000000"/>
                <w:sz w:val="28"/>
                <w:szCs w:val="28"/>
              </w:rPr>
              <w:t>77,925,426.19</w:t>
            </w:r>
          </w:p>
        </w:tc>
      </w:tr>
    </w:tbl>
    <w:p w:rsidR="007B3BDF" w:rsidRPr="00A91CC1" w:rsidRDefault="00A91CC1" w:rsidP="00A91CC1">
      <w:pPr>
        <w:pStyle w:val="NormalParaAR"/>
        <w:keepNext/>
      </w:pPr>
      <w:r>
        <w:rPr>
          <w:rFonts w:hint="cs"/>
          <w:rtl/>
        </w:rPr>
        <w:t>الملخص</w:t>
      </w:r>
    </w:p>
    <w:p w:rsidR="00A91CC1" w:rsidRPr="00A91CC1" w:rsidRDefault="00A91CC1" w:rsidP="000D022D">
      <w:pPr>
        <w:pStyle w:val="NumberedParaAR"/>
        <w:tabs>
          <w:tab w:val="clear" w:pos="567"/>
        </w:tabs>
        <w:rPr>
          <w:rtl/>
        </w:rPr>
      </w:pPr>
      <w:r>
        <w:rPr>
          <w:rFonts w:hint="cs"/>
          <w:rtl/>
        </w:rPr>
        <w:t xml:space="preserve">بناء على ما تقدَّم واستناداً إلى تحليل التدفق النقدي </w:t>
      </w:r>
      <w:r w:rsidR="009B3631">
        <w:rPr>
          <w:rFonts w:hint="cs"/>
          <w:rtl/>
        </w:rPr>
        <w:t>على مدى</w:t>
      </w:r>
      <w:r>
        <w:rPr>
          <w:rFonts w:hint="cs"/>
          <w:rtl/>
        </w:rPr>
        <w:t xml:space="preserve"> 17 </w:t>
      </w:r>
      <w:r w:rsidR="000D022D">
        <w:rPr>
          <w:rFonts w:hint="cs"/>
          <w:rtl/>
        </w:rPr>
        <w:t>شهراً</w:t>
      </w:r>
      <w:r w:rsidR="00025C24">
        <w:rPr>
          <w:rFonts w:hint="cs"/>
          <w:rtl/>
        </w:rPr>
        <w:t xml:space="preserve"> من يناير 2015 إلى مايو 2016، </w:t>
      </w:r>
      <w:r w:rsidR="00C06E50">
        <w:rPr>
          <w:rFonts w:hint="cs"/>
          <w:rtl/>
        </w:rPr>
        <w:t>توفرت</w:t>
      </w:r>
      <w:r w:rsidR="00025C24">
        <w:rPr>
          <w:rFonts w:hint="cs"/>
          <w:rtl/>
        </w:rPr>
        <w:t xml:space="preserve"> النسب التالية من إيرادات معاهدة التعاون بشأن البراءات لشراء عقود آجلة:</w:t>
      </w:r>
      <w:r w:rsidR="00C06E50">
        <w:rPr>
          <w:rFonts w:hint="cs"/>
          <w:rtl/>
        </w:rPr>
        <w:t xml:space="preserve"> 36.8 بالمئة بالدولار الأمريكي و69.6</w:t>
      </w:r>
      <w:r w:rsidR="00C06E50">
        <w:rPr>
          <w:rFonts w:hint="eastAsia"/>
          <w:rtl/>
        </w:rPr>
        <w:t> </w:t>
      </w:r>
      <w:r w:rsidR="00C06E50">
        <w:rPr>
          <w:rFonts w:hint="cs"/>
          <w:rtl/>
        </w:rPr>
        <w:t>بالمئة باليورو و99 بالمئة بالين الياباني.</w:t>
      </w:r>
      <w:r w:rsidR="00025C24">
        <w:rPr>
          <w:rFonts w:hint="cs"/>
          <w:rtl/>
        </w:rPr>
        <w:t xml:space="preserve"> و</w:t>
      </w:r>
      <w:r w:rsidR="00BB0B4D">
        <w:rPr>
          <w:rFonts w:hint="cs"/>
          <w:rtl/>
        </w:rPr>
        <w:t>في إطار الاستراتيجية المقترحة وفيما يخص الإيرادات المحص</w:t>
      </w:r>
      <w:r w:rsidR="00C06E50">
        <w:rPr>
          <w:rFonts w:hint="cs"/>
          <w:rtl/>
        </w:rPr>
        <w:t>َّ</w:t>
      </w:r>
      <w:r w:rsidR="00BB0B4D">
        <w:rPr>
          <w:rFonts w:hint="cs"/>
          <w:rtl/>
        </w:rPr>
        <w:t xml:space="preserve">لة بعملات غير الفرنك السويسري </w:t>
      </w:r>
      <w:r w:rsidR="009B3631">
        <w:rPr>
          <w:rFonts w:hint="cs"/>
          <w:rtl/>
        </w:rPr>
        <w:t>على مدى</w:t>
      </w:r>
      <w:r w:rsidR="00BB0B4D">
        <w:rPr>
          <w:rFonts w:hint="cs"/>
          <w:rtl/>
        </w:rPr>
        <w:t xml:space="preserve"> 17 شهراً، يعني ذلك </w:t>
      </w:r>
      <w:r w:rsidR="00025C24">
        <w:rPr>
          <w:rFonts w:hint="cs"/>
          <w:rtl/>
        </w:rPr>
        <w:t>أن مبلغاً قدره 139.2 مليون فرنك سويسري (أو 34.9 بالمئة من إجمالي الإيرادات النقدية لمعاهدة البراءات البالغة 398.6 مليون فرنك سويسري)</w:t>
      </w:r>
      <w:r w:rsidR="00BB0B4D">
        <w:rPr>
          <w:rFonts w:hint="cs"/>
          <w:rtl/>
        </w:rPr>
        <w:t xml:space="preserve"> لم تشمله</w:t>
      </w:r>
      <w:r w:rsidR="00025C24">
        <w:rPr>
          <w:rFonts w:hint="cs"/>
          <w:rtl/>
        </w:rPr>
        <w:t xml:space="preserve"> </w:t>
      </w:r>
      <w:r w:rsidR="00BB0B4D">
        <w:rPr>
          <w:rFonts w:hint="cs"/>
          <w:rtl/>
        </w:rPr>
        <w:t xml:space="preserve">استراتيجية </w:t>
      </w:r>
      <w:r w:rsidR="00025C24">
        <w:rPr>
          <w:rFonts w:hint="cs"/>
          <w:rtl/>
        </w:rPr>
        <w:t>التحوط و</w:t>
      </w:r>
      <w:r w:rsidR="00BB0B4D">
        <w:rPr>
          <w:rFonts w:hint="cs"/>
          <w:rtl/>
        </w:rPr>
        <w:t>كان سي</w:t>
      </w:r>
      <w:r w:rsidR="00025C24">
        <w:rPr>
          <w:rFonts w:hint="cs"/>
          <w:rtl/>
        </w:rPr>
        <w:t>تعرض للمكاسب والخسائر الناجمة عن تقلب أسعار الصرف.</w:t>
      </w:r>
    </w:p>
    <w:tbl>
      <w:tblPr>
        <w:bidiVisual/>
        <w:tblW w:w="0" w:type="auto"/>
        <w:jc w:val="center"/>
        <w:tblLook w:val="04A0" w:firstRow="1" w:lastRow="0" w:firstColumn="1" w:lastColumn="0" w:noHBand="0" w:noVBand="1"/>
      </w:tblPr>
      <w:tblGrid>
        <w:gridCol w:w="3401"/>
        <w:gridCol w:w="2248"/>
        <w:gridCol w:w="2836"/>
      </w:tblGrid>
      <w:tr w:rsidR="007B3BDF" w:rsidRPr="00025C24" w:rsidTr="00025C24">
        <w:trPr>
          <w:trHeight w:val="76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025C24" w:rsidP="00BB0B4D">
            <w:pPr>
              <w:bidi/>
              <w:spacing w:after="0" w:line="240" w:lineRule="auto"/>
              <w:jc w:val="center"/>
              <w:rPr>
                <w:rFonts w:ascii="Arabic Typesetting" w:hAnsi="Arabic Typesetting" w:cs="Arabic Typesetting"/>
                <w:bCs/>
                <w:color w:val="000000"/>
                <w:sz w:val="28"/>
                <w:szCs w:val="28"/>
              </w:rPr>
            </w:pPr>
            <w:r w:rsidRPr="00025C24">
              <w:rPr>
                <w:rFonts w:ascii="Arabic Typesetting" w:hAnsi="Arabic Typesetting" w:cs="Arabic Typesetting"/>
                <w:bCs/>
                <w:color w:val="000000"/>
                <w:sz w:val="28"/>
                <w:szCs w:val="28"/>
                <w:rtl/>
              </w:rPr>
              <w:t>العملة</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3BDF" w:rsidRPr="00025C24" w:rsidRDefault="00025C24" w:rsidP="00BB0B4D">
            <w:pPr>
              <w:bidi/>
              <w:spacing w:after="0" w:line="240" w:lineRule="auto"/>
              <w:jc w:val="center"/>
              <w:rPr>
                <w:rFonts w:ascii="Arabic Typesetting" w:hAnsi="Arabic Typesetting" w:cs="Arabic Typesetting"/>
                <w:bCs/>
                <w:color w:val="000000"/>
                <w:sz w:val="28"/>
                <w:szCs w:val="28"/>
              </w:rPr>
            </w:pPr>
            <w:r w:rsidRPr="00025C24">
              <w:rPr>
                <w:rFonts w:ascii="Arabic Typesetting" w:hAnsi="Arabic Typesetting" w:cs="Arabic Typesetting"/>
                <w:bCs/>
                <w:color w:val="000000"/>
                <w:sz w:val="28"/>
                <w:szCs w:val="28"/>
                <w:rtl/>
              </w:rPr>
              <w:t>النسبة المئوية الخارجة عن التحوط</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3BDF" w:rsidRPr="00025C24" w:rsidRDefault="00BB0B4D" w:rsidP="00BB0B4D">
            <w:pPr>
              <w:bidi/>
              <w:spacing w:after="0" w:line="240" w:lineRule="auto"/>
              <w:jc w:val="center"/>
              <w:rPr>
                <w:rFonts w:ascii="Arabic Typesetting" w:hAnsi="Arabic Typesetting" w:cs="Arabic Typesetting"/>
                <w:bCs/>
                <w:color w:val="000000"/>
                <w:sz w:val="28"/>
                <w:szCs w:val="28"/>
              </w:rPr>
            </w:pPr>
            <w:r>
              <w:rPr>
                <w:rFonts w:ascii="Arabic Typesetting" w:hAnsi="Arabic Typesetting" w:cs="Arabic Typesetting" w:hint="cs"/>
                <w:bCs/>
                <w:color w:val="000000"/>
                <w:sz w:val="28"/>
                <w:szCs w:val="28"/>
                <w:rtl/>
              </w:rPr>
              <w:t>المبلغ</w:t>
            </w:r>
            <w:r w:rsidR="00025C24" w:rsidRPr="00025C24">
              <w:rPr>
                <w:rFonts w:ascii="Arabic Typesetting" w:hAnsi="Arabic Typesetting" w:cs="Arabic Typesetting"/>
                <w:bCs/>
                <w:color w:val="000000"/>
                <w:sz w:val="28"/>
                <w:szCs w:val="28"/>
                <w:rtl/>
              </w:rPr>
              <w:t xml:space="preserve"> الخارج عن التحوط بالفرنك السويسري</w:t>
            </w: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BB0B4D" w:rsidRDefault="00025C24" w:rsidP="00BB0B4D">
            <w:pPr>
              <w:bidi/>
              <w:spacing w:after="0" w:line="240" w:lineRule="auto"/>
              <w:rPr>
                <w:rFonts w:ascii="Arabic Typesetting" w:hAnsi="Arabic Typesetting" w:cs="Arabic Typesetting"/>
                <w:color w:val="000000"/>
                <w:sz w:val="28"/>
                <w:szCs w:val="28"/>
              </w:rPr>
            </w:pPr>
            <w:r w:rsidRPr="00BB0B4D">
              <w:rPr>
                <w:rFonts w:ascii="Arabic Typesetting" w:hAnsi="Arabic Typesetting" w:cs="Arabic Typesetting"/>
                <w:color w:val="000000"/>
                <w:sz w:val="28"/>
                <w:szCs w:val="28"/>
                <w:rtl/>
              </w:rPr>
              <w:t>اليورو</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E37DB9"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%30.4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26,260,763</w:t>
            </w: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BB0B4D" w:rsidRDefault="00025C24" w:rsidP="00BB0B4D">
            <w:pPr>
              <w:bidi/>
              <w:spacing w:after="0" w:line="240" w:lineRule="auto"/>
              <w:rPr>
                <w:rFonts w:ascii="Arabic Typesetting" w:hAnsi="Arabic Typesetting" w:cs="Arabic Typesetting"/>
                <w:color w:val="000000"/>
                <w:sz w:val="28"/>
                <w:szCs w:val="28"/>
              </w:rPr>
            </w:pPr>
            <w:r w:rsidRPr="00BB0B4D">
              <w:rPr>
                <w:rFonts w:ascii="Arabic Typesetting" w:hAnsi="Arabic Typesetting" w:cs="Arabic Typesetting"/>
                <w:color w:val="000000"/>
                <w:sz w:val="28"/>
                <w:szCs w:val="28"/>
                <w:rtl/>
              </w:rPr>
              <w:t>الين الياباني</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0</w:t>
            </w: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025C24" w:rsidP="00BB0B4D">
            <w:pPr>
              <w:bidi/>
              <w:spacing w:after="0" w:line="240" w:lineRule="auto"/>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tl/>
              </w:rPr>
              <w:t>الدولار الأمريكي</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E37DB9"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%63.2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98,552,547</w:t>
            </w:r>
          </w:p>
        </w:tc>
      </w:tr>
      <w:tr w:rsidR="007B3BDF" w:rsidRPr="00025C24" w:rsidTr="00025C24">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7B3BDF" w:rsidRPr="00025C24" w:rsidRDefault="00025C24" w:rsidP="00BB0B4D">
            <w:pPr>
              <w:bidi/>
              <w:spacing w:after="0" w:line="240" w:lineRule="auto"/>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tl/>
              </w:rPr>
              <w:t>عملات أخرى (</w:t>
            </w:r>
            <w:r w:rsidR="00C06E50">
              <w:rPr>
                <w:rFonts w:ascii="Arabic Typesetting" w:hAnsi="Arabic Typesetting" w:cs="Arabic Typesetting" w:hint="cs"/>
                <w:color w:val="000000"/>
                <w:sz w:val="28"/>
                <w:szCs w:val="28"/>
                <w:rtl/>
              </w:rPr>
              <w:t>ال</w:t>
            </w:r>
            <w:r w:rsidRPr="00025C24">
              <w:rPr>
                <w:rFonts w:ascii="Arabic Typesetting" w:hAnsi="Arabic Typesetting" w:cs="Arabic Typesetting"/>
                <w:color w:val="000000"/>
                <w:sz w:val="28"/>
                <w:szCs w:val="28"/>
                <w:rtl/>
              </w:rPr>
              <w:t>ملاحظة 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E37DB9"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u w:val="single"/>
              </w:rPr>
            </w:pPr>
            <w:r w:rsidRPr="00025C24">
              <w:rPr>
                <w:rFonts w:ascii="Arabic Typesetting" w:hAnsi="Arabic Typesetting" w:cs="Arabic Typesetting"/>
                <w:color w:val="000000"/>
                <w:sz w:val="28"/>
                <w:szCs w:val="28"/>
                <w:u w:val="single"/>
              </w:rPr>
              <w:t>14,424,808</w:t>
            </w: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025C24" w:rsidP="00BB0B4D">
            <w:pPr>
              <w:bidi/>
              <w:spacing w:after="0" w:line="240" w:lineRule="auto"/>
              <w:rPr>
                <w:rFonts w:ascii="Arabic Typesetting" w:hAnsi="Arabic Typesetting" w:cs="Arabic Typesetting"/>
                <w:bCs/>
                <w:color w:val="000000"/>
                <w:sz w:val="28"/>
                <w:szCs w:val="28"/>
              </w:rPr>
            </w:pPr>
            <w:r w:rsidRPr="00025C24">
              <w:rPr>
                <w:rFonts w:ascii="Arabic Typesetting" w:hAnsi="Arabic Typesetting" w:cs="Arabic Typesetting"/>
                <w:bCs/>
                <w:color w:val="000000"/>
                <w:sz w:val="28"/>
                <w:szCs w:val="28"/>
                <w:rtl/>
              </w:rPr>
              <w:t>المجموع</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b/>
                <w:color w:val="000000"/>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b/>
                <w:color w:val="000000"/>
                <w:sz w:val="28"/>
                <w:szCs w:val="28"/>
              </w:rPr>
            </w:pPr>
            <w:r w:rsidRPr="00025C24">
              <w:rPr>
                <w:rFonts w:ascii="Arabic Typesetting" w:hAnsi="Arabic Typesetting" w:cs="Arabic Typesetting"/>
                <w:b/>
                <w:color w:val="000000"/>
                <w:sz w:val="28"/>
                <w:szCs w:val="28"/>
              </w:rPr>
              <w:t>139,238,118</w:t>
            </w: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rPr>
                <w:rFonts w:ascii="Arabic Typesetting" w:hAnsi="Arabic Typesetting" w:cs="Arabic Typesetting"/>
                <w:color w:val="000000"/>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r>
      <w:tr w:rsidR="007B3BDF" w:rsidRPr="00025C24" w:rsidTr="00025C24">
        <w:trPr>
          <w:trHeight w:val="255"/>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025C24" w:rsidP="00BB0B4D">
            <w:pPr>
              <w:bidi/>
              <w:spacing w:after="0" w:line="240" w:lineRule="auto"/>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tl/>
              </w:rPr>
              <w:t>النسبة المئوية من مجموع إيرادات معاهدة البراءات</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3BDF" w:rsidRPr="00025C24" w:rsidRDefault="00E37DB9" w:rsidP="00BB0B4D">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Pr>
              <w:t>%34.9</w:t>
            </w:r>
          </w:p>
        </w:tc>
      </w:tr>
      <w:tr w:rsidR="007B3BDF" w:rsidRPr="00025C24" w:rsidTr="00025C24">
        <w:trPr>
          <w:trHeight w:val="255"/>
          <w:jc w:val="center"/>
        </w:trPr>
        <w:tc>
          <w:tcPr>
            <w:tcW w:w="0" w:type="auto"/>
            <w:tcBorders>
              <w:top w:val="single" w:sz="4" w:space="0" w:color="auto"/>
              <w:left w:val="nil"/>
              <w:bottom w:val="nil"/>
              <w:right w:val="nil"/>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c>
          <w:tcPr>
            <w:tcW w:w="0" w:type="auto"/>
            <w:tcBorders>
              <w:top w:val="single" w:sz="4" w:space="0" w:color="auto"/>
              <w:left w:val="nil"/>
              <w:bottom w:val="nil"/>
              <w:right w:val="nil"/>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c>
          <w:tcPr>
            <w:tcW w:w="0" w:type="auto"/>
            <w:tcBorders>
              <w:top w:val="single" w:sz="4" w:space="0" w:color="auto"/>
              <w:left w:val="nil"/>
              <w:bottom w:val="nil"/>
              <w:right w:val="nil"/>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r>
      <w:tr w:rsidR="007B3BDF" w:rsidRPr="00025C24" w:rsidTr="00025C24">
        <w:trPr>
          <w:trHeight w:val="255"/>
          <w:jc w:val="center"/>
        </w:trPr>
        <w:tc>
          <w:tcPr>
            <w:tcW w:w="0" w:type="auto"/>
            <w:tcBorders>
              <w:top w:val="nil"/>
              <w:left w:val="nil"/>
              <w:bottom w:val="nil"/>
              <w:right w:val="nil"/>
            </w:tcBorders>
            <w:shd w:val="clear" w:color="auto" w:fill="auto"/>
            <w:noWrap/>
            <w:vAlign w:val="center"/>
            <w:hideMark/>
          </w:tcPr>
          <w:p w:rsidR="007B3BDF" w:rsidRPr="00025C24" w:rsidRDefault="00025C24" w:rsidP="00C06E50">
            <w:pPr>
              <w:bidi/>
              <w:spacing w:after="0" w:line="240" w:lineRule="auto"/>
              <w:jc w:val="center"/>
              <w:rPr>
                <w:rFonts w:ascii="Arabic Typesetting" w:hAnsi="Arabic Typesetting" w:cs="Arabic Typesetting"/>
                <w:color w:val="000000"/>
                <w:sz w:val="28"/>
                <w:szCs w:val="28"/>
              </w:rPr>
            </w:pPr>
            <w:r w:rsidRPr="00025C24">
              <w:rPr>
                <w:rFonts w:ascii="Arabic Typesetting" w:hAnsi="Arabic Typesetting" w:cs="Arabic Typesetting"/>
                <w:color w:val="000000"/>
                <w:sz w:val="28"/>
                <w:szCs w:val="28"/>
                <w:rtl/>
              </w:rPr>
              <w:t xml:space="preserve">الملاحظة 1 – </w:t>
            </w:r>
            <w:r w:rsidR="00C06E50">
              <w:rPr>
                <w:rFonts w:ascii="Arabic Typesetting" w:hAnsi="Arabic Typesetting" w:cs="Arabic Typesetting" w:hint="cs"/>
                <w:color w:val="000000"/>
                <w:sz w:val="28"/>
                <w:szCs w:val="28"/>
                <w:rtl/>
              </w:rPr>
              <w:t>عدا</w:t>
            </w:r>
            <w:r w:rsidRPr="00025C24">
              <w:rPr>
                <w:rFonts w:ascii="Arabic Typesetting" w:hAnsi="Arabic Typesetting" w:cs="Arabic Typesetting"/>
                <w:color w:val="000000"/>
                <w:sz w:val="28"/>
                <w:szCs w:val="28"/>
                <w:rtl/>
              </w:rPr>
              <w:t xml:space="preserve"> الأموال الواردة بالفرنك السويسري</w:t>
            </w:r>
          </w:p>
        </w:tc>
        <w:tc>
          <w:tcPr>
            <w:tcW w:w="0" w:type="auto"/>
            <w:tcBorders>
              <w:top w:val="nil"/>
              <w:left w:val="nil"/>
              <w:bottom w:val="nil"/>
              <w:right w:val="nil"/>
            </w:tcBorders>
            <w:shd w:val="clear" w:color="auto" w:fill="auto"/>
            <w:noWrap/>
            <w:vAlign w:val="center"/>
            <w:hideMark/>
          </w:tcPr>
          <w:p w:rsidR="007B3BDF" w:rsidRPr="00C06E50" w:rsidRDefault="007B3BDF" w:rsidP="00BB0B4D">
            <w:pPr>
              <w:bidi/>
              <w:spacing w:after="0" w:line="240" w:lineRule="auto"/>
              <w:jc w:val="center"/>
              <w:rPr>
                <w:rFonts w:ascii="Arabic Typesetting" w:hAnsi="Arabic Typesetting" w:cs="Arabic Typesetting"/>
                <w:color w:val="000000"/>
                <w:sz w:val="28"/>
                <w:szCs w:val="28"/>
              </w:rPr>
            </w:pPr>
          </w:p>
        </w:tc>
        <w:tc>
          <w:tcPr>
            <w:tcW w:w="0" w:type="auto"/>
            <w:tcBorders>
              <w:top w:val="nil"/>
              <w:left w:val="nil"/>
              <w:bottom w:val="nil"/>
              <w:right w:val="nil"/>
            </w:tcBorders>
            <w:shd w:val="clear" w:color="auto" w:fill="auto"/>
            <w:noWrap/>
            <w:vAlign w:val="center"/>
            <w:hideMark/>
          </w:tcPr>
          <w:p w:rsidR="007B3BDF" w:rsidRPr="00025C24" w:rsidRDefault="007B3BDF" w:rsidP="00BB0B4D">
            <w:pPr>
              <w:bidi/>
              <w:spacing w:after="0" w:line="240" w:lineRule="auto"/>
              <w:jc w:val="center"/>
              <w:rPr>
                <w:rFonts w:ascii="Arabic Typesetting" w:hAnsi="Arabic Typesetting" w:cs="Arabic Typesetting"/>
                <w:color w:val="000000"/>
                <w:sz w:val="28"/>
                <w:szCs w:val="28"/>
              </w:rPr>
            </w:pPr>
          </w:p>
        </w:tc>
      </w:tr>
    </w:tbl>
    <w:p w:rsidR="00025C24" w:rsidRDefault="00025C24" w:rsidP="00F8413B">
      <w:pPr>
        <w:pStyle w:val="NumberedParaAR"/>
        <w:tabs>
          <w:tab w:val="clear" w:pos="567"/>
        </w:tabs>
        <w:spacing w:before="240"/>
      </w:pPr>
      <w:r>
        <w:rPr>
          <w:rFonts w:hint="cs"/>
          <w:rtl/>
        </w:rPr>
        <w:t xml:space="preserve">ويتبين من تحليل التدفق النقدي الفعلي أن </w:t>
      </w:r>
      <w:r w:rsidR="00BB0B4D">
        <w:rPr>
          <w:rFonts w:hint="cs"/>
          <w:rtl/>
        </w:rPr>
        <w:t>إجمالي</w:t>
      </w:r>
      <w:r>
        <w:rPr>
          <w:rFonts w:hint="cs"/>
          <w:rtl/>
        </w:rPr>
        <w:t xml:space="preserve"> الأموال </w:t>
      </w:r>
      <w:r w:rsidR="00BB0B4D">
        <w:rPr>
          <w:rFonts w:hint="cs"/>
          <w:rtl/>
        </w:rPr>
        <w:t>المتوفرة</w:t>
      </w:r>
      <w:r>
        <w:rPr>
          <w:rFonts w:hint="cs"/>
          <w:rtl/>
        </w:rPr>
        <w:t xml:space="preserve"> </w:t>
      </w:r>
      <w:r w:rsidR="00BB0B4D">
        <w:rPr>
          <w:rFonts w:hint="cs"/>
          <w:rtl/>
        </w:rPr>
        <w:t>ب</w:t>
      </w:r>
      <w:r>
        <w:rPr>
          <w:rFonts w:hint="cs"/>
          <w:rtl/>
        </w:rPr>
        <w:t>الدولار الأمريكي واليورو</w:t>
      </w:r>
      <w:r w:rsidR="00BB0B4D">
        <w:rPr>
          <w:rFonts w:hint="cs"/>
          <w:rtl/>
        </w:rPr>
        <w:t xml:space="preserve"> والين الياباني</w:t>
      </w:r>
      <w:r>
        <w:rPr>
          <w:rFonts w:hint="cs"/>
          <w:rtl/>
        </w:rPr>
        <w:t xml:space="preserve"> </w:t>
      </w:r>
      <w:r w:rsidR="009B3631">
        <w:rPr>
          <w:rFonts w:hint="cs"/>
          <w:rtl/>
        </w:rPr>
        <w:t>على مدى</w:t>
      </w:r>
      <w:r>
        <w:rPr>
          <w:rFonts w:hint="cs"/>
          <w:rtl/>
        </w:rPr>
        <w:t xml:space="preserve"> 17 شهراً من 1 يناير 2015 إلى 31 مايو 2016 للتحوط لإيرادات معاهدة البراءات عن طريق شراء عقود آجلة لم </w:t>
      </w:r>
      <w:r w:rsidR="00427298">
        <w:rPr>
          <w:rFonts w:hint="cs"/>
          <w:rtl/>
        </w:rPr>
        <w:t xml:space="preserve">يصل إلى الحد الأدنى للنسبتين المقترحتين وهما 70 و90 بالمئة، وكان سيعرض الويبو لمخاطر كبيرة بسبب </w:t>
      </w:r>
      <w:r w:rsidR="009B3631">
        <w:rPr>
          <w:rFonts w:hint="cs"/>
          <w:rtl/>
        </w:rPr>
        <w:t>تقلب</w:t>
      </w:r>
      <w:r w:rsidR="00427298">
        <w:rPr>
          <w:rFonts w:hint="cs"/>
          <w:rtl/>
        </w:rPr>
        <w:t xml:space="preserve"> </w:t>
      </w:r>
      <w:r w:rsidR="00FA05D2">
        <w:rPr>
          <w:rFonts w:hint="cs"/>
          <w:rtl/>
        </w:rPr>
        <w:t>أ</w:t>
      </w:r>
      <w:r w:rsidR="00427298">
        <w:rPr>
          <w:rFonts w:hint="cs"/>
          <w:rtl/>
        </w:rPr>
        <w:t>سع</w:t>
      </w:r>
      <w:r w:rsidR="00FA05D2">
        <w:rPr>
          <w:rFonts w:hint="cs"/>
          <w:rtl/>
        </w:rPr>
        <w:t>ا</w:t>
      </w:r>
      <w:r w:rsidR="00427298">
        <w:rPr>
          <w:rFonts w:hint="cs"/>
          <w:rtl/>
        </w:rPr>
        <w:t xml:space="preserve">ر الصرف </w:t>
      </w:r>
      <w:r w:rsidR="00BB0B4D">
        <w:rPr>
          <w:rFonts w:hint="cs"/>
          <w:rtl/>
        </w:rPr>
        <w:t xml:space="preserve">مع </w:t>
      </w:r>
      <w:r w:rsidR="00AC4FA9">
        <w:rPr>
          <w:rFonts w:hint="cs"/>
          <w:rtl/>
        </w:rPr>
        <w:t>تجريد</w:t>
      </w:r>
      <w:r w:rsidR="00BB0B4D">
        <w:rPr>
          <w:rFonts w:hint="cs"/>
          <w:rtl/>
        </w:rPr>
        <w:t xml:space="preserve"> المنظمة من </w:t>
      </w:r>
      <w:r w:rsidR="00C06E50">
        <w:rPr>
          <w:rFonts w:hint="cs"/>
          <w:rtl/>
        </w:rPr>
        <w:t>قدرتها الحالية على تسوية</w:t>
      </w:r>
      <w:r w:rsidR="00427298">
        <w:rPr>
          <w:rFonts w:hint="cs"/>
          <w:rtl/>
        </w:rPr>
        <w:t xml:space="preserve"> الرسوم</w:t>
      </w:r>
      <w:r w:rsidR="00C06E50">
        <w:rPr>
          <w:rFonts w:hint="cs"/>
          <w:rtl/>
        </w:rPr>
        <w:t xml:space="preserve"> المعادلة</w:t>
      </w:r>
      <w:r w:rsidR="00427298">
        <w:rPr>
          <w:rFonts w:hint="cs"/>
          <w:rtl/>
        </w:rPr>
        <w:t xml:space="preserve">. وفضلاً عن ذلك، تؤدي التفاوتات الشهرية </w:t>
      </w:r>
      <w:r w:rsidR="00BB0B4D">
        <w:rPr>
          <w:rFonts w:hint="cs"/>
          <w:rtl/>
        </w:rPr>
        <w:t>الشديدة</w:t>
      </w:r>
      <w:r w:rsidR="00427298">
        <w:rPr>
          <w:rFonts w:hint="cs"/>
          <w:rtl/>
        </w:rPr>
        <w:t xml:space="preserve"> في التدفق النقدي إلى صعوبة التنبؤ بالمبالغ المت</w:t>
      </w:r>
      <w:r w:rsidR="00BB0B4D">
        <w:rPr>
          <w:rFonts w:hint="cs"/>
          <w:rtl/>
        </w:rPr>
        <w:t xml:space="preserve">وفرة </w:t>
      </w:r>
      <w:r w:rsidR="00427298">
        <w:rPr>
          <w:rFonts w:hint="cs"/>
          <w:rtl/>
        </w:rPr>
        <w:t>شهرياً لشراء عقود آجلة، ومن ثم ا</w:t>
      </w:r>
      <w:r w:rsidR="00BB0B4D">
        <w:rPr>
          <w:rFonts w:hint="cs"/>
          <w:rtl/>
        </w:rPr>
        <w:t xml:space="preserve">لاضطرار لاستخدام متوسط </w:t>
      </w:r>
      <w:r w:rsidR="002A61B7">
        <w:rPr>
          <w:rFonts w:hint="cs"/>
          <w:rtl/>
        </w:rPr>
        <w:t>ال</w:t>
      </w:r>
      <w:r w:rsidR="00BB0B4D">
        <w:rPr>
          <w:rFonts w:hint="cs"/>
          <w:rtl/>
        </w:rPr>
        <w:t xml:space="preserve">تقديرات </w:t>
      </w:r>
      <w:r w:rsidR="002A61B7">
        <w:rPr>
          <w:rFonts w:hint="cs"/>
          <w:rtl/>
        </w:rPr>
        <w:t>الإجمالية للطلبات المودعة</w:t>
      </w:r>
      <w:r w:rsidR="00427298">
        <w:rPr>
          <w:rFonts w:hint="cs"/>
          <w:rtl/>
        </w:rPr>
        <w:t xml:space="preserve">. وسيؤدي استخدام هذا المتوسط لشراء عقود آجلة </w:t>
      </w:r>
      <w:r w:rsidR="00BB0B4D">
        <w:rPr>
          <w:rFonts w:hint="cs"/>
          <w:rtl/>
        </w:rPr>
        <w:t xml:space="preserve">بكل عملة </w:t>
      </w:r>
      <w:r w:rsidR="00427298">
        <w:rPr>
          <w:rFonts w:hint="cs"/>
          <w:rtl/>
        </w:rPr>
        <w:t xml:space="preserve">إلى ضرورة شراء عقود مبادلة عملات كما اقترح المكتب الاستشاري </w:t>
      </w:r>
      <w:r w:rsidR="00427298">
        <w:t>FTI Treasury</w:t>
      </w:r>
      <w:r w:rsidR="00427298">
        <w:rPr>
          <w:rFonts w:hint="cs"/>
          <w:rtl/>
        </w:rPr>
        <w:t xml:space="preserve"> إذا لم تتوفر السيولة الكافية بالعملة المعنية، وهي عملية باهظة التكلفة</w:t>
      </w:r>
      <w:r w:rsidR="00C06E50">
        <w:rPr>
          <w:rFonts w:hint="cs"/>
          <w:rtl/>
        </w:rPr>
        <w:t>؛</w:t>
      </w:r>
      <w:r w:rsidR="00427298">
        <w:rPr>
          <w:rFonts w:hint="cs"/>
          <w:rtl/>
        </w:rPr>
        <w:t xml:space="preserve"> أو</w:t>
      </w:r>
      <w:r w:rsidR="002A61B7">
        <w:rPr>
          <w:rFonts w:hint="eastAsia"/>
          <w:rtl/>
        </w:rPr>
        <w:t xml:space="preserve"> إلى </w:t>
      </w:r>
      <w:r w:rsidR="00427298">
        <w:rPr>
          <w:rFonts w:hint="cs"/>
          <w:rtl/>
        </w:rPr>
        <w:t>الاضطرار لشراء العملة</w:t>
      </w:r>
      <w:r w:rsidR="002A61B7">
        <w:rPr>
          <w:rFonts w:hint="cs"/>
          <w:rtl/>
        </w:rPr>
        <w:t xml:space="preserve"> المعنية</w:t>
      </w:r>
      <w:r w:rsidR="00427298">
        <w:rPr>
          <w:rFonts w:hint="cs"/>
          <w:rtl/>
        </w:rPr>
        <w:t xml:space="preserve"> عن طريق بيع مخزون الويبو بالفرنك السويسري ما قد يؤدي إلى خسارة كبيرة </w:t>
      </w:r>
      <w:r w:rsidR="00C06E50">
        <w:rPr>
          <w:rFonts w:hint="cs"/>
          <w:rtl/>
        </w:rPr>
        <w:t>بسبب</w:t>
      </w:r>
      <w:r w:rsidR="00427298">
        <w:rPr>
          <w:rFonts w:hint="cs"/>
          <w:rtl/>
        </w:rPr>
        <w:t xml:space="preserve"> ت</w:t>
      </w:r>
      <w:r w:rsidR="00C06E50">
        <w:rPr>
          <w:rFonts w:hint="cs"/>
          <w:rtl/>
        </w:rPr>
        <w:t>قلب</w:t>
      </w:r>
      <w:r w:rsidR="00427298">
        <w:rPr>
          <w:rFonts w:hint="cs"/>
          <w:rtl/>
        </w:rPr>
        <w:t xml:space="preserve"> </w:t>
      </w:r>
      <w:r w:rsidR="00C06E50">
        <w:rPr>
          <w:rFonts w:hint="cs"/>
          <w:rtl/>
        </w:rPr>
        <w:t>أسعار</w:t>
      </w:r>
      <w:r w:rsidR="00427298">
        <w:rPr>
          <w:rFonts w:hint="cs"/>
          <w:rtl/>
        </w:rPr>
        <w:t xml:space="preserve"> الصرف.</w:t>
      </w:r>
    </w:p>
    <w:p w:rsidR="00025C24" w:rsidRDefault="00D53579" w:rsidP="00F8413B">
      <w:pPr>
        <w:pStyle w:val="NumberedParaAR"/>
        <w:keepLines/>
        <w:tabs>
          <w:tab w:val="clear" w:pos="567"/>
        </w:tabs>
      </w:pPr>
      <w:r>
        <w:rPr>
          <w:rFonts w:hint="cs"/>
          <w:rtl/>
        </w:rPr>
        <w:lastRenderedPageBreak/>
        <w:t xml:space="preserve">وعليه، لا يسع </w:t>
      </w:r>
      <w:r w:rsidR="00E840A7">
        <w:rPr>
          <w:rFonts w:hint="cs"/>
          <w:rtl/>
        </w:rPr>
        <w:t>الأمانة</w:t>
      </w:r>
      <w:r>
        <w:rPr>
          <w:rFonts w:hint="cs"/>
          <w:rtl/>
        </w:rPr>
        <w:t xml:space="preserve"> سوى التشكيك في جدوى اقتراح شراء عقود آجلة </w:t>
      </w:r>
      <w:r w:rsidR="00BB0B4D">
        <w:rPr>
          <w:rFonts w:hint="cs"/>
          <w:rtl/>
        </w:rPr>
        <w:t>كوسيلة</w:t>
      </w:r>
      <w:r>
        <w:rPr>
          <w:rFonts w:hint="cs"/>
          <w:rtl/>
        </w:rPr>
        <w:t xml:space="preserve"> للتحوط لإيرادات معاهدة البراءات بعملات غير الفرنك السويسري </w:t>
      </w:r>
      <w:r w:rsidR="00BB0B4D">
        <w:rPr>
          <w:rFonts w:hint="cs"/>
          <w:rtl/>
        </w:rPr>
        <w:t>و</w:t>
      </w:r>
      <w:r w:rsidR="00AC4FA9">
        <w:rPr>
          <w:rFonts w:hint="cs"/>
          <w:rtl/>
        </w:rPr>
        <w:t>الحد من</w:t>
      </w:r>
      <w:r>
        <w:rPr>
          <w:rFonts w:hint="cs"/>
          <w:rtl/>
        </w:rPr>
        <w:t xml:space="preserve"> المخاطر </w:t>
      </w:r>
      <w:r w:rsidR="00BB0B4D">
        <w:rPr>
          <w:rFonts w:hint="cs"/>
          <w:rtl/>
        </w:rPr>
        <w:t>الناجمة</w:t>
      </w:r>
      <w:r>
        <w:rPr>
          <w:rFonts w:hint="cs"/>
          <w:rtl/>
        </w:rPr>
        <w:t xml:space="preserve"> </w:t>
      </w:r>
      <w:r w:rsidR="00AC4FA9">
        <w:rPr>
          <w:rFonts w:hint="cs"/>
          <w:rtl/>
        </w:rPr>
        <w:t xml:space="preserve">عن </w:t>
      </w:r>
      <w:r w:rsidR="009B3631">
        <w:rPr>
          <w:rFonts w:hint="cs"/>
          <w:rtl/>
        </w:rPr>
        <w:t>تقلب</w:t>
      </w:r>
      <w:r>
        <w:rPr>
          <w:rFonts w:hint="cs"/>
          <w:rtl/>
        </w:rPr>
        <w:t xml:space="preserve"> أسعار الصرف. وعلى الرغم من أنه يمكن تغطية 65.1 بالمئة من الإيرادات باستراتيجية التحوط المقترحة، فستتعرض النسبة المتبقية</w:t>
      </w:r>
      <w:r w:rsidR="00C06E50">
        <w:rPr>
          <w:rFonts w:hint="cs"/>
          <w:rtl/>
        </w:rPr>
        <w:t xml:space="preserve"> منها </w:t>
      </w:r>
      <w:r w:rsidR="00C06E50">
        <w:rPr>
          <w:rtl/>
        </w:rPr>
        <w:t>–</w:t>
      </w:r>
      <w:r>
        <w:rPr>
          <w:rFonts w:hint="cs"/>
          <w:rtl/>
        </w:rPr>
        <w:t xml:space="preserve"> أي 34.9 بالمئة</w:t>
      </w:r>
      <w:r w:rsidR="00C06E50">
        <w:rPr>
          <w:rFonts w:hint="cs"/>
          <w:rtl/>
        </w:rPr>
        <w:t xml:space="preserve"> </w:t>
      </w:r>
      <w:r w:rsidR="00C06E50">
        <w:rPr>
          <w:rtl/>
        </w:rPr>
        <w:t>–</w:t>
      </w:r>
      <w:r w:rsidR="00C06E50">
        <w:rPr>
          <w:rFonts w:hint="cs"/>
          <w:rtl/>
        </w:rPr>
        <w:t xml:space="preserve"> </w:t>
      </w:r>
      <w:r>
        <w:rPr>
          <w:rFonts w:hint="cs"/>
          <w:rtl/>
        </w:rPr>
        <w:t xml:space="preserve">لمخاطر أكبر </w:t>
      </w:r>
      <w:r w:rsidR="00AC4FA9">
        <w:rPr>
          <w:rFonts w:hint="cs"/>
          <w:rtl/>
        </w:rPr>
        <w:t>بسبب</w:t>
      </w:r>
      <w:r>
        <w:rPr>
          <w:rFonts w:hint="cs"/>
          <w:rtl/>
        </w:rPr>
        <w:t xml:space="preserve"> تقلب أسعار الصرف </w:t>
      </w:r>
      <w:r w:rsidR="00AC4FA9">
        <w:rPr>
          <w:rFonts w:hint="cs"/>
          <w:rtl/>
        </w:rPr>
        <w:t>عقب</w:t>
      </w:r>
      <w:r>
        <w:rPr>
          <w:rFonts w:hint="cs"/>
          <w:rtl/>
        </w:rPr>
        <w:t xml:space="preserve"> </w:t>
      </w:r>
      <w:r w:rsidR="00AC4FA9">
        <w:rPr>
          <w:rFonts w:hint="cs"/>
          <w:rtl/>
        </w:rPr>
        <w:t xml:space="preserve">إلغاء </w:t>
      </w:r>
      <w:r>
        <w:rPr>
          <w:rFonts w:hint="cs"/>
          <w:rtl/>
        </w:rPr>
        <w:t xml:space="preserve">آلية </w:t>
      </w:r>
      <w:r w:rsidR="00AC4FA9">
        <w:rPr>
          <w:rFonts w:hint="cs"/>
          <w:rtl/>
        </w:rPr>
        <w:t>تسوية الرسوم</w:t>
      </w:r>
      <w:r>
        <w:rPr>
          <w:rFonts w:hint="cs"/>
          <w:rtl/>
        </w:rPr>
        <w:t xml:space="preserve"> المعادلة.</w:t>
      </w:r>
    </w:p>
    <w:p w:rsidR="00D53579" w:rsidRDefault="00D53579" w:rsidP="00D53579">
      <w:pPr>
        <w:pStyle w:val="Heading1AR"/>
        <w:rPr>
          <w:rtl/>
        </w:rPr>
      </w:pPr>
      <w:r>
        <w:rPr>
          <w:rFonts w:hint="cs"/>
          <w:rtl/>
        </w:rPr>
        <w:t>الخاتمة</w:t>
      </w:r>
    </w:p>
    <w:p w:rsidR="00D53579" w:rsidRDefault="00D53579" w:rsidP="00C06E50">
      <w:pPr>
        <w:pStyle w:val="NumberedParaAR"/>
        <w:tabs>
          <w:tab w:val="clear" w:pos="567"/>
        </w:tabs>
      </w:pPr>
      <w:r>
        <w:rPr>
          <w:rFonts w:hint="cs"/>
          <w:rtl/>
        </w:rPr>
        <w:t>يتبين من تحليل التدفق النقدي أن الويبو لم تحص</w:t>
      </w:r>
      <w:r w:rsidR="00AC4FA9">
        <w:rPr>
          <w:rFonts w:hint="cs"/>
          <w:rtl/>
        </w:rPr>
        <w:t>ِّ</w:t>
      </w:r>
      <w:r>
        <w:rPr>
          <w:rFonts w:hint="cs"/>
          <w:rtl/>
        </w:rPr>
        <w:t>ل مبالغ كافية بالدولار الأمريكي، ولم تحص</w:t>
      </w:r>
      <w:r w:rsidR="00AC4FA9">
        <w:rPr>
          <w:rFonts w:hint="cs"/>
          <w:rtl/>
        </w:rPr>
        <w:t>ِّ</w:t>
      </w:r>
      <w:r>
        <w:rPr>
          <w:rFonts w:hint="cs"/>
          <w:rtl/>
        </w:rPr>
        <w:t xml:space="preserve">ل سوى الحد الأدنى باليورو، وكانت ستتعرض للمخاطر الناجمة عن تغير التدفق النقدي الشهري بالعملات الثلاث (الدولار الأمريكي واليورو والين الياباني). ومن ثم، فإن اقتراح شراء عقود آجلة لتغطية إيرادات معاهدة البراءات المقدَّرة لن يعالج خطر </w:t>
      </w:r>
      <w:r w:rsidR="00435063">
        <w:rPr>
          <w:rFonts w:hint="cs"/>
          <w:rtl/>
        </w:rPr>
        <w:t>تقلب</w:t>
      </w:r>
      <w:r>
        <w:rPr>
          <w:rFonts w:hint="cs"/>
          <w:rtl/>
        </w:rPr>
        <w:t xml:space="preserve"> </w:t>
      </w:r>
      <w:r w:rsidR="00435063">
        <w:rPr>
          <w:rFonts w:hint="cs"/>
          <w:rtl/>
        </w:rPr>
        <w:t>أ</w:t>
      </w:r>
      <w:r>
        <w:rPr>
          <w:rFonts w:hint="cs"/>
          <w:rtl/>
        </w:rPr>
        <w:t>سع</w:t>
      </w:r>
      <w:r w:rsidR="00435063">
        <w:rPr>
          <w:rFonts w:hint="cs"/>
          <w:rtl/>
        </w:rPr>
        <w:t>ا</w:t>
      </w:r>
      <w:r>
        <w:rPr>
          <w:rFonts w:hint="cs"/>
          <w:rtl/>
        </w:rPr>
        <w:t>ر الصرف الناجم عن تحصيل الويبو لإيرادات معاهدة البراءات بعملات غير الفرنك السويسري. وفضلاً عن ذلك، لا ي</w:t>
      </w:r>
      <w:r w:rsidR="00435063">
        <w:rPr>
          <w:rFonts w:hint="cs"/>
          <w:rtl/>
        </w:rPr>
        <w:t>ُنتظر</w:t>
      </w:r>
      <w:r>
        <w:rPr>
          <w:rFonts w:hint="cs"/>
          <w:rtl/>
        </w:rPr>
        <w:t xml:space="preserve"> أي تغ</w:t>
      </w:r>
      <w:r w:rsidR="00C06E50">
        <w:rPr>
          <w:rFonts w:hint="cs"/>
          <w:rtl/>
        </w:rPr>
        <w:t>ي</w:t>
      </w:r>
      <w:r>
        <w:rPr>
          <w:rFonts w:hint="cs"/>
          <w:rtl/>
        </w:rPr>
        <w:t xml:space="preserve">ير </w:t>
      </w:r>
      <w:r w:rsidR="00C06E50">
        <w:rPr>
          <w:rFonts w:hint="cs"/>
          <w:rtl/>
        </w:rPr>
        <w:t xml:space="preserve">جوهري </w:t>
      </w:r>
      <w:r>
        <w:rPr>
          <w:rFonts w:hint="cs"/>
          <w:rtl/>
        </w:rPr>
        <w:t>في هذا الوضع</w:t>
      </w:r>
      <w:r w:rsidR="00435063">
        <w:rPr>
          <w:rFonts w:hint="cs"/>
          <w:rtl/>
        </w:rPr>
        <w:t xml:space="preserve"> </w:t>
      </w:r>
      <w:r w:rsidR="00C06E50">
        <w:rPr>
          <w:rFonts w:hint="cs"/>
          <w:rtl/>
        </w:rPr>
        <w:t>نظراً إلى</w:t>
      </w:r>
      <w:r>
        <w:rPr>
          <w:rFonts w:hint="cs"/>
          <w:rtl/>
        </w:rPr>
        <w:t xml:space="preserve"> </w:t>
      </w:r>
      <w:r w:rsidR="00C06E50">
        <w:rPr>
          <w:rFonts w:hint="cs"/>
          <w:rtl/>
        </w:rPr>
        <w:t>ا</w:t>
      </w:r>
      <w:r>
        <w:rPr>
          <w:rFonts w:hint="cs"/>
          <w:rtl/>
        </w:rPr>
        <w:t>لمعلومات المتاحة عن الإيرادات والنفقات السابقة بكل من العملات الثلاث الرئيسية التي تحص</w:t>
      </w:r>
      <w:r w:rsidR="00435063">
        <w:rPr>
          <w:rFonts w:hint="cs"/>
          <w:rtl/>
        </w:rPr>
        <w:t>َّ</w:t>
      </w:r>
      <w:r>
        <w:rPr>
          <w:rFonts w:hint="cs"/>
          <w:rtl/>
        </w:rPr>
        <w:t xml:space="preserve">ل بها إيرادات معاهدة البراءات </w:t>
      </w:r>
      <w:r w:rsidR="00AC4FA9">
        <w:rPr>
          <w:rFonts w:hint="cs"/>
          <w:rtl/>
        </w:rPr>
        <w:t xml:space="preserve">وإلى </w:t>
      </w:r>
      <w:r>
        <w:rPr>
          <w:rFonts w:hint="cs"/>
          <w:rtl/>
        </w:rPr>
        <w:t xml:space="preserve">عدم توقع أي تغير كبير في تلك الإيرادات أو النفقات. ومن هذا المنطلق، تقترح الأمانة عدم مواصلة العمل على استراتيجية التحوط </w:t>
      </w:r>
      <w:r w:rsidR="00C06E50">
        <w:rPr>
          <w:rFonts w:hint="cs"/>
          <w:rtl/>
        </w:rPr>
        <w:t>القائمة على العقود</w:t>
      </w:r>
      <w:r w:rsidR="00C06E50">
        <w:rPr>
          <w:rFonts w:hint="eastAsia"/>
          <w:rtl/>
        </w:rPr>
        <w:t> </w:t>
      </w:r>
      <w:r w:rsidR="00C06E50">
        <w:rPr>
          <w:rFonts w:hint="cs"/>
          <w:rtl/>
        </w:rPr>
        <w:t>الآجلة و</w:t>
      </w:r>
      <w:r>
        <w:rPr>
          <w:rFonts w:hint="cs"/>
          <w:rtl/>
        </w:rPr>
        <w:t>التي اقترحها المكتب الاستشاري.</w:t>
      </w:r>
    </w:p>
    <w:p w:rsidR="00D53579" w:rsidRDefault="00D53579" w:rsidP="00F8413B">
      <w:pPr>
        <w:pStyle w:val="NumberedParaAR"/>
        <w:tabs>
          <w:tab w:val="clear" w:pos="567"/>
        </w:tabs>
      </w:pPr>
      <w:r>
        <w:rPr>
          <w:rFonts w:hint="cs"/>
          <w:rtl/>
        </w:rPr>
        <w:t>و</w:t>
      </w:r>
      <w:r w:rsidR="00C06E50">
        <w:rPr>
          <w:rFonts w:hint="cs"/>
          <w:rtl/>
        </w:rPr>
        <w:t xml:space="preserve">بناء على ذلك، </w:t>
      </w:r>
      <w:r>
        <w:rPr>
          <w:rFonts w:hint="cs"/>
          <w:rtl/>
        </w:rPr>
        <w:t xml:space="preserve">يبدو أن العقود الآجلة ليست أفضل حل للحد من مخاطر </w:t>
      </w:r>
      <w:r w:rsidR="009B3631">
        <w:rPr>
          <w:rFonts w:hint="cs"/>
          <w:rtl/>
        </w:rPr>
        <w:t>تقلب</w:t>
      </w:r>
      <w:r>
        <w:rPr>
          <w:rFonts w:hint="cs"/>
          <w:rtl/>
        </w:rPr>
        <w:t xml:space="preserve"> </w:t>
      </w:r>
      <w:r w:rsidR="00C06E50">
        <w:rPr>
          <w:rFonts w:hint="cs"/>
          <w:rtl/>
        </w:rPr>
        <w:t>أ</w:t>
      </w:r>
      <w:r>
        <w:rPr>
          <w:rFonts w:hint="cs"/>
          <w:rtl/>
        </w:rPr>
        <w:t>سع</w:t>
      </w:r>
      <w:r w:rsidR="00C06E50">
        <w:rPr>
          <w:rFonts w:hint="cs"/>
          <w:rtl/>
        </w:rPr>
        <w:t>ا</w:t>
      </w:r>
      <w:r>
        <w:rPr>
          <w:rFonts w:hint="cs"/>
          <w:rtl/>
        </w:rPr>
        <w:t xml:space="preserve">ر الصرف، </w:t>
      </w:r>
      <w:r w:rsidR="00F8413B">
        <w:rPr>
          <w:rFonts w:hint="cs"/>
          <w:rtl/>
        </w:rPr>
        <w:t>ومع ذلك تعتزم</w:t>
      </w:r>
      <w:r>
        <w:rPr>
          <w:rFonts w:hint="cs"/>
          <w:rtl/>
        </w:rPr>
        <w:t xml:space="preserve"> الأمانة مواصلة رصد التدفق النقدي وتحليله بكل العملات واستخدام هذه المعلومات لإدارة أرصدة الحسابات المصرفية </w:t>
      </w:r>
      <w:r w:rsidR="00AF5F1D">
        <w:rPr>
          <w:rFonts w:hint="cs"/>
          <w:rtl/>
        </w:rPr>
        <w:t>بغية الحد</w:t>
      </w:r>
      <w:r>
        <w:rPr>
          <w:rFonts w:hint="cs"/>
          <w:rtl/>
        </w:rPr>
        <w:t xml:space="preserve"> </w:t>
      </w:r>
      <w:r w:rsidR="00AF5F1D">
        <w:rPr>
          <w:rFonts w:hint="cs"/>
          <w:rtl/>
        </w:rPr>
        <w:t xml:space="preserve">قدر الإمكان </w:t>
      </w:r>
      <w:r>
        <w:rPr>
          <w:rFonts w:hint="cs"/>
          <w:rtl/>
        </w:rPr>
        <w:t xml:space="preserve">من تأثير تسويات </w:t>
      </w:r>
      <w:r w:rsidR="00FA05D2">
        <w:rPr>
          <w:rFonts w:hint="cs"/>
          <w:rtl/>
        </w:rPr>
        <w:t>أ</w:t>
      </w:r>
      <w:r>
        <w:rPr>
          <w:rFonts w:hint="cs"/>
          <w:rtl/>
        </w:rPr>
        <w:t>سع</w:t>
      </w:r>
      <w:r w:rsidR="00FA05D2">
        <w:rPr>
          <w:rFonts w:hint="cs"/>
          <w:rtl/>
        </w:rPr>
        <w:t>ا</w:t>
      </w:r>
      <w:r>
        <w:rPr>
          <w:rFonts w:hint="cs"/>
          <w:rtl/>
        </w:rPr>
        <w:t xml:space="preserve">ر الصرف </w:t>
      </w:r>
      <w:r w:rsidR="00AF5F1D">
        <w:rPr>
          <w:rFonts w:hint="cs"/>
          <w:rtl/>
        </w:rPr>
        <w:t>في النتائج المالية للويبو. وعلى الرغم من أن آلية ت</w:t>
      </w:r>
      <w:r w:rsidR="00C06E50">
        <w:rPr>
          <w:rFonts w:hint="cs"/>
          <w:rtl/>
        </w:rPr>
        <w:t>سوية</w:t>
      </w:r>
      <w:r w:rsidR="00AF5F1D">
        <w:rPr>
          <w:rFonts w:hint="cs"/>
          <w:rtl/>
        </w:rPr>
        <w:t xml:space="preserve"> الرسوم المعادلة لا</w:t>
      </w:r>
      <w:r w:rsidR="002A61B7">
        <w:rPr>
          <w:rFonts w:hint="eastAsia"/>
          <w:rtl/>
        </w:rPr>
        <w:t> </w:t>
      </w:r>
      <w:r w:rsidR="00AF5F1D">
        <w:rPr>
          <w:rFonts w:hint="cs"/>
          <w:rtl/>
        </w:rPr>
        <w:t>تتعامل إلا مع التحولات الكبرى في أسعار الصر</w:t>
      </w:r>
      <w:r w:rsidR="003E25F6">
        <w:rPr>
          <w:rFonts w:hint="cs"/>
          <w:rtl/>
        </w:rPr>
        <w:t>ف ولا يمكنها التجاوب معها فوراً</w:t>
      </w:r>
      <w:r w:rsidR="00AF5F1D">
        <w:rPr>
          <w:rFonts w:hint="cs"/>
          <w:rtl/>
        </w:rPr>
        <w:t>، فقد نجح</w:t>
      </w:r>
      <w:r w:rsidR="00C06E50">
        <w:rPr>
          <w:rFonts w:hint="cs"/>
          <w:rtl/>
        </w:rPr>
        <w:t>ت في الحد من الخسائر المتكبدة خلال</w:t>
      </w:r>
      <w:r w:rsidR="00AF5F1D">
        <w:rPr>
          <w:rFonts w:hint="cs"/>
          <w:rtl/>
        </w:rPr>
        <w:t xml:space="preserve"> </w:t>
      </w:r>
      <w:r w:rsidR="003E25F6">
        <w:rPr>
          <w:rFonts w:hint="cs"/>
          <w:rtl/>
        </w:rPr>
        <w:t>ال</w:t>
      </w:r>
      <w:r w:rsidR="00AF5F1D">
        <w:rPr>
          <w:rFonts w:hint="cs"/>
          <w:rtl/>
        </w:rPr>
        <w:t xml:space="preserve">فترات </w:t>
      </w:r>
      <w:r w:rsidR="003E25F6">
        <w:rPr>
          <w:rFonts w:hint="cs"/>
          <w:rtl/>
        </w:rPr>
        <w:t xml:space="preserve">التي شهدت فيها قيمة الفرنك السويسري تقلبات كبيرة أمام </w:t>
      </w:r>
      <w:r w:rsidR="00AF5F1D">
        <w:rPr>
          <w:rFonts w:hint="cs"/>
          <w:rtl/>
        </w:rPr>
        <w:t>العملات الأخرى كما حدث في أوائل عام</w:t>
      </w:r>
      <w:r w:rsidR="002A61B7">
        <w:rPr>
          <w:rFonts w:hint="eastAsia"/>
          <w:rtl/>
        </w:rPr>
        <w:t> </w:t>
      </w:r>
      <w:r w:rsidR="00AF5F1D">
        <w:rPr>
          <w:rFonts w:hint="cs"/>
          <w:rtl/>
        </w:rPr>
        <w:t>2015.</w:t>
      </w:r>
    </w:p>
    <w:p w:rsidR="00AF5F1D" w:rsidRDefault="00AF5F1D" w:rsidP="00AF5F1D">
      <w:pPr>
        <w:pStyle w:val="NumberedParaAR"/>
        <w:keepNext/>
        <w:tabs>
          <w:tab w:val="clear" w:pos="567"/>
        </w:tabs>
      </w:pPr>
      <w:r>
        <w:rPr>
          <w:rFonts w:hint="cs"/>
          <w:rtl/>
        </w:rPr>
        <w:t>وفيما يلي فقرة القرار المقترحة.</w:t>
      </w:r>
    </w:p>
    <w:p w:rsidR="00AF5F1D" w:rsidRPr="00D53579" w:rsidRDefault="00AF5F1D" w:rsidP="00AF5F1D">
      <w:pPr>
        <w:pStyle w:val="DecisionParaAR"/>
      </w:pPr>
      <w:r>
        <w:rPr>
          <w:rFonts w:hint="cs"/>
          <w:rtl/>
        </w:rPr>
        <w:t xml:space="preserve">أحاطت لجنة البرنامج والميزانية علماً بالوثيقة </w:t>
      </w:r>
      <w:r>
        <w:t>WO/PBC/25/20</w:t>
      </w:r>
      <w:r>
        <w:rPr>
          <w:rFonts w:hint="cs"/>
          <w:rtl/>
        </w:rPr>
        <w:t xml:space="preserve"> وبخاصة الفقرتان 24 و25 منها.</w:t>
      </w:r>
    </w:p>
    <w:p w:rsidR="007B3BDF" w:rsidRDefault="007B3BDF" w:rsidP="007B3BDF">
      <w:pPr>
        <w:pStyle w:val="EndofDocumentAR"/>
        <w:rPr>
          <w:rtl/>
        </w:rPr>
      </w:pPr>
      <w:r>
        <w:rPr>
          <w:rFonts w:hint="cs"/>
          <w:rtl/>
        </w:rPr>
        <w:t>[يلي ذلك المرفق]</w:t>
      </w:r>
    </w:p>
    <w:p w:rsidR="00E36CD9" w:rsidRDefault="00E36CD9" w:rsidP="007F38D1">
      <w:pPr>
        <w:pStyle w:val="NormalParaAR"/>
        <w:rPr>
          <w:rtl/>
        </w:rPr>
      </w:pPr>
    </w:p>
    <w:p w:rsidR="007B3BDF" w:rsidRDefault="007B3BDF" w:rsidP="007F38D1">
      <w:pPr>
        <w:pStyle w:val="NormalParaAR"/>
        <w:rPr>
          <w:rtl/>
        </w:rPr>
        <w:sectPr w:rsidR="007B3BDF" w:rsidSect="00EB7752">
          <w:headerReference w:type="default" r:id="rId12"/>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5D4DBE" w:rsidRPr="005D4DBE" w:rsidTr="004F3A83">
        <w:tc>
          <w:tcPr>
            <w:tcW w:w="4843" w:type="dxa"/>
            <w:tcBorders>
              <w:bottom w:val="single" w:sz="4" w:space="0" w:color="auto"/>
            </w:tcBorders>
          </w:tcPr>
          <w:p w:rsidR="005D4DBE" w:rsidRPr="005D4DBE" w:rsidRDefault="005D4DBE" w:rsidP="005D4DBE">
            <w:pPr>
              <w:bidi/>
              <w:spacing w:after="0" w:line="240" w:lineRule="auto"/>
              <w:rPr>
                <w:rFonts w:ascii="Arabic Typesetting" w:eastAsia="Times New Roman" w:hAnsi="Arabic Typesetting" w:cs="Arabic Typesetting"/>
                <w:sz w:val="36"/>
                <w:szCs w:val="36"/>
                <w:rtl/>
              </w:rPr>
            </w:pPr>
          </w:p>
        </w:tc>
        <w:tc>
          <w:tcPr>
            <w:tcW w:w="4223" w:type="dxa"/>
            <w:tcBorders>
              <w:bottom w:val="single" w:sz="4" w:space="0" w:color="auto"/>
            </w:tcBorders>
          </w:tcPr>
          <w:p w:rsidR="005D4DBE" w:rsidRPr="005D4DBE" w:rsidRDefault="005D4DBE" w:rsidP="005D4DBE">
            <w:pPr>
              <w:bidi/>
              <w:spacing w:after="20" w:line="240" w:lineRule="auto"/>
              <w:rPr>
                <w:rFonts w:ascii="Arabic Typesetting" w:eastAsia="Times New Roman" w:hAnsi="Arabic Typesetting" w:cs="Arabic Typesetting"/>
                <w:sz w:val="36"/>
                <w:szCs w:val="36"/>
                <w:rtl/>
              </w:rPr>
            </w:pPr>
            <w:r w:rsidRPr="005D4DBE">
              <w:rPr>
                <w:rFonts w:ascii="Arial" w:eastAsia="Times New Roman" w:hAnsi="Arial" w:cs="Arial"/>
                <w:noProof/>
                <w:szCs w:val="20"/>
              </w:rPr>
              <w:drawing>
                <wp:inline distT="0" distB="0" distL="0" distR="0" wp14:anchorId="74B12FC7" wp14:editId="4C82C8CC">
                  <wp:extent cx="1327150" cy="1263650"/>
                  <wp:effectExtent l="0" t="0" r="6350" b="0"/>
                  <wp:docPr id="5" name="Picture 5"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5D4DBE" w:rsidRPr="005D4DBE" w:rsidRDefault="005D4DBE" w:rsidP="005D4DBE">
            <w:pPr>
              <w:spacing w:after="0" w:line="240" w:lineRule="auto"/>
              <w:rPr>
                <w:rFonts w:ascii="Arial" w:eastAsia="Times New Roman" w:hAnsi="Arial" w:cs="Arial"/>
                <w:b/>
                <w:bCs/>
                <w:sz w:val="40"/>
                <w:szCs w:val="40"/>
              </w:rPr>
            </w:pPr>
            <w:r w:rsidRPr="005D4DBE">
              <w:rPr>
                <w:rFonts w:ascii="Arial" w:eastAsia="Times New Roman" w:hAnsi="Arial" w:cs="Arial"/>
                <w:b/>
                <w:bCs/>
                <w:sz w:val="40"/>
                <w:szCs w:val="40"/>
              </w:rPr>
              <w:t>A</w:t>
            </w:r>
          </w:p>
        </w:tc>
      </w:tr>
      <w:tr w:rsidR="005D4DBE" w:rsidRPr="005D4DBE" w:rsidTr="004F3A83">
        <w:trPr>
          <w:trHeight w:val="333"/>
        </w:trPr>
        <w:tc>
          <w:tcPr>
            <w:tcW w:w="9571" w:type="dxa"/>
            <w:gridSpan w:val="3"/>
            <w:tcBorders>
              <w:top w:val="single" w:sz="4" w:space="0" w:color="auto"/>
            </w:tcBorders>
            <w:vAlign w:val="bottom"/>
          </w:tcPr>
          <w:p w:rsidR="005D4DBE" w:rsidRPr="005D4DBE" w:rsidRDefault="005D4DBE" w:rsidP="005D4DBE">
            <w:pPr>
              <w:bidi/>
              <w:spacing w:after="0" w:line="240" w:lineRule="auto"/>
              <w:jc w:val="right"/>
              <w:rPr>
                <w:rFonts w:ascii="Arial Black" w:eastAsia="Times New Roman" w:hAnsi="Arial Black" w:cs="Arabic Typesetting"/>
                <w:b/>
                <w:bCs/>
                <w:sz w:val="16"/>
                <w:szCs w:val="16"/>
                <w:rtl/>
              </w:rPr>
            </w:pPr>
            <w:r w:rsidRPr="005D4DBE">
              <w:rPr>
                <w:rFonts w:ascii="Arial Black" w:eastAsia="Times New Roman" w:hAnsi="Arial Black" w:cs="Arabic Typesetting"/>
                <w:b/>
                <w:bCs/>
                <w:sz w:val="16"/>
                <w:szCs w:val="16"/>
              </w:rPr>
              <w:t>PCT/WG/9/9</w:t>
            </w:r>
          </w:p>
        </w:tc>
      </w:tr>
      <w:tr w:rsidR="005D4DBE" w:rsidRPr="005D4DBE" w:rsidTr="004F3A83">
        <w:tc>
          <w:tcPr>
            <w:tcW w:w="9571" w:type="dxa"/>
            <w:gridSpan w:val="3"/>
          </w:tcPr>
          <w:p w:rsidR="005D4DBE" w:rsidRPr="005D4DBE" w:rsidRDefault="005D4DBE" w:rsidP="005D4DBE">
            <w:pPr>
              <w:bidi/>
              <w:spacing w:after="0" w:line="240" w:lineRule="exact"/>
              <w:jc w:val="right"/>
              <w:rPr>
                <w:rFonts w:ascii="Arabic Typesetting" w:eastAsia="Times New Roman" w:hAnsi="Arabic Typesetting" w:cs="Arabic Typesetting"/>
                <w:b/>
                <w:bCs/>
                <w:sz w:val="30"/>
                <w:szCs w:val="30"/>
                <w:rtl/>
              </w:rPr>
            </w:pPr>
            <w:r w:rsidRPr="005D4DBE">
              <w:rPr>
                <w:rFonts w:ascii="Arabic Typesetting" w:eastAsia="Times New Roman" w:hAnsi="Arabic Typesetting" w:cs="Arabic Typesetting" w:hint="cs"/>
                <w:b/>
                <w:bCs/>
                <w:sz w:val="30"/>
                <w:szCs w:val="30"/>
                <w:rtl/>
              </w:rPr>
              <w:t>الأصل: بالإنكليزية</w:t>
            </w:r>
          </w:p>
        </w:tc>
      </w:tr>
      <w:tr w:rsidR="005D4DBE" w:rsidRPr="005D4DBE" w:rsidTr="004F3A83">
        <w:tc>
          <w:tcPr>
            <w:tcW w:w="9571" w:type="dxa"/>
            <w:gridSpan w:val="3"/>
          </w:tcPr>
          <w:p w:rsidR="005D4DBE" w:rsidRPr="005D4DBE" w:rsidRDefault="005D4DBE" w:rsidP="005D4DBE">
            <w:pPr>
              <w:bidi/>
              <w:spacing w:after="0" w:line="240" w:lineRule="auto"/>
              <w:jc w:val="right"/>
              <w:rPr>
                <w:rFonts w:ascii="Arabic Typesetting" w:eastAsia="Times New Roman" w:hAnsi="Arabic Typesetting" w:cs="Arabic Typesetting"/>
                <w:b/>
                <w:bCs/>
                <w:sz w:val="30"/>
                <w:szCs w:val="30"/>
                <w:rtl/>
              </w:rPr>
            </w:pPr>
            <w:r w:rsidRPr="005D4DBE">
              <w:rPr>
                <w:rFonts w:ascii="Arabic Typesetting" w:eastAsia="Times New Roman" w:hAnsi="Arabic Typesetting" w:cs="Arabic Typesetting" w:hint="cs"/>
                <w:b/>
                <w:bCs/>
                <w:sz w:val="30"/>
                <w:szCs w:val="30"/>
                <w:rtl/>
              </w:rPr>
              <w:t>التاريخ: 15 مارس 2016</w:t>
            </w:r>
          </w:p>
        </w:tc>
      </w:tr>
    </w:tbl>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pStyle w:val="MeetingTitleAR"/>
        <w:bidi/>
        <w:spacing w:after="0"/>
        <w:ind w:right="550"/>
        <w:rPr>
          <w:rFonts w:eastAsia="Times New Roman"/>
          <w:rtl/>
        </w:rPr>
      </w:pPr>
      <w:r w:rsidRPr="005D4DBE">
        <w:rPr>
          <w:rFonts w:eastAsia="Times New Roman" w:hint="cs"/>
          <w:rtl/>
        </w:rPr>
        <w:t>معاهدة التعاون بشأن البراءات</w:t>
      </w:r>
    </w:p>
    <w:p w:rsidR="005D4DBE" w:rsidRPr="005D4DBE" w:rsidRDefault="005D4DBE" w:rsidP="005D4DBE">
      <w:pPr>
        <w:pStyle w:val="MeetingTitleAR"/>
        <w:bidi/>
        <w:spacing w:after="0"/>
        <w:ind w:right="550"/>
        <w:rPr>
          <w:rFonts w:eastAsia="Times New Roman"/>
        </w:rPr>
      </w:pPr>
      <w:r w:rsidRPr="005D4DBE">
        <w:rPr>
          <w:rFonts w:eastAsia="Times New Roman" w:hint="cs"/>
          <w:rtl/>
        </w:rPr>
        <w:t>الفريق العامل</w:t>
      </w:r>
    </w:p>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pStyle w:val="MeetingSessionAR"/>
        <w:bidi/>
        <w:spacing w:after="0"/>
        <w:rPr>
          <w:rFonts w:ascii="Cambria Math" w:eastAsia="Times New Roman" w:hAnsi="Cambria Math"/>
          <w:rtl/>
        </w:rPr>
      </w:pPr>
      <w:r w:rsidRPr="005D4DBE">
        <w:rPr>
          <w:rFonts w:ascii="Cambria Math" w:eastAsia="Times New Roman" w:hAnsi="Cambria Math"/>
          <w:rtl/>
        </w:rPr>
        <w:t xml:space="preserve">الدورة </w:t>
      </w:r>
      <w:r w:rsidRPr="005D4DBE">
        <w:rPr>
          <w:rFonts w:ascii="Cambria Math" w:eastAsia="Times New Roman" w:hAnsi="Cambria Math" w:hint="cs"/>
          <w:rtl/>
        </w:rPr>
        <w:t>التاسعة</w:t>
      </w:r>
    </w:p>
    <w:p w:rsidR="005D4DBE" w:rsidRPr="005D4DBE" w:rsidRDefault="005D4DBE" w:rsidP="005D4DBE">
      <w:pPr>
        <w:pStyle w:val="MeetingDatesAR"/>
        <w:bidi/>
        <w:rPr>
          <w:rtl/>
        </w:rPr>
      </w:pPr>
      <w:r w:rsidRPr="005D4DBE">
        <w:rPr>
          <w:rFonts w:hint="cs"/>
          <w:rtl/>
        </w:rPr>
        <w:t>جنيف، من 17 إلى 20 مايو 2016</w:t>
      </w:r>
    </w:p>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bidi/>
        <w:spacing w:after="0" w:line="360" w:lineRule="exact"/>
        <w:rPr>
          <w:rFonts w:ascii="Arabic Typesetting" w:eastAsia="Times New Roman" w:hAnsi="Arabic Typesetting" w:cs="Arabic Typesetting"/>
          <w:sz w:val="36"/>
          <w:szCs w:val="36"/>
          <w:rtl/>
        </w:rPr>
      </w:pPr>
    </w:p>
    <w:p w:rsidR="005D4DBE" w:rsidRPr="005D4DBE" w:rsidRDefault="005D4DBE" w:rsidP="005D4DBE">
      <w:pPr>
        <w:pStyle w:val="DocumentTitleAR"/>
        <w:bidi/>
        <w:spacing w:after="0"/>
        <w:rPr>
          <w:rFonts w:eastAsia="Times New Roman"/>
          <w:rtl/>
        </w:rPr>
      </w:pPr>
      <w:r w:rsidRPr="005D4DBE">
        <w:rPr>
          <w:rFonts w:eastAsia="Times New Roman"/>
          <w:rtl/>
        </w:rPr>
        <w:t>الإيرادات المتأتية من رسوم معاهدة التعاون بشأن البراءات: تدابير ممكنة من أجل الحد من التعرّض لتغيرات أسعار الصرف</w:t>
      </w:r>
    </w:p>
    <w:p w:rsidR="005D4DBE" w:rsidRPr="005D4DBE" w:rsidRDefault="005D4DBE" w:rsidP="005D4DBE">
      <w:pPr>
        <w:pStyle w:val="PreparedbyAR"/>
        <w:bidi/>
        <w:rPr>
          <w:rFonts w:eastAsia="Times New Roman"/>
          <w:rtl/>
        </w:rPr>
      </w:pPr>
      <w:r w:rsidRPr="005D4DBE">
        <w:rPr>
          <w:rFonts w:eastAsia="Times New Roman" w:hint="cs"/>
          <w:rtl/>
        </w:rPr>
        <w:t>وثيقة من إعداد المكتب الدولي</w:t>
      </w:r>
    </w:p>
    <w:p w:rsidR="005D4DBE" w:rsidRPr="002173CA" w:rsidRDefault="005D4DBE" w:rsidP="005D4DBE">
      <w:pPr>
        <w:pStyle w:val="NormalParaAR"/>
        <w:keepNext/>
        <w:rPr>
          <w:b/>
          <w:bCs/>
          <w:sz w:val="40"/>
          <w:szCs w:val="40"/>
          <w:rtl/>
        </w:rPr>
      </w:pPr>
      <w:r w:rsidRPr="002173CA">
        <w:rPr>
          <w:rFonts w:hint="cs"/>
          <w:b/>
          <w:bCs/>
          <w:sz w:val="40"/>
          <w:szCs w:val="40"/>
          <w:rtl/>
        </w:rPr>
        <w:t>ملخص</w:t>
      </w:r>
    </w:p>
    <w:p w:rsidR="005D4DBE" w:rsidRDefault="005D4DBE" w:rsidP="005D4DBE">
      <w:pPr>
        <w:pStyle w:val="NumberedParaAR"/>
        <w:numPr>
          <w:ilvl w:val="0"/>
          <w:numId w:val="4"/>
        </w:numPr>
      </w:pPr>
      <w:r>
        <w:rPr>
          <w:rFonts w:hint="cs"/>
          <w:rtl/>
        </w:rPr>
        <w:t xml:space="preserve">تعرض هذه الوثيقة تقريرا مرحليا عن تحليل المكتب الدولي للقضايا المرتبطة بإمكانية تنفيذ استراتيجية تحوّطية فيما يخص رسوم معاهدة التعاون بشأن البراءات (المعاهدة)، فضلا عن تحديث بشأن التطورات المتعلقة بإمكانية وضع "هيكل مقاصة" </w:t>
      </w:r>
      <w:r w:rsidRPr="00692E19">
        <w:rPr>
          <w:rFonts w:hint="cs"/>
          <w:rtl/>
        </w:rPr>
        <w:t>لجميع المعاملات الخاصة برسوم معاهدة البراءات</w:t>
      </w:r>
      <w:r>
        <w:rPr>
          <w:rFonts w:hint="cs"/>
          <w:rtl/>
        </w:rPr>
        <w:t>. ويقترح المكتب الدولي مواصلة دراسة كلا التدبيرين الممكنين للحد من التعرّض لتغيرات أسعار الصرف وذلك بغرض تقديم اقتراحات إلى الفريق العامل في دورته القادمة في عام</w:t>
      </w:r>
      <w:r>
        <w:rPr>
          <w:rFonts w:hint="eastAsia"/>
          <w:rtl/>
        </w:rPr>
        <w:t> </w:t>
      </w:r>
      <w:r>
        <w:rPr>
          <w:rFonts w:hint="cs"/>
          <w:rtl/>
        </w:rPr>
        <w:t>2017 بشأن ما إذا كان ينبغي الشروع في التحوّط أم لا وما إذا كان ينبغي وضع "هيكل مقاصة" أم لا.</w:t>
      </w:r>
    </w:p>
    <w:p w:rsidR="005D4DBE" w:rsidRPr="00692E19" w:rsidRDefault="005D4DBE" w:rsidP="005D4DBE">
      <w:pPr>
        <w:pStyle w:val="NormalParaAR"/>
        <w:keepNext/>
        <w:rPr>
          <w:b/>
          <w:bCs/>
          <w:sz w:val="40"/>
          <w:szCs w:val="40"/>
          <w:rtl/>
        </w:rPr>
      </w:pPr>
      <w:r w:rsidRPr="00692E19">
        <w:rPr>
          <w:rFonts w:hint="cs"/>
          <w:b/>
          <w:bCs/>
          <w:sz w:val="40"/>
          <w:szCs w:val="40"/>
          <w:rtl/>
        </w:rPr>
        <w:lastRenderedPageBreak/>
        <w:t>معلومات أساسية</w:t>
      </w:r>
    </w:p>
    <w:p w:rsidR="005D4DBE" w:rsidRDefault="005D4DBE" w:rsidP="005D4DBE">
      <w:pPr>
        <w:pStyle w:val="NumberedParaAR"/>
        <w:keepLines/>
      </w:pPr>
      <w:r>
        <w:rPr>
          <w:rFonts w:hint="cs"/>
          <w:rtl/>
        </w:rPr>
        <w:t>ناقش الفريق العامل، في دورته الثامنة المعقودة في مايو</w:t>
      </w:r>
      <w:r>
        <w:rPr>
          <w:rFonts w:hint="eastAsia"/>
          <w:rtl/>
        </w:rPr>
        <w:t> </w:t>
      </w:r>
      <w:r>
        <w:rPr>
          <w:rFonts w:hint="cs"/>
          <w:rtl/>
        </w:rPr>
        <w:t xml:space="preserve">2015، وثيقة أعدها المكتب الدولي وبيّن فيها مختلف التدابير الممكنة للحد </w:t>
      </w:r>
      <w:r w:rsidRPr="00601434">
        <w:rPr>
          <w:rtl/>
        </w:rPr>
        <w:t>من خطر تعر</w:t>
      </w:r>
      <w:r>
        <w:rPr>
          <w:rFonts w:hint="cs"/>
          <w:rtl/>
        </w:rPr>
        <w:t>ّ</w:t>
      </w:r>
      <w:r w:rsidRPr="00601434">
        <w:rPr>
          <w:rtl/>
        </w:rPr>
        <w:t>ض الإيرادات المتأتية من رسوم معاهدة البراءات لتغيرات أسعار الصرف</w:t>
      </w:r>
      <w:r>
        <w:rPr>
          <w:rFonts w:hint="cs"/>
          <w:rtl/>
        </w:rPr>
        <w:t xml:space="preserve"> (الوثيقة</w:t>
      </w:r>
      <w:r>
        <w:rPr>
          <w:rFonts w:hint="eastAsia"/>
          <w:rtl/>
        </w:rPr>
        <w:t> </w:t>
      </w:r>
      <w:r w:rsidRPr="00601434">
        <w:t>PCT/WG/8/15</w:t>
      </w:r>
      <w:r>
        <w:rPr>
          <w:rFonts w:hint="cs"/>
          <w:rtl/>
        </w:rPr>
        <w:t>). ويرد موجز المناقشات في الفقرات من</w:t>
      </w:r>
      <w:r>
        <w:rPr>
          <w:rFonts w:hint="eastAsia"/>
          <w:rtl/>
        </w:rPr>
        <w:t> </w:t>
      </w:r>
      <w:r>
        <w:rPr>
          <w:rFonts w:hint="cs"/>
          <w:rtl/>
        </w:rPr>
        <w:t>21 إلى</w:t>
      </w:r>
      <w:r>
        <w:rPr>
          <w:rFonts w:hint="eastAsia"/>
          <w:rtl/>
        </w:rPr>
        <w:t> </w:t>
      </w:r>
      <w:r>
        <w:rPr>
          <w:rFonts w:hint="cs"/>
          <w:rtl/>
        </w:rPr>
        <w:t>36 من ملخص الرئيس (الوثيقة</w:t>
      </w:r>
      <w:r>
        <w:rPr>
          <w:rFonts w:hint="eastAsia"/>
          <w:rtl/>
        </w:rPr>
        <w:t> </w:t>
      </w:r>
      <w:r w:rsidRPr="00601434">
        <w:t>PCT/WG/8/25</w:t>
      </w:r>
      <w:r>
        <w:rPr>
          <w:rFonts w:hint="cs"/>
          <w:rtl/>
        </w:rPr>
        <w:t>). وتورد الفقرات من</w:t>
      </w:r>
      <w:r>
        <w:rPr>
          <w:rFonts w:hint="eastAsia"/>
          <w:rtl/>
        </w:rPr>
        <w:t> </w:t>
      </w:r>
      <w:r>
        <w:rPr>
          <w:rFonts w:hint="cs"/>
          <w:rtl/>
        </w:rPr>
        <w:t>52 إلى</w:t>
      </w:r>
      <w:r>
        <w:rPr>
          <w:rFonts w:hint="eastAsia"/>
          <w:rtl/>
        </w:rPr>
        <w:t> </w:t>
      </w:r>
      <w:r>
        <w:rPr>
          <w:rFonts w:hint="cs"/>
          <w:rtl/>
        </w:rPr>
        <w:t>78 من تقرير الدورة (الوثيقة</w:t>
      </w:r>
      <w:r>
        <w:rPr>
          <w:rFonts w:hint="eastAsia"/>
          <w:rtl/>
        </w:rPr>
        <w:t> </w:t>
      </w:r>
      <w:r w:rsidRPr="00601434">
        <w:t>PCT/WG/8/26</w:t>
      </w:r>
      <w:r>
        <w:rPr>
          <w:rFonts w:hint="cs"/>
          <w:rtl/>
        </w:rPr>
        <w:t>) تفاصيل كل المداخلات.</w:t>
      </w:r>
    </w:p>
    <w:p w:rsidR="005D4DBE" w:rsidRPr="00601434" w:rsidRDefault="005D4DBE" w:rsidP="005D4DBE">
      <w:pPr>
        <w:pStyle w:val="NumberedParaAR"/>
      </w:pPr>
      <w:r>
        <w:rPr>
          <w:rFonts w:hint="cs"/>
          <w:rtl/>
        </w:rPr>
        <w:t>وتعرض هذه الوثيقة تحديثا للعمل المتعلق بالتدابير الممكنة التي نوقشت في الوثيقة</w:t>
      </w:r>
      <w:r>
        <w:rPr>
          <w:rFonts w:hint="eastAsia"/>
          <w:rtl/>
        </w:rPr>
        <w:t> </w:t>
      </w:r>
      <w:r w:rsidRPr="00601434">
        <w:t>PCT/WG/8/15</w:t>
      </w:r>
      <w:r>
        <w:rPr>
          <w:rFonts w:hint="cs"/>
          <w:smallCaps/>
          <w:rtl/>
        </w:rPr>
        <w:t>، أي التدبيرين التاليين:</w:t>
      </w:r>
    </w:p>
    <w:p w:rsidR="005D4DBE" w:rsidRDefault="005D4DBE" w:rsidP="005D4DBE">
      <w:pPr>
        <w:pStyle w:val="NormalParaAR"/>
        <w:ind w:left="566"/>
        <w:rPr>
          <w:rtl/>
        </w:rPr>
      </w:pPr>
      <w:r>
        <w:rPr>
          <w:rFonts w:hint="cs"/>
          <w:rtl/>
        </w:rPr>
        <w:t>(أ)</w:t>
      </w:r>
      <w:r>
        <w:rPr>
          <w:rtl/>
        </w:rPr>
        <w:tab/>
      </w:r>
      <w:r w:rsidRPr="00CC25C7">
        <w:rPr>
          <w:rtl/>
        </w:rPr>
        <w:t>التحوّط وتحديد المبالغ المعادِلة لرسوم المعاهدة لفترة محد</w:t>
      </w:r>
      <w:r>
        <w:rPr>
          <w:rFonts w:hint="cs"/>
          <w:rtl/>
        </w:rPr>
        <w:t>ّ</w:t>
      </w:r>
      <w:r w:rsidRPr="00CC25C7">
        <w:rPr>
          <w:rtl/>
        </w:rPr>
        <w:t>دة</w:t>
      </w:r>
      <w:r>
        <w:rPr>
          <w:rFonts w:hint="cs"/>
          <w:rtl/>
        </w:rPr>
        <w:t>؛</w:t>
      </w:r>
    </w:p>
    <w:p w:rsidR="005D4DBE" w:rsidRDefault="005D4DBE" w:rsidP="005D4DBE">
      <w:pPr>
        <w:pStyle w:val="NormalParaAR"/>
        <w:ind w:left="566"/>
        <w:rPr>
          <w:rtl/>
        </w:rPr>
      </w:pPr>
      <w:r>
        <w:rPr>
          <w:rFonts w:hint="cs"/>
          <w:rtl/>
        </w:rPr>
        <w:t>(ب)</w:t>
      </w:r>
      <w:r>
        <w:rPr>
          <w:rtl/>
        </w:rPr>
        <w:tab/>
        <w:t xml:space="preserve">وضع "هيكل مقاصة" لإحالة </w:t>
      </w:r>
      <w:r w:rsidRPr="00CC25C7">
        <w:rPr>
          <w:rtl/>
        </w:rPr>
        <w:t>رسوم</w:t>
      </w:r>
      <w:r>
        <w:rPr>
          <w:rFonts w:hint="cs"/>
          <w:rtl/>
        </w:rPr>
        <w:t xml:space="preserve"> المعاهدة.</w:t>
      </w:r>
    </w:p>
    <w:p w:rsidR="005D4DBE" w:rsidRPr="00CC25C7" w:rsidRDefault="005D4DBE" w:rsidP="005D4DBE">
      <w:pPr>
        <w:pStyle w:val="NormalParaAR"/>
        <w:keepNext/>
        <w:rPr>
          <w:b/>
          <w:bCs/>
          <w:sz w:val="40"/>
          <w:szCs w:val="40"/>
          <w:rtl/>
        </w:rPr>
      </w:pPr>
      <w:r w:rsidRPr="00CC25C7">
        <w:rPr>
          <w:b/>
          <w:bCs/>
          <w:sz w:val="40"/>
          <w:szCs w:val="40"/>
          <w:rtl/>
        </w:rPr>
        <w:t>التحوّط وتحديد المبالغ المعادِلة لرسوم المعاهدة لفترة محد</w:t>
      </w:r>
      <w:r w:rsidRPr="00CC25C7">
        <w:rPr>
          <w:rFonts w:hint="cs"/>
          <w:b/>
          <w:bCs/>
          <w:sz w:val="40"/>
          <w:szCs w:val="40"/>
          <w:rtl/>
        </w:rPr>
        <w:t>ّ</w:t>
      </w:r>
      <w:r w:rsidRPr="00CC25C7">
        <w:rPr>
          <w:b/>
          <w:bCs/>
          <w:sz w:val="40"/>
          <w:szCs w:val="40"/>
          <w:rtl/>
        </w:rPr>
        <w:t>دة</w:t>
      </w:r>
    </w:p>
    <w:p w:rsidR="005D4DBE" w:rsidRPr="00CC25C7" w:rsidRDefault="005D4DBE" w:rsidP="005D4DBE">
      <w:pPr>
        <w:pStyle w:val="NormalParaAR"/>
        <w:keepNext/>
        <w:rPr>
          <w:sz w:val="40"/>
          <w:szCs w:val="40"/>
          <w:rtl/>
        </w:rPr>
      </w:pPr>
      <w:r w:rsidRPr="00CC25C7">
        <w:rPr>
          <w:rFonts w:hint="cs"/>
          <w:sz w:val="40"/>
          <w:szCs w:val="40"/>
          <w:rtl/>
        </w:rPr>
        <w:t>تعريف التحوّط</w:t>
      </w:r>
    </w:p>
    <w:p w:rsidR="005D4DBE" w:rsidRDefault="005D4DBE" w:rsidP="005D4DBE">
      <w:pPr>
        <w:pStyle w:val="NumberedParaAR"/>
      </w:pPr>
      <w:r w:rsidRPr="00CC25C7">
        <w:rPr>
          <w:rtl/>
        </w:rPr>
        <w:t xml:space="preserve">يشير التحوّط إلى </w:t>
      </w:r>
      <w:r w:rsidRPr="00CC25C7">
        <w:rPr>
          <w:rFonts w:hint="cs"/>
          <w:rtl/>
        </w:rPr>
        <w:t xml:space="preserve">اتخاذ تدابير </w:t>
      </w:r>
      <w:r w:rsidRPr="00CC25C7">
        <w:rPr>
          <w:rtl/>
        </w:rPr>
        <w:t>تعو</w:t>
      </w:r>
      <w:r w:rsidRPr="00CC25C7">
        <w:rPr>
          <w:rFonts w:hint="cs"/>
          <w:rtl/>
        </w:rPr>
        <w:t xml:space="preserve">يضية </w:t>
      </w:r>
      <w:r w:rsidRPr="00CC25C7">
        <w:rPr>
          <w:rtl/>
        </w:rPr>
        <w:t>للحد</w:t>
      </w:r>
      <w:r>
        <w:rPr>
          <w:rFonts w:hint="cs"/>
          <w:rtl/>
        </w:rPr>
        <w:t>ّ</w:t>
      </w:r>
      <w:r w:rsidRPr="00CC25C7">
        <w:rPr>
          <w:rtl/>
        </w:rPr>
        <w:t xml:space="preserve"> </w:t>
      </w:r>
      <w:r>
        <w:rPr>
          <w:rFonts w:hint="cs"/>
          <w:rtl/>
        </w:rPr>
        <w:t xml:space="preserve">من مخاطر من قبيل التغيرات </w:t>
      </w:r>
      <w:r w:rsidRPr="00CC25C7">
        <w:rPr>
          <w:rtl/>
        </w:rPr>
        <w:t xml:space="preserve">غير </w:t>
      </w:r>
      <w:r>
        <w:rPr>
          <w:rFonts w:hint="cs"/>
          <w:rtl/>
        </w:rPr>
        <w:t xml:space="preserve">الملائمة في </w:t>
      </w:r>
      <w:r w:rsidRPr="00CC25C7">
        <w:rPr>
          <w:rFonts w:hint="cs"/>
          <w:rtl/>
        </w:rPr>
        <w:t xml:space="preserve">سعر </w:t>
      </w:r>
      <w:r w:rsidRPr="00CC25C7">
        <w:rPr>
          <w:rtl/>
        </w:rPr>
        <w:t xml:space="preserve">الفائدة أو، كما </w:t>
      </w:r>
      <w:r w:rsidRPr="00CC25C7">
        <w:rPr>
          <w:rFonts w:hint="cs"/>
          <w:rtl/>
        </w:rPr>
        <w:t>هو ال</w:t>
      </w:r>
      <w:r w:rsidRPr="00CC25C7">
        <w:rPr>
          <w:rtl/>
        </w:rPr>
        <w:t>حال</w:t>
      </w:r>
      <w:r w:rsidRPr="00CC25C7">
        <w:rPr>
          <w:rFonts w:hint="cs"/>
          <w:rtl/>
        </w:rPr>
        <w:t xml:space="preserve"> في الويبو،</w:t>
      </w:r>
      <w:r w:rsidRPr="00CC25C7">
        <w:rPr>
          <w:rtl/>
        </w:rPr>
        <w:t xml:space="preserve"> </w:t>
      </w:r>
      <w:r>
        <w:rPr>
          <w:rFonts w:hint="cs"/>
          <w:rtl/>
        </w:rPr>
        <w:t>أثر تغيرات</w:t>
      </w:r>
      <w:r w:rsidRPr="00CC25C7">
        <w:rPr>
          <w:rFonts w:hint="cs"/>
          <w:rtl/>
        </w:rPr>
        <w:t xml:space="preserve"> أ</w:t>
      </w:r>
      <w:r w:rsidRPr="00CC25C7">
        <w:rPr>
          <w:rtl/>
        </w:rPr>
        <w:t>سع</w:t>
      </w:r>
      <w:r w:rsidRPr="00CC25C7">
        <w:rPr>
          <w:rFonts w:hint="cs"/>
          <w:rtl/>
        </w:rPr>
        <w:t>ا</w:t>
      </w:r>
      <w:r w:rsidRPr="00CC25C7">
        <w:rPr>
          <w:rtl/>
        </w:rPr>
        <w:t>ر الصرف</w:t>
      </w:r>
      <w:r w:rsidRPr="00CC25C7">
        <w:rPr>
          <w:rFonts w:hint="cs"/>
          <w:rtl/>
        </w:rPr>
        <w:t xml:space="preserve">. </w:t>
      </w:r>
      <w:r>
        <w:rPr>
          <w:rFonts w:hint="cs"/>
          <w:rtl/>
        </w:rPr>
        <w:t>ومن أساليب التحوّط من الخطر الناجم عن المعاملات التي تُجرى بالعملات الأجنبية ال</w:t>
      </w:r>
      <w:r w:rsidRPr="00AE0F2A">
        <w:rPr>
          <w:rtl/>
        </w:rPr>
        <w:t xml:space="preserve">عقد </w:t>
      </w:r>
      <w:r>
        <w:rPr>
          <w:rFonts w:hint="cs"/>
          <w:rtl/>
        </w:rPr>
        <w:t>ال</w:t>
      </w:r>
      <w:r w:rsidRPr="00AE0F2A">
        <w:rPr>
          <w:rFonts w:hint="cs"/>
          <w:rtl/>
        </w:rPr>
        <w:t xml:space="preserve">آجل لسعر صرف العملات </w:t>
      </w:r>
      <w:r w:rsidRPr="00AE0F2A">
        <w:rPr>
          <w:rtl/>
        </w:rPr>
        <w:t>الأجنبي</w:t>
      </w:r>
      <w:r w:rsidRPr="00AE0F2A">
        <w:rPr>
          <w:rFonts w:hint="cs"/>
          <w:rtl/>
        </w:rPr>
        <w:t>ة (</w:t>
      </w:r>
      <w:r>
        <w:rPr>
          <w:rFonts w:hint="cs"/>
          <w:rtl/>
        </w:rPr>
        <w:t>"ال</w:t>
      </w:r>
      <w:r w:rsidRPr="00AE0F2A">
        <w:rPr>
          <w:rFonts w:hint="cs"/>
          <w:rtl/>
        </w:rPr>
        <w:t xml:space="preserve">عقد </w:t>
      </w:r>
      <w:r>
        <w:rPr>
          <w:rFonts w:hint="cs"/>
          <w:rtl/>
        </w:rPr>
        <w:t>ال</w:t>
      </w:r>
      <w:r w:rsidRPr="00AE0F2A">
        <w:rPr>
          <w:rFonts w:hint="cs"/>
          <w:rtl/>
        </w:rPr>
        <w:t>آجل</w:t>
      </w:r>
      <w:r>
        <w:rPr>
          <w:rFonts w:hint="cs"/>
          <w:rtl/>
        </w:rPr>
        <w:t>"</w:t>
      </w:r>
      <w:r w:rsidRPr="00AE0F2A">
        <w:rPr>
          <w:rFonts w:hint="cs"/>
          <w:rtl/>
        </w:rPr>
        <w:t>)</w:t>
      </w:r>
      <w:r>
        <w:rPr>
          <w:rFonts w:hint="cs"/>
          <w:rtl/>
        </w:rPr>
        <w:t>، على نحو ما نوقش في الفقرات من</w:t>
      </w:r>
      <w:r>
        <w:rPr>
          <w:rFonts w:hint="eastAsia"/>
          <w:rtl/>
        </w:rPr>
        <w:t> </w:t>
      </w:r>
      <w:r>
        <w:rPr>
          <w:rFonts w:hint="cs"/>
          <w:rtl/>
        </w:rPr>
        <w:t>20 إلى</w:t>
      </w:r>
      <w:r>
        <w:rPr>
          <w:rFonts w:hint="eastAsia"/>
          <w:rtl/>
        </w:rPr>
        <w:t> </w:t>
      </w:r>
      <w:r>
        <w:rPr>
          <w:rFonts w:hint="cs"/>
          <w:rtl/>
        </w:rPr>
        <w:t>22 من المرفق الأول من الوثيقة</w:t>
      </w:r>
      <w:r>
        <w:rPr>
          <w:rFonts w:hint="eastAsia"/>
          <w:rtl/>
        </w:rPr>
        <w:t> </w:t>
      </w:r>
      <w:r w:rsidRPr="00AE0F2A">
        <w:t>PCT/WG/8/15</w:t>
      </w:r>
      <w:r>
        <w:rPr>
          <w:rFonts w:hint="cs"/>
          <w:rtl/>
        </w:rPr>
        <w:t xml:space="preserve">. </w:t>
      </w:r>
      <w:r w:rsidRPr="00AE0F2A">
        <w:rPr>
          <w:rFonts w:hint="cs"/>
          <w:rtl/>
        </w:rPr>
        <w:t xml:space="preserve">والعقد الآجل هو </w:t>
      </w:r>
      <w:r w:rsidRPr="00AE0F2A">
        <w:rPr>
          <w:rtl/>
        </w:rPr>
        <w:t xml:space="preserve">اتفاق تعاقدي بين طرفين لتبادل </w:t>
      </w:r>
      <w:r w:rsidRPr="00AE0F2A">
        <w:rPr>
          <w:rFonts w:hint="cs"/>
          <w:rtl/>
        </w:rPr>
        <w:t xml:space="preserve">مبالغ من </w:t>
      </w:r>
      <w:r w:rsidRPr="00AE0F2A">
        <w:rPr>
          <w:rtl/>
        </w:rPr>
        <w:t>العمل</w:t>
      </w:r>
      <w:r w:rsidRPr="00AE0F2A">
        <w:rPr>
          <w:rFonts w:hint="cs"/>
          <w:rtl/>
        </w:rPr>
        <w:t>ات</w:t>
      </w:r>
      <w:r w:rsidRPr="00AE0F2A">
        <w:rPr>
          <w:rtl/>
        </w:rPr>
        <w:t xml:space="preserve"> بسعر صرف متفق عليه </w:t>
      </w:r>
      <w:r>
        <w:rPr>
          <w:rFonts w:hint="cs"/>
          <w:rtl/>
        </w:rPr>
        <w:t>(</w:t>
      </w:r>
      <w:r>
        <w:rPr>
          <w:rtl/>
        </w:rPr>
        <w:t>"السعر الآجل"</w:t>
      </w:r>
      <w:r>
        <w:rPr>
          <w:rFonts w:hint="cs"/>
          <w:rtl/>
        </w:rPr>
        <w:t xml:space="preserve">) </w:t>
      </w:r>
      <w:r w:rsidRPr="00AE0F2A">
        <w:rPr>
          <w:rtl/>
        </w:rPr>
        <w:t>في تاريخ محد</w:t>
      </w:r>
      <w:r>
        <w:rPr>
          <w:rFonts w:hint="cs"/>
          <w:rtl/>
        </w:rPr>
        <w:t>ّ</w:t>
      </w:r>
      <w:r>
        <w:rPr>
          <w:rtl/>
        </w:rPr>
        <w:t>د في المستقبل.</w:t>
      </w:r>
    </w:p>
    <w:p w:rsidR="005D4DBE" w:rsidRDefault="005D4DBE" w:rsidP="005D4DBE">
      <w:pPr>
        <w:pStyle w:val="NumberedParaAR"/>
      </w:pPr>
      <w:r>
        <w:rPr>
          <w:rFonts w:hint="cs"/>
          <w:rtl/>
        </w:rPr>
        <w:t xml:space="preserve">وستنطوي استراتيجية التحوّط النمطية الخاصة بعملة ما على إبرام عقود آجلة بتواريخ مختلفة طوال فترة محدّدة. وعلى مدى تلك الفترة، يُحدّد المبلغ المعادل بالفرنك السويسري للرسوم المحصّلة بالعملة الخاضعة للتحوّط باستخدام </w:t>
      </w:r>
      <w:r w:rsidRPr="00B870F2">
        <w:rPr>
          <w:rtl/>
        </w:rPr>
        <w:t xml:space="preserve">متوسط </w:t>
      </w:r>
      <w:r w:rsidRPr="00B870F2">
        <w:rPr>
          <w:rFonts w:hint="cs"/>
          <w:rtl/>
        </w:rPr>
        <w:t>مرجّح</w:t>
      </w:r>
      <w:r w:rsidRPr="00B870F2">
        <w:rPr>
          <w:rtl/>
        </w:rPr>
        <w:t xml:space="preserve"> </w:t>
      </w:r>
      <w:r w:rsidRPr="00B870F2">
        <w:rPr>
          <w:rFonts w:hint="cs"/>
          <w:rtl/>
        </w:rPr>
        <w:t>للسعر</w:t>
      </w:r>
      <w:r w:rsidRPr="00B870F2">
        <w:rPr>
          <w:rtl/>
        </w:rPr>
        <w:t xml:space="preserve"> </w:t>
      </w:r>
      <w:r w:rsidRPr="00B870F2">
        <w:rPr>
          <w:rFonts w:hint="cs"/>
          <w:rtl/>
        </w:rPr>
        <w:t>الآجل</w:t>
      </w:r>
      <w:r>
        <w:rPr>
          <w:rFonts w:hint="cs"/>
          <w:rtl/>
        </w:rPr>
        <w:t>، أو ما يُعرف باسم "</w:t>
      </w:r>
      <w:r w:rsidRPr="00B870F2">
        <w:rPr>
          <w:rFonts w:hint="cs"/>
          <w:rtl/>
        </w:rPr>
        <w:t>السعر</w:t>
      </w:r>
      <w:r w:rsidRPr="00B870F2">
        <w:rPr>
          <w:rtl/>
        </w:rPr>
        <w:t xml:space="preserve"> </w:t>
      </w:r>
      <w:r w:rsidRPr="00B870F2">
        <w:rPr>
          <w:rFonts w:hint="cs"/>
          <w:rtl/>
        </w:rPr>
        <w:t>المختلط</w:t>
      </w:r>
      <w:r>
        <w:rPr>
          <w:rFonts w:hint="cs"/>
          <w:rtl/>
        </w:rPr>
        <w:t>"، ليظلّ ثابتا طيلة الفترة المشمولة بالعقود الآجلة. وبالتالي سيزيد تحديد المبلغ المعادل خلال فترة التحوّط من إمكانية التنبؤ بالتدفقات النقدية للعملات التي تم إخضاع الإيرادات المتأتية بها للتحوّط. ويمكن الاطلاع على مزيد من الشروح حول هذه العملية، بما في ذلك مثال توضيحي، في الفقرات من</w:t>
      </w:r>
      <w:r>
        <w:rPr>
          <w:rFonts w:hint="eastAsia"/>
          <w:rtl/>
        </w:rPr>
        <w:t> </w:t>
      </w:r>
      <w:r>
        <w:rPr>
          <w:rFonts w:hint="cs"/>
          <w:rtl/>
        </w:rPr>
        <w:t>23 إلى</w:t>
      </w:r>
      <w:r>
        <w:rPr>
          <w:rFonts w:hint="eastAsia"/>
          <w:rtl/>
        </w:rPr>
        <w:t> </w:t>
      </w:r>
      <w:r>
        <w:rPr>
          <w:rFonts w:hint="cs"/>
          <w:rtl/>
        </w:rPr>
        <w:t>29 من المرفق الأول من الوثيقة</w:t>
      </w:r>
      <w:r>
        <w:rPr>
          <w:rFonts w:hint="eastAsia"/>
          <w:rtl/>
        </w:rPr>
        <w:t> </w:t>
      </w:r>
      <w:r w:rsidRPr="00D01764">
        <w:t>PCT/WG/8/15</w:t>
      </w:r>
      <w:r>
        <w:rPr>
          <w:rFonts w:hint="cs"/>
          <w:rtl/>
        </w:rPr>
        <w:t>.</w:t>
      </w:r>
    </w:p>
    <w:p w:rsidR="005D4DBE" w:rsidRPr="00ED6BD1" w:rsidRDefault="005D4DBE" w:rsidP="005D4DBE">
      <w:pPr>
        <w:pStyle w:val="NormalParaAR"/>
        <w:keepNext/>
        <w:rPr>
          <w:sz w:val="40"/>
          <w:szCs w:val="40"/>
          <w:rtl/>
        </w:rPr>
      </w:pPr>
      <w:r w:rsidRPr="00ED6BD1">
        <w:rPr>
          <w:rFonts w:hint="cs"/>
          <w:sz w:val="40"/>
          <w:szCs w:val="40"/>
          <w:rtl/>
        </w:rPr>
        <w:t>المناقشات التي أجراها كل من الفريق العامل ولجنة البرنامج والميزانية وجمعية معاهدة البراءات</w:t>
      </w:r>
    </w:p>
    <w:p w:rsidR="005D4DBE" w:rsidRDefault="005D4DBE" w:rsidP="005D4DBE">
      <w:pPr>
        <w:pStyle w:val="NumberedParaAR"/>
        <w:rPr>
          <w:rtl/>
        </w:rPr>
      </w:pPr>
      <w:r>
        <w:rPr>
          <w:rFonts w:hint="cs"/>
          <w:rtl/>
        </w:rPr>
        <w:t>وافق الفريق العامل، في دورته الثامنة المعقودة في مايو</w:t>
      </w:r>
      <w:r>
        <w:rPr>
          <w:rFonts w:hint="eastAsia"/>
          <w:rtl/>
        </w:rPr>
        <w:t> </w:t>
      </w:r>
      <w:r>
        <w:rPr>
          <w:rFonts w:hint="cs"/>
          <w:rtl/>
        </w:rPr>
        <w:t>2015، على اقتراح المكتب الدولي الوارد في الوثيقة</w:t>
      </w:r>
      <w:r>
        <w:rPr>
          <w:rFonts w:hint="eastAsia"/>
          <w:rtl/>
        </w:rPr>
        <w:t> </w:t>
      </w:r>
      <w:r w:rsidRPr="00242F3F">
        <w:t>PCT/WG/8/15</w:t>
      </w:r>
      <w:r>
        <w:rPr>
          <w:rFonts w:hint="cs"/>
          <w:rtl/>
        </w:rPr>
        <w:t xml:space="preserve"> والداعي إلى </w:t>
      </w:r>
      <w:r w:rsidRPr="00242F3F">
        <w:rPr>
          <w:rtl/>
        </w:rPr>
        <w:t>الشروع في التحوّط بخصوص رسوم الإيداع الدولي من الخطر الناجم عن المعاملات التي تتم باليورو والين الياباني والدولار الأمريكي</w:t>
      </w:r>
      <w:r>
        <w:rPr>
          <w:rFonts w:hint="cs"/>
          <w:rtl/>
        </w:rPr>
        <w:t xml:space="preserve"> (انظر الفقرة</w:t>
      </w:r>
      <w:r>
        <w:rPr>
          <w:rFonts w:hint="eastAsia"/>
          <w:rtl/>
        </w:rPr>
        <w:t> </w:t>
      </w:r>
      <w:r>
        <w:rPr>
          <w:rFonts w:hint="cs"/>
          <w:rtl/>
        </w:rPr>
        <w:t>78 من تقرير الدورة، الوثيقة</w:t>
      </w:r>
      <w:r>
        <w:rPr>
          <w:rFonts w:hint="eastAsia"/>
          <w:rtl/>
        </w:rPr>
        <w:t> </w:t>
      </w:r>
      <w:r w:rsidRPr="00242F3F">
        <w:t>PCT/WG/8/26</w:t>
      </w:r>
      <w:r>
        <w:rPr>
          <w:rFonts w:hint="cs"/>
          <w:rtl/>
        </w:rPr>
        <w:t>)، وذلك بغرض تقديمه إلى الجمعية كي تنظر فيه خلال دورتها في أكتوبر</w:t>
      </w:r>
      <w:r>
        <w:rPr>
          <w:rFonts w:hint="eastAsia"/>
          <w:rtl/>
        </w:rPr>
        <w:t> </w:t>
      </w:r>
      <w:r>
        <w:rPr>
          <w:rFonts w:hint="cs"/>
          <w:rtl/>
        </w:rPr>
        <w:t>2015.</w:t>
      </w:r>
    </w:p>
    <w:p w:rsidR="005D4DBE" w:rsidRDefault="005D4DBE" w:rsidP="005D4DBE">
      <w:pPr>
        <w:pStyle w:val="NormalParaAR"/>
        <w:keepLines/>
        <w:ind w:left="567"/>
        <w:rPr>
          <w:rtl/>
        </w:rPr>
      </w:pPr>
      <w:r>
        <w:rPr>
          <w:rFonts w:hint="cs"/>
          <w:rtl/>
        </w:rPr>
        <w:lastRenderedPageBreak/>
        <w:t>"78.</w:t>
      </w:r>
      <w:r>
        <w:rPr>
          <w:rtl/>
        </w:rPr>
        <w:tab/>
      </w:r>
      <w:r w:rsidRPr="005B1EA2">
        <w:rPr>
          <w:rtl/>
        </w:rPr>
        <w:t xml:space="preserve">ووافق الفريق العامل على التعديلات المقترح إدخالها على توجيهات جمعية معاهدة التعاون بشأن البراءات بخصوص تحديد المبالغ المعادلة لبعض الرسوم والواردة في المرفق الثاني للوثيقة </w:t>
      </w:r>
      <w:r w:rsidRPr="005B1EA2">
        <w:t>PCT/WG/8/15</w:t>
      </w:r>
      <w:r w:rsidRPr="005B1EA2">
        <w:rPr>
          <w:rtl/>
        </w:rPr>
        <w:t xml:space="preserve"> بهدف تقديمها إلى الجمعية لتنظر فيها في دورتها المقبلة في أكتوبر 2015، رهنا بأية تغييرات أخرى قد تدخلها الأمانة على الصياغة أو، بدلا من ذلك، تقديم مشروع مذكرة تفاهم تحتوي على تفاصيل العملية الجديدة لتحديد المبالغ المعادلة بالعملات المقترح التحو</w:t>
      </w:r>
      <w:r>
        <w:rPr>
          <w:rFonts w:hint="cs"/>
          <w:rtl/>
        </w:rPr>
        <w:t>ّ</w:t>
      </w:r>
      <w:r w:rsidRPr="005B1EA2">
        <w:rPr>
          <w:rtl/>
        </w:rPr>
        <w:t>ط منها استنادا إلى سعر تحوّط مختلط، كي تعتمدها الجمعية إلى جانب التوجيهات في صيغتها المعدلة المقترحة.</w:t>
      </w:r>
      <w:r>
        <w:rPr>
          <w:rFonts w:hint="cs"/>
          <w:rtl/>
        </w:rPr>
        <w:t>"</w:t>
      </w:r>
    </w:p>
    <w:p w:rsidR="005D4DBE" w:rsidRDefault="005D4DBE" w:rsidP="005D4DBE">
      <w:pPr>
        <w:pStyle w:val="NumberedParaAR"/>
      </w:pPr>
      <w:r>
        <w:rPr>
          <w:rFonts w:hint="cs"/>
          <w:rtl/>
        </w:rPr>
        <w:t>وقبل دورة الجمعية في أكتوبر</w:t>
      </w:r>
      <w:r>
        <w:rPr>
          <w:rFonts w:hint="eastAsia"/>
          <w:rtl/>
        </w:rPr>
        <w:t> </w:t>
      </w:r>
      <w:r>
        <w:rPr>
          <w:rFonts w:hint="cs"/>
          <w:rtl/>
        </w:rPr>
        <w:t>2015، قدم المكتب الدولي تحديثا عن تنفيذ استراتيجية التحوّط المقترحة بشأن الإيرادات المتأتية من رسوم المعاهدة إلى الدورة الرابعة والعشرين للجنة البرنامج والميزانية المعقودة في الفترة من 14</w:t>
      </w:r>
      <w:r>
        <w:rPr>
          <w:rFonts w:hint="eastAsia"/>
          <w:rtl/>
        </w:rPr>
        <w:t> </w:t>
      </w:r>
      <w:r>
        <w:rPr>
          <w:rFonts w:hint="cs"/>
          <w:rtl/>
        </w:rPr>
        <w:t>إلى</w:t>
      </w:r>
      <w:r>
        <w:rPr>
          <w:rFonts w:hint="eastAsia"/>
          <w:rtl/>
        </w:rPr>
        <w:t> </w:t>
      </w:r>
      <w:r>
        <w:rPr>
          <w:rFonts w:hint="cs"/>
          <w:rtl/>
        </w:rPr>
        <w:t>18</w:t>
      </w:r>
      <w:r>
        <w:rPr>
          <w:rFonts w:hint="eastAsia"/>
          <w:rtl/>
        </w:rPr>
        <w:t> </w:t>
      </w:r>
      <w:r>
        <w:rPr>
          <w:rFonts w:hint="cs"/>
          <w:rtl/>
        </w:rPr>
        <w:t>سبتمبر 2015، استنادا إلى الوثيقة</w:t>
      </w:r>
      <w:r>
        <w:rPr>
          <w:rFonts w:hint="eastAsia"/>
          <w:rtl/>
        </w:rPr>
        <w:t> </w:t>
      </w:r>
      <w:r w:rsidRPr="00EF362F">
        <w:t>WO/PBC/24/INF.3</w:t>
      </w:r>
      <w:r>
        <w:rPr>
          <w:rFonts w:hint="cs"/>
          <w:rtl/>
        </w:rPr>
        <w:t>، التي حدّدت عدة مخاطر وشواغل بخصوص تلك الاستراتيجية. وبعد النظر في الوثيقة، اتفقت لجنة البرنامج والميزانية على تقديم التوصية التالية إلى جمعية المعاهدة (انظر الوثيقة</w:t>
      </w:r>
      <w:r>
        <w:rPr>
          <w:rFonts w:hint="eastAsia"/>
          <w:rtl/>
        </w:rPr>
        <w:t> </w:t>
      </w:r>
      <w:r w:rsidRPr="00450DB6">
        <w:t>WO/PBC/24/17</w:t>
      </w:r>
      <w:r>
        <w:rPr>
          <w:rFonts w:hint="cs"/>
          <w:rtl/>
        </w:rPr>
        <w:t>، تحت البند</w:t>
      </w:r>
      <w:r>
        <w:rPr>
          <w:rFonts w:hint="eastAsia"/>
          <w:rtl/>
        </w:rPr>
        <w:t> </w:t>
      </w:r>
      <w:r>
        <w:rPr>
          <w:rFonts w:hint="cs"/>
          <w:rtl/>
        </w:rPr>
        <w:t>10 من جدول الأعمال):</w:t>
      </w:r>
    </w:p>
    <w:p w:rsidR="005D4DBE" w:rsidRDefault="005D4DBE" w:rsidP="005D4DBE">
      <w:pPr>
        <w:pStyle w:val="NormalParaAR"/>
        <w:ind w:left="566"/>
        <w:rPr>
          <w:rtl/>
        </w:rPr>
      </w:pPr>
      <w:r>
        <w:rPr>
          <w:rFonts w:hint="cs"/>
          <w:rtl/>
        </w:rPr>
        <w:t>"</w:t>
      </w:r>
      <w:r>
        <w:rPr>
          <w:rtl/>
        </w:rPr>
        <w:t>فيما يخص توصية الفريق العامل لمعاهدة التعاون بشأن البراءات الواردة في الوثيقة</w:t>
      </w:r>
      <w:r>
        <w:rPr>
          <w:rFonts w:hint="cs"/>
          <w:rtl/>
        </w:rPr>
        <w:t> </w:t>
      </w:r>
      <w:r>
        <w:t>PCT/WG/8/15</w:t>
      </w:r>
      <w:r>
        <w:rPr>
          <w:rtl/>
        </w:rPr>
        <w:t>، أحيطت لجنة البرنامج والميزانية علما، من خلال الوثيقة</w:t>
      </w:r>
      <w:r>
        <w:rPr>
          <w:rFonts w:hint="cs"/>
          <w:rtl/>
        </w:rPr>
        <w:t> </w:t>
      </w:r>
      <w:r>
        <w:t>WO/PBC/24/INF.3</w:t>
      </w:r>
      <w:r>
        <w:rPr>
          <w:rtl/>
        </w:rPr>
        <w:t>، بعدة قضايا تتعلق بتنفيذ استراتيجية تحوّط بخصوص رسوم معاهدة التعاون بشأن البراءات. وبعد النظر بعناية في القضايا الواردة في تلك الوثيقة، أوصت اللجنة جمعية اتحاد معاهدة التعاون بشأن البراءات بما يلي:</w:t>
      </w:r>
    </w:p>
    <w:p w:rsidR="005D4DBE" w:rsidRDefault="005D4DBE" w:rsidP="005D4DBE">
      <w:pPr>
        <w:pStyle w:val="NormalParaAR"/>
        <w:ind w:left="566"/>
        <w:rPr>
          <w:rtl/>
        </w:rPr>
      </w:pPr>
      <w:r>
        <w:rPr>
          <w:rFonts w:hint="cs"/>
          <w:rtl/>
        </w:rPr>
        <w:t>"</w:t>
      </w:r>
      <w:r>
        <w:rPr>
          <w:rtl/>
        </w:rPr>
        <w:t>"1"</w:t>
      </w:r>
      <w:r>
        <w:rPr>
          <w:rtl/>
        </w:rPr>
        <w:tab/>
        <w:t>إعطاء الأمانة المزيد من الوقت لزيادة تحليل تلك القضايا بالتفصيل حتى تتمكّن من إجراء تقييم سليم لكل التحديات المرتبطة بتنفيذ استراتيجية التحوّط المذكورة؛ وبناء على ذلك،</w:t>
      </w:r>
    </w:p>
    <w:p w:rsidR="005D4DBE" w:rsidRDefault="005D4DBE" w:rsidP="005D4DBE">
      <w:pPr>
        <w:pStyle w:val="NormalParaAR"/>
        <w:ind w:left="566"/>
        <w:rPr>
          <w:rtl/>
        </w:rPr>
      </w:pPr>
      <w:r>
        <w:rPr>
          <w:rFonts w:hint="cs"/>
          <w:rtl/>
        </w:rPr>
        <w:t>"</w:t>
      </w:r>
      <w:r>
        <w:rPr>
          <w:rtl/>
        </w:rPr>
        <w:t>"2"</w:t>
      </w:r>
      <w:r>
        <w:rPr>
          <w:rtl/>
        </w:rPr>
        <w:tab/>
        <w:t>إرجاء قرارها بخصوص التوصية المذكورة أعلاه حتى يُجرى ذلك التحليل.</w:t>
      </w:r>
      <w:r>
        <w:rPr>
          <w:rFonts w:hint="cs"/>
          <w:rtl/>
        </w:rPr>
        <w:t>"</w:t>
      </w:r>
    </w:p>
    <w:p w:rsidR="005D4DBE" w:rsidRDefault="005D4DBE" w:rsidP="005D4DBE">
      <w:pPr>
        <w:pStyle w:val="NumberedParaAR"/>
      </w:pPr>
      <w:r>
        <w:rPr>
          <w:rFonts w:hint="cs"/>
          <w:rtl/>
        </w:rPr>
        <w:t>وبالنظر إلى تلك التوصية الصادرة عن لجنة البرنامج والميزانية اعتمدت جمعية المعاهدة، في دروتها السابعة والأربعين المعقودة في أكتوبر</w:t>
      </w:r>
      <w:r>
        <w:rPr>
          <w:rFonts w:hint="eastAsia"/>
          <w:rtl/>
        </w:rPr>
        <w:t> </w:t>
      </w:r>
      <w:r>
        <w:rPr>
          <w:rFonts w:hint="cs"/>
          <w:rtl/>
        </w:rPr>
        <w:t>2015، القرار التالي (انظر الوثيقة</w:t>
      </w:r>
      <w:r>
        <w:rPr>
          <w:rFonts w:hint="eastAsia"/>
          <w:rtl/>
        </w:rPr>
        <w:t> </w:t>
      </w:r>
      <w:r w:rsidRPr="0066764D">
        <w:t>PCT/A/47/5 Rev.</w:t>
      </w:r>
      <w:r>
        <w:rPr>
          <w:rFonts w:hint="cs"/>
          <w:rtl/>
        </w:rPr>
        <w:t xml:space="preserve"> والفقرة</w:t>
      </w:r>
      <w:r>
        <w:rPr>
          <w:rFonts w:hint="eastAsia"/>
          <w:rtl/>
        </w:rPr>
        <w:t> </w:t>
      </w:r>
      <w:r>
        <w:rPr>
          <w:rFonts w:hint="cs"/>
          <w:rtl/>
        </w:rPr>
        <w:t>23 من تقرير الدورة، الوثيقة</w:t>
      </w:r>
      <w:r>
        <w:rPr>
          <w:rFonts w:hint="eastAsia"/>
          <w:rtl/>
        </w:rPr>
        <w:t> </w:t>
      </w:r>
      <w:r w:rsidRPr="0066764D">
        <w:t>PCT/A/47/9</w:t>
      </w:r>
      <w:r>
        <w:rPr>
          <w:rFonts w:hint="cs"/>
          <w:rtl/>
        </w:rPr>
        <w:t>):</w:t>
      </w:r>
    </w:p>
    <w:p w:rsidR="005D4DBE" w:rsidRDefault="005D4DBE" w:rsidP="005D4DBE">
      <w:pPr>
        <w:pStyle w:val="NormalParaAR"/>
        <w:ind w:left="566"/>
        <w:rPr>
          <w:rtl/>
        </w:rPr>
      </w:pPr>
      <w:r>
        <w:rPr>
          <w:rFonts w:hint="cs"/>
          <w:rtl/>
        </w:rPr>
        <w:t>"23</w:t>
      </w:r>
      <w:r>
        <w:rPr>
          <w:rtl/>
        </w:rPr>
        <w:t>.</w:t>
      </w:r>
      <w:r>
        <w:rPr>
          <w:rtl/>
        </w:rPr>
        <w:tab/>
        <w:t>إن الجمعية:</w:t>
      </w:r>
    </w:p>
    <w:p w:rsidR="005D4DBE" w:rsidRDefault="005D4DBE" w:rsidP="005D4DBE">
      <w:pPr>
        <w:pStyle w:val="NormalParaAR"/>
        <w:ind w:left="566"/>
        <w:rPr>
          <w:rtl/>
        </w:rPr>
      </w:pPr>
      <w:r>
        <w:rPr>
          <w:rFonts w:hint="cs"/>
          <w:rtl/>
        </w:rPr>
        <w:t>"</w:t>
      </w:r>
      <w:r>
        <w:rPr>
          <w:rtl/>
        </w:rPr>
        <w:t>"1"</w:t>
      </w:r>
      <w:r>
        <w:rPr>
          <w:rtl/>
        </w:rPr>
        <w:tab/>
        <w:t xml:space="preserve">أحاطت علما بمضمون </w:t>
      </w:r>
      <w:r w:rsidRPr="0066764D">
        <w:rPr>
          <w:rFonts w:hint="cs"/>
          <w:rtl/>
        </w:rPr>
        <w:t>الوثيقة</w:t>
      </w:r>
      <w:r w:rsidRPr="0066764D">
        <w:rPr>
          <w:rFonts w:hint="eastAsia"/>
          <w:rtl/>
        </w:rPr>
        <w:t> </w:t>
      </w:r>
      <w:r w:rsidRPr="0066764D">
        <w:t>PCT/A/47/5 Rev.</w:t>
      </w:r>
      <w:r>
        <w:rPr>
          <w:rtl/>
        </w:rPr>
        <w:t>؛</w:t>
      </w:r>
    </w:p>
    <w:p w:rsidR="005D4DBE" w:rsidRDefault="005D4DBE" w:rsidP="005D4DBE">
      <w:pPr>
        <w:pStyle w:val="NormalParaAR"/>
        <w:ind w:left="566"/>
        <w:rPr>
          <w:rtl/>
        </w:rPr>
      </w:pPr>
      <w:r>
        <w:rPr>
          <w:rFonts w:hint="cs"/>
          <w:rtl/>
        </w:rPr>
        <w:t>"</w:t>
      </w:r>
      <w:r>
        <w:rPr>
          <w:rtl/>
        </w:rPr>
        <w:t>"2"</w:t>
      </w:r>
      <w:r>
        <w:rPr>
          <w:rtl/>
        </w:rPr>
        <w:tab/>
        <w:t>ودعت الأمانة إلى زيادة تحليل القضايا المرتبطة بتنفيذ استراتيجية تحوّط بخصوص الإيرادات المتأتية من رسوم معاهدة التعاون بشأن البراءات والمبيّنة في الوثيقة</w:t>
      </w:r>
      <w:r>
        <w:rPr>
          <w:rFonts w:hint="cs"/>
          <w:rtl/>
        </w:rPr>
        <w:t> </w:t>
      </w:r>
      <w:r>
        <w:rPr>
          <w:cs/>
        </w:rPr>
        <w:t>‎</w:t>
      </w:r>
      <w:r>
        <w:t>WO/PBC/24/INF.3</w:t>
      </w:r>
      <w:r>
        <w:rPr>
          <w:rtl/>
        </w:rPr>
        <w:t>؛</w:t>
      </w:r>
    </w:p>
    <w:p w:rsidR="005D4DBE" w:rsidRDefault="005D4DBE" w:rsidP="005D4DBE">
      <w:pPr>
        <w:pStyle w:val="NormalParaAR"/>
        <w:ind w:left="566"/>
        <w:rPr>
          <w:rtl/>
        </w:rPr>
      </w:pPr>
      <w:r>
        <w:rPr>
          <w:rFonts w:hint="cs"/>
          <w:rtl/>
        </w:rPr>
        <w:t>"</w:t>
      </w:r>
      <w:r>
        <w:rPr>
          <w:rtl/>
        </w:rPr>
        <w:t>"3"</w:t>
      </w:r>
      <w:r>
        <w:rPr>
          <w:rtl/>
        </w:rPr>
        <w:tab/>
        <w:t>وقر</w:t>
      </w:r>
      <w:r>
        <w:rPr>
          <w:rFonts w:hint="cs"/>
          <w:rtl/>
        </w:rPr>
        <w:t>ّ</w:t>
      </w:r>
      <w:r>
        <w:rPr>
          <w:rtl/>
        </w:rPr>
        <w:t>رت إرجاء إصدارها لأي قرار بشأن التعديلات المقترح إدخالها على توجيهات الجمعية بخصوص تحديد المبالغ المعادلة لبعض الرسوم، كما اقترحه الفريق العامل، حتى يُجرى ذلك التحليل؛</w:t>
      </w:r>
    </w:p>
    <w:p w:rsidR="005D4DBE" w:rsidRDefault="005D4DBE" w:rsidP="005D4DBE">
      <w:pPr>
        <w:pStyle w:val="NormalParaAR"/>
        <w:ind w:left="566"/>
        <w:rPr>
          <w:rtl/>
        </w:rPr>
      </w:pPr>
      <w:r>
        <w:rPr>
          <w:rFonts w:hint="cs"/>
          <w:rtl/>
        </w:rPr>
        <w:t>"</w:t>
      </w:r>
      <w:r>
        <w:rPr>
          <w:rtl/>
        </w:rPr>
        <w:t>"4"</w:t>
      </w:r>
      <w:r>
        <w:rPr>
          <w:rtl/>
        </w:rPr>
        <w:tab/>
        <w:t>ودعت الأمانة أيضا إلى تقديم تقرير مرحلي في هذا الشأن إلى الفريق العامل لمعاهدة التعاون بشأن البراءات في دورته لعام</w:t>
      </w:r>
      <w:r>
        <w:rPr>
          <w:rFonts w:hint="cs"/>
          <w:rtl/>
        </w:rPr>
        <w:t> </w:t>
      </w:r>
      <w:r>
        <w:rPr>
          <w:rtl/>
        </w:rPr>
        <w:t>2016.</w:t>
      </w:r>
      <w:r>
        <w:rPr>
          <w:rFonts w:hint="cs"/>
          <w:rtl/>
        </w:rPr>
        <w:t>""</w:t>
      </w:r>
    </w:p>
    <w:p w:rsidR="005D4DBE" w:rsidRDefault="005D4DBE" w:rsidP="005D4DBE">
      <w:pPr>
        <w:pStyle w:val="NumberedParaAR"/>
      </w:pPr>
      <w:r>
        <w:rPr>
          <w:rFonts w:hint="cs"/>
          <w:rtl/>
        </w:rPr>
        <w:t>وتعرض الفقرات من</w:t>
      </w:r>
      <w:r>
        <w:rPr>
          <w:rFonts w:hint="eastAsia"/>
          <w:rtl/>
        </w:rPr>
        <w:t> </w:t>
      </w:r>
      <w:r>
        <w:rPr>
          <w:rFonts w:hint="cs"/>
          <w:rtl/>
        </w:rPr>
        <w:t>10 إلى</w:t>
      </w:r>
      <w:r>
        <w:rPr>
          <w:rFonts w:hint="eastAsia"/>
          <w:rtl/>
        </w:rPr>
        <w:t> </w:t>
      </w:r>
      <w:r>
        <w:rPr>
          <w:rFonts w:hint="cs"/>
          <w:rtl/>
        </w:rPr>
        <w:t>17 أدناه التقرير المرحلي الذي طلبته الجمعية بشأن تحليل القضايا المرتبطة بإمكانية تنفيذ استراتيجية تحوّطية والمبيّنة في الوثيقة</w:t>
      </w:r>
      <w:r>
        <w:rPr>
          <w:rFonts w:hint="eastAsia"/>
          <w:rtl/>
        </w:rPr>
        <w:t> </w:t>
      </w:r>
      <w:r w:rsidRPr="001E0130">
        <w:t>WO/PBC/24/INF.3</w:t>
      </w:r>
      <w:r>
        <w:rPr>
          <w:rFonts w:hint="cs"/>
          <w:rtl/>
        </w:rPr>
        <w:t>.</w:t>
      </w:r>
    </w:p>
    <w:p w:rsidR="005D4DBE" w:rsidRPr="001E0130" w:rsidRDefault="005D4DBE" w:rsidP="005D4DBE">
      <w:pPr>
        <w:pStyle w:val="NormalParaAR"/>
        <w:keepNext/>
        <w:rPr>
          <w:sz w:val="40"/>
          <w:szCs w:val="40"/>
          <w:rtl/>
        </w:rPr>
      </w:pPr>
      <w:r w:rsidRPr="001E0130">
        <w:rPr>
          <w:rFonts w:hint="cs"/>
          <w:sz w:val="40"/>
          <w:szCs w:val="40"/>
          <w:rtl/>
        </w:rPr>
        <w:lastRenderedPageBreak/>
        <w:t>تقرير مرحلي</w:t>
      </w:r>
    </w:p>
    <w:p w:rsidR="005D4DBE" w:rsidRPr="001E0130" w:rsidRDefault="005D4DBE" w:rsidP="005D4DBE">
      <w:pPr>
        <w:pStyle w:val="NumberedParaAR"/>
        <w:keepNext/>
        <w:numPr>
          <w:ilvl w:val="0"/>
          <w:numId w:val="0"/>
        </w:numPr>
        <w:rPr>
          <w:u w:val="single"/>
          <w:rtl/>
        </w:rPr>
      </w:pPr>
      <w:r w:rsidRPr="001E0130">
        <w:rPr>
          <w:rFonts w:hint="cs"/>
          <w:u w:val="single"/>
          <w:rtl/>
        </w:rPr>
        <w:t>محاكاة عقد الشراء الآجل</w:t>
      </w:r>
    </w:p>
    <w:p w:rsidR="005D4DBE" w:rsidRDefault="005D4DBE" w:rsidP="005D4DBE">
      <w:pPr>
        <w:pStyle w:val="NumberedParaAR"/>
      </w:pPr>
      <w:r>
        <w:rPr>
          <w:rFonts w:hint="cs"/>
          <w:rtl/>
        </w:rPr>
        <w:t>في نوفمبر</w:t>
      </w:r>
      <w:r>
        <w:rPr>
          <w:rFonts w:hint="eastAsia"/>
          <w:rtl/>
        </w:rPr>
        <w:t> </w:t>
      </w:r>
      <w:r>
        <w:rPr>
          <w:rFonts w:hint="cs"/>
          <w:rtl/>
        </w:rPr>
        <w:t>2015، حاكى المكتب الدولي عملية مناقصة لبيع مبالغ بالين الياباني (</w:t>
      </w:r>
      <w:r w:rsidRPr="006A770F">
        <w:t>JPY</w:t>
      </w:r>
      <w:r>
        <w:rPr>
          <w:rFonts w:hint="cs"/>
          <w:rtl/>
        </w:rPr>
        <w:t>) واليورو (</w:t>
      </w:r>
      <w:r w:rsidRPr="006A770F">
        <w:t>EUR</w:t>
      </w:r>
      <w:r>
        <w:rPr>
          <w:rFonts w:hint="cs"/>
          <w:rtl/>
        </w:rPr>
        <w:t>) والدولار</w:t>
      </w:r>
      <w:r>
        <w:rPr>
          <w:rFonts w:hint="eastAsia"/>
          <w:rtl/>
        </w:rPr>
        <w:t> </w:t>
      </w:r>
      <w:r>
        <w:rPr>
          <w:rFonts w:hint="cs"/>
          <w:rtl/>
        </w:rPr>
        <w:t>الأمريكي (</w:t>
      </w:r>
      <w:r w:rsidRPr="006A770F">
        <w:t>USD</w:t>
      </w:r>
      <w:r>
        <w:rPr>
          <w:rFonts w:hint="cs"/>
          <w:rtl/>
        </w:rPr>
        <w:t>) من أجل الحصول على فرنكات سويسرية (</w:t>
      </w:r>
      <w:r w:rsidRPr="006A770F">
        <w:t>CHF</w:t>
      </w:r>
      <w:r>
        <w:rPr>
          <w:rFonts w:hint="cs"/>
          <w:rtl/>
        </w:rPr>
        <w:t>)، وذلك باستخدام اتفاقات شراء آجلة تغطي الفترة من نوفمبر</w:t>
      </w:r>
      <w:r>
        <w:rPr>
          <w:rFonts w:hint="eastAsia"/>
          <w:rtl/>
        </w:rPr>
        <w:t> </w:t>
      </w:r>
      <w:r>
        <w:rPr>
          <w:rFonts w:hint="cs"/>
          <w:rtl/>
        </w:rPr>
        <w:t>2015 إلى ديسمبر</w:t>
      </w:r>
      <w:r>
        <w:rPr>
          <w:rFonts w:hint="eastAsia"/>
          <w:rtl/>
        </w:rPr>
        <w:t> </w:t>
      </w:r>
      <w:r>
        <w:rPr>
          <w:rFonts w:hint="cs"/>
          <w:rtl/>
        </w:rPr>
        <w:t>2016. وكان الغرض من المحاكاة زيادة فهم العملية التي ينطوي عليها إبرام تلك الاتفاقات إذا ما قرّر المكتب الدولي تنفيذ استراتيجية تحوّطية. كما وفّرت المحاكاة معلومات قيّمة عن التكاليف التي ستُتكبّد نتيجة إبرام عقود شراء آجلة.</w:t>
      </w:r>
    </w:p>
    <w:p w:rsidR="005D4DBE" w:rsidRPr="005F4F20" w:rsidRDefault="005D4DBE" w:rsidP="005D4DBE">
      <w:pPr>
        <w:pStyle w:val="NumberedParaAR"/>
        <w:keepNext/>
        <w:numPr>
          <w:ilvl w:val="0"/>
          <w:numId w:val="0"/>
        </w:numPr>
        <w:rPr>
          <w:u w:val="single"/>
          <w:rtl/>
        </w:rPr>
      </w:pPr>
      <w:r>
        <w:rPr>
          <w:u w:val="single"/>
          <w:rtl/>
        </w:rPr>
        <w:t xml:space="preserve">تحديث التنبؤات </w:t>
      </w:r>
      <w:r>
        <w:rPr>
          <w:rFonts w:hint="cs"/>
          <w:u w:val="single"/>
          <w:rtl/>
        </w:rPr>
        <w:t>الخاصة ب</w:t>
      </w:r>
      <w:r w:rsidRPr="005F4F20">
        <w:rPr>
          <w:u w:val="single"/>
          <w:rtl/>
        </w:rPr>
        <w:t>التدفقات النقدية</w:t>
      </w:r>
      <w:r>
        <w:rPr>
          <w:rFonts w:hint="cs"/>
          <w:u w:val="single"/>
          <w:rtl/>
        </w:rPr>
        <w:t xml:space="preserve"> بحسب كل عملة</w:t>
      </w:r>
    </w:p>
    <w:p w:rsidR="005D4DBE" w:rsidRDefault="005D4DBE" w:rsidP="005D4DBE">
      <w:pPr>
        <w:pStyle w:val="NumberedParaAR"/>
      </w:pPr>
      <w:r>
        <w:rPr>
          <w:rFonts w:hint="cs"/>
          <w:rtl/>
        </w:rPr>
        <w:t>كما أشير إليه في الفقرات من</w:t>
      </w:r>
      <w:r>
        <w:rPr>
          <w:rFonts w:hint="eastAsia"/>
          <w:rtl/>
        </w:rPr>
        <w:t> </w:t>
      </w:r>
      <w:r>
        <w:rPr>
          <w:rFonts w:hint="cs"/>
          <w:rtl/>
        </w:rPr>
        <w:t>18 إلى</w:t>
      </w:r>
      <w:r>
        <w:rPr>
          <w:rFonts w:hint="eastAsia"/>
          <w:rtl/>
        </w:rPr>
        <w:t> </w:t>
      </w:r>
      <w:r>
        <w:rPr>
          <w:rFonts w:hint="cs"/>
          <w:rtl/>
        </w:rPr>
        <w:t>21 من الوثيقة</w:t>
      </w:r>
      <w:r>
        <w:rPr>
          <w:rFonts w:hint="eastAsia"/>
          <w:rtl/>
        </w:rPr>
        <w:t> </w:t>
      </w:r>
      <w:r w:rsidRPr="005F4F20">
        <w:t>WO/PBC/24/INF.3</w:t>
      </w:r>
      <w:r>
        <w:rPr>
          <w:rFonts w:hint="cs"/>
          <w:rtl/>
        </w:rPr>
        <w:t>، تتسم إيرادات الويبو بكل من العملات (الين الياباني واليورو والدولار الأمريكي) بعدم الانتظام وصعوبة التنبؤ بها. وإذا ما أبرم المكتب الدولي عقودا آجلة لبيع مبالغ محدّدة بكل عملة كل شهر، وحصَّل مبالغ غير كافية بعملة واحدة فقط من العملات الثلاث في الوقت المناسب لاستيفاء تاريخ العقد، فإن ذلك قد يُكبِّده خسائر محتملة من جراء الاضطرار إلى بيع الفرنك السويسري أو عملات أخرى للحصول على المبلغ اللازم بالين الياباني أو اليورو أو الدولار الأمريكي. ويمكنه، بالإضافة إلى ذلك، أن يتكبّد خسائر أو يجني أرباحا نتيجة الاحتفاظ بعملات غير الفرنك السويسري بمبالغ أكبر مما هو مطلوب. وظلّ المكتب الدولي، منذ نوفمبر</w:t>
      </w:r>
      <w:r>
        <w:rPr>
          <w:rFonts w:hint="eastAsia"/>
          <w:rtl/>
        </w:rPr>
        <w:t> </w:t>
      </w:r>
      <w:r>
        <w:rPr>
          <w:rFonts w:hint="cs"/>
          <w:rtl/>
        </w:rPr>
        <w:t>2015، يتتبّع بالتفصيل الإيرادات المحصّلة بالعملات بحسب تاريخ تحصيلها. وستُقارن تلك البيانات بالمعلومات المتعلقة بالثنائية</w:t>
      </w:r>
      <w:r>
        <w:rPr>
          <w:rFonts w:hint="eastAsia"/>
          <w:rtl/>
        </w:rPr>
        <w:t> </w:t>
      </w:r>
      <w:r>
        <w:rPr>
          <w:rFonts w:hint="cs"/>
          <w:rtl/>
        </w:rPr>
        <w:t>2014/15 لتمكين المكتب الدولي من تقدير المبلغ الذي يمكنه أن يلتزم ببيعه بكل عملة خلال كل شهر في حال قرّرت جمعية المعاهدة تنفيذ التحوّط.</w:t>
      </w:r>
    </w:p>
    <w:p w:rsidR="005D4DBE" w:rsidRDefault="005D4DBE" w:rsidP="005D4DBE">
      <w:pPr>
        <w:pStyle w:val="NumberedParaAR"/>
      </w:pPr>
      <w:r>
        <w:rPr>
          <w:rFonts w:hint="cs"/>
          <w:rtl/>
        </w:rPr>
        <w:t>وبالإضافة إلى ذلك، وكما أشير إليه في الوثيقة</w:t>
      </w:r>
      <w:r>
        <w:rPr>
          <w:rFonts w:hint="eastAsia"/>
          <w:rtl/>
        </w:rPr>
        <w:t> </w:t>
      </w:r>
      <w:r w:rsidRPr="009C7197">
        <w:t>WO/PBC/24/INF.3</w:t>
      </w:r>
      <w:r>
        <w:rPr>
          <w:rFonts w:hint="cs"/>
          <w:rtl/>
        </w:rPr>
        <w:t>، فإن إمكانية تنفيذ السياسة التحوّطية تعتمد على توافر مبالغ كافية بكل من العملات الثلاث من أجل تغطية المصروفات المتوقّعة بكل عملة. وللويبو كمية كبيرة من الخصوم التي يجب تسويتها بالدولار الأمريكي واليورو. وعليه لا يمكن أن تُحوّل كل الرسوم المحالة إلى الويبو بتلك العملات إلى الفرنك السويسري من خلال العقود الآجلة. وتشير الفقرة</w:t>
      </w:r>
      <w:r>
        <w:rPr>
          <w:rFonts w:hint="eastAsia"/>
          <w:rtl/>
        </w:rPr>
        <w:t> </w:t>
      </w:r>
      <w:r>
        <w:rPr>
          <w:rFonts w:hint="cs"/>
          <w:rtl/>
        </w:rPr>
        <w:t>12 من الوثيقة</w:t>
      </w:r>
      <w:r>
        <w:rPr>
          <w:rFonts w:hint="eastAsia"/>
          <w:rtl/>
        </w:rPr>
        <w:t> </w:t>
      </w:r>
      <w:r w:rsidRPr="001F56D3">
        <w:t>WO/PBC/24/INF.3</w:t>
      </w:r>
      <w:r>
        <w:rPr>
          <w:rFonts w:hint="cs"/>
          <w:rtl/>
        </w:rPr>
        <w:t xml:space="preserve"> إلى لزوم توظيف </w:t>
      </w:r>
      <w:r w:rsidRPr="001F56D3">
        <w:rPr>
          <w:rtl/>
        </w:rPr>
        <w:t>45</w:t>
      </w:r>
      <w:r>
        <w:rPr>
          <w:rFonts w:hint="cs"/>
          <w:rtl/>
        </w:rPr>
        <w:t> </w:t>
      </w:r>
      <w:r w:rsidRPr="001F56D3">
        <w:rPr>
          <w:rtl/>
        </w:rPr>
        <w:t>بالمائة من الإيرادات المحصّلة بالدولار الأمريكي</w:t>
      </w:r>
      <w:r>
        <w:rPr>
          <w:rFonts w:hint="cs"/>
          <w:rtl/>
        </w:rPr>
        <w:t xml:space="preserve"> و40</w:t>
      </w:r>
      <w:r w:rsidRPr="001F56D3">
        <w:rPr>
          <w:rFonts w:hint="eastAsia"/>
          <w:rtl/>
        </w:rPr>
        <w:t> </w:t>
      </w:r>
      <w:r w:rsidRPr="001F56D3">
        <w:rPr>
          <w:rFonts w:hint="cs"/>
          <w:rtl/>
        </w:rPr>
        <w:t xml:space="preserve">بالمائة من الإيرادات </w:t>
      </w:r>
      <w:r>
        <w:rPr>
          <w:rFonts w:hint="cs"/>
          <w:rtl/>
        </w:rPr>
        <w:t>المحصّلة باليورو لاستيفاء متطلبات الويبو التشغيلية في عام</w:t>
      </w:r>
      <w:r>
        <w:rPr>
          <w:rFonts w:hint="eastAsia"/>
          <w:rtl/>
        </w:rPr>
        <w:t> </w:t>
      </w:r>
      <w:r>
        <w:rPr>
          <w:rFonts w:hint="cs"/>
          <w:rtl/>
        </w:rPr>
        <w:t>2014 والجزء الأول من عام</w:t>
      </w:r>
      <w:r>
        <w:rPr>
          <w:rFonts w:hint="eastAsia"/>
          <w:rtl/>
        </w:rPr>
        <w:t> </w:t>
      </w:r>
      <w:r>
        <w:rPr>
          <w:rFonts w:hint="cs"/>
          <w:rtl/>
        </w:rPr>
        <w:t>2015. ويتواصل تتبّع تلك المتطلبات وستُستخدم نتائج ذلك التتبّع في تحديد الأثر على استراتيجية التحوّط.</w:t>
      </w:r>
    </w:p>
    <w:p w:rsidR="005D4DBE" w:rsidRPr="00E1473C" w:rsidRDefault="005D4DBE" w:rsidP="005D4DBE">
      <w:pPr>
        <w:pStyle w:val="NumberedParaAR"/>
        <w:keepNext/>
        <w:numPr>
          <w:ilvl w:val="0"/>
          <w:numId w:val="0"/>
        </w:numPr>
        <w:rPr>
          <w:u w:val="single"/>
        </w:rPr>
      </w:pPr>
      <w:r w:rsidRPr="00E1473C">
        <w:rPr>
          <w:rFonts w:hint="cs"/>
          <w:u w:val="single"/>
          <w:rtl/>
        </w:rPr>
        <w:t>تحديث بشأن الأثر على إيرادات المعاهدة</w:t>
      </w:r>
    </w:p>
    <w:p w:rsidR="005D4DBE" w:rsidRDefault="005D4DBE" w:rsidP="005D4DBE">
      <w:pPr>
        <w:pStyle w:val="NumberedParaAR"/>
      </w:pPr>
      <w:r>
        <w:rPr>
          <w:rFonts w:hint="cs"/>
          <w:rtl/>
        </w:rPr>
        <w:t>بموجب العملية الراهنة الخاصة بتحديد المبالغ المعادلة لرسوم المعاهدة، بإمكان المكتب الدولي أن يقوم، دوريا، بتسوية المبالغ المعادلة للرسوم المستحقة الدفع بعملات غير الفرنك السويسري بهدف إبقاء تلك المبالغ في مستوى متوافق مع مبالغ تلك الرسوم التي حدّدتها جمعية المعاهدة بالفرنك السويسري. ولكن ترتيبات التحوّط المقترحة ستسفر، كما ورد شرحه في الفقرة</w:t>
      </w:r>
      <w:r>
        <w:rPr>
          <w:rFonts w:hint="eastAsia"/>
          <w:rtl/>
        </w:rPr>
        <w:t> </w:t>
      </w:r>
      <w:r>
        <w:rPr>
          <w:rFonts w:hint="cs"/>
          <w:rtl/>
        </w:rPr>
        <w:t>5 أعلاه، عن تحديد مبلغ كل رسم مستحق الدفع بالدولار الأمريكي والين الياباني واليورو ليظلّ ثابتا لمدة 12</w:t>
      </w:r>
      <w:r>
        <w:rPr>
          <w:rFonts w:hint="eastAsia"/>
          <w:rtl/>
        </w:rPr>
        <w:t> </w:t>
      </w:r>
      <w:r>
        <w:rPr>
          <w:rFonts w:hint="cs"/>
          <w:rtl/>
        </w:rPr>
        <w:t>شهرا، استنادا إلى متوسط سعر الصرف الذي يُحدّد من خلال عقود الشراء الآجلة ويُرجَّح لبلورة المبلغ الذي ينبغي بيعه كل شهر (سعر التحوّط المختلط). وبالتالي ستفقد الويبو قدرتها على تعديل المبالغ المعادلة للرسوم خلال فترة التحوّط البالغة 12</w:t>
      </w:r>
      <w:r>
        <w:rPr>
          <w:rFonts w:hint="eastAsia"/>
          <w:rtl/>
        </w:rPr>
        <w:t> </w:t>
      </w:r>
      <w:r>
        <w:rPr>
          <w:rFonts w:hint="cs"/>
          <w:rtl/>
        </w:rPr>
        <w:t>شهرا.</w:t>
      </w:r>
    </w:p>
    <w:p w:rsidR="005D4DBE" w:rsidRDefault="005D4DBE" w:rsidP="005D4DBE">
      <w:pPr>
        <w:pStyle w:val="NumberedParaAR"/>
        <w:keepLines/>
      </w:pPr>
      <w:r>
        <w:rPr>
          <w:rFonts w:hint="cs"/>
          <w:rtl/>
        </w:rPr>
        <w:lastRenderedPageBreak/>
        <w:t>وقد شرع المكتب الدولي في تحليل الأثر الذي كان قد يحدثه النهج الجديد على مبلغ الإيرادات المتأتية من رسوم المعاهدة منذ نوفمبر</w:t>
      </w:r>
      <w:r>
        <w:rPr>
          <w:rFonts w:hint="eastAsia"/>
          <w:rtl/>
        </w:rPr>
        <w:t> </w:t>
      </w:r>
      <w:r>
        <w:rPr>
          <w:rFonts w:hint="cs"/>
          <w:rtl/>
        </w:rPr>
        <w:t>2015، وفي تقدير الأثر الذي كان قد ينجم عن النهج الجديد خلال الثنائية</w:t>
      </w:r>
      <w:r>
        <w:rPr>
          <w:rFonts w:hint="eastAsia"/>
          <w:rtl/>
        </w:rPr>
        <w:t> </w:t>
      </w:r>
      <w:r>
        <w:rPr>
          <w:rFonts w:hint="cs"/>
          <w:rtl/>
        </w:rPr>
        <w:t>2014/15. وسيكون ذلك التحليل أساسيا لتمكين الدول الأعضاء من فهم الأثر الذي قد تخلّفه استراتيجية التحوّط المتوخاة على الإيرادات المتأتية من رسوم المعاهدة ومن ثمّ على ميزانية المنظمة عموما.</w:t>
      </w:r>
    </w:p>
    <w:p w:rsidR="005D4DBE" w:rsidRPr="003B370C" w:rsidRDefault="005D4DBE" w:rsidP="005D4DBE">
      <w:pPr>
        <w:pStyle w:val="NumberedParaAR"/>
        <w:keepNext/>
        <w:numPr>
          <w:ilvl w:val="0"/>
          <w:numId w:val="0"/>
        </w:numPr>
        <w:rPr>
          <w:u w:val="single"/>
        </w:rPr>
      </w:pPr>
      <w:r w:rsidRPr="003B370C">
        <w:rPr>
          <w:rFonts w:hint="cs"/>
          <w:u w:val="single"/>
          <w:rtl/>
        </w:rPr>
        <w:t>وضع مصفوفة لتتبّع تسويات سعر الصرف بناء على المعايير المحاسبية الدولية للقطاع العام</w:t>
      </w:r>
    </w:p>
    <w:p w:rsidR="005D4DBE" w:rsidRDefault="005D4DBE" w:rsidP="005D4DBE">
      <w:pPr>
        <w:pStyle w:val="NumberedParaAR"/>
      </w:pPr>
      <w:r>
        <w:rPr>
          <w:rFonts w:hint="cs"/>
          <w:rtl/>
        </w:rPr>
        <w:t xml:space="preserve">تحدّد المعايير المحاسبية الدولية للقطاع العام قواعد مهمة بشأن الطريقة التي ينبغي اتباعها لقيد الأرباح والخسائر في بيانات الويبو المالية. وما يزيد استخدام تلك القواعد تعقيدا لزوم استعمال </w:t>
      </w:r>
      <w:r w:rsidRPr="003850C8">
        <w:rPr>
          <w:rFonts w:hint="cs"/>
          <w:rtl/>
        </w:rPr>
        <w:t>سعر الصرف المعمول به في الأمم المتحدة</w:t>
      </w:r>
      <w:r>
        <w:rPr>
          <w:rFonts w:hint="cs"/>
          <w:rtl/>
        </w:rPr>
        <w:t xml:space="preserve"> لتدوين معاملات بعملات غير الفرنك السويسري، لأن ذلك السعر</w:t>
      </w:r>
      <w:r w:rsidRPr="003850C8">
        <w:rPr>
          <w:rFonts w:hint="cs"/>
          <w:rtl/>
        </w:rPr>
        <w:t xml:space="preserve"> يُحدّد</w:t>
      </w:r>
      <w:r>
        <w:rPr>
          <w:rFonts w:hint="cs"/>
          <w:rtl/>
        </w:rPr>
        <w:t xml:space="preserve"> في بداية </w:t>
      </w:r>
      <w:r w:rsidRPr="003850C8">
        <w:rPr>
          <w:rFonts w:hint="cs"/>
          <w:rtl/>
        </w:rPr>
        <w:t xml:space="preserve">الشهر </w:t>
      </w:r>
      <w:r>
        <w:rPr>
          <w:rFonts w:hint="cs"/>
          <w:rtl/>
        </w:rPr>
        <w:t>أو في منتصفه بينما تُحدّد أسعار الصرف التي تستخدمها المصارف كل يوم وكثيرا ما تُحدّد عدة مرّات خلال اليوم. وينجم عن ذلك اختلافات بين أسعار الصرف المستخدمة في المصارف وسعر الصرف المعمول به في الأمم المتحدة يجب قيدها في الحسابات.</w:t>
      </w:r>
    </w:p>
    <w:p w:rsidR="005D4DBE" w:rsidRDefault="005D4DBE" w:rsidP="005D4DBE">
      <w:pPr>
        <w:pStyle w:val="NumberedParaAR"/>
      </w:pPr>
      <w:r>
        <w:rPr>
          <w:rFonts w:hint="cs"/>
          <w:rtl/>
        </w:rPr>
        <w:t>ووُضعت، بمساعدة مستشارين، مصفوفة لتمكين المكتب الدولي من أن يتتبّع، في جدول بيانات واحد، كل تسويات أسعار الصرف التي سيُشترط من المنظمة تدوينها في الحسابات، وأثرها على الإيرادات والمصروفات وقيمة الأصول والخصوم. والمكتب الدولي بصدد استعمال تلك المصفوفة لتتبّع التغيرات منذ نوفمبر</w:t>
      </w:r>
      <w:r>
        <w:rPr>
          <w:rFonts w:hint="eastAsia"/>
          <w:rtl/>
        </w:rPr>
        <w:t> </w:t>
      </w:r>
      <w:r>
        <w:rPr>
          <w:rFonts w:hint="cs"/>
          <w:rtl/>
        </w:rPr>
        <w:t>2015 ومن ثمّ سيتتبّع، بشكل استعادي، التسويات التي كان يلزم إدراجها لو كان المكتب الدولي انتهج التحوّط في الفترة من نوفمبر</w:t>
      </w:r>
      <w:r>
        <w:rPr>
          <w:rFonts w:hint="eastAsia"/>
          <w:rtl/>
        </w:rPr>
        <w:t> </w:t>
      </w:r>
      <w:r>
        <w:rPr>
          <w:rFonts w:hint="cs"/>
          <w:rtl/>
        </w:rPr>
        <w:t>2014 إلى أكتوبر</w:t>
      </w:r>
      <w:r>
        <w:rPr>
          <w:rFonts w:hint="eastAsia"/>
          <w:rtl/>
        </w:rPr>
        <w:t> </w:t>
      </w:r>
      <w:r>
        <w:rPr>
          <w:rFonts w:hint="cs"/>
          <w:rtl/>
        </w:rPr>
        <w:t>2015.</w:t>
      </w:r>
    </w:p>
    <w:p w:rsidR="005D4DBE" w:rsidRPr="001A3483" w:rsidRDefault="005D4DBE" w:rsidP="005D4DBE">
      <w:pPr>
        <w:pStyle w:val="NumberedParaAR"/>
        <w:keepNext/>
        <w:numPr>
          <w:ilvl w:val="0"/>
          <w:numId w:val="0"/>
        </w:numPr>
        <w:rPr>
          <w:u w:val="single"/>
          <w:rtl/>
        </w:rPr>
      </w:pPr>
      <w:r w:rsidRPr="001A3483">
        <w:rPr>
          <w:rFonts w:hint="cs"/>
          <w:u w:val="single"/>
          <w:rtl/>
        </w:rPr>
        <w:t>العمل المقبل</w:t>
      </w:r>
    </w:p>
    <w:p w:rsidR="005D4DBE" w:rsidRDefault="005D4DBE" w:rsidP="005D4DBE">
      <w:pPr>
        <w:pStyle w:val="NumberedParaAR"/>
      </w:pPr>
      <w:r>
        <w:rPr>
          <w:rFonts w:hint="cs"/>
          <w:rtl/>
        </w:rPr>
        <w:t>يعتزم المكتب الدولي الاستعانة بخدمات مستشار خارجي، قيد التوظيف حاليا، لمساعدته في جملة أمور منها في تنفيذ سياسة الويبو الجديدة الخاصة بالاستثمارات، ولمساعدته كذلك في قضايا تتعلق بصرف العملات الأجنبية وإمكانية انتهاج استراتيجية تحوّطية. واستُعرضت طلبات الترشّح ومن المتوقّع اختيار المستشار في مارس</w:t>
      </w:r>
      <w:r>
        <w:rPr>
          <w:rFonts w:hint="eastAsia"/>
          <w:rtl/>
        </w:rPr>
        <w:t> </w:t>
      </w:r>
      <w:r>
        <w:rPr>
          <w:rFonts w:hint="cs"/>
          <w:rtl/>
        </w:rPr>
        <w:t>2016.</w:t>
      </w:r>
    </w:p>
    <w:p w:rsidR="005D4DBE" w:rsidRDefault="005D4DBE" w:rsidP="005D4DBE">
      <w:pPr>
        <w:pStyle w:val="NumberedParaAR"/>
      </w:pPr>
      <w:r>
        <w:rPr>
          <w:rFonts w:hint="cs"/>
          <w:rtl/>
        </w:rPr>
        <w:t>وبمساعدة ذلك المستشار الخارجي، سيحلّل المكتب الدولي بدقة التنبؤات الخاصة بالتدفقات النقدية وأثر المبالغ المعادلة الثابتة على مبالغ رسوم المعاهدة بالعملات الثلاث. وسيراعى المكتب الدولي نتائج ذلك التحليل، والمعلومات المستقاة من محاكاة عقود الشراء الآجلة وتجارب تتبّع تسويات أسعار الصرف طبقا للقواعد المحدّدة في المعايير المحاسبية الدولية للقطاع العام، لدى تقديم اقتراح إلى الفريق العامل كي يناقشه في دورته لعام</w:t>
      </w:r>
      <w:r>
        <w:rPr>
          <w:rFonts w:hint="eastAsia"/>
          <w:rtl/>
        </w:rPr>
        <w:t> </w:t>
      </w:r>
      <w:r>
        <w:rPr>
          <w:rFonts w:hint="cs"/>
          <w:rtl/>
        </w:rPr>
        <w:t>2017 بشأن ما إذا كان ينبغي تنفيذ استراتيجية تحوّطية أم لا.</w:t>
      </w:r>
    </w:p>
    <w:p w:rsidR="005D4DBE" w:rsidRPr="00515347" w:rsidRDefault="005D4DBE" w:rsidP="005D4DBE">
      <w:pPr>
        <w:pStyle w:val="NormalParaAR"/>
        <w:keepNext/>
        <w:rPr>
          <w:b/>
          <w:bCs/>
          <w:sz w:val="40"/>
          <w:szCs w:val="40"/>
          <w:rtl/>
        </w:rPr>
      </w:pPr>
      <w:r w:rsidRPr="00515347">
        <w:rPr>
          <w:b/>
          <w:bCs/>
          <w:sz w:val="40"/>
          <w:szCs w:val="40"/>
          <w:rtl/>
        </w:rPr>
        <w:t>وضع "هيكل مقاصة " لإحالة رسوم</w:t>
      </w:r>
      <w:r w:rsidRPr="00515347">
        <w:rPr>
          <w:rFonts w:hint="cs"/>
          <w:b/>
          <w:bCs/>
          <w:sz w:val="40"/>
          <w:szCs w:val="40"/>
          <w:rtl/>
        </w:rPr>
        <w:t xml:space="preserve"> المعاهدة</w:t>
      </w:r>
    </w:p>
    <w:p w:rsidR="005D4DBE" w:rsidRPr="00515347" w:rsidRDefault="005D4DBE" w:rsidP="005D4DBE">
      <w:pPr>
        <w:pStyle w:val="NormalParaAR"/>
        <w:keepNext/>
        <w:rPr>
          <w:sz w:val="40"/>
          <w:szCs w:val="40"/>
          <w:rtl/>
        </w:rPr>
      </w:pPr>
      <w:r w:rsidRPr="00515347">
        <w:rPr>
          <w:rFonts w:hint="cs"/>
          <w:sz w:val="40"/>
          <w:szCs w:val="40"/>
          <w:rtl/>
        </w:rPr>
        <w:t>تعريف المقاصة</w:t>
      </w:r>
    </w:p>
    <w:p w:rsidR="005D4DBE" w:rsidRDefault="005D4DBE" w:rsidP="005D4DBE">
      <w:pPr>
        <w:pStyle w:val="NumberedParaAR"/>
      </w:pPr>
      <w:r w:rsidRPr="00D617F3">
        <w:rPr>
          <w:rFonts w:hint="cs"/>
          <w:rtl/>
        </w:rPr>
        <w:t>المقاصة</w:t>
      </w:r>
      <w:r w:rsidRPr="00D617F3">
        <w:rPr>
          <w:rtl/>
        </w:rPr>
        <w:t>" هي آلية تسوية ت</w:t>
      </w:r>
      <w:r>
        <w:rPr>
          <w:rFonts w:hint="cs"/>
          <w:rtl/>
        </w:rPr>
        <w:t>ُ</w:t>
      </w:r>
      <w:r w:rsidRPr="00D617F3">
        <w:rPr>
          <w:rtl/>
        </w:rPr>
        <w:t xml:space="preserve">ستخدم </w:t>
      </w:r>
      <w:r w:rsidRPr="00D617F3">
        <w:rPr>
          <w:rFonts w:hint="cs"/>
          <w:rtl/>
        </w:rPr>
        <w:t>للسماح ل</w:t>
      </w:r>
      <w:r w:rsidRPr="00D617F3">
        <w:rPr>
          <w:rtl/>
        </w:rPr>
        <w:t xml:space="preserve">قيمة </w:t>
      </w:r>
      <w:r w:rsidRPr="00D617F3">
        <w:rPr>
          <w:rFonts w:hint="cs"/>
          <w:rtl/>
        </w:rPr>
        <w:t>إيجابية</w:t>
      </w:r>
      <w:r w:rsidRPr="00D617F3">
        <w:rPr>
          <w:rtl/>
        </w:rPr>
        <w:t xml:space="preserve"> (</w:t>
      </w:r>
      <w:r w:rsidRPr="00D617F3">
        <w:rPr>
          <w:rFonts w:hint="cs"/>
          <w:rtl/>
        </w:rPr>
        <w:t>المدفوعات</w:t>
      </w:r>
      <w:r w:rsidRPr="00D617F3">
        <w:rPr>
          <w:rtl/>
        </w:rPr>
        <w:t>) وقيمة س</w:t>
      </w:r>
      <w:r w:rsidRPr="00D617F3">
        <w:rPr>
          <w:rFonts w:hint="cs"/>
          <w:rtl/>
        </w:rPr>
        <w:t>لبية</w:t>
      </w:r>
      <w:r w:rsidRPr="00D617F3">
        <w:rPr>
          <w:rtl/>
        </w:rPr>
        <w:t xml:space="preserve"> (</w:t>
      </w:r>
      <w:r w:rsidRPr="00D617F3">
        <w:rPr>
          <w:rFonts w:hint="cs"/>
          <w:rtl/>
        </w:rPr>
        <w:t>المقبوضات</w:t>
      </w:r>
      <w:r w:rsidRPr="00D617F3">
        <w:rPr>
          <w:rtl/>
        </w:rPr>
        <w:t>)</w:t>
      </w:r>
      <w:r w:rsidRPr="00D617F3">
        <w:rPr>
          <w:rFonts w:hint="cs"/>
          <w:rtl/>
        </w:rPr>
        <w:t xml:space="preserve"> بأن يعوض بعضهما البعض أو يلغي بعضهما البعض </w:t>
      </w:r>
      <w:r w:rsidRPr="00D617F3">
        <w:rPr>
          <w:rtl/>
        </w:rPr>
        <w:t>جزئيا أو كليا.</w:t>
      </w:r>
      <w:r w:rsidRPr="00D617F3">
        <w:rPr>
          <w:rFonts w:hint="cs"/>
          <w:rtl/>
        </w:rPr>
        <w:t xml:space="preserve"> و</w:t>
      </w:r>
      <w:r w:rsidRPr="00D617F3">
        <w:rPr>
          <w:rtl/>
        </w:rPr>
        <w:t>توح</w:t>
      </w:r>
      <w:r>
        <w:rPr>
          <w:rFonts w:hint="cs"/>
          <w:rtl/>
        </w:rPr>
        <w:t>ّ</w:t>
      </w:r>
      <w:r w:rsidRPr="00D617F3">
        <w:rPr>
          <w:rtl/>
        </w:rPr>
        <w:t>د عملية المقاصة جميع المعاملات بين المشاركين و</w:t>
      </w:r>
      <w:r w:rsidRPr="00D617F3">
        <w:rPr>
          <w:rFonts w:hint="cs"/>
          <w:rtl/>
        </w:rPr>
        <w:t>ت</w:t>
      </w:r>
      <w:r w:rsidRPr="00D617F3">
        <w:rPr>
          <w:rtl/>
        </w:rPr>
        <w:t>حسب التسوية بين</w:t>
      </w:r>
      <w:r w:rsidRPr="00D617F3">
        <w:rPr>
          <w:rFonts w:hint="cs"/>
          <w:rtl/>
        </w:rPr>
        <w:t>هم</w:t>
      </w:r>
      <w:r w:rsidRPr="00D617F3">
        <w:rPr>
          <w:rtl/>
        </w:rPr>
        <w:t xml:space="preserve"> على أساس</w:t>
      </w:r>
      <w:r w:rsidRPr="00D617F3">
        <w:rPr>
          <w:rFonts w:hint="cs"/>
          <w:rtl/>
        </w:rPr>
        <w:t xml:space="preserve"> الرصيد </w:t>
      </w:r>
      <w:r w:rsidRPr="00D617F3">
        <w:rPr>
          <w:rtl/>
        </w:rPr>
        <w:t xml:space="preserve">"الصافي"، </w:t>
      </w:r>
      <w:r w:rsidRPr="00D617F3">
        <w:rPr>
          <w:rFonts w:hint="cs"/>
          <w:rtl/>
        </w:rPr>
        <w:t>ويتم ذلك في العادة</w:t>
      </w:r>
      <w:r w:rsidRPr="00D617F3">
        <w:rPr>
          <w:rtl/>
        </w:rPr>
        <w:t xml:space="preserve"> عن طريق </w:t>
      </w:r>
      <w:r w:rsidRPr="00D617F3">
        <w:rPr>
          <w:rFonts w:hint="cs"/>
          <w:rtl/>
        </w:rPr>
        <w:t>ال</w:t>
      </w:r>
      <w:r w:rsidRPr="00D617F3">
        <w:rPr>
          <w:rtl/>
        </w:rPr>
        <w:t>دفع أو الاستلام</w:t>
      </w:r>
      <w:r w:rsidRPr="00D617F3">
        <w:rPr>
          <w:rFonts w:hint="cs"/>
          <w:rtl/>
        </w:rPr>
        <w:t xml:space="preserve"> دفعة واحدة</w:t>
      </w:r>
      <w:r w:rsidRPr="00D617F3">
        <w:rPr>
          <w:rtl/>
        </w:rPr>
        <w:t>. و</w:t>
      </w:r>
      <w:r w:rsidRPr="00D617F3">
        <w:rPr>
          <w:rFonts w:hint="cs"/>
          <w:rtl/>
        </w:rPr>
        <w:t xml:space="preserve">غالبا ما </w:t>
      </w:r>
      <w:r w:rsidRPr="00D617F3">
        <w:rPr>
          <w:rtl/>
        </w:rPr>
        <w:t xml:space="preserve">يستخدم نظام برمجيات </w:t>
      </w:r>
      <w:r w:rsidRPr="00D617F3">
        <w:rPr>
          <w:rFonts w:hint="cs"/>
          <w:rtl/>
        </w:rPr>
        <w:t>للمقاصة</w:t>
      </w:r>
      <w:r w:rsidRPr="00D617F3">
        <w:rPr>
          <w:rtl/>
        </w:rPr>
        <w:t xml:space="preserve"> </w:t>
      </w:r>
      <w:r w:rsidRPr="00D617F3">
        <w:rPr>
          <w:rFonts w:hint="cs"/>
          <w:rtl/>
        </w:rPr>
        <w:t>ل</w:t>
      </w:r>
      <w:r w:rsidRPr="00D617F3">
        <w:rPr>
          <w:rtl/>
        </w:rPr>
        <w:t xml:space="preserve">إدارة </w:t>
      </w:r>
      <w:r w:rsidRPr="00D617F3">
        <w:rPr>
          <w:rFonts w:hint="cs"/>
          <w:rtl/>
        </w:rPr>
        <w:t xml:space="preserve">آلية </w:t>
      </w:r>
      <w:r w:rsidRPr="00D617F3">
        <w:rPr>
          <w:rtl/>
        </w:rPr>
        <w:t>المقاصة.</w:t>
      </w:r>
    </w:p>
    <w:p w:rsidR="005D4DBE" w:rsidRDefault="005D4DBE" w:rsidP="005D4DBE">
      <w:pPr>
        <w:pStyle w:val="NumberedParaAR"/>
        <w:keepLines/>
      </w:pPr>
      <w:r>
        <w:rPr>
          <w:rFonts w:hint="cs"/>
          <w:rtl/>
        </w:rPr>
        <w:lastRenderedPageBreak/>
        <w:t xml:space="preserve">وستنطوي عملية المقاصة المحتمل تنفيذها بشأن رسوم المعاهدة على إحالة مكتب تسلم الطلبات لرسم الإيداع الدولي ورسم البحث من المودعين إلى المكتب الدولي. وسيُحيل المكتب الدولي رسم البحث بعد ذلك إلى إدارة البحث الدولي. وتُحال الرسوم من مكتب تسلم الطلبات، عموما، مرّة كل شهر في تاريخ محدّد، وبالعملة المحلية التي حُصّلت بها الرسوم إذا كانت تلك العملة قابلة للتحويل إلى الفرنك السويسري دون قيد أو شرط. وبالنسبة لمكتب تسلم الطلبات الذي يعمل أيضا بصفته إدارة للبحث الدولي، يكون الدفع، فيما يخص كل عملة، </w:t>
      </w:r>
      <w:r w:rsidRPr="00C43A17">
        <w:rPr>
          <w:rFonts w:hint="cs"/>
          <w:rtl/>
        </w:rPr>
        <w:t xml:space="preserve">عبارة عن الفرق بين </w:t>
      </w:r>
      <w:r>
        <w:rPr>
          <w:rFonts w:hint="cs"/>
          <w:rtl/>
        </w:rPr>
        <w:t>ال</w:t>
      </w:r>
      <w:r w:rsidRPr="00C43A17">
        <w:rPr>
          <w:rFonts w:hint="cs"/>
          <w:rtl/>
        </w:rPr>
        <w:t xml:space="preserve">مبلغ </w:t>
      </w:r>
      <w:r>
        <w:rPr>
          <w:rFonts w:hint="cs"/>
          <w:rtl/>
        </w:rPr>
        <w:t>الإجمالي ل</w:t>
      </w:r>
      <w:r w:rsidRPr="00C43A17">
        <w:rPr>
          <w:rtl/>
        </w:rPr>
        <w:t>رسوم الايداع الدولي</w:t>
      </w:r>
      <w:r>
        <w:rPr>
          <w:rFonts w:hint="cs"/>
          <w:rtl/>
        </w:rPr>
        <w:t xml:space="preserve"> المحصّلة بصفته مكتبا لتسلم الطلبات (والذي يكون مكتب تسلم الطلبات "مدينا" به للمكتب الدولي) والمبلغ الإجمالي لرسوم البحث المستحقة الدفع لإدارة البحث الدولي (والذي يكون المكتب الدولي "مدينا" به لإدارة البحث الدولي). وفي حال كان الرصيد الصافي مستحق الدفع لإدارة البحث الدولي بعملة ما، سيحيل المكتب الدولي المبلغ إلى تلك الإدارة بعد وقت قصير من تسلمه المبلغ المستحق الدفع من مكتب تسلم الطلبات مع المعلومات اللازمة عن المبلغ المدفوع. وبناء عليه ستتطلب إدارة "هيكل للمقاصة"، مع آلية مركزية لدفع رسوم المعاهدة، تحديد تواريخ دفع منتظمة بين المكتب الدولي والمكاتب المعنية. وتوفر الفقرات من</w:t>
      </w:r>
      <w:r>
        <w:rPr>
          <w:rFonts w:hint="eastAsia"/>
          <w:rtl/>
        </w:rPr>
        <w:t> </w:t>
      </w:r>
      <w:r>
        <w:rPr>
          <w:rFonts w:hint="cs"/>
          <w:rtl/>
        </w:rPr>
        <w:t>37 إلى</w:t>
      </w:r>
      <w:r>
        <w:rPr>
          <w:rFonts w:hint="eastAsia"/>
          <w:rtl/>
        </w:rPr>
        <w:t> </w:t>
      </w:r>
      <w:r>
        <w:rPr>
          <w:rFonts w:hint="cs"/>
          <w:rtl/>
        </w:rPr>
        <w:t>44 من المرفق الأول من الوثيقة</w:t>
      </w:r>
      <w:r>
        <w:rPr>
          <w:rFonts w:hint="eastAsia"/>
          <w:rtl/>
        </w:rPr>
        <w:t> </w:t>
      </w:r>
      <w:r w:rsidRPr="00005595">
        <w:t>PCT/WG/8/15</w:t>
      </w:r>
      <w:r>
        <w:rPr>
          <w:rFonts w:hint="cs"/>
          <w:rtl/>
        </w:rPr>
        <w:t xml:space="preserve"> مزيدا من المعلومات حول "المقاصة".</w:t>
      </w:r>
    </w:p>
    <w:p w:rsidR="005D4DBE" w:rsidRDefault="005D4DBE" w:rsidP="005D4DBE">
      <w:pPr>
        <w:pStyle w:val="NumberedParaAR"/>
      </w:pPr>
      <w:r>
        <w:rPr>
          <w:rFonts w:hint="cs"/>
          <w:rtl/>
        </w:rPr>
        <w:t>وفي ظلّ "هيكل المقاصة" المتوخى، لن يصبح ضروريا استخدام الإجراء المنصوص عليه في القاعدة</w:t>
      </w:r>
      <w:r>
        <w:rPr>
          <w:rFonts w:hint="eastAsia"/>
          <w:rtl/>
        </w:rPr>
        <w:t> </w:t>
      </w:r>
      <w:r>
        <w:rPr>
          <w:rFonts w:hint="cs"/>
          <w:rtl/>
        </w:rPr>
        <w:t>1.16(ه)، لأن إدارة البحث الدولي ستحصّل دوما المبلغ الكامل لرسم البحث بالعملة التي حدّدتها.</w:t>
      </w:r>
    </w:p>
    <w:p w:rsidR="005D4DBE" w:rsidRPr="00D617F3" w:rsidRDefault="005D4DBE" w:rsidP="005D4DBE">
      <w:pPr>
        <w:pStyle w:val="NormalParaAR"/>
        <w:keepNext/>
        <w:rPr>
          <w:sz w:val="40"/>
          <w:szCs w:val="40"/>
          <w:rtl/>
        </w:rPr>
      </w:pPr>
      <w:r w:rsidRPr="00D617F3">
        <w:rPr>
          <w:rFonts w:hint="cs"/>
          <w:sz w:val="40"/>
          <w:szCs w:val="40"/>
          <w:rtl/>
        </w:rPr>
        <w:t>المناقشات التي أجراها الفريق العامل</w:t>
      </w:r>
    </w:p>
    <w:p w:rsidR="005D4DBE" w:rsidRDefault="005D4DBE" w:rsidP="005D4DBE">
      <w:pPr>
        <w:pStyle w:val="NumberedParaAR"/>
      </w:pPr>
      <w:r>
        <w:rPr>
          <w:rFonts w:hint="cs"/>
          <w:rtl/>
        </w:rPr>
        <w:t>كما هو مبيّن في الفقرة</w:t>
      </w:r>
      <w:r>
        <w:rPr>
          <w:rFonts w:hint="eastAsia"/>
          <w:rtl/>
        </w:rPr>
        <w:t> </w:t>
      </w:r>
      <w:r>
        <w:rPr>
          <w:rFonts w:hint="cs"/>
          <w:rtl/>
        </w:rPr>
        <w:t>13 من الوثيقة</w:t>
      </w:r>
      <w:r>
        <w:rPr>
          <w:rFonts w:hint="eastAsia"/>
          <w:rtl/>
        </w:rPr>
        <w:t> </w:t>
      </w:r>
      <w:r w:rsidRPr="00BE1B88">
        <w:t>PCT/WG/8/15</w:t>
      </w:r>
      <w:r>
        <w:rPr>
          <w:rFonts w:hint="cs"/>
          <w:rtl/>
        </w:rPr>
        <w:t xml:space="preserve"> المُقدمة إلى الفريق العامل في دورته الثامنة المعقودة في مايو</w:t>
      </w:r>
      <w:r>
        <w:rPr>
          <w:rFonts w:hint="eastAsia"/>
          <w:rtl/>
        </w:rPr>
        <w:t> </w:t>
      </w:r>
      <w:r>
        <w:rPr>
          <w:rFonts w:hint="cs"/>
          <w:rtl/>
        </w:rPr>
        <w:t>2015، أشار المكتب الدولي إلى أنه س</w:t>
      </w:r>
      <w:r w:rsidRPr="00BE1B88">
        <w:rPr>
          <w:rFonts w:hint="cs"/>
          <w:rtl/>
        </w:rPr>
        <w:t xml:space="preserve">يواصل تطوير الاقتراح كي يشمل "هيكل مقاصة" لجميع المعاملات الخاصة برسوم معاهدة البراءات المنجزة بين مكاتب تسلم الطلبات وإدارات البحث الدولي والمكتب الدولي، مع مراعاة </w:t>
      </w:r>
      <w:r>
        <w:rPr>
          <w:rFonts w:hint="cs"/>
          <w:rtl/>
        </w:rPr>
        <w:t>التعليقات المُقدمة</w:t>
      </w:r>
      <w:r w:rsidRPr="00BE1B88">
        <w:rPr>
          <w:rFonts w:hint="cs"/>
          <w:rtl/>
        </w:rPr>
        <w:t xml:space="preserve"> في الرد على التعميم</w:t>
      </w:r>
      <w:r>
        <w:rPr>
          <w:rFonts w:hint="cs"/>
          <w:rtl/>
        </w:rPr>
        <w:t xml:space="preserve"> </w:t>
      </w:r>
      <w:r w:rsidRPr="00BE1B88">
        <w:t>C. PCT 1440</w:t>
      </w:r>
      <w:r w:rsidRPr="00BE1B88">
        <w:rPr>
          <w:rFonts w:hint="cs"/>
          <w:rtl/>
        </w:rPr>
        <w:t>، بهدف عرض اقتراح مفصّل على الفريق العامل ليناقشه في دورته المقبلة في عام</w:t>
      </w:r>
      <w:r w:rsidRPr="00BE1B88">
        <w:rPr>
          <w:rFonts w:hint="eastAsia"/>
          <w:rtl/>
        </w:rPr>
        <w:t> </w:t>
      </w:r>
      <w:r w:rsidRPr="00BE1B88">
        <w:rPr>
          <w:rFonts w:hint="cs"/>
          <w:rtl/>
        </w:rPr>
        <w:t>2016.</w:t>
      </w:r>
      <w:r>
        <w:rPr>
          <w:rFonts w:hint="cs"/>
          <w:rtl/>
        </w:rPr>
        <w:t xml:space="preserve"> ويرد موجز المناقشات التي جرت حول قضية "المقاصة" في الدورة الثامنة للفريق العامل في الفقرات من</w:t>
      </w:r>
      <w:r>
        <w:rPr>
          <w:rFonts w:hint="eastAsia"/>
          <w:rtl/>
        </w:rPr>
        <w:t> </w:t>
      </w:r>
      <w:r>
        <w:rPr>
          <w:rFonts w:hint="cs"/>
          <w:rtl/>
        </w:rPr>
        <w:t>32 إلى 34 من ملخص الرئيس (الوثيقة</w:t>
      </w:r>
      <w:r>
        <w:rPr>
          <w:rFonts w:hint="eastAsia"/>
          <w:rtl/>
        </w:rPr>
        <w:t> </w:t>
      </w:r>
      <w:r w:rsidRPr="00BE1B88">
        <w:t>PCT/WG/8/25</w:t>
      </w:r>
      <w:r>
        <w:rPr>
          <w:rFonts w:hint="cs"/>
          <w:rtl/>
        </w:rPr>
        <w:t>):</w:t>
      </w:r>
    </w:p>
    <w:p w:rsidR="005D4DBE" w:rsidRDefault="005D4DBE" w:rsidP="005D4DBE">
      <w:pPr>
        <w:pStyle w:val="NormalParaAR"/>
        <w:ind w:left="566"/>
        <w:rPr>
          <w:rtl/>
        </w:rPr>
      </w:pPr>
      <w:r>
        <w:rPr>
          <w:rFonts w:hint="cs"/>
          <w:rtl/>
        </w:rPr>
        <w:t>"32</w:t>
      </w:r>
      <w:r>
        <w:rPr>
          <w:rtl/>
        </w:rPr>
        <w:t>.</w:t>
      </w:r>
      <w:r>
        <w:rPr>
          <w:rtl/>
        </w:rPr>
        <w:tab/>
        <w:t>وأعرب العديد من الوفود عن تأييده عموما لاقتراح الانتقال إلى "هيكل مقاصة" لجميع المعاملات الخاصة بالرسوم المتأتية من معاهدة التعاون بشأن البراءات بين مكاتب تسلم الطلبات وإدارات البحث الدولي والمكتب الدولي، وقالت إنها يلزمها المزيد من المعلومات كي تتمكن من البت في المسألة.</w:t>
      </w:r>
    </w:p>
    <w:p w:rsidR="005D4DBE" w:rsidRDefault="005D4DBE" w:rsidP="005D4DBE">
      <w:pPr>
        <w:pStyle w:val="NormalParaAR"/>
        <w:ind w:left="566"/>
        <w:rPr>
          <w:rtl/>
        </w:rPr>
      </w:pPr>
      <w:r>
        <w:rPr>
          <w:rFonts w:hint="cs"/>
          <w:rtl/>
        </w:rPr>
        <w:t>"33</w:t>
      </w:r>
      <w:r>
        <w:rPr>
          <w:rtl/>
        </w:rPr>
        <w:t>.</w:t>
      </w:r>
      <w:r>
        <w:rPr>
          <w:rtl/>
        </w:rPr>
        <w:tab/>
        <w:t>وقال وفد من الوفود إنه لا يستطيع أن يؤيد اقتراح المقاصة، لقلقه من أن يتسبب ذلك في فرض أعمال إضافية على مكاتب تسلم الطلبات.</w:t>
      </w:r>
    </w:p>
    <w:p w:rsidR="005D4DBE" w:rsidRDefault="005D4DBE" w:rsidP="005D4DBE">
      <w:pPr>
        <w:pStyle w:val="NormalParaAR"/>
        <w:ind w:left="566"/>
        <w:rPr>
          <w:rtl/>
        </w:rPr>
      </w:pPr>
      <w:r>
        <w:rPr>
          <w:rFonts w:hint="cs"/>
          <w:rtl/>
        </w:rPr>
        <w:t>"34</w:t>
      </w:r>
      <w:r>
        <w:rPr>
          <w:rtl/>
        </w:rPr>
        <w:t>.</w:t>
      </w:r>
      <w:r>
        <w:rPr>
          <w:rtl/>
        </w:rPr>
        <w:tab/>
        <w:t>وأعرب وفد من الوفود عن أمله في إمكانية تنفيذ هيكل المقاصة بسرعة، مستشهدا بتجاربه الإيجابية، بصفته إدارة بحث دولي، في تنفيذ مشروع تجريبي في الوقت الراهن حصل في إطاره على رسوم البحث من مكتب لتسلم الطلبات "عبر" المكتب الدولي. وقال الوفد أيضا إنه يتوقع تحقيق أقصى فائدة إذا جُمع هيكل المقاصة المذكور بتحويل نسخ البحث إلكترونيا من مكاتب تسلم الطلبات إلى إدارات البحث الدولي "عبر" المكتب الدولي (</w:t>
      </w:r>
      <w:proofErr w:type="spellStart"/>
      <w:r>
        <w:t>eSearchCopy</w:t>
      </w:r>
      <w:proofErr w:type="spellEnd"/>
      <w:r>
        <w:rPr>
          <w:rtl/>
        </w:rPr>
        <w:t>).</w:t>
      </w:r>
      <w:r>
        <w:rPr>
          <w:rFonts w:hint="cs"/>
          <w:rtl/>
        </w:rPr>
        <w:t>"</w:t>
      </w:r>
    </w:p>
    <w:p w:rsidR="005D4DBE" w:rsidRPr="00B121E5" w:rsidRDefault="005D4DBE" w:rsidP="005D4DBE">
      <w:pPr>
        <w:pStyle w:val="NormalParaAR"/>
        <w:keepNext/>
        <w:rPr>
          <w:sz w:val="40"/>
          <w:szCs w:val="40"/>
          <w:rtl/>
        </w:rPr>
      </w:pPr>
      <w:r w:rsidRPr="00B121E5">
        <w:rPr>
          <w:rFonts w:hint="cs"/>
          <w:sz w:val="40"/>
          <w:szCs w:val="40"/>
          <w:rtl/>
        </w:rPr>
        <w:lastRenderedPageBreak/>
        <w:t>تحديث</w:t>
      </w:r>
    </w:p>
    <w:p w:rsidR="005D4DBE" w:rsidRDefault="005D4DBE" w:rsidP="005D4DBE">
      <w:pPr>
        <w:pStyle w:val="NumberedParaAR"/>
      </w:pPr>
      <w:r>
        <w:rPr>
          <w:rFonts w:hint="cs"/>
          <w:rtl/>
        </w:rPr>
        <w:t>ظلّ التقدم المحتمل إحرازه في إمكانية تنفيذ "هيكل مقاصة" معلّقا في انتظار توظيف المستشار المذكور في الفقرة</w:t>
      </w:r>
      <w:r>
        <w:rPr>
          <w:rFonts w:hint="eastAsia"/>
          <w:rtl/>
        </w:rPr>
        <w:t> </w:t>
      </w:r>
      <w:r>
        <w:rPr>
          <w:rFonts w:hint="cs"/>
          <w:rtl/>
        </w:rPr>
        <w:t>17 أعلاه، والذي ستشمل تكليفاته إجراء تحليل مفصّل حول إمكانية وضع "هيكل مقاصة" ل</w:t>
      </w:r>
      <w:r w:rsidRPr="00892769">
        <w:rPr>
          <w:rFonts w:hint="cs"/>
          <w:rtl/>
        </w:rPr>
        <w:t>جميع المعاملات الخاصة برسوم معاهدة البراءات المنجزة بين مكاتب تسلم الطلبات وإدارات البحث الدولي والمكتب الدولي</w:t>
      </w:r>
      <w:r>
        <w:rPr>
          <w:rFonts w:hint="cs"/>
          <w:rtl/>
        </w:rPr>
        <w:t>.</w:t>
      </w:r>
    </w:p>
    <w:p w:rsidR="005D4DBE" w:rsidRDefault="005D4DBE" w:rsidP="005D4DBE">
      <w:pPr>
        <w:pStyle w:val="NumberedParaAR"/>
      </w:pPr>
      <w:r>
        <w:rPr>
          <w:rFonts w:hint="cs"/>
          <w:rtl/>
        </w:rPr>
        <w:t>وسيراعي المكتب الدولي نتائج ذلك التحليل عند تقديم اقتراح إلى الفريق العامل كي يناقشه في دورته لعام</w:t>
      </w:r>
      <w:r>
        <w:rPr>
          <w:rFonts w:hint="eastAsia"/>
          <w:rtl/>
        </w:rPr>
        <w:t> </w:t>
      </w:r>
      <w:r>
        <w:rPr>
          <w:rFonts w:hint="cs"/>
          <w:rtl/>
        </w:rPr>
        <w:t>2017 بشأن ما إذا كان ينبغي تنفيذ هيكل مقاصة أم لا.</w:t>
      </w:r>
    </w:p>
    <w:p w:rsidR="005D4DBE" w:rsidRDefault="005D4DBE" w:rsidP="005D4DBE">
      <w:pPr>
        <w:pStyle w:val="DecisionParaAR"/>
        <w:spacing w:after="480"/>
      </w:pPr>
      <w:r>
        <w:rPr>
          <w:rFonts w:hint="cs"/>
          <w:rtl/>
        </w:rPr>
        <w:t>إن الفريق العامل مدعو</w:t>
      </w:r>
      <w:r>
        <w:rPr>
          <w:rtl/>
        </w:rPr>
        <w:t>ٌ</w:t>
      </w:r>
      <w:r>
        <w:rPr>
          <w:rFonts w:hint="cs"/>
          <w:rtl/>
        </w:rPr>
        <w:t xml:space="preserve"> إلى الإحاطة علما بمضمون هذه الوثيقة.</w:t>
      </w:r>
    </w:p>
    <w:p w:rsidR="007B3BDF" w:rsidRPr="00515347" w:rsidRDefault="007B3BDF" w:rsidP="007B3BDF">
      <w:pPr>
        <w:pStyle w:val="EndofDocumentAR"/>
        <w:rPr>
          <w:rtl/>
        </w:rPr>
      </w:pPr>
      <w:r>
        <w:rPr>
          <w:rFonts w:hint="cs"/>
          <w:rtl/>
        </w:rPr>
        <w:t>[نهاية المرفق والوثيقة]</w:t>
      </w:r>
    </w:p>
    <w:sectPr w:rsidR="007B3BDF" w:rsidRPr="00515347" w:rsidSect="00B153DF">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95D" w:rsidRDefault="0043795D">
      <w:r>
        <w:separator/>
      </w:r>
    </w:p>
  </w:endnote>
  <w:endnote w:type="continuationSeparator" w:id="0">
    <w:p w:rsidR="0043795D" w:rsidRDefault="00437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Segoe UI Semilight"/>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95D" w:rsidRDefault="0043795D" w:rsidP="009622BF">
      <w:pPr>
        <w:bidi/>
      </w:pPr>
      <w:bookmarkStart w:id="0" w:name="OLE_LINK1"/>
      <w:bookmarkStart w:id="1" w:name="OLE_LINK2"/>
      <w:r>
        <w:separator/>
      </w:r>
      <w:bookmarkEnd w:id="0"/>
      <w:bookmarkEnd w:id="1"/>
    </w:p>
  </w:footnote>
  <w:footnote w:type="continuationSeparator" w:id="0">
    <w:p w:rsidR="0043795D" w:rsidRDefault="0043795D"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9D" w:rsidRPr="00D01BD8" w:rsidRDefault="0058639D" w:rsidP="00D01BD8">
    <w:pPr>
      <w:spacing w:after="0" w:line="240" w:lineRule="auto"/>
      <w:rPr>
        <w:rFonts w:ascii="Arial" w:eastAsia="Times New Roman" w:hAnsi="Arial" w:cs="Arial"/>
        <w:szCs w:val="20"/>
      </w:rPr>
    </w:pPr>
    <w:r w:rsidRPr="00D01BD8">
      <w:rPr>
        <w:rFonts w:ascii="Arial" w:eastAsia="Times New Roman" w:hAnsi="Arial" w:cs="Arial"/>
        <w:szCs w:val="20"/>
      </w:rPr>
      <w:t>WO/PBC/25/20</w:t>
    </w:r>
  </w:p>
  <w:p w:rsidR="0058639D" w:rsidRPr="00D01BD8" w:rsidRDefault="0058639D" w:rsidP="00D01BD8">
    <w:pPr>
      <w:spacing w:after="0" w:line="240" w:lineRule="auto"/>
      <w:rPr>
        <w:rFonts w:ascii="Arial" w:eastAsia="Times New Roman" w:hAnsi="Arial" w:cs="Arial"/>
        <w:noProof/>
        <w:szCs w:val="20"/>
      </w:rPr>
    </w:pPr>
    <w:r w:rsidRPr="00D01BD8">
      <w:rPr>
        <w:rFonts w:ascii="Arial" w:eastAsia="Times New Roman" w:hAnsi="Arial" w:cs="Arial"/>
        <w:noProof/>
        <w:szCs w:val="20"/>
      </w:rPr>
      <w:fldChar w:fldCharType="begin"/>
    </w:r>
    <w:r w:rsidRPr="00D01BD8">
      <w:rPr>
        <w:rFonts w:ascii="Arial" w:eastAsia="Times New Roman" w:hAnsi="Arial" w:cs="Arial"/>
        <w:noProof/>
        <w:szCs w:val="20"/>
      </w:rPr>
      <w:instrText xml:space="preserve"> PAGE  \* MERGEFORMAT </w:instrText>
    </w:r>
    <w:r w:rsidRPr="00D01BD8">
      <w:rPr>
        <w:rFonts w:ascii="Arial" w:eastAsia="Times New Roman" w:hAnsi="Arial" w:cs="Arial"/>
        <w:noProof/>
        <w:szCs w:val="20"/>
      </w:rPr>
      <w:fldChar w:fldCharType="separate"/>
    </w:r>
    <w:r w:rsidR="00175406">
      <w:rPr>
        <w:rFonts w:ascii="Arial" w:eastAsia="Times New Roman" w:hAnsi="Arial" w:cs="Arial"/>
        <w:noProof/>
        <w:szCs w:val="20"/>
      </w:rPr>
      <w:t>9</w:t>
    </w:r>
    <w:r w:rsidRPr="00D01BD8">
      <w:rPr>
        <w:rFonts w:ascii="Arial" w:eastAsia="Times New Roman" w:hAnsi="Arial" w:cs="Arial"/>
        <w:noProof/>
        <w:szCs w:val="20"/>
      </w:rPr>
      <w:fldChar w:fldCharType="end"/>
    </w:r>
  </w:p>
  <w:p w:rsidR="0058639D" w:rsidRPr="00D01BD8" w:rsidRDefault="0058639D" w:rsidP="00D01BD8">
    <w:pPr>
      <w:spacing w:after="0" w:line="240" w:lineRule="auto"/>
      <w:rPr>
        <w:rFonts w:ascii="Arial" w:eastAsia="Times New Roman" w:hAnsi="Arial" w:cs="Arial"/>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9D" w:rsidRPr="00B153DF" w:rsidRDefault="0058639D" w:rsidP="00B153DF">
    <w:pPr>
      <w:spacing w:after="0" w:line="240" w:lineRule="auto"/>
      <w:rPr>
        <w:rFonts w:ascii="Arial" w:eastAsia="Times New Roman" w:hAnsi="Arial" w:cs="Arial"/>
        <w:szCs w:val="20"/>
      </w:rPr>
    </w:pPr>
    <w:r w:rsidRPr="00B153DF">
      <w:rPr>
        <w:rFonts w:ascii="Arial" w:eastAsia="Times New Roman" w:hAnsi="Arial" w:cs="Arial"/>
        <w:szCs w:val="20"/>
      </w:rPr>
      <w:t>WO/PBC/25/20</w:t>
    </w:r>
  </w:p>
  <w:p w:rsidR="0058639D" w:rsidRPr="00B153DF" w:rsidRDefault="0058639D" w:rsidP="00B153DF">
    <w:pPr>
      <w:spacing w:after="0" w:line="240" w:lineRule="auto"/>
      <w:rPr>
        <w:rFonts w:ascii="Arial" w:eastAsia="Times New Roman" w:hAnsi="Arial" w:cs="Arial"/>
        <w:szCs w:val="20"/>
      </w:rPr>
    </w:pPr>
    <w:r w:rsidRPr="00B153DF">
      <w:rPr>
        <w:rFonts w:ascii="Arial" w:eastAsia="Times New Roman" w:hAnsi="Arial" w:cs="Arial"/>
        <w:szCs w:val="20"/>
      </w:rPr>
      <w:t>Annex</w:t>
    </w:r>
  </w:p>
  <w:p w:rsidR="0058639D" w:rsidRPr="00B153DF" w:rsidRDefault="0058639D" w:rsidP="00B153DF">
    <w:pPr>
      <w:spacing w:after="0" w:line="240" w:lineRule="auto"/>
      <w:rPr>
        <w:rFonts w:ascii="Arial" w:eastAsia="Times New Roman" w:hAnsi="Arial" w:cs="Arial"/>
        <w:szCs w:val="20"/>
      </w:rPr>
    </w:pPr>
    <w:r w:rsidRPr="00B153DF">
      <w:rPr>
        <w:rFonts w:ascii="Arial" w:eastAsia="Times New Roman" w:hAnsi="Arial" w:cs="Arial"/>
        <w:szCs w:val="20"/>
      </w:rPr>
      <w:fldChar w:fldCharType="begin"/>
    </w:r>
    <w:r w:rsidRPr="00B153DF">
      <w:rPr>
        <w:rFonts w:ascii="Arial" w:eastAsia="Times New Roman" w:hAnsi="Arial" w:cs="Arial"/>
        <w:szCs w:val="20"/>
      </w:rPr>
      <w:instrText xml:space="preserve"> PAGE  \* MERGEFORMAT </w:instrText>
    </w:r>
    <w:r w:rsidRPr="00B153DF">
      <w:rPr>
        <w:rFonts w:ascii="Arial" w:eastAsia="Times New Roman" w:hAnsi="Arial" w:cs="Arial"/>
        <w:szCs w:val="20"/>
      </w:rPr>
      <w:fldChar w:fldCharType="separate"/>
    </w:r>
    <w:r w:rsidR="00175406">
      <w:rPr>
        <w:rFonts w:ascii="Arial" w:eastAsia="Times New Roman" w:hAnsi="Arial" w:cs="Arial"/>
        <w:noProof/>
        <w:szCs w:val="20"/>
      </w:rPr>
      <w:t>7</w:t>
    </w:r>
    <w:r w:rsidRPr="00B153DF">
      <w:rPr>
        <w:rFonts w:ascii="Arial" w:eastAsia="Times New Roman" w:hAnsi="Arial" w:cs="Arial"/>
        <w:szCs w:val="20"/>
      </w:rPr>
      <w:fldChar w:fldCharType="end"/>
    </w:r>
  </w:p>
  <w:p w:rsidR="0058639D" w:rsidRPr="00B153DF" w:rsidRDefault="0058639D" w:rsidP="00B153DF">
    <w:pPr>
      <w:spacing w:after="0" w:line="240" w:lineRule="auto"/>
      <w:rPr>
        <w:rFonts w:ascii="Arial" w:eastAsia="Times New Roman" w:hAnsi="Arial" w:cs="Arial"/>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39D" w:rsidRPr="003E25F6" w:rsidRDefault="0058639D" w:rsidP="003E25F6">
    <w:pPr>
      <w:spacing w:after="0" w:line="240" w:lineRule="auto"/>
      <w:rPr>
        <w:rFonts w:ascii="Arial" w:eastAsia="Times New Roman" w:hAnsi="Arial" w:cs="Arial"/>
        <w:szCs w:val="20"/>
      </w:rPr>
    </w:pPr>
    <w:r w:rsidRPr="003E25F6">
      <w:rPr>
        <w:rFonts w:ascii="Arial" w:eastAsia="Times New Roman" w:hAnsi="Arial" w:cs="Arial"/>
        <w:szCs w:val="20"/>
      </w:rPr>
      <w:t>WO/PBC/25/20</w:t>
    </w:r>
  </w:p>
  <w:p w:rsidR="0058639D" w:rsidRPr="003E25F6" w:rsidRDefault="0058639D" w:rsidP="003E25F6">
    <w:pPr>
      <w:spacing w:after="0" w:line="240" w:lineRule="auto"/>
      <w:rPr>
        <w:rFonts w:ascii="Arial" w:eastAsia="Times New Roman" w:hAnsi="Arial" w:cs="Arial"/>
        <w:szCs w:val="20"/>
        <w:rtl/>
      </w:rPr>
    </w:pPr>
    <w:r w:rsidRPr="003E25F6">
      <w:rPr>
        <w:rFonts w:ascii="Arial" w:eastAsia="Times New Roman" w:hAnsi="Arial" w:cs="Arial"/>
        <w:szCs w:val="20"/>
      </w:rPr>
      <w:t>ANNEX</w:t>
    </w:r>
  </w:p>
  <w:p w:rsidR="0058639D" w:rsidRDefault="0058639D" w:rsidP="003E25F6">
    <w:pPr>
      <w:spacing w:after="0"/>
      <w:rPr>
        <w:rFonts w:ascii="Arabic Typesetting" w:hAnsi="Arabic Typesetting" w:cs="Arabic Typesetting"/>
        <w:sz w:val="36"/>
        <w:szCs w:val="36"/>
      </w:rPr>
    </w:pPr>
    <w:r w:rsidRPr="007B3BDF">
      <w:rPr>
        <w:rFonts w:ascii="Arabic Typesetting" w:hAnsi="Arabic Typesetting" w:cs="Arabic Typesetting"/>
        <w:sz w:val="36"/>
        <w:szCs w:val="36"/>
        <w:rtl/>
      </w:rPr>
      <w:t>المرفق</w:t>
    </w:r>
  </w:p>
  <w:p w:rsidR="0058639D" w:rsidRPr="003E25F6" w:rsidRDefault="0058639D" w:rsidP="003E25F6">
    <w:pPr>
      <w:spacing w:after="0" w:line="240" w:lineRule="auto"/>
      <w:rPr>
        <w:rFonts w:ascii="Arial" w:eastAsia="Times New Roman" w:hAnsi="Arial" w:cs="Arial"/>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BD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5C24"/>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8F8"/>
    <w:rsid w:val="00055FA2"/>
    <w:rsid w:val="000571DD"/>
    <w:rsid w:val="00061FF5"/>
    <w:rsid w:val="00062502"/>
    <w:rsid w:val="00063C91"/>
    <w:rsid w:val="000640E7"/>
    <w:rsid w:val="00066DC7"/>
    <w:rsid w:val="0006794A"/>
    <w:rsid w:val="00067F31"/>
    <w:rsid w:val="00071138"/>
    <w:rsid w:val="000717BF"/>
    <w:rsid w:val="00073402"/>
    <w:rsid w:val="000746EC"/>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013E"/>
    <w:rsid w:val="000A1241"/>
    <w:rsid w:val="000A12BC"/>
    <w:rsid w:val="000A1306"/>
    <w:rsid w:val="000A1521"/>
    <w:rsid w:val="000A2FC1"/>
    <w:rsid w:val="000A3A57"/>
    <w:rsid w:val="000A5408"/>
    <w:rsid w:val="000A6510"/>
    <w:rsid w:val="000B0A0F"/>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22D"/>
    <w:rsid w:val="000D0C07"/>
    <w:rsid w:val="000D0C7C"/>
    <w:rsid w:val="000D1A1D"/>
    <w:rsid w:val="000D5FB7"/>
    <w:rsid w:val="000E06A5"/>
    <w:rsid w:val="000E12CE"/>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1062"/>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6E19"/>
    <w:rsid w:val="001376B6"/>
    <w:rsid w:val="00140A35"/>
    <w:rsid w:val="00142F4D"/>
    <w:rsid w:val="00143428"/>
    <w:rsid w:val="0014412C"/>
    <w:rsid w:val="0014429C"/>
    <w:rsid w:val="00144713"/>
    <w:rsid w:val="00144CC3"/>
    <w:rsid w:val="00145FD6"/>
    <w:rsid w:val="0015009D"/>
    <w:rsid w:val="00151493"/>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06"/>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06C"/>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667"/>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1B7"/>
    <w:rsid w:val="002A6C9F"/>
    <w:rsid w:val="002A77F3"/>
    <w:rsid w:val="002B14F0"/>
    <w:rsid w:val="002B1F0F"/>
    <w:rsid w:val="002B53D3"/>
    <w:rsid w:val="002B6202"/>
    <w:rsid w:val="002C014C"/>
    <w:rsid w:val="002C060C"/>
    <w:rsid w:val="002C0BA6"/>
    <w:rsid w:val="002C12A7"/>
    <w:rsid w:val="002C2B6F"/>
    <w:rsid w:val="002C314F"/>
    <w:rsid w:val="002C4AD1"/>
    <w:rsid w:val="002C74AD"/>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67BA"/>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2B1"/>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BF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5F6"/>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2B7"/>
    <w:rsid w:val="00414FD0"/>
    <w:rsid w:val="00417E93"/>
    <w:rsid w:val="00422A2A"/>
    <w:rsid w:val="00424BB4"/>
    <w:rsid w:val="004258CD"/>
    <w:rsid w:val="004261D2"/>
    <w:rsid w:val="00427298"/>
    <w:rsid w:val="004303D1"/>
    <w:rsid w:val="00433C0A"/>
    <w:rsid w:val="004349FA"/>
    <w:rsid w:val="00435063"/>
    <w:rsid w:val="0043795D"/>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04D3"/>
    <w:rsid w:val="00472043"/>
    <w:rsid w:val="00472F56"/>
    <w:rsid w:val="0047335E"/>
    <w:rsid w:val="00473CA1"/>
    <w:rsid w:val="0047572C"/>
    <w:rsid w:val="004761E5"/>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38C8"/>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8AD"/>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00F8"/>
    <w:rsid w:val="00552740"/>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2CF1"/>
    <w:rsid w:val="005733AD"/>
    <w:rsid w:val="0057381A"/>
    <w:rsid w:val="00573ABD"/>
    <w:rsid w:val="00574B91"/>
    <w:rsid w:val="00574E5C"/>
    <w:rsid w:val="005750F7"/>
    <w:rsid w:val="0057512C"/>
    <w:rsid w:val="00576319"/>
    <w:rsid w:val="0057636C"/>
    <w:rsid w:val="0057648C"/>
    <w:rsid w:val="00576AF3"/>
    <w:rsid w:val="00581FF0"/>
    <w:rsid w:val="005825FC"/>
    <w:rsid w:val="00583437"/>
    <w:rsid w:val="00583CE0"/>
    <w:rsid w:val="00584B4A"/>
    <w:rsid w:val="00584DCB"/>
    <w:rsid w:val="00585A16"/>
    <w:rsid w:val="00585B98"/>
    <w:rsid w:val="0058639D"/>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2F37"/>
    <w:rsid w:val="005A330E"/>
    <w:rsid w:val="005A5554"/>
    <w:rsid w:val="005A5651"/>
    <w:rsid w:val="005A6AFE"/>
    <w:rsid w:val="005A7BF3"/>
    <w:rsid w:val="005A7DE0"/>
    <w:rsid w:val="005B0AEF"/>
    <w:rsid w:val="005B1E91"/>
    <w:rsid w:val="005B242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4DBE"/>
    <w:rsid w:val="005D5912"/>
    <w:rsid w:val="005D794C"/>
    <w:rsid w:val="005D7A9F"/>
    <w:rsid w:val="005D7AA2"/>
    <w:rsid w:val="005E2154"/>
    <w:rsid w:val="005E2FC7"/>
    <w:rsid w:val="005E37B9"/>
    <w:rsid w:val="005E427F"/>
    <w:rsid w:val="005E4574"/>
    <w:rsid w:val="005E4BBE"/>
    <w:rsid w:val="005E4C97"/>
    <w:rsid w:val="005E5014"/>
    <w:rsid w:val="005E56F8"/>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A7A"/>
    <w:rsid w:val="00630442"/>
    <w:rsid w:val="0063048C"/>
    <w:rsid w:val="00630FCD"/>
    <w:rsid w:val="006319C2"/>
    <w:rsid w:val="00631FF6"/>
    <w:rsid w:val="006326AB"/>
    <w:rsid w:val="0063292C"/>
    <w:rsid w:val="00632A94"/>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65D"/>
    <w:rsid w:val="00641776"/>
    <w:rsid w:val="006421D4"/>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35B"/>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E95"/>
    <w:rsid w:val="006A20FB"/>
    <w:rsid w:val="006A339D"/>
    <w:rsid w:val="006A4462"/>
    <w:rsid w:val="006A5B59"/>
    <w:rsid w:val="006A6A14"/>
    <w:rsid w:val="006A753A"/>
    <w:rsid w:val="006A777C"/>
    <w:rsid w:val="006A7C46"/>
    <w:rsid w:val="006A7CB9"/>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391E"/>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BDF"/>
    <w:rsid w:val="007B40D4"/>
    <w:rsid w:val="007B4511"/>
    <w:rsid w:val="007B5B5D"/>
    <w:rsid w:val="007B5C86"/>
    <w:rsid w:val="007B6071"/>
    <w:rsid w:val="007B6540"/>
    <w:rsid w:val="007B69A2"/>
    <w:rsid w:val="007C09C4"/>
    <w:rsid w:val="007C1EE0"/>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5739"/>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031"/>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956"/>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384"/>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4D41"/>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15D"/>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479"/>
    <w:rsid w:val="009B2AD1"/>
    <w:rsid w:val="009B3224"/>
    <w:rsid w:val="009B3631"/>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5171"/>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233"/>
    <w:rsid w:val="00A9197E"/>
    <w:rsid w:val="00A91CC1"/>
    <w:rsid w:val="00A92040"/>
    <w:rsid w:val="00A92065"/>
    <w:rsid w:val="00A92184"/>
    <w:rsid w:val="00A9334F"/>
    <w:rsid w:val="00A93D6F"/>
    <w:rsid w:val="00A9449A"/>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FA9"/>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7FF"/>
    <w:rsid w:val="00AF5D2C"/>
    <w:rsid w:val="00AF5D6E"/>
    <w:rsid w:val="00AF5F1D"/>
    <w:rsid w:val="00AF6318"/>
    <w:rsid w:val="00B0072E"/>
    <w:rsid w:val="00B03B63"/>
    <w:rsid w:val="00B03BEB"/>
    <w:rsid w:val="00B0513A"/>
    <w:rsid w:val="00B0620B"/>
    <w:rsid w:val="00B072A3"/>
    <w:rsid w:val="00B07FCD"/>
    <w:rsid w:val="00B1149C"/>
    <w:rsid w:val="00B11F60"/>
    <w:rsid w:val="00B121EF"/>
    <w:rsid w:val="00B127AA"/>
    <w:rsid w:val="00B130CB"/>
    <w:rsid w:val="00B14D9D"/>
    <w:rsid w:val="00B14EF5"/>
    <w:rsid w:val="00B153DF"/>
    <w:rsid w:val="00B16048"/>
    <w:rsid w:val="00B2028C"/>
    <w:rsid w:val="00B21771"/>
    <w:rsid w:val="00B2191C"/>
    <w:rsid w:val="00B21B30"/>
    <w:rsid w:val="00B2231E"/>
    <w:rsid w:val="00B22E76"/>
    <w:rsid w:val="00B23016"/>
    <w:rsid w:val="00B23771"/>
    <w:rsid w:val="00B24EA8"/>
    <w:rsid w:val="00B24FE6"/>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13C2"/>
    <w:rsid w:val="00B52081"/>
    <w:rsid w:val="00B52695"/>
    <w:rsid w:val="00B545AF"/>
    <w:rsid w:val="00B55B09"/>
    <w:rsid w:val="00B56711"/>
    <w:rsid w:val="00B57EF2"/>
    <w:rsid w:val="00B604F3"/>
    <w:rsid w:val="00B6101C"/>
    <w:rsid w:val="00B615ED"/>
    <w:rsid w:val="00B63A9D"/>
    <w:rsid w:val="00B64888"/>
    <w:rsid w:val="00B650AE"/>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BB8"/>
    <w:rsid w:val="00BB01A4"/>
    <w:rsid w:val="00BB0B4D"/>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E50"/>
    <w:rsid w:val="00C07988"/>
    <w:rsid w:val="00C07C5E"/>
    <w:rsid w:val="00C10068"/>
    <w:rsid w:val="00C1091D"/>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4C8E"/>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1FC"/>
    <w:rsid w:val="00CF13B8"/>
    <w:rsid w:val="00CF285E"/>
    <w:rsid w:val="00CF3739"/>
    <w:rsid w:val="00CF5597"/>
    <w:rsid w:val="00CF57B4"/>
    <w:rsid w:val="00CF5CA5"/>
    <w:rsid w:val="00CF658A"/>
    <w:rsid w:val="00CF66B6"/>
    <w:rsid w:val="00D007D6"/>
    <w:rsid w:val="00D01A9F"/>
    <w:rsid w:val="00D01BD8"/>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101"/>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579"/>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4F41"/>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36F0"/>
    <w:rsid w:val="00DC7481"/>
    <w:rsid w:val="00DC7591"/>
    <w:rsid w:val="00DD0839"/>
    <w:rsid w:val="00DD26D0"/>
    <w:rsid w:val="00DD47D5"/>
    <w:rsid w:val="00DD6729"/>
    <w:rsid w:val="00DD7960"/>
    <w:rsid w:val="00DD7B0D"/>
    <w:rsid w:val="00DE1F29"/>
    <w:rsid w:val="00DE3FEB"/>
    <w:rsid w:val="00DE4905"/>
    <w:rsid w:val="00DE510C"/>
    <w:rsid w:val="00DE6DD6"/>
    <w:rsid w:val="00DE7822"/>
    <w:rsid w:val="00DF081A"/>
    <w:rsid w:val="00DF265D"/>
    <w:rsid w:val="00DF2EB0"/>
    <w:rsid w:val="00DF31C1"/>
    <w:rsid w:val="00DF427A"/>
    <w:rsid w:val="00DF45C5"/>
    <w:rsid w:val="00DF5A8C"/>
    <w:rsid w:val="00DF71D8"/>
    <w:rsid w:val="00E00CCA"/>
    <w:rsid w:val="00E01623"/>
    <w:rsid w:val="00E03FE3"/>
    <w:rsid w:val="00E06951"/>
    <w:rsid w:val="00E071FB"/>
    <w:rsid w:val="00E10C94"/>
    <w:rsid w:val="00E10EC4"/>
    <w:rsid w:val="00E118D7"/>
    <w:rsid w:val="00E12168"/>
    <w:rsid w:val="00E13354"/>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37DB9"/>
    <w:rsid w:val="00E402BC"/>
    <w:rsid w:val="00E41403"/>
    <w:rsid w:val="00E418C7"/>
    <w:rsid w:val="00E41BD7"/>
    <w:rsid w:val="00E428D6"/>
    <w:rsid w:val="00E43284"/>
    <w:rsid w:val="00E436AE"/>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4C8"/>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313D"/>
    <w:rsid w:val="00E840A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1149"/>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AFB"/>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13B"/>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5D2"/>
    <w:rsid w:val="00FA0A0A"/>
    <w:rsid w:val="00FA0C9D"/>
    <w:rsid w:val="00FA169B"/>
    <w:rsid w:val="00FA2C4B"/>
    <w:rsid w:val="00FA2F77"/>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35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7B3BDF"/>
  </w:style>
  <w:style w:type="character" w:customStyle="1" w:styleId="Heading1Char">
    <w:name w:val="Heading 1 Char"/>
    <w:basedOn w:val="DefaultParagraphFont"/>
    <w:link w:val="Heading1"/>
    <w:rsid w:val="007B3BDF"/>
    <w:rPr>
      <w:rFonts w:ascii="Arial" w:eastAsia="SimSun" w:hAnsi="Arial" w:cs="Arial"/>
      <w:b/>
      <w:bCs/>
      <w:caps/>
      <w:kern w:val="32"/>
      <w:sz w:val="22"/>
      <w:szCs w:val="32"/>
    </w:rPr>
  </w:style>
  <w:style w:type="character" w:customStyle="1" w:styleId="Heading2Char">
    <w:name w:val="Heading 2 Char"/>
    <w:basedOn w:val="DefaultParagraphFont"/>
    <w:link w:val="Heading2"/>
    <w:rsid w:val="007B3BDF"/>
    <w:rPr>
      <w:rFonts w:ascii="Arial" w:eastAsia="SimSun" w:hAnsi="Arial" w:cs="Arial"/>
      <w:bCs/>
      <w:iCs/>
      <w:caps/>
      <w:sz w:val="22"/>
      <w:szCs w:val="28"/>
    </w:rPr>
  </w:style>
  <w:style w:type="character" w:customStyle="1" w:styleId="Heading3Char">
    <w:name w:val="Heading 3 Char"/>
    <w:basedOn w:val="DefaultParagraphFont"/>
    <w:link w:val="Heading3"/>
    <w:rsid w:val="007B3BDF"/>
    <w:rPr>
      <w:rFonts w:ascii="Arial" w:eastAsia="SimSun" w:hAnsi="Arial" w:cs="Arial"/>
      <w:bCs/>
      <w:sz w:val="22"/>
      <w:szCs w:val="26"/>
      <w:u w:val="single"/>
    </w:rPr>
  </w:style>
  <w:style w:type="character" w:customStyle="1" w:styleId="Heading4Char">
    <w:name w:val="Heading 4 Char"/>
    <w:basedOn w:val="DefaultParagraphFont"/>
    <w:link w:val="Heading4"/>
    <w:rsid w:val="007B3BDF"/>
    <w:rPr>
      <w:rFonts w:ascii="Arial" w:eastAsia="SimSun" w:hAnsi="Arial" w:cs="Arial"/>
      <w:bCs/>
      <w:i/>
      <w:sz w:val="22"/>
      <w:szCs w:val="28"/>
    </w:rPr>
  </w:style>
  <w:style w:type="paragraph" w:styleId="Revision">
    <w:name w:val="Revision"/>
    <w:hidden/>
    <w:uiPriority w:val="99"/>
    <w:semiHidden/>
    <w:rsid w:val="007B3BDF"/>
    <w:rPr>
      <w:rFonts w:ascii="Arial" w:eastAsia="SimSun" w:hAnsi="Arial" w:cs="Arial"/>
      <w:sz w:val="22"/>
      <w:lang w:eastAsia="zh-CN"/>
    </w:rPr>
  </w:style>
  <w:style w:type="character" w:styleId="CommentReference">
    <w:name w:val="annotation reference"/>
    <w:basedOn w:val="DefaultParagraphFont"/>
    <w:rsid w:val="00111062"/>
    <w:rPr>
      <w:sz w:val="16"/>
      <w:szCs w:val="16"/>
    </w:rPr>
  </w:style>
  <w:style w:type="paragraph" w:styleId="CommentSubject">
    <w:name w:val="annotation subject"/>
    <w:basedOn w:val="CommentText"/>
    <w:next w:val="CommentText"/>
    <w:link w:val="CommentSubjectChar"/>
    <w:rsid w:val="00111062"/>
    <w:rPr>
      <w:b/>
      <w:bCs/>
      <w:sz w:val="20"/>
    </w:rPr>
  </w:style>
  <w:style w:type="character" w:customStyle="1" w:styleId="CommentTextChar">
    <w:name w:val="Comment Text Char"/>
    <w:basedOn w:val="DefaultParagraphFont"/>
    <w:link w:val="CommentText"/>
    <w:semiHidden/>
    <w:rsid w:val="00111062"/>
    <w:rPr>
      <w:rFonts w:ascii="Arial" w:hAnsi="Arial" w:cs="Arial"/>
      <w:sz w:val="18"/>
    </w:rPr>
  </w:style>
  <w:style w:type="character" w:customStyle="1" w:styleId="CommentSubjectChar">
    <w:name w:val="Comment Subject Char"/>
    <w:basedOn w:val="CommentTextChar"/>
    <w:link w:val="CommentSubject"/>
    <w:rsid w:val="00111062"/>
    <w:rPr>
      <w:rFonts w:ascii="Arial" w:hAnsi="Arial" w:cs="Arial"/>
      <w:b/>
      <w:bCs/>
      <w:sz w:val="18"/>
    </w:rPr>
  </w:style>
  <w:style w:type="character" w:styleId="Hyperlink">
    <w:name w:val="Hyperlink"/>
    <w:basedOn w:val="DefaultParagraphFont"/>
    <w:rsid w:val="00111062"/>
    <w:rPr>
      <w:color w:val="0000FF" w:themeColor="hyperlink"/>
      <w:u w:val="single"/>
    </w:rPr>
  </w:style>
  <w:style w:type="paragraph" w:styleId="ListParagraph">
    <w:name w:val="List Paragraph"/>
    <w:basedOn w:val="Normal"/>
    <w:uiPriority w:val="34"/>
    <w:qFormat/>
    <w:rsid w:val="0068035B"/>
    <w:pPr>
      <w:ind w:left="720"/>
      <w:contextualSpacing/>
    </w:pPr>
  </w:style>
  <w:style w:type="paragraph" w:styleId="NormalWeb">
    <w:name w:val="Normal (Web)"/>
    <w:basedOn w:val="Normal"/>
    <w:uiPriority w:val="99"/>
    <w:unhideWhenUsed/>
    <w:rsid w:val="003267BA"/>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8035B"/>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numbering" w:customStyle="1" w:styleId="NoList1">
    <w:name w:val="No List1"/>
    <w:next w:val="NoList"/>
    <w:uiPriority w:val="99"/>
    <w:semiHidden/>
    <w:unhideWhenUsed/>
    <w:rsid w:val="007B3BDF"/>
  </w:style>
  <w:style w:type="character" w:customStyle="1" w:styleId="Heading1Char">
    <w:name w:val="Heading 1 Char"/>
    <w:basedOn w:val="DefaultParagraphFont"/>
    <w:link w:val="Heading1"/>
    <w:rsid w:val="007B3BDF"/>
    <w:rPr>
      <w:rFonts w:ascii="Arial" w:eastAsia="SimSun" w:hAnsi="Arial" w:cs="Arial"/>
      <w:b/>
      <w:bCs/>
      <w:caps/>
      <w:kern w:val="32"/>
      <w:sz w:val="22"/>
      <w:szCs w:val="32"/>
    </w:rPr>
  </w:style>
  <w:style w:type="character" w:customStyle="1" w:styleId="Heading2Char">
    <w:name w:val="Heading 2 Char"/>
    <w:basedOn w:val="DefaultParagraphFont"/>
    <w:link w:val="Heading2"/>
    <w:rsid w:val="007B3BDF"/>
    <w:rPr>
      <w:rFonts w:ascii="Arial" w:eastAsia="SimSun" w:hAnsi="Arial" w:cs="Arial"/>
      <w:bCs/>
      <w:iCs/>
      <w:caps/>
      <w:sz w:val="22"/>
      <w:szCs w:val="28"/>
    </w:rPr>
  </w:style>
  <w:style w:type="character" w:customStyle="1" w:styleId="Heading3Char">
    <w:name w:val="Heading 3 Char"/>
    <w:basedOn w:val="DefaultParagraphFont"/>
    <w:link w:val="Heading3"/>
    <w:rsid w:val="007B3BDF"/>
    <w:rPr>
      <w:rFonts w:ascii="Arial" w:eastAsia="SimSun" w:hAnsi="Arial" w:cs="Arial"/>
      <w:bCs/>
      <w:sz w:val="22"/>
      <w:szCs w:val="26"/>
      <w:u w:val="single"/>
    </w:rPr>
  </w:style>
  <w:style w:type="character" w:customStyle="1" w:styleId="Heading4Char">
    <w:name w:val="Heading 4 Char"/>
    <w:basedOn w:val="DefaultParagraphFont"/>
    <w:link w:val="Heading4"/>
    <w:rsid w:val="007B3BDF"/>
    <w:rPr>
      <w:rFonts w:ascii="Arial" w:eastAsia="SimSun" w:hAnsi="Arial" w:cs="Arial"/>
      <w:bCs/>
      <w:i/>
      <w:sz w:val="22"/>
      <w:szCs w:val="28"/>
    </w:rPr>
  </w:style>
  <w:style w:type="paragraph" w:styleId="Revision">
    <w:name w:val="Revision"/>
    <w:hidden/>
    <w:uiPriority w:val="99"/>
    <w:semiHidden/>
    <w:rsid w:val="007B3BDF"/>
    <w:rPr>
      <w:rFonts w:ascii="Arial" w:eastAsia="SimSun" w:hAnsi="Arial" w:cs="Arial"/>
      <w:sz w:val="22"/>
      <w:lang w:eastAsia="zh-CN"/>
    </w:rPr>
  </w:style>
  <w:style w:type="character" w:styleId="CommentReference">
    <w:name w:val="annotation reference"/>
    <w:basedOn w:val="DefaultParagraphFont"/>
    <w:rsid w:val="00111062"/>
    <w:rPr>
      <w:sz w:val="16"/>
      <w:szCs w:val="16"/>
    </w:rPr>
  </w:style>
  <w:style w:type="paragraph" w:styleId="CommentSubject">
    <w:name w:val="annotation subject"/>
    <w:basedOn w:val="CommentText"/>
    <w:next w:val="CommentText"/>
    <w:link w:val="CommentSubjectChar"/>
    <w:rsid w:val="00111062"/>
    <w:rPr>
      <w:b/>
      <w:bCs/>
      <w:sz w:val="20"/>
    </w:rPr>
  </w:style>
  <w:style w:type="character" w:customStyle="1" w:styleId="CommentTextChar">
    <w:name w:val="Comment Text Char"/>
    <w:basedOn w:val="DefaultParagraphFont"/>
    <w:link w:val="CommentText"/>
    <w:semiHidden/>
    <w:rsid w:val="00111062"/>
    <w:rPr>
      <w:rFonts w:ascii="Arial" w:hAnsi="Arial" w:cs="Arial"/>
      <w:sz w:val="18"/>
    </w:rPr>
  </w:style>
  <w:style w:type="character" w:customStyle="1" w:styleId="CommentSubjectChar">
    <w:name w:val="Comment Subject Char"/>
    <w:basedOn w:val="CommentTextChar"/>
    <w:link w:val="CommentSubject"/>
    <w:rsid w:val="00111062"/>
    <w:rPr>
      <w:rFonts w:ascii="Arial" w:hAnsi="Arial" w:cs="Arial"/>
      <w:b/>
      <w:bCs/>
      <w:sz w:val="18"/>
    </w:rPr>
  </w:style>
  <w:style w:type="character" w:styleId="Hyperlink">
    <w:name w:val="Hyperlink"/>
    <w:basedOn w:val="DefaultParagraphFont"/>
    <w:rsid w:val="00111062"/>
    <w:rPr>
      <w:color w:val="0000FF" w:themeColor="hyperlink"/>
      <w:u w:val="single"/>
    </w:rPr>
  </w:style>
  <w:style w:type="paragraph" w:styleId="ListParagraph">
    <w:name w:val="List Paragraph"/>
    <w:basedOn w:val="Normal"/>
    <w:uiPriority w:val="34"/>
    <w:qFormat/>
    <w:rsid w:val="0068035B"/>
    <w:pPr>
      <w:ind w:left="720"/>
      <w:contextualSpacing/>
    </w:pPr>
  </w:style>
  <w:style w:type="paragraph" w:styleId="NormalWeb">
    <w:name w:val="Normal (Web)"/>
    <w:basedOn w:val="Normal"/>
    <w:uiPriority w:val="99"/>
    <w:unhideWhenUsed/>
    <w:rsid w:val="003267BA"/>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5_AR.dotx"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F:\WIPO\WIPO%20PCT%20Updated%202016\Cash%20flow%20analysis\Cash%20flow%20analysis%20Jan-May%202016.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WIPO\WIPO%20PCT%20Updated%202016\Cash%20flow%20analysis\Cash%20flow%20analysis%20Jan-May%202016.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[Cash flow analysis Jan-May 2016.xlsx]Charts!PivotTable1</c:name>
    <c:fmtId val="-1"/>
  </c:pivotSource>
  <c:chart>
    <c:title>
      <c:tx>
        <c:rich>
          <a:bodyPr/>
          <a:lstStyle/>
          <a:p>
            <a:pPr rtl="1">
              <a:defRPr/>
            </a:pPr>
            <a:r>
              <a:rPr lang="ar-SA" sz="1600">
                <a:latin typeface="Arabic Typesetting" panose="03020402040406030203" pitchFamily="66" charset="-78"/>
                <a:cs typeface="Arabic Typesetting" panose="03020402040406030203" pitchFamily="66" charset="-78"/>
              </a:rPr>
              <a:t>إيرادات معاهدة البراءات بالدولار الأمريكي</a:t>
            </a:r>
            <a:r>
              <a:rPr lang="ar-SA" sz="1600" baseline="0">
                <a:latin typeface="Arabic Typesetting" panose="03020402040406030203" pitchFamily="66" charset="-78"/>
                <a:cs typeface="Arabic Typesetting" panose="03020402040406030203" pitchFamily="66" charset="-78"/>
              </a:rPr>
              <a:t> والرصيد المتوفر للتحوط</a:t>
            </a:r>
            <a:r>
              <a:rPr lang="en-US" sz="1600" baseline="0">
                <a:latin typeface="Arabic Typesetting" panose="03020402040406030203" pitchFamily="66" charset="-78"/>
                <a:cs typeface="Arabic Typesetting" panose="03020402040406030203" pitchFamily="66" charset="-78"/>
              </a:rPr>
              <a:t> </a:t>
            </a:r>
            <a:br>
              <a:rPr lang="en-US" sz="1600" baseline="0">
                <a:latin typeface="Arabic Typesetting" panose="03020402040406030203" pitchFamily="66" charset="-78"/>
                <a:cs typeface="Arabic Typesetting" panose="03020402040406030203" pitchFamily="66" charset="-78"/>
              </a:rPr>
            </a:br>
            <a:r>
              <a:rPr lang="ar-SA" sz="1600" baseline="0">
                <a:latin typeface="Arabic Typesetting" panose="03020402040406030203" pitchFamily="66" charset="-78"/>
                <a:cs typeface="Arabic Typesetting" panose="03020402040406030203" pitchFamily="66" charset="-78"/>
              </a:rPr>
              <a:t>(بالفرنك السويسري)</a:t>
            </a:r>
            <a:endParaRPr lang="en-US" sz="1600">
              <a:latin typeface="Arabic Typesetting" panose="03020402040406030203" pitchFamily="66" charset="-78"/>
              <a:cs typeface="Arabic Typesetting" panose="03020402040406030203" pitchFamily="66" charset="-78"/>
            </a:endParaRPr>
          </a:p>
        </c:rich>
      </c:tx>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s>
    <c:plotArea>
      <c:layout>
        <c:manualLayout>
          <c:layoutTarget val="inner"/>
          <c:xMode val="edge"/>
          <c:yMode val="edge"/>
          <c:x val="0.31995831638412914"/>
          <c:y val="0.19266083865501063"/>
          <c:w val="0.44188031935338629"/>
          <c:h val="0.65373286672499276"/>
        </c:manualLayout>
      </c:layout>
      <c:barChart>
        <c:barDir val="col"/>
        <c:grouping val="clustered"/>
        <c:varyColors val="0"/>
        <c:ser>
          <c:idx val="0"/>
          <c:order val="0"/>
          <c:tx>
            <c:strRef>
              <c:f>Charts!$I$2</c:f>
              <c:strCache>
                <c:ptCount val="1"/>
                <c:pt idx="0">
                  <c:v>Sum of PCT Revenue received in USD</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Charts!$I$3:$I$20</c:f>
              <c:numCache>
                <c:formatCode>General</c:formatCode>
                <c:ptCount val="17"/>
                <c:pt idx="0">
                  <c:v>12510419.556823276</c:v>
                </c:pt>
                <c:pt idx="1">
                  <c:v>8796711.0937581621</c:v>
                </c:pt>
                <c:pt idx="2">
                  <c:v>10147975.092428612</c:v>
                </c:pt>
                <c:pt idx="3">
                  <c:v>15504967.696022078</c:v>
                </c:pt>
                <c:pt idx="4">
                  <c:v>8274156.0271774326</c:v>
                </c:pt>
                <c:pt idx="5">
                  <c:v>7918400.9892234923</c:v>
                </c:pt>
                <c:pt idx="6">
                  <c:v>8964860.5365509186</c:v>
                </c:pt>
                <c:pt idx="7">
                  <c:v>7870070.2097771028</c:v>
                </c:pt>
                <c:pt idx="8">
                  <c:v>7611110.4850470023</c:v>
                </c:pt>
                <c:pt idx="9">
                  <c:v>9698595.3498496637</c:v>
                </c:pt>
                <c:pt idx="10">
                  <c:v>8861320.5622475389</c:v>
                </c:pt>
                <c:pt idx="11">
                  <c:v>8482595.4814489856</c:v>
                </c:pt>
                <c:pt idx="12">
                  <c:v>9506008.5500000045</c:v>
                </c:pt>
                <c:pt idx="13">
                  <c:v>7186249.7300000014</c:v>
                </c:pt>
                <c:pt idx="14">
                  <c:v>7994649.7599999988</c:v>
                </c:pt>
                <c:pt idx="15">
                  <c:v>8860131.5700000003</c:v>
                </c:pt>
                <c:pt idx="16">
                  <c:v>8422242.0600000005</c:v>
                </c:pt>
              </c:numCache>
            </c:numRef>
          </c:val>
        </c:ser>
        <c:ser>
          <c:idx val="1"/>
          <c:order val="1"/>
          <c:tx>
            <c:strRef>
              <c:f>Charts!$J$2</c:f>
              <c:strCache>
                <c:ptCount val="1"/>
                <c:pt idx="0">
                  <c:v>Sum of USD available to purchase forward contract</c:v>
                </c:pt>
              </c:strCache>
            </c:strRef>
          </c:tx>
          <c:invertIfNegative val="0"/>
          <c:cat>
            <c:strRef>
              <c:f>Charts!$H$3:$H$20</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Charts!$J$3:$J$20</c:f>
              <c:numCache>
                <c:formatCode>General</c:formatCode>
                <c:ptCount val="17"/>
                <c:pt idx="0">
                  <c:v>7917317.6700000046</c:v>
                </c:pt>
                <c:pt idx="1">
                  <c:v>1379637.620000001</c:v>
                </c:pt>
                <c:pt idx="2">
                  <c:v>3544283.6700000148</c:v>
                </c:pt>
                <c:pt idx="3">
                  <c:v>11419492.130000003</c:v>
                </c:pt>
                <c:pt idx="4">
                  <c:v>2793775.9799999911</c:v>
                </c:pt>
                <c:pt idx="5">
                  <c:v>4045293.9999999981</c:v>
                </c:pt>
                <c:pt idx="6">
                  <c:v>3691940.9299999923</c:v>
                </c:pt>
                <c:pt idx="7">
                  <c:v>528288.45000000205</c:v>
                </c:pt>
                <c:pt idx="8">
                  <c:v>2854039.9000000004</c:v>
                </c:pt>
                <c:pt idx="9">
                  <c:v>2164446.8199999956</c:v>
                </c:pt>
                <c:pt idx="10">
                  <c:v>3899576.3699999992</c:v>
                </c:pt>
                <c:pt idx="11">
                  <c:v>345240.08000000007</c:v>
                </c:pt>
                <c:pt idx="12">
                  <c:v>4467886.6800000025</c:v>
                </c:pt>
                <c:pt idx="13">
                  <c:v>31364.280000001192</c:v>
                </c:pt>
                <c:pt idx="14">
                  <c:v>3652440.0700000003</c:v>
                </c:pt>
                <c:pt idx="15">
                  <c:v>4467517.8800000008</c:v>
                </c:pt>
                <c:pt idx="16">
                  <c:v>1343967.790000001</c:v>
                </c:pt>
              </c:numCache>
            </c:numRef>
          </c:val>
        </c:ser>
        <c:dLbls>
          <c:showLegendKey val="0"/>
          <c:showVal val="0"/>
          <c:showCatName val="0"/>
          <c:showSerName val="0"/>
          <c:showPercent val="0"/>
          <c:showBubbleSize val="0"/>
        </c:dLbls>
        <c:gapWidth val="150"/>
        <c:axId val="84643200"/>
        <c:axId val="74834304"/>
      </c:barChart>
      <c:catAx>
        <c:axId val="84643200"/>
        <c:scaling>
          <c:orientation val="maxMin"/>
        </c:scaling>
        <c:delete val="0"/>
        <c:axPos val="b"/>
        <c:numFmt formatCode="General" sourceLinked="0"/>
        <c:majorTickMark val="out"/>
        <c:minorTickMark val="none"/>
        <c:tickLblPos val="nextTo"/>
        <c:crossAx val="74834304"/>
        <c:crosses val="autoZero"/>
        <c:auto val="1"/>
        <c:lblAlgn val="ctr"/>
        <c:lblOffset val="100"/>
        <c:noMultiLvlLbl val="0"/>
      </c:catAx>
      <c:valAx>
        <c:axId val="74834304"/>
        <c:scaling>
          <c:orientation val="minMax"/>
        </c:scaling>
        <c:delete val="0"/>
        <c:axPos val="r"/>
        <c:majorGridlines/>
        <c:numFmt formatCode="#,##0_);[Red]\(#,##0\)" sourceLinked="0"/>
        <c:majorTickMark val="out"/>
        <c:minorTickMark val="none"/>
        <c:tickLblPos val="nextTo"/>
        <c:txPr>
          <a:bodyPr/>
          <a:lstStyle/>
          <a:p>
            <a:pPr>
              <a:defRPr baseline="0"/>
            </a:pPr>
            <a:endParaRPr lang="en-US"/>
          </a:p>
        </c:txPr>
        <c:crossAx val="84643200"/>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[Cash flow analysis Jan-May 2016.xlsx]Charts!PivotTable2</c:name>
    <c:fmtId val="-1"/>
  </c:pivotSource>
  <c:chart>
    <c:title>
      <c:tx>
        <c:rich>
          <a:bodyPr/>
          <a:lstStyle/>
          <a:p>
            <a:pPr>
              <a:defRPr/>
            </a:pPr>
            <a:r>
              <a:rPr lang="ar-SA" sz="1400" b="1" i="0" baseline="0">
                <a:effectLst/>
                <a:latin typeface="Arabic Typesetting" panose="03020402040406030203" pitchFamily="66" charset="-78"/>
                <a:cs typeface="Arabic Typesetting" panose="03020402040406030203" pitchFamily="66" charset="-78"/>
              </a:rPr>
              <a:t>إيرادات معاهدة البراءات باليورو والرصيد المتوفر للتحوط</a:t>
            </a:r>
            <a:r>
              <a:rPr lang="en-US" sz="1400" b="1" i="0" baseline="0">
                <a:effectLst/>
                <a:latin typeface="Arabic Typesetting" panose="03020402040406030203" pitchFamily="66" charset="-78"/>
                <a:cs typeface="Arabic Typesetting" panose="03020402040406030203" pitchFamily="66" charset="-78"/>
              </a:rPr>
              <a:t> </a:t>
            </a:r>
            <a:br>
              <a:rPr lang="en-US" sz="1400" b="1" i="0" baseline="0">
                <a:effectLst/>
                <a:latin typeface="Arabic Typesetting" panose="03020402040406030203" pitchFamily="66" charset="-78"/>
                <a:cs typeface="Arabic Typesetting" panose="03020402040406030203" pitchFamily="66" charset="-78"/>
              </a:rPr>
            </a:br>
            <a:r>
              <a:rPr lang="ar-SA" sz="1400" b="1" i="0" baseline="0">
                <a:effectLst/>
                <a:latin typeface="Arabic Typesetting" panose="03020402040406030203" pitchFamily="66" charset="-78"/>
                <a:cs typeface="Arabic Typesetting" panose="03020402040406030203" pitchFamily="66" charset="-78"/>
              </a:rPr>
              <a:t>(بالفرنك السويسري)</a:t>
            </a:r>
            <a:endParaRPr lang="en-US" sz="1400">
              <a:effectLst/>
              <a:latin typeface="Arabic Typesetting" panose="03020402040406030203" pitchFamily="66" charset="-78"/>
              <a:cs typeface="Arabic Typesetting" panose="03020402040406030203" pitchFamily="66" charset="-78"/>
            </a:endParaRPr>
          </a:p>
        </c:rich>
      </c:tx>
      <c:layout>
        <c:manualLayout>
          <c:xMode val="edge"/>
          <c:yMode val="edge"/>
          <c:x val="0.29464702537519716"/>
          <c:y val="2.58179378063179E-2"/>
        </c:manualLayout>
      </c:layout>
      <c:overlay val="0"/>
    </c:title>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s>
    <c:plotArea>
      <c:layout>
        <c:manualLayout>
          <c:layoutTarget val="inner"/>
          <c:xMode val="edge"/>
          <c:yMode val="edge"/>
          <c:x val="0.30412758822569508"/>
          <c:y val="0.21340060647758835"/>
          <c:w val="0.48740304290356917"/>
          <c:h val="0.6168791037042699"/>
        </c:manualLayout>
      </c:layout>
      <c:barChart>
        <c:barDir val="col"/>
        <c:grouping val="clustered"/>
        <c:varyColors val="0"/>
        <c:ser>
          <c:idx val="0"/>
          <c:order val="0"/>
          <c:tx>
            <c:strRef>
              <c:f>Charts!$I$31</c:f>
              <c:strCache>
                <c:ptCount val="1"/>
                <c:pt idx="0">
                  <c:v>Sum of PCT inflow in EUR</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Charts!$I$32:$I$49</c:f>
              <c:numCache>
                <c:formatCode>General</c:formatCode>
                <c:ptCount val="17"/>
                <c:pt idx="0">
                  <c:v>6757984.4978103079</c:v>
                </c:pt>
                <c:pt idx="1">
                  <c:v>3656495.3460296313</c:v>
                </c:pt>
                <c:pt idx="2">
                  <c:v>4383048.5167372562</c:v>
                </c:pt>
                <c:pt idx="3">
                  <c:v>4971357.315766532</c:v>
                </c:pt>
                <c:pt idx="4">
                  <c:v>4819031.43</c:v>
                </c:pt>
                <c:pt idx="5">
                  <c:v>4743621.71</c:v>
                </c:pt>
                <c:pt idx="6">
                  <c:v>5491629.8999999994</c:v>
                </c:pt>
                <c:pt idx="7">
                  <c:v>5223629.8299999991</c:v>
                </c:pt>
                <c:pt idx="8">
                  <c:v>4836738.6900000013</c:v>
                </c:pt>
                <c:pt idx="9">
                  <c:v>5008427.0900000045</c:v>
                </c:pt>
                <c:pt idx="10">
                  <c:v>5483236.0300000003</c:v>
                </c:pt>
                <c:pt idx="11">
                  <c:v>5278336.71</c:v>
                </c:pt>
                <c:pt idx="12">
                  <c:v>6224076.3100000015</c:v>
                </c:pt>
                <c:pt idx="13">
                  <c:v>4457734.5100000007</c:v>
                </c:pt>
                <c:pt idx="14">
                  <c:v>4507386.0500000017</c:v>
                </c:pt>
                <c:pt idx="15">
                  <c:v>5379779.7700000005</c:v>
                </c:pt>
                <c:pt idx="16">
                  <c:v>5080305.16</c:v>
                </c:pt>
              </c:numCache>
            </c:numRef>
          </c:val>
        </c:ser>
        <c:ser>
          <c:idx val="1"/>
          <c:order val="1"/>
          <c:tx>
            <c:strRef>
              <c:f>Charts!$J$31</c:f>
              <c:strCache>
                <c:ptCount val="1"/>
                <c:pt idx="0">
                  <c:v>Sum of EUR available to purchase forward contract</c:v>
                </c:pt>
              </c:strCache>
            </c:strRef>
          </c:tx>
          <c:invertIfNegative val="0"/>
          <c:cat>
            <c:strRef>
              <c:f>Charts!$H$32:$H$49</c:f>
              <c:strCache>
                <c:ptCount val="17"/>
                <c:pt idx="0">
                  <c:v>Jan-15</c:v>
                </c:pt>
                <c:pt idx="1">
                  <c:v>Feb-15</c:v>
                </c:pt>
                <c:pt idx="2">
                  <c:v>Mar-15</c:v>
                </c:pt>
                <c:pt idx="3">
                  <c:v>Apr-15</c:v>
                </c:pt>
                <c:pt idx="4">
                  <c:v>May-15</c:v>
                </c:pt>
                <c:pt idx="5">
                  <c:v>Jun-15</c:v>
                </c:pt>
                <c:pt idx="6">
                  <c:v>Jul-15</c:v>
                </c:pt>
                <c:pt idx="7">
                  <c:v>Aug-15</c:v>
                </c:pt>
                <c:pt idx="8">
                  <c:v>Sep-15</c:v>
                </c:pt>
                <c:pt idx="9">
                  <c:v>Oct-15</c:v>
                </c:pt>
                <c:pt idx="10">
                  <c:v>Nov-15</c:v>
                </c:pt>
                <c:pt idx="11">
                  <c:v>Dec-15</c:v>
                </c:pt>
                <c:pt idx="12">
                  <c:v>Jan-16</c:v>
                </c:pt>
                <c:pt idx="13">
                  <c:v>Feb-16</c:v>
                </c:pt>
                <c:pt idx="14">
                  <c:v>Mar-16</c:v>
                </c:pt>
                <c:pt idx="15">
                  <c:v>Apr-16</c:v>
                </c:pt>
                <c:pt idx="16">
                  <c:v>May-16</c:v>
                </c:pt>
              </c:strCache>
            </c:strRef>
          </c:cat>
          <c:val>
            <c:numRef>
              <c:f>Charts!$J$32:$J$49</c:f>
              <c:numCache>
                <c:formatCode>General</c:formatCode>
                <c:ptCount val="17"/>
                <c:pt idx="0">
                  <c:v>5360299.0199999977</c:v>
                </c:pt>
                <c:pt idx="1">
                  <c:v>1619056.1699999995</c:v>
                </c:pt>
                <c:pt idx="2">
                  <c:v>3349708.4999999991</c:v>
                </c:pt>
                <c:pt idx="3">
                  <c:v>3685507.3899999987</c:v>
                </c:pt>
                <c:pt idx="4">
                  <c:v>3710569.57</c:v>
                </c:pt>
                <c:pt idx="5">
                  <c:v>2783499.79</c:v>
                </c:pt>
                <c:pt idx="6">
                  <c:v>3293463.1699999995</c:v>
                </c:pt>
                <c:pt idx="7">
                  <c:v>3853576.1199999996</c:v>
                </c:pt>
                <c:pt idx="8">
                  <c:v>3887560.5100000012</c:v>
                </c:pt>
                <c:pt idx="9">
                  <c:v>3276241.900000005</c:v>
                </c:pt>
                <c:pt idx="10">
                  <c:v>4260318.8800000008</c:v>
                </c:pt>
                <c:pt idx="11">
                  <c:v>3469466.5199999996</c:v>
                </c:pt>
                <c:pt idx="12">
                  <c:v>4249900.6700000027</c:v>
                </c:pt>
                <c:pt idx="13">
                  <c:v>2733661.5500000007</c:v>
                </c:pt>
                <c:pt idx="14">
                  <c:v>3484838.2700000014</c:v>
                </c:pt>
                <c:pt idx="15">
                  <c:v>4226100.2</c:v>
                </c:pt>
                <c:pt idx="16">
                  <c:v>3449099.6500000004</c:v>
                </c:pt>
              </c:numCache>
            </c:numRef>
          </c:val>
        </c:ser>
        <c:dLbls>
          <c:showLegendKey val="0"/>
          <c:showVal val="0"/>
          <c:showCatName val="0"/>
          <c:showSerName val="0"/>
          <c:showPercent val="0"/>
          <c:showBubbleSize val="0"/>
        </c:dLbls>
        <c:gapWidth val="150"/>
        <c:axId val="74617984"/>
        <c:axId val="74619520"/>
      </c:barChart>
      <c:catAx>
        <c:axId val="74617984"/>
        <c:scaling>
          <c:orientation val="maxMin"/>
        </c:scaling>
        <c:delete val="0"/>
        <c:axPos val="b"/>
        <c:numFmt formatCode="General" sourceLinked="0"/>
        <c:majorTickMark val="out"/>
        <c:minorTickMark val="none"/>
        <c:tickLblPos val="nextTo"/>
        <c:crossAx val="74619520"/>
        <c:crosses val="autoZero"/>
        <c:auto val="1"/>
        <c:lblAlgn val="ctr"/>
        <c:lblOffset val="100"/>
        <c:noMultiLvlLbl val="0"/>
      </c:catAx>
      <c:valAx>
        <c:axId val="74619520"/>
        <c:scaling>
          <c:orientation val="minMax"/>
        </c:scaling>
        <c:delete val="0"/>
        <c:axPos val="r"/>
        <c:majorGridlines/>
        <c:numFmt formatCode="#,##0_);[Red]\(#,##0\)" sourceLinked="0"/>
        <c:majorTickMark val="out"/>
        <c:minorTickMark val="none"/>
        <c:tickLblPos val="nextTo"/>
        <c:txPr>
          <a:bodyPr/>
          <a:lstStyle/>
          <a:p>
            <a:pPr>
              <a:defRPr baseline="0"/>
            </a:pPr>
            <a:endParaRPr lang="en-US"/>
          </a:p>
        </c:txPr>
        <c:crossAx val="74617984"/>
        <c:crosses val="autoZero"/>
        <c:crossBetween val="between"/>
      </c:valAx>
    </c:plotArea>
    <c:plotVisOnly val="1"/>
    <c:dispBlanksAs val="gap"/>
    <c:showDLblsOverMax val="0"/>
  </c:chart>
  <c:externalData r:id="rId2">
    <c:autoUpdate val="0"/>
  </c:externalData>
  <c:extLst>
    <c:ext xmlns:c14="http://schemas.microsoft.com/office/drawing/2007/8/2/chart" uri="{781A3756-C4B2-4CAC-9D66-4F8BD8637D16}">
      <c14:pivotOptions>
        <c14:dropZoneFilter val="1"/>
        <c14:dropZoneCategories val="1"/>
      </c14:pivotOptions>
    </c:ext>
  </c:extLst>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5E801-DD16-4549-BB4E-9031C7C83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WO_PBC_25_AR.dotx</Template>
  <TotalTime>594</TotalTime>
  <Pages>16</Pages>
  <Words>4740</Words>
  <Characters>27021</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WO/PBC/25/20 (Arabic)</vt:lpstr>
    </vt:vector>
  </TitlesOfParts>
  <Company>World Intellectual Property Organization</Company>
  <LinksUpToDate>false</LinksUpToDate>
  <CharactersWithSpaces>31698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WO/PBC/25/20 (Arabic)</dc:title>
  <dc:creator>Ahmed Hassan</dc:creator>
  <cp:lastModifiedBy>YOUSSEF Randa</cp:lastModifiedBy>
  <cp:revision>19</cp:revision>
  <cp:lastPrinted>2016-07-05T11:41:00Z</cp:lastPrinted>
  <dcterms:created xsi:type="dcterms:W3CDTF">2016-07-01T09:39:00Z</dcterms:created>
  <dcterms:modified xsi:type="dcterms:W3CDTF">2016-07-05T11:41:00Z</dcterms:modified>
</cp:coreProperties>
</file>