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RPr="00467BE7" w:rsidTr="00B6101C">
        <w:tc>
          <w:tcPr>
            <w:tcW w:w="4843" w:type="dxa"/>
            <w:tcBorders>
              <w:bottom w:val="single" w:sz="4" w:space="0" w:color="auto"/>
            </w:tcBorders>
          </w:tcPr>
          <w:p w:rsidR="001667B6" w:rsidRPr="00467BE7" w:rsidRDefault="001667B6" w:rsidP="001667B6">
            <w:pPr>
              <w:bidi/>
              <w:rPr>
                <w:rFonts w:ascii="Arabic Typesetting" w:hAnsi="Arabic Typesetting" w:cs="Arabic Typesetting"/>
                <w:sz w:val="36"/>
                <w:szCs w:val="36"/>
                <w:rtl/>
              </w:rPr>
            </w:pPr>
          </w:p>
        </w:tc>
        <w:tc>
          <w:tcPr>
            <w:tcW w:w="4223" w:type="dxa"/>
            <w:tcBorders>
              <w:bottom w:val="single" w:sz="4" w:space="0" w:color="auto"/>
            </w:tcBorders>
          </w:tcPr>
          <w:p w:rsidR="001667B6" w:rsidRPr="00467BE7" w:rsidRDefault="00772E46" w:rsidP="00246E87">
            <w:pPr>
              <w:bidi/>
              <w:spacing w:after="20"/>
              <w:rPr>
                <w:rFonts w:ascii="Arabic Typesetting" w:hAnsi="Arabic Typesetting" w:cs="Arabic Typesetting"/>
                <w:sz w:val="36"/>
                <w:szCs w:val="36"/>
                <w:rtl/>
              </w:rPr>
            </w:pPr>
            <w:r w:rsidRPr="00467BE7">
              <w:rPr>
                <w:noProof/>
              </w:rPr>
              <w:drawing>
                <wp:inline distT="0" distB="0" distL="0" distR="0" wp14:anchorId="2166EA85" wp14:editId="043FA78B">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467BE7" w:rsidRDefault="001667B6" w:rsidP="001667B6">
            <w:pPr>
              <w:rPr>
                <w:b/>
                <w:bCs/>
                <w:sz w:val="40"/>
                <w:szCs w:val="40"/>
              </w:rPr>
            </w:pPr>
            <w:r w:rsidRPr="00467BE7">
              <w:rPr>
                <w:b/>
                <w:bCs/>
                <w:sz w:val="40"/>
                <w:szCs w:val="40"/>
              </w:rPr>
              <w:t>A</w:t>
            </w:r>
          </w:p>
        </w:tc>
      </w:tr>
      <w:tr w:rsidR="001667B6" w:rsidRPr="00467BE7" w:rsidTr="00B6101C">
        <w:trPr>
          <w:trHeight w:val="333"/>
        </w:trPr>
        <w:tc>
          <w:tcPr>
            <w:tcW w:w="9571" w:type="dxa"/>
            <w:gridSpan w:val="3"/>
            <w:tcBorders>
              <w:top w:val="single" w:sz="4" w:space="0" w:color="auto"/>
            </w:tcBorders>
            <w:vAlign w:val="bottom"/>
          </w:tcPr>
          <w:p w:rsidR="00B6101C" w:rsidRPr="00467BE7" w:rsidRDefault="00A9449A" w:rsidP="001C506C">
            <w:pPr>
              <w:pStyle w:val="DocumentCodeAR"/>
              <w:bidi/>
              <w:rPr>
                <w:rtl/>
              </w:rPr>
            </w:pPr>
            <w:r w:rsidRPr="00467BE7">
              <w:t>WO/PBC</w:t>
            </w:r>
            <w:r w:rsidR="00100F97" w:rsidRPr="00467BE7">
              <w:t>/</w:t>
            </w:r>
            <w:r w:rsidRPr="0004173E">
              <w:t>2</w:t>
            </w:r>
            <w:r w:rsidR="001C506C" w:rsidRPr="0004173E">
              <w:t>5</w:t>
            </w:r>
            <w:r w:rsidR="00B6101C" w:rsidRPr="00467BE7">
              <w:t>/</w:t>
            </w:r>
            <w:r w:rsidR="00217DFC" w:rsidRPr="0004173E">
              <w:t>13</w:t>
            </w:r>
          </w:p>
        </w:tc>
      </w:tr>
      <w:tr w:rsidR="001667B6" w:rsidRPr="00467BE7" w:rsidTr="00BF164F">
        <w:tc>
          <w:tcPr>
            <w:tcW w:w="9571" w:type="dxa"/>
            <w:gridSpan w:val="3"/>
          </w:tcPr>
          <w:p w:rsidR="001667B6" w:rsidRPr="00467BE7" w:rsidRDefault="00B6101C" w:rsidP="00217DFC">
            <w:pPr>
              <w:pStyle w:val="DocumentLanguageAR"/>
              <w:bidi/>
              <w:rPr>
                <w:rtl/>
              </w:rPr>
            </w:pPr>
            <w:r w:rsidRPr="00467BE7">
              <w:rPr>
                <w:rFonts w:hint="cs"/>
                <w:rtl/>
              </w:rPr>
              <w:t xml:space="preserve">الأصل: </w:t>
            </w:r>
            <w:r w:rsidR="00217DFC" w:rsidRPr="00467BE7">
              <w:rPr>
                <w:rFonts w:hint="cs"/>
                <w:rtl/>
              </w:rPr>
              <w:t>بالإنكليزية</w:t>
            </w:r>
          </w:p>
        </w:tc>
      </w:tr>
      <w:tr w:rsidR="001667B6" w:rsidRPr="00467BE7" w:rsidTr="00BF164F">
        <w:tc>
          <w:tcPr>
            <w:tcW w:w="9571" w:type="dxa"/>
            <w:gridSpan w:val="3"/>
          </w:tcPr>
          <w:p w:rsidR="001667B6" w:rsidRPr="00467BE7" w:rsidRDefault="00B6101C" w:rsidP="00217DFC">
            <w:pPr>
              <w:pStyle w:val="DocumentDateAR"/>
              <w:bidi/>
              <w:rPr>
                <w:rtl/>
              </w:rPr>
            </w:pPr>
            <w:r w:rsidRPr="00467BE7">
              <w:rPr>
                <w:rFonts w:hint="cs"/>
                <w:rtl/>
              </w:rPr>
              <w:t xml:space="preserve">التاريخ: </w:t>
            </w:r>
            <w:r w:rsidR="00217DFC" w:rsidRPr="0004173E">
              <w:rPr>
                <w:rFonts w:hint="cs"/>
                <w:rtl/>
              </w:rPr>
              <w:t>7</w:t>
            </w:r>
            <w:r w:rsidRPr="00467BE7">
              <w:rPr>
                <w:rFonts w:hint="cs"/>
                <w:rtl/>
              </w:rPr>
              <w:t xml:space="preserve"> </w:t>
            </w:r>
            <w:r w:rsidR="00217DFC" w:rsidRPr="00467BE7">
              <w:rPr>
                <w:rFonts w:hint="cs"/>
                <w:rtl/>
              </w:rPr>
              <w:t>يوليو</w:t>
            </w:r>
            <w:r w:rsidRPr="00467BE7">
              <w:rPr>
                <w:rFonts w:hint="cs"/>
                <w:rtl/>
              </w:rPr>
              <w:t xml:space="preserve"> </w:t>
            </w:r>
            <w:r w:rsidR="0064165D" w:rsidRPr="0004173E">
              <w:rPr>
                <w:rFonts w:hint="cs"/>
                <w:rtl/>
              </w:rPr>
              <w:t>2016</w:t>
            </w:r>
          </w:p>
        </w:tc>
      </w:tr>
    </w:tbl>
    <w:p w:rsidR="00A9449A" w:rsidRPr="0004173E" w:rsidRDefault="00A9449A" w:rsidP="00A9449A">
      <w:pPr>
        <w:bidi/>
        <w:spacing w:line="360" w:lineRule="exact"/>
        <w:rPr>
          <w:rFonts w:ascii="Arabic Typesetting" w:hAnsi="Arabic Typesetting" w:cs="Arabic Typesetting"/>
          <w:sz w:val="36"/>
          <w:szCs w:val="36"/>
          <w:rtl/>
        </w:rPr>
      </w:pPr>
    </w:p>
    <w:p w:rsidR="00A9449A" w:rsidRPr="00467BE7" w:rsidRDefault="00A9449A" w:rsidP="00A9449A">
      <w:pPr>
        <w:bidi/>
        <w:spacing w:line="360" w:lineRule="exact"/>
        <w:rPr>
          <w:rFonts w:ascii="Arabic Typesetting" w:hAnsi="Arabic Typesetting" w:cs="Arabic Typesetting"/>
          <w:sz w:val="36"/>
          <w:szCs w:val="36"/>
          <w:rtl/>
        </w:rPr>
      </w:pPr>
    </w:p>
    <w:p w:rsidR="00A9449A" w:rsidRPr="00467BE7" w:rsidRDefault="00A9449A" w:rsidP="00A9449A">
      <w:pPr>
        <w:bidi/>
        <w:spacing w:line="360" w:lineRule="exact"/>
        <w:rPr>
          <w:rFonts w:ascii="Arabic Typesetting" w:hAnsi="Arabic Typesetting" w:cs="Arabic Typesetting"/>
          <w:sz w:val="36"/>
          <w:szCs w:val="36"/>
          <w:rtl/>
        </w:rPr>
      </w:pPr>
    </w:p>
    <w:p w:rsidR="00A9449A" w:rsidRPr="00467BE7" w:rsidRDefault="00A9449A" w:rsidP="00EB406F">
      <w:pPr>
        <w:pStyle w:val="MeetingTitleAR"/>
        <w:bidi/>
        <w:rPr>
          <w:rtl/>
          <w:lang w:val="fr-CH"/>
        </w:rPr>
      </w:pPr>
      <w:r w:rsidRPr="00467BE7">
        <w:rPr>
          <w:rtl/>
        </w:rPr>
        <w:t xml:space="preserve">لجنة </w:t>
      </w:r>
      <w:r w:rsidRPr="00467BE7">
        <w:rPr>
          <w:rFonts w:hint="cs"/>
          <w:rtl/>
          <w:lang w:val="fr-CH"/>
        </w:rPr>
        <w:t>البرنامج والميزانية</w:t>
      </w:r>
    </w:p>
    <w:p w:rsidR="00A9449A" w:rsidRPr="00467BE7" w:rsidRDefault="00A9449A" w:rsidP="00A9449A">
      <w:pPr>
        <w:bidi/>
        <w:spacing w:line="360" w:lineRule="exact"/>
        <w:rPr>
          <w:rFonts w:ascii="Arabic Typesetting" w:hAnsi="Arabic Typesetting" w:cs="Arabic Typesetting"/>
          <w:sz w:val="36"/>
          <w:szCs w:val="36"/>
          <w:rtl/>
        </w:rPr>
      </w:pPr>
    </w:p>
    <w:p w:rsidR="00A9449A" w:rsidRPr="00467BE7" w:rsidRDefault="00A9449A" w:rsidP="00EB406F">
      <w:pPr>
        <w:pStyle w:val="MeetingSessionAR"/>
        <w:bidi/>
        <w:rPr>
          <w:rtl/>
        </w:rPr>
      </w:pPr>
      <w:r w:rsidRPr="00467BE7">
        <w:rPr>
          <w:rtl/>
        </w:rPr>
        <w:t xml:space="preserve">الدورة </w:t>
      </w:r>
      <w:r w:rsidR="001C506C" w:rsidRPr="00467BE7">
        <w:rPr>
          <w:rFonts w:hint="cs"/>
          <w:rtl/>
        </w:rPr>
        <w:t>الخامسة</w:t>
      </w:r>
      <w:r w:rsidRPr="00467BE7">
        <w:rPr>
          <w:rFonts w:hint="cs"/>
          <w:rtl/>
        </w:rPr>
        <w:t xml:space="preserve"> والعشرون</w:t>
      </w:r>
    </w:p>
    <w:p w:rsidR="00A9449A" w:rsidRPr="00467BE7" w:rsidRDefault="00A9449A" w:rsidP="00EB406F">
      <w:pPr>
        <w:pStyle w:val="MeetingDatesAR"/>
        <w:bidi/>
        <w:rPr>
          <w:rtl/>
        </w:rPr>
      </w:pPr>
      <w:r w:rsidRPr="00467BE7">
        <w:rPr>
          <w:rFonts w:hint="cs"/>
          <w:rtl/>
        </w:rPr>
        <w:t xml:space="preserve">جنيف، من </w:t>
      </w:r>
      <w:r w:rsidR="001C506C" w:rsidRPr="0004173E">
        <w:rPr>
          <w:rFonts w:hint="cs"/>
          <w:rtl/>
        </w:rPr>
        <w:t>29</w:t>
      </w:r>
      <w:r w:rsidR="001C506C" w:rsidRPr="00467BE7">
        <w:rPr>
          <w:rFonts w:hint="cs"/>
          <w:rtl/>
        </w:rPr>
        <w:t xml:space="preserve"> أغسطس إلى </w:t>
      </w:r>
      <w:r w:rsidR="001C506C" w:rsidRPr="0004173E">
        <w:rPr>
          <w:rFonts w:hint="cs"/>
          <w:rtl/>
        </w:rPr>
        <w:t>2</w:t>
      </w:r>
      <w:r w:rsidR="001C506C" w:rsidRPr="00467BE7">
        <w:rPr>
          <w:rFonts w:hint="cs"/>
          <w:rtl/>
        </w:rPr>
        <w:t xml:space="preserve"> سبتمبر </w:t>
      </w:r>
      <w:r w:rsidR="001C506C" w:rsidRPr="0004173E">
        <w:rPr>
          <w:rFonts w:hint="cs"/>
          <w:rtl/>
        </w:rPr>
        <w:t>2016</w:t>
      </w:r>
    </w:p>
    <w:p w:rsidR="00A9449A" w:rsidRPr="00467BE7" w:rsidRDefault="00A9449A" w:rsidP="00A9449A">
      <w:pPr>
        <w:bidi/>
        <w:spacing w:line="360" w:lineRule="exact"/>
        <w:rPr>
          <w:rFonts w:ascii="Arabic Typesetting" w:hAnsi="Arabic Typesetting" w:cs="Arabic Typesetting"/>
          <w:sz w:val="36"/>
          <w:szCs w:val="36"/>
          <w:rtl/>
        </w:rPr>
      </w:pPr>
    </w:p>
    <w:p w:rsidR="00A9449A" w:rsidRPr="00467BE7" w:rsidRDefault="00A9449A" w:rsidP="00A9449A">
      <w:pPr>
        <w:bidi/>
        <w:spacing w:line="360" w:lineRule="exact"/>
        <w:rPr>
          <w:rFonts w:ascii="Arabic Typesetting" w:hAnsi="Arabic Typesetting" w:cs="Arabic Typesetting"/>
          <w:sz w:val="36"/>
          <w:szCs w:val="36"/>
          <w:rtl/>
        </w:rPr>
      </w:pPr>
    </w:p>
    <w:p w:rsidR="00A9449A" w:rsidRPr="00467BE7" w:rsidRDefault="00217DFC" w:rsidP="00EB406F">
      <w:pPr>
        <w:pStyle w:val="DocumentTitleAR"/>
        <w:bidi/>
        <w:rPr>
          <w:rtl/>
        </w:rPr>
      </w:pPr>
      <w:r w:rsidRPr="00467BE7">
        <w:rPr>
          <w:rFonts w:hint="cs"/>
          <w:rtl/>
        </w:rPr>
        <w:t>التقرير النهائي عن مشروع البناء الجديد ومشروع</w:t>
      </w:r>
      <w:r w:rsidRPr="00467BE7">
        <w:rPr>
          <w:rFonts w:hint="eastAsia"/>
          <w:rtl/>
        </w:rPr>
        <w:t> </w:t>
      </w:r>
      <w:r w:rsidRPr="00467BE7">
        <w:rPr>
          <w:rFonts w:hint="cs"/>
          <w:rtl/>
        </w:rPr>
        <w:t>قاعة</w:t>
      </w:r>
      <w:r w:rsidRPr="00467BE7">
        <w:rPr>
          <w:rFonts w:hint="eastAsia"/>
          <w:rtl/>
        </w:rPr>
        <w:t> </w:t>
      </w:r>
      <w:r w:rsidRPr="00467BE7">
        <w:rPr>
          <w:rFonts w:hint="cs"/>
          <w:rtl/>
        </w:rPr>
        <w:t>المؤتمرات الجديدة</w:t>
      </w:r>
    </w:p>
    <w:p w:rsidR="00A9449A" w:rsidRPr="00467BE7" w:rsidRDefault="00A9449A" w:rsidP="00EB406F">
      <w:pPr>
        <w:pStyle w:val="PreparedbyAR"/>
        <w:bidi/>
        <w:rPr>
          <w:rtl/>
        </w:rPr>
      </w:pPr>
      <w:r w:rsidRPr="00467BE7">
        <w:rPr>
          <w:rFonts w:hint="cs"/>
          <w:rtl/>
        </w:rPr>
        <w:t>من إعداد</w:t>
      </w:r>
      <w:r w:rsidR="00217DFC" w:rsidRPr="00467BE7">
        <w:rPr>
          <w:rFonts w:hint="cs"/>
          <w:rtl/>
        </w:rPr>
        <w:t xml:space="preserve"> الأمانة</w:t>
      </w:r>
    </w:p>
    <w:p w:rsidR="00A9449A" w:rsidRPr="00467BE7" w:rsidRDefault="00217DFC" w:rsidP="00217DFC">
      <w:pPr>
        <w:pStyle w:val="Heading1AR"/>
        <w:rPr>
          <w:rtl/>
        </w:rPr>
      </w:pPr>
      <w:r w:rsidRPr="00467BE7">
        <w:rPr>
          <w:rFonts w:hint="cs"/>
          <w:rtl/>
        </w:rPr>
        <w:t>المقدمة</w:t>
      </w:r>
    </w:p>
    <w:p w:rsidR="00145FD6" w:rsidRPr="00467BE7" w:rsidRDefault="00217DFC" w:rsidP="00BE55DF">
      <w:pPr>
        <w:pStyle w:val="NumberedParaAR"/>
      </w:pPr>
      <w:r w:rsidRPr="00467BE7">
        <w:rPr>
          <w:rtl/>
        </w:rPr>
        <w:t>‏الغرض من هذه الوثيقة هو تزويد لجنة البرنامج والميزانية ("اللجنة") بتقرير مرحلي محد</w:t>
      </w:r>
      <w:r w:rsidRPr="00467BE7">
        <w:rPr>
          <w:rFonts w:hint="cs"/>
          <w:rtl/>
        </w:rPr>
        <w:t>َّ</w:t>
      </w:r>
      <w:r w:rsidRPr="00467BE7">
        <w:rPr>
          <w:rtl/>
        </w:rPr>
        <w:t>ث عن مشروع البناء الجديد ومشروع قاعة المؤتمرات الجديدة يغط</w:t>
      </w:r>
      <w:r w:rsidR="000E1F53" w:rsidRPr="00467BE7">
        <w:rPr>
          <w:rFonts w:hint="cs"/>
          <w:rtl/>
        </w:rPr>
        <w:t>ي</w:t>
      </w:r>
      <w:r w:rsidRPr="00467BE7">
        <w:rPr>
          <w:rtl/>
        </w:rPr>
        <w:t xml:space="preserve"> الفترة من سبتمبر</w:t>
      </w:r>
      <w:r w:rsidR="00BE55DF" w:rsidRPr="00467BE7">
        <w:rPr>
          <w:rFonts w:hint="cs"/>
          <w:rtl/>
        </w:rPr>
        <w:t> </w:t>
      </w:r>
      <w:r w:rsidRPr="0004173E">
        <w:rPr>
          <w:rFonts w:hint="cs"/>
          <w:rtl/>
        </w:rPr>
        <w:t>2015</w:t>
      </w:r>
      <w:r w:rsidRPr="00467BE7">
        <w:rPr>
          <w:rtl/>
        </w:rPr>
        <w:t xml:space="preserve">، </w:t>
      </w:r>
      <w:r w:rsidRPr="00467BE7">
        <w:rPr>
          <w:rFonts w:hint="cs"/>
          <w:rtl/>
        </w:rPr>
        <w:t>أي منذ موافاة</w:t>
      </w:r>
      <w:r w:rsidRPr="00467BE7">
        <w:rPr>
          <w:rtl/>
        </w:rPr>
        <w:t xml:space="preserve"> اللجنة </w:t>
      </w:r>
      <w:r w:rsidRPr="00467BE7">
        <w:rPr>
          <w:rFonts w:hint="cs"/>
          <w:rtl/>
        </w:rPr>
        <w:t>بال</w:t>
      </w:r>
      <w:r w:rsidRPr="00467BE7">
        <w:rPr>
          <w:rtl/>
        </w:rPr>
        <w:t xml:space="preserve">تقرير </w:t>
      </w:r>
      <w:r w:rsidRPr="00467BE7">
        <w:rPr>
          <w:rFonts w:hint="cs"/>
          <w:rtl/>
        </w:rPr>
        <w:t>ال</w:t>
      </w:r>
      <w:r w:rsidRPr="00467BE7">
        <w:rPr>
          <w:rtl/>
        </w:rPr>
        <w:t>مرحلي</w:t>
      </w:r>
      <w:r w:rsidRPr="00467BE7">
        <w:rPr>
          <w:rFonts w:hint="cs"/>
          <w:rtl/>
        </w:rPr>
        <w:t xml:space="preserve"> السابق</w:t>
      </w:r>
      <w:r w:rsidRPr="00467BE7">
        <w:rPr>
          <w:rtl/>
        </w:rPr>
        <w:t xml:space="preserve"> عن المشروعين (الوثيقة </w:t>
      </w:r>
      <w:r w:rsidRPr="00467BE7">
        <w:rPr>
          <w:cs/>
        </w:rPr>
        <w:t>‎</w:t>
      </w:r>
      <w:r w:rsidRPr="00467BE7">
        <w:t>WO/PBC/</w:t>
      </w:r>
      <w:r w:rsidRPr="0004173E">
        <w:t>24</w:t>
      </w:r>
      <w:r w:rsidRPr="00467BE7">
        <w:t>/</w:t>
      </w:r>
      <w:r w:rsidRPr="0004173E">
        <w:t>13</w:t>
      </w:r>
      <w:r w:rsidRPr="00467BE7">
        <w:rPr>
          <w:rtl/>
        </w:rPr>
        <w:t>‏)</w:t>
      </w:r>
      <w:r w:rsidRPr="00467BE7">
        <w:rPr>
          <w:rFonts w:hint="cs"/>
          <w:rtl/>
        </w:rPr>
        <w:t xml:space="preserve">. </w:t>
      </w:r>
      <w:r w:rsidR="0064140B" w:rsidRPr="00467BE7">
        <w:rPr>
          <w:rFonts w:hint="cs"/>
          <w:rtl/>
        </w:rPr>
        <w:t>وفضلاً عن ذلك، ت</w:t>
      </w:r>
      <w:r w:rsidR="001B5895" w:rsidRPr="00467BE7">
        <w:rPr>
          <w:rFonts w:hint="cs"/>
          <w:rtl/>
        </w:rPr>
        <w:t>عرض</w:t>
      </w:r>
      <w:r w:rsidR="0064140B" w:rsidRPr="00467BE7">
        <w:rPr>
          <w:rFonts w:hint="cs"/>
          <w:rtl/>
        </w:rPr>
        <w:t xml:space="preserve"> هذه</w:t>
      </w:r>
      <w:r w:rsidRPr="00467BE7">
        <w:rPr>
          <w:rFonts w:hint="cs"/>
          <w:rtl/>
        </w:rPr>
        <w:t xml:space="preserve"> الوثيقة</w:t>
      </w:r>
      <w:r w:rsidR="0064140B" w:rsidRPr="00467BE7">
        <w:rPr>
          <w:rFonts w:hint="cs"/>
          <w:rtl/>
        </w:rPr>
        <w:t xml:space="preserve"> </w:t>
      </w:r>
      <w:r w:rsidR="00C170AC" w:rsidRPr="00467BE7">
        <w:rPr>
          <w:rFonts w:hint="cs"/>
          <w:rtl/>
        </w:rPr>
        <w:t>الدروس المستفادة</w:t>
      </w:r>
      <w:r w:rsidRPr="00467BE7">
        <w:rPr>
          <w:rFonts w:hint="cs"/>
          <w:rtl/>
        </w:rPr>
        <w:t xml:space="preserve"> من إدارة المشروع</w:t>
      </w:r>
      <w:r w:rsidR="00C65A06">
        <w:rPr>
          <w:rFonts w:hint="cs"/>
          <w:rtl/>
        </w:rPr>
        <w:t>َ</w:t>
      </w:r>
      <w:r w:rsidRPr="00467BE7">
        <w:rPr>
          <w:rFonts w:hint="cs"/>
          <w:rtl/>
        </w:rPr>
        <w:t>ين.</w:t>
      </w:r>
    </w:p>
    <w:p w:rsidR="00145FD6" w:rsidRPr="00467BE7" w:rsidRDefault="002A5100" w:rsidP="001B5895">
      <w:pPr>
        <w:pStyle w:val="Heading1AR"/>
      </w:pPr>
      <w:r w:rsidRPr="00467BE7">
        <w:rPr>
          <w:rFonts w:hint="cs"/>
          <w:rtl/>
        </w:rPr>
        <w:t>ألف.</w:t>
      </w:r>
      <w:r w:rsidRPr="00467BE7">
        <w:rPr>
          <w:rtl/>
        </w:rPr>
        <w:tab/>
      </w:r>
      <w:r w:rsidR="001B5895" w:rsidRPr="00467BE7">
        <w:rPr>
          <w:rFonts w:hint="cs"/>
          <w:rtl/>
        </w:rPr>
        <w:t>تقرير الأعمال النهائي</w:t>
      </w:r>
    </w:p>
    <w:p w:rsidR="00E36CD9" w:rsidRPr="00467BE7" w:rsidRDefault="00217DFC" w:rsidP="00741133">
      <w:pPr>
        <w:pStyle w:val="NumberedParaAR"/>
      </w:pPr>
      <w:r w:rsidRPr="00467BE7">
        <w:rPr>
          <w:rFonts w:hint="cs"/>
          <w:rtl/>
        </w:rPr>
        <w:t>لم يتبقَ</w:t>
      </w:r>
      <w:r w:rsidR="001B5895" w:rsidRPr="00467BE7">
        <w:rPr>
          <w:rFonts w:hint="cs"/>
          <w:rtl/>
        </w:rPr>
        <w:t xml:space="preserve"> من </w:t>
      </w:r>
      <w:r w:rsidR="00BE55DF" w:rsidRPr="00467BE7">
        <w:rPr>
          <w:rFonts w:hint="cs"/>
          <w:rtl/>
        </w:rPr>
        <w:t>عناصر العمل</w:t>
      </w:r>
      <w:r w:rsidR="001B5895" w:rsidRPr="00467BE7">
        <w:rPr>
          <w:rFonts w:hint="cs"/>
          <w:rtl/>
        </w:rPr>
        <w:t xml:space="preserve"> </w:t>
      </w:r>
      <w:r w:rsidR="00BE55DF" w:rsidRPr="00467BE7">
        <w:rPr>
          <w:rFonts w:hint="cs"/>
          <w:rtl/>
        </w:rPr>
        <w:t>المزمع</w:t>
      </w:r>
      <w:r w:rsidR="001B5895" w:rsidRPr="00467BE7">
        <w:rPr>
          <w:rFonts w:hint="cs"/>
          <w:rtl/>
        </w:rPr>
        <w:t xml:space="preserve"> إنجازها بحلول نهاية عام</w:t>
      </w:r>
      <w:r w:rsidR="001B5895" w:rsidRPr="00467BE7">
        <w:rPr>
          <w:rtl/>
        </w:rPr>
        <w:t> </w:t>
      </w:r>
      <w:r w:rsidR="001B5895" w:rsidRPr="0004173E">
        <w:rPr>
          <w:rFonts w:hint="cs"/>
          <w:rtl/>
        </w:rPr>
        <w:t>2015</w:t>
      </w:r>
      <w:r w:rsidRPr="00467BE7">
        <w:rPr>
          <w:rFonts w:hint="cs"/>
          <w:rtl/>
        </w:rPr>
        <w:t xml:space="preserve"> </w:t>
      </w:r>
      <w:r w:rsidR="001B5895" w:rsidRPr="00467BE7">
        <w:rPr>
          <w:rFonts w:hint="cs"/>
          <w:rtl/>
        </w:rPr>
        <w:t xml:space="preserve">سوى </w:t>
      </w:r>
      <w:r w:rsidR="00BE55DF" w:rsidRPr="00467BE7">
        <w:rPr>
          <w:rFonts w:hint="cs"/>
          <w:rtl/>
        </w:rPr>
        <w:t>عنصر</w:t>
      </w:r>
      <w:r w:rsidRPr="00467BE7">
        <w:rPr>
          <w:rFonts w:hint="cs"/>
          <w:rtl/>
        </w:rPr>
        <w:t xml:space="preserve"> </w:t>
      </w:r>
      <w:r w:rsidR="00BE55DF" w:rsidRPr="00467BE7">
        <w:rPr>
          <w:rFonts w:hint="cs"/>
          <w:rtl/>
        </w:rPr>
        <w:t>رئيسي</w:t>
      </w:r>
      <w:r w:rsidR="001B5895" w:rsidRPr="00467BE7">
        <w:rPr>
          <w:rFonts w:hint="cs"/>
          <w:rtl/>
        </w:rPr>
        <w:t xml:space="preserve"> واحد</w:t>
      </w:r>
      <w:r w:rsidRPr="00467BE7">
        <w:rPr>
          <w:rFonts w:hint="cs"/>
          <w:rtl/>
        </w:rPr>
        <w:t xml:space="preserve"> </w:t>
      </w:r>
      <w:r w:rsidR="00BE55DF" w:rsidRPr="00467BE7">
        <w:rPr>
          <w:rFonts w:hint="cs"/>
          <w:rtl/>
        </w:rPr>
        <w:t>هو أعمال</w:t>
      </w:r>
      <w:r w:rsidR="001B5895" w:rsidRPr="00467BE7">
        <w:rPr>
          <w:rFonts w:hint="cs"/>
          <w:rtl/>
        </w:rPr>
        <w:t xml:space="preserve"> </w:t>
      </w:r>
      <w:r w:rsidRPr="00467BE7">
        <w:rPr>
          <w:rtl/>
        </w:rPr>
        <w:t>استبدال نوافذ الطابق الأر</w:t>
      </w:r>
      <w:r w:rsidRPr="00467BE7">
        <w:rPr>
          <w:rFonts w:hint="cs"/>
          <w:rtl/>
        </w:rPr>
        <w:t>ضي وتصليحها</w:t>
      </w:r>
      <w:r w:rsidR="001B5895" w:rsidRPr="00467BE7">
        <w:rPr>
          <w:rFonts w:hint="cs"/>
          <w:rtl/>
        </w:rPr>
        <w:t xml:space="preserve">؛ </w:t>
      </w:r>
      <w:r w:rsidRPr="00467BE7">
        <w:rPr>
          <w:rFonts w:hint="cs"/>
          <w:rtl/>
        </w:rPr>
        <w:t>وأُنجزت تلك الأعمال في منتصف شهر ديسمبر</w:t>
      </w:r>
      <w:r w:rsidR="00BE55DF" w:rsidRPr="00467BE7">
        <w:rPr>
          <w:rFonts w:hint="eastAsia"/>
          <w:rtl/>
        </w:rPr>
        <w:t> </w:t>
      </w:r>
      <w:r w:rsidRPr="0004173E">
        <w:rPr>
          <w:rFonts w:hint="cs"/>
          <w:rtl/>
        </w:rPr>
        <w:t>2015</w:t>
      </w:r>
      <w:r w:rsidRPr="00467BE7">
        <w:rPr>
          <w:rFonts w:hint="cs"/>
          <w:rtl/>
        </w:rPr>
        <w:t xml:space="preserve"> </w:t>
      </w:r>
      <w:r w:rsidR="00267068" w:rsidRPr="00467BE7">
        <w:rPr>
          <w:rFonts w:hint="cs"/>
          <w:rtl/>
        </w:rPr>
        <w:t>باستخدام</w:t>
      </w:r>
      <w:r w:rsidR="001B5895" w:rsidRPr="00467BE7">
        <w:rPr>
          <w:rFonts w:hint="cs"/>
          <w:rtl/>
        </w:rPr>
        <w:t xml:space="preserve"> </w:t>
      </w:r>
      <w:r w:rsidR="00152D48" w:rsidRPr="00467BE7">
        <w:rPr>
          <w:rFonts w:hint="cs"/>
          <w:rtl/>
        </w:rPr>
        <w:t xml:space="preserve">الأموال </w:t>
      </w:r>
      <w:r w:rsidRPr="00467BE7">
        <w:rPr>
          <w:rtl/>
        </w:rPr>
        <w:t>التي استبقيت من المقاول العام السابق</w:t>
      </w:r>
      <w:r w:rsidRPr="00467BE7">
        <w:rPr>
          <w:rFonts w:hint="cs"/>
          <w:rtl/>
        </w:rPr>
        <w:t xml:space="preserve">. </w:t>
      </w:r>
      <w:r w:rsidR="000E1F53" w:rsidRPr="00467BE7">
        <w:rPr>
          <w:rFonts w:hint="cs"/>
          <w:rtl/>
        </w:rPr>
        <w:t>وحرصاً على إكمال الصورة</w:t>
      </w:r>
      <w:r w:rsidRPr="00467BE7">
        <w:rPr>
          <w:rFonts w:hint="cs"/>
          <w:rtl/>
        </w:rPr>
        <w:t xml:space="preserve">، </w:t>
      </w:r>
      <w:r w:rsidR="000E1F53" w:rsidRPr="00467BE7">
        <w:rPr>
          <w:rFonts w:hint="cs"/>
          <w:rtl/>
        </w:rPr>
        <w:t xml:space="preserve">يجدر الانتباه إلى </w:t>
      </w:r>
      <w:r w:rsidR="001B5895" w:rsidRPr="00467BE7">
        <w:rPr>
          <w:rFonts w:hint="cs"/>
          <w:rtl/>
        </w:rPr>
        <w:t>إرجاء</w:t>
      </w:r>
      <w:r w:rsidRPr="00467BE7">
        <w:rPr>
          <w:rFonts w:hint="cs"/>
          <w:rtl/>
        </w:rPr>
        <w:t xml:space="preserve"> </w:t>
      </w:r>
      <w:r w:rsidR="00BE55DF" w:rsidRPr="00467BE7">
        <w:rPr>
          <w:rFonts w:hint="cs"/>
          <w:rtl/>
        </w:rPr>
        <w:t>عدد من</w:t>
      </w:r>
      <w:r w:rsidRPr="00467BE7">
        <w:rPr>
          <w:rFonts w:hint="cs"/>
          <w:rtl/>
        </w:rPr>
        <w:t xml:space="preserve"> </w:t>
      </w:r>
      <w:r w:rsidR="00BE55DF" w:rsidRPr="00467BE7">
        <w:rPr>
          <w:rFonts w:hint="cs"/>
          <w:rtl/>
        </w:rPr>
        <w:t>ال</w:t>
      </w:r>
      <w:r w:rsidR="001B5895" w:rsidRPr="00467BE7">
        <w:rPr>
          <w:rFonts w:hint="cs"/>
          <w:rtl/>
        </w:rPr>
        <w:t>أعمال</w:t>
      </w:r>
      <w:r w:rsidRPr="00467BE7">
        <w:rPr>
          <w:rFonts w:hint="cs"/>
          <w:rtl/>
        </w:rPr>
        <w:t xml:space="preserve"> </w:t>
      </w:r>
      <w:r w:rsidR="00BE55DF" w:rsidRPr="00467BE7">
        <w:rPr>
          <w:rFonts w:hint="cs"/>
          <w:rtl/>
        </w:rPr>
        <w:t>الصغيرة</w:t>
      </w:r>
      <w:r w:rsidRPr="00467BE7">
        <w:rPr>
          <w:rFonts w:hint="cs"/>
          <w:rtl/>
        </w:rPr>
        <w:t xml:space="preserve"> </w:t>
      </w:r>
      <w:r w:rsidR="000E1F53" w:rsidRPr="00467BE7">
        <w:rPr>
          <w:rFonts w:hint="cs"/>
          <w:rtl/>
        </w:rPr>
        <w:t>لأسباب ت</w:t>
      </w:r>
      <w:r w:rsidR="001B5895" w:rsidRPr="00467BE7">
        <w:rPr>
          <w:rFonts w:hint="cs"/>
          <w:rtl/>
        </w:rPr>
        <w:t>تعلق ب</w:t>
      </w:r>
      <w:r w:rsidR="000E1F53" w:rsidRPr="00467BE7">
        <w:rPr>
          <w:rFonts w:hint="cs"/>
          <w:rtl/>
        </w:rPr>
        <w:t>تخطيط عبء العمل</w:t>
      </w:r>
      <w:r w:rsidRPr="00467BE7">
        <w:rPr>
          <w:rFonts w:hint="cs"/>
          <w:rtl/>
        </w:rPr>
        <w:t>. وي</w:t>
      </w:r>
      <w:r w:rsidR="000E1F53" w:rsidRPr="00467BE7">
        <w:rPr>
          <w:rFonts w:hint="cs"/>
          <w:rtl/>
        </w:rPr>
        <w:t>ُ</w:t>
      </w:r>
      <w:r w:rsidRPr="00467BE7">
        <w:rPr>
          <w:rFonts w:hint="cs"/>
          <w:rtl/>
        </w:rPr>
        <w:t xml:space="preserve">توقع إنجاز تلك </w:t>
      </w:r>
      <w:r w:rsidR="001B5895" w:rsidRPr="00467BE7">
        <w:rPr>
          <w:rFonts w:hint="cs"/>
          <w:rtl/>
        </w:rPr>
        <w:t>الأعمال</w:t>
      </w:r>
      <w:r w:rsidRPr="00467BE7">
        <w:rPr>
          <w:rFonts w:hint="cs"/>
          <w:rtl/>
        </w:rPr>
        <w:t xml:space="preserve"> بحلول </w:t>
      </w:r>
      <w:r w:rsidR="000E1F53" w:rsidRPr="00467BE7">
        <w:rPr>
          <w:rFonts w:hint="cs"/>
          <w:rtl/>
        </w:rPr>
        <w:t>نهاية</w:t>
      </w:r>
      <w:r w:rsidR="001B5895" w:rsidRPr="00467BE7">
        <w:rPr>
          <w:rFonts w:hint="cs"/>
          <w:rtl/>
        </w:rPr>
        <w:t xml:space="preserve"> عام</w:t>
      </w:r>
      <w:r w:rsidR="001B5895" w:rsidRPr="00467BE7">
        <w:rPr>
          <w:rtl/>
        </w:rPr>
        <w:t> </w:t>
      </w:r>
      <w:r w:rsidR="000E1F53" w:rsidRPr="0004173E">
        <w:rPr>
          <w:rFonts w:hint="cs"/>
          <w:rtl/>
        </w:rPr>
        <w:t>2016</w:t>
      </w:r>
      <w:r w:rsidR="000E1F53" w:rsidRPr="00467BE7">
        <w:rPr>
          <w:rFonts w:hint="cs"/>
          <w:rtl/>
        </w:rPr>
        <w:t xml:space="preserve">. </w:t>
      </w:r>
      <w:r w:rsidR="00BE55DF" w:rsidRPr="00467BE7">
        <w:rPr>
          <w:rFonts w:hint="cs"/>
          <w:rtl/>
        </w:rPr>
        <w:t xml:space="preserve">وترد في المرفق الثاني </w:t>
      </w:r>
      <w:r w:rsidR="000E1F53" w:rsidRPr="00467BE7">
        <w:rPr>
          <w:rFonts w:hint="cs"/>
          <w:rtl/>
        </w:rPr>
        <w:t>الالتزامات</w:t>
      </w:r>
      <w:r w:rsidR="001B5895" w:rsidRPr="00467BE7">
        <w:rPr>
          <w:rFonts w:hint="cs"/>
          <w:rtl/>
        </w:rPr>
        <w:t xml:space="preserve"> المتبقية</w:t>
      </w:r>
      <w:r w:rsidR="000E1F53" w:rsidRPr="00467BE7">
        <w:rPr>
          <w:rFonts w:hint="cs"/>
          <w:rtl/>
        </w:rPr>
        <w:t xml:space="preserve"> </w:t>
      </w:r>
      <w:r w:rsidR="00152D48" w:rsidRPr="00467BE7">
        <w:rPr>
          <w:rFonts w:hint="cs"/>
          <w:rtl/>
        </w:rPr>
        <w:t>و</w:t>
      </w:r>
      <w:r w:rsidR="008C2255" w:rsidRPr="00467BE7">
        <w:rPr>
          <w:rFonts w:hint="cs"/>
          <w:rtl/>
        </w:rPr>
        <w:t>المستحقة</w:t>
      </w:r>
      <w:r w:rsidR="00BE55DF" w:rsidRPr="00467BE7">
        <w:rPr>
          <w:rFonts w:hint="cs"/>
          <w:rtl/>
        </w:rPr>
        <w:t xml:space="preserve"> في هذا</w:t>
      </w:r>
      <w:r w:rsidR="00741133">
        <w:rPr>
          <w:rFonts w:hint="eastAsia"/>
          <w:rtl/>
        </w:rPr>
        <w:t> </w:t>
      </w:r>
      <w:r w:rsidR="00BE55DF" w:rsidRPr="00467BE7">
        <w:rPr>
          <w:rFonts w:hint="cs"/>
          <w:rtl/>
        </w:rPr>
        <w:t>الصدد</w:t>
      </w:r>
      <w:r w:rsidR="000E1F53" w:rsidRPr="00467BE7">
        <w:rPr>
          <w:rFonts w:hint="cs"/>
          <w:rtl/>
        </w:rPr>
        <w:t>.</w:t>
      </w:r>
    </w:p>
    <w:p w:rsidR="000E1F53" w:rsidRPr="00467BE7" w:rsidRDefault="001B5895" w:rsidP="00741133">
      <w:pPr>
        <w:pStyle w:val="NumberedParaAR"/>
      </w:pPr>
      <w:r w:rsidRPr="00467BE7">
        <w:rPr>
          <w:rFonts w:hint="cs"/>
          <w:rtl/>
        </w:rPr>
        <w:t>وأرجئ أيضاً</w:t>
      </w:r>
      <w:r w:rsidR="000E1F53" w:rsidRPr="00467BE7">
        <w:rPr>
          <w:rFonts w:hint="cs"/>
          <w:rtl/>
        </w:rPr>
        <w:t xml:space="preserve"> عدد </w:t>
      </w:r>
      <w:r w:rsidRPr="00467BE7">
        <w:rPr>
          <w:rFonts w:hint="cs"/>
          <w:rtl/>
        </w:rPr>
        <w:t>من الأعمال</w:t>
      </w:r>
      <w:r w:rsidR="000E1F53" w:rsidRPr="00467BE7">
        <w:rPr>
          <w:rFonts w:hint="cs"/>
          <w:rtl/>
        </w:rPr>
        <w:t xml:space="preserve"> الصغيرة </w:t>
      </w:r>
      <w:r w:rsidRPr="00467BE7">
        <w:rPr>
          <w:rFonts w:hint="cs"/>
          <w:rtl/>
        </w:rPr>
        <w:t>في</w:t>
      </w:r>
      <w:r w:rsidR="000E1F53" w:rsidRPr="00467BE7">
        <w:rPr>
          <w:rFonts w:hint="cs"/>
          <w:rtl/>
        </w:rPr>
        <w:t xml:space="preserve"> مشروع قاعة المؤتمرات الجديدة، وي</w:t>
      </w:r>
      <w:r w:rsidR="00BE55DF" w:rsidRPr="00467BE7">
        <w:rPr>
          <w:rFonts w:hint="cs"/>
          <w:rtl/>
        </w:rPr>
        <w:t>ُ</w:t>
      </w:r>
      <w:r w:rsidR="000E1F53" w:rsidRPr="00467BE7">
        <w:rPr>
          <w:rFonts w:hint="cs"/>
          <w:rtl/>
        </w:rPr>
        <w:t xml:space="preserve">توقع إنجاز تلك </w:t>
      </w:r>
      <w:r w:rsidRPr="00467BE7">
        <w:rPr>
          <w:rFonts w:hint="cs"/>
          <w:rtl/>
        </w:rPr>
        <w:t xml:space="preserve">الأعمال بحلول </w:t>
      </w:r>
      <w:r w:rsidR="000E1F53" w:rsidRPr="00467BE7">
        <w:rPr>
          <w:rFonts w:hint="cs"/>
          <w:rtl/>
        </w:rPr>
        <w:t>نهاية</w:t>
      </w:r>
      <w:r w:rsidR="00BE55DF" w:rsidRPr="00467BE7">
        <w:rPr>
          <w:rFonts w:hint="eastAsia"/>
          <w:rtl/>
        </w:rPr>
        <w:t> </w:t>
      </w:r>
      <w:r w:rsidRPr="00467BE7">
        <w:rPr>
          <w:rFonts w:hint="cs"/>
          <w:rtl/>
        </w:rPr>
        <w:t>عام</w:t>
      </w:r>
      <w:r w:rsidRPr="00467BE7">
        <w:rPr>
          <w:rtl/>
        </w:rPr>
        <w:t> </w:t>
      </w:r>
      <w:r w:rsidR="000E1F53" w:rsidRPr="0004173E">
        <w:rPr>
          <w:rFonts w:hint="cs"/>
          <w:rtl/>
        </w:rPr>
        <w:t>2016</w:t>
      </w:r>
      <w:r w:rsidR="000E1F53" w:rsidRPr="00467BE7">
        <w:rPr>
          <w:rFonts w:hint="cs"/>
          <w:rtl/>
        </w:rPr>
        <w:t>. وترد</w:t>
      </w:r>
      <w:r w:rsidR="00BE55DF" w:rsidRPr="00467BE7">
        <w:rPr>
          <w:rFonts w:hint="cs"/>
          <w:rtl/>
        </w:rPr>
        <w:t xml:space="preserve"> في المرفق الثاني</w:t>
      </w:r>
      <w:r w:rsidR="000E1F53" w:rsidRPr="00467BE7">
        <w:rPr>
          <w:rFonts w:hint="cs"/>
          <w:rtl/>
        </w:rPr>
        <w:t xml:space="preserve"> الالتزامات </w:t>
      </w:r>
      <w:r w:rsidR="00BE55DF" w:rsidRPr="00467BE7">
        <w:rPr>
          <w:rFonts w:hint="cs"/>
          <w:rtl/>
        </w:rPr>
        <w:t xml:space="preserve">المتبقية </w:t>
      </w:r>
      <w:r w:rsidR="00152D48" w:rsidRPr="00467BE7">
        <w:rPr>
          <w:rFonts w:hint="cs"/>
          <w:rtl/>
        </w:rPr>
        <w:t>و</w:t>
      </w:r>
      <w:r w:rsidR="008C2255" w:rsidRPr="00467BE7">
        <w:rPr>
          <w:rFonts w:hint="cs"/>
          <w:rtl/>
        </w:rPr>
        <w:t>المستحقة</w:t>
      </w:r>
      <w:r w:rsidR="00BE55DF" w:rsidRPr="00467BE7">
        <w:rPr>
          <w:rFonts w:hint="cs"/>
          <w:rtl/>
        </w:rPr>
        <w:t xml:space="preserve"> في هذا الصدد</w:t>
      </w:r>
      <w:r w:rsidR="000E1F53" w:rsidRPr="00467BE7">
        <w:rPr>
          <w:rFonts w:hint="cs"/>
          <w:rtl/>
        </w:rPr>
        <w:t>.</w:t>
      </w:r>
    </w:p>
    <w:p w:rsidR="000E1F53" w:rsidRPr="00467BE7" w:rsidRDefault="002A5100" w:rsidP="000E1F53">
      <w:pPr>
        <w:pStyle w:val="Heading1AR"/>
      </w:pPr>
      <w:r w:rsidRPr="00467BE7">
        <w:rPr>
          <w:rFonts w:hint="cs"/>
          <w:rtl/>
        </w:rPr>
        <w:t>باء.</w:t>
      </w:r>
      <w:r w:rsidRPr="00467BE7">
        <w:rPr>
          <w:rtl/>
        </w:rPr>
        <w:tab/>
      </w:r>
      <w:r w:rsidR="000E1F53" w:rsidRPr="00467BE7">
        <w:rPr>
          <w:rFonts w:hint="cs"/>
          <w:rtl/>
        </w:rPr>
        <w:t>ملخص وضع الميزانية والنفقات</w:t>
      </w:r>
    </w:p>
    <w:p w:rsidR="000E1F53" w:rsidRPr="00467BE7" w:rsidRDefault="008D75B8" w:rsidP="00741133">
      <w:pPr>
        <w:pStyle w:val="NumberedParaAR"/>
      </w:pPr>
      <w:r w:rsidRPr="00467BE7">
        <w:rPr>
          <w:rFonts w:hint="cs"/>
          <w:rtl/>
        </w:rPr>
        <w:t xml:space="preserve">فيما يخص مشروع البناء الجديد، بلغ </w:t>
      </w:r>
      <w:r w:rsidR="00152D48" w:rsidRPr="00467BE7">
        <w:rPr>
          <w:rFonts w:hint="cs"/>
          <w:rtl/>
        </w:rPr>
        <w:t xml:space="preserve">الرصيد غير المخصص </w:t>
      </w:r>
      <w:r w:rsidR="00BE55DF" w:rsidRPr="00467BE7">
        <w:rPr>
          <w:rFonts w:hint="cs"/>
          <w:rtl/>
        </w:rPr>
        <w:t>من ميزانية</w:t>
      </w:r>
      <w:r w:rsidRPr="00467BE7">
        <w:rPr>
          <w:rFonts w:hint="cs"/>
          <w:rtl/>
        </w:rPr>
        <w:t xml:space="preserve"> </w:t>
      </w:r>
      <w:r w:rsidR="00DE1E83" w:rsidRPr="00467BE7">
        <w:rPr>
          <w:rFonts w:hint="cs"/>
          <w:rtl/>
        </w:rPr>
        <w:t>المشروع</w:t>
      </w:r>
      <w:r w:rsidRPr="00467BE7">
        <w:rPr>
          <w:rFonts w:hint="cs"/>
          <w:rtl/>
        </w:rPr>
        <w:t xml:space="preserve"> </w:t>
      </w:r>
      <w:r w:rsidR="00152D48" w:rsidRPr="00467BE7">
        <w:rPr>
          <w:rFonts w:hint="cs"/>
          <w:rtl/>
        </w:rPr>
        <w:t>في</w:t>
      </w:r>
      <w:r w:rsidRPr="00467BE7">
        <w:rPr>
          <w:rFonts w:hint="cs"/>
          <w:rtl/>
        </w:rPr>
        <w:t xml:space="preserve"> تاريخ إعداد هذه الوثيقة </w:t>
      </w:r>
      <w:r w:rsidRPr="0004173E">
        <w:rPr>
          <w:rFonts w:hint="cs"/>
          <w:rtl/>
        </w:rPr>
        <w:t>308</w:t>
      </w:r>
      <w:r w:rsidRPr="00467BE7">
        <w:rPr>
          <w:rFonts w:hint="cs"/>
          <w:rtl/>
        </w:rPr>
        <w:t> </w:t>
      </w:r>
      <w:r w:rsidRPr="0004173E">
        <w:rPr>
          <w:rFonts w:hint="cs"/>
          <w:rtl/>
        </w:rPr>
        <w:t>167</w:t>
      </w:r>
      <w:r w:rsidRPr="00467BE7">
        <w:rPr>
          <w:rFonts w:hint="cs"/>
          <w:rtl/>
        </w:rPr>
        <w:t xml:space="preserve"> فرنكات سويسرية. و</w:t>
      </w:r>
      <w:r w:rsidR="00152D48" w:rsidRPr="00467BE7">
        <w:rPr>
          <w:rFonts w:hint="cs"/>
          <w:rtl/>
        </w:rPr>
        <w:t>ي</w:t>
      </w:r>
      <w:r w:rsidR="00DE1E83" w:rsidRPr="00467BE7">
        <w:rPr>
          <w:rFonts w:hint="cs"/>
          <w:rtl/>
        </w:rPr>
        <w:t>ُ</w:t>
      </w:r>
      <w:r w:rsidR="00152D48" w:rsidRPr="00467BE7">
        <w:rPr>
          <w:rFonts w:hint="cs"/>
          <w:rtl/>
        </w:rPr>
        <w:t>ذكَّر</w:t>
      </w:r>
      <w:r w:rsidRPr="00467BE7">
        <w:rPr>
          <w:rFonts w:hint="cs"/>
          <w:rtl/>
        </w:rPr>
        <w:t xml:space="preserve"> </w:t>
      </w:r>
      <w:r w:rsidR="00152D48" w:rsidRPr="00467BE7">
        <w:rPr>
          <w:rFonts w:hint="cs"/>
          <w:rtl/>
        </w:rPr>
        <w:t xml:space="preserve">بأن </w:t>
      </w:r>
      <w:r w:rsidRPr="00467BE7">
        <w:rPr>
          <w:rFonts w:hint="cs"/>
          <w:rtl/>
        </w:rPr>
        <w:t xml:space="preserve">الميزانية </w:t>
      </w:r>
      <w:r w:rsidR="00895A1F" w:rsidRPr="00467BE7">
        <w:rPr>
          <w:rFonts w:hint="cs"/>
          <w:rtl/>
        </w:rPr>
        <w:t>المنقحة</w:t>
      </w:r>
      <w:r w:rsidRPr="00467BE7">
        <w:rPr>
          <w:rFonts w:hint="cs"/>
          <w:rtl/>
        </w:rPr>
        <w:t xml:space="preserve"> </w:t>
      </w:r>
      <w:r w:rsidR="00DE1E83" w:rsidRPr="00467BE7">
        <w:rPr>
          <w:rFonts w:hint="cs"/>
          <w:rtl/>
        </w:rPr>
        <w:t>التي اعتمدتها الجمعيات حتى نهاية عام</w:t>
      </w:r>
      <w:r w:rsidR="00DE1E83" w:rsidRPr="00467BE7">
        <w:rPr>
          <w:rtl/>
        </w:rPr>
        <w:t> </w:t>
      </w:r>
      <w:r w:rsidR="00DE1E83" w:rsidRPr="0004173E">
        <w:rPr>
          <w:rFonts w:hint="cs"/>
          <w:rtl/>
        </w:rPr>
        <w:t>2015</w:t>
      </w:r>
      <w:r w:rsidR="00DE1E83" w:rsidRPr="00467BE7">
        <w:rPr>
          <w:rFonts w:hint="cs"/>
          <w:rtl/>
        </w:rPr>
        <w:t xml:space="preserve"> تبلغ </w:t>
      </w:r>
      <w:r w:rsidRPr="0004173E">
        <w:rPr>
          <w:rFonts w:hint="cs"/>
          <w:rtl/>
        </w:rPr>
        <w:t>643</w:t>
      </w:r>
      <w:r w:rsidRPr="00467BE7">
        <w:rPr>
          <w:rFonts w:hint="cs"/>
          <w:rtl/>
        </w:rPr>
        <w:t> </w:t>
      </w:r>
      <w:r w:rsidRPr="0004173E">
        <w:rPr>
          <w:rFonts w:hint="cs"/>
          <w:rtl/>
        </w:rPr>
        <w:t>642</w:t>
      </w:r>
      <w:r w:rsidRPr="00467BE7">
        <w:rPr>
          <w:rFonts w:hint="cs"/>
          <w:rtl/>
        </w:rPr>
        <w:t> </w:t>
      </w:r>
      <w:r w:rsidRPr="0004173E">
        <w:rPr>
          <w:rFonts w:hint="cs"/>
          <w:rtl/>
        </w:rPr>
        <w:t>157</w:t>
      </w:r>
      <w:r w:rsidR="00741133">
        <w:rPr>
          <w:rFonts w:hint="eastAsia"/>
          <w:rtl/>
        </w:rPr>
        <w:t> </w:t>
      </w:r>
      <w:r w:rsidRPr="00467BE7">
        <w:rPr>
          <w:rFonts w:hint="cs"/>
          <w:rtl/>
        </w:rPr>
        <w:t>فرنكاً</w:t>
      </w:r>
      <w:r w:rsidR="00741133">
        <w:rPr>
          <w:rFonts w:hint="eastAsia"/>
          <w:rtl/>
        </w:rPr>
        <w:t> </w:t>
      </w:r>
      <w:r w:rsidRPr="00467BE7">
        <w:rPr>
          <w:rFonts w:hint="cs"/>
          <w:rtl/>
        </w:rPr>
        <w:t xml:space="preserve">سويسرياً (انظر المرفق الثاني). وسيحوَّل </w:t>
      </w:r>
      <w:r w:rsidR="00152D48" w:rsidRPr="00467BE7">
        <w:rPr>
          <w:rFonts w:hint="cs"/>
          <w:rtl/>
        </w:rPr>
        <w:t>هذا الرصيد</w:t>
      </w:r>
      <w:r w:rsidRPr="00467BE7">
        <w:rPr>
          <w:rFonts w:hint="cs"/>
          <w:rtl/>
        </w:rPr>
        <w:t xml:space="preserve"> إلى الأموال الاحتياطية</w:t>
      </w:r>
      <w:r w:rsidR="001E570E" w:rsidRPr="00467BE7">
        <w:rPr>
          <w:rFonts w:hint="cs"/>
          <w:rtl/>
        </w:rPr>
        <w:t xml:space="preserve"> </w:t>
      </w:r>
      <w:r w:rsidRPr="00467BE7">
        <w:rPr>
          <w:rFonts w:hint="cs"/>
          <w:rtl/>
        </w:rPr>
        <w:t>للمنظمة.</w:t>
      </w:r>
    </w:p>
    <w:p w:rsidR="008D75B8" w:rsidRPr="00467BE7" w:rsidRDefault="008D75B8" w:rsidP="00895A1F">
      <w:pPr>
        <w:pStyle w:val="NumberedParaAR"/>
      </w:pPr>
      <w:r w:rsidRPr="00467BE7">
        <w:rPr>
          <w:rFonts w:hint="cs"/>
          <w:rtl/>
        </w:rPr>
        <w:lastRenderedPageBreak/>
        <w:t xml:space="preserve">وفيما يتعلق بمشروع قاعة المؤتمرات الجديدة، استُكملت المناقشات النهائية </w:t>
      </w:r>
      <w:r w:rsidR="002A5100" w:rsidRPr="00467BE7">
        <w:rPr>
          <w:rFonts w:hint="cs"/>
          <w:rtl/>
        </w:rPr>
        <w:t>مع المنشآت المئة والثمانية المسؤولة عن استكمال أعمال البناء</w:t>
      </w:r>
      <w:r w:rsidR="00DE1E83" w:rsidRPr="00467BE7">
        <w:rPr>
          <w:rFonts w:hint="cs"/>
          <w:rtl/>
        </w:rPr>
        <w:t xml:space="preserve"> </w:t>
      </w:r>
      <w:r w:rsidR="00DE1E83" w:rsidRPr="00467BE7">
        <w:rPr>
          <w:rtl/>
        </w:rPr>
        <w:t>–</w:t>
      </w:r>
      <w:r w:rsidR="002A5100" w:rsidRPr="00467BE7">
        <w:rPr>
          <w:rFonts w:hint="cs"/>
          <w:rtl/>
        </w:rPr>
        <w:t xml:space="preserve"> ومنها شركات البناء والتوريد ومكاتب المتخصصين والخبراء المهنيين ومنهم المهندس</w:t>
      </w:r>
      <w:r w:rsidR="00152D48" w:rsidRPr="00467BE7">
        <w:rPr>
          <w:rFonts w:hint="cs"/>
          <w:rtl/>
        </w:rPr>
        <w:t xml:space="preserve"> المعماري</w:t>
      </w:r>
      <w:r w:rsidR="00DE1E83" w:rsidRPr="00467BE7">
        <w:rPr>
          <w:rFonts w:hint="cs"/>
          <w:rtl/>
        </w:rPr>
        <w:t xml:space="preserve"> </w:t>
      </w:r>
      <w:r w:rsidR="00DE1E83" w:rsidRPr="00467BE7">
        <w:rPr>
          <w:rtl/>
        </w:rPr>
        <w:t>–</w:t>
      </w:r>
      <w:r w:rsidR="002A5100" w:rsidRPr="00467BE7">
        <w:rPr>
          <w:rFonts w:hint="cs"/>
          <w:rtl/>
        </w:rPr>
        <w:t xml:space="preserve"> ووافقت</w:t>
      </w:r>
      <w:r w:rsidR="00152D48" w:rsidRPr="00467BE7">
        <w:rPr>
          <w:rFonts w:hint="eastAsia"/>
          <w:rtl/>
        </w:rPr>
        <w:t> </w:t>
      </w:r>
      <w:r w:rsidR="002A5100" w:rsidRPr="00467BE7">
        <w:rPr>
          <w:rFonts w:hint="cs"/>
          <w:rtl/>
        </w:rPr>
        <w:t xml:space="preserve">تلك المنشآت على الحسابات الختامية. </w:t>
      </w:r>
      <w:r w:rsidR="00DE1E83" w:rsidRPr="00467BE7">
        <w:rPr>
          <w:rFonts w:hint="cs"/>
          <w:rtl/>
        </w:rPr>
        <w:t>و</w:t>
      </w:r>
      <w:r w:rsidR="002A5100" w:rsidRPr="00467BE7">
        <w:rPr>
          <w:rFonts w:hint="cs"/>
          <w:rtl/>
        </w:rPr>
        <w:t xml:space="preserve">بلغ </w:t>
      </w:r>
      <w:r w:rsidR="00DE1E83" w:rsidRPr="00467BE7">
        <w:rPr>
          <w:rFonts w:hint="cs"/>
          <w:rtl/>
        </w:rPr>
        <w:t xml:space="preserve">الرصيد </w:t>
      </w:r>
      <w:r w:rsidR="002A5100" w:rsidRPr="00467BE7">
        <w:rPr>
          <w:rFonts w:hint="cs"/>
          <w:rtl/>
        </w:rPr>
        <w:t xml:space="preserve">غير </w:t>
      </w:r>
      <w:r w:rsidR="00DE1E83" w:rsidRPr="00467BE7">
        <w:rPr>
          <w:rFonts w:hint="cs"/>
          <w:rtl/>
        </w:rPr>
        <w:t>المخصص من ميزانية المشروع في تاريخ إعداد هذه الوثيقة</w:t>
      </w:r>
      <w:r w:rsidR="002A5100" w:rsidRPr="00467BE7">
        <w:rPr>
          <w:rFonts w:hint="cs"/>
          <w:rtl/>
        </w:rPr>
        <w:t xml:space="preserve"> </w:t>
      </w:r>
      <w:r w:rsidR="002A5100" w:rsidRPr="0004173E">
        <w:rPr>
          <w:rFonts w:hint="cs"/>
          <w:rtl/>
        </w:rPr>
        <w:t>665</w:t>
      </w:r>
      <w:r w:rsidR="002A5100" w:rsidRPr="00467BE7">
        <w:rPr>
          <w:rFonts w:hint="cs"/>
          <w:rtl/>
        </w:rPr>
        <w:t> </w:t>
      </w:r>
      <w:r w:rsidR="002A5100" w:rsidRPr="0004173E">
        <w:rPr>
          <w:rFonts w:hint="cs"/>
          <w:rtl/>
        </w:rPr>
        <w:t>048</w:t>
      </w:r>
      <w:r w:rsidR="002A5100" w:rsidRPr="00467BE7">
        <w:rPr>
          <w:rFonts w:hint="cs"/>
          <w:rtl/>
        </w:rPr>
        <w:t> </w:t>
      </w:r>
      <w:r w:rsidR="002A5100" w:rsidRPr="0004173E">
        <w:rPr>
          <w:rFonts w:hint="cs"/>
          <w:rtl/>
        </w:rPr>
        <w:t>1</w:t>
      </w:r>
      <w:r w:rsidR="002A5100" w:rsidRPr="00467BE7">
        <w:rPr>
          <w:rFonts w:hint="cs"/>
          <w:rtl/>
        </w:rPr>
        <w:t xml:space="preserve"> فرنكاً</w:t>
      </w:r>
      <w:r w:rsidR="00DE1E83" w:rsidRPr="00467BE7">
        <w:rPr>
          <w:rFonts w:hint="eastAsia"/>
          <w:rtl/>
        </w:rPr>
        <w:t> </w:t>
      </w:r>
      <w:r w:rsidR="002A5100" w:rsidRPr="00467BE7">
        <w:rPr>
          <w:rFonts w:hint="cs"/>
          <w:rtl/>
        </w:rPr>
        <w:t>سويسرياً. و</w:t>
      </w:r>
      <w:r w:rsidR="00DE1E83" w:rsidRPr="00467BE7">
        <w:rPr>
          <w:rFonts w:hint="cs"/>
          <w:rtl/>
        </w:rPr>
        <w:t>يُذكَّر</w:t>
      </w:r>
      <w:r w:rsidR="002A5100" w:rsidRPr="00467BE7">
        <w:rPr>
          <w:rFonts w:hint="cs"/>
          <w:rtl/>
        </w:rPr>
        <w:t xml:space="preserve"> </w:t>
      </w:r>
      <w:r w:rsidR="00DE1E83" w:rsidRPr="00467BE7">
        <w:rPr>
          <w:rFonts w:hint="cs"/>
          <w:rtl/>
        </w:rPr>
        <w:t xml:space="preserve">بأن </w:t>
      </w:r>
      <w:r w:rsidR="002A5100" w:rsidRPr="00467BE7">
        <w:rPr>
          <w:rFonts w:hint="cs"/>
          <w:rtl/>
        </w:rPr>
        <w:t xml:space="preserve">الميزانية </w:t>
      </w:r>
      <w:r w:rsidR="00895A1F" w:rsidRPr="00467BE7">
        <w:rPr>
          <w:rFonts w:hint="cs"/>
          <w:rtl/>
        </w:rPr>
        <w:t>المنقحة</w:t>
      </w:r>
      <w:r w:rsidR="002A5100" w:rsidRPr="00467BE7">
        <w:rPr>
          <w:rFonts w:hint="cs"/>
          <w:rtl/>
        </w:rPr>
        <w:t xml:space="preserve"> </w:t>
      </w:r>
      <w:r w:rsidR="00DE1E83" w:rsidRPr="00467BE7">
        <w:rPr>
          <w:rFonts w:hint="cs"/>
          <w:rtl/>
        </w:rPr>
        <w:t xml:space="preserve">التي اعتمدتها الجمعيات حتى نهاية عام </w:t>
      </w:r>
      <w:r w:rsidR="00DE1E83" w:rsidRPr="0004173E">
        <w:rPr>
          <w:rFonts w:hint="cs"/>
          <w:rtl/>
        </w:rPr>
        <w:t>2015</w:t>
      </w:r>
      <w:r w:rsidR="00DE1E83" w:rsidRPr="00467BE7">
        <w:rPr>
          <w:rFonts w:hint="cs"/>
          <w:rtl/>
        </w:rPr>
        <w:t xml:space="preserve"> تبلغ</w:t>
      </w:r>
      <w:r w:rsidR="002A5100" w:rsidRPr="00467BE7">
        <w:rPr>
          <w:rFonts w:hint="cs"/>
          <w:rtl/>
        </w:rPr>
        <w:t xml:space="preserve"> </w:t>
      </w:r>
      <w:r w:rsidR="002A5100" w:rsidRPr="0004173E">
        <w:rPr>
          <w:rFonts w:hint="cs"/>
          <w:rtl/>
        </w:rPr>
        <w:t>000</w:t>
      </w:r>
      <w:r w:rsidR="002A5100" w:rsidRPr="00467BE7">
        <w:rPr>
          <w:rFonts w:hint="cs"/>
          <w:rtl/>
        </w:rPr>
        <w:t> </w:t>
      </w:r>
      <w:r w:rsidR="002A5100" w:rsidRPr="0004173E">
        <w:rPr>
          <w:rFonts w:hint="cs"/>
          <w:rtl/>
        </w:rPr>
        <w:t>700</w:t>
      </w:r>
      <w:r w:rsidR="002A5100" w:rsidRPr="00467BE7">
        <w:rPr>
          <w:rFonts w:hint="cs"/>
          <w:rtl/>
        </w:rPr>
        <w:t> </w:t>
      </w:r>
      <w:r w:rsidR="002A5100" w:rsidRPr="0004173E">
        <w:rPr>
          <w:rFonts w:hint="cs"/>
          <w:rtl/>
        </w:rPr>
        <w:t>78</w:t>
      </w:r>
      <w:r w:rsidR="002A5100" w:rsidRPr="00467BE7">
        <w:rPr>
          <w:rFonts w:hint="cs"/>
          <w:rtl/>
        </w:rPr>
        <w:t xml:space="preserve"> فرنك سويسري (انظر المرفق الثاني). وبعد الانتهاء من أعمال التشطيب المتبقية بحلول نهاية</w:t>
      </w:r>
      <w:r w:rsidR="001B5895" w:rsidRPr="00467BE7">
        <w:rPr>
          <w:rFonts w:hint="cs"/>
          <w:rtl/>
        </w:rPr>
        <w:t xml:space="preserve"> عام</w:t>
      </w:r>
      <w:r w:rsidR="001B5895" w:rsidRPr="00467BE7">
        <w:rPr>
          <w:rtl/>
        </w:rPr>
        <w:t> </w:t>
      </w:r>
      <w:r w:rsidR="002A5100" w:rsidRPr="0004173E">
        <w:rPr>
          <w:rFonts w:hint="cs"/>
          <w:rtl/>
        </w:rPr>
        <w:t>2016</w:t>
      </w:r>
      <w:r w:rsidR="002A5100" w:rsidRPr="00467BE7">
        <w:rPr>
          <w:rFonts w:hint="cs"/>
          <w:rtl/>
        </w:rPr>
        <w:t>، سيحو</w:t>
      </w:r>
      <w:r w:rsidR="00DE1E83" w:rsidRPr="00467BE7">
        <w:rPr>
          <w:rFonts w:hint="cs"/>
          <w:rtl/>
        </w:rPr>
        <w:t>َّ</w:t>
      </w:r>
      <w:r w:rsidR="002A5100" w:rsidRPr="00467BE7">
        <w:rPr>
          <w:rFonts w:hint="cs"/>
          <w:rtl/>
        </w:rPr>
        <w:t xml:space="preserve">ل </w:t>
      </w:r>
      <w:r w:rsidR="00DE1E83" w:rsidRPr="00467BE7">
        <w:rPr>
          <w:rFonts w:hint="cs"/>
          <w:rtl/>
        </w:rPr>
        <w:t xml:space="preserve">الرصيد الصافي </w:t>
      </w:r>
      <w:r w:rsidR="002A5100" w:rsidRPr="00467BE7">
        <w:rPr>
          <w:rFonts w:hint="cs"/>
          <w:rtl/>
        </w:rPr>
        <w:t>إلى الأموال الاحتياطية للمنظمة.</w:t>
      </w:r>
    </w:p>
    <w:p w:rsidR="0009250D" w:rsidRPr="00467BE7" w:rsidRDefault="0009250D" w:rsidP="0009250D">
      <w:pPr>
        <w:pStyle w:val="NumberedParaAR"/>
      </w:pPr>
      <w:r w:rsidRPr="00467BE7">
        <w:rPr>
          <w:rFonts w:hint="cs"/>
          <w:rtl/>
        </w:rPr>
        <w:t>أما عن المشروعين، فقد تجاوز إجمالي النفقات والالتزامات المتبقية في تاريخ إعداد هذه الوثيقة (</w:t>
      </w:r>
      <w:r w:rsidRPr="0004173E">
        <w:rPr>
          <w:rFonts w:hint="cs"/>
          <w:rtl/>
        </w:rPr>
        <w:t>023</w:t>
      </w:r>
      <w:r w:rsidRPr="00467BE7">
        <w:rPr>
          <w:rFonts w:hint="cs"/>
          <w:rtl/>
        </w:rPr>
        <w:t> </w:t>
      </w:r>
      <w:r w:rsidRPr="0004173E">
        <w:rPr>
          <w:rFonts w:hint="cs"/>
          <w:rtl/>
        </w:rPr>
        <w:t>113</w:t>
      </w:r>
      <w:r w:rsidRPr="00467BE7">
        <w:rPr>
          <w:rFonts w:hint="cs"/>
          <w:rtl/>
        </w:rPr>
        <w:t> </w:t>
      </w:r>
      <w:r w:rsidRPr="0004173E">
        <w:rPr>
          <w:rFonts w:hint="cs"/>
          <w:rtl/>
        </w:rPr>
        <w:t>235</w:t>
      </w:r>
      <w:r w:rsidRPr="00467BE7">
        <w:rPr>
          <w:rFonts w:hint="eastAsia"/>
          <w:rtl/>
        </w:rPr>
        <w:t> </w:t>
      </w:r>
      <w:r w:rsidRPr="00467BE7">
        <w:rPr>
          <w:rFonts w:hint="cs"/>
          <w:rtl/>
        </w:rPr>
        <w:t>فرنكاً سويسرياً) الميزانية الأصلية المعتمدة (</w:t>
      </w:r>
      <w:r w:rsidRPr="0004173E">
        <w:rPr>
          <w:rFonts w:hint="cs"/>
          <w:rtl/>
        </w:rPr>
        <w:t>643</w:t>
      </w:r>
      <w:r w:rsidRPr="00467BE7">
        <w:rPr>
          <w:rFonts w:hint="cs"/>
          <w:rtl/>
        </w:rPr>
        <w:t> </w:t>
      </w:r>
      <w:r w:rsidRPr="0004173E">
        <w:rPr>
          <w:rFonts w:hint="cs"/>
          <w:rtl/>
        </w:rPr>
        <w:t>942</w:t>
      </w:r>
      <w:r w:rsidRPr="00467BE7">
        <w:rPr>
          <w:rFonts w:hint="cs"/>
          <w:rtl/>
        </w:rPr>
        <w:t> </w:t>
      </w:r>
      <w:r w:rsidRPr="0004173E">
        <w:rPr>
          <w:rFonts w:hint="cs"/>
          <w:rtl/>
        </w:rPr>
        <w:t>229</w:t>
      </w:r>
      <w:r w:rsidRPr="00467BE7">
        <w:rPr>
          <w:rFonts w:hint="cs"/>
          <w:rtl/>
        </w:rPr>
        <w:t xml:space="preserve"> فرنكاً سويسرياً) بنسبة </w:t>
      </w:r>
      <w:r w:rsidRPr="0004173E">
        <w:rPr>
          <w:rFonts w:hint="cs"/>
          <w:rtl/>
        </w:rPr>
        <w:t>2</w:t>
      </w:r>
      <w:r w:rsidRPr="00467BE7">
        <w:rPr>
          <w:rFonts w:hint="cs"/>
          <w:rtl/>
        </w:rPr>
        <w:t>.</w:t>
      </w:r>
      <w:r w:rsidRPr="0004173E">
        <w:rPr>
          <w:rFonts w:hint="cs"/>
          <w:rtl/>
        </w:rPr>
        <w:t>25</w:t>
      </w:r>
      <w:r w:rsidRPr="00467BE7">
        <w:rPr>
          <w:rFonts w:hint="cs"/>
          <w:rtl/>
        </w:rPr>
        <w:t xml:space="preserve"> بالمئة.</w:t>
      </w:r>
    </w:p>
    <w:p w:rsidR="002A5100" w:rsidRPr="00467BE7" w:rsidRDefault="002A5100" w:rsidP="002A5100">
      <w:pPr>
        <w:pStyle w:val="Heading1AR"/>
      </w:pPr>
      <w:r w:rsidRPr="00467BE7">
        <w:rPr>
          <w:rFonts w:hint="cs"/>
          <w:rtl/>
        </w:rPr>
        <w:t>جيم.</w:t>
      </w:r>
      <w:r w:rsidRPr="00467BE7">
        <w:rPr>
          <w:rtl/>
        </w:rPr>
        <w:tab/>
      </w:r>
      <w:r w:rsidRPr="00467BE7">
        <w:rPr>
          <w:rFonts w:hint="cs"/>
          <w:rtl/>
        </w:rPr>
        <w:t>الرقابة والتدقيق</w:t>
      </w:r>
    </w:p>
    <w:p w:rsidR="002A5100" w:rsidRPr="00467BE7" w:rsidRDefault="0009250D" w:rsidP="00C10CFA">
      <w:pPr>
        <w:pStyle w:val="NumberedParaAR"/>
      </w:pPr>
      <w:r w:rsidRPr="00467BE7">
        <w:rPr>
          <w:rFonts w:hint="cs"/>
          <w:rtl/>
        </w:rPr>
        <w:t xml:space="preserve">في الفترة الممتدة من يونيو </w:t>
      </w:r>
      <w:r w:rsidRPr="0004173E">
        <w:rPr>
          <w:rFonts w:hint="cs"/>
          <w:rtl/>
        </w:rPr>
        <w:t>2006</w:t>
      </w:r>
      <w:r w:rsidRPr="00467BE7">
        <w:rPr>
          <w:rFonts w:hint="cs"/>
          <w:rtl/>
        </w:rPr>
        <w:t xml:space="preserve"> إلى ديسمبر </w:t>
      </w:r>
      <w:r w:rsidRPr="0004173E">
        <w:rPr>
          <w:rFonts w:hint="cs"/>
          <w:rtl/>
        </w:rPr>
        <w:t>2015</w:t>
      </w:r>
      <w:r w:rsidRPr="00467BE7">
        <w:rPr>
          <w:rFonts w:hint="cs"/>
          <w:rtl/>
        </w:rPr>
        <w:t xml:space="preserve">، </w:t>
      </w:r>
      <w:r w:rsidR="0008060D" w:rsidRPr="00467BE7">
        <w:rPr>
          <w:rFonts w:hint="cs"/>
          <w:rtl/>
        </w:rPr>
        <w:t xml:space="preserve">قدَّمت الأمانة تقارير مرحلية ومعلومات ووثائق عن مشروع البناء الجديد إلى لجنة الويبو للتدقيق </w:t>
      </w:r>
      <w:r w:rsidR="00C10CFA" w:rsidRPr="00467BE7">
        <w:rPr>
          <w:rFonts w:hint="cs"/>
          <w:rtl/>
        </w:rPr>
        <w:t>التي أصبحت بعدئذ</w:t>
      </w:r>
      <w:r w:rsidR="0008060D" w:rsidRPr="00467BE7">
        <w:rPr>
          <w:rFonts w:hint="cs"/>
          <w:rtl/>
        </w:rPr>
        <w:t xml:space="preserve"> </w:t>
      </w:r>
      <w:r w:rsidRPr="00467BE7">
        <w:rPr>
          <w:rFonts w:hint="cs"/>
          <w:rtl/>
        </w:rPr>
        <w:t>"</w:t>
      </w:r>
      <w:r w:rsidR="0008060D" w:rsidRPr="00467BE7">
        <w:rPr>
          <w:rFonts w:hint="cs"/>
          <w:rtl/>
        </w:rPr>
        <w:t>اللجنة الاستشارية المستقلة للرقابة</w:t>
      </w:r>
      <w:r w:rsidRPr="00467BE7">
        <w:rPr>
          <w:rFonts w:hint="cs"/>
          <w:rtl/>
        </w:rPr>
        <w:t>"</w:t>
      </w:r>
      <w:r w:rsidR="0008060D" w:rsidRPr="00467BE7">
        <w:rPr>
          <w:rFonts w:hint="cs"/>
          <w:rtl/>
        </w:rPr>
        <w:t>. وكذلك</w:t>
      </w:r>
      <w:r w:rsidRPr="00467BE7">
        <w:rPr>
          <w:rFonts w:hint="eastAsia"/>
          <w:rtl/>
        </w:rPr>
        <w:t> </w:t>
      </w:r>
      <w:r w:rsidR="0008060D" w:rsidRPr="00467BE7">
        <w:rPr>
          <w:rFonts w:hint="cs"/>
          <w:rtl/>
        </w:rPr>
        <w:t>الأمر بالنسبة إلى مشروع قاعة المؤتمرات الجديدة منذ</w:t>
      </w:r>
      <w:r w:rsidR="001B5895" w:rsidRPr="00467BE7">
        <w:rPr>
          <w:rFonts w:hint="cs"/>
          <w:rtl/>
        </w:rPr>
        <w:t xml:space="preserve"> عام</w:t>
      </w:r>
      <w:r w:rsidR="001B5895" w:rsidRPr="00467BE7">
        <w:rPr>
          <w:rtl/>
        </w:rPr>
        <w:t> </w:t>
      </w:r>
      <w:r w:rsidR="0008060D" w:rsidRPr="0004173E">
        <w:rPr>
          <w:rFonts w:hint="cs"/>
          <w:rtl/>
        </w:rPr>
        <w:t>2008</w:t>
      </w:r>
      <w:r w:rsidR="0008060D" w:rsidRPr="00467BE7">
        <w:rPr>
          <w:rFonts w:hint="cs"/>
          <w:rtl/>
        </w:rPr>
        <w:t>.</w:t>
      </w:r>
    </w:p>
    <w:p w:rsidR="0008060D" w:rsidRPr="00467BE7" w:rsidRDefault="0008060D" w:rsidP="0009250D">
      <w:pPr>
        <w:pStyle w:val="NumberedParaAR"/>
      </w:pPr>
      <w:r w:rsidRPr="00467BE7">
        <w:rPr>
          <w:rFonts w:hint="cs"/>
          <w:rtl/>
        </w:rPr>
        <w:t xml:space="preserve">وأصدرت شعبة الرقابة الداخلية تقرير تدقيق في يونيو </w:t>
      </w:r>
      <w:r w:rsidRPr="0004173E">
        <w:rPr>
          <w:rFonts w:hint="cs"/>
          <w:rtl/>
        </w:rPr>
        <w:t>2013</w:t>
      </w:r>
      <w:r w:rsidRPr="00467BE7">
        <w:rPr>
          <w:rFonts w:hint="cs"/>
          <w:rtl/>
        </w:rPr>
        <w:t xml:space="preserve"> عن مشروع البناء الجديد ومشروع قاعة المؤتمرات الجديدة شمل ست توصيات نفِّذت كلها. وبذلك، لم تتبقَ أي توصيات عالقة عن هذين المشروعين.</w:t>
      </w:r>
    </w:p>
    <w:p w:rsidR="0008060D" w:rsidRPr="00467BE7" w:rsidRDefault="0008060D" w:rsidP="001E570E">
      <w:pPr>
        <w:pStyle w:val="NumberedParaAR"/>
      </w:pPr>
      <w:r w:rsidRPr="00467BE7">
        <w:rPr>
          <w:rFonts w:hint="cs"/>
          <w:rtl/>
        </w:rPr>
        <w:t xml:space="preserve">وأصدر المدققون الخارجيون تقرير تدقيق في أغسطس </w:t>
      </w:r>
      <w:r w:rsidRPr="0004173E">
        <w:rPr>
          <w:rFonts w:hint="cs"/>
          <w:rtl/>
        </w:rPr>
        <w:t>2014</w:t>
      </w:r>
      <w:r w:rsidRPr="00467BE7">
        <w:rPr>
          <w:rFonts w:hint="cs"/>
          <w:rtl/>
        </w:rPr>
        <w:t xml:space="preserve"> عن مشروع قاعة المؤتمرات الجديدة.</w:t>
      </w:r>
      <w:r w:rsidRPr="00467BE7">
        <w:rPr>
          <w:rStyle w:val="FootnoteReference"/>
          <w:rtl/>
        </w:rPr>
        <w:footnoteReference w:id="1"/>
      </w:r>
      <w:r w:rsidRPr="00467BE7">
        <w:rPr>
          <w:rFonts w:hint="cs"/>
          <w:rtl/>
        </w:rPr>
        <w:t xml:space="preserve"> وأغلق</w:t>
      </w:r>
      <w:r w:rsidR="0009250D" w:rsidRPr="00467BE7">
        <w:rPr>
          <w:rFonts w:hint="cs"/>
          <w:rtl/>
        </w:rPr>
        <w:t xml:space="preserve">وا </w:t>
      </w:r>
      <w:r w:rsidRPr="00467BE7">
        <w:rPr>
          <w:rFonts w:hint="cs"/>
          <w:rtl/>
        </w:rPr>
        <w:t>ثمان من التوصيات العشر الواردة في ذلك التقرير. وتنتظر الإدارة رداً من</w:t>
      </w:r>
      <w:r w:rsidR="0009250D" w:rsidRPr="00467BE7">
        <w:rPr>
          <w:rFonts w:hint="cs"/>
          <w:rtl/>
        </w:rPr>
        <w:t>هم</w:t>
      </w:r>
      <w:r w:rsidRPr="00467BE7">
        <w:rPr>
          <w:rFonts w:hint="cs"/>
          <w:rtl/>
        </w:rPr>
        <w:t xml:space="preserve"> </w:t>
      </w:r>
      <w:r w:rsidR="0009250D" w:rsidRPr="00467BE7">
        <w:rPr>
          <w:rFonts w:hint="cs"/>
          <w:rtl/>
        </w:rPr>
        <w:t>على</w:t>
      </w:r>
      <w:r w:rsidRPr="00467BE7">
        <w:rPr>
          <w:rFonts w:hint="cs"/>
          <w:rtl/>
        </w:rPr>
        <w:t xml:space="preserve"> حالة التوصيتين المتبقيتين.</w:t>
      </w:r>
    </w:p>
    <w:p w:rsidR="0008060D" w:rsidRPr="00467BE7" w:rsidRDefault="00FD7076" w:rsidP="0008060D">
      <w:pPr>
        <w:pStyle w:val="Heading1AR"/>
      </w:pPr>
      <w:r>
        <w:rPr>
          <w:rFonts w:hint="cs"/>
          <w:rtl/>
        </w:rPr>
        <w:t>دال</w:t>
      </w:r>
      <w:bookmarkStart w:id="2" w:name="_GoBack"/>
      <w:bookmarkEnd w:id="2"/>
      <w:r w:rsidR="0008060D" w:rsidRPr="00467BE7">
        <w:rPr>
          <w:rFonts w:hint="cs"/>
          <w:rtl/>
        </w:rPr>
        <w:t>.</w:t>
      </w:r>
      <w:r w:rsidR="0008060D" w:rsidRPr="00467BE7">
        <w:rPr>
          <w:rFonts w:hint="cs"/>
          <w:rtl/>
        </w:rPr>
        <w:tab/>
      </w:r>
      <w:r w:rsidR="00C170AC" w:rsidRPr="00467BE7">
        <w:rPr>
          <w:rFonts w:hint="cs"/>
          <w:rtl/>
        </w:rPr>
        <w:t>الدروس المستفادة</w:t>
      </w:r>
    </w:p>
    <w:p w:rsidR="0008060D" w:rsidRPr="00467BE7" w:rsidRDefault="0008060D" w:rsidP="005161A8">
      <w:pPr>
        <w:pStyle w:val="NumberedParaAR"/>
      </w:pPr>
      <w:r w:rsidRPr="00467BE7">
        <w:rPr>
          <w:rFonts w:hint="cs"/>
          <w:rtl/>
        </w:rPr>
        <w:t xml:space="preserve">قبل التطرق إلى </w:t>
      </w:r>
      <w:r w:rsidR="00C170AC" w:rsidRPr="00467BE7">
        <w:rPr>
          <w:rFonts w:hint="cs"/>
          <w:rtl/>
        </w:rPr>
        <w:t>الدروس المستفادة</w:t>
      </w:r>
      <w:r w:rsidRPr="00467BE7">
        <w:rPr>
          <w:rFonts w:hint="cs"/>
          <w:rtl/>
        </w:rPr>
        <w:t>، ي</w:t>
      </w:r>
      <w:r w:rsidR="007A6773" w:rsidRPr="00467BE7">
        <w:rPr>
          <w:rFonts w:hint="cs"/>
          <w:rtl/>
        </w:rPr>
        <w:t>ُ</w:t>
      </w:r>
      <w:r w:rsidRPr="00467BE7">
        <w:rPr>
          <w:rFonts w:hint="cs"/>
          <w:rtl/>
        </w:rPr>
        <w:t>ذك</w:t>
      </w:r>
      <w:r w:rsidR="007A6773" w:rsidRPr="00467BE7">
        <w:rPr>
          <w:rFonts w:hint="cs"/>
          <w:rtl/>
        </w:rPr>
        <w:t>َّ</w:t>
      </w:r>
      <w:r w:rsidRPr="00467BE7">
        <w:rPr>
          <w:rFonts w:hint="cs"/>
          <w:rtl/>
        </w:rPr>
        <w:t xml:space="preserve">ر بأن مشروعَي البناء (مشروع البناء الجديد ومشروع قاعة المؤتمرات الجديدة) اللذين أُنجزا في الفترة الممتدة من </w:t>
      </w:r>
      <w:r w:rsidRPr="0004173E">
        <w:rPr>
          <w:rFonts w:hint="cs"/>
          <w:rtl/>
        </w:rPr>
        <w:t>2006</w:t>
      </w:r>
      <w:r w:rsidRPr="00467BE7">
        <w:rPr>
          <w:rFonts w:hint="cs"/>
          <w:rtl/>
        </w:rPr>
        <w:t xml:space="preserve"> إلى </w:t>
      </w:r>
      <w:r w:rsidRPr="0004173E">
        <w:rPr>
          <w:rFonts w:hint="cs"/>
          <w:rtl/>
        </w:rPr>
        <w:t>2016</w:t>
      </w:r>
      <w:r w:rsidRPr="00467BE7">
        <w:rPr>
          <w:rFonts w:hint="cs"/>
          <w:rtl/>
        </w:rPr>
        <w:t xml:space="preserve"> كانا أول مشروعَي بناء بهذا الحجم والتعقيد والتكلفة </w:t>
      </w:r>
      <w:r w:rsidR="00E46C4C" w:rsidRPr="00467BE7">
        <w:rPr>
          <w:rFonts w:hint="cs"/>
          <w:rtl/>
        </w:rPr>
        <w:t>تديرهما الويبو</w:t>
      </w:r>
      <w:r w:rsidRPr="00467BE7">
        <w:rPr>
          <w:rFonts w:hint="cs"/>
          <w:rtl/>
        </w:rPr>
        <w:t xml:space="preserve"> بنفسها. ويمكن تقسيم الصعوبات الإضافية الناجمة عن مشروع قاعة المؤتمرات الجديدة إلى شقين: "</w:t>
      </w:r>
      <w:r w:rsidRPr="0004173E">
        <w:rPr>
          <w:rFonts w:hint="cs"/>
          <w:rtl/>
        </w:rPr>
        <w:t>1</w:t>
      </w:r>
      <w:r w:rsidRPr="00467BE7">
        <w:rPr>
          <w:rFonts w:hint="cs"/>
          <w:rtl/>
        </w:rPr>
        <w:t>" أما</w:t>
      </w:r>
      <w:r w:rsidR="00E46C4C" w:rsidRPr="00467BE7">
        <w:rPr>
          <w:rFonts w:hint="eastAsia"/>
          <w:rtl/>
        </w:rPr>
        <w:t> </w:t>
      </w:r>
      <w:r w:rsidRPr="00467BE7">
        <w:rPr>
          <w:rFonts w:hint="cs"/>
          <w:rtl/>
        </w:rPr>
        <w:t xml:space="preserve">أولهما فهو التعقيد المعماري والهندسي (الكابول الممتد بطول </w:t>
      </w:r>
      <w:r w:rsidRPr="0004173E">
        <w:rPr>
          <w:rFonts w:hint="cs"/>
          <w:rtl/>
        </w:rPr>
        <w:t>35</w:t>
      </w:r>
      <w:r w:rsidRPr="00467BE7">
        <w:rPr>
          <w:rFonts w:hint="cs"/>
          <w:rtl/>
        </w:rPr>
        <w:t xml:space="preserve"> متراً و</w:t>
      </w:r>
      <w:r w:rsidR="00E46C4C" w:rsidRPr="00467BE7">
        <w:rPr>
          <w:rFonts w:hint="cs"/>
          <w:rtl/>
        </w:rPr>
        <w:t>بنية القاعة التي تكاد تكون من الخشب حصراً</w:t>
      </w:r>
      <w:r w:rsidR="007A6773" w:rsidRPr="00467BE7">
        <w:rPr>
          <w:rFonts w:hint="cs"/>
          <w:rtl/>
        </w:rPr>
        <w:t>)</w:t>
      </w:r>
      <w:r w:rsidR="00E46C4C" w:rsidRPr="00467BE7">
        <w:rPr>
          <w:rFonts w:hint="cs"/>
          <w:rtl/>
        </w:rPr>
        <w:t>؛ "</w:t>
      </w:r>
      <w:r w:rsidR="00E46C4C" w:rsidRPr="0004173E">
        <w:rPr>
          <w:rFonts w:hint="cs"/>
          <w:rtl/>
        </w:rPr>
        <w:t>2</w:t>
      </w:r>
      <w:r w:rsidR="00E46C4C" w:rsidRPr="00467BE7">
        <w:rPr>
          <w:rFonts w:hint="cs"/>
          <w:rtl/>
        </w:rPr>
        <w:t xml:space="preserve">" وأما ثانيهما فهو </w:t>
      </w:r>
      <w:r w:rsidR="00C10CFA" w:rsidRPr="00467BE7">
        <w:rPr>
          <w:rFonts w:hint="cs"/>
          <w:rtl/>
        </w:rPr>
        <w:t>تولي الأمانة</w:t>
      </w:r>
      <w:r w:rsidR="00E46C4C" w:rsidRPr="00467BE7">
        <w:rPr>
          <w:rFonts w:hint="cs"/>
          <w:rtl/>
        </w:rPr>
        <w:t xml:space="preserve"> إدارة موقع العمل إدارةً مباشرة وكاملة بعد</w:t>
      </w:r>
      <w:r w:rsidR="00C10CFA" w:rsidRPr="00467BE7">
        <w:rPr>
          <w:rFonts w:hint="cs"/>
          <w:rtl/>
        </w:rPr>
        <w:t xml:space="preserve"> </w:t>
      </w:r>
      <w:r w:rsidR="005161A8">
        <w:rPr>
          <w:rFonts w:hint="cs"/>
          <w:rtl/>
        </w:rPr>
        <w:t>إنهاء</w:t>
      </w:r>
      <w:r w:rsidR="00E46C4C" w:rsidRPr="00467BE7">
        <w:rPr>
          <w:rFonts w:hint="cs"/>
          <w:rtl/>
        </w:rPr>
        <w:t xml:space="preserve"> عقد المقاول العام السابق في</w:t>
      </w:r>
      <w:r w:rsidR="00C10CFA" w:rsidRPr="00467BE7">
        <w:rPr>
          <w:rFonts w:hint="cs"/>
          <w:rtl/>
        </w:rPr>
        <w:t> </w:t>
      </w:r>
      <w:r w:rsidR="00E46C4C" w:rsidRPr="00467BE7">
        <w:rPr>
          <w:rFonts w:hint="cs"/>
          <w:rtl/>
        </w:rPr>
        <w:t>أثناء مرحلة البناء.</w:t>
      </w:r>
    </w:p>
    <w:p w:rsidR="00E46C4C" w:rsidRPr="00467BE7" w:rsidRDefault="00E46C4C" w:rsidP="00467BE7">
      <w:pPr>
        <w:pStyle w:val="NumberedParaAR"/>
      </w:pPr>
      <w:r w:rsidRPr="00467BE7">
        <w:rPr>
          <w:rFonts w:hint="cs"/>
          <w:rtl/>
        </w:rPr>
        <w:t xml:space="preserve">ويمكن تقسيم </w:t>
      </w:r>
      <w:r w:rsidR="00C170AC" w:rsidRPr="00467BE7">
        <w:rPr>
          <w:rFonts w:hint="cs"/>
          <w:rtl/>
        </w:rPr>
        <w:t>الدروس المستفادة</w:t>
      </w:r>
      <w:r w:rsidRPr="00467BE7">
        <w:rPr>
          <w:rFonts w:hint="cs"/>
          <w:rtl/>
        </w:rPr>
        <w:t xml:space="preserve"> </w:t>
      </w:r>
      <w:r w:rsidR="00272DE0" w:rsidRPr="00467BE7">
        <w:rPr>
          <w:rFonts w:hint="cs"/>
          <w:rtl/>
        </w:rPr>
        <w:t>إلى الموضوعات التالية</w:t>
      </w:r>
      <w:r w:rsidRPr="00467BE7">
        <w:rPr>
          <w:rFonts w:hint="cs"/>
          <w:rtl/>
        </w:rPr>
        <w:t xml:space="preserve">: </w:t>
      </w:r>
      <w:r w:rsidR="00095742" w:rsidRPr="00467BE7">
        <w:rPr>
          <w:rFonts w:hint="cs"/>
          <w:rtl/>
        </w:rPr>
        <w:t>(</w:t>
      </w:r>
      <w:r w:rsidR="00095742" w:rsidRPr="0004173E">
        <w:rPr>
          <w:rFonts w:hint="cs"/>
          <w:rtl/>
        </w:rPr>
        <w:t>1</w:t>
      </w:r>
      <w:r w:rsidR="00095742" w:rsidRPr="00467BE7">
        <w:rPr>
          <w:rFonts w:hint="cs"/>
          <w:rtl/>
        </w:rPr>
        <w:t>)</w:t>
      </w:r>
      <w:r w:rsidRPr="00467BE7">
        <w:rPr>
          <w:rFonts w:hint="cs"/>
          <w:rtl/>
        </w:rPr>
        <w:t xml:space="preserve"> الإدارة؛ </w:t>
      </w:r>
      <w:r w:rsidR="00095742" w:rsidRPr="00467BE7">
        <w:rPr>
          <w:rFonts w:hint="cs"/>
          <w:rtl/>
        </w:rPr>
        <w:t>(</w:t>
      </w:r>
      <w:r w:rsidR="00095742" w:rsidRPr="0004173E">
        <w:rPr>
          <w:rFonts w:hint="cs"/>
          <w:rtl/>
        </w:rPr>
        <w:t>2</w:t>
      </w:r>
      <w:r w:rsidR="00095742" w:rsidRPr="00467BE7">
        <w:rPr>
          <w:rFonts w:hint="cs"/>
          <w:rtl/>
        </w:rPr>
        <w:t>)</w:t>
      </w:r>
      <w:r w:rsidRPr="00467BE7">
        <w:rPr>
          <w:rFonts w:hint="cs"/>
          <w:rtl/>
        </w:rPr>
        <w:t xml:space="preserve"> إمكانات موقع العمل </w:t>
      </w:r>
      <w:r w:rsidR="00CB060D" w:rsidRPr="00467BE7">
        <w:rPr>
          <w:rFonts w:hint="cs"/>
          <w:rtl/>
        </w:rPr>
        <w:t>وإدخال تغييرات</w:t>
      </w:r>
      <w:r w:rsidR="00272DE0" w:rsidRPr="00467BE7">
        <w:rPr>
          <w:rFonts w:hint="cs"/>
          <w:rtl/>
        </w:rPr>
        <w:t xml:space="preserve"> في </w:t>
      </w:r>
      <w:r w:rsidRPr="00467BE7">
        <w:rPr>
          <w:rFonts w:hint="cs"/>
          <w:rtl/>
        </w:rPr>
        <w:t xml:space="preserve">المشروع وتفادي التكاليف؛ </w:t>
      </w:r>
      <w:r w:rsidR="00095742" w:rsidRPr="00467BE7">
        <w:rPr>
          <w:rFonts w:hint="cs"/>
          <w:rtl/>
        </w:rPr>
        <w:t>(</w:t>
      </w:r>
      <w:r w:rsidR="00095742" w:rsidRPr="0004173E">
        <w:rPr>
          <w:rFonts w:hint="cs"/>
          <w:rtl/>
        </w:rPr>
        <w:t>3</w:t>
      </w:r>
      <w:r w:rsidR="00095742" w:rsidRPr="00467BE7">
        <w:rPr>
          <w:rFonts w:hint="cs"/>
          <w:rtl/>
        </w:rPr>
        <w:t>)</w:t>
      </w:r>
      <w:r w:rsidRPr="00467BE7">
        <w:rPr>
          <w:rFonts w:hint="cs"/>
          <w:rtl/>
        </w:rPr>
        <w:t xml:space="preserve"> العلاقة مع سلطات البلد المضيف على مستوى الاتحاد والولاية والبلدية؛ </w:t>
      </w:r>
      <w:r w:rsidR="00095742" w:rsidRPr="00467BE7">
        <w:rPr>
          <w:rFonts w:hint="cs"/>
          <w:rtl/>
        </w:rPr>
        <w:t>(</w:t>
      </w:r>
      <w:r w:rsidR="00095742" w:rsidRPr="0004173E">
        <w:rPr>
          <w:rFonts w:hint="cs"/>
          <w:rtl/>
        </w:rPr>
        <w:t>4</w:t>
      </w:r>
      <w:r w:rsidR="00095742" w:rsidRPr="00467BE7">
        <w:rPr>
          <w:rFonts w:hint="cs"/>
          <w:rtl/>
        </w:rPr>
        <w:t>)</w:t>
      </w:r>
      <w:r w:rsidRPr="00467BE7">
        <w:rPr>
          <w:rFonts w:hint="cs"/>
          <w:rtl/>
        </w:rPr>
        <w:t> </w:t>
      </w:r>
      <w:r w:rsidR="00272DE0" w:rsidRPr="00467BE7">
        <w:rPr>
          <w:rFonts w:hint="cs"/>
          <w:rtl/>
        </w:rPr>
        <w:t>التدابير المتخذة وحسن توقيتها وتنفيذها</w:t>
      </w:r>
      <w:r w:rsidR="00095742" w:rsidRPr="00467BE7">
        <w:rPr>
          <w:rFonts w:hint="cs"/>
          <w:rtl/>
        </w:rPr>
        <w:t>؛ (</w:t>
      </w:r>
      <w:r w:rsidR="00095742" w:rsidRPr="0004173E">
        <w:rPr>
          <w:rFonts w:hint="cs"/>
          <w:rtl/>
        </w:rPr>
        <w:t>5</w:t>
      </w:r>
      <w:r w:rsidR="00095742" w:rsidRPr="00467BE7">
        <w:rPr>
          <w:rFonts w:hint="cs"/>
          <w:rtl/>
        </w:rPr>
        <w:t>) أهمية تبادل الخبرات مع وكالات الأمم المتحدة وغيرها من المنظمات الدولية والإقليمية.</w:t>
      </w:r>
    </w:p>
    <w:p w:rsidR="00095742" w:rsidRPr="00467BE7" w:rsidRDefault="00095742" w:rsidP="00272DE0">
      <w:pPr>
        <w:pStyle w:val="Heading2AR"/>
        <w:keepNext/>
        <w:rPr>
          <w:rtl/>
        </w:rPr>
      </w:pPr>
      <w:r w:rsidRPr="00467BE7">
        <w:rPr>
          <w:rFonts w:hint="cs"/>
          <w:rtl/>
        </w:rPr>
        <w:t>(</w:t>
      </w:r>
      <w:r w:rsidRPr="0004173E">
        <w:rPr>
          <w:rFonts w:hint="cs"/>
          <w:rtl/>
        </w:rPr>
        <w:t>1</w:t>
      </w:r>
      <w:r w:rsidRPr="00467BE7">
        <w:rPr>
          <w:rFonts w:hint="cs"/>
          <w:rtl/>
        </w:rPr>
        <w:t>)</w:t>
      </w:r>
      <w:r w:rsidRPr="00467BE7">
        <w:rPr>
          <w:rtl/>
        </w:rPr>
        <w:tab/>
      </w:r>
      <w:r w:rsidRPr="00467BE7">
        <w:rPr>
          <w:rFonts w:hint="cs"/>
          <w:rtl/>
        </w:rPr>
        <w:t>الإدارة</w:t>
      </w:r>
    </w:p>
    <w:p w:rsidR="00095742" w:rsidRPr="00467BE7" w:rsidRDefault="00095742" w:rsidP="00095742">
      <w:pPr>
        <w:pStyle w:val="Heading3AR"/>
        <w:rPr>
          <w:rtl/>
        </w:rPr>
      </w:pPr>
      <w:r w:rsidRPr="00467BE7">
        <w:rPr>
          <w:rFonts w:hint="cs"/>
          <w:rtl/>
        </w:rPr>
        <w:t>(أ)</w:t>
      </w:r>
      <w:r w:rsidRPr="00467BE7">
        <w:rPr>
          <w:rtl/>
        </w:rPr>
        <w:tab/>
      </w:r>
      <w:r w:rsidRPr="00467BE7">
        <w:rPr>
          <w:rFonts w:hint="cs"/>
          <w:rtl/>
        </w:rPr>
        <w:t>الخبرات المكتسبة من مشروع البناء الجديد والمستخدمة في مشروع قاعة المؤتمرات الجديدة</w:t>
      </w:r>
    </w:p>
    <w:p w:rsidR="00095742" w:rsidRPr="00467BE7" w:rsidRDefault="00095742" w:rsidP="00895A1F">
      <w:pPr>
        <w:pStyle w:val="NumberedParaAR"/>
      </w:pPr>
      <w:r w:rsidRPr="00467BE7">
        <w:rPr>
          <w:rFonts w:hint="cs"/>
          <w:rtl/>
        </w:rPr>
        <w:t>استندت الأمانة</w:t>
      </w:r>
      <w:r w:rsidRPr="00467BE7">
        <w:rPr>
          <w:rtl/>
        </w:rPr>
        <w:t xml:space="preserve"> إلى ال</w:t>
      </w:r>
      <w:r w:rsidRPr="00467BE7">
        <w:rPr>
          <w:rFonts w:hint="cs"/>
          <w:rtl/>
        </w:rPr>
        <w:t>خبرة</w:t>
      </w:r>
      <w:r w:rsidRPr="00467BE7">
        <w:rPr>
          <w:rtl/>
        </w:rPr>
        <w:t xml:space="preserve"> المكتسبة </w:t>
      </w:r>
      <w:r w:rsidR="00914E69" w:rsidRPr="00467BE7">
        <w:rPr>
          <w:rFonts w:hint="cs"/>
          <w:rtl/>
        </w:rPr>
        <w:t>من</w:t>
      </w:r>
      <w:r w:rsidRPr="00467BE7">
        <w:rPr>
          <w:rtl/>
        </w:rPr>
        <w:t xml:space="preserve"> إدارة مشروع البناء الجديد</w:t>
      </w:r>
      <w:r w:rsidRPr="00467BE7">
        <w:rPr>
          <w:rFonts w:hint="cs"/>
          <w:rtl/>
        </w:rPr>
        <w:t xml:space="preserve"> </w:t>
      </w:r>
      <w:r w:rsidR="00914E69" w:rsidRPr="00467BE7">
        <w:rPr>
          <w:rtl/>
        </w:rPr>
        <w:t>منذ</w:t>
      </w:r>
      <w:r w:rsidR="001B5895" w:rsidRPr="00467BE7">
        <w:rPr>
          <w:rtl/>
        </w:rPr>
        <w:t xml:space="preserve"> عام </w:t>
      </w:r>
      <w:r w:rsidR="00914E69" w:rsidRPr="0004173E">
        <w:rPr>
          <w:rtl/>
        </w:rPr>
        <w:t>2006</w:t>
      </w:r>
      <w:r w:rsidR="00914E69" w:rsidRPr="00467BE7">
        <w:rPr>
          <w:rtl/>
        </w:rPr>
        <w:t xml:space="preserve"> </w:t>
      </w:r>
      <w:r w:rsidRPr="00467BE7">
        <w:rPr>
          <w:rFonts w:hint="cs"/>
          <w:rtl/>
        </w:rPr>
        <w:t xml:space="preserve">في </w:t>
      </w:r>
      <w:r w:rsidR="00653B62" w:rsidRPr="00467BE7">
        <w:rPr>
          <w:rFonts w:hint="cs"/>
          <w:rtl/>
        </w:rPr>
        <w:t>إدارة</w:t>
      </w:r>
      <w:r w:rsidRPr="00467BE7">
        <w:rPr>
          <w:rFonts w:hint="cs"/>
          <w:rtl/>
        </w:rPr>
        <w:t xml:space="preserve"> مشروع قاعة المؤتمرات الجديدة</w:t>
      </w:r>
      <w:r w:rsidR="00914E69" w:rsidRPr="00467BE7">
        <w:rPr>
          <w:rFonts w:hint="cs"/>
          <w:rtl/>
        </w:rPr>
        <w:t xml:space="preserve"> ولا سيما</w:t>
      </w:r>
      <w:r w:rsidR="00895A1F" w:rsidRPr="00467BE7">
        <w:rPr>
          <w:rFonts w:hint="cs"/>
          <w:rtl/>
        </w:rPr>
        <w:t xml:space="preserve"> من</w:t>
      </w:r>
      <w:r w:rsidR="00914E69" w:rsidRPr="00467BE7">
        <w:rPr>
          <w:rFonts w:hint="cs"/>
          <w:rtl/>
        </w:rPr>
        <w:t xml:space="preserve"> </w:t>
      </w:r>
      <w:r w:rsidR="00653B62" w:rsidRPr="00467BE7">
        <w:rPr>
          <w:rFonts w:hint="cs"/>
          <w:rtl/>
        </w:rPr>
        <w:t>الجوانب التالية</w:t>
      </w:r>
      <w:r w:rsidR="00914E69" w:rsidRPr="00467BE7">
        <w:rPr>
          <w:rFonts w:hint="cs"/>
          <w:rtl/>
        </w:rPr>
        <w:t>: "</w:t>
      </w:r>
      <w:r w:rsidR="00914E69" w:rsidRPr="0004173E">
        <w:rPr>
          <w:rFonts w:hint="cs"/>
          <w:rtl/>
        </w:rPr>
        <w:t>1</w:t>
      </w:r>
      <w:r w:rsidR="00914E69" w:rsidRPr="00467BE7">
        <w:rPr>
          <w:rFonts w:hint="cs"/>
          <w:rtl/>
        </w:rPr>
        <w:t>" </w:t>
      </w:r>
      <w:r w:rsidRPr="00467BE7">
        <w:rPr>
          <w:rtl/>
        </w:rPr>
        <w:t>البنية الإدارية ال</w:t>
      </w:r>
      <w:r w:rsidR="00914E69" w:rsidRPr="00467BE7">
        <w:rPr>
          <w:rFonts w:hint="cs"/>
          <w:rtl/>
        </w:rPr>
        <w:t>قائمة</w:t>
      </w:r>
      <w:r w:rsidRPr="00467BE7">
        <w:rPr>
          <w:rtl/>
        </w:rPr>
        <w:t xml:space="preserve"> (الإدارة الخارجية بواسطة </w:t>
      </w:r>
      <w:r w:rsidR="00653B62" w:rsidRPr="00467BE7">
        <w:rPr>
          <w:rFonts w:hint="cs"/>
          <w:rtl/>
        </w:rPr>
        <w:t>القائم على المشروع،</w:t>
      </w:r>
      <w:r w:rsidRPr="00467BE7">
        <w:rPr>
          <w:rtl/>
        </w:rPr>
        <w:t xml:space="preserve"> والإدارة</w:t>
      </w:r>
      <w:r w:rsidR="00895A1F" w:rsidRPr="00467BE7">
        <w:rPr>
          <w:rFonts w:hint="cs"/>
          <w:rtl/>
        </w:rPr>
        <w:t> </w:t>
      </w:r>
      <w:r w:rsidRPr="00467BE7">
        <w:rPr>
          <w:rtl/>
        </w:rPr>
        <w:t>الداخلية بواسطة لجنة البناء</w:t>
      </w:r>
      <w:r w:rsidR="00653B62" w:rsidRPr="00467BE7">
        <w:rPr>
          <w:rFonts w:hint="cs"/>
          <w:rtl/>
        </w:rPr>
        <w:t>،</w:t>
      </w:r>
      <w:r w:rsidRPr="00467BE7">
        <w:rPr>
          <w:rtl/>
        </w:rPr>
        <w:t xml:space="preserve"> والرقابة الداخلية بواسطة الفريق الداخلي المعني بمراقبة المشروع</w:t>
      </w:r>
      <w:r w:rsidR="00653B62" w:rsidRPr="00467BE7">
        <w:rPr>
          <w:rFonts w:hint="cs"/>
          <w:rtl/>
        </w:rPr>
        <w:t>،</w:t>
      </w:r>
      <w:r w:rsidRPr="00467BE7">
        <w:rPr>
          <w:rtl/>
        </w:rPr>
        <w:t xml:space="preserve"> وميثاق المشروع</w:t>
      </w:r>
      <w:r w:rsidR="00653B62" w:rsidRPr="00467BE7">
        <w:rPr>
          <w:rFonts w:hint="cs"/>
          <w:rtl/>
        </w:rPr>
        <w:t>،</w:t>
      </w:r>
      <w:r w:rsidRPr="00467BE7">
        <w:rPr>
          <w:rtl/>
        </w:rPr>
        <w:t xml:space="preserve"> ودراسة المخاطر)</w:t>
      </w:r>
      <w:r w:rsidR="00914E69" w:rsidRPr="00467BE7">
        <w:rPr>
          <w:rFonts w:hint="cs"/>
          <w:rtl/>
        </w:rPr>
        <w:t>؛ "</w:t>
      </w:r>
      <w:r w:rsidR="00914E69" w:rsidRPr="0004173E">
        <w:rPr>
          <w:rFonts w:hint="cs"/>
          <w:rtl/>
        </w:rPr>
        <w:t>1</w:t>
      </w:r>
      <w:r w:rsidR="00914E69" w:rsidRPr="00467BE7">
        <w:rPr>
          <w:rFonts w:hint="cs"/>
          <w:rtl/>
        </w:rPr>
        <w:t>" وإطار الت</w:t>
      </w:r>
      <w:r w:rsidRPr="00467BE7">
        <w:rPr>
          <w:rtl/>
        </w:rPr>
        <w:t>مويل التعاقدي القائم</w:t>
      </w:r>
      <w:r w:rsidR="00914E69" w:rsidRPr="00467BE7">
        <w:rPr>
          <w:rFonts w:hint="cs"/>
          <w:rtl/>
        </w:rPr>
        <w:t>؛ "</w:t>
      </w:r>
      <w:r w:rsidR="00914E69" w:rsidRPr="0004173E">
        <w:rPr>
          <w:rFonts w:hint="cs"/>
          <w:rtl/>
        </w:rPr>
        <w:t>3</w:t>
      </w:r>
      <w:r w:rsidR="00914E69" w:rsidRPr="00467BE7">
        <w:rPr>
          <w:rFonts w:hint="cs"/>
          <w:rtl/>
        </w:rPr>
        <w:t>"</w:t>
      </w:r>
      <w:r w:rsidR="00653B62" w:rsidRPr="00467BE7">
        <w:rPr>
          <w:rFonts w:hint="cs"/>
          <w:rtl/>
        </w:rPr>
        <w:t> </w:t>
      </w:r>
      <w:r w:rsidRPr="00467BE7">
        <w:rPr>
          <w:rtl/>
        </w:rPr>
        <w:t xml:space="preserve">وهيكل المراقبة القائم (مراجع الحسابات الخارجي ولجنة الويبو </w:t>
      </w:r>
      <w:r w:rsidRPr="00467BE7">
        <w:rPr>
          <w:rtl/>
        </w:rPr>
        <w:lastRenderedPageBreak/>
        <w:t>للتدقيق</w:t>
      </w:r>
      <w:r w:rsidR="00914E69" w:rsidRPr="00467BE7">
        <w:rPr>
          <w:rFonts w:hint="cs"/>
          <w:rtl/>
        </w:rPr>
        <w:t>/اللجنة الاستشارية المستقلة للرقابة</w:t>
      </w:r>
      <w:r w:rsidRPr="00467BE7">
        <w:rPr>
          <w:rtl/>
        </w:rPr>
        <w:t xml:space="preserve"> والمدقق الداخلي</w:t>
      </w:r>
      <w:r w:rsidR="00914E69" w:rsidRPr="00467BE7">
        <w:rPr>
          <w:rFonts w:hint="cs"/>
          <w:rtl/>
        </w:rPr>
        <w:t>/شعبة الرقابة الداخلية</w:t>
      </w:r>
      <w:r w:rsidRPr="00467BE7">
        <w:rPr>
          <w:rtl/>
        </w:rPr>
        <w:t>)</w:t>
      </w:r>
      <w:r w:rsidR="00914E69" w:rsidRPr="00467BE7">
        <w:rPr>
          <w:rStyle w:val="FootnoteReference"/>
          <w:rtl/>
        </w:rPr>
        <w:footnoteReference w:id="2"/>
      </w:r>
      <w:r w:rsidRPr="00467BE7">
        <w:rPr>
          <w:rtl/>
        </w:rPr>
        <w:t>.</w:t>
      </w:r>
      <w:r w:rsidR="00914E69" w:rsidRPr="00467BE7">
        <w:rPr>
          <w:rFonts w:hint="cs"/>
          <w:rtl/>
        </w:rPr>
        <w:t xml:space="preserve"> ومن الناحية العملية، أ</w:t>
      </w:r>
      <w:r w:rsidR="00653B62" w:rsidRPr="00467BE7">
        <w:rPr>
          <w:rFonts w:hint="cs"/>
          <w:rtl/>
        </w:rPr>
        <w:t>ُ</w:t>
      </w:r>
      <w:r w:rsidR="00914E69" w:rsidRPr="00467BE7">
        <w:rPr>
          <w:rFonts w:hint="cs"/>
          <w:rtl/>
        </w:rPr>
        <w:t>شركت كل الوحدات الإدارية</w:t>
      </w:r>
      <w:r w:rsidR="00914E69" w:rsidRPr="00467BE7">
        <w:rPr>
          <w:rStyle w:val="FootnoteReference"/>
          <w:rtl/>
        </w:rPr>
        <w:footnoteReference w:id="3"/>
      </w:r>
      <w:r w:rsidR="00914E69" w:rsidRPr="00467BE7">
        <w:rPr>
          <w:rFonts w:hint="cs"/>
          <w:rtl/>
        </w:rPr>
        <w:t xml:space="preserve"> المشار</w:t>
      </w:r>
      <w:r w:rsidR="00653B62" w:rsidRPr="00467BE7">
        <w:rPr>
          <w:rFonts w:hint="cs"/>
          <w:rtl/>
        </w:rPr>
        <w:t>ِ</w:t>
      </w:r>
      <w:r w:rsidR="00914E69" w:rsidRPr="00467BE7">
        <w:rPr>
          <w:rFonts w:hint="cs"/>
          <w:rtl/>
        </w:rPr>
        <w:t>كة في التخطيط والتنفيذ الفعليين للمشروعات فضلاً عن المستخدمين المقبلين</w:t>
      </w:r>
      <w:r w:rsidR="00653B62" w:rsidRPr="00467BE7">
        <w:rPr>
          <w:rFonts w:hint="cs"/>
          <w:rtl/>
        </w:rPr>
        <w:t xml:space="preserve"> </w:t>
      </w:r>
      <w:r w:rsidR="00914E69" w:rsidRPr="00467BE7">
        <w:rPr>
          <w:rFonts w:hint="cs"/>
          <w:rtl/>
        </w:rPr>
        <w:t xml:space="preserve">إشراكاً فعالاً منذ المراحل </w:t>
      </w:r>
      <w:r w:rsidR="001E570E" w:rsidRPr="00467BE7">
        <w:rPr>
          <w:rFonts w:hint="cs"/>
          <w:rtl/>
        </w:rPr>
        <w:t>الأولى</w:t>
      </w:r>
      <w:r w:rsidR="00914E69" w:rsidRPr="00467BE7">
        <w:rPr>
          <w:rFonts w:hint="cs"/>
          <w:rtl/>
        </w:rPr>
        <w:t xml:space="preserve"> للمشروع تفادياً لضرورة إعادة تصميم أي </w:t>
      </w:r>
      <w:r w:rsidR="00653B62" w:rsidRPr="00467BE7">
        <w:rPr>
          <w:rFonts w:hint="cs"/>
          <w:rtl/>
        </w:rPr>
        <w:t>من أجزاء المشروع</w:t>
      </w:r>
      <w:r w:rsidR="00914E69" w:rsidRPr="00467BE7">
        <w:rPr>
          <w:rFonts w:hint="cs"/>
          <w:rtl/>
        </w:rPr>
        <w:t xml:space="preserve"> أو </w:t>
      </w:r>
      <w:r w:rsidR="00653B62" w:rsidRPr="00467BE7">
        <w:rPr>
          <w:rFonts w:hint="cs"/>
          <w:rtl/>
        </w:rPr>
        <w:t>تعديله</w:t>
      </w:r>
      <w:r w:rsidR="00914E69" w:rsidRPr="00467BE7">
        <w:rPr>
          <w:rFonts w:hint="cs"/>
          <w:rtl/>
        </w:rPr>
        <w:t xml:space="preserve"> خلال مرحلة </w:t>
      </w:r>
      <w:r w:rsidR="00653B62" w:rsidRPr="00467BE7">
        <w:rPr>
          <w:rFonts w:hint="cs"/>
          <w:rtl/>
        </w:rPr>
        <w:t>ال</w:t>
      </w:r>
      <w:r w:rsidR="00914E69" w:rsidRPr="00467BE7">
        <w:rPr>
          <w:rFonts w:hint="cs"/>
          <w:rtl/>
        </w:rPr>
        <w:t>تنفيذ.</w:t>
      </w:r>
    </w:p>
    <w:p w:rsidR="00914E69" w:rsidRPr="00467BE7" w:rsidRDefault="00914E69" w:rsidP="00914E69">
      <w:pPr>
        <w:pStyle w:val="Heading3AR"/>
        <w:rPr>
          <w:rtl/>
        </w:rPr>
      </w:pPr>
      <w:r w:rsidRPr="00467BE7">
        <w:rPr>
          <w:rFonts w:hint="cs"/>
          <w:rtl/>
        </w:rPr>
        <w:t>(ب)</w:t>
      </w:r>
      <w:r w:rsidRPr="00467BE7">
        <w:rPr>
          <w:rtl/>
        </w:rPr>
        <w:tab/>
      </w:r>
      <w:r w:rsidRPr="00467BE7">
        <w:rPr>
          <w:rFonts w:hint="cs"/>
          <w:rtl/>
        </w:rPr>
        <w:t>تعزيز البنية الإدارية القائمة باتخاذ تدابير جديدة مخصصة للاستجابة للمتطلبات المعقدة لمشروع قاعة المؤتمرات الجديدة</w:t>
      </w:r>
    </w:p>
    <w:p w:rsidR="00914E69" w:rsidRPr="00467BE7" w:rsidRDefault="00914E69" w:rsidP="00653B62">
      <w:pPr>
        <w:pStyle w:val="NumberedParaAR"/>
      </w:pPr>
      <w:r w:rsidRPr="00467BE7">
        <w:rPr>
          <w:rFonts w:hint="cs"/>
          <w:rtl/>
        </w:rPr>
        <w:t>استُكملت البنية الإدارية القائمة التي أثبتت جدارتها منذ</w:t>
      </w:r>
      <w:r w:rsidR="001B5895" w:rsidRPr="00467BE7">
        <w:rPr>
          <w:rFonts w:hint="cs"/>
          <w:rtl/>
        </w:rPr>
        <w:t xml:space="preserve"> عام</w:t>
      </w:r>
      <w:r w:rsidR="001B5895" w:rsidRPr="00467BE7">
        <w:rPr>
          <w:rtl/>
        </w:rPr>
        <w:t> </w:t>
      </w:r>
      <w:r w:rsidRPr="0004173E">
        <w:rPr>
          <w:rFonts w:hint="cs"/>
          <w:rtl/>
        </w:rPr>
        <w:t>2012</w:t>
      </w:r>
      <w:r w:rsidRPr="00467BE7">
        <w:rPr>
          <w:rFonts w:hint="cs"/>
          <w:rtl/>
        </w:rPr>
        <w:t xml:space="preserve"> عن طريق </w:t>
      </w:r>
      <w:r w:rsidR="00E03DC6" w:rsidRPr="00467BE7">
        <w:rPr>
          <w:rFonts w:hint="cs"/>
          <w:rtl/>
        </w:rPr>
        <w:t>اتخاذ</w:t>
      </w:r>
      <w:r w:rsidR="00653B62" w:rsidRPr="00467BE7">
        <w:rPr>
          <w:rFonts w:hint="cs"/>
          <w:rtl/>
        </w:rPr>
        <w:t xml:space="preserve"> ثلاثة</w:t>
      </w:r>
      <w:r w:rsidR="00E03DC6" w:rsidRPr="00467BE7">
        <w:rPr>
          <w:rFonts w:hint="cs"/>
          <w:rtl/>
        </w:rPr>
        <w:t xml:space="preserve"> </w:t>
      </w:r>
      <w:r w:rsidRPr="00467BE7">
        <w:rPr>
          <w:rFonts w:hint="cs"/>
          <w:rtl/>
        </w:rPr>
        <w:t xml:space="preserve">تدابير </w:t>
      </w:r>
      <w:r w:rsidR="00653B62" w:rsidRPr="00467BE7">
        <w:rPr>
          <w:rFonts w:hint="cs"/>
          <w:rtl/>
        </w:rPr>
        <w:t>لل</w:t>
      </w:r>
      <w:r w:rsidRPr="00467BE7">
        <w:rPr>
          <w:rFonts w:hint="cs"/>
          <w:rtl/>
        </w:rPr>
        <w:t>انتقال بسلاسة في أثناء أعمال بناء قاعة المؤتمرات الجديدة من</w:t>
      </w:r>
      <w:r w:rsidR="00E03DC6" w:rsidRPr="00467BE7">
        <w:rPr>
          <w:rFonts w:hint="cs"/>
          <w:rtl/>
        </w:rPr>
        <w:t xml:space="preserve"> إطار</w:t>
      </w:r>
      <w:r w:rsidRPr="00467BE7">
        <w:rPr>
          <w:rFonts w:hint="cs"/>
          <w:rtl/>
        </w:rPr>
        <w:t xml:space="preserve"> </w:t>
      </w:r>
      <w:r w:rsidR="00E03DC6" w:rsidRPr="00467BE7">
        <w:rPr>
          <w:rFonts w:hint="cs"/>
          <w:rtl/>
        </w:rPr>
        <w:t>التعاقد مع مقاول</w:t>
      </w:r>
      <w:r w:rsidR="001B5895" w:rsidRPr="00467BE7">
        <w:rPr>
          <w:rFonts w:hint="cs"/>
          <w:rtl/>
        </w:rPr>
        <w:t xml:space="preserve"> عام</w:t>
      </w:r>
      <w:r w:rsidR="001B5895" w:rsidRPr="00467BE7">
        <w:rPr>
          <w:rtl/>
        </w:rPr>
        <w:t> </w:t>
      </w:r>
      <w:r w:rsidR="00E03DC6" w:rsidRPr="00467BE7">
        <w:rPr>
          <w:rFonts w:hint="cs"/>
          <w:rtl/>
        </w:rPr>
        <w:t>إلى إطار بدون مقاول</w:t>
      </w:r>
      <w:r w:rsidR="001B5895" w:rsidRPr="00467BE7">
        <w:rPr>
          <w:rFonts w:hint="cs"/>
          <w:rtl/>
        </w:rPr>
        <w:t xml:space="preserve"> عام</w:t>
      </w:r>
      <w:r w:rsidR="001B5895" w:rsidRPr="00467BE7">
        <w:rPr>
          <w:rtl/>
        </w:rPr>
        <w:t> </w:t>
      </w:r>
      <w:r w:rsidR="00E03DC6" w:rsidRPr="00467BE7">
        <w:rPr>
          <w:rFonts w:hint="cs"/>
          <w:rtl/>
        </w:rPr>
        <w:t>("الولاية التقليدية").</w:t>
      </w:r>
      <w:r w:rsidR="00E03DC6" w:rsidRPr="00467BE7">
        <w:rPr>
          <w:rStyle w:val="FootnoteReference"/>
          <w:rtl/>
        </w:rPr>
        <w:footnoteReference w:id="4"/>
      </w:r>
    </w:p>
    <w:p w:rsidR="00E03DC6" w:rsidRPr="00467BE7" w:rsidRDefault="00653B62" w:rsidP="004A4E47">
      <w:pPr>
        <w:pStyle w:val="NumberedParaAR"/>
      </w:pPr>
      <w:r w:rsidRPr="00467BE7">
        <w:rPr>
          <w:rFonts w:hint="cs"/>
          <w:rtl/>
        </w:rPr>
        <w:t>وكان أول هذه التدابير</w:t>
      </w:r>
      <w:r w:rsidR="00E03DC6" w:rsidRPr="00467BE7">
        <w:rPr>
          <w:rFonts w:hint="cs"/>
          <w:rtl/>
        </w:rPr>
        <w:t xml:space="preserve"> إنشاء لجنة فرعية بتفويض من لجنة البناء، هي لجنة إدارة أعمال البناء وتنسيقها، </w:t>
      </w:r>
      <w:r w:rsidR="004A4E47" w:rsidRPr="00467BE7">
        <w:rPr>
          <w:rFonts w:hint="cs"/>
          <w:rtl/>
        </w:rPr>
        <w:t>بوصفها هيئة تتمتع</w:t>
      </w:r>
      <w:r w:rsidR="00E03DC6" w:rsidRPr="00467BE7">
        <w:rPr>
          <w:rFonts w:hint="cs"/>
          <w:rtl/>
        </w:rPr>
        <w:t xml:space="preserve"> </w:t>
      </w:r>
      <w:r w:rsidR="004A4E47" w:rsidRPr="00467BE7">
        <w:rPr>
          <w:rFonts w:hint="cs"/>
          <w:rtl/>
        </w:rPr>
        <w:t>ب</w:t>
      </w:r>
      <w:r w:rsidR="00E03DC6" w:rsidRPr="00467BE7">
        <w:rPr>
          <w:rFonts w:hint="cs"/>
          <w:rtl/>
        </w:rPr>
        <w:t xml:space="preserve">السلطة والاستقلالية </w:t>
      </w:r>
      <w:r w:rsidR="004A4E47" w:rsidRPr="00467BE7">
        <w:rPr>
          <w:rFonts w:hint="cs"/>
          <w:rtl/>
        </w:rPr>
        <w:t>و</w:t>
      </w:r>
      <w:r w:rsidR="00E03DC6" w:rsidRPr="00467BE7">
        <w:rPr>
          <w:rFonts w:hint="cs"/>
          <w:rtl/>
        </w:rPr>
        <w:t>الكفاء</w:t>
      </w:r>
      <w:r w:rsidR="004A4E47" w:rsidRPr="00467BE7">
        <w:rPr>
          <w:rFonts w:hint="cs"/>
          <w:rtl/>
        </w:rPr>
        <w:t>ة</w:t>
      </w:r>
      <w:r w:rsidR="00E03DC6" w:rsidRPr="00467BE7">
        <w:rPr>
          <w:rFonts w:hint="cs"/>
          <w:rtl/>
        </w:rPr>
        <w:t xml:space="preserve"> والخبر</w:t>
      </w:r>
      <w:r w:rsidR="004A4E47" w:rsidRPr="00467BE7">
        <w:rPr>
          <w:rFonts w:hint="cs"/>
          <w:rtl/>
        </w:rPr>
        <w:t>ة</w:t>
      </w:r>
      <w:r w:rsidR="00E03DC6" w:rsidRPr="00467BE7">
        <w:rPr>
          <w:rFonts w:hint="cs"/>
          <w:rtl/>
        </w:rPr>
        <w:t xml:space="preserve"> والمرونة والتفاعلية </w:t>
      </w:r>
      <w:r w:rsidRPr="00467BE7">
        <w:rPr>
          <w:rFonts w:hint="cs"/>
          <w:rtl/>
        </w:rPr>
        <w:t xml:space="preserve">اللازمة لاتخاذ </w:t>
      </w:r>
      <w:r w:rsidR="001E570E" w:rsidRPr="00467BE7">
        <w:rPr>
          <w:rFonts w:hint="cs"/>
          <w:rtl/>
        </w:rPr>
        <w:t>ال</w:t>
      </w:r>
      <w:r w:rsidR="00E03DC6" w:rsidRPr="00467BE7">
        <w:rPr>
          <w:rFonts w:hint="cs"/>
          <w:rtl/>
        </w:rPr>
        <w:t xml:space="preserve">قرارات </w:t>
      </w:r>
      <w:r w:rsidR="001E570E" w:rsidRPr="00467BE7">
        <w:rPr>
          <w:rFonts w:hint="cs"/>
          <w:rtl/>
        </w:rPr>
        <w:t>ال</w:t>
      </w:r>
      <w:r w:rsidR="00E03DC6" w:rsidRPr="00467BE7">
        <w:rPr>
          <w:rFonts w:hint="cs"/>
          <w:rtl/>
        </w:rPr>
        <w:t xml:space="preserve">يومية. واجتمعت </w:t>
      </w:r>
      <w:r w:rsidRPr="00467BE7">
        <w:rPr>
          <w:rFonts w:hint="cs"/>
          <w:rtl/>
        </w:rPr>
        <w:t xml:space="preserve">تلك </w:t>
      </w:r>
      <w:r w:rsidR="00E03DC6" w:rsidRPr="00467BE7">
        <w:rPr>
          <w:rFonts w:hint="cs"/>
          <w:rtl/>
        </w:rPr>
        <w:t>اللجنة</w:t>
      </w:r>
      <w:r w:rsidR="004A4E47" w:rsidRPr="00467BE7">
        <w:rPr>
          <w:rFonts w:hint="cs"/>
          <w:rtl/>
        </w:rPr>
        <w:t xml:space="preserve"> الفرعية</w:t>
      </w:r>
      <w:r w:rsidR="00E03DC6" w:rsidRPr="00467BE7">
        <w:rPr>
          <w:rFonts w:hint="cs"/>
          <w:rtl/>
        </w:rPr>
        <w:t xml:space="preserve"> يومياً </w:t>
      </w:r>
      <w:r w:rsidRPr="00467BE7">
        <w:rPr>
          <w:rFonts w:hint="cs"/>
          <w:rtl/>
        </w:rPr>
        <w:t>لمتابعة</w:t>
      </w:r>
      <w:r w:rsidR="00E03DC6" w:rsidRPr="00467BE7">
        <w:rPr>
          <w:rFonts w:hint="cs"/>
          <w:rtl/>
        </w:rPr>
        <w:t xml:space="preserve"> الجدول الزمني للمشروع وأولوياته وتعديلهما عند الاقتضاء، وإدارة المخاطر، والموافقة على مختلف عناصر تنفيذ المشروع، واستعراض التغييرات المقترحة للمشروع أو اقتراح تغييرات، والنظر في طلبات المستخدمين المقبلين للمرافق الجديدة و</w:t>
      </w:r>
      <w:r w:rsidRPr="00467BE7">
        <w:rPr>
          <w:rFonts w:hint="cs"/>
          <w:rtl/>
        </w:rPr>
        <w:t xml:space="preserve">في </w:t>
      </w:r>
      <w:r w:rsidR="004A4E47" w:rsidRPr="00467BE7">
        <w:rPr>
          <w:rFonts w:hint="cs"/>
          <w:rtl/>
        </w:rPr>
        <w:t>احتياجاتهم. وقد</w:t>
      </w:r>
      <w:r w:rsidR="00E03DC6" w:rsidRPr="00467BE7">
        <w:rPr>
          <w:rFonts w:hint="cs"/>
          <w:rtl/>
        </w:rPr>
        <w:t xml:space="preserve">مت تقارير منتظمة عن الأنشطة المنفذة إلى لجنة البناء خلال </w:t>
      </w:r>
      <w:r w:rsidR="004A4E47" w:rsidRPr="00467BE7">
        <w:rPr>
          <w:rFonts w:hint="cs"/>
          <w:rtl/>
        </w:rPr>
        <w:t>اجتماعاتها</w:t>
      </w:r>
      <w:r w:rsidR="00E03DC6" w:rsidRPr="00467BE7">
        <w:rPr>
          <w:rFonts w:hint="cs"/>
          <w:rtl/>
        </w:rPr>
        <w:t xml:space="preserve"> الشهرية، والتمست موافقتها على التغييرات ا</w:t>
      </w:r>
      <w:r w:rsidR="00BF10F9" w:rsidRPr="00467BE7">
        <w:rPr>
          <w:rFonts w:hint="cs"/>
          <w:rtl/>
        </w:rPr>
        <w:t xml:space="preserve">لرئيسية في المشروع وعلى التغييرات الجوهرية </w:t>
      </w:r>
      <w:r w:rsidR="004A4E47" w:rsidRPr="00467BE7">
        <w:rPr>
          <w:rFonts w:hint="cs"/>
          <w:rtl/>
        </w:rPr>
        <w:t xml:space="preserve">أو </w:t>
      </w:r>
      <w:r w:rsidR="00BF10F9" w:rsidRPr="00467BE7">
        <w:rPr>
          <w:rFonts w:hint="cs"/>
          <w:rtl/>
        </w:rPr>
        <w:t>الواسعة النطاق.</w:t>
      </w:r>
    </w:p>
    <w:p w:rsidR="00BF10F9" w:rsidRPr="00467BE7" w:rsidRDefault="00BF10F9" w:rsidP="00267068">
      <w:pPr>
        <w:pStyle w:val="NumberedParaAR"/>
      </w:pPr>
      <w:r w:rsidRPr="00467BE7">
        <w:rPr>
          <w:rFonts w:hint="cs"/>
          <w:rtl/>
        </w:rPr>
        <w:t xml:space="preserve">وأما </w:t>
      </w:r>
      <w:r w:rsidR="004A4E47" w:rsidRPr="00467BE7">
        <w:rPr>
          <w:rFonts w:hint="cs"/>
          <w:rtl/>
        </w:rPr>
        <w:t xml:space="preserve">ثانيها الذي </w:t>
      </w:r>
      <w:r w:rsidRPr="00467BE7">
        <w:rPr>
          <w:rFonts w:hint="cs"/>
          <w:rtl/>
        </w:rPr>
        <w:t xml:space="preserve">يخص مشروع قاعة المؤتمرات الجديدة حصراً، </w:t>
      </w:r>
      <w:r w:rsidR="004A4E47" w:rsidRPr="00467BE7">
        <w:rPr>
          <w:rFonts w:hint="cs"/>
          <w:rtl/>
        </w:rPr>
        <w:t>ف</w:t>
      </w:r>
      <w:r w:rsidRPr="00467BE7">
        <w:rPr>
          <w:rFonts w:hint="cs"/>
          <w:rtl/>
        </w:rPr>
        <w:t xml:space="preserve">هو إنشاء لجنة مخصصة </w:t>
      </w:r>
      <w:r w:rsidR="00306AD4" w:rsidRPr="00467BE7">
        <w:rPr>
          <w:rFonts w:hint="cs"/>
          <w:rtl/>
        </w:rPr>
        <w:t>ل</w:t>
      </w:r>
      <w:r w:rsidRPr="00467BE7">
        <w:rPr>
          <w:rFonts w:hint="cs"/>
          <w:rtl/>
        </w:rPr>
        <w:t>عقود البناء</w:t>
      </w:r>
      <w:r w:rsidR="00306AD4" w:rsidRPr="00467BE7">
        <w:rPr>
          <w:rFonts w:hint="cs"/>
          <w:rtl/>
        </w:rPr>
        <w:t xml:space="preserve"> ومستقلة عن لجنة</w:t>
      </w:r>
      <w:r w:rsidR="004A4E47" w:rsidRPr="00467BE7">
        <w:rPr>
          <w:rFonts w:hint="eastAsia"/>
          <w:rtl/>
        </w:rPr>
        <w:t> </w:t>
      </w:r>
      <w:r w:rsidR="00306AD4" w:rsidRPr="00467BE7">
        <w:rPr>
          <w:rFonts w:hint="cs"/>
          <w:rtl/>
        </w:rPr>
        <w:t>استعراض العقود</w:t>
      </w:r>
      <w:r w:rsidRPr="00467BE7">
        <w:rPr>
          <w:rFonts w:hint="cs"/>
          <w:rtl/>
        </w:rPr>
        <w:t xml:space="preserve"> </w:t>
      </w:r>
      <w:r w:rsidR="00306AD4" w:rsidRPr="00467BE7">
        <w:rPr>
          <w:rtl/>
        </w:rPr>
        <w:t>–</w:t>
      </w:r>
      <w:r w:rsidR="00306AD4" w:rsidRPr="00467BE7">
        <w:rPr>
          <w:rFonts w:hint="cs"/>
          <w:rtl/>
        </w:rPr>
        <w:t xml:space="preserve"> </w:t>
      </w:r>
      <w:r w:rsidRPr="00467BE7">
        <w:rPr>
          <w:rFonts w:hint="cs"/>
          <w:rtl/>
        </w:rPr>
        <w:t xml:space="preserve">هي </w:t>
      </w:r>
      <w:r w:rsidR="00306AD4" w:rsidRPr="00467BE7">
        <w:rPr>
          <w:rtl/>
        </w:rPr>
        <w:t>لجنة التعاقدات المخصصة لقاعة المؤتمرات</w:t>
      </w:r>
      <w:r w:rsidR="00306AD4" w:rsidRPr="00467BE7">
        <w:rPr>
          <w:rFonts w:hint="cs"/>
          <w:rtl/>
        </w:rPr>
        <w:t xml:space="preserve"> </w:t>
      </w:r>
      <w:r w:rsidR="00306AD4" w:rsidRPr="00467BE7">
        <w:rPr>
          <w:rtl/>
        </w:rPr>
        <w:t>–</w:t>
      </w:r>
      <w:r w:rsidR="00306AD4" w:rsidRPr="00467BE7">
        <w:rPr>
          <w:rFonts w:hint="cs"/>
          <w:rtl/>
        </w:rPr>
        <w:t xml:space="preserve"> </w:t>
      </w:r>
      <w:r w:rsidR="004A4E47" w:rsidRPr="00467BE7">
        <w:rPr>
          <w:rFonts w:hint="cs"/>
          <w:rtl/>
        </w:rPr>
        <w:t>بوصفها</w:t>
      </w:r>
      <w:r w:rsidR="00306AD4" w:rsidRPr="00467BE7">
        <w:rPr>
          <w:rFonts w:hint="cs"/>
          <w:rtl/>
        </w:rPr>
        <w:t xml:space="preserve"> هيئة تتمتع بالاستقلالية والمرونة والتفاعلية اللازمة للاستجابة لمتطلبات العقود المرتبطة بموقع العمل (</w:t>
      </w:r>
      <w:r w:rsidR="004A4E47" w:rsidRPr="00467BE7">
        <w:rPr>
          <w:rFonts w:hint="cs"/>
          <w:rtl/>
        </w:rPr>
        <w:t xml:space="preserve">كان </w:t>
      </w:r>
      <w:r w:rsidR="00890FEA" w:rsidRPr="00467BE7">
        <w:rPr>
          <w:rFonts w:hint="cs"/>
          <w:rtl/>
        </w:rPr>
        <w:t xml:space="preserve">الحد الأدنى لقيمة العقود المحالة إلى لجنة التعاقدات المخصصة لقاعة المؤتمرات </w:t>
      </w:r>
      <w:r w:rsidR="00890FEA" w:rsidRPr="0004173E">
        <w:rPr>
          <w:rFonts w:hint="cs"/>
          <w:rtl/>
        </w:rPr>
        <w:t>000</w:t>
      </w:r>
      <w:r w:rsidR="00890FEA" w:rsidRPr="00467BE7">
        <w:rPr>
          <w:rFonts w:hint="cs"/>
          <w:rtl/>
        </w:rPr>
        <w:t> </w:t>
      </w:r>
      <w:r w:rsidR="00890FEA" w:rsidRPr="0004173E">
        <w:rPr>
          <w:rFonts w:hint="cs"/>
          <w:rtl/>
        </w:rPr>
        <w:t>200</w:t>
      </w:r>
      <w:r w:rsidR="00890FEA" w:rsidRPr="00467BE7">
        <w:rPr>
          <w:rFonts w:hint="cs"/>
          <w:rtl/>
        </w:rPr>
        <w:t xml:space="preserve"> فرنك سويسري</w:t>
      </w:r>
      <w:r w:rsidR="004A4E47" w:rsidRPr="00467BE7">
        <w:rPr>
          <w:rFonts w:hint="cs"/>
          <w:rtl/>
        </w:rPr>
        <w:t>،</w:t>
      </w:r>
      <w:r w:rsidR="00890FEA" w:rsidRPr="00467BE7">
        <w:rPr>
          <w:rFonts w:hint="cs"/>
          <w:rtl/>
        </w:rPr>
        <w:t xml:space="preserve"> واجتمعت هذه اللجنة أسبوعياً </w:t>
      </w:r>
      <w:r w:rsidR="00F22EBF" w:rsidRPr="00467BE7">
        <w:rPr>
          <w:rFonts w:hint="cs"/>
          <w:rtl/>
        </w:rPr>
        <w:t xml:space="preserve">عند الحاجة </w:t>
      </w:r>
      <w:r w:rsidR="004A4E47" w:rsidRPr="00467BE7">
        <w:rPr>
          <w:rFonts w:hint="cs"/>
          <w:rtl/>
        </w:rPr>
        <w:t xml:space="preserve">خلافاً للجنة استعراض العقود التي تجتمع شهرياً والتي يبلغ </w:t>
      </w:r>
      <w:r w:rsidR="00F22EBF" w:rsidRPr="00467BE7">
        <w:rPr>
          <w:rFonts w:hint="cs"/>
          <w:rtl/>
        </w:rPr>
        <w:t xml:space="preserve">الحد الأدنى لقيمة العقود المحالة إليها </w:t>
      </w:r>
      <w:r w:rsidR="00F22EBF" w:rsidRPr="0004173E">
        <w:rPr>
          <w:rFonts w:hint="cs"/>
          <w:rtl/>
        </w:rPr>
        <w:t>000</w:t>
      </w:r>
      <w:r w:rsidR="00F22EBF" w:rsidRPr="00467BE7">
        <w:rPr>
          <w:rFonts w:hint="cs"/>
          <w:rtl/>
        </w:rPr>
        <w:t> </w:t>
      </w:r>
      <w:r w:rsidR="00F22EBF" w:rsidRPr="0004173E">
        <w:rPr>
          <w:rFonts w:hint="cs"/>
          <w:rtl/>
        </w:rPr>
        <w:t>100</w:t>
      </w:r>
      <w:r w:rsidR="00F22EBF" w:rsidRPr="00467BE7">
        <w:rPr>
          <w:rFonts w:hint="cs"/>
          <w:rtl/>
        </w:rPr>
        <w:t xml:space="preserve"> فرنك سويسري). </w:t>
      </w:r>
      <w:r w:rsidR="00456BEA" w:rsidRPr="00467BE7">
        <w:rPr>
          <w:rFonts w:hint="cs"/>
          <w:spacing w:val="-8"/>
          <w:rtl/>
        </w:rPr>
        <w:t>ا</w:t>
      </w:r>
      <w:r w:rsidR="00F22EBF" w:rsidRPr="00467BE7">
        <w:rPr>
          <w:rFonts w:hint="cs"/>
          <w:spacing w:val="-8"/>
          <w:rtl/>
        </w:rPr>
        <w:t>نظر الجزء</w:t>
      </w:r>
      <w:r w:rsidR="00E94EF9" w:rsidRPr="00467BE7">
        <w:rPr>
          <w:rFonts w:hint="cs"/>
          <w:spacing w:val="-8"/>
          <w:rtl/>
        </w:rPr>
        <w:t xml:space="preserve"> الفرعي</w:t>
      </w:r>
      <w:r w:rsidR="00F22EBF" w:rsidRPr="00467BE7">
        <w:rPr>
          <w:rFonts w:hint="cs"/>
          <w:spacing w:val="-8"/>
          <w:rtl/>
        </w:rPr>
        <w:t xml:space="preserve"> (</w:t>
      </w:r>
      <w:r w:rsidR="00F22EBF" w:rsidRPr="0004173E">
        <w:rPr>
          <w:rFonts w:hint="cs"/>
          <w:spacing w:val="-8"/>
          <w:rtl/>
        </w:rPr>
        <w:t>4</w:t>
      </w:r>
      <w:r w:rsidR="00F22EBF" w:rsidRPr="00467BE7">
        <w:rPr>
          <w:rFonts w:hint="cs"/>
          <w:spacing w:val="-8"/>
          <w:rtl/>
        </w:rPr>
        <w:t>)</w:t>
      </w:r>
      <w:r w:rsidR="00895A1F" w:rsidRPr="00467BE7">
        <w:rPr>
          <w:rFonts w:hint="cs"/>
          <w:spacing w:val="-8"/>
          <w:rtl/>
        </w:rPr>
        <w:t xml:space="preserve"> من هذه الوثيقة</w:t>
      </w:r>
      <w:r w:rsidR="00F22EBF" w:rsidRPr="00467BE7">
        <w:rPr>
          <w:rFonts w:hint="cs"/>
          <w:spacing w:val="-8"/>
          <w:rtl/>
        </w:rPr>
        <w:t>.</w:t>
      </w:r>
    </w:p>
    <w:p w:rsidR="00F22EBF" w:rsidRPr="00467BE7" w:rsidRDefault="00F22EBF" w:rsidP="00E94EF9">
      <w:pPr>
        <w:pStyle w:val="NumberedParaAR"/>
      </w:pPr>
      <w:r w:rsidRPr="00467BE7">
        <w:rPr>
          <w:rFonts w:hint="cs"/>
          <w:rtl/>
        </w:rPr>
        <w:t xml:space="preserve">وأما </w:t>
      </w:r>
      <w:r w:rsidR="004A4E47" w:rsidRPr="00467BE7">
        <w:rPr>
          <w:rFonts w:hint="cs"/>
          <w:rtl/>
        </w:rPr>
        <w:t>ثالثها،</w:t>
      </w:r>
      <w:r w:rsidRPr="00467BE7">
        <w:rPr>
          <w:rFonts w:hint="cs"/>
          <w:rtl/>
        </w:rPr>
        <w:t xml:space="preserve"> فهو الاستعانة بخبير مالي في مشروعات البناء</w:t>
      </w:r>
      <w:r w:rsidR="004A4E47" w:rsidRPr="00467BE7">
        <w:rPr>
          <w:rFonts w:hint="cs"/>
          <w:rtl/>
        </w:rPr>
        <w:t xml:space="preserve"> الكبيرة</w:t>
      </w:r>
      <w:r w:rsidRPr="00467BE7">
        <w:rPr>
          <w:rFonts w:hint="cs"/>
          <w:rtl/>
        </w:rPr>
        <w:t xml:space="preserve"> </w:t>
      </w:r>
      <w:r w:rsidR="004A4E47" w:rsidRPr="00467BE7">
        <w:rPr>
          <w:rFonts w:hint="cs"/>
          <w:rtl/>
        </w:rPr>
        <w:t>وتكليفه</w:t>
      </w:r>
      <w:r w:rsidRPr="00467BE7">
        <w:rPr>
          <w:rFonts w:hint="cs"/>
          <w:rtl/>
        </w:rPr>
        <w:t xml:space="preserve"> بتحليل الميزانية والنفقات والأعباء المالية </w:t>
      </w:r>
      <w:r w:rsidR="004A4E47" w:rsidRPr="00467BE7">
        <w:rPr>
          <w:rFonts w:hint="cs"/>
          <w:rtl/>
        </w:rPr>
        <w:t xml:space="preserve">تحليلاً مالياً يراعي متطلبات المشروع، </w:t>
      </w:r>
      <w:r w:rsidR="001E570E" w:rsidRPr="00467BE7">
        <w:rPr>
          <w:rFonts w:hint="cs"/>
          <w:rtl/>
        </w:rPr>
        <w:t>والتدقيق فيها</w:t>
      </w:r>
      <w:r w:rsidRPr="00467BE7">
        <w:rPr>
          <w:rFonts w:hint="cs"/>
          <w:rtl/>
        </w:rPr>
        <w:t xml:space="preserve">. </w:t>
      </w:r>
      <w:r w:rsidR="00E94EF9" w:rsidRPr="00467BE7">
        <w:rPr>
          <w:rFonts w:hint="cs"/>
          <w:rtl/>
        </w:rPr>
        <w:t>وأسهم ذلك في</w:t>
      </w:r>
      <w:r w:rsidRPr="00467BE7">
        <w:rPr>
          <w:rFonts w:hint="cs"/>
          <w:rtl/>
        </w:rPr>
        <w:t xml:space="preserve"> تيسير اعتماد طلب الأمانة الحصول على مخصصات إضافية في</w:t>
      </w:r>
      <w:r w:rsidR="001B5895" w:rsidRPr="00467BE7">
        <w:rPr>
          <w:rFonts w:hint="cs"/>
          <w:rtl/>
        </w:rPr>
        <w:t xml:space="preserve"> عام</w:t>
      </w:r>
      <w:r w:rsidR="001B5895" w:rsidRPr="00467BE7">
        <w:rPr>
          <w:rtl/>
        </w:rPr>
        <w:t> </w:t>
      </w:r>
      <w:r w:rsidRPr="0004173E">
        <w:rPr>
          <w:rFonts w:hint="cs"/>
          <w:rtl/>
        </w:rPr>
        <w:t>2014</w:t>
      </w:r>
      <w:r w:rsidRPr="00467BE7">
        <w:rPr>
          <w:rFonts w:hint="cs"/>
          <w:rtl/>
        </w:rPr>
        <w:t xml:space="preserve"> تيسيراً كبيراً.</w:t>
      </w:r>
    </w:p>
    <w:p w:rsidR="00F22EBF" w:rsidRPr="00467BE7" w:rsidRDefault="00F22EBF" w:rsidP="001E570E">
      <w:pPr>
        <w:pStyle w:val="Heading3AR"/>
        <w:rPr>
          <w:spacing w:val="-10"/>
          <w:rtl/>
        </w:rPr>
      </w:pPr>
      <w:r w:rsidRPr="00467BE7">
        <w:rPr>
          <w:rFonts w:hint="cs"/>
          <w:rtl/>
        </w:rPr>
        <w:t>(ج)</w:t>
      </w:r>
      <w:r w:rsidRPr="00467BE7">
        <w:rPr>
          <w:rtl/>
        </w:rPr>
        <w:tab/>
      </w:r>
      <w:r w:rsidRPr="00467BE7">
        <w:rPr>
          <w:rFonts w:hint="cs"/>
          <w:spacing w:val="-4"/>
          <w:rtl/>
        </w:rPr>
        <w:t>القدرة على تحليل الظروف والقيود والمخاطر</w:t>
      </w:r>
      <w:r w:rsidR="001E570E" w:rsidRPr="00467BE7">
        <w:rPr>
          <w:rFonts w:hint="cs"/>
          <w:spacing w:val="-4"/>
          <w:rtl/>
        </w:rPr>
        <w:t>،</w:t>
      </w:r>
      <w:r w:rsidRPr="00467BE7">
        <w:rPr>
          <w:rFonts w:hint="cs"/>
          <w:spacing w:val="-4"/>
          <w:rtl/>
        </w:rPr>
        <w:t xml:space="preserve"> والتمتع بالمرونة الكافية </w:t>
      </w:r>
      <w:r w:rsidR="001E570E" w:rsidRPr="00467BE7">
        <w:rPr>
          <w:rFonts w:hint="cs"/>
          <w:spacing w:val="-4"/>
          <w:rtl/>
        </w:rPr>
        <w:t xml:space="preserve">لمراجعة الخطة وإعادة </w:t>
      </w:r>
      <w:r w:rsidRPr="00467BE7">
        <w:rPr>
          <w:rFonts w:hint="cs"/>
          <w:spacing w:val="-4"/>
          <w:rtl/>
        </w:rPr>
        <w:t>ترتيب الأولوليات</w:t>
      </w:r>
      <w:r w:rsidR="001E570E" w:rsidRPr="00467BE7">
        <w:rPr>
          <w:rFonts w:hint="cs"/>
          <w:spacing w:val="-4"/>
          <w:rtl/>
        </w:rPr>
        <w:t xml:space="preserve"> عند الاقتضاء</w:t>
      </w:r>
    </w:p>
    <w:p w:rsidR="00F22EBF" w:rsidRPr="00467BE7" w:rsidRDefault="00AF15CC" w:rsidP="00E94EF9">
      <w:pPr>
        <w:pStyle w:val="NumberedParaAR"/>
        <w:keepLines/>
      </w:pPr>
      <w:r w:rsidRPr="00467BE7">
        <w:rPr>
          <w:rFonts w:hint="cs"/>
          <w:rtl/>
        </w:rPr>
        <w:t>فيما يخص مشروع البناء الجديد، تمتعت إدارة المرافق الداخلية بالقدرة والسلطة اللازمة لإرجاء تاريخ تسليم المبنى الجديد في ربيع</w:t>
      </w:r>
      <w:r w:rsidR="001B5895" w:rsidRPr="00467BE7">
        <w:rPr>
          <w:rFonts w:hint="cs"/>
          <w:rtl/>
        </w:rPr>
        <w:t xml:space="preserve"> عام</w:t>
      </w:r>
      <w:r w:rsidR="001B5895" w:rsidRPr="00467BE7">
        <w:rPr>
          <w:rtl/>
        </w:rPr>
        <w:t> </w:t>
      </w:r>
      <w:r w:rsidRPr="0004173E">
        <w:rPr>
          <w:rFonts w:hint="cs"/>
          <w:rtl/>
        </w:rPr>
        <w:t>2011</w:t>
      </w:r>
      <w:r w:rsidRPr="00467BE7">
        <w:rPr>
          <w:rFonts w:hint="cs"/>
          <w:rtl/>
        </w:rPr>
        <w:t xml:space="preserve"> وتدريج هذا التسليم طابقاً طابقاً ومنطقة منطقة مع استمرار أعمال التشطيب. وقد كان هذا التدريج لازماً لنقل الموظفين من المباني المستأجرة إلى المبنى الجديد وضمان إخلاء المباني المستأجرة </w:t>
      </w:r>
      <w:r w:rsidR="00E94EF9" w:rsidRPr="00467BE7">
        <w:rPr>
          <w:rFonts w:hint="cs"/>
          <w:rtl/>
        </w:rPr>
        <w:t>في</w:t>
      </w:r>
      <w:r w:rsidRPr="00467BE7">
        <w:rPr>
          <w:rFonts w:hint="cs"/>
          <w:rtl/>
        </w:rPr>
        <w:t xml:space="preserve"> الموعد </w:t>
      </w:r>
      <w:r w:rsidR="00E94EF9" w:rsidRPr="00467BE7">
        <w:rPr>
          <w:rFonts w:hint="cs"/>
          <w:rtl/>
        </w:rPr>
        <w:t>المتعاقد عليه وعدم</w:t>
      </w:r>
      <w:r w:rsidRPr="00467BE7">
        <w:rPr>
          <w:rFonts w:hint="cs"/>
          <w:rtl/>
        </w:rPr>
        <w:t xml:space="preserve"> اللجوء إلى تدابير استثنائية (مثل توفير أماكن مؤقتة) أو تكبد تكاليف إضافية.</w:t>
      </w:r>
    </w:p>
    <w:p w:rsidR="00AF15CC" w:rsidRPr="00467BE7" w:rsidRDefault="00AF15CC" w:rsidP="005161A8">
      <w:pPr>
        <w:pStyle w:val="NumberedParaAR"/>
      </w:pPr>
      <w:r w:rsidRPr="00467BE7">
        <w:rPr>
          <w:rFonts w:hint="cs"/>
          <w:rtl/>
        </w:rPr>
        <w:t xml:space="preserve">وفيما </w:t>
      </w:r>
      <w:r w:rsidR="00E94EF9" w:rsidRPr="00467BE7">
        <w:rPr>
          <w:rFonts w:hint="cs"/>
          <w:rtl/>
        </w:rPr>
        <w:t>يتعلق ب</w:t>
      </w:r>
      <w:r w:rsidRPr="00467BE7">
        <w:rPr>
          <w:rFonts w:hint="cs"/>
          <w:rtl/>
        </w:rPr>
        <w:t xml:space="preserve">مشروع قاعة المؤتمرات الجديدة، أدت لجنة إدارة أعمال البناء وتنسيقها دوراً </w:t>
      </w:r>
      <w:r w:rsidR="00E94EF9" w:rsidRPr="00467BE7">
        <w:rPr>
          <w:rFonts w:hint="cs"/>
          <w:rtl/>
        </w:rPr>
        <w:t>محورياً</w:t>
      </w:r>
      <w:r w:rsidRPr="00467BE7">
        <w:rPr>
          <w:rFonts w:hint="cs"/>
          <w:rtl/>
        </w:rPr>
        <w:t xml:space="preserve"> في اتخاذ </w:t>
      </w:r>
      <w:r w:rsidR="00E94EF9" w:rsidRPr="00467BE7">
        <w:rPr>
          <w:rFonts w:hint="cs"/>
          <w:rtl/>
        </w:rPr>
        <w:t>ال</w:t>
      </w:r>
      <w:r w:rsidRPr="00467BE7">
        <w:rPr>
          <w:rFonts w:hint="cs"/>
          <w:rtl/>
        </w:rPr>
        <w:t xml:space="preserve">قرارات </w:t>
      </w:r>
      <w:r w:rsidR="00E94EF9" w:rsidRPr="00467BE7">
        <w:rPr>
          <w:rFonts w:hint="cs"/>
          <w:rtl/>
        </w:rPr>
        <w:t>ال</w:t>
      </w:r>
      <w:r w:rsidRPr="00467BE7">
        <w:rPr>
          <w:rFonts w:hint="cs"/>
          <w:rtl/>
        </w:rPr>
        <w:t>يومية</w:t>
      </w:r>
      <w:r w:rsidR="00E40529" w:rsidRPr="00467BE7">
        <w:rPr>
          <w:rFonts w:hint="cs"/>
          <w:rtl/>
        </w:rPr>
        <w:t xml:space="preserve"> في الوقت المناسب</w:t>
      </w:r>
      <w:r w:rsidRPr="00467BE7">
        <w:rPr>
          <w:rFonts w:hint="cs"/>
          <w:rtl/>
        </w:rPr>
        <w:t xml:space="preserve"> وتنفيذ</w:t>
      </w:r>
      <w:r w:rsidR="00E94EF9" w:rsidRPr="00467BE7">
        <w:rPr>
          <w:rFonts w:hint="cs"/>
          <w:rtl/>
        </w:rPr>
        <w:t xml:space="preserve"> هذه القرارات</w:t>
      </w:r>
      <w:r w:rsidRPr="00467BE7">
        <w:rPr>
          <w:rFonts w:hint="cs"/>
          <w:rtl/>
        </w:rPr>
        <w:t xml:space="preserve"> </w:t>
      </w:r>
      <w:r w:rsidR="00E40529" w:rsidRPr="00467BE7">
        <w:rPr>
          <w:rFonts w:hint="cs"/>
          <w:rtl/>
        </w:rPr>
        <w:t xml:space="preserve">لتذليل أي عقبات قد تعرقل أعمال البناء بعد </w:t>
      </w:r>
      <w:r w:rsidR="005161A8">
        <w:rPr>
          <w:rFonts w:hint="cs"/>
          <w:rtl/>
        </w:rPr>
        <w:t>إنهاء</w:t>
      </w:r>
      <w:r w:rsidR="00E40529" w:rsidRPr="00467BE7">
        <w:rPr>
          <w:rFonts w:hint="cs"/>
          <w:rtl/>
        </w:rPr>
        <w:t xml:space="preserve"> عقد المقاول العام السابق. </w:t>
      </w:r>
      <w:r w:rsidR="00E3183B" w:rsidRPr="00467BE7">
        <w:rPr>
          <w:rFonts w:hint="cs"/>
          <w:rtl/>
        </w:rPr>
        <w:t xml:space="preserve">وصحيح أن تاريخ التسليم الأصلي لقاعة المؤتمرات الجديدة قد أُجِّل، ولكن إنشاء لجنة إدارة أعمال البناء وتنسيقها في الوقت المناسب (انظر الفقرة </w:t>
      </w:r>
      <w:r w:rsidR="00E3183B" w:rsidRPr="0004173E">
        <w:rPr>
          <w:rFonts w:hint="cs"/>
          <w:rtl/>
        </w:rPr>
        <w:t>14</w:t>
      </w:r>
      <w:r w:rsidR="00E3183B" w:rsidRPr="00467BE7">
        <w:rPr>
          <w:rFonts w:hint="cs"/>
          <w:rtl/>
        </w:rPr>
        <w:t xml:space="preserve"> </w:t>
      </w:r>
      <w:r w:rsidR="00E94EF9" w:rsidRPr="00467BE7">
        <w:rPr>
          <w:rFonts w:hint="cs"/>
          <w:rtl/>
        </w:rPr>
        <w:t>السابقة</w:t>
      </w:r>
      <w:r w:rsidR="00E3183B" w:rsidRPr="00467BE7">
        <w:rPr>
          <w:rFonts w:hint="cs"/>
          <w:rtl/>
        </w:rPr>
        <w:t>)</w:t>
      </w:r>
      <w:r w:rsidR="00E94EF9" w:rsidRPr="00467BE7">
        <w:rPr>
          <w:rFonts w:hint="cs"/>
          <w:rtl/>
        </w:rPr>
        <w:t>،</w:t>
      </w:r>
      <w:r w:rsidR="00E3183B" w:rsidRPr="00467BE7">
        <w:rPr>
          <w:rFonts w:hint="cs"/>
          <w:rtl/>
        </w:rPr>
        <w:t xml:space="preserve"> بوصفها هيئة اتخاذ قرارات تتمتع بالمرونة والسلطة اللازمة</w:t>
      </w:r>
      <w:r w:rsidR="00E94EF9" w:rsidRPr="00467BE7">
        <w:rPr>
          <w:rFonts w:hint="cs"/>
          <w:rtl/>
        </w:rPr>
        <w:t>،</w:t>
      </w:r>
      <w:r w:rsidR="00E3183B" w:rsidRPr="00467BE7">
        <w:rPr>
          <w:rFonts w:hint="cs"/>
          <w:rtl/>
        </w:rPr>
        <w:t xml:space="preserve"> </w:t>
      </w:r>
      <w:r w:rsidR="00E94EF9" w:rsidRPr="00467BE7">
        <w:rPr>
          <w:rFonts w:hint="cs"/>
          <w:rtl/>
        </w:rPr>
        <w:t>ضَمِن</w:t>
      </w:r>
      <w:r w:rsidR="00E3183B" w:rsidRPr="00467BE7">
        <w:rPr>
          <w:rFonts w:hint="cs"/>
          <w:rtl/>
        </w:rPr>
        <w:t xml:space="preserve"> </w:t>
      </w:r>
      <w:r w:rsidR="00E94EF9" w:rsidRPr="00467BE7">
        <w:rPr>
          <w:rFonts w:hint="cs"/>
          <w:rtl/>
        </w:rPr>
        <w:t xml:space="preserve">الانتهاء من بناء </w:t>
      </w:r>
      <w:r w:rsidR="00E3183B" w:rsidRPr="00467BE7">
        <w:rPr>
          <w:rFonts w:hint="cs"/>
          <w:rtl/>
        </w:rPr>
        <w:t xml:space="preserve">المرافق الجديدة وتسليمها بحلول موعد جمعيات الويبو في سبتمبر </w:t>
      </w:r>
      <w:r w:rsidR="00E3183B" w:rsidRPr="0004173E">
        <w:rPr>
          <w:rFonts w:hint="cs"/>
          <w:rtl/>
        </w:rPr>
        <w:t>2014</w:t>
      </w:r>
      <w:r w:rsidR="00E3183B" w:rsidRPr="00467BE7">
        <w:rPr>
          <w:rFonts w:hint="cs"/>
          <w:rtl/>
        </w:rPr>
        <w:t>.</w:t>
      </w:r>
    </w:p>
    <w:p w:rsidR="00E3183B" w:rsidRPr="00467BE7" w:rsidRDefault="00E3183B" w:rsidP="00E3183B">
      <w:pPr>
        <w:pStyle w:val="Heading3AR"/>
        <w:rPr>
          <w:rtl/>
        </w:rPr>
      </w:pPr>
      <w:r w:rsidRPr="00467BE7">
        <w:rPr>
          <w:rFonts w:hint="cs"/>
          <w:rtl/>
        </w:rPr>
        <w:lastRenderedPageBreak/>
        <w:t>(د)</w:t>
      </w:r>
      <w:r w:rsidRPr="00467BE7">
        <w:rPr>
          <w:rtl/>
        </w:rPr>
        <w:tab/>
      </w:r>
      <w:r w:rsidRPr="00467BE7">
        <w:rPr>
          <w:rFonts w:hint="cs"/>
          <w:rtl/>
        </w:rPr>
        <w:t>أحكام تعاقدية محكمة في عقود البناء</w:t>
      </w:r>
    </w:p>
    <w:p w:rsidR="00E3183B" w:rsidRPr="00467BE7" w:rsidRDefault="00E3183B" w:rsidP="005161A8">
      <w:pPr>
        <w:pStyle w:val="NumberedParaAR"/>
      </w:pPr>
      <w:r w:rsidRPr="00467BE7">
        <w:rPr>
          <w:rFonts w:hint="cs"/>
          <w:rtl/>
        </w:rPr>
        <w:t>من حيث اتباع الممارسات التعاقدية الجيدة، نص العقد المبرم مع</w:t>
      </w:r>
      <w:r w:rsidRPr="00467BE7">
        <w:rPr>
          <w:rtl/>
        </w:rPr>
        <w:t xml:space="preserve"> المقاول العام</w:t>
      </w:r>
      <w:r w:rsidRPr="00467BE7">
        <w:rPr>
          <w:rFonts w:hint="cs"/>
          <w:rtl/>
        </w:rPr>
        <w:t xml:space="preserve"> السابق على منعه من</w:t>
      </w:r>
      <w:r w:rsidRPr="00467BE7">
        <w:rPr>
          <w:rtl/>
        </w:rPr>
        <w:t xml:space="preserve"> إبرام عقود مقاولات من الباطن إلا مع شركات تُلزم بقبول إحالة عقودها إلى الويبو دون تعديل بنود العقد (خاصة السعر المتفق عليه) في حالة إنهاء العقد المبرم بين الويبو والمقاول العام.</w:t>
      </w:r>
      <w:r w:rsidRPr="00467BE7">
        <w:rPr>
          <w:rFonts w:hint="cs"/>
          <w:rtl/>
        </w:rPr>
        <w:t xml:space="preserve"> وإذ إن الظروف التي أدت إلى </w:t>
      </w:r>
      <w:r w:rsidR="005161A8">
        <w:rPr>
          <w:rFonts w:hint="cs"/>
          <w:rtl/>
        </w:rPr>
        <w:t>إنهاء</w:t>
      </w:r>
      <w:r w:rsidRPr="00467BE7">
        <w:rPr>
          <w:rFonts w:hint="cs"/>
          <w:rtl/>
        </w:rPr>
        <w:t xml:space="preserve"> العقد لم تتبين إلا بعد</w:t>
      </w:r>
      <w:r w:rsidR="001B5895" w:rsidRPr="00467BE7">
        <w:rPr>
          <w:rFonts w:hint="cs"/>
          <w:rtl/>
        </w:rPr>
        <w:t xml:space="preserve"> عام</w:t>
      </w:r>
      <w:r w:rsidR="001B5895" w:rsidRPr="00467BE7">
        <w:rPr>
          <w:rtl/>
        </w:rPr>
        <w:t> </w:t>
      </w:r>
      <w:r w:rsidRPr="00467BE7">
        <w:rPr>
          <w:rFonts w:hint="cs"/>
          <w:rtl/>
        </w:rPr>
        <w:t>من بداية أعمال البناء في موقع مشروع قاعة المؤتمرات الجديدة، فقد مك</w:t>
      </w:r>
      <w:r w:rsidR="00CB060D" w:rsidRPr="00467BE7">
        <w:rPr>
          <w:rFonts w:hint="cs"/>
          <w:rtl/>
        </w:rPr>
        <w:t>َّ</w:t>
      </w:r>
      <w:r w:rsidRPr="00467BE7">
        <w:rPr>
          <w:rFonts w:hint="cs"/>
          <w:rtl/>
        </w:rPr>
        <w:t>ن هذا البند الأمانة من تولي العقود العشرين المبرمة مع المقاولين من الباطن فضلاً عن إبرام عقود جديدة على أساس الشروط ذاتها والأسعار المتفق عليها مع عدد كبير من المقاولين من الباطن الذين قدموا عروض</w:t>
      </w:r>
      <w:r w:rsidR="00CB060D" w:rsidRPr="00467BE7">
        <w:rPr>
          <w:rFonts w:hint="cs"/>
          <w:rtl/>
        </w:rPr>
        <w:t>هم</w:t>
      </w:r>
      <w:r w:rsidRPr="00467BE7">
        <w:rPr>
          <w:rFonts w:hint="cs"/>
          <w:rtl/>
        </w:rPr>
        <w:t xml:space="preserve"> قبل </w:t>
      </w:r>
      <w:r w:rsidR="005161A8">
        <w:rPr>
          <w:rFonts w:hint="cs"/>
          <w:rtl/>
        </w:rPr>
        <w:t>إنهاء</w:t>
      </w:r>
      <w:r w:rsidRPr="00467BE7">
        <w:rPr>
          <w:rFonts w:hint="cs"/>
          <w:rtl/>
        </w:rPr>
        <w:t xml:space="preserve"> عقد</w:t>
      </w:r>
      <w:r w:rsidR="00CB060D" w:rsidRPr="00467BE7">
        <w:rPr>
          <w:rFonts w:hint="cs"/>
          <w:rtl/>
        </w:rPr>
        <w:t xml:space="preserve"> المقاول العام السابق</w:t>
      </w:r>
      <w:r w:rsidRPr="00467BE7">
        <w:rPr>
          <w:rFonts w:hint="cs"/>
          <w:rtl/>
        </w:rPr>
        <w:t>. و</w:t>
      </w:r>
      <w:r w:rsidR="00CB060D" w:rsidRPr="00467BE7">
        <w:rPr>
          <w:rFonts w:hint="cs"/>
          <w:rtl/>
        </w:rPr>
        <w:t>أسهم ذلك في</w:t>
      </w:r>
      <w:r w:rsidRPr="00467BE7">
        <w:rPr>
          <w:rFonts w:hint="cs"/>
          <w:rtl/>
        </w:rPr>
        <w:t xml:space="preserve"> </w:t>
      </w:r>
      <w:r w:rsidR="00CB060D" w:rsidRPr="00467BE7">
        <w:rPr>
          <w:rFonts w:hint="cs"/>
          <w:rtl/>
        </w:rPr>
        <w:t>الحفاظ على</w:t>
      </w:r>
      <w:r w:rsidRPr="00467BE7">
        <w:rPr>
          <w:rFonts w:hint="cs"/>
          <w:rtl/>
        </w:rPr>
        <w:t xml:space="preserve"> مصالح الويبو والحد من التكاليف إذ أكد جميع المقاولين من الباطن استعدادهم لإنجاز مشروع الويبو والتزامهم بذلك.</w:t>
      </w:r>
      <w:r w:rsidRPr="00467BE7">
        <w:rPr>
          <w:rStyle w:val="FootnoteReference"/>
          <w:rtl/>
        </w:rPr>
        <w:footnoteReference w:id="5"/>
      </w:r>
      <w:r w:rsidR="00456BEA" w:rsidRPr="00467BE7">
        <w:rPr>
          <w:rFonts w:hint="cs"/>
          <w:rtl/>
        </w:rPr>
        <w:t xml:space="preserve"> ولم تحتاج الويبو إلى </w:t>
      </w:r>
      <w:r w:rsidR="00CB060D" w:rsidRPr="00467BE7">
        <w:rPr>
          <w:rFonts w:hint="cs"/>
          <w:rtl/>
        </w:rPr>
        <w:t>تطبيق</w:t>
      </w:r>
      <w:r w:rsidR="00456BEA" w:rsidRPr="00467BE7">
        <w:rPr>
          <w:rFonts w:hint="cs"/>
          <w:rtl/>
        </w:rPr>
        <w:t xml:space="preserve"> هذا</w:t>
      </w:r>
      <w:r w:rsidR="00CB060D" w:rsidRPr="00467BE7">
        <w:rPr>
          <w:rFonts w:hint="eastAsia"/>
          <w:rtl/>
        </w:rPr>
        <w:t> </w:t>
      </w:r>
      <w:r w:rsidR="00456BEA" w:rsidRPr="00467BE7">
        <w:rPr>
          <w:rFonts w:hint="cs"/>
          <w:rtl/>
        </w:rPr>
        <w:t xml:space="preserve">البند في أي من عقود البناء السابقة ولكن </w:t>
      </w:r>
      <w:r w:rsidR="00CB060D" w:rsidRPr="00467BE7">
        <w:rPr>
          <w:rFonts w:hint="cs"/>
          <w:rtl/>
        </w:rPr>
        <w:t>أثبتت هذه الحالة أهمية</w:t>
      </w:r>
      <w:r w:rsidR="00456BEA" w:rsidRPr="00467BE7">
        <w:rPr>
          <w:rFonts w:hint="cs"/>
          <w:rtl/>
        </w:rPr>
        <w:t xml:space="preserve"> </w:t>
      </w:r>
      <w:r w:rsidR="00CB060D" w:rsidRPr="00467BE7">
        <w:rPr>
          <w:rFonts w:hint="cs"/>
          <w:rtl/>
        </w:rPr>
        <w:t>هذا البند في</w:t>
      </w:r>
      <w:r w:rsidR="00456BEA" w:rsidRPr="00467BE7">
        <w:rPr>
          <w:rFonts w:hint="cs"/>
          <w:rtl/>
        </w:rPr>
        <w:t xml:space="preserve"> </w:t>
      </w:r>
      <w:r w:rsidR="00CB060D" w:rsidRPr="00467BE7">
        <w:rPr>
          <w:rFonts w:hint="cs"/>
          <w:rtl/>
        </w:rPr>
        <w:t>ا</w:t>
      </w:r>
      <w:r w:rsidR="00456BEA" w:rsidRPr="00467BE7">
        <w:rPr>
          <w:rFonts w:hint="cs"/>
          <w:rtl/>
        </w:rPr>
        <w:t>لحفاظ على مصالح الويبو.</w:t>
      </w:r>
    </w:p>
    <w:p w:rsidR="00456BEA" w:rsidRPr="00467BE7" w:rsidRDefault="00456BEA" w:rsidP="00CB060D">
      <w:pPr>
        <w:pStyle w:val="NumberedParaAR"/>
      </w:pPr>
      <w:r w:rsidRPr="00467BE7">
        <w:rPr>
          <w:rFonts w:hint="cs"/>
          <w:rtl/>
        </w:rPr>
        <w:t>وأ</w:t>
      </w:r>
      <w:r w:rsidR="00CB060D" w:rsidRPr="00467BE7">
        <w:rPr>
          <w:rFonts w:hint="cs"/>
          <w:rtl/>
        </w:rPr>
        <w:t>ُ</w:t>
      </w:r>
      <w:r w:rsidRPr="00467BE7">
        <w:rPr>
          <w:rFonts w:hint="cs"/>
          <w:rtl/>
        </w:rPr>
        <w:t>درج شرط توفير ضمانات مصرفية تغطي تكاليف إصلاح أي عيوب تُكتشف خلال عامين من تاريخ تسليم البناء والتركيبات في عقود جميع شركات البناء والموردين.</w:t>
      </w:r>
    </w:p>
    <w:p w:rsidR="00456BEA" w:rsidRPr="00467BE7" w:rsidRDefault="00456BEA" w:rsidP="00895A1F">
      <w:pPr>
        <w:pStyle w:val="NumberedParaAR"/>
      </w:pPr>
      <w:r w:rsidRPr="00467BE7">
        <w:rPr>
          <w:rFonts w:hint="cs"/>
          <w:rtl/>
        </w:rPr>
        <w:t>وأدرجت شروط جزائية في بعض العقود. وطبِّقت الشروط الجزائية المدرجة في عقود شركات البناء وحُسبت الجزاءات بالاتفاق مع الأطراف المعنية ودُفعت للويبو. انظر أيضاً الجزء</w:t>
      </w:r>
      <w:r w:rsidR="00E94EF9" w:rsidRPr="00467BE7">
        <w:rPr>
          <w:rFonts w:hint="cs"/>
          <w:rtl/>
        </w:rPr>
        <w:t xml:space="preserve"> الفرعي</w:t>
      </w:r>
      <w:r w:rsidR="00895A1F" w:rsidRPr="00467BE7">
        <w:rPr>
          <w:rFonts w:hint="cs"/>
          <w:rtl/>
        </w:rPr>
        <w:t xml:space="preserve"> (</w:t>
      </w:r>
      <w:r w:rsidR="00895A1F" w:rsidRPr="0004173E">
        <w:rPr>
          <w:rFonts w:hint="cs"/>
          <w:rtl/>
        </w:rPr>
        <w:t>4</w:t>
      </w:r>
      <w:r w:rsidR="00895A1F" w:rsidRPr="00467BE7">
        <w:rPr>
          <w:rFonts w:hint="cs"/>
          <w:rtl/>
        </w:rPr>
        <w:t>) من هذه الوثيقة</w:t>
      </w:r>
      <w:r w:rsidRPr="00467BE7">
        <w:rPr>
          <w:rFonts w:hint="cs"/>
          <w:rtl/>
        </w:rPr>
        <w:t>.</w:t>
      </w:r>
    </w:p>
    <w:p w:rsidR="00456BEA" w:rsidRPr="00467BE7" w:rsidRDefault="00456BEA" w:rsidP="005161A8">
      <w:pPr>
        <w:pStyle w:val="Heading3AR"/>
      </w:pPr>
      <w:r w:rsidRPr="00467BE7">
        <w:rPr>
          <w:rFonts w:hint="cs"/>
          <w:rtl/>
        </w:rPr>
        <w:t>(ه)</w:t>
      </w:r>
      <w:r w:rsidRPr="00467BE7">
        <w:rPr>
          <w:rtl/>
        </w:rPr>
        <w:tab/>
      </w:r>
      <w:r w:rsidRPr="00467BE7">
        <w:rPr>
          <w:rFonts w:hint="cs"/>
          <w:rtl/>
        </w:rPr>
        <w:t xml:space="preserve">توسيع اختصاصات بعض المتخصصين المهنيين بعد </w:t>
      </w:r>
      <w:r w:rsidR="005161A8">
        <w:rPr>
          <w:rFonts w:hint="cs"/>
          <w:rtl/>
        </w:rPr>
        <w:t>إنهاء</w:t>
      </w:r>
      <w:r w:rsidRPr="00467BE7">
        <w:rPr>
          <w:rFonts w:hint="cs"/>
          <w:rtl/>
        </w:rPr>
        <w:t xml:space="preserve"> عقد المقاول العام السابق</w:t>
      </w:r>
    </w:p>
    <w:p w:rsidR="00456BEA" w:rsidRPr="00467BE7" w:rsidRDefault="00CB060D" w:rsidP="00CB060D">
      <w:pPr>
        <w:pStyle w:val="NumberedParaAR"/>
      </w:pPr>
      <w:r w:rsidRPr="00467BE7">
        <w:rPr>
          <w:rFonts w:hint="cs"/>
          <w:rtl/>
        </w:rPr>
        <w:t>وُسع نطاق اختصاصات</w:t>
      </w:r>
      <w:r w:rsidR="00456BEA" w:rsidRPr="00467BE7">
        <w:rPr>
          <w:rFonts w:hint="cs"/>
          <w:rtl/>
        </w:rPr>
        <w:t xml:space="preserve"> كل المتخصصين المهنيين ومنهم المهندس المعماري والقائم على المشروع والمهندسين الفنيين </w:t>
      </w:r>
      <w:r w:rsidRPr="00467BE7">
        <w:rPr>
          <w:rFonts w:hint="cs"/>
          <w:rtl/>
        </w:rPr>
        <w:t xml:space="preserve">عن طريق إعادة </w:t>
      </w:r>
      <w:r w:rsidR="00456BEA" w:rsidRPr="00467BE7">
        <w:rPr>
          <w:rFonts w:hint="cs"/>
          <w:rtl/>
        </w:rPr>
        <w:t>توزيع الأدوار والمسؤوليات المختلفة التي كان يتولاها المقاول العام السابق.</w:t>
      </w:r>
    </w:p>
    <w:p w:rsidR="00456BEA" w:rsidRPr="00467BE7" w:rsidRDefault="00456BEA" w:rsidP="00CB060D">
      <w:pPr>
        <w:pStyle w:val="NumberedParaAR"/>
      </w:pPr>
      <w:r w:rsidRPr="00467BE7">
        <w:rPr>
          <w:rFonts w:hint="cs"/>
          <w:rtl/>
        </w:rPr>
        <w:t xml:space="preserve">وفضلاً عن ذلك، أحيلت بعض الأدوار والمسؤوليات التي كان يتولاها المقاول العام السابق إلى وحدات إدارية داخلية (ولا سيما تلك المتعلقة بمتابعة العقود مع المقاولين من الباطن والموردين الثمانين، وإدارة الفواتير والمدفوعات والمعاملات الأخرى فضلاً عن التكاليف الإدارية العامة). وأدت تلك التدابير وتعزيز الإدارة الداخلية وتخصيص موارد إضافية إلى </w:t>
      </w:r>
      <w:r w:rsidR="00CB060D" w:rsidRPr="00467BE7">
        <w:rPr>
          <w:rFonts w:hint="cs"/>
          <w:rtl/>
        </w:rPr>
        <w:t>تكلل</w:t>
      </w:r>
      <w:r w:rsidRPr="00467BE7">
        <w:rPr>
          <w:rFonts w:hint="cs"/>
          <w:rtl/>
        </w:rPr>
        <w:t xml:space="preserve"> المشروع ب</w:t>
      </w:r>
      <w:r w:rsidR="00CB060D" w:rsidRPr="00467BE7">
        <w:rPr>
          <w:rFonts w:hint="cs"/>
          <w:rtl/>
        </w:rPr>
        <w:t>ال</w:t>
      </w:r>
      <w:r w:rsidRPr="00467BE7">
        <w:rPr>
          <w:rFonts w:hint="cs"/>
          <w:rtl/>
        </w:rPr>
        <w:t>نجاح.</w:t>
      </w:r>
    </w:p>
    <w:p w:rsidR="005D56E4" w:rsidRPr="00467BE7" w:rsidRDefault="005D56E4" w:rsidP="005D56E4">
      <w:pPr>
        <w:pStyle w:val="Heading3AR"/>
      </w:pPr>
      <w:r w:rsidRPr="00467BE7">
        <w:rPr>
          <w:rFonts w:hint="cs"/>
          <w:rtl/>
        </w:rPr>
        <w:t>(و)</w:t>
      </w:r>
      <w:r w:rsidRPr="00467BE7">
        <w:rPr>
          <w:rFonts w:hint="cs"/>
          <w:rtl/>
        </w:rPr>
        <w:tab/>
        <w:t>التماس موافقة الدول الأعضاء على تخصيص موارد إضافية والحصول على موافقتها المبكرة في هذا الشأن</w:t>
      </w:r>
    </w:p>
    <w:p w:rsidR="005D56E4" w:rsidRPr="00467BE7" w:rsidRDefault="005D56E4" w:rsidP="00CB060D">
      <w:pPr>
        <w:pStyle w:val="NumberedParaAR"/>
      </w:pPr>
      <w:r w:rsidRPr="00467BE7">
        <w:rPr>
          <w:rFonts w:hint="cs"/>
          <w:rtl/>
        </w:rPr>
        <w:t>قيِّمت الحاجة إلى مخصصات مالية إضافية باستمرار وأبديت الآراء فيها وقدِّمت مبرراتها عند الاقتضاء إلى الهيئتين المعنيتين (لجنة</w:t>
      </w:r>
      <w:r w:rsidRPr="00467BE7">
        <w:rPr>
          <w:rFonts w:hint="eastAsia"/>
          <w:rtl/>
        </w:rPr>
        <w:t> </w:t>
      </w:r>
      <w:r w:rsidRPr="00467BE7">
        <w:rPr>
          <w:rFonts w:hint="cs"/>
          <w:rtl/>
        </w:rPr>
        <w:t xml:space="preserve">البرنامج والميزانية والجمعيات) في الوقت المناسب وقبل </w:t>
      </w:r>
      <w:r w:rsidR="00CB060D" w:rsidRPr="00467BE7">
        <w:rPr>
          <w:rFonts w:hint="cs"/>
          <w:rtl/>
        </w:rPr>
        <w:t>الدخول في</w:t>
      </w:r>
      <w:r w:rsidRPr="00467BE7">
        <w:rPr>
          <w:rFonts w:hint="cs"/>
          <w:rtl/>
        </w:rPr>
        <w:t xml:space="preserve"> أي التزامات إضافية مع المتعاقدين. وهدف</w:t>
      </w:r>
      <w:r w:rsidR="00CB060D" w:rsidRPr="00467BE7">
        <w:rPr>
          <w:rFonts w:hint="eastAsia"/>
          <w:rtl/>
        </w:rPr>
        <w:t> </w:t>
      </w:r>
      <w:r w:rsidRPr="00467BE7">
        <w:rPr>
          <w:rFonts w:hint="cs"/>
          <w:rtl/>
        </w:rPr>
        <w:t>ذلك إلى تفادي الدخول في التزامات مع المتعاقدين لمواصلة تنفيذ المشروع مع إرجاء سداد الفواتير النهائية حتى توافق الدول الأعضاء على تخصيص الموارد اللازمة.</w:t>
      </w:r>
    </w:p>
    <w:p w:rsidR="00095742" w:rsidRPr="00467BE7" w:rsidRDefault="00095742" w:rsidP="00CB060D">
      <w:pPr>
        <w:pStyle w:val="Heading2AR"/>
        <w:keepNext/>
        <w:rPr>
          <w:rtl/>
        </w:rPr>
      </w:pPr>
      <w:r w:rsidRPr="00467BE7">
        <w:rPr>
          <w:rFonts w:hint="cs"/>
          <w:rtl/>
        </w:rPr>
        <w:t>(</w:t>
      </w:r>
      <w:r w:rsidRPr="0004173E">
        <w:rPr>
          <w:rFonts w:hint="cs"/>
          <w:rtl/>
        </w:rPr>
        <w:t>2</w:t>
      </w:r>
      <w:r w:rsidRPr="00467BE7">
        <w:rPr>
          <w:rFonts w:hint="cs"/>
          <w:rtl/>
        </w:rPr>
        <w:t>)</w:t>
      </w:r>
      <w:r w:rsidRPr="00467BE7">
        <w:rPr>
          <w:rtl/>
        </w:rPr>
        <w:tab/>
      </w:r>
      <w:r w:rsidR="00CB060D" w:rsidRPr="00467BE7">
        <w:rPr>
          <w:rtl/>
        </w:rPr>
        <w:t>إمكانات موقع العمل و</w:t>
      </w:r>
      <w:r w:rsidR="00CB060D" w:rsidRPr="00467BE7">
        <w:rPr>
          <w:rFonts w:hint="cs"/>
          <w:rtl/>
        </w:rPr>
        <w:t xml:space="preserve">إدخال </w:t>
      </w:r>
      <w:r w:rsidR="00CB060D" w:rsidRPr="00467BE7">
        <w:rPr>
          <w:rtl/>
        </w:rPr>
        <w:t>تغييرات في المشروع وتفادي التكاليف</w:t>
      </w:r>
    </w:p>
    <w:p w:rsidR="00095742" w:rsidRPr="00467BE7" w:rsidRDefault="00413AC2" w:rsidP="00895A1F">
      <w:pPr>
        <w:pStyle w:val="NumberedParaAR"/>
        <w:rPr>
          <w:rtl/>
        </w:rPr>
      </w:pPr>
      <w:r w:rsidRPr="00467BE7">
        <w:rPr>
          <w:rFonts w:hint="cs"/>
          <w:rtl/>
        </w:rPr>
        <w:t xml:space="preserve">تسنى تفادي تكاليف </w:t>
      </w:r>
      <w:r w:rsidR="00CB060D" w:rsidRPr="00467BE7">
        <w:rPr>
          <w:rFonts w:hint="cs"/>
          <w:rtl/>
        </w:rPr>
        <w:t xml:space="preserve">في </w:t>
      </w:r>
      <w:r w:rsidRPr="00467BE7">
        <w:rPr>
          <w:rFonts w:hint="cs"/>
          <w:rtl/>
        </w:rPr>
        <w:t xml:space="preserve">عدة </w:t>
      </w:r>
      <w:r w:rsidR="00CB060D" w:rsidRPr="00467BE7">
        <w:rPr>
          <w:rFonts w:hint="cs"/>
          <w:rtl/>
        </w:rPr>
        <w:t>حالات</w:t>
      </w:r>
      <w:r w:rsidRPr="00467BE7">
        <w:rPr>
          <w:rFonts w:hint="cs"/>
          <w:rtl/>
        </w:rPr>
        <w:t xml:space="preserve"> بفضل قدرة لجنة إدارة أعمال البناء وتنسيقها على التجاوب بسرعة مع موقع العمل وتفادي الأعمال المؤقتة غير الضرورية التي سيتعين إعاد</w:t>
      </w:r>
      <w:r w:rsidR="00CB060D" w:rsidRPr="00467BE7">
        <w:rPr>
          <w:rFonts w:hint="cs"/>
          <w:rtl/>
        </w:rPr>
        <w:t>تها في مرحلة لاحقة</w:t>
      </w:r>
      <w:r w:rsidRPr="00467BE7">
        <w:rPr>
          <w:rFonts w:hint="cs"/>
          <w:rtl/>
        </w:rPr>
        <w:t xml:space="preserve"> فضلاً عن إدخال تغييرات وتحسينات أفادت المشروع ككل بدون تحمل أي تكلفة أو بتحمل </w:t>
      </w:r>
      <w:r w:rsidR="00CB060D" w:rsidRPr="00467BE7">
        <w:rPr>
          <w:rFonts w:hint="cs"/>
          <w:rtl/>
        </w:rPr>
        <w:t>تكلفة دنيا</w:t>
      </w:r>
      <w:r w:rsidRPr="00467BE7">
        <w:rPr>
          <w:rFonts w:hint="cs"/>
          <w:rtl/>
        </w:rPr>
        <w:t xml:space="preserve">. ويلي مثال لهذه التغييرات والتحسينات المدخلة في موقع قاعة المؤتمرات الجديدة والتي أصبحت من السمات الأساسية للمشروع وعادت بفوائد كبيرة على أكثر من مستوى: </w:t>
      </w:r>
      <w:r w:rsidRPr="00467BE7">
        <w:rPr>
          <w:rFonts w:hint="cs"/>
          <w:rtl/>
        </w:rPr>
        <w:lastRenderedPageBreak/>
        <w:t>إضافة</w:t>
      </w:r>
      <w:r w:rsidR="00CB060D" w:rsidRPr="00467BE7">
        <w:rPr>
          <w:rFonts w:hint="eastAsia"/>
          <w:rtl/>
        </w:rPr>
        <w:t> </w:t>
      </w:r>
      <w:r w:rsidRPr="00467BE7">
        <w:rPr>
          <w:rFonts w:hint="cs"/>
          <w:rtl/>
        </w:rPr>
        <w:t xml:space="preserve">باب بجوار المنصة </w:t>
      </w:r>
      <w:r w:rsidR="00CB060D" w:rsidRPr="00467BE7">
        <w:rPr>
          <w:rFonts w:hint="cs"/>
          <w:rtl/>
        </w:rPr>
        <w:t>لتيسير</w:t>
      </w:r>
      <w:r w:rsidRPr="00467BE7">
        <w:rPr>
          <w:rFonts w:hint="cs"/>
          <w:rtl/>
        </w:rPr>
        <w:t xml:space="preserve"> النفاذ إليها </w:t>
      </w:r>
      <w:r w:rsidR="00895A1F" w:rsidRPr="00467BE7">
        <w:rPr>
          <w:rFonts w:hint="cs"/>
          <w:rtl/>
        </w:rPr>
        <w:t>وتسريعه</w:t>
      </w:r>
      <w:r w:rsidRPr="00467BE7">
        <w:rPr>
          <w:rFonts w:hint="cs"/>
          <w:rtl/>
        </w:rPr>
        <w:t xml:space="preserve"> وإعادة تصميم عدد من المكاتب في قاعة المؤتمرات الجديدة </w:t>
      </w:r>
      <w:r w:rsidR="00CB060D" w:rsidRPr="00467BE7">
        <w:rPr>
          <w:rFonts w:hint="cs"/>
          <w:rtl/>
        </w:rPr>
        <w:t>لتكييفها مع احتياجات</w:t>
      </w:r>
      <w:r w:rsidRPr="00467BE7">
        <w:rPr>
          <w:rFonts w:hint="cs"/>
          <w:rtl/>
        </w:rPr>
        <w:t xml:space="preserve"> الأشخاص ذوي الإعاقات.</w:t>
      </w:r>
    </w:p>
    <w:p w:rsidR="00095742" w:rsidRPr="00467BE7" w:rsidRDefault="00095742" w:rsidP="00272DE0">
      <w:pPr>
        <w:pStyle w:val="Heading2AR"/>
        <w:keepNext/>
        <w:rPr>
          <w:rtl/>
        </w:rPr>
      </w:pPr>
      <w:r w:rsidRPr="00467BE7">
        <w:rPr>
          <w:rFonts w:hint="cs"/>
          <w:rtl/>
        </w:rPr>
        <w:t>(</w:t>
      </w:r>
      <w:r w:rsidRPr="0004173E">
        <w:rPr>
          <w:rFonts w:hint="cs"/>
          <w:rtl/>
        </w:rPr>
        <w:t>3</w:t>
      </w:r>
      <w:r w:rsidRPr="00467BE7">
        <w:rPr>
          <w:rFonts w:hint="cs"/>
          <w:rtl/>
        </w:rPr>
        <w:t>)</w:t>
      </w:r>
      <w:r w:rsidRPr="00467BE7">
        <w:rPr>
          <w:rtl/>
        </w:rPr>
        <w:tab/>
      </w:r>
      <w:r w:rsidRPr="00467BE7">
        <w:rPr>
          <w:rFonts w:hint="cs"/>
          <w:rtl/>
        </w:rPr>
        <w:t>العلاقة مع سلطات البلد المضيف على مستوى الاتحاد والولاية والبلدية</w:t>
      </w:r>
    </w:p>
    <w:p w:rsidR="00095742" w:rsidRPr="00467BE7" w:rsidRDefault="00D006EF" w:rsidP="00FB42BA">
      <w:pPr>
        <w:pStyle w:val="NumberedParaAR"/>
      </w:pPr>
      <w:r w:rsidRPr="00467BE7">
        <w:rPr>
          <w:rFonts w:hint="cs"/>
          <w:rtl/>
        </w:rPr>
        <w:t>قدمت المنظمة طلبات البناء وحصلت على التصاريح اللازمة للمبنى الجديد وقاعة المؤتمرات الجديدة وغيرها من التصاريح اللازمة لإدخال التغييرات المزمعة في موقع</w:t>
      </w:r>
      <w:r w:rsidR="00CB060D" w:rsidRPr="00467BE7">
        <w:rPr>
          <w:rFonts w:hint="cs"/>
          <w:rtl/>
        </w:rPr>
        <w:t>َي</w:t>
      </w:r>
      <w:r w:rsidRPr="00467BE7">
        <w:rPr>
          <w:rFonts w:hint="cs"/>
          <w:rtl/>
        </w:rPr>
        <w:t xml:space="preserve"> البناء من سلطات البلدية. وكانت العلاقات المهنية المتميزة بين لجنة إدارة أعمال البناء وتنسيقها والقائم على المشروع والمهندس المعماري والمهندسين الفنيين من جهة وسلطات البلدية والمدينة من جهة ثانية عاملاً أساسياً في ضمان </w:t>
      </w:r>
      <w:r w:rsidR="00CB060D" w:rsidRPr="00467BE7">
        <w:rPr>
          <w:rFonts w:hint="cs"/>
          <w:rtl/>
        </w:rPr>
        <w:t>ال</w:t>
      </w:r>
      <w:r w:rsidRPr="00467BE7">
        <w:rPr>
          <w:rFonts w:hint="cs"/>
          <w:rtl/>
        </w:rPr>
        <w:t xml:space="preserve">فهم </w:t>
      </w:r>
      <w:r w:rsidR="00CB060D" w:rsidRPr="00467BE7">
        <w:rPr>
          <w:rFonts w:hint="cs"/>
          <w:rtl/>
        </w:rPr>
        <w:t>ال</w:t>
      </w:r>
      <w:r w:rsidRPr="00467BE7">
        <w:rPr>
          <w:rFonts w:hint="cs"/>
          <w:rtl/>
        </w:rPr>
        <w:t xml:space="preserve">مبكر للتوقعات </w:t>
      </w:r>
      <w:r w:rsidR="00FB42BA" w:rsidRPr="00467BE7">
        <w:rPr>
          <w:rFonts w:hint="cs"/>
          <w:rtl/>
        </w:rPr>
        <w:t>مع تنظيم ما يلزم من</w:t>
      </w:r>
      <w:r w:rsidRPr="00467BE7">
        <w:rPr>
          <w:rFonts w:hint="cs"/>
          <w:rtl/>
        </w:rPr>
        <w:t xml:space="preserve"> اجتماعات مباشرة </w:t>
      </w:r>
      <w:r w:rsidR="00FB42BA" w:rsidRPr="00467BE7">
        <w:rPr>
          <w:rFonts w:hint="cs"/>
          <w:rtl/>
        </w:rPr>
        <w:t>و</w:t>
      </w:r>
      <w:r w:rsidRPr="00467BE7">
        <w:rPr>
          <w:rFonts w:hint="cs"/>
          <w:rtl/>
        </w:rPr>
        <w:t xml:space="preserve">زيارات ميدانية </w:t>
      </w:r>
      <w:r w:rsidR="00FB42BA" w:rsidRPr="00467BE7">
        <w:rPr>
          <w:rFonts w:hint="cs"/>
          <w:rtl/>
        </w:rPr>
        <w:t>تشارك فيها كل</w:t>
      </w:r>
      <w:r w:rsidRPr="00467BE7">
        <w:rPr>
          <w:rFonts w:hint="cs"/>
          <w:rtl/>
        </w:rPr>
        <w:t xml:space="preserve"> الأطراف المعنية</w:t>
      </w:r>
      <w:r w:rsidR="00FB42BA" w:rsidRPr="00467BE7">
        <w:rPr>
          <w:rFonts w:hint="cs"/>
          <w:rtl/>
        </w:rPr>
        <w:t xml:space="preserve">، ما أدى إلى </w:t>
      </w:r>
      <w:r w:rsidRPr="00467BE7">
        <w:rPr>
          <w:rFonts w:hint="cs"/>
          <w:rtl/>
        </w:rPr>
        <w:t>إقامة مسار عمل محكم وفعال.</w:t>
      </w:r>
    </w:p>
    <w:p w:rsidR="00D006EF" w:rsidRPr="00467BE7" w:rsidRDefault="00D006EF" w:rsidP="00895A1F">
      <w:pPr>
        <w:pStyle w:val="NumberedParaAR"/>
        <w:rPr>
          <w:rtl/>
        </w:rPr>
      </w:pPr>
      <w:r w:rsidRPr="00467BE7">
        <w:rPr>
          <w:rFonts w:hint="cs"/>
          <w:rtl/>
        </w:rPr>
        <w:t>وإضافة إلى ذلك، الت</w:t>
      </w:r>
      <w:r w:rsidR="00B87ADF" w:rsidRPr="00467BE7">
        <w:rPr>
          <w:rFonts w:hint="cs"/>
          <w:rtl/>
        </w:rPr>
        <w:t>ُ</w:t>
      </w:r>
      <w:r w:rsidRPr="00467BE7">
        <w:rPr>
          <w:rFonts w:hint="cs"/>
          <w:rtl/>
        </w:rPr>
        <w:t xml:space="preserve">مست </w:t>
      </w:r>
      <w:r w:rsidR="00B87ADF" w:rsidRPr="00467BE7">
        <w:rPr>
          <w:rFonts w:hint="cs"/>
          <w:rtl/>
        </w:rPr>
        <w:t>مشورة</w:t>
      </w:r>
      <w:r w:rsidRPr="00467BE7">
        <w:rPr>
          <w:rFonts w:hint="cs"/>
          <w:rtl/>
        </w:rPr>
        <w:t xml:space="preserve"> البلد المضيف في بعض المسائل المتعلقة بتنفيذ </w:t>
      </w:r>
      <w:r w:rsidRPr="00467BE7">
        <w:rPr>
          <w:rtl/>
        </w:rPr>
        <w:t xml:space="preserve">التدابير الأمنية ضمن مشروع معايير الأمم المتحدة الدنيا </w:t>
      </w:r>
      <w:r w:rsidR="00FB42BA" w:rsidRPr="00467BE7">
        <w:rPr>
          <w:rFonts w:hint="cs"/>
          <w:rtl/>
        </w:rPr>
        <w:t>للعمل</w:t>
      </w:r>
      <w:r w:rsidRPr="00467BE7">
        <w:rPr>
          <w:rtl/>
        </w:rPr>
        <w:t xml:space="preserve"> في المقار</w:t>
      </w:r>
      <w:r w:rsidRPr="00467BE7">
        <w:rPr>
          <w:rFonts w:hint="cs"/>
          <w:rtl/>
        </w:rPr>
        <w:t xml:space="preserve"> </w:t>
      </w:r>
      <w:r w:rsidR="00895A1F" w:rsidRPr="00467BE7">
        <w:rPr>
          <w:rFonts w:hint="cs"/>
          <w:rtl/>
        </w:rPr>
        <w:t>وحق المرور العام</w:t>
      </w:r>
      <w:r w:rsidR="00B87ADF" w:rsidRPr="00467BE7">
        <w:rPr>
          <w:rFonts w:hint="cs"/>
          <w:rtl/>
        </w:rPr>
        <w:t xml:space="preserve">، وإن </w:t>
      </w:r>
      <w:r w:rsidR="00FB42BA" w:rsidRPr="00467BE7">
        <w:rPr>
          <w:rFonts w:hint="cs"/>
          <w:rtl/>
        </w:rPr>
        <w:t>اقتصر ذلك</w:t>
      </w:r>
      <w:r w:rsidR="00B87ADF" w:rsidRPr="00467BE7">
        <w:rPr>
          <w:rFonts w:hint="cs"/>
          <w:rtl/>
        </w:rPr>
        <w:t xml:space="preserve"> </w:t>
      </w:r>
      <w:r w:rsidR="00FB42BA" w:rsidRPr="00467BE7">
        <w:rPr>
          <w:rFonts w:hint="cs"/>
          <w:rtl/>
        </w:rPr>
        <w:t>على بعض ال</w:t>
      </w:r>
      <w:r w:rsidR="00B87ADF" w:rsidRPr="00467BE7">
        <w:rPr>
          <w:rFonts w:hint="cs"/>
          <w:rtl/>
        </w:rPr>
        <w:t xml:space="preserve">مسائل </w:t>
      </w:r>
      <w:r w:rsidR="00FB42BA" w:rsidRPr="00467BE7">
        <w:rPr>
          <w:rFonts w:hint="cs"/>
          <w:rtl/>
        </w:rPr>
        <w:t>ال</w:t>
      </w:r>
      <w:r w:rsidR="00B87ADF" w:rsidRPr="00467BE7">
        <w:rPr>
          <w:rFonts w:hint="cs"/>
          <w:rtl/>
        </w:rPr>
        <w:t>محدودة بفضل اتفاق</w:t>
      </w:r>
      <w:r w:rsidR="00FB42BA" w:rsidRPr="00467BE7">
        <w:rPr>
          <w:rFonts w:hint="eastAsia"/>
          <w:rtl/>
        </w:rPr>
        <w:t> </w:t>
      </w:r>
      <w:r w:rsidR="00B87ADF" w:rsidRPr="00467BE7">
        <w:rPr>
          <w:rFonts w:hint="cs"/>
          <w:rtl/>
        </w:rPr>
        <w:t>البلد</w:t>
      </w:r>
      <w:r w:rsidR="00FB42BA" w:rsidRPr="00467BE7">
        <w:rPr>
          <w:rFonts w:hint="eastAsia"/>
          <w:rtl/>
        </w:rPr>
        <w:t> </w:t>
      </w:r>
      <w:r w:rsidR="00B87ADF" w:rsidRPr="00467BE7">
        <w:rPr>
          <w:rFonts w:hint="cs"/>
          <w:rtl/>
        </w:rPr>
        <w:t>المضيف. وأدى هذا التعاون والتآزر إلى تعزيز حسن النية القائمة بين المنظمة والبلد المضيف.</w:t>
      </w:r>
    </w:p>
    <w:p w:rsidR="00095742" w:rsidRPr="00467BE7" w:rsidRDefault="00095742" w:rsidP="006C0913">
      <w:pPr>
        <w:pStyle w:val="Heading2AR"/>
        <w:keepNext/>
        <w:rPr>
          <w:rtl/>
        </w:rPr>
      </w:pPr>
      <w:r w:rsidRPr="00467BE7">
        <w:rPr>
          <w:rFonts w:hint="cs"/>
          <w:rtl/>
        </w:rPr>
        <w:t>(</w:t>
      </w:r>
      <w:r w:rsidRPr="0004173E">
        <w:rPr>
          <w:rFonts w:hint="cs"/>
          <w:rtl/>
        </w:rPr>
        <w:t>4</w:t>
      </w:r>
      <w:r w:rsidRPr="00467BE7">
        <w:rPr>
          <w:rFonts w:hint="cs"/>
          <w:rtl/>
        </w:rPr>
        <w:t>)</w:t>
      </w:r>
      <w:r w:rsidRPr="00467BE7">
        <w:rPr>
          <w:rtl/>
        </w:rPr>
        <w:tab/>
      </w:r>
      <w:r w:rsidR="00FB42BA" w:rsidRPr="00467BE7">
        <w:rPr>
          <w:rtl/>
        </w:rPr>
        <w:t>التدابير المتخذة وحسن توقيتها وتنفيذها</w:t>
      </w:r>
    </w:p>
    <w:p w:rsidR="00095742" w:rsidRPr="00467BE7" w:rsidRDefault="00B87ADF" w:rsidP="00FB42BA">
      <w:pPr>
        <w:pStyle w:val="NumberedParaAR"/>
      </w:pPr>
      <w:r w:rsidRPr="00467BE7">
        <w:rPr>
          <w:rFonts w:hint="cs"/>
          <w:rtl/>
        </w:rPr>
        <w:t xml:space="preserve">لعل كان من الأصوب إدراج </w:t>
      </w:r>
      <w:r w:rsidR="00FB42BA" w:rsidRPr="00467BE7">
        <w:rPr>
          <w:rFonts w:hint="cs"/>
          <w:rtl/>
        </w:rPr>
        <w:t>غرامات على التأخير</w:t>
      </w:r>
      <w:r w:rsidRPr="00467BE7">
        <w:rPr>
          <w:rFonts w:hint="cs"/>
          <w:rtl/>
        </w:rPr>
        <w:t xml:space="preserve"> في المزيد من العقود ولا سيما تلك المبرمة مع المتخصصين المهنيين. </w:t>
      </w:r>
      <w:r w:rsidR="00FB42BA" w:rsidRPr="00467BE7">
        <w:rPr>
          <w:rFonts w:hint="cs"/>
          <w:rtl/>
        </w:rPr>
        <w:t>ولكن هذا الإجراء</w:t>
      </w:r>
      <w:r w:rsidRPr="00467BE7">
        <w:rPr>
          <w:rFonts w:hint="cs"/>
          <w:rtl/>
        </w:rPr>
        <w:t xml:space="preserve"> كان </w:t>
      </w:r>
      <w:r w:rsidR="00FB42BA" w:rsidRPr="00467BE7">
        <w:rPr>
          <w:rFonts w:hint="cs"/>
          <w:rtl/>
        </w:rPr>
        <w:t>س</w:t>
      </w:r>
      <w:r w:rsidRPr="00467BE7">
        <w:rPr>
          <w:rFonts w:hint="cs"/>
          <w:rtl/>
        </w:rPr>
        <w:t xml:space="preserve">يؤدي إلى </w:t>
      </w:r>
      <w:r w:rsidR="00FB42BA" w:rsidRPr="00467BE7">
        <w:rPr>
          <w:rFonts w:hint="cs"/>
          <w:rtl/>
        </w:rPr>
        <w:t>زيادة أتعاب</w:t>
      </w:r>
      <w:r w:rsidRPr="00467BE7">
        <w:rPr>
          <w:rFonts w:hint="cs"/>
          <w:rtl/>
        </w:rPr>
        <w:t xml:space="preserve"> المتخصصين </w:t>
      </w:r>
      <w:r w:rsidR="00FB42BA" w:rsidRPr="00467BE7">
        <w:rPr>
          <w:rFonts w:hint="cs"/>
          <w:rtl/>
        </w:rPr>
        <w:t>بسبب التحوط من تلك الغرامة،</w:t>
      </w:r>
      <w:r w:rsidRPr="00467BE7">
        <w:rPr>
          <w:rFonts w:hint="cs"/>
          <w:rtl/>
        </w:rPr>
        <w:t xml:space="preserve"> </w:t>
      </w:r>
      <w:r w:rsidR="00FB42BA" w:rsidRPr="00467BE7">
        <w:rPr>
          <w:rFonts w:hint="cs"/>
          <w:rtl/>
        </w:rPr>
        <w:t>ومن ثم زيادة نفقات المنظمة</w:t>
      </w:r>
      <w:r w:rsidRPr="00467BE7">
        <w:rPr>
          <w:rFonts w:hint="cs"/>
          <w:rtl/>
        </w:rPr>
        <w:t>.</w:t>
      </w:r>
    </w:p>
    <w:p w:rsidR="00B87ADF" w:rsidRPr="00467BE7" w:rsidRDefault="00B87ADF" w:rsidP="004B2424">
      <w:pPr>
        <w:pStyle w:val="NumberedParaAR"/>
      </w:pPr>
      <w:r w:rsidRPr="00467BE7">
        <w:rPr>
          <w:rFonts w:hint="cs"/>
          <w:rtl/>
        </w:rPr>
        <w:t xml:space="preserve">ولعل </w:t>
      </w:r>
      <w:r w:rsidR="00E06B11" w:rsidRPr="00467BE7">
        <w:rPr>
          <w:rFonts w:hint="cs"/>
          <w:rtl/>
        </w:rPr>
        <w:t xml:space="preserve">التبكير في اتخاذ بعض التدابير كان سيضفي المزيد من المرونة </w:t>
      </w:r>
      <w:r w:rsidR="004B2424" w:rsidRPr="00467BE7">
        <w:rPr>
          <w:rFonts w:hint="cs"/>
          <w:rtl/>
        </w:rPr>
        <w:t xml:space="preserve">في إدارة المشروع </w:t>
      </w:r>
      <w:r w:rsidR="00E06B11" w:rsidRPr="00467BE7">
        <w:rPr>
          <w:rFonts w:hint="cs"/>
          <w:rtl/>
        </w:rPr>
        <w:t>مثل التبكير في إنشاء اللجنة المخصصة للعقود (</w:t>
      </w:r>
      <w:r w:rsidR="00E06B11" w:rsidRPr="00467BE7">
        <w:rPr>
          <w:rtl/>
        </w:rPr>
        <w:t>لجنة التعاقدات المخصصة لقاعة المؤتمرات</w:t>
      </w:r>
      <w:r w:rsidR="00E06B11" w:rsidRPr="00467BE7">
        <w:rPr>
          <w:rFonts w:hint="cs"/>
          <w:rtl/>
        </w:rPr>
        <w:t xml:space="preserve"> في هذه الحالة) وفي رفع القيمة الدنيا للمناقصات.</w:t>
      </w:r>
    </w:p>
    <w:p w:rsidR="00E06B11" w:rsidRPr="00467BE7" w:rsidRDefault="00E06B11" w:rsidP="006C0913">
      <w:pPr>
        <w:pStyle w:val="NumberedParaAR"/>
        <w:rPr>
          <w:b/>
          <w:bCs/>
          <w:rtl/>
        </w:rPr>
      </w:pPr>
      <w:r w:rsidRPr="00467BE7">
        <w:rPr>
          <w:rFonts w:hint="cs"/>
          <w:rtl/>
        </w:rPr>
        <w:t>ولعل كان من المحبذ إيلاء المزيد من العناية</w:t>
      </w:r>
      <w:r w:rsidR="00E352CC" w:rsidRPr="00467BE7">
        <w:rPr>
          <w:rFonts w:hint="cs"/>
          <w:rtl/>
        </w:rPr>
        <w:t xml:space="preserve"> منذ البداية (أي فور تولي الإدارة المباشرة لموقع العمل داخلياً) </w:t>
      </w:r>
      <w:r w:rsidRPr="00467BE7">
        <w:rPr>
          <w:rFonts w:hint="cs"/>
          <w:rtl/>
        </w:rPr>
        <w:t xml:space="preserve">لإعادة توضيح الأدوار والمسؤوليات الخاصة بالمتخصصين المهنيين (المهندس المعماري والقائم على المشروع والمهندسين الفنيين) </w:t>
      </w:r>
      <w:r w:rsidR="00E352CC" w:rsidRPr="00467BE7">
        <w:rPr>
          <w:rFonts w:hint="cs"/>
          <w:rtl/>
        </w:rPr>
        <w:t>فضلاً</w:t>
      </w:r>
      <w:r w:rsidR="004B2424" w:rsidRPr="00467BE7">
        <w:rPr>
          <w:rFonts w:hint="eastAsia"/>
          <w:rtl/>
        </w:rPr>
        <w:t> </w:t>
      </w:r>
      <w:r w:rsidR="00E352CC" w:rsidRPr="00467BE7">
        <w:rPr>
          <w:rFonts w:hint="cs"/>
          <w:rtl/>
        </w:rPr>
        <w:t xml:space="preserve">عن العلاقات التفاعلية والتلازمية بين كل الأطراف لتفادي أي فجوات لاحقة بين المسؤوليات المحددة والتوقعات المنشودة </w:t>
      </w:r>
      <w:r w:rsidR="004B2424" w:rsidRPr="00467BE7">
        <w:rPr>
          <w:rFonts w:hint="cs"/>
          <w:rtl/>
        </w:rPr>
        <w:t>و</w:t>
      </w:r>
      <w:r w:rsidR="00E352CC" w:rsidRPr="00467BE7">
        <w:rPr>
          <w:rFonts w:hint="cs"/>
          <w:rtl/>
        </w:rPr>
        <w:t xml:space="preserve">التوقعات المرتقبة من إدارة المشروع. </w:t>
      </w:r>
      <w:r w:rsidR="006C0913" w:rsidRPr="00467BE7">
        <w:rPr>
          <w:rFonts w:hint="cs"/>
          <w:rtl/>
        </w:rPr>
        <w:t>ولعل كان من المفيد للغاية</w:t>
      </w:r>
      <w:r w:rsidR="006F22CE" w:rsidRPr="00467BE7">
        <w:rPr>
          <w:rFonts w:hint="cs"/>
          <w:rtl/>
        </w:rPr>
        <w:t xml:space="preserve"> الاستعانة بخبير مالي في مشروعات البناء الكبيرة </w:t>
      </w:r>
      <w:r w:rsidR="006C0913" w:rsidRPr="00467BE7">
        <w:rPr>
          <w:rFonts w:hint="cs"/>
          <w:rtl/>
        </w:rPr>
        <w:t>فور</w:t>
      </w:r>
      <w:r w:rsidR="006F22CE" w:rsidRPr="00467BE7">
        <w:rPr>
          <w:rFonts w:hint="cs"/>
          <w:rtl/>
        </w:rPr>
        <w:t xml:space="preserve"> تول</w:t>
      </w:r>
      <w:r w:rsidR="006C0913" w:rsidRPr="00467BE7">
        <w:rPr>
          <w:rFonts w:hint="cs"/>
          <w:rtl/>
        </w:rPr>
        <w:t>ي</w:t>
      </w:r>
      <w:r w:rsidR="006F22CE" w:rsidRPr="00467BE7">
        <w:rPr>
          <w:rFonts w:hint="cs"/>
          <w:rtl/>
        </w:rPr>
        <w:t xml:space="preserve"> </w:t>
      </w:r>
      <w:r w:rsidR="006C0913" w:rsidRPr="00467BE7">
        <w:rPr>
          <w:rFonts w:hint="cs"/>
          <w:rtl/>
        </w:rPr>
        <w:t>الإدارة المباشرة</w:t>
      </w:r>
      <w:r w:rsidR="006F22CE" w:rsidRPr="00467BE7">
        <w:rPr>
          <w:rFonts w:hint="cs"/>
          <w:rtl/>
        </w:rPr>
        <w:t xml:space="preserve"> </w:t>
      </w:r>
      <w:r w:rsidR="006C0913" w:rsidRPr="00467BE7">
        <w:rPr>
          <w:rFonts w:hint="cs"/>
          <w:rtl/>
        </w:rPr>
        <w:t>ل</w:t>
      </w:r>
      <w:r w:rsidR="006F22CE" w:rsidRPr="00467BE7">
        <w:rPr>
          <w:rFonts w:hint="cs"/>
          <w:rtl/>
        </w:rPr>
        <w:t>موقع العمل</w:t>
      </w:r>
      <w:r w:rsidR="006C0913" w:rsidRPr="00467BE7">
        <w:rPr>
          <w:rFonts w:hint="cs"/>
          <w:rtl/>
        </w:rPr>
        <w:t xml:space="preserve"> داخلياً.</w:t>
      </w:r>
    </w:p>
    <w:p w:rsidR="00095742" w:rsidRPr="00467BE7" w:rsidRDefault="00095742" w:rsidP="006C0913">
      <w:pPr>
        <w:pStyle w:val="Heading2AR"/>
        <w:keepNext/>
        <w:rPr>
          <w:rtl/>
        </w:rPr>
      </w:pPr>
      <w:r w:rsidRPr="00467BE7">
        <w:rPr>
          <w:rFonts w:hint="cs"/>
          <w:rtl/>
        </w:rPr>
        <w:t>(</w:t>
      </w:r>
      <w:r w:rsidRPr="0004173E">
        <w:rPr>
          <w:rFonts w:hint="cs"/>
          <w:rtl/>
        </w:rPr>
        <w:t>5</w:t>
      </w:r>
      <w:r w:rsidRPr="00467BE7">
        <w:rPr>
          <w:rFonts w:hint="cs"/>
          <w:rtl/>
        </w:rPr>
        <w:t>)</w:t>
      </w:r>
      <w:r w:rsidRPr="00467BE7">
        <w:rPr>
          <w:rtl/>
        </w:rPr>
        <w:tab/>
      </w:r>
      <w:r w:rsidR="006C0913" w:rsidRPr="00467BE7">
        <w:rPr>
          <w:rtl/>
        </w:rPr>
        <w:t>أهمية تبادل الخبرات مع وكالات الأمم المتحدة وغيرها من المنظمات الدولية والإقليمية</w:t>
      </w:r>
    </w:p>
    <w:p w:rsidR="000E1F53" w:rsidRPr="00467BE7" w:rsidRDefault="006F22CE" w:rsidP="006C0913">
      <w:pPr>
        <w:pStyle w:val="NumberedParaAR"/>
      </w:pPr>
      <w:r w:rsidRPr="00467BE7">
        <w:rPr>
          <w:rFonts w:hint="cs"/>
          <w:rtl/>
        </w:rPr>
        <w:t>ما انفكت الويبو تشارك في تبادل الخبرات منذ عدة سنوات مع عدة وكالات تابعة ل</w:t>
      </w:r>
      <w:r w:rsidR="006C0913" w:rsidRPr="00467BE7">
        <w:rPr>
          <w:rFonts w:hint="cs"/>
          <w:rtl/>
        </w:rPr>
        <w:t>منظومة ا</w:t>
      </w:r>
      <w:r w:rsidRPr="00467BE7">
        <w:rPr>
          <w:rFonts w:hint="cs"/>
          <w:rtl/>
        </w:rPr>
        <w:t xml:space="preserve">لأمم المتحدة إما في إطار الاجتماعات السنوية </w:t>
      </w:r>
      <w:r w:rsidR="000705B1" w:rsidRPr="00467BE7">
        <w:rPr>
          <w:rFonts w:hint="cs"/>
          <w:rtl/>
        </w:rPr>
        <w:t>ل</w:t>
      </w:r>
      <w:r w:rsidR="000705B1" w:rsidRPr="00467BE7">
        <w:rPr>
          <w:rtl/>
        </w:rPr>
        <w:t>لشبكة المشتركة بين الوكالات لمديري المرافق</w:t>
      </w:r>
      <w:r w:rsidR="000705B1" w:rsidRPr="00467BE7">
        <w:rPr>
          <w:rStyle w:val="FootnoteReference"/>
          <w:rtl/>
        </w:rPr>
        <w:footnoteReference w:id="6"/>
      </w:r>
      <w:r w:rsidR="00867C5A" w:rsidRPr="00467BE7">
        <w:rPr>
          <w:rFonts w:hint="cs"/>
          <w:rtl/>
        </w:rPr>
        <w:t xml:space="preserve"> وإما في إطار اجتماعات ثنائية أو متعددة الأطراف </w:t>
      </w:r>
      <w:r w:rsidR="00867C5A" w:rsidRPr="00467BE7">
        <w:rPr>
          <w:rFonts w:hint="cs"/>
          <w:rtl/>
        </w:rPr>
        <w:lastRenderedPageBreak/>
        <w:t>نظمت في جنيف بين وكالات الأمم المتحدة واستضافت الويبو بعضها. واسترشدت الويبو بموضوعات مشتركة عن بناء المشروعات الكبيرة ومشروعات الترميم في اختيار أفضل الاستراتيجيات و</w:t>
      </w:r>
      <w:r w:rsidR="006C0913" w:rsidRPr="00467BE7">
        <w:rPr>
          <w:rFonts w:hint="cs"/>
          <w:rtl/>
        </w:rPr>
        <w:t>ال</w:t>
      </w:r>
      <w:r w:rsidR="00867C5A" w:rsidRPr="00467BE7">
        <w:rPr>
          <w:rFonts w:hint="cs"/>
          <w:rtl/>
        </w:rPr>
        <w:t>تدابير</w:t>
      </w:r>
      <w:r w:rsidR="006C0913" w:rsidRPr="00467BE7">
        <w:rPr>
          <w:rFonts w:hint="cs"/>
          <w:rtl/>
        </w:rPr>
        <w:t xml:space="preserve"> والأساليب المتبعة في مرحلة</w:t>
      </w:r>
      <w:r w:rsidR="00867C5A" w:rsidRPr="00467BE7">
        <w:rPr>
          <w:rFonts w:hint="cs"/>
          <w:rtl/>
        </w:rPr>
        <w:t xml:space="preserve"> </w:t>
      </w:r>
      <w:r w:rsidR="006C0913" w:rsidRPr="00467BE7">
        <w:rPr>
          <w:rFonts w:hint="cs"/>
          <w:rtl/>
        </w:rPr>
        <w:t xml:space="preserve">التنفيذ </w:t>
      </w:r>
      <w:r w:rsidR="00867C5A" w:rsidRPr="00467BE7">
        <w:rPr>
          <w:rFonts w:hint="cs"/>
          <w:rtl/>
        </w:rPr>
        <w:t>فيما</w:t>
      </w:r>
      <w:r w:rsidR="006C0913" w:rsidRPr="00467BE7">
        <w:rPr>
          <w:rFonts w:hint="eastAsia"/>
          <w:rtl/>
        </w:rPr>
        <w:t> </w:t>
      </w:r>
      <w:r w:rsidR="00867C5A" w:rsidRPr="00467BE7">
        <w:rPr>
          <w:rFonts w:hint="cs"/>
          <w:rtl/>
        </w:rPr>
        <w:t xml:space="preserve">يخص </w:t>
      </w:r>
      <w:r w:rsidR="006C0913" w:rsidRPr="00467BE7">
        <w:rPr>
          <w:rFonts w:hint="cs"/>
          <w:rtl/>
        </w:rPr>
        <w:t>ال</w:t>
      </w:r>
      <w:r w:rsidR="00867C5A" w:rsidRPr="00467BE7">
        <w:rPr>
          <w:rFonts w:hint="cs"/>
          <w:rtl/>
        </w:rPr>
        <w:t xml:space="preserve">بنية </w:t>
      </w:r>
      <w:r w:rsidR="006C0913" w:rsidRPr="00467BE7">
        <w:rPr>
          <w:rFonts w:hint="cs"/>
          <w:rtl/>
        </w:rPr>
        <w:t>ال</w:t>
      </w:r>
      <w:r w:rsidR="00867C5A" w:rsidRPr="00467BE7">
        <w:rPr>
          <w:rFonts w:hint="cs"/>
          <w:rtl/>
        </w:rPr>
        <w:t>إدار</w:t>
      </w:r>
      <w:r w:rsidR="006C0913" w:rsidRPr="00467BE7">
        <w:rPr>
          <w:rFonts w:hint="cs"/>
          <w:rtl/>
        </w:rPr>
        <w:t>ي</w:t>
      </w:r>
      <w:r w:rsidR="00867C5A" w:rsidRPr="00467BE7">
        <w:rPr>
          <w:rFonts w:hint="cs"/>
          <w:rtl/>
        </w:rPr>
        <w:t xml:space="preserve">ة </w:t>
      </w:r>
      <w:r w:rsidR="006C0913" w:rsidRPr="00467BE7">
        <w:rPr>
          <w:rFonts w:hint="cs"/>
          <w:rtl/>
        </w:rPr>
        <w:t>ل</w:t>
      </w:r>
      <w:r w:rsidR="00867C5A" w:rsidRPr="00467BE7">
        <w:rPr>
          <w:rFonts w:hint="cs"/>
          <w:rtl/>
        </w:rPr>
        <w:t>لمشروع والنهج التعاقدي والأدوار والمسؤوليات الخاصة بمختلف الأطراف المعنية والتجاوب مع الظروف غير المتوقعة و</w:t>
      </w:r>
      <w:r w:rsidR="006C0913" w:rsidRPr="00467BE7">
        <w:rPr>
          <w:rFonts w:hint="cs"/>
          <w:rtl/>
        </w:rPr>
        <w:t xml:space="preserve">مواجهة </w:t>
      </w:r>
      <w:r w:rsidR="00867C5A" w:rsidRPr="00467BE7">
        <w:rPr>
          <w:rFonts w:hint="cs"/>
          <w:rtl/>
        </w:rPr>
        <w:t xml:space="preserve">الصعوبات في الوفاء بالجدول الزمني. وسيستمر تبادل الخبرات والتجارب نظراً إلى الاهتمام الذي أبدته عدة وكالات تابعة للأمم المتحدة لموضوع مشروعات البناء الكبيرة ومشروعات الترميم فضلاً عن عدد تلك المشروعات التي نفذتها </w:t>
      </w:r>
      <w:r w:rsidR="006C0913" w:rsidRPr="00467BE7">
        <w:rPr>
          <w:rFonts w:hint="cs"/>
          <w:rtl/>
        </w:rPr>
        <w:t xml:space="preserve">تلك الوكالات </w:t>
      </w:r>
      <w:r w:rsidR="00867C5A" w:rsidRPr="00467BE7">
        <w:rPr>
          <w:rFonts w:hint="cs"/>
          <w:rtl/>
        </w:rPr>
        <w:t>أو تنفذها حالياً أو ستنفذها على مدى السنوات الخمس أو العشر المقبلة.</w:t>
      </w:r>
    </w:p>
    <w:p w:rsidR="00867C5A" w:rsidRPr="00467BE7" w:rsidRDefault="00867C5A" w:rsidP="00867C5A">
      <w:pPr>
        <w:pStyle w:val="NumberedParaAR"/>
      </w:pPr>
      <w:r w:rsidRPr="00467BE7">
        <w:rPr>
          <w:rFonts w:hint="cs"/>
          <w:rtl/>
        </w:rPr>
        <w:t>وفيما يلي فقرة القرار المقترحة.</w:t>
      </w:r>
    </w:p>
    <w:p w:rsidR="00867C5A" w:rsidRPr="00467BE7" w:rsidRDefault="00867C5A" w:rsidP="00867C5A">
      <w:pPr>
        <w:pStyle w:val="DecisionParaAR"/>
      </w:pPr>
      <w:r w:rsidRPr="00467BE7">
        <w:rPr>
          <w:rFonts w:hint="cs"/>
          <w:rtl/>
        </w:rPr>
        <w:t xml:space="preserve">أحاطت لجنة البرنامج والميزانية علماً بمضمون الوثيقة </w:t>
      </w:r>
      <w:r w:rsidRPr="00467BE7">
        <w:t>WO/PBC/</w:t>
      </w:r>
      <w:r w:rsidRPr="0004173E">
        <w:t>25</w:t>
      </w:r>
      <w:r w:rsidRPr="00467BE7">
        <w:t>/</w:t>
      </w:r>
      <w:r w:rsidRPr="0004173E">
        <w:t>13</w:t>
      </w:r>
      <w:r w:rsidRPr="00467BE7">
        <w:rPr>
          <w:rFonts w:hint="cs"/>
          <w:rtl/>
        </w:rPr>
        <w:t xml:space="preserve"> بما في ذلك تحويل الرصيد المتبقي من المشروع إلى الأموال الاحتياطية للمنظمة على النحو المبيَّن في الفقرتين </w:t>
      </w:r>
      <w:r w:rsidRPr="0004173E">
        <w:rPr>
          <w:rFonts w:hint="cs"/>
          <w:rtl/>
        </w:rPr>
        <w:t>4</w:t>
      </w:r>
      <w:r w:rsidRPr="00467BE7">
        <w:rPr>
          <w:rFonts w:hint="cs"/>
          <w:rtl/>
        </w:rPr>
        <w:t xml:space="preserve"> و</w:t>
      </w:r>
      <w:r w:rsidRPr="0004173E">
        <w:rPr>
          <w:rFonts w:hint="cs"/>
          <w:rtl/>
        </w:rPr>
        <w:t>5</w:t>
      </w:r>
      <w:r w:rsidRPr="00467BE7">
        <w:rPr>
          <w:rFonts w:hint="cs"/>
          <w:rtl/>
        </w:rPr>
        <w:t xml:space="preserve"> من تلك الوثيقة.</w:t>
      </w:r>
    </w:p>
    <w:p w:rsidR="00867C5A" w:rsidRPr="00467BE7" w:rsidRDefault="00867C5A" w:rsidP="00867C5A">
      <w:pPr>
        <w:pStyle w:val="EndofDocumentAR"/>
        <w:rPr>
          <w:rFonts w:eastAsia="SimSun"/>
          <w:rtl/>
          <w:lang w:eastAsia="zh-CN"/>
        </w:rPr>
      </w:pPr>
      <w:r w:rsidRPr="00467BE7">
        <w:rPr>
          <w:rFonts w:eastAsia="SimSun" w:hint="cs"/>
          <w:rtl/>
          <w:lang w:eastAsia="zh-CN"/>
        </w:rPr>
        <w:t>[يلي ذلك المرفقان]</w:t>
      </w:r>
    </w:p>
    <w:p w:rsidR="00867C5A" w:rsidRPr="00467BE7" w:rsidRDefault="00867C5A" w:rsidP="00867C5A">
      <w:pPr>
        <w:pStyle w:val="NormalParaAR"/>
        <w:rPr>
          <w:rFonts w:eastAsia="SimSun"/>
          <w:rtl/>
          <w:lang w:eastAsia="zh-CN"/>
        </w:rPr>
      </w:pPr>
    </w:p>
    <w:p w:rsidR="00867C5A" w:rsidRPr="00467BE7" w:rsidRDefault="00867C5A" w:rsidP="00867C5A">
      <w:pPr>
        <w:pStyle w:val="NormalParaAR"/>
        <w:rPr>
          <w:rFonts w:eastAsia="SimSun"/>
          <w:rtl/>
          <w:lang w:eastAsia="zh-CN"/>
        </w:rPr>
        <w:sectPr w:rsidR="00867C5A" w:rsidRPr="00467BE7" w:rsidSect="00EB7752">
          <w:headerReference w:type="default" r:id="rId10"/>
          <w:pgSz w:w="11907" w:h="16840" w:code="9"/>
          <w:pgMar w:top="567" w:right="1418" w:bottom="1418" w:left="1134" w:header="510" w:footer="1021" w:gutter="0"/>
          <w:cols w:space="720"/>
          <w:titlePg/>
          <w:docGrid w:linePitch="299"/>
        </w:sectPr>
      </w:pPr>
    </w:p>
    <w:tbl>
      <w:tblPr>
        <w:tblStyle w:val="TableGrid"/>
        <w:bidiVisual/>
        <w:tblW w:w="8969" w:type="dxa"/>
        <w:jc w:val="center"/>
        <w:tblLayout w:type="fixed"/>
        <w:tblLook w:val="04A0" w:firstRow="1" w:lastRow="0" w:firstColumn="1" w:lastColumn="0" w:noHBand="0" w:noVBand="1"/>
      </w:tblPr>
      <w:tblGrid>
        <w:gridCol w:w="924"/>
        <w:gridCol w:w="1559"/>
        <w:gridCol w:w="1718"/>
        <w:gridCol w:w="1531"/>
        <w:gridCol w:w="1629"/>
        <w:gridCol w:w="1608"/>
      </w:tblGrid>
      <w:tr w:rsidR="00467BE7" w:rsidRPr="00467BE7" w:rsidTr="00EB406F">
        <w:trPr>
          <w:trHeight w:val="529"/>
          <w:jc w:val="center"/>
        </w:trPr>
        <w:tc>
          <w:tcPr>
            <w:tcW w:w="8969" w:type="dxa"/>
            <w:gridSpan w:val="6"/>
            <w:tcBorders>
              <w:top w:val="single" w:sz="4" w:space="0" w:color="auto"/>
              <w:bottom w:val="single" w:sz="4" w:space="0" w:color="auto"/>
            </w:tcBorders>
            <w:shd w:val="clear" w:color="auto" w:fill="D9D9D9" w:themeFill="background1" w:themeFillShade="D9"/>
            <w:vAlign w:val="center"/>
          </w:tcPr>
          <w:p w:rsidR="000E1F53" w:rsidRPr="00467BE7" w:rsidRDefault="00EB406F" w:rsidP="006C0913">
            <w:pPr>
              <w:pStyle w:val="NormalParaAR"/>
              <w:spacing w:after="0" w:line="240" w:lineRule="auto"/>
              <w:jc w:val="center"/>
              <w:rPr>
                <w:rFonts w:eastAsia="SimSun"/>
                <w:b/>
                <w:bCs/>
                <w:sz w:val="28"/>
                <w:szCs w:val="28"/>
                <w:lang w:eastAsia="zh-CN"/>
              </w:rPr>
            </w:pPr>
            <w:r w:rsidRPr="00467BE7">
              <w:rPr>
                <w:rFonts w:eastAsia="SimSun"/>
                <w:b/>
                <w:bCs/>
                <w:sz w:val="28"/>
                <w:szCs w:val="28"/>
                <w:rtl/>
                <w:lang w:eastAsia="zh-CN"/>
              </w:rPr>
              <w:lastRenderedPageBreak/>
              <w:t>قائمة التقارير المرحلية والوثائق الأخرى المقدَّمة إلى لجنة البرنامج والميزانية والجمعيات (</w:t>
            </w:r>
            <w:r w:rsidRPr="0004173E">
              <w:rPr>
                <w:rFonts w:eastAsia="SimSun"/>
                <w:b/>
                <w:bCs/>
                <w:sz w:val="28"/>
                <w:szCs w:val="28"/>
                <w:rtl/>
                <w:lang w:eastAsia="zh-CN"/>
              </w:rPr>
              <w:t>2006</w:t>
            </w:r>
            <w:r w:rsidRPr="00467BE7">
              <w:rPr>
                <w:rFonts w:eastAsia="SimSun"/>
                <w:b/>
                <w:bCs/>
                <w:sz w:val="28"/>
                <w:szCs w:val="28"/>
                <w:rtl/>
                <w:lang w:eastAsia="zh-CN"/>
              </w:rPr>
              <w:t>-</w:t>
            </w:r>
            <w:r w:rsidRPr="0004173E">
              <w:rPr>
                <w:rFonts w:eastAsia="SimSun"/>
                <w:b/>
                <w:bCs/>
                <w:sz w:val="28"/>
                <w:szCs w:val="28"/>
                <w:rtl/>
                <w:lang w:eastAsia="zh-CN"/>
              </w:rPr>
              <w:t>2016</w:t>
            </w:r>
            <w:r w:rsidRPr="00467BE7">
              <w:rPr>
                <w:rFonts w:eastAsia="SimSun"/>
                <w:b/>
                <w:bCs/>
                <w:sz w:val="28"/>
                <w:szCs w:val="28"/>
                <w:rtl/>
                <w:lang w:eastAsia="zh-CN"/>
              </w:rPr>
              <w:t>)</w:t>
            </w:r>
          </w:p>
        </w:tc>
      </w:tr>
      <w:tr w:rsidR="00467BE7" w:rsidRPr="00467BE7" w:rsidTr="00EB406F">
        <w:trPr>
          <w:trHeight w:val="759"/>
          <w:jc w:val="center"/>
        </w:trPr>
        <w:tc>
          <w:tcPr>
            <w:tcW w:w="924" w:type="dxa"/>
            <w:vMerge w:val="restart"/>
            <w:tcBorders>
              <w:top w:val="single" w:sz="4" w:space="0" w:color="auto"/>
            </w:tcBorders>
            <w:shd w:val="clear" w:color="auto" w:fill="F2F2F2" w:themeFill="background1" w:themeFillShade="F2"/>
            <w:vAlign w:val="center"/>
          </w:tcPr>
          <w:p w:rsidR="000E1F53" w:rsidRPr="00467BE7" w:rsidRDefault="00EB406F" w:rsidP="006C0913">
            <w:pPr>
              <w:pStyle w:val="NormalParaAR"/>
              <w:spacing w:after="0" w:line="240" w:lineRule="auto"/>
              <w:rPr>
                <w:rFonts w:eastAsia="SimSun"/>
                <w:b/>
                <w:bCs/>
                <w:sz w:val="28"/>
                <w:szCs w:val="28"/>
                <w:lang w:eastAsia="zh-CN"/>
              </w:rPr>
            </w:pPr>
            <w:r w:rsidRPr="00467BE7">
              <w:rPr>
                <w:rFonts w:eastAsia="SimSun"/>
                <w:b/>
                <w:bCs/>
                <w:sz w:val="28"/>
                <w:szCs w:val="28"/>
                <w:rtl/>
                <w:lang w:eastAsia="zh-CN"/>
              </w:rPr>
              <w:t>السنة</w:t>
            </w:r>
          </w:p>
        </w:tc>
        <w:tc>
          <w:tcPr>
            <w:tcW w:w="1559" w:type="dxa"/>
            <w:vMerge w:val="restart"/>
            <w:tcBorders>
              <w:top w:val="single" w:sz="4" w:space="0" w:color="auto"/>
            </w:tcBorders>
            <w:shd w:val="clear" w:color="auto" w:fill="F2F2F2" w:themeFill="background1" w:themeFillShade="F2"/>
            <w:vAlign w:val="center"/>
          </w:tcPr>
          <w:p w:rsidR="000E1F53" w:rsidRPr="00467BE7" w:rsidRDefault="00EB406F" w:rsidP="006C0913">
            <w:pPr>
              <w:pStyle w:val="NormalParaAR"/>
              <w:spacing w:after="0" w:line="240" w:lineRule="auto"/>
              <w:rPr>
                <w:rFonts w:eastAsia="SimSun"/>
                <w:b/>
                <w:bCs/>
                <w:sz w:val="28"/>
                <w:szCs w:val="28"/>
                <w:lang w:eastAsia="zh-CN"/>
              </w:rPr>
            </w:pPr>
            <w:r w:rsidRPr="00467BE7">
              <w:rPr>
                <w:rFonts w:eastAsia="SimSun"/>
                <w:b/>
                <w:bCs/>
                <w:sz w:val="28"/>
                <w:szCs w:val="28"/>
                <w:rtl/>
                <w:lang w:eastAsia="zh-CN"/>
              </w:rPr>
              <w:t>شهر الدورة</w:t>
            </w:r>
          </w:p>
        </w:tc>
        <w:tc>
          <w:tcPr>
            <w:tcW w:w="1718" w:type="dxa"/>
            <w:vMerge w:val="restart"/>
            <w:tcBorders>
              <w:top w:val="single" w:sz="4" w:space="0" w:color="auto"/>
            </w:tcBorders>
            <w:shd w:val="clear" w:color="auto" w:fill="F2F2F2" w:themeFill="background1" w:themeFillShade="F2"/>
            <w:vAlign w:val="center"/>
          </w:tcPr>
          <w:p w:rsidR="000E1F53" w:rsidRPr="00467BE7" w:rsidRDefault="00EB406F" w:rsidP="006C0913">
            <w:pPr>
              <w:pStyle w:val="NormalParaAR"/>
              <w:spacing w:after="0" w:line="240" w:lineRule="auto"/>
              <w:rPr>
                <w:rFonts w:eastAsia="SimSun"/>
                <w:b/>
                <w:bCs/>
                <w:sz w:val="28"/>
                <w:szCs w:val="28"/>
                <w:lang w:eastAsia="zh-CN"/>
              </w:rPr>
            </w:pPr>
            <w:r w:rsidRPr="00467BE7">
              <w:rPr>
                <w:rFonts w:eastAsia="SimSun"/>
                <w:b/>
                <w:bCs/>
                <w:sz w:val="28"/>
                <w:szCs w:val="28"/>
                <w:rtl/>
                <w:lang w:eastAsia="zh-CN"/>
              </w:rPr>
              <w:t>وثيقة لجنة البرنامج والميزانية</w:t>
            </w:r>
          </w:p>
        </w:tc>
        <w:tc>
          <w:tcPr>
            <w:tcW w:w="1531" w:type="dxa"/>
            <w:vMerge w:val="restart"/>
            <w:tcBorders>
              <w:top w:val="single" w:sz="4" w:space="0" w:color="auto"/>
            </w:tcBorders>
            <w:shd w:val="clear" w:color="auto" w:fill="F2F2F2" w:themeFill="background1" w:themeFillShade="F2"/>
            <w:vAlign w:val="center"/>
          </w:tcPr>
          <w:p w:rsidR="000E1F53" w:rsidRPr="00467BE7" w:rsidRDefault="00EB406F" w:rsidP="006C0913">
            <w:pPr>
              <w:pStyle w:val="NormalParaAR"/>
              <w:spacing w:after="0" w:line="240" w:lineRule="auto"/>
              <w:rPr>
                <w:rFonts w:eastAsia="SimSun"/>
                <w:b/>
                <w:bCs/>
                <w:sz w:val="28"/>
                <w:szCs w:val="28"/>
                <w:lang w:eastAsia="zh-CN"/>
              </w:rPr>
            </w:pPr>
            <w:r w:rsidRPr="00467BE7">
              <w:rPr>
                <w:rFonts w:eastAsia="SimSun"/>
                <w:b/>
                <w:bCs/>
                <w:sz w:val="28"/>
                <w:szCs w:val="28"/>
                <w:rtl/>
                <w:lang w:eastAsia="zh-CN"/>
              </w:rPr>
              <w:t>وثيقة الجمعيات</w:t>
            </w:r>
          </w:p>
        </w:tc>
        <w:tc>
          <w:tcPr>
            <w:tcW w:w="3237" w:type="dxa"/>
            <w:gridSpan w:val="2"/>
            <w:tcBorders>
              <w:top w:val="single" w:sz="4" w:space="0" w:color="auto"/>
            </w:tcBorders>
            <w:shd w:val="clear" w:color="auto" w:fill="F2F2F2" w:themeFill="background1" w:themeFillShade="F2"/>
            <w:vAlign w:val="center"/>
          </w:tcPr>
          <w:p w:rsidR="000E1F53" w:rsidRPr="00467BE7" w:rsidRDefault="00EB406F" w:rsidP="006C0913">
            <w:pPr>
              <w:pStyle w:val="NormalParaAR"/>
              <w:spacing w:after="0" w:line="240" w:lineRule="auto"/>
              <w:rPr>
                <w:rFonts w:eastAsia="SimSun"/>
                <w:b/>
                <w:bCs/>
                <w:sz w:val="28"/>
                <w:szCs w:val="28"/>
                <w:lang w:eastAsia="zh-CN"/>
              </w:rPr>
            </w:pPr>
            <w:r w:rsidRPr="00467BE7">
              <w:rPr>
                <w:rFonts w:eastAsia="SimSun"/>
                <w:b/>
                <w:bCs/>
                <w:sz w:val="28"/>
                <w:szCs w:val="28"/>
                <w:rtl/>
                <w:lang w:eastAsia="zh-CN"/>
              </w:rPr>
              <w:t>تقارير مرحلية أو اقتراحات أو معلومات محدثة عن المشروع</w:t>
            </w:r>
          </w:p>
        </w:tc>
      </w:tr>
      <w:tr w:rsidR="00467BE7" w:rsidRPr="00467BE7" w:rsidTr="00EB406F">
        <w:trPr>
          <w:trHeight w:val="328"/>
          <w:jc w:val="center"/>
        </w:trPr>
        <w:tc>
          <w:tcPr>
            <w:tcW w:w="924" w:type="dxa"/>
            <w:vMerge/>
            <w:tcBorders>
              <w:bottom w:val="nil"/>
            </w:tcBorders>
            <w:shd w:val="clear" w:color="auto" w:fill="F2F2F2" w:themeFill="background1" w:themeFillShade="F2"/>
            <w:vAlign w:val="center"/>
          </w:tcPr>
          <w:p w:rsidR="000E1F53" w:rsidRPr="00467BE7" w:rsidRDefault="000E1F53" w:rsidP="006C0913">
            <w:pPr>
              <w:pStyle w:val="NormalParaAR"/>
              <w:spacing w:after="0" w:line="240" w:lineRule="auto"/>
              <w:rPr>
                <w:rFonts w:eastAsia="SimSun"/>
                <w:b/>
                <w:bCs/>
                <w:sz w:val="28"/>
                <w:szCs w:val="28"/>
                <w:lang w:eastAsia="zh-CN"/>
              </w:rPr>
            </w:pPr>
          </w:p>
        </w:tc>
        <w:tc>
          <w:tcPr>
            <w:tcW w:w="1559" w:type="dxa"/>
            <w:vMerge/>
            <w:shd w:val="clear" w:color="auto" w:fill="F2F2F2" w:themeFill="background1" w:themeFillShade="F2"/>
            <w:vAlign w:val="center"/>
          </w:tcPr>
          <w:p w:rsidR="000E1F53" w:rsidRPr="00467BE7" w:rsidRDefault="000E1F53" w:rsidP="006C0913">
            <w:pPr>
              <w:pStyle w:val="NormalParaAR"/>
              <w:spacing w:after="0" w:line="240" w:lineRule="auto"/>
              <w:rPr>
                <w:rFonts w:eastAsia="SimSun"/>
                <w:b/>
                <w:bCs/>
                <w:sz w:val="28"/>
                <w:szCs w:val="28"/>
                <w:lang w:eastAsia="zh-CN"/>
              </w:rPr>
            </w:pPr>
          </w:p>
        </w:tc>
        <w:tc>
          <w:tcPr>
            <w:tcW w:w="1718" w:type="dxa"/>
            <w:vMerge/>
            <w:shd w:val="clear" w:color="auto" w:fill="F2F2F2" w:themeFill="background1" w:themeFillShade="F2"/>
            <w:vAlign w:val="center"/>
          </w:tcPr>
          <w:p w:rsidR="000E1F53" w:rsidRPr="00467BE7" w:rsidRDefault="000E1F53" w:rsidP="006C0913">
            <w:pPr>
              <w:pStyle w:val="NormalParaAR"/>
              <w:spacing w:after="0" w:line="240" w:lineRule="auto"/>
              <w:rPr>
                <w:rFonts w:eastAsia="SimSun"/>
                <w:b/>
                <w:bCs/>
                <w:sz w:val="28"/>
                <w:szCs w:val="28"/>
                <w:lang w:eastAsia="zh-CN"/>
              </w:rPr>
            </w:pPr>
          </w:p>
        </w:tc>
        <w:tc>
          <w:tcPr>
            <w:tcW w:w="1531" w:type="dxa"/>
            <w:vMerge/>
            <w:shd w:val="clear" w:color="auto" w:fill="F2F2F2" w:themeFill="background1" w:themeFillShade="F2"/>
            <w:vAlign w:val="center"/>
          </w:tcPr>
          <w:p w:rsidR="000E1F53" w:rsidRPr="00467BE7" w:rsidRDefault="000E1F53" w:rsidP="006C0913">
            <w:pPr>
              <w:pStyle w:val="NormalParaAR"/>
              <w:spacing w:after="0" w:line="240" w:lineRule="auto"/>
              <w:rPr>
                <w:rFonts w:eastAsia="SimSun"/>
                <w:b/>
                <w:bCs/>
                <w:sz w:val="28"/>
                <w:szCs w:val="28"/>
                <w:lang w:eastAsia="zh-CN"/>
              </w:rPr>
            </w:pPr>
          </w:p>
        </w:tc>
        <w:tc>
          <w:tcPr>
            <w:tcW w:w="1629" w:type="dxa"/>
            <w:shd w:val="clear" w:color="auto" w:fill="F2F2F2" w:themeFill="background1" w:themeFillShade="F2"/>
          </w:tcPr>
          <w:p w:rsidR="000E1F53" w:rsidRPr="00467BE7" w:rsidRDefault="00EB406F" w:rsidP="006C0913">
            <w:pPr>
              <w:pStyle w:val="NormalParaAR"/>
              <w:spacing w:after="0" w:line="240" w:lineRule="auto"/>
              <w:rPr>
                <w:rFonts w:eastAsia="SimSun"/>
                <w:b/>
                <w:bCs/>
                <w:sz w:val="28"/>
                <w:szCs w:val="28"/>
                <w:lang w:eastAsia="zh-CN"/>
              </w:rPr>
            </w:pPr>
            <w:r w:rsidRPr="00467BE7">
              <w:rPr>
                <w:rFonts w:eastAsia="SimSun"/>
                <w:b/>
                <w:bCs/>
                <w:sz w:val="28"/>
                <w:szCs w:val="28"/>
                <w:rtl/>
                <w:lang w:eastAsia="zh-CN"/>
              </w:rPr>
              <w:t>مشروع البناء الجديد</w:t>
            </w:r>
          </w:p>
        </w:tc>
        <w:tc>
          <w:tcPr>
            <w:tcW w:w="1608" w:type="dxa"/>
            <w:shd w:val="clear" w:color="auto" w:fill="F2F2F2" w:themeFill="background1" w:themeFillShade="F2"/>
          </w:tcPr>
          <w:p w:rsidR="000E1F53" w:rsidRPr="00467BE7" w:rsidRDefault="00EB406F" w:rsidP="006C0913">
            <w:pPr>
              <w:pStyle w:val="NormalParaAR"/>
              <w:spacing w:after="0" w:line="240" w:lineRule="auto"/>
              <w:rPr>
                <w:rFonts w:eastAsia="SimSun"/>
                <w:b/>
                <w:bCs/>
                <w:sz w:val="28"/>
                <w:szCs w:val="28"/>
                <w:lang w:eastAsia="zh-CN"/>
              </w:rPr>
            </w:pPr>
            <w:r w:rsidRPr="00467BE7">
              <w:rPr>
                <w:rFonts w:eastAsia="SimSun"/>
                <w:b/>
                <w:bCs/>
                <w:sz w:val="28"/>
                <w:szCs w:val="28"/>
                <w:rtl/>
                <w:lang w:eastAsia="zh-CN"/>
              </w:rPr>
              <w:t>مشروع قاعة المؤتمرات الجديدة</w:t>
            </w:r>
          </w:p>
        </w:tc>
      </w:tr>
      <w:tr w:rsidR="00467BE7" w:rsidRPr="00467BE7" w:rsidTr="00EB406F">
        <w:trPr>
          <w:trHeight w:val="397"/>
          <w:jc w:val="center"/>
        </w:trPr>
        <w:tc>
          <w:tcPr>
            <w:tcW w:w="924" w:type="dxa"/>
            <w:tcBorders>
              <w:bottom w:val="nil"/>
            </w:tcBorders>
            <w:vAlign w:val="center"/>
          </w:tcPr>
          <w:p w:rsidR="006C0913" w:rsidRPr="00467BE7" w:rsidRDefault="006C0913" w:rsidP="006C0913">
            <w:pPr>
              <w:pStyle w:val="NormalParaAR"/>
              <w:spacing w:after="0" w:line="240" w:lineRule="auto"/>
              <w:rPr>
                <w:rFonts w:eastAsia="SimSun"/>
                <w:sz w:val="28"/>
                <w:szCs w:val="28"/>
                <w:lang w:eastAsia="zh-CN"/>
              </w:rPr>
            </w:pPr>
            <w:r w:rsidRPr="0004173E">
              <w:rPr>
                <w:rFonts w:eastAsia="SimSun"/>
                <w:sz w:val="28"/>
                <w:szCs w:val="28"/>
                <w:rtl/>
                <w:lang w:eastAsia="zh-CN"/>
              </w:rPr>
              <w:t>2006</w:t>
            </w:r>
          </w:p>
        </w:tc>
        <w:tc>
          <w:tcPr>
            <w:tcW w:w="1559" w:type="dxa"/>
            <w:vAlign w:val="center"/>
          </w:tcPr>
          <w:p w:rsidR="006C0913" w:rsidRPr="00467BE7" w:rsidRDefault="006C0913" w:rsidP="006C0913">
            <w:pPr>
              <w:pStyle w:val="NormalParaAR"/>
              <w:spacing w:after="0" w:line="240" w:lineRule="auto"/>
              <w:rPr>
                <w:rFonts w:eastAsia="SimSun"/>
                <w:sz w:val="28"/>
                <w:szCs w:val="28"/>
                <w:lang w:eastAsia="zh-CN"/>
              </w:rPr>
            </w:pPr>
            <w:r w:rsidRPr="00467BE7">
              <w:rPr>
                <w:rFonts w:eastAsia="SimSun"/>
                <w:sz w:val="28"/>
                <w:szCs w:val="28"/>
                <w:rtl/>
                <w:lang w:eastAsia="zh-CN"/>
              </w:rPr>
              <w:t>يوليو</w:t>
            </w:r>
          </w:p>
          <w:p w:rsidR="006C0913" w:rsidRPr="00467BE7" w:rsidRDefault="006C0913" w:rsidP="006C0913">
            <w:pPr>
              <w:pStyle w:val="NormalParaAR"/>
              <w:spacing w:after="0" w:line="240" w:lineRule="auto"/>
              <w:rPr>
                <w:rFonts w:eastAsia="SimSun"/>
                <w:sz w:val="28"/>
                <w:szCs w:val="28"/>
                <w:lang w:eastAsia="zh-CN"/>
              </w:rPr>
            </w:pPr>
            <w:r w:rsidRPr="00467BE7">
              <w:rPr>
                <w:rFonts w:eastAsia="SimSun"/>
                <w:sz w:val="28"/>
                <w:szCs w:val="28"/>
                <w:rtl/>
                <w:lang w:eastAsia="zh-CN"/>
              </w:rPr>
              <w:t>سبتمبر/أكتوبر</w:t>
            </w:r>
          </w:p>
        </w:tc>
        <w:tc>
          <w:tcPr>
            <w:tcW w:w="1718" w:type="dxa"/>
            <w:vAlign w:val="center"/>
          </w:tcPr>
          <w:p w:rsidR="006C0913" w:rsidRPr="00467BE7" w:rsidRDefault="006C0913" w:rsidP="00343D42">
            <w:pPr>
              <w:pStyle w:val="NormalParaAR"/>
              <w:bidi w:val="0"/>
              <w:spacing w:after="0" w:line="240" w:lineRule="auto"/>
              <w:jc w:val="right"/>
              <w:rPr>
                <w:rFonts w:eastAsia="SimSun"/>
                <w:sz w:val="28"/>
                <w:szCs w:val="28"/>
                <w:lang w:eastAsia="zh-CN"/>
              </w:rPr>
            </w:pPr>
            <w:r w:rsidRPr="00467BE7">
              <w:rPr>
                <w:rFonts w:eastAsia="SimSun"/>
                <w:sz w:val="28"/>
                <w:szCs w:val="28"/>
                <w:lang w:eastAsia="zh-CN"/>
              </w:rPr>
              <w:t>WO/PBC/</w:t>
            </w:r>
            <w:r w:rsidRPr="0004173E">
              <w:rPr>
                <w:rFonts w:eastAsia="SimSun"/>
                <w:sz w:val="28"/>
                <w:szCs w:val="28"/>
                <w:lang w:eastAsia="zh-CN"/>
              </w:rPr>
              <w:t>10</w:t>
            </w:r>
            <w:r w:rsidRPr="00467BE7">
              <w:rPr>
                <w:rFonts w:eastAsia="SimSun"/>
                <w:sz w:val="28"/>
                <w:szCs w:val="28"/>
                <w:lang w:eastAsia="zh-CN"/>
              </w:rPr>
              <w:t>/</w:t>
            </w:r>
            <w:r w:rsidRPr="0004173E">
              <w:rPr>
                <w:rFonts w:eastAsia="SimSun"/>
                <w:sz w:val="28"/>
                <w:szCs w:val="28"/>
                <w:lang w:eastAsia="zh-CN"/>
              </w:rPr>
              <w:t>4</w:t>
            </w:r>
          </w:p>
        </w:tc>
        <w:tc>
          <w:tcPr>
            <w:tcW w:w="1531" w:type="dxa"/>
            <w:vAlign w:val="center"/>
          </w:tcPr>
          <w:p w:rsidR="006C0913" w:rsidRPr="00467BE7" w:rsidRDefault="006C0913" w:rsidP="00343D42">
            <w:pPr>
              <w:pStyle w:val="NormalParaAR"/>
              <w:bidi w:val="0"/>
              <w:spacing w:after="0" w:line="240" w:lineRule="auto"/>
              <w:jc w:val="right"/>
              <w:rPr>
                <w:rFonts w:eastAsia="SimSun"/>
                <w:sz w:val="28"/>
                <w:szCs w:val="28"/>
              </w:rPr>
            </w:pPr>
            <w:r w:rsidRPr="00467BE7">
              <w:rPr>
                <w:rFonts w:eastAsia="SimSun"/>
                <w:sz w:val="28"/>
                <w:szCs w:val="28"/>
              </w:rPr>
              <w:t>A/</w:t>
            </w:r>
            <w:r w:rsidRPr="0004173E">
              <w:rPr>
                <w:rFonts w:eastAsia="SimSun"/>
                <w:sz w:val="28"/>
                <w:szCs w:val="28"/>
              </w:rPr>
              <w:t>42</w:t>
            </w:r>
            <w:r w:rsidRPr="00467BE7">
              <w:rPr>
                <w:rFonts w:eastAsia="SimSun"/>
                <w:sz w:val="28"/>
                <w:szCs w:val="28"/>
              </w:rPr>
              <w:t>/</w:t>
            </w:r>
            <w:r w:rsidRPr="0004173E">
              <w:rPr>
                <w:rFonts w:eastAsia="SimSun"/>
                <w:sz w:val="28"/>
                <w:szCs w:val="28"/>
              </w:rPr>
              <w:t>13</w:t>
            </w:r>
          </w:p>
        </w:tc>
        <w:tc>
          <w:tcPr>
            <w:tcW w:w="1629" w:type="dxa"/>
            <w:vAlign w:val="center"/>
          </w:tcPr>
          <w:p w:rsidR="006C0913" w:rsidRPr="00467BE7" w:rsidRDefault="006C0913" w:rsidP="006C0913">
            <w:pPr>
              <w:bidi/>
              <w:jc w:val="center"/>
              <w:rPr>
                <w:rFonts w:ascii="Arabic Typesetting" w:hAnsi="Arabic Typesetting" w:cs="Arabic Typesetting"/>
                <w:sz w:val="28"/>
                <w:szCs w:val="28"/>
              </w:rPr>
            </w:pPr>
            <w:r w:rsidRPr="00467BE7">
              <w:rPr>
                <w:rFonts w:ascii="Arabic Typesetting" w:hAnsi="Arabic Typesetting" w:cs="Arabic Typesetting"/>
                <w:sz w:val="28"/>
                <w:szCs w:val="28"/>
              </w:rPr>
              <w:t>x</w:t>
            </w:r>
          </w:p>
        </w:tc>
        <w:tc>
          <w:tcPr>
            <w:tcW w:w="1608" w:type="dxa"/>
            <w:vAlign w:val="center"/>
          </w:tcPr>
          <w:p w:rsidR="006C0913" w:rsidRPr="00467BE7" w:rsidRDefault="006C0913" w:rsidP="006C0913">
            <w:pPr>
              <w:pStyle w:val="NormalParaAR"/>
              <w:spacing w:after="0" w:line="240" w:lineRule="auto"/>
              <w:jc w:val="center"/>
              <w:rPr>
                <w:rFonts w:eastAsia="SimSun"/>
                <w:sz w:val="28"/>
                <w:szCs w:val="28"/>
                <w:lang w:eastAsia="zh-CN"/>
              </w:rPr>
            </w:pPr>
          </w:p>
        </w:tc>
      </w:tr>
      <w:tr w:rsidR="00467BE7" w:rsidRPr="00467BE7" w:rsidTr="00EB406F">
        <w:trPr>
          <w:trHeight w:val="397"/>
          <w:jc w:val="center"/>
        </w:trPr>
        <w:tc>
          <w:tcPr>
            <w:tcW w:w="924" w:type="dxa"/>
            <w:tcBorders>
              <w:top w:val="nil"/>
            </w:tcBorders>
            <w:vAlign w:val="center"/>
          </w:tcPr>
          <w:p w:rsidR="006C0913" w:rsidRPr="00467BE7" w:rsidRDefault="006C0913" w:rsidP="006C0913">
            <w:pPr>
              <w:pStyle w:val="NormalParaAR"/>
              <w:spacing w:after="0" w:line="240" w:lineRule="auto"/>
              <w:rPr>
                <w:rFonts w:eastAsia="SimSun"/>
                <w:sz w:val="28"/>
                <w:szCs w:val="28"/>
                <w:lang w:eastAsia="zh-CN"/>
              </w:rPr>
            </w:pPr>
          </w:p>
        </w:tc>
        <w:tc>
          <w:tcPr>
            <w:tcW w:w="1559" w:type="dxa"/>
            <w:vAlign w:val="center"/>
          </w:tcPr>
          <w:p w:rsidR="006C0913" w:rsidRPr="00467BE7" w:rsidRDefault="006C0913" w:rsidP="006C0913">
            <w:pPr>
              <w:pStyle w:val="NormalParaAR"/>
              <w:spacing w:after="0" w:line="240" w:lineRule="auto"/>
              <w:rPr>
                <w:rFonts w:eastAsia="SimSun"/>
                <w:sz w:val="28"/>
                <w:szCs w:val="28"/>
                <w:lang w:eastAsia="zh-CN"/>
              </w:rPr>
            </w:pPr>
            <w:r w:rsidRPr="00467BE7">
              <w:rPr>
                <w:rFonts w:eastAsia="SimSun"/>
                <w:sz w:val="28"/>
                <w:szCs w:val="28"/>
                <w:rtl/>
                <w:lang w:eastAsia="zh-CN"/>
              </w:rPr>
              <w:t>ديسمبر</w:t>
            </w:r>
          </w:p>
        </w:tc>
        <w:tc>
          <w:tcPr>
            <w:tcW w:w="1718" w:type="dxa"/>
            <w:vAlign w:val="center"/>
          </w:tcPr>
          <w:p w:rsidR="006C0913" w:rsidRPr="00467BE7" w:rsidRDefault="006C0913" w:rsidP="00343D42">
            <w:pPr>
              <w:pStyle w:val="NormalParaAR"/>
              <w:bidi w:val="0"/>
              <w:spacing w:after="0" w:line="240" w:lineRule="auto"/>
              <w:jc w:val="right"/>
              <w:rPr>
                <w:rFonts w:eastAsia="SimSun"/>
                <w:sz w:val="24"/>
                <w:szCs w:val="24"/>
                <w:lang w:eastAsia="zh-CN"/>
              </w:rPr>
            </w:pPr>
            <w:r w:rsidRPr="00467BE7">
              <w:rPr>
                <w:rFonts w:eastAsia="SimSun"/>
                <w:sz w:val="24"/>
                <w:szCs w:val="24"/>
                <w:lang w:eastAsia="zh-CN"/>
              </w:rPr>
              <w:t>WO/PBC/IM/</w:t>
            </w:r>
            <w:r w:rsidRPr="0004173E">
              <w:rPr>
                <w:rFonts w:eastAsia="SimSun"/>
                <w:sz w:val="24"/>
                <w:szCs w:val="24"/>
                <w:lang w:eastAsia="zh-CN"/>
              </w:rPr>
              <w:t>3</w:t>
            </w:r>
            <w:r w:rsidRPr="00467BE7">
              <w:rPr>
                <w:rFonts w:eastAsia="SimSun"/>
                <w:sz w:val="24"/>
                <w:szCs w:val="24"/>
                <w:lang w:eastAsia="zh-CN"/>
              </w:rPr>
              <w:t>/</w:t>
            </w:r>
            <w:r w:rsidRPr="0004173E">
              <w:rPr>
                <w:rFonts w:eastAsia="SimSun"/>
                <w:sz w:val="24"/>
                <w:szCs w:val="24"/>
                <w:lang w:eastAsia="zh-CN"/>
              </w:rPr>
              <w:t>06</w:t>
            </w:r>
            <w:r w:rsidRPr="00467BE7">
              <w:rPr>
                <w:rFonts w:eastAsia="SimSun"/>
                <w:sz w:val="24"/>
                <w:szCs w:val="24"/>
                <w:lang w:eastAsia="zh-CN"/>
              </w:rPr>
              <w:t>/</w:t>
            </w:r>
            <w:r w:rsidRPr="0004173E">
              <w:rPr>
                <w:rFonts w:eastAsia="SimSun"/>
                <w:sz w:val="24"/>
                <w:szCs w:val="24"/>
                <w:lang w:eastAsia="zh-CN"/>
              </w:rPr>
              <w:t>5</w:t>
            </w:r>
          </w:p>
        </w:tc>
        <w:tc>
          <w:tcPr>
            <w:tcW w:w="1531" w:type="dxa"/>
            <w:vAlign w:val="center"/>
          </w:tcPr>
          <w:p w:rsidR="006C0913" w:rsidRPr="00467BE7" w:rsidRDefault="006C0913" w:rsidP="00343D42">
            <w:pPr>
              <w:pStyle w:val="NormalParaAR"/>
              <w:bidi w:val="0"/>
              <w:spacing w:after="0" w:line="240" w:lineRule="auto"/>
              <w:jc w:val="right"/>
              <w:rPr>
                <w:rFonts w:eastAsia="SimSun"/>
                <w:sz w:val="28"/>
                <w:szCs w:val="28"/>
                <w:lang w:eastAsia="zh-CN"/>
              </w:rPr>
            </w:pPr>
          </w:p>
        </w:tc>
        <w:tc>
          <w:tcPr>
            <w:tcW w:w="1629" w:type="dxa"/>
            <w:vAlign w:val="center"/>
          </w:tcPr>
          <w:p w:rsidR="006C0913" w:rsidRPr="00467BE7" w:rsidRDefault="006C0913" w:rsidP="006C0913">
            <w:pPr>
              <w:bidi/>
              <w:jc w:val="center"/>
              <w:rPr>
                <w:rFonts w:ascii="Arabic Typesetting" w:hAnsi="Arabic Typesetting" w:cs="Arabic Typesetting"/>
                <w:sz w:val="28"/>
                <w:szCs w:val="28"/>
              </w:rPr>
            </w:pPr>
            <w:r w:rsidRPr="00467BE7">
              <w:rPr>
                <w:rFonts w:ascii="Arabic Typesetting" w:hAnsi="Arabic Typesetting" w:cs="Arabic Typesetting"/>
                <w:sz w:val="28"/>
                <w:szCs w:val="28"/>
              </w:rPr>
              <w:t>x</w:t>
            </w:r>
          </w:p>
        </w:tc>
        <w:tc>
          <w:tcPr>
            <w:tcW w:w="1608" w:type="dxa"/>
            <w:vAlign w:val="center"/>
          </w:tcPr>
          <w:p w:rsidR="006C0913" w:rsidRPr="00467BE7" w:rsidRDefault="006C0913" w:rsidP="006C0913">
            <w:pPr>
              <w:pStyle w:val="NormalParaAR"/>
              <w:spacing w:after="0" w:line="240" w:lineRule="auto"/>
              <w:jc w:val="center"/>
              <w:rPr>
                <w:rFonts w:eastAsia="SimSun"/>
                <w:sz w:val="28"/>
                <w:szCs w:val="28"/>
                <w:lang w:eastAsia="zh-CN"/>
              </w:rPr>
            </w:pPr>
          </w:p>
        </w:tc>
      </w:tr>
      <w:tr w:rsidR="00467BE7" w:rsidRPr="00467BE7" w:rsidTr="00EB406F">
        <w:trPr>
          <w:trHeight w:val="397"/>
          <w:jc w:val="center"/>
        </w:trPr>
        <w:tc>
          <w:tcPr>
            <w:tcW w:w="924" w:type="dxa"/>
            <w:tcBorders>
              <w:bottom w:val="nil"/>
            </w:tcBorders>
            <w:vAlign w:val="center"/>
          </w:tcPr>
          <w:p w:rsidR="006C0913" w:rsidRPr="00467BE7" w:rsidRDefault="006C0913" w:rsidP="006C0913">
            <w:pPr>
              <w:pStyle w:val="NormalParaAR"/>
              <w:spacing w:after="0" w:line="240" w:lineRule="auto"/>
              <w:rPr>
                <w:rFonts w:eastAsia="SimSun"/>
                <w:sz w:val="28"/>
                <w:szCs w:val="28"/>
                <w:lang w:eastAsia="zh-CN"/>
              </w:rPr>
            </w:pPr>
            <w:r w:rsidRPr="0004173E">
              <w:rPr>
                <w:rFonts w:eastAsia="SimSun"/>
                <w:sz w:val="28"/>
                <w:szCs w:val="28"/>
                <w:rtl/>
                <w:lang w:eastAsia="zh-CN"/>
              </w:rPr>
              <w:t>2007</w:t>
            </w:r>
          </w:p>
        </w:tc>
        <w:tc>
          <w:tcPr>
            <w:tcW w:w="1559" w:type="dxa"/>
            <w:vAlign w:val="center"/>
          </w:tcPr>
          <w:p w:rsidR="006C0913" w:rsidRPr="00467BE7" w:rsidRDefault="006C0913" w:rsidP="006C0913">
            <w:pPr>
              <w:pStyle w:val="NormalParaAR"/>
              <w:spacing w:after="0" w:line="240" w:lineRule="auto"/>
              <w:rPr>
                <w:rFonts w:eastAsia="SimSun"/>
                <w:sz w:val="28"/>
                <w:szCs w:val="28"/>
                <w:lang w:eastAsia="zh-CN"/>
              </w:rPr>
            </w:pPr>
            <w:r w:rsidRPr="00467BE7">
              <w:rPr>
                <w:rFonts w:eastAsia="SimSun"/>
                <w:sz w:val="28"/>
                <w:szCs w:val="28"/>
                <w:rtl/>
                <w:lang w:eastAsia="zh-CN"/>
              </w:rPr>
              <w:t>يونيو</w:t>
            </w:r>
          </w:p>
        </w:tc>
        <w:tc>
          <w:tcPr>
            <w:tcW w:w="1718" w:type="dxa"/>
            <w:vAlign w:val="center"/>
          </w:tcPr>
          <w:p w:rsidR="006C0913" w:rsidRPr="00467BE7" w:rsidRDefault="006C0913" w:rsidP="00343D42">
            <w:pPr>
              <w:pStyle w:val="NormalParaAR"/>
              <w:bidi w:val="0"/>
              <w:spacing w:after="0" w:line="240" w:lineRule="auto"/>
              <w:jc w:val="right"/>
              <w:rPr>
                <w:rFonts w:eastAsia="SimSun"/>
                <w:sz w:val="28"/>
                <w:szCs w:val="28"/>
                <w:lang w:eastAsia="zh-CN"/>
              </w:rPr>
            </w:pPr>
            <w:r w:rsidRPr="00467BE7">
              <w:rPr>
                <w:rFonts w:eastAsia="SimSun"/>
                <w:sz w:val="28"/>
                <w:szCs w:val="28"/>
                <w:lang w:eastAsia="zh-CN"/>
              </w:rPr>
              <w:t>WO/PBC/</w:t>
            </w:r>
            <w:r w:rsidRPr="0004173E">
              <w:rPr>
                <w:rFonts w:eastAsia="SimSun"/>
                <w:sz w:val="28"/>
                <w:szCs w:val="28"/>
                <w:lang w:eastAsia="zh-CN"/>
              </w:rPr>
              <w:t>11</w:t>
            </w:r>
            <w:r w:rsidRPr="00467BE7">
              <w:rPr>
                <w:rFonts w:eastAsia="SimSun"/>
                <w:sz w:val="28"/>
                <w:szCs w:val="28"/>
                <w:lang w:eastAsia="zh-CN"/>
              </w:rPr>
              <w:t>/</w:t>
            </w:r>
            <w:r w:rsidRPr="0004173E">
              <w:rPr>
                <w:rFonts w:eastAsia="SimSun"/>
                <w:sz w:val="28"/>
                <w:szCs w:val="28"/>
                <w:lang w:eastAsia="zh-CN"/>
              </w:rPr>
              <w:t>13</w:t>
            </w:r>
          </w:p>
        </w:tc>
        <w:tc>
          <w:tcPr>
            <w:tcW w:w="1531" w:type="dxa"/>
            <w:vAlign w:val="center"/>
          </w:tcPr>
          <w:p w:rsidR="006C0913" w:rsidRPr="00467BE7" w:rsidRDefault="006C0913" w:rsidP="00343D42">
            <w:pPr>
              <w:pStyle w:val="NormalParaAR"/>
              <w:bidi w:val="0"/>
              <w:spacing w:after="0" w:line="240" w:lineRule="auto"/>
              <w:jc w:val="right"/>
              <w:rPr>
                <w:rFonts w:eastAsia="SimSun"/>
                <w:sz w:val="28"/>
                <w:szCs w:val="28"/>
                <w:lang w:eastAsia="zh-CN"/>
              </w:rPr>
            </w:pPr>
          </w:p>
        </w:tc>
        <w:tc>
          <w:tcPr>
            <w:tcW w:w="1629" w:type="dxa"/>
            <w:vAlign w:val="center"/>
          </w:tcPr>
          <w:p w:rsidR="006C0913" w:rsidRPr="00467BE7" w:rsidRDefault="006C0913" w:rsidP="006C0913">
            <w:pPr>
              <w:bidi/>
              <w:jc w:val="center"/>
              <w:rPr>
                <w:rFonts w:ascii="Arabic Typesetting" w:hAnsi="Arabic Typesetting" w:cs="Arabic Typesetting"/>
                <w:sz w:val="28"/>
                <w:szCs w:val="28"/>
              </w:rPr>
            </w:pPr>
            <w:r w:rsidRPr="00467BE7">
              <w:rPr>
                <w:rFonts w:ascii="Arabic Typesetting" w:hAnsi="Arabic Typesetting" w:cs="Arabic Typesetting"/>
                <w:sz w:val="28"/>
                <w:szCs w:val="28"/>
              </w:rPr>
              <w:t>x</w:t>
            </w:r>
          </w:p>
        </w:tc>
        <w:tc>
          <w:tcPr>
            <w:tcW w:w="1608" w:type="dxa"/>
            <w:vAlign w:val="center"/>
          </w:tcPr>
          <w:p w:rsidR="006C0913" w:rsidRPr="00467BE7" w:rsidRDefault="006C0913" w:rsidP="006C0913">
            <w:pPr>
              <w:pStyle w:val="NormalParaAR"/>
              <w:spacing w:after="0" w:line="240" w:lineRule="auto"/>
              <w:jc w:val="center"/>
              <w:rPr>
                <w:rFonts w:eastAsia="SimSun"/>
                <w:sz w:val="28"/>
                <w:szCs w:val="28"/>
                <w:lang w:eastAsia="zh-CN"/>
              </w:rPr>
            </w:pPr>
          </w:p>
        </w:tc>
      </w:tr>
      <w:tr w:rsidR="00467BE7" w:rsidRPr="00467BE7" w:rsidTr="00EB406F">
        <w:trPr>
          <w:trHeight w:val="397"/>
          <w:jc w:val="center"/>
        </w:trPr>
        <w:tc>
          <w:tcPr>
            <w:tcW w:w="924" w:type="dxa"/>
            <w:tcBorders>
              <w:top w:val="nil"/>
              <w:bottom w:val="nil"/>
            </w:tcBorders>
            <w:vAlign w:val="center"/>
          </w:tcPr>
          <w:p w:rsidR="006C0913" w:rsidRPr="00467BE7" w:rsidRDefault="006C0913" w:rsidP="006C0913">
            <w:pPr>
              <w:pStyle w:val="NormalParaAR"/>
              <w:spacing w:after="0" w:line="240" w:lineRule="auto"/>
              <w:rPr>
                <w:rFonts w:eastAsia="SimSun"/>
                <w:sz w:val="28"/>
                <w:szCs w:val="28"/>
                <w:lang w:eastAsia="zh-CN"/>
              </w:rPr>
            </w:pPr>
          </w:p>
        </w:tc>
        <w:tc>
          <w:tcPr>
            <w:tcW w:w="1559" w:type="dxa"/>
            <w:vAlign w:val="center"/>
          </w:tcPr>
          <w:p w:rsidR="006C0913" w:rsidRPr="00467BE7" w:rsidRDefault="006C0913" w:rsidP="006C0913">
            <w:pPr>
              <w:pStyle w:val="NormalParaAR"/>
              <w:spacing w:after="0" w:line="240" w:lineRule="auto"/>
              <w:rPr>
                <w:rFonts w:eastAsia="SimSun"/>
                <w:sz w:val="28"/>
                <w:szCs w:val="28"/>
                <w:lang w:eastAsia="zh-CN"/>
              </w:rPr>
            </w:pPr>
            <w:r w:rsidRPr="00467BE7">
              <w:rPr>
                <w:rFonts w:eastAsia="SimSun"/>
                <w:sz w:val="28"/>
                <w:szCs w:val="28"/>
                <w:rtl/>
                <w:lang w:eastAsia="zh-CN"/>
              </w:rPr>
              <w:t>سبتمبر/أكتوبر</w:t>
            </w:r>
          </w:p>
        </w:tc>
        <w:tc>
          <w:tcPr>
            <w:tcW w:w="1718" w:type="dxa"/>
            <w:vAlign w:val="center"/>
          </w:tcPr>
          <w:p w:rsidR="006C0913" w:rsidRPr="00467BE7" w:rsidRDefault="006C0913" w:rsidP="00343D42">
            <w:pPr>
              <w:pStyle w:val="NormalParaAR"/>
              <w:bidi w:val="0"/>
              <w:spacing w:after="0" w:line="240" w:lineRule="auto"/>
              <w:jc w:val="right"/>
              <w:rPr>
                <w:rFonts w:eastAsia="SimSun"/>
                <w:sz w:val="28"/>
                <w:szCs w:val="28"/>
                <w:lang w:eastAsia="zh-CN"/>
              </w:rPr>
            </w:pPr>
            <w:r w:rsidRPr="00467BE7">
              <w:rPr>
                <w:rFonts w:eastAsia="SimSun"/>
                <w:sz w:val="28"/>
                <w:szCs w:val="28"/>
                <w:lang w:eastAsia="zh-CN"/>
              </w:rPr>
              <w:t>WO/PBC/</w:t>
            </w:r>
            <w:r w:rsidRPr="0004173E">
              <w:rPr>
                <w:rFonts w:eastAsia="SimSun"/>
                <w:sz w:val="28"/>
                <w:szCs w:val="28"/>
                <w:lang w:eastAsia="zh-CN"/>
              </w:rPr>
              <w:t>12</w:t>
            </w:r>
            <w:r w:rsidRPr="00467BE7">
              <w:rPr>
                <w:rFonts w:eastAsia="SimSun"/>
                <w:sz w:val="28"/>
                <w:szCs w:val="28"/>
                <w:lang w:eastAsia="zh-CN"/>
              </w:rPr>
              <w:t>/</w:t>
            </w:r>
            <w:r w:rsidRPr="0004173E">
              <w:rPr>
                <w:rFonts w:eastAsia="SimSun"/>
                <w:sz w:val="28"/>
                <w:szCs w:val="28"/>
                <w:lang w:eastAsia="zh-CN"/>
              </w:rPr>
              <w:t>7</w:t>
            </w:r>
          </w:p>
        </w:tc>
        <w:tc>
          <w:tcPr>
            <w:tcW w:w="1531" w:type="dxa"/>
            <w:vAlign w:val="center"/>
          </w:tcPr>
          <w:p w:rsidR="006C0913" w:rsidRPr="00467BE7" w:rsidRDefault="006C0913" w:rsidP="00343D42">
            <w:pPr>
              <w:pStyle w:val="NormalParaAR"/>
              <w:bidi w:val="0"/>
              <w:spacing w:after="0" w:line="240" w:lineRule="auto"/>
              <w:jc w:val="right"/>
              <w:rPr>
                <w:rFonts w:eastAsia="SimSun"/>
                <w:sz w:val="28"/>
                <w:szCs w:val="28"/>
                <w:lang w:eastAsia="zh-CN"/>
              </w:rPr>
            </w:pPr>
            <w:r w:rsidRPr="00467BE7">
              <w:rPr>
                <w:rFonts w:eastAsia="SimSun"/>
                <w:sz w:val="28"/>
                <w:szCs w:val="28"/>
                <w:lang w:eastAsia="zh-CN"/>
              </w:rPr>
              <w:t>WO/GA/</w:t>
            </w:r>
            <w:r w:rsidRPr="0004173E">
              <w:rPr>
                <w:rFonts w:eastAsia="SimSun"/>
                <w:sz w:val="28"/>
                <w:szCs w:val="28"/>
                <w:lang w:eastAsia="zh-CN"/>
              </w:rPr>
              <w:t>34</w:t>
            </w:r>
            <w:r w:rsidRPr="00467BE7">
              <w:rPr>
                <w:rFonts w:eastAsia="SimSun"/>
                <w:sz w:val="28"/>
                <w:szCs w:val="28"/>
                <w:lang w:eastAsia="zh-CN"/>
              </w:rPr>
              <w:t>/</w:t>
            </w:r>
            <w:r w:rsidRPr="0004173E">
              <w:rPr>
                <w:rFonts w:eastAsia="SimSun"/>
                <w:sz w:val="28"/>
                <w:szCs w:val="28"/>
                <w:lang w:eastAsia="zh-CN"/>
              </w:rPr>
              <w:t>11</w:t>
            </w:r>
          </w:p>
        </w:tc>
        <w:tc>
          <w:tcPr>
            <w:tcW w:w="1629" w:type="dxa"/>
            <w:vAlign w:val="center"/>
          </w:tcPr>
          <w:p w:rsidR="006C0913" w:rsidRPr="00467BE7" w:rsidRDefault="006C0913" w:rsidP="006C0913">
            <w:pPr>
              <w:bidi/>
              <w:jc w:val="center"/>
              <w:rPr>
                <w:rFonts w:ascii="Arabic Typesetting" w:hAnsi="Arabic Typesetting" w:cs="Arabic Typesetting"/>
                <w:sz w:val="28"/>
                <w:szCs w:val="28"/>
              </w:rPr>
            </w:pPr>
            <w:r w:rsidRPr="00467BE7">
              <w:rPr>
                <w:rFonts w:ascii="Arabic Typesetting" w:hAnsi="Arabic Typesetting" w:cs="Arabic Typesetting"/>
                <w:sz w:val="28"/>
                <w:szCs w:val="28"/>
              </w:rPr>
              <w:t>x</w:t>
            </w:r>
          </w:p>
        </w:tc>
        <w:tc>
          <w:tcPr>
            <w:tcW w:w="1608" w:type="dxa"/>
            <w:vAlign w:val="center"/>
          </w:tcPr>
          <w:p w:rsidR="006C0913" w:rsidRPr="00467BE7" w:rsidRDefault="006C0913" w:rsidP="006C0913">
            <w:pPr>
              <w:pStyle w:val="NormalParaAR"/>
              <w:spacing w:after="0" w:line="240" w:lineRule="auto"/>
              <w:jc w:val="center"/>
              <w:rPr>
                <w:rFonts w:eastAsia="SimSun"/>
                <w:sz w:val="28"/>
                <w:szCs w:val="28"/>
                <w:lang w:eastAsia="zh-CN"/>
              </w:rPr>
            </w:pPr>
          </w:p>
        </w:tc>
      </w:tr>
      <w:tr w:rsidR="00467BE7" w:rsidRPr="00467BE7" w:rsidTr="00EB406F">
        <w:trPr>
          <w:trHeight w:val="397"/>
          <w:jc w:val="center"/>
        </w:trPr>
        <w:tc>
          <w:tcPr>
            <w:tcW w:w="924" w:type="dxa"/>
            <w:tcBorders>
              <w:bottom w:val="nil"/>
            </w:tcBorders>
            <w:vAlign w:val="center"/>
          </w:tcPr>
          <w:p w:rsidR="006C0913" w:rsidRPr="00467BE7" w:rsidRDefault="006C0913" w:rsidP="006C0913">
            <w:pPr>
              <w:pStyle w:val="NormalParaAR"/>
              <w:spacing w:after="0" w:line="240" w:lineRule="auto"/>
              <w:rPr>
                <w:rFonts w:eastAsia="SimSun"/>
                <w:sz w:val="28"/>
                <w:szCs w:val="28"/>
                <w:lang w:eastAsia="zh-CN"/>
              </w:rPr>
            </w:pPr>
            <w:r w:rsidRPr="0004173E">
              <w:rPr>
                <w:rFonts w:eastAsia="SimSun"/>
                <w:sz w:val="28"/>
                <w:szCs w:val="28"/>
                <w:rtl/>
                <w:lang w:eastAsia="zh-CN"/>
              </w:rPr>
              <w:t>2008</w:t>
            </w:r>
          </w:p>
        </w:tc>
        <w:tc>
          <w:tcPr>
            <w:tcW w:w="1559" w:type="dxa"/>
            <w:vAlign w:val="center"/>
          </w:tcPr>
          <w:p w:rsidR="006C0913" w:rsidRPr="00467BE7" w:rsidRDefault="006C0913" w:rsidP="006C0913">
            <w:pPr>
              <w:pStyle w:val="NormalParaAR"/>
              <w:spacing w:after="0" w:line="240" w:lineRule="auto"/>
              <w:rPr>
                <w:rFonts w:eastAsia="SimSun"/>
                <w:sz w:val="28"/>
                <w:szCs w:val="28"/>
                <w:lang w:eastAsia="zh-CN"/>
              </w:rPr>
            </w:pPr>
            <w:r w:rsidRPr="00467BE7">
              <w:rPr>
                <w:rFonts w:eastAsia="SimSun"/>
                <w:sz w:val="28"/>
                <w:szCs w:val="28"/>
                <w:rtl/>
                <w:lang w:eastAsia="zh-CN"/>
              </w:rPr>
              <w:t>سبتمبر</w:t>
            </w:r>
          </w:p>
        </w:tc>
        <w:tc>
          <w:tcPr>
            <w:tcW w:w="1718" w:type="dxa"/>
            <w:vAlign w:val="center"/>
          </w:tcPr>
          <w:p w:rsidR="006C0913" w:rsidRPr="00467BE7" w:rsidRDefault="006C0913" w:rsidP="00343D42">
            <w:pPr>
              <w:pStyle w:val="NormalParaAR"/>
              <w:bidi w:val="0"/>
              <w:spacing w:after="0" w:line="240" w:lineRule="auto"/>
              <w:jc w:val="right"/>
              <w:rPr>
                <w:rFonts w:eastAsia="SimSun"/>
                <w:sz w:val="28"/>
                <w:szCs w:val="28"/>
                <w:lang w:eastAsia="zh-CN"/>
              </w:rPr>
            </w:pPr>
          </w:p>
        </w:tc>
        <w:tc>
          <w:tcPr>
            <w:tcW w:w="1531" w:type="dxa"/>
            <w:vAlign w:val="center"/>
          </w:tcPr>
          <w:p w:rsidR="006C0913" w:rsidRPr="00467BE7" w:rsidRDefault="006C0913" w:rsidP="00343D42">
            <w:pPr>
              <w:pStyle w:val="NormalParaAR"/>
              <w:bidi w:val="0"/>
              <w:spacing w:after="0" w:line="240" w:lineRule="auto"/>
              <w:jc w:val="right"/>
              <w:rPr>
                <w:rFonts w:eastAsia="SimSun"/>
                <w:sz w:val="28"/>
                <w:szCs w:val="28"/>
                <w:lang w:eastAsia="zh-CN"/>
              </w:rPr>
            </w:pPr>
            <w:r w:rsidRPr="00467BE7">
              <w:rPr>
                <w:rFonts w:eastAsia="SimSun"/>
                <w:sz w:val="28"/>
                <w:szCs w:val="28"/>
                <w:lang w:eastAsia="zh-CN"/>
              </w:rPr>
              <w:t>WO/GA/</w:t>
            </w:r>
            <w:r w:rsidRPr="0004173E">
              <w:rPr>
                <w:rFonts w:eastAsia="SimSun"/>
                <w:sz w:val="28"/>
                <w:szCs w:val="28"/>
                <w:lang w:eastAsia="zh-CN"/>
              </w:rPr>
              <w:t>36</w:t>
            </w:r>
            <w:r w:rsidRPr="00467BE7">
              <w:rPr>
                <w:rFonts w:eastAsia="SimSun"/>
                <w:sz w:val="28"/>
                <w:szCs w:val="28"/>
                <w:lang w:eastAsia="zh-CN"/>
              </w:rPr>
              <w:t>/</w:t>
            </w:r>
            <w:r w:rsidRPr="0004173E">
              <w:rPr>
                <w:rFonts w:eastAsia="SimSun"/>
                <w:sz w:val="28"/>
                <w:szCs w:val="28"/>
                <w:lang w:eastAsia="zh-CN"/>
              </w:rPr>
              <w:t>6</w:t>
            </w:r>
          </w:p>
        </w:tc>
        <w:tc>
          <w:tcPr>
            <w:tcW w:w="1629" w:type="dxa"/>
            <w:vAlign w:val="center"/>
          </w:tcPr>
          <w:p w:rsidR="006C0913" w:rsidRPr="00467BE7" w:rsidRDefault="006C0913" w:rsidP="006C0913">
            <w:pPr>
              <w:bidi/>
              <w:jc w:val="center"/>
              <w:rPr>
                <w:rFonts w:ascii="Arabic Typesetting" w:hAnsi="Arabic Typesetting" w:cs="Arabic Typesetting"/>
                <w:sz w:val="28"/>
                <w:szCs w:val="28"/>
              </w:rPr>
            </w:pPr>
            <w:r w:rsidRPr="00467BE7">
              <w:rPr>
                <w:rFonts w:ascii="Arabic Typesetting" w:hAnsi="Arabic Typesetting" w:cs="Arabic Typesetting"/>
                <w:sz w:val="28"/>
                <w:szCs w:val="28"/>
              </w:rPr>
              <w:t>x</w:t>
            </w:r>
          </w:p>
        </w:tc>
        <w:tc>
          <w:tcPr>
            <w:tcW w:w="1608" w:type="dxa"/>
            <w:vAlign w:val="center"/>
          </w:tcPr>
          <w:p w:rsidR="006C0913" w:rsidRPr="00467BE7" w:rsidRDefault="006C0913" w:rsidP="006C0913">
            <w:pPr>
              <w:pStyle w:val="NormalParaAR"/>
              <w:spacing w:after="0" w:line="240" w:lineRule="auto"/>
              <w:jc w:val="center"/>
              <w:rPr>
                <w:rFonts w:eastAsia="SimSun"/>
                <w:sz w:val="28"/>
                <w:szCs w:val="28"/>
                <w:lang w:eastAsia="zh-CN"/>
              </w:rPr>
            </w:pPr>
          </w:p>
        </w:tc>
      </w:tr>
      <w:tr w:rsidR="00467BE7" w:rsidRPr="00467BE7" w:rsidTr="00EB406F">
        <w:trPr>
          <w:trHeight w:val="397"/>
          <w:jc w:val="center"/>
        </w:trPr>
        <w:tc>
          <w:tcPr>
            <w:tcW w:w="924" w:type="dxa"/>
            <w:tcBorders>
              <w:top w:val="nil"/>
              <w:bottom w:val="nil"/>
            </w:tcBorders>
            <w:vAlign w:val="center"/>
          </w:tcPr>
          <w:p w:rsidR="006C0913" w:rsidRPr="00467BE7" w:rsidRDefault="006C0913" w:rsidP="006C0913">
            <w:pPr>
              <w:pStyle w:val="NormalParaAR"/>
              <w:spacing w:after="0" w:line="240" w:lineRule="auto"/>
              <w:rPr>
                <w:rFonts w:eastAsia="SimSun"/>
                <w:sz w:val="28"/>
                <w:szCs w:val="28"/>
                <w:lang w:eastAsia="zh-CN"/>
              </w:rPr>
            </w:pPr>
          </w:p>
        </w:tc>
        <w:tc>
          <w:tcPr>
            <w:tcW w:w="1559" w:type="dxa"/>
            <w:vAlign w:val="center"/>
          </w:tcPr>
          <w:p w:rsidR="006C0913" w:rsidRPr="00467BE7" w:rsidRDefault="006C0913" w:rsidP="006C0913">
            <w:pPr>
              <w:pStyle w:val="NormalParaAR"/>
              <w:spacing w:after="0" w:line="240" w:lineRule="auto"/>
              <w:rPr>
                <w:rFonts w:eastAsia="SimSun"/>
                <w:sz w:val="28"/>
                <w:szCs w:val="28"/>
                <w:lang w:eastAsia="zh-CN"/>
              </w:rPr>
            </w:pPr>
            <w:r w:rsidRPr="00467BE7">
              <w:rPr>
                <w:rFonts w:eastAsia="SimSun"/>
                <w:sz w:val="28"/>
                <w:szCs w:val="28"/>
                <w:rtl/>
                <w:lang w:eastAsia="zh-CN"/>
              </w:rPr>
              <w:t>ديسمبر</w:t>
            </w:r>
          </w:p>
        </w:tc>
        <w:tc>
          <w:tcPr>
            <w:tcW w:w="1718" w:type="dxa"/>
            <w:vAlign w:val="center"/>
          </w:tcPr>
          <w:p w:rsidR="006C0913" w:rsidRPr="00467BE7" w:rsidRDefault="006C0913" w:rsidP="00343D42">
            <w:pPr>
              <w:pStyle w:val="NormalParaAR"/>
              <w:bidi w:val="0"/>
              <w:spacing w:after="0" w:line="240" w:lineRule="auto"/>
              <w:jc w:val="right"/>
              <w:rPr>
                <w:rFonts w:eastAsia="SimSun"/>
                <w:sz w:val="28"/>
                <w:szCs w:val="28"/>
                <w:lang w:eastAsia="zh-CN"/>
              </w:rPr>
            </w:pPr>
            <w:r w:rsidRPr="00467BE7">
              <w:rPr>
                <w:rFonts w:eastAsia="SimSun"/>
                <w:sz w:val="28"/>
                <w:szCs w:val="28"/>
                <w:lang w:eastAsia="zh-CN"/>
              </w:rPr>
              <w:t>WO/PBC/</w:t>
            </w:r>
            <w:r w:rsidRPr="0004173E">
              <w:rPr>
                <w:rFonts w:eastAsia="SimSun"/>
                <w:sz w:val="28"/>
                <w:szCs w:val="28"/>
                <w:lang w:eastAsia="zh-CN"/>
              </w:rPr>
              <w:t>13</w:t>
            </w:r>
            <w:r w:rsidRPr="00467BE7">
              <w:rPr>
                <w:rFonts w:eastAsia="SimSun"/>
                <w:sz w:val="28"/>
                <w:szCs w:val="28"/>
                <w:lang w:eastAsia="zh-CN"/>
              </w:rPr>
              <w:t>/</w:t>
            </w:r>
            <w:r w:rsidRPr="0004173E">
              <w:rPr>
                <w:rFonts w:eastAsia="SimSun"/>
                <w:sz w:val="28"/>
                <w:szCs w:val="28"/>
                <w:lang w:eastAsia="zh-CN"/>
              </w:rPr>
              <w:t>5</w:t>
            </w:r>
          </w:p>
        </w:tc>
        <w:tc>
          <w:tcPr>
            <w:tcW w:w="1531" w:type="dxa"/>
            <w:vAlign w:val="center"/>
          </w:tcPr>
          <w:p w:rsidR="006C0913" w:rsidRPr="00467BE7" w:rsidRDefault="006C0913" w:rsidP="00343D42">
            <w:pPr>
              <w:pStyle w:val="NormalParaAR"/>
              <w:bidi w:val="0"/>
              <w:spacing w:after="0" w:line="240" w:lineRule="auto"/>
              <w:jc w:val="right"/>
              <w:rPr>
                <w:rFonts w:eastAsia="SimSun"/>
                <w:sz w:val="28"/>
                <w:szCs w:val="28"/>
                <w:lang w:eastAsia="zh-CN"/>
              </w:rPr>
            </w:pPr>
            <w:r w:rsidRPr="00467BE7">
              <w:rPr>
                <w:rFonts w:eastAsia="SimSun"/>
                <w:sz w:val="28"/>
                <w:szCs w:val="28"/>
                <w:lang w:eastAsia="zh-CN"/>
              </w:rPr>
              <w:t>A/</w:t>
            </w:r>
            <w:r w:rsidRPr="0004173E">
              <w:rPr>
                <w:rFonts w:eastAsia="SimSun"/>
                <w:sz w:val="28"/>
                <w:szCs w:val="28"/>
                <w:lang w:eastAsia="zh-CN"/>
              </w:rPr>
              <w:t>46</w:t>
            </w:r>
            <w:r w:rsidRPr="00467BE7">
              <w:rPr>
                <w:rFonts w:eastAsia="SimSun"/>
                <w:sz w:val="28"/>
                <w:szCs w:val="28"/>
                <w:lang w:eastAsia="zh-CN"/>
              </w:rPr>
              <w:t>/</w:t>
            </w:r>
            <w:r w:rsidRPr="0004173E">
              <w:rPr>
                <w:rFonts w:eastAsia="SimSun"/>
                <w:sz w:val="28"/>
                <w:szCs w:val="28"/>
                <w:lang w:eastAsia="zh-CN"/>
              </w:rPr>
              <w:t>5</w:t>
            </w:r>
          </w:p>
        </w:tc>
        <w:tc>
          <w:tcPr>
            <w:tcW w:w="1629" w:type="dxa"/>
            <w:vAlign w:val="center"/>
          </w:tcPr>
          <w:p w:rsidR="006C0913" w:rsidRPr="00467BE7" w:rsidRDefault="006C0913" w:rsidP="006C0913">
            <w:pPr>
              <w:bidi/>
              <w:jc w:val="center"/>
              <w:rPr>
                <w:rFonts w:ascii="Arabic Typesetting" w:hAnsi="Arabic Typesetting" w:cs="Arabic Typesetting"/>
                <w:sz w:val="28"/>
                <w:szCs w:val="28"/>
              </w:rPr>
            </w:pPr>
            <w:r w:rsidRPr="00467BE7">
              <w:rPr>
                <w:rFonts w:ascii="Arabic Typesetting" w:hAnsi="Arabic Typesetting" w:cs="Arabic Typesetting"/>
                <w:sz w:val="28"/>
                <w:szCs w:val="28"/>
              </w:rPr>
              <w:t>x</w:t>
            </w:r>
          </w:p>
        </w:tc>
        <w:tc>
          <w:tcPr>
            <w:tcW w:w="1608" w:type="dxa"/>
            <w:vAlign w:val="center"/>
          </w:tcPr>
          <w:p w:rsidR="006C0913" w:rsidRPr="00467BE7" w:rsidRDefault="006C0913" w:rsidP="006C0913">
            <w:pPr>
              <w:pStyle w:val="NormalParaAR"/>
              <w:spacing w:after="0" w:line="240" w:lineRule="auto"/>
              <w:jc w:val="center"/>
              <w:rPr>
                <w:rFonts w:eastAsia="SimSun"/>
                <w:sz w:val="28"/>
                <w:szCs w:val="28"/>
                <w:lang w:eastAsia="zh-CN"/>
              </w:rPr>
            </w:pPr>
          </w:p>
        </w:tc>
      </w:tr>
      <w:tr w:rsidR="00467BE7" w:rsidRPr="00467BE7" w:rsidTr="00EB406F">
        <w:trPr>
          <w:trHeight w:val="397"/>
          <w:jc w:val="center"/>
        </w:trPr>
        <w:tc>
          <w:tcPr>
            <w:tcW w:w="924" w:type="dxa"/>
            <w:tcBorders>
              <w:top w:val="nil"/>
              <w:bottom w:val="nil"/>
            </w:tcBorders>
            <w:vAlign w:val="center"/>
          </w:tcPr>
          <w:p w:rsidR="000E1F53" w:rsidRPr="00467BE7" w:rsidRDefault="000E1F53" w:rsidP="006C0913">
            <w:pPr>
              <w:pStyle w:val="NormalParaAR"/>
              <w:spacing w:after="0" w:line="240" w:lineRule="auto"/>
              <w:rPr>
                <w:rFonts w:eastAsia="SimSun"/>
                <w:sz w:val="28"/>
                <w:szCs w:val="28"/>
                <w:lang w:eastAsia="zh-CN"/>
              </w:rPr>
            </w:pPr>
          </w:p>
        </w:tc>
        <w:tc>
          <w:tcPr>
            <w:tcW w:w="1559" w:type="dxa"/>
            <w:vAlign w:val="center"/>
          </w:tcPr>
          <w:p w:rsidR="000E1F53" w:rsidRPr="00467BE7" w:rsidRDefault="00EB406F" w:rsidP="006C0913">
            <w:pPr>
              <w:pStyle w:val="NormalParaAR"/>
              <w:spacing w:after="0" w:line="240" w:lineRule="auto"/>
              <w:rPr>
                <w:rFonts w:eastAsia="SimSun"/>
                <w:sz w:val="28"/>
                <w:szCs w:val="28"/>
                <w:lang w:eastAsia="zh-CN"/>
              </w:rPr>
            </w:pPr>
            <w:r w:rsidRPr="00467BE7">
              <w:rPr>
                <w:rFonts w:eastAsia="SimSun"/>
                <w:sz w:val="28"/>
                <w:szCs w:val="28"/>
                <w:rtl/>
                <w:lang w:eastAsia="zh-CN"/>
              </w:rPr>
              <w:t>ديسمبر</w:t>
            </w:r>
          </w:p>
        </w:tc>
        <w:tc>
          <w:tcPr>
            <w:tcW w:w="1718" w:type="dxa"/>
            <w:vAlign w:val="center"/>
          </w:tcPr>
          <w:p w:rsidR="000E1F53" w:rsidRPr="00467BE7" w:rsidRDefault="000E1F53" w:rsidP="00343D42">
            <w:pPr>
              <w:pStyle w:val="NormalParaAR"/>
              <w:bidi w:val="0"/>
              <w:spacing w:after="0" w:line="240" w:lineRule="auto"/>
              <w:jc w:val="right"/>
              <w:rPr>
                <w:rFonts w:eastAsia="SimSun"/>
                <w:sz w:val="28"/>
                <w:szCs w:val="28"/>
                <w:lang w:eastAsia="zh-CN"/>
              </w:rPr>
            </w:pPr>
            <w:r w:rsidRPr="00467BE7">
              <w:rPr>
                <w:rFonts w:eastAsia="SimSun"/>
                <w:sz w:val="28"/>
                <w:szCs w:val="28"/>
                <w:lang w:eastAsia="zh-CN"/>
              </w:rPr>
              <w:t>WO/PBC/</w:t>
            </w:r>
            <w:r w:rsidRPr="0004173E">
              <w:rPr>
                <w:rFonts w:eastAsia="SimSun"/>
                <w:sz w:val="28"/>
                <w:szCs w:val="28"/>
                <w:lang w:eastAsia="zh-CN"/>
              </w:rPr>
              <w:t>13</w:t>
            </w:r>
            <w:r w:rsidRPr="00467BE7">
              <w:rPr>
                <w:rFonts w:eastAsia="SimSun"/>
                <w:sz w:val="28"/>
                <w:szCs w:val="28"/>
                <w:lang w:eastAsia="zh-CN"/>
              </w:rPr>
              <w:t>/</w:t>
            </w:r>
            <w:r w:rsidRPr="0004173E">
              <w:rPr>
                <w:rFonts w:eastAsia="SimSun"/>
                <w:sz w:val="28"/>
                <w:szCs w:val="28"/>
                <w:lang w:eastAsia="zh-CN"/>
              </w:rPr>
              <w:t>6</w:t>
            </w:r>
            <w:r w:rsidRPr="00467BE7">
              <w:rPr>
                <w:rFonts w:eastAsia="SimSun"/>
                <w:sz w:val="28"/>
                <w:szCs w:val="28"/>
                <w:lang w:eastAsia="zh-CN"/>
              </w:rPr>
              <w:t xml:space="preserve"> (b)</w:t>
            </w:r>
          </w:p>
        </w:tc>
        <w:tc>
          <w:tcPr>
            <w:tcW w:w="1531" w:type="dxa"/>
            <w:vAlign w:val="center"/>
          </w:tcPr>
          <w:p w:rsidR="000E1F53" w:rsidRPr="00467BE7" w:rsidRDefault="000E1F53" w:rsidP="00343D42">
            <w:pPr>
              <w:pStyle w:val="NormalParaAR"/>
              <w:bidi w:val="0"/>
              <w:spacing w:after="0" w:line="240" w:lineRule="auto"/>
              <w:jc w:val="right"/>
              <w:rPr>
                <w:rFonts w:eastAsia="SimSun"/>
                <w:sz w:val="28"/>
                <w:szCs w:val="28"/>
                <w:lang w:eastAsia="zh-CN"/>
              </w:rPr>
            </w:pPr>
            <w:r w:rsidRPr="00467BE7">
              <w:rPr>
                <w:rFonts w:eastAsia="SimSun"/>
                <w:sz w:val="28"/>
                <w:szCs w:val="28"/>
                <w:lang w:eastAsia="zh-CN"/>
              </w:rPr>
              <w:t>A/</w:t>
            </w:r>
            <w:r w:rsidRPr="0004173E">
              <w:rPr>
                <w:rFonts w:eastAsia="SimSun"/>
                <w:sz w:val="28"/>
                <w:szCs w:val="28"/>
                <w:lang w:eastAsia="zh-CN"/>
              </w:rPr>
              <w:t>46</w:t>
            </w:r>
            <w:r w:rsidRPr="00467BE7">
              <w:rPr>
                <w:rFonts w:eastAsia="SimSun"/>
                <w:sz w:val="28"/>
                <w:szCs w:val="28"/>
                <w:lang w:eastAsia="zh-CN"/>
              </w:rPr>
              <w:t>/</w:t>
            </w:r>
            <w:r w:rsidRPr="0004173E">
              <w:rPr>
                <w:rFonts w:eastAsia="SimSun"/>
                <w:sz w:val="28"/>
                <w:szCs w:val="28"/>
                <w:lang w:eastAsia="zh-CN"/>
              </w:rPr>
              <w:t>6</w:t>
            </w:r>
            <w:r w:rsidRPr="00467BE7">
              <w:rPr>
                <w:rFonts w:eastAsia="SimSun"/>
                <w:sz w:val="28"/>
                <w:szCs w:val="28"/>
                <w:lang w:eastAsia="zh-CN"/>
              </w:rPr>
              <w:t xml:space="preserve"> (b)</w:t>
            </w:r>
          </w:p>
        </w:tc>
        <w:tc>
          <w:tcPr>
            <w:tcW w:w="1629" w:type="dxa"/>
            <w:vAlign w:val="center"/>
          </w:tcPr>
          <w:p w:rsidR="000E1F53" w:rsidRPr="00467BE7" w:rsidRDefault="00EB406F" w:rsidP="006C0913">
            <w:pPr>
              <w:pStyle w:val="NormalParaAR"/>
              <w:spacing w:after="0" w:line="240" w:lineRule="auto"/>
              <w:rPr>
                <w:rFonts w:eastAsia="SimSun"/>
                <w:sz w:val="28"/>
                <w:szCs w:val="28"/>
                <w:lang w:eastAsia="zh-CN"/>
              </w:rPr>
            </w:pPr>
            <w:r w:rsidRPr="00467BE7">
              <w:rPr>
                <w:rFonts w:eastAsia="SimSun"/>
                <w:sz w:val="28"/>
                <w:szCs w:val="28"/>
                <w:rtl/>
                <w:lang w:eastAsia="zh-CN"/>
              </w:rPr>
              <w:t>الميزانية والتمويل لمشروع البناء الجديد</w:t>
            </w:r>
            <w:r w:rsidRPr="00467BE7">
              <w:rPr>
                <w:rFonts w:eastAsia="SimSun"/>
                <w:sz w:val="28"/>
                <w:szCs w:val="28"/>
                <w:lang w:eastAsia="zh-CN"/>
              </w:rPr>
              <w:t>:</w:t>
            </w:r>
            <w:r w:rsidRPr="00467BE7">
              <w:rPr>
                <w:rFonts w:eastAsia="SimSun"/>
                <w:sz w:val="28"/>
                <w:szCs w:val="28"/>
                <w:rtl/>
                <w:lang w:eastAsia="zh-CN"/>
              </w:rPr>
              <w:t xml:space="preserve"> تحديث وإحكام</w:t>
            </w:r>
          </w:p>
        </w:tc>
        <w:tc>
          <w:tcPr>
            <w:tcW w:w="1608" w:type="dxa"/>
            <w:vAlign w:val="center"/>
          </w:tcPr>
          <w:p w:rsidR="000E1F53" w:rsidRPr="00467BE7" w:rsidRDefault="000E1F53" w:rsidP="006C0913">
            <w:pPr>
              <w:pStyle w:val="NormalParaAR"/>
              <w:spacing w:after="0" w:line="240" w:lineRule="auto"/>
              <w:jc w:val="center"/>
              <w:rPr>
                <w:rFonts w:eastAsia="SimSun"/>
                <w:sz w:val="28"/>
                <w:szCs w:val="28"/>
                <w:lang w:eastAsia="zh-CN"/>
              </w:rPr>
            </w:pPr>
          </w:p>
        </w:tc>
      </w:tr>
      <w:tr w:rsidR="00467BE7" w:rsidRPr="00467BE7" w:rsidTr="00EB406F">
        <w:trPr>
          <w:trHeight w:val="397"/>
          <w:jc w:val="center"/>
        </w:trPr>
        <w:tc>
          <w:tcPr>
            <w:tcW w:w="924" w:type="dxa"/>
            <w:tcBorders>
              <w:top w:val="nil"/>
              <w:bottom w:val="nil"/>
            </w:tcBorders>
            <w:vAlign w:val="center"/>
          </w:tcPr>
          <w:p w:rsidR="006C0913" w:rsidRPr="00467BE7" w:rsidRDefault="006C0913" w:rsidP="006C0913">
            <w:pPr>
              <w:pStyle w:val="NormalParaAR"/>
              <w:spacing w:after="0" w:line="240" w:lineRule="auto"/>
              <w:rPr>
                <w:rFonts w:eastAsia="SimSun"/>
                <w:sz w:val="28"/>
                <w:szCs w:val="28"/>
                <w:lang w:eastAsia="zh-CN"/>
              </w:rPr>
            </w:pPr>
          </w:p>
        </w:tc>
        <w:tc>
          <w:tcPr>
            <w:tcW w:w="1559" w:type="dxa"/>
            <w:vAlign w:val="center"/>
          </w:tcPr>
          <w:p w:rsidR="006C0913" w:rsidRPr="00467BE7" w:rsidRDefault="006C0913" w:rsidP="006C0913">
            <w:pPr>
              <w:pStyle w:val="NormalParaAR"/>
              <w:spacing w:after="0" w:line="240" w:lineRule="auto"/>
              <w:rPr>
                <w:rFonts w:eastAsia="SimSun"/>
                <w:sz w:val="28"/>
                <w:szCs w:val="28"/>
                <w:lang w:eastAsia="zh-CN"/>
              </w:rPr>
            </w:pPr>
            <w:r w:rsidRPr="00467BE7">
              <w:rPr>
                <w:rFonts w:eastAsia="SimSun"/>
                <w:sz w:val="28"/>
                <w:szCs w:val="28"/>
                <w:rtl/>
                <w:lang w:eastAsia="zh-CN"/>
              </w:rPr>
              <w:t>ديسمبر</w:t>
            </w:r>
          </w:p>
        </w:tc>
        <w:tc>
          <w:tcPr>
            <w:tcW w:w="1718" w:type="dxa"/>
            <w:vAlign w:val="center"/>
          </w:tcPr>
          <w:p w:rsidR="006C0913" w:rsidRPr="00467BE7" w:rsidRDefault="006C0913" w:rsidP="00343D42">
            <w:pPr>
              <w:pStyle w:val="NormalParaAR"/>
              <w:bidi w:val="0"/>
              <w:spacing w:after="0" w:line="240" w:lineRule="auto"/>
              <w:jc w:val="right"/>
              <w:rPr>
                <w:rFonts w:eastAsia="SimSun"/>
                <w:sz w:val="28"/>
                <w:szCs w:val="28"/>
                <w:lang w:eastAsia="zh-CN"/>
              </w:rPr>
            </w:pPr>
            <w:r w:rsidRPr="00467BE7">
              <w:rPr>
                <w:rFonts w:eastAsia="SimSun"/>
                <w:sz w:val="28"/>
                <w:szCs w:val="28"/>
                <w:lang w:eastAsia="zh-CN"/>
              </w:rPr>
              <w:t>WO/PBC/</w:t>
            </w:r>
            <w:r w:rsidRPr="0004173E">
              <w:rPr>
                <w:rFonts w:eastAsia="SimSun"/>
                <w:sz w:val="28"/>
                <w:szCs w:val="28"/>
                <w:lang w:eastAsia="zh-CN"/>
              </w:rPr>
              <w:t>13</w:t>
            </w:r>
            <w:r w:rsidRPr="00467BE7">
              <w:rPr>
                <w:rFonts w:eastAsia="SimSun"/>
                <w:sz w:val="28"/>
                <w:szCs w:val="28"/>
                <w:lang w:eastAsia="zh-CN"/>
              </w:rPr>
              <w:t>/</w:t>
            </w:r>
            <w:r w:rsidRPr="0004173E">
              <w:rPr>
                <w:rFonts w:eastAsia="SimSun"/>
                <w:sz w:val="28"/>
                <w:szCs w:val="28"/>
                <w:lang w:eastAsia="zh-CN"/>
              </w:rPr>
              <w:t>6</w:t>
            </w:r>
            <w:r w:rsidRPr="00467BE7">
              <w:rPr>
                <w:rFonts w:eastAsia="SimSun"/>
                <w:sz w:val="28"/>
                <w:szCs w:val="28"/>
                <w:lang w:eastAsia="zh-CN"/>
              </w:rPr>
              <w:t xml:space="preserve"> (c)</w:t>
            </w:r>
          </w:p>
        </w:tc>
        <w:tc>
          <w:tcPr>
            <w:tcW w:w="1531" w:type="dxa"/>
            <w:vAlign w:val="center"/>
          </w:tcPr>
          <w:p w:rsidR="006C0913" w:rsidRPr="00467BE7" w:rsidRDefault="006C0913" w:rsidP="00343D42">
            <w:pPr>
              <w:pStyle w:val="NormalParaAR"/>
              <w:bidi w:val="0"/>
              <w:spacing w:after="0" w:line="240" w:lineRule="auto"/>
              <w:jc w:val="right"/>
              <w:rPr>
                <w:rFonts w:eastAsia="SimSun"/>
                <w:sz w:val="28"/>
                <w:szCs w:val="28"/>
                <w:lang w:eastAsia="zh-CN"/>
              </w:rPr>
            </w:pPr>
            <w:r w:rsidRPr="00467BE7">
              <w:rPr>
                <w:rFonts w:eastAsia="SimSun"/>
                <w:sz w:val="28"/>
                <w:szCs w:val="28"/>
                <w:lang w:eastAsia="zh-CN"/>
              </w:rPr>
              <w:t>A/</w:t>
            </w:r>
            <w:r w:rsidRPr="0004173E">
              <w:rPr>
                <w:rFonts w:eastAsia="SimSun"/>
                <w:sz w:val="28"/>
                <w:szCs w:val="28"/>
                <w:lang w:eastAsia="zh-CN"/>
              </w:rPr>
              <w:t>46</w:t>
            </w:r>
            <w:r w:rsidRPr="00467BE7">
              <w:rPr>
                <w:rFonts w:eastAsia="SimSun"/>
                <w:sz w:val="28"/>
                <w:szCs w:val="28"/>
                <w:lang w:eastAsia="zh-CN"/>
              </w:rPr>
              <w:t>/</w:t>
            </w:r>
            <w:r w:rsidRPr="0004173E">
              <w:rPr>
                <w:rFonts w:eastAsia="SimSun"/>
                <w:sz w:val="28"/>
                <w:szCs w:val="28"/>
                <w:lang w:eastAsia="zh-CN"/>
              </w:rPr>
              <w:t>6</w:t>
            </w:r>
            <w:r w:rsidRPr="00467BE7">
              <w:rPr>
                <w:rFonts w:eastAsia="SimSun"/>
                <w:sz w:val="28"/>
                <w:szCs w:val="28"/>
                <w:lang w:eastAsia="zh-CN"/>
              </w:rPr>
              <w:t xml:space="preserve"> (c)</w:t>
            </w:r>
          </w:p>
        </w:tc>
        <w:tc>
          <w:tcPr>
            <w:tcW w:w="1629" w:type="dxa"/>
            <w:vAlign w:val="center"/>
          </w:tcPr>
          <w:p w:rsidR="006C0913" w:rsidRPr="00467BE7" w:rsidRDefault="006C0913" w:rsidP="006C0913">
            <w:pPr>
              <w:bidi/>
              <w:jc w:val="center"/>
              <w:rPr>
                <w:rFonts w:ascii="Arabic Typesetting" w:hAnsi="Arabic Typesetting" w:cs="Arabic Typesetting"/>
                <w:sz w:val="28"/>
                <w:szCs w:val="28"/>
              </w:rPr>
            </w:pPr>
          </w:p>
        </w:tc>
        <w:tc>
          <w:tcPr>
            <w:tcW w:w="1608" w:type="dxa"/>
            <w:vAlign w:val="center"/>
          </w:tcPr>
          <w:p w:rsidR="006C0913" w:rsidRPr="00467BE7" w:rsidRDefault="006C0913" w:rsidP="006C0913">
            <w:pPr>
              <w:pStyle w:val="NormalParaAR"/>
              <w:spacing w:after="0" w:line="240" w:lineRule="auto"/>
              <w:rPr>
                <w:rFonts w:eastAsia="SimSun"/>
                <w:sz w:val="28"/>
                <w:szCs w:val="28"/>
                <w:lang w:eastAsia="zh-CN"/>
              </w:rPr>
            </w:pPr>
            <w:r w:rsidRPr="00467BE7">
              <w:rPr>
                <w:rFonts w:eastAsia="SimSun"/>
                <w:sz w:val="28"/>
                <w:szCs w:val="28"/>
                <w:rtl/>
                <w:lang w:eastAsia="zh-CN"/>
              </w:rPr>
              <w:t>اقتراح بشأن قاعة جديدة للمؤتمرات</w:t>
            </w:r>
          </w:p>
        </w:tc>
      </w:tr>
      <w:tr w:rsidR="00467BE7" w:rsidRPr="00467BE7" w:rsidTr="00EB406F">
        <w:trPr>
          <w:trHeight w:val="397"/>
          <w:jc w:val="center"/>
        </w:trPr>
        <w:tc>
          <w:tcPr>
            <w:tcW w:w="924" w:type="dxa"/>
            <w:tcBorders>
              <w:bottom w:val="nil"/>
            </w:tcBorders>
            <w:vAlign w:val="center"/>
          </w:tcPr>
          <w:p w:rsidR="006C0913" w:rsidRPr="00467BE7" w:rsidRDefault="006C0913" w:rsidP="006C0913">
            <w:pPr>
              <w:pStyle w:val="NormalParaAR"/>
              <w:spacing w:after="0" w:line="240" w:lineRule="auto"/>
              <w:rPr>
                <w:rFonts w:eastAsia="SimSun"/>
                <w:sz w:val="28"/>
                <w:szCs w:val="28"/>
                <w:lang w:eastAsia="zh-CN"/>
              </w:rPr>
            </w:pPr>
            <w:r w:rsidRPr="0004173E">
              <w:rPr>
                <w:rFonts w:eastAsia="SimSun"/>
                <w:sz w:val="28"/>
                <w:szCs w:val="28"/>
                <w:rtl/>
                <w:lang w:eastAsia="zh-CN"/>
              </w:rPr>
              <w:t>2009</w:t>
            </w:r>
          </w:p>
        </w:tc>
        <w:tc>
          <w:tcPr>
            <w:tcW w:w="1559" w:type="dxa"/>
            <w:vAlign w:val="center"/>
          </w:tcPr>
          <w:p w:rsidR="006C0913" w:rsidRPr="00467BE7" w:rsidRDefault="006C0913" w:rsidP="006C0913">
            <w:pPr>
              <w:pStyle w:val="NormalParaAR"/>
              <w:spacing w:after="0" w:line="240" w:lineRule="auto"/>
              <w:rPr>
                <w:rFonts w:eastAsia="SimSun"/>
                <w:sz w:val="28"/>
                <w:szCs w:val="28"/>
                <w:lang w:eastAsia="zh-CN"/>
              </w:rPr>
            </w:pPr>
            <w:r w:rsidRPr="00467BE7">
              <w:rPr>
                <w:rFonts w:eastAsia="SimSun"/>
                <w:sz w:val="28"/>
                <w:szCs w:val="28"/>
                <w:rtl/>
                <w:lang w:eastAsia="zh-CN"/>
              </w:rPr>
              <w:t>سبتمبر/أكتوبر</w:t>
            </w:r>
          </w:p>
        </w:tc>
        <w:tc>
          <w:tcPr>
            <w:tcW w:w="1718" w:type="dxa"/>
            <w:vAlign w:val="center"/>
          </w:tcPr>
          <w:p w:rsidR="006C0913" w:rsidRPr="00467BE7" w:rsidRDefault="006C0913" w:rsidP="00343D42">
            <w:pPr>
              <w:pStyle w:val="NormalParaAR"/>
              <w:bidi w:val="0"/>
              <w:spacing w:after="0" w:line="240" w:lineRule="auto"/>
              <w:jc w:val="right"/>
              <w:rPr>
                <w:rFonts w:eastAsia="SimSun"/>
                <w:sz w:val="28"/>
                <w:szCs w:val="28"/>
                <w:lang w:eastAsia="zh-CN"/>
              </w:rPr>
            </w:pPr>
            <w:r w:rsidRPr="00467BE7">
              <w:rPr>
                <w:rFonts w:eastAsia="SimSun"/>
                <w:sz w:val="28"/>
                <w:szCs w:val="28"/>
                <w:lang w:eastAsia="zh-CN"/>
              </w:rPr>
              <w:t>WO/PBC/</w:t>
            </w:r>
            <w:r w:rsidRPr="0004173E">
              <w:rPr>
                <w:rFonts w:eastAsia="SimSun"/>
                <w:sz w:val="28"/>
                <w:szCs w:val="28"/>
                <w:lang w:eastAsia="zh-CN"/>
              </w:rPr>
              <w:t>14</w:t>
            </w:r>
            <w:r w:rsidRPr="00467BE7">
              <w:rPr>
                <w:rFonts w:eastAsia="SimSun"/>
                <w:sz w:val="28"/>
                <w:szCs w:val="28"/>
                <w:lang w:eastAsia="zh-CN"/>
              </w:rPr>
              <w:t>/</w:t>
            </w:r>
            <w:r w:rsidRPr="0004173E">
              <w:rPr>
                <w:rFonts w:eastAsia="SimSun"/>
                <w:sz w:val="28"/>
                <w:szCs w:val="28"/>
                <w:lang w:eastAsia="zh-CN"/>
              </w:rPr>
              <w:t>9</w:t>
            </w:r>
          </w:p>
        </w:tc>
        <w:tc>
          <w:tcPr>
            <w:tcW w:w="1531" w:type="dxa"/>
            <w:vAlign w:val="center"/>
          </w:tcPr>
          <w:p w:rsidR="006C0913" w:rsidRPr="00467BE7" w:rsidRDefault="006C0913" w:rsidP="00343D42">
            <w:pPr>
              <w:pStyle w:val="NormalParaAR"/>
              <w:bidi w:val="0"/>
              <w:spacing w:after="0" w:line="240" w:lineRule="auto"/>
              <w:ind w:left="290"/>
              <w:rPr>
                <w:rFonts w:eastAsia="SimSun"/>
                <w:sz w:val="28"/>
                <w:szCs w:val="28"/>
                <w:lang w:eastAsia="zh-CN"/>
              </w:rPr>
            </w:pPr>
            <w:r w:rsidRPr="00467BE7">
              <w:rPr>
                <w:rFonts w:eastAsia="SimSun"/>
                <w:sz w:val="28"/>
                <w:szCs w:val="28"/>
                <w:lang w:eastAsia="zh-CN"/>
              </w:rPr>
              <w:t>A/</w:t>
            </w:r>
            <w:r w:rsidRPr="0004173E">
              <w:rPr>
                <w:rFonts w:eastAsia="SimSun"/>
                <w:sz w:val="28"/>
                <w:szCs w:val="28"/>
                <w:lang w:eastAsia="zh-CN"/>
              </w:rPr>
              <w:t>47</w:t>
            </w:r>
            <w:r w:rsidRPr="00467BE7">
              <w:rPr>
                <w:rFonts w:eastAsia="SimSun"/>
                <w:sz w:val="28"/>
                <w:szCs w:val="28"/>
                <w:lang w:eastAsia="zh-CN"/>
              </w:rPr>
              <w:t>/</w:t>
            </w:r>
            <w:r w:rsidRPr="0004173E">
              <w:rPr>
                <w:rFonts w:eastAsia="SimSun"/>
                <w:sz w:val="28"/>
                <w:szCs w:val="28"/>
                <w:lang w:eastAsia="zh-CN"/>
              </w:rPr>
              <w:t>11</w:t>
            </w:r>
            <w:r w:rsidRPr="00467BE7">
              <w:rPr>
                <w:rFonts w:eastAsia="SimSun"/>
                <w:sz w:val="28"/>
                <w:szCs w:val="28"/>
                <w:lang w:eastAsia="zh-CN"/>
              </w:rPr>
              <w:t xml:space="preserve"> + A/</w:t>
            </w:r>
            <w:r w:rsidRPr="0004173E">
              <w:rPr>
                <w:rFonts w:eastAsia="SimSun"/>
                <w:sz w:val="28"/>
                <w:szCs w:val="28"/>
                <w:lang w:eastAsia="zh-CN"/>
              </w:rPr>
              <w:t>47</w:t>
            </w:r>
            <w:r w:rsidRPr="00467BE7">
              <w:rPr>
                <w:rFonts w:eastAsia="SimSun"/>
                <w:sz w:val="28"/>
                <w:szCs w:val="28"/>
                <w:lang w:eastAsia="zh-CN"/>
              </w:rPr>
              <w:t>/</w:t>
            </w:r>
            <w:r w:rsidRPr="0004173E">
              <w:rPr>
                <w:rFonts w:eastAsia="SimSun"/>
                <w:sz w:val="28"/>
                <w:szCs w:val="28"/>
                <w:lang w:eastAsia="zh-CN"/>
              </w:rPr>
              <w:t>11</w:t>
            </w:r>
            <w:r w:rsidRPr="00467BE7">
              <w:rPr>
                <w:rFonts w:eastAsia="SimSun"/>
                <w:sz w:val="28"/>
                <w:szCs w:val="28"/>
                <w:lang w:eastAsia="zh-CN"/>
              </w:rPr>
              <w:t xml:space="preserve"> Rev</w:t>
            </w:r>
          </w:p>
        </w:tc>
        <w:tc>
          <w:tcPr>
            <w:tcW w:w="1629" w:type="dxa"/>
            <w:vAlign w:val="center"/>
          </w:tcPr>
          <w:p w:rsidR="006C0913" w:rsidRPr="00467BE7" w:rsidRDefault="006C0913" w:rsidP="006C0913">
            <w:pPr>
              <w:bidi/>
              <w:jc w:val="center"/>
              <w:rPr>
                <w:rFonts w:ascii="Arabic Typesetting" w:hAnsi="Arabic Typesetting" w:cs="Arabic Typesetting"/>
                <w:sz w:val="28"/>
                <w:szCs w:val="28"/>
              </w:rPr>
            </w:pPr>
            <w:r w:rsidRPr="00467BE7">
              <w:rPr>
                <w:rFonts w:ascii="Arabic Typesetting" w:hAnsi="Arabic Typesetting" w:cs="Arabic Typesetting"/>
                <w:sz w:val="28"/>
                <w:szCs w:val="28"/>
              </w:rPr>
              <w:t>x</w:t>
            </w:r>
          </w:p>
        </w:tc>
        <w:tc>
          <w:tcPr>
            <w:tcW w:w="1608" w:type="dxa"/>
            <w:vAlign w:val="center"/>
          </w:tcPr>
          <w:p w:rsidR="006C0913" w:rsidRPr="00467BE7" w:rsidRDefault="006C0913" w:rsidP="006C0913">
            <w:pPr>
              <w:pStyle w:val="NormalParaAR"/>
              <w:spacing w:after="0" w:line="240" w:lineRule="auto"/>
              <w:jc w:val="center"/>
              <w:rPr>
                <w:rFonts w:eastAsia="SimSun"/>
                <w:sz w:val="28"/>
                <w:szCs w:val="28"/>
                <w:lang w:eastAsia="zh-CN"/>
              </w:rPr>
            </w:pPr>
          </w:p>
        </w:tc>
      </w:tr>
      <w:tr w:rsidR="00467BE7" w:rsidRPr="00467BE7" w:rsidTr="00EB406F">
        <w:trPr>
          <w:trHeight w:val="397"/>
          <w:jc w:val="center"/>
        </w:trPr>
        <w:tc>
          <w:tcPr>
            <w:tcW w:w="924" w:type="dxa"/>
            <w:tcBorders>
              <w:top w:val="nil"/>
              <w:bottom w:val="nil"/>
            </w:tcBorders>
            <w:vAlign w:val="center"/>
          </w:tcPr>
          <w:p w:rsidR="006C0913" w:rsidRPr="00467BE7" w:rsidRDefault="006C0913" w:rsidP="006C0913">
            <w:pPr>
              <w:pStyle w:val="NormalParaAR"/>
              <w:spacing w:after="0" w:line="240" w:lineRule="auto"/>
              <w:rPr>
                <w:rFonts w:eastAsia="SimSun"/>
                <w:sz w:val="28"/>
                <w:szCs w:val="28"/>
                <w:lang w:eastAsia="zh-CN"/>
              </w:rPr>
            </w:pPr>
          </w:p>
        </w:tc>
        <w:tc>
          <w:tcPr>
            <w:tcW w:w="1559" w:type="dxa"/>
            <w:vAlign w:val="center"/>
          </w:tcPr>
          <w:p w:rsidR="006C0913" w:rsidRPr="00467BE7" w:rsidRDefault="006C0913" w:rsidP="006C0913">
            <w:pPr>
              <w:pStyle w:val="NormalParaAR"/>
              <w:spacing w:after="0" w:line="240" w:lineRule="auto"/>
              <w:rPr>
                <w:rFonts w:eastAsia="SimSun"/>
                <w:sz w:val="28"/>
                <w:szCs w:val="28"/>
                <w:lang w:eastAsia="zh-CN"/>
              </w:rPr>
            </w:pPr>
            <w:r w:rsidRPr="00467BE7">
              <w:rPr>
                <w:rFonts w:eastAsia="SimSun"/>
                <w:sz w:val="28"/>
                <w:szCs w:val="28"/>
                <w:rtl/>
                <w:lang w:eastAsia="zh-CN"/>
              </w:rPr>
              <w:t>سبتمبر/أكتوبر</w:t>
            </w:r>
          </w:p>
        </w:tc>
        <w:tc>
          <w:tcPr>
            <w:tcW w:w="1718" w:type="dxa"/>
            <w:vAlign w:val="center"/>
          </w:tcPr>
          <w:p w:rsidR="006C0913" w:rsidRPr="00467BE7" w:rsidRDefault="006C0913" w:rsidP="00343D42">
            <w:pPr>
              <w:pStyle w:val="NormalParaAR"/>
              <w:bidi w:val="0"/>
              <w:spacing w:after="0" w:line="240" w:lineRule="auto"/>
              <w:jc w:val="right"/>
              <w:rPr>
                <w:rFonts w:eastAsia="SimSun"/>
                <w:sz w:val="28"/>
                <w:szCs w:val="28"/>
                <w:lang w:eastAsia="zh-CN"/>
              </w:rPr>
            </w:pPr>
            <w:r w:rsidRPr="00467BE7">
              <w:rPr>
                <w:rFonts w:eastAsia="SimSun"/>
                <w:sz w:val="28"/>
                <w:szCs w:val="28"/>
                <w:lang w:eastAsia="zh-CN"/>
              </w:rPr>
              <w:t>WO/PBC/</w:t>
            </w:r>
            <w:r w:rsidRPr="0004173E">
              <w:rPr>
                <w:rFonts w:eastAsia="SimSun"/>
                <w:sz w:val="28"/>
                <w:szCs w:val="28"/>
                <w:lang w:eastAsia="zh-CN"/>
              </w:rPr>
              <w:t>14</w:t>
            </w:r>
            <w:r w:rsidRPr="00467BE7">
              <w:rPr>
                <w:rFonts w:eastAsia="SimSun"/>
                <w:sz w:val="28"/>
                <w:szCs w:val="28"/>
                <w:lang w:eastAsia="zh-CN"/>
              </w:rPr>
              <w:t>/</w:t>
            </w:r>
            <w:r w:rsidRPr="0004173E">
              <w:rPr>
                <w:rFonts w:eastAsia="SimSun"/>
                <w:sz w:val="28"/>
                <w:szCs w:val="28"/>
                <w:lang w:eastAsia="zh-CN"/>
              </w:rPr>
              <w:t>10</w:t>
            </w:r>
          </w:p>
        </w:tc>
        <w:tc>
          <w:tcPr>
            <w:tcW w:w="1531" w:type="dxa"/>
            <w:vAlign w:val="center"/>
          </w:tcPr>
          <w:p w:rsidR="006C0913" w:rsidRPr="00467BE7" w:rsidRDefault="006C0913" w:rsidP="00343D42">
            <w:pPr>
              <w:pStyle w:val="NormalParaAR"/>
              <w:bidi w:val="0"/>
              <w:spacing w:after="0" w:line="240" w:lineRule="auto"/>
              <w:jc w:val="right"/>
              <w:rPr>
                <w:rFonts w:eastAsia="SimSun"/>
                <w:sz w:val="28"/>
                <w:szCs w:val="28"/>
                <w:lang w:eastAsia="zh-CN"/>
              </w:rPr>
            </w:pPr>
            <w:r w:rsidRPr="00467BE7">
              <w:rPr>
                <w:rFonts w:eastAsia="SimSun"/>
                <w:sz w:val="28"/>
                <w:szCs w:val="28"/>
                <w:lang w:eastAsia="zh-CN"/>
              </w:rPr>
              <w:t>A/</w:t>
            </w:r>
            <w:r w:rsidRPr="0004173E">
              <w:rPr>
                <w:rFonts w:eastAsia="SimSun"/>
                <w:sz w:val="28"/>
                <w:szCs w:val="28"/>
                <w:lang w:eastAsia="zh-CN"/>
              </w:rPr>
              <w:t>47</w:t>
            </w:r>
            <w:r w:rsidRPr="00467BE7">
              <w:rPr>
                <w:rFonts w:eastAsia="SimSun"/>
                <w:sz w:val="28"/>
                <w:szCs w:val="28"/>
                <w:lang w:eastAsia="zh-CN"/>
              </w:rPr>
              <w:t>/</w:t>
            </w:r>
            <w:r w:rsidRPr="0004173E">
              <w:rPr>
                <w:rFonts w:eastAsia="SimSun"/>
                <w:sz w:val="28"/>
                <w:szCs w:val="28"/>
                <w:lang w:eastAsia="zh-CN"/>
              </w:rPr>
              <w:t>12</w:t>
            </w:r>
          </w:p>
        </w:tc>
        <w:tc>
          <w:tcPr>
            <w:tcW w:w="1629" w:type="dxa"/>
            <w:vAlign w:val="center"/>
          </w:tcPr>
          <w:p w:rsidR="006C0913" w:rsidRPr="00467BE7" w:rsidRDefault="006C0913" w:rsidP="006C0913">
            <w:pPr>
              <w:bidi/>
              <w:jc w:val="center"/>
              <w:rPr>
                <w:rFonts w:ascii="Arabic Typesetting" w:hAnsi="Arabic Typesetting" w:cs="Arabic Typesetting"/>
                <w:sz w:val="28"/>
                <w:szCs w:val="28"/>
              </w:rPr>
            </w:pPr>
          </w:p>
        </w:tc>
        <w:tc>
          <w:tcPr>
            <w:tcW w:w="1608" w:type="dxa"/>
            <w:vAlign w:val="center"/>
          </w:tcPr>
          <w:p w:rsidR="006C0913" w:rsidRPr="00467BE7" w:rsidRDefault="006C0913" w:rsidP="006C0913">
            <w:pPr>
              <w:pStyle w:val="NormalParaAR"/>
              <w:spacing w:after="0" w:line="240" w:lineRule="auto"/>
              <w:rPr>
                <w:rFonts w:eastAsia="SimSun"/>
                <w:sz w:val="28"/>
                <w:szCs w:val="28"/>
                <w:lang w:eastAsia="zh-CN"/>
              </w:rPr>
            </w:pPr>
            <w:r w:rsidRPr="00467BE7">
              <w:rPr>
                <w:rFonts w:eastAsia="SimSun"/>
                <w:sz w:val="28"/>
                <w:szCs w:val="28"/>
                <w:rtl/>
                <w:lang w:eastAsia="zh-CN"/>
              </w:rPr>
              <w:t>اقتراح مفصّل بشأن المرحلة الثانية لمشروع قاعة المؤتمرات الجديدة</w:t>
            </w:r>
          </w:p>
        </w:tc>
      </w:tr>
      <w:tr w:rsidR="00467BE7" w:rsidRPr="00467BE7" w:rsidTr="00EB406F">
        <w:trPr>
          <w:trHeight w:val="397"/>
          <w:jc w:val="center"/>
        </w:trPr>
        <w:tc>
          <w:tcPr>
            <w:tcW w:w="924" w:type="dxa"/>
            <w:tcBorders>
              <w:bottom w:val="nil"/>
            </w:tcBorders>
            <w:vAlign w:val="center"/>
          </w:tcPr>
          <w:p w:rsidR="006C0913" w:rsidRPr="00467BE7" w:rsidRDefault="006C0913" w:rsidP="006C0913">
            <w:pPr>
              <w:pStyle w:val="NormalParaAR"/>
              <w:spacing w:after="0" w:line="240" w:lineRule="auto"/>
              <w:rPr>
                <w:rFonts w:eastAsia="SimSun"/>
                <w:sz w:val="28"/>
                <w:szCs w:val="28"/>
                <w:lang w:eastAsia="zh-CN"/>
              </w:rPr>
            </w:pPr>
            <w:r w:rsidRPr="0004173E">
              <w:rPr>
                <w:rFonts w:eastAsia="SimSun"/>
                <w:sz w:val="28"/>
                <w:szCs w:val="28"/>
                <w:rtl/>
                <w:lang w:eastAsia="zh-CN"/>
              </w:rPr>
              <w:t>2010</w:t>
            </w:r>
          </w:p>
        </w:tc>
        <w:tc>
          <w:tcPr>
            <w:tcW w:w="1559" w:type="dxa"/>
            <w:vAlign w:val="center"/>
          </w:tcPr>
          <w:p w:rsidR="006C0913" w:rsidRPr="00467BE7" w:rsidRDefault="006C0913" w:rsidP="006C0913">
            <w:pPr>
              <w:pStyle w:val="NormalParaAR"/>
              <w:spacing w:after="0" w:line="240" w:lineRule="auto"/>
              <w:rPr>
                <w:rFonts w:eastAsia="SimSun"/>
                <w:sz w:val="28"/>
                <w:szCs w:val="28"/>
                <w:lang w:eastAsia="zh-CN"/>
              </w:rPr>
            </w:pPr>
            <w:r w:rsidRPr="00467BE7">
              <w:rPr>
                <w:rFonts w:eastAsia="SimSun"/>
                <w:sz w:val="28"/>
                <w:szCs w:val="28"/>
                <w:rtl/>
                <w:lang w:eastAsia="zh-CN"/>
              </w:rPr>
              <w:t>سبتمبر</w:t>
            </w:r>
          </w:p>
        </w:tc>
        <w:tc>
          <w:tcPr>
            <w:tcW w:w="1718" w:type="dxa"/>
            <w:vAlign w:val="center"/>
          </w:tcPr>
          <w:p w:rsidR="006C0913" w:rsidRPr="00467BE7" w:rsidRDefault="006C0913" w:rsidP="00343D42">
            <w:pPr>
              <w:pStyle w:val="NormalParaAR"/>
              <w:bidi w:val="0"/>
              <w:spacing w:after="0" w:line="240" w:lineRule="auto"/>
              <w:jc w:val="right"/>
              <w:rPr>
                <w:rFonts w:eastAsia="SimSun"/>
                <w:sz w:val="28"/>
                <w:szCs w:val="28"/>
                <w:lang w:eastAsia="zh-CN"/>
              </w:rPr>
            </w:pPr>
            <w:r w:rsidRPr="00467BE7">
              <w:rPr>
                <w:rFonts w:eastAsia="SimSun"/>
                <w:sz w:val="28"/>
                <w:szCs w:val="28"/>
                <w:lang w:eastAsia="zh-CN"/>
              </w:rPr>
              <w:t>WO/PBC/</w:t>
            </w:r>
            <w:r w:rsidRPr="0004173E">
              <w:rPr>
                <w:rFonts w:eastAsia="SimSun"/>
                <w:sz w:val="28"/>
                <w:szCs w:val="28"/>
                <w:lang w:eastAsia="zh-CN"/>
              </w:rPr>
              <w:t>15</w:t>
            </w:r>
            <w:r w:rsidRPr="00467BE7">
              <w:rPr>
                <w:rFonts w:eastAsia="SimSun"/>
                <w:sz w:val="28"/>
                <w:szCs w:val="28"/>
                <w:lang w:eastAsia="zh-CN"/>
              </w:rPr>
              <w:t>/</w:t>
            </w:r>
            <w:r w:rsidRPr="0004173E">
              <w:rPr>
                <w:rFonts w:eastAsia="SimSun"/>
                <w:sz w:val="28"/>
                <w:szCs w:val="28"/>
                <w:lang w:eastAsia="zh-CN"/>
              </w:rPr>
              <w:t>19</w:t>
            </w:r>
          </w:p>
        </w:tc>
        <w:tc>
          <w:tcPr>
            <w:tcW w:w="1531" w:type="dxa"/>
            <w:vAlign w:val="center"/>
          </w:tcPr>
          <w:p w:rsidR="006C0913" w:rsidRPr="00467BE7" w:rsidRDefault="006C0913" w:rsidP="00343D42">
            <w:pPr>
              <w:pStyle w:val="NormalParaAR"/>
              <w:bidi w:val="0"/>
              <w:spacing w:after="0" w:line="240" w:lineRule="auto"/>
              <w:jc w:val="right"/>
              <w:rPr>
                <w:rFonts w:eastAsia="SimSun"/>
                <w:sz w:val="28"/>
                <w:szCs w:val="28"/>
                <w:lang w:eastAsia="zh-CN"/>
              </w:rPr>
            </w:pPr>
            <w:r w:rsidRPr="00467BE7">
              <w:rPr>
                <w:rFonts w:eastAsia="SimSun"/>
                <w:sz w:val="28"/>
                <w:szCs w:val="28"/>
                <w:lang w:eastAsia="zh-CN"/>
              </w:rPr>
              <w:t>A/</w:t>
            </w:r>
            <w:r w:rsidRPr="0004173E">
              <w:rPr>
                <w:rFonts w:eastAsia="SimSun"/>
                <w:sz w:val="28"/>
                <w:szCs w:val="28"/>
                <w:lang w:eastAsia="zh-CN"/>
              </w:rPr>
              <w:t>48</w:t>
            </w:r>
            <w:r w:rsidRPr="00467BE7">
              <w:rPr>
                <w:rFonts w:eastAsia="SimSun"/>
                <w:sz w:val="28"/>
                <w:szCs w:val="28"/>
                <w:lang w:eastAsia="zh-CN"/>
              </w:rPr>
              <w:t>/</w:t>
            </w:r>
            <w:r w:rsidRPr="0004173E">
              <w:rPr>
                <w:rFonts w:eastAsia="SimSun"/>
                <w:sz w:val="28"/>
                <w:szCs w:val="28"/>
                <w:lang w:eastAsia="zh-CN"/>
              </w:rPr>
              <w:t>19</w:t>
            </w:r>
          </w:p>
        </w:tc>
        <w:tc>
          <w:tcPr>
            <w:tcW w:w="1629" w:type="dxa"/>
            <w:vAlign w:val="center"/>
          </w:tcPr>
          <w:p w:rsidR="006C0913" w:rsidRPr="00467BE7" w:rsidRDefault="006C0913" w:rsidP="006C0913">
            <w:pPr>
              <w:bidi/>
              <w:jc w:val="center"/>
              <w:rPr>
                <w:rFonts w:ascii="Arabic Typesetting" w:hAnsi="Arabic Typesetting" w:cs="Arabic Typesetting"/>
                <w:sz w:val="28"/>
                <w:szCs w:val="28"/>
              </w:rPr>
            </w:pPr>
            <w:r w:rsidRPr="00467BE7">
              <w:rPr>
                <w:rFonts w:ascii="Arabic Typesetting" w:hAnsi="Arabic Typesetting" w:cs="Arabic Typesetting"/>
                <w:sz w:val="28"/>
                <w:szCs w:val="28"/>
              </w:rPr>
              <w:t>x</w:t>
            </w:r>
          </w:p>
        </w:tc>
        <w:tc>
          <w:tcPr>
            <w:tcW w:w="1608" w:type="dxa"/>
            <w:vAlign w:val="center"/>
          </w:tcPr>
          <w:p w:rsidR="006C0913" w:rsidRPr="00467BE7" w:rsidRDefault="006C0913" w:rsidP="006C0913">
            <w:pPr>
              <w:bidi/>
              <w:jc w:val="center"/>
              <w:rPr>
                <w:rFonts w:ascii="Arabic Typesetting" w:hAnsi="Arabic Typesetting" w:cs="Arabic Typesetting"/>
                <w:sz w:val="28"/>
                <w:szCs w:val="28"/>
              </w:rPr>
            </w:pPr>
          </w:p>
        </w:tc>
      </w:tr>
      <w:tr w:rsidR="00467BE7" w:rsidRPr="00467BE7" w:rsidTr="00EB406F">
        <w:trPr>
          <w:trHeight w:val="397"/>
          <w:jc w:val="center"/>
        </w:trPr>
        <w:tc>
          <w:tcPr>
            <w:tcW w:w="924" w:type="dxa"/>
            <w:tcBorders>
              <w:top w:val="nil"/>
              <w:bottom w:val="single" w:sz="4" w:space="0" w:color="auto"/>
            </w:tcBorders>
            <w:vAlign w:val="center"/>
          </w:tcPr>
          <w:p w:rsidR="006C0913" w:rsidRPr="00467BE7" w:rsidRDefault="006C0913" w:rsidP="006C0913">
            <w:pPr>
              <w:pStyle w:val="NormalParaAR"/>
              <w:spacing w:after="0" w:line="240" w:lineRule="auto"/>
              <w:rPr>
                <w:rFonts w:eastAsia="SimSun"/>
                <w:sz w:val="28"/>
                <w:szCs w:val="28"/>
                <w:lang w:eastAsia="zh-CN"/>
              </w:rPr>
            </w:pPr>
          </w:p>
        </w:tc>
        <w:tc>
          <w:tcPr>
            <w:tcW w:w="1559" w:type="dxa"/>
            <w:vAlign w:val="center"/>
          </w:tcPr>
          <w:p w:rsidR="006C0913" w:rsidRPr="00467BE7" w:rsidRDefault="006C0913" w:rsidP="006C0913">
            <w:pPr>
              <w:pStyle w:val="NormalParaAR"/>
              <w:spacing w:after="0" w:line="240" w:lineRule="auto"/>
              <w:rPr>
                <w:rFonts w:eastAsia="SimSun"/>
                <w:sz w:val="28"/>
                <w:szCs w:val="28"/>
                <w:lang w:eastAsia="zh-CN"/>
              </w:rPr>
            </w:pPr>
            <w:r w:rsidRPr="00467BE7">
              <w:rPr>
                <w:rFonts w:eastAsia="SimSun"/>
                <w:sz w:val="28"/>
                <w:szCs w:val="28"/>
                <w:rtl/>
                <w:lang w:eastAsia="zh-CN"/>
              </w:rPr>
              <w:t>سبتمبر</w:t>
            </w:r>
          </w:p>
        </w:tc>
        <w:tc>
          <w:tcPr>
            <w:tcW w:w="1718" w:type="dxa"/>
            <w:vAlign w:val="center"/>
          </w:tcPr>
          <w:p w:rsidR="006C0913" w:rsidRPr="00467BE7" w:rsidRDefault="006C0913" w:rsidP="00343D42">
            <w:pPr>
              <w:pStyle w:val="NormalParaAR"/>
              <w:bidi w:val="0"/>
              <w:spacing w:after="0" w:line="240" w:lineRule="auto"/>
              <w:jc w:val="right"/>
              <w:rPr>
                <w:rFonts w:eastAsia="SimSun"/>
                <w:sz w:val="28"/>
                <w:szCs w:val="28"/>
                <w:lang w:eastAsia="zh-CN"/>
              </w:rPr>
            </w:pPr>
            <w:r w:rsidRPr="00467BE7">
              <w:rPr>
                <w:rFonts w:eastAsia="SimSun"/>
                <w:sz w:val="28"/>
                <w:szCs w:val="28"/>
                <w:lang w:eastAsia="zh-CN"/>
              </w:rPr>
              <w:t>WO/PBC/</w:t>
            </w:r>
            <w:r w:rsidRPr="0004173E">
              <w:rPr>
                <w:rFonts w:eastAsia="SimSun"/>
                <w:sz w:val="28"/>
                <w:szCs w:val="28"/>
                <w:lang w:eastAsia="zh-CN"/>
              </w:rPr>
              <w:t>15</w:t>
            </w:r>
            <w:r w:rsidRPr="00467BE7">
              <w:rPr>
                <w:rFonts w:eastAsia="SimSun"/>
                <w:sz w:val="28"/>
                <w:szCs w:val="28"/>
                <w:lang w:eastAsia="zh-CN"/>
              </w:rPr>
              <w:t>/</w:t>
            </w:r>
            <w:r w:rsidRPr="0004173E">
              <w:rPr>
                <w:rFonts w:eastAsia="SimSun"/>
                <w:sz w:val="28"/>
                <w:szCs w:val="28"/>
                <w:lang w:eastAsia="zh-CN"/>
              </w:rPr>
              <w:t>20</w:t>
            </w:r>
          </w:p>
        </w:tc>
        <w:tc>
          <w:tcPr>
            <w:tcW w:w="1531" w:type="dxa"/>
            <w:vAlign w:val="center"/>
          </w:tcPr>
          <w:p w:rsidR="006C0913" w:rsidRPr="00467BE7" w:rsidRDefault="006C0913" w:rsidP="00343D42">
            <w:pPr>
              <w:pStyle w:val="NormalParaAR"/>
              <w:bidi w:val="0"/>
              <w:spacing w:after="0" w:line="240" w:lineRule="auto"/>
              <w:jc w:val="right"/>
              <w:rPr>
                <w:rFonts w:eastAsia="SimSun"/>
                <w:sz w:val="28"/>
                <w:szCs w:val="28"/>
                <w:lang w:eastAsia="zh-CN"/>
              </w:rPr>
            </w:pPr>
            <w:r w:rsidRPr="00467BE7">
              <w:rPr>
                <w:rFonts w:eastAsia="SimSun"/>
                <w:sz w:val="28"/>
                <w:szCs w:val="28"/>
                <w:lang w:eastAsia="zh-CN"/>
              </w:rPr>
              <w:t>A/</w:t>
            </w:r>
            <w:r w:rsidRPr="0004173E">
              <w:rPr>
                <w:rFonts w:eastAsia="SimSun"/>
                <w:sz w:val="28"/>
                <w:szCs w:val="28"/>
                <w:lang w:eastAsia="zh-CN"/>
              </w:rPr>
              <w:t>48</w:t>
            </w:r>
            <w:r w:rsidRPr="00467BE7">
              <w:rPr>
                <w:rFonts w:eastAsia="SimSun"/>
                <w:sz w:val="28"/>
                <w:szCs w:val="28"/>
                <w:lang w:eastAsia="zh-CN"/>
              </w:rPr>
              <w:t>/</w:t>
            </w:r>
            <w:r w:rsidRPr="0004173E">
              <w:rPr>
                <w:rFonts w:eastAsia="SimSun"/>
                <w:sz w:val="28"/>
                <w:szCs w:val="28"/>
                <w:lang w:eastAsia="zh-CN"/>
              </w:rPr>
              <w:t>22</w:t>
            </w:r>
          </w:p>
        </w:tc>
        <w:tc>
          <w:tcPr>
            <w:tcW w:w="1629" w:type="dxa"/>
            <w:vAlign w:val="center"/>
          </w:tcPr>
          <w:p w:rsidR="006C0913" w:rsidRPr="00467BE7" w:rsidRDefault="006C0913" w:rsidP="006C0913">
            <w:pPr>
              <w:bidi/>
              <w:jc w:val="center"/>
              <w:rPr>
                <w:rFonts w:ascii="Arabic Typesetting" w:hAnsi="Arabic Typesetting" w:cs="Arabic Typesetting"/>
                <w:sz w:val="28"/>
                <w:szCs w:val="28"/>
              </w:rPr>
            </w:pPr>
          </w:p>
        </w:tc>
        <w:tc>
          <w:tcPr>
            <w:tcW w:w="1608" w:type="dxa"/>
            <w:vAlign w:val="center"/>
          </w:tcPr>
          <w:p w:rsidR="006C0913" w:rsidRPr="00467BE7" w:rsidRDefault="006C0913" w:rsidP="006C0913">
            <w:pPr>
              <w:bidi/>
              <w:jc w:val="center"/>
              <w:rPr>
                <w:rFonts w:ascii="Arabic Typesetting" w:hAnsi="Arabic Typesetting" w:cs="Arabic Typesetting"/>
                <w:sz w:val="28"/>
                <w:szCs w:val="28"/>
              </w:rPr>
            </w:pPr>
            <w:r w:rsidRPr="00467BE7">
              <w:rPr>
                <w:rFonts w:ascii="Arabic Typesetting" w:hAnsi="Arabic Typesetting" w:cs="Arabic Typesetting"/>
                <w:sz w:val="28"/>
                <w:szCs w:val="28"/>
              </w:rPr>
              <w:t>x</w:t>
            </w:r>
          </w:p>
        </w:tc>
      </w:tr>
      <w:tr w:rsidR="00467BE7" w:rsidRPr="00467BE7" w:rsidTr="00EB406F">
        <w:trPr>
          <w:trHeight w:val="397"/>
          <w:jc w:val="center"/>
        </w:trPr>
        <w:tc>
          <w:tcPr>
            <w:tcW w:w="924" w:type="dxa"/>
            <w:tcBorders>
              <w:bottom w:val="nil"/>
            </w:tcBorders>
            <w:vAlign w:val="center"/>
          </w:tcPr>
          <w:p w:rsidR="006C0913" w:rsidRPr="00467BE7" w:rsidRDefault="006C0913" w:rsidP="006C0913">
            <w:pPr>
              <w:pStyle w:val="NormalParaAR"/>
              <w:spacing w:after="0" w:line="240" w:lineRule="auto"/>
              <w:rPr>
                <w:rFonts w:eastAsia="SimSun"/>
                <w:sz w:val="28"/>
                <w:szCs w:val="28"/>
                <w:lang w:eastAsia="zh-CN"/>
              </w:rPr>
            </w:pPr>
            <w:r w:rsidRPr="0004173E">
              <w:rPr>
                <w:rFonts w:eastAsia="SimSun"/>
                <w:sz w:val="28"/>
                <w:szCs w:val="28"/>
                <w:rtl/>
                <w:lang w:eastAsia="zh-CN"/>
              </w:rPr>
              <w:t>2011</w:t>
            </w:r>
          </w:p>
        </w:tc>
        <w:tc>
          <w:tcPr>
            <w:tcW w:w="1559" w:type="dxa"/>
            <w:vAlign w:val="center"/>
          </w:tcPr>
          <w:p w:rsidR="006C0913" w:rsidRPr="00467BE7" w:rsidRDefault="006C0913" w:rsidP="006C0913">
            <w:pPr>
              <w:pStyle w:val="NormalParaAR"/>
              <w:spacing w:after="0" w:line="240" w:lineRule="auto"/>
              <w:rPr>
                <w:rFonts w:eastAsia="SimSun"/>
                <w:sz w:val="28"/>
                <w:szCs w:val="28"/>
                <w:lang w:eastAsia="zh-CN"/>
              </w:rPr>
            </w:pPr>
            <w:r w:rsidRPr="00467BE7">
              <w:rPr>
                <w:rFonts w:eastAsia="SimSun"/>
                <w:sz w:val="28"/>
                <w:szCs w:val="28"/>
                <w:rtl/>
                <w:lang w:eastAsia="zh-CN"/>
              </w:rPr>
              <w:t>سبتمبر/أكتوبر</w:t>
            </w:r>
          </w:p>
        </w:tc>
        <w:tc>
          <w:tcPr>
            <w:tcW w:w="1718" w:type="dxa"/>
            <w:vAlign w:val="center"/>
          </w:tcPr>
          <w:p w:rsidR="006C0913" w:rsidRPr="00467BE7" w:rsidRDefault="006C0913" w:rsidP="00343D42">
            <w:pPr>
              <w:pStyle w:val="NormalParaAR"/>
              <w:bidi w:val="0"/>
              <w:spacing w:after="0" w:line="240" w:lineRule="auto"/>
              <w:jc w:val="right"/>
              <w:rPr>
                <w:rFonts w:eastAsia="SimSun"/>
                <w:sz w:val="28"/>
                <w:szCs w:val="28"/>
                <w:lang w:eastAsia="zh-CN"/>
              </w:rPr>
            </w:pPr>
            <w:r w:rsidRPr="00467BE7">
              <w:rPr>
                <w:rFonts w:eastAsia="SimSun"/>
                <w:sz w:val="28"/>
                <w:szCs w:val="28"/>
                <w:lang w:eastAsia="zh-CN"/>
              </w:rPr>
              <w:t>WO/PBC/</w:t>
            </w:r>
            <w:r w:rsidRPr="0004173E">
              <w:rPr>
                <w:rFonts w:eastAsia="SimSun"/>
                <w:sz w:val="28"/>
                <w:szCs w:val="28"/>
                <w:lang w:eastAsia="zh-CN"/>
              </w:rPr>
              <w:t>18</w:t>
            </w:r>
            <w:r w:rsidRPr="00467BE7">
              <w:rPr>
                <w:rFonts w:eastAsia="SimSun"/>
                <w:sz w:val="28"/>
                <w:szCs w:val="28"/>
                <w:lang w:eastAsia="zh-CN"/>
              </w:rPr>
              <w:t>/</w:t>
            </w:r>
            <w:r w:rsidRPr="0004173E">
              <w:rPr>
                <w:rFonts w:eastAsia="SimSun"/>
                <w:sz w:val="28"/>
                <w:szCs w:val="28"/>
                <w:lang w:eastAsia="zh-CN"/>
              </w:rPr>
              <w:t>9</w:t>
            </w:r>
          </w:p>
        </w:tc>
        <w:tc>
          <w:tcPr>
            <w:tcW w:w="1531" w:type="dxa"/>
            <w:vAlign w:val="center"/>
          </w:tcPr>
          <w:p w:rsidR="006C0913" w:rsidRPr="00467BE7" w:rsidRDefault="006C0913" w:rsidP="00343D42">
            <w:pPr>
              <w:pStyle w:val="NormalParaAR"/>
              <w:bidi w:val="0"/>
              <w:spacing w:after="0" w:line="240" w:lineRule="auto"/>
              <w:jc w:val="right"/>
              <w:rPr>
                <w:rFonts w:eastAsia="SimSun"/>
                <w:sz w:val="28"/>
                <w:szCs w:val="28"/>
                <w:lang w:eastAsia="zh-CN"/>
              </w:rPr>
            </w:pPr>
            <w:r w:rsidRPr="00467BE7">
              <w:rPr>
                <w:rFonts w:eastAsia="SimSun"/>
                <w:sz w:val="28"/>
                <w:szCs w:val="28"/>
                <w:lang w:eastAsia="zh-CN"/>
              </w:rPr>
              <w:t>A/</w:t>
            </w:r>
            <w:r w:rsidRPr="0004173E">
              <w:rPr>
                <w:rFonts w:eastAsia="SimSun"/>
                <w:sz w:val="28"/>
                <w:szCs w:val="28"/>
                <w:lang w:eastAsia="zh-CN"/>
              </w:rPr>
              <w:t>49</w:t>
            </w:r>
            <w:r w:rsidRPr="00467BE7">
              <w:rPr>
                <w:rFonts w:eastAsia="SimSun"/>
                <w:sz w:val="28"/>
                <w:szCs w:val="28"/>
                <w:lang w:eastAsia="zh-CN"/>
              </w:rPr>
              <w:t>/</w:t>
            </w:r>
            <w:r w:rsidRPr="0004173E">
              <w:rPr>
                <w:rFonts w:eastAsia="SimSun"/>
                <w:sz w:val="28"/>
                <w:szCs w:val="28"/>
                <w:lang w:eastAsia="zh-CN"/>
              </w:rPr>
              <w:t>11</w:t>
            </w:r>
          </w:p>
        </w:tc>
        <w:tc>
          <w:tcPr>
            <w:tcW w:w="1629" w:type="dxa"/>
            <w:vAlign w:val="center"/>
          </w:tcPr>
          <w:p w:rsidR="006C0913" w:rsidRPr="00467BE7" w:rsidRDefault="006C0913" w:rsidP="006C0913">
            <w:pPr>
              <w:bidi/>
              <w:jc w:val="center"/>
              <w:rPr>
                <w:rFonts w:ascii="Arabic Typesetting" w:hAnsi="Arabic Typesetting" w:cs="Arabic Typesetting"/>
                <w:sz w:val="28"/>
                <w:szCs w:val="28"/>
              </w:rPr>
            </w:pPr>
            <w:r w:rsidRPr="00467BE7">
              <w:rPr>
                <w:rFonts w:ascii="Arabic Typesetting" w:hAnsi="Arabic Typesetting" w:cs="Arabic Typesetting"/>
                <w:sz w:val="28"/>
                <w:szCs w:val="28"/>
              </w:rPr>
              <w:t>x</w:t>
            </w:r>
          </w:p>
        </w:tc>
        <w:tc>
          <w:tcPr>
            <w:tcW w:w="1608" w:type="dxa"/>
            <w:vAlign w:val="center"/>
          </w:tcPr>
          <w:p w:rsidR="006C0913" w:rsidRPr="00467BE7" w:rsidRDefault="006C0913" w:rsidP="006C0913">
            <w:pPr>
              <w:bidi/>
              <w:jc w:val="center"/>
              <w:rPr>
                <w:rFonts w:ascii="Arabic Typesetting" w:hAnsi="Arabic Typesetting" w:cs="Arabic Typesetting"/>
                <w:sz w:val="28"/>
                <w:szCs w:val="28"/>
              </w:rPr>
            </w:pPr>
          </w:p>
        </w:tc>
      </w:tr>
      <w:tr w:rsidR="00467BE7" w:rsidRPr="00467BE7" w:rsidTr="00EB406F">
        <w:trPr>
          <w:trHeight w:val="397"/>
          <w:jc w:val="center"/>
        </w:trPr>
        <w:tc>
          <w:tcPr>
            <w:tcW w:w="924" w:type="dxa"/>
            <w:tcBorders>
              <w:top w:val="nil"/>
              <w:bottom w:val="single" w:sz="4" w:space="0" w:color="auto"/>
            </w:tcBorders>
            <w:vAlign w:val="center"/>
          </w:tcPr>
          <w:p w:rsidR="006C0913" w:rsidRPr="00467BE7" w:rsidRDefault="006C0913" w:rsidP="006C0913">
            <w:pPr>
              <w:pStyle w:val="NormalParaAR"/>
              <w:spacing w:after="0" w:line="240" w:lineRule="auto"/>
              <w:rPr>
                <w:rFonts w:eastAsia="SimSun"/>
                <w:sz w:val="28"/>
                <w:szCs w:val="28"/>
                <w:lang w:eastAsia="zh-CN"/>
              </w:rPr>
            </w:pPr>
          </w:p>
        </w:tc>
        <w:tc>
          <w:tcPr>
            <w:tcW w:w="1559" w:type="dxa"/>
            <w:vAlign w:val="center"/>
          </w:tcPr>
          <w:p w:rsidR="006C0913" w:rsidRPr="00467BE7" w:rsidRDefault="006C0913" w:rsidP="006C0913">
            <w:pPr>
              <w:pStyle w:val="NormalParaAR"/>
              <w:spacing w:after="0" w:line="240" w:lineRule="auto"/>
              <w:rPr>
                <w:rFonts w:eastAsia="SimSun"/>
                <w:sz w:val="28"/>
                <w:szCs w:val="28"/>
                <w:lang w:eastAsia="zh-CN"/>
              </w:rPr>
            </w:pPr>
            <w:r w:rsidRPr="00467BE7">
              <w:rPr>
                <w:rFonts w:eastAsia="SimSun"/>
                <w:sz w:val="28"/>
                <w:szCs w:val="28"/>
                <w:rtl/>
                <w:lang w:eastAsia="zh-CN"/>
              </w:rPr>
              <w:t>سبتمبر/أكتوبر</w:t>
            </w:r>
          </w:p>
        </w:tc>
        <w:tc>
          <w:tcPr>
            <w:tcW w:w="1718" w:type="dxa"/>
            <w:vAlign w:val="center"/>
          </w:tcPr>
          <w:p w:rsidR="006C0913" w:rsidRPr="00467BE7" w:rsidRDefault="006C0913" w:rsidP="00343D42">
            <w:pPr>
              <w:pStyle w:val="NormalParaAR"/>
              <w:bidi w:val="0"/>
              <w:spacing w:after="0" w:line="240" w:lineRule="auto"/>
              <w:jc w:val="right"/>
              <w:rPr>
                <w:rFonts w:eastAsia="SimSun"/>
                <w:sz w:val="28"/>
                <w:szCs w:val="28"/>
                <w:lang w:eastAsia="zh-CN"/>
              </w:rPr>
            </w:pPr>
            <w:r w:rsidRPr="00467BE7">
              <w:rPr>
                <w:rFonts w:eastAsia="SimSun"/>
                <w:sz w:val="28"/>
                <w:szCs w:val="28"/>
                <w:lang w:eastAsia="zh-CN"/>
              </w:rPr>
              <w:t>WO/PBC/</w:t>
            </w:r>
            <w:r w:rsidRPr="0004173E">
              <w:rPr>
                <w:rFonts w:eastAsia="SimSun"/>
                <w:sz w:val="28"/>
                <w:szCs w:val="28"/>
                <w:lang w:eastAsia="zh-CN"/>
              </w:rPr>
              <w:t>18</w:t>
            </w:r>
            <w:r w:rsidRPr="00467BE7">
              <w:rPr>
                <w:rFonts w:eastAsia="SimSun"/>
                <w:sz w:val="28"/>
                <w:szCs w:val="28"/>
                <w:lang w:eastAsia="zh-CN"/>
              </w:rPr>
              <w:t>/</w:t>
            </w:r>
            <w:r w:rsidRPr="0004173E">
              <w:rPr>
                <w:rFonts w:eastAsia="SimSun"/>
                <w:sz w:val="28"/>
                <w:szCs w:val="28"/>
                <w:lang w:eastAsia="zh-CN"/>
              </w:rPr>
              <w:t>10</w:t>
            </w:r>
          </w:p>
        </w:tc>
        <w:tc>
          <w:tcPr>
            <w:tcW w:w="1531" w:type="dxa"/>
            <w:vAlign w:val="center"/>
          </w:tcPr>
          <w:p w:rsidR="006C0913" w:rsidRPr="00467BE7" w:rsidRDefault="006C0913" w:rsidP="00343D42">
            <w:pPr>
              <w:pStyle w:val="NormalParaAR"/>
              <w:bidi w:val="0"/>
              <w:spacing w:after="0" w:line="240" w:lineRule="auto"/>
              <w:jc w:val="right"/>
              <w:rPr>
                <w:rFonts w:eastAsia="SimSun"/>
                <w:sz w:val="28"/>
                <w:szCs w:val="28"/>
                <w:lang w:eastAsia="zh-CN"/>
              </w:rPr>
            </w:pPr>
            <w:r w:rsidRPr="00467BE7">
              <w:rPr>
                <w:rFonts w:eastAsia="SimSun"/>
                <w:sz w:val="28"/>
                <w:szCs w:val="28"/>
                <w:lang w:eastAsia="zh-CN"/>
              </w:rPr>
              <w:t>A/</w:t>
            </w:r>
            <w:r w:rsidRPr="0004173E">
              <w:rPr>
                <w:rFonts w:eastAsia="SimSun"/>
                <w:sz w:val="28"/>
                <w:szCs w:val="28"/>
                <w:lang w:eastAsia="zh-CN"/>
              </w:rPr>
              <w:t>49</w:t>
            </w:r>
            <w:r w:rsidRPr="00467BE7">
              <w:rPr>
                <w:rFonts w:eastAsia="SimSun"/>
                <w:sz w:val="28"/>
                <w:szCs w:val="28"/>
                <w:lang w:eastAsia="zh-CN"/>
              </w:rPr>
              <w:t>/</w:t>
            </w:r>
            <w:r w:rsidRPr="0004173E">
              <w:rPr>
                <w:rFonts w:eastAsia="SimSun"/>
                <w:sz w:val="28"/>
                <w:szCs w:val="28"/>
                <w:lang w:eastAsia="zh-CN"/>
              </w:rPr>
              <w:t>12</w:t>
            </w:r>
          </w:p>
        </w:tc>
        <w:tc>
          <w:tcPr>
            <w:tcW w:w="1629" w:type="dxa"/>
            <w:vAlign w:val="center"/>
          </w:tcPr>
          <w:p w:rsidR="006C0913" w:rsidRPr="00467BE7" w:rsidRDefault="006C0913" w:rsidP="006C0913">
            <w:pPr>
              <w:bidi/>
              <w:jc w:val="center"/>
              <w:rPr>
                <w:rFonts w:ascii="Arabic Typesetting" w:hAnsi="Arabic Typesetting" w:cs="Arabic Typesetting"/>
                <w:sz w:val="28"/>
                <w:szCs w:val="28"/>
              </w:rPr>
            </w:pPr>
          </w:p>
        </w:tc>
        <w:tc>
          <w:tcPr>
            <w:tcW w:w="1608" w:type="dxa"/>
            <w:vAlign w:val="center"/>
          </w:tcPr>
          <w:p w:rsidR="006C0913" w:rsidRPr="00467BE7" w:rsidRDefault="006C0913" w:rsidP="006C0913">
            <w:pPr>
              <w:bidi/>
              <w:jc w:val="center"/>
              <w:rPr>
                <w:rFonts w:ascii="Arabic Typesetting" w:hAnsi="Arabic Typesetting" w:cs="Arabic Typesetting"/>
                <w:sz w:val="28"/>
                <w:szCs w:val="28"/>
              </w:rPr>
            </w:pPr>
            <w:r w:rsidRPr="00467BE7">
              <w:rPr>
                <w:rFonts w:ascii="Arabic Typesetting" w:hAnsi="Arabic Typesetting" w:cs="Arabic Typesetting"/>
                <w:sz w:val="28"/>
                <w:szCs w:val="28"/>
              </w:rPr>
              <w:t>x</w:t>
            </w:r>
          </w:p>
        </w:tc>
      </w:tr>
      <w:tr w:rsidR="00467BE7" w:rsidRPr="00467BE7" w:rsidTr="00EB406F">
        <w:trPr>
          <w:trHeight w:val="397"/>
          <w:jc w:val="center"/>
        </w:trPr>
        <w:tc>
          <w:tcPr>
            <w:tcW w:w="924" w:type="dxa"/>
            <w:tcBorders>
              <w:top w:val="single" w:sz="4" w:space="0" w:color="auto"/>
              <w:bottom w:val="nil"/>
            </w:tcBorders>
            <w:vAlign w:val="center"/>
          </w:tcPr>
          <w:p w:rsidR="006C0913" w:rsidRPr="00467BE7" w:rsidRDefault="006C0913" w:rsidP="006C0913">
            <w:pPr>
              <w:pStyle w:val="NormalParaAR"/>
              <w:spacing w:after="0" w:line="240" w:lineRule="auto"/>
              <w:rPr>
                <w:rFonts w:eastAsia="SimSun"/>
                <w:sz w:val="28"/>
                <w:szCs w:val="28"/>
                <w:lang w:eastAsia="zh-CN"/>
              </w:rPr>
            </w:pPr>
            <w:r w:rsidRPr="0004173E">
              <w:rPr>
                <w:rFonts w:eastAsia="SimSun"/>
                <w:sz w:val="28"/>
                <w:szCs w:val="28"/>
                <w:rtl/>
                <w:lang w:eastAsia="zh-CN"/>
              </w:rPr>
              <w:t>2012</w:t>
            </w:r>
          </w:p>
        </w:tc>
        <w:tc>
          <w:tcPr>
            <w:tcW w:w="1559" w:type="dxa"/>
            <w:vAlign w:val="center"/>
          </w:tcPr>
          <w:p w:rsidR="006C0913" w:rsidRPr="00467BE7" w:rsidRDefault="006C0913" w:rsidP="006C0913">
            <w:pPr>
              <w:pStyle w:val="NormalParaAR"/>
              <w:spacing w:after="0" w:line="240" w:lineRule="auto"/>
              <w:rPr>
                <w:rFonts w:eastAsia="SimSun"/>
                <w:sz w:val="28"/>
                <w:szCs w:val="28"/>
                <w:lang w:eastAsia="zh-CN"/>
              </w:rPr>
            </w:pPr>
            <w:r w:rsidRPr="00467BE7">
              <w:rPr>
                <w:rFonts w:eastAsia="SimSun"/>
                <w:sz w:val="28"/>
                <w:szCs w:val="28"/>
                <w:rtl/>
                <w:lang w:eastAsia="zh-CN"/>
              </w:rPr>
              <w:t>سبتمبر/أكتوبر</w:t>
            </w:r>
          </w:p>
        </w:tc>
        <w:tc>
          <w:tcPr>
            <w:tcW w:w="1718" w:type="dxa"/>
            <w:vAlign w:val="center"/>
          </w:tcPr>
          <w:p w:rsidR="006C0913" w:rsidRPr="00467BE7" w:rsidRDefault="006C0913" w:rsidP="00343D42">
            <w:pPr>
              <w:pStyle w:val="NormalParaAR"/>
              <w:bidi w:val="0"/>
              <w:spacing w:after="0" w:line="240" w:lineRule="auto"/>
              <w:jc w:val="right"/>
              <w:rPr>
                <w:rFonts w:eastAsia="SimSun"/>
                <w:sz w:val="28"/>
                <w:szCs w:val="28"/>
                <w:lang w:eastAsia="zh-CN"/>
              </w:rPr>
            </w:pPr>
            <w:r w:rsidRPr="00467BE7">
              <w:rPr>
                <w:rFonts w:eastAsia="SimSun"/>
                <w:sz w:val="28"/>
                <w:szCs w:val="28"/>
                <w:lang w:eastAsia="zh-CN"/>
              </w:rPr>
              <w:t>WO/PBC/</w:t>
            </w:r>
            <w:r w:rsidRPr="0004173E">
              <w:rPr>
                <w:rFonts w:eastAsia="SimSun"/>
                <w:sz w:val="28"/>
                <w:szCs w:val="28"/>
                <w:lang w:eastAsia="zh-CN"/>
              </w:rPr>
              <w:t>19</w:t>
            </w:r>
            <w:r w:rsidRPr="00467BE7">
              <w:rPr>
                <w:rFonts w:eastAsia="SimSun"/>
                <w:sz w:val="28"/>
                <w:szCs w:val="28"/>
                <w:lang w:eastAsia="zh-CN"/>
              </w:rPr>
              <w:t>/</w:t>
            </w:r>
            <w:r w:rsidRPr="0004173E">
              <w:rPr>
                <w:rFonts w:eastAsia="SimSun"/>
                <w:sz w:val="28"/>
                <w:szCs w:val="28"/>
                <w:lang w:eastAsia="zh-CN"/>
              </w:rPr>
              <w:t>12</w:t>
            </w:r>
          </w:p>
        </w:tc>
        <w:tc>
          <w:tcPr>
            <w:tcW w:w="1531" w:type="dxa"/>
            <w:vAlign w:val="center"/>
          </w:tcPr>
          <w:p w:rsidR="006C0913" w:rsidRPr="00467BE7" w:rsidRDefault="006C0913" w:rsidP="00343D42">
            <w:pPr>
              <w:pStyle w:val="NormalParaAR"/>
              <w:bidi w:val="0"/>
              <w:spacing w:after="0" w:line="240" w:lineRule="auto"/>
              <w:jc w:val="right"/>
              <w:rPr>
                <w:rFonts w:eastAsia="SimSun"/>
                <w:sz w:val="28"/>
                <w:szCs w:val="28"/>
                <w:lang w:eastAsia="zh-CN"/>
              </w:rPr>
            </w:pPr>
            <w:r w:rsidRPr="00467BE7">
              <w:rPr>
                <w:rFonts w:eastAsia="SimSun"/>
                <w:sz w:val="28"/>
                <w:szCs w:val="28"/>
                <w:lang w:eastAsia="zh-CN"/>
              </w:rPr>
              <w:t>A/</w:t>
            </w:r>
            <w:r w:rsidRPr="0004173E">
              <w:rPr>
                <w:rFonts w:eastAsia="SimSun"/>
                <w:sz w:val="28"/>
                <w:szCs w:val="28"/>
                <w:lang w:eastAsia="zh-CN"/>
              </w:rPr>
              <w:t>50</w:t>
            </w:r>
            <w:r w:rsidRPr="00467BE7">
              <w:rPr>
                <w:rFonts w:eastAsia="SimSun"/>
                <w:sz w:val="28"/>
                <w:szCs w:val="28"/>
                <w:lang w:eastAsia="zh-CN"/>
              </w:rPr>
              <w:t>/</w:t>
            </w:r>
            <w:r w:rsidRPr="0004173E">
              <w:rPr>
                <w:rFonts w:eastAsia="SimSun"/>
                <w:sz w:val="28"/>
                <w:szCs w:val="28"/>
                <w:lang w:eastAsia="zh-CN"/>
              </w:rPr>
              <w:t>11</w:t>
            </w:r>
          </w:p>
        </w:tc>
        <w:tc>
          <w:tcPr>
            <w:tcW w:w="1629" w:type="dxa"/>
            <w:vAlign w:val="center"/>
          </w:tcPr>
          <w:p w:rsidR="006C0913" w:rsidRPr="00467BE7" w:rsidRDefault="006C0913" w:rsidP="006C0913">
            <w:pPr>
              <w:bidi/>
              <w:jc w:val="center"/>
              <w:rPr>
                <w:rFonts w:ascii="Arabic Typesetting" w:hAnsi="Arabic Typesetting" w:cs="Arabic Typesetting"/>
                <w:sz w:val="28"/>
                <w:szCs w:val="28"/>
              </w:rPr>
            </w:pPr>
            <w:r w:rsidRPr="00467BE7">
              <w:rPr>
                <w:rFonts w:ascii="Arabic Typesetting" w:hAnsi="Arabic Typesetting" w:cs="Arabic Typesetting"/>
                <w:sz w:val="28"/>
                <w:szCs w:val="28"/>
              </w:rPr>
              <w:t>x</w:t>
            </w:r>
          </w:p>
        </w:tc>
        <w:tc>
          <w:tcPr>
            <w:tcW w:w="1608" w:type="dxa"/>
          </w:tcPr>
          <w:p w:rsidR="006C0913" w:rsidRPr="00467BE7" w:rsidRDefault="006C0913" w:rsidP="006C0913">
            <w:pPr>
              <w:bidi/>
              <w:jc w:val="center"/>
              <w:rPr>
                <w:rFonts w:ascii="Arabic Typesetting" w:hAnsi="Arabic Typesetting" w:cs="Arabic Typesetting"/>
                <w:sz w:val="28"/>
                <w:szCs w:val="28"/>
              </w:rPr>
            </w:pPr>
          </w:p>
        </w:tc>
      </w:tr>
      <w:tr w:rsidR="00467BE7" w:rsidRPr="00467BE7" w:rsidTr="00EB406F">
        <w:trPr>
          <w:trHeight w:val="397"/>
          <w:jc w:val="center"/>
        </w:trPr>
        <w:tc>
          <w:tcPr>
            <w:tcW w:w="924" w:type="dxa"/>
            <w:tcBorders>
              <w:top w:val="nil"/>
              <w:bottom w:val="nil"/>
            </w:tcBorders>
            <w:vAlign w:val="center"/>
          </w:tcPr>
          <w:p w:rsidR="006C0913" w:rsidRPr="00467BE7" w:rsidRDefault="006C0913" w:rsidP="006C0913">
            <w:pPr>
              <w:pStyle w:val="NormalParaAR"/>
              <w:spacing w:after="0" w:line="240" w:lineRule="auto"/>
              <w:rPr>
                <w:rFonts w:eastAsia="SimSun"/>
                <w:sz w:val="28"/>
                <w:szCs w:val="28"/>
                <w:lang w:eastAsia="zh-CN"/>
              </w:rPr>
            </w:pPr>
          </w:p>
        </w:tc>
        <w:tc>
          <w:tcPr>
            <w:tcW w:w="1559" w:type="dxa"/>
            <w:vAlign w:val="center"/>
          </w:tcPr>
          <w:p w:rsidR="006C0913" w:rsidRPr="00467BE7" w:rsidRDefault="006C0913" w:rsidP="006C0913">
            <w:pPr>
              <w:pStyle w:val="NormalParaAR"/>
              <w:spacing w:after="0" w:line="240" w:lineRule="auto"/>
              <w:rPr>
                <w:rFonts w:eastAsia="SimSun"/>
                <w:sz w:val="28"/>
                <w:szCs w:val="28"/>
                <w:lang w:eastAsia="zh-CN"/>
              </w:rPr>
            </w:pPr>
            <w:r w:rsidRPr="00467BE7">
              <w:rPr>
                <w:rFonts w:eastAsia="SimSun"/>
                <w:sz w:val="28"/>
                <w:szCs w:val="28"/>
                <w:rtl/>
                <w:lang w:eastAsia="zh-CN"/>
              </w:rPr>
              <w:t>سبتمبر/أكتوبر</w:t>
            </w:r>
          </w:p>
        </w:tc>
        <w:tc>
          <w:tcPr>
            <w:tcW w:w="1718" w:type="dxa"/>
            <w:vAlign w:val="center"/>
          </w:tcPr>
          <w:p w:rsidR="006C0913" w:rsidRPr="00467BE7" w:rsidRDefault="006C0913" w:rsidP="00343D42">
            <w:pPr>
              <w:pStyle w:val="NormalParaAR"/>
              <w:bidi w:val="0"/>
              <w:spacing w:after="0" w:line="240" w:lineRule="auto"/>
              <w:jc w:val="right"/>
              <w:rPr>
                <w:rFonts w:eastAsia="SimSun"/>
                <w:sz w:val="28"/>
                <w:szCs w:val="28"/>
                <w:lang w:eastAsia="zh-CN"/>
              </w:rPr>
            </w:pPr>
            <w:r w:rsidRPr="00467BE7">
              <w:rPr>
                <w:rFonts w:eastAsia="SimSun"/>
                <w:sz w:val="28"/>
                <w:szCs w:val="28"/>
                <w:lang w:eastAsia="zh-CN"/>
              </w:rPr>
              <w:t>WO/PBC/</w:t>
            </w:r>
            <w:r w:rsidRPr="0004173E">
              <w:rPr>
                <w:rFonts w:eastAsia="SimSun"/>
                <w:sz w:val="28"/>
                <w:szCs w:val="28"/>
                <w:lang w:eastAsia="zh-CN"/>
              </w:rPr>
              <w:t>19</w:t>
            </w:r>
            <w:r w:rsidRPr="00467BE7">
              <w:rPr>
                <w:rFonts w:eastAsia="SimSun"/>
                <w:sz w:val="28"/>
                <w:szCs w:val="28"/>
                <w:lang w:eastAsia="zh-CN"/>
              </w:rPr>
              <w:t>/</w:t>
            </w:r>
            <w:r w:rsidRPr="0004173E">
              <w:rPr>
                <w:rFonts w:eastAsia="SimSun"/>
                <w:sz w:val="28"/>
                <w:szCs w:val="28"/>
                <w:lang w:eastAsia="zh-CN"/>
              </w:rPr>
              <w:t>13</w:t>
            </w:r>
          </w:p>
        </w:tc>
        <w:tc>
          <w:tcPr>
            <w:tcW w:w="1531" w:type="dxa"/>
            <w:vAlign w:val="center"/>
          </w:tcPr>
          <w:p w:rsidR="006C0913" w:rsidRPr="00467BE7" w:rsidRDefault="006C0913" w:rsidP="00343D42">
            <w:pPr>
              <w:pStyle w:val="NormalParaAR"/>
              <w:bidi w:val="0"/>
              <w:spacing w:after="0" w:line="240" w:lineRule="auto"/>
              <w:jc w:val="right"/>
              <w:rPr>
                <w:rFonts w:eastAsia="SimSun"/>
                <w:sz w:val="28"/>
                <w:szCs w:val="28"/>
                <w:lang w:eastAsia="zh-CN"/>
              </w:rPr>
            </w:pPr>
            <w:r w:rsidRPr="00467BE7">
              <w:rPr>
                <w:rFonts w:eastAsia="SimSun"/>
                <w:sz w:val="28"/>
                <w:szCs w:val="28"/>
                <w:lang w:eastAsia="zh-CN"/>
              </w:rPr>
              <w:t>A/</w:t>
            </w:r>
            <w:r w:rsidRPr="0004173E">
              <w:rPr>
                <w:rFonts w:eastAsia="SimSun"/>
                <w:sz w:val="28"/>
                <w:szCs w:val="28"/>
                <w:lang w:eastAsia="zh-CN"/>
              </w:rPr>
              <w:t>50</w:t>
            </w:r>
            <w:r w:rsidRPr="00467BE7">
              <w:rPr>
                <w:rFonts w:eastAsia="SimSun"/>
                <w:sz w:val="28"/>
                <w:szCs w:val="28"/>
                <w:lang w:eastAsia="zh-CN"/>
              </w:rPr>
              <w:t>/</w:t>
            </w:r>
            <w:r w:rsidRPr="0004173E">
              <w:rPr>
                <w:rFonts w:eastAsia="SimSun"/>
                <w:sz w:val="28"/>
                <w:szCs w:val="28"/>
                <w:lang w:eastAsia="zh-CN"/>
              </w:rPr>
              <w:t>12</w:t>
            </w:r>
          </w:p>
        </w:tc>
        <w:tc>
          <w:tcPr>
            <w:tcW w:w="1629" w:type="dxa"/>
            <w:vAlign w:val="center"/>
          </w:tcPr>
          <w:p w:rsidR="006C0913" w:rsidRPr="00467BE7" w:rsidRDefault="006C0913" w:rsidP="006C0913">
            <w:pPr>
              <w:bidi/>
              <w:jc w:val="center"/>
              <w:rPr>
                <w:rFonts w:ascii="Arabic Typesetting" w:hAnsi="Arabic Typesetting" w:cs="Arabic Typesetting"/>
                <w:sz w:val="28"/>
                <w:szCs w:val="28"/>
              </w:rPr>
            </w:pPr>
          </w:p>
        </w:tc>
        <w:tc>
          <w:tcPr>
            <w:tcW w:w="1608" w:type="dxa"/>
            <w:vAlign w:val="center"/>
          </w:tcPr>
          <w:p w:rsidR="006C0913" w:rsidRPr="00467BE7" w:rsidRDefault="006C0913" w:rsidP="006C0913">
            <w:pPr>
              <w:bidi/>
              <w:jc w:val="center"/>
              <w:rPr>
                <w:rFonts w:ascii="Arabic Typesetting" w:hAnsi="Arabic Typesetting" w:cs="Arabic Typesetting"/>
                <w:sz w:val="28"/>
                <w:szCs w:val="28"/>
              </w:rPr>
            </w:pPr>
            <w:r w:rsidRPr="00467BE7">
              <w:rPr>
                <w:rFonts w:ascii="Arabic Typesetting" w:hAnsi="Arabic Typesetting" w:cs="Arabic Typesetting"/>
                <w:sz w:val="28"/>
                <w:szCs w:val="28"/>
              </w:rPr>
              <w:t>x</w:t>
            </w:r>
          </w:p>
        </w:tc>
      </w:tr>
      <w:tr w:rsidR="00467BE7" w:rsidRPr="00467BE7" w:rsidTr="00EB406F">
        <w:trPr>
          <w:trHeight w:val="397"/>
          <w:jc w:val="center"/>
        </w:trPr>
        <w:tc>
          <w:tcPr>
            <w:tcW w:w="924" w:type="dxa"/>
            <w:tcBorders>
              <w:top w:val="nil"/>
              <w:bottom w:val="single" w:sz="4" w:space="0" w:color="auto"/>
            </w:tcBorders>
            <w:vAlign w:val="center"/>
          </w:tcPr>
          <w:p w:rsidR="000E1F53" w:rsidRPr="00467BE7" w:rsidRDefault="000E1F53" w:rsidP="006C0913">
            <w:pPr>
              <w:pStyle w:val="NormalParaAR"/>
              <w:spacing w:after="0" w:line="240" w:lineRule="auto"/>
              <w:rPr>
                <w:rFonts w:eastAsia="SimSun"/>
                <w:sz w:val="28"/>
                <w:szCs w:val="28"/>
                <w:lang w:eastAsia="zh-CN"/>
              </w:rPr>
            </w:pPr>
          </w:p>
        </w:tc>
        <w:tc>
          <w:tcPr>
            <w:tcW w:w="1559" w:type="dxa"/>
            <w:vAlign w:val="center"/>
          </w:tcPr>
          <w:p w:rsidR="000E1F53" w:rsidRPr="00467BE7" w:rsidRDefault="00EB406F" w:rsidP="006C0913">
            <w:pPr>
              <w:pStyle w:val="NormalParaAR"/>
              <w:spacing w:after="0" w:line="240" w:lineRule="auto"/>
              <w:rPr>
                <w:rFonts w:eastAsia="SimSun"/>
                <w:sz w:val="28"/>
                <w:szCs w:val="28"/>
                <w:lang w:eastAsia="zh-CN"/>
              </w:rPr>
            </w:pPr>
            <w:r w:rsidRPr="00467BE7">
              <w:rPr>
                <w:rFonts w:eastAsia="SimSun"/>
                <w:sz w:val="28"/>
                <w:szCs w:val="28"/>
                <w:rtl/>
                <w:lang w:eastAsia="zh-CN"/>
              </w:rPr>
              <w:t>سبتمبر/أكتوبر</w:t>
            </w:r>
          </w:p>
        </w:tc>
        <w:tc>
          <w:tcPr>
            <w:tcW w:w="1718" w:type="dxa"/>
            <w:vAlign w:val="center"/>
          </w:tcPr>
          <w:p w:rsidR="000E1F53" w:rsidRPr="00467BE7" w:rsidRDefault="000E1F53" w:rsidP="00343D42">
            <w:pPr>
              <w:pStyle w:val="NormalParaAR"/>
              <w:bidi w:val="0"/>
              <w:spacing w:after="0" w:line="240" w:lineRule="auto"/>
              <w:jc w:val="right"/>
              <w:rPr>
                <w:rFonts w:eastAsia="SimSun"/>
                <w:sz w:val="28"/>
                <w:szCs w:val="28"/>
                <w:lang w:eastAsia="zh-CN"/>
              </w:rPr>
            </w:pPr>
            <w:r w:rsidRPr="00467BE7">
              <w:rPr>
                <w:rFonts w:eastAsia="SimSun"/>
                <w:sz w:val="28"/>
                <w:szCs w:val="28"/>
                <w:lang w:eastAsia="zh-CN"/>
              </w:rPr>
              <w:t>WO/PBC/</w:t>
            </w:r>
            <w:r w:rsidRPr="0004173E">
              <w:rPr>
                <w:rFonts w:eastAsia="SimSun"/>
                <w:sz w:val="28"/>
                <w:szCs w:val="28"/>
                <w:lang w:eastAsia="zh-CN"/>
              </w:rPr>
              <w:t>19</w:t>
            </w:r>
            <w:r w:rsidRPr="00467BE7">
              <w:rPr>
                <w:rFonts w:eastAsia="SimSun"/>
                <w:sz w:val="28"/>
                <w:szCs w:val="28"/>
                <w:lang w:eastAsia="zh-CN"/>
              </w:rPr>
              <w:t>/</w:t>
            </w:r>
            <w:r w:rsidRPr="0004173E">
              <w:rPr>
                <w:rFonts w:eastAsia="SimSun"/>
                <w:sz w:val="28"/>
                <w:szCs w:val="28"/>
                <w:lang w:eastAsia="zh-CN"/>
              </w:rPr>
              <w:t>24</w:t>
            </w:r>
          </w:p>
        </w:tc>
        <w:tc>
          <w:tcPr>
            <w:tcW w:w="1531" w:type="dxa"/>
            <w:vAlign w:val="center"/>
          </w:tcPr>
          <w:p w:rsidR="000E1F53" w:rsidRPr="00467BE7" w:rsidRDefault="000E1F53" w:rsidP="00343D42">
            <w:pPr>
              <w:pStyle w:val="NormalParaAR"/>
              <w:bidi w:val="0"/>
              <w:spacing w:after="0" w:line="240" w:lineRule="auto"/>
              <w:jc w:val="right"/>
              <w:rPr>
                <w:rFonts w:eastAsia="SimSun"/>
                <w:sz w:val="28"/>
                <w:szCs w:val="28"/>
                <w:lang w:eastAsia="zh-CN"/>
              </w:rPr>
            </w:pPr>
            <w:r w:rsidRPr="00467BE7">
              <w:rPr>
                <w:rFonts w:eastAsia="SimSun"/>
                <w:sz w:val="28"/>
                <w:szCs w:val="28"/>
                <w:lang w:eastAsia="zh-CN"/>
              </w:rPr>
              <w:t>A/</w:t>
            </w:r>
            <w:r w:rsidRPr="0004173E">
              <w:rPr>
                <w:rFonts w:eastAsia="SimSun"/>
                <w:sz w:val="28"/>
                <w:szCs w:val="28"/>
                <w:lang w:eastAsia="zh-CN"/>
              </w:rPr>
              <w:t>50</w:t>
            </w:r>
            <w:r w:rsidRPr="00467BE7">
              <w:rPr>
                <w:rFonts w:eastAsia="SimSun"/>
                <w:sz w:val="28"/>
                <w:szCs w:val="28"/>
                <w:lang w:eastAsia="zh-CN"/>
              </w:rPr>
              <w:t>/</w:t>
            </w:r>
            <w:r w:rsidRPr="0004173E">
              <w:rPr>
                <w:rFonts w:eastAsia="SimSun"/>
                <w:sz w:val="28"/>
                <w:szCs w:val="28"/>
                <w:lang w:eastAsia="zh-CN"/>
              </w:rPr>
              <w:t>17</w:t>
            </w:r>
          </w:p>
        </w:tc>
        <w:tc>
          <w:tcPr>
            <w:tcW w:w="3237" w:type="dxa"/>
            <w:gridSpan w:val="2"/>
            <w:vAlign w:val="center"/>
          </w:tcPr>
          <w:p w:rsidR="000E1F53" w:rsidRPr="00467BE7" w:rsidRDefault="00EB406F" w:rsidP="006C0913">
            <w:pPr>
              <w:pStyle w:val="NormalParaAR"/>
              <w:spacing w:after="0" w:line="240" w:lineRule="auto"/>
              <w:rPr>
                <w:rFonts w:eastAsia="SimSun"/>
                <w:sz w:val="28"/>
                <w:szCs w:val="28"/>
                <w:lang w:eastAsia="zh-CN"/>
              </w:rPr>
            </w:pPr>
            <w:r w:rsidRPr="00467BE7">
              <w:rPr>
                <w:rFonts w:eastAsia="SimSun"/>
                <w:sz w:val="28"/>
                <w:szCs w:val="28"/>
                <w:rtl/>
                <w:lang w:eastAsia="zh-CN"/>
              </w:rPr>
              <w:t>تقرير مرحلي محدَّث عن مشروع البناء الجديد ومشروع قاعة المؤتمرات الجديدة</w:t>
            </w:r>
          </w:p>
        </w:tc>
      </w:tr>
      <w:tr w:rsidR="00467BE7" w:rsidRPr="00467BE7" w:rsidTr="00EB406F">
        <w:trPr>
          <w:trHeight w:val="397"/>
          <w:jc w:val="center"/>
        </w:trPr>
        <w:tc>
          <w:tcPr>
            <w:tcW w:w="924" w:type="dxa"/>
            <w:tcBorders>
              <w:top w:val="nil"/>
              <w:bottom w:val="single" w:sz="4" w:space="0" w:color="auto"/>
            </w:tcBorders>
            <w:vAlign w:val="center"/>
          </w:tcPr>
          <w:p w:rsidR="006C0913" w:rsidRPr="00467BE7" w:rsidRDefault="006C0913" w:rsidP="006C0913">
            <w:pPr>
              <w:pStyle w:val="NormalParaAR"/>
              <w:spacing w:after="0" w:line="240" w:lineRule="auto"/>
              <w:rPr>
                <w:rFonts w:eastAsia="SimSun"/>
                <w:sz w:val="28"/>
                <w:szCs w:val="28"/>
                <w:lang w:eastAsia="zh-CN"/>
              </w:rPr>
            </w:pPr>
            <w:r w:rsidRPr="0004173E">
              <w:rPr>
                <w:rFonts w:eastAsia="SimSun"/>
                <w:sz w:val="28"/>
                <w:szCs w:val="28"/>
                <w:rtl/>
                <w:lang w:eastAsia="zh-CN"/>
              </w:rPr>
              <w:t>2013</w:t>
            </w:r>
          </w:p>
        </w:tc>
        <w:tc>
          <w:tcPr>
            <w:tcW w:w="1559" w:type="dxa"/>
            <w:vAlign w:val="center"/>
          </w:tcPr>
          <w:p w:rsidR="006C0913" w:rsidRPr="00467BE7" w:rsidRDefault="006C0913" w:rsidP="006C0913">
            <w:pPr>
              <w:pStyle w:val="NormalParaAR"/>
              <w:spacing w:after="0" w:line="240" w:lineRule="auto"/>
              <w:rPr>
                <w:rFonts w:eastAsia="SimSun"/>
                <w:sz w:val="28"/>
                <w:szCs w:val="28"/>
                <w:lang w:eastAsia="zh-CN"/>
              </w:rPr>
            </w:pPr>
            <w:r w:rsidRPr="00467BE7">
              <w:rPr>
                <w:rFonts w:eastAsia="SimSun"/>
                <w:sz w:val="28"/>
                <w:szCs w:val="28"/>
                <w:rtl/>
                <w:lang w:eastAsia="zh-CN"/>
              </w:rPr>
              <w:t>سبتمبر/أكتوبر</w:t>
            </w:r>
          </w:p>
        </w:tc>
        <w:tc>
          <w:tcPr>
            <w:tcW w:w="1718" w:type="dxa"/>
            <w:vAlign w:val="center"/>
          </w:tcPr>
          <w:p w:rsidR="006C0913" w:rsidRPr="00467BE7" w:rsidRDefault="006C0913" w:rsidP="00343D42">
            <w:pPr>
              <w:pStyle w:val="NormalParaAR"/>
              <w:bidi w:val="0"/>
              <w:spacing w:after="0" w:line="240" w:lineRule="auto"/>
              <w:jc w:val="right"/>
              <w:rPr>
                <w:rFonts w:eastAsia="SimSun"/>
                <w:sz w:val="28"/>
                <w:szCs w:val="28"/>
                <w:lang w:eastAsia="zh-CN"/>
              </w:rPr>
            </w:pPr>
            <w:r w:rsidRPr="00467BE7">
              <w:rPr>
                <w:rFonts w:eastAsia="SimSun"/>
                <w:sz w:val="28"/>
                <w:szCs w:val="28"/>
                <w:lang w:eastAsia="zh-CN"/>
              </w:rPr>
              <w:t>WO/PBC/</w:t>
            </w:r>
            <w:r w:rsidRPr="0004173E">
              <w:rPr>
                <w:rFonts w:eastAsia="SimSun"/>
                <w:sz w:val="28"/>
                <w:szCs w:val="28"/>
                <w:lang w:eastAsia="zh-CN"/>
              </w:rPr>
              <w:t>21</w:t>
            </w:r>
            <w:r w:rsidRPr="00467BE7">
              <w:rPr>
                <w:rFonts w:eastAsia="SimSun"/>
                <w:sz w:val="28"/>
                <w:szCs w:val="28"/>
                <w:lang w:eastAsia="zh-CN"/>
              </w:rPr>
              <w:t>/</w:t>
            </w:r>
            <w:r w:rsidRPr="0004173E">
              <w:rPr>
                <w:rFonts w:eastAsia="SimSun"/>
                <w:sz w:val="28"/>
                <w:szCs w:val="28"/>
                <w:lang w:eastAsia="zh-CN"/>
              </w:rPr>
              <w:t>11</w:t>
            </w:r>
          </w:p>
        </w:tc>
        <w:tc>
          <w:tcPr>
            <w:tcW w:w="1531" w:type="dxa"/>
            <w:vAlign w:val="center"/>
          </w:tcPr>
          <w:p w:rsidR="006C0913" w:rsidRPr="00467BE7" w:rsidRDefault="006C0913" w:rsidP="00343D42">
            <w:pPr>
              <w:pStyle w:val="NormalParaAR"/>
              <w:bidi w:val="0"/>
              <w:spacing w:after="0" w:line="240" w:lineRule="auto"/>
              <w:jc w:val="right"/>
              <w:rPr>
                <w:rFonts w:eastAsia="SimSun"/>
                <w:sz w:val="28"/>
                <w:szCs w:val="28"/>
                <w:lang w:eastAsia="zh-CN"/>
              </w:rPr>
            </w:pPr>
            <w:r w:rsidRPr="00467BE7">
              <w:rPr>
                <w:rFonts w:eastAsia="SimSun"/>
                <w:sz w:val="28"/>
                <w:szCs w:val="28"/>
                <w:lang w:eastAsia="zh-CN"/>
              </w:rPr>
              <w:t>A/</w:t>
            </w:r>
            <w:r w:rsidRPr="0004173E">
              <w:rPr>
                <w:rFonts w:eastAsia="SimSun"/>
                <w:sz w:val="28"/>
                <w:szCs w:val="28"/>
                <w:lang w:eastAsia="zh-CN"/>
              </w:rPr>
              <w:t>51</w:t>
            </w:r>
            <w:r w:rsidRPr="00467BE7">
              <w:rPr>
                <w:rFonts w:eastAsia="SimSun"/>
                <w:sz w:val="28"/>
                <w:szCs w:val="28"/>
                <w:lang w:eastAsia="zh-CN"/>
              </w:rPr>
              <w:t>/</w:t>
            </w:r>
            <w:r w:rsidRPr="0004173E">
              <w:rPr>
                <w:rFonts w:eastAsia="SimSun"/>
                <w:sz w:val="28"/>
                <w:szCs w:val="28"/>
                <w:lang w:eastAsia="zh-CN"/>
              </w:rPr>
              <w:t>9</w:t>
            </w:r>
          </w:p>
        </w:tc>
        <w:tc>
          <w:tcPr>
            <w:tcW w:w="1629" w:type="dxa"/>
            <w:vAlign w:val="center"/>
          </w:tcPr>
          <w:p w:rsidR="006C0913" w:rsidRPr="00467BE7" w:rsidRDefault="006C0913" w:rsidP="006C0913">
            <w:pPr>
              <w:bidi/>
              <w:jc w:val="center"/>
              <w:rPr>
                <w:rFonts w:ascii="Arabic Typesetting" w:hAnsi="Arabic Typesetting" w:cs="Arabic Typesetting"/>
                <w:sz w:val="28"/>
                <w:szCs w:val="28"/>
              </w:rPr>
            </w:pPr>
            <w:r w:rsidRPr="00467BE7">
              <w:rPr>
                <w:rFonts w:ascii="Arabic Typesetting" w:hAnsi="Arabic Typesetting" w:cs="Arabic Typesetting"/>
                <w:sz w:val="28"/>
                <w:szCs w:val="28"/>
              </w:rPr>
              <w:t>x</w:t>
            </w:r>
          </w:p>
        </w:tc>
        <w:tc>
          <w:tcPr>
            <w:tcW w:w="1608" w:type="dxa"/>
            <w:vAlign w:val="center"/>
          </w:tcPr>
          <w:p w:rsidR="006C0913" w:rsidRPr="00467BE7" w:rsidRDefault="006C0913" w:rsidP="006C0913">
            <w:pPr>
              <w:bidi/>
              <w:jc w:val="center"/>
              <w:rPr>
                <w:rFonts w:ascii="Arabic Typesetting" w:hAnsi="Arabic Typesetting" w:cs="Arabic Typesetting"/>
                <w:sz w:val="28"/>
                <w:szCs w:val="28"/>
              </w:rPr>
            </w:pPr>
            <w:r w:rsidRPr="00467BE7">
              <w:rPr>
                <w:rFonts w:ascii="Arabic Typesetting" w:hAnsi="Arabic Typesetting" w:cs="Arabic Typesetting"/>
                <w:sz w:val="28"/>
                <w:szCs w:val="28"/>
              </w:rPr>
              <w:t>x</w:t>
            </w:r>
          </w:p>
        </w:tc>
      </w:tr>
      <w:tr w:rsidR="00467BE7" w:rsidRPr="00467BE7" w:rsidTr="00EB406F">
        <w:trPr>
          <w:trHeight w:val="397"/>
          <w:jc w:val="center"/>
        </w:trPr>
        <w:tc>
          <w:tcPr>
            <w:tcW w:w="924" w:type="dxa"/>
            <w:tcBorders>
              <w:top w:val="single" w:sz="4" w:space="0" w:color="auto"/>
              <w:bottom w:val="single" w:sz="4" w:space="0" w:color="auto"/>
            </w:tcBorders>
            <w:vAlign w:val="center"/>
          </w:tcPr>
          <w:p w:rsidR="006C0913" w:rsidRPr="00467BE7" w:rsidRDefault="006C0913" w:rsidP="006C0913">
            <w:pPr>
              <w:pStyle w:val="NormalParaAR"/>
              <w:spacing w:after="0" w:line="240" w:lineRule="auto"/>
              <w:rPr>
                <w:rFonts w:eastAsia="SimSun"/>
                <w:sz w:val="28"/>
                <w:szCs w:val="28"/>
                <w:lang w:eastAsia="zh-CN"/>
              </w:rPr>
            </w:pPr>
            <w:r w:rsidRPr="0004173E">
              <w:rPr>
                <w:rFonts w:eastAsia="SimSun"/>
                <w:sz w:val="28"/>
                <w:szCs w:val="28"/>
                <w:rtl/>
                <w:lang w:eastAsia="zh-CN"/>
              </w:rPr>
              <w:t>2014</w:t>
            </w:r>
          </w:p>
        </w:tc>
        <w:tc>
          <w:tcPr>
            <w:tcW w:w="1559" w:type="dxa"/>
            <w:vAlign w:val="center"/>
          </w:tcPr>
          <w:p w:rsidR="006C0913" w:rsidRPr="00467BE7" w:rsidRDefault="006C0913" w:rsidP="006C0913">
            <w:pPr>
              <w:pStyle w:val="NormalParaAR"/>
              <w:spacing w:after="0" w:line="240" w:lineRule="auto"/>
              <w:rPr>
                <w:rFonts w:eastAsia="SimSun"/>
                <w:sz w:val="28"/>
                <w:szCs w:val="28"/>
                <w:lang w:eastAsia="zh-CN"/>
              </w:rPr>
            </w:pPr>
            <w:r w:rsidRPr="00467BE7">
              <w:rPr>
                <w:rFonts w:eastAsia="SimSun"/>
                <w:sz w:val="28"/>
                <w:szCs w:val="28"/>
                <w:rtl/>
                <w:lang w:eastAsia="zh-CN"/>
              </w:rPr>
              <w:t>سبتمبر</w:t>
            </w:r>
          </w:p>
        </w:tc>
        <w:tc>
          <w:tcPr>
            <w:tcW w:w="1718" w:type="dxa"/>
            <w:vAlign w:val="center"/>
          </w:tcPr>
          <w:p w:rsidR="006C0913" w:rsidRPr="00467BE7" w:rsidRDefault="006C0913" w:rsidP="00343D42">
            <w:pPr>
              <w:pStyle w:val="NormalParaAR"/>
              <w:bidi w:val="0"/>
              <w:spacing w:after="0" w:line="240" w:lineRule="auto"/>
              <w:jc w:val="right"/>
              <w:rPr>
                <w:rFonts w:eastAsia="SimSun"/>
                <w:sz w:val="28"/>
                <w:szCs w:val="28"/>
                <w:lang w:eastAsia="zh-CN"/>
              </w:rPr>
            </w:pPr>
            <w:r w:rsidRPr="00467BE7">
              <w:rPr>
                <w:rFonts w:eastAsia="SimSun"/>
                <w:sz w:val="28"/>
                <w:szCs w:val="28"/>
                <w:lang w:eastAsia="zh-CN"/>
              </w:rPr>
              <w:t>WO/PBC/</w:t>
            </w:r>
            <w:r w:rsidRPr="0004173E">
              <w:rPr>
                <w:rFonts w:eastAsia="SimSun"/>
                <w:sz w:val="28"/>
                <w:szCs w:val="28"/>
                <w:lang w:eastAsia="zh-CN"/>
              </w:rPr>
              <w:t>22</w:t>
            </w:r>
            <w:r w:rsidRPr="00467BE7">
              <w:rPr>
                <w:rFonts w:eastAsia="SimSun"/>
                <w:sz w:val="28"/>
                <w:szCs w:val="28"/>
                <w:lang w:eastAsia="zh-CN"/>
              </w:rPr>
              <w:t>/</w:t>
            </w:r>
            <w:r w:rsidRPr="0004173E">
              <w:rPr>
                <w:rFonts w:eastAsia="SimSun"/>
                <w:sz w:val="28"/>
                <w:szCs w:val="28"/>
                <w:lang w:eastAsia="zh-CN"/>
              </w:rPr>
              <w:t>14</w:t>
            </w:r>
          </w:p>
        </w:tc>
        <w:tc>
          <w:tcPr>
            <w:tcW w:w="1531" w:type="dxa"/>
            <w:vAlign w:val="center"/>
          </w:tcPr>
          <w:p w:rsidR="006C0913" w:rsidRPr="00467BE7" w:rsidRDefault="006C0913" w:rsidP="00343D42">
            <w:pPr>
              <w:pStyle w:val="NormalParaAR"/>
              <w:bidi w:val="0"/>
              <w:spacing w:after="0" w:line="240" w:lineRule="auto"/>
              <w:jc w:val="right"/>
              <w:rPr>
                <w:rFonts w:eastAsia="SimSun"/>
                <w:sz w:val="28"/>
                <w:szCs w:val="28"/>
                <w:lang w:eastAsia="zh-CN"/>
              </w:rPr>
            </w:pPr>
            <w:r w:rsidRPr="00467BE7">
              <w:rPr>
                <w:rFonts w:eastAsia="SimSun"/>
                <w:sz w:val="28"/>
                <w:szCs w:val="28"/>
                <w:lang w:eastAsia="zh-CN"/>
              </w:rPr>
              <w:t>A/</w:t>
            </w:r>
            <w:r w:rsidRPr="0004173E">
              <w:rPr>
                <w:rFonts w:eastAsia="SimSun"/>
                <w:sz w:val="28"/>
                <w:szCs w:val="28"/>
                <w:lang w:eastAsia="zh-CN"/>
              </w:rPr>
              <w:t>54</w:t>
            </w:r>
            <w:r w:rsidRPr="00467BE7">
              <w:rPr>
                <w:rFonts w:eastAsia="SimSun"/>
                <w:sz w:val="28"/>
                <w:szCs w:val="28"/>
                <w:lang w:eastAsia="zh-CN"/>
              </w:rPr>
              <w:t>/</w:t>
            </w:r>
            <w:r w:rsidRPr="0004173E">
              <w:rPr>
                <w:rFonts w:eastAsia="SimSun"/>
                <w:sz w:val="28"/>
                <w:szCs w:val="28"/>
                <w:lang w:eastAsia="zh-CN"/>
              </w:rPr>
              <w:t>11</w:t>
            </w:r>
          </w:p>
        </w:tc>
        <w:tc>
          <w:tcPr>
            <w:tcW w:w="1629" w:type="dxa"/>
            <w:vAlign w:val="center"/>
          </w:tcPr>
          <w:p w:rsidR="006C0913" w:rsidRPr="00467BE7" w:rsidRDefault="006C0913" w:rsidP="006C0913">
            <w:pPr>
              <w:bidi/>
              <w:jc w:val="center"/>
              <w:rPr>
                <w:rFonts w:ascii="Arabic Typesetting" w:hAnsi="Arabic Typesetting" w:cs="Arabic Typesetting"/>
                <w:sz w:val="28"/>
                <w:szCs w:val="28"/>
              </w:rPr>
            </w:pPr>
            <w:r w:rsidRPr="00467BE7">
              <w:rPr>
                <w:rFonts w:ascii="Arabic Typesetting" w:hAnsi="Arabic Typesetting" w:cs="Arabic Typesetting"/>
                <w:sz w:val="28"/>
                <w:szCs w:val="28"/>
              </w:rPr>
              <w:t>x</w:t>
            </w:r>
          </w:p>
        </w:tc>
        <w:tc>
          <w:tcPr>
            <w:tcW w:w="1608" w:type="dxa"/>
            <w:vAlign w:val="center"/>
          </w:tcPr>
          <w:p w:rsidR="006C0913" w:rsidRPr="00467BE7" w:rsidRDefault="006C0913" w:rsidP="006C0913">
            <w:pPr>
              <w:bidi/>
              <w:jc w:val="center"/>
              <w:rPr>
                <w:rFonts w:ascii="Arabic Typesetting" w:hAnsi="Arabic Typesetting" w:cs="Arabic Typesetting"/>
                <w:sz w:val="28"/>
                <w:szCs w:val="28"/>
              </w:rPr>
            </w:pPr>
            <w:r w:rsidRPr="00467BE7">
              <w:rPr>
                <w:rFonts w:ascii="Arabic Typesetting" w:hAnsi="Arabic Typesetting" w:cs="Arabic Typesetting"/>
                <w:sz w:val="28"/>
                <w:szCs w:val="28"/>
              </w:rPr>
              <w:t>x</w:t>
            </w:r>
          </w:p>
        </w:tc>
      </w:tr>
      <w:tr w:rsidR="00467BE7" w:rsidRPr="00467BE7" w:rsidTr="00EB406F">
        <w:trPr>
          <w:trHeight w:val="397"/>
          <w:jc w:val="center"/>
        </w:trPr>
        <w:tc>
          <w:tcPr>
            <w:tcW w:w="924" w:type="dxa"/>
            <w:tcBorders>
              <w:top w:val="single" w:sz="4" w:space="0" w:color="auto"/>
              <w:bottom w:val="single" w:sz="4" w:space="0" w:color="auto"/>
            </w:tcBorders>
            <w:vAlign w:val="center"/>
          </w:tcPr>
          <w:p w:rsidR="006C0913" w:rsidRPr="00467BE7" w:rsidRDefault="006C0913" w:rsidP="006C0913">
            <w:pPr>
              <w:pStyle w:val="NormalParaAR"/>
              <w:spacing w:after="0" w:line="240" w:lineRule="auto"/>
              <w:rPr>
                <w:rFonts w:eastAsia="SimSun"/>
                <w:sz w:val="28"/>
                <w:szCs w:val="28"/>
                <w:lang w:eastAsia="zh-CN"/>
              </w:rPr>
            </w:pPr>
            <w:r w:rsidRPr="0004173E">
              <w:rPr>
                <w:rFonts w:eastAsia="SimSun"/>
                <w:sz w:val="28"/>
                <w:szCs w:val="28"/>
                <w:rtl/>
                <w:lang w:eastAsia="zh-CN"/>
              </w:rPr>
              <w:t>2015</w:t>
            </w:r>
          </w:p>
        </w:tc>
        <w:tc>
          <w:tcPr>
            <w:tcW w:w="1559" w:type="dxa"/>
            <w:vAlign w:val="center"/>
          </w:tcPr>
          <w:p w:rsidR="006C0913" w:rsidRPr="00467BE7" w:rsidRDefault="006C0913" w:rsidP="006C0913">
            <w:pPr>
              <w:pStyle w:val="NormalParaAR"/>
              <w:spacing w:after="0" w:line="240" w:lineRule="auto"/>
              <w:rPr>
                <w:rFonts w:eastAsia="SimSun"/>
                <w:sz w:val="28"/>
                <w:szCs w:val="28"/>
                <w:lang w:eastAsia="zh-CN"/>
              </w:rPr>
            </w:pPr>
            <w:r w:rsidRPr="00467BE7">
              <w:rPr>
                <w:rFonts w:eastAsia="SimSun"/>
                <w:sz w:val="28"/>
                <w:szCs w:val="28"/>
                <w:rtl/>
                <w:lang w:eastAsia="zh-CN"/>
              </w:rPr>
              <w:t>سبتمبر/أكتوبر</w:t>
            </w:r>
          </w:p>
        </w:tc>
        <w:tc>
          <w:tcPr>
            <w:tcW w:w="1718" w:type="dxa"/>
            <w:vAlign w:val="center"/>
          </w:tcPr>
          <w:p w:rsidR="006C0913" w:rsidRPr="00467BE7" w:rsidRDefault="006C0913" w:rsidP="00343D42">
            <w:pPr>
              <w:pStyle w:val="NormalParaAR"/>
              <w:bidi w:val="0"/>
              <w:spacing w:after="0" w:line="240" w:lineRule="auto"/>
              <w:jc w:val="right"/>
              <w:rPr>
                <w:rFonts w:eastAsia="SimSun"/>
                <w:sz w:val="28"/>
                <w:szCs w:val="28"/>
                <w:lang w:eastAsia="zh-CN"/>
              </w:rPr>
            </w:pPr>
            <w:r w:rsidRPr="00467BE7">
              <w:rPr>
                <w:rFonts w:eastAsia="SimSun"/>
                <w:sz w:val="28"/>
                <w:szCs w:val="28"/>
                <w:lang w:eastAsia="zh-CN"/>
              </w:rPr>
              <w:t>WO/PBC/</w:t>
            </w:r>
            <w:r w:rsidRPr="0004173E">
              <w:rPr>
                <w:rFonts w:eastAsia="SimSun"/>
                <w:sz w:val="28"/>
                <w:szCs w:val="28"/>
                <w:lang w:eastAsia="zh-CN"/>
              </w:rPr>
              <w:t>24</w:t>
            </w:r>
            <w:r w:rsidRPr="00467BE7">
              <w:rPr>
                <w:rFonts w:eastAsia="SimSun"/>
                <w:sz w:val="28"/>
                <w:szCs w:val="28"/>
                <w:lang w:eastAsia="zh-CN"/>
              </w:rPr>
              <w:t>/</w:t>
            </w:r>
            <w:r w:rsidRPr="0004173E">
              <w:rPr>
                <w:rFonts w:eastAsia="SimSun"/>
                <w:sz w:val="28"/>
                <w:szCs w:val="28"/>
                <w:lang w:eastAsia="zh-CN"/>
              </w:rPr>
              <w:t>13</w:t>
            </w:r>
          </w:p>
        </w:tc>
        <w:tc>
          <w:tcPr>
            <w:tcW w:w="1531" w:type="dxa"/>
            <w:vAlign w:val="center"/>
          </w:tcPr>
          <w:p w:rsidR="006C0913" w:rsidRPr="00467BE7" w:rsidRDefault="006C0913" w:rsidP="00343D42">
            <w:pPr>
              <w:pStyle w:val="NormalParaAR"/>
              <w:bidi w:val="0"/>
              <w:spacing w:after="0" w:line="240" w:lineRule="auto"/>
              <w:jc w:val="right"/>
              <w:rPr>
                <w:rFonts w:eastAsia="SimSun"/>
                <w:sz w:val="28"/>
                <w:szCs w:val="28"/>
                <w:lang w:eastAsia="zh-CN"/>
              </w:rPr>
            </w:pPr>
            <w:r w:rsidRPr="00467BE7">
              <w:rPr>
                <w:rFonts w:eastAsia="SimSun"/>
                <w:sz w:val="28"/>
                <w:szCs w:val="28"/>
                <w:lang w:eastAsia="zh-CN"/>
              </w:rPr>
              <w:t>A/</w:t>
            </w:r>
            <w:r w:rsidRPr="0004173E">
              <w:rPr>
                <w:rFonts w:eastAsia="SimSun"/>
                <w:sz w:val="28"/>
                <w:szCs w:val="28"/>
                <w:lang w:eastAsia="zh-CN"/>
              </w:rPr>
              <w:t>55</w:t>
            </w:r>
            <w:r w:rsidRPr="00467BE7">
              <w:rPr>
                <w:rFonts w:eastAsia="SimSun"/>
                <w:sz w:val="28"/>
                <w:szCs w:val="28"/>
                <w:lang w:eastAsia="zh-CN"/>
              </w:rPr>
              <w:t>/</w:t>
            </w:r>
            <w:r w:rsidRPr="0004173E">
              <w:rPr>
                <w:rFonts w:eastAsia="SimSun"/>
                <w:sz w:val="28"/>
                <w:szCs w:val="28"/>
                <w:lang w:eastAsia="zh-CN"/>
              </w:rPr>
              <w:t>11</w:t>
            </w:r>
          </w:p>
        </w:tc>
        <w:tc>
          <w:tcPr>
            <w:tcW w:w="1629" w:type="dxa"/>
            <w:vAlign w:val="center"/>
          </w:tcPr>
          <w:p w:rsidR="006C0913" w:rsidRPr="00467BE7" w:rsidRDefault="006C0913" w:rsidP="006C0913">
            <w:pPr>
              <w:bidi/>
              <w:jc w:val="center"/>
              <w:rPr>
                <w:rFonts w:ascii="Arabic Typesetting" w:hAnsi="Arabic Typesetting" w:cs="Arabic Typesetting"/>
                <w:sz w:val="28"/>
                <w:szCs w:val="28"/>
              </w:rPr>
            </w:pPr>
            <w:r w:rsidRPr="00467BE7">
              <w:rPr>
                <w:rFonts w:ascii="Arabic Typesetting" w:hAnsi="Arabic Typesetting" w:cs="Arabic Typesetting"/>
                <w:sz w:val="28"/>
                <w:szCs w:val="28"/>
              </w:rPr>
              <w:t>x</w:t>
            </w:r>
          </w:p>
        </w:tc>
        <w:tc>
          <w:tcPr>
            <w:tcW w:w="1608" w:type="dxa"/>
            <w:vAlign w:val="center"/>
          </w:tcPr>
          <w:p w:rsidR="006C0913" w:rsidRPr="00467BE7" w:rsidRDefault="006C0913" w:rsidP="006C0913">
            <w:pPr>
              <w:bidi/>
              <w:jc w:val="center"/>
              <w:rPr>
                <w:rFonts w:ascii="Arabic Typesetting" w:hAnsi="Arabic Typesetting" w:cs="Arabic Typesetting"/>
                <w:sz w:val="28"/>
                <w:szCs w:val="28"/>
              </w:rPr>
            </w:pPr>
            <w:r w:rsidRPr="00467BE7">
              <w:rPr>
                <w:rFonts w:ascii="Arabic Typesetting" w:hAnsi="Arabic Typesetting" w:cs="Arabic Typesetting"/>
                <w:sz w:val="28"/>
                <w:szCs w:val="28"/>
              </w:rPr>
              <w:t>x</w:t>
            </w:r>
          </w:p>
        </w:tc>
      </w:tr>
      <w:tr w:rsidR="00467BE7" w:rsidRPr="00467BE7" w:rsidTr="00EB406F">
        <w:trPr>
          <w:trHeight w:val="397"/>
          <w:jc w:val="center"/>
        </w:trPr>
        <w:tc>
          <w:tcPr>
            <w:tcW w:w="924" w:type="dxa"/>
            <w:tcBorders>
              <w:top w:val="single" w:sz="4" w:space="0" w:color="auto"/>
              <w:bottom w:val="single" w:sz="4" w:space="0" w:color="auto"/>
            </w:tcBorders>
            <w:vAlign w:val="center"/>
          </w:tcPr>
          <w:p w:rsidR="000E1F53" w:rsidRPr="00467BE7" w:rsidRDefault="000E1F53" w:rsidP="006C0913">
            <w:pPr>
              <w:pStyle w:val="NormalParaAR"/>
              <w:spacing w:after="0" w:line="240" w:lineRule="auto"/>
              <w:rPr>
                <w:rFonts w:eastAsia="SimSun"/>
                <w:sz w:val="28"/>
                <w:szCs w:val="28"/>
                <w:lang w:eastAsia="zh-CN"/>
              </w:rPr>
            </w:pPr>
            <w:r w:rsidRPr="0004173E">
              <w:rPr>
                <w:rFonts w:eastAsia="SimSun"/>
                <w:sz w:val="28"/>
                <w:szCs w:val="28"/>
                <w:rtl/>
                <w:lang w:eastAsia="zh-CN"/>
              </w:rPr>
              <w:t>2016</w:t>
            </w:r>
          </w:p>
        </w:tc>
        <w:tc>
          <w:tcPr>
            <w:tcW w:w="1559" w:type="dxa"/>
            <w:vAlign w:val="center"/>
          </w:tcPr>
          <w:p w:rsidR="000E1F53" w:rsidRPr="00467BE7" w:rsidRDefault="00EB406F" w:rsidP="006C0913">
            <w:pPr>
              <w:pStyle w:val="NormalParaAR"/>
              <w:spacing w:after="0" w:line="240" w:lineRule="auto"/>
              <w:rPr>
                <w:rFonts w:eastAsia="SimSun"/>
                <w:sz w:val="28"/>
                <w:szCs w:val="28"/>
                <w:lang w:eastAsia="zh-CN"/>
              </w:rPr>
            </w:pPr>
            <w:r w:rsidRPr="00467BE7">
              <w:rPr>
                <w:rFonts w:eastAsia="SimSun"/>
                <w:sz w:val="28"/>
                <w:szCs w:val="28"/>
                <w:rtl/>
                <w:lang w:eastAsia="zh-CN"/>
              </w:rPr>
              <w:t>أغسطس/سبتمبر</w:t>
            </w:r>
          </w:p>
        </w:tc>
        <w:tc>
          <w:tcPr>
            <w:tcW w:w="1718" w:type="dxa"/>
            <w:vAlign w:val="center"/>
          </w:tcPr>
          <w:p w:rsidR="00EB406F" w:rsidRPr="00467BE7" w:rsidRDefault="000E1F53" w:rsidP="00343D42">
            <w:pPr>
              <w:pStyle w:val="NormalParaAR"/>
              <w:bidi w:val="0"/>
              <w:spacing w:after="0" w:line="240" w:lineRule="auto"/>
              <w:jc w:val="right"/>
              <w:rPr>
                <w:rFonts w:eastAsia="SimSun"/>
                <w:sz w:val="28"/>
                <w:szCs w:val="28"/>
                <w:lang w:eastAsia="zh-CN"/>
              </w:rPr>
            </w:pPr>
            <w:r w:rsidRPr="00467BE7">
              <w:rPr>
                <w:rFonts w:eastAsia="SimSun"/>
                <w:sz w:val="28"/>
                <w:szCs w:val="28"/>
                <w:lang w:eastAsia="zh-CN"/>
              </w:rPr>
              <w:t>WO/PBC/</w:t>
            </w:r>
            <w:r w:rsidRPr="0004173E">
              <w:rPr>
                <w:rFonts w:eastAsia="SimSun"/>
                <w:sz w:val="28"/>
                <w:szCs w:val="28"/>
                <w:lang w:eastAsia="zh-CN"/>
              </w:rPr>
              <w:t>25</w:t>
            </w:r>
            <w:r w:rsidRPr="00467BE7">
              <w:rPr>
                <w:rFonts w:eastAsia="SimSun"/>
                <w:sz w:val="28"/>
                <w:szCs w:val="28"/>
                <w:lang w:eastAsia="zh-CN"/>
              </w:rPr>
              <w:t>/</w:t>
            </w:r>
            <w:r w:rsidRPr="0004173E">
              <w:rPr>
                <w:rFonts w:eastAsia="SimSun"/>
                <w:sz w:val="28"/>
                <w:szCs w:val="28"/>
                <w:lang w:eastAsia="zh-CN"/>
              </w:rPr>
              <w:t>13</w:t>
            </w:r>
          </w:p>
          <w:p w:rsidR="000E1F53" w:rsidRPr="00467BE7" w:rsidRDefault="00EB406F" w:rsidP="00343D42">
            <w:pPr>
              <w:pStyle w:val="NormalParaAR"/>
              <w:spacing w:after="0" w:line="240" w:lineRule="auto"/>
              <w:rPr>
                <w:rFonts w:eastAsia="SimSun"/>
                <w:sz w:val="28"/>
                <w:szCs w:val="28"/>
                <w:lang w:eastAsia="zh-CN"/>
              </w:rPr>
            </w:pPr>
            <w:r w:rsidRPr="00467BE7">
              <w:rPr>
                <w:rFonts w:eastAsia="SimSun"/>
                <w:sz w:val="28"/>
                <w:szCs w:val="28"/>
                <w:rtl/>
                <w:lang w:eastAsia="zh-CN"/>
              </w:rPr>
              <w:t>(هذه الوثيقة)</w:t>
            </w:r>
          </w:p>
        </w:tc>
        <w:tc>
          <w:tcPr>
            <w:tcW w:w="1531" w:type="dxa"/>
            <w:vAlign w:val="center"/>
          </w:tcPr>
          <w:p w:rsidR="000E1F53" w:rsidRPr="00467BE7" w:rsidRDefault="000E1F53" w:rsidP="00343D42">
            <w:pPr>
              <w:pStyle w:val="NormalParaAR"/>
              <w:bidi w:val="0"/>
              <w:spacing w:after="0" w:line="240" w:lineRule="auto"/>
              <w:jc w:val="right"/>
              <w:rPr>
                <w:rFonts w:eastAsia="SimSun"/>
                <w:sz w:val="28"/>
                <w:szCs w:val="28"/>
                <w:lang w:eastAsia="zh-CN"/>
              </w:rPr>
            </w:pPr>
            <w:r w:rsidRPr="00467BE7">
              <w:rPr>
                <w:rFonts w:eastAsia="SimSun"/>
                <w:sz w:val="28"/>
                <w:szCs w:val="28"/>
                <w:lang w:eastAsia="zh-CN"/>
              </w:rPr>
              <w:t>-</w:t>
            </w:r>
          </w:p>
        </w:tc>
        <w:tc>
          <w:tcPr>
            <w:tcW w:w="3237" w:type="dxa"/>
            <w:gridSpan w:val="2"/>
            <w:vAlign w:val="center"/>
          </w:tcPr>
          <w:p w:rsidR="000E1F53" w:rsidRPr="00467BE7" w:rsidRDefault="00EB406F" w:rsidP="006C0913">
            <w:pPr>
              <w:pStyle w:val="NormalParaAR"/>
              <w:spacing w:after="0" w:line="240" w:lineRule="auto"/>
              <w:rPr>
                <w:rFonts w:eastAsia="SimSun"/>
                <w:sz w:val="28"/>
                <w:szCs w:val="28"/>
                <w:lang w:eastAsia="zh-CN"/>
              </w:rPr>
            </w:pPr>
            <w:r w:rsidRPr="00467BE7">
              <w:rPr>
                <w:sz w:val="28"/>
                <w:szCs w:val="28"/>
                <w:rtl/>
              </w:rPr>
              <w:t>التقرير النهائي عن مشروع البناء الجديد ومشروع قاعة المؤتمرات الجديدة</w:t>
            </w:r>
          </w:p>
        </w:tc>
      </w:tr>
    </w:tbl>
    <w:p w:rsidR="00EB406F" w:rsidRPr="00467BE7" w:rsidRDefault="00EB406F" w:rsidP="008C2255">
      <w:pPr>
        <w:pStyle w:val="EndofDocumentAR"/>
        <w:spacing w:before="240"/>
        <w:rPr>
          <w:rFonts w:eastAsia="SimSun"/>
          <w:rtl/>
          <w:lang w:eastAsia="zh-CN"/>
        </w:rPr>
      </w:pPr>
      <w:r w:rsidRPr="00467BE7">
        <w:rPr>
          <w:rFonts w:eastAsia="SimSun" w:hint="cs"/>
          <w:rtl/>
          <w:lang w:eastAsia="zh-CN"/>
        </w:rPr>
        <w:t>[يلي ذلك المرفق الثاني]</w:t>
      </w:r>
    </w:p>
    <w:p w:rsidR="00EB406F" w:rsidRPr="00467BE7" w:rsidRDefault="00EB406F" w:rsidP="00EB406F">
      <w:pPr>
        <w:pStyle w:val="NormalParaAR"/>
        <w:rPr>
          <w:rFonts w:eastAsia="SimSun"/>
          <w:rtl/>
          <w:lang w:eastAsia="zh-CN"/>
        </w:rPr>
        <w:sectPr w:rsidR="00EB406F" w:rsidRPr="00467BE7" w:rsidSect="00EB7752">
          <w:headerReference w:type="first" r:id="rId11"/>
          <w:pgSz w:w="11907" w:h="16840" w:code="9"/>
          <w:pgMar w:top="567" w:right="1418" w:bottom="1418" w:left="1134" w:header="510" w:footer="1021" w:gutter="0"/>
          <w:cols w:space="720"/>
          <w:titlePg/>
          <w:docGrid w:linePitch="299"/>
        </w:sectPr>
      </w:pPr>
    </w:p>
    <w:tbl>
      <w:tblPr>
        <w:tblStyle w:val="TableGrid"/>
        <w:bidiVisual/>
        <w:tblW w:w="9193" w:type="dxa"/>
        <w:tblLook w:val="04A0" w:firstRow="1" w:lastRow="0" w:firstColumn="1" w:lastColumn="0" w:noHBand="0" w:noVBand="1"/>
      </w:tblPr>
      <w:tblGrid>
        <w:gridCol w:w="604"/>
        <w:gridCol w:w="3994"/>
        <w:gridCol w:w="1559"/>
        <w:gridCol w:w="1466"/>
        <w:gridCol w:w="1570"/>
      </w:tblGrid>
      <w:tr w:rsidR="000E1F53" w:rsidRPr="00467BE7" w:rsidTr="008C2255">
        <w:tc>
          <w:tcPr>
            <w:tcW w:w="9193" w:type="dxa"/>
            <w:gridSpan w:val="5"/>
          </w:tcPr>
          <w:p w:rsidR="000E1F53" w:rsidRPr="00467BE7" w:rsidRDefault="008C2255" w:rsidP="00D03B0E">
            <w:pPr>
              <w:pStyle w:val="NormalParaAR"/>
              <w:spacing w:before="120" w:after="120" w:line="240" w:lineRule="auto"/>
              <w:jc w:val="center"/>
              <w:rPr>
                <w:rFonts w:eastAsia="SimSun"/>
                <w:b/>
                <w:bCs/>
                <w:sz w:val="28"/>
                <w:szCs w:val="28"/>
                <w:lang w:eastAsia="zh-CN"/>
              </w:rPr>
            </w:pPr>
            <w:r w:rsidRPr="00467BE7">
              <w:rPr>
                <w:rFonts w:eastAsia="SimSun"/>
                <w:b/>
                <w:bCs/>
                <w:sz w:val="28"/>
                <w:szCs w:val="28"/>
                <w:rtl/>
                <w:lang w:eastAsia="zh-CN"/>
              </w:rPr>
              <w:lastRenderedPageBreak/>
              <w:t xml:space="preserve">ملخص </w:t>
            </w:r>
            <w:r w:rsidR="00D03B0E" w:rsidRPr="00467BE7">
              <w:rPr>
                <w:rFonts w:eastAsia="SimSun" w:hint="cs"/>
                <w:b/>
                <w:bCs/>
                <w:sz w:val="28"/>
                <w:szCs w:val="28"/>
                <w:rtl/>
                <w:lang w:eastAsia="zh-CN"/>
              </w:rPr>
              <w:t>منقح ومحدَّث ل</w:t>
            </w:r>
            <w:r w:rsidRPr="00467BE7">
              <w:rPr>
                <w:rFonts w:eastAsia="SimSun"/>
                <w:b/>
                <w:bCs/>
                <w:sz w:val="28"/>
                <w:szCs w:val="28"/>
                <w:rtl/>
                <w:lang w:eastAsia="zh-CN"/>
              </w:rPr>
              <w:t xml:space="preserve">لميزانية والنفقات والالتزامات </w:t>
            </w:r>
            <w:r w:rsidR="00D03B0E" w:rsidRPr="00467BE7">
              <w:rPr>
                <w:rFonts w:eastAsia="SimSun" w:hint="cs"/>
                <w:b/>
                <w:bCs/>
                <w:sz w:val="28"/>
                <w:szCs w:val="28"/>
                <w:rtl/>
                <w:lang w:eastAsia="zh-CN"/>
              </w:rPr>
              <w:t>المتبقية و</w:t>
            </w:r>
            <w:r w:rsidRPr="00467BE7">
              <w:rPr>
                <w:rFonts w:eastAsia="SimSun"/>
                <w:b/>
                <w:bCs/>
                <w:sz w:val="28"/>
                <w:szCs w:val="28"/>
                <w:rtl/>
                <w:lang w:eastAsia="zh-CN"/>
              </w:rPr>
              <w:t xml:space="preserve">المستحقة </w:t>
            </w:r>
            <w:r w:rsidR="00D03B0E" w:rsidRPr="00467BE7">
              <w:rPr>
                <w:rFonts w:eastAsia="SimSun" w:hint="cs"/>
                <w:b/>
                <w:bCs/>
                <w:sz w:val="28"/>
                <w:szCs w:val="28"/>
                <w:rtl/>
                <w:lang w:eastAsia="zh-CN"/>
              </w:rPr>
              <w:t xml:space="preserve">فيما يخص </w:t>
            </w:r>
            <w:r w:rsidRPr="00467BE7">
              <w:rPr>
                <w:rFonts w:eastAsia="SimSun"/>
                <w:b/>
                <w:bCs/>
                <w:sz w:val="28"/>
                <w:szCs w:val="28"/>
                <w:rtl/>
                <w:lang w:eastAsia="zh-CN"/>
              </w:rPr>
              <w:t>مشروع</w:t>
            </w:r>
            <w:r w:rsidR="00D03B0E" w:rsidRPr="00467BE7">
              <w:rPr>
                <w:rFonts w:eastAsia="SimSun" w:hint="cs"/>
                <w:b/>
                <w:bCs/>
                <w:sz w:val="28"/>
                <w:szCs w:val="28"/>
                <w:rtl/>
                <w:lang w:eastAsia="zh-CN"/>
              </w:rPr>
              <w:t>َ</w:t>
            </w:r>
            <w:r w:rsidRPr="00467BE7">
              <w:rPr>
                <w:rFonts w:eastAsia="SimSun"/>
                <w:b/>
                <w:bCs/>
                <w:sz w:val="28"/>
                <w:szCs w:val="28"/>
                <w:rtl/>
                <w:lang w:eastAsia="zh-CN"/>
              </w:rPr>
              <w:t>ي البناء (حتى تاريخ إعداد هذه الوثيقة)</w:t>
            </w:r>
          </w:p>
        </w:tc>
      </w:tr>
      <w:tr w:rsidR="00467BE7" w:rsidRPr="00467BE7" w:rsidTr="00343D42">
        <w:tc>
          <w:tcPr>
            <w:tcW w:w="604" w:type="dxa"/>
          </w:tcPr>
          <w:p w:rsidR="000E1F53" w:rsidRPr="00467BE7" w:rsidRDefault="000E1F53" w:rsidP="006C0913">
            <w:pPr>
              <w:pStyle w:val="NormalParaAR"/>
              <w:spacing w:after="0" w:line="240" w:lineRule="auto"/>
              <w:rPr>
                <w:rFonts w:eastAsia="SimSun"/>
                <w:sz w:val="28"/>
                <w:szCs w:val="28"/>
                <w:lang w:eastAsia="zh-CN"/>
              </w:rPr>
            </w:pPr>
          </w:p>
        </w:tc>
        <w:tc>
          <w:tcPr>
            <w:tcW w:w="3994" w:type="dxa"/>
          </w:tcPr>
          <w:p w:rsidR="000E1F53" w:rsidRPr="00467BE7" w:rsidRDefault="000E1F53" w:rsidP="006C0913">
            <w:pPr>
              <w:pStyle w:val="NormalParaAR"/>
              <w:spacing w:after="0" w:line="240" w:lineRule="auto"/>
              <w:rPr>
                <w:rFonts w:eastAsia="SimSun"/>
                <w:sz w:val="28"/>
                <w:szCs w:val="28"/>
                <w:lang w:eastAsia="zh-CN"/>
              </w:rPr>
            </w:pPr>
          </w:p>
        </w:tc>
        <w:tc>
          <w:tcPr>
            <w:tcW w:w="1559" w:type="dxa"/>
            <w:vAlign w:val="center"/>
          </w:tcPr>
          <w:p w:rsidR="008C2255" w:rsidRPr="00467BE7" w:rsidRDefault="008C2255" w:rsidP="006C0913">
            <w:pPr>
              <w:pStyle w:val="NormalParaAR"/>
              <w:spacing w:after="0" w:line="240" w:lineRule="auto"/>
              <w:jc w:val="center"/>
              <w:rPr>
                <w:rFonts w:eastAsia="SimSun"/>
                <w:b/>
                <w:bCs/>
                <w:sz w:val="28"/>
                <w:szCs w:val="28"/>
                <w:rtl/>
                <w:lang w:eastAsia="zh-CN"/>
              </w:rPr>
            </w:pPr>
            <w:r w:rsidRPr="00467BE7">
              <w:rPr>
                <w:rFonts w:eastAsia="SimSun"/>
                <w:b/>
                <w:bCs/>
                <w:sz w:val="28"/>
                <w:szCs w:val="28"/>
                <w:rtl/>
                <w:lang w:eastAsia="zh-CN"/>
              </w:rPr>
              <w:t>مشروع البناء الجديد</w:t>
            </w:r>
          </w:p>
          <w:p w:rsidR="000E1F53" w:rsidRPr="00467BE7" w:rsidRDefault="008C2255" w:rsidP="006C0913">
            <w:pPr>
              <w:pStyle w:val="NormalParaAR"/>
              <w:spacing w:after="0" w:line="240" w:lineRule="auto"/>
              <w:jc w:val="center"/>
              <w:rPr>
                <w:rFonts w:eastAsia="SimSun"/>
                <w:b/>
                <w:bCs/>
                <w:sz w:val="28"/>
                <w:szCs w:val="28"/>
                <w:lang w:eastAsia="zh-CN"/>
              </w:rPr>
            </w:pPr>
            <w:r w:rsidRPr="00467BE7">
              <w:rPr>
                <w:rFonts w:eastAsia="SimSun"/>
                <w:b/>
                <w:bCs/>
                <w:sz w:val="28"/>
                <w:szCs w:val="28"/>
                <w:rtl/>
                <w:lang w:eastAsia="zh-CN"/>
              </w:rPr>
              <w:t>(بالفرنك</w:t>
            </w:r>
            <w:r w:rsidR="00514AEB" w:rsidRPr="00467BE7">
              <w:rPr>
                <w:rFonts w:eastAsia="SimSun" w:hint="cs"/>
                <w:b/>
                <w:bCs/>
                <w:sz w:val="28"/>
                <w:szCs w:val="28"/>
                <w:rtl/>
                <w:lang w:eastAsia="zh-CN"/>
              </w:rPr>
              <w:t> </w:t>
            </w:r>
            <w:r w:rsidRPr="00467BE7">
              <w:rPr>
                <w:rFonts w:eastAsia="SimSun"/>
                <w:b/>
                <w:bCs/>
                <w:sz w:val="28"/>
                <w:szCs w:val="28"/>
                <w:rtl/>
                <w:lang w:eastAsia="zh-CN"/>
              </w:rPr>
              <w:t>السويسري)</w:t>
            </w:r>
          </w:p>
        </w:tc>
        <w:tc>
          <w:tcPr>
            <w:tcW w:w="1466" w:type="dxa"/>
            <w:vAlign w:val="center"/>
          </w:tcPr>
          <w:p w:rsidR="008C2255" w:rsidRPr="00467BE7" w:rsidRDefault="008C2255" w:rsidP="006C0913">
            <w:pPr>
              <w:pStyle w:val="NormalParaAR"/>
              <w:spacing w:after="0" w:line="240" w:lineRule="auto"/>
              <w:jc w:val="center"/>
              <w:rPr>
                <w:rFonts w:eastAsia="SimSun"/>
                <w:b/>
                <w:bCs/>
                <w:sz w:val="28"/>
                <w:szCs w:val="28"/>
                <w:rtl/>
                <w:lang w:eastAsia="zh-CN"/>
              </w:rPr>
            </w:pPr>
            <w:r w:rsidRPr="00467BE7">
              <w:rPr>
                <w:rFonts w:eastAsia="SimSun"/>
                <w:b/>
                <w:bCs/>
                <w:sz w:val="28"/>
                <w:szCs w:val="28"/>
                <w:rtl/>
                <w:lang w:eastAsia="zh-CN"/>
              </w:rPr>
              <w:t>مشروع قاعة المؤتمرات الجديدة</w:t>
            </w:r>
          </w:p>
          <w:p w:rsidR="000E1F53" w:rsidRPr="00467BE7" w:rsidRDefault="008C2255" w:rsidP="006C0913">
            <w:pPr>
              <w:pStyle w:val="NormalParaAR"/>
              <w:spacing w:after="0" w:line="240" w:lineRule="auto"/>
              <w:jc w:val="center"/>
              <w:rPr>
                <w:rFonts w:eastAsia="SimSun"/>
                <w:b/>
                <w:bCs/>
                <w:sz w:val="28"/>
                <w:szCs w:val="28"/>
                <w:lang w:eastAsia="zh-CN"/>
              </w:rPr>
            </w:pPr>
            <w:r w:rsidRPr="00467BE7">
              <w:rPr>
                <w:rFonts w:eastAsia="SimSun"/>
                <w:b/>
                <w:bCs/>
                <w:sz w:val="28"/>
                <w:szCs w:val="28"/>
                <w:rtl/>
                <w:lang w:eastAsia="zh-CN"/>
              </w:rPr>
              <w:t>(بالفرنك</w:t>
            </w:r>
            <w:r w:rsidR="00514AEB" w:rsidRPr="00467BE7">
              <w:rPr>
                <w:rFonts w:eastAsia="SimSun" w:hint="cs"/>
                <w:b/>
                <w:bCs/>
                <w:sz w:val="28"/>
                <w:szCs w:val="28"/>
                <w:rtl/>
                <w:lang w:eastAsia="zh-CN"/>
              </w:rPr>
              <w:t> </w:t>
            </w:r>
            <w:r w:rsidRPr="00467BE7">
              <w:rPr>
                <w:rFonts w:eastAsia="SimSun"/>
                <w:b/>
                <w:bCs/>
                <w:sz w:val="28"/>
                <w:szCs w:val="28"/>
                <w:rtl/>
                <w:lang w:eastAsia="zh-CN"/>
              </w:rPr>
              <w:t>السويسري)</w:t>
            </w:r>
          </w:p>
        </w:tc>
        <w:tc>
          <w:tcPr>
            <w:tcW w:w="1570" w:type="dxa"/>
            <w:vAlign w:val="center"/>
          </w:tcPr>
          <w:p w:rsidR="000E1F53" w:rsidRPr="00467BE7" w:rsidRDefault="008C2255" w:rsidP="006C0913">
            <w:pPr>
              <w:pStyle w:val="NormalParaAR"/>
              <w:spacing w:after="0" w:line="240" w:lineRule="auto"/>
              <w:jc w:val="center"/>
              <w:rPr>
                <w:rFonts w:eastAsia="SimSun"/>
                <w:b/>
                <w:bCs/>
                <w:sz w:val="28"/>
                <w:szCs w:val="28"/>
                <w:rtl/>
                <w:lang w:eastAsia="zh-CN"/>
              </w:rPr>
            </w:pPr>
            <w:r w:rsidRPr="00467BE7">
              <w:rPr>
                <w:rFonts w:eastAsia="SimSun"/>
                <w:b/>
                <w:bCs/>
                <w:sz w:val="28"/>
                <w:szCs w:val="28"/>
                <w:rtl/>
                <w:lang w:eastAsia="zh-CN"/>
              </w:rPr>
              <w:t>مجموع</w:t>
            </w:r>
          </w:p>
          <w:p w:rsidR="008C2255" w:rsidRPr="00467BE7" w:rsidRDefault="008C2255" w:rsidP="006C0913">
            <w:pPr>
              <w:pStyle w:val="NormalParaAR"/>
              <w:spacing w:after="0" w:line="240" w:lineRule="auto"/>
              <w:jc w:val="center"/>
              <w:rPr>
                <w:rFonts w:eastAsia="SimSun"/>
                <w:b/>
                <w:bCs/>
                <w:sz w:val="28"/>
                <w:szCs w:val="28"/>
                <w:rtl/>
                <w:lang w:eastAsia="zh-CN"/>
              </w:rPr>
            </w:pPr>
            <w:r w:rsidRPr="00467BE7">
              <w:rPr>
                <w:rFonts w:eastAsia="SimSun"/>
                <w:b/>
                <w:bCs/>
                <w:sz w:val="28"/>
                <w:szCs w:val="28"/>
                <w:rtl/>
                <w:lang w:eastAsia="zh-CN"/>
              </w:rPr>
              <w:t>المشروعان</w:t>
            </w:r>
          </w:p>
          <w:p w:rsidR="000E1F53" w:rsidRPr="00467BE7" w:rsidRDefault="008C2255" w:rsidP="006C0913">
            <w:pPr>
              <w:pStyle w:val="NormalParaAR"/>
              <w:spacing w:after="0" w:line="240" w:lineRule="auto"/>
              <w:jc w:val="center"/>
              <w:rPr>
                <w:rFonts w:eastAsia="SimSun"/>
                <w:b/>
                <w:bCs/>
                <w:sz w:val="28"/>
                <w:szCs w:val="28"/>
                <w:lang w:eastAsia="zh-CN"/>
              </w:rPr>
            </w:pPr>
            <w:r w:rsidRPr="00467BE7">
              <w:rPr>
                <w:rFonts w:eastAsia="SimSun"/>
                <w:b/>
                <w:bCs/>
                <w:sz w:val="28"/>
                <w:szCs w:val="28"/>
                <w:rtl/>
                <w:lang w:eastAsia="zh-CN"/>
              </w:rPr>
              <w:t>(بالفرنك</w:t>
            </w:r>
            <w:r w:rsidR="00514AEB" w:rsidRPr="00467BE7">
              <w:rPr>
                <w:rFonts w:eastAsia="SimSun" w:hint="cs"/>
                <w:b/>
                <w:bCs/>
                <w:sz w:val="28"/>
                <w:szCs w:val="28"/>
                <w:rtl/>
                <w:lang w:eastAsia="zh-CN"/>
              </w:rPr>
              <w:t> </w:t>
            </w:r>
            <w:r w:rsidRPr="00467BE7">
              <w:rPr>
                <w:rFonts w:eastAsia="SimSun"/>
                <w:b/>
                <w:bCs/>
                <w:sz w:val="28"/>
                <w:szCs w:val="28"/>
                <w:rtl/>
                <w:lang w:eastAsia="zh-CN"/>
              </w:rPr>
              <w:t>السويسري)</w:t>
            </w:r>
          </w:p>
        </w:tc>
      </w:tr>
      <w:tr w:rsidR="00467BE7" w:rsidRPr="00467BE7" w:rsidTr="00343D42">
        <w:tc>
          <w:tcPr>
            <w:tcW w:w="604" w:type="dxa"/>
            <w:shd w:val="clear" w:color="auto" w:fill="auto"/>
          </w:tcPr>
          <w:p w:rsidR="000E1F53" w:rsidRPr="00467BE7" w:rsidRDefault="000E1F53" w:rsidP="006C0913">
            <w:pPr>
              <w:pStyle w:val="NormalParaAR"/>
              <w:spacing w:after="0" w:line="240" w:lineRule="auto"/>
              <w:rPr>
                <w:rFonts w:eastAsia="SimSun"/>
                <w:sz w:val="28"/>
                <w:szCs w:val="28"/>
                <w:lang w:eastAsia="zh-CN"/>
              </w:rPr>
            </w:pPr>
          </w:p>
        </w:tc>
        <w:tc>
          <w:tcPr>
            <w:tcW w:w="3994" w:type="dxa"/>
            <w:shd w:val="clear" w:color="auto" w:fill="auto"/>
          </w:tcPr>
          <w:p w:rsidR="000E1F53" w:rsidRPr="00467BE7" w:rsidRDefault="000E1F53" w:rsidP="006C0913">
            <w:pPr>
              <w:pStyle w:val="NormalParaAR"/>
              <w:spacing w:after="0" w:line="240" w:lineRule="auto"/>
              <w:rPr>
                <w:rFonts w:eastAsia="SimSun"/>
                <w:sz w:val="28"/>
                <w:szCs w:val="28"/>
                <w:lang w:eastAsia="zh-CN"/>
              </w:rPr>
            </w:pPr>
          </w:p>
        </w:tc>
        <w:tc>
          <w:tcPr>
            <w:tcW w:w="1559" w:type="dxa"/>
            <w:shd w:val="clear" w:color="auto" w:fill="auto"/>
          </w:tcPr>
          <w:p w:rsidR="000E1F53" w:rsidRPr="00467BE7" w:rsidRDefault="000E1F53" w:rsidP="006C0913">
            <w:pPr>
              <w:pStyle w:val="NormalParaAR"/>
              <w:spacing w:after="0" w:line="240" w:lineRule="auto"/>
              <w:rPr>
                <w:rFonts w:eastAsia="SimSun"/>
                <w:sz w:val="28"/>
                <w:szCs w:val="28"/>
                <w:lang w:eastAsia="zh-CN"/>
              </w:rPr>
            </w:pPr>
          </w:p>
        </w:tc>
        <w:tc>
          <w:tcPr>
            <w:tcW w:w="1466" w:type="dxa"/>
            <w:shd w:val="clear" w:color="auto" w:fill="auto"/>
          </w:tcPr>
          <w:p w:rsidR="000E1F53" w:rsidRPr="00467BE7" w:rsidRDefault="000E1F53" w:rsidP="006C0913">
            <w:pPr>
              <w:pStyle w:val="NormalParaAR"/>
              <w:spacing w:after="0" w:line="240" w:lineRule="auto"/>
              <w:rPr>
                <w:rFonts w:eastAsia="SimSun"/>
                <w:sz w:val="28"/>
                <w:szCs w:val="28"/>
                <w:lang w:eastAsia="zh-CN"/>
              </w:rPr>
            </w:pPr>
          </w:p>
        </w:tc>
        <w:tc>
          <w:tcPr>
            <w:tcW w:w="1570" w:type="dxa"/>
            <w:shd w:val="clear" w:color="auto" w:fill="auto"/>
          </w:tcPr>
          <w:p w:rsidR="000E1F53" w:rsidRPr="00467BE7" w:rsidRDefault="000E1F53" w:rsidP="006C0913">
            <w:pPr>
              <w:pStyle w:val="NormalParaAR"/>
              <w:spacing w:after="0" w:line="240" w:lineRule="auto"/>
              <w:rPr>
                <w:rFonts w:eastAsia="SimSun"/>
                <w:sz w:val="28"/>
                <w:szCs w:val="28"/>
                <w:lang w:eastAsia="zh-CN"/>
              </w:rPr>
            </w:pPr>
          </w:p>
        </w:tc>
      </w:tr>
      <w:tr w:rsidR="00343D42" w:rsidRPr="00467BE7" w:rsidTr="00343D42">
        <w:tc>
          <w:tcPr>
            <w:tcW w:w="604" w:type="dxa"/>
          </w:tcPr>
          <w:p w:rsidR="00343D42" w:rsidRPr="00467BE7" w:rsidRDefault="00343D42" w:rsidP="006C0913">
            <w:pPr>
              <w:pStyle w:val="NormalParaAR"/>
              <w:spacing w:after="0" w:line="240" w:lineRule="auto"/>
              <w:rPr>
                <w:rFonts w:eastAsia="SimSun"/>
                <w:sz w:val="28"/>
                <w:szCs w:val="28"/>
                <w:lang w:eastAsia="zh-CN"/>
              </w:rPr>
            </w:pPr>
            <w:r w:rsidRPr="00467BE7">
              <w:rPr>
                <w:rFonts w:eastAsia="SimSun"/>
                <w:sz w:val="28"/>
                <w:szCs w:val="28"/>
                <w:lang w:eastAsia="zh-CN"/>
              </w:rPr>
              <w:t>.</w:t>
            </w:r>
            <w:r w:rsidRPr="0004173E">
              <w:rPr>
                <w:rFonts w:eastAsia="SimSun"/>
                <w:sz w:val="28"/>
                <w:szCs w:val="28"/>
                <w:lang w:eastAsia="zh-CN"/>
              </w:rPr>
              <w:t>1</w:t>
            </w:r>
          </w:p>
        </w:tc>
        <w:tc>
          <w:tcPr>
            <w:tcW w:w="3994" w:type="dxa"/>
          </w:tcPr>
          <w:p w:rsidR="00343D42" w:rsidRPr="00467BE7" w:rsidRDefault="00343D42" w:rsidP="006C0913">
            <w:pPr>
              <w:pStyle w:val="NormalParaAR"/>
              <w:spacing w:after="0" w:line="240" w:lineRule="auto"/>
              <w:rPr>
                <w:rFonts w:eastAsia="SimSun"/>
                <w:sz w:val="28"/>
                <w:szCs w:val="28"/>
                <w:lang w:eastAsia="zh-CN"/>
              </w:rPr>
            </w:pPr>
            <w:r w:rsidRPr="00467BE7">
              <w:rPr>
                <w:rFonts w:eastAsia="SimSun"/>
                <w:sz w:val="28"/>
                <w:szCs w:val="28"/>
                <w:rtl/>
                <w:lang w:eastAsia="zh-CN"/>
              </w:rPr>
              <w:t>الميزانية الأصلية المعتمدة من الأموال الاحتياطية</w:t>
            </w:r>
          </w:p>
        </w:tc>
        <w:tc>
          <w:tcPr>
            <w:tcW w:w="1559" w:type="dxa"/>
          </w:tcPr>
          <w:p w:rsidR="00343D42" w:rsidRPr="00343D42" w:rsidRDefault="00343D42" w:rsidP="00343D42">
            <w:pPr>
              <w:jc w:val="right"/>
              <w:rPr>
                <w:rFonts w:ascii="Arabic Typesetting" w:hAnsi="Arabic Typesetting" w:cs="Arabic Typesetting"/>
                <w:sz w:val="28"/>
                <w:szCs w:val="28"/>
              </w:rPr>
            </w:pPr>
            <w:r w:rsidRPr="00343D42">
              <w:rPr>
                <w:rFonts w:ascii="Arabic Typesetting" w:hAnsi="Arabic Typesetting" w:cs="Arabic Typesetting"/>
                <w:sz w:val="28"/>
                <w:szCs w:val="28"/>
              </w:rPr>
              <w:t>161,742,643</w:t>
            </w:r>
          </w:p>
        </w:tc>
        <w:tc>
          <w:tcPr>
            <w:tcW w:w="1466" w:type="dxa"/>
          </w:tcPr>
          <w:p w:rsidR="00343D42" w:rsidRPr="00343D42" w:rsidRDefault="00343D42" w:rsidP="00343D42">
            <w:pPr>
              <w:jc w:val="right"/>
              <w:rPr>
                <w:rFonts w:ascii="Arabic Typesetting" w:hAnsi="Arabic Typesetting" w:cs="Arabic Typesetting"/>
                <w:sz w:val="28"/>
                <w:szCs w:val="28"/>
              </w:rPr>
            </w:pPr>
            <w:r w:rsidRPr="00343D42">
              <w:rPr>
                <w:rFonts w:ascii="Arabic Typesetting" w:hAnsi="Arabic Typesetting" w:cs="Arabic Typesetting"/>
                <w:sz w:val="28"/>
                <w:szCs w:val="28"/>
              </w:rPr>
              <w:t>68,200,000</w:t>
            </w:r>
          </w:p>
        </w:tc>
        <w:tc>
          <w:tcPr>
            <w:tcW w:w="1570" w:type="dxa"/>
          </w:tcPr>
          <w:p w:rsidR="00343D42" w:rsidRPr="00343D42" w:rsidRDefault="00343D42" w:rsidP="00343D42">
            <w:pPr>
              <w:jc w:val="right"/>
              <w:rPr>
                <w:rFonts w:ascii="Arabic Typesetting" w:hAnsi="Arabic Typesetting" w:cs="Arabic Typesetting"/>
                <w:sz w:val="28"/>
                <w:szCs w:val="28"/>
              </w:rPr>
            </w:pPr>
            <w:r w:rsidRPr="00343D42">
              <w:rPr>
                <w:rFonts w:ascii="Arabic Typesetting" w:hAnsi="Arabic Typesetting" w:cs="Arabic Typesetting"/>
                <w:sz w:val="28"/>
                <w:szCs w:val="28"/>
              </w:rPr>
              <w:t>229,942,643</w:t>
            </w:r>
          </w:p>
        </w:tc>
      </w:tr>
      <w:tr w:rsidR="00343D42" w:rsidRPr="00467BE7" w:rsidTr="00343D42">
        <w:tc>
          <w:tcPr>
            <w:tcW w:w="604" w:type="dxa"/>
          </w:tcPr>
          <w:p w:rsidR="00343D42" w:rsidRPr="00467BE7" w:rsidRDefault="00343D42" w:rsidP="006C0913">
            <w:pPr>
              <w:pStyle w:val="NormalParaAR"/>
              <w:spacing w:after="0" w:line="240" w:lineRule="auto"/>
              <w:rPr>
                <w:rFonts w:eastAsia="SimSun"/>
                <w:sz w:val="28"/>
                <w:szCs w:val="28"/>
                <w:lang w:eastAsia="zh-CN"/>
              </w:rPr>
            </w:pPr>
            <w:r w:rsidRPr="00467BE7">
              <w:rPr>
                <w:rFonts w:eastAsia="SimSun"/>
                <w:sz w:val="28"/>
                <w:szCs w:val="28"/>
                <w:lang w:eastAsia="zh-CN"/>
              </w:rPr>
              <w:t>.</w:t>
            </w:r>
            <w:r w:rsidRPr="0004173E">
              <w:rPr>
                <w:rFonts w:eastAsia="SimSun"/>
                <w:sz w:val="28"/>
                <w:szCs w:val="28"/>
                <w:lang w:eastAsia="zh-CN"/>
              </w:rPr>
              <w:t>2</w:t>
            </w:r>
          </w:p>
        </w:tc>
        <w:tc>
          <w:tcPr>
            <w:tcW w:w="3994" w:type="dxa"/>
          </w:tcPr>
          <w:p w:rsidR="00343D42" w:rsidRPr="00467BE7" w:rsidRDefault="00343D42" w:rsidP="006C0913">
            <w:pPr>
              <w:pStyle w:val="NormalParaAR"/>
              <w:spacing w:after="0" w:line="240" w:lineRule="auto"/>
              <w:rPr>
                <w:rFonts w:eastAsia="SimSun"/>
                <w:sz w:val="28"/>
                <w:szCs w:val="28"/>
                <w:lang w:eastAsia="zh-CN"/>
              </w:rPr>
            </w:pPr>
            <w:r w:rsidRPr="00467BE7">
              <w:rPr>
                <w:rFonts w:eastAsia="SimSun"/>
                <w:sz w:val="28"/>
                <w:szCs w:val="28"/>
                <w:rtl/>
                <w:lang w:eastAsia="zh-CN"/>
              </w:rPr>
              <w:t>التحويلات المعتمدة من مشروع البناء الجديد إلى مشروع قاعة المؤتمرات الجديدة*</w:t>
            </w:r>
          </w:p>
        </w:tc>
        <w:tc>
          <w:tcPr>
            <w:tcW w:w="1559" w:type="dxa"/>
          </w:tcPr>
          <w:p w:rsidR="00343D42" w:rsidRPr="00343D42" w:rsidRDefault="00343D42" w:rsidP="00343D42">
            <w:pPr>
              <w:jc w:val="right"/>
              <w:rPr>
                <w:rFonts w:ascii="Arabic Typesetting" w:hAnsi="Arabic Typesetting" w:cs="Arabic Typesetting"/>
                <w:sz w:val="28"/>
                <w:szCs w:val="28"/>
              </w:rPr>
            </w:pPr>
            <w:r w:rsidRPr="00343D42">
              <w:rPr>
                <w:rFonts w:ascii="Arabic Typesetting" w:hAnsi="Arabic Typesetting" w:cs="Arabic Typesetting"/>
                <w:sz w:val="28"/>
                <w:szCs w:val="28"/>
              </w:rPr>
              <w:t>(4,500,000)</w:t>
            </w:r>
          </w:p>
        </w:tc>
        <w:tc>
          <w:tcPr>
            <w:tcW w:w="1466" w:type="dxa"/>
          </w:tcPr>
          <w:p w:rsidR="00343D42" w:rsidRPr="00343D42" w:rsidRDefault="00343D42" w:rsidP="00343D42">
            <w:pPr>
              <w:jc w:val="right"/>
              <w:rPr>
                <w:rFonts w:ascii="Arabic Typesetting" w:hAnsi="Arabic Typesetting" w:cs="Arabic Typesetting"/>
                <w:sz w:val="28"/>
                <w:szCs w:val="28"/>
              </w:rPr>
            </w:pPr>
            <w:r w:rsidRPr="00343D42">
              <w:rPr>
                <w:rFonts w:ascii="Arabic Typesetting" w:hAnsi="Arabic Typesetting" w:cs="Arabic Typesetting"/>
                <w:sz w:val="28"/>
                <w:szCs w:val="28"/>
              </w:rPr>
              <w:t>4,500,000</w:t>
            </w:r>
          </w:p>
        </w:tc>
        <w:tc>
          <w:tcPr>
            <w:tcW w:w="1570" w:type="dxa"/>
          </w:tcPr>
          <w:p w:rsidR="00343D42" w:rsidRPr="00343D42" w:rsidRDefault="00343D42" w:rsidP="00343D42">
            <w:pPr>
              <w:jc w:val="right"/>
              <w:rPr>
                <w:rFonts w:ascii="Arabic Typesetting" w:hAnsi="Arabic Typesetting" w:cs="Arabic Typesetting"/>
                <w:sz w:val="28"/>
                <w:szCs w:val="28"/>
              </w:rPr>
            </w:pPr>
            <w:r w:rsidRPr="00343D42">
              <w:rPr>
                <w:rFonts w:ascii="Arabic Typesetting" w:hAnsi="Arabic Typesetting" w:cs="Arabic Typesetting"/>
                <w:sz w:val="28"/>
                <w:szCs w:val="28"/>
              </w:rPr>
              <w:t>-</w:t>
            </w:r>
          </w:p>
        </w:tc>
      </w:tr>
      <w:tr w:rsidR="00343D42" w:rsidRPr="00467BE7" w:rsidTr="00343D42">
        <w:tc>
          <w:tcPr>
            <w:tcW w:w="604" w:type="dxa"/>
          </w:tcPr>
          <w:p w:rsidR="00343D42" w:rsidRPr="00467BE7" w:rsidRDefault="00343D42" w:rsidP="006C0913">
            <w:pPr>
              <w:pStyle w:val="NormalParaAR"/>
              <w:spacing w:after="0" w:line="240" w:lineRule="auto"/>
              <w:rPr>
                <w:rFonts w:eastAsia="SimSun"/>
                <w:sz w:val="28"/>
                <w:szCs w:val="28"/>
                <w:lang w:eastAsia="zh-CN"/>
              </w:rPr>
            </w:pPr>
            <w:r w:rsidRPr="00467BE7">
              <w:rPr>
                <w:rFonts w:eastAsia="SimSun"/>
                <w:sz w:val="28"/>
                <w:szCs w:val="28"/>
                <w:lang w:eastAsia="zh-CN"/>
              </w:rPr>
              <w:t>.</w:t>
            </w:r>
            <w:r w:rsidRPr="0004173E">
              <w:rPr>
                <w:rFonts w:eastAsia="SimSun"/>
                <w:sz w:val="28"/>
                <w:szCs w:val="28"/>
                <w:lang w:eastAsia="zh-CN"/>
              </w:rPr>
              <w:t>3</w:t>
            </w:r>
          </w:p>
        </w:tc>
        <w:tc>
          <w:tcPr>
            <w:tcW w:w="3994" w:type="dxa"/>
          </w:tcPr>
          <w:p w:rsidR="00343D42" w:rsidRPr="00467BE7" w:rsidRDefault="00343D42" w:rsidP="00D03B0E">
            <w:pPr>
              <w:pStyle w:val="NormalParaAR"/>
              <w:spacing w:after="0" w:line="240" w:lineRule="auto"/>
              <w:rPr>
                <w:rFonts w:eastAsia="SimSun"/>
                <w:sz w:val="28"/>
                <w:szCs w:val="28"/>
                <w:lang w:eastAsia="zh-CN"/>
              </w:rPr>
            </w:pPr>
            <w:r w:rsidRPr="00467BE7">
              <w:rPr>
                <w:rFonts w:eastAsia="SimSun"/>
                <w:sz w:val="28"/>
                <w:szCs w:val="28"/>
                <w:rtl/>
                <w:lang w:eastAsia="zh-CN"/>
              </w:rPr>
              <w:t>الموارد الإضافية المعتمدة والمخصصة من الأموال الاحتياطية في</w:t>
            </w:r>
            <w:r w:rsidRPr="00467BE7">
              <w:rPr>
                <w:rFonts w:eastAsia="SimSun" w:hint="cs"/>
                <w:sz w:val="28"/>
                <w:szCs w:val="28"/>
                <w:rtl/>
                <w:lang w:eastAsia="zh-CN"/>
              </w:rPr>
              <w:t> </w:t>
            </w:r>
            <w:r w:rsidRPr="00467BE7">
              <w:rPr>
                <w:rFonts w:eastAsia="SimSun"/>
                <w:sz w:val="28"/>
                <w:szCs w:val="28"/>
                <w:rtl/>
                <w:lang w:eastAsia="zh-CN"/>
              </w:rPr>
              <w:t>عام </w:t>
            </w:r>
            <w:r w:rsidRPr="0004173E">
              <w:rPr>
                <w:rFonts w:eastAsia="SimSun"/>
                <w:sz w:val="28"/>
                <w:szCs w:val="28"/>
                <w:rtl/>
                <w:lang w:eastAsia="zh-CN"/>
              </w:rPr>
              <w:t>2014</w:t>
            </w:r>
          </w:p>
        </w:tc>
        <w:tc>
          <w:tcPr>
            <w:tcW w:w="1559" w:type="dxa"/>
          </w:tcPr>
          <w:p w:rsidR="00343D42" w:rsidRPr="00343D42" w:rsidRDefault="00343D42" w:rsidP="00343D42">
            <w:pPr>
              <w:jc w:val="right"/>
              <w:rPr>
                <w:rFonts w:ascii="Arabic Typesetting" w:hAnsi="Arabic Typesetting" w:cs="Arabic Typesetting"/>
                <w:sz w:val="28"/>
                <w:szCs w:val="28"/>
              </w:rPr>
            </w:pPr>
            <w:r w:rsidRPr="00343D42">
              <w:rPr>
                <w:rFonts w:ascii="Arabic Typesetting" w:hAnsi="Arabic Typesetting" w:cs="Arabic Typesetting"/>
                <w:sz w:val="28"/>
                <w:szCs w:val="28"/>
              </w:rPr>
              <w:t>400,000</w:t>
            </w:r>
          </w:p>
        </w:tc>
        <w:tc>
          <w:tcPr>
            <w:tcW w:w="1466" w:type="dxa"/>
          </w:tcPr>
          <w:p w:rsidR="00343D42" w:rsidRPr="00343D42" w:rsidRDefault="00343D42" w:rsidP="00343D42">
            <w:pPr>
              <w:jc w:val="right"/>
              <w:rPr>
                <w:rFonts w:ascii="Arabic Typesetting" w:hAnsi="Arabic Typesetting" w:cs="Arabic Typesetting"/>
                <w:sz w:val="28"/>
                <w:szCs w:val="28"/>
              </w:rPr>
            </w:pPr>
            <w:r w:rsidRPr="00343D42">
              <w:rPr>
                <w:rFonts w:ascii="Arabic Typesetting" w:hAnsi="Arabic Typesetting" w:cs="Arabic Typesetting"/>
                <w:sz w:val="28"/>
                <w:szCs w:val="28"/>
              </w:rPr>
              <w:t>2,500,000</w:t>
            </w:r>
          </w:p>
        </w:tc>
        <w:tc>
          <w:tcPr>
            <w:tcW w:w="1570" w:type="dxa"/>
          </w:tcPr>
          <w:p w:rsidR="00343D42" w:rsidRPr="00343D42" w:rsidRDefault="00343D42" w:rsidP="00343D42">
            <w:pPr>
              <w:jc w:val="right"/>
              <w:rPr>
                <w:rFonts w:ascii="Arabic Typesetting" w:hAnsi="Arabic Typesetting" w:cs="Arabic Typesetting"/>
                <w:sz w:val="28"/>
                <w:szCs w:val="28"/>
              </w:rPr>
            </w:pPr>
            <w:r w:rsidRPr="00343D42">
              <w:rPr>
                <w:rFonts w:ascii="Arabic Typesetting" w:hAnsi="Arabic Typesetting" w:cs="Arabic Typesetting"/>
                <w:sz w:val="28"/>
                <w:szCs w:val="28"/>
              </w:rPr>
              <w:t>2,900,000</w:t>
            </w:r>
          </w:p>
        </w:tc>
      </w:tr>
      <w:tr w:rsidR="00343D42" w:rsidRPr="00467BE7" w:rsidTr="00343D42">
        <w:tc>
          <w:tcPr>
            <w:tcW w:w="604" w:type="dxa"/>
          </w:tcPr>
          <w:p w:rsidR="00343D42" w:rsidRPr="00467BE7" w:rsidRDefault="00343D42" w:rsidP="006C0913">
            <w:pPr>
              <w:pStyle w:val="NormalParaAR"/>
              <w:spacing w:after="0" w:line="240" w:lineRule="auto"/>
              <w:rPr>
                <w:rFonts w:eastAsia="SimSun"/>
                <w:sz w:val="28"/>
                <w:szCs w:val="28"/>
                <w:lang w:eastAsia="zh-CN"/>
              </w:rPr>
            </w:pPr>
            <w:r w:rsidRPr="00467BE7">
              <w:rPr>
                <w:rFonts w:eastAsia="SimSun"/>
                <w:sz w:val="28"/>
                <w:szCs w:val="28"/>
                <w:lang w:eastAsia="zh-CN"/>
              </w:rPr>
              <w:t>.</w:t>
            </w:r>
            <w:r w:rsidRPr="0004173E">
              <w:rPr>
                <w:rFonts w:eastAsia="SimSun"/>
                <w:sz w:val="28"/>
                <w:szCs w:val="28"/>
                <w:lang w:eastAsia="zh-CN"/>
              </w:rPr>
              <w:t>4</w:t>
            </w:r>
          </w:p>
        </w:tc>
        <w:tc>
          <w:tcPr>
            <w:tcW w:w="3994" w:type="dxa"/>
          </w:tcPr>
          <w:p w:rsidR="00343D42" w:rsidRPr="00467BE7" w:rsidRDefault="00343D42" w:rsidP="00D03B0E">
            <w:pPr>
              <w:pStyle w:val="NormalParaAR"/>
              <w:spacing w:after="0" w:line="240" w:lineRule="auto"/>
              <w:rPr>
                <w:rFonts w:eastAsia="SimSun"/>
                <w:sz w:val="28"/>
                <w:szCs w:val="28"/>
                <w:lang w:eastAsia="zh-CN"/>
              </w:rPr>
            </w:pPr>
            <w:r w:rsidRPr="00467BE7">
              <w:rPr>
                <w:rFonts w:eastAsia="SimSun" w:hint="cs"/>
                <w:sz w:val="28"/>
                <w:szCs w:val="28"/>
                <w:rtl/>
                <w:lang w:eastAsia="zh-CN"/>
              </w:rPr>
              <w:t>الميزانية</w:t>
            </w:r>
            <w:r w:rsidRPr="00467BE7">
              <w:rPr>
                <w:rFonts w:eastAsia="SimSun"/>
                <w:sz w:val="28"/>
                <w:szCs w:val="28"/>
                <w:rtl/>
                <w:lang w:eastAsia="zh-CN"/>
              </w:rPr>
              <w:t xml:space="preserve"> </w:t>
            </w:r>
            <w:r w:rsidRPr="00467BE7">
              <w:rPr>
                <w:rFonts w:eastAsia="SimSun" w:hint="cs"/>
                <w:sz w:val="28"/>
                <w:szCs w:val="28"/>
                <w:rtl/>
                <w:lang w:eastAsia="zh-CN"/>
              </w:rPr>
              <w:t>المنقحة</w:t>
            </w:r>
            <w:r w:rsidRPr="00467BE7">
              <w:rPr>
                <w:rFonts w:eastAsia="SimSun" w:hint="cs"/>
                <w:sz w:val="30"/>
                <w:szCs w:val="30"/>
                <w:rtl/>
                <w:lang w:eastAsia="zh-CN"/>
              </w:rPr>
              <w:t xml:space="preserve"> </w:t>
            </w:r>
            <w:r w:rsidRPr="00467BE7">
              <w:rPr>
                <w:rFonts w:eastAsia="SimSun"/>
                <w:sz w:val="28"/>
                <w:szCs w:val="28"/>
                <w:rtl/>
                <w:lang w:eastAsia="zh-CN"/>
              </w:rPr>
              <w:t xml:space="preserve">المعتمدة </w:t>
            </w:r>
            <w:r w:rsidRPr="00467BE7">
              <w:rPr>
                <w:rFonts w:eastAsia="SimSun" w:hint="cs"/>
                <w:sz w:val="28"/>
                <w:szCs w:val="28"/>
                <w:rtl/>
                <w:lang w:eastAsia="zh-CN"/>
              </w:rPr>
              <w:t xml:space="preserve">والمخصصة </w:t>
            </w:r>
            <w:r w:rsidRPr="00467BE7">
              <w:rPr>
                <w:rFonts w:eastAsia="SimSun"/>
                <w:sz w:val="28"/>
                <w:szCs w:val="28"/>
                <w:rtl/>
                <w:lang w:eastAsia="zh-CN"/>
              </w:rPr>
              <w:t>من الأموال الاحتياطية حتى نهاية عام </w:t>
            </w:r>
            <w:r w:rsidRPr="0004173E">
              <w:rPr>
                <w:rFonts w:eastAsia="SimSun"/>
                <w:sz w:val="28"/>
                <w:szCs w:val="28"/>
                <w:rtl/>
                <w:lang w:eastAsia="zh-CN"/>
              </w:rPr>
              <w:t>2014</w:t>
            </w:r>
          </w:p>
        </w:tc>
        <w:tc>
          <w:tcPr>
            <w:tcW w:w="1559" w:type="dxa"/>
          </w:tcPr>
          <w:p w:rsidR="00343D42" w:rsidRPr="00343D42" w:rsidRDefault="00343D42" w:rsidP="00343D42">
            <w:pPr>
              <w:jc w:val="right"/>
              <w:rPr>
                <w:rFonts w:ascii="Arabic Typesetting" w:hAnsi="Arabic Typesetting" w:cs="Arabic Typesetting"/>
                <w:sz w:val="28"/>
                <w:szCs w:val="28"/>
              </w:rPr>
            </w:pPr>
            <w:r w:rsidRPr="00343D42">
              <w:rPr>
                <w:rFonts w:ascii="Arabic Typesetting" w:hAnsi="Arabic Typesetting" w:cs="Arabic Typesetting"/>
                <w:sz w:val="28"/>
                <w:szCs w:val="28"/>
              </w:rPr>
              <w:t>157,642,643</w:t>
            </w:r>
          </w:p>
        </w:tc>
        <w:tc>
          <w:tcPr>
            <w:tcW w:w="1466" w:type="dxa"/>
          </w:tcPr>
          <w:p w:rsidR="00343D42" w:rsidRPr="00343D42" w:rsidRDefault="00343D42" w:rsidP="00343D42">
            <w:pPr>
              <w:jc w:val="right"/>
              <w:rPr>
                <w:rFonts w:ascii="Arabic Typesetting" w:hAnsi="Arabic Typesetting" w:cs="Arabic Typesetting"/>
                <w:sz w:val="28"/>
                <w:szCs w:val="28"/>
              </w:rPr>
            </w:pPr>
            <w:r w:rsidRPr="00343D42">
              <w:rPr>
                <w:rFonts w:ascii="Arabic Typesetting" w:hAnsi="Arabic Typesetting" w:cs="Arabic Typesetting"/>
                <w:sz w:val="28"/>
                <w:szCs w:val="28"/>
              </w:rPr>
              <w:t>75,200,000</w:t>
            </w:r>
          </w:p>
        </w:tc>
        <w:tc>
          <w:tcPr>
            <w:tcW w:w="1570" w:type="dxa"/>
          </w:tcPr>
          <w:p w:rsidR="00343D42" w:rsidRPr="00343D42" w:rsidRDefault="00343D42" w:rsidP="00343D42">
            <w:pPr>
              <w:jc w:val="right"/>
              <w:rPr>
                <w:rFonts w:ascii="Arabic Typesetting" w:hAnsi="Arabic Typesetting" w:cs="Arabic Typesetting"/>
                <w:sz w:val="28"/>
                <w:szCs w:val="28"/>
              </w:rPr>
            </w:pPr>
            <w:r w:rsidRPr="00343D42">
              <w:rPr>
                <w:rFonts w:ascii="Arabic Typesetting" w:hAnsi="Arabic Typesetting" w:cs="Arabic Typesetting"/>
                <w:sz w:val="28"/>
                <w:szCs w:val="28"/>
              </w:rPr>
              <w:t>232,842,643</w:t>
            </w:r>
          </w:p>
        </w:tc>
      </w:tr>
      <w:tr w:rsidR="00343D42" w:rsidRPr="00467BE7" w:rsidTr="00343D42">
        <w:tc>
          <w:tcPr>
            <w:tcW w:w="604" w:type="dxa"/>
          </w:tcPr>
          <w:p w:rsidR="00343D42" w:rsidRPr="00467BE7" w:rsidRDefault="00343D42" w:rsidP="006C0913">
            <w:pPr>
              <w:pStyle w:val="NormalParaAR"/>
              <w:spacing w:after="0" w:line="240" w:lineRule="auto"/>
              <w:rPr>
                <w:rFonts w:eastAsia="SimSun"/>
                <w:sz w:val="28"/>
                <w:szCs w:val="28"/>
                <w:lang w:eastAsia="zh-CN"/>
              </w:rPr>
            </w:pPr>
            <w:r w:rsidRPr="00467BE7">
              <w:rPr>
                <w:rFonts w:eastAsia="SimSun"/>
                <w:sz w:val="28"/>
                <w:szCs w:val="28"/>
                <w:lang w:eastAsia="zh-CN"/>
              </w:rPr>
              <w:t>.</w:t>
            </w:r>
            <w:r w:rsidRPr="0004173E">
              <w:rPr>
                <w:rFonts w:eastAsia="SimSun"/>
                <w:sz w:val="28"/>
                <w:szCs w:val="28"/>
                <w:lang w:eastAsia="zh-CN"/>
              </w:rPr>
              <w:t>5</w:t>
            </w:r>
          </w:p>
        </w:tc>
        <w:tc>
          <w:tcPr>
            <w:tcW w:w="3994" w:type="dxa"/>
          </w:tcPr>
          <w:p w:rsidR="00343D42" w:rsidRPr="00467BE7" w:rsidRDefault="00343D42" w:rsidP="006C0913">
            <w:pPr>
              <w:pStyle w:val="NormalParaAR"/>
              <w:spacing w:after="0" w:line="240" w:lineRule="auto"/>
              <w:rPr>
                <w:rFonts w:eastAsia="SimSun"/>
                <w:sz w:val="28"/>
                <w:szCs w:val="28"/>
                <w:lang w:eastAsia="zh-CN"/>
              </w:rPr>
            </w:pPr>
            <w:r w:rsidRPr="00467BE7">
              <w:rPr>
                <w:rFonts w:eastAsia="SimSun"/>
                <w:sz w:val="28"/>
                <w:szCs w:val="28"/>
                <w:rtl/>
                <w:lang w:eastAsia="zh-CN"/>
              </w:rPr>
              <w:t>النفقات حتى نهاية عام </w:t>
            </w:r>
            <w:r w:rsidRPr="0004173E">
              <w:rPr>
                <w:rFonts w:eastAsia="SimSun"/>
                <w:sz w:val="28"/>
                <w:szCs w:val="28"/>
                <w:rtl/>
                <w:lang w:eastAsia="zh-CN"/>
              </w:rPr>
              <w:t>2015</w:t>
            </w:r>
            <w:r w:rsidRPr="00467BE7">
              <w:rPr>
                <w:rFonts w:eastAsia="SimSun"/>
                <w:sz w:val="28"/>
                <w:szCs w:val="28"/>
                <w:rtl/>
                <w:lang w:eastAsia="zh-CN"/>
              </w:rPr>
              <w:t xml:space="preserve"> والالتزامات </w:t>
            </w:r>
            <w:r w:rsidRPr="00467BE7">
              <w:rPr>
                <w:rFonts w:eastAsia="SimSun" w:hint="cs"/>
                <w:sz w:val="28"/>
                <w:szCs w:val="28"/>
                <w:rtl/>
                <w:lang w:eastAsia="zh-CN"/>
              </w:rPr>
              <w:t>المتبقية و</w:t>
            </w:r>
            <w:r w:rsidRPr="00467BE7">
              <w:rPr>
                <w:rFonts w:eastAsia="SimSun"/>
                <w:sz w:val="28"/>
                <w:szCs w:val="28"/>
                <w:rtl/>
                <w:lang w:eastAsia="zh-CN"/>
              </w:rPr>
              <w:t>المستحقة</w:t>
            </w:r>
          </w:p>
        </w:tc>
        <w:tc>
          <w:tcPr>
            <w:tcW w:w="1559" w:type="dxa"/>
          </w:tcPr>
          <w:p w:rsidR="00343D42" w:rsidRPr="00343D42" w:rsidRDefault="00343D42" w:rsidP="00343D42">
            <w:pPr>
              <w:jc w:val="right"/>
              <w:rPr>
                <w:rFonts w:ascii="Arabic Typesetting" w:hAnsi="Arabic Typesetting" w:cs="Arabic Typesetting"/>
                <w:sz w:val="28"/>
                <w:szCs w:val="28"/>
              </w:rPr>
            </w:pPr>
            <w:r w:rsidRPr="00343D42">
              <w:rPr>
                <w:rFonts w:ascii="Arabic Typesetting" w:hAnsi="Arabic Typesetting" w:cs="Arabic Typesetting"/>
                <w:sz w:val="28"/>
                <w:szCs w:val="28"/>
              </w:rPr>
              <w:t>(157,475,335)</w:t>
            </w:r>
          </w:p>
        </w:tc>
        <w:tc>
          <w:tcPr>
            <w:tcW w:w="1466" w:type="dxa"/>
          </w:tcPr>
          <w:p w:rsidR="00343D42" w:rsidRPr="00343D42" w:rsidRDefault="00343D42" w:rsidP="00343D42">
            <w:pPr>
              <w:jc w:val="right"/>
              <w:rPr>
                <w:rFonts w:ascii="Arabic Typesetting" w:hAnsi="Arabic Typesetting" w:cs="Arabic Typesetting"/>
                <w:sz w:val="28"/>
                <w:szCs w:val="28"/>
              </w:rPr>
            </w:pPr>
            <w:r w:rsidRPr="00343D42">
              <w:rPr>
                <w:rFonts w:ascii="Arabic Typesetting" w:hAnsi="Arabic Typesetting" w:cs="Arabic Typesetting"/>
                <w:sz w:val="28"/>
                <w:szCs w:val="28"/>
              </w:rPr>
              <w:t>(74,151,335)</w:t>
            </w:r>
          </w:p>
        </w:tc>
        <w:tc>
          <w:tcPr>
            <w:tcW w:w="1570" w:type="dxa"/>
          </w:tcPr>
          <w:p w:rsidR="00343D42" w:rsidRPr="00343D42" w:rsidRDefault="00343D42" w:rsidP="00343D42">
            <w:pPr>
              <w:jc w:val="right"/>
              <w:rPr>
                <w:rFonts w:ascii="Arabic Typesetting" w:hAnsi="Arabic Typesetting" w:cs="Arabic Typesetting"/>
                <w:sz w:val="28"/>
                <w:szCs w:val="28"/>
              </w:rPr>
            </w:pPr>
            <w:r w:rsidRPr="00343D42">
              <w:rPr>
                <w:rFonts w:ascii="Arabic Typesetting" w:hAnsi="Arabic Typesetting" w:cs="Arabic Typesetting"/>
                <w:sz w:val="28"/>
                <w:szCs w:val="28"/>
              </w:rPr>
              <w:t>(231,626,670)</w:t>
            </w:r>
          </w:p>
        </w:tc>
      </w:tr>
      <w:tr w:rsidR="00343D42" w:rsidRPr="00467BE7" w:rsidTr="00343D42">
        <w:tc>
          <w:tcPr>
            <w:tcW w:w="604" w:type="dxa"/>
            <w:shd w:val="clear" w:color="auto" w:fill="auto"/>
          </w:tcPr>
          <w:p w:rsidR="00343D42" w:rsidRPr="00467BE7" w:rsidRDefault="00343D42" w:rsidP="006C0913">
            <w:pPr>
              <w:pStyle w:val="NormalParaAR"/>
              <w:spacing w:after="0" w:line="240" w:lineRule="auto"/>
              <w:rPr>
                <w:rFonts w:eastAsia="SimSun"/>
                <w:sz w:val="28"/>
                <w:szCs w:val="28"/>
                <w:lang w:eastAsia="zh-CN"/>
              </w:rPr>
            </w:pPr>
            <w:r w:rsidRPr="00467BE7">
              <w:rPr>
                <w:rFonts w:eastAsia="SimSun"/>
                <w:sz w:val="28"/>
                <w:szCs w:val="28"/>
                <w:lang w:eastAsia="zh-CN"/>
              </w:rPr>
              <w:t>.</w:t>
            </w:r>
            <w:r w:rsidRPr="0004173E">
              <w:rPr>
                <w:rFonts w:eastAsia="SimSun"/>
                <w:sz w:val="28"/>
                <w:szCs w:val="28"/>
                <w:lang w:eastAsia="zh-CN"/>
              </w:rPr>
              <w:t>6</w:t>
            </w:r>
          </w:p>
        </w:tc>
        <w:tc>
          <w:tcPr>
            <w:tcW w:w="3994" w:type="dxa"/>
            <w:shd w:val="clear" w:color="auto" w:fill="D9D9D9" w:themeFill="background1" w:themeFillShade="D9"/>
          </w:tcPr>
          <w:p w:rsidR="00343D42" w:rsidRPr="00467BE7" w:rsidRDefault="00343D42" w:rsidP="001E58B1">
            <w:pPr>
              <w:pStyle w:val="NormalParaAR"/>
              <w:spacing w:after="0" w:line="240" w:lineRule="auto"/>
              <w:rPr>
                <w:rFonts w:eastAsia="SimSun"/>
                <w:sz w:val="28"/>
                <w:szCs w:val="28"/>
                <w:lang w:eastAsia="zh-CN"/>
              </w:rPr>
            </w:pPr>
            <w:r w:rsidRPr="00467BE7">
              <w:rPr>
                <w:rFonts w:eastAsia="SimSun"/>
                <w:sz w:val="28"/>
                <w:szCs w:val="28"/>
                <w:rtl/>
                <w:lang w:eastAsia="zh-CN"/>
              </w:rPr>
              <w:t>الرصيد غير المخصص حتى تاريخ إعداد هذه الوثيقة والذي سيح</w:t>
            </w:r>
            <w:r w:rsidRPr="00467BE7">
              <w:rPr>
                <w:rFonts w:eastAsia="SimSun" w:hint="cs"/>
                <w:sz w:val="28"/>
                <w:szCs w:val="28"/>
                <w:rtl/>
                <w:lang w:eastAsia="zh-CN"/>
              </w:rPr>
              <w:t>وَّ</w:t>
            </w:r>
            <w:r w:rsidRPr="00467BE7">
              <w:rPr>
                <w:rFonts w:eastAsia="SimSun"/>
                <w:sz w:val="28"/>
                <w:szCs w:val="28"/>
                <w:rtl/>
                <w:lang w:eastAsia="zh-CN"/>
              </w:rPr>
              <w:t>ل إلى الأموال الاحتياطية</w:t>
            </w:r>
          </w:p>
        </w:tc>
        <w:tc>
          <w:tcPr>
            <w:tcW w:w="1559" w:type="dxa"/>
            <w:shd w:val="clear" w:color="auto" w:fill="D9D9D9" w:themeFill="background1" w:themeFillShade="D9"/>
          </w:tcPr>
          <w:p w:rsidR="00343D42" w:rsidRPr="00343D42" w:rsidRDefault="00343D42" w:rsidP="00343D42">
            <w:pPr>
              <w:jc w:val="right"/>
              <w:rPr>
                <w:rFonts w:ascii="Arabic Typesetting" w:hAnsi="Arabic Typesetting" w:cs="Arabic Typesetting"/>
                <w:sz w:val="28"/>
                <w:szCs w:val="28"/>
              </w:rPr>
            </w:pPr>
            <w:r w:rsidRPr="00343D42">
              <w:rPr>
                <w:rFonts w:ascii="Arabic Typesetting" w:hAnsi="Arabic Typesetting" w:cs="Arabic Typesetting"/>
                <w:sz w:val="28"/>
                <w:szCs w:val="28"/>
              </w:rPr>
              <w:t>167,308</w:t>
            </w:r>
          </w:p>
        </w:tc>
        <w:tc>
          <w:tcPr>
            <w:tcW w:w="1466" w:type="dxa"/>
            <w:shd w:val="clear" w:color="auto" w:fill="D9D9D9" w:themeFill="background1" w:themeFillShade="D9"/>
          </w:tcPr>
          <w:p w:rsidR="00343D42" w:rsidRPr="00343D42" w:rsidRDefault="00343D42" w:rsidP="00343D42">
            <w:pPr>
              <w:jc w:val="right"/>
              <w:rPr>
                <w:rFonts w:ascii="Arabic Typesetting" w:hAnsi="Arabic Typesetting" w:cs="Arabic Typesetting"/>
                <w:sz w:val="28"/>
                <w:szCs w:val="28"/>
              </w:rPr>
            </w:pPr>
            <w:r w:rsidRPr="00343D42">
              <w:rPr>
                <w:rFonts w:ascii="Arabic Typesetting" w:hAnsi="Arabic Typesetting" w:cs="Arabic Typesetting"/>
                <w:sz w:val="28"/>
                <w:szCs w:val="28"/>
              </w:rPr>
              <w:t>1,048,665</w:t>
            </w:r>
          </w:p>
        </w:tc>
        <w:tc>
          <w:tcPr>
            <w:tcW w:w="1570" w:type="dxa"/>
            <w:shd w:val="clear" w:color="auto" w:fill="D9D9D9" w:themeFill="background1" w:themeFillShade="D9"/>
          </w:tcPr>
          <w:p w:rsidR="00343D42" w:rsidRPr="00343D42" w:rsidRDefault="00343D42" w:rsidP="00343D42">
            <w:pPr>
              <w:jc w:val="right"/>
              <w:rPr>
                <w:rFonts w:ascii="Arabic Typesetting" w:hAnsi="Arabic Typesetting" w:cs="Arabic Typesetting"/>
                <w:sz w:val="28"/>
                <w:szCs w:val="28"/>
              </w:rPr>
            </w:pPr>
            <w:r w:rsidRPr="00343D42">
              <w:rPr>
                <w:rFonts w:ascii="Arabic Typesetting" w:hAnsi="Arabic Typesetting" w:cs="Arabic Typesetting"/>
                <w:sz w:val="28"/>
                <w:szCs w:val="28"/>
              </w:rPr>
              <w:t>1,215,973</w:t>
            </w:r>
          </w:p>
        </w:tc>
      </w:tr>
      <w:tr w:rsidR="00343D42" w:rsidRPr="00467BE7" w:rsidTr="00343D42">
        <w:tc>
          <w:tcPr>
            <w:tcW w:w="604" w:type="dxa"/>
          </w:tcPr>
          <w:p w:rsidR="00343D42" w:rsidRPr="00467BE7" w:rsidRDefault="00343D42" w:rsidP="006C0913">
            <w:pPr>
              <w:pStyle w:val="NormalParaAR"/>
              <w:spacing w:after="0" w:line="240" w:lineRule="auto"/>
              <w:rPr>
                <w:rFonts w:eastAsia="SimSun"/>
                <w:sz w:val="28"/>
                <w:szCs w:val="28"/>
                <w:lang w:eastAsia="zh-CN"/>
              </w:rPr>
            </w:pPr>
          </w:p>
        </w:tc>
        <w:tc>
          <w:tcPr>
            <w:tcW w:w="3994" w:type="dxa"/>
          </w:tcPr>
          <w:p w:rsidR="00343D42" w:rsidRPr="00467BE7" w:rsidRDefault="00343D42" w:rsidP="006C0913">
            <w:pPr>
              <w:pStyle w:val="NormalParaAR"/>
              <w:spacing w:after="0" w:line="240" w:lineRule="auto"/>
              <w:rPr>
                <w:rFonts w:eastAsia="SimSun"/>
                <w:sz w:val="28"/>
                <w:szCs w:val="28"/>
                <w:lang w:eastAsia="zh-CN"/>
              </w:rPr>
            </w:pPr>
          </w:p>
        </w:tc>
        <w:tc>
          <w:tcPr>
            <w:tcW w:w="1559" w:type="dxa"/>
          </w:tcPr>
          <w:p w:rsidR="00343D42" w:rsidRPr="00343D42" w:rsidRDefault="00343D42" w:rsidP="00343D42">
            <w:pPr>
              <w:jc w:val="right"/>
              <w:rPr>
                <w:rFonts w:ascii="Arabic Typesetting" w:hAnsi="Arabic Typesetting" w:cs="Arabic Typesetting"/>
                <w:sz w:val="28"/>
                <w:szCs w:val="28"/>
              </w:rPr>
            </w:pPr>
          </w:p>
        </w:tc>
        <w:tc>
          <w:tcPr>
            <w:tcW w:w="1466" w:type="dxa"/>
          </w:tcPr>
          <w:p w:rsidR="00343D42" w:rsidRPr="00343D42" w:rsidRDefault="00343D42" w:rsidP="00343D42">
            <w:pPr>
              <w:jc w:val="right"/>
              <w:rPr>
                <w:rFonts w:ascii="Arabic Typesetting" w:hAnsi="Arabic Typesetting" w:cs="Arabic Typesetting"/>
                <w:sz w:val="28"/>
                <w:szCs w:val="28"/>
              </w:rPr>
            </w:pPr>
          </w:p>
        </w:tc>
        <w:tc>
          <w:tcPr>
            <w:tcW w:w="1570" w:type="dxa"/>
          </w:tcPr>
          <w:p w:rsidR="00343D42" w:rsidRPr="00343D42" w:rsidRDefault="00343D42" w:rsidP="00343D42">
            <w:pPr>
              <w:jc w:val="right"/>
              <w:rPr>
                <w:rFonts w:ascii="Arabic Typesetting" w:hAnsi="Arabic Typesetting" w:cs="Arabic Typesetting"/>
                <w:sz w:val="28"/>
                <w:szCs w:val="28"/>
              </w:rPr>
            </w:pPr>
          </w:p>
        </w:tc>
      </w:tr>
      <w:tr w:rsidR="00343D42" w:rsidRPr="00467BE7" w:rsidDel="00E90C9B" w:rsidTr="00343D42">
        <w:tc>
          <w:tcPr>
            <w:tcW w:w="604" w:type="dxa"/>
            <w:shd w:val="clear" w:color="auto" w:fill="auto"/>
          </w:tcPr>
          <w:p w:rsidR="00343D42" w:rsidRPr="00467BE7" w:rsidDel="00E90C9B" w:rsidRDefault="00343D42" w:rsidP="006C0913">
            <w:pPr>
              <w:pStyle w:val="NormalParaAR"/>
              <w:spacing w:after="0" w:line="240" w:lineRule="auto"/>
              <w:rPr>
                <w:rFonts w:eastAsia="SimSun"/>
                <w:sz w:val="28"/>
                <w:szCs w:val="28"/>
                <w:lang w:eastAsia="zh-CN"/>
              </w:rPr>
            </w:pPr>
            <w:r w:rsidRPr="00467BE7">
              <w:rPr>
                <w:rFonts w:eastAsia="SimSun"/>
                <w:sz w:val="28"/>
                <w:szCs w:val="28"/>
                <w:lang w:eastAsia="zh-CN"/>
              </w:rPr>
              <w:t>.</w:t>
            </w:r>
            <w:r w:rsidRPr="0004173E">
              <w:rPr>
                <w:rFonts w:eastAsia="SimSun"/>
                <w:sz w:val="28"/>
                <w:szCs w:val="28"/>
                <w:lang w:eastAsia="zh-CN"/>
              </w:rPr>
              <w:t>7</w:t>
            </w:r>
          </w:p>
        </w:tc>
        <w:tc>
          <w:tcPr>
            <w:tcW w:w="3994" w:type="dxa"/>
            <w:shd w:val="clear" w:color="auto" w:fill="auto"/>
          </w:tcPr>
          <w:p w:rsidR="00343D42" w:rsidRPr="00467BE7" w:rsidDel="00E90C9B" w:rsidRDefault="00343D42" w:rsidP="006C0913">
            <w:pPr>
              <w:pStyle w:val="NormalParaAR"/>
              <w:spacing w:after="0" w:line="240" w:lineRule="auto"/>
              <w:rPr>
                <w:rFonts w:eastAsia="SimSun"/>
                <w:sz w:val="28"/>
                <w:szCs w:val="28"/>
                <w:lang w:eastAsia="zh-CN"/>
              </w:rPr>
            </w:pPr>
            <w:r w:rsidRPr="00467BE7">
              <w:rPr>
                <w:rFonts w:eastAsia="SimSun"/>
                <w:sz w:val="28"/>
                <w:szCs w:val="28"/>
                <w:rtl/>
                <w:lang w:eastAsia="zh-CN"/>
              </w:rPr>
              <w:t>الموارد الإضافية المعتمدة في عام </w:t>
            </w:r>
            <w:r w:rsidRPr="0004173E">
              <w:rPr>
                <w:rFonts w:eastAsia="SimSun"/>
                <w:sz w:val="28"/>
                <w:szCs w:val="28"/>
                <w:rtl/>
                <w:lang w:eastAsia="zh-CN"/>
              </w:rPr>
              <w:t>2015</w:t>
            </w:r>
            <w:r w:rsidRPr="00467BE7">
              <w:rPr>
                <w:rFonts w:eastAsia="SimSun"/>
                <w:sz w:val="28"/>
                <w:szCs w:val="28"/>
                <w:rtl/>
                <w:lang w:eastAsia="zh-CN"/>
              </w:rPr>
              <w:t xml:space="preserve"> من الميزانية العادية**</w:t>
            </w:r>
          </w:p>
        </w:tc>
        <w:tc>
          <w:tcPr>
            <w:tcW w:w="1559" w:type="dxa"/>
            <w:shd w:val="clear" w:color="auto" w:fill="auto"/>
          </w:tcPr>
          <w:p w:rsidR="00343D42" w:rsidRPr="00343D42" w:rsidDel="00E90C9B" w:rsidRDefault="00343D42" w:rsidP="00343D42">
            <w:pPr>
              <w:bidi/>
              <w:rPr>
                <w:rFonts w:ascii="Arabic Typesetting" w:hAnsi="Arabic Typesetting" w:cs="Arabic Typesetting"/>
                <w:sz w:val="28"/>
                <w:szCs w:val="28"/>
              </w:rPr>
            </w:pPr>
            <w:r>
              <w:rPr>
                <w:rFonts w:ascii="Arabic Typesetting" w:hAnsi="Arabic Typesetting" w:cs="Arabic Typesetting"/>
                <w:sz w:val="28"/>
                <w:szCs w:val="28"/>
                <w:rtl/>
              </w:rPr>
              <w:t>غير متاح</w:t>
            </w:r>
          </w:p>
        </w:tc>
        <w:tc>
          <w:tcPr>
            <w:tcW w:w="1466" w:type="dxa"/>
            <w:shd w:val="clear" w:color="auto" w:fill="auto"/>
          </w:tcPr>
          <w:p w:rsidR="00343D42" w:rsidRPr="00343D42" w:rsidDel="00E90C9B" w:rsidRDefault="00343D42" w:rsidP="00343D42">
            <w:pPr>
              <w:jc w:val="right"/>
              <w:rPr>
                <w:rFonts w:ascii="Arabic Typesetting" w:hAnsi="Arabic Typesetting" w:cs="Arabic Typesetting"/>
                <w:sz w:val="28"/>
                <w:szCs w:val="28"/>
              </w:rPr>
            </w:pPr>
            <w:r w:rsidRPr="00343D42" w:rsidDel="00E90C9B">
              <w:rPr>
                <w:rFonts w:ascii="Arabic Typesetting" w:hAnsi="Arabic Typesetting" w:cs="Arabic Typesetting"/>
                <w:sz w:val="28"/>
                <w:szCs w:val="28"/>
              </w:rPr>
              <w:t>3,500,000</w:t>
            </w:r>
          </w:p>
        </w:tc>
        <w:tc>
          <w:tcPr>
            <w:tcW w:w="1570" w:type="dxa"/>
            <w:shd w:val="clear" w:color="auto" w:fill="auto"/>
          </w:tcPr>
          <w:p w:rsidR="00343D42" w:rsidRPr="00343D42" w:rsidDel="00E90C9B" w:rsidRDefault="00343D42" w:rsidP="00343D42">
            <w:pPr>
              <w:jc w:val="right"/>
              <w:rPr>
                <w:rFonts w:ascii="Arabic Typesetting" w:hAnsi="Arabic Typesetting" w:cs="Arabic Typesetting"/>
                <w:sz w:val="28"/>
                <w:szCs w:val="28"/>
              </w:rPr>
            </w:pPr>
            <w:r w:rsidRPr="00343D42" w:rsidDel="00E90C9B">
              <w:rPr>
                <w:rFonts w:ascii="Arabic Typesetting" w:hAnsi="Arabic Typesetting" w:cs="Arabic Typesetting"/>
                <w:sz w:val="28"/>
                <w:szCs w:val="28"/>
              </w:rPr>
              <w:t>3,500,000</w:t>
            </w:r>
          </w:p>
        </w:tc>
      </w:tr>
      <w:tr w:rsidR="00343D42" w:rsidRPr="00467BE7" w:rsidTr="00343D42">
        <w:tc>
          <w:tcPr>
            <w:tcW w:w="604" w:type="dxa"/>
          </w:tcPr>
          <w:p w:rsidR="00343D42" w:rsidRPr="00467BE7" w:rsidRDefault="00343D42" w:rsidP="006C0913">
            <w:pPr>
              <w:pStyle w:val="NormalParaAR"/>
              <w:spacing w:after="0" w:line="240" w:lineRule="auto"/>
              <w:rPr>
                <w:rFonts w:eastAsia="SimSun"/>
                <w:sz w:val="28"/>
                <w:szCs w:val="28"/>
                <w:lang w:eastAsia="zh-CN"/>
              </w:rPr>
            </w:pPr>
            <w:r w:rsidRPr="00467BE7">
              <w:rPr>
                <w:rFonts w:eastAsia="SimSun"/>
                <w:sz w:val="28"/>
                <w:szCs w:val="28"/>
                <w:lang w:eastAsia="zh-CN"/>
              </w:rPr>
              <w:t>.</w:t>
            </w:r>
            <w:r w:rsidRPr="0004173E">
              <w:rPr>
                <w:rFonts w:eastAsia="SimSun"/>
                <w:sz w:val="28"/>
                <w:szCs w:val="28"/>
                <w:lang w:eastAsia="zh-CN"/>
              </w:rPr>
              <w:t>8</w:t>
            </w:r>
          </w:p>
        </w:tc>
        <w:tc>
          <w:tcPr>
            <w:tcW w:w="3994" w:type="dxa"/>
          </w:tcPr>
          <w:p w:rsidR="00343D42" w:rsidRPr="00467BE7" w:rsidRDefault="00343D42" w:rsidP="006C0913">
            <w:pPr>
              <w:pStyle w:val="NormalParaAR"/>
              <w:spacing w:after="0" w:line="240" w:lineRule="auto"/>
              <w:rPr>
                <w:rFonts w:eastAsia="SimSun"/>
                <w:sz w:val="28"/>
                <w:szCs w:val="28"/>
                <w:lang w:eastAsia="zh-CN"/>
              </w:rPr>
            </w:pPr>
            <w:r w:rsidRPr="00467BE7">
              <w:rPr>
                <w:rFonts w:eastAsia="SimSun"/>
                <w:sz w:val="28"/>
                <w:szCs w:val="28"/>
                <w:rtl/>
                <w:lang w:eastAsia="zh-CN"/>
              </w:rPr>
              <w:t>النفقات حتى نهاية عام </w:t>
            </w:r>
            <w:r w:rsidRPr="0004173E">
              <w:rPr>
                <w:rFonts w:eastAsia="SimSun"/>
                <w:sz w:val="28"/>
                <w:szCs w:val="28"/>
                <w:rtl/>
                <w:lang w:eastAsia="zh-CN"/>
              </w:rPr>
              <w:t>2015</w:t>
            </w:r>
          </w:p>
        </w:tc>
        <w:tc>
          <w:tcPr>
            <w:tcW w:w="1559" w:type="dxa"/>
          </w:tcPr>
          <w:p w:rsidR="00343D42" w:rsidRPr="00343D42" w:rsidRDefault="00343D42" w:rsidP="00343D42">
            <w:pPr>
              <w:bidi/>
              <w:rPr>
                <w:rFonts w:ascii="Arabic Typesetting" w:hAnsi="Arabic Typesetting" w:cs="Arabic Typesetting"/>
                <w:sz w:val="28"/>
                <w:szCs w:val="28"/>
              </w:rPr>
            </w:pPr>
            <w:r>
              <w:rPr>
                <w:rFonts w:ascii="Arabic Typesetting" w:hAnsi="Arabic Typesetting" w:cs="Arabic Typesetting"/>
                <w:sz w:val="28"/>
                <w:szCs w:val="28"/>
                <w:rtl/>
              </w:rPr>
              <w:t>غير متاح</w:t>
            </w:r>
          </w:p>
        </w:tc>
        <w:tc>
          <w:tcPr>
            <w:tcW w:w="1466" w:type="dxa"/>
          </w:tcPr>
          <w:p w:rsidR="00343D42" w:rsidRPr="00343D42" w:rsidRDefault="00343D42" w:rsidP="00343D42">
            <w:pPr>
              <w:jc w:val="right"/>
              <w:rPr>
                <w:rFonts w:ascii="Arabic Typesetting" w:hAnsi="Arabic Typesetting" w:cs="Arabic Typesetting"/>
                <w:sz w:val="28"/>
                <w:szCs w:val="28"/>
              </w:rPr>
            </w:pPr>
            <w:r w:rsidRPr="00343D42">
              <w:rPr>
                <w:rFonts w:ascii="Arabic Typesetting" w:hAnsi="Arabic Typesetting" w:cs="Arabic Typesetting"/>
                <w:sz w:val="28"/>
                <w:szCs w:val="28"/>
              </w:rPr>
              <w:t>(3,486,353)</w:t>
            </w:r>
          </w:p>
        </w:tc>
        <w:tc>
          <w:tcPr>
            <w:tcW w:w="1570" w:type="dxa"/>
          </w:tcPr>
          <w:p w:rsidR="00343D42" w:rsidRPr="00343D42" w:rsidRDefault="00343D42" w:rsidP="00343D42">
            <w:pPr>
              <w:jc w:val="right"/>
              <w:rPr>
                <w:rFonts w:ascii="Arabic Typesetting" w:hAnsi="Arabic Typesetting" w:cs="Arabic Typesetting"/>
                <w:sz w:val="28"/>
                <w:szCs w:val="28"/>
              </w:rPr>
            </w:pPr>
            <w:r w:rsidRPr="00343D42">
              <w:rPr>
                <w:rFonts w:ascii="Arabic Typesetting" w:hAnsi="Arabic Typesetting" w:cs="Arabic Typesetting"/>
                <w:sz w:val="28"/>
                <w:szCs w:val="28"/>
              </w:rPr>
              <w:t>(3,486,353)</w:t>
            </w:r>
          </w:p>
        </w:tc>
      </w:tr>
      <w:tr w:rsidR="00343D42" w:rsidRPr="00467BE7" w:rsidTr="00343D42">
        <w:trPr>
          <w:trHeight w:val="366"/>
        </w:trPr>
        <w:tc>
          <w:tcPr>
            <w:tcW w:w="604" w:type="dxa"/>
          </w:tcPr>
          <w:p w:rsidR="00343D42" w:rsidRPr="00467BE7" w:rsidRDefault="00343D42" w:rsidP="006C0913">
            <w:pPr>
              <w:pStyle w:val="NormalParaAR"/>
              <w:spacing w:after="0" w:line="240" w:lineRule="auto"/>
              <w:rPr>
                <w:rFonts w:eastAsia="SimSun"/>
                <w:sz w:val="28"/>
                <w:szCs w:val="28"/>
                <w:lang w:eastAsia="zh-CN"/>
              </w:rPr>
            </w:pPr>
            <w:r w:rsidRPr="00467BE7">
              <w:rPr>
                <w:rFonts w:eastAsia="SimSun"/>
                <w:sz w:val="28"/>
                <w:szCs w:val="28"/>
                <w:lang w:eastAsia="zh-CN"/>
              </w:rPr>
              <w:t>.</w:t>
            </w:r>
            <w:r w:rsidRPr="0004173E">
              <w:rPr>
                <w:rFonts w:eastAsia="SimSun"/>
                <w:sz w:val="28"/>
                <w:szCs w:val="28"/>
                <w:lang w:eastAsia="zh-CN"/>
              </w:rPr>
              <w:t>9</w:t>
            </w:r>
          </w:p>
        </w:tc>
        <w:tc>
          <w:tcPr>
            <w:tcW w:w="3994" w:type="dxa"/>
            <w:shd w:val="clear" w:color="auto" w:fill="D9D9D9" w:themeFill="background1" w:themeFillShade="D9"/>
          </w:tcPr>
          <w:p w:rsidR="00343D42" w:rsidRPr="00467BE7" w:rsidRDefault="00343D42" w:rsidP="006C0913">
            <w:pPr>
              <w:pStyle w:val="NormalParaAR"/>
              <w:spacing w:after="0" w:line="240" w:lineRule="auto"/>
              <w:rPr>
                <w:rFonts w:eastAsia="SimSun"/>
                <w:sz w:val="28"/>
                <w:szCs w:val="28"/>
                <w:lang w:eastAsia="zh-CN"/>
              </w:rPr>
            </w:pPr>
            <w:r w:rsidRPr="00467BE7">
              <w:rPr>
                <w:rFonts w:eastAsia="SimSun" w:hint="cs"/>
                <w:sz w:val="28"/>
                <w:szCs w:val="28"/>
                <w:rtl/>
                <w:lang w:eastAsia="zh-CN"/>
              </w:rPr>
              <w:t>الرصيد</w:t>
            </w:r>
            <w:r w:rsidRPr="00467BE7">
              <w:rPr>
                <w:rFonts w:eastAsia="SimSun"/>
                <w:sz w:val="28"/>
                <w:szCs w:val="28"/>
                <w:rtl/>
                <w:lang w:eastAsia="zh-CN"/>
              </w:rPr>
              <w:t xml:space="preserve"> المحوَّل إلى الأموال الاحتياطية في نهاية عام </w:t>
            </w:r>
            <w:r w:rsidRPr="0004173E">
              <w:rPr>
                <w:rFonts w:eastAsia="SimSun"/>
                <w:sz w:val="28"/>
                <w:szCs w:val="28"/>
                <w:rtl/>
                <w:lang w:eastAsia="zh-CN"/>
              </w:rPr>
              <w:t>2015</w:t>
            </w:r>
          </w:p>
        </w:tc>
        <w:tc>
          <w:tcPr>
            <w:tcW w:w="1559" w:type="dxa"/>
            <w:shd w:val="clear" w:color="auto" w:fill="D9D9D9" w:themeFill="background1" w:themeFillShade="D9"/>
          </w:tcPr>
          <w:p w:rsidR="00343D42" w:rsidRPr="00343D42" w:rsidRDefault="00343D42" w:rsidP="00343D42">
            <w:pPr>
              <w:bidi/>
              <w:rPr>
                <w:rFonts w:ascii="Arabic Typesetting" w:hAnsi="Arabic Typesetting" w:cs="Arabic Typesetting"/>
                <w:sz w:val="28"/>
                <w:szCs w:val="28"/>
              </w:rPr>
            </w:pPr>
            <w:r>
              <w:rPr>
                <w:rFonts w:ascii="Arabic Typesetting" w:hAnsi="Arabic Typesetting" w:cs="Arabic Typesetting"/>
                <w:sz w:val="28"/>
                <w:szCs w:val="28"/>
                <w:rtl/>
              </w:rPr>
              <w:t>غير متاح</w:t>
            </w:r>
          </w:p>
        </w:tc>
        <w:tc>
          <w:tcPr>
            <w:tcW w:w="1466" w:type="dxa"/>
            <w:shd w:val="clear" w:color="auto" w:fill="D9D9D9" w:themeFill="background1" w:themeFillShade="D9"/>
          </w:tcPr>
          <w:p w:rsidR="00343D42" w:rsidRPr="00343D42" w:rsidRDefault="00343D42" w:rsidP="00343D42">
            <w:pPr>
              <w:jc w:val="right"/>
              <w:rPr>
                <w:rFonts w:ascii="Arabic Typesetting" w:hAnsi="Arabic Typesetting" w:cs="Arabic Typesetting"/>
                <w:sz w:val="28"/>
                <w:szCs w:val="28"/>
              </w:rPr>
            </w:pPr>
            <w:r w:rsidRPr="00343D42">
              <w:rPr>
                <w:rFonts w:ascii="Arabic Typesetting" w:hAnsi="Arabic Typesetting" w:cs="Arabic Typesetting"/>
                <w:sz w:val="28"/>
                <w:szCs w:val="28"/>
              </w:rPr>
              <w:t>13,647</w:t>
            </w:r>
          </w:p>
        </w:tc>
        <w:tc>
          <w:tcPr>
            <w:tcW w:w="1570" w:type="dxa"/>
            <w:shd w:val="clear" w:color="auto" w:fill="D9D9D9" w:themeFill="background1" w:themeFillShade="D9"/>
          </w:tcPr>
          <w:p w:rsidR="00343D42" w:rsidRPr="00343D42" w:rsidRDefault="00343D42" w:rsidP="00343D42">
            <w:pPr>
              <w:jc w:val="right"/>
              <w:rPr>
                <w:rFonts w:ascii="Arabic Typesetting" w:hAnsi="Arabic Typesetting" w:cs="Arabic Typesetting"/>
                <w:sz w:val="28"/>
                <w:szCs w:val="28"/>
              </w:rPr>
            </w:pPr>
            <w:r w:rsidRPr="00343D42">
              <w:rPr>
                <w:rFonts w:ascii="Arabic Typesetting" w:hAnsi="Arabic Typesetting" w:cs="Arabic Typesetting"/>
                <w:sz w:val="28"/>
                <w:szCs w:val="28"/>
              </w:rPr>
              <w:t>13,647</w:t>
            </w:r>
          </w:p>
        </w:tc>
      </w:tr>
      <w:tr w:rsidR="00343D42" w:rsidRPr="00467BE7" w:rsidTr="00343D42">
        <w:tc>
          <w:tcPr>
            <w:tcW w:w="604" w:type="dxa"/>
          </w:tcPr>
          <w:p w:rsidR="00343D42" w:rsidRPr="00467BE7" w:rsidRDefault="00343D42" w:rsidP="006C0913">
            <w:pPr>
              <w:pStyle w:val="NormalParaAR"/>
              <w:spacing w:after="0" w:line="240" w:lineRule="auto"/>
              <w:rPr>
                <w:rFonts w:eastAsia="SimSun"/>
                <w:sz w:val="28"/>
                <w:szCs w:val="28"/>
                <w:lang w:eastAsia="zh-CN"/>
              </w:rPr>
            </w:pPr>
          </w:p>
        </w:tc>
        <w:tc>
          <w:tcPr>
            <w:tcW w:w="3994" w:type="dxa"/>
          </w:tcPr>
          <w:p w:rsidR="00343D42" w:rsidRPr="00467BE7" w:rsidRDefault="00343D42" w:rsidP="006C0913">
            <w:pPr>
              <w:pStyle w:val="NormalParaAR"/>
              <w:spacing w:after="0" w:line="240" w:lineRule="auto"/>
              <w:rPr>
                <w:rFonts w:eastAsia="SimSun"/>
                <w:sz w:val="28"/>
                <w:szCs w:val="28"/>
                <w:lang w:eastAsia="zh-CN"/>
              </w:rPr>
            </w:pPr>
          </w:p>
        </w:tc>
        <w:tc>
          <w:tcPr>
            <w:tcW w:w="1559" w:type="dxa"/>
          </w:tcPr>
          <w:p w:rsidR="00343D42" w:rsidRPr="00343D42" w:rsidRDefault="00343D42" w:rsidP="00343D42">
            <w:pPr>
              <w:jc w:val="right"/>
              <w:rPr>
                <w:rFonts w:ascii="Arabic Typesetting" w:hAnsi="Arabic Typesetting" w:cs="Arabic Typesetting"/>
                <w:sz w:val="28"/>
                <w:szCs w:val="28"/>
              </w:rPr>
            </w:pPr>
          </w:p>
        </w:tc>
        <w:tc>
          <w:tcPr>
            <w:tcW w:w="1466" w:type="dxa"/>
          </w:tcPr>
          <w:p w:rsidR="00343D42" w:rsidRPr="00343D42" w:rsidRDefault="00343D42" w:rsidP="00343D42">
            <w:pPr>
              <w:jc w:val="right"/>
              <w:rPr>
                <w:rFonts w:ascii="Arabic Typesetting" w:hAnsi="Arabic Typesetting" w:cs="Arabic Typesetting"/>
                <w:sz w:val="28"/>
                <w:szCs w:val="28"/>
              </w:rPr>
            </w:pPr>
          </w:p>
        </w:tc>
        <w:tc>
          <w:tcPr>
            <w:tcW w:w="1570" w:type="dxa"/>
          </w:tcPr>
          <w:p w:rsidR="00343D42" w:rsidRPr="00343D42" w:rsidRDefault="00343D42" w:rsidP="00343D42">
            <w:pPr>
              <w:jc w:val="right"/>
              <w:rPr>
                <w:rFonts w:ascii="Arabic Typesetting" w:hAnsi="Arabic Typesetting" w:cs="Arabic Typesetting"/>
                <w:sz w:val="28"/>
                <w:szCs w:val="28"/>
              </w:rPr>
            </w:pPr>
          </w:p>
        </w:tc>
      </w:tr>
      <w:tr w:rsidR="00343D42" w:rsidRPr="00467BE7" w:rsidTr="00343D42">
        <w:tc>
          <w:tcPr>
            <w:tcW w:w="604" w:type="dxa"/>
          </w:tcPr>
          <w:p w:rsidR="00343D42" w:rsidRPr="00467BE7" w:rsidRDefault="00343D42" w:rsidP="006C0913">
            <w:pPr>
              <w:pStyle w:val="NormalParaAR"/>
              <w:spacing w:after="0" w:line="240" w:lineRule="auto"/>
              <w:rPr>
                <w:rFonts w:eastAsia="SimSun"/>
                <w:sz w:val="28"/>
                <w:szCs w:val="28"/>
                <w:lang w:eastAsia="zh-CN"/>
              </w:rPr>
            </w:pPr>
          </w:p>
        </w:tc>
        <w:tc>
          <w:tcPr>
            <w:tcW w:w="3994" w:type="dxa"/>
          </w:tcPr>
          <w:p w:rsidR="00343D42" w:rsidRPr="00467BE7" w:rsidRDefault="00343D42" w:rsidP="006C0913">
            <w:pPr>
              <w:pStyle w:val="NormalParaAR"/>
              <w:spacing w:after="0" w:line="240" w:lineRule="auto"/>
              <w:rPr>
                <w:rFonts w:eastAsia="SimSun"/>
                <w:b/>
                <w:bCs/>
                <w:sz w:val="28"/>
                <w:szCs w:val="28"/>
                <w:lang w:eastAsia="zh-CN"/>
              </w:rPr>
            </w:pPr>
            <w:r w:rsidRPr="00467BE7">
              <w:rPr>
                <w:rFonts w:eastAsia="SimSun"/>
                <w:b/>
                <w:bCs/>
                <w:sz w:val="28"/>
                <w:szCs w:val="28"/>
                <w:rtl/>
                <w:lang w:eastAsia="zh-CN"/>
              </w:rPr>
              <w:t>المجاميع</w:t>
            </w:r>
          </w:p>
        </w:tc>
        <w:tc>
          <w:tcPr>
            <w:tcW w:w="1559" w:type="dxa"/>
          </w:tcPr>
          <w:p w:rsidR="00343D42" w:rsidRPr="00343D42" w:rsidRDefault="00343D42" w:rsidP="00343D42">
            <w:pPr>
              <w:jc w:val="right"/>
              <w:rPr>
                <w:rFonts w:ascii="Arabic Typesetting" w:hAnsi="Arabic Typesetting" w:cs="Arabic Typesetting"/>
                <w:sz w:val="28"/>
                <w:szCs w:val="28"/>
              </w:rPr>
            </w:pPr>
          </w:p>
        </w:tc>
        <w:tc>
          <w:tcPr>
            <w:tcW w:w="1466" w:type="dxa"/>
          </w:tcPr>
          <w:p w:rsidR="00343D42" w:rsidRPr="00343D42" w:rsidRDefault="00343D42" w:rsidP="00343D42">
            <w:pPr>
              <w:jc w:val="right"/>
              <w:rPr>
                <w:rFonts w:ascii="Arabic Typesetting" w:hAnsi="Arabic Typesetting" w:cs="Arabic Typesetting"/>
                <w:sz w:val="28"/>
                <w:szCs w:val="28"/>
              </w:rPr>
            </w:pPr>
          </w:p>
        </w:tc>
        <w:tc>
          <w:tcPr>
            <w:tcW w:w="1570" w:type="dxa"/>
          </w:tcPr>
          <w:p w:rsidR="00343D42" w:rsidRPr="00343D42" w:rsidRDefault="00343D42" w:rsidP="00343D42">
            <w:pPr>
              <w:jc w:val="right"/>
              <w:rPr>
                <w:rFonts w:ascii="Arabic Typesetting" w:hAnsi="Arabic Typesetting" w:cs="Arabic Typesetting"/>
                <w:sz w:val="28"/>
                <w:szCs w:val="28"/>
              </w:rPr>
            </w:pPr>
          </w:p>
        </w:tc>
      </w:tr>
      <w:tr w:rsidR="00343D42" w:rsidRPr="00467BE7" w:rsidTr="00343D42">
        <w:tc>
          <w:tcPr>
            <w:tcW w:w="604" w:type="dxa"/>
            <w:shd w:val="clear" w:color="auto" w:fill="auto"/>
          </w:tcPr>
          <w:p w:rsidR="00343D42" w:rsidRPr="00467BE7" w:rsidRDefault="00343D42" w:rsidP="006C0913">
            <w:pPr>
              <w:pStyle w:val="NormalParaAR"/>
              <w:spacing w:after="0" w:line="240" w:lineRule="auto"/>
              <w:rPr>
                <w:rFonts w:eastAsia="SimSun"/>
                <w:sz w:val="28"/>
                <w:szCs w:val="28"/>
                <w:lang w:eastAsia="zh-CN"/>
              </w:rPr>
            </w:pPr>
            <w:r w:rsidRPr="00467BE7">
              <w:rPr>
                <w:rFonts w:eastAsia="SimSun"/>
                <w:sz w:val="28"/>
                <w:szCs w:val="28"/>
                <w:lang w:eastAsia="zh-CN"/>
              </w:rPr>
              <w:t>.</w:t>
            </w:r>
            <w:r w:rsidRPr="0004173E">
              <w:rPr>
                <w:rFonts w:eastAsia="SimSun"/>
                <w:sz w:val="28"/>
                <w:szCs w:val="28"/>
                <w:lang w:eastAsia="zh-CN"/>
              </w:rPr>
              <w:t>10</w:t>
            </w:r>
          </w:p>
        </w:tc>
        <w:tc>
          <w:tcPr>
            <w:tcW w:w="3994" w:type="dxa"/>
            <w:shd w:val="clear" w:color="auto" w:fill="auto"/>
          </w:tcPr>
          <w:p w:rsidR="00343D42" w:rsidRPr="00467BE7" w:rsidRDefault="00343D42" w:rsidP="00D03B0E">
            <w:pPr>
              <w:pStyle w:val="NormalParaAR"/>
              <w:spacing w:after="0" w:line="240" w:lineRule="auto"/>
              <w:rPr>
                <w:rFonts w:eastAsia="SimSun"/>
                <w:sz w:val="28"/>
                <w:szCs w:val="28"/>
                <w:lang w:eastAsia="zh-CN"/>
              </w:rPr>
            </w:pPr>
            <w:r w:rsidRPr="00467BE7">
              <w:rPr>
                <w:rFonts w:eastAsia="SimSun"/>
                <w:sz w:val="28"/>
                <w:szCs w:val="28"/>
                <w:rtl/>
                <w:lang w:eastAsia="zh-CN"/>
              </w:rPr>
              <w:t>مجموع المخصصات المعتمدة للمشروع حتى نهاية عام </w:t>
            </w:r>
            <w:r w:rsidRPr="0004173E">
              <w:rPr>
                <w:rFonts w:eastAsia="SimSun"/>
                <w:sz w:val="28"/>
                <w:szCs w:val="28"/>
                <w:rtl/>
                <w:lang w:eastAsia="zh-CN"/>
              </w:rPr>
              <w:t>2015</w:t>
            </w:r>
            <w:r w:rsidRPr="00467BE7">
              <w:rPr>
                <w:rFonts w:eastAsia="SimSun"/>
                <w:sz w:val="28"/>
                <w:szCs w:val="28"/>
                <w:rtl/>
                <w:lang w:eastAsia="zh-CN"/>
              </w:rPr>
              <w:t xml:space="preserve"> (=</w:t>
            </w:r>
            <w:r w:rsidRPr="00467BE7">
              <w:rPr>
                <w:rFonts w:eastAsia="SimSun" w:hint="cs"/>
                <w:sz w:val="28"/>
                <w:szCs w:val="28"/>
                <w:rtl/>
                <w:lang w:eastAsia="zh-CN"/>
              </w:rPr>
              <w:t> </w:t>
            </w:r>
            <w:r w:rsidRPr="00467BE7">
              <w:rPr>
                <w:rFonts w:eastAsia="SimSun"/>
                <w:sz w:val="28"/>
                <w:szCs w:val="28"/>
                <w:rtl/>
                <w:lang w:eastAsia="zh-CN"/>
              </w:rPr>
              <w:t>البند</w:t>
            </w:r>
            <w:r w:rsidRPr="00467BE7">
              <w:rPr>
                <w:rFonts w:eastAsia="SimSun" w:hint="cs"/>
                <w:sz w:val="28"/>
                <w:szCs w:val="28"/>
                <w:rtl/>
                <w:lang w:eastAsia="zh-CN"/>
              </w:rPr>
              <w:t xml:space="preserve">ان </w:t>
            </w:r>
            <w:r w:rsidRPr="0004173E">
              <w:rPr>
                <w:rFonts w:eastAsia="SimSun"/>
                <w:sz w:val="28"/>
                <w:szCs w:val="28"/>
                <w:rtl/>
                <w:lang w:eastAsia="zh-CN"/>
              </w:rPr>
              <w:t>4</w:t>
            </w:r>
            <w:r w:rsidRPr="00467BE7">
              <w:rPr>
                <w:rFonts w:eastAsia="SimSun"/>
                <w:sz w:val="28"/>
                <w:szCs w:val="28"/>
                <w:rtl/>
                <w:lang w:eastAsia="zh-CN"/>
              </w:rPr>
              <w:t xml:space="preserve"> + </w:t>
            </w:r>
            <w:r w:rsidRPr="0004173E">
              <w:rPr>
                <w:rFonts w:eastAsia="SimSun"/>
                <w:sz w:val="28"/>
                <w:szCs w:val="28"/>
                <w:rtl/>
                <w:lang w:eastAsia="zh-CN"/>
              </w:rPr>
              <w:t>7</w:t>
            </w:r>
            <w:r w:rsidRPr="00467BE7">
              <w:rPr>
                <w:rFonts w:eastAsia="SimSun"/>
                <w:sz w:val="28"/>
                <w:szCs w:val="28"/>
                <w:rtl/>
                <w:lang w:eastAsia="zh-CN"/>
              </w:rPr>
              <w:t>)</w:t>
            </w:r>
          </w:p>
        </w:tc>
        <w:tc>
          <w:tcPr>
            <w:tcW w:w="1559" w:type="dxa"/>
            <w:shd w:val="clear" w:color="auto" w:fill="auto"/>
          </w:tcPr>
          <w:p w:rsidR="00343D42" w:rsidRPr="00343D42" w:rsidRDefault="00343D42" w:rsidP="00343D42">
            <w:pPr>
              <w:jc w:val="right"/>
              <w:rPr>
                <w:rFonts w:ascii="Arabic Typesetting" w:hAnsi="Arabic Typesetting" w:cs="Arabic Typesetting"/>
                <w:sz w:val="28"/>
                <w:szCs w:val="28"/>
              </w:rPr>
            </w:pPr>
            <w:r w:rsidRPr="00343D42">
              <w:rPr>
                <w:rFonts w:ascii="Arabic Typesetting" w:hAnsi="Arabic Typesetting" w:cs="Arabic Typesetting"/>
                <w:sz w:val="28"/>
                <w:szCs w:val="28"/>
              </w:rPr>
              <w:t>157,642,643</w:t>
            </w:r>
          </w:p>
        </w:tc>
        <w:tc>
          <w:tcPr>
            <w:tcW w:w="1466" w:type="dxa"/>
            <w:shd w:val="clear" w:color="auto" w:fill="auto"/>
          </w:tcPr>
          <w:p w:rsidR="00343D42" w:rsidRPr="00343D42" w:rsidRDefault="00343D42" w:rsidP="00343D42">
            <w:pPr>
              <w:jc w:val="right"/>
              <w:rPr>
                <w:rFonts w:ascii="Arabic Typesetting" w:hAnsi="Arabic Typesetting" w:cs="Arabic Typesetting"/>
                <w:sz w:val="28"/>
                <w:szCs w:val="28"/>
              </w:rPr>
            </w:pPr>
            <w:r w:rsidRPr="00343D42">
              <w:rPr>
                <w:rFonts w:ascii="Arabic Typesetting" w:hAnsi="Arabic Typesetting" w:cs="Arabic Typesetting"/>
                <w:sz w:val="28"/>
                <w:szCs w:val="28"/>
              </w:rPr>
              <w:t>78,700,000</w:t>
            </w:r>
          </w:p>
        </w:tc>
        <w:tc>
          <w:tcPr>
            <w:tcW w:w="1570" w:type="dxa"/>
            <w:shd w:val="clear" w:color="auto" w:fill="auto"/>
          </w:tcPr>
          <w:p w:rsidR="00343D42" w:rsidRPr="00343D42" w:rsidRDefault="00343D42" w:rsidP="00343D42">
            <w:pPr>
              <w:jc w:val="right"/>
              <w:rPr>
                <w:rFonts w:ascii="Arabic Typesetting" w:hAnsi="Arabic Typesetting" w:cs="Arabic Typesetting"/>
                <w:sz w:val="28"/>
                <w:szCs w:val="28"/>
              </w:rPr>
            </w:pPr>
            <w:r w:rsidRPr="00343D42">
              <w:rPr>
                <w:rFonts w:ascii="Arabic Typesetting" w:hAnsi="Arabic Typesetting" w:cs="Arabic Typesetting"/>
                <w:sz w:val="28"/>
                <w:szCs w:val="28"/>
              </w:rPr>
              <w:t>236,342,643</w:t>
            </w:r>
          </w:p>
        </w:tc>
      </w:tr>
      <w:tr w:rsidR="00343D42" w:rsidRPr="00467BE7" w:rsidDel="00E90C9B" w:rsidTr="00343D42">
        <w:tc>
          <w:tcPr>
            <w:tcW w:w="604" w:type="dxa"/>
            <w:shd w:val="clear" w:color="auto" w:fill="auto"/>
          </w:tcPr>
          <w:p w:rsidR="00343D42" w:rsidRPr="00467BE7" w:rsidDel="00E90C9B" w:rsidRDefault="00343D42" w:rsidP="006C0913">
            <w:pPr>
              <w:pStyle w:val="NormalParaAR"/>
              <w:spacing w:after="0" w:line="240" w:lineRule="auto"/>
              <w:rPr>
                <w:rFonts w:eastAsia="SimSun"/>
                <w:sz w:val="28"/>
                <w:szCs w:val="28"/>
                <w:lang w:eastAsia="zh-CN"/>
              </w:rPr>
            </w:pPr>
            <w:r w:rsidRPr="00467BE7" w:rsidDel="00E90C9B">
              <w:rPr>
                <w:rFonts w:eastAsia="SimSun"/>
                <w:sz w:val="28"/>
                <w:szCs w:val="28"/>
                <w:lang w:eastAsia="zh-CN"/>
              </w:rPr>
              <w:t>.</w:t>
            </w:r>
            <w:r w:rsidRPr="0004173E">
              <w:rPr>
                <w:rFonts w:eastAsia="SimSun"/>
                <w:sz w:val="28"/>
                <w:szCs w:val="28"/>
                <w:lang w:eastAsia="zh-CN"/>
              </w:rPr>
              <w:t>11</w:t>
            </w:r>
          </w:p>
        </w:tc>
        <w:tc>
          <w:tcPr>
            <w:tcW w:w="3994" w:type="dxa"/>
            <w:shd w:val="clear" w:color="auto" w:fill="auto"/>
          </w:tcPr>
          <w:p w:rsidR="00343D42" w:rsidRPr="00467BE7" w:rsidDel="00E90C9B" w:rsidRDefault="00343D42" w:rsidP="00D03B0E">
            <w:pPr>
              <w:pStyle w:val="NormalParaAR"/>
              <w:spacing w:after="0" w:line="240" w:lineRule="auto"/>
              <w:rPr>
                <w:rFonts w:eastAsia="SimSun"/>
                <w:sz w:val="28"/>
                <w:szCs w:val="28"/>
                <w:lang w:eastAsia="zh-CN"/>
              </w:rPr>
            </w:pPr>
            <w:r w:rsidRPr="00467BE7">
              <w:rPr>
                <w:rFonts w:eastAsia="SimSun"/>
                <w:sz w:val="28"/>
                <w:szCs w:val="28"/>
                <w:rtl/>
                <w:lang w:eastAsia="zh-CN"/>
              </w:rPr>
              <w:t>مجموع النفقات حتى نهاية عام </w:t>
            </w:r>
            <w:r w:rsidRPr="0004173E">
              <w:rPr>
                <w:rFonts w:eastAsia="SimSun"/>
                <w:sz w:val="28"/>
                <w:szCs w:val="28"/>
                <w:rtl/>
                <w:lang w:eastAsia="zh-CN"/>
              </w:rPr>
              <w:t>2015</w:t>
            </w:r>
            <w:r w:rsidRPr="00467BE7">
              <w:rPr>
                <w:rFonts w:eastAsia="SimSun"/>
                <w:sz w:val="28"/>
                <w:szCs w:val="28"/>
                <w:rtl/>
                <w:lang w:eastAsia="zh-CN"/>
              </w:rPr>
              <w:t xml:space="preserve"> والالتزامات</w:t>
            </w:r>
            <w:r w:rsidRPr="00467BE7">
              <w:rPr>
                <w:rFonts w:eastAsia="SimSun" w:hint="cs"/>
                <w:sz w:val="28"/>
                <w:szCs w:val="28"/>
                <w:rtl/>
                <w:lang w:eastAsia="zh-CN"/>
              </w:rPr>
              <w:t xml:space="preserve"> المتبقية و</w:t>
            </w:r>
            <w:r w:rsidRPr="00467BE7">
              <w:rPr>
                <w:rFonts w:eastAsia="SimSun"/>
                <w:sz w:val="28"/>
                <w:szCs w:val="28"/>
                <w:rtl/>
                <w:lang w:eastAsia="zh-CN"/>
              </w:rPr>
              <w:t>المستحقة (=</w:t>
            </w:r>
            <w:r w:rsidRPr="00467BE7">
              <w:rPr>
                <w:rFonts w:eastAsia="SimSun" w:hint="cs"/>
                <w:sz w:val="28"/>
                <w:szCs w:val="28"/>
                <w:rtl/>
                <w:lang w:eastAsia="zh-CN"/>
              </w:rPr>
              <w:t> </w:t>
            </w:r>
            <w:r w:rsidRPr="00467BE7">
              <w:rPr>
                <w:rFonts w:eastAsia="SimSun"/>
                <w:sz w:val="28"/>
                <w:szCs w:val="28"/>
                <w:rtl/>
                <w:lang w:eastAsia="zh-CN"/>
              </w:rPr>
              <w:t>البند</w:t>
            </w:r>
            <w:r w:rsidRPr="00467BE7">
              <w:rPr>
                <w:rFonts w:eastAsia="SimSun" w:hint="cs"/>
                <w:sz w:val="28"/>
                <w:szCs w:val="28"/>
                <w:rtl/>
                <w:lang w:eastAsia="zh-CN"/>
              </w:rPr>
              <w:t>ان</w:t>
            </w:r>
            <w:r w:rsidRPr="00467BE7">
              <w:rPr>
                <w:rFonts w:eastAsia="SimSun"/>
                <w:sz w:val="28"/>
                <w:szCs w:val="28"/>
                <w:rtl/>
                <w:lang w:eastAsia="zh-CN"/>
              </w:rPr>
              <w:t xml:space="preserve"> </w:t>
            </w:r>
            <w:r w:rsidRPr="0004173E">
              <w:rPr>
                <w:rFonts w:eastAsia="SimSun" w:hint="cs"/>
                <w:sz w:val="28"/>
                <w:szCs w:val="28"/>
                <w:rtl/>
                <w:lang w:eastAsia="zh-CN"/>
              </w:rPr>
              <w:t>5</w:t>
            </w:r>
            <w:r w:rsidRPr="00467BE7">
              <w:rPr>
                <w:rFonts w:eastAsia="SimSun"/>
                <w:sz w:val="28"/>
                <w:szCs w:val="28"/>
                <w:rtl/>
                <w:lang w:eastAsia="zh-CN"/>
              </w:rPr>
              <w:t xml:space="preserve"> + </w:t>
            </w:r>
            <w:r w:rsidRPr="0004173E">
              <w:rPr>
                <w:rFonts w:eastAsia="SimSun" w:hint="cs"/>
                <w:sz w:val="28"/>
                <w:szCs w:val="28"/>
                <w:rtl/>
                <w:lang w:eastAsia="zh-CN"/>
              </w:rPr>
              <w:t>8</w:t>
            </w:r>
            <w:r w:rsidRPr="00467BE7">
              <w:rPr>
                <w:rFonts w:eastAsia="SimSun"/>
                <w:sz w:val="28"/>
                <w:szCs w:val="28"/>
                <w:rtl/>
                <w:lang w:eastAsia="zh-CN"/>
              </w:rPr>
              <w:t>)</w:t>
            </w:r>
          </w:p>
        </w:tc>
        <w:tc>
          <w:tcPr>
            <w:tcW w:w="1559" w:type="dxa"/>
            <w:shd w:val="clear" w:color="auto" w:fill="auto"/>
          </w:tcPr>
          <w:p w:rsidR="00343D42" w:rsidRPr="00343D42" w:rsidDel="00E90C9B" w:rsidRDefault="00343D42" w:rsidP="00343D42">
            <w:pPr>
              <w:jc w:val="right"/>
              <w:rPr>
                <w:rFonts w:ascii="Arabic Typesetting" w:hAnsi="Arabic Typesetting" w:cs="Arabic Typesetting"/>
                <w:sz w:val="28"/>
                <w:szCs w:val="28"/>
              </w:rPr>
            </w:pPr>
            <w:r w:rsidRPr="00343D42" w:rsidDel="00E90C9B">
              <w:rPr>
                <w:rFonts w:ascii="Arabic Typesetting" w:hAnsi="Arabic Typesetting" w:cs="Arabic Typesetting"/>
                <w:sz w:val="28"/>
                <w:szCs w:val="28"/>
              </w:rPr>
              <w:t>(157,475,335)</w:t>
            </w:r>
          </w:p>
        </w:tc>
        <w:tc>
          <w:tcPr>
            <w:tcW w:w="1466" w:type="dxa"/>
            <w:shd w:val="clear" w:color="auto" w:fill="auto"/>
          </w:tcPr>
          <w:p w:rsidR="00343D42" w:rsidRPr="00343D42" w:rsidDel="00E90C9B" w:rsidRDefault="00343D42" w:rsidP="00343D42">
            <w:pPr>
              <w:jc w:val="right"/>
              <w:rPr>
                <w:rFonts w:ascii="Arabic Typesetting" w:hAnsi="Arabic Typesetting" w:cs="Arabic Typesetting"/>
                <w:sz w:val="28"/>
                <w:szCs w:val="28"/>
              </w:rPr>
            </w:pPr>
            <w:r w:rsidRPr="00343D42" w:rsidDel="00E90C9B">
              <w:rPr>
                <w:rFonts w:ascii="Arabic Typesetting" w:hAnsi="Arabic Typesetting" w:cs="Arabic Typesetting"/>
                <w:sz w:val="28"/>
                <w:szCs w:val="28"/>
              </w:rPr>
              <w:t>(</w:t>
            </w:r>
            <w:r w:rsidRPr="00343D42">
              <w:rPr>
                <w:rFonts w:ascii="Arabic Typesetting" w:hAnsi="Arabic Typesetting" w:cs="Arabic Typesetting"/>
                <w:sz w:val="28"/>
                <w:szCs w:val="28"/>
              </w:rPr>
              <w:t>77,637,688</w:t>
            </w:r>
            <w:r w:rsidRPr="00343D42" w:rsidDel="00E90C9B">
              <w:rPr>
                <w:rFonts w:ascii="Arabic Typesetting" w:hAnsi="Arabic Typesetting" w:cs="Arabic Typesetting"/>
                <w:sz w:val="28"/>
                <w:szCs w:val="28"/>
              </w:rPr>
              <w:t>)</w:t>
            </w:r>
          </w:p>
        </w:tc>
        <w:tc>
          <w:tcPr>
            <w:tcW w:w="1570" w:type="dxa"/>
            <w:shd w:val="clear" w:color="auto" w:fill="auto"/>
          </w:tcPr>
          <w:p w:rsidR="00343D42" w:rsidRPr="00343D42" w:rsidDel="00E90C9B" w:rsidRDefault="00343D42" w:rsidP="00343D42">
            <w:pPr>
              <w:jc w:val="right"/>
              <w:rPr>
                <w:rFonts w:ascii="Arabic Typesetting" w:hAnsi="Arabic Typesetting" w:cs="Arabic Typesetting"/>
                <w:sz w:val="28"/>
                <w:szCs w:val="28"/>
              </w:rPr>
            </w:pPr>
            <w:r w:rsidRPr="00343D42" w:rsidDel="00E90C9B">
              <w:rPr>
                <w:rFonts w:ascii="Arabic Typesetting" w:hAnsi="Arabic Typesetting" w:cs="Arabic Typesetting"/>
                <w:sz w:val="28"/>
                <w:szCs w:val="28"/>
              </w:rPr>
              <w:t>(</w:t>
            </w:r>
            <w:r w:rsidRPr="00343D42">
              <w:rPr>
                <w:rFonts w:ascii="Arabic Typesetting" w:hAnsi="Arabic Typesetting" w:cs="Arabic Typesetting"/>
                <w:sz w:val="28"/>
                <w:szCs w:val="28"/>
              </w:rPr>
              <w:t>235,113,023</w:t>
            </w:r>
            <w:r w:rsidRPr="00343D42" w:rsidDel="00E90C9B">
              <w:rPr>
                <w:rFonts w:ascii="Arabic Typesetting" w:hAnsi="Arabic Typesetting" w:cs="Arabic Typesetting"/>
                <w:sz w:val="28"/>
                <w:szCs w:val="28"/>
              </w:rPr>
              <w:t>)</w:t>
            </w:r>
          </w:p>
        </w:tc>
      </w:tr>
      <w:tr w:rsidR="00343D42" w:rsidRPr="00467BE7" w:rsidTr="00343D42">
        <w:tc>
          <w:tcPr>
            <w:tcW w:w="604" w:type="dxa"/>
            <w:shd w:val="clear" w:color="auto" w:fill="auto"/>
          </w:tcPr>
          <w:p w:rsidR="00343D42" w:rsidRPr="00467BE7" w:rsidRDefault="00343D42" w:rsidP="006C0913">
            <w:pPr>
              <w:pStyle w:val="NormalParaAR"/>
              <w:spacing w:after="0" w:line="240" w:lineRule="auto"/>
              <w:rPr>
                <w:rFonts w:eastAsia="SimSun"/>
                <w:sz w:val="28"/>
                <w:szCs w:val="28"/>
                <w:lang w:eastAsia="zh-CN"/>
              </w:rPr>
            </w:pPr>
            <w:r w:rsidRPr="00467BE7">
              <w:rPr>
                <w:rFonts w:eastAsia="SimSun"/>
                <w:sz w:val="28"/>
                <w:szCs w:val="28"/>
                <w:lang w:eastAsia="zh-CN"/>
              </w:rPr>
              <w:t>.</w:t>
            </w:r>
            <w:r w:rsidRPr="0004173E">
              <w:rPr>
                <w:rFonts w:eastAsia="SimSun"/>
                <w:sz w:val="28"/>
                <w:szCs w:val="28"/>
                <w:lang w:eastAsia="zh-CN"/>
              </w:rPr>
              <w:t>12</w:t>
            </w:r>
          </w:p>
        </w:tc>
        <w:tc>
          <w:tcPr>
            <w:tcW w:w="3994" w:type="dxa"/>
            <w:shd w:val="clear" w:color="auto" w:fill="D9D9D9" w:themeFill="background1" w:themeFillShade="D9"/>
          </w:tcPr>
          <w:p w:rsidR="00343D42" w:rsidRPr="00467BE7" w:rsidRDefault="00343D42" w:rsidP="00D03B0E">
            <w:pPr>
              <w:pStyle w:val="NormalParaAR"/>
              <w:spacing w:after="0" w:line="240" w:lineRule="auto"/>
              <w:rPr>
                <w:rFonts w:eastAsia="SimSun"/>
                <w:sz w:val="28"/>
                <w:szCs w:val="28"/>
                <w:lang w:eastAsia="zh-CN"/>
              </w:rPr>
            </w:pPr>
            <w:r w:rsidRPr="00467BE7">
              <w:rPr>
                <w:rFonts w:eastAsia="SimSun"/>
                <w:sz w:val="28"/>
                <w:szCs w:val="28"/>
                <w:rtl/>
                <w:lang w:eastAsia="zh-CN"/>
              </w:rPr>
              <w:t>مجموع الرصيد غير المخصص حتى تاريخ إعداد هذه الوثيقة (=</w:t>
            </w:r>
            <w:r w:rsidRPr="00467BE7">
              <w:rPr>
                <w:rFonts w:eastAsia="SimSun" w:hint="cs"/>
                <w:sz w:val="28"/>
                <w:szCs w:val="28"/>
                <w:rtl/>
                <w:lang w:eastAsia="zh-CN"/>
              </w:rPr>
              <w:t> البندان </w:t>
            </w:r>
            <w:r w:rsidRPr="0004173E">
              <w:rPr>
                <w:rFonts w:eastAsia="SimSun"/>
                <w:sz w:val="28"/>
                <w:szCs w:val="28"/>
                <w:rtl/>
                <w:lang w:eastAsia="zh-CN"/>
              </w:rPr>
              <w:t>6</w:t>
            </w:r>
            <w:r w:rsidRPr="00467BE7">
              <w:rPr>
                <w:rFonts w:eastAsia="SimSun"/>
                <w:sz w:val="28"/>
                <w:szCs w:val="28"/>
                <w:rtl/>
                <w:lang w:eastAsia="zh-CN"/>
              </w:rPr>
              <w:t xml:space="preserve"> + </w:t>
            </w:r>
            <w:r w:rsidRPr="0004173E">
              <w:rPr>
                <w:rFonts w:eastAsia="SimSun"/>
                <w:sz w:val="28"/>
                <w:szCs w:val="28"/>
                <w:rtl/>
                <w:lang w:eastAsia="zh-CN"/>
              </w:rPr>
              <w:t>9</w:t>
            </w:r>
            <w:r w:rsidRPr="00467BE7">
              <w:rPr>
                <w:rFonts w:eastAsia="SimSun"/>
                <w:sz w:val="28"/>
                <w:szCs w:val="28"/>
                <w:rtl/>
                <w:lang w:eastAsia="zh-CN"/>
              </w:rPr>
              <w:t>)</w:t>
            </w:r>
          </w:p>
        </w:tc>
        <w:tc>
          <w:tcPr>
            <w:tcW w:w="1559" w:type="dxa"/>
            <w:shd w:val="clear" w:color="auto" w:fill="D9D9D9" w:themeFill="background1" w:themeFillShade="D9"/>
          </w:tcPr>
          <w:p w:rsidR="00343D42" w:rsidRPr="00343D42" w:rsidRDefault="00343D42" w:rsidP="00343D42">
            <w:pPr>
              <w:jc w:val="right"/>
              <w:rPr>
                <w:rFonts w:ascii="Arabic Typesetting" w:hAnsi="Arabic Typesetting" w:cs="Arabic Typesetting"/>
                <w:sz w:val="28"/>
                <w:szCs w:val="28"/>
              </w:rPr>
            </w:pPr>
            <w:r w:rsidRPr="00343D42">
              <w:rPr>
                <w:rFonts w:ascii="Arabic Typesetting" w:hAnsi="Arabic Typesetting" w:cs="Arabic Typesetting"/>
                <w:sz w:val="28"/>
                <w:szCs w:val="28"/>
              </w:rPr>
              <w:t>167,308</w:t>
            </w:r>
          </w:p>
        </w:tc>
        <w:tc>
          <w:tcPr>
            <w:tcW w:w="1466" w:type="dxa"/>
            <w:shd w:val="clear" w:color="auto" w:fill="D9D9D9" w:themeFill="background1" w:themeFillShade="D9"/>
          </w:tcPr>
          <w:p w:rsidR="00343D42" w:rsidRPr="00343D42" w:rsidRDefault="00343D42" w:rsidP="00343D42">
            <w:pPr>
              <w:jc w:val="right"/>
              <w:rPr>
                <w:rFonts w:ascii="Arabic Typesetting" w:hAnsi="Arabic Typesetting" w:cs="Arabic Typesetting"/>
                <w:sz w:val="28"/>
                <w:szCs w:val="28"/>
              </w:rPr>
            </w:pPr>
            <w:r w:rsidRPr="00343D42">
              <w:rPr>
                <w:rFonts w:ascii="Arabic Typesetting" w:hAnsi="Arabic Typesetting" w:cs="Arabic Typesetting"/>
                <w:sz w:val="28"/>
                <w:szCs w:val="28"/>
              </w:rPr>
              <w:t>1,062,312</w:t>
            </w:r>
          </w:p>
        </w:tc>
        <w:tc>
          <w:tcPr>
            <w:tcW w:w="1570" w:type="dxa"/>
            <w:shd w:val="clear" w:color="auto" w:fill="D9D9D9" w:themeFill="background1" w:themeFillShade="D9"/>
          </w:tcPr>
          <w:p w:rsidR="00343D42" w:rsidRPr="00343D42" w:rsidRDefault="00343D42" w:rsidP="00343D42">
            <w:pPr>
              <w:jc w:val="right"/>
              <w:rPr>
                <w:rFonts w:ascii="Arabic Typesetting" w:hAnsi="Arabic Typesetting" w:cs="Arabic Typesetting"/>
                <w:sz w:val="28"/>
                <w:szCs w:val="28"/>
              </w:rPr>
            </w:pPr>
            <w:r w:rsidRPr="00343D42">
              <w:rPr>
                <w:rFonts w:ascii="Arabic Typesetting" w:hAnsi="Arabic Typesetting" w:cs="Arabic Typesetting"/>
                <w:sz w:val="28"/>
                <w:szCs w:val="28"/>
              </w:rPr>
              <w:t>1,229,620</w:t>
            </w:r>
          </w:p>
        </w:tc>
      </w:tr>
    </w:tbl>
    <w:p w:rsidR="006015A1" w:rsidRPr="00467BE7" w:rsidRDefault="006015A1" w:rsidP="009D0D9F">
      <w:pPr>
        <w:pStyle w:val="NormalParaAR"/>
        <w:spacing w:before="240"/>
        <w:rPr>
          <w:rFonts w:eastAsia="SimSun"/>
          <w:sz w:val="28"/>
          <w:szCs w:val="28"/>
          <w:rtl/>
          <w:lang w:eastAsia="zh-CN"/>
        </w:rPr>
      </w:pPr>
      <w:r w:rsidRPr="00467BE7">
        <w:rPr>
          <w:rFonts w:eastAsia="SimSun" w:hint="cs"/>
          <w:sz w:val="28"/>
          <w:szCs w:val="28"/>
          <w:rtl/>
          <w:lang w:eastAsia="zh-CN"/>
        </w:rPr>
        <w:t xml:space="preserve">* ورد في الوثيقة </w:t>
      </w:r>
      <w:r w:rsidRPr="00467BE7">
        <w:rPr>
          <w:rFonts w:eastAsia="SimSun"/>
          <w:sz w:val="28"/>
          <w:szCs w:val="28"/>
          <w:lang w:eastAsia="zh-CN"/>
        </w:rPr>
        <w:t>WO/PBC/</w:t>
      </w:r>
      <w:r w:rsidRPr="0004173E">
        <w:rPr>
          <w:rFonts w:eastAsia="SimSun"/>
          <w:sz w:val="28"/>
          <w:szCs w:val="28"/>
          <w:lang w:eastAsia="zh-CN"/>
        </w:rPr>
        <w:t>18</w:t>
      </w:r>
      <w:r w:rsidRPr="00467BE7">
        <w:rPr>
          <w:rFonts w:eastAsia="SimSun"/>
          <w:sz w:val="28"/>
          <w:szCs w:val="28"/>
          <w:lang w:eastAsia="zh-CN"/>
        </w:rPr>
        <w:t>/</w:t>
      </w:r>
      <w:r w:rsidRPr="0004173E">
        <w:rPr>
          <w:rFonts w:eastAsia="SimSun"/>
          <w:sz w:val="28"/>
          <w:szCs w:val="28"/>
          <w:lang w:eastAsia="zh-CN"/>
        </w:rPr>
        <w:t>9</w:t>
      </w:r>
      <w:r w:rsidRPr="00467BE7">
        <w:rPr>
          <w:rFonts w:eastAsia="SimSun" w:hint="cs"/>
          <w:sz w:val="28"/>
          <w:szCs w:val="28"/>
          <w:rtl/>
          <w:lang w:eastAsia="zh-CN"/>
        </w:rPr>
        <w:t xml:space="preserve"> أن المبلغ </w:t>
      </w:r>
      <w:r w:rsidR="00267068" w:rsidRPr="00467BE7">
        <w:rPr>
          <w:rFonts w:eastAsia="SimSun" w:hint="cs"/>
          <w:sz w:val="28"/>
          <w:szCs w:val="28"/>
          <w:rtl/>
          <w:lang w:eastAsia="zh-CN"/>
        </w:rPr>
        <w:t>المحوَّل وقدره</w:t>
      </w:r>
      <w:r w:rsidRPr="00467BE7">
        <w:rPr>
          <w:rFonts w:eastAsia="SimSun" w:hint="cs"/>
          <w:sz w:val="28"/>
          <w:szCs w:val="28"/>
          <w:rtl/>
          <w:lang w:eastAsia="zh-CN"/>
        </w:rPr>
        <w:t xml:space="preserve"> </w:t>
      </w:r>
      <w:r w:rsidRPr="0004173E">
        <w:rPr>
          <w:rFonts w:eastAsia="SimSun" w:hint="cs"/>
          <w:sz w:val="28"/>
          <w:szCs w:val="28"/>
          <w:rtl/>
          <w:lang w:eastAsia="zh-CN"/>
        </w:rPr>
        <w:t>000</w:t>
      </w:r>
      <w:r w:rsidRPr="00467BE7">
        <w:rPr>
          <w:rFonts w:eastAsia="SimSun" w:hint="cs"/>
          <w:sz w:val="28"/>
          <w:szCs w:val="28"/>
          <w:rtl/>
          <w:lang w:eastAsia="zh-CN"/>
        </w:rPr>
        <w:t> </w:t>
      </w:r>
      <w:r w:rsidRPr="0004173E">
        <w:rPr>
          <w:rFonts w:eastAsia="SimSun" w:hint="cs"/>
          <w:sz w:val="28"/>
          <w:szCs w:val="28"/>
          <w:rtl/>
          <w:lang w:eastAsia="zh-CN"/>
        </w:rPr>
        <w:t>500</w:t>
      </w:r>
      <w:r w:rsidRPr="00467BE7">
        <w:rPr>
          <w:rFonts w:eastAsia="SimSun" w:hint="cs"/>
          <w:sz w:val="28"/>
          <w:szCs w:val="28"/>
          <w:rtl/>
          <w:lang w:eastAsia="zh-CN"/>
        </w:rPr>
        <w:t> </w:t>
      </w:r>
      <w:r w:rsidRPr="0004173E">
        <w:rPr>
          <w:rFonts w:eastAsia="SimSun" w:hint="cs"/>
          <w:sz w:val="28"/>
          <w:szCs w:val="28"/>
          <w:rtl/>
          <w:lang w:eastAsia="zh-CN"/>
        </w:rPr>
        <w:t>4</w:t>
      </w:r>
      <w:r w:rsidRPr="00467BE7">
        <w:rPr>
          <w:rFonts w:eastAsia="SimSun" w:hint="cs"/>
          <w:sz w:val="28"/>
          <w:szCs w:val="28"/>
          <w:rtl/>
          <w:lang w:eastAsia="zh-CN"/>
        </w:rPr>
        <w:t xml:space="preserve"> فرنك سويسري </w:t>
      </w:r>
      <w:r w:rsidR="00267068" w:rsidRPr="00467BE7">
        <w:rPr>
          <w:rFonts w:eastAsia="SimSun" w:hint="cs"/>
          <w:sz w:val="28"/>
          <w:szCs w:val="28"/>
          <w:rtl/>
          <w:lang w:eastAsia="zh-CN"/>
        </w:rPr>
        <w:t>يساوي</w:t>
      </w:r>
      <w:r w:rsidR="00514AEB" w:rsidRPr="00467BE7">
        <w:rPr>
          <w:rFonts w:eastAsia="SimSun" w:hint="cs"/>
          <w:sz w:val="28"/>
          <w:szCs w:val="28"/>
          <w:rtl/>
          <w:lang w:eastAsia="zh-CN"/>
        </w:rPr>
        <w:t xml:space="preserve"> غرامة التأخير المفروضة على المقاول العام السابق </w:t>
      </w:r>
      <w:r w:rsidR="00267068" w:rsidRPr="00467BE7">
        <w:rPr>
          <w:rFonts w:eastAsia="SimSun" w:hint="cs"/>
          <w:sz w:val="28"/>
          <w:szCs w:val="28"/>
          <w:rtl/>
          <w:lang w:eastAsia="zh-CN"/>
        </w:rPr>
        <w:t>وقدرها</w:t>
      </w:r>
      <w:r w:rsidR="00514AEB" w:rsidRPr="00467BE7">
        <w:rPr>
          <w:rFonts w:eastAsia="SimSun" w:hint="cs"/>
          <w:sz w:val="28"/>
          <w:szCs w:val="28"/>
          <w:rtl/>
          <w:lang w:eastAsia="zh-CN"/>
        </w:rPr>
        <w:t xml:space="preserve"> </w:t>
      </w:r>
      <w:r w:rsidR="00514AEB" w:rsidRPr="0004173E">
        <w:rPr>
          <w:rFonts w:eastAsia="SimSun" w:hint="cs"/>
          <w:sz w:val="28"/>
          <w:szCs w:val="28"/>
          <w:rtl/>
          <w:lang w:eastAsia="zh-CN"/>
        </w:rPr>
        <w:t>000</w:t>
      </w:r>
      <w:r w:rsidR="00514AEB" w:rsidRPr="00467BE7">
        <w:rPr>
          <w:rFonts w:eastAsia="SimSun" w:hint="cs"/>
          <w:sz w:val="28"/>
          <w:szCs w:val="28"/>
          <w:rtl/>
          <w:lang w:eastAsia="zh-CN"/>
        </w:rPr>
        <w:t> </w:t>
      </w:r>
      <w:r w:rsidR="00514AEB" w:rsidRPr="0004173E">
        <w:rPr>
          <w:rFonts w:eastAsia="SimSun" w:hint="cs"/>
          <w:sz w:val="28"/>
          <w:szCs w:val="28"/>
          <w:rtl/>
          <w:lang w:eastAsia="zh-CN"/>
        </w:rPr>
        <w:t>225</w:t>
      </w:r>
      <w:r w:rsidR="00514AEB" w:rsidRPr="00467BE7">
        <w:rPr>
          <w:rFonts w:eastAsia="SimSun" w:hint="cs"/>
          <w:sz w:val="28"/>
          <w:szCs w:val="28"/>
          <w:rtl/>
          <w:lang w:eastAsia="zh-CN"/>
        </w:rPr>
        <w:t> </w:t>
      </w:r>
      <w:r w:rsidR="00514AEB" w:rsidRPr="0004173E">
        <w:rPr>
          <w:rFonts w:eastAsia="SimSun" w:hint="cs"/>
          <w:sz w:val="28"/>
          <w:szCs w:val="28"/>
          <w:rtl/>
          <w:lang w:eastAsia="zh-CN"/>
        </w:rPr>
        <w:t>2</w:t>
      </w:r>
      <w:r w:rsidR="00514AEB" w:rsidRPr="00467BE7">
        <w:rPr>
          <w:rFonts w:eastAsia="SimSun" w:hint="cs"/>
          <w:sz w:val="28"/>
          <w:szCs w:val="28"/>
          <w:rtl/>
          <w:lang w:eastAsia="zh-CN"/>
        </w:rPr>
        <w:t xml:space="preserve"> فرنك سويسري </w:t>
      </w:r>
      <w:r w:rsidR="00267068" w:rsidRPr="00467BE7">
        <w:rPr>
          <w:rFonts w:eastAsia="SimSun" w:hint="cs"/>
          <w:sz w:val="28"/>
          <w:szCs w:val="28"/>
          <w:rtl/>
          <w:lang w:eastAsia="zh-CN"/>
        </w:rPr>
        <w:t xml:space="preserve">زائد الرصيد غير المخصص من ميزانية مشروع البناء الجديد (وفورات) البالغ </w:t>
      </w:r>
      <w:r w:rsidR="00514AEB" w:rsidRPr="0004173E">
        <w:rPr>
          <w:rFonts w:eastAsia="SimSun" w:hint="cs"/>
          <w:sz w:val="28"/>
          <w:szCs w:val="28"/>
          <w:rtl/>
          <w:lang w:eastAsia="zh-CN"/>
        </w:rPr>
        <w:t>000</w:t>
      </w:r>
      <w:r w:rsidR="00514AEB" w:rsidRPr="00467BE7">
        <w:rPr>
          <w:rFonts w:eastAsia="SimSun" w:hint="cs"/>
          <w:sz w:val="28"/>
          <w:szCs w:val="28"/>
          <w:rtl/>
          <w:lang w:eastAsia="zh-CN"/>
        </w:rPr>
        <w:t> </w:t>
      </w:r>
      <w:r w:rsidR="00514AEB" w:rsidRPr="0004173E">
        <w:rPr>
          <w:rFonts w:eastAsia="SimSun" w:hint="cs"/>
          <w:sz w:val="28"/>
          <w:szCs w:val="28"/>
          <w:rtl/>
          <w:lang w:eastAsia="zh-CN"/>
        </w:rPr>
        <w:t>275</w:t>
      </w:r>
      <w:r w:rsidR="00514AEB" w:rsidRPr="00467BE7">
        <w:rPr>
          <w:rFonts w:eastAsia="SimSun" w:hint="cs"/>
          <w:sz w:val="28"/>
          <w:szCs w:val="28"/>
          <w:rtl/>
          <w:lang w:eastAsia="zh-CN"/>
        </w:rPr>
        <w:t> </w:t>
      </w:r>
      <w:r w:rsidR="00514AEB" w:rsidRPr="0004173E">
        <w:rPr>
          <w:rFonts w:eastAsia="SimSun" w:hint="cs"/>
          <w:sz w:val="28"/>
          <w:szCs w:val="28"/>
          <w:rtl/>
          <w:lang w:eastAsia="zh-CN"/>
        </w:rPr>
        <w:t>2</w:t>
      </w:r>
      <w:r w:rsidR="00514AEB" w:rsidRPr="00467BE7">
        <w:rPr>
          <w:rFonts w:eastAsia="SimSun" w:hint="cs"/>
          <w:sz w:val="28"/>
          <w:szCs w:val="28"/>
          <w:rtl/>
          <w:lang w:eastAsia="zh-CN"/>
        </w:rPr>
        <w:t xml:space="preserve"> </w:t>
      </w:r>
      <w:r w:rsidR="00267068" w:rsidRPr="00467BE7">
        <w:rPr>
          <w:rFonts w:eastAsia="SimSun" w:hint="cs"/>
          <w:sz w:val="28"/>
          <w:szCs w:val="28"/>
          <w:rtl/>
          <w:lang w:eastAsia="zh-CN"/>
        </w:rPr>
        <w:t>فرنك سويسري</w:t>
      </w:r>
      <w:r w:rsidR="00514AEB" w:rsidRPr="00467BE7">
        <w:rPr>
          <w:rFonts w:eastAsia="SimSun" w:hint="cs"/>
          <w:sz w:val="28"/>
          <w:szCs w:val="28"/>
          <w:rtl/>
          <w:lang w:eastAsia="zh-CN"/>
        </w:rPr>
        <w:t xml:space="preserve">. </w:t>
      </w:r>
      <w:r w:rsidRPr="00467BE7">
        <w:rPr>
          <w:rFonts w:eastAsia="SimSun"/>
          <w:sz w:val="28"/>
          <w:szCs w:val="28"/>
          <w:rtl/>
          <w:lang w:eastAsia="zh-CN"/>
        </w:rPr>
        <w:t>وكان من المفترض إمكانية استخدام الويبو لمبلغ الغرامة المحصّل لأغراض تعويض نفقات البناء.</w:t>
      </w:r>
      <w:r w:rsidR="00514AEB" w:rsidRPr="00467BE7">
        <w:rPr>
          <w:rFonts w:eastAsia="SimSun" w:hint="cs"/>
          <w:sz w:val="28"/>
          <w:szCs w:val="28"/>
          <w:rtl/>
          <w:lang w:eastAsia="zh-CN"/>
        </w:rPr>
        <w:t xml:space="preserve"> </w:t>
      </w:r>
      <w:r w:rsidR="00514AEB" w:rsidRPr="00467BE7">
        <w:rPr>
          <w:rFonts w:eastAsia="SimSun"/>
          <w:sz w:val="28"/>
          <w:szCs w:val="28"/>
          <w:rtl/>
          <w:lang w:eastAsia="zh-CN"/>
        </w:rPr>
        <w:t>ولكن طبقا</w:t>
      </w:r>
      <w:r w:rsidR="00514AEB" w:rsidRPr="00467BE7">
        <w:rPr>
          <w:rFonts w:eastAsia="SimSun" w:hint="cs"/>
          <w:sz w:val="28"/>
          <w:szCs w:val="28"/>
          <w:rtl/>
          <w:lang w:eastAsia="zh-CN"/>
        </w:rPr>
        <w:t>ً</w:t>
      </w:r>
      <w:r w:rsidR="00514AEB" w:rsidRPr="00467BE7">
        <w:rPr>
          <w:rFonts w:eastAsia="SimSun"/>
          <w:sz w:val="28"/>
          <w:szCs w:val="28"/>
          <w:rtl/>
          <w:lang w:eastAsia="zh-CN"/>
        </w:rPr>
        <w:t xml:space="preserve"> للمعايير المحاسبية الدولية للقطاع العام</w:t>
      </w:r>
      <w:r w:rsidR="00514AEB" w:rsidRPr="00467BE7">
        <w:rPr>
          <w:rFonts w:eastAsia="SimSun" w:hint="cs"/>
          <w:sz w:val="28"/>
          <w:szCs w:val="28"/>
          <w:rtl/>
          <w:lang w:eastAsia="zh-CN"/>
        </w:rPr>
        <w:t>، اعتُبر المبنى مستكملاً في وقت</w:t>
      </w:r>
      <w:r w:rsidR="00514AEB" w:rsidRPr="00467BE7">
        <w:rPr>
          <w:rFonts w:eastAsia="SimSun"/>
          <w:sz w:val="28"/>
          <w:szCs w:val="28"/>
          <w:rtl/>
          <w:lang w:eastAsia="zh-CN"/>
        </w:rPr>
        <w:t xml:space="preserve"> التوصل إلى اتفاق الغرامة، </w:t>
      </w:r>
      <w:r w:rsidR="00514AEB" w:rsidRPr="00467BE7">
        <w:rPr>
          <w:rFonts w:eastAsia="SimSun" w:hint="cs"/>
          <w:sz w:val="28"/>
          <w:szCs w:val="28"/>
          <w:rtl/>
          <w:lang w:eastAsia="zh-CN"/>
        </w:rPr>
        <w:t>و</w:t>
      </w:r>
      <w:r w:rsidR="00514AEB" w:rsidRPr="00467BE7">
        <w:rPr>
          <w:rFonts w:eastAsia="SimSun"/>
          <w:sz w:val="28"/>
          <w:szCs w:val="28"/>
          <w:rtl/>
          <w:lang w:eastAsia="zh-CN"/>
        </w:rPr>
        <w:t>قُيّد مبلغ غرامة التأخير (</w:t>
      </w:r>
      <w:r w:rsidR="00514AEB" w:rsidRPr="0004173E">
        <w:rPr>
          <w:rFonts w:eastAsia="SimSun"/>
          <w:sz w:val="28"/>
          <w:szCs w:val="28"/>
          <w:rtl/>
          <w:lang w:eastAsia="zh-CN"/>
        </w:rPr>
        <w:t>000</w:t>
      </w:r>
      <w:r w:rsidR="00514AEB" w:rsidRPr="00467BE7">
        <w:rPr>
          <w:rFonts w:eastAsia="SimSun" w:hint="cs"/>
          <w:sz w:val="28"/>
          <w:szCs w:val="28"/>
          <w:rtl/>
          <w:lang w:eastAsia="zh-CN"/>
        </w:rPr>
        <w:t> </w:t>
      </w:r>
      <w:r w:rsidR="00514AEB" w:rsidRPr="0004173E">
        <w:rPr>
          <w:rFonts w:eastAsia="SimSun"/>
          <w:sz w:val="28"/>
          <w:szCs w:val="28"/>
          <w:rtl/>
          <w:lang w:eastAsia="zh-CN"/>
        </w:rPr>
        <w:t>225</w:t>
      </w:r>
      <w:r w:rsidR="00514AEB" w:rsidRPr="00467BE7">
        <w:rPr>
          <w:rFonts w:eastAsia="SimSun" w:hint="cs"/>
          <w:sz w:val="28"/>
          <w:szCs w:val="28"/>
          <w:rtl/>
          <w:lang w:eastAsia="zh-CN"/>
        </w:rPr>
        <w:t> </w:t>
      </w:r>
      <w:r w:rsidR="00514AEB" w:rsidRPr="0004173E">
        <w:rPr>
          <w:rFonts w:eastAsia="SimSun"/>
          <w:sz w:val="28"/>
          <w:szCs w:val="28"/>
          <w:rtl/>
          <w:lang w:eastAsia="zh-CN"/>
        </w:rPr>
        <w:t>2</w:t>
      </w:r>
      <w:r w:rsidR="00514AEB" w:rsidRPr="00467BE7">
        <w:rPr>
          <w:rFonts w:eastAsia="SimSun"/>
          <w:sz w:val="28"/>
          <w:szCs w:val="28"/>
          <w:rtl/>
          <w:lang w:eastAsia="zh-CN"/>
        </w:rPr>
        <w:t xml:space="preserve"> فرنك سويسري) المُحصّل من المقاول العام السابق </w:t>
      </w:r>
      <w:r w:rsidR="00514AEB" w:rsidRPr="00467BE7">
        <w:rPr>
          <w:rFonts w:eastAsia="SimSun" w:hint="cs"/>
          <w:sz w:val="28"/>
          <w:szCs w:val="28"/>
          <w:rtl/>
          <w:lang w:eastAsia="zh-CN"/>
        </w:rPr>
        <w:t xml:space="preserve">في </w:t>
      </w:r>
      <w:r w:rsidR="00267068" w:rsidRPr="00467BE7">
        <w:rPr>
          <w:rFonts w:eastAsia="SimSun" w:hint="cs"/>
          <w:sz w:val="28"/>
          <w:szCs w:val="28"/>
          <w:rtl/>
          <w:lang w:eastAsia="zh-CN"/>
        </w:rPr>
        <w:t>باب</w:t>
      </w:r>
      <w:r w:rsidR="00514AEB" w:rsidRPr="00467BE7">
        <w:rPr>
          <w:rFonts w:eastAsia="SimSun" w:hint="cs"/>
          <w:sz w:val="28"/>
          <w:szCs w:val="28"/>
          <w:rtl/>
          <w:lang w:eastAsia="zh-CN"/>
        </w:rPr>
        <w:t xml:space="preserve"> إيرادات الويبو </w:t>
      </w:r>
      <w:r w:rsidR="00514AEB" w:rsidRPr="00467BE7">
        <w:rPr>
          <w:rFonts w:eastAsia="SimSun"/>
          <w:sz w:val="28"/>
          <w:szCs w:val="28"/>
          <w:rtl/>
          <w:lang w:eastAsia="zh-CN"/>
        </w:rPr>
        <w:t>(</w:t>
      </w:r>
      <w:r w:rsidR="00267068" w:rsidRPr="00467BE7">
        <w:rPr>
          <w:rFonts w:eastAsia="SimSun" w:hint="cs"/>
          <w:sz w:val="28"/>
          <w:szCs w:val="28"/>
          <w:rtl/>
          <w:lang w:eastAsia="zh-CN"/>
        </w:rPr>
        <w:t>بند</w:t>
      </w:r>
      <w:r w:rsidR="009D0D9F">
        <w:rPr>
          <w:rFonts w:eastAsia="SimSun" w:hint="eastAsia"/>
          <w:sz w:val="28"/>
          <w:szCs w:val="28"/>
          <w:rtl/>
          <w:lang w:eastAsia="zh-CN"/>
        </w:rPr>
        <w:t> </w:t>
      </w:r>
      <w:r w:rsidR="00514AEB" w:rsidRPr="00467BE7">
        <w:rPr>
          <w:rFonts w:eastAsia="SimSun"/>
          <w:sz w:val="28"/>
          <w:szCs w:val="28"/>
          <w:rtl/>
          <w:lang w:eastAsia="zh-CN"/>
        </w:rPr>
        <w:t>"</w:t>
      </w:r>
      <w:r w:rsidR="00267068" w:rsidRPr="00467BE7">
        <w:rPr>
          <w:rFonts w:eastAsia="SimSun" w:hint="cs"/>
          <w:sz w:val="28"/>
          <w:szCs w:val="28"/>
          <w:rtl/>
          <w:lang w:eastAsia="zh-CN"/>
        </w:rPr>
        <w:t>ال</w:t>
      </w:r>
      <w:r w:rsidR="00514AEB" w:rsidRPr="00467BE7">
        <w:rPr>
          <w:rFonts w:eastAsia="SimSun"/>
          <w:sz w:val="28"/>
          <w:szCs w:val="28"/>
          <w:rtl/>
          <w:lang w:eastAsia="zh-CN"/>
        </w:rPr>
        <w:t>إيرادات</w:t>
      </w:r>
      <w:r w:rsidR="00514AEB" w:rsidRPr="00467BE7">
        <w:rPr>
          <w:rFonts w:eastAsia="SimSun" w:hint="cs"/>
          <w:sz w:val="28"/>
          <w:szCs w:val="28"/>
          <w:rtl/>
          <w:lang w:eastAsia="zh-CN"/>
        </w:rPr>
        <w:t> </w:t>
      </w:r>
      <w:r w:rsidR="00267068" w:rsidRPr="00467BE7">
        <w:rPr>
          <w:rFonts w:eastAsia="SimSun" w:hint="cs"/>
          <w:sz w:val="28"/>
          <w:szCs w:val="28"/>
          <w:rtl/>
          <w:lang w:eastAsia="zh-CN"/>
        </w:rPr>
        <w:t>ال</w:t>
      </w:r>
      <w:r w:rsidR="00514AEB" w:rsidRPr="00467BE7">
        <w:rPr>
          <w:rFonts w:eastAsia="SimSun"/>
          <w:sz w:val="28"/>
          <w:szCs w:val="28"/>
          <w:rtl/>
          <w:lang w:eastAsia="zh-CN"/>
        </w:rPr>
        <w:t>نثرية").</w:t>
      </w:r>
    </w:p>
    <w:p w:rsidR="006015A1" w:rsidRPr="00467BE7" w:rsidRDefault="006015A1" w:rsidP="00B72076">
      <w:pPr>
        <w:pStyle w:val="NormalParaAR"/>
        <w:spacing w:before="240"/>
        <w:rPr>
          <w:rFonts w:eastAsia="SimSun"/>
          <w:sz w:val="28"/>
          <w:szCs w:val="28"/>
          <w:rtl/>
          <w:lang w:eastAsia="zh-CN"/>
        </w:rPr>
      </w:pPr>
      <w:r w:rsidRPr="00467BE7">
        <w:rPr>
          <w:rFonts w:eastAsia="SimSun" w:hint="cs"/>
          <w:sz w:val="28"/>
          <w:szCs w:val="28"/>
          <w:rtl/>
          <w:lang w:eastAsia="zh-CN"/>
        </w:rPr>
        <w:t xml:space="preserve">** انظر الوثيقتين </w:t>
      </w:r>
      <w:r w:rsidRPr="00467BE7">
        <w:rPr>
          <w:rFonts w:eastAsia="SimSun"/>
          <w:sz w:val="28"/>
          <w:szCs w:val="28"/>
          <w:lang w:eastAsia="zh-CN"/>
        </w:rPr>
        <w:t>A/</w:t>
      </w:r>
      <w:r w:rsidRPr="0004173E">
        <w:rPr>
          <w:rFonts w:eastAsia="SimSun"/>
          <w:sz w:val="28"/>
          <w:szCs w:val="28"/>
          <w:lang w:eastAsia="zh-CN"/>
        </w:rPr>
        <w:t>55</w:t>
      </w:r>
      <w:r w:rsidRPr="00467BE7">
        <w:rPr>
          <w:rFonts w:eastAsia="SimSun"/>
          <w:sz w:val="28"/>
          <w:szCs w:val="28"/>
          <w:lang w:eastAsia="zh-CN"/>
        </w:rPr>
        <w:t>/</w:t>
      </w:r>
      <w:r w:rsidRPr="0004173E">
        <w:rPr>
          <w:rFonts w:eastAsia="SimSun"/>
          <w:sz w:val="28"/>
          <w:szCs w:val="28"/>
          <w:lang w:eastAsia="zh-CN"/>
        </w:rPr>
        <w:t>11</w:t>
      </w:r>
      <w:r w:rsidRPr="00467BE7">
        <w:rPr>
          <w:rFonts w:eastAsia="SimSun" w:hint="cs"/>
          <w:sz w:val="28"/>
          <w:szCs w:val="28"/>
          <w:rtl/>
          <w:lang w:eastAsia="zh-CN"/>
        </w:rPr>
        <w:t xml:space="preserve"> و</w:t>
      </w:r>
      <w:r w:rsidRPr="00467BE7">
        <w:rPr>
          <w:rFonts w:eastAsia="SimSun"/>
          <w:sz w:val="28"/>
          <w:szCs w:val="28"/>
          <w:lang w:eastAsia="zh-CN"/>
        </w:rPr>
        <w:t>A/</w:t>
      </w:r>
      <w:r w:rsidRPr="0004173E">
        <w:rPr>
          <w:rFonts w:eastAsia="SimSun"/>
          <w:sz w:val="28"/>
          <w:szCs w:val="28"/>
          <w:lang w:eastAsia="zh-CN"/>
        </w:rPr>
        <w:t>55</w:t>
      </w:r>
      <w:r w:rsidRPr="00467BE7">
        <w:rPr>
          <w:rFonts w:eastAsia="SimSun"/>
          <w:sz w:val="28"/>
          <w:szCs w:val="28"/>
          <w:lang w:eastAsia="zh-CN"/>
        </w:rPr>
        <w:t>/</w:t>
      </w:r>
      <w:r w:rsidRPr="0004173E">
        <w:rPr>
          <w:rFonts w:eastAsia="SimSun"/>
          <w:sz w:val="28"/>
          <w:szCs w:val="28"/>
          <w:lang w:eastAsia="zh-CN"/>
        </w:rPr>
        <w:t>13</w:t>
      </w:r>
      <w:r w:rsidRPr="00467BE7">
        <w:rPr>
          <w:rFonts w:eastAsia="SimSun" w:hint="cs"/>
          <w:sz w:val="28"/>
          <w:szCs w:val="28"/>
          <w:rtl/>
          <w:lang w:eastAsia="zh-CN"/>
        </w:rPr>
        <w:t xml:space="preserve"> (</w:t>
      </w:r>
      <w:r w:rsidR="00B72076">
        <w:rPr>
          <w:rFonts w:eastAsia="SimSun" w:hint="cs"/>
          <w:sz w:val="28"/>
          <w:szCs w:val="28"/>
          <w:rtl/>
          <w:lang w:eastAsia="zh-CN"/>
        </w:rPr>
        <w:t>التقرير العام و</w:t>
      </w:r>
      <w:r w:rsidRPr="00467BE7">
        <w:rPr>
          <w:rFonts w:eastAsia="SimSun" w:hint="cs"/>
          <w:sz w:val="28"/>
          <w:szCs w:val="28"/>
          <w:rtl/>
          <w:lang w:eastAsia="zh-CN"/>
        </w:rPr>
        <w:t xml:space="preserve">بخاصة الفقرة </w:t>
      </w:r>
      <w:r w:rsidRPr="0004173E">
        <w:rPr>
          <w:rFonts w:eastAsia="SimSun" w:hint="cs"/>
          <w:sz w:val="28"/>
          <w:szCs w:val="28"/>
          <w:rtl/>
          <w:lang w:eastAsia="zh-CN"/>
        </w:rPr>
        <w:t>205</w:t>
      </w:r>
      <w:r w:rsidRPr="00467BE7">
        <w:rPr>
          <w:rFonts w:eastAsia="SimSun" w:hint="cs"/>
          <w:sz w:val="28"/>
          <w:szCs w:val="28"/>
          <w:rtl/>
          <w:lang w:eastAsia="zh-CN"/>
        </w:rPr>
        <w:t>(ج)</w:t>
      </w:r>
      <w:r w:rsidR="00B72076">
        <w:rPr>
          <w:rFonts w:eastAsia="SimSun" w:hint="cs"/>
          <w:sz w:val="28"/>
          <w:szCs w:val="28"/>
          <w:rtl/>
          <w:lang w:eastAsia="zh-CN"/>
        </w:rPr>
        <w:t xml:space="preserve"> منه</w:t>
      </w:r>
      <w:r w:rsidRPr="00467BE7">
        <w:rPr>
          <w:rFonts w:eastAsia="SimSun" w:hint="cs"/>
          <w:sz w:val="28"/>
          <w:szCs w:val="28"/>
          <w:rtl/>
          <w:lang w:eastAsia="zh-CN"/>
        </w:rPr>
        <w:t>)</w:t>
      </w:r>
    </w:p>
    <w:p w:rsidR="006015A1" w:rsidRPr="00467BE7" w:rsidRDefault="006015A1" w:rsidP="006015A1">
      <w:pPr>
        <w:pStyle w:val="EndofDocumentAR"/>
        <w:rPr>
          <w:rFonts w:eastAsia="SimSun"/>
          <w:lang w:eastAsia="zh-CN"/>
        </w:rPr>
      </w:pPr>
      <w:r w:rsidRPr="00467BE7">
        <w:rPr>
          <w:rFonts w:eastAsia="SimSun" w:hint="cs"/>
          <w:rtl/>
          <w:lang w:eastAsia="zh-CN"/>
        </w:rPr>
        <w:t>[نهاية المرفق</w:t>
      </w:r>
      <w:r w:rsidR="00267068" w:rsidRPr="00467BE7">
        <w:rPr>
          <w:rFonts w:eastAsia="SimSun" w:hint="cs"/>
          <w:rtl/>
          <w:lang w:eastAsia="zh-CN"/>
        </w:rPr>
        <w:t xml:space="preserve"> الثاني</w:t>
      </w:r>
      <w:r w:rsidRPr="00467BE7">
        <w:rPr>
          <w:rFonts w:eastAsia="SimSun" w:hint="cs"/>
          <w:rtl/>
          <w:lang w:eastAsia="zh-CN"/>
        </w:rPr>
        <w:t xml:space="preserve"> والوثيقة]</w:t>
      </w:r>
    </w:p>
    <w:sectPr w:rsidR="006015A1" w:rsidRPr="00467BE7" w:rsidSect="00EB7752">
      <w:headerReference w:type="first" r:id="rId12"/>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2249" w:rsidRDefault="00AB2249">
      <w:r>
        <w:separator/>
      </w:r>
    </w:p>
  </w:endnote>
  <w:endnote w:type="continuationSeparator" w:id="0">
    <w:p w:rsidR="00AB2249" w:rsidRDefault="00AB22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Arial Black">
    <w:panose1 w:val="020B0A04020102020204"/>
    <w:charset w:val="00"/>
    <w:family w:val="swiss"/>
    <w:pitch w:val="variable"/>
    <w:sig w:usb0="00000287" w:usb1="00000000" w:usb2="00000000" w:usb3="00000000" w:csb0="0000009F" w:csb1="00000000"/>
  </w:font>
  <w:font w:name="PT Bold Heading">
    <w:altName w:val="Courier New"/>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2249" w:rsidRDefault="00AB2249" w:rsidP="009622BF">
      <w:pPr>
        <w:bidi/>
      </w:pPr>
      <w:bookmarkStart w:id="0" w:name="OLE_LINK1"/>
      <w:bookmarkStart w:id="1" w:name="OLE_LINK2"/>
      <w:r>
        <w:separator/>
      </w:r>
      <w:bookmarkEnd w:id="0"/>
      <w:bookmarkEnd w:id="1"/>
    </w:p>
  </w:footnote>
  <w:footnote w:type="continuationSeparator" w:id="0">
    <w:p w:rsidR="00AB2249" w:rsidRDefault="00AB2249" w:rsidP="009622BF">
      <w:pPr>
        <w:bidi/>
      </w:pPr>
      <w:r>
        <w:separator/>
      </w:r>
    </w:p>
  </w:footnote>
  <w:footnote w:id="1">
    <w:p w:rsidR="0004173E" w:rsidRDefault="0004173E">
      <w:pPr>
        <w:pStyle w:val="FootnoteText"/>
        <w:rPr>
          <w:rtl/>
        </w:rPr>
      </w:pPr>
      <w:r>
        <w:rPr>
          <w:rStyle w:val="FootnoteReference"/>
        </w:rPr>
        <w:footnoteRef/>
      </w:r>
      <w:r>
        <w:rPr>
          <w:rtl/>
        </w:rPr>
        <w:t xml:space="preserve"> </w:t>
      </w:r>
      <w:r>
        <w:rPr>
          <w:rFonts w:hint="cs"/>
          <w:rtl/>
        </w:rPr>
        <w:t xml:space="preserve">انظر الوثيقة </w:t>
      </w:r>
      <w:r>
        <w:t>WO/PBC/</w:t>
      </w:r>
      <w:r w:rsidRPr="0004173E">
        <w:t>22</w:t>
      </w:r>
      <w:r>
        <w:t>/</w:t>
      </w:r>
      <w:r w:rsidRPr="0004173E">
        <w:t>3</w:t>
      </w:r>
      <w:r>
        <w:rPr>
          <w:rFonts w:hint="cs"/>
          <w:rtl/>
        </w:rPr>
        <w:t>.</w:t>
      </w:r>
    </w:p>
  </w:footnote>
  <w:footnote w:id="2">
    <w:p w:rsidR="0004173E" w:rsidRDefault="0004173E">
      <w:pPr>
        <w:pStyle w:val="FootnoteText"/>
        <w:rPr>
          <w:rtl/>
        </w:rPr>
      </w:pPr>
      <w:r>
        <w:rPr>
          <w:rStyle w:val="FootnoteReference"/>
        </w:rPr>
        <w:footnoteRef/>
      </w:r>
      <w:r>
        <w:rPr>
          <w:rtl/>
        </w:rPr>
        <w:t xml:space="preserve"> </w:t>
      </w:r>
      <w:r>
        <w:rPr>
          <w:rFonts w:hint="cs"/>
          <w:rtl/>
        </w:rPr>
        <w:t xml:space="preserve">انظر الوثيقة </w:t>
      </w:r>
      <w:r>
        <w:t>WO/PBC/</w:t>
      </w:r>
      <w:r w:rsidRPr="0004173E">
        <w:t>14</w:t>
      </w:r>
      <w:r>
        <w:t>/</w:t>
      </w:r>
      <w:r w:rsidRPr="0004173E">
        <w:t>10</w:t>
      </w:r>
      <w:r>
        <w:rPr>
          <w:rFonts w:hint="cs"/>
          <w:rtl/>
        </w:rPr>
        <w:t xml:space="preserve"> الصادرة في </w:t>
      </w:r>
      <w:r w:rsidRPr="0004173E">
        <w:rPr>
          <w:rFonts w:hint="cs"/>
          <w:rtl/>
        </w:rPr>
        <w:t>10</w:t>
      </w:r>
      <w:r>
        <w:rPr>
          <w:rFonts w:hint="cs"/>
          <w:rtl/>
        </w:rPr>
        <w:t xml:space="preserve"> أغسطس </w:t>
      </w:r>
      <w:r w:rsidRPr="0004173E">
        <w:rPr>
          <w:rFonts w:hint="cs"/>
          <w:rtl/>
        </w:rPr>
        <w:t>2009</w:t>
      </w:r>
      <w:r>
        <w:rPr>
          <w:rFonts w:hint="cs"/>
          <w:rtl/>
        </w:rPr>
        <w:t xml:space="preserve"> (وبخاصة الفقرة </w:t>
      </w:r>
      <w:r w:rsidRPr="0004173E">
        <w:rPr>
          <w:rFonts w:hint="cs"/>
          <w:rtl/>
        </w:rPr>
        <w:t>42</w:t>
      </w:r>
      <w:r>
        <w:rPr>
          <w:rFonts w:hint="cs"/>
          <w:rtl/>
        </w:rPr>
        <w:t xml:space="preserve"> منها).</w:t>
      </w:r>
    </w:p>
  </w:footnote>
  <w:footnote w:id="3">
    <w:p w:rsidR="0004173E" w:rsidRDefault="0004173E" w:rsidP="00653B62">
      <w:pPr>
        <w:pStyle w:val="FootnoteText"/>
      </w:pPr>
      <w:r>
        <w:rPr>
          <w:rStyle w:val="FootnoteReference"/>
        </w:rPr>
        <w:footnoteRef/>
      </w:r>
      <w:r>
        <w:rPr>
          <w:rtl/>
        </w:rPr>
        <w:t xml:space="preserve"> </w:t>
      </w:r>
      <w:r>
        <w:rPr>
          <w:rFonts w:hint="cs"/>
          <w:rtl/>
        </w:rPr>
        <w:t>تولت الوحدات الإدارية المجالات التالية: صيانة المبنى، والسلامة والأمن، وتكنولوجيا المعلومات والاتصالات، والأنظمة السمعية والبصرية وأنظمة الترجمة الفورية، وخدمات دعم المؤتمرات، وأمن المعلومات، والشؤون القانونية والتعاقدية، والمشتريات، والشؤون المالية والميزانية.</w:t>
      </w:r>
    </w:p>
  </w:footnote>
  <w:footnote w:id="4">
    <w:p w:rsidR="0004173E" w:rsidRDefault="0004173E" w:rsidP="005161A8">
      <w:pPr>
        <w:pStyle w:val="FootnoteText"/>
        <w:rPr>
          <w:rtl/>
        </w:rPr>
      </w:pPr>
      <w:r>
        <w:rPr>
          <w:rStyle w:val="FootnoteReference"/>
        </w:rPr>
        <w:footnoteRef/>
      </w:r>
      <w:r>
        <w:rPr>
          <w:rtl/>
        </w:rPr>
        <w:t xml:space="preserve"> </w:t>
      </w:r>
      <w:r>
        <w:rPr>
          <w:rFonts w:hint="cs"/>
          <w:rtl/>
        </w:rPr>
        <w:t xml:space="preserve">للمزيد من المعلومات عن </w:t>
      </w:r>
      <w:r w:rsidR="005161A8">
        <w:rPr>
          <w:rFonts w:hint="cs"/>
          <w:rtl/>
        </w:rPr>
        <w:t xml:space="preserve">إنهاء </w:t>
      </w:r>
      <w:r>
        <w:rPr>
          <w:rFonts w:hint="cs"/>
          <w:rtl/>
        </w:rPr>
        <w:t xml:space="preserve">عقد المقاول العام السابق، انظر الوثيقة </w:t>
      </w:r>
      <w:r>
        <w:t>WO/PBC/</w:t>
      </w:r>
      <w:r w:rsidRPr="0004173E">
        <w:t>19</w:t>
      </w:r>
      <w:r>
        <w:t>/</w:t>
      </w:r>
      <w:r w:rsidRPr="0004173E">
        <w:t>24</w:t>
      </w:r>
      <w:r>
        <w:rPr>
          <w:rFonts w:hint="cs"/>
          <w:rtl/>
        </w:rPr>
        <w:t xml:space="preserve"> ومرفق الوثيقة </w:t>
      </w:r>
      <w:r>
        <w:t>WO/PBC/</w:t>
      </w:r>
      <w:r w:rsidRPr="0004173E">
        <w:t>21</w:t>
      </w:r>
      <w:r>
        <w:t>/</w:t>
      </w:r>
      <w:r w:rsidRPr="0004173E">
        <w:t>11</w:t>
      </w:r>
      <w:r>
        <w:rPr>
          <w:rFonts w:hint="cs"/>
          <w:rtl/>
        </w:rPr>
        <w:t>.</w:t>
      </w:r>
    </w:p>
  </w:footnote>
  <w:footnote w:id="5">
    <w:p w:rsidR="0004173E" w:rsidRDefault="0004173E">
      <w:pPr>
        <w:pStyle w:val="FootnoteText"/>
        <w:rPr>
          <w:rtl/>
        </w:rPr>
      </w:pPr>
      <w:r>
        <w:rPr>
          <w:rStyle w:val="FootnoteReference"/>
        </w:rPr>
        <w:footnoteRef/>
      </w:r>
      <w:r>
        <w:rPr>
          <w:rtl/>
        </w:rPr>
        <w:t xml:space="preserve"> </w:t>
      </w:r>
      <w:r>
        <w:rPr>
          <w:rFonts w:hint="cs"/>
          <w:rtl/>
        </w:rPr>
        <w:t xml:space="preserve">انظر الفقرة </w:t>
      </w:r>
      <w:r w:rsidRPr="0004173E">
        <w:rPr>
          <w:rFonts w:hint="cs"/>
          <w:rtl/>
        </w:rPr>
        <w:t>40</w:t>
      </w:r>
      <w:r>
        <w:rPr>
          <w:rFonts w:hint="cs"/>
          <w:rtl/>
        </w:rPr>
        <w:t xml:space="preserve"> من الوثيقة </w:t>
      </w:r>
      <w:r>
        <w:t>WO/PBC/</w:t>
      </w:r>
      <w:r w:rsidRPr="0004173E">
        <w:t>19</w:t>
      </w:r>
      <w:r>
        <w:t>/</w:t>
      </w:r>
      <w:r w:rsidRPr="0004173E">
        <w:t>24</w:t>
      </w:r>
      <w:r>
        <w:rPr>
          <w:rFonts w:hint="cs"/>
          <w:rtl/>
        </w:rPr>
        <w:t>.</w:t>
      </w:r>
    </w:p>
  </w:footnote>
  <w:footnote w:id="6">
    <w:p w:rsidR="0004173E" w:rsidRDefault="0004173E" w:rsidP="005161A8">
      <w:pPr>
        <w:pStyle w:val="FootnoteText"/>
        <w:rPr>
          <w:rtl/>
        </w:rPr>
      </w:pPr>
      <w:r>
        <w:rPr>
          <w:rStyle w:val="FootnoteReference"/>
        </w:rPr>
        <w:footnoteRef/>
      </w:r>
      <w:r>
        <w:rPr>
          <w:rtl/>
        </w:rPr>
        <w:t xml:space="preserve"> </w:t>
      </w:r>
      <w:r>
        <w:rPr>
          <w:rFonts w:hint="cs"/>
          <w:rtl/>
        </w:rPr>
        <w:t xml:space="preserve">تتألف </w:t>
      </w:r>
      <w:r w:rsidRPr="000705B1">
        <w:rPr>
          <w:rtl/>
        </w:rPr>
        <w:t>الشبكة المشتركة بين الوكالات لمديري المرافق</w:t>
      </w:r>
      <w:r>
        <w:rPr>
          <w:rFonts w:hint="cs"/>
          <w:rtl/>
        </w:rPr>
        <w:t xml:space="preserve"> من </w:t>
      </w:r>
      <w:r w:rsidRPr="0004173E">
        <w:rPr>
          <w:rFonts w:hint="cs"/>
          <w:rtl/>
        </w:rPr>
        <w:t>40</w:t>
      </w:r>
      <w:r>
        <w:rPr>
          <w:rFonts w:hint="cs"/>
          <w:rtl/>
        </w:rPr>
        <w:t xml:space="preserve"> وكالة وبرنامج وكياناً آخر منها ما يلي (قائمة الأعضاء المشاركين في اجتماع مايو </w:t>
      </w:r>
      <w:r w:rsidRPr="0004173E">
        <w:rPr>
          <w:rFonts w:hint="cs"/>
          <w:rtl/>
        </w:rPr>
        <w:t>2016</w:t>
      </w:r>
      <w:r>
        <w:rPr>
          <w:rFonts w:hint="cs"/>
          <w:rtl/>
        </w:rPr>
        <w:t xml:space="preserve">): </w:t>
      </w:r>
      <w:r w:rsidRPr="000705B1">
        <w:rPr>
          <w:rtl/>
        </w:rPr>
        <w:t>بعثة</w:t>
      </w:r>
      <w:r>
        <w:rPr>
          <w:rFonts w:hint="cs"/>
          <w:rtl/>
        </w:rPr>
        <w:t> </w:t>
      </w:r>
      <w:r w:rsidRPr="000705B1">
        <w:rPr>
          <w:rtl/>
        </w:rPr>
        <w:t>منظمة الأمم المتحدة لتحقيق الاستقرار في جمهورية الكونغو الديمقراطية</w:t>
      </w:r>
      <w:r>
        <w:rPr>
          <w:rFonts w:hint="cs"/>
          <w:rtl/>
        </w:rPr>
        <w:t xml:space="preserve"> التابعة لإدارة الدعم الميداني (</w:t>
      </w:r>
      <w:r>
        <w:t>DFS/MONUSCO</w:t>
      </w:r>
      <w:r>
        <w:rPr>
          <w:rFonts w:hint="cs"/>
          <w:rtl/>
        </w:rPr>
        <w:t>)، و</w:t>
      </w:r>
      <w:r w:rsidRPr="00867C5A">
        <w:rPr>
          <w:rtl/>
        </w:rPr>
        <w:t>اللجنة الاقتصادية لأمريكا اللاتينية والكاريبي</w:t>
      </w:r>
      <w:r w:rsidRPr="00867C5A">
        <w:rPr>
          <w:rFonts w:hint="cs"/>
          <w:rtl/>
        </w:rPr>
        <w:t xml:space="preserve"> (</w:t>
      </w:r>
      <w:r w:rsidRPr="00867C5A">
        <w:t>ECLAC</w:t>
      </w:r>
      <w:r w:rsidRPr="00867C5A">
        <w:rPr>
          <w:rFonts w:hint="cs"/>
          <w:rtl/>
        </w:rPr>
        <w:t xml:space="preserve">) </w:t>
      </w:r>
      <w:r w:rsidRPr="001E58B1">
        <w:rPr>
          <w:rFonts w:hint="cs"/>
          <w:rtl/>
        </w:rPr>
        <w:t>و</w:t>
      </w:r>
      <w:r w:rsidRPr="001E58B1">
        <w:rPr>
          <w:rtl/>
        </w:rPr>
        <w:t>اللجنة الاقتصادية والاجتماعية لآسيا والمحيط الهادئ</w:t>
      </w:r>
      <w:r w:rsidRPr="001E58B1">
        <w:rPr>
          <w:rFonts w:hint="cs"/>
          <w:rtl/>
        </w:rPr>
        <w:t xml:space="preserve"> (</w:t>
      </w:r>
      <w:r w:rsidRPr="001E58B1">
        <w:t>ESCAP</w:t>
      </w:r>
      <w:r w:rsidRPr="001E58B1">
        <w:rPr>
          <w:rFonts w:hint="cs"/>
          <w:rtl/>
        </w:rPr>
        <w:t>) و</w:t>
      </w:r>
      <w:r w:rsidRPr="001E58B1">
        <w:rPr>
          <w:rtl/>
        </w:rPr>
        <w:t>اللجنة الاقتصادية والاجتماعية لغربي آسيا</w:t>
      </w:r>
      <w:r w:rsidRPr="001E58B1">
        <w:rPr>
          <w:rFonts w:hint="cs"/>
          <w:rtl/>
        </w:rPr>
        <w:t xml:space="preserve"> (الاسكوا) ومنظمة الأغذية والزراعة للأمم المتحدة (الفاو)، و</w:t>
      </w:r>
      <w:r w:rsidRPr="001E58B1">
        <w:rPr>
          <w:rtl/>
        </w:rPr>
        <w:t>الوكالة الدولية للطاقة الذرية</w:t>
      </w:r>
      <w:r w:rsidRPr="001E58B1">
        <w:rPr>
          <w:rFonts w:hint="cs"/>
          <w:rtl/>
        </w:rPr>
        <w:t xml:space="preserve"> (</w:t>
      </w:r>
      <w:r w:rsidRPr="001E58B1">
        <w:t>IAEA</w:t>
      </w:r>
      <w:r w:rsidRPr="001E58B1">
        <w:rPr>
          <w:rFonts w:hint="cs"/>
          <w:rtl/>
        </w:rPr>
        <w:t>) والمركز الدولي للحساب الإلكتروني (</w:t>
      </w:r>
      <w:r w:rsidRPr="001E58B1">
        <w:t>ICC</w:t>
      </w:r>
      <w:r w:rsidRPr="001E58B1">
        <w:rPr>
          <w:rFonts w:hint="cs"/>
          <w:rtl/>
        </w:rPr>
        <w:t>)، و</w:t>
      </w:r>
      <w:r w:rsidRPr="001E58B1">
        <w:rPr>
          <w:rtl/>
        </w:rPr>
        <w:t>الصندوق الدولي للتنمية الزراعية</w:t>
      </w:r>
      <w:r w:rsidRPr="001E58B1">
        <w:rPr>
          <w:rFonts w:hint="cs"/>
          <w:rtl/>
        </w:rPr>
        <w:t xml:space="preserve"> (</w:t>
      </w:r>
      <w:r w:rsidRPr="001E58B1">
        <w:t>IFAD</w:t>
      </w:r>
      <w:r w:rsidRPr="001E58B1">
        <w:rPr>
          <w:rFonts w:hint="cs"/>
          <w:rtl/>
        </w:rPr>
        <w:t>) و</w:t>
      </w:r>
      <w:r w:rsidRPr="001E58B1">
        <w:rPr>
          <w:rtl/>
        </w:rPr>
        <w:t>الاتحاد الدولي لجمعيات الصليب الأحمر والهلال الأحمر</w:t>
      </w:r>
      <w:r w:rsidRPr="001E58B1">
        <w:rPr>
          <w:rFonts w:hint="cs"/>
          <w:rtl/>
        </w:rPr>
        <w:t xml:space="preserve"> (</w:t>
      </w:r>
      <w:r w:rsidRPr="001E58B1">
        <w:t>IFRC</w:t>
      </w:r>
      <w:r w:rsidRPr="001E58B1">
        <w:rPr>
          <w:rFonts w:hint="cs"/>
          <w:rtl/>
        </w:rPr>
        <w:t>) ومنظمة العمل الدولية (</w:t>
      </w:r>
      <w:r w:rsidRPr="001E58B1">
        <w:t>ILO</w:t>
      </w:r>
      <w:r w:rsidRPr="001E58B1">
        <w:rPr>
          <w:rFonts w:hint="cs"/>
          <w:rtl/>
        </w:rPr>
        <w:t>) وصندوق النقد الدولي (</w:t>
      </w:r>
      <w:r w:rsidRPr="001E58B1">
        <w:t>IMF</w:t>
      </w:r>
      <w:r w:rsidRPr="001E58B1">
        <w:rPr>
          <w:rFonts w:hint="cs"/>
          <w:rtl/>
        </w:rPr>
        <w:t>) و</w:t>
      </w:r>
      <w:r w:rsidRPr="001E58B1">
        <w:rPr>
          <w:rtl/>
        </w:rPr>
        <w:t>المحكمة</w:t>
      </w:r>
      <w:r w:rsidR="005161A8">
        <w:rPr>
          <w:rFonts w:hint="cs"/>
          <w:rtl/>
        </w:rPr>
        <w:t> </w:t>
      </w:r>
      <w:r w:rsidRPr="001E58B1">
        <w:rPr>
          <w:rtl/>
        </w:rPr>
        <w:t>الدولية لقانون البحار</w:t>
      </w:r>
      <w:r w:rsidRPr="001E58B1">
        <w:rPr>
          <w:rFonts w:hint="cs"/>
          <w:rtl/>
        </w:rPr>
        <w:t xml:space="preserve"> (</w:t>
      </w:r>
      <w:r w:rsidRPr="001E58B1">
        <w:t>ITLOS</w:t>
      </w:r>
      <w:r w:rsidRPr="001E58B1">
        <w:rPr>
          <w:rFonts w:hint="cs"/>
          <w:rtl/>
        </w:rPr>
        <w:t>) والاتحاد الدولي للاتصالات (</w:t>
      </w:r>
      <w:r w:rsidRPr="001E58B1">
        <w:t>ITU</w:t>
      </w:r>
      <w:r w:rsidRPr="001E58B1">
        <w:rPr>
          <w:rFonts w:hint="cs"/>
          <w:rtl/>
        </w:rPr>
        <w:t>) و</w:t>
      </w:r>
      <w:r w:rsidRPr="001E58B1">
        <w:rPr>
          <w:rtl/>
        </w:rPr>
        <w:t>الآلية الدولية لتصريف الأعمال المتبقية للمحكمتين الجنائيتين</w:t>
      </w:r>
      <w:r w:rsidRPr="001E58B1">
        <w:rPr>
          <w:rFonts w:hint="cs"/>
          <w:rtl/>
        </w:rPr>
        <w:t xml:space="preserve"> (</w:t>
      </w:r>
      <w:r w:rsidRPr="001E58B1">
        <w:t>MICT</w:t>
      </w:r>
      <w:r w:rsidRPr="001E58B1">
        <w:rPr>
          <w:rFonts w:hint="cs"/>
          <w:rtl/>
        </w:rPr>
        <w:t>) و</w:t>
      </w:r>
      <w:r w:rsidRPr="001E58B1">
        <w:rPr>
          <w:rtl/>
        </w:rPr>
        <w:t>منظمة</w:t>
      </w:r>
      <w:r w:rsidR="005161A8">
        <w:rPr>
          <w:rFonts w:hint="cs"/>
          <w:rtl/>
        </w:rPr>
        <w:t> </w:t>
      </w:r>
      <w:r w:rsidRPr="001E58B1">
        <w:rPr>
          <w:rtl/>
        </w:rPr>
        <w:t>الصحة للبلدان الأمريكية</w:t>
      </w:r>
      <w:r w:rsidRPr="001E58B1">
        <w:rPr>
          <w:rFonts w:hint="cs"/>
          <w:rtl/>
        </w:rPr>
        <w:t xml:space="preserve"> (</w:t>
      </w:r>
      <w:r w:rsidRPr="001E58B1">
        <w:t>PAHO</w:t>
      </w:r>
      <w:r w:rsidRPr="001E58B1">
        <w:rPr>
          <w:rFonts w:hint="cs"/>
          <w:rtl/>
        </w:rPr>
        <w:t>) و</w:t>
      </w:r>
      <w:r w:rsidRPr="001E58B1">
        <w:rPr>
          <w:rtl/>
        </w:rPr>
        <w:t>برنامج الأمم المتحدة المشترك بين منظمات الأمم المتحدة لمكافحة الإيدز</w:t>
      </w:r>
      <w:r w:rsidRPr="001E58B1">
        <w:rPr>
          <w:rFonts w:hint="cs"/>
          <w:rtl/>
        </w:rPr>
        <w:t xml:space="preserve"> (</w:t>
      </w:r>
      <w:r w:rsidRPr="001E58B1">
        <w:t>UNAIDS</w:t>
      </w:r>
      <w:r w:rsidRPr="001E58B1">
        <w:rPr>
          <w:rFonts w:hint="cs"/>
          <w:rtl/>
        </w:rPr>
        <w:t>) وبرنامج الأمم المتحدة الإنمائي (</w:t>
      </w:r>
      <w:r w:rsidRPr="001E58B1">
        <w:t>UNDP</w:t>
      </w:r>
      <w:r w:rsidRPr="001E58B1">
        <w:rPr>
          <w:rFonts w:hint="cs"/>
          <w:rtl/>
        </w:rPr>
        <w:t>) وبرنامج الأمم المتحدة للبيئة (</w:t>
      </w:r>
      <w:r w:rsidRPr="001E58B1">
        <w:t>UNEP</w:t>
      </w:r>
      <w:r w:rsidRPr="001E58B1">
        <w:rPr>
          <w:rFonts w:hint="cs"/>
          <w:rtl/>
        </w:rPr>
        <w:t>) ومنظمة الأمم المتحدة للتربية والعلم والثقافة (اليونسكو) و</w:t>
      </w:r>
      <w:r w:rsidRPr="001E58B1">
        <w:rPr>
          <w:rtl/>
        </w:rPr>
        <w:t>مفوضية الأمم المتحدة لشؤون اللاجئين</w:t>
      </w:r>
      <w:r w:rsidRPr="001E58B1">
        <w:rPr>
          <w:rFonts w:hint="cs"/>
          <w:rtl/>
        </w:rPr>
        <w:t xml:space="preserve"> (</w:t>
      </w:r>
      <w:r w:rsidRPr="001E58B1">
        <w:t>UNHCR</w:t>
      </w:r>
      <w:r w:rsidRPr="001E58B1">
        <w:rPr>
          <w:rFonts w:hint="cs"/>
          <w:rtl/>
        </w:rPr>
        <w:t>) ومقر الأمم المتحدة (</w:t>
      </w:r>
      <w:r w:rsidRPr="001E58B1">
        <w:t>UNHQ</w:t>
      </w:r>
      <w:r w:rsidRPr="001E58B1">
        <w:rPr>
          <w:rFonts w:hint="cs"/>
          <w:rtl/>
        </w:rPr>
        <w:t>) و</w:t>
      </w:r>
      <w:r w:rsidRPr="001E58B1">
        <w:rPr>
          <w:rtl/>
        </w:rPr>
        <w:t>منظمة الأمم المتحدة للطفولة</w:t>
      </w:r>
      <w:r w:rsidRPr="001E58B1">
        <w:rPr>
          <w:rFonts w:hint="cs"/>
          <w:rtl/>
        </w:rPr>
        <w:t xml:space="preserve"> (اليونيسف) ومنظمة الأمم المتحدة للتنمية الصناعية (اليونيدو) و</w:t>
      </w:r>
      <w:r w:rsidRPr="001E58B1">
        <w:rPr>
          <w:rtl/>
        </w:rPr>
        <w:t>قاعدة الأمم المتحدة للوجستيات</w:t>
      </w:r>
      <w:r w:rsidRPr="001E58B1">
        <w:rPr>
          <w:rFonts w:hint="cs"/>
          <w:rtl/>
        </w:rPr>
        <w:t xml:space="preserve"> (</w:t>
      </w:r>
      <w:r w:rsidRPr="001E58B1">
        <w:t>UNLB</w:t>
      </w:r>
      <w:r w:rsidRPr="001E58B1">
        <w:rPr>
          <w:rFonts w:hint="cs"/>
          <w:rtl/>
        </w:rPr>
        <w:t>) و</w:t>
      </w:r>
      <w:r w:rsidRPr="001E58B1">
        <w:rPr>
          <w:rtl/>
        </w:rPr>
        <w:t>بعثة الأمم المتحدة في جمهو</w:t>
      </w:r>
      <w:r w:rsidRPr="001E58B1">
        <w:rPr>
          <w:rFonts w:hint="cs"/>
          <w:rtl/>
        </w:rPr>
        <w:t>ر</w:t>
      </w:r>
      <w:r w:rsidRPr="001E58B1">
        <w:rPr>
          <w:rtl/>
        </w:rPr>
        <w:t>ية جنوب السودان</w:t>
      </w:r>
      <w:r w:rsidRPr="001E58B1">
        <w:rPr>
          <w:rFonts w:hint="cs"/>
          <w:rtl/>
        </w:rPr>
        <w:t xml:space="preserve"> (</w:t>
      </w:r>
      <w:r w:rsidRPr="001E58B1">
        <w:t>UNMISS</w:t>
      </w:r>
      <w:r w:rsidRPr="001E58B1">
        <w:rPr>
          <w:rFonts w:hint="cs"/>
          <w:rtl/>
        </w:rPr>
        <w:t>) ومكتب الأمم المتحدة في جنيف (</w:t>
      </w:r>
      <w:r w:rsidRPr="001E58B1">
        <w:t>UNOG</w:t>
      </w:r>
      <w:r w:rsidRPr="001E58B1">
        <w:rPr>
          <w:rFonts w:hint="cs"/>
          <w:rtl/>
        </w:rPr>
        <w:t>) و</w:t>
      </w:r>
      <w:r w:rsidRPr="001E58B1">
        <w:rPr>
          <w:rtl/>
        </w:rPr>
        <w:t>مكتب الأمم المتحدة في نيروبي</w:t>
      </w:r>
      <w:r w:rsidRPr="001E58B1">
        <w:rPr>
          <w:rFonts w:hint="cs"/>
          <w:rtl/>
        </w:rPr>
        <w:t xml:space="preserve"> (</w:t>
      </w:r>
      <w:r w:rsidRPr="001E58B1">
        <w:t>UNON</w:t>
      </w:r>
      <w:r w:rsidRPr="001E58B1">
        <w:rPr>
          <w:rFonts w:hint="cs"/>
          <w:rtl/>
        </w:rPr>
        <w:t>) و</w:t>
      </w:r>
      <w:r w:rsidRPr="001E58B1">
        <w:rPr>
          <w:rtl/>
        </w:rPr>
        <w:t>مكتب الأمم المتحدة في فيينا</w:t>
      </w:r>
      <w:r w:rsidRPr="001E58B1">
        <w:rPr>
          <w:rFonts w:hint="cs"/>
          <w:rtl/>
        </w:rPr>
        <w:t xml:space="preserve"> (</w:t>
      </w:r>
      <w:r w:rsidRPr="001E58B1">
        <w:t>UNOV</w:t>
      </w:r>
      <w:r w:rsidRPr="001E58B1">
        <w:rPr>
          <w:rFonts w:hint="cs"/>
          <w:rtl/>
        </w:rPr>
        <w:t>) و</w:t>
      </w:r>
      <w:r w:rsidRPr="001E58B1">
        <w:rPr>
          <w:rtl/>
        </w:rPr>
        <w:t>مكتب الأمم المتحدة للدعم في الصومال</w:t>
      </w:r>
      <w:r w:rsidRPr="001E58B1">
        <w:rPr>
          <w:rFonts w:hint="cs"/>
          <w:rtl/>
        </w:rPr>
        <w:t xml:space="preserve"> (</w:t>
      </w:r>
      <w:r w:rsidRPr="001E58B1">
        <w:t>UNSOS</w:t>
      </w:r>
      <w:r w:rsidRPr="001E58B1">
        <w:rPr>
          <w:rFonts w:hint="cs"/>
          <w:rtl/>
        </w:rPr>
        <w:t>) و</w:t>
      </w:r>
      <w:r w:rsidRPr="001E58B1">
        <w:rPr>
          <w:rtl/>
        </w:rPr>
        <w:t>هيئة الأمم المتحدة لمراقبة الهدنة</w:t>
      </w:r>
      <w:r w:rsidRPr="001E58B1">
        <w:rPr>
          <w:rFonts w:hint="cs"/>
          <w:rtl/>
        </w:rPr>
        <w:t xml:space="preserve"> (</w:t>
      </w:r>
      <w:r w:rsidRPr="001E58B1">
        <w:t>UNTSO</w:t>
      </w:r>
      <w:r w:rsidRPr="001E58B1">
        <w:rPr>
          <w:rFonts w:hint="cs"/>
          <w:rtl/>
        </w:rPr>
        <w:t>) و</w:t>
      </w:r>
      <w:r w:rsidRPr="001E58B1">
        <w:rPr>
          <w:rtl/>
        </w:rPr>
        <w:t>برنامج</w:t>
      </w:r>
      <w:r w:rsidRPr="001E58B1">
        <w:t> </w:t>
      </w:r>
      <w:r w:rsidRPr="001E58B1">
        <w:rPr>
          <w:rtl/>
        </w:rPr>
        <w:t>متطوعي الأمم المتحدة</w:t>
      </w:r>
      <w:r w:rsidRPr="001E58B1">
        <w:rPr>
          <w:rFonts w:hint="cs"/>
          <w:rtl/>
        </w:rPr>
        <w:t xml:space="preserve"> (</w:t>
      </w:r>
      <w:r w:rsidRPr="001E58B1">
        <w:t>UNV</w:t>
      </w:r>
      <w:r w:rsidRPr="001E58B1">
        <w:rPr>
          <w:rFonts w:hint="cs"/>
          <w:rtl/>
        </w:rPr>
        <w:t>) و</w:t>
      </w:r>
      <w:r w:rsidRPr="001E58B1">
        <w:rPr>
          <w:rtl/>
        </w:rPr>
        <w:t>هيئة الأمم المتحدة للمساواة بين الجنسين وتمكين المرأة</w:t>
      </w:r>
      <w:r w:rsidRPr="001E58B1">
        <w:rPr>
          <w:rFonts w:hint="cs"/>
          <w:rtl/>
        </w:rPr>
        <w:t xml:space="preserve"> (</w:t>
      </w:r>
      <w:r w:rsidRPr="001E58B1">
        <w:t>UN Women</w:t>
      </w:r>
      <w:r w:rsidRPr="001E58B1">
        <w:rPr>
          <w:rFonts w:hint="cs"/>
          <w:rtl/>
        </w:rPr>
        <w:t>) والبند الدولي (</w:t>
      </w:r>
      <w:r w:rsidRPr="001E58B1">
        <w:t>WB</w:t>
      </w:r>
      <w:r w:rsidRPr="001E58B1">
        <w:rPr>
          <w:rFonts w:hint="cs"/>
          <w:rtl/>
        </w:rPr>
        <w:t xml:space="preserve">) </w:t>
      </w:r>
      <w:r w:rsidRPr="001E58B1">
        <w:rPr>
          <w:rtl/>
        </w:rPr>
        <w:t>وبرنامج الأغذية العالمي</w:t>
      </w:r>
      <w:r w:rsidRPr="001E58B1">
        <w:rPr>
          <w:rFonts w:hint="cs"/>
          <w:rtl/>
        </w:rPr>
        <w:t xml:space="preserve"> (</w:t>
      </w:r>
      <w:r w:rsidRPr="001E58B1">
        <w:t>WFP</w:t>
      </w:r>
      <w:r w:rsidRPr="001E58B1">
        <w:rPr>
          <w:rFonts w:hint="cs"/>
          <w:rtl/>
        </w:rPr>
        <w:t>) ومنظمة الصحة العالمية (</w:t>
      </w:r>
      <w:r w:rsidRPr="001E58B1">
        <w:t>WHO</w:t>
      </w:r>
      <w:r w:rsidRPr="001E58B1">
        <w:rPr>
          <w:rFonts w:hint="cs"/>
          <w:rtl/>
        </w:rPr>
        <w:t>) والمنظمة العالمية للملكية الفكرية (الويبو) والمنظمة</w:t>
      </w:r>
      <w:r w:rsidRPr="001E58B1">
        <w:rPr>
          <w:rtl/>
        </w:rPr>
        <w:t xml:space="preserve"> العالمية للأرصاد الجوية</w:t>
      </w:r>
      <w:r w:rsidRPr="001E58B1">
        <w:rPr>
          <w:rFonts w:hint="cs"/>
          <w:rtl/>
        </w:rPr>
        <w:t xml:space="preserve"> (</w:t>
      </w:r>
      <w:r w:rsidRPr="001E58B1">
        <w:t>WMO</w:t>
      </w:r>
      <w:r w:rsidRPr="001E58B1">
        <w:rPr>
          <w:rFonts w:hint="cs"/>
          <w:rtl/>
        </w:rPr>
        <w:t>)</w:t>
      </w:r>
      <w:r w:rsidRPr="001E58B1">
        <w:rPr>
          <w:rtl/>
        </w:rPr>
        <w:t xml:space="preserve"> ومنظمة التجارة العالمي</w:t>
      </w:r>
      <w:r w:rsidRPr="001E58B1">
        <w:rPr>
          <w:rFonts w:hint="cs"/>
          <w:rtl/>
        </w:rPr>
        <w:t>ة (</w:t>
      </w:r>
      <w:r w:rsidRPr="001E58B1">
        <w:t>WTO</w:t>
      </w:r>
      <w:r w:rsidRPr="001E58B1">
        <w:rPr>
          <w:rFonts w:hint="cs"/>
          <w:rtl/>
        </w:rPr>
        <w:t>) فضلاً عن بنك التنمية الآسيوي (</w:t>
      </w:r>
      <w:r w:rsidRPr="001E58B1">
        <w:t>ADB</w:t>
      </w:r>
      <w:r w:rsidRPr="001E58B1">
        <w:rPr>
          <w:rFonts w:hint="cs"/>
          <w:rtl/>
        </w:rPr>
        <w:t>) والمنظمة الأوروبية للبحوث النووية (</w:t>
      </w:r>
      <w:r w:rsidRPr="001E58B1">
        <w:t>CERN</w:t>
      </w:r>
      <w:r w:rsidRPr="001E58B1">
        <w:rPr>
          <w:rFonts w:hint="cs"/>
          <w:rtl/>
        </w:rPr>
        <w:t>) ومجلس أوروبا و</w:t>
      </w:r>
      <w:r w:rsidRPr="001E58B1">
        <w:rPr>
          <w:rtl/>
        </w:rPr>
        <w:t>اللجنة الاقتصادية لأفريقيا</w:t>
      </w:r>
      <w:r w:rsidRPr="001E58B1">
        <w:rPr>
          <w:rFonts w:hint="cs"/>
          <w:rtl/>
        </w:rPr>
        <w:t xml:space="preserve"> (</w:t>
      </w:r>
      <w:r w:rsidRPr="001E58B1">
        <w:t>ECA</w:t>
      </w:r>
      <w:r w:rsidRPr="001E58B1">
        <w:rPr>
          <w:rFonts w:hint="cs"/>
          <w:rtl/>
        </w:rPr>
        <w:t>) والوكالة الفضائية الأوروبية (</w:t>
      </w:r>
      <w:r w:rsidRPr="001E58B1">
        <w:t>ESA</w:t>
      </w:r>
      <w:r w:rsidRPr="001E58B1">
        <w:rPr>
          <w:rFonts w:hint="cs"/>
          <w:rtl/>
        </w:rPr>
        <w:t>) والاتحاد الأوروبي (</w:t>
      </w:r>
      <w:r w:rsidRPr="001E58B1">
        <w:t>EU</w:t>
      </w:r>
      <w:r w:rsidRPr="001E58B1">
        <w:rPr>
          <w:rFonts w:hint="cs"/>
          <w:rtl/>
        </w:rPr>
        <w:t>) ومنظمة</w:t>
      </w:r>
      <w:r w:rsidRPr="00867C5A">
        <w:rPr>
          <w:rFonts w:hint="cs"/>
          <w:rtl/>
        </w:rPr>
        <w:t xml:space="preserve"> التعاون والتنمية في الميدان الاقتصادي (</w:t>
      </w:r>
      <w:r w:rsidRPr="00867C5A">
        <w:t>OECD</w:t>
      </w:r>
      <w:r w:rsidRPr="00867C5A">
        <w:rPr>
          <w:rFonts w:hint="cs"/>
          <w:rtl/>
        </w:rPr>
        <w:t>) و</w:t>
      </w:r>
      <w:r w:rsidRPr="00867C5A">
        <w:rPr>
          <w:rtl/>
        </w:rPr>
        <w:t>منظمة الأمن والتعاون في أوروبا</w:t>
      </w:r>
      <w:r w:rsidRPr="00867C5A">
        <w:rPr>
          <w:rFonts w:hint="cs"/>
          <w:rtl/>
        </w:rPr>
        <w:t xml:space="preserve"> (</w:t>
      </w:r>
      <w:r w:rsidRPr="00867C5A">
        <w:t>OSCE</w:t>
      </w:r>
      <w:r w:rsidRPr="00867C5A">
        <w:rPr>
          <w:rFonts w:hint="cs"/>
          <w:rtl/>
        </w:rPr>
        <w:t>) ومنظمة حلف شمال الأطلسي (</w:t>
      </w:r>
      <w:r w:rsidRPr="00867C5A">
        <w:t>NATO</w:t>
      </w:r>
      <w:r w:rsidRPr="00867C5A">
        <w:rPr>
          <w:rFonts w:hint="cs"/>
          <w:rt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173E" w:rsidRDefault="0004173E" w:rsidP="00865956">
    <w:r>
      <w:t>WO/PBC/</w:t>
    </w:r>
    <w:r w:rsidRPr="0004173E">
      <w:t>25</w:t>
    </w:r>
    <w:r>
      <w:t>/</w:t>
    </w:r>
    <w:r w:rsidRPr="0004173E">
      <w:t>13</w:t>
    </w:r>
  </w:p>
  <w:p w:rsidR="0004173E" w:rsidRDefault="0004173E" w:rsidP="00D61541">
    <w:r>
      <w:fldChar w:fldCharType="begin"/>
    </w:r>
    <w:r>
      <w:instrText xml:space="preserve"> PAGE  \* MERGEFORMAT </w:instrText>
    </w:r>
    <w:r>
      <w:fldChar w:fldCharType="separate"/>
    </w:r>
    <w:r w:rsidR="00166F59">
      <w:rPr>
        <w:noProof/>
      </w:rPr>
      <w:t>6</w:t>
    </w:r>
    <w:r>
      <w:fldChar w:fldCharType="end"/>
    </w:r>
  </w:p>
  <w:p w:rsidR="0004173E" w:rsidRDefault="0004173E" w:rsidP="00D615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173E" w:rsidRDefault="0004173E" w:rsidP="00867C5A">
    <w:r>
      <w:t>WO/PBC/</w:t>
    </w:r>
    <w:r w:rsidRPr="0004173E">
      <w:t>25</w:t>
    </w:r>
    <w:r>
      <w:t>/</w:t>
    </w:r>
    <w:r w:rsidRPr="0004173E">
      <w:t>13</w:t>
    </w:r>
  </w:p>
  <w:p w:rsidR="0004173E" w:rsidRDefault="0004173E" w:rsidP="00867C5A">
    <w:pPr>
      <w:rPr>
        <w:rtl/>
      </w:rPr>
    </w:pPr>
    <w:r>
      <w:t>ANNEX I</w:t>
    </w:r>
  </w:p>
  <w:p w:rsidR="0004173E" w:rsidRPr="00867C5A" w:rsidRDefault="0004173E" w:rsidP="00867C5A">
    <w:pPr>
      <w:rPr>
        <w:rFonts w:ascii="Arabic Typesetting" w:hAnsi="Arabic Typesetting" w:cs="Arabic Typesetting"/>
        <w:sz w:val="36"/>
        <w:szCs w:val="36"/>
      </w:rPr>
    </w:pPr>
    <w:r w:rsidRPr="00867C5A">
      <w:rPr>
        <w:rFonts w:ascii="Arabic Typesetting" w:hAnsi="Arabic Typesetting" w:cs="Arabic Typesetting"/>
        <w:sz w:val="36"/>
        <w:szCs w:val="36"/>
        <w:rtl/>
      </w:rPr>
      <w:t>المرفق الأول</w:t>
    </w:r>
  </w:p>
  <w:p w:rsidR="0004173E" w:rsidRDefault="0004173E"/>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173E" w:rsidRDefault="0004173E" w:rsidP="00867C5A">
    <w:r>
      <w:t>WO/PBC/</w:t>
    </w:r>
    <w:r w:rsidRPr="0004173E">
      <w:t>25</w:t>
    </w:r>
    <w:r>
      <w:t>/</w:t>
    </w:r>
    <w:r w:rsidRPr="0004173E">
      <w:t>13</w:t>
    </w:r>
  </w:p>
  <w:p w:rsidR="0004173E" w:rsidRDefault="0004173E" w:rsidP="00867C5A">
    <w:pPr>
      <w:rPr>
        <w:rtl/>
      </w:rPr>
    </w:pPr>
    <w:r>
      <w:t>ANNEX II</w:t>
    </w:r>
  </w:p>
  <w:p w:rsidR="0004173E" w:rsidRPr="00867C5A" w:rsidRDefault="0004173E" w:rsidP="00867C5A">
    <w:pPr>
      <w:rPr>
        <w:rFonts w:ascii="Arabic Typesetting" w:hAnsi="Arabic Typesetting" w:cs="Arabic Typesetting"/>
        <w:sz w:val="36"/>
        <w:szCs w:val="36"/>
      </w:rPr>
    </w:pPr>
    <w:r>
      <w:rPr>
        <w:rFonts w:ascii="Arabic Typesetting" w:hAnsi="Arabic Typesetting" w:cs="Arabic Typesetting"/>
        <w:sz w:val="36"/>
        <w:szCs w:val="36"/>
        <w:rtl/>
      </w:rPr>
      <w:t>المرفق ا</w:t>
    </w:r>
    <w:r>
      <w:rPr>
        <w:rFonts w:ascii="Arabic Typesetting" w:hAnsi="Arabic Typesetting" w:cs="Arabic Typesetting" w:hint="cs"/>
        <w:sz w:val="36"/>
        <w:szCs w:val="36"/>
        <w:rtl/>
      </w:rPr>
      <w:t>لثاني</w:t>
    </w:r>
  </w:p>
  <w:p w:rsidR="0004173E" w:rsidRDefault="0004173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26D03EA"/>
    <w:multiLevelType w:val="hybridMultilevel"/>
    <w:tmpl w:val="0790704C"/>
    <w:lvl w:ilvl="0" w:tplc="0409000F">
      <w:start w:val="1"/>
      <w:numFmt w:val="decimal"/>
      <w:lvlText w:val="%1."/>
      <w:lvlJc w:val="left"/>
      <w:pPr>
        <w:tabs>
          <w:tab w:val="num" w:pos="567"/>
        </w:tabs>
        <w:ind w:left="0" w:firstLine="0"/>
      </w:pPr>
      <w:rPr>
        <w:rFonts w:hint="default"/>
      </w:rPr>
    </w:lvl>
    <w:lvl w:ilvl="1" w:tplc="160E8812">
      <w:start w:val="1"/>
      <w:numFmt w:val="lowerLetter"/>
      <w:lvlText w:val="(%2)"/>
      <w:lvlJc w:val="left"/>
      <w:pPr>
        <w:tabs>
          <w:tab w:val="num" w:pos="1440"/>
        </w:tabs>
        <w:ind w:left="1440" w:hanging="360"/>
      </w:pPr>
      <w:rPr>
        <w:rFonts w:hint="default"/>
      </w:rPr>
    </w:lvl>
    <w:lvl w:ilvl="2" w:tplc="8968E54A">
      <w:start w:val="1"/>
      <w:numFmt w:val="lowerRoman"/>
      <w:lvlText w:val="(%3)"/>
      <w:lvlJc w:val="left"/>
      <w:pPr>
        <w:tabs>
          <w:tab w:val="num" w:pos="2700"/>
        </w:tabs>
        <w:ind w:left="2700" w:hanging="720"/>
      </w:pPr>
      <w:rPr>
        <w:rFonts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87E848DC">
      <w:start w:val="1"/>
      <w:numFmt w:val="lowerRoman"/>
      <w:lvlText w:val="(%6)"/>
      <w:lvlJc w:val="left"/>
      <w:pPr>
        <w:tabs>
          <w:tab w:val="num" w:pos="4310"/>
        </w:tabs>
        <w:ind w:left="4140" w:firstLine="0"/>
      </w:pPr>
      <w:rPr>
        <w:rFonts w:hint="default"/>
      </w:r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3">
    <w:nsid w:val="177D5000"/>
    <w:multiLevelType w:val="singleLevel"/>
    <w:tmpl w:val="0409000F"/>
    <w:lvl w:ilvl="0">
      <w:start w:val="1"/>
      <w:numFmt w:val="decimal"/>
      <w:lvlText w:val="%1."/>
      <w:lvlJc w:val="left"/>
      <w:pPr>
        <w:tabs>
          <w:tab w:val="num" w:pos="360"/>
        </w:tabs>
        <w:ind w:left="360" w:hanging="360"/>
      </w:pPr>
    </w:lvl>
  </w:abstractNum>
  <w:abstractNum w:abstractNumId="14">
    <w:nsid w:val="1FFB19A2"/>
    <w:multiLevelType w:val="multilevel"/>
    <w:tmpl w:val="495EEFE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5">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DFE1BE5"/>
    <w:multiLevelType w:val="hybridMultilevel"/>
    <w:tmpl w:val="49DCDD9A"/>
    <w:lvl w:ilvl="0" w:tplc="D6A037A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36C14DA6"/>
    <w:multiLevelType w:val="hybridMultilevel"/>
    <w:tmpl w:val="2CBA37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4C8B3C46"/>
    <w:multiLevelType w:val="hybridMultilevel"/>
    <w:tmpl w:val="799E19C6"/>
    <w:lvl w:ilvl="0" w:tplc="AEB04A72">
      <w:start w:val="1"/>
      <w:numFmt w:val="decimal"/>
      <w:lvlRestart w:val="0"/>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677A00DC"/>
    <w:multiLevelType w:val="hybridMultilevel"/>
    <w:tmpl w:val="FE6AE660"/>
    <w:lvl w:ilvl="0" w:tplc="9D44AB80">
      <w:start w:val="8"/>
      <w:numFmt w:val="bullet"/>
      <w:lvlText w:val=""/>
      <w:lvlJc w:val="left"/>
      <w:pPr>
        <w:ind w:left="720" w:hanging="360"/>
      </w:pPr>
      <w:rPr>
        <w:rFonts w:ascii="Symbol" w:eastAsia="SimSu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5">
    <w:nsid w:val="7916016B"/>
    <w:multiLevelType w:val="hybridMultilevel"/>
    <w:tmpl w:val="F0220A4E"/>
    <w:lvl w:ilvl="0" w:tplc="7D3868C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3"/>
  </w:num>
  <w:num w:numId="2">
    <w:abstractNumId w:val="19"/>
  </w:num>
  <w:num w:numId="3">
    <w:abstractNumId w:val="12"/>
  </w:num>
  <w:num w:numId="4">
    <w:abstractNumId w:val="24"/>
  </w:num>
  <w:num w:numId="5">
    <w:abstractNumId w:val="8"/>
  </w:num>
  <w:num w:numId="6">
    <w:abstractNumId w:val="26"/>
  </w:num>
  <w:num w:numId="7">
    <w:abstractNumId w:val="16"/>
  </w:num>
  <w:num w:numId="8">
    <w:abstractNumId w:val="22"/>
  </w:num>
  <w:num w:numId="9">
    <w:abstractNumId w:val="21"/>
  </w:num>
  <w:num w:numId="10">
    <w:abstractNumId w:val="27"/>
  </w:num>
  <w:num w:numId="11">
    <w:abstractNumId w:val="15"/>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5"/>
  </w:num>
  <w:num w:numId="22">
    <w:abstractNumId w:val="20"/>
  </w:num>
  <w:num w:numId="23">
    <w:abstractNumId w:val="10"/>
  </w:num>
  <w:num w:numId="24">
    <w:abstractNumId w:val="14"/>
  </w:num>
  <w:num w:numId="25">
    <w:abstractNumId w:val="11"/>
  </w:num>
  <w:num w:numId="26">
    <w:abstractNumId w:val="18"/>
  </w:num>
  <w:num w:numId="27">
    <w:abstractNumId w:val="25"/>
  </w:num>
  <w:num w:numId="28">
    <w:abstractNumId w:val="23"/>
  </w:num>
  <w:num w:numId="29">
    <w:abstractNumId w:val="17"/>
  </w:num>
  <w:num w:numId="30">
    <w:abstractNumId w:val="15"/>
  </w:num>
  <w:num w:numId="31">
    <w:abstractNumId w:val="15"/>
  </w:num>
  <w:num w:numId="32">
    <w:abstractNumId w:val="15"/>
  </w:num>
  <w:num w:numId="33">
    <w:abstractNumId w:val="15"/>
  </w:num>
  <w:num w:numId="34">
    <w:abstractNumId w:val="15"/>
  </w:num>
  <w:num w:numId="35">
    <w:abstractNumId w:val="15"/>
  </w:num>
  <w:num w:numId="36">
    <w:abstractNumId w:val="15"/>
  </w:num>
  <w:num w:numId="3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7DFC"/>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173E"/>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05B1"/>
    <w:rsid w:val="00071138"/>
    <w:rsid w:val="000717BF"/>
    <w:rsid w:val="00073402"/>
    <w:rsid w:val="00075745"/>
    <w:rsid w:val="00075A04"/>
    <w:rsid w:val="00075D39"/>
    <w:rsid w:val="000760C3"/>
    <w:rsid w:val="000763A4"/>
    <w:rsid w:val="00076901"/>
    <w:rsid w:val="0008060D"/>
    <w:rsid w:val="0008237C"/>
    <w:rsid w:val="000833C3"/>
    <w:rsid w:val="0008421F"/>
    <w:rsid w:val="0008451C"/>
    <w:rsid w:val="00085A0B"/>
    <w:rsid w:val="000863B7"/>
    <w:rsid w:val="00087DB6"/>
    <w:rsid w:val="00090139"/>
    <w:rsid w:val="0009024C"/>
    <w:rsid w:val="00090ADD"/>
    <w:rsid w:val="000913C0"/>
    <w:rsid w:val="00091F52"/>
    <w:rsid w:val="00092302"/>
    <w:rsid w:val="0009250D"/>
    <w:rsid w:val="00092982"/>
    <w:rsid w:val="00092DD6"/>
    <w:rsid w:val="00094C85"/>
    <w:rsid w:val="00094D7E"/>
    <w:rsid w:val="0009517B"/>
    <w:rsid w:val="00095742"/>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1F53"/>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45FD6"/>
    <w:rsid w:val="0015009D"/>
    <w:rsid w:val="00151493"/>
    <w:rsid w:val="001519FB"/>
    <w:rsid w:val="00151B18"/>
    <w:rsid w:val="00151BF2"/>
    <w:rsid w:val="00151C68"/>
    <w:rsid w:val="001520DD"/>
    <w:rsid w:val="00152374"/>
    <w:rsid w:val="00152D48"/>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6F5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5895"/>
    <w:rsid w:val="001B7C00"/>
    <w:rsid w:val="001C09D2"/>
    <w:rsid w:val="001C1620"/>
    <w:rsid w:val="001C18B2"/>
    <w:rsid w:val="001C1994"/>
    <w:rsid w:val="001C2933"/>
    <w:rsid w:val="001C506C"/>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70E"/>
    <w:rsid w:val="001E582D"/>
    <w:rsid w:val="001E58B1"/>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17DFC"/>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6E87"/>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068"/>
    <w:rsid w:val="0026749A"/>
    <w:rsid w:val="00270E72"/>
    <w:rsid w:val="0027167E"/>
    <w:rsid w:val="00271F24"/>
    <w:rsid w:val="00272503"/>
    <w:rsid w:val="00272DE0"/>
    <w:rsid w:val="00272F3A"/>
    <w:rsid w:val="002736FD"/>
    <w:rsid w:val="00273941"/>
    <w:rsid w:val="00273D91"/>
    <w:rsid w:val="002743E2"/>
    <w:rsid w:val="00274410"/>
    <w:rsid w:val="0027447E"/>
    <w:rsid w:val="0027520A"/>
    <w:rsid w:val="00275419"/>
    <w:rsid w:val="00275A2D"/>
    <w:rsid w:val="0027655E"/>
    <w:rsid w:val="002772A5"/>
    <w:rsid w:val="002806F8"/>
    <w:rsid w:val="002810B5"/>
    <w:rsid w:val="00281F4F"/>
    <w:rsid w:val="00286744"/>
    <w:rsid w:val="002909B9"/>
    <w:rsid w:val="00292CEE"/>
    <w:rsid w:val="00292D22"/>
    <w:rsid w:val="0029470D"/>
    <w:rsid w:val="00297B80"/>
    <w:rsid w:val="002A076C"/>
    <w:rsid w:val="002A1059"/>
    <w:rsid w:val="002A3C9D"/>
    <w:rsid w:val="002A5100"/>
    <w:rsid w:val="002A5403"/>
    <w:rsid w:val="002A6C9F"/>
    <w:rsid w:val="002A77F3"/>
    <w:rsid w:val="002B14F0"/>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06AD4"/>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3D42"/>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97BF3"/>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47C9"/>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AC2"/>
    <w:rsid w:val="00413BA5"/>
    <w:rsid w:val="004142B7"/>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6BEA"/>
    <w:rsid w:val="0045768F"/>
    <w:rsid w:val="00457769"/>
    <w:rsid w:val="004627AE"/>
    <w:rsid w:val="0046298E"/>
    <w:rsid w:val="004647BB"/>
    <w:rsid w:val="0046482B"/>
    <w:rsid w:val="004648E0"/>
    <w:rsid w:val="00467BE7"/>
    <w:rsid w:val="004704D3"/>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4E47"/>
    <w:rsid w:val="004A655D"/>
    <w:rsid w:val="004B01B1"/>
    <w:rsid w:val="004B08D1"/>
    <w:rsid w:val="004B10E6"/>
    <w:rsid w:val="004B198F"/>
    <w:rsid w:val="004B2424"/>
    <w:rsid w:val="004B357D"/>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4AEB"/>
    <w:rsid w:val="005161A8"/>
    <w:rsid w:val="00516256"/>
    <w:rsid w:val="005162CF"/>
    <w:rsid w:val="00517A63"/>
    <w:rsid w:val="00517C8D"/>
    <w:rsid w:val="00517F69"/>
    <w:rsid w:val="00517FD1"/>
    <w:rsid w:val="005219E6"/>
    <w:rsid w:val="00521B4A"/>
    <w:rsid w:val="0052212E"/>
    <w:rsid w:val="00522E91"/>
    <w:rsid w:val="0052302D"/>
    <w:rsid w:val="00523275"/>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5764D"/>
    <w:rsid w:val="00560C6A"/>
    <w:rsid w:val="00560F85"/>
    <w:rsid w:val="005610A0"/>
    <w:rsid w:val="0056248F"/>
    <w:rsid w:val="00564985"/>
    <w:rsid w:val="00565379"/>
    <w:rsid w:val="005674C3"/>
    <w:rsid w:val="00567990"/>
    <w:rsid w:val="00567C4C"/>
    <w:rsid w:val="00570B8B"/>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242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6E4"/>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5A1"/>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40B"/>
    <w:rsid w:val="0064165D"/>
    <w:rsid w:val="00641776"/>
    <w:rsid w:val="0064656E"/>
    <w:rsid w:val="00646DF5"/>
    <w:rsid w:val="00650397"/>
    <w:rsid w:val="006507E8"/>
    <w:rsid w:val="00650C73"/>
    <w:rsid w:val="00651143"/>
    <w:rsid w:val="00651959"/>
    <w:rsid w:val="00653149"/>
    <w:rsid w:val="006531E4"/>
    <w:rsid w:val="00653B62"/>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1E95"/>
    <w:rsid w:val="006A20FB"/>
    <w:rsid w:val="006A339D"/>
    <w:rsid w:val="006A4462"/>
    <w:rsid w:val="006A5B59"/>
    <w:rsid w:val="006A6A14"/>
    <w:rsid w:val="006A753A"/>
    <w:rsid w:val="006A777C"/>
    <w:rsid w:val="006A7C46"/>
    <w:rsid w:val="006A7CB9"/>
    <w:rsid w:val="006B0F76"/>
    <w:rsid w:val="006B1F20"/>
    <w:rsid w:val="006B398A"/>
    <w:rsid w:val="006B3E04"/>
    <w:rsid w:val="006B4024"/>
    <w:rsid w:val="006B47D7"/>
    <w:rsid w:val="006B499D"/>
    <w:rsid w:val="006B5041"/>
    <w:rsid w:val="006B643D"/>
    <w:rsid w:val="006B79A4"/>
    <w:rsid w:val="006C0913"/>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F22CE"/>
    <w:rsid w:val="006F2F22"/>
    <w:rsid w:val="006F434A"/>
    <w:rsid w:val="006F7974"/>
    <w:rsid w:val="00700A60"/>
    <w:rsid w:val="00705027"/>
    <w:rsid w:val="00710494"/>
    <w:rsid w:val="007117BD"/>
    <w:rsid w:val="00715129"/>
    <w:rsid w:val="007154CE"/>
    <w:rsid w:val="00715B25"/>
    <w:rsid w:val="00716020"/>
    <w:rsid w:val="00720860"/>
    <w:rsid w:val="00721087"/>
    <w:rsid w:val="00721530"/>
    <w:rsid w:val="007225D3"/>
    <w:rsid w:val="00723422"/>
    <w:rsid w:val="007260FE"/>
    <w:rsid w:val="00726DD6"/>
    <w:rsid w:val="0073076E"/>
    <w:rsid w:val="00733416"/>
    <w:rsid w:val="0073377E"/>
    <w:rsid w:val="00733E05"/>
    <w:rsid w:val="00735C8A"/>
    <w:rsid w:val="00735FE2"/>
    <w:rsid w:val="0073719A"/>
    <w:rsid w:val="00737C62"/>
    <w:rsid w:val="00737C91"/>
    <w:rsid w:val="00741133"/>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2E46"/>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5460"/>
    <w:rsid w:val="00796CF7"/>
    <w:rsid w:val="007A0313"/>
    <w:rsid w:val="007A0A83"/>
    <w:rsid w:val="007A4BB3"/>
    <w:rsid w:val="007A6307"/>
    <w:rsid w:val="007A6773"/>
    <w:rsid w:val="007A6822"/>
    <w:rsid w:val="007A724D"/>
    <w:rsid w:val="007A749D"/>
    <w:rsid w:val="007A7B37"/>
    <w:rsid w:val="007B024C"/>
    <w:rsid w:val="007B1C4C"/>
    <w:rsid w:val="007B2800"/>
    <w:rsid w:val="007B38F7"/>
    <w:rsid w:val="007B40D4"/>
    <w:rsid w:val="007B4511"/>
    <w:rsid w:val="007B5B5D"/>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2C20"/>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65956"/>
    <w:rsid w:val="00867C5A"/>
    <w:rsid w:val="0087049C"/>
    <w:rsid w:val="00870AAD"/>
    <w:rsid w:val="00870EDE"/>
    <w:rsid w:val="00871DA0"/>
    <w:rsid w:val="00872030"/>
    <w:rsid w:val="00873973"/>
    <w:rsid w:val="00875B0F"/>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0FEA"/>
    <w:rsid w:val="008920C2"/>
    <w:rsid w:val="00895702"/>
    <w:rsid w:val="00895A1F"/>
    <w:rsid w:val="00897566"/>
    <w:rsid w:val="0089757B"/>
    <w:rsid w:val="008A1594"/>
    <w:rsid w:val="008A1757"/>
    <w:rsid w:val="008A1CE6"/>
    <w:rsid w:val="008A1F25"/>
    <w:rsid w:val="008A47FB"/>
    <w:rsid w:val="008A5234"/>
    <w:rsid w:val="008A5397"/>
    <w:rsid w:val="008A6861"/>
    <w:rsid w:val="008A6D83"/>
    <w:rsid w:val="008A7522"/>
    <w:rsid w:val="008A7B55"/>
    <w:rsid w:val="008B0578"/>
    <w:rsid w:val="008B170D"/>
    <w:rsid w:val="008B4941"/>
    <w:rsid w:val="008B4984"/>
    <w:rsid w:val="008B4F60"/>
    <w:rsid w:val="008B559A"/>
    <w:rsid w:val="008B598F"/>
    <w:rsid w:val="008B66A5"/>
    <w:rsid w:val="008B7F4A"/>
    <w:rsid w:val="008C0D2E"/>
    <w:rsid w:val="008C1056"/>
    <w:rsid w:val="008C2255"/>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5B8"/>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4E69"/>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389"/>
    <w:rsid w:val="00983CEA"/>
    <w:rsid w:val="00984198"/>
    <w:rsid w:val="00984E04"/>
    <w:rsid w:val="00986194"/>
    <w:rsid w:val="009861D2"/>
    <w:rsid w:val="00986E53"/>
    <w:rsid w:val="00987CE5"/>
    <w:rsid w:val="0099091F"/>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B79A2"/>
    <w:rsid w:val="009C13BF"/>
    <w:rsid w:val="009C2943"/>
    <w:rsid w:val="009C4B2C"/>
    <w:rsid w:val="009C4CB3"/>
    <w:rsid w:val="009C4F15"/>
    <w:rsid w:val="009C511C"/>
    <w:rsid w:val="009C5416"/>
    <w:rsid w:val="009C587B"/>
    <w:rsid w:val="009C64C5"/>
    <w:rsid w:val="009C6F87"/>
    <w:rsid w:val="009C7166"/>
    <w:rsid w:val="009C742C"/>
    <w:rsid w:val="009D0D9F"/>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816"/>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703"/>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40"/>
    <w:rsid w:val="00A92065"/>
    <w:rsid w:val="00A92184"/>
    <w:rsid w:val="00A9334F"/>
    <w:rsid w:val="00A9371B"/>
    <w:rsid w:val="00A93D6F"/>
    <w:rsid w:val="00A9449A"/>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249"/>
    <w:rsid w:val="00AB246B"/>
    <w:rsid w:val="00AB2E96"/>
    <w:rsid w:val="00AB36D4"/>
    <w:rsid w:val="00AB5500"/>
    <w:rsid w:val="00AB5564"/>
    <w:rsid w:val="00AB57FB"/>
    <w:rsid w:val="00AB59F5"/>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5CC"/>
    <w:rsid w:val="00AF160F"/>
    <w:rsid w:val="00AF1919"/>
    <w:rsid w:val="00AF1B7B"/>
    <w:rsid w:val="00AF3291"/>
    <w:rsid w:val="00AF395E"/>
    <w:rsid w:val="00AF4D6A"/>
    <w:rsid w:val="00AF5D2C"/>
    <w:rsid w:val="00AF5D6E"/>
    <w:rsid w:val="00AF6318"/>
    <w:rsid w:val="00B0072E"/>
    <w:rsid w:val="00B03B63"/>
    <w:rsid w:val="00B05070"/>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076"/>
    <w:rsid w:val="00B72C1C"/>
    <w:rsid w:val="00B73BB7"/>
    <w:rsid w:val="00B751C3"/>
    <w:rsid w:val="00B76C0D"/>
    <w:rsid w:val="00B77D0D"/>
    <w:rsid w:val="00B80817"/>
    <w:rsid w:val="00B827E6"/>
    <w:rsid w:val="00B82A28"/>
    <w:rsid w:val="00B82B8D"/>
    <w:rsid w:val="00B82C97"/>
    <w:rsid w:val="00B851D5"/>
    <w:rsid w:val="00B85B06"/>
    <w:rsid w:val="00B87ADF"/>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5DF"/>
    <w:rsid w:val="00BE5850"/>
    <w:rsid w:val="00BE58D6"/>
    <w:rsid w:val="00BE5CA6"/>
    <w:rsid w:val="00BE707F"/>
    <w:rsid w:val="00BE7F5D"/>
    <w:rsid w:val="00BF0707"/>
    <w:rsid w:val="00BF10F9"/>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0CFA"/>
    <w:rsid w:val="00C12DAD"/>
    <w:rsid w:val="00C12E17"/>
    <w:rsid w:val="00C14741"/>
    <w:rsid w:val="00C1544B"/>
    <w:rsid w:val="00C1665A"/>
    <w:rsid w:val="00C170AC"/>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5A06"/>
    <w:rsid w:val="00C668DE"/>
    <w:rsid w:val="00C7044F"/>
    <w:rsid w:val="00C720F8"/>
    <w:rsid w:val="00C7294B"/>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060D"/>
    <w:rsid w:val="00CB2575"/>
    <w:rsid w:val="00CB3677"/>
    <w:rsid w:val="00CB368F"/>
    <w:rsid w:val="00CB4C42"/>
    <w:rsid w:val="00CB4DFA"/>
    <w:rsid w:val="00CB79E4"/>
    <w:rsid w:val="00CB7BD7"/>
    <w:rsid w:val="00CC4CB6"/>
    <w:rsid w:val="00CC4DB0"/>
    <w:rsid w:val="00CC5038"/>
    <w:rsid w:val="00CC5326"/>
    <w:rsid w:val="00CC7426"/>
    <w:rsid w:val="00CC7910"/>
    <w:rsid w:val="00CD0C20"/>
    <w:rsid w:val="00CD297A"/>
    <w:rsid w:val="00CD3DB0"/>
    <w:rsid w:val="00CD4129"/>
    <w:rsid w:val="00CD540C"/>
    <w:rsid w:val="00CD5DBB"/>
    <w:rsid w:val="00CD675D"/>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6EF"/>
    <w:rsid w:val="00D007D6"/>
    <w:rsid w:val="00D01A9F"/>
    <w:rsid w:val="00D01CED"/>
    <w:rsid w:val="00D01E38"/>
    <w:rsid w:val="00D022B5"/>
    <w:rsid w:val="00D039B5"/>
    <w:rsid w:val="00D03B0E"/>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960"/>
    <w:rsid w:val="00DD7B0D"/>
    <w:rsid w:val="00DE1E83"/>
    <w:rsid w:val="00DE1F29"/>
    <w:rsid w:val="00DE3FEB"/>
    <w:rsid w:val="00DE4905"/>
    <w:rsid w:val="00DE510C"/>
    <w:rsid w:val="00DE6DD6"/>
    <w:rsid w:val="00DE7822"/>
    <w:rsid w:val="00DF081A"/>
    <w:rsid w:val="00DF265D"/>
    <w:rsid w:val="00DF2EB0"/>
    <w:rsid w:val="00DF31C1"/>
    <w:rsid w:val="00DF427A"/>
    <w:rsid w:val="00DF45C5"/>
    <w:rsid w:val="00DF5A8C"/>
    <w:rsid w:val="00DF71D8"/>
    <w:rsid w:val="00E00CCA"/>
    <w:rsid w:val="00E01623"/>
    <w:rsid w:val="00E03DC6"/>
    <w:rsid w:val="00E03FE3"/>
    <w:rsid w:val="00E06951"/>
    <w:rsid w:val="00E06B1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83B"/>
    <w:rsid w:val="00E31BC7"/>
    <w:rsid w:val="00E31E7F"/>
    <w:rsid w:val="00E352CC"/>
    <w:rsid w:val="00E363CD"/>
    <w:rsid w:val="00E365C4"/>
    <w:rsid w:val="00E36C7F"/>
    <w:rsid w:val="00E36CD9"/>
    <w:rsid w:val="00E37652"/>
    <w:rsid w:val="00E3768F"/>
    <w:rsid w:val="00E402BC"/>
    <w:rsid w:val="00E40529"/>
    <w:rsid w:val="00E41403"/>
    <w:rsid w:val="00E418C7"/>
    <w:rsid w:val="00E41BD7"/>
    <w:rsid w:val="00E428D6"/>
    <w:rsid w:val="00E43284"/>
    <w:rsid w:val="00E445C9"/>
    <w:rsid w:val="00E447C5"/>
    <w:rsid w:val="00E450C1"/>
    <w:rsid w:val="00E4547F"/>
    <w:rsid w:val="00E4574F"/>
    <w:rsid w:val="00E46B7D"/>
    <w:rsid w:val="00E46C4C"/>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CAD"/>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4EF9"/>
    <w:rsid w:val="00E96226"/>
    <w:rsid w:val="00E96DDE"/>
    <w:rsid w:val="00EA04AE"/>
    <w:rsid w:val="00EA062F"/>
    <w:rsid w:val="00EA17A9"/>
    <w:rsid w:val="00EA311B"/>
    <w:rsid w:val="00EA36CA"/>
    <w:rsid w:val="00EA3D9C"/>
    <w:rsid w:val="00EA43C0"/>
    <w:rsid w:val="00EA4CB0"/>
    <w:rsid w:val="00EA566F"/>
    <w:rsid w:val="00EB1149"/>
    <w:rsid w:val="00EB2857"/>
    <w:rsid w:val="00EB30B7"/>
    <w:rsid w:val="00EB3F8A"/>
    <w:rsid w:val="00EB406F"/>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1738D"/>
    <w:rsid w:val="00F20706"/>
    <w:rsid w:val="00F21496"/>
    <w:rsid w:val="00F21E77"/>
    <w:rsid w:val="00F22EBF"/>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42B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D7076"/>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link w:val="CommentTextChar"/>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NormalParaAR"/>
    <w:next w:val="NormalParaAR"/>
    <w:rsid w:val="00095742"/>
    <w:pPr>
      <w:ind w:left="1134" w:hanging="567"/>
    </w:pPr>
    <w:rPr>
      <w:b/>
      <w:bCs/>
    </w:rPr>
  </w:style>
  <w:style w:type="paragraph" w:customStyle="1" w:styleId="Heading3AR">
    <w:name w:val="Heading_3_AR"/>
    <w:basedOn w:val="NormalParaAR"/>
    <w:next w:val="NormalParaAR"/>
    <w:rsid w:val="00095742"/>
    <w:pPr>
      <w:keepNext/>
    </w:pPr>
    <w:rPr>
      <w:i/>
      <w:iCs/>
    </w:rPr>
  </w:style>
  <w:style w:type="paragraph" w:customStyle="1" w:styleId="Heading4AR">
    <w:name w:val="Heading_4_AR"/>
    <w:basedOn w:val="Heading3AR"/>
    <w:next w:val="NormalParaAR"/>
    <w:rsid w:val="0073076E"/>
    <w:rPr>
      <w:iCs w:val="0"/>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numbering" w:customStyle="1" w:styleId="NoList1">
    <w:name w:val="No List1"/>
    <w:next w:val="NoList"/>
    <w:uiPriority w:val="99"/>
    <w:semiHidden/>
    <w:unhideWhenUsed/>
    <w:rsid w:val="000E1F53"/>
  </w:style>
  <w:style w:type="paragraph" w:styleId="BodyText">
    <w:name w:val="Body Text"/>
    <w:basedOn w:val="Normal"/>
    <w:link w:val="BodyTextChar"/>
    <w:rsid w:val="000E1F53"/>
    <w:pPr>
      <w:spacing w:after="220"/>
    </w:pPr>
    <w:rPr>
      <w:rFonts w:eastAsia="SimSun"/>
      <w:lang w:eastAsia="zh-CN"/>
    </w:rPr>
  </w:style>
  <w:style w:type="character" w:customStyle="1" w:styleId="BodyTextChar">
    <w:name w:val="Body Text Char"/>
    <w:basedOn w:val="DefaultParagraphFont"/>
    <w:link w:val="BodyText"/>
    <w:rsid w:val="000E1F53"/>
    <w:rPr>
      <w:rFonts w:ascii="Arial" w:eastAsia="SimSun" w:hAnsi="Arial" w:cs="Arial"/>
      <w:sz w:val="22"/>
      <w:lang w:eastAsia="zh-CN"/>
    </w:rPr>
  </w:style>
  <w:style w:type="paragraph" w:styleId="ListParagraph">
    <w:name w:val="List Paragraph"/>
    <w:basedOn w:val="Normal"/>
    <w:uiPriority w:val="34"/>
    <w:qFormat/>
    <w:rsid w:val="000E1F53"/>
    <w:pPr>
      <w:ind w:left="720"/>
      <w:contextualSpacing/>
    </w:pPr>
    <w:rPr>
      <w:rFonts w:eastAsia="SimSun"/>
      <w:lang w:eastAsia="zh-CN"/>
    </w:rPr>
  </w:style>
  <w:style w:type="character" w:styleId="CommentReference">
    <w:name w:val="annotation reference"/>
    <w:basedOn w:val="DefaultParagraphFont"/>
    <w:rsid w:val="000E1F53"/>
    <w:rPr>
      <w:sz w:val="16"/>
      <w:szCs w:val="16"/>
    </w:rPr>
  </w:style>
  <w:style w:type="paragraph" w:styleId="CommentSubject">
    <w:name w:val="annotation subject"/>
    <w:basedOn w:val="CommentText"/>
    <w:next w:val="CommentText"/>
    <w:link w:val="CommentSubjectChar"/>
    <w:rsid w:val="000E1F53"/>
    <w:rPr>
      <w:rFonts w:eastAsia="SimSun"/>
      <w:b/>
      <w:bCs/>
      <w:sz w:val="20"/>
      <w:lang w:eastAsia="zh-CN"/>
    </w:rPr>
  </w:style>
  <w:style w:type="character" w:customStyle="1" w:styleId="CommentTextChar">
    <w:name w:val="Comment Text Char"/>
    <w:basedOn w:val="DefaultParagraphFont"/>
    <w:link w:val="CommentText"/>
    <w:semiHidden/>
    <w:rsid w:val="000E1F53"/>
    <w:rPr>
      <w:rFonts w:ascii="Arial" w:hAnsi="Arial" w:cs="Arial"/>
      <w:sz w:val="18"/>
    </w:rPr>
  </w:style>
  <w:style w:type="character" w:customStyle="1" w:styleId="CommentSubjectChar">
    <w:name w:val="Comment Subject Char"/>
    <w:basedOn w:val="CommentTextChar"/>
    <w:link w:val="CommentSubject"/>
    <w:rsid w:val="000E1F53"/>
    <w:rPr>
      <w:rFonts w:ascii="Arial" w:eastAsia="SimSun" w:hAnsi="Arial" w:cs="Arial"/>
      <w:b/>
      <w:bCs/>
      <w:sz w:val="18"/>
      <w:lang w:eastAsia="zh-CN"/>
    </w:rPr>
  </w:style>
  <w:style w:type="paragraph" w:styleId="Revision">
    <w:name w:val="Revision"/>
    <w:hidden/>
    <w:uiPriority w:val="99"/>
    <w:semiHidden/>
    <w:rsid w:val="00095742"/>
    <w:rPr>
      <w:rFonts w:ascii="Arial" w:hAnsi="Arial" w:cs="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link w:val="CommentTextChar"/>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NormalParaAR"/>
    <w:next w:val="NormalParaAR"/>
    <w:rsid w:val="00095742"/>
    <w:pPr>
      <w:ind w:left="1134" w:hanging="567"/>
    </w:pPr>
    <w:rPr>
      <w:b/>
      <w:bCs/>
    </w:rPr>
  </w:style>
  <w:style w:type="paragraph" w:customStyle="1" w:styleId="Heading3AR">
    <w:name w:val="Heading_3_AR"/>
    <w:basedOn w:val="NormalParaAR"/>
    <w:next w:val="NormalParaAR"/>
    <w:rsid w:val="00095742"/>
    <w:pPr>
      <w:keepNext/>
    </w:pPr>
    <w:rPr>
      <w:i/>
      <w:iCs/>
    </w:rPr>
  </w:style>
  <w:style w:type="paragraph" w:customStyle="1" w:styleId="Heading4AR">
    <w:name w:val="Heading_4_AR"/>
    <w:basedOn w:val="Heading3AR"/>
    <w:next w:val="NormalParaAR"/>
    <w:rsid w:val="0073076E"/>
    <w:rPr>
      <w:iCs w:val="0"/>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numbering" w:customStyle="1" w:styleId="NoList1">
    <w:name w:val="No List1"/>
    <w:next w:val="NoList"/>
    <w:uiPriority w:val="99"/>
    <w:semiHidden/>
    <w:unhideWhenUsed/>
    <w:rsid w:val="000E1F53"/>
  </w:style>
  <w:style w:type="paragraph" w:styleId="BodyText">
    <w:name w:val="Body Text"/>
    <w:basedOn w:val="Normal"/>
    <w:link w:val="BodyTextChar"/>
    <w:rsid w:val="000E1F53"/>
    <w:pPr>
      <w:spacing w:after="220"/>
    </w:pPr>
    <w:rPr>
      <w:rFonts w:eastAsia="SimSun"/>
      <w:lang w:eastAsia="zh-CN"/>
    </w:rPr>
  </w:style>
  <w:style w:type="character" w:customStyle="1" w:styleId="BodyTextChar">
    <w:name w:val="Body Text Char"/>
    <w:basedOn w:val="DefaultParagraphFont"/>
    <w:link w:val="BodyText"/>
    <w:rsid w:val="000E1F53"/>
    <w:rPr>
      <w:rFonts w:ascii="Arial" w:eastAsia="SimSun" w:hAnsi="Arial" w:cs="Arial"/>
      <w:sz w:val="22"/>
      <w:lang w:eastAsia="zh-CN"/>
    </w:rPr>
  </w:style>
  <w:style w:type="paragraph" w:styleId="ListParagraph">
    <w:name w:val="List Paragraph"/>
    <w:basedOn w:val="Normal"/>
    <w:uiPriority w:val="34"/>
    <w:qFormat/>
    <w:rsid w:val="000E1F53"/>
    <w:pPr>
      <w:ind w:left="720"/>
      <w:contextualSpacing/>
    </w:pPr>
    <w:rPr>
      <w:rFonts w:eastAsia="SimSun"/>
      <w:lang w:eastAsia="zh-CN"/>
    </w:rPr>
  </w:style>
  <w:style w:type="character" w:styleId="CommentReference">
    <w:name w:val="annotation reference"/>
    <w:basedOn w:val="DefaultParagraphFont"/>
    <w:rsid w:val="000E1F53"/>
    <w:rPr>
      <w:sz w:val="16"/>
      <w:szCs w:val="16"/>
    </w:rPr>
  </w:style>
  <w:style w:type="paragraph" w:styleId="CommentSubject">
    <w:name w:val="annotation subject"/>
    <w:basedOn w:val="CommentText"/>
    <w:next w:val="CommentText"/>
    <w:link w:val="CommentSubjectChar"/>
    <w:rsid w:val="000E1F53"/>
    <w:rPr>
      <w:rFonts w:eastAsia="SimSun"/>
      <w:b/>
      <w:bCs/>
      <w:sz w:val="20"/>
      <w:lang w:eastAsia="zh-CN"/>
    </w:rPr>
  </w:style>
  <w:style w:type="character" w:customStyle="1" w:styleId="CommentTextChar">
    <w:name w:val="Comment Text Char"/>
    <w:basedOn w:val="DefaultParagraphFont"/>
    <w:link w:val="CommentText"/>
    <w:semiHidden/>
    <w:rsid w:val="000E1F53"/>
    <w:rPr>
      <w:rFonts w:ascii="Arial" w:hAnsi="Arial" w:cs="Arial"/>
      <w:sz w:val="18"/>
    </w:rPr>
  </w:style>
  <w:style w:type="character" w:customStyle="1" w:styleId="CommentSubjectChar">
    <w:name w:val="Comment Subject Char"/>
    <w:basedOn w:val="CommentTextChar"/>
    <w:link w:val="CommentSubject"/>
    <w:rsid w:val="000E1F53"/>
    <w:rPr>
      <w:rFonts w:ascii="Arial" w:eastAsia="SimSun" w:hAnsi="Arial" w:cs="Arial"/>
      <w:b/>
      <w:bCs/>
      <w:sz w:val="18"/>
      <w:lang w:eastAsia="zh-CN"/>
    </w:rPr>
  </w:style>
  <w:style w:type="paragraph" w:styleId="Revision">
    <w:name w:val="Revision"/>
    <w:hidden/>
    <w:uiPriority w:val="99"/>
    <w:semiHidden/>
    <w:rsid w:val="00095742"/>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WO_PBC_25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1A5849-261A-4FEE-85C9-4861F4DED4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WO_PBC_25_AR.dotx</Template>
  <TotalTime>673</TotalTime>
  <Pages>8</Pages>
  <Words>2593</Words>
  <Characters>14785</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WO/PBC/25/13 (Arabic)</vt:lpstr>
    </vt:vector>
  </TitlesOfParts>
  <Company>World Intellectual Property Organization</Company>
  <LinksUpToDate>false</LinksUpToDate>
  <CharactersWithSpaces>17344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WO/PBC/25/13 (Arabic)</dc:title>
  <dc:creator>Ahmed Hassan</dc:creator>
  <cp:lastModifiedBy>YOUSSEF Randa</cp:lastModifiedBy>
  <cp:revision>20</cp:revision>
  <cp:lastPrinted>2016-07-27T08:32:00Z</cp:lastPrinted>
  <dcterms:created xsi:type="dcterms:W3CDTF">2016-07-12T08:39:00Z</dcterms:created>
  <dcterms:modified xsi:type="dcterms:W3CDTF">2016-07-27T08:33:00Z</dcterms:modified>
</cp:coreProperties>
</file>