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14:paraId="49D94FF0" w14:textId="77777777" w:rsidTr="00B6101C">
        <w:tc>
          <w:tcPr>
            <w:tcW w:w="4843" w:type="dxa"/>
            <w:tcBorders>
              <w:bottom w:val="single" w:sz="4" w:space="0" w:color="auto"/>
            </w:tcBorders>
          </w:tcPr>
          <w:p w14:paraId="27CA68CF" w14:textId="77777777"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14:paraId="1B239D4D" w14:textId="77777777"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3B02ED75" wp14:editId="7A5C6BD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14:paraId="40564D1E" w14:textId="77777777" w:rsidR="001667B6" w:rsidRPr="001667B6" w:rsidRDefault="001667B6" w:rsidP="001667B6">
            <w:pPr>
              <w:rPr>
                <w:b/>
                <w:bCs/>
                <w:sz w:val="40"/>
                <w:szCs w:val="40"/>
              </w:rPr>
            </w:pPr>
            <w:r>
              <w:rPr>
                <w:b/>
                <w:bCs/>
                <w:sz w:val="40"/>
                <w:szCs w:val="40"/>
              </w:rPr>
              <w:t>A</w:t>
            </w:r>
          </w:p>
        </w:tc>
      </w:tr>
      <w:tr w:rsidR="001667B6" w14:paraId="193755E5" w14:textId="77777777" w:rsidTr="00B6101C">
        <w:trPr>
          <w:trHeight w:val="333"/>
        </w:trPr>
        <w:tc>
          <w:tcPr>
            <w:tcW w:w="9571" w:type="dxa"/>
            <w:gridSpan w:val="3"/>
            <w:tcBorders>
              <w:top w:val="single" w:sz="4" w:space="0" w:color="auto"/>
            </w:tcBorders>
            <w:vAlign w:val="bottom"/>
          </w:tcPr>
          <w:p w14:paraId="30DC9470" w14:textId="77777777" w:rsidR="00B6101C" w:rsidRPr="00B6101C" w:rsidRDefault="00772E46" w:rsidP="000513E1">
            <w:pPr>
              <w:pStyle w:val="DocumentCodeAR"/>
              <w:bidi/>
              <w:rPr>
                <w:rtl/>
              </w:rPr>
            </w:pPr>
            <w:r>
              <w:t>WO/</w:t>
            </w:r>
            <w:r w:rsidR="00983389">
              <w:t>PBC</w:t>
            </w:r>
            <w:r w:rsidR="00100F97">
              <w:t>/</w:t>
            </w:r>
            <w:r w:rsidR="002F1434">
              <w:t>2</w:t>
            </w:r>
            <w:r w:rsidR="000513E1">
              <w:t>4</w:t>
            </w:r>
            <w:r w:rsidR="00B6101C" w:rsidRPr="00B6101C">
              <w:t>/</w:t>
            </w:r>
            <w:r w:rsidR="000513E1">
              <w:t>8</w:t>
            </w:r>
          </w:p>
        </w:tc>
      </w:tr>
      <w:tr w:rsidR="001667B6" w14:paraId="09AEE425" w14:textId="77777777" w:rsidTr="00BF164F">
        <w:tc>
          <w:tcPr>
            <w:tcW w:w="9571" w:type="dxa"/>
            <w:gridSpan w:val="3"/>
          </w:tcPr>
          <w:p w14:paraId="7AE6F76C" w14:textId="77777777" w:rsidR="001667B6" w:rsidRPr="00B6101C" w:rsidRDefault="00B6101C" w:rsidP="006A25B6">
            <w:pPr>
              <w:pStyle w:val="DocumentLanguageAR"/>
              <w:bidi/>
              <w:rPr>
                <w:rtl/>
              </w:rPr>
            </w:pPr>
            <w:r w:rsidRPr="00B6101C">
              <w:rPr>
                <w:rFonts w:hint="cs"/>
                <w:rtl/>
              </w:rPr>
              <w:t xml:space="preserve">الأصل: </w:t>
            </w:r>
            <w:r w:rsidR="006A25B6">
              <w:rPr>
                <w:rFonts w:hint="cs"/>
                <w:rtl/>
              </w:rPr>
              <w:t>بالإنكليزية</w:t>
            </w:r>
          </w:p>
        </w:tc>
      </w:tr>
      <w:tr w:rsidR="001667B6" w14:paraId="7DB76FDD" w14:textId="77777777" w:rsidTr="00BF164F">
        <w:tc>
          <w:tcPr>
            <w:tcW w:w="9571" w:type="dxa"/>
            <w:gridSpan w:val="3"/>
          </w:tcPr>
          <w:p w14:paraId="1573274D" w14:textId="77777777" w:rsidR="001667B6" w:rsidRPr="00B6101C" w:rsidRDefault="00B6101C" w:rsidP="000513E1">
            <w:pPr>
              <w:pStyle w:val="DocumentDateAR"/>
              <w:bidi/>
              <w:rPr>
                <w:rtl/>
              </w:rPr>
            </w:pPr>
            <w:r w:rsidRPr="00B6101C">
              <w:rPr>
                <w:rFonts w:hint="cs"/>
                <w:rtl/>
              </w:rPr>
              <w:t xml:space="preserve">التاريخ: </w:t>
            </w:r>
            <w:r w:rsidR="000513E1">
              <w:rPr>
                <w:rFonts w:hint="cs"/>
                <w:rtl/>
              </w:rPr>
              <w:t>10</w:t>
            </w:r>
            <w:r w:rsidRPr="00B6101C">
              <w:rPr>
                <w:rFonts w:hint="cs"/>
                <w:rtl/>
              </w:rPr>
              <w:t xml:space="preserve"> </w:t>
            </w:r>
            <w:r w:rsidR="006A25B6">
              <w:rPr>
                <w:rFonts w:hint="cs"/>
                <w:rtl/>
              </w:rPr>
              <w:t>يوليو</w:t>
            </w:r>
            <w:r w:rsidRPr="00B6101C">
              <w:rPr>
                <w:rFonts w:hint="cs"/>
                <w:rtl/>
              </w:rPr>
              <w:t xml:space="preserve"> </w:t>
            </w:r>
            <w:r w:rsidR="000513E1">
              <w:rPr>
                <w:rFonts w:hint="cs"/>
                <w:rtl/>
              </w:rPr>
              <w:t>2015</w:t>
            </w:r>
          </w:p>
        </w:tc>
      </w:tr>
    </w:tbl>
    <w:p w14:paraId="014B68A6" w14:textId="77777777" w:rsidR="000F5E56" w:rsidRDefault="000F5E56" w:rsidP="001667B6">
      <w:pPr>
        <w:bidi/>
        <w:spacing w:line="360" w:lineRule="exact"/>
        <w:rPr>
          <w:rFonts w:ascii="Arabic Typesetting" w:hAnsi="Arabic Typesetting" w:cs="Arabic Typesetting"/>
          <w:sz w:val="36"/>
          <w:szCs w:val="36"/>
          <w:rtl/>
        </w:rPr>
      </w:pPr>
    </w:p>
    <w:p w14:paraId="44FA696B" w14:textId="77777777" w:rsidR="001667B6" w:rsidRDefault="001667B6" w:rsidP="001667B6">
      <w:pPr>
        <w:bidi/>
        <w:spacing w:line="360" w:lineRule="exact"/>
        <w:rPr>
          <w:rFonts w:ascii="Arabic Typesetting" w:hAnsi="Arabic Typesetting" w:cs="Arabic Typesetting"/>
          <w:sz w:val="36"/>
          <w:szCs w:val="36"/>
          <w:rtl/>
        </w:rPr>
      </w:pPr>
    </w:p>
    <w:p w14:paraId="55AB01CA" w14:textId="77777777" w:rsidR="00F27305" w:rsidRDefault="00F27305" w:rsidP="00F27305">
      <w:pPr>
        <w:bidi/>
        <w:spacing w:line="360" w:lineRule="exact"/>
        <w:rPr>
          <w:rFonts w:ascii="Arabic Typesetting" w:hAnsi="Arabic Typesetting" w:cs="Arabic Typesetting"/>
          <w:sz w:val="36"/>
          <w:szCs w:val="36"/>
          <w:rtl/>
        </w:rPr>
      </w:pPr>
    </w:p>
    <w:p w14:paraId="1C709879" w14:textId="77777777"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14:paraId="269617A0" w14:textId="77777777" w:rsidR="001667B6" w:rsidRDefault="001667B6" w:rsidP="001667B6">
      <w:pPr>
        <w:bidi/>
        <w:spacing w:line="360" w:lineRule="exact"/>
        <w:rPr>
          <w:rFonts w:ascii="Arabic Typesetting" w:hAnsi="Arabic Typesetting" w:cs="Arabic Typesetting"/>
          <w:sz w:val="36"/>
          <w:szCs w:val="36"/>
          <w:rtl/>
        </w:rPr>
      </w:pPr>
    </w:p>
    <w:p w14:paraId="67151B68" w14:textId="77777777" w:rsidR="001667B6" w:rsidRPr="00783D11" w:rsidRDefault="00F27305" w:rsidP="000513E1">
      <w:pPr>
        <w:pStyle w:val="MeetingSessionAR"/>
        <w:bidi/>
        <w:rPr>
          <w:rFonts w:ascii="Cambria Math" w:hAnsi="Cambria Math"/>
          <w:rtl/>
        </w:rPr>
      </w:pPr>
      <w:r w:rsidRPr="00783D11">
        <w:rPr>
          <w:rFonts w:ascii="Cambria Math" w:hAnsi="Cambria Math"/>
          <w:rtl/>
        </w:rPr>
        <w:t xml:space="preserve">الدورة </w:t>
      </w:r>
      <w:r w:rsidR="000513E1">
        <w:rPr>
          <w:rFonts w:ascii="Cambria Math" w:hAnsi="Cambria Math" w:hint="cs"/>
          <w:rtl/>
        </w:rPr>
        <w:t>الرابعة</w:t>
      </w:r>
      <w:r w:rsidR="00274410">
        <w:rPr>
          <w:rFonts w:ascii="Cambria Math" w:hAnsi="Cambria Math" w:hint="cs"/>
          <w:rtl/>
        </w:rPr>
        <w:t xml:space="preserve"> والعشرون</w:t>
      </w:r>
    </w:p>
    <w:p w14:paraId="2FC94D28" w14:textId="77777777" w:rsidR="00D61541" w:rsidRPr="00D61541" w:rsidRDefault="00D61541" w:rsidP="000513E1">
      <w:pPr>
        <w:pStyle w:val="MeetingDatesAR"/>
        <w:bidi/>
        <w:rPr>
          <w:rtl/>
        </w:rPr>
      </w:pPr>
      <w:r w:rsidRPr="00D61541">
        <w:rPr>
          <w:rFonts w:hint="cs"/>
          <w:rtl/>
        </w:rPr>
        <w:t xml:space="preserve">جنيف، من </w:t>
      </w:r>
      <w:r w:rsidR="000513E1">
        <w:rPr>
          <w:rFonts w:hint="cs"/>
          <w:rtl/>
        </w:rPr>
        <w:t>14</w:t>
      </w:r>
      <w:r w:rsidR="00983389">
        <w:rPr>
          <w:rFonts w:hint="cs"/>
          <w:rtl/>
        </w:rPr>
        <w:t xml:space="preserve"> </w:t>
      </w:r>
      <w:r w:rsidR="00100F97">
        <w:rPr>
          <w:rFonts w:hint="cs"/>
          <w:rtl/>
        </w:rPr>
        <w:t xml:space="preserve">إلى </w:t>
      </w:r>
      <w:r w:rsidR="000513E1">
        <w:rPr>
          <w:rFonts w:hint="cs"/>
          <w:rtl/>
        </w:rPr>
        <w:t>18</w:t>
      </w:r>
      <w:r w:rsidR="00783D11">
        <w:rPr>
          <w:rFonts w:hint="cs"/>
          <w:rtl/>
        </w:rPr>
        <w:t xml:space="preserve"> </w:t>
      </w:r>
      <w:r w:rsidR="00274410">
        <w:rPr>
          <w:rFonts w:hint="cs"/>
          <w:rtl/>
        </w:rPr>
        <w:t>سبتمبر</w:t>
      </w:r>
      <w:r w:rsidR="00AE2328">
        <w:rPr>
          <w:rFonts w:hint="cs"/>
          <w:rtl/>
        </w:rPr>
        <w:t xml:space="preserve"> </w:t>
      </w:r>
      <w:r w:rsidR="000513E1">
        <w:rPr>
          <w:rFonts w:hint="cs"/>
          <w:rtl/>
        </w:rPr>
        <w:t>2015</w:t>
      </w:r>
    </w:p>
    <w:p w14:paraId="58A1D258" w14:textId="77777777" w:rsidR="00D61541" w:rsidRDefault="00D61541" w:rsidP="00D61541">
      <w:pPr>
        <w:bidi/>
        <w:spacing w:line="360" w:lineRule="exact"/>
        <w:rPr>
          <w:rFonts w:ascii="Arabic Typesetting" w:hAnsi="Arabic Typesetting" w:cs="Arabic Typesetting"/>
          <w:sz w:val="36"/>
          <w:szCs w:val="36"/>
          <w:rtl/>
        </w:rPr>
      </w:pPr>
    </w:p>
    <w:p w14:paraId="530F5980" w14:textId="77777777" w:rsidR="00D61541" w:rsidRDefault="00D61541" w:rsidP="00D61541">
      <w:pPr>
        <w:bidi/>
        <w:spacing w:line="360" w:lineRule="exact"/>
        <w:rPr>
          <w:rFonts w:ascii="Arabic Typesetting" w:hAnsi="Arabic Typesetting" w:cs="Arabic Typesetting"/>
          <w:sz w:val="36"/>
          <w:szCs w:val="36"/>
          <w:rtl/>
        </w:rPr>
      </w:pPr>
    </w:p>
    <w:p w14:paraId="0EE9740C" w14:textId="182EBE35" w:rsidR="00D61541" w:rsidRPr="00D61541" w:rsidRDefault="00224785" w:rsidP="007A68EA">
      <w:pPr>
        <w:pStyle w:val="DocumentTitleAR"/>
        <w:bidi/>
        <w:rPr>
          <w:rtl/>
        </w:rPr>
      </w:pPr>
      <w:r w:rsidRPr="00224785">
        <w:rPr>
          <w:rtl/>
        </w:rPr>
        <w:t xml:space="preserve">التقرير المالي السنوي والبيانات </w:t>
      </w:r>
      <w:r w:rsidR="002F1434">
        <w:rPr>
          <w:rtl/>
        </w:rPr>
        <w:t xml:space="preserve">المالية السنوية لعام </w:t>
      </w:r>
      <w:r w:rsidR="000513E1">
        <w:rPr>
          <w:rFonts w:hint="cs"/>
          <w:rtl/>
        </w:rPr>
        <w:t>201</w:t>
      </w:r>
      <w:r w:rsidR="007A68EA">
        <w:rPr>
          <w:rFonts w:hint="cs"/>
          <w:rtl/>
        </w:rPr>
        <w:t>4</w:t>
      </w:r>
    </w:p>
    <w:p w14:paraId="2D159D18" w14:textId="77777777"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224785">
        <w:rPr>
          <w:rFonts w:hint="cs"/>
          <w:rtl/>
        </w:rPr>
        <w:t xml:space="preserve"> الأمانة</w:t>
      </w:r>
    </w:p>
    <w:p w14:paraId="3138660E" w14:textId="570071A5" w:rsidR="00224785" w:rsidRDefault="00224785" w:rsidP="00F54541">
      <w:pPr>
        <w:pStyle w:val="NumberedParaAR"/>
        <w:numPr>
          <w:ilvl w:val="0"/>
          <w:numId w:val="46"/>
        </w:numPr>
        <w:rPr>
          <w:rtl/>
        </w:rPr>
      </w:pPr>
      <w:r>
        <w:rPr>
          <w:rtl/>
        </w:rPr>
        <w:t xml:space="preserve">أحيلت البيانات المالية للمنظمة العالمية للملكية الفكرية للسنة المنتهية في 31 ديسمبر </w:t>
      </w:r>
      <w:r w:rsidR="000513E1">
        <w:rPr>
          <w:rFonts w:hint="cs"/>
          <w:rtl/>
        </w:rPr>
        <w:t>2014</w:t>
      </w:r>
      <w:r>
        <w:rPr>
          <w:rtl/>
        </w:rPr>
        <w:t xml:space="preserve"> إلى لجنة البرنامج والميزانية </w:t>
      </w:r>
      <w:r w:rsidR="002B3DBD">
        <w:rPr>
          <w:rtl/>
        </w:rPr>
        <w:t xml:space="preserve">وفقاً </w:t>
      </w:r>
      <w:r>
        <w:rPr>
          <w:rtl/>
        </w:rPr>
        <w:t xml:space="preserve">للمادة </w:t>
      </w:r>
      <w:r w:rsidR="000513E1">
        <w:rPr>
          <w:rFonts w:hint="cs"/>
          <w:rtl/>
        </w:rPr>
        <w:t>11.8</w:t>
      </w:r>
      <w:r>
        <w:rPr>
          <w:rtl/>
        </w:rPr>
        <w:t xml:space="preserve"> من النظام المالي ولائحته التي تنص على أن تفحص لجنة البرنامج والميزانية البيانات المالية وتقارير مراجعة الحسابات الصادرة فيها وأن تحيلها إلى الجمعية العامة مع التعليقات والتوصيات حسب الاقتضاء.</w:t>
      </w:r>
    </w:p>
    <w:p w14:paraId="5BAFF3BC" w14:textId="6EC1C283" w:rsidR="00224785" w:rsidRDefault="00224785" w:rsidP="000513E1">
      <w:pPr>
        <w:pStyle w:val="NumberedParaAR"/>
        <w:rPr>
          <w:rtl/>
        </w:rPr>
      </w:pPr>
      <w:r>
        <w:rPr>
          <w:rtl/>
        </w:rPr>
        <w:t xml:space="preserve">وأعدت البيانات المالية لسنة </w:t>
      </w:r>
      <w:r w:rsidR="000513E1">
        <w:rPr>
          <w:rFonts w:hint="cs"/>
          <w:rtl/>
        </w:rPr>
        <w:t>2014</w:t>
      </w:r>
      <w:r>
        <w:rPr>
          <w:rtl/>
        </w:rPr>
        <w:t xml:space="preserve"> </w:t>
      </w:r>
      <w:r w:rsidR="002B3DBD">
        <w:rPr>
          <w:rtl/>
        </w:rPr>
        <w:t xml:space="preserve">وفقاً </w:t>
      </w:r>
      <w:r>
        <w:rPr>
          <w:rtl/>
        </w:rPr>
        <w:t xml:space="preserve">للمعايير المحاسبية الدولية للقطاع العام. ووافقت الدول الأعضاء، في الدورة الثالثة والأربعين للجمعيات المعقودة </w:t>
      </w:r>
      <w:r>
        <w:rPr>
          <w:rFonts w:hint="cs"/>
          <w:rtl/>
        </w:rPr>
        <w:t xml:space="preserve">في الفترة </w:t>
      </w:r>
      <w:r>
        <w:rPr>
          <w:rtl/>
        </w:rPr>
        <w:t xml:space="preserve">من 24 سبتمبر إلى 3 أكتوبر 2007، بشكل مبدئي، على أن تعتمد الويبو المعايير المحاسبية الدولية للقطاع العام بحلول سنة 2010 (الوثيقة </w:t>
      </w:r>
      <w:r>
        <w:t>A/43/5</w:t>
      </w:r>
      <w:r>
        <w:rPr>
          <w:rtl/>
        </w:rPr>
        <w:t xml:space="preserve">). وتعتبر البيانات المالية لسنة </w:t>
      </w:r>
      <w:r w:rsidR="000513E1">
        <w:rPr>
          <w:rFonts w:hint="cs"/>
          <w:rtl/>
        </w:rPr>
        <w:t>2014</w:t>
      </w:r>
      <w:r>
        <w:rPr>
          <w:rtl/>
        </w:rPr>
        <w:t xml:space="preserve"> المجموعة </w:t>
      </w:r>
      <w:r w:rsidR="000513E1">
        <w:rPr>
          <w:rFonts w:hint="cs"/>
          <w:rtl/>
        </w:rPr>
        <w:t>الخامسة</w:t>
      </w:r>
      <w:r>
        <w:rPr>
          <w:rtl/>
        </w:rPr>
        <w:t xml:space="preserve"> من البيانات المالية التي أعدت </w:t>
      </w:r>
      <w:r w:rsidR="002B3DBD">
        <w:rPr>
          <w:rtl/>
        </w:rPr>
        <w:t xml:space="preserve">وفقاً </w:t>
      </w:r>
      <w:r>
        <w:rPr>
          <w:rtl/>
        </w:rPr>
        <w:t>للمعايير المحاسبية الدولية للقطاع العام.</w:t>
      </w:r>
    </w:p>
    <w:p w14:paraId="08266C89" w14:textId="77777777" w:rsidR="00224785" w:rsidRDefault="00224785" w:rsidP="000513E1">
      <w:pPr>
        <w:pStyle w:val="NumberedParaAR"/>
      </w:pPr>
      <w:r>
        <w:rPr>
          <w:rtl/>
        </w:rPr>
        <w:t xml:space="preserve">ويرد تقرير المراجع الخارجي للحسابات عن مراجعة البيانات المالية لسنة </w:t>
      </w:r>
      <w:r w:rsidR="000513E1">
        <w:rPr>
          <w:rFonts w:hint="cs"/>
          <w:rtl/>
        </w:rPr>
        <w:t>2014</w:t>
      </w:r>
      <w:r>
        <w:rPr>
          <w:rtl/>
        </w:rPr>
        <w:t xml:space="preserve"> مصحوبا</w:t>
      </w:r>
      <w:r w:rsidR="000513E1">
        <w:rPr>
          <w:rFonts w:hint="cs"/>
          <w:rtl/>
        </w:rPr>
        <w:t>ً</w:t>
      </w:r>
      <w:r>
        <w:rPr>
          <w:rtl/>
        </w:rPr>
        <w:t xml:space="preserve"> بتوصياته وردود الأمانة عليها في الوثيقة</w:t>
      </w:r>
      <w:r w:rsidR="002D5229">
        <w:rPr>
          <w:rFonts w:hint="cs"/>
          <w:rtl/>
        </w:rPr>
        <w:t> </w:t>
      </w:r>
      <w:r>
        <w:t>WO/PBC/</w:t>
      </w:r>
      <w:r w:rsidR="00BC7740">
        <w:t>2</w:t>
      </w:r>
      <w:r w:rsidR="000513E1">
        <w:t>4</w:t>
      </w:r>
      <w:r>
        <w:t>/</w:t>
      </w:r>
      <w:r w:rsidR="000513E1">
        <w:t>5</w:t>
      </w:r>
      <w:r>
        <w:rPr>
          <w:rtl/>
        </w:rPr>
        <w:t>.</w:t>
      </w:r>
    </w:p>
    <w:p w14:paraId="451E7333" w14:textId="77777777" w:rsidR="00BC7740" w:rsidRDefault="00082489" w:rsidP="00082489">
      <w:pPr>
        <w:pStyle w:val="NumberedParaAR"/>
      </w:pPr>
      <w:r w:rsidRPr="00082489">
        <w:rPr>
          <w:rtl/>
        </w:rPr>
        <w:t>وفيما يلي النص المقترح لفقرة القرار.</w:t>
      </w:r>
    </w:p>
    <w:p w14:paraId="3C36448B" w14:textId="77777777" w:rsidR="00224785" w:rsidRDefault="00682C61" w:rsidP="000513E1">
      <w:pPr>
        <w:pStyle w:val="DecisionParaAR"/>
        <w:rPr>
          <w:rtl/>
        </w:rPr>
      </w:pPr>
      <w:r>
        <w:rPr>
          <w:rFonts w:hint="cs"/>
          <w:rtl/>
        </w:rPr>
        <w:t xml:space="preserve">أوصت </w:t>
      </w:r>
      <w:r w:rsidR="00224785">
        <w:rPr>
          <w:rtl/>
        </w:rPr>
        <w:t xml:space="preserve">لجنة البرنامج والميزانية الجمعية العامة </w:t>
      </w:r>
      <w:r>
        <w:rPr>
          <w:rFonts w:hint="cs"/>
          <w:rtl/>
        </w:rPr>
        <w:t xml:space="preserve">والجمعيات الأخرى </w:t>
      </w:r>
      <w:r w:rsidR="00224785">
        <w:rPr>
          <w:rtl/>
        </w:rPr>
        <w:t>لل</w:t>
      </w:r>
      <w:r w:rsidR="000426CC">
        <w:rPr>
          <w:rFonts w:hint="cs"/>
          <w:rtl/>
        </w:rPr>
        <w:t>دول الأعضاء في ال</w:t>
      </w:r>
      <w:r w:rsidR="00224785">
        <w:rPr>
          <w:rtl/>
        </w:rPr>
        <w:t xml:space="preserve">ويبو بالموافقة على </w:t>
      </w:r>
      <w:r w:rsidR="000426CC">
        <w:rPr>
          <w:rFonts w:hint="cs"/>
          <w:rtl/>
        </w:rPr>
        <w:t>التقرير السنوي المالي و</w:t>
      </w:r>
      <w:r w:rsidR="00224785">
        <w:rPr>
          <w:rtl/>
        </w:rPr>
        <w:t xml:space="preserve">البيانات المالية لسنة </w:t>
      </w:r>
      <w:r w:rsidR="000513E1">
        <w:rPr>
          <w:rFonts w:hint="cs"/>
          <w:rtl/>
        </w:rPr>
        <w:t>2014</w:t>
      </w:r>
      <w:r w:rsidR="00224785">
        <w:rPr>
          <w:rtl/>
        </w:rPr>
        <w:t xml:space="preserve"> </w:t>
      </w:r>
      <w:r w:rsidR="000426CC">
        <w:rPr>
          <w:rFonts w:hint="cs"/>
          <w:rtl/>
        </w:rPr>
        <w:t>(</w:t>
      </w:r>
      <w:r w:rsidR="00224785">
        <w:rPr>
          <w:rtl/>
        </w:rPr>
        <w:t>الوثيقة</w:t>
      </w:r>
      <w:r w:rsidR="000426CC">
        <w:rPr>
          <w:rFonts w:hint="cs"/>
          <w:rtl/>
        </w:rPr>
        <w:t xml:space="preserve"> </w:t>
      </w:r>
      <w:r w:rsidR="000426CC">
        <w:t>WO/PBC/</w:t>
      </w:r>
      <w:r w:rsidR="000513E1">
        <w:t>24</w:t>
      </w:r>
      <w:r w:rsidR="000426CC">
        <w:t>/</w:t>
      </w:r>
      <w:r w:rsidR="000513E1">
        <w:t>8</w:t>
      </w:r>
      <w:r w:rsidR="000426CC">
        <w:rPr>
          <w:rFonts w:hint="cs"/>
          <w:rtl/>
        </w:rPr>
        <w:t>)</w:t>
      </w:r>
      <w:r w:rsidR="00224785">
        <w:rPr>
          <w:rtl/>
        </w:rPr>
        <w:t>.</w:t>
      </w:r>
    </w:p>
    <w:p w14:paraId="08F05A3F" w14:textId="0926E902" w:rsidR="00CB79E4" w:rsidRDefault="00215877" w:rsidP="00B60E13">
      <w:pPr>
        <w:pStyle w:val="EndofDocumentAR"/>
        <w:rPr>
          <w:rtl/>
        </w:rPr>
      </w:pPr>
      <w:r>
        <w:rPr>
          <w:rtl/>
        </w:rPr>
        <w:t xml:space="preserve">[تلي ذلك البيانات المالية </w:t>
      </w:r>
      <w:r w:rsidR="000513E1">
        <w:rPr>
          <w:rFonts w:hint="cs"/>
          <w:rtl/>
        </w:rPr>
        <w:t>ل</w:t>
      </w:r>
      <w:r w:rsidR="00B60E13">
        <w:rPr>
          <w:rFonts w:hint="cs"/>
          <w:rtl/>
          <w:lang w:bidi="ar-EG"/>
        </w:rPr>
        <w:t>عام</w:t>
      </w:r>
      <w:r w:rsidR="000513E1">
        <w:rPr>
          <w:rFonts w:hint="cs"/>
          <w:rtl/>
        </w:rPr>
        <w:t xml:space="preserve"> 2014</w:t>
      </w:r>
      <w:r>
        <w:rPr>
          <w:rtl/>
        </w:rPr>
        <w:t>]</w:t>
      </w:r>
    </w:p>
    <w:p w14:paraId="07C2DCE3" w14:textId="77777777" w:rsidR="00D91942" w:rsidRDefault="00D91942" w:rsidP="00D91942">
      <w:pPr>
        <w:pStyle w:val="NormalParaAR"/>
        <w:rPr>
          <w:rtl/>
        </w:rPr>
        <w:sectPr w:rsidR="00D91942" w:rsidSect="00EB7752">
          <w:pgSz w:w="11907" w:h="16840" w:code="9"/>
          <w:pgMar w:top="567" w:right="1418" w:bottom="1418" w:left="1134" w:header="510" w:footer="1021" w:gutter="0"/>
          <w:cols w:space="720"/>
          <w:titlePg/>
          <w:docGrid w:linePitch="299"/>
        </w:sectPr>
      </w:pPr>
    </w:p>
    <w:p w14:paraId="59A09434" w14:textId="77777777" w:rsidR="00215877" w:rsidRPr="00E8027F" w:rsidRDefault="00215877" w:rsidP="0093096F">
      <w:pPr>
        <w:bidi/>
        <w:spacing w:before="2640" w:after="600"/>
        <w:jc w:val="center"/>
        <w:rPr>
          <w:rFonts w:ascii="Arabic Typesetting" w:hAnsi="Arabic Typesetting" w:cs="PT Bold Heading"/>
          <w:sz w:val="44"/>
          <w:szCs w:val="44"/>
          <w:rtl/>
          <w:lang w:val="fr-CH"/>
        </w:rPr>
      </w:pPr>
      <w:r w:rsidRPr="00E8027F">
        <w:rPr>
          <w:rFonts w:ascii="Arabic Typesetting" w:hAnsi="Arabic Typesetting" w:cs="PT Bold Heading" w:hint="cs"/>
          <w:sz w:val="44"/>
          <w:szCs w:val="44"/>
          <w:rtl/>
          <w:lang w:val="fr-CH"/>
        </w:rPr>
        <w:lastRenderedPageBreak/>
        <w:t>المنظمة العالمية للملكية الفكرية</w:t>
      </w:r>
    </w:p>
    <w:p w14:paraId="00628163" w14:textId="77777777" w:rsidR="00215877" w:rsidRDefault="00215877" w:rsidP="00215877">
      <w:pPr>
        <w:bidi/>
        <w:spacing w:after="240"/>
        <w:jc w:val="center"/>
        <w:rPr>
          <w:rFonts w:ascii="Arabic Typesetting" w:hAnsi="Arabic Typesetting" w:cs="Arabic Typesetting"/>
          <w:sz w:val="52"/>
          <w:szCs w:val="52"/>
          <w:rtl/>
          <w:lang w:val="fr-CH"/>
        </w:rPr>
      </w:pPr>
      <w:r w:rsidRPr="00215877">
        <w:rPr>
          <w:rFonts w:ascii="Arabic Typesetting" w:hAnsi="Arabic Typesetting" w:cs="Arabic Typesetting"/>
          <w:sz w:val="52"/>
          <w:szCs w:val="52"/>
          <w:rtl/>
          <w:lang w:val="fr-CH"/>
        </w:rPr>
        <w:t>التقرير المالي السنوي والبيانات المالية السنوية</w:t>
      </w:r>
    </w:p>
    <w:p w14:paraId="5E0A550E" w14:textId="77777777" w:rsidR="00215877" w:rsidRDefault="00215877" w:rsidP="000513E1">
      <w:pPr>
        <w:bidi/>
        <w:spacing w:after="240"/>
        <w:jc w:val="center"/>
        <w:rPr>
          <w:rFonts w:ascii="Arabic Typesetting" w:hAnsi="Arabic Typesetting" w:cs="Arabic Typesetting"/>
          <w:sz w:val="52"/>
          <w:szCs w:val="52"/>
          <w:lang w:val="fr-CH"/>
        </w:rPr>
      </w:pPr>
      <w:r>
        <w:rPr>
          <w:rFonts w:ascii="Arabic Typesetting" w:hAnsi="Arabic Typesetting" w:cs="Arabic Typesetting" w:hint="cs"/>
          <w:sz w:val="52"/>
          <w:szCs w:val="52"/>
          <w:rtl/>
          <w:lang w:val="fr-CH"/>
        </w:rPr>
        <w:t xml:space="preserve">للسنة المنتهية في31 ديسمبر </w:t>
      </w:r>
      <w:r w:rsidR="000513E1">
        <w:rPr>
          <w:rFonts w:ascii="Arabic Typesetting" w:hAnsi="Arabic Typesetting" w:cs="Arabic Typesetting" w:hint="cs"/>
          <w:sz w:val="52"/>
          <w:szCs w:val="52"/>
          <w:rtl/>
          <w:lang w:val="fr-CH"/>
        </w:rPr>
        <w:t>2014</w:t>
      </w:r>
    </w:p>
    <w:p w14:paraId="6B3F923E" w14:textId="77777777" w:rsidR="00F54541" w:rsidRDefault="00F54541" w:rsidP="00F54541">
      <w:pPr>
        <w:bidi/>
        <w:spacing w:after="240"/>
        <w:jc w:val="center"/>
        <w:rPr>
          <w:rFonts w:ascii="Arabic Typesetting" w:hAnsi="Arabic Typesetting" w:cs="Arabic Typesetting"/>
          <w:sz w:val="52"/>
          <w:szCs w:val="52"/>
          <w:lang w:val="fr-CH"/>
        </w:rPr>
      </w:pPr>
    </w:p>
    <w:p w14:paraId="00DA41C6" w14:textId="77777777" w:rsidR="00F54541" w:rsidRDefault="00F54541" w:rsidP="00F54541">
      <w:pPr>
        <w:bidi/>
        <w:spacing w:after="240"/>
        <w:jc w:val="center"/>
        <w:rPr>
          <w:rFonts w:ascii="Arabic Typesetting" w:hAnsi="Arabic Typesetting" w:cs="Arabic Typesetting"/>
          <w:sz w:val="52"/>
          <w:szCs w:val="52"/>
          <w:lang w:val="fr-CH"/>
        </w:rPr>
      </w:pPr>
    </w:p>
    <w:p w14:paraId="5019F5F6" w14:textId="77777777" w:rsidR="00F54541" w:rsidRDefault="00F54541" w:rsidP="00F54541">
      <w:pPr>
        <w:bidi/>
        <w:spacing w:after="240"/>
        <w:jc w:val="center"/>
        <w:rPr>
          <w:rFonts w:ascii="Arabic Typesetting" w:hAnsi="Arabic Typesetting" w:cs="Arabic Typesetting"/>
          <w:sz w:val="52"/>
          <w:szCs w:val="52"/>
          <w:lang w:val="fr-CH"/>
        </w:rPr>
      </w:pPr>
    </w:p>
    <w:p w14:paraId="0EFDBE94" w14:textId="77777777" w:rsidR="00F54541" w:rsidRDefault="00F54541" w:rsidP="00F54541">
      <w:pPr>
        <w:bidi/>
        <w:spacing w:after="240"/>
        <w:jc w:val="center"/>
        <w:rPr>
          <w:rFonts w:ascii="Arabic Typesetting" w:hAnsi="Arabic Typesetting" w:cs="Arabic Typesetting"/>
          <w:sz w:val="52"/>
          <w:szCs w:val="52"/>
          <w:lang w:val="fr-CH"/>
        </w:rPr>
      </w:pPr>
    </w:p>
    <w:p w14:paraId="3784FB66" w14:textId="77777777" w:rsidR="00F54541" w:rsidRDefault="00F54541" w:rsidP="00F54541">
      <w:pPr>
        <w:bidi/>
        <w:spacing w:after="240"/>
        <w:jc w:val="center"/>
        <w:rPr>
          <w:rFonts w:ascii="Arabic Typesetting" w:hAnsi="Arabic Typesetting" w:cs="Arabic Typesetting"/>
          <w:sz w:val="52"/>
          <w:szCs w:val="52"/>
          <w:lang w:val="fr-CH"/>
        </w:rPr>
      </w:pPr>
    </w:p>
    <w:p w14:paraId="03AD4469" w14:textId="77777777" w:rsidR="00F54541" w:rsidRDefault="00F54541" w:rsidP="00F54541">
      <w:pPr>
        <w:bidi/>
        <w:spacing w:after="240"/>
        <w:jc w:val="center"/>
        <w:rPr>
          <w:rFonts w:ascii="Arabic Typesetting" w:hAnsi="Arabic Typesetting" w:cs="Arabic Typesetting"/>
          <w:sz w:val="52"/>
          <w:szCs w:val="52"/>
          <w:lang w:val="fr-CH"/>
        </w:rPr>
      </w:pPr>
    </w:p>
    <w:p w14:paraId="29262725" w14:textId="77777777" w:rsidR="00F54541" w:rsidRDefault="00F54541" w:rsidP="00F54541">
      <w:pPr>
        <w:bidi/>
        <w:spacing w:after="240"/>
        <w:jc w:val="center"/>
        <w:rPr>
          <w:rFonts w:ascii="Arabic Typesetting" w:hAnsi="Arabic Typesetting" w:cs="Arabic Typesetting"/>
          <w:sz w:val="52"/>
          <w:szCs w:val="52"/>
          <w:lang w:val="fr-CH"/>
        </w:rPr>
      </w:pPr>
    </w:p>
    <w:p w14:paraId="37B8765B" w14:textId="77777777" w:rsidR="00F54541" w:rsidRDefault="00F54541" w:rsidP="00F54541">
      <w:pPr>
        <w:bidi/>
        <w:spacing w:after="240"/>
        <w:jc w:val="center"/>
        <w:rPr>
          <w:rFonts w:ascii="Arabic Typesetting" w:hAnsi="Arabic Typesetting" w:cs="Arabic Typesetting"/>
          <w:sz w:val="52"/>
          <w:szCs w:val="52"/>
          <w:lang w:val="fr-CH"/>
        </w:rPr>
      </w:pPr>
    </w:p>
    <w:p w14:paraId="3AA15893" w14:textId="77777777" w:rsidR="00F54541" w:rsidRDefault="00F54541" w:rsidP="00F54541">
      <w:pPr>
        <w:bidi/>
        <w:spacing w:after="240"/>
        <w:jc w:val="center"/>
        <w:rPr>
          <w:rFonts w:ascii="Arabic Typesetting" w:hAnsi="Arabic Typesetting" w:cs="Arabic Typesetting"/>
          <w:sz w:val="52"/>
          <w:szCs w:val="52"/>
          <w:lang w:val="fr-CH"/>
        </w:rPr>
      </w:pPr>
    </w:p>
    <w:p w14:paraId="5ACFDF3C" w14:textId="77777777" w:rsidR="00F54541" w:rsidRDefault="00F54541" w:rsidP="00F54541">
      <w:pPr>
        <w:bidi/>
        <w:spacing w:after="240"/>
        <w:jc w:val="center"/>
        <w:rPr>
          <w:rFonts w:ascii="Arabic Typesetting" w:hAnsi="Arabic Typesetting" w:cs="Arabic Typesetting"/>
          <w:sz w:val="52"/>
          <w:szCs w:val="52"/>
          <w:lang w:val="fr-CH"/>
        </w:rPr>
      </w:pPr>
    </w:p>
    <w:p w14:paraId="73B3E6D9" w14:textId="77777777" w:rsidR="00F54541" w:rsidRDefault="00F54541" w:rsidP="00F54541">
      <w:pPr>
        <w:bidi/>
        <w:spacing w:after="240"/>
        <w:jc w:val="center"/>
        <w:rPr>
          <w:rFonts w:ascii="Arabic Typesetting" w:hAnsi="Arabic Typesetting" w:cs="Arabic Typesetting"/>
          <w:sz w:val="52"/>
          <w:szCs w:val="52"/>
          <w:lang w:val="fr-CH"/>
        </w:rPr>
      </w:pPr>
    </w:p>
    <w:p w14:paraId="57ABFBCE" w14:textId="77777777" w:rsidR="00F54541" w:rsidRDefault="00F54541" w:rsidP="00F54541">
      <w:pPr>
        <w:bidi/>
        <w:spacing w:after="240"/>
        <w:jc w:val="center"/>
        <w:rPr>
          <w:rFonts w:ascii="Arabic Typesetting" w:hAnsi="Arabic Typesetting" w:cs="Arabic Typesetting"/>
          <w:sz w:val="52"/>
          <w:szCs w:val="52"/>
          <w:lang w:val="fr-CH"/>
        </w:rPr>
      </w:pPr>
    </w:p>
    <w:p w14:paraId="7BE7FA1B" w14:textId="77777777" w:rsidR="00F54541" w:rsidRDefault="00F54541" w:rsidP="00F54541">
      <w:pPr>
        <w:bidi/>
        <w:spacing w:after="240"/>
        <w:jc w:val="center"/>
        <w:rPr>
          <w:rFonts w:ascii="Arabic Typesetting" w:hAnsi="Arabic Typesetting" w:cs="Arabic Typesetting"/>
          <w:sz w:val="52"/>
          <w:szCs w:val="52"/>
          <w:lang w:val="fr-CH"/>
        </w:rPr>
      </w:pPr>
    </w:p>
    <w:p w14:paraId="0D72C9B5" w14:textId="77777777" w:rsidR="00F54541" w:rsidRDefault="00F54541" w:rsidP="00F54541">
      <w:pPr>
        <w:bidi/>
        <w:spacing w:after="240"/>
        <w:jc w:val="center"/>
        <w:rPr>
          <w:rFonts w:ascii="Arabic Typesetting" w:hAnsi="Arabic Typesetting" w:cs="Arabic Typesetting"/>
          <w:sz w:val="52"/>
          <w:szCs w:val="52"/>
          <w:lang w:val="fr-CH"/>
        </w:rPr>
      </w:pPr>
    </w:p>
    <w:p w14:paraId="07B0EDD0" w14:textId="77777777" w:rsidR="00F54541" w:rsidRDefault="00F54541" w:rsidP="00F54541">
      <w:pPr>
        <w:bidi/>
        <w:spacing w:after="240"/>
        <w:jc w:val="center"/>
        <w:rPr>
          <w:rFonts w:ascii="Arabic Typesetting" w:hAnsi="Arabic Typesetting" w:cs="Arabic Typesetting"/>
          <w:sz w:val="52"/>
          <w:szCs w:val="52"/>
          <w:lang w:val="fr-CH"/>
        </w:rPr>
      </w:pPr>
    </w:p>
    <w:p w14:paraId="299FFBDC" w14:textId="77777777" w:rsidR="00F54541" w:rsidRDefault="00F54541" w:rsidP="00F54541">
      <w:pPr>
        <w:bidi/>
        <w:spacing w:after="240"/>
        <w:jc w:val="center"/>
        <w:rPr>
          <w:rFonts w:ascii="Arabic Typesetting" w:hAnsi="Arabic Typesetting" w:cs="Arabic Typesetting"/>
          <w:sz w:val="52"/>
          <w:szCs w:val="52"/>
          <w:lang w:val="fr-CH"/>
        </w:rPr>
      </w:pPr>
    </w:p>
    <w:p w14:paraId="798E02B5" w14:textId="77777777" w:rsidR="00F54541" w:rsidRDefault="00F54541" w:rsidP="00F54541">
      <w:pPr>
        <w:bidi/>
        <w:spacing w:after="240"/>
        <w:jc w:val="center"/>
        <w:rPr>
          <w:rFonts w:ascii="Arabic Typesetting" w:hAnsi="Arabic Typesetting" w:cs="Arabic Typesetting"/>
          <w:sz w:val="52"/>
          <w:szCs w:val="52"/>
          <w:lang w:val="fr-CH"/>
        </w:rPr>
      </w:pPr>
    </w:p>
    <w:p w14:paraId="580AC726" w14:textId="77777777" w:rsidR="00F54541" w:rsidRDefault="00F54541" w:rsidP="00F54541">
      <w:pPr>
        <w:bidi/>
        <w:spacing w:after="240"/>
        <w:jc w:val="center"/>
        <w:rPr>
          <w:rFonts w:ascii="Arabic Typesetting" w:hAnsi="Arabic Typesetting" w:cs="Arabic Typesetting"/>
          <w:sz w:val="52"/>
          <w:szCs w:val="52"/>
          <w:lang w:val="fr-CH"/>
        </w:rPr>
      </w:pPr>
    </w:p>
    <w:p w14:paraId="3086DE23" w14:textId="77777777" w:rsidR="00F54541" w:rsidRDefault="00F54541" w:rsidP="00F54541">
      <w:pPr>
        <w:bidi/>
        <w:spacing w:after="240"/>
        <w:jc w:val="center"/>
        <w:rPr>
          <w:rFonts w:ascii="Arabic Typesetting" w:hAnsi="Arabic Typesetting" w:cs="Arabic Typesetting"/>
          <w:sz w:val="52"/>
          <w:szCs w:val="52"/>
          <w:lang w:val="fr-CH"/>
        </w:rPr>
      </w:pPr>
    </w:p>
    <w:p w14:paraId="4104BCAE" w14:textId="77777777" w:rsidR="00F54541" w:rsidRDefault="00F54541" w:rsidP="00F54541">
      <w:pPr>
        <w:bidi/>
        <w:spacing w:after="240"/>
        <w:jc w:val="center"/>
        <w:rPr>
          <w:rFonts w:ascii="Arabic Typesetting" w:hAnsi="Arabic Typesetting" w:cs="Arabic Typesetting"/>
          <w:sz w:val="52"/>
          <w:szCs w:val="52"/>
          <w:lang w:val="fr-CH"/>
        </w:rPr>
      </w:pPr>
    </w:p>
    <w:p w14:paraId="6DC7427D" w14:textId="77777777" w:rsidR="00F54541" w:rsidRPr="009E0A70" w:rsidRDefault="00F54541" w:rsidP="00F54541">
      <w:pPr>
        <w:bidi/>
        <w:spacing w:after="240"/>
        <w:jc w:val="center"/>
        <w:rPr>
          <w:rFonts w:ascii="Arabic Typesetting" w:hAnsi="Arabic Typesetting" w:cs="Arabic Typesetting"/>
          <w:sz w:val="52"/>
          <w:szCs w:val="52"/>
          <w:rtl/>
          <w:lang w:val="fr-CH"/>
        </w:rPr>
      </w:pPr>
    </w:p>
    <w:p w14:paraId="4D6DECBA" w14:textId="77777777" w:rsidR="00EA7C27" w:rsidRDefault="00EA7C27" w:rsidP="00EA7C27">
      <w:pPr>
        <w:rPr>
          <w:rtl/>
        </w:rPr>
      </w:pPr>
    </w:p>
    <w:p w14:paraId="0C8BBBF0" w14:textId="77777777" w:rsidR="006A1C20" w:rsidRDefault="006A1C20" w:rsidP="00DF4D6E">
      <w:pPr>
        <w:keepNext/>
        <w:bidi/>
        <w:spacing w:after="120" w:line="360" w:lineRule="exact"/>
        <w:jc w:val="center"/>
        <w:rPr>
          <w:rFonts w:ascii="Arabic Typesetting" w:hAnsi="Arabic Typesetting" w:cs="Arabic Typesetting"/>
          <w:b/>
          <w:bCs/>
          <w:sz w:val="52"/>
          <w:szCs w:val="52"/>
          <w:rtl/>
        </w:rPr>
        <w:sectPr w:rsidR="006A1C20" w:rsidSect="00636477">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134" w:header="510" w:footer="1021" w:gutter="0"/>
          <w:pgNumType w:start="1"/>
          <w:cols w:space="720"/>
          <w:titlePg/>
          <w:docGrid w:linePitch="299"/>
        </w:sectPr>
      </w:pPr>
    </w:p>
    <w:p w14:paraId="67B5A55A" w14:textId="77777777" w:rsidR="00215877" w:rsidRPr="003A6294" w:rsidRDefault="00215877" w:rsidP="00DF4D6E">
      <w:pPr>
        <w:keepNext/>
        <w:bidi/>
        <w:spacing w:after="120" w:line="360" w:lineRule="exact"/>
        <w:jc w:val="center"/>
        <w:rPr>
          <w:rFonts w:ascii="Arabic Typesetting" w:hAnsi="Arabic Typesetting" w:cs="Arabic Typesetting"/>
          <w:b/>
          <w:bCs/>
          <w:sz w:val="52"/>
          <w:szCs w:val="52"/>
        </w:rPr>
      </w:pPr>
      <w:r w:rsidRPr="003A6294">
        <w:rPr>
          <w:rFonts w:ascii="Arabic Typesetting" w:hAnsi="Arabic Typesetting" w:cs="Arabic Typesetting" w:hint="cs"/>
          <w:b/>
          <w:bCs/>
          <w:sz w:val="52"/>
          <w:szCs w:val="52"/>
          <w:rtl/>
        </w:rPr>
        <w:lastRenderedPageBreak/>
        <w:t>قائمة المحتويات</w:t>
      </w:r>
    </w:p>
    <w:sdt>
      <w:sdtPr>
        <w:rPr>
          <w:rFonts w:ascii="Arial" w:eastAsia="Times New Roman" w:hAnsi="Arial" w:cs="Arial"/>
          <w:b w:val="0"/>
          <w:bCs w:val="0"/>
          <w:color w:val="auto"/>
          <w:sz w:val="22"/>
          <w:szCs w:val="20"/>
          <w:rtl/>
          <w:lang w:eastAsia="en-US"/>
        </w:rPr>
        <w:id w:val="-125469941"/>
        <w:docPartObj>
          <w:docPartGallery w:val="Table of Contents"/>
          <w:docPartUnique/>
        </w:docPartObj>
      </w:sdtPr>
      <w:sdtEndPr>
        <w:rPr>
          <w:noProof/>
          <w:rtl w:val="0"/>
        </w:rPr>
      </w:sdtEndPr>
      <w:sdtContent>
        <w:p w14:paraId="3E954C41" w14:textId="77777777" w:rsidR="00780749" w:rsidRPr="00C04878" w:rsidRDefault="00C04878" w:rsidP="00C04878">
          <w:pPr>
            <w:pStyle w:val="TOCHeading"/>
            <w:bidi/>
            <w:jc w:val="right"/>
            <w:rPr>
              <w:rFonts w:ascii="Arabic Typesetting" w:hAnsi="Arabic Typesetting" w:cs="Arabic Typesetting"/>
              <w:color w:val="auto"/>
            </w:rPr>
          </w:pPr>
          <w:r w:rsidRPr="00C04878">
            <w:rPr>
              <w:rFonts w:ascii="Arabic Typesetting" w:hAnsi="Arabic Typesetting" w:cs="Arabic Typesetting"/>
              <w:color w:val="auto"/>
              <w:rtl/>
            </w:rPr>
            <w:t>الصفحة</w:t>
          </w:r>
        </w:p>
        <w:p w14:paraId="009B3C4C" w14:textId="77777777" w:rsidR="002A30CE" w:rsidRPr="00AC2CF3" w:rsidRDefault="00780749" w:rsidP="00BC7670">
          <w:pPr>
            <w:pStyle w:val="TOC1"/>
            <w:rPr>
              <w:noProof/>
              <w:lang w:eastAsia="en-US"/>
            </w:rPr>
          </w:pPr>
          <w:r w:rsidRPr="00AC2CF3">
            <w:fldChar w:fldCharType="begin"/>
          </w:r>
          <w:r w:rsidRPr="00AC2CF3">
            <w:instrText xml:space="preserve"> TOC \o "1-3" \h \z \u </w:instrText>
          </w:r>
          <w:r w:rsidRPr="00AC2CF3">
            <w:fldChar w:fldCharType="separate"/>
          </w:r>
          <w:hyperlink w:anchor="_Toc362519085" w:history="1">
            <w:r w:rsidR="002A30CE" w:rsidRPr="00AC2CF3">
              <w:rPr>
                <w:rStyle w:val="Hyperlink"/>
                <w:rFonts w:ascii="Arabic Typesetting" w:hAnsi="Arabic Typesetting" w:cs="Arabic Typesetting" w:hint="eastAsia"/>
                <w:b/>
                <w:bCs/>
                <w:noProof/>
                <w:sz w:val="28"/>
                <w:szCs w:val="28"/>
                <w:rtl/>
              </w:rPr>
              <w:t>التقرير</w:t>
            </w:r>
            <w:r w:rsidR="002A30CE" w:rsidRPr="00AC2CF3">
              <w:rPr>
                <w:rStyle w:val="Hyperlink"/>
                <w:rFonts w:ascii="Arabic Typesetting" w:hAnsi="Arabic Typesetting" w:cs="Arabic Typesetting"/>
                <w:b/>
                <w:bCs/>
                <w:noProof/>
                <w:sz w:val="28"/>
                <w:szCs w:val="28"/>
                <w:rtl/>
              </w:rPr>
              <w:t xml:space="preserve"> </w:t>
            </w:r>
            <w:r w:rsidR="002A30CE" w:rsidRPr="00AC2CF3">
              <w:rPr>
                <w:rStyle w:val="Hyperlink"/>
                <w:rFonts w:ascii="Arabic Typesetting" w:hAnsi="Arabic Typesetting" w:cs="Arabic Typesetting" w:hint="eastAsia"/>
                <w:b/>
                <w:bCs/>
                <w:noProof/>
                <w:sz w:val="28"/>
                <w:szCs w:val="28"/>
                <w:rtl/>
              </w:rPr>
              <w:t>المالي</w:t>
            </w:r>
            <w:r w:rsidR="002A30CE" w:rsidRPr="00AC2CF3">
              <w:rPr>
                <w:rStyle w:val="Hyperlink"/>
                <w:rFonts w:ascii="Arabic Typesetting" w:hAnsi="Arabic Typesetting" w:cs="Arabic Typesetting"/>
                <w:b/>
                <w:bCs/>
                <w:noProof/>
                <w:sz w:val="28"/>
                <w:szCs w:val="28"/>
                <w:rtl/>
              </w:rPr>
              <w:t xml:space="preserve"> </w:t>
            </w:r>
            <w:r w:rsidR="002A30CE" w:rsidRPr="00AC2CF3">
              <w:rPr>
                <w:rStyle w:val="Hyperlink"/>
                <w:rFonts w:ascii="Arabic Typesetting" w:hAnsi="Arabic Typesetting" w:cs="Arabic Typesetting" w:hint="eastAsia"/>
                <w:b/>
                <w:bCs/>
                <w:noProof/>
                <w:sz w:val="28"/>
                <w:szCs w:val="28"/>
                <w:rtl/>
              </w:rPr>
              <w:t>السنوي</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_Toc362519085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DA5495">
              <w:rPr>
                <w:rFonts w:asciiTheme="minorBidi" w:hAnsiTheme="minorBidi"/>
                <w:noProof/>
                <w:webHidden/>
                <w:rtl/>
              </w:rPr>
              <w:t>2</w:t>
            </w:r>
            <w:r w:rsidR="002A30CE" w:rsidRPr="005A3646">
              <w:rPr>
                <w:rFonts w:asciiTheme="minorBidi" w:hAnsiTheme="minorBidi"/>
                <w:noProof/>
                <w:webHidden/>
              </w:rPr>
              <w:fldChar w:fldCharType="end"/>
            </w:r>
          </w:hyperlink>
        </w:p>
        <w:p w14:paraId="5E64EB8D" w14:textId="77777777" w:rsidR="002A30CE" w:rsidRPr="00AC2CF3" w:rsidRDefault="00FE33A4" w:rsidP="00BC7670">
          <w:pPr>
            <w:pStyle w:val="TOC1"/>
            <w:rPr>
              <w:noProof/>
              <w:lang w:eastAsia="en-US"/>
            </w:rPr>
          </w:pPr>
          <w:hyperlink w:anchor="_Toc362519086" w:history="1">
            <w:r w:rsidR="002A30CE" w:rsidRPr="00AC2CF3">
              <w:rPr>
                <w:rStyle w:val="Hyperlink"/>
                <w:rFonts w:ascii="Arabic Typesetting" w:hAnsi="Arabic Typesetting" w:cs="Arabic Typesetting" w:hint="eastAsia"/>
                <w:noProof/>
                <w:sz w:val="28"/>
                <w:szCs w:val="28"/>
                <w:rtl/>
              </w:rPr>
              <w:t>مقدمة</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_Toc362519086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DA5495">
              <w:rPr>
                <w:rFonts w:asciiTheme="minorBidi" w:hAnsiTheme="minorBidi"/>
                <w:noProof/>
                <w:webHidden/>
                <w:rtl/>
              </w:rPr>
              <w:t>2</w:t>
            </w:r>
            <w:r w:rsidR="002A30CE" w:rsidRPr="005A3646">
              <w:rPr>
                <w:rFonts w:asciiTheme="minorBidi" w:hAnsiTheme="minorBidi"/>
                <w:noProof/>
                <w:webHidden/>
              </w:rPr>
              <w:fldChar w:fldCharType="end"/>
            </w:r>
          </w:hyperlink>
        </w:p>
        <w:p w14:paraId="60AD660D" w14:textId="77777777" w:rsidR="002A30CE" w:rsidRPr="005A3646" w:rsidRDefault="00FE33A4" w:rsidP="00BC7670">
          <w:pPr>
            <w:pStyle w:val="TOC1"/>
            <w:rPr>
              <w:rFonts w:asciiTheme="minorBidi" w:hAnsiTheme="minorBidi"/>
              <w:noProof/>
            </w:rPr>
          </w:pPr>
          <w:hyperlink w:anchor="_Toc362519087" w:history="1">
            <w:r w:rsidR="002A30CE" w:rsidRPr="00AC2CF3">
              <w:rPr>
                <w:rStyle w:val="Hyperlink"/>
                <w:rFonts w:ascii="Arabic Typesetting" w:hAnsi="Arabic Typesetting" w:cs="Arabic Typesetting" w:hint="eastAsia"/>
                <w:noProof/>
                <w:sz w:val="28"/>
                <w:szCs w:val="28"/>
                <w:rtl/>
              </w:rPr>
              <w:t>مناقشة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البيانات</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وتحليلها</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_Toc362519087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sidR="00DA5495">
              <w:rPr>
                <w:rFonts w:asciiTheme="minorBidi" w:hAnsiTheme="minorBidi"/>
                <w:noProof/>
                <w:webHidden/>
                <w:rtl/>
              </w:rPr>
              <w:t>2</w:t>
            </w:r>
            <w:r w:rsidR="002A30CE" w:rsidRPr="005A3646">
              <w:rPr>
                <w:rFonts w:asciiTheme="minorBidi" w:hAnsiTheme="minorBidi"/>
                <w:noProof/>
                <w:webHidden/>
              </w:rPr>
              <w:fldChar w:fldCharType="end"/>
            </w:r>
          </w:hyperlink>
        </w:p>
        <w:p w14:paraId="7730E041" w14:textId="77777777" w:rsidR="009F2BD0" w:rsidRPr="00AC2CF3" w:rsidRDefault="009F2BD0" w:rsidP="00BC7670">
          <w:pPr>
            <w:pStyle w:val="TOC1"/>
            <w:rPr>
              <w:rStyle w:val="Hyperlink"/>
              <w:rFonts w:ascii="Arabic Typesetting" w:hAnsi="Arabic Typesetting" w:cs="Arabic Typesetting"/>
              <w:b/>
              <w:bCs/>
              <w:noProof/>
              <w:color w:val="auto"/>
              <w:sz w:val="28"/>
              <w:szCs w:val="28"/>
              <w:u w:val="none"/>
              <w:rtl/>
            </w:rPr>
          </w:pPr>
          <w:r w:rsidRPr="00AC2CF3">
            <w:rPr>
              <w:rStyle w:val="Hyperlink"/>
              <w:rFonts w:ascii="Arabic Typesetting" w:hAnsi="Arabic Typesetting" w:cs="Arabic Typesetting" w:hint="cs"/>
              <w:b/>
              <w:bCs/>
              <w:noProof/>
              <w:color w:val="auto"/>
              <w:sz w:val="28"/>
              <w:szCs w:val="28"/>
              <w:u w:val="none"/>
              <w:rtl/>
            </w:rPr>
            <w:t>البيانات المالية</w:t>
          </w:r>
        </w:p>
        <w:p w14:paraId="29180E28" w14:textId="468BE8A8" w:rsidR="002A30CE" w:rsidRPr="00AC2CF3" w:rsidRDefault="00DA5495" w:rsidP="00BC7670">
          <w:pPr>
            <w:pStyle w:val="TOC1"/>
            <w:rPr>
              <w:noProof/>
              <w:lang w:eastAsia="en-US"/>
            </w:rPr>
          </w:pPr>
          <w:hyperlink w:anchor="_Toc362519088" w:history="1">
            <w:r w:rsidR="002A30CE" w:rsidRPr="00AC2CF3">
              <w:rPr>
                <w:rStyle w:val="Hyperlink"/>
                <w:rFonts w:ascii="Arabic Typesetting" w:hAnsi="Arabic Typesetting" w:cs="Arabic Typesetting" w:hint="eastAsia"/>
                <w:noProof/>
                <w:sz w:val="28"/>
                <w:szCs w:val="28"/>
                <w:rtl/>
              </w:rPr>
              <w:t>البيان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الأول</w:t>
            </w:r>
            <w:r w:rsidR="002A30CE" w:rsidRPr="00AC2CF3">
              <w:rPr>
                <w:rStyle w:val="Hyperlink"/>
                <w:rFonts w:ascii="Arabic Typesetting" w:hAnsi="Arabic Typesetting" w:cs="Arabic Typesetting" w:hint="cs"/>
                <w:noProof/>
                <w:sz w:val="28"/>
                <w:szCs w:val="28"/>
                <w:rtl/>
              </w:rPr>
              <w:t xml:space="preserve"> </w:t>
            </w:r>
            <w:r w:rsidR="00B60E13">
              <w:rPr>
                <w:rStyle w:val="Hyperlink"/>
                <w:rFonts w:ascii="Arabic Typesetting" w:hAnsi="Arabic Typesetting" w:cs="Arabic Typesetting"/>
                <w:noProof/>
                <w:sz w:val="28"/>
                <w:szCs w:val="28"/>
                <w:rtl/>
              </w:rPr>
              <w:t>–</w:t>
            </w:r>
            <w:r w:rsidR="002A30CE" w:rsidRPr="00AC2CF3">
              <w:rPr>
                <w:rStyle w:val="Hyperlink"/>
                <w:rFonts w:ascii="Arabic Typesetting" w:hAnsi="Arabic Typesetting" w:cs="Arabic Typesetting" w:hint="cs"/>
                <w:noProof/>
                <w:sz w:val="28"/>
                <w:szCs w:val="28"/>
                <w:rtl/>
              </w:rPr>
              <w:t xml:space="preserve"> </w:t>
            </w:r>
          </w:hyperlink>
          <w:hyperlink w:anchor="_Toc362519089"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الوضع</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_Toc362519089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27</w:t>
            </w:r>
            <w:r w:rsidR="002A30CE" w:rsidRPr="005A3646">
              <w:rPr>
                <w:rFonts w:asciiTheme="minorBidi" w:hAnsiTheme="minorBidi"/>
                <w:noProof/>
                <w:webHidden/>
              </w:rPr>
              <w:fldChar w:fldCharType="end"/>
            </w:r>
          </w:hyperlink>
        </w:p>
        <w:p w14:paraId="1AE3E7C7" w14:textId="10EF858C" w:rsidR="002A30CE" w:rsidRPr="00AC2CF3" w:rsidRDefault="00DA5495" w:rsidP="00BC7670">
          <w:pPr>
            <w:pStyle w:val="TOC1"/>
            <w:rPr>
              <w:noProof/>
              <w:lang w:eastAsia="en-US"/>
            </w:rPr>
          </w:pPr>
          <w:hyperlink w:anchor="_Toc362519090" w:history="1">
            <w:r w:rsidR="002A30CE" w:rsidRPr="00AC2CF3">
              <w:rPr>
                <w:rStyle w:val="Hyperlink"/>
                <w:rFonts w:ascii="Arabic Typesetting" w:hAnsi="Arabic Typesetting" w:cs="Arabic Typesetting" w:hint="eastAsia"/>
                <w:noProof/>
                <w:sz w:val="28"/>
                <w:szCs w:val="28"/>
                <w:rtl/>
              </w:rPr>
              <w:t>البيان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الثاني</w:t>
            </w:r>
            <w:r w:rsidR="002A30CE" w:rsidRPr="00AC2CF3">
              <w:rPr>
                <w:rStyle w:val="Hyperlink"/>
                <w:rFonts w:ascii="Arabic Typesetting" w:hAnsi="Arabic Typesetting" w:cs="Arabic Typesetting" w:hint="cs"/>
                <w:noProof/>
                <w:sz w:val="28"/>
                <w:szCs w:val="28"/>
                <w:rtl/>
              </w:rPr>
              <w:t xml:space="preserve"> </w:t>
            </w:r>
            <w:r w:rsidR="00B60E13">
              <w:rPr>
                <w:rStyle w:val="Hyperlink"/>
                <w:rFonts w:ascii="Arabic Typesetting" w:hAnsi="Arabic Typesetting" w:cs="Arabic Typesetting"/>
                <w:noProof/>
                <w:sz w:val="28"/>
                <w:szCs w:val="28"/>
                <w:rtl/>
              </w:rPr>
              <w:t>–</w:t>
            </w:r>
            <w:r w:rsidR="002A30CE" w:rsidRPr="00AC2CF3">
              <w:rPr>
                <w:rStyle w:val="Hyperlink"/>
                <w:rFonts w:ascii="Arabic Typesetting" w:hAnsi="Arabic Typesetting" w:cs="Arabic Typesetting" w:hint="cs"/>
                <w:noProof/>
                <w:sz w:val="28"/>
                <w:szCs w:val="28"/>
                <w:rtl/>
              </w:rPr>
              <w:t xml:space="preserve"> </w:t>
            </w:r>
          </w:hyperlink>
          <w:hyperlink w:anchor="_Toc362519091" w:history="1">
            <w:r w:rsidR="002A30CE" w:rsidRPr="00AC2CF3">
              <w:rPr>
                <w:rStyle w:val="Hyperlink"/>
                <w:rFonts w:ascii="Arabic Typesetting" w:hAnsi="Arabic Typesetting" w:cs="Arabic Typesetting" w:hint="eastAsia"/>
                <w:noProof/>
                <w:sz w:val="28"/>
                <w:szCs w:val="28"/>
                <w:rtl/>
              </w:rPr>
              <w:t>بيان</w:t>
            </w:r>
            <w:r w:rsidR="00B60E13">
              <w:rPr>
                <w:rStyle w:val="Hyperlink"/>
                <w:rFonts w:ascii="Arabic Typesetting" w:hAnsi="Arabic Typesetting" w:cs="Arabic Typesetting" w:hint="cs"/>
                <w:noProof/>
                <w:sz w:val="28"/>
                <w:szCs w:val="28"/>
                <w:rtl/>
              </w:rPr>
              <w:t xml:space="preserve"> </w:t>
            </w:r>
            <w:r w:rsidR="002A30CE" w:rsidRPr="00AC2CF3">
              <w:rPr>
                <w:rStyle w:val="Hyperlink"/>
                <w:rFonts w:ascii="Arabic Typesetting" w:hAnsi="Arabic Typesetting" w:cs="Arabic Typesetting" w:hint="eastAsia"/>
                <w:noProof/>
                <w:sz w:val="28"/>
                <w:szCs w:val="28"/>
                <w:rtl/>
              </w:rPr>
              <w:t>الأداء</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_Toc362519091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28</w:t>
            </w:r>
            <w:r w:rsidR="002A30CE" w:rsidRPr="005A3646">
              <w:rPr>
                <w:rFonts w:asciiTheme="minorBidi" w:hAnsiTheme="minorBidi"/>
                <w:noProof/>
                <w:webHidden/>
              </w:rPr>
              <w:fldChar w:fldCharType="end"/>
            </w:r>
          </w:hyperlink>
        </w:p>
        <w:p w14:paraId="343F8F91" w14:textId="6BDDC3CC" w:rsidR="002A30CE" w:rsidRPr="00AC2CF3" w:rsidRDefault="00DA5495" w:rsidP="00BC7670">
          <w:pPr>
            <w:pStyle w:val="TOC1"/>
            <w:rPr>
              <w:noProof/>
              <w:lang w:eastAsia="en-US"/>
            </w:rPr>
          </w:pPr>
          <w:hyperlink w:anchor="_Toc362519092" w:history="1">
            <w:r w:rsidR="002A30CE" w:rsidRPr="00AC2CF3">
              <w:rPr>
                <w:rStyle w:val="Hyperlink"/>
                <w:rFonts w:ascii="Arabic Typesetting" w:hAnsi="Arabic Typesetting" w:cs="Arabic Typesetting" w:hint="eastAsia"/>
                <w:noProof/>
                <w:sz w:val="28"/>
                <w:szCs w:val="28"/>
                <w:rtl/>
              </w:rPr>
              <w:t>البيان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الثالث</w:t>
            </w:r>
            <w:r w:rsidR="002A30CE" w:rsidRPr="00AC2CF3">
              <w:rPr>
                <w:rStyle w:val="Hyperlink"/>
                <w:rFonts w:ascii="Arabic Typesetting" w:hAnsi="Arabic Typesetting" w:cs="Arabic Typesetting" w:hint="cs"/>
                <w:noProof/>
                <w:sz w:val="28"/>
                <w:szCs w:val="28"/>
                <w:rtl/>
              </w:rPr>
              <w:t xml:space="preserve"> </w:t>
            </w:r>
            <w:r w:rsidR="00B60E13">
              <w:rPr>
                <w:rStyle w:val="Hyperlink"/>
                <w:rFonts w:ascii="Arabic Typesetting" w:hAnsi="Arabic Typesetting" w:cs="Arabic Typesetting"/>
                <w:noProof/>
                <w:sz w:val="28"/>
                <w:szCs w:val="28"/>
                <w:rtl/>
              </w:rPr>
              <w:t>–</w:t>
            </w:r>
            <w:r w:rsidR="002A30CE" w:rsidRPr="00AC2CF3">
              <w:rPr>
                <w:rStyle w:val="Hyperlink"/>
                <w:rFonts w:ascii="Arabic Typesetting" w:hAnsi="Arabic Typesetting" w:cs="Arabic Typesetting" w:hint="cs"/>
                <w:noProof/>
                <w:sz w:val="28"/>
                <w:szCs w:val="28"/>
                <w:rtl/>
              </w:rPr>
              <w:t xml:space="preserve"> </w:t>
            </w:r>
          </w:hyperlink>
          <w:hyperlink w:anchor="_Toc362519093"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التغييرات</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في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صافي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الأصول</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_Toc362519093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29</w:t>
            </w:r>
            <w:r w:rsidR="002A30CE" w:rsidRPr="005A3646">
              <w:rPr>
                <w:rFonts w:asciiTheme="minorBidi" w:hAnsiTheme="minorBidi"/>
                <w:noProof/>
                <w:webHidden/>
              </w:rPr>
              <w:fldChar w:fldCharType="end"/>
            </w:r>
          </w:hyperlink>
        </w:p>
        <w:p w14:paraId="05737217" w14:textId="24B84403" w:rsidR="002A30CE" w:rsidRPr="00AC2CF3" w:rsidRDefault="00DA5495" w:rsidP="00BC7670">
          <w:pPr>
            <w:pStyle w:val="TOC1"/>
            <w:rPr>
              <w:noProof/>
              <w:lang w:eastAsia="en-US"/>
            </w:rPr>
          </w:pPr>
          <w:hyperlink w:anchor="_Toc362519094" w:history="1">
            <w:r w:rsidR="002A30CE" w:rsidRPr="00AC2CF3">
              <w:rPr>
                <w:rStyle w:val="Hyperlink"/>
                <w:rFonts w:ascii="Arabic Typesetting" w:hAnsi="Arabic Typesetting" w:cs="Arabic Typesetting" w:hint="eastAsia"/>
                <w:noProof/>
                <w:sz w:val="28"/>
                <w:szCs w:val="28"/>
                <w:rtl/>
              </w:rPr>
              <w:t>البيان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الرابع</w:t>
            </w:r>
            <w:r w:rsidR="002A30CE" w:rsidRPr="00AC2CF3">
              <w:rPr>
                <w:rStyle w:val="Hyperlink"/>
                <w:rFonts w:ascii="Arabic Typesetting" w:hAnsi="Arabic Typesetting" w:cs="Arabic Typesetting" w:hint="cs"/>
                <w:noProof/>
                <w:sz w:val="28"/>
                <w:szCs w:val="28"/>
                <w:rtl/>
              </w:rPr>
              <w:t xml:space="preserve"> </w:t>
            </w:r>
            <w:r w:rsidR="00B60E13">
              <w:rPr>
                <w:rStyle w:val="Hyperlink"/>
                <w:rFonts w:ascii="Arabic Typesetting" w:hAnsi="Arabic Typesetting" w:cs="Arabic Typesetting"/>
                <w:noProof/>
                <w:sz w:val="28"/>
                <w:szCs w:val="28"/>
                <w:rtl/>
              </w:rPr>
              <w:t>–</w:t>
            </w:r>
            <w:r w:rsidR="002A30CE" w:rsidRPr="00AC2CF3">
              <w:rPr>
                <w:rStyle w:val="Hyperlink"/>
                <w:rFonts w:ascii="Arabic Typesetting" w:hAnsi="Arabic Typesetting" w:cs="Arabic Typesetting" w:hint="cs"/>
                <w:noProof/>
                <w:sz w:val="28"/>
                <w:szCs w:val="28"/>
                <w:rtl/>
              </w:rPr>
              <w:t xml:space="preserve"> </w:t>
            </w:r>
          </w:hyperlink>
          <w:hyperlink w:anchor="_Toc362519095"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التدفق</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النقدي</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_Toc362519095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30</w:t>
            </w:r>
            <w:r w:rsidR="002A30CE" w:rsidRPr="005A3646">
              <w:rPr>
                <w:rFonts w:asciiTheme="minorBidi" w:hAnsiTheme="minorBidi"/>
                <w:noProof/>
                <w:webHidden/>
              </w:rPr>
              <w:fldChar w:fldCharType="end"/>
            </w:r>
          </w:hyperlink>
        </w:p>
        <w:p w14:paraId="38EC899D" w14:textId="54D2E832" w:rsidR="002A30CE" w:rsidRDefault="00DA5495" w:rsidP="00B60E13">
          <w:pPr>
            <w:pStyle w:val="TOC1"/>
            <w:rPr>
              <w:noProof/>
              <w:rtl/>
            </w:rPr>
          </w:pPr>
          <w:hyperlink w:anchor="_Toc362519096" w:history="1">
            <w:r w:rsidR="002A30CE" w:rsidRPr="00AC2CF3">
              <w:rPr>
                <w:rStyle w:val="Hyperlink"/>
                <w:rFonts w:ascii="Arabic Typesetting" w:hAnsi="Arabic Typesetting" w:cs="Arabic Typesetting" w:hint="eastAsia"/>
                <w:noProof/>
                <w:sz w:val="28"/>
                <w:szCs w:val="28"/>
                <w:rtl/>
              </w:rPr>
              <w:t>البيان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الخامس</w:t>
            </w:r>
            <w:r w:rsidR="002A30CE" w:rsidRPr="00AC2CF3">
              <w:rPr>
                <w:rStyle w:val="Hyperlink"/>
                <w:rFonts w:ascii="Arabic Typesetting" w:hAnsi="Arabic Typesetting" w:cs="Arabic Typesetting" w:hint="cs"/>
                <w:noProof/>
                <w:sz w:val="28"/>
                <w:szCs w:val="28"/>
                <w:rtl/>
              </w:rPr>
              <w:t xml:space="preserve"> </w:t>
            </w:r>
            <w:r w:rsidR="00B60E13">
              <w:rPr>
                <w:rStyle w:val="Hyperlink"/>
                <w:rFonts w:ascii="Arabic Typesetting" w:hAnsi="Arabic Typesetting" w:cs="Arabic Typesetting"/>
                <w:noProof/>
                <w:sz w:val="28"/>
                <w:szCs w:val="28"/>
                <w:rtl/>
              </w:rPr>
              <w:t>–</w:t>
            </w:r>
          </w:hyperlink>
          <w:r w:rsidR="00B60E13">
            <w:rPr>
              <w:rStyle w:val="Hyperlink"/>
              <w:rFonts w:ascii="Arabic Typesetting" w:hAnsi="Arabic Typesetting" w:cs="Arabic Typesetting" w:hint="cs"/>
              <w:noProof/>
              <w:sz w:val="28"/>
              <w:szCs w:val="28"/>
              <w:rtl/>
            </w:rPr>
            <w:t xml:space="preserve"> </w:t>
          </w:r>
          <w:hyperlink w:anchor="_Toc362519097"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مقارنة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المبالغ</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المدرجة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في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الميزانية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والمبالغ</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الفعلية</w:t>
            </w:r>
            <w:r w:rsidR="00B60E13">
              <w:rPr>
                <w:rStyle w:val="Hyperlink"/>
                <w:rFonts w:ascii="Arabic Typesetting" w:hAnsi="Arabic Typesetting" w:cs="Arabic Typesetting" w:hint="cs"/>
                <w:noProof/>
                <w:sz w:val="28"/>
                <w:szCs w:val="28"/>
                <w:rtl/>
              </w:rPr>
              <w:t xml:space="preserve"> </w:t>
            </w:r>
            <w:r w:rsidR="00B60E13">
              <w:rPr>
                <w:rStyle w:val="Hyperlink"/>
                <w:rFonts w:ascii="Arabic Typesetting" w:hAnsi="Arabic Typesetting" w:cs="Arabic Typesetting"/>
                <w:noProof/>
                <w:sz w:val="28"/>
                <w:szCs w:val="28"/>
                <w:rtl/>
              </w:rPr>
              <w:t>–</w:t>
            </w:r>
            <w:r w:rsidR="00B60E13">
              <w:rPr>
                <w:rStyle w:val="Hyperlink"/>
                <w:rFonts w:ascii="Arabic Typesetting" w:hAnsi="Arabic Typesetting" w:cs="Arabic Typesetting" w:hint="cs"/>
                <w:noProof/>
                <w:sz w:val="28"/>
                <w:szCs w:val="28"/>
                <w:rtl/>
              </w:rPr>
              <w:t xml:space="preserve"> الإيرادات</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_Toc362519097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31</w:t>
            </w:r>
            <w:r w:rsidR="002A30CE" w:rsidRPr="005A3646">
              <w:rPr>
                <w:rFonts w:asciiTheme="minorBidi" w:hAnsiTheme="minorBidi"/>
                <w:noProof/>
                <w:webHidden/>
              </w:rPr>
              <w:fldChar w:fldCharType="end"/>
            </w:r>
          </w:hyperlink>
        </w:p>
        <w:p w14:paraId="65681AC8" w14:textId="4DA9B7F1" w:rsidR="005A3646" w:rsidRDefault="00DA5495" w:rsidP="00B60E13">
          <w:pPr>
            <w:pStyle w:val="TOC1"/>
            <w:rPr>
              <w:noProof/>
              <w:rtl/>
            </w:rPr>
          </w:pPr>
          <w:hyperlink w:anchor="_Toc362519096" w:history="1">
            <w:r w:rsidR="005A3646" w:rsidRPr="00AC2CF3">
              <w:rPr>
                <w:rStyle w:val="Hyperlink"/>
                <w:rFonts w:ascii="Arabic Typesetting" w:hAnsi="Arabic Typesetting" w:cs="Arabic Typesetting" w:hint="eastAsia"/>
                <w:noProof/>
                <w:sz w:val="28"/>
                <w:szCs w:val="28"/>
                <w:rtl/>
              </w:rPr>
              <w:t>البيان</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المالي</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الخامس</w:t>
            </w:r>
            <w:r w:rsidR="005A3646" w:rsidRPr="00AC2CF3">
              <w:rPr>
                <w:rStyle w:val="Hyperlink"/>
                <w:rFonts w:ascii="Arabic Typesetting" w:hAnsi="Arabic Typesetting" w:cs="Arabic Typesetting" w:hint="cs"/>
                <w:noProof/>
                <w:sz w:val="28"/>
                <w:szCs w:val="28"/>
                <w:rtl/>
              </w:rPr>
              <w:t xml:space="preserve"> - </w:t>
            </w:r>
          </w:hyperlink>
          <w:hyperlink w:anchor="_Toc362519097" w:history="1">
            <w:r w:rsidR="005A3646" w:rsidRPr="00AC2CF3">
              <w:rPr>
                <w:rStyle w:val="Hyperlink"/>
                <w:rFonts w:ascii="Arabic Typesetting" w:hAnsi="Arabic Typesetting" w:cs="Arabic Typesetting" w:hint="eastAsia"/>
                <w:noProof/>
                <w:sz w:val="28"/>
                <w:szCs w:val="28"/>
                <w:rtl/>
              </w:rPr>
              <w:t>بيان</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مقارنة</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المبالغ</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المدرجة</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في</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الميزانية</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والمبالغ</w:t>
            </w:r>
            <w:r w:rsidR="005A3646" w:rsidRPr="00AC2CF3">
              <w:rPr>
                <w:rStyle w:val="Hyperlink"/>
                <w:rFonts w:ascii="Arabic Typesetting" w:hAnsi="Arabic Typesetting" w:cs="Arabic Typesetting"/>
                <w:noProof/>
                <w:sz w:val="28"/>
                <w:szCs w:val="28"/>
                <w:rtl/>
              </w:rPr>
              <w:t xml:space="preserve"> </w:t>
            </w:r>
            <w:r w:rsidR="005A3646" w:rsidRPr="00AC2CF3">
              <w:rPr>
                <w:rStyle w:val="Hyperlink"/>
                <w:rFonts w:ascii="Arabic Typesetting" w:hAnsi="Arabic Typesetting" w:cs="Arabic Typesetting" w:hint="eastAsia"/>
                <w:noProof/>
                <w:sz w:val="28"/>
                <w:szCs w:val="28"/>
                <w:rtl/>
              </w:rPr>
              <w:t>الفعلية</w:t>
            </w:r>
            <w:r w:rsidR="00B60E13">
              <w:rPr>
                <w:rStyle w:val="Hyperlink"/>
                <w:rFonts w:ascii="Arabic Typesetting" w:hAnsi="Arabic Typesetting" w:cs="Arabic Typesetting" w:hint="cs"/>
                <w:noProof/>
                <w:sz w:val="28"/>
                <w:szCs w:val="28"/>
                <w:rtl/>
              </w:rPr>
              <w:t xml:space="preserve"> </w:t>
            </w:r>
            <w:r w:rsidR="00B60E13">
              <w:rPr>
                <w:rStyle w:val="Hyperlink"/>
                <w:rFonts w:ascii="Arabic Typesetting" w:hAnsi="Arabic Typesetting" w:cs="Arabic Typesetting"/>
                <w:noProof/>
                <w:sz w:val="28"/>
                <w:szCs w:val="28"/>
                <w:rtl/>
              </w:rPr>
              <w:t>–</w:t>
            </w:r>
            <w:r w:rsidR="00B60E13">
              <w:rPr>
                <w:rStyle w:val="Hyperlink"/>
                <w:rFonts w:ascii="Arabic Typesetting" w:hAnsi="Arabic Typesetting" w:cs="Arabic Typesetting" w:hint="cs"/>
                <w:noProof/>
                <w:sz w:val="28"/>
                <w:szCs w:val="28"/>
                <w:rtl/>
              </w:rPr>
              <w:t xml:space="preserve"> المصروفات</w:t>
            </w:r>
            <w:r w:rsidR="005A3646" w:rsidRPr="00AC2CF3">
              <w:rPr>
                <w:noProof/>
                <w:webHidden/>
              </w:rPr>
              <w:tab/>
            </w:r>
            <w:r w:rsidR="005A3646" w:rsidRPr="005A3646">
              <w:rPr>
                <w:rFonts w:asciiTheme="minorBidi" w:hAnsiTheme="minorBidi" w:hint="cs"/>
                <w:noProof/>
                <w:webHidden/>
                <w:rtl/>
              </w:rPr>
              <w:t>21</w:t>
            </w:r>
          </w:hyperlink>
        </w:p>
        <w:p w14:paraId="65D8672F" w14:textId="77777777" w:rsidR="002A30CE" w:rsidRPr="00AC2CF3" w:rsidRDefault="00DA5495" w:rsidP="005A3646">
          <w:pPr>
            <w:pStyle w:val="TOC1"/>
            <w:rPr>
              <w:noProof/>
              <w:lang w:eastAsia="en-US"/>
            </w:rPr>
          </w:pPr>
          <w:hyperlink w:anchor="_Toc362519098" w:history="1">
            <w:r w:rsidR="002A30CE" w:rsidRPr="00AC2CF3">
              <w:rPr>
                <w:rStyle w:val="Hyperlink"/>
                <w:rFonts w:ascii="Arabic Typesetting" w:hAnsi="Arabic Typesetting" w:cs="Arabic Typesetting" w:hint="eastAsia"/>
                <w:noProof/>
                <w:sz w:val="28"/>
                <w:szCs w:val="28"/>
                <w:rtl/>
              </w:rPr>
              <w:t>ملاحظات</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على</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البيانات</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المالية</w:t>
            </w:r>
            <w:r w:rsidR="002A30CE" w:rsidRPr="00AC2CF3">
              <w:rPr>
                <w:noProof/>
                <w:webHidden/>
              </w:rPr>
              <w:tab/>
            </w:r>
            <w:r w:rsidR="005A3646" w:rsidRPr="005A3646">
              <w:rPr>
                <w:rFonts w:asciiTheme="minorBidi" w:hAnsiTheme="minorBidi" w:hint="cs"/>
                <w:noProof/>
                <w:webHidden/>
                <w:rtl/>
              </w:rPr>
              <w:t>24</w:t>
            </w:r>
          </w:hyperlink>
        </w:p>
        <w:p w14:paraId="39FB71EE" w14:textId="77777777" w:rsidR="002A30CE" w:rsidRPr="00AC2CF3" w:rsidRDefault="00DA5495" w:rsidP="00DF4D6E">
          <w:pPr>
            <w:pStyle w:val="TOC2"/>
            <w:spacing w:after="0" w:line="280" w:lineRule="exact"/>
            <w:rPr>
              <w:rFonts w:ascii="Arabic Typesetting" w:hAnsi="Arabic Typesetting" w:cs="Arabic Typesetting"/>
              <w:noProof/>
              <w:sz w:val="28"/>
              <w:szCs w:val="28"/>
              <w:lang w:eastAsia="en-US"/>
            </w:rPr>
          </w:pPr>
          <w:hyperlink w:anchor="_Toc362519099"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 </w:t>
            </w:r>
            <w:r w:rsidR="002A30CE" w:rsidRPr="00AC2CF3">
              <w:rPr>
                <w:rStyle w:val="Hyperlink"/>
                <w:rFonts w:ascii="Arabic Typesetting" w:hAnsi="Arabic Typesetting" w:cs="Arabic Typesetting" w:hint="eastAsia"/>
                <w:i/>
                <w:noProof/>
                <w:sz w:val="28"/>
                <w:szCs w:val="28"/>
                <w:rtl/>
              </w:rPr>
              <w:t>أهداف</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المنظمة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وميزانيتها</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_Toc362519099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33</w:t>
            </w:r>
            <w:r w:rsidR="002A30CE" w:rsidRPr="005A3646">
              <w:rPr>
                <w:rFonts w:asciiTheme="minorBidi" w:hAnsiTheme="minorBidi"/>
                <w:noProof/>
                <w:webHidden/>
              </w:rPr>
              <w:fldChar w:fldCharType="end"/>
            </w:r>
          </w:hyperlink>
        </w:p>
        <w:p w14:paraId="7E4E9AF6" w14:textId="77777777" w:rsidR="002A30CE" w:rsidRPr="00AC2CF3" w:rsidRDefault="00DA5495" w:rsidP="00DF4D6E">
          <w:pPr>
            <w:pStyle w:val="TOC2"/>
            <w:spacing w:after="0" w:line="280" w:lineRule="exact"/>
            <w:rPr>
              <w:rFonts w:ascii="Arabic Typesetting" w:hAnsi="Arabic Typesetting" w:cs="Arabic Typesetting"/>
              <w:noProof/>
              <w:sz w:val="28"/>
              <w:szCs w:val="28"/>
              <w:lang w:eastAsia="en-US"/>
            </w:rPr>
          </w:pPr>
          <w:hyperlink w:anchor="_Toc362519100"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 </w:t>
            </w:r>
            <w:r w:rsidR="002A30CE" w:rsidRPr="00AC2CF3">
              <w:rPr>
                <w:rStyle w:val="Hyperlink"/>
                <w:rFonts w:ascii="Arabic Typesetting" w:hAnsi="Arabic Typesetting" w:cs="Arabic Typesetting" w:hint="eastAsia"/>
                <w:i/>
                <w:noProof/>
                <w:sz w:val="28"/>
                <w:szCs w:val="28"/>
                <w:rtl/>
              </w:rPr>
              <w:t>السياسات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المحاسبية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المهمة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_Toc362519100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34</w:t>
            </w:r>
            <w:r w:rsidR="002A30CE" w:rsidRPr="005A3646">
              <w:rPr>
                <w:rFonts w:asciiTheme="minorBidi" w:hAnsiTheme="minorBidi"/>
                <w:noProof/>
                <w:webHidden/>
              </w:rPr>
              <w:fldChar w:fldCharType="end"/>
            </w:r>
          </w:hyperlink>
        </w:p>
        <w:p w14:paraId="289BD7F7" w14:textId="77777777" w:rsidR="002A30CE" w:rsidRPr="00AC2CF3" w:rsidRDefault="00DA5495" w:rsidP="00DF4D6E">
          <w:pPr>
            <w:pStyle w:val="TOC2"/>
            <w:spacing w:after="0" w:line="280" w:lineRule="exact"/>
            <w:rPr>
              <w:rFonts w:ascii="Arabic Typesetting" w:hAnsi="Arabic Typesetting" w:cs="Arabic Typesetting"/>
              <w:noProof/>
              <w:sz w:val="28"/>
              <w:szCs w:val="28"/>
              <w:lang w:eastAsia="en-US"/>
            </w:rPr>
          </w:pPr>
          <w:hyperlink w:anchor="_Toc362519101"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3: </w:t>
            </w:r>
            <w:r w:rsidR="002A30CE" w:rsidRPr="00AC2CF3">
              <w:rPr>
                <w:rStyle w:val="Hyperlink"/>
                <w:rFonts w:ascii="Arabic Typesetting" w:hAnsi="Arabic Typesetting" w:cs="Arabic Typesetting" w:hint="eastAsia"/>
                <w:i/>
                <w:noProof/>
                <w:sz w:val="28"/>
                <w:szCs w:val="28"/>
                <w:rtl/>
              </w:rPr>
              <w:t>السيولة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وما</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يعادلها</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_Toc362519101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41</w:t>
            </w:r>
            <w:r w:rsidR="002A30CE" w:rsidRPr="005A3646">
              <w:rPr>
                <w:rFonts w:asciiTheme="minorBidi" w:hAnsiTheme="minorBidi"/>
                <w:noProof/>
                <w:webHidden/>
              </w:rPr>
              <w:fldChar w:fldCharType="end"/>
            </w:r>
          </w:hyperlink>
        </w:p>
        <w:p w14:paraId="7DB8D74C" w14:textId="3A229D3B" w:rsidR="002A30CE" w:rsidRPr="00AC2CF3" w:rsidRDefault="00DA5495" w:rsidP="00DF4D6E">
          <w:pPr>
            <w:pStyle w:val="TOC2"/>
            <w:spacing w:after="0" w:line="280" w:lineRule="exact"/>
            <w:rPr>
              <w:rFonts w:ascii="Arabic Typesetting" w:hAnsi="Arabic Typesetting" w:cs="Arabic Typesetting"/>
              <w:noProof/>
              <w:sz w:val="28"/>
              <w:szCs w:val="28"/>
              <w:lang w:eastAsia="en-US"/>
            </w:rPr>
          </w:pPr>
          <w:hyperlink w:anchor="_Toc362519102"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4: </w:t>
            </w:r>
            <w:r w:rsidR="002A30CE" w:rsidRPr="00AC2CF3">
              <w:rPr>
                <w:rStyle w:val="Hyperlink"/>
                <w:rFonts w:ascii="Arabic Typesetting" w:hAnsi="Arabic Typesetting" w:cs="Arabic Typesetting" w:hint="eastAsia"/>
                <w:i/>
                <w:noProof/>
                <w:sz w:val="28"/>
                <w:szCs w:val="28"/>
                <w:rtl/>
              </w:rPr>
              <w:t>الحسابات</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المدينة</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والمبالغ</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المدفوعة</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مقدّما</w:t>
            </w:r>
            <w:r w:rsidR="00B60E13">
              <w:rPr>
                <w:rStyle w:val="Hyperlink"/>
                <w:rFonts w:ascii="Arabic Typesetting" w:hAnsi="Arabic Typesetting" w:cs="Arabic Typesetting" w:hint="cs"/>
                <w:i/>
                <w:noProof/>
                <w:sz w:val="28"/>
                <w:szCs w:val="28"/>
                <w:rtl/>
              </w:rPr>
              <w:t>ً</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والمبالغ</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المدفوعة</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قبل</w:t>
            </w:r>
            <w:r w:rsidR="002A30CE" w:rsidRPr="00AC2CF3">
              <w:rPr>
                <w:rStyle w:val="Hyperlink"/>
                <w:rFonts w:ascii="Arabic Typesetting" w:hAnsi="Arabic Typesetting" w:cs="Arabic Typesetting"/>
                <w:i/>
                <w:noProof/>
                <w:sz w:val="28"/>
                <w:szCs w:val="28"/>
              </w:rPr>
              <w:t xml:space="preserve"> </w:t>
            </w:r>
            <w:r w:rsidR="002A30CE" w:rsidRPr="00AC2CF3">
              <w:rPr>
                <w:rStyle w:val="Hyperlink"/>
                <w:rFonts w:ascii="Arabic Typesetting" w:hAnsi="Arabic Typesetting" w:cs="Arabic Typesetting" w:hint="eastAsia"/>
                <w:i/>
                <w:noProof/>
                <w:sz w:val="28"/>
                <w:szCs w:val="28"/>
                <w:rtl/>
              </w:rPr>
              <w:t>استحقاقها</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_Toc362519102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42</w:t>
            </w:r>
            <w:r w:rsidR="002A30CE" w:rsidRPr="005A3646">
              <w:rPr>
                <w:rFonts w:asciiTheme="minorBidi" w:hAnsiTheme="minorBidi"/>
                <w:noProof/>
                <w:webHidden/>
              </w:rPr>
              <w:fldChar w:fldCharType="end"/>
            </w:r>
          </w:hyperlink>
        </w:p>
        <w:p w14:paraId="37288422" w14:textId="77777777" w:rsidR="002A30CE" w:rsidRPr="00AC2CF3" w:rsidRDefault="00DA5495" w:rsidP="00DF4D6E">
          <w:pPr>
            <w:pStyle w:val="TOC2"/>
            <w:spacing w:after="0" w:line="280" w:lineRule="exact"/>
            <w:rPr>
              <w:rFonts w:ascii="Arabic Typesetting" w:hAnsi="Arabic Typesetting" w:cs="Arabic Typesetting"/>
              <w:noProof/>
              <w:sz w:val="28"/>
              <w:szCs w:val="28"/>
              <w:lang w:eastAsia="en-US"/>
            </w:rPr>
          </w:pPr>
          <w:hyperlink w:anchor="_Toc362519103"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5: </w:t>
            </w:r>
            <w:r w:rsidR="002A30CE" w:rsidRPr="00AC2CF3">
              <w:rPr>
                <w:rStyle w:val="Hyperlink"/>
                <w:rFonts w:ascii="Arabic Typesetting" w:hAnsi="Arabic Typesetting" w:cs="Arabic Typesetting" w:hint="eastAsia"/>
                <w:i/>
                <w:noProof/>
                <w:sz w:val="28"/>
                <w:szCs w:val="28"/>
                <w:rtl/>
              </w:rPr>
              <w:t>قوائم</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الموجودات</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_Toc362519103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43</w:t>
            </w:r>
            <w:r w:rsidR="002A30CE" w:rsidRPr="005A3646">
              <w:rPr>
                <w:rFonts w:asciiTheme="minorBidi" w:hAnsiTheme="minorBidi"/>
                <w:noProof/>
                <w:webHidden/>
              </w:rPr>
              <w:fldChar w:fldCharType="end"/>
            </w:r>
          </w:hyperlink>
        </w:p>
        <w:p w14:paraId="2861DA34" w14:textId="77777777" w:rsidR="002A30CE" w:rsidRPr="00AC2CF3" w:rsidRDefault="00DA5495" w:rsidP="00DF4D6E">
          <w:pPr>
            <w:pStyle w:val="TOC2"/>
            <w:spacing w:after="0" w:line="280" w:lineRule="exact"/>
            <w:rPr>
              <w:rFonts w:ascii="Arabic Typesetting" w:hAnsi="Arabic Typesetting" w:cs="Arabic Typesetting"/>
              <w:noProof/>
              <w:sz w:val="28"/>
              <w:szCs w:val="28"/>
              <w:lang w:eastAsia="en-US"/>
            </w:rPr>
          </w:pPr>
          <w:hyperlink w:anchor="_Toc362519104"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6: </w:t>
            </w:r>
            <w:r w:rsidR="002A30CE" w:rsidRPr="00AC2CF3">
              <w:rPr>
                <w:rStyle w:val="Hyperlink"/>
                <w:rFonts w:ascii="Arabic Typesetting" w:hAnsi="Arabic Typesetting" w:cs="Arabic Typesetting" w:hint="eastAsia"/>
                <w:i/>
                <w:noProof/>
                <w:sz w:val="28"/>
                <w:szCs w:val="28"/>
                <w:rtl/>
              </w:rPr>
              <w:t>المعدات</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_Toc362519104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44</w:t>
            </w:r>
            <w:r w:rsidR="002A30CE" w:rsidRPr="005A3646">
              <w:rPr>
                <w:rFonts w:asciiTheme="minorBidi" w:hAnsiTheme="minorBidi"/>
                <w:noProof/>
                <w:webHidden/>
              </w:rPr>
              <w:fldChar w:fldCharType="end"/>
            </w:r>
          </w:hyperlink>
        </w:p>
        <w:p w14:paraId="4CFCCC2A" w14:textId="7E20DBC5" w:rsidR="002A30CE" w:rsidRPr="00AC2CF3" w:rsidRDefault="00DA5495" w:rsidP="00B60E13">
          <w:pPr>
            <w:pStyle w:val="TOC2"/>
            <w:spacing w:after="0" w:line="280" w:lineRule="exact"/>
            <w:rPr>
              <w:rFonts w:ascii="Arabic Typesetting" w:hAnsi="Arabic Typesetting" w:cs="Arabic Typesetting"/>
              <w:noProof/>
              <w:sz w:val="28"/>
              <w:szCs w:val="28"/>
              <w:lang w:eastAsia="en-US"/>
            </w:rPr>
          </w:pPr>
          <w:hyperlink w:anchor="_Toc362519105"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7: </w:t>
            </w:r>
            <w:r w:rsidR="00B60E13">
              <w:rPr>
                <w:rStyle w:val="Hyperlink"/>
                <w:rFonts w:ascii="Arabic Typesetting" w:hAnsi="Arabic Typesetting" w:cs="Arabic Typesetting" w:hint="cs"/>
                <w:i/>
                <w:noProof/>
                <w:sz w:val="28"/>
                <w:szCs w:val="28"/>
                <w:rtl/>
              </w:rPr>
              <w:t>ال</w:t>
            </w:r>
            <w:r w:rsidR="002A30CE" w:rsidRPr="00AC2CF3">
              <w:rPr>
                <w:rStyle w:val="Hyperlink"/>
                <w:rFonts w:ascii="Arabic Typesetting" w:hAnsi="Arabic Typesetting" w:cs="Arabic Typesetting" w:hint="eastAsia"/>
                <w:i/>
                <w:noProof/>
                <w:sz w:val="28"/>
                <w:szCs w:val="28"/>
                <w:rtl/>
              </w:rPr>
              <w:t>ملكية</w:t>
            </w:r>
            <w:r w:rsidR="002A30CE" w:rsidRPr="00AC2CF3">
              <w:rPr>
                <w:rStyle w:val="Hyperlink"/>
                <w:rFonts w:ascii="Arabic Typesetting" w:hAnsi="Arabic Typesetting" w:cs="Arabic Typesetting"/>
                <w:i/>
                <w:noProof/>
                <w:sz w:val="28"/>
                <w:szCs w:val="28"/>
                <w:rtl/>
              </w:rPr>
              <w:t xml:space="preserve"> </w:t>
            </w:r>
            <w:r w:rsidR="00B60E13">
              <w:rPr>
                <w:rStyle w:val="Hyperlink"/>
                <w:rFonts w:ascii="Arabic Typesetting" w:hAnsi="Arabic Typesetting" w:cs="Arabic Typesetting" w:hint="cs"/>
                <w:i/>
                <w:noProof/>
                <w:sz w:val="28"/>
                <w:szCs w:val="28"/>
                <w:rtl/>
              </w:rPr>
              <w:t>ال</w:t>
            </w:r>
            <w:r w:rsidR="002A30CE" w:rsidRPr="00AC2CF3">
              <w:rPr>
                <w:rStyle w:val="Hyperlink"/>
                <w:rFonts w:ascii="Arabic Typesetting" w:hAnsi="Arabic Typesetting" w:cs="Arabic Typesetting" w:hint="eastAsia"/>
                <w:i/>
                <w:noProof/>
                <w:sz w:val="28"/>
                <w:szCs w:val="28"/>
                <w:rtl/>
              </w:rPr>
              <w:t>استثمارية</w:t>
            </w:r>
          </w:hyperlink>
          <w:r w:rsidR="007B505A">
            <w:rPr>
              <w:rFonts w:asciiTheme="minorBidi" w:hAnsiTheme="minorBidi"/>
              <w:noProof/>
              <w:rtl/>
            </w:rPr>
            <w:tab/>
          </w:r>
          <w:r w:rsidR="007B505A">
            <w:rPr>
              <w:rFonts w:asciiTheme="minorBidi" w:hAnsiTheme="minorBidi"/>
              <w:noProof/>
              <w:rtl/>
            </w:rPr>
            <w:fldChar w:fldCharType="begin"/>
          </w:r>
          <w:r w:rsidR="007B505A">
            <w:rPr>
              <w:rFonts w:asciiTheme="minorBidi" w:hAnsiTheme="minorBidi"/>
              <w:noProof/>
              <w:rtl/>
            </w:rPr>
            <w:instrText xml:space="preserve"> </w:instrText>
          </w:r>
          <w:r w:rsidR="007B505A">
            <w:rPr>
              <w:rFonts w:asciiTheme="minorBidi" w:hAnsiTheme="minorBidi"/>
              <w:noProof/>
            </w:rPr>
            <w:instrText>PAGEREF  _Toc362519105 \# "0" \* Arabic \h  \* MERGEFORMAT</w:instrText>
          </w:r>
          <w:r w:rsidR="007B505A">
            <w:rPr>
              <w:rFonts w:asciiTheme="minorBidi" w:hAnsiTheme="minorBidi"/>
              <w:noProof/>
              <w:rtl/>
            </w:rPr>
            <w:instrText xml:space="preserve"> </w:instrText>
          </w:r>
          <w:r w:rsidR="007B505A">
            <w:rPr>
              <w:rFonts w:asciiTheme="minorBidi" w:hAnsiTheme="minorBidi"/>
              <w:noProof/>
              <w:rtl/>
            </w:rPr>
          </w:r>
          <w:r w:rsidR="007B505A">
            <w:rPr>
              <w:rFonts w:asciiTheme="minorBidi" w:hAnsiTheme="minorBidi"/>
              <w:noProof/>
              <w:rtl/>
            </w:rPr>
            <w:fldChar w:fldCharType="separate"/>
          </w:r>
          <w:r>
            <w:rPr>
              <w:rFonts w:asciiTheme="minorBidi" w:hAnsiTheme="minorBidi"/>
              <w:noProof/>
              <w:rtl/>
            </w:rPr>
            <w:t>45</w:t>
          </w:r>
          <w:r w:rsidR="007B505A">
            <w:rPr>
              <w:rFonts w:asciiTheme="minorBidi" w:hAnsiTheme="minorBidi"/>
              <w:noProof/>
              <w:rtl/>
            </w:rPr>
            <w:fldChar w:fldCharType="end"/>
          </w:r>
        </w:p>
        <w:p w14:paraId="193147D8" w14:textId="77777777" w:rsidR="002A30CE" w:rsidRPr="00AC2CF3" w:rsidRDefault="00DA5495" w:rsidP="00DF4D6E">
          <w:pPr>
            <w:pStyle w:val="TOC2"/>
            <w:spacing w:after="0" w:line="280" w:lineRule="exact"/>
            <w:rPr>
              <w:rFonts w:ascii="Arabic Typesetting" w:hAnsi="Arabic Typesetting" w:cs="Arabic Typesetting"/>
              <w:noProof/>
              <w:sz w:val="28"/>
              <w:szCs w:val="28"/>
              <w:lang w:eastAsia="en-US"/>
            </w:rPr>
          </w:pPr>
          <w:hyperlink w:anchor="_Toc362519106"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8: </w:t>
            </w:r>
            <w:r w:rsidR="002A30CE" w:rsidRPr="00AC2CF3">
              <w:rPr>
                <w:rStyle w:val="Hyperlink"/>
                <w:rFonts w:ascii="Arabic Typesetting" w:hAnsi="Arabic Typesetting" w:cs="Arabic Typesetting" w:hint="eastAsia"/>
                <w:i/>
                <w:noProof/>
                <w:sz w:val="28"/>
                <w:szCs w:val="28"/>
                <w:rtl/>
              </w:rPr>
              <w:t>الأصول</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غير</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المادية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_Toc362519106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46</w:t>
            </w:r>
            <w:r w:rsidR="002A30CE" w:rsidRPr="005A3646">
              <w:rPr>
                <w:rFonts w:asciiTheme="minorBidi" w:hAnsiTheme="minorBidi"/>
                <w:noProof/>
                <w:webHidden/>
              </w:rPr>
              <w:fldChar w:fldCharType="end"/>
            </w:r>
          </w:hyperlink>
        </w:p>
        <w:p w14:paraId="129DE21E" w14:textId="77777777" w:rsidR="002A30CE" w:rsidRPr="00AC2CF3" w:rsidRDefault="00DA5495" w:rsidP="00DF4D6E">
          <w:pPr>
            <w:pStyle w:val="TOC2"/>
            <w:spacing w:after="0" w:line="280" w:lineRule="exact"/>
            <w:rPr>
              <w:rFonts w:ascii="Arabic Typesetting" w:hAnsi="Arabic Typesetting" w:cs="Arabic Typesetting"/>
              <w:noProof/>
              <w:sz w:val="28"/>
              <w:szCs w:val="28"/>
              <w:lang w:eastAsia="en-US"/>
            </w:rPr>
          </w:pPr>
          <w:hyperlink w:anchor="_Toc362519107"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9: </w:t>
            </w:r>
            <w:r w:rsidR="002A30CE" w:rsidRPr="00AC2CF3">
              <w:rPr>
                <w:rStyle w:val="Hyperlink"/>
                <w:rFonts w:ascii="Arabic Typesetting" w:hAnsi="Arabic Typesetting" w:cs="Arabic Typesetting" w:hint="eastAsia"/>
                <w:i/>
                <w:noProof/>
                <w:sz w:val="28"/>
                <w:szCs w:val="28"/>
                <w:rtl/>
              </w:rPr>
              <w:t>الأراضي</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والمباني</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_Toc362519107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47</w:t>
            </w:r>
            <w:r w:rsidR="002A30CE" w:rsidRPr="005A3646">
              <w:rPr>
                <w:rFonts w:asciiTheme="minorBidi" w:hAnsiTheme="minorBidi"/>
                <w:noProof/>
                <w:webHidden/>
              </w:rPr>
              <w:fldChar w:fldCharType="end"/>
            </w:r>
          </w:hyperlink>
        </w:p>
        <w:p w14:paraId="4DF858A9" w14:textId="77777777" w:rsidR="002A30CE" w:rsidRPr="00AC2CF3" w:rsidRDefault="00DA5495" w:rsidP="00DF4D6E">
          <w:pPr>
            <w:pStyle w:val="TOC2"/>
            <w:spacing w:after="0" w:line="280" w:lineRule="exact"/>
            <w:rPr>
              <w:rFonts w:ascii="Arabic Typesetting" w:hAnsi="Arabic Typesetting" w:cs="Arabic Typesetting"/>
              <w:noProof/>
              <w:sz w:val="28"/>
              <w:szCs w:val="28"/>
              <w:lang w:eastAsia="en-US"/>
            </w:rPr>
          </w:pPr>
          <w:hyperlink w:anchor="_Toc362519108"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10: </w:t>
            </w:r>
            <w:r w:rsidR="002A30CE" w:rsidRPr="00AC2CF3">
              <w:rPr>
                <w:rStyle w:val="Hyperlink"/>
                <w:rFonts w:ascii="Arabic Typesetting" w:hAnsi="Arabic Typesetting" w:cs="Arabic Typesetting" w:hint="eastAsia"/>
                <w:i/>
                <w:noProof/>
                <w:sz w:val="28"/>
                <w:szCs w:val="28"/>
                <w:rtl/>
              </w:rPr>
              <w:t>أصول</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أخرى</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غير</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متداولة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_Toc362519108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50</w:t>
            </w:r>
            <w:r w:rsidR="002A30CE" w:rsidRPr="005A3646">
              <w:rPr>
                <w:rFonts w:asciiTheme="minorBidi" w:hAnsiTheme="minorBidi"/>
                <w:noProof/>
                <w:webHidden/>
              </w:rPr>
              <w:fldChar w:fldCharType="end"/>
            </w:r>
          </w:hyperlink>
        </w:p>
        <w:p w14:paraId="4B6E3B56" w14:textId="77777777" w:rsidR="002A30CE" w:rsidRPr="00AC2CF3" w:rsidRDefault="00DA5495" w:rsidP="00DF4D6E">
          <w:pPr>
            <w:pStyle w:val="TOC2"/>
            <w:spacing w:after="0" w:line="280" w:lineRule="exact"/>
            <w:rPr>
              <w:rFonts w:ascii="Arabic Typesetting" w:hAnsi="Arabic Typesetting" w:cs="Arabic Typesetting"/>
              <w:noProof/>
              <w:sz w:val="28"/>
              <w:szCs w:val="28"/>
              <w:lang w:eastAsia="en-US"/>
            </w:rPr>
          </w:pPr>
          <w:hyperlink w:anchor="_Toc362519109"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11: </w:t>
            </w:r>
            <w:r w:rsidR="002A30CE" w:rsidRPr="00AC2CF3">
              <w:rPr>
                <w:rStyle w:val="Hyperlink"/>
                <w:rFonts w:ascii="Arabic Typesetting" w:hAnsi="Arabic Typesetting" w:cs="Arabic Typesetting" w:hint="eastAsia"/>
                <w:i/>
                <w:noProof/>
                <w:sz w:val="28"/>
                <w:szCs w:val="28"/>
                <w:rtl/>
              </w:rPr>
              <w:t>الحسابات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الدائنة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_Toc362519109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51</w:t>
            </w:r>
            <w:r w:rsidR="002A30CE" w:rsidRPr="005A3646">
              <w:rPr>
                <w:rFonts w:asciiTheme="minorBidi" w:hAnsiTheme="minorBidi"/>
                <w:noProof/>
                <w:webHidden/>
              </w:rPr>
              <w:fldChar w:fldCharType="end"/>
            </w:r>
          </w:hyperlink>
        </w:p>
        <w:p w14:paraId="5EE73A51" w14:textId="77777777" w:rsidR="002A30CE" w:rsidRPr="00AC2CF3" w:rsidRDefault="00DA5495" w:rsidP="00DF4D6E">
          <w:pPr>
            <w:pStyle w:val="TOC2"/>
            <w:spacing w:after="0" w:line="280" w:lineRule="exact"/>
            <w:rPr>
              <w:rFonts w:ascii="Arabic Typesetting" w:hAnsi="Arabic Typesetting" w:cs="Arabic Typesetting"/>
              <w:noProof/>
              <w:sz w:val="28"/>
              <w:szCs w:val="28"/>
              <w:lang w:eastAsia="en-US"/>
            </w:rPr>
          </w:pPr>
          <w:hyperlink w:anchor="_Toc362519110"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12: </w:t>
            </w:r>
            <w:r w:rsidR="002A30CE" w:rsidRPr="00AC2CF3">
              <w:rPr>
                <w:rStyle w:val="Hyperlink"/>
                <w:rFonts w:ascii="Arabic Typesetting" w:hAnsi="Arabic Typesetting" w:cs="Arabic Typesetting" w:hint="eastAsia"/>
                <w:i/>
                <w:noProof/>
                <w:sz w:val="28"/>
                <w:szCs w:val="28"/>
                <w:rtl/>
              </w:rPr>
              <w:t>مستحقات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الموظفين</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_Toc362519110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51</w:t>
            </w:r>
            <w:r w:rsidR="002A30CE" w:rsidRPr="005A3646">
              <w:rPr>
                <w:rFonts w:asciiTheme="minorBidi" w:hAnsiTheme="minorBidi"/>
                <w:noProof/>
                <w:webHidden/>
              </w:rPr>
              <w:fldChar w:fldCharType="end"/>
            </w:r>
          </w:hyperlink>
        </w:p>
        <w:p w14:paraId="67B51ABA" w14:textId="6AA645C2" w:rsidR="002A30CE" w:rsidRPr="00AC2CF3" w:rsidRDefault="00DA5495" w:rsidP="00DF4D6E">
          <w:pPr>
            <w:pStyle w:val="TOC2"/>
            <w:spacing w:after="0" w:line="280" w:lineRule="exact"/>
            <w:rPr>
              <w:rFonts w:ascii="Arabic Typesetting" w:hAnsi="Arabic Typesetting" w:cs="Arabic Typesetting"/>
              <w:noProof/>
              <w:sz w:val="28"/>
              <w:szCs w:val="28"/>
              <w:lang w:eastAsia="en-US"/>
            </w:rPr>
          </w:pPr>
          <w:hyperlink w:anchor="_Toc362519111"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13: </w:t>
            </w:r>
            <w:r w:rsidR="00B60E13">
              <w:rPr>
                <w:rStyle w:val="Hyperlink"/>
                <w:rFonts w:ascii="Arabic Typesetting" w:hAnsi="Arabic Typesetting" w:cs="Arabic Typesetting" w:hint="cs"/>
                <w:i/>
                <w:noProof/>
                <w:sz w:val="28"/>
                <w:szCs w:val="28"/>
                <w:rtl/>
              </w:rPr>
              <w:t>ال</w:t>
            </w:r>
            <w:r w:rsidR="002A30CE" w:rsidRPr="00AC2CF3">
              <w:rPr>
                <w:rStyle w:val="Hyperlink"/>
                <w:rFonts w:ascii="Arabic Typesetting" w:hAnsi="Arabic Typesetting" w:cs="Arabic Typesetting" w:hint="eastAsia"/>
                <w:i/>
                <w:noProof/>
                <w:sz w:val="28"/>
                <w:szCs w:val="28"/>
                <w:rtl/>
              </w:rPr>
              <w:t>تحويلات</w:t>
            </w:r>
            <w:r w:rsidR="002A30CE" w:rsidRPr="00AC2CF3">
              <w:rPr>
                <w:rStyle w:val="Hyperlink"/>
                <w:rFonts w:ascii="Arabic Typesetting" w:hAnsi="Arabic Typesetting" w:cs="Arabic Typesetting"/>
                <w:i/>
                <w:noProof/>
                <w:sz w:val="28"/>
                <w:szCs w:val="28"/>
                <w:rtl/>
              </w:rPr>
              <w:t xml:space="preserve"> </w:t>
            </w:r>
            <w:r w:rsidR="00B60E13">
              <w:rPr>
                <w:rStyle w:val="Hyperlink"/>
                <w:rFonts w:ascii="Arabic Typesetting" w:hAnsi="Arabic Typesetting" w:cs="Arabic Typesetting" w:hint="cs"/>
                <w:i/>
                <w:noProof/>
                <w:sz w:val="28"/>
                <w:szCs w:val="28"/>
                <w:rtl/>
              </w:rPr>
              <w:t>ال</w:t>
            </w:r>
            <w:r w:rsidR="002A30CE" w:rsidRPr="00AC2CF3">
              <w:rPr>
                <w:rStyle w:val="Hyperlink"/>
                <w:rFonts w:ascii="Arabic Typesetting" w:hAnsi="Arabic Typesetting" w:cs="Arabic Typesetting" w:hint="eastAsia"/>
                <w:i/>
                <w:noProof/>
                <w:sz w:val="28"/>
                <w:szCs w:val="28"/>
                <w:rtl/>
              </w:rPr>
              <w:t>مستحقة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الدفع</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_Toc362519111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58</w:t>
            </w:r>
            <w:r w:rsidR="002A30CE" w:rsidRPr="005A3646">
              <w:rPr>
                <w:rFonts w:asciiTheme="minorBidi" w:hAnsiTheme="minorBidi"/>
                <w:noProof/>
                <w:webHidden/>
              </w:rPr>
              <w:fldChar w:fldCharType="end"/>
            </w:r>
          </w:hyperlink>
        </w:p>
        <w:p w14:paraId="29CF4197" w14:textId="77777777" w:rsidR="002A30CE" w:rsidRPr="00AC2CF3" w:rsidRDefault="00DA5495" w:rsidP="00DF4D6E">
          <w:pPr>
            <w:pStyle w:val="TOC2"/>
            <w:spacing w:after="0" w:line="280" w:lineRule="exact"/>
            <w:rPr>
              <w:rFonts w:ascii="Arabic Typesetting" w:hAnsi="Arabic Typesetting" w:cs="Arabic Typesetting"/>
              <w:noProof/>
              <w:sz w:val="28"/>
              <w:szCs w:val="28"/>
              <w:lang w:eastAsia="en-US"/>
            </w:rPr>
          </w:pPr>
          <w:hyperlink w:anchor="_Toc362519112"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14: </w:t>
            </w:r>
            <w:r w:rsidR="002A30CE" w:rsidRPr="00AC2CF3">
              <w:rPr>
                <w:rStyle w:val="Hyperlink"/>
                <w:rFonts w:ascii="Arabic Typesetting" w:hAnsi="Arabic Typesetting" w:cs="Arabic Typesetting" w:hint="eastAsia"/>
                <w:i/>
                <w:noProof/>
                <w:sz w:val="28"/>
                <w:szCs w:val="28"/>
                <w:rtl/>
              </w:rPr>
              <w:t>المبالغ</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المستلمة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قبل</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استحقاقها</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_Toc362519112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60</w:t>
            </w:r>
            <w:r w:rsidR="002A30CE" w:rsidRPr="005A3646">
              <w:rPr>
                <w:rFonts w:asciiTheme="minorBidi" w:hAnsiTheme="minorBidi"/>
                <w:noProof/>
                <w:webHidden/>
              </w:rPr>
              <w:fldChar w:fldCharType="end"/>
            </w:r>
          </w:hyperlink>
        </w:p>
        <w:p w14:paraId="0F14068A" w14:textId="77777777" w:rsidR="002A30CE" w:rsidRPr="00AC2CF3" w:rsidRDefault="00DA5495" w:rsidP="00DF4D6E">
          <w:pPr>
            <w:pStyle w:val="TOC2"/>
            <w:spacing w:after="0" w:line="280" w:lineRule="exact"/>
            <w:rPr>
              <w:rFonts w:ascii="Arabic Typesetting" w:hAnsi="Arabic Typesetting" w:cs="Arabic Typesetting"/>
              <w:noProof/>
              <w:sz w:val="28"/>
              <w:szCs w:val="28"/>
              <w:lang w:eastAsia="en-US"/>
            </w:rPr>
          </w:pPr>
          <w:hyperlink w:anchor="_Toc362519113"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15: </w:t>
            </w:r>
            <w:r w:rsidR="002A30CE" w:rsidRPr="00AC2CF3">
              <w:rPr>
                <w:rStyle w:val="Hyperlink"/>
                <w:rFonts w:ascii="Arabic Typesetting" w:hAnsi="Arabic Typesetting" w:cs="Arabic Typesetting" w:hint="eastAsia"/>
                <w:i/>
                <w:noProof/>
                <w:sz w:val="28"/>
                <w:szCs w:val="28"/>
                <w:rtl/>
              </w:rPr>
              <w:t>القروض</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_Toc362519113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61</w:t>
            </w:r>
            <w:r w:rsidR="002A30CE" w:rsidRPr="005A3646">
              <w:rPr>
                <w:rFonts w:asciiTheme="minorBidi" w:hAnsiTheme="minorBidi"/>
                <w:noProof/>
                <w:webHidden/>
              </w:rPr>
              <w:fldChar w:fldCharType="end"/>
            </w:r>
          </w:hyperlink>
        </w:p>
        <w:p w14:paraId="0E4B96F4" w14:textId="77777777" w:rsidR="002A30CE" w:rsidRPr="00AC2CF3" w:rsidRDefault="00DA5495" w:rsidP="00DF4D6E">
          <w:pPr>
            <w:pStyle w:val="TOC2"/>
            <w:spacing w:after="0" w:line="280" w:lineRule="exact"/>
            <w:rPr>
              <w:rFonts w:ascii="Arabic Typesetting" w:hAnsi="Arabic Typesetting" w:cs="Arabic Typesetting"/>
              <w:noProof/>
              <w:sz w:val="28"/>
              <w:szCs w:val="28"/>
              <w:lang w:eastAsia="en-US"/>
            </w:rPr>
          </w:pPr>
          <w:hyperlink w:anchor="_Toc362519114"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16: </w:t>
            </w:r>
            <w:r w:rsidR="002A30CE" w:rsidRPr="00AC2CF3">
              <w:rPr>
                <w:rStyle w:val="Hyperlink"/>
                <w:rFonts w:ascii="Arabic Typesetting" w:hAnsi="Arabic Typesetting" w:cs="Arabic Typesetting" w:hint="eastAsia"/>
                <w:i/>
                <w:noProof/>
                <w:sz w:val="28"/>
                <w:szCs w:val="28"/>
                <w:rtl/>
              </w:rPr>
              <w:t>المخصصات</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_Toc362519114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61</w:t>
            </w:r>
            <w:r w:rsidR="002A30CE" w:rsidRPr="005A3646">
              <w:rPr>
                <w:rFonts w:asciiTheme="minorBidi" w:hAnsiTheme="minorBidi"/>
                <w:noProof/>
                <w:webHidden/>
              </w:rPr>
              <w:fldChar w:fldCharType="end"/>
            </w:r>
          </w:hyperlink>
        </w:p>
        <w:p w14:paraId="04EAD8AC" w14:textId="3ACFE8DF" w:rsidR="002A30CE" w:rsidRPr="00AC2CF3" w:rsidRDefault="00DA5495" w:rsidP="00B60E13">
          <w:pPr>
            <w:pStyle w:val="TOC2"/>
            <w:spacing w:after="0" w:line="280" w:lineRule="exact"/>
            <w:rPr>
              <w:rFonts w:ascii="Arabic Typesetting" w:hAnsi="Arabic Typesetting" w:cs="Arabic Typesetting"/>
              <w:noProof/>
              <w:sz w:val="28"/>
              <w:szCs w:val="28"/>
              <w:lang w:eastAsia="en-US"/>
            </w:rPr>
          </w:pPr>
          <w:hyperlink w:anchor="_Toc362519115"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17:</w:t>
            </w:r>
            <w:r w:rsidR="00B60E13">
              <w:rPr>
                <w:rStyle w:val="Hyperlink"/>
                <w:rFonts w:ascii="Arabic Typesetting" w:hAnsi="Arabic Typesetting" w:cs="Arabic Typesetting" w:hint="cs"/>
                <w:i/>
                <w:noProof/>
                <w:sz w:val="28"/>
                <w:szCs w:val="28"/>
                <w:rtl/>
              </w:rPr>
              <w:t xml:space="preserve"> ال</w:t>
            </w:r>
            <w:r w:rsidR="002A30CE" w:rsidRPr="00AC2CF3">
              <w:rPr>
                <w:rStyle w:val="Hyperlink"/>
                <w:rFonts w:ascii="Arabic Typesetting" w:hAnsi="Arabic Typesetting" w:cs="Arabic Typesetting" w:hint="eastAsia"/>
                <w:i/>
                <w:noProof/>
                <w:sz w:val="28"/>
                <w:szCs w:val="28"/>
                <w:rtl/>
              </w:rPr>
              <w:t>خصوم</w:t>
            </w:r>
            <w:r w:rsidR="002A30CE" w:rsidRPr="00AC2CF3">
              <w:rPr>
                <w:rStyle w:val="Hyperlink"/>
                <w:rFonts w:ascii="Arabic Typesetting" w:hAnsi="Arabic Typesetting" w:cs="Arabic Typesetting"/>
                <w:i/>
                <w:noProof/>
                <w:sz w:val="28"/>
                <w:szCs w:val="28"/>
                <w:rtl/>
              </w:rPr>
              <w:t xml:space="preserve"> </w:t>
            </w:r>
            <w:r w:rsidR="00B60E13">
              <w:rPr>
                <w:rStyle w:val="Hyperlink"/>
                <w:rFonts w:ascii="Arabic Typesetting" w:hAnsi="Arabic Typesetting" w:cs="Arabic Typesetting" w:hint="cs"/>
                <w:i/>
                <w:noProof/>
                <w:sz w:val="28"/>
                <w:szCs w:val="28"/>
                <w:rtl/>
              </w:rPr>
              <w:t>ال</w:t>
            </w:r>
            <w:r w:rsidR="002A30CE" w:rsidRPr="00AC2CF3">
              <w:rPr>
                <w:rStyle w:val="Hyperlink"/>
                <w:rFonts w:ascii="Arabic Typesetting" w:hAnsi="Arabic Typesetting" w:cs="Arabic Typesetting" w:hint="eastAsia"/>
                <w:i/>
                <w:noProof/>
                <w:sz w:val="28"/>
                <w:szCs w:val="28"/>
                <w:rtl/>
              </w:rPr>
              <w:t>أخرى</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_Toc362519115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62</w:t>
            </w:r>
            <w:r w:rsidR="002A30CE" w:rsidRPr="005A3646">
              <w:rPr>
                <w:rFonts w:asciiTheme="minorBidi" w:hAnsiTheme="minorBidi"/>
                <w:noProof/>
                <w:webHidden/>
              </w:rPr>
              <w:fldChar w:fldCharType="end"/>
            </w:r>
          </w:hyperlink>
        </w:p>
        <w:p w14:paraId="408703A5" w14:textId="77777777" w:rsidR="002A30CE" w:rsidRPr="00AC2CF3" w:rsidRDefault="00DA5495" w:rsidP="00DF4D6E">
          <w:pPr>
            <w:pStyle w:val="TOC2"/>
            <w:spacing w:after="0" w:line="280" w:lineRule="exact"/>
            <w:rPr>
              <w:rFonts w:ascii="Arabic Typesetting" w:hAnsi="Arabic Typesetting" w:cs="Arabic Typesetting"/>
              <w:noProof/>
              <w:sz w:val="28"/>
              <w:szCs w:val="28"/>
              <w:lang w:eastAsia="en-US"/>
            </w:rPr>
          </w:pPr>
          <w:hyperlink w:anchor="_Toc362519116"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18: </w:t>
            </w:r>
            <w:r w:rsidR="002A30CE" w:rsidRPr="00AC2CF3">
              <w:rPr>
                <w:rStyle w:val="Hyperlink"/>
                <w:rFonts w:ascii="Arabic Typesetting" w:hAnsi="Arabic Typesetting" w:cs="Arabic Typesetting" w:hint="eastAsia"/>
                <w:i/>
                <w:noProof/>
                <w:sz w:val="28"/>
                <w:szCs w:val="28"/>
                <w:rtl/>
              </w:rPr>
              <w:t>الأصول</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والخصوم</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المحتملة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_Toc362519116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62</w:t>
            </w:r>
            <w:r w:rsidR="002A30CE" w:rsidRPr="005A3646">
              <w:rPr>
                <w:rFonts w:asciiTheme="minorBidi" w:hAnsiTheme="minorBidi"/>
                <w:noProof/>
                <w:webHidden/>
              </w:rPr>
              <w:fldChar w:fldCharType="end"/>
            </w:r>
          </w:hyperlink>
        </w:p>
        <w:p w14:paraId="16A39D85" w14:textId="69545A24" w:rsidR="002A30CE" w:rsidRPr="00AC2CF3" w:rsidRDefault="00DA5495" w:rsidP="007B505A">
          <w:pPr>
            <w:pStyle w:val="TOC2"/>
            <w:spacing w:after="0" w:line="280" w:lineRule="exact"/>
            <w:rPr>
              <w:rFonts w:ascii="Arabic Typesetting" w:hAnsi="Arabic Typesetting" w:cs="Arabic Typesetting"/>
              <w:noProof/>
              <w:sz w:val="28"/>
              <w:szCs w:val="28"/>
              <w:lang w:eastAsia="en-US"/>
            </w:rPr>
          </w:pPr>
          <w:hyperlink w:anchor="_Toc362519117"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19: </w:t>
            </w:r>
            <w:r w:rsidR="002A30CE" w:rsidRPr="00AC2CF3">
              <w:rPr>
                <w:rStyle w:val="Hyperlink"/>
                <w:rFonts w:ascii="Arabic Typesetting" w:hAnsi="Arabic Typesetting" w:cs="Arabic Typesetting" w:hint="eastAsia"/>
                <w:i/>
                <w:noProof/>
                <w:sz w:val="28"/>
                <w:szCs w:val="28"/>
                <w:rtl/>
              </w:rPr>
              <w:t>عقود</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الإيجار</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_Toc362519117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63</w:t>
            </w:r>
            <w:r w:rsidR="002A30CE" w:rsidRPr="005A3646">
              <w:rPr>
                <w:rFonts w:asciiTheme="minorBidi" w:hAnsiTheme="minorBidi"/>
                <w:noProof/>
                <w:webHidden/>
              </w:rPr>
              <w:fldChar w:fldCharType="end"/>
            </w:r>
          </w:hyperlink>
        </w:p>
        <w:p w14:paraId="1DDEC339" w14:textId="77777777" w:rsidR="002A30CE" w:rsidRPr="00AC2CF3" w:rsidRDefault="00DA5495" w:rsidP="00DF4D6E">
          <w:pPr>
            <w:pStyle w:val="TOC2"/>
            <w:spacing w:after="0" w:line="280" w:lineRule="exact"/>
            <w:rPr>
              <w:rFonts w:ascii="Arabic Typesetting" w:hAnsi="Arabic Typesetting" w:cs="Arabic Typesetting"/>
              <w:noProof/>
              <w:sz w:val="28"/>
              <w:szCs w:val="28"/>
              <w:lang w:eastAsia="en-US"/>
            </w:rPr>
          </w:pPr>
          <w:hyperlink w:anchor="_Toc362519118"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20: </w:t>
            </w:r>
            <w:r w:rsidR="002A30CE" w:rsidRPr="00AC2CF3">
              <w:rPr>
                <w:rStyle w:val="Hyperlink"/>
                <w:rFonts w:ascii="Arabic Typesetting" w:hAnsi="Arabic Typesetting" w:cs="Arabic Typesetting" w:hint="eastAsia"/>
                <w:i/>
                <w:noProof/>
                <w:sz w:val="28"/>
                <w:szCs w:val="28"/>
                <w:rtl/>
              </w:rPr>
              <w:t>معاملات</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بين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أطراف</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مترابطة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_Toc362519118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64</w:t>
            </w:r>
            <w:r w:rsidR="002A30CE" w:rsidRPr="005A3646">
              <w:rPr>
                <w:rFonts w:asciiTheme="minorBidi" w:hAnsiTheme="minorBidi"/>
                <w:noProof/>
                <w:webHidden/>
              </w:rPr>
              <w:fldChar w:fldCharType="end"/>
            </w:r>
          </w:hyperlink>
        </w:p>
        <w:p w14:paraId="05F41543" w14:textId="77777777" w:rsidR="002A30CE" w:rsidRPr="00AC2CF3" w:rsidRDefault="00DA5495" w:rsidP="00DF4D6E">
          <w:pPr>
            <w:pStyle w:val="TOC2"/>
            <w:spacing w:after="0" w:line="280" w:lineRule="exact"/>
            <w:rPr>
              <w:rFonts w:ascii="Arabic Typesetting" w:hAnsi="Arabic Typesetting" w:cs="Arabic Typesetting"/>
              <w:noProof/>
              <w:sz w:val="28"/>
              <w:szCs w:val="28"/>
              <w:lang w:eastAsia="en-US"/>
            </w:rPr>
          </w:pPr>
          <w:hyperlink w:anchor="_Toc362519119"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21: </w:t>
            </w:r>
            <w:r w:rsidR="002A30CE" w:rsidRPr="00AC2CF3">
              <w:rPr>
                <w:rStyle w:val="Hyperlink"/>
                <w:rFonts w:ascii="Arabic Typesetting" w:hAnsi="Arabic Typesetting" w:cs="Arabic Typesetting" w:hint="eastAsia"/>
                <w:i/>
                <w:noProof/>
                <w:sz w:val="28"/>
                <w:szCs w:val="28"/>
                <w:rtl/>
              </w:rPr>
              <w:t>الأموال</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الاحتياطية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ورصيد</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الأموال</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_Toc362519119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65</w:t>
            </w:r>
            <w:r w:rsidR="002A30CE" w:rsidRPr="005A3646">
              <w:rPr>
                <w:rFonts w:asciiTheme="minorBidi" w:hAnsiTheme="minorBidi"/>
                <w:noProof/>
                <w:webHidden/>
              </w:rPr>
              <w:fldChar w:fldCharType="end"/>
            </w:r>
          </w:hyperlink>
        </w:p>
        <w:p w14:paraId="7FE05D9D" w14:textId="77777777" w:rsidR="002A30CE" w:rsidRPr="00AC2CF3" w:rsidRDefault="00DA5495" w:rsidP="00DF4D6E">
          <w:pPr>
            <w:pStyle w:val="TOC2"/>
            <w:spacing w:after="0" w:line="280" w:lineRule="exact"/>
            <w:rPr>
              <w:rFonts w:ascii="Arabic Typesetting" w:hAnsi="Arabic Typesetting" w:cs="Arabic Typesetting"/>
              <w:noProof/>
              <w:sz w:val="28"/>
              <w:szCs w:val="28"/>
              <w:lang w:eastAsia="en-US"/>
            </w:rPr>
          </w:pPr>
          <w:hyperlink w:anchor="_Toc362519120"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22: </w:t>
            </w:r>
            <w:r w:rsidR="002A30CE" w:rsidRPr="00AC2CF3">
              <w:rPr>
                <w:rStyle w:val="Hyperlink"/>
                <w:rFonts w:ascii="Arabic Typesetting" w:hAnsi="Arabic Typesetting" w:cs="Arabic Typesetting" w:hint="eastAsia"/>
                <w:i/>
                <w:noProof/>
                <w:sz w:val="28"/>
                <w:szCs w:val="28"/>
                <w:rtl/>
              </w:rPr>
              <w:t>التوفيق</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بين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بيان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مقارن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للميزانية</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البيان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المالي</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الخامس</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وبيان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الأداء</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المالي</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البيان</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المالي</w:t>
            </w:r>
            <w:r w:rsidR="002A30CE" w:rsidRPr="00AC2CF3">
              <w:rPr>
                <w:rStyle w:val="Hyperlink"/>
                <w:rFonts w:ascii="Arabic Typesetting" w:hAnsi="Arabic Typesetting" w:cs="Arabic Typesetting"/>
                <w:i/>
                <w:noProof/>
                <w:sz w:val="28"/>
                <w:szCs w:val="28"/>
                <w:rtl/>
              </w:rPr>
              <w:t xml:space="preserve"> </w:t>
            </w:r>
            <w:r w:rsidR="002A30CE" w:rsidRPr="00AC2CF3">
              <w:rPr>
                <w:rStyle w:val="Hyperlink"/>
                <w:rFonts w:ascii="Arabic Typesetting" w:hAnsi="Arabic Typesetting" w:cs="Arabic Typesetting" w:hint="eastAsia"/>
                <w:i/>
                <w:noProof/>
                <w:sz w:val="28"/>
                <w:szCs w:val="28"/>
                <w:rtl/>
              </w:rPr>
              <w:t>الثاني</w:t>
            </w:r>
            <w:r w:rsidR="002A30CE" w:rsidRPr="00AC2CF3">
              <w:rPr>
                <w:rStyle w:val="Hyperlink"/>
                <w:rFonts w:ascii="Arabic Typesetting" w:hAnsi="Arabic Typesetting" w:cs="Arabic Typesetting"/>
                <w:i/>
                <w:noProof/>
                <w:sz w:val="28"/>
                <w:szCs w:val="28"/>
                <w:rtl/>
              </w:rPr>
              <w:t>)</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_Toc362519120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66</w:t>
            </w:r>
            <w:r w:rsidR="002A30CE" w:rsidRPr="005A3646">
              <w:rPr>
                <w:rFonts w:asciiTheme="minorBidi" w:hAnsiTheme="minorBidi"/>
                <w:noProof/>
                <w:webHidden/>
              </w:rPr>
              <w:fldChar w:fldCharType="end"/>
            </w:r>
          </w:hyperlink>
        </w:p>
        <w:p w14:paraId="5D744BAA" w14:textId="77777777" w:rsidR="002A30CE" w:rsidRPr="00AC2CF3" w:rsidRDefault="00DA5495" w:rsidP="00DF4D6E">
          <w:pPr>
            <w:pStyle w:val="TOC2"/>
            <w:spacing w:after="0" w:line="280" w:lineRule="exact"/>
            <w:rPr>
              <w:rFonts w:ascii="Arabic Typesetting" w:hAnsi="Arabic Typesetting" w:cs="Arabic Typesetting"/>
              <w:noProof/>
              <w:sz w:val="28"/>
              <w:szCs w:val="28"/>
              <w:lang w:eastAsia="en-US"/>
            </w:rPr>
          </w:pPr>
          <w:hyperlink w:anchor="_Toc362519121"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23: </w:t>
            </w:r>
            <w:r w:rsidR="002A30CE" w:rsidRPr="00AC2CF3">
              <w:rPr>
                <w:rStyle w:val="Hyperlink"/>
                <w:rFonts w:ascii="Arabic Typesetting" w:hAnsi="Arabic Typesetting" w:cs="Arabic Typesetting" w:hint="eastAsia"/>
                <w:i/>
                <w:noProof/>
                <w:sz w:val="28"/>
                <w:szCs w:val="28"/>
                <w:rtl/>
              </w:rPr>
              <w:t>الإيرادات</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_Toc362519121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68</w:t>
            </w:r>
            <w:r w:rsidR="002A30CE" w:rsidRPr="005A3646">
              <w:rPr>
                <w:rFonts w:asciiTheme="minorBidi" w:hAnsiTheme="minorBidi"/>
                <w:noProof/>
                <w:webHidden/>
              </w:rPr>
              <w:fldChar w:fldCharType="end"/>
            </w:r>
          </w:hyperlink>
        </w:p>
        <w:p w14:paraId="5187ADDF" w14:textId="77777777" w:rsidR="002A30CE" w:rsidRPr="00AC2CF3" w:rsidRDefault="00DA5495" w:rsidP="00DF4D6E">
          <w:pPr>
            <w:pStyle w:val="TOC2"/>
            <w:spacing w:after="0" w:line="280" w:lineRule="exact"/>
            <w:rPr>
              <w:rFonts w:ascii="Arabic Typesetting" w:hAnsi="Arabic Typesetting" w:cs="Arabic Typesetting"/>
              <w:noProof/>
              <w:sz w:val="28"/>
              <w:szCs w:val="28"/>
              <w:lang w:eastAsia="en-US"/>
            </w:rPr>
          </w:pPr>
          <w:hyperlink w:anchor="_Toc362519122"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24: </w:t>
            </w:r>
            <w:r w:rsidR="002A30CE" w:rsidRPr="00AC2CF3">
              <w:rPr>
                <w:rStyle w:val="Hyperlink"/>
                <w:rFonts w:ascii="Arabic Typesetting" w:hAnsi="Arabic Typesetting" w:cs="Arabic Typesetting" w:hint="eastAsia"/>
                <w:i/>
                <w:noProof/>
                <w:sz w:val="28"/>
                <w:szCs w:val="28"/>
                <w:rtl/>
              </w:rPr>
              <w:t>المصروفات</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_Toc362519122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69</w:t>
            </w:r>
            <w:r w:rsidR="002A30CE" w:rsidRPr="005A3646">
              <w:rPr>
                <w:rFonts w:asciiTheme="minorBidi" w:hAnsiTheme="minorBidi"/>
                <w:noProof/>
                <w:webHidden/>
              </w:rPr>
              <w:fldChar w:fldCharType="end"/>
            </w:r>
          </w:hyperlink>
        </w:p>
        <w:p w14:paraId="5D261A2E" w14:textId="77777777" w:rsidR="002A30CE" w:rsidRPr="00AC2CF3" w:rsidRDefault="00DA5495" w:rsidP="007859A5">
          <w:pPr>
            <w:pStyle w:val="TOC2"/>
            <w:spacing w:after="0" w:line="280" w:lineRule="exact"/>
            <w:rPr>
              <w:rFonts w:ascii="Arabic Typesetting" w:hAnsi="Arabic Typesetting" w:cs="Arabic Typesetting"/>
              <w:noProof/>
              <w:sz w:val="28"/>
              <w:szCs w:val="28"/>
              <w:lang w:eastAsia="en-US"/>
            </w:rPr>
          </w:pPr>
          <w:hyperlink w:anchor="_Toc362519123"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25: </w:t>
            </w:r>
            <w:r w:rsidR="007859A5" w:rsidRPr="007859A5">
              <w:rPr>
                <w:rStyle w:val="Hyperlink"/>
                <w:rFonts w:ascii="Arabic Typesetting" w:hAnsi="Arabic Typesetting" w:cs="Arabic Typesetting"/>
                <w:i/>
                <w:noProof/>
                <w:sz w:val="28"/>
                <w:szCs w:val="28"/>
                <w:rtl/>
              </w:rPr>
              <w:t>الأدوات المالية</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_Toc362519123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70</w:t>
            </w:r>
            <w:r w:rsidR="002A30CE" w:rsidRPr="005A3646">
              <w:rPr>
                <w:rFonts w:asciiTheme="minorBidi" w:hAnsiTheme="minorBidi"/>
                <w:noProof/>
                <w:webHidden/>
              </w:rPr>
              <w:fldChar w:fldCharType="end"/>
            </w:r>
          </w:hyperlink>
        </w:p>
        <w:p w14:paraId="19C72C35" w14:textId="77777777" w:rsidR="002A30CE" w:rsidRPr="00AC2CF3" w:rsidRDefault="00DA5495" w:rsidP="007859A5">
          <w:pPr>
            <w:pStyle w:val="TOC2"/>
            <w:spacing w:after="0" w:line="280" w:lineRule="exact"/>
            <w:rPr>
              <w:rFonts w:ascii="Arabic Typesetting" w:hAnsi="Arabic Typesetting" w:cs="Arabic Typesetting"/>
              <w:noProof/>
              <w:sz w:val="28"/>
              <w:szCs w:val="28"/>
              <w:lang w:eastAsia="en-US"/>
            </w:rPr>
          </w:pPr>
          <w:hyperlink w:anchor="_Toc362519124"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26: </w:t>
            </w:r>
            <w:r w:rsidR="007859A5" w:rsidRPr="007859A5">
              <w:rPr>
                <w:rStyle w:val="Hyperlink"/>
                <w:rFonts w:ascii="Arabic Typesetting" w:hAnsi="Arabic Typesetting" w:cs="Arabic Typesetting"/>
                <w:i/>
                <w:noProof/>
                <w:sz w:val="28"/>
                <w:szCs w:val="28"/>
                <w:rtl/>
              </w:rPr>
              <w:t>مكاسب وخسائر متعلقة بسعر صرف العملات</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_Toc362519124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75</w:t>
            </w:r>
            <w:r w:rsidR="002A30CE" w:rsidRPr="005A3646">
              <w:rPr>
                <w:rFonts w:asciiTheme="minorBidi" w:hAnsiTheme="minorBidi"/>
                <w:noProof/>
                <w:webHidden/>
              </w:rPr>
              <w:fldChar w:fldCharType="end"/>
            </w:r>
          </w:hyperlink>
        </w:p>
        <w:p w14:paraId="08F7AA66" w14:textId="77777777" w:rsidR="002A30CE" w:rsidRPr="00AC2CF3" w:rsidRDefault="00DA5495" w:rsidP="007859A5">
          <w:pPr>
            <w:pStyle w:val="TOC2"/>
            <w:spacing w:after="0" w:line="280" w:lineRule="exact"/>
            <w:rPr>
              <w:rFonts w:ascii="Arabic Typesetting" w:hAnsi="Arabic Typesetting" w:cs="Arabic Typesetting"/>
              <w:noProof/>
              <w:sz w:val="28"/>
              <w:szCs w:val="28"/>
              <w:lang w:eastAsia="en-US"/>
            </w:rPr>
          </w:pPr>
          <w:hyperlink w:anchor="_Toc362519125" w:history="1">
            <w:r w:rsidR="002A30CE" w:rsidRPr="00AC2CF3">
              <w:rPr>
                <w:rStyle w:val="Hyperlink"/>
                <w:rFonts w:ascii="Arabic Typesetting" w:hAnsi="Arabic Typesetting" w:cs="Arabic Typesetting" w:hint="eastAsia"/>
                <w:i/>
                <w:noProof/>
                <w:sz w:val="28"/>
                <w:szCs w:val="28"/>
                <w:rtl/>
              </w:rPr>
              <w:t>الملاحظة</w:t>
            </w:r>
            <w:r w:rsidR="002A30CE" w:rsidRPr="00AC2CF3">
              <w:rPr>
                <w:rStyle w:val="Hyperlink"/>
                <w:rFonts w:ascii="Arabic Typesetting" w:hAnsi="Arabic Typesetting" w:cs="Arabic Typesetting"/>
                <w:i/>
                <w:noProof/>
                <w:sz w:val="28"/>
                <w:szCs w:val="28"/>
                <w:rtl/>
              </w:rPr>
              <w:t xml:space="preserve"> 27: </w:t>
            </w:r>
            <w:r w:rsidR="007859A5" w:rsidRPr="007859A5">
              <w:rPr>
                <w:rStyle w:val="Hyperlink"/>
                <w:rFonts w:ascii="Arabic Typesetting" w:hAnsi="Arabic Typesetting" w:cs="Arabic Typesetting"/>
                <w:i/>
                <w:noProof/>
                <w:sz w:val="28"/>
                <w:szCs w:val="28"/>
                <w:rtl/>
              </w:rPr>
              <w:t>أحداث طرأت بعد تاريخ تقديم التقرير المالي</w:t>
            </w:r>
            <w:r w:rsidR="002A30CE" w:rsidRPr="00AC2CF3">
              <w:rPr>
                <w:rFonts w:ascii="Arabic Typesetting" w:hAnsi="Arabic Typesetting" w:cs="Arabic Typesetting"/>
                <w:noProof/>
                <w:webHidden/>
                <w:sz w:val="28"/>
                <w:szCs w:val="28"/>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_Toc362519125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76</w:t>
            </w:r>
            <w:r w:rsidR="002A30CE" w:rsidRPr="005A3646">
              <w:rPr>
                <w:rFonts w:asciiTheme="minorBidi" w:hAnsiTheme="minorBidi"/>
                <w:noProof/>
                <w:webHidden/>
              </w:rPr>
              <w:fldChar w:fldCharType="end"/>
            </w:r>
          </w:hyperlink>
        </w:p>
        <w:p w14:paraId="2050C6ED" w14:textId="6E7FE3EF" w:rsidR="00BC7670" w:rsidRDefault="00DA5495" w:rsidP="007B505A">
          <w:pPr>
            <w:pStyle w:val="TOC2"/>
            <w:spacing w:after="0" w:line="280" w:lineRule="exact"/>
            <w:rPr>
              <w:noProof/>
              <w:rtl/>
            </w:rPr>
          </w:pPr>
          <w:hyperlink w:anchor="_الملاحظة_28:_إعداد" w:history="1">
            <w:r w:rsidR="00BC7670" w:rsidRPr="007B505A">
              <w:rPr>
                <w:rStyle w:val="Hyperlink"/>
                <w:rFonts w:ascii="Arabic Typesetting" w:hAnsi="Arabic Typesetting" w:cs="Arabic Typesetting"/>
                <w:i/>
                <w:noProof/>
                <w:sz w:val="28"/>
                <w:szCs w:val="28"/>
                <w:rtl/>
              </w:rPr>
              <w:t xml:space="preserve">الملاحظة </w:t>
            </w:r>
            <w:r w:rsidR="00BC7670" w:rsidRPr="007B505A">
              <w:rPr>
                <w:rStyle w:val="Hyperlink"/>
                <w:rFonts w:ascii="Arabic Typesetting" w:hAnsi="Arabic Typesetting" w:cs="Arabic Typesetting" w:hint="cs"/>
                <w:i/>
                <w:noProof/>
                <w:sz w:val="28"/>
                <w:szCs w:val="28"/>
                <w:rtl/>
              </w:rPr>
              <w:t>28</w:t>
            </w:r>
            <w:r w:rsidR="00BC7670" w:rsidRPr="007B505A">
              <w:rPr>
                <w:rStyle w:val="Hyperlink"/>
                <w:rFonts w:ascii="Arabic Typesetting" w:hAnsi="Arabic Typesetting" w:cs="Arabic Typesetting"/>
                <w:i/>
                <w:noProof/>
                <w:sz w:val="28"/>
                <w:szCs w:val="28"/>
                <w:rtl/>
              </w:rPr>
              <w:t>: إعداد تقارير القطاعات</w:t>
            </w:r>
          </w:hyperlink>
          <w:r w:rsidR="00BC7670" w:rsidRPr="00BC7670">
            <w:rPr>
              <w:rFonts w:cs="Arial"/>
              <w:noProof/>
              <w:rtl/>
            </w:rPr>
            <w:tab/>
          </w:r>
          <w:r w:rsidR="007B505A">
            <w:rPr>
              <w:rFonts w:asciiTheme="minorBidi" w:hAnsiTheme="minorBidi"/>
              <w:noProof/>
              <w:rtl/>
            </w:rPr>
            <w:fldChar w:fldCharType="begin"/>
          </w:r>
          <w:r w:rsidR="007B505A">
            <w:rPr>
              <w:rFonts w:asciiTheme="minorBidi" w:hAnsiTheme="minorBidi"/>
              <w:noProof/>
              <w:rtl/>
            </w:rPr>
            <w:instrText xml:space="preserve"> </w:instrText>
          </w:r>
          <w:r w:rsidR="007B505A">
            <w:rPr>
              <w:rFonts w:asciiTheme="minorBidi" w:hAnsiTheme="minorBidi"/>
              <w:noProof/>
            </w:rPr>
            <w:instrText>PAGEREF</w:instrText>
          </w:r>
          <w:r w:rsidR="007B505A">
            <w:rPr>
              <w:rFonts w:asciiTheme="minorBidi" w:hAnsiTheme="minorBidi"/>
              <w:noProof/>
              <w:rtl/>
            </w:rPr>
            <w:instrText xml:space="preserve">  _الملاحظة_28:_إعداد \</w:instrText>
          </w:r>
          <w:r w:rsidR="007B505A">
            <w:rPr>
              <w:rFonts w:asciiTheme="minorBidi" w:hAnsiTheme="minorBidi"/>
              <w:noProof/>
            </w:rPr>
            <w:instrText>h  \* MERGEFORMAT</w:instrText>
          </w:r>
          <w:r w:rsidR="007B505A">
            <w:rPr>
              <w:rFonts w:asciiTheme="minorBidi" w:hAnsiTheme="minorBidi"/>
              <w:noProof/>
              <w:rtl/>
            </w:rPr>
            <w:instrText xml:space="preserve"> </w:instrText>
          </w:r>
          <w:r w:rsidR="007B505A">
            <w:rPr>
              <w:rFonts w:asciiTheme="minorBidi" w:hAnsiTheme="minorBidi"/>
              <w:noProof/>
              <w:rtl/>
            </w:rPr>
          </w:r>
          <w:r w:rsidR="007B505A">
            <w:rPr>
              <w:rFonts w:asciiTheme="minorBidi" w:hAnsiTheme="minorBidi"/>
              <w:noProof/>
              <w:rtl/>
            </w:rPr>
            <w:fldChar w:fldCharType="separate"/>
          </w:r>
          <w:r>
            <w:rPr>
              <w:rFonts w:asciiTheme="minorBidi" w:hAnsiTheme="minorBidi"/>
              <w:noProof/>
              <w:rtl/>
            </w:rPr>
            <w:t>76</w:t>
          </w:r>
          <w:r w:rsidR="007B505A">
            <w:rPr>
              <w:rFonts w:asciiTheme="minorBidi" w:hAnsiTheme="minorBidi"/>
              <w:noProof/>
              <w:rtl/>
            </w:rPr>
            <w:fldChar w:fldCharType="end"/>
          </w:r>
        </w:p>
        <w:p w14:paraId="55EC2A98" w14:textId="77777777" w:rsidR="002A30CE" w:rsidRPr="00AC2CF3" w:rsidRDefault="00DA5495" w:rsidP="00BC7670">
          <w:pPr>
            <w:pStyle w:val="TOC1"/>
            <w:rPr>
              <w:noProof/>
              <w:lang w:eastAsia="en-US"/>
            </w:rPr>
          </w:pPr>
          <w:hyperlink w:anchor="_Toc362519126" w:history="1">
            <w:r w:rsidR="002A30CE" w:rsidRPr="00AC2CF3">
              <w:rPr>
                <w:rStyle w:val="Hyperlink"/>
                <w:rFonts w:ascii="Arabic Typesetting" w:hAnsi="Arabic Typesetting" w:cs="Arabic Typesetting"/>
                <w:noProof/>
                <w:sz w:val="28"/>
                <w:szCs w:val="28"/>
                <w:rtl/>
              </w:rPr>
              <w:t>المرفق الأول</w:t>
            </w:r>
            <w:r w:rsidR="00AD43FA" w:rsidRPr="00AC2CF3">
              <w:rPr>
                <w:rStyle w:val="Hyperlink"/>
                <w:rFonts w:ascii="Arabic Typesetting" w:hAnsi="Arabic Typesetting" w:cs="Arabic Typesetting" w:hint="cs"/>
                <w:noProof/>
                <w:sz w:val="28"/>
                <w:szCs w:val="28"/>
                <w:rtl/>
              </w:rPr>
              <w:t xml:space="preserve"> - </w:t>
            </w:r>
          </w:hyperlink>
          <w:hyperlink w:anchor="_Toc362519127"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الوضع</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بحسب</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كل</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نشاط</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غير</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مراجع</w:t>
            </w:r>
            <w:r w:rsidR="002A30CE" w:rsidRPr="00AC2CF3">
              <w:rPr>
                <w:rStyle w:val="Hyperlink"/>
                <w:rFonts w:ascii="Arabic Typesetting" w:hAnsi="Arabic Typesetting" w:cs="Arabic Typesetting"/>
                <w:noProof/>
                <w:sz w:val="28"/>
                <w:szCs w:val="28"/>
                <w:rtl/>
              </w:rPr>
              <w:t>]</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_Toc362519127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79</w:t>
            </w:r>
            <w:r w:rsidR="002A30CE" w:rsidRPr="005A3646">
              <w:rPr>
                <w:rFonts w:asciiTheme="minorBidi" w:hAnsiTheme="minorBidi"/>
                <w:noProof/>
                <w:webHidden/>
              </w:rPr>
              <w:fldChar w:fldCharType="end"/>
            </w:r>
          </w:hyperlink>
        </w:p>
        <w:p w14:paraId="602AE168" w14:textId="77777777" w:rsidR="002A30CE" w:rsidRPr="00AC2CF3" w:rsidRDefault="00DA5495" w:rsidP="00BC7670">
          <w:pPr>
            <w:pStyle w:val="TOC1"/>
            <w:rPr>
              <w:noProof/>
              <w:lang w:eastAsia="en-US"/>
            </w:rPr>
          </w:pPr>
          <w:hyperlink w:anchor="_Toc362519128" w:history="1">
            <w:r w:rsidR="002A30CE" w:rsidRPr="00AC2CF3">
              <w:rPr>
                <w:rStyle w:val="Hyperlink"/>
                <w:rFonts w:ascii="Arabic Typesetting" w:hAnsi="Arabic Typesetting" w:cs="Arabic Typesetting" w:hint="eastAsia"/>
                <w:noProof/>
                <w:sz w:val="28"/>
                <w:szCs w:val="28"/>
                <w:rtl/>
              </w:rPr>
              <w:t>المرفق</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الثاني</w:t>
            </w:r>
            <w:r w:rsidR="00AD43FA" w:rsidRPr="00AC2CF3">
              <w:rPr>
                <w:rStyle w:val="Hyperlink"/>
                <w:rFonts w:ascii="Arabic Typesetting" w:hAnsi="Arabic Typesetting" w:cs="Arabic Typesetting" w:hint="cs"/>
                <w:noProof/>
                <w:sz w:val="28"/>
                <w:szCs w:val="28"/>
                <w:rtl/>
              </w:rPr>
              <w:t xml:space="preserve"> - </w:t>
            </w:r>
          </w:hyperlink>
          <w:hyperlink w:anchor="_Toc362519129" w:history="1">
            <w:r w:rsidR="002A30CE" w:rsidRPr="00AC2CF3">
              <w:rPr>
                <w:rStyle w:val="Hyperlink"/>
                <w:rFonts w:ascii="Arabic Typesetting" w:hAnsi="Arabic Typesetting" w:cs="Arabic Typesetting" w:hint="eastAsia"/>
                <w:noProof/>
                <w:sz w:val="28"/>
                <w:szCs w:val="28"/>
                <w:rtl/>
              </w:rPr>
              <w:t>بيان</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الأداء</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المالي</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بحسب</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كل</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نشاط</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غير</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مراجع</w:t>
            </w:r>
            <w:r w:rsidR="002A30CE" w:rsidRPr="00AC2CF3">
              <w:rPr>
                <w:rStyle w:val="Hyperlink"/>
                <w:rFonts w:ascii="Arabic Typesetting" w:hAnsi="Arabic Typesetting" w:cs="Arabic Typesetting"/>
                <w:noProof/>
                <w:sz w:val="28"/>
                <w:szCs w:val="28"/>
                <w:rtl/>
              </w:rPr>
              <w:t>]</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_Toc362519129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80</w:t>
            </w:r>
            <w:r w:rsidR="002A30CE" w:rsidRPr="005A3646">
              <w:rPr>
                <w:rFonts w:asciiTheme="minorBidi" w:hAnsiTheme="minorBidi"/>
                <w:noProof/>
                <w:webHidden/>
              </w:rPr>
              <w:fldChar w:fldCharType="end"/>
            </w:r>
          </w:hyperlink>
        </w:p>
        <w:p w14:paraId="68164AF7" w14:textId="77777777" w:rsidR="002A30CE" w:rsidRDefault="00DA5495" w:rsidP="00BC7670">
          <w:pPr>
            <w:pStyle w:val="TOC1"/>
            <w:rPr>
              <w:rFonts w:asciiTheme="minorBidi" w:hAnsiTheme="minorBidi"/>
              <w:noProof/>
            </w:rPr>
          </w:pPr>
          <w:hyperlink w:anchor="_Toc362519130" w:history="1">
            <w:r w:rsidR="002A30CE" w:rsidRPr="00AC2CF3">
              <w:rPr>
                <w:rStyle w:val="Hyperlink"/>
                <w:rFonts w:ascii="Arabic Typesetting" w:hAnsi="Arabic Typesetting" w:cs="Arabic Typesetting" w:hint="eastAsia"/>
                <w:noProof/>
                <w:sz w:val="28"/>
                <w:szCs w:val="28"/>
                <w:rtl/>
              </w:rPr>
              <w:t>المرفق</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الثالث</w:t>
            </w:r>
            <w:r w:rsidR="00AD43FA" w:rsidRPr="00AC2CF3">
              <w:rPr>
                <w:rStyle w:val="Hyperlink"/>
                <w:rFonts w:ascii="Arabic Typesetting" w:hAnsi="Arabic Typesetting" w:cs="Arabic Typesetting" w:hint="cs"/>
                <w:noProof/>
                <w:sz w:val="28"/>
                <w:szCs w:val="28"/>
                <w:rtl/>
              </w:rPr>
              <w:t xml:space="preserve"> - </w:t>
            </w:r>
          </w:hyperlink>
          <w:hyperlink w:anchor="_Toc362519131" w:history="1">
            <w:r w:rsidR="002A30CE" w:rsidRPr="00AC2CF3">
              <w:rPr>
                <w:rStyle w:val="Hyperlink"/>
                <w:rFonts w:ascii="Arabic Typesetting" w:hAnsi="Arabic Typesetting" w:cs="Arabic Typesetting" w:hint="eastAsia"/>
                <w:noProof/>
                <w:sz w:val="28"/>
                <w:szCs w:val="28"/>
                <w:rtl/>
              </w:rPr>
              <w:t>حسابات</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خاصة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بحسب</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مساهمة</w:t>
            </w:r>
            <w:r w:rsidR="002A30CE" w:rsidRPr="00AC2CF3">
              <w:rPr>
                <w:rStyle w:val="Hyperlink"/>
                <w:rFonts w:ascii="Arabic Typesetting" w:hAnsi="Arabic Typesetting" w:cs="Arabic Typesetting"/>
                <w:noProof/>
                <w:sz w:val="28"/>
                <w:szCs w:val="28"/>
                <w:rtl/>
              </w:rPr>
              <w:t xml:space="preserve"> </w:t>
            </w:r>
            <w:r w:rsidR="002A30CE" w:rsidRPr="00AC2CF3">
              <w:rPr>
                <w:rStyle w:val="Hyperlink"/>
                <w:rFonts w:ascii="Arabic Typesetting" w:hAnsi="Arabic Typesetting" w:cs="Arabic Typesetting" w:hint="eastAsia"/>
                <w:noProof/>
                <w:sz w:val="28"/>
                <w:szCs w:val="28"/>
                <w:rtl/>
              </w:rPr>
              <w:t>المانحين</w:t>
            </w:r>
            <w:r w:rsidR="002A30CE" w:rsidRPr="00AC2CF3">
              <w:rPr>
                <w:noProof/>
                <w:webHidden/>
              </w:rPr>
              <w:tab/>
            </w:r>
            <w:r w:rsidR="002A30CE" w:rsidRPr="005A3646">
              <w:rPr>
                <w:rFonts w:asciiTheme="minorBidi" w:hAnsiTheme="minorBidi"/>
                <w:noProof/>
                <w:webHidden/>
              </w:rPr>
              <w:fldChar w:fldCharType="begin"/>
            </w:r>
            <w:r w:rsidR="002A30CE" w:rsidRPr="005A3646">
              <w:rPr>
                <w:rFonts w:asciiTheme="minorBidi" w:hAnsiTheme="minorBidi"/>
                <w:noProof/>
                <w:webHidden/>
              </w:rPr>
              <w:instrText xml:space="preserve"> PAGEREF _Toc362519131 \h </w:instrText>
            </w:r>
            <w:r w:rsidR="002A30CE" w:rsidRPr="005A3646">
              <w:rPr>
                <w:rFonts w:asciiTheme="minorBidi" w:hAnsiTheme="minorBidi"/>
                <w:noProof/>
                <w:webHidden/>
              </w:rPr>
            </w:r>
            <w:r w:rsidR="002A30CE" w:rsidRPr="005A3646">
              <w:rPr>
                <w:rFonts w:asciiTheme="minorBidi" w:hAnsiTheme="minorBidi"/>
                <w:noProof/>
                <w:webHidden/>
              </w:rPr>
              <w:fldChar w:fldCharType="separate"/>
            </w:r>
            <w:r>
              <w:rPr>
                <w:rFonts w:asciiTheme="minorBidi" w:hAnsiTheme="minorBidi"/>
                <w:noProof/>
                <w:webHidden/>
                <w:rtl/>
              </w:rPr>
              <w:t>81</w:t>
            </w:r>
            <w:r w:rsidR="002A30CE" w:rsidRPr="005A3646">
              <w:rPr>
                <w:rFonts w:asciiTheme="minorBidi" w:hAnsiTheme="minorBidi"/>
                <w:noProof/>
                <w:webHidden/>
              </w:rPr>
              <w:fldChar w:fldCharType="end"/>
            </w:r>
          </w:hyperlink>
        </w:p>
        <w:bookmarkStart w:id="3" w:name="_Hlt426055601"/>
        <w:p w14:paraId="3A46CD0F" w14:textId="51A939E2" w:rsidR="00E52F02" w:rsidRDefault="007B505A" w:rsidP="00877447">
          <w:pPr>
            <w:pStyle w:val="TOC1"/>
            <w:rPr>
              <w:rFonts w:asciiTheme="minorBidi" w:hAnsiTheme="minorBidi"/>
              <w:noProof/>
            </w:rPr>
          </w:pPr>
          <w:r>
            <w:rPr>
              <w:rFonts w:ascii="Arabic Typesetting" w:hAnsi="Arabic Typesetting" w:cs="Arabic Typesetting"/>
              <w:noProof/>
              <w:sz w:val="28"/>
              <w:szCs w:val="28"/>
              <w:rtl/>
            </w:rPr>
            <w:fldChar w:fldCharType="begin"/>
          </w:r>
          <w:r w:rsidR="00877447">
            <w:rPr>
              <w:rFonts w:ascii="Arabic Typesetting" w:hAnsi="Arabic Typesetting" w:cs="Arabic Typesetting"/>
              <w:noProof/>
              <w:sz w:val="28"/>
              <w:szCs w:val="28"/>
            </w:rPr>
            <w:instrText>HYPERLINK</w:instrText>
          </w:r>
          <w:r w:rsidR="00877447">
            <w:rPr>
              <w:rFonts w:ascii="Arabic Typesetting" w:hAnsi="Arabic Typesetting" w:cs="Arabic Typesetting"/>
              <w:noProof/>
              <w:sz w:val="28"/>
              <w:szCs w:val="28"/>
              <w:rtl/>
            </w:rPr>
            <w:instrText xml:space="preserve">  \</w:instrText>
          </w:r>
          <w:r w:rsidR="00877447">
            <w:rPr>
              <w:rFonts w:ascii="Arabic Typesetting" w:hAnsi="Arabic Typesetting" w:cs="Arabic Typesetting"/>
              <w:noProof/>
              <w:sz w:val="28"/>
              <w:szCs w:val="28"/>
            </w:rPr>
            <w:instrText>l</w:instrText>
          </w:r>
          <w:r w:rsidR="00877447">
            <w:rPr>
              <w:rFonts w:ascii="Arabic Typesetting" w:hAnsi="Arabic Typesetting" w:cs="Arabic Typesetting"/>
              <w:noProof/>
              <w:sz w:val="28"/>
              <w:szCs w:val="28"/>
              <w:rtl/>
            </w:rPr>
            <w:instrText xml:space="preserve"> "</w:instrText>
          </w:r>
          <w:r w:rsidR="00877447">
            <w:rPr>
              <w:rFonts w:ascii="Arabic Typesetting" w:hAnsi="Arabic Typesetting" w:cs="Arabic Typesetting"/>
              <w:noProof/>
              <w:sz w:val="28"/>
              <w:szCs w:val="28"/>
            </w:rPr>
            <w:instrText>Annex4</w:instrText>
          </w:r>
          <w:r w:rsidR="00877447">
            <w:rPr>
              <w:rFonts w:ascii="Arabic Typesetting" w:hAnsi="Arabic Typesetting" w:cs="Arabic Typesetting"/>
              <w:noProof/>
              <w:sz w:val="28"/>
              <w:szCs w:val="28"/>
              <w:rtl/>
            </w:rPr>
            <w:instrText>"</w:instrText>
          </w:r>
          <w:r>
            <w:rPr>
              <w:rFonts w:ascii="Arabic Typesetting" w:hAnsi="Arabic Typesetting" w:cs="Arabic Typesetting"/>
              <w:noProof/>
              <w:sz w:val="28"/>
              <w:szCs w:val="28"/>
              <w:rtl/>
            </w:rPr>
            <w:fldChar w:fldCharType="separate"/>
          </w:r>
          <w:r w:rsidR="00E52F02" w:rsidRPr="007B505A">
            <w:rPr>
              <w:rStyle w:val="Hyperlink"/>
              <w:rFonts w:ascii="Arabic Typesetting" w:hAnsi="Arabic Typesetting" w:cs="Arabic Typesetting" w:hint="eastAsia"/>
              <w:noProof/>
              <w:sz w:val="28"/>
              <w:szCs w:val="28"/>
              <w:rtl/>
            </w:rPr>
            <w:t>المرفق</w:t>
          </w:r>
          <w:r w:rsidR="00E52F02" w:rsidRPr="007B505A">
            <w:rPr>
              <w:rStyle w:val="Hyperlink"/>
              <w:rFonts w:ascii="Arabic Typesetting" w:hAnsi="Arabic Typesetting" w:cs="Arabic Typesetting"/>
              <w:noProof/>
              <w:sz w:val="28"/>
              <w:szCs w:val="28"/>
              <w:rtl/>
            </w:rPr>
            <w:t xml:space="preserve"> </w:t>
          </w:r>
          <w:r w:rsidR="00E52F02" w:rsidRPr="007B505A">
            <w:rPr>
              <w:rStyle w:val="Hyperlink"/>
              <w:rFonts w:ascii="Arabic Typesetting" w:hAnsi="Arabic Typesetting" w:cs="Arabic Typesetting" w:hint="cs"/>
              <w:noProof/>
              <w:sz w:val="28"/>
              <w:szCs w:val="28"/>
              <w:rtl/>
            </w:rPr>
            <w:t>الرابع - الإكراميات المدفوعة من الويبو</w:t>
          </w:r>
          <w:r>
            <w:rPr>
              <w:rFonts w:ascii="Arabic Typesetting" w:hAnsi="Arabic Typesetting" w:cs="Arabic Typesetting"/>
              <w:noProof/>
              <w:sz w:val="28"/>
              <w:szCs w:val="28"/>
              <w:rtl/>
            </w:rPr>
            <w:fldChar w:fldCharType="end"/>
          </w:r>
          <w:bookmarkEnd w:id="3"/>
          <w:r w:rsidR="00B60E13">
            <w:rPr>
              <w:noProof/>
            </w:rPr>
            <w:fldChar w:fldCharType="begin"/>
          </w:r>
          <w:r>
            <w:rPr>
              <w:noProof/>
            </w:rPr>
            <w:instrText>HYPERLINK  \l "</w:instrText>
          </w:r>
          <w:r w:rsidR="00877447">
            <w:rPr>
              <w:noProof/>
            </w:rPr>
            <w:instrText>Annex4</w:instrText>
          </w:r>
          <w:r>
            <w:rPr>
              <w:noProof/>
            </w:rPr>
            <w:instrText>"</w:instrText>
          </w:r>
          <w:r w:rsidR="00B60E13">
            <w:rPr>
              <w:noProof/>
            </w:rPr>
            <w:fldChar w:fldCharType="separate"/>
          </w:r>
          <w:r w:rsidR="00E52F02" w:rsidRPr="00AC2CF3">
            <w:rPr>
              <w:noProof/>
              <w:webHidden/>
            </w:rPr>
            <w:tab/>
          </w:r>
          <w:r w:rsidR="00877447">
            <w:rPr>
              <w:rFonts w:asciiTheme="minorBidi" w:hAnsiTheme="minorBidi"/>
              <w:noProof/>
              <w:webHidden/>
              <w:rtl/>
            </w:rPr>
            <w:fldChar w:fldCharType="begin"/>
          </w:r>
          <w:r w:rsidR="00877447">
            <w:rPr>
              <w:rFonts w:asciiTheme="minorBidi" w:hAnsiTheme="minorBidi"/>
              <w:noProof/>
              <w:webHidden/>
              <w:rtl/>
            </w:rPr>
            <w:instrText xml:space="preserve"> </w:instrText>
          </w:r>
          <w:r w:rsidR="00877447">
            <w:rPr>
              <w:rFonts w:asciiTheme="minorBidi" w:hAnsiTheme="minorBidi" w:hint="cs"/>
              <w:noProof/>
              <w:webHidden/>
            </w:rPr>
            <w:instrText>PAGEREF  Annex4 \h  \* MERGEFORMAT</w:instrText>
          </w:r>
          <w:r w:rsidR="00877447">
            <w:rPr>
              <w:rFonts w:asciiTheme="minorBidi" w:hAnsiTheme="minorBidi"/>
              <w:noProof/>
              <w:webHidden/>
              <w:rtl/>
            </w:rPr>
            <w:instrText xml:space="preserve"> </w:instrText>
          </w:r>
          <w:r w:rsidR="00877447">
            <w:rPr>
              <w:rFonts w:asciiTheme="minorBidi" w:hAnsiTheme="minorBidi"/>
              <w:noProof/>
              <w:webHidden/>
              <w:rtl/>
            </w:rPr>
          </w:r>
          <w:r w:rsidR="00877447">
            <w:rPr>
              <w:rFonts w:asciiTheme="minorBidi" w:hAnsiTheme="minorBidi"/>
              <w:noProof/>
              <w:webHidden/>
              <w:rtl/>
            </w:rPr>
            <w:fldChar w:fldCharType="separate"/>
          </w:r>
          <w:r w:rsidR="00DA5495">
            <w:rPr>
              <w:rFonts w:asciiTheme="minorBidi" w:hAnsiTheme="minorBidi"/>
              <w:noProof/>
              <w:webHidden/>
              <w:rtl/>
            </w:rPr>
            <w:t>82</w:t>
          </w:r>
          <w:r w:rsidR="00877447">
            <w:rPr>
              <w:rFonts w:asciiTheme="minorBidi" w:hAnsiTheme="minorBidi"/>
              <w:noProof/>
              <w:webHidden/>
              <w:rtl/>
            </w:rPr>
            <w:fldChar w:fldCharType="end"/>
          </w:r>
          <w:r w:rsidR="00B60E13">
            <w:rPr>
              <w:rFonts w:asciiTheme="minorBidi" w:hAnsiTheme="minorBidi"/>
              <w:noProof/>
            </w:rPr>
            <w:fldChar w:fldCharType="end"/>
          </w:r>
        </w:p>
        <w:p w14:paraId="49357E6F" w14:textId="77777777" w:rsidR="00E52F02" w:rsidRPr="00E52F02" w:rsidRDefault="00E52F02" w:rsidP="00E52F02">
          <w:pPr>
            <w:rPr>
              <w:noProof/>
              <w:lang w:eastAsia="ja-JP"/>
            </w:rPr>
          </w:pPr>
        </w:p>
        <w:p w14:paraId="244034D4" w14:textId="77777777" w:rsidR="00780749" w:rsidRDefault="00780749">
          <w:r w:rsidRPr="00AC2CF3">
            <w:rPr>
              <w:rFonts w:ascii="Arabic Typesetting" w:hAnsi="Arabic Typesetting" w:cs="Arabic Typesetting"/>
              <w:b/>
              <w:bCs/>
              <w:noProof/>
              <w:sz w:val="28"/>
              <w:szCs w:val="28"/>
            </w:rPr>
            <w:fldChar w:fldCharType="end"/>
          </w:r>
        </w:p>
      </w:sdtContent>
    </w:sdt>
    <w:p w14:paraId="6A76C3E9" w14:textId="77777777" w:rsidR="00877447" w:rsidRDefault="00877447" w:rsidP="0093096F">
      <w:pPr>
        <w:bidi/>
        <w:jc w:val="center"/>
        <w:rPr>
          <w:rtl/>
        </w:rPr>
        <w:sectPr w:rsidR="00877447" w:rsidSect="00636477">
          <w:headerReference w:type="even" r:id="rId16"/>
          <w:headerReference w:type="first" r:id="rId17"/>
          <w:pgSz w:w="11907" w:h="16840" w:code="9"/>
          <w:pgMar w:top="567" w:right="1418" w:bottom="1418" w:left="1134" w:header="510" w:footer="1021" w:gutter="0"/>
          <w:pgNumType w:start="1"/>
          <w:cols w:space="720"/>
          <w:titlePg/>
          <w:docGrid w:linePitch="299"/>
        </w:sectPr>
      </w:pPr>
    </w:p>
    <w:p w14:paraId="4E376DF3" w14:textId="6946C25E" w:rsidR="00E16243" w:rsidRPr="0093096F" w:rsidRDefault="00E16243" w:rsidP="00877447">
      <w:pPr>
        <w:bidi/>
        <w:jc w:val="center"/>
        <w:rPr>
          <w:rFonts w:ascii="Arabic Typesetting" w:hAnsi="Arabic Typesetting" w:cs="Arabic Typesetting"/>
          <w:b/>
          <w:bCs/>
          <w:sz w:val="40"/>
          <w:szCs w:val="40"/>
          <w:rtl/>
          <w:lang w:bidi="ar-EG"/>
        </w:rPr>
      </w:pPr>
      <w:bookmarkStart w:id="4" w:name="_Toc362519085"/>
      <w:r w:rsidRPr="0093096F">
        <w:rPr>
          <w:rFonts w:ascii="Arabic Typesetting" w:hAnsi="Arabic Typesetting" w:cs="Arabic Typesetting" w:hint="cs"/>
          <w:b/>
          <w:bCs/>
          <w:sz w:val="40"/>
          <w:szCs w:val="40"/>
          <w:rtl/>
        </w:rPr>
        <w:lastRenderedPageBreak/>
        <w:t>التقرير المالي السنوي</w:t>
      </w:r>
      <w:bookmarkEnd w:id="4"/>
    </w:p>
    <w:p w14:paraId="3F81E150" w14:textId="77777777" w:rsidR="00E16243" w:rsidRPr="00DD5B3E" w:rsidRDefault="00E16243" w:rsidP="00780749">
      <w:pPr>
        <w:pStyle w:val="Heading1"/>
        <w:bidi/>
        <w:rPr>
          <w:rFonts w:ascii="Arabic Typesetting" w:hAnsi="Arabic Typesetting" w:cs="Arabic Typesetting"/>
          <w:sz w:val="40"/>
          <w:szCs w:val="40"/>
        </w:rPr>
      </w:pPr>
      <w:bookmarkStart w:id="5" w:name="_Toc362519086"/>
      <w:r w:rsidRPr="00DD5B3E">
        <w:rPr>
          <w:rFonts w:ascii="Arabic Typesetting" w:hAnsi="Arabic Typesetting" w:cs="Arabic Typesetting" w:hint="cs"/>
          <w:sz w:val="40"/>
          <w:szCs w:val="40"/>
          <w:rtl/>
        </w:rPr>
        <w:t>مقدمة</w:t>
      </w:r>
      <w:bookmarkEnd w:id="5"/>
    </w:p>
    <w:p w14:paraId="74AD9253" w14:textId="6BADC2CB" w:rsidR="00E16243" w:rsidRDefault="00E16243" w:rsidP="000A5ACC">
      <w:pPr>
        <w:pStyle w:val="NumberedParaAR"/>
        <w:numPr>
          <w:ilvl w:val="0"/>
          <w:numId w:val="9"/>
        </w:numPr>
      </w:pPr>
      <w:r w:rsidRPr="00FF6506">
        <w:rPr>
          <w:rtl/>
        </w:rPr>
        <w:t xml:space="preserve">ترفع البيانات المالية للمنظمة العالمية للملكية الفكرية للسنة المالية المنتهية في 31 ديسمبر </w:t>
      </w:r>
      <w:r w:rsidR="000513E1">
        <w:rPr>
          <w:rFonts w:hint="cs"/>
          <w:rtl/>
        </w:rPr>
        <w:t>2014</w:t>
      </w:r>
      <w:r w:rsidRPr="00FF6506">
        <w:rPr>
          <w:rtl/>
        </w:rPr>
        <w:t xml:space="preserve"> إلى جمعيات الدول الأعضاء في الويبو </w:t>
      </w:r>
      <w:r w:rsidR="002B3DBD">
        <w:rPr>
          <w:rtl/>
        </w:rPr>
        <w:t xml:space="preserve">وفقاً </w:t>
      </w:r>
      <w:r w:rsidRPr="00FF6506">
        <w:rPr>
          <w:rtl/>
        </w:rPr>
        <w:t xml:space="preserve">للمادة </w:t>
      </w:r>
      <w:r>
        <w:rPr>
          <w:rFonts w:hint="cs"/>
          <w:rtl/>
        </w:rPr>
        <w:t>7.6</w:t>
      </w:r>
      <w:r w:rsidRPr="00FF6506">
        <w:rPr>
          <w:rtl/>
        </w:rPr>
        <w:t xml:space="preserve"> من النظام المالي ولائحته.</w:t>
      </w:r>
      <w:r w:rsidRPr="00FF6506">
        <w:rPr>
          <w:rFonts w:hint="cs"/>
          <w:rtl/>
        </w:rPr>
        <w:t xml:space="preserve"> وأعدت هذه البيانات المالية </w:t>
      </w:r>
      <w:r w:rsidR="002B3DBD">
        <w:rPr>
          <w:rFonts w:hint="cs"/>
          <w:rtl/>
        </w:rPr>
        <w:t xml:space="preserve">وفقاً </w:t>
      </w:r>
      <w:r w:rsidRPr="00FF6506">
        <w:rPr>
          <w:rFonts w:hint="cs"/>
          <w:rtl/>
        </w:rPr>
        <w:t xml:space="preserve">للمعايير المحاسبية الدولية للقطاع العام، وهي المجموعة </w:t>
      </w:r>
      <w:r w:rsidR="000513E1">
        <w:rPr>
          <w:rFonts w:hint="cs"/>
          <w:rtl/>
        </w:rPr>
        <w:t>الخامسة</w:t>
      </w:r>
      <w:r w:rsidRPr="00FF6506">
        <w:rPr>
          <w:rFonts w:hint="cs"/>
          <w:rtl/>
        </w:rPr>
        <w:t xml:space="preserve"> من البيانات المالية التي تعد </w:t>
      </w:r>
      <w:r w:rsidR="002B3DBD">
        <w:rPr>
          <w:rFonts w:hint="cs"/>
          <w:rtl/>
        </w:rPr>
        <w:t xml:space="preserve">وفقاً </w:t>
      </w:r>
      <w:r w:rsidRPr="00FF6506">
        <w:rPr>
          <w:rFonts w:hint="cs"/>
          <w:rtl/>
        </w:rPr>
        <w:t>لتلك المعايير عقب تطبيقها في الويبو ابتداء من الأول من يناير</w:t>
      </w:r>
      <w:r>
        <w:rPr>
          <w:rFonts w:hint="eastAsia"/>
          <w:rtl/>
        </w:rPr>
        <w:t> </w:t>
      </w:r>
      <w:r w:rsidRPr="00FF6506">
        <w:rPr>
          <w:rFonts w:hint="cs"/>
          <w:rtl/>
        </w:rPr>
        <w:t>2010</w:t>
      </w:r>
      <w:r>
        <w:rPr>
          <w:rFonts w:hint="cs"/>
          <w:rtl/>
        </w:rPr>
        <w:t>.</w:t>
      </w:r>
    </w:p>
    <w:p w14:paraId="41D3794E" w14:textId="10178FB8" w:rsidR="00E16243" w:rsidRPr="00FF6506" w:rsidRDefault="00E16243" w:rsidP="000513E1">
      <w:pPr>
        <w:pStyle w:val="NumberedParaAR"/>
        <w:rPr>
          <w:rtl/>
        </w:rPr>
      </w:pPr>
      <w:r w:rsidRPr="00FF6506">
        <w:rPr>
          <w:rtl/>
        </w:rPr>
        <w:t>ويرفع أيضا</w:t>
      </w:r>
      <w:r w:rsidR="00877447">
        <w:rPr>
          <w:rFonts w:hint="cs"/>
          <w:rtl/>
        </w:rPr>
        <w:t>ً</w:t>
      </w:r>
      <w:r w:rsidRPr="00FF6506">
        <w:rPr>
          <w:rtl/>
        </w:rPr>
        <w:t xml:space="preserve"> تقرير مراجع الحسابات الخارجي حول التدقيق في البيانات المالية لسنة </w:t>
      </w:r>
      <w:r w:rsidR="000513E1">
        <w:rPr>
          <w:rFonts w:hint="cs"/>
          <w:rtl/>
        </w:rPr>
        <w:t>2014</w:t>
      </w:r>
      <w:r w:rsidRPr="00FF6506">
        <w:rPr>
          <w:rtl/>
        </w:rPr>
        <w:t xml:space="preserve"> بالإضافة إلى رأيه في البيانات المالية</w:t>
      </w:r>
      <w:r w:rsidRPr="00FF6506">
        <w:rPr>
          <w:rFonts w:hint="cs"/>
          <w:rtl/>
        </w:rPr>
        <w:t>،</w:t>
      </w:r>
      <w:r w:rsidRPr="00FF6506">
        <w:rPr>
          <w:rtl/>
        </w:rPr>
        <w:t xml:space="preserve"> إلى جمعيات الدول الأعضاء في الويبو كما نصت على ذلك المادة </w:t>
      </w:r>
      <w:r>
        <w:rPr>
          <w:rFonts w:hint="cs"/>
          <w:rtl/>
        </w:rPr>
        <w:t xml:space="preserve">11.8 </w:t>
      </w:r>
      <w:r w:rsidRPr="00FF6506">
        <w:rPr>
          <w:rtl/>
        </w:rPr>
        <w:t>والمرفق الثاني من النظام المالي</w:t>
      </w:r>
      <w:r>
        <w:rPr>
          <w:rFonts w:hint="cs"/>
          <w:rtl/>
        </w:rPr>
        <w:t> </w:t>
      </w:r>
      <w:r w:rsidRPr="00FF6506">
        <w:rPr>
          <w:rtl/>
        </w:rPr>
        <w:t>ولائحته.</w:t>
      </w:r>
    </w:p>
    <w:p w14:paraId="68E1889D" w14:textId="77777777" w:rsidR="00E16243" w:rsidRPr="00FF6506" w:rsidRDefault="00E16243" w:rsidP="00E16243">
      <w:pPr>
        <w:pStyle w:val="NumberedParaAR"/>
        <w:rPr>
          <w:rtl/>
        </w:rPr>
      </w:pPr>
      <w:r w:rsidRPr="00FF6506">
        <w:rPr>
          <w:rFonts w:hint="cs"/>
          <w:rtl/>
        </w:rPr>
        <w:t>ويتضمن هذا التقرير المالي السنوي البيانات المالية إلى جانب مناقشة البيانات المالية وتحليلها.</w:t>
      </w:r>
    </w:p>
    <w:p w14:paraId="2F42E2BA" w14:textId="77777777" w:rsidR="00E16243" w:rsidRPr="00DD5B3E" w:rsidRDefault="00E16243" w:rsidP="00780749">
      <w:pPr>
        <w:pStyle w:val="Heading1"/>
        <w:bidi/>
        <w:rPr>
          <w:rFonts w:ascii="Arabic Typesetting" w:hAnsi="Arabic Typesetting" w:cs="Arabic Typesetting"/>
          <w:sz w:val="40"/>
          <w:szCs w:val="40"/>
          <w:rtl/>
        </w:rPr>
      </w:pPr>
      <w:bookmarkStart w:id="6" w:name="_Toc362519087"/>
      <w:r w:rsidRPr="00DD5B3E">
        <w:rPr>
          <w:rFonts w:ascii="Arabic Typesetting" w:hAnsi="Arabic Typesetting" w:cs="Arabic Typesetting" w:hint="cs"/>
          <w:sz w:val="40"/>
          <w:szCs w:val="40"/>
          <w:rtl/>
        </w:rPr>
        <w:t>مناقشة البيانات المالية وتحليلها</w:t>
      </w:r>
      <w:bookmarkEnd w:id="6"/>
    </w:p>
    <w:p w14:paraId="3400BE6E" w14:textId="37CA32AD" w:rsidR="00E16243" w:rsidRDefault="00E16243" w:rsidP="007C2585">
      <w:pPr>
        <w:pStyle w:val="NumberedParaAR"/>
        <w:rPr>
          <w:rtl/>
          <w:lang w:bidi="ar-EG"/>
        </w:rPr>
      </w:pPr>
      <w:r>
        <w:rPr>
          <w:rFonts w:hint="cs"/>
          <w:rtl/>
          <w:lang w:bidi="ar-EG"/>
        </w:rPr>
        <w:t xml:space="preserve">يعرض هذا القسم من تقرير الويبو المالي السنوي مناقشة وتحليل </w:t>
      </w:r>
      <w:r w:rsidR="000513E1">
        <w:rPr>
          <w:rFonts w:hint="cs"/>
          <w:rtl/>
          <w:lang w:bidi="ar-EG"/>
        </w:rPr>
        <w:t>عمليات المنظمة وبيئتها، وأهدافها واستراتيجياتها المالية</w:t>
      </w:r>
      <w:r w:rsidR="007C2585">
        <w:rPr>
          <w:rFonts w:hint="cs"/>
          <w:rtl/>
          <w:lang w:bidi="ar-EG"/>
        </w:rPr>
        <w:t xml:space="preserve">، وأدائها ووضعها الماليين </w:t>
      </w:r>
      <w:r>
        <w:rPr>
          <w:rFonts w:hint="cs"/>
          <w:rtl/>
          <w:lang w:bidi="ar-EG"/>
        </w:rPr>
        <w:t xml:space="preserve">خلال السنة المنتهية في 31 ديسمبر </w:t>
      </w:r>
      <w:r w:rsidR="007C2585">
        <w:rPr>
          <w:rFonts w:hint="cs"/>
          <w:rtl/>
          <w:lang w:bidi="ar-EG"/>
        </w:rPr>
        <w:t>2014</w:t>
      </w:r>
      <w:r>
        <w:rPr>
          <w:rFonts w:hint="cs"/>
          <w:rtl/>
          <w:lang w:bidi="ar-EG"/>
        </w:rPr>
        <w:t>. وليست هذه المناقشة والتحليل جزءا</w:t>
      </w:r>
      <w:r w:rsidR="00877447">
        <w:rPr>
          <w:rFonts w:hint="cs"/>
          <w:rtl/>
          <w:lang w:bidi="ar-EG"/>
        </w:rPr>
        <w:t>ً</w:t>
      </w:r>
      <w:r>
        <w:rPr>
          <w:rFonts w:hint="cs"/>
          <w:rtl/>
          <w:lang w:bidi="ar-EG"/>
        </w:rPr>
        <w:t xml:space="preserve"> من بيانات الويبو المالية؛ ولكن ينبغي قراءتها مع بيانات الويبو المالية الواردة في الصفحات من </w:t>
      </w:r>
      <w:r w:rsidR="00C3629A">
        <w:rPr>
          <w:lang w:val="fr-FR" w:bidi="ar-EG"/>
        </w:rPr>
        <w:t>27</w:t>
      </w:r>
      <w:r>
        <w:rPr>
          <w:rFonts w:hint="cs"/>
          <w:rtl/>
          <w:lang w:bidi="ar-EG"/>
        </w:rPr>
        <w:t xml:space="preserve"> إلى </w:t>
      </w:r>
      <w:r w:rsidR="00C3629A">
        <w:rPr>
          <w:lang w:val="fr-FR" w:bidi="ar-EG"/>
        </w:rPr>
        <w:t>78</w:t>
      </w:r>
      <w:r>
        <w:rPr>
          <w:rFonts w:hint="cs"/>
          <w:rtl/>
          <w:lang w:bidi="ar-EG"/>
        </w:rPr>
        <w:t>.</w:t>
      </w:r>
    </w:p>
    <w:p w14:paraId="1B965908" w14:textId="77777777" w:rsidR="007C2585" w:rsidRDefault="008976B4" w:rsidP="00E16243">
      <w:pPr>
        <w:keepNext/>
        <w:bidi/>
        <w:spacing w:after="240" w:line="360" w:lineRule="exact"/>
        <w:rPr>
          <w:rFonts w:ascii="Arabic Typesetting" w:hAnsi="Arabic Typesetting" w:cs="Arabic Typesetting"/>
          <w:b/>
          <w:bCs/>
          <w:sz w:val="36"/>
          <w:szCs w:val="36"/>
          <w:rtl/>
          <w:lang w:bidi="ar-EG"/>
        </w:rPr>
      </w:pPr>
      <w:r>
        <w:rPr>
          <w:rFonts w:ascii="Arabic Typesetting" w:hAnsi="Arabic Typesetting" w:cs="Arabic Typesetting" w:hint="cs"/>
          <w:b/>
          <w:bCs/>
          <w:sz w:val="36"/>
          <w:szCs w:val="36"/>
          <w:rtl/>
          <w:lang w:bidi="ar-EG"/>
        </w:rPr>
        <w:t>عرض</w:t>
      </w:r>
      <w:r w:rsidR="007C2585">
        <w:rPr>
          <w:rFonts w:ascii="Arabic Typesetting" w:hAnsi="Arabic Typesetting" w:cs="Arabic Typesetting" w:hint="cs"/>
          <w:b/>
          <w:bCs/>
          <w:sz w:val="36"/>
          <w:szCs w:val="36"/>
          <w:rtl/>
          <w:lang w:bidi="ar-EG"/>
        </w:rPr>
        <w:t xml:space="preserve"> عمليات الويبو وبيئتها</w:t>
      </w:r>
    </w:p>
    <w:p w14:paraId="71E23DED" w14:textId="77777777" w:rsidR="007C2585" w:rsidRDefault="007C2585" w:rsidP="007C2585">
      <w:pPr>
        <w:pStyle w:val="NumberedParaAR"/>
        <w:rPr>
          <w:lang w:bidi="ar-EG"/>
        </w:rPr>
      </w:pPr>
      <w:r w:rsidRPr="007C2585">
        <w:rPr>
          <w:rFonts w:hint="cs"/>
          <w:rtl/>
          <w:lang w:bidi="ar-EG"/>
        </w:rPr>
        <w:t>الويبو هي المنتدى العالمي ل</w:t>
      </w:r>
      <w:r>
        <w:rPr>
          <w:rFonts w:hint="cs"/>
          <w:rtl/>
          <w:lang w:bidi="ar-EG"/>
        </w:rPr>
        <w:t>لخدمات والسياسات والمعلومات وأشكال التعاون المرتبطة بالملكية الفكرية. وهي إحدى الوكالات المتخصصة للأمم المتحدة وتضم 188 دولة عضواً.</w:t>
      </w:r>
    </w:p>
    <w:p w14:paraId="0F6EABE1" w14:textId="77777777" w:rsidR="007C2585" w:rsidRDefault="007C2585" w:rsidP="007C2585">
      <w:pPr>
        <w:pStyle w:val="NumberedParaAR"/>
        <w:rPr>
          <w:lang w:bidi="ar-EG"/>
        </w:rPr>
      </w:pPr>
      <w:r>
        <w:rPr>
          <w:rFonts w:hint="cs"/>
          <w:rtl/>
          <w:lang w:bidi="ar-EG"/>
        </w:rPr>
        <w:t>وتهدف المنظمة إلى</w:t>
      </w:r>
      <w:r w:rsidRPr="007C2585">
        <w:rPr>
          <w:rtl/>
          <w:lang w:bidi="ar-EG"/>
        </w:rPr>
        <w:t xml:space="preserve"> الاضطلاع بدور ريادي في وضع نظام دولي متوازن وفعال للملكية الفكرية يُفسِح المجال للابتكار والإبداع </w:t>
      </w:r>
      <w:r>
        <w:rPr>
          <w:rFonts w:hint="cs"/>
          <w:rtl/>
          <w:lang w:bidi="ar-EG"/>
        </w:rPr>
        <w:t>تحقيقاً للنمو الاقتصادي والاجتماعي الثقافي في جميع البلدان. وترد ولايتها</w:t>
      </w:r>
      <w:r w:rsidRPr="007C2585">
        <w:rPr>
          <w:rtl/>
          <w:lang w:bidi="ar-EG"/>
        </w:rPr>
        <w:t xml:space="preserve"> وهيئات</w:t>
      </w:r>
      <w:r>
        <w:rPr>
          <w:rFonts w:hint="cs"/>
          <w:rtl/>
          <w:lang w:bidi="ar-EG"/>
        </w:rPr>
        <w:t>ه</w:t>
      </w:r>
      <w:r w:rsidRPr="007C2585">
        <w:rPr>
          <w:rtl/>
          <w:lang w:bidi="ar-EG"/>
        </w:rPr>
        <w:t>ا الرئاسية وإجراءات</w:t>
      </w:r>
      <w:r>
        <w:rPr>
          <w:rFonts w:hint="cs"/>
          <w:rtl/>
          <w:lang w:bidi="ar-EG"/>
        </w:rPr>
        <w:t>ه</w:t>
      </w:r>
      <w:r w:rsidRPr="007C2585">
        <w:rPr>
          <w:rtl/>
          <w:lang w:bidi="ar-EG"/>
        </w:rPr>
        <w:t>ا التنظيمية في اتفاقية الويبو التي أنشئت بموجبها الويبو في عام 1967.</w:t>
      </w:r>
    </w:p>
    <w:p w14:paraId="23C4971B" w14:textId="77777777" w:rsidR="008976B4" w:rsidRDefault="008976B4" w:rsidP="008976B4">
      <w:pPr>
        <w:pStyle w:val="NumberedParaAR"/>
        <w:rPr>
          <w:lang w:bidi="ar-EG"/>
        </w:rPr>
      </w:pPr>
      <w:r>
        <w:rPr>
          <w:rFonts w:hint="cs"/>
          <w:rtl/>
          <w:lang w:bidi="ar-EG"/>
        </w:rPr>
        <w:t xml:space="preserve">وتحدد الدول الأعضاء توجه المنظمة وميزانيتها وأنشطتها من خلال الهيئتين الرئيسيتين لوضع السياسات وصنع القرارات في الويبو وهما الجمعية العامة ولجنة التنسيق. وتتألف الجمعية العامة من الدول الأطراف في </w:t>
      </w:r>
      <w:r w:rsidRPr="008976B4">
        <w:rPr>
          <w:rtl/>
          <w:lang w:bidi="ar-EG"/>
        </w:rPr>
        <w:t>اتفاقية الويبو الأعضاء في أي اتحاد تديره الويبو</w:t>
      </w:r>
      <w:r>
        <w:rPr>
          <w:rFonts w:hint="cs"/>
          <w:rtl/>
          <w:lang w:bidi="ar-EG"/>
        </w:rPr>
        <w:t xml:space="preserve">. وأما لجنة التنسيق فتتألف من </w:t>
      </w:r>
      <w:r w:rsidRPr="008976B4">
        <w:rPr>
          <w:rtl/>
          <w:lang w:bidi="ar-EG"/>
        </w:rPr>
        <w:t>في اللجنة التنفيذية لاتحاد باريس واللجنة التنفيذية لاتحاد برن</w:t>
      </w:r>
      <w:r>
        <w:rPr>
          <w:rFonts w:hint="cs"/>
          <w:rtl/>
          <w:lang w:bidi="ar-EG"/>
        </w:rPr>
        <w:t xml:space="preserve">، </w:t>
      </w:r>
      <w:r w:rsidRPr="008976B4">
        <w:rPr>
          <w:rtl/>
          <w:lang w:bidi="ar-EG"/>
        </w:rPr>
        <w:t>وربع عدد الدول الأطراف في اتفاقي</w:t>
      </w:r>
      <w:r>
        <w:rPr>
          <w:rtl/>
          <w:lang w:bidi="ar-EG"/>
        </w:rPr>
        <w:t>ة الويبو غير الأعضاء في أي اتحا</w:t>
      </w:r>
      <w:r>
        <w:rPr>
          <w:rFonts w:hint="cs"/>
          <w:rtl/>
          <w:lang w:bidi="ar-EG"/>
        </w:rPr>
        <w:t xml:space="preserve">د، </w:t>
      </w:r>
      <w:r w:rsidRPr="008976B4">
        <w:rPr>
          <w:rtl/>
          <w:lang w:bidi="ar-EG"/>
        </w:rPr>
        <w:t>وسويسرا، باعتبارها الدولة التي يقع مقر المنظمة في أراضيها</w:t>
      </w:r>
      <w:r>
        <w:rPr>
          <w:rFonts w:hint="cs"/>
          <w:rtl/>
          <w:lang w:bidi="ar-EG"/>
        </w:rPr>
        <w:t>.</w:t>
      </w:r>
    </w:p>
    <w:p w14:paraId="47E59B68" w14:textId="2BA3CB4A" w:rsidR="008976B4" w:rsidRDefault="008976B4" w:rsidP="008976B4">
      <w:pPr>
        <w:pStyle w:val="NumberedParaAR"/>
        <w:rPr>
          <w:lang w:bidi="ar-EG"/>
        </w:rPr>
      </w:pPr>
      <w:r>
        <w:rPr>
          <w:rFonts w:hint="cs"/>
          <w:rtl/>
          <w:lang w:bidi="ar-EG"/>
        </w:rPr>
        <w:t>وتعي</w:t>
      </w:r>
      <w:r w:rsidR="00877447">
        <w:rPr>
          <w:rFonts w:hint="cs"/>
          <w:rtl/>
          <w:lang w:bidi="ar-EG"/>
        </w:rPr>
        <w:t>ِّ</w:t>
      </w:r>
      <w:r>
        <w:rPr>
          <w:rFonts w:hint="cs"/>
          <w:rtl/>
          <w:lang w:bidi="ar-EG"/>
        </w:rPr>
        <w:t xml:space="preserve">ن الجمعية العامة المدير العام للويبو بناء على ترشيح لجنة التنسيق. ويعدّ المدير العام الرئيس التنفيذي للمنظمة. ويتلقى المدير العام مساعدة فريق الإدارة العليا (المؤلف من </w:t>
      </w:r>
      <w:r w:rsidRPr="008976B4">
        <w:rPr>
          <w:rtl/>
          <w:lang w:bidi="ar-EG"/>
        </w:rPr>
        <w:t>أربعة نواب وأربعة مساعدين للمدير العام</w:t>
      </w:r>
      <w:r>
        <w:rPr>
          <w:rFonts w:hint="cs"/>
          <w:rtl/>
          <w:lang w:bidi="ar-EG"/>
        </w:rPr>
        <w:t xml:space="preserve"> إضافة إلى المستشار القانوني ومدير إدارة الموارد البشرية) في توفير التوجه الاستراتيجي لبرامج الويبو وفي إدارة مختلف القطاعات والبرامج لضمان تحقيق النتائج بما يتماشى مع البرنامج والميزانية.</w:t>
      </w:r>
    </w:p>
    <w:p w14:paraId="4E87D240" w14:textId="77777777" w:rsidR="008976B4" w:rsidRDefault="008976B4" w:rsidP="008976B4">
      <w:pPr>
        <w:pStyle w:val="NumberedParaAR"/>
        <w:rPr>
          <w:lang w:bidi="ar-EG"/>
        </w:rPr>
      </w:pPr>
      <w:r>
        <w:rPr>
          <w:rFonts w:hint="cs"/>
          <w:rtl/>
          <w:lang w:bidi="ar-EG"/>
        </w:rPr>
        <w:t>وتدِّر الويبو غالبية إيراداتها من خدمات مدفوعة الرسوم توفرها لمستخدمي نظام التسجيل الدولي بناء على معاهدة التعاون بشأن البراءات أو نظامي مدريد ولاهاي. وفي عام 2014، ولدت رسوم هذه الأنشطة 91.0 بالمئة من إجمالي إيرادات المنظمة منها 75.2 بالمئة من رسوم نظام التسجيل بناء على معاهدة التعاون بشأن البراءات.</w:t>
      </w:r>
    </w:p>
    <w:p w14:paraId="4B99C98D" w14:textId="77777777" w:rsidR="004218AA" w:rsidRDefault="008976B4" w:rsidP="004218AA">
      <w:pPr>
        <w:pStyle w:val="NumberedParaAR"/>
        <w:rPr>
          <w:lang w:bidi="ar-EG"/>
        </w:rPr>
      </w:pPr>
      <w:r>
        <w:rPr>
          <w:rFonts w:hint="cs"/>
          <w:rtl/>
          <w:lang w:bidi="ar-EG"/>
        </w:rPr>
        <w:lastRenderedPageBreak/>
        <w:t xml:space="preserve">ويكمن دافع هذه الإيرادات التي تدرها الخدمات المدفوعة الرسوم في الطلب الدولي على </w:t>
      </w:r>
      <w:r w:rsidR="004218AA">
        <w:rPr>
          <w:rFonts w:hint="cs"/>
          <w:rtl/>
          <w:lang w:bidi="ar-EG"/>
        </w:rPr>
        <w:t xml:space="preserve">سندات الملكية الفكرية. ويتأثر مستوى الطلب بأداء الاقتصاد العالمي وإن تواصل نمو نشاط إيداع طلبات الحصول على سندات الملكية الفكرية على الصعيد العالمي منذ عام 2010 رغم تفاوت مستويات </w:t>
      </w:r>
      <w:r w:rsidR="004218AA" w:rsidRPr="004218AA">
        <w:rPr>
          <w:rtl/>
          <w:lang w:bidi="ar-EG"/>
        </w:rPr>
        <w:t xml:space="preserve">الانتعاش الاقتصادي </w:t>
      </w:r>
      <w:r w:rsidR="004218AA">
        <w:rPr>
          <w:rFonts w:hint="cs"/>
          <w:rtl/>
          <w:lang w:bidi="ar-EG"/>
        </w:rPr>
        <w:t>إثر</w:t>
      </w:r>
      <w:r w:rsidR="004218AA" w:rsidRPr="004218AA">
        <w:rPr>
          <w:rtl/>
          <w:lang w:bidi="ar-EG"/>
        </w:rPr>
        <w:t xml:space="preserve"> الأزمة المالية العالمية التي بدأت في عام 2008. </w:t>
      </w:r>
      <w:r w:rsidR="004218AA">
        <w:rPr>
          <w:rFonts w:hint="cs"/>
          <w:rtl/>
          <w:lang w:bidi="ar-EG"/>
        </w:rPr>
        <w:t xml:space="preserve">وقد تؤثر عوامل خارجية أخرى في إيرادات المنظمة من هذه الخدمات تشمل </w:t>
      </w:r>
      <w:r w:rsidR="004218AA" w:rsidRPr="004218AA">
        <w:rPr>
          <w:rtl/>
          <w:lang w:bidi="ar-EG"/>
        </w:rPr>
        <w:t>مستويات الاستثمار في أنشطة البحث والتطوير</w:t>
      </w:r>
      <w:r w:rsidR="004218AA">
        <w:rPr>
          <w:rFonts w:hint="cs"/>
          <w:rtl/>
          <w:lang w:bidi="ar-EG"/>
        </w:rPr>
        <w:t>،</w:t>
      </w:r>
      <w:r w:rsidR="004218AA" w:rsidRPr="004218AA">
        <w:rPr>
          <w:rtl/>
          <w:lang w:bidi="ar-EG"/>
        </w:rPr>
        <w:t xml:space="preserve"> ودرجا</w:t>
      </w:r>
      <w:r w:rsidR="004218AA">
        <w:rPr>
          <w:rtl/>
          <w:lang w:bidi="ar-EG"/>
        </w:rPr>
        <w:t>ت الثقة في التطورات التكنولوجية</w:t>
      </w:r>
      <w:r w:rsidR="004218AA">
        <w:rPr>
          <w:rFonts w:hint="cs"/>
          <w:rtl/>
          <w:lang w:bidi="ar-EG"/>
        </w:rPr>
        <w:t>،</w:t>
      </w:r>
      <w:r w:rsidR="004218AA" w:rsidRPr="004218AA">
        <w:rPr>
          <w:rtl/>
          <w:lang w:bidi="ar-EG"/>
        </w:rPr>
        <w:t xml:space="preserve"> وتقلبات أسعار الصرف</w:t>
      </w:r>
      <w:r w:rsidR="004218AA">
        <w:rPr>
          <w:rFonts w:hint="cs"/>
          <w:rtl/>
          <w:lang w:bidi="ar-EG"/>
        </w:rPr>
        <w:t xml:space="preserve">. وفيما يخص نظام معاهدة التعاون بشأن البراءات تحديداً، تشمل بعض العوامل الهامة الأخرى مستوى رسوم هذا النظام </w:t>
      </w:r>
      <w:r w:rsidR="004218AA" w:rsidRPr="004218AA">
        <w:rPr>
          <w:rtl/>
          <w:lang w:bidi="ar-EG"/>
        </w:rPr>
        <w:t>مقارنة بمسارات الإيداع الأخرى</w:t>
      </w:r>
      <w:r w:rsidR="004218AA">
        <w:rPr>
          <w:rFonts w:hint="cs"/>
          <w:rtl/>
          <w:lang w:bidi="ar-EG"/>
        </w:rPr>
        <w:t>،</w:t>
      </w:r>
      <w:r w:rsidR="004218AA" w:rsidRPr="004218AA">
        <w:rPr>
          <w:rtl/>
          <w:lang w:bidi="ar-EG"/>
        </w:rPr>
        <w:t xml:space="preserve"> ومدى الإقبال على خدمات معاهدة التعاون بشأن البراءات وقيمتها مقارنة بمسارات الإيداع الأخرى</w:t>
      </w:r>
      <w:r w:rsidR="004218AA">
        <w:rPr>
          <w:rFonts w:hint="cs"/>
          <w:rtl/>
          <w:lang w:bidi="ar-EG"/>
        </w:rPr>
        <w:t>،</w:t>
      </w:r>
      <w:r w:rsidR="004218AA" w:rsidRPr="004218AA">
        <w:rPr>
          <w:rtl/>
          <w:lang w:bidi="ar-EG"/>
        </w:rPr>
        <w:t xml:space="preserve"> واستراتيجيات فرادى الشركات في مجال البراءات</w:t>
      </w:r>
      <w:r w:rsidR="004218AA">
        <w:rPr>
          <w:rFonts w:hint="cs"/>
          <w:rtl/>
          <w:lang w:bidi="ar-EG"/>
        </w:rPr>
        <w:t>.</w:t>
      </w:r>
    </w:p>
    <w:p w14:paraId="65D5FA11" w14:textId="77777777" w:rsidR="004218AA" w:rsidRDefault="004218AA" w:rsidP="004218AA">
      <w:pPr>
        <w:keepNext/>
        <w:bidi/>
        <w:spacing w:after="240" w:line="360" w:lineRule="exact"/>
        <w:rPr>
          <w:rFonts w:ascii="Arabic Typesetting" w:hAnsi="Arabic Typesetting" w:cs="Arabic Typesetting"/>
          <w:b/>
          <w:bCs/>
          <w:sz w:val="36"/>
          <w:szCs w:val="36"/>
          <w:rtl/>
          <w:lang w:bidi="ar-EG"/>
        </w:rPr>
      </w:pPr>
      <w:r>
        <w:rPr>
          <w:rFonts w:ascii="Arabic Typesetting" w:hAnsi="Arabic Typesetting" w:cs="Arabic Typesetting" w:hint="cs"/>
          <w:b/>
          <w:bCs/>
          <w:sz w:val="36"/>
          <w:szCs w:val="36"/>
          <w:rtl/>
          <w:lang w:bidi="ar-EG"/>
        </w:rPr>
        <w:t>عرض الأهداف والاستراتيجيات المالية في الويبو</w:t>
      </w:r>
    </w:p>
    <w:p w14:paraId="5CE741D4" w14:textId="7E078704" w:rsidR="00D92EE7" w:rsidRDefault="00D92EE7" w:rsidP="000D4BE6">
      <w:pPr>
        <w:pStyle w:val="NumberedParaAR"/>
        <w:rPr>
          <w:lang w:bidi="ar-EG"/>
        </w:rPr>
      </w:pPr>
      <w:r>
        <w:rPr>
          <w:rFonts w:hint="cs"/>
          <w:rtl/>
          <w:lang w:bidi="ar-EG"/>
        </w:rPr>
        <w:t>تنظم الويبو أنشطتها المالية من خلال نظامها المالي الذي وافقت عليه الجمعية العامة.</w:t>
      </w:r>
      <w:r w:rsidRPr="00D92EE7">
        <w:rPr>
          <w:rtl/>
        </w:rPr>
        <w:t xml:space="preserve"> </w:t>
      </w:r>
      <w:r>
        <w:rPr>
          <w:rFonts w:hint="cs"/>
          <w:rtl/>
        </w:rPr>
        <w:t>وي</w:t>
      </w:r>
      <w:r w:rsidRPr="00D92EE7">
        <w:rPr>
          <w:rtl/>
          <w:lang w:bidi="ar-EG"/>
        </w:rPr>
        <w:t xml:space="preserve">ضع المدير العام اللائحة المالية </w:t>
      </w:r>
      <w:r w:rsidR="002B3DBD">
        <w:rPr>
          <w:rtl/>
          <w:lang w:bidi="ar-EG"/>
        </w:rPr>
        <w:t xml:space="preserve">وفقاً </w:t>
      </w:r>
      <w:r w:rsidRPr="00D92EE7">
        <w:rPr>
          <w:rtl/>
          <w:lang w:bidi="ar-EG"/>
        </w:rPr>
        <w:t>لأحكام النظام المالي</w:t>
      </w:r>
      <w:r>
        <w:rPr>
          <w:rFonts w:hint="cs"/>
          <w:rtl/>
          <w:lang w:bidi="ar-EG"/>
        </w:rPr>
        <w:t>. وتُخطَر</w:t>
      </w:r>
      <w:r w:rsidRPr="00D92EE7">
        <w:rPr>
          <w:rtl/>
          <w:lang w:bidi="ar-EG"/>
        </w:rPr>
        <w:t xml:space="preserve"> لجنة ال</w:t>
      </w:r>
      <w:r>
        <w:rPr>
          <w:rtl/>
          <w:lang w:bidi="ar-EG"/>
        </w:rPr>
        <w:t>برنامج والميزانية بأي تغيير ف</w:t>
      </w:r>
      <w:r>
        <w:rPr>
          <w:rFonts w:hint="cs"/>
          <w:rtl/>
          <w:lang w:bidi="ar-EG"/>
        </w:rPr>
        <w:t xml:space="preserve">ي النظام المالي. وتنظم اللائحة المالية جميع أنشطة الإدارة المالية في المنظمة. ويفوض المدير العام إلى المراقب المالي سلطة ومسؤولية تطبيق </w:t>
      </w:r>
      <w:r w:rsidR="000D4BE6">
        <w:rPr>
          <w:rFonts w:hint="cs"/>
          <w:rtl/>
          <w:lang w:bidi="ar-EG"/>
        </w:rPr>
        <w:t>النظام المالي ولائحته</w:t>
      </w:r>
      <w:r>
        <w:rPr>
          <w:rFonts w:hint="cs"/>
          <w:rtl/>
          <w:lang w:bidi="ar-EG"/>
        </w:rPr>
        <w:t>.</w:t>
      </w:r>
    </w:p>
    <w:p w14:paraId="2ED5522F" w14:textId="0FFB0F44" w:rsidR="00D92EE7" w:rsidRDefault="00D92EE7" w:rsidP="000D4BE6">
      <w:pPr>
        <w:pStyle w:val="NumberedParaAR"/>
        <w:rPr>
          <w:lang w:bidi="ar-EG"/>
        </w:rPr>
      </w:pPr>
      <w:r>
        <w:rPr>
          <w:rFonts w:hint="cs"/>
          <w:rtl/>
          <w:lang w:bidi="ar-EG"/>
        </w:rPr>
        <w:t>و</w:t>
      </w:r>
      <w:r w:rsidRPr="00D92EE7">
        <w:rPr>
          <w:rtl/>
          <w:lang w:bidi="ar-EG"/>
        </w:rPr>
        <w:t>يعرض المدير العام كل سنتين وثيقة البرنامج والميزانية على الدول الأعضاء كي توافق عليها.</w:t>
      </w:r>
      <w:r w:rsidR="000D4BE6">
        <w:rPr>
          <w:rtl/>
          <w:lang w:bidi="ar-EG"/>
        </w:rPr>
        <w:t xml:space="preserve"> </w:t>
      </w:r>
      <w:r w:rsidRPr="00D92EE7">
        <w:rPr>
          <w:rtl/>
          <w:lang w:bidi="ar-EG"/>
        </w:rPr>
        <w:t>وتتضمن الوثيقة التفاصيل عن الأهداف ومقاييس الأداء وخطة الميزانية لجميع أنشطة البرنامج المقترحة.</w:t>
      </w:r>
      <w:r>
        <w:rPr>
          <w:rFonts w:hint="cs"/>
          <w:rtl/>
          <w:lang w:bidi="ar-EG"/>
        </w:rPr>
        <w:t xml:space="preserve"> ووافقت جمعيات الدول الأعضاء في الويبو على البرنامج والميزانية للثنائية 15/2014 في 12 ديسمبر 2013. ويوفر البرنامج والميزانية الخطة المعتمدة للثنائية في إطار السياق الاستراتيجي العام للخطة الاستراتيجية المتوسطة الأجل.</w:t>
      </w:r>
    </w:p>
    <w:p w14:paraId="48BEABB1" w14:textId="311E1ECF" w:rsidR="00D92EE7" w:rsidRDefault="00E809C5" w:rsidP="000A5ACC">
      <w:pPr>
        <w:pStyle w:val="NumberedParaAR"/>
        <w:rPr>
          <w:rtl/>
          <w:lang w:bidi="ar-EG"/>
        </w:rPr>
      </w:pPr>
      <w:r>
        <w:rPr>
          <w:rFonts w:hint="cs"/>
          <w:rtl/>
          <w:lang w:bidi="ar-EG"/>
        </w:rPr>
        <w:t xml:space="preserve">وتعتمد المنظمة على نظام إدارة قائم على النتائج لضمان </w:t>
      </w:r>
      <w:r w:rsidRPr="00E809C5">
        <w:rPr>
          <w:rtl/>
          <w:lang w:bidi="ar-EG"/>
        </w:rPr>
        <w:t xml:space="preserve">ميزنة الموارد واستخدامها </w:t>
      </w:r>
      <w:r w:rsidR="002B3DBD">
        <w:rPr>
          <w:rtl/>
          <w:lang w:bidi="ar-EG"/>
        </w:rPr>
        <w:t xml:space="preserve">وفقاً </w:t>
      </w:r>
      <w:r w:rsidRPr="00E809C5">
        <w:rPr>
          <w:rtl/>
          <w:lang w:bidi="ar-EG"/>
        </w:rPr>
        <w:t xml:space="preserve">لنتائج المنظمة وأولوياتها. ويُقيَّم الأداء المؤسسي ويُحلّل بانتظام من خلال مؤشرات الأداء والأهداف وأسس المقارنة. </w:t>
      </w:r>
      <w:r>
        <w:rPr>
          <w:rFonts w:hint="cs"/>
          <w:rtl/>
          <w:lang w:bidi="ar-EG"/>
        </w:rPr>
        <w:t>وفي إطار هذا النظام، يعدّ البرنامج والميزانية والخطة الاستراتيجية المتوسطة الأجل جزءاً من إطار التخطيط في الويبو إضافة إلى خطط العمل السنوية وأهداف</w:t>
      </w:r>
      <w:r w:rsidRPr="00E809C5">
        <w:rPr>
          <w:rtl/>
          <w:lang w:bidi="ar-EG"/>
        </w:rPr>
        <w:t xml:space="preserve"> العمل الفردية للموظفين.</w:t>
      </w:r>
    </w:p>
    <w:p w14:paraId="55CD7E3D" w14:textId="2A2C2D19" w:rsidR="00E809C5" w:rsidRDefault="00E809C5" w:rsidP="00E809C5">
      <w:pPr>
        <w:pStyle w:val="NumberedParaAR"/>
        <w:rPr>
          <w:lang w:bidi="ar-EG"/>
        </w:rPr>
      </w:pPr>
      <w:r>
        <w:rPr>
          <w:rFonts w:hint="cs"/>
          <w:rtl/>
          <w:lang w:bidi="ar-EG"/>
        </w:rPr>
        <w:t xml:space="preserve">وتدير المنظمة مستويات الأموال الاحتياطية </w:t>
      </w:r>
      <w:r w:rsidR="002B3DBD">
        <w:rPr>
          <w:rFonts w:hint="cs"/>
          <w:rtl/>
          <w:lang w:bidi="ar-EG"/>
        </w:rPr>
        <w:t xml:space="preserve">وفقاً </w:t>
      </w:r>
      <w:r>
        <w:rPr>
          <w:rFonts w:hint="cs"/>
          <w:rtl/>
          <w:lang w:bidi="ar-EG"/>
        </w:rPr>
        <w:t>لسياستها الخاصة بالاحتياطيات. ومن العناصر الجوهرية لهذه السياسة آلية تحديد مستوى الاحتياطيات كنسبة مئوية من النفقات المقدرة للثنائية عن الاتحادات التي تديرها المنظمة. وترسي السياسة أيضاً مبادئ استخدام الاحتياطيات للنفقات من حيث رأس المال والمبادرات الاستراتيجية وتحدد آلية الموافقة على هذا الاستخدام.</w:t>
      </w:r>
    </w:p>
    <w:p w14:paraId="4770DB4D" w14:textId="2F03F235" w:rsidR="00E809C5" w:rsidRDefault="00E809C5" w:rsidP="00E809C5">
      <w:pPr>
        <w:pStyle w:val="NumberedParaAR"/>
        <w:rPr>
          <w:lang w:bidi="ar-EG"/>
        </w:rPr>
      </w:pPr>
      <w:r>
        <w:rPr>
          <w:rFonts w:hint="cs"/>
          <w:rtl/>
          <w:lang w:bidi="ar-EG"/>
        </w:rPr>
        <w:t xml:space="preserve">وتدير المنظمة استثماراتها </w:t>
      </w:r>
      <w:r w:rsidR="002B3DBD">
        <w:rPr>
          <w:rFonts w:hint="cs"/>
          <w:rtl/>
          <w:lang w:bidi="ar-EG"/>
        </w:rPr>
        <w:t xml:space="preserve">وفقاً </w:t>
      </w:r>
      <w:r>
        <w:rPr>
          <w:rFonts w:hint="cs"/>
          <w:rtl/>
          <w:lang w:bidi="ar-EG"/>
        </w:rPr>
        <w:t>لسياستها الخاصة بالاستثمار. وتنص هذه السياسة على أن الأهداف</w:t>
      </w:r>
      <w:r w:rsidRPr="00E809C5">
        <w:rPr>
          <w:rtl/>
          <w:lang w:bidi="ar-EG"/>
        </w:rPr>
        <w:t xml:space="preserve"> الرئيسية من إدارة المنظمة لاستثماراتها</w:t>
      </w:r>
      <w:r>
        <w:rPr>
          <w:rFonts w:hint="cs"/>
          <w:rtl/>
          <w:lang w:bidi="ar-EG"/>
        </w:rPr>
        <w:t xml:space="preserve"> م</w:t>
      </w:r>
      <w:r w:rsidRPr="00E809C5">
        <w:rPr>
          <w:rtl/>
          <w:lang w:bidi="ar-EG"/>
        </w:rPr>
        <w:t>رتبة فيما يلي حسب أهميتها: "1" صون رأس المال؛ "2" والسيولة؛ "3" ومعدل العائد مع مراعاة التقييدات الناجمة عن "1" و"2</w:t>
      </w:r>
      <w:r>
        <w:rPr>
          <w:rtl/>
          <w:lang w:bidi="ar-EG"/>
        </w:rPr>
        <w:t>"</w:t>
      </w:r>
      <w:r>
        <w:rPr>
          <w:rFonts w:hint="cs"/>
          <w:rtl/>
          <w:lang w:bidi="ar-EG"/>
        </w:rPr>
        <w:t>.</w:t>
      </w:r>
    </w:p>
    <w:p w14:paraId="4F99FD73" w14:textId="77777777" w:rsidR="00E16243" w:rsidRPr="00F17073" w:rsidRDefault="00E16243" w:rsidP="00F17073">
      <w:pPr>
        <w:keepNext/>
        <w:bidi/>
        <w:spacing w:after="240" w:line="360" w:lineRule="exact"/>
        <w:rPr>
          <w:rFonts w:ascii="Arabic Typesetting" w:hAnsi="Arabic Typesetting" w:cs="Arabic Typesetting"/>
          <w:b/>
          <w:bCs/>
          <w:sz w:val="36"/>
          <w:szCs w:val="36"/>
          <w:rtl/>
          <w:lang w:bidi="ar-EG"/>
        </w:rPr>
      </w:pPr>
      <w:r w:rsidRPr="00F17073">
        <w:rPr>
          <w:rFonts w:ascii="Arabic Typesetting" w:hAnsi="Arabic Typesetting" w:cs="Arabic Typesetting" w:hint="cs"/>
          <w:b/>
          <w:bCs/>
          <w:sz w:val="36"/>
          <w:szCs w:val="36"/>
          <w:rtl/>
          <w:lang w:bidi="ar-EG"/>
        </w:rPr>
        <w:t>عرض البيانات المالية</w:t>
      </w:r>
    </w:p>
    <w:p w14:paraId="619D14DE" w14:textId="67ABC099" w:rsidR="00E16243" w:rsidRDefault="00E16243" w:rsidP="00E16243">
      <w:pPr>
        <w:pStyle w:val="NumberedParaAR"/>
        <w:rPr>
          <w:lang w:bidi="ar-EG"/>
        </w:rPr>
      </w:pPr>
      <w:r>
        <w:rPr>
          <w:rFonts w:hint="cs"/>
          <w:rtl/>
          <w:lang w:bidi="ar-EG"/>
        </w:rPr>
        <w:t xml:space="preserve">تتألف البيانات المالية المعدة </w:t>
      </w:r>
      <w:r w:rsidR="002B3DBD">
        <w:rPr>
          <w:rFonts w:hint="cs"/>
          <w:rtl/>
          <w:lang w:bidi="ar-EG"/>
        </w:rPr>
        <w:t xml:space="preserve">وفقاً </w:t>
      </w:r>
      <w:r>
        <w:rPr>
          <w:rFonts w:hint="cs"/>
          <w:rtl/>
          <w:lang w:bidi="ar-EG"/>
        </w:rPr>
        <w:t>للمعايير المحاسبية الدولية للقطاع العام مما يلي:</w:t>
      </w:r>
    </w:p>
    <w:p w14:paraId="62367EA9" w14:textId="77777777" w:rsidR="00E16243" w:rsidRDefault="00E16243" w:rsidP="000A5ACC">
      <w:pPr>
        <w:pStyle w:val="NumberedParaAR"/>
        <w:numPr>
          <w:ilvl w:val="0"/>
          <w:numId w:val="6"/>
        </w:numPr>
        <w:rPr>
          <w:lang w:bidi="ar-EG"/>
        </w:rPr>
      </w:pPr>
      <w:r w:rsidRPr="00042C97">
        <w:rPr>
          <w:rFonts w:hint="cs"/>
          <w:u w:val="single"/>
          <w:rtl/>
          <w:lang w:bidi="ar-EG"/>
        </w:rPr>
        <w:t>بيان الوضع المالي</w:t>
      </w:r>
      <w:r>
        <w:rPr>
          <w:rFonts w:hint="cs"/>
          <w:rtl/>
          <w:lang w:bidi="ar-EG"/>
        </w:rPr>
        <w:t xml:space="preserve"> </w:t>
      </w:r>
      <w:r>
        <w:rPr>
          <w:rtl/>
          <w:lang w:bidi="ar-EG"/>
        </w:rPr>
        <w:t>–</w:t>
      </w:r>
      <w:r>
        <w:rPr>
          <w:rFonts w:hint="cs"/>
          <w:rtl/>
          <w:lang w:bidi="ar-EG"/>
        </w:rPr>
        <w:t xml:space="preserve"> وهو يعرض تفاصيل صافي الأصول (الفرق بين مجموع الأصول ومجموع الخصوم) في المنظمة. ويوفر هذا البيان معلومات عن القوة المالية للمنظمة، والموارد المتاحة لدعم أهدافها في المستقبل؛</w:t>
      </w:r>
    </w:p>
    <w:p w14:paraId="5FA5F674" w14:textId="5C939C30" w:rsidR="00E16243" w:rsidRDefault="00E16243" w:rsidP="000D4BE6">
      <w:pPr>
        <w:pStyle w:val="NumberedParaAR"/>
        <w:numPr>
          <w:ilvl w:val="0"/>
          <w:numId w:val="6"/>
        </w:numPr>
        <w:rPr>
          <w:lang w:bidi="ar-EG"/>
        </w:rPr>
      </w:pPr>
      <w:r w:rsidRPr="00042C97">
        <w:rPr>
          <w:rFonts w:hint="cs"/>
          <w:rtl/>
        </w:rPr>
        <w:lastRenderedPageBreak/>
        <w:t>و</w:t>
      </w:r>
      <w:r w:rsidRPr="00042C97">
        <w:rPr>
          <w:rFonts w:hint="cs"/>
          <w:u w:val="single"/>
          <w:rtl/>
        </w:rPr>
        <w:t>بيان الأداء المالي</w:t>
      </w:r>
      <w:r w:rsidRPr="001A6683">
        <w:rPr>
          <w:rFonts w:hint="cs"/>
          <w:rtl/>
          <w:lang w:bidi="ar-EG"/>
        </w:rPr>
        <w:t xml:space="preserve"> </w:t>
      </w:r>
      <w:r>
        <w:rPr>
          <w:rtl/>
          <w:lang w:bidi="ar-EG"/>
        </w:rPr>
        <w:t>–</w:t>
      </w:r>
      <w:r>
        <w:rPr>
          <w:rFonts w:hint="cs"/>
          <w:rtl/>
          <w:lang w:bidi="ar-EG"/>
        </w:rPr>
        <w:t xml:space="preserve"> وهو يقيس صافي الفائض أو العجز (الفرق بين مجموع الإيرادات ومجموع المصروفات) في كل سنة. ويوفر هذا البيان معلومات عن مصادر إيرادات المنظمة وتكلفة أنشطتها. و</w:t>
      </w:r>
      <w:r w:rsidR="000D4BE6">
        <w:rPr>
          <w:rFonts w:hint="cs"/>
          <w:rtl/>
          <w:lang w:bidi="ar-EG"/>
        </w:rPr>
        <w:t>يُ</w:t>
      </w:r>
      <w:r>
        <w:rPr>
          <w:rFonts w:hint="cs"/>
          <w:rtl/>
          <w:lang w:bidi="ar-EG"/>
        </w:rPr>
        <w:t>عرض الفائض أو</w:t>
      </w:r>
      <w:r>
        <w:rPr>
          <w:rFonts w:hint="eastAsia"/>
          <w:rtl/>
          <w:lang w:bidi="ar-EG"/>
        </w:rPr>
        <w:t> </w:t>
      </w:r>
      <w:r>
        <w:rPr>
          <w:rFonts w:hint="cs"/>
          <w:rtl/>
          <w:lang w:bidi="ar-EG"/>
        </w:rPr>
        <w:t xml:space="preserve">العجز السنوي على </w:t>
      </w:r>
      <w:r w:rsidR="00FD2528">
        <w:rPr>
          <w:rFonts w:hint="cs"/>
          <w:rtl/>
          <w:lang w:bidi="ar-EG"/>
        </w:rPr>
        <w:t xml:space="preserve">أساس </w:t>
      </w:r>
      <w:r>
        <w:rPr>
          <w:rFonts w:hint="cs"/>
          <w:rtl/>
          <w:lang w:bidi="ar-EG"/>
        </w:rPr>
        <w:t>الاس</w:t>
      </w:r>
      <w:r w:rsidR="000D4BE6">
        <w:rPr>
          <w:rFonts w:hint="cs"/>
          <w:rtl/>
          <w:lang w:bidi="ar-EG"/>
        </w:rPr>
        <w:t>تحقاق الكامل في المحاسبة، أي أن</w:t>
      </w:r>
      <w:r>
        <w:rPr>
          <w:rFonts w:hint="cs"/>
          <w:rtl/>
          <w:lang w:bidi="ar-EG"/>
        </w:rPr>
        <w:t xml:space="preserve"> </w:t>
      </w:r>
      <w:r w:rsidR="000D4BE6">
        <w:rPr>
          <w:rFonts w:hint="cs"/>
          <w:rtl/>
          <w:lang w:bidi="ar-EG"/>
        </w:rPr>
        <w:t>الإيرادات تقيّد</w:t>
      </w:r>
      <w:r>
        <w:rPr>
          <w:rFonts w:hint="cs"/>
          <w:rtl/>
          <w:lang w:bidi="ar-EG"/>
        </w:rPr>
        <w:t xml:space="preserve"> في الفترة التي </w:t>
      </w:r>
      <w:r w:rsidR="000D4BE6">
        <w:rPr>
          <w:rFonts w:hint="cs"/>
          <w:rtl/>
          <w:lang w:bidi="ar-EG"/>
        </w:rPr>
        <w:t>تُ</w:t>
      </w:r>
      <w:r>
        <w:rPr>
          <w:rFonts w:hint="cs"/>
          <w:rtl/>
          <w:lang w:bidi="ar-EG"/>
        </w:rPr>
        <w:t>كتسب فيها و</w:t>
      </w:r>
      <w:r w:rsidR="000D4BE6">
        <w:rPr>
          <w:rFonts w:hint="cs"/>
          <w:rtl/>
          <w:lang w:bidi="ar-EG"/>
        </w:rPr>
        <w:t xml:space="preserve">تقيّد </w:t>
      </w:r>
      <w:r>
        <w:rPr>
          <w:rFonts w:hint="cs"/>
          <w:rtl/>
          <w:lang w:bidi="ar-EG"/>
        </w:rPr>
        <w:t xml:space="preserve">المصروفات في الفترة التي </w:t>
      </w:r>
      <w:r w:rsidR="000D4BE6">
        <w:rPr>
          <w:rFonts w:hint="cs"/>
          <w:rtl/>
          <w:lang w:bidi="ar-EG"/>
        </w:rPr>
        <w:t>تُتحمل فيها</w:t>
      </w:r>
      <w:r>
        <w:rPr>
          <w:rFonts w:hint="cs"/>
          <w:rtl/>
          <w:lang w:bidi="ar-EG"/>
        </w:rPr>
        <w:t>، بصرف النظر عن وقت تلقي مبالغها النقدية أو</w:t>
      </w:r>
      <w:r>
        <w:rPr>
          <w:rFonts w:hint="eastAsia"/>
          <w:rtl/>
          <w:lang w:bidi="ar-EG"/>
        </w:rPr>
        <w:t> </w:t>
      </w:r>
      <w:r>
        <w:rPr>
          <w:rFonts w:hint="cs"/>
          <w:rtl/>
          <w:lang w:bidi="ar-EG"/>
        </w:rPr>
        <w:t>دفعها؛</w:t>
      </w:r>
    </w:p>
    <w:p w14:paraId="7CECB0E8" w14:textId="77777777" w:rsidR="00E16243" w:rsidRDefault="00E16243" w:rsidP="000A5ACC">
      <w:pPr>
        <w:pStyle w:val="NumberedParaAR"/>
        <w:numPr>
          <w:ilvl w:val="0"/>
          <w:numId w:val="6"/>
        </w:numPr>
        <w:rPr>
          <w:lang w:bidi="ar-EG"/>
        </w:rPr>
      </w:pPr>
      <w:r w:rsidRPr="00042C97">
        <w:rPr>
          <w:rFonts w:hint="cs"/>
          <w:rtl/>
        </w:rPr>
        <w:t>و</w:t>
      </w:r>
      <w:r w:rsidRPr="00042C97">
        <w:rPr>
          <w:rFonts w:hint="cs"/>
          <w:u w:val="single"/>
          <w:rtl/>
        </w:rPr>
        <w:t>بيان التغييرات في صافي الأصول</w:t>
      </w:r>
      <w:r w:rsidRPr="001A6683">
        <w:rPr>
          <w:rFonts w:hint="cs"/>
          <w:rtl/>
          <w:lang w:bidi="ar-EG"/>
        </w:rPr>
        <w:t xml:space="preserve"> </w:t>
      </w:r>
      <w:r>
        <w:rPr>
          <w:rtl/>
          <w:lang w:bidi="ar-EG"/>
        </w:rPr>
        <w:t>–</w:t>
      </w:r>
      <w:r>
        <w:rPr>
          <w:rFonts w:hint="cs"/>
          <w:rtl/>
          <w:lang w:bidi="ar-EG"/>
        </w:rPr>
        <w:t xml:space="preserve"> وهو يحدد التغير في وضع صافي الأصول خلال العام. ويوضح هذا البيان مصادر التغيرات في الوضع المالي العام للمنظمة، بما في ذلك التغيرات الراجعة إلى الفائض أو العجز المتحقق خلال الفترة؛</w:t>
      </w:r>
    </w:p>
    <w:p w14:paraId="1F4B9C49" w14:textId="77777777" w:rsidR="00E16243" w:rsidRDefault="00E16243" w:rsidP="000A5ACC">
      <w:pPr>
        <w:pStyle w:val="NumberedParaAR"/>
        <w:numPr>
          <w:ilvl w:val="0"/>
          <w:numId w:val="6"/>
        </w:numPr>
        <w:rPr>
          <w:lang w:bidi="ar-EG"/>
        </w:rPr>
      </w:pPr>
      <w:r w:rsidRPr="00042C97">
        <w:rPr>
          <w:rFonts w:hint="cs"/>
          <w:rtl/>
        </w:rPr>
        <w:t>و</w:t>
      </w:r>
      <w:r w:rsidRPr="00042C97">
        <w:rPr>
          <w:rFonts w:hint="cs"/>
          <w:u w:val="single"/>
          <w:rtl/>
        </w:rPr>
        <w:t>بيان التدفق النقدي</w:t>
      </w:r>
      <w:r w:rsidRPr="001A6683">
        <w:rPr>
          <w:rFonts w:hint="cs"/>
          <w:rtl/>
        </w:rPr>
        <w:t xml:space="preserve"> </w:t>
      </w:r>
      <w:r>
        <w:rPr>
          <w:rtl/>
        </w:rPr>
        <w:t>–</w:t>
      </w:r>
      <w:r>
        <w:rPr>
          <w:rFonts w:hint="cs"/>
          <w:rtl/>
        </w:rPr>
        <w:t xml:space="preserve"> وهو يعرض التحركات النقدية التي حدثت خلال العام والناجمة عن أنشطة التشغيل والاستثمار والتمويل. ويوفر هذا البيان معلومات عن كيفية توليد النقدية واستخدامها أثناء العام، بما في ذلك الاقتراض والقروض المستردة وشراء أصول ثابتة والتخلص منها. وعلى وجه النقيض مع بيان الأداء المالي، يقيس التدفق النقدي الصافي للمنظمة الفرق بين النقدية الداخلة إلى المنظمة والنقدية الخارجة منها؛</w:t>
      </w:r>
    </w:p>
    <w:p w14:paraId="32B7547E" w14:textId="4840EA20" w:rsidR="00E16243" w:rsidRDefault="00E16243" w:rsidP="000D4BE6">
      <w:pPr>
        <w:pStyle w:val="NumberedParaAR"/>
        <w:numPr>
          <w:ilvl w:val="0"/>
          <w:numId w:val="6"/>
        </w:numPr>
        <w:rPr>
          <w:lang w:bidi="ar-EG"/>
        </w:rPr>
      </w:pPr>
      <w:r w:rsidRPr="00042C97">
        <w:rPr>
          <w:rFonts w:hint="cs"/>
          <w:rtl/>
        </w:rPr>
        <w:t>و</w:t>
      </w:r>
      <w:r w:rsidRPr="00042C97">
        <w:rPr>
          <w:rFonts w:hint="cs"/>
          <w:u w:val="single"/>
          <w:rtl/>
        </w:rPr>
        <w:t>بيان مقارنة المبالغ المدرجة في الميزانية والمبالغ الفعلية</w:t>
      </w:r>
      <w:r w:rsidRPr="001A6683">
        <w:rPr>
          <w:rFonts w:hint="cs"/>
          <w:rtl/>
          <w:lang w:bidi="ar-EG"/>
        </w:rPr>
        <w:t xml:space="preserve"> </w:t>
      </w:r>
      <w:r>
        <w:rPr>
          <w:rtl/>
          <w:lang w:bidi="ar-EG"/>
        </w:rPr>
        <w:t>–</w:t>
      </w:r>
      <w:r>
        <w:rPr>
          <w:rFonts w:hint="cs"/>
          <w:rtl/>
          <w:lang w:bidi="ar-EG"/>
        </w:rPr>
        <w:t xml:space="preserve"> وهو يعرض مقارنة بين المبالغ المدرجة في وثيقة البرنامج والميزانية، والمبالغ الفعلية للسنة. و</w:t>
      </w:r>
      <w:r w:rsidR="000D4BE6">
        <w:rPr>
          <w:rFonts w:hint="cs"/>
          <w:rtl/>
          <w:lang w:bidi="ar-EG"/>
        </w:rPr>
        <w:t>يعدّ</w:t>
      </w:r>
      <w:r>
        <w:rPr>
          <w:rFonts w:hint="cs"/>
          <w:rtl/>
          <w:lang w:bidi="ar-EG"/>
        </w:rPr>
        <w:t xml:space="preserve"> هذا البيان بناء على ال</w:t>
      </w:r>
      <w:r w:rsidR="00FD2528">
        <w:rPr>
          <w:rFonts w:hint="cs"/>
          <w:rtl/>
          <w:lang w:bidi="ar-EG"/>
        </w:rPr>
        <w:t xml:space="preserve">أساس </w:t>
      </w:r>
      <w:r>
        <w:rPr>
          <w:rFonts w:hint="cs"/>
          <w:rtl/>
          <w:lang w:bidi="ar-EG"/>
        </w:rPr>
        <w:t xml:space="preserve">المستخدم في الميزانية، وهو </w:t>
      </w:r>
      <w:r w:rsidR="00FD2528">
        <w:rPr>
          <w:rFonts w:hint="cs"/>
          <w:rtl/>
          <w:lang w:bidi="ar-EG"/>
        </w:rPr>
        <w:t xml:space="preserve">أساس </w:t>
      </w:r>
      <w:r>
        <w:rPr>
          <w:rFonts w:hint="cs"/>
          <w:rtl/>
          <w:lang w:bidi="ar-EG"/>
        </w:rPr>
        <w:t>الاستحقاق المعدل. وهو يوفر معلومات عن مدى مطابقة الموارد من حيث الحصول عليها واستخدامها للميزانية المعتمدة؛</w:t>
      </w:r>
    </w:p>
    <w:p w14:paraId="3E31338D" w14:textId="18FDAECE" w:rsidR="00E16243" w:rsidRDefault="00E16243" w:rsidP="000D4BE6">
      <w:pPr>
        <w:pStyle w:val="NumberedParaAR"/>
        <w:numPr>
          <w:ilvl w:val="0"/>
          <w:numId w:val="6"/>
        </w:numPr>
        <w:rPr>
          <w:lang w:bidi="ar-EG"/>
        </w:rPr>
      </w:pPr>
      <w:r w:rsidRPr="00042C97">
        <w:rPr>
          <w:rFonts w:hint="cs"/>
          <w:rtl/>
        </w:rPr>
        <w:t>و</w:t>
      </w:r>
      <w:r w:rsidRPr="00042C97">
        <w:rPr>
          <w:rFonts w:hint="cs"/>
          <w:u w:val="single"/>
          <w:rtl/>
        </w:rPr>
        <w:t>ملاحظات على البيانات المالية</w:t>
      </w:r>
      <w:r>
        <w:rPr>
          <w:rFonts w:hint="cs"/>
          <w:rtl/>
          <w:lang w:bidi="ar-EG"/>
        </w:rPr>
        <w:t xml:space="preserve"> </w:t>
      </w:r>
      <w:r>
        <w:rPr>
          <w:rtl/>
          <w:lang w:bidi="ar-EG"/>
        </w:rPr>
        <w:t>–</w:t>
      </w:r>
      <w:r>
        <w:rPr>
          <w:rFonts w:hint="cs"/>
          <w:rtl/>
          <w:lang w:bidi="ar-EG"/>
        </w:rPr>
        <w:t xml:space="preserve"> وهي تساعد في فهم البيانات المالية الرئيسية. وتتضمن ملخصا</w:t>
      </w:r>
      <w:r w:rsidR="000D4BE6">
        <w:rPr>
          <w:rFonts w:hint="cs"/>
          <w:rtl/>
          <w:lang w:bidi="ar-EG"/>
        </w:rPr>
        <w:t>ً</w:t>
      </w:r>
      <w:r>
        <w:rPr>
          <w:rFonts w:hint="cs"/>
          <w:rtl/>
          <w:lang w:bidi="ar-EG"/>
        </w:rPr>
        <w:t xml:space="preserve"> لأهم السياسات المحاسبية ومعلومات تفسيرية أخرى. </w:t>
      </w:r>
      <w:r w:rsidR="000D4BE6">
        <w:rPr>
          <w:rFonts w:hint="cs"/>
          <w:rtl/>
          <w:lang w:bidi="ar-EG"/>
        </w:rPr>
        <w:t>و</w:t>
      </w:r>
      <w:r>
        <w:rPr>
          <w:rFonts w:hint="cs"/>
          <w:rtl/>
          <w:lang w:bidi="ar-EG"/>
        </w:rPr>
        <w:t xml:space="preserve">تكشف </w:t>
      </w:r>
      <w:r w:rsidR="000D4BE6">
        <w:rPr>
          <w:rFonts w:hint="cs"/>
          <w:rtl/>
          <w:lang w:bidi="ar-EG"/>
        </w:rPr>
        <w:t xml:space="preserve">أيضاً </w:t>
      </w:r>
      <w:r>
        <w:rPr>
          <w:rFonts w:hint="cs"/>
          <w:rtl/>
          <w:lang w:bidi="ar-EG"/>
        </w:rPr>
        <w:t>عن معلومات تتطلبها المعايير المحاسبية الدولية للقطاع العام ولا تظهر على صفحات البيانات المالية الرئيسية.</w:t>
      </w:r>
    </w:p>
    <w:p w14:paraId="00937088" w14:textId="77777777" w:rsidR="00E16243" w:rsidRPr="00F17073" w:rsidRDefault="00E16243" w:rsidP="00F17073">
      <w:pPr>
        <w:keepNext/>
        <w:bidi/>
        <w:spacing w:after="240" w:line="360" w:lineRule="exact"/>
        <w:rPr>
          <w:rFonts w:ascii="Arabic Typesetting" w:hAnsi="Arabic Typesetting" w:cs="Arabic Typesetting"/>
          <w:b/>
          <w:bCs/>
          <w:sz w:val="36"/>
          <w:szCs w:val="36"/>
          <w:rtl/>
          <w:lang w:bidi="ar-EG"/>
        </w:rPr>
      </w:pPr>
      <w:r w:rsidRPr="00F17073">
        <w:rPr>
          <w:rFonts w:ascii="Arabic Typesetting" w:hAnsi="Arabic Typesetting" w:cs="Arabic Typesetting" w:hint="cs"/>
          <w:b/>
          <w:bCs/>
          <w:sz w:val="36"/>
          <w:szCs w:val="36"/>
          <w:rtl/>
          <w:lang w:bidi="ar-EG"/>
        </w:rPr>
        <w:t>أبرز معالم البيانات المالية</w:t>
      </w:r>
    </w:p>
    <w:p w14:paraId="3350CFBF" w14:textId="3CBB23D1" w:rsidR="00E16243" w:rsidRDefault="00E16243" w:rsidP="000D4BE6">
      <w:pPr>
        <w:pStyle w:val="NumberedParaAR"/>
        <w:rPr>
          <w:lang w:bidi="ar-EG"/>
        </w:rPr>
      </w:pPr>
      <w:r>
        <w:rPr>
          <w:rFonts w:hint="cs"/>
          <w:rtl/>
          <w:lang w:bidi="ar-EG"/>
        </w:rPr>
        <w:t>توضح بيانات الويبو المالية ل</w:t>
      </w:r>
      <w:r w:rsidR="00E809C5">
        <w:rPr>
          <w:rFonts w:hint="cs"/>
          <w:rtl/>
          <w:lang w:bidi="ar-EG"/>
        </w:rPr>
        <w:t>سنة</w:t>
      </w:r>
      <w:r>
        <w:rPr>
          <w:rFonts w:hint="cs"/>
          <w:rtl/>
          <w:lang w:bidi="ar-EG"/>
        </w:rPr>
        <w:t xml:space="preserve"> </w:t>
      </w:r>
      <w:r w:rsidR="00E809C5">
        <w:rPr>
          <w:rFonts w:hint="cs"/>
          <w:rtl/>
          <w:lang w:bidi="ar-EG"/>
        </w:rPr>
        <w:t>2014</w:t>
      </w:r>
      <w:r>
        <w:rPr>
          <w:rFonts w:hint="cs"/>
          <w:rtl/>
          <w:lang w:bidi="ar-EG"/>
        </w:rPr>
        <w:t xml:space="preserve"> والتي أعدت </w:t>
      </w:r>
      <w:r w:rsidR="002B3DBD">
        <w:rPr>
          <w:rFonts w:hint="cs"/>
          <w:rtl/>
          <w:lang w:bidi="ar-EG"/>
        </w:rPr>
        <w:t xml:space="preserve">وفقاً </w:t>
      </w:r>
      <w:r>
        <w:rPr>
          <w:rFonts w:hint="cs"/>
          <w:rtl/>
          <w:lang w:bidi="ar-EG"/>
        </w:rPr>
        <w:t>للمعايير المحاسبية الدولية للقطاع العام أن هناك فائضا</w:t>
      </w:r>
      <w:r w:rsidR="00E809C5">
        <w:rPr>
          <w:rFonts w:hint="cs"/>
          <w:rtl/>
          <w:lang w:bidi="ar-EG"/>
        </w:rPr>
        <w:t>ً</w:t>
      </w:r>
      <w:r>
        <w:rPr>
          <w:rFonts w:hint="cs"/>
          <w:rtl/>
          <w:lang w:bidi="ar-EG"/>
        </w:rPr>
        <w:t xml:space="preserve"> قدره </w:t>
      </w:r>
      <w:r w:rsidR="00E809C5">
        <w:rPr>
          <w:rFonts w:hint="cs"/>
          <w:rtl/>
          <w:lang w:bidi="ar-EG"/>
        </w:rPr>
        <w:t>37</w:t>
      </w:r>
      <w:r>
        <w:rPr>
          <w:rFonts w:hint="cs"/>
          <w:rtl/>
          <w:lang w:bidi="ar-EG"/>
        </w:rPr>
        <w:t xml:space="preserve"> مليون فرنك سويسري تحقق ذلك العام، وأن صافي أصول </w:t>
      </w:r>
      <w:r w:rsidR="00E87395">
        <w:rPr>
          <w:rFonts w:hint="cs"/>
          <w:rtl/>
          <w:lang w:bidi="ar-EG"/>
        </w:rPr>
        <w:t xml:space="preserve">المنظمة </w:t>
      </w:r>
      <w:r w:rsidR="00554D34">
        <w:rPr>
          <w:rFonts w:hint="cs"/>
          <w:rtl/>
          <w:lang w:bidi="ar-EG"/>
        </w:rPr>
        <w:t>بلغت</w:t>
      </w:r>
      <w:r w:rsidR="00E809C5">
        <w:rPr>
          <w:rFonts w:hint="cs"/>
          <w:rtl/>
          <w:lang w:bidi="ar-EG"/>
        </w:rPr>
        <w:t xml:space="preserve"> 245.8</w:t>
      </w:r>
      <w:r>
        <w:rPr>
          <w:rFonts w:hint="cs"/>
          <w:rtl/>
          <w:lang w:bidi="ar-EG"/>
        </w:rPr>
        <w:t xml:space="preserve"> مليون فرنك سويسري في 31</w:t>
      </w:r>
      <w:r w:rsidR="000D4BE6">
        <w:rPr>
          <w:rFonts w:hint="eastAsia"/>
          <w:rtl/>
          <w:lang w:bidi="ar-EG"/>
        </w:rPr>
        <w:t> </w:t>
      </w:r>
      <w:r>
        <w:rPr>
          <w:rFonts w:hint="cs"/>
          <w:rtl/>
          <w:lang w:bidi="ar-EG"/>
        </w:rPr>
        <w:t xml:space="preserve">ديسمبر </w:t>
      </w:r>
      <w:r w:rsidR="00E809C5">
        <w:rPr>
          <w:rFonts w:hint="cs"/>
          <w:rtl/>
          <w:lang w:bidi="ar-EG"/>
        </w:rPr>
        <w:t>2014</w:t>
      </w:r>
      <w:r>
        <w:rPr>
          <w:rFonts w:hint="cs"/>
          <w:rtl/>
          <w:lang w:bidi="ar-EG"/>
        </w:rPr>
        <w:t>.</w:t>
      </w:r>
    </w:p>
    <w:p w14:paraId="3E3EB106" w14:textId="5CACCA39" w:rsidR="00E809C5" w:rsidRDefault="00E809C5" w:rsidP="00DD5B3E">
      <w:pPr>
        <w:pStyle w:val="NumberedParaAR"/>
        <w:rPr>
          <w:lang w:bidi="ar-EG"/>
        </w:rPr>
      </w:pPr>
      <w:r>
        <w:rPr>
          <w:rFonts w:hint="cs"/>
          <w:rtl/>
          <w:lang w:bidi="ar-EG"/>
        </w:rPr>
        <w:t xml:space="preserve">ويمكن مقارنة فائض عام 2014 البالغ 37 مليون فرنك سويسري بفائض عام 2013 البالغ 15.1 مليون فرنك سويسري. فقد ازداد إجمالي </w:t>
      </w:r>
      <w:r w:rsidR="00870B60">
        <w:rPr>
          <w:rFonts w:hint="cs"/>
          <w:rtl/>
          <w:lang w:bidi="ar-EG"/>
        </w:rPr>
        <w:t>الإيرادات لعام 2014 بمبلغ قدره 18.6 مليون فرنك سويسري مقارنة بعام 2013، ويعزى ذلك أساساً إلى زيادة قدرها 21.1 مليون فرنك سويسري في إيرادات رسوم نظام معاهدة التعاون بشأن البراءات انخفضت جزئياً نظراً إلى ما شهدته الإيرادات النثرية/الأخرى من انخفاض قدره 3.2 مليون فرنك سويسري. وشهد إجمالي المصروفات انخفاضاً قدره 3.3 مليون فرنك سويسري مقارنة بعام 2013. و</w:t>
      </w:r>
      <w:r w:rsidR="00656672">
        <w:rPr>
          <w:rFonts w:hint="cs"/>
          <w:rtl/>
          <w:lang w:bidi="ar-EG"/>
        </w:rPr>
        <w:t>على ال</w:t>
      </w:r>
      <w:r w:rsidR="00870B60">
        <w:rPr>
          <w:rFonts w:hint="cs"/>
          <w:rtl/>
          <w:lang w:bidi="ar-EG"/>
        </w:rPr>
        <w:t>رغم</w:t>
      </w:r>
      <w:r w:rsidR="00656672">
        <w:rPr>
          <w:rFonts w:hint="cs"/>
          <w:rtl/>
          <w:lang w:bidi="ar-EG"/>
        </w:rPr>
        <w:t xml:space="preserve"> من</w:t>
      </w:r>
      <w:r w:rsidR="00870B60">
        <w:rPr>
          <w:rFonts w:hint="cs"/>
          <w:rtl/>
          <w:lang w:bidi="ar-EG"/>
        </w:rPr>
        <w:t xml:space="preserve"> أن نفقات الموظفين قد ارتفعت بمبلغ قدره 2.4 مليون فرنك سويسر</w:t>
      </w:r>
      <w:r w:rsidR="00BC2CB0">
        <w:rPr>
          <w:rFonts w:hint="cs"/>
          <w:rtl/>
          <w:lang w:bidi="ar-EG"/>
        </w:rPr>
        <w:t>ي، كانت تكاليف السفر والمنح، والإمدادات والمواد، والخدمات التعاقدية</w:t>
      </w:r>
      <w:r w:rsidR="00656672">
        <w:rPr>
          <w:rFonts w:hint="cs"/>
          <w:rtl/>
          <w:lang w:bidi="ar-EG"/>
        </w:rPr>
        <w:t>،</w:t>
      </w:r>
      <w:r w:rsidR="00BC2CB0">
        <w:rPr>
          <w:rFonts w:hint="cs"/>
          <w:rtl/>
          <w:lang w:bidi="ar-EG"/>
        </w:rPr>
        <w:t xml:space="preserve"> والمصروفات التشغيلية أقل من العام السابق.</w:t>
      </w:r>
    </w:p>
    <w:p w14:paraId="061A01F8" w14:textId="650BCBE4" w:rsidR="00E16243" w:rsidRDefault="00BC2CB0" w:rsidP="00780AF1">
      <w:pPr>
        <w:pStyle w:val="NumberedParaAR"/>
        <w:rPr>
          <w:lang w:bidi="ar-EG"/>
        </w:rPr>
      </w:pPr>
      <w:r>
        <w:rPr>
          <w:rFonts w:hint="cs"/>
          <w:rtl/>
          <w:lang w:bidi="ar-EG"/>
        </w:rPr>
        <w:t>وازداد مجموع أصول الويبو من 900.6 مليون فرنك سويسري في 31 ديسمبر 2013 إلى 969.4 مليون فرنك سويسري في 31 ديسمبر 2014. وتجدر الإشارة إلى أن السيولة وما يعادلها بلغوا ما مجموعه 474.5 مليون فرنك سويسري في 31 ديسمبر 2013 (48.9 بالمئة من إجمالي الأصول) أي زيادة قدرها 64.6 مليون فرنك سويسري مقارنة بالعام السابق. وتحتفظ</w:t>
      </w:r>
      <w:r w:rsidR="00E16243">
        <w:rPr>
          <w:rFonts w:hint="cs"/>
          <w:rtl/>
          <w:lang w:bidi="ar-EG"/>
        </w:rPr>
        <w:t xml:space="preserve"> المنظمة بقدر كبير من الاستثمارات في الأصول الثابتة، ولا سيما الأراضي والمباني والملكية الاستثمارية </w:t>
      </w:r>
      <w:r w:rsidR="00E16243">
        <w:rPr>
          <w:rFonts w:hint="cs"/>
          <w:rtl/>
          <w:lang w:bidi="ar-EG"/>
        </w:rPr>
        <w:lastRenderedPageBreak/>
        <w:t>والأصول غير المادية</w:t>
      </w:r>
      <w:r>
        <w:rPr>
          <w:rFonts w:hint="cs"/>
          <w:rtl/>
          <w:lang w:bidi="ar-EG"/>
        </w:rPr>
        <w:t xml:space="preserve"> والمعدات</w:t>
      </w:r>
      <w:r w:rsidR="00E16243">
        <w:rPr>
          <w:rFonts w:hint="cs"/>
          <w:rtl/>
          <w:lang w:bidi="ar-EG"/>
        </w:rPr>
        <w:t xml:space="preserve"> التي بلغ مجموع قيمتها الدفترية الصافية</w:t>
      </w:r>
      <w:r w:rsidR="00656672">
        <w:rPr>
          <w:rFonts w:hint="cs"/>
          <w:rtl/>
          <w:lang w:bidi="ar-EG"/>
        </w:rPr>
        <w:t xml:space="preserve"> </w:t>
      </w:r>
      <w:r>
        <w:rPr>
          <w:rFonts w:hint="cs"/>
          <w:rtl/>
          <w:lang w:bidi="ar-EG"/>
        </w:rPr>
        <w:t>419.7</w:t>
      </w:r>
      <w:r w:rsidR="00E16243">
        <w:rPr>
          <w:rFonts w:hint="cs"/>
          <w:rtl/>
          <w:lang w:bidi="ar-EG"/>
        </w:rPr>
        <w:t xml:space="preserve"> مليون فرنك سويسري</w:t>
      </w:r>
      <w:r>
        <w:rPr>
          <w:rFonts w:hint="cs"/>
          <w:rtl/>
          <w:lang w:bidi="ar-EG"/>
        </w:rPr>
        <w:t xml:space="preserve"> (أي 43.3 بالمئة</w:t>
      </w:r>
      <w:r w:rsidR="00E16243">
        <w:rPr>
          <w:rFonts w:hint="cs"/>
          <w:rtl/>
          <w:lang w:bidi="ar-EG"/>
        </w:rPr>
        <w:t xml:space="preserve"> من مجموع الأصول</w:t>
      </w:r>
      <w:r>
        <w:rPr>
          <w:rFonts w:hint="cs"/>
          <w:rtl/>
          <w:lang w:bidi="ar-EG"/>
        </w:rPr>
        <w:t>)</w:t>
      </w:r>
      <w:r w:rsidR="00E16243">
        <w:rPr>
          <w:rFonts w:hint="cs"/>
          <w:rtl/>
          <w:lang w:bidi="ar-EG"/>
        </w:rPr>
        <w:t>.</w:t>
      </w:r>
      <w:r>
        <w:rPr>
          <w:rFonts w:hint="cs"/>
          <w:rtl/>
          <w:lang w:bidi="ar-EG"/>
        </w:rPr>
        <w:t xml:space="preserve"> وشهد عام 2014 استمرار الاستثمار في الأصول الثابتة ما زاد مجموع قيمتها الدفترية الصافية بمبلغ قدره 23.3 مليون فرنك سويسري مقارنة بنهاية عام 2013. وخلال </w:t>
      </w:r>
      <w:r w:rsidR="00780AF1">
        <w:rPr>
          <w:rFonts w:hint="cs"/>
          <w:rtl/>
          <w:lang w:bidi="ar-EG"/>
        </w:rPr>
        <w:t>هذا ال</w:t>
      </w:r>
      <w:r>
        <w:rPr>
          <w:rFonts w:hint="cs"/>
          <w:rtl/>
          <w:lang w:bidi="ar-EG"/>
        </w:rPr>
        <w:t xml:space="preserve">عام </w:t>
      </w:r>
      <w:r w:rsidR="00780AF1">
        <w:rPr>
          <w:rFonts w:hint="cs"/>
          <w:rtl/>
          <w:lang w:bidi="ar-EG"/>
        </w:rPr>
        <w:t xml:space="preserve">استُكمل </w:t>
      </w:r>
      <w:r>
        <w:rPr>
          <w:rFonts w:hint="cs"/>
          <w:rtl/>
          <w:lang w:bidi="ar-EG"/>
        </w:rPr>
        <w:t xml:space="preserve">بناء قاعة المؤتمرات الجديدة </w:t>
      </w:r>
      <w:r w:rsidR="00780AF1">
        <w:rPr>
          <w:rFonts w:hint="cs"/>
          <w:rtl/>
          <w:lang w:bidi="ar-EG"/>
        </w:rPr>
        <w:t xml:space="preserve">وتجديد </w:t>
      </w:r>
      <w:r w:rsidR="00780AF1" w:rsidRPr="00780AF1">
        <w:rPr>
          <w:rtl/>
          <w:lang w:bidi="ar-EG"/>
        </w:rPr>
        <w:t>مبنى أرباد بوكش</w:t>
      </w:r>
      <w:r w:rsidR="00780AF1">
        <w:rPr>
          <w:rFonts w:hint="cs"/>
          <w:rtl/>
          <w:lang w:bidi="ar-EG"/>
        </w:rPr>
        <w:t xml:space="preserve">. وبدأ استخدام قاعة المؤتمرات الجديدة التي </w:t>
      </w:r>
      <w:r w:rsidR="00780AF1" w:rsidRPr="00780AF1">
        <w:rPr>
          <w:rtl/>
          <w:lang w:bidi="ar-EG"/>
        </w:rPr>
        <w:t>ت</w:t>
      </w:r>
      <w:r w:rsidR="00780AF1">
        <w:rPr>
          <w:rFonts w:hint="cs"/>
          <w:rtl/>
          <w:lang w:bidi="ar-EG"/>
        </w:rPr>
        <w:t>ن</w:t>
      </w:r>
      <w:r w:rsidR="00780AF1" w:rsidRPr="00780AF1">
        <w:rPr>
          <w:rtl/>
          <w:lang w:bidi="ar-EG"/>
        </w:rPr>
        <w:t>خفض قيمتها مع مرور عمرها الإنتاجي</w:t>
      </w:r>
      <w:r w:rsidR="00780AF1">
        <w:rPr>
          <w:rFonts w:hint="cs"/>
          <w:rtl/>
          <w:lang w:bidi="ar-EG"/>
        </w:rPr>
        <w:t>. ويُزمع استكمال مشروع البناء الأمني الذي يشمل مركز النفاذ الجديد و</w:t>
      </w:r>
      <w:r w:rsidR="00656672">
        <w:rPr>
          <w:rFonts w:hint="cs"/>
          <w:rtl/>
          <w:lang w:bidi="ar-EG"/>
        </w:rPr>
        <w:t>المحيط الأمني</w:t>
      </w:r>
      <w:r w:rsidR="00780AF1">
        <w:rPr>
          <w:rFonts w:hint="cs"/>
          <w:rtl/>
          <w:lang w:bidi="ar-EG"/>
        </w:rPr>
        <w:t xml:space="preserve"> الجديد في النصف الأول من عام 2015.</w:t>
      </w:r>
    </w:p>
    <w:p w14:paraId="2ECA4D87" w14:textId="7BCAF950" w:rsidR="00E16243" w:rsidRDefault="00E16243" w:rsidP="006C2F6F">
      <w:pPr>
        <w:pStyle w:val="NumberedParaAR"/>
        <w:rPr>
          <w:lang w:bidi="ar-EG"/>
        </w:rPr>
      </w:pPr>
      <w:r>
        <w:rPr>
          <w:rFonts w:hint="cs"/>
          <w:rtl/>
          <w:lang w:bidi="ar-EG"/>
        </w:rPr>
        <w:t>و</w:t>
      </w:r>
      <w:r w:rsidR="006C2F6F">
        <w:rPr>
          <w:rFonts w:hint="cs"/>
          <w:rtl/>
          <w:lang w:bidi="ar-EG"/>
        </w:rPr>
        <w:t>تكمن</w:t>
      </w:r>
      <w:r>
        <w:rPr>
          <w:rFonts w:hint="cs"/>
          <w:rtl/>
          <w:lang w:bidi="ar-EG"/>
        </w:rPr>
        <w:t xml:space="preserve"> الخصوم الرئيسية للمنظمة في 31 ديسمبر </w:t>
      </w:r>
      <w:r w:rsidR="00780AF1">
        <w:rPr>
          <w:rFonts w:hint="cs"/>
          <w:rtl/>
          <w:lang w:bidi="ar-EG"/>
        </w:rPr>
        <w:t>2014</w:t>
      </w:r>
      <w:r>
        <w:rPr>
          <w:rFonts w:hint="cs"/>
          <w:rtl/>
          <w:lang w:bidi="ar-EG"/>
        </w:rPr>
        <w:t xml:space="preserve"> في المبالغ </w:t>
      </w:r>
      <w:r w:rsidR="006C2F6F">
        <w:rPr>
          <w:rFonts w:hint="cs"/>
          <w:rtl/>
          <w:lang w:bidi="ar-EG"/>
        </w:rPr>
        <w:t>ال</w:t>
      </w:r>
      <w:r>
        <w:rPr>
          <w:rFonts w:hint="cs"/>
          <w:rtl/>
          <w:lang w:bidi="ar-EG"/>
        </w:rPr>
        <w:t xml:space="preserve">مستحقة الدفع والمبالغ المتسلمة قبل استحقاقها والبالغة قيمتها </w:t>
      </w:r>
      <w:r w:rsidR="00780AF1">
        <w:rPr>
          <w:rFonts w:hint="cs"/>
          <w:rtl/>
          <w:lang w:bidi="ar-EG"/>
        </w:rPr>
        <w:t>358.7</w:t>
      </w:r>
      <w:r>
        <w:rPr>
          <w:rFonts w:hint="cs"/>
          <w:rtl/>
          <w:lang w:bidi="ar-EG"/>
        </w:rPr>
        <w:t xml:space="preserve"> مليون فرنك سويسري (</w:t>
      </w:r>
      <w:r w:rsidR="00780AF1">
        <w:rPr>
          <w:rFonts w:hint="cs"/>
          <w:rtl/>
          <w:lang w:bidi="ar-EG"/>
        </w:rPr>
        <w:t>أي 49.6 بالم</w:t>
      </w:r>
      <w:r>
        <w:rPr>
          <w:rFonts w:hint="cs"/>
          <w:rtl/>
          <w:lang w:bidi="ar-EG"/>
        </w:rPr>
        <w:t>ئة من مجموع الخصوم)، و</w:t>
      </w:r>
      <w:r w:rsidR="00EA0CD6">
        <w:rPr>
          <w:rFonts w:hint="cs"/>
          <w:rtl/>
          <w:lang w:bidi="ar-EG"/>
        </w:rPr>
        <w:t>مستحقات</w:t>
      </w:r>
      <w:r>
        <w:rPr>
          <w:rFonts w:hint="cs"/>
          <w:rtl/>
          <w:lang w:bidi="ar-EG"/>
        </w:rPr>
        <w:t xml:space="preserve"> الموظفين </w:t>
      </w:r>
      <w:r w:rsidR="00BD13AF">
        <w:rPr>
          <w:rFonts w:hint="cs"/>
          <w:rtl/>
          <w:lang w:bidi="ar-EG"/>
        </w:rPr>
        <w:t>البالغة قيمتها</w:t>
      </w:r>
      <w:r w:rsidR="00780AF1">
        <w:rPr>
          <w:rFonts w:hint="cs"/>
          <w:rtl/>
          <w:lang w:bidi="ar-EG"/>
        </w:rPr>
        <w:t xml:space="preserve"> 161.2</w:t>
      </w:r>
      <w:r w:rsidR="00BD13AF">
        <w:rPr>
          <w:rFonts w:hint="cs"/>
          <w:rtl/>
          <w:lang w:bidi="ar-EG"/>
        </w:rPr>
        <w:t xml:space="preserve"> مليون فرنك سويسري </w:t>
      </w:r>
      <w:r>
        <w:rPr>
          <w:rFonts w:hint="cs"/>
          <w:rtl/>
          <w:lang w:bidi="ar-EG"/>
        </w:rPr>
        <w:t>(2</w:t>
      </w:r>
      <w:r w:rsidR="00780AF1">
        <w:rPr>
          <w:rFonts w:hint="cs"/>
          <w:rtl/>
          <w:lang w:bidi="ar-EG"/>
        </w:rPr>
        <w:t>2.3</w:t>
      </w:r>
      <w:r>
        <w:rPr>
          <w:rFonts w:hint="cs"/>
          <w:rtl/>
          <w:lang w:bidi="ar-EG"/>
        </w:rPr>
        <w:t xml:space="preserve"> </w:t>
      </w:r>
      <w:r w:rsidR="00257637">
        <w:rPr>
          <w:rFonts w:hint="cs"/>
          <w:rtl/>
          <w:lang w:bidi="ar-EG"/>
        </w:rPr>
        <w:t>بالمئة</w:t>
      </w:r>
      <w:r>
        <w:rPr>
          <w:rFonts w:hint="cs"/>
          <w:rtl/>
          <w:lang w:bidi="ar-EG"/>
        </w:rPr>
        <w:t xml:space="preserve">) والقروض </w:t>
      </w:r>
      <w:r w:rsidR="0040686A">
        <w:rPr>
          <w:rFonts w:hint="cs"/>
          <w:rtl/>
          <w:lang w:bidi="ar-EG"/>
        </w:rPr>
        <w:t>البالغة قيمتها</w:t>
      </w:r>
      <w:r w:rsidR="00780AF1">
        <w:rPr>
          <w:rFonts w:hint="cs"/>
          <w:rtl/>
          <w:lang w:bidi="ar-EG"/>
        </w:rPr>
        <w:t xml:space="preserve"> 139.2</w:t>
      </w:r>
      <w:r w:rsidR="0040686A">
        <w:rPr>
          <w:rFonts w:hint="cs"/>
          <w:rtl/>
          <w:lang w:bidi="ar-EG"/>
        </w:rPr>
        <w:t xml:space="preserve"> مليون فرنك سويسري </w:t>
      </w:r>
      <w:r>
        <w:rPr>
          <w:rFonts w:hint="cs"/>
          <w:rtl/>
          <w:lang w:bidi="ar-EG"/>
        </w:rPr>
        <w:t>(</w:t>
      </w:r>
      <w:r w:rsidR="00780AF1">
        <w:rPr>
          <w:rFonts w:hint="cs"/>
          <w:rtl/>
          <w:lang w:bidi="ar-EG"/>
        </w:rPr>
        <w:t xml:space="preserve">19.2 </w:t>
      </w:r>
      <w:r w:rsidR="00257637">
        <w:rPr>
          <w:rFonts w:hint="cs"/>
          <w:rtl/>
          <w:lang w:bidi="ar-EG"/>
        </w:rPr>
        <w:t>بالمئة</w:t>
      </w:r>
      <w:r>
        <w:rPr>
          <w:rFonts w:hint="cs"/>
          <w:rtl/>
          <w:lang w:bidi="ar-EG"/>
        </w:rPr>
        <w:t>).</w:t>
      </w:r>
    </w:p>
    <w:p w14:paraId="220D03FE" w14:textId="77777777" w:rsidR="00E16243" w:rsidRPr="00F17073" w:rsidRDefault="00E16243" w:rsidP="00F17073">
      <w:pPr>
        <w:keepNext/>
        <w:bidi/>
        <w:spacing w:after="240" w:line="360" w:lineRule="exact"/>
        <w:rPr>
          <w:rFonts w:ascii="Arabic Typesetting" w:hAnsi="Arabic Typesetting" w:cs="Arabic Typesetting"/>
          <w:b/>
          <w:bCs/>
          <w:sz w:val="36"/>
          <w:szCs w:val="36"/>
          <w:rtl/>
          <w:lang w:bidi="ar-EG"/>
        </w:rPr>
      </w:pPr>
      <w:r w:rsidRPr="00F17073">
        <w:rPr>
          <w:rFonts w:ascii="Arabic Typesetting" w:hAnsi="Arabic Typesetting" w:cs="Arabic Typesetting" w:hint="cs"/>
          <w:b/>
          <w:bCs/>
          <w:sz w:val="36"/>
          <w:szCs w:val="36"/>
          <w:rtl/>
          <w:lang w:bidi="ar-EG"/>
        </w:rPr>
        <w:t>الأداء المالي</w:t>
      </w:r>
    </w:p>
    <w:p w14:paraId="685EF9D8" w14:textId="77777777" w:rsidR="00E16243" w:rsidRDefault="00E16243" w:rsidP="0004534C">
      <w:pPr>
        <w:pStyle w:val="NumberedParaAR"/>
        <w:rPr>
          <w:lang w:bidi="ar-EG"/>
        </w:rPr>
      </w:pPr>
      <w:r>
        <w:rPr>
          <w:rFonts w:hint="cs"/>
          <w:rtl/>
          <w:lang w:bidi="ar-EG"/>
        </w:rPr>
        <w:t xml:space="preserve">أظهرت نتائج المنظمة لعام </w:t>
      </w:r>
      <w:r w:rsidR="0004534C">
        <w:rPr>
          <w:rFonts w:hint="cs"/>
          <w:rtl/>
          <w:lang w:bidi="ar-EG"/>
        </w:rPr>
        <w:t>2014</w:t>
      </w:r>
      <w:r>
        <w:rPr>
          <w:rFonts w:hint="cs"/>
          <w:rtl/>
          <w:lang w:bidi="ar-EG"/>
        </w:rPr>
        <w:t xml:space="preserve"> تحقق فائض ذلك العام يبلغ </w:t>
      </w:r>
      <w:r w:rsidR="0004534C">
        <w:rPr>
          <w:rFonts w:hint="cs"/>
          <w:rtl/>
          <w:lang w:bidi="ar-EG"/>
        </w:rPr>
        <w:t>37.0</w:t>
      </w:r>
      <w:r>
        <w:rPr>
          <w:rFonts w:hint="cs"/>
          <w:rtl/>
          <w:lang w:bidi="ar-EG"/>
        </w:rPr>
        <w:t xml:space="preserve"> مليون فرنك سويسري، حيث بلغ مجموع الإيرادات </w:t>
      </w:r>
      <w:r w:rsidR="0004534C">
        <w:rPr>
          <w:rFonts w:hint="cs"/>
          <w:rtl/>
          <w:lang w:bidi="ar-EG"/>
        </w:rPr>
        <w:t>370.2</w:t>
      </w:r>
      <w:r>
        <w:rPr>
          <w:rFonts w:hint="cs"/>
          <w:rtl/>
          <w:lang w:bidi="ar-EG"/>
        </w:rPr>
        <w:t xml:space="preserve"> مليون فرنك سويسري ومجموع المصروفات </w:t>
      </w:r>
      <w:r w:rsidR="0004534C">
        <w:rPr>
          <w:rFonts w:hint="cs"/>
          <w:rtl/>
          <w:lang w:bidi="ar-EG"/>
        </w:rPr>
        <w:t>333.2</w:t>
      </w:r>
      <w:r>
        <w:rPr>
          <w:rFonts w:hint="cs"/>
          <w:rtl/>
          <w:lang w:bidi="ar-EG"/>
        </w:rPr>
        <w:t xml:space="preserve"> مليون فرنك سويسري. ويمكن مقارنة ذلك </w:t>
      </w:r>
      <w:r w:rsidR="003A3C54">
        <w:rPr>
          <w:rFonts w:hint="cs"/>
          <w:rtl/>
          <w:lang w:bidi="ar-EG"/>
        </w:rPr>
        <w:t xml:space="preserve">بالفائض </w:t>
      </w:r>
      <w:r w:rsidR="0004534C">
        <w:rPr>
          <w:rFonts w:hint="cs"/>
          <w:rtl/>
          <w:lang w:bidi="ar-EG"/>
        </w:rPr>
        <w:t>البالغ 15.1</w:t>
      </w:r>
      <w:r>
        <w:rPr>
          <w:rFonts w:hint="cs"/>
          <w:rtl/>
          <w:lang w:bidi="ar-EG"/>
        </w:rPr>
        <w:t xml:space="preserve"> مليون فرنك سويسري في </w:t>
      </w:r>
      <w:r w:rsidR="0004534C">
        <w:rPr>
          <w:rFonts w:hint="cs"/>
          <w:rtl/>
          <w:lang w:bidi="ar-EG"/>
        </w:rPr>
        <w:t>2013</w:t>
      </w:r>
      <w:r>
        <w:rPr>
          <w:rFonts w:hint="cs"/>
          <w:rtl/>
          <w:lang w:bidi="ar-EG"/>
        </w:rPr>
        <w:t xml:space="preserve">، </w:t>
      </w:r>
      <w:r>
        <w:rPr>
          <w:rFonts w:hint="cs"/>
          <w:rtl/>
        </w:rPr>
        <w:t xml:space="preserve">في </w:t>
      </w:r>
      <w:r>
        <w:rPr>
          <w:rFonts w:hint="cs"/>
          <w:rtl/>
          <w:lang w:bidi="ar-EG"/>
        </w:rPr>
        <w:t xml:space="preserve">حين بلغ مجموع الإيرادات </w:t>
      </w:r>
      <w:r w:rsidR="0004534C">
        <w:rPr>
          <w:rFonts w:hint="cs"/>
          <w:rtl/>
          <w:lang w:bidi="ar-EG"/>
        </w:rPr>
        <w:t>351.3</w:t>
      </w:r>
      <w:r>
        <w:rPr>
          <w:rFonts w:hint="cs"/>
          <w:rtl/>
          <w:lang w:bidi="ar-EG"/>
        </w:rPr>
        <w:t xml:space="preserve"> مليون فرنك سويسري ومجموع المصروفات </w:t>
      </w:r>
      <w:r w:rsidR="0004534C">
        <w:rPr>
          <w:rFonts w:hint="cs"/>
          <w:rtl/>
          <w:lang w:bidi="ar-EG"/>
        </w:rPr>
        <w:t>336.5</w:t>
      </w:r>
      <w:r>
        <w:rPr>
          <w:rFonts w:hint="cs"/>
          <w:rtl/>
          <w:lang w:bidi="ar-EG"/>
        </w:rPr>
        <w:t xml:space="preserve"> مليون فرنك سويسري.</w:t>
      </w:r>
    </w:p>
    <w:p w14:paraId="1EA3B3C1" w14:textId="4F0117E8" w:rsidR="00E16243" w:rsidRDefault="00E16243" w:rsidP="005B5601">
      <w:pPr>
        <w:pStyle w:val="NumberedParaAR"/>
        <w:rPr>
          <w:lang w:bidi="ar-EG"/>
        </w:rPr>
      </w:pPr>
      <w:r>
        <w:rPr>
          <w:rFonts w:hint="cs"/>
          <w:rtl/>
          <w:lang w:bidi="ar-EG"/>
        </w:rPr>
        <w:t xml:space="preserve">وكانت نتيجة البرنامج والميزانية لعام </w:t>
      </w:r>
      <w:r w:rsidR="0004534C">
        <w:rPr>
          <w:rFonts w:hint="cs"/>
          <w:rtl/>
          <w:lang w:bidi="ar-EG"/>
        </w:rPr>
        <w:t>2014</w:t>
      </w:r>
      <w:r>
        <w:rPr>
          <w:rFonts w:hint="cs"/>
          <w:rtl/>
          <w:lang w:bidi="ar-EG"/>
        </w:rPr>
        <w:t xml:space="preserve"> والتي أعدت على </w:t>
      </w:r>
      <w:r w:rsidR="00FD2528">
        <w:rPr>
          <w:rFonts w:hint="cs"/>
          <w:rtl/>
          <w:lang w:bidi="ar-EG"/>
        </w:rPr>
        <w:t xml:space="preserve">أساس </w:t>
      </w:r>
      <w:r>
        <w:rPr>
          <w:rFonts w:hint="cs"/>
          <w:rtl/>
          <w:lang w:bidi="ar-EG"/>
        </w:rPr>
        <w:t>الاستحقاق</w:t>
      </w:r>
      <w:r w:rsidR="0004534C">
        <w:rPr>
          <w:rFonts w:hint="cs"/>
          <w:rtl/>
          <w:lang w:bidi="ar-EG"/>
        </w:rPr>
        <w:t xml:space="preserve"> </w:t>
      </w:r>
      <w:r>
        <w:rPr>
          <w:rFonts w:hint="cs"/>
          <w:rtl/>
          <w:lang w:bidi="ar-EG"/>
        </w:rPr>
        <w:t xml:space="preserve">المعدل (أي قبل تسويات المعايير المحاسبية الدولية للقطاع العام) فائضا قدره </w:t>
      </w:r>
      <w:r w:rsidR="0004534C">
        <w:rPr>
          <w:rFonts w:hint="cs"/>
          <w:rtl/>
          <w:lang w:bidi="ar-EG"/>
        </w:rPr>
        <w:t>69.9</w:t>
      </w:r>
      <w:r>
        <w:rPr>
          <w:rFonts w:hint="cs"/>
          <w:rtl/>
          <w:lang w:bidi="ar-EG"/>
        </w:rPr>
        <w:t xml:space="preserve"> مليون فرنك سويسري. وتشمل نتيجة المنظمة في </w:t>
      </w:r>
      <w:r w:rsidR="0004534C">
        <w:rPr>
          <w:rFonts w:hint="cs"/>
          <w:rtl/>
          <w:lang w:bidi="ar-EG"/>
        </w:rPr>
        <w:t>2014</w:t>
      </w:r>
      <w:r>
        <w:rPr>
          <w:rFonts w:hint="cs"/>
          <w:rtl/>
          <w:lang w:bidi="ar-EG"/>
        </w:rPr>
        <w:t xml:space="preserve"> </w:t>
      </w:r>
      <w:r w:rsidR="002B3DBD">
        <w:rPr>
          <w:rFonts w:hint="cs"/>
          <w:rtl/>
          <w:lang w:bidi="ar-EG"/>
        </w:rPr>
        <w:t xml:space="preserve">وفقاً </w:t>
      </w:r>
      <w:r>
        <w:rPr>
          <w:rFonts w:hint="cs"/>
          <w:rtl/>
          <w:lang w:bidi="ar-EG"/>
        </w:rPr>
        <w:t>للمعايير المحاسبية الدولية للقطاع العام حسابات خاصة، ومشروعات ممولة من الأموال الاحتياطية، وأثر التسويات المتصلة بنظام الاستحقاق الكامل في المحاسبة بما يتفق والمعايير المحاسبية الدولية للقطاع العام.</w:t>
      </w:r>
    </w:p>
    <w:p w14:paraId="0933B641" w14:textId="77777777" w:rsidR="00E16243" w:rsidRPr="00EA0CD6" w:rsidRDefault="00E16243" w:rsidP="000D2685">
      <w:pPr>
        <w:pStyle w:val="NumberedParaAR"/>
        <w:keepNext/>
        <w:numPr>
          <w:ilvl w:val="0"/>
          <w:numId w:val="0"/>
        </w:numPr>
        <w:jc w:val="center"/>
        <w:rPr>
          <w:u w:val="single"/>
          <w:rtl/>
          <w:lang w:bidi="ar-EG"/>
        </w:rPr>
      </w:pPr>
      <w:r w:rsidRPr="00EA0CD6">
        <w:rPr>
          <w:rFonts w:hint="cs"/>
          <w:u w:val="single"/>
          <w:rtl/>
          <w:lang w:bidi="ar-EG"/>
        </w:rPr>
        <w:t xml:space="preserve">ملخص الأداء المالي حسب </w:t>
      </w:r>
      <w:r w:rsidR="000D2685" w:rsidRPr="00EA0CD6">
        <w:rPr>
          <w:rFonts w:hint="cs"/>
          <w:u w:val="single"/>
          <w:rtl/>
          <w:lang w:bidi="ar-EG"/>
        </w:rPr>
        <w:t>مصدر التمويل</w:t>
      </w:r>
    </w:p>
    <w:p w14:paraId="1FE38580" w14:textId="0FB84898" w:rsidR="00E16243" w:rsidRDefault="000605E2" w:rsidP="00C73B1C">
      <w:pPr>
        <w:pStyle w:val="NumberedParaAR"/>
        <w:numPr>
          <w:ilvl w:val="0"/>
          <w:numId w:val="0"/>
        </w:numPr>
        <w:spacing w:line="240" w:lineRule="auto"/>
        <w:jc w:val="center"/>
        <w:rPr>
          <w:rtl/>
          <w:lang w:bidi="ar-EG"/>
        </w:rPr>
      </w:pPr>
      <w:r w:rsidRPr="000605E2">
        <w:rPr>
          <w:noProof/>
          <w:rtl/>
        </w:rPr>
        <w:drawing>
          <wp:inline distT="0" distB="0" distL="0" distR="0" wp14:anchorId="400775CE" wp14:editId="1E59C95B">
            <wp:extent cx="5940425" cy="1313565"/>
            <wp:effectExtent l="0" t="0" r="3175" b="127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1313565"/>
                    </a:xfrm>
                    <a:prstGeom prst="rect">
                      <a:avLst/>
                    </a:prstGeom>
                    <a:noFill/>
                    <a:ln>
                      <a:noFill/>
                    </a:ln>
                  </pic:spPr>
                </pic:pic>
              </a:graphicData>
            </a:graphic>
          </wp:inline>
        </w:drawing>
      </w:r>
    </w:p>
    <w:p w14:paraId="76854794" w14:textId="77777777" w:rsidR="00E16243" w:rsidRDefault="00E16243" w:rsidP="005B5601">
      <w:pPr>
        <w:pStyle w:val="NumberedParaAR"/>
        <w:keepNext/>
        <w:rPr>
          <w:lang w:bidi="ar-EG"/>
        </w:rPr>
      </w:pPr>
      <w:r>
        <w:rPr>
          <w:rFonts w:hint="cs"/>
          <w:rtl/>
          <w:lang w:bidi="ar-EG"/>
        </w:rPr>
        <w:lastRenderedPageBreak/>
        <w:t xml:space="preserve">ويلخص الرسم البياني أدناه الفروق الرئيسية بين فائض البرنامج والميزانية البالغ </w:t>
      </w:r>
      <w:r w:rsidR="005B5601">
        <w:rPr>
          <w:rFonts w:hint="cs"/>
          <w:rtl/>
          <w:lang w:bidi="ar-EG"/>
        </w:rPr>
        <w:t>69.9</w:t>
      </w:r>
      <w:r>
        <w:rPr>
          <w:rFonts w:hint="cs"/>
          <w:rtl/>
          <w:lang w:bidi="ar-EG"/>
        </w:rPr>
        <w:t xml:space="preserve"> مليون فرنك سويسري، وفائض المنظمة كلها الناتج عن تطبيق المعايير المحاسبية الدولية للقطاع العام والبالغ </w:t>
      </w:r>
      <w:r w:rsidR="005B5601">
        <w:rPr>
          <w:rFonts w:hint="cs"/>
          <w:rtl/>
          <w:lang w:bidi="ar-EG"/>
        </w:rPr>
        <w:t>37.0</w:t>
      </w:r>
      <w:r>
        <w:rPr>
          <w:rFonts w:hint="cs"/>
          <w:rtl/>
          <w:lang w:bidi="ar-EG"/>
        </w:rPr>
        <w:t xml:space="preserve"> مليون فرنك سويسري:</w:t>
      </w:r>
    </w:p>
    <w:p w14:paraId="7217EEED" w14:textId="77777777" w:rsidR="00E16243" w:rsidRPr="00EA0CD6" w:rsidRDefault="00E16243" w:rsidP="005B5601">
      <w:pPr>
        <w:pStyle w:val="NumberedParaAR"/>
        <w:keepNext/>
        <w:numPr>
          <w:ilvl w:val="0"/>
          <w:numId w:val="0"/>
        </w:numPr>
        <w:jc w:val="center"/>
        <w:rPr>
          <w:u w:val="single"/>
          <w:rtl/>
          <w:lang w:bidi="ar-EG"/>
        </w:rPr>
      </w:pPr>
      <w:r w:rsidRPr="00EA0CD6">
        <w:rPr>
          <w:rFonts w:hint="cs"/>
          <w:u w:val="single"/>
          <w:rtl/>
          <w:lang w:bidi="ar-EG"/>
        </w:rPr>
        <w:t xml:space="preserve">الانتقال من النتيجة بناء على الميزانية إلى النتيجة بناء على المعايير المحاسبية الدولية للقطاع العام لعام </w:t>
      </w:r>
      <w:r w:rsidR="005B5601" w:rsidRPr="00EA0CD6">
        <w:rPr>
          <w:rFonts w:hint="cs"/>
          <w:u w:val="single"/>
          <w:rtl/>
          <w:lang w:bidi="ar-EG"/>
        </w:rPr>
        <w:t>2014</w:t>
      </w:r>
    </w:p>
    <w:p w14:paraId="1B35E52C" w14:textId="5922BFF5" w:rsidR="00E16243" w:rsidRDefault="000605E2" w:rsidP="00266762">
      <w:pPr>
        <w:pStyle w:val="NumberedParaAR"/>
        <w:numPr>
          <w:ilvl w:val="0"/>
          <w:numId w:val="0"/>
        </w:numPr>
        <w:spacing w:line="240" w:lineRule="auto"/>
        <w:rPr>
          <w:rtl/>
          <w:lang w:bidi="ar-EG"/>
        </w:rPr>
      </w:pPr>
      <w:r w:rsidRPr="000605E2">
        <w:rPr>
          <w:noProof/>
          <w:rtl/>
        </w:rPr>
        <w:drawing>
          <wp:inline distT="0" distB="0" distL="0" distR="0" wp14:anchorId="387329B7" wp14:editId="4ADD528A">
            <wp:extent cx="5940425" cy="3156276"/>
            <wp:effectExtent l="0" t="0" r="3175" b="635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3156276"/>
                    </a:xfrm>
                    <a:prstGeom prst="rect">
                      <a:avLst/>
                    </a:prstGeom>
                    <a:noFill/>
                    <a:ln>
                      <a:noFill/>
                    </a:ln>
                  </pic:spPr>
                </pic:pic>
              </a:graphicData>
            </a:graphic>
          </wp:inline>
        </w:drawing>
      </w:r>
    </w:p>
    <w:p w14:paraId="7DA59230" w14:textId="57480DB9" w:rsidR="00E16243" w:rsidRDefault="00E16243" w:rsidP="00EA0CD6">
      <w:pPr>
        <w:pStyle w:val="NumberedParaAR"/>
        <w:rPr>
          <w:lang w:bidi="ar-EG"/>
        </w:rPr>
      </w:pPr>
      <w:r>
        <w:rPr>
          <w:rFonts w:hint="cs"/>
          <w:rtl/>
          <w:lang w:bidi="ar-EG"/>
        </w:rPr>
        <w:t xml:space="preserve">وتشمل بيانات الويبو المالية المعدة </w:t>
      </w:r>
      <w:r w:rsidR="002B3DBD">
        <w:rPr>
          <w:rFonts w:hint="cs"/>
          <w:rtl/>
          <w:lang w:bidi="ar-EG"/>
        </w:rPr>
        <w:t xml:space="preserve">وفقاً </w:t>
      </w:r>
      <w:r>
        <w:rPr>
          <w:rFonts w:hint="cs"/>
          <w:rtl/>
          <w:lang w:bidi="ar-EG"/>
        </w:rPr>
        <w:t>للمعايير المحاسبية الدولية للقطاع العام كل مجالات وأنشطة المنظمة بأكملها. و</w:t>
      </w:r>
      <w:r w:rsidR="00EA0CD6">
        <w:rPr>
          <w:rFonts w:hint="cs"/>
          <w:rtl/>
          <w:lang w:bidi="ar-EG"/>
        </w:rPr>
        <w:t>إن</w:t>
      </w:r>
      <w:r>
        <w:rPr>
          <w:rFonts w:hint="cs"/>
          <w:rtl/>
          <w:lang w:bidi="ar-EG"/>
        </w:rPr>
        <w:t xml:space="preserve"> إدراج النتائج قبل تسويات المعايير المحاسبية الدولية للقطاع العام فيما يتعلق بالحسابات الخاصة (فائض </w:t>
      </w:r>
      <w:r w:rsidR="005B5601">
        <w:rPr>
          <w:rFonts w:hint="cs"/>
          <w:rtl/>
          <w:lang w:bidi="ar-EG"/>
        </w:rPr>
        <w:t>0.8</w:t>
      </w:r>
      <w:r>
        <w:rPr>
          <w:rFonts w:hint="cs"/>
          <w:rtl/>
          <w:lang w:bidi="ar-EG"/>
        </w:rPr>
        <w:t xml:space="preserve"> مليون فرنك سويسري) والمشروعات الممولة من الأموال الاحتياطية (عجز </w:t>
      </w:r>
      <w:r w:rsidR="005B5601">
        <w:rPr>
          <w:rFonts w:hint="cs"/>
          <w:rtl/>
          <w:lang w:bidi="ar-EG"/>
        </w:rPr>
        <w:t>35.2</w:t>
      </w:r>
      <w:r>
        <w:rPr>
          <w:rFonts w:hint="cs"/>
          <w:rtl/>
          <w:lang w:bidi="ar-EG"/>
        </w:rPr>
        <w:t xml:space="preserve"> مليون فرنك سويسري) </w:t>
      </w:r>
      <w:r w:rsidR="00EA0CD6">
        <w:rPr>
          <w:rFonts w:hint="cs"/>
          <w:rtl/>
          <w:lang w:bidi="ar-EG"/>
        </w:rPr>
        <w:t>يمثل ’فوارق</w:t>
      </w:r>
      <w:r>
        <w:rPr>
          <w:rFonts w:hint="cs"/>
          <w:rtl/>
          <w:lang w:bidi="ar-EG"/>
        </w:rPr>
        <w:t xml:space="preserve"> بحسب الجهة المعنية</w:t>
      </w:r>
      <w:r>
        <w:rPr>
          <w:rtl/>
          <w:lang w:bidi="ar-EG"/>
        </w:rPr>
        <w:t>‘</w:t>
      </w:r>
      <w:r>
        <w:rPr>
          <w:rFonts w:hint="cs"/>
          <w:rtl/>
          <w:lang w:bidi="ar-EG"/>
        </w:rPr>
        <w:t xml:space="preserve"> بين نتيجة ميزانية وفائض البيانات المالية</w:t>
      </w:r>
      <w:r w:rsidR="005B5601">
        <w:rPr>
          <w:rFonts w:hint="cs"/>
          <w:rtl/>
          <w:lang w:bidi="ar-EG"/>
        </w:rPr>
        <w:t xml:space="preserve"> المعدة </w:t>
      </w:r>
      <w:r w:rsidR="002B3DBD">
        <w:rPr>
          <w:rFonts w:hint="cs"/>
          <w:rtl/>
          <w:lang w:bidi="ar-EG"/>
        </w:rPr>
        <w:t xml:space="preserve">وفقاً </w:t>
      </w:r>
      <w:r w:rsidR="005B5601">
        <w:rPr>
          <w:rFonts w:hint="cs"/>
          <w:rtl/>
          <w:lang w:bidi="ar-EG"/>
        </w:rPr>
        <w:t>للمعايير المحاسبية الدولية للقطاع العام</w:t>
      </w:r>
      <w:r>
        <w:rPr>
          <w:rFonts w:hint="cs"/>
          <w:rtl/>
          <w:lang w:bidi="ar-EG"/>
        </w:rPr>
        <w:t>.</w:t>
      </w:r>
    </w:p>
    <w:p w14:paraId="53E62709" w14:textId="0DF2518E" w:rsidR="00E16243" w:rsidRDefault="00E16243" w:rsidP="00EA0CD6">
      <w:pPr>
        <w:pStyle w:val="NumberedParaAR"/>
        <w:keepNext/>
        <w:rPr>
          <w:lang w:bidi="ar-EG"/>
        </w:rPr>
      </w:pPr>
      <w:r>
        <w:rPr>
          <w:rFonts w:hint="cs"/>
          <w:rtl/>
          <w:lang w:bidi="ar-EG"/>
        </w:rPr>
        <w:t xml:space="preserve">ويؤدي تطبيق </w:t>
      </w:r>
      <w:r w:rsidR="00FD2528">
        <w:rPr>
          <w:rFonts w:hint="cs"/>
          <w:rtl/>
          <w:lang w:bidi="ar-EG"/>
        </w:rPr>
        <w:t xml:space="preserve">أساس </w:t>
      </w:r>
      <w:r>
        <w:rPr>
          <w:rFonts w:hint="cs"/>
          <w:rtl/>
          <w:lang w:bidi="ar-EG"/>
        </w:rPr>
        <w:t xml:space="preserve">الاستحقاق الكامل في المحاسبة </w:t>
      </w:r>
      <w:r w:rsidR="002B3DBD">
        <w:rPr>
          <w:rFonts w:hint="cs"/>
          <w:rtl/>
          <w:lang w:bidi="ar-EG"/>
        </w:rPr>
        <w:t xml:space="preserve">وفقاً </w:t>
      </w:r>
      <w:r>
        <w:rPr>
          <w:rFonts w:hint="cs"/>
          <w:rtl/>
          <w:lang w:bidi="ar-EG"/>
        </w:rPr>
        <w:t xml:space="preserve">للمعايير المحاسبية الدولية للقطاع العام إلى عدد من </w:t>
      </w:r>
      <w:r>
        <w:rPr>
          <w:rtl/>
          <w:lang w:bidi="ar-EG"/>
        </w:rPr>
        <w:t>’</w:t>
      </w:r>
      <w:r>
        <w:rPr>
          <w:rFonts w:hint="cs"/>
          <w:rtl/>
          <w:lang w:bidi="ar-EG"/>
        </w:rPr>
        <w:t>الفوارق الأساسية المحاسبية</w:t>
      </w:r>
      <w:r>
        <w:rPr>
          <w:rtl/>
          <w:lang w:bidi="ar-EG"/>
        </w:rPr>
        <w:t>‘</w:t>
      </w:r>
      <w:r>
        <w:rPr>
          <w:rFonts w:hint="cs"/>
          <w:rtl/>
          <w:lang w:bidi="ar-EG"/>
        </w:rPr>
        <w:t xml:space="preserve"> التي تؤثر على نتيجة السنة. وكما هو موضح في الجدول أعلاه، فإن الأثر الصافي لهذه التسويات للفترة الثنائية هو </w:t>
      </w:r>
      <w:r w:rsidR="008D54E6">
        <w:rPr>
          <w:rFonts w:hint="cs"/>
          <w:rtl/>
          <w:lang w:bidi="ar-EG"/>
        </w:rPr>
        <w:t>فائض</w:t>
      </w:r>
      <w:r>
        <w:rPr>
          <w:rFonts w:hint="cs"/>
          <w:rtl/>
          <w:lang w:bidi="ar-EG"/>
        </w:rPr>
        <w:t xml:space="preserve"> قدره </w:t>
      </w:r>
      <w:r w:rsidR="005B5601">
        <w:rPr>
          <w:rFonts w:hint="cs"/>
          <w:rtl/>
          <w:lang w:bidi="ar-EG"/>
        </w:rPr>
        <w:t>1.5</w:t>
      </w:r>
      <w:r>
        <w:rPr>
          <w:rFonts w:hint="cs"/>
          <w:rtl/>
          <w:lang w:bidi="ar-EG"/>
        </w:rPr>
        <w:t xml:space="preserve"> مليون فرنك سويسري:</w:t>
      </w:r>
    </w:p>
    <w:p w14:paraId="3F7457D1" w14:textId="03332386" w:rsidR="00E16243" w:rsidRDefault="002B3DBD" w:rsidP="00EA0CD6">
      <w:pPr>
        <w:pStyle w:val="NumberedParaAR"/>
        <w:numPr>
          <w:ilvl w:val="0"/>
          <w:numId w:val="7"/>
        </w:numPr>
        <w:rPr>
          <w:lang w:bidi="ar-EG"/>
        </w:rPr>
      </w:pPr>
      <w:r>
        <w:rPr>
          <w:rFonts w:hint="cs"/>
          <w:rtl/>
          <w:lang w:bidi="ar-EG"/>
        </w:rPr>
        <w:t xml:space="preserve">وفقاً </w:t>
      </w:r>
      <w:r w:rsidR="00E16243">
        <w:rPr>
          <w:rFonts w:hint="cs"/>
          <w:rtl/>
          <w:lang w:bidi="ar-EG"/>
        </w:rPr>
        <w:t xml:space="preserve">للمعايير المحاسبية الدولية للقطاع العام، فإن إيرادات المساهمات الطوعية في إطار الحسابات الخاصة </w:t>
      </w:r>
      <w:r w:rsidR="00EA0CD6">
        <w:rPr>
          <w:rFonts w:hint="cs"/>
          <w:rtl/>
          <w:lang w:bidi="ar-EG"/>
        </w:rPr>
        <w:t>تقيّد</w:t>
      </w:r>
      <w:r w:rsidR="00E16243">
        <w:rPr>
          <w:rFonts w:hint="cs"/>
          <w:rtl/>
          <w:lang w:bidi="ar-EG"/>
        </w:rPr>
        <w:t xml:space="preserve"> عند الوفاء بالشروط المحددة في اتفاقات المانحين وعند تحمل المصروفات بما يتماشى مع برنامج العمل. وإذا كانت المساهمات المتلقاة تزيد على تكلفة العمل </w:t>
      </w:r>
      <w:r w:rsidR="00EA0CD6">
        <w:rPr>
          <w:rFonts w:hint="cs"/>
          <w:rtl/>
          <w:lang w:bidi="ar-EG"/>
        </w:rPr>
        <w:t>المنجَز</w:t>
      </w:r>
      <w:r w:rsidR="00E16243">
        <w:rPr>
          <w:rFonts w:hint="cs"/>
          <w:rtl/>
          <w:lang w:bidi="ar-EG"/>
        </w:rPr>
        <w:t xml:space="preserve">، تعامَل المساهمات باعتبارها إيرادات مؤجلة ضمن الخصوم، وقد أدى ذلك إلى </w:t>
      </w:r>
      <w:r w:rsidR="00E16243" w:rsidRPr="0047140C">
        <w:rPr>
          <w:rFonts w:hint="cs"/>
          <w:rtl/>
          <w:lang w:bidi="ar-EG"/>
        </w:rPr>
        <w:t xml:space="preserve">انخفاض في نتيجة السنة </w:t>
      </w:r>
      <w:r w:rsidR="00E16243">
        <w:rPr>
          <w:rFonts w:hint="cs"/>
          <w:rtl/>
          <w:lang w:bidi="ar-EG"/>
        </w:rPr>
        <w:t xml:space="preserve">قدره </w:t>
      </w:r>
      <w:r w:rsidR="005B5601">
        <w:rPr>
          <w:rFonts w:hint="cs"/>
          <w:rtl/>
          <w:lang w:bidi="ar-EG"/>
        </w:rPr>
        <w:t>0.8</w:t>
      </w:r>
      <w:r w:rsidR="00E16243" w:rsidRPr="0047140C">
        <w:rPr>
          <w:rFonts w:hint="cs"/>
          <w:rtl/>
          <w:lang w:bidi="ar-EG"/>
        </w:rPr>
        <w:t xml:space="preserve"> مليون فرنك سويسري</w:t>
      </w:r>
      <w:r w:rsidR="00E16243">
        <w:rPr>
          <w:rFonts w:hint="cs"/>
          <w:rtl/>
          <w:lang w:bidi="ar-EG"/>
        </w:rPr>
        <w:t>.</w:t>
      </w:r>
    </w:p>
    <w:p w14:paraId="6D59B4B4" w14:textId="7AE2F858" w:rsidR="005B5601" w:rsidRDefault="00EA0CD6" w:rsidP="00EA0CD6">
      <w:pPr>
        <w:pStyle w:val="NumberedParaAR"/>
        <w:numPr>
          <w:ilvl w:val="0"/>
          <w:numId w:val="7"/>
        </w:numPr>
        <w:rPr>
          <w:lang w:bidi="ar-EG"/>
        </w:rPr>
      </w:pPr>
      <w:r>
        <w:rPr>
          <w:rFonts w:hint="cs"/>
          <w:rtl/>
          <w:lang w:bidi="ar-EG"/>
        </w:rPr>
        <w:t>و</w:t>
      </w:r>
      <w:r w:rsidR="00E16243">
        <w:rPr>
          <w:rFonts w:hint="cs"/>
          <w:rtl/>
          <w:lang w:bidi="ar-EG"/>
        </w:rPr>
        <w:t xml:space="preserve">عند تطبيق المعايير </w:t>
      </w:r>
      <w:r>
        <w:rPr>
          <w:rFonts w:hint="cs"/>
          <w:rtl/>
          <w:lang w:bidi="ar-EG"/>
        </w:rPr>
        <w:t xml:space="preserve">المحاسبية الدولية للقطاع العام، تؤجل </w:t>
      </w:r>
      <w:r w:rsidR="00E16243">
        <w:rPr>
          <w:rFonts w:hint="cs"/>
          <w:rtl/>
          <w:lang w:bidi="ar-EG"/>
        </w:rPr>
        <w:t xml:space="preserve">إيرادات الرسوم إلى حين تحصيلها، وذلك في حالة الطلبات الدولية عند النشر النهائي للطلب. </w:t>
      </w:r>
      <w:r w:rsidR="00855438">
        <w:rPr>
          <w:rFonts w:hint="cs"/>
          <w:rtl/>
          <w:lang w:bidi="ar-EG"/>
        </w:rPr>
        <w:t>كما يقي</w:t>
      </w:r>
      <w:r w:rsidR="00430009">
        <w:rPr>
          <w:rFonts w:hint="cs"/>
          <w:rtl/>
          <w:lang w:bidi="ar-EG"/>
        </w:rPr>
        <w:t xml:space="preserve">َّد مبلغ مستحق في حالة طلبات نظام البراءات الدولي عندما يودع طلب دون </w:t>
      </w:r>
      <w:r w:rsidR="00DD60BD">
        <w:rPr>
          <w:rFonts w:hint="cs"/>
          <w:rtl/>
          <w:lang w:bidi="ar-EG"/>
        </w:rPr>
        <w:t>تسلم المنظمة الرسم المناظر له</w:t>
      </w:r>
      <w:r w:rsidR="005B5601">
        <w:rPr>
          <w:rFonts w:hint="cs"/>
          <w:rtl/>
          <w:lang w:bidi="ar-EG"/>
        </w:rPr>
        <w:t>.</w:t>
      </w:r>
    </w:p>
    <w:p w14:paraId="25765E0B" w14:textId="4021AE77" w:rsidR="005B5601" w:rsidRDefault="00E16243" w:rsidP="00EA0CD6">
      <w:pPr>
        <w:pStyle w:val="NumberedParaAR"/>
        <w:numPr>
          <w:ilvl w:val="0"/>
          <w:numId w:val="0"/>
        </w:numPr>
        <w:ind w:left="1134"/>
        <w:rPr>
          <w:rtl/>
          <w:lang w:bidi="ar-EG"/>
        </w:rPr>
      </w:pPr>
      <w:r>
        <w:rPr>
          <w:rFonts w:hint="cs"/>
          <w:rtl/>
          <w:lang w:bidi="ar-EG"/>
        </w:rPr>
        <w:t xml:space="preserve">وقد زاد رصيد إيرادات الرسوم المؤجلة (نظام البراءات الدولي والعلامات التجارية والتصاميم الصناعية) من </w:t>
      </w:r>
      <w:r w:rsidR="005B5601">
        <w:rPr>
          <w:rFonts w:hint="cs"/>
          <w:rtl/>
          <w:lang w:bidi="ar-EG"/>
        </w:rPr>
        <w:t>198.5</w:t>
      </w:r>
      <w:r>
        <w:rPr>
          <w:rFonts w:hint="cs"/>
          <w:rtl/>
          <w:lang w:bidi="ar-EG"/>
        </w:rPr>
        <w:t xml:space="preserve"> مليون فرنك سويسري في 31 ديسمبر </w:t>
      </w:r>
      <w:r w:rsidR="005B5601">
        <w:rPr>
          <w:rFonts w:hint="cs"/>
          <w:rtl/>
          <w:lang w:bidi="ar-EG"/>
        </w:rPr>
        <w:t>2013</w:t>
      </w:r>
      <w:r>
        <w:rPr>
          <w:rFonts w:hint="cs"/>
          <w:rtl/>
          <w:lang w:bidi="ar-EG"/>
        </w:rPr>
        <w:t xml:space="preserve"> إلى </w:t>
      </w:r>
      <w:r w:rsidR="005B5601">
        <w:rPr>
          <w:rFonts w:hint="cs"/>
          <w:rtl/>
          <w:lang w:bidi="ar-EG"/>
        </w:rPr>
        <w:t>203.7</w:t>
      </w:r>
      <w:r>
        <w:rPr>
          <w:rFonts w:hint="cs"/>
          <w:rtl/>
          <w:lang w:bidi="ar-EG"/>
        </w:rPr>
        <w:t xml:space="preserve"> مليون فرنك سويسري في 31</w:t>
      </w:r>
      <w:r w:rsidR="00EA0CD6">
        <w:rPr>
          <w:rFonts w:hint="eastAsia"/>
          <w:rtl/>
          <w:lang w:bidi="ar-EG"/>
        </w:rPr>
        <w:t> </w:t>
      </w:r>
      <w:r>
        <w:rPr>
          <w:rFonts w:hint="cs"/>
          <w:rtl/>
          <w:lang w:bidi="ar-EG"/>
        </w:rPr>
        <w:t xml:space="preserve">ديسمبر </w:t>
      </w:r>
      <w:r w:rsidR="005B5601">
        <w:rPr>
          <w:rFonts w:hint="cs"/>
          <w:rtl/>
          <w:lang w:bidi="ar-EG"/>
        </w:rPr>
        <w:t>2014</w:t>
      </w:r>
      <w:r>
        <w:rPr>
          <w:rFonts w:hint="cs"/>
          <w:rtl/>
          <w:lang w:bidi="ar-EG"/>
        </w:rPr>
        <w:t xml:space="preserve">. وفي الفترة ذاتها، </w:t>
      </w:r>
      <w:r w:rsidR="006A0368">
        <w:rPr>
          <w:rFonts w:hint="cs"/>
          <w:rtl/>
          <w:lang w:bidi="ar-EG"/>
        </w:rPr>
        <w:t>ا</w:t>
      </w:r>
      <w:r w:rsidR="005B5601">
        <w:rPr>
          <w:rFonts w:hint="cs"/>
          <w:rtl/>
          <w:lang w:bidi="ar-EG"/>
        </w:rPr>
        <w:t>نخفضت</w:t>
      </w:r>
      <w:r w:rsidR="006A0368">
        <w:rPr>
          <w:rFonts w:hint="cs"/>
          <w:rtl/>
          <w:lang w:bidi="ar-EG"/>
        </w:rPr>
        <w:t xml:space="preserve"> </w:t>
      </w:r>
      <w:r>
        <w:rPr>
          <w:rFonts w:hint="cs"/>
          <w:rtl/>
          <w:lang w:bidi="ar-EG"/>
        </w:rPr>
        <w:t xml:space="preserve">مبالغ الرسوم المستحقة بناء على نظام البراءات الدولي من </w:t>
      </w:r>
      <w:r w:rsidR="005B5601">
        <w:rPr>
          <w:rFonts w:hint="cs"/>
          <w:rtl/>
          <w:lang w:bidi="ar-EG"/>
        </w:rPr>
        <w:t>62.4</w:t>
      </w:r>
      <w:r>
        <w:rPr>
          <w:rFonts w:hint="cs"/>
          <w:rtl/>
          <w:lang w:bidi="ar-EG"/>
        </w:rPr>
        <w:t xml:space="preserve"> مليون </w:t>
      </w:r>
      <w:r>
        <w:rPr>
          <w:rFonts w:hint="cs"/>
          <w:rtl/>
          <w:lang w:bidi="ar-EG"/>
        </w:rPr>
        <w:lastRenderedPageBreak/>
        <w:t xml:space="preserve">فرنك سويسري إلى </w:t>
      </w:r>
      <w:r w:rsidR="005B5601">
        <w:rPr>
          <w:rFonts w:hint="cs"/>
          <w:rtl/>
          <w:lang w:bidi="ar-EG"/>
        </w:rPr>
        <w:t xml:space="preserve">46.7 مليون فرنك سويسري. ويُعزى جزء من هذا الانخفاض في المستحقات إلى تغطية جزء من الحسابات الجارية لنظام التعاون بشأن البراءات لمبلغ قدره 3.9 مليون فرنك سويسري في 31 ديسمبر 2014، إذ حُدد أن جزءاً من رصيد الحساب الجاري يتصل بطلبات مودعة. </w:t>
      </w:r>
      <w:r>
        <w:rPr>
          <w:rFonts w:hint="cs"/>
          <w:rtl/>
          <w:lang w:bidi="ar-EG"/>
        </w:rPr>
        <w:t xml:space="preserve">وكان التأثير الصافي هو </w:t>
      </w:r>
      <w:r w:rsidR="005B5601">
        <w:rPr>
          <w:rFonts w:hint="cs"/>
          <w:rtl/>
          <w:lang w:bidi="ar-EG"/>
        </w:rPr>
        <w:t xml:space="preserve">انخفاض </w:t>
      </w:r>
      <w:r>
        <w:rPr>
          <w:rFonts w:hint="cs"/>
          <w:rtl/>
          <w:lang w:bidi="ar-EG"/>
        </w:rPr>
        <w:t>الإيرادات بمبلغ</w:t>
      </w:r>
      <w:r w:rsidR="005B5601">
        <w:rPr>
          <w:rFonts w:hint="cs"/>
          <w:rtl/>
          <w:lang w:bidi="ar-EG"/>
        </w:rPr>
        <w:t xml:space="preserve"> 17.0 مليون فرنك سويسري.</w:t>
      </w:r>
    </w:p>
    <w:p w14:paraId="4902A130" w14:textId="4710C790" w:rsidR="00E16243" w:rsidRDefault="00E16243" w:rsidP="00EA0CD6">
      <w:pPr>
        <w:pStyle w:val="NumberedParaAR"/>
        <w:numPr>
          <w:ilvl w:val="0"/>
          <w:numId w:val="0"/>
        </w:numPr>
        <w:ind w:left="1134"/>
        <w:rPr>
          <w:lang w:bidi="ar-EG"/>
        </w:rPr>
      </w:pPr>
      <w:r>
        <w:rPr>
          <w:rFonts w:hint="cs"/>
          <w:rtl/>
          <w:lang w:bidi="ar-EG"/>
        </w:rPr>
        <w:t xml:space="preserve">وأثناء </w:t>
      </w:r>
      <w:r w:rsidR="005B5601">
        <w:rPr>
          <w:rFonts w:hint="cs"/>
          <w:rtl/>
          <w:lang w:bidi="ar-EG"/>
        </w:rPr>
        <w:t>2014</w:t>
      </w:r>
      <w:r>
        <w:rPr>
          <w:rFonts w:hint="cs"/>
          <w:rtl/>
          <w:lang w:bidi="ar-EG"/>
        </w:rPr>
        <w:t xml:space="preserve">، </w:t>
      </w:r>
      <w:r w:rsidR="005B5601">
        <w:rPr>
          <w:rFonts w:hint="cs"/>
          <w:rtl/>
          <w:lang w:bidi="ar-EG"/>
        </w:rPr>
        <w:t>أقر أيضا</w:t>
      </w:r>
      <w:r w:rsidR="00EA0CD6">
        <w:rPr>
          <w:rFonts w:hint="cs"/>
          <w:rtl/>
          <w:lang w:bidi="ar-EG"/>
        </w:rPr>
        <w:t>ً</w:t>
      </w:r>
      <w:r>
        <w:rPr>
          <w:rFonts w:hint="cs"/>
          <w:rtl/>
          <w:lang w:bidi="ar-EG"/>
        </w:rPr>
        <w:t xml:space="preserve"> </w:t>
      </w:r>
      <w:r w:rsidR="005B5601">
        <w:rPr>
          <w:rFonts w:hint="cs"/>
          <w:rtl/>
          <w:lang w:bidi="ar-EG"/>
        </w:rPr>
        <w:t xml:space="preserve">بأن </w:t>
      </w:r>
      <w:r>
        <w:rPr>
          <w:rFonts w:hint="cs"/>
          <w:rtl/>
          <w:lang w:bidi="ar-EG"/>
        </w:rPr>
        <w:t xml:space="preserve">إيرادات مؤجلة قدرها </w:t>
      </w:r>
      <w:r w:rsidR="005B5601">
        <w:rPr>
          <w:rFonts w:hint="cs"/>
          <w:rtl/>
          <w:lang w:bidi="ar-EG"/>
        </w:rPr>
        <w:t>1.1</w:t>
      </w:r>
      <w:r>
        <w:rPr>
          <w:rFonts w:hint="cs"/>
          <w:rtl/>
          <w:lang w:bidi="ar-EG"/>
        </w:rPr>
        <w:t xml:space="preserve"> مليون فرنك سويسري تتعلق بتمويل مباني الأمن </w:t>
      </w:r>
      <w:r w:rsidR="005B5601">
        <w:rPr>
          <w:rFonts w:hint="cs"/>
          <w:rtl/>
          <w:lang w:bidi="ar-EG"/>
        </w:rPr>
        <w:t>التي تتولى بناءها</w:t>
      </w:r>
      <w:r>
        <w:rPr>
          <w:rFonts w:hint="cs"/>
          <w:rtl/>
          <w:lang w:bidi="ar-EG"/>
        </w:rPr>
        <w:t xml:space="preserve"> مؤسسة مباني المنظمات الدولية.</w:t>
      </w:r>
      <w:r w:rsidR="00F07400">
        <w:rPr>
          <w:rFonts w:hint="cs"/>
          <w:rtl/>
          <w:lang w:bidi="ar-EG"/>
        </w:rPr>
        <w:t xml:space="preserve"> و</w:t>
      </w:r>
      <w:r w:rsidR="00EA0CD6">
        <w:rPr>
          <w:rFonts w:hint="cs"/>
          <w:rtl/>
          <w:lang w:bidi="ar-EG"/>
        </w:rPr>
        <w:t>ترد فيما يلي تفاصيل</w:t>
      </w:r>
      <w:r w:rsidR="00F07400">
        <w:rPr>
          <w:rFonts w:hint="cs"/>
          <w:rtl/>
          <w:lang w:bidi="ar-EG"/>
        </w:rPr>
        <w:t xml:space="preserve"> </w:t>
      </w:r>
      <w:r w:rsidR="002E4F36">
        <w:rPr>
          <w:rFonts w:hint="cs"/>
          <w:rtl/>
          <w:lang w:bidi="ar-EG"/>
        </w:rPr>
        <w:t>تسوية</w:t>
      </w:r>
      <w:r w:rsidR="002B7F39">
        <w:rPr>
          <w:rFonts w:hint="cs"/>
          <w:rtl/>
          <w:lang w:bidi="ar-EG"/>
        </w:rPr>
        <w:t xml:space="preserve"> تأجيل الإيرادات</w:t>
      </w:r>
      <w:r w:rsidR="002E4F36">
        <w:rPr>
          <w:rFonts w:hint="cs"/>
          <w:rtl/>
          <w:lang w:bidi="ar-EG"/>
        </w:rPr>
        <w:t xml:space="preserve"> البالغة </w:t>
      </w:r>
      <w:r w:rsidR="005B5601">
        <w:rPr>
          <w:rFonts w:hint="cs"/>
          <w:rtl/>
          <w:lang w:bidi="ar-EG"/>
        </w:rPr>
        <w:t>18.1</w:t>
      </w:r>
      <w:r w:rsidR="002E4F36">
        <w:rPr>
          <w:rFonts w:hint="cs"/>
          <w:rtl/>
          <w:lang w:bidi="ar-EG"/>
        </w:rPr>
        <w:t xml:space="preserve"> مليون فرنك سويسري</w:t>
      </w:r>
      <w:r w:rsidR="002B7F39">
        <w:rPr>
          <w:rFonts w:hint="cs"/>
          <w:rtl/>
          <w:lang w:bidi="ar-EG"/>
        </w:rPr>
        <w:t>:</w:t>
      </w:r>
    </w:p>
    <w:p w14:paraId="04EE9C70" w14:textId="34D9D102" w:rsidR="00EC4F24" w:rsidRPr="005B5601" w:rsidRDefault="005B5601" w:rsidP="005B5601">
      <w:pPr>
        <w:pStyle w:val="NumberedParaAR"/>
        <w:keepNext/>
        <w:numPr>
          <w:ilvl w:val="0"/>
          <w:numId w:val="0"/>
        </w:numPr>
        <w:spacing w:line="240" w:lineRule="auto"/>
        <w:ind w:left="1134"/>
        <w:jc w:val="center"/>
        <w:rPr>
          <w:u w:val="single"/>
          <w:lang w:bidi="ar-EG"/>
        </w:rPr>
      </w:pPr>
      <w:r w:rsidRPr="005B5601">
        <w:rPr>
          <w:rFonts w:hint="cs"/>
          <w:noProof/>
          <w:u w:val="single"/>
          <w:rtl/>
          <w:lang w:val="fr-FR" w:eastAsia="fr-FR"/>
        </w:rPr>
        <w:t xml:space="preserve">ملخص تسوية تأجيل الإيرادات </w:t>
      </w:r>
      <w:r w:rsidR="002B3DBD">
        <w:rPr>
          <w:rFonts w:hint="cs"/>
          <w:noProof/>
          <w:u w:val="single"/>
          <w:rtl/>
          <w:lang w:val="fr-FR" w:eastAsia="fr-FR"/>
        </w:rPr>
        <w:t xml:space="preserve">وفقاً </w:t>
      </w:r>
      <w:r w:rsidRPr="005B5601">
        <w:rPr>
          <w:rFonts w:hint="cs"/>
          <w:noProof/>
          <w:u w:val="single"/>
          <w:rtl/>
          <w:lang w:val="fr-FR" w:eastAsia="fr-FR"/>
        </w:rPr>
        <w:t xml:space="preserve">للمعايير </w:t>
      </w:r>
      <w:r w:rsidRPr="005B5601">
        <w:rPr>
          <w:noProof/>
          <w:u w:val="single"/>
          <w:rtl/>
          <w:lang w:val="fr-FR" w:eastAsia="fr-FR"/>
        </w:rPr>
        <w:t>المحاسبية الدولية للقطاع العام</w:t>
      </w:r>
      <w:r w:rsidRPr="005B5601">
        <w:rPr>
          <w:rFonts w:hint="cs"/>
          <w:noProof/>
          <w:u w:val="single"/>
          <w:rtl/>
          <w:lang w:val="fr-FR" w:eastAsia="fr-FR"/>
        </w:rPr>
        <w:t xml:space="preserve"> في عام 2014</w:t>
      </w:r>
    </w:p>
    <w:p w14:paraId="50F41AAD" w14:textId="656AB1BF" w:rsidR="005B5601" w:rsidRDefault="000605E2" w:rsidP="005B5601">
      <w:pPr>
        <w:pStyle w:val="NumberedParaAR"/>
        <w:numPr>
          <w:ilvl w:val="0"/>
          <w:numId w:val="0"/>
        </w:numPr>
        <w:spacing w:line="240" w:lineRule="auto"/>
        <w:ind w:left="1134"/>
        <w:jc w:val="center"/>
        <w:rPr>
          <w:lang w:bidi="ar-EG"/>
        </w:rPr>
      </w:pPr>
      <w:r w:rsidRPr="000605E2">
        <w:rPr>
          <w:noProof/>
          <w:rtl/>
        </w:rPr>
        <w:drawing>
          <wp:inline distT="0" distB="0" distL="0" distR="0" wp14:anchorId="7C8628BA" wp14:editId="3D4399A9">
            <wp:extent cx="4384675" cy="137160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84675" cy="1371600"/>
                    </a:xfrm>
                    <a:prstGeom prst="rect">
                      <a:avLst/>
                    </a:prstGeom>
                    <a:noFill/>
                    <a:ln>
                      <a:noFill/>
                    </a:ln>
                  </pic:spPr>
                </pic:pic>
              </a:graphicData>
            </a:graphic>
          </wp:inline>
        </w:drawing>
      </w:r>
    </w:p>
    <w:p w14:paraId="3FB03C35" w14:textId="247BE160" w:rsidR="00E16243" w:rsidRDefault="00E16243" w:rsidP="00EA0CD6">
      <w:pPr>
        <w:pStyle w:val="NumberedParaAR"/>
        <w:numPr>
          <w:ilvl w:val="0"/>
          <w:numId w:val="7"/>
        </w:numPr>
        <w:rPr>
          <w:lang w:bidi="ar-EG"/>
        </w:rPr>
      </w:pPr>
      <w:r>
        <w:rPr>
          <w:rFonts w:hint="cs"/>
          <w:rtl/>
          <w:lang w:bidi="ar-EG"/>
        </w:rPr>
        <w:t xml:space="preserve">وتشمل نتائج </w:t>
      </w:r>
      <w:r w:rsidR="001D3857">
        <w:rPr>
          <w:rFonts w:hint="cs"/>
          <w:rtl/>
          <w:lang w:bidi="ar-EG"/>
        </w:rPr>
        <w:t>عام 2014</w:t>
      </w:r>
      <w:r>
        <w:rPr>
          <w:rFonts w:hint="cs"/>
          <w:rtl/>
          <w:lang w:bidi="ar-EG"/>
        </w:rPr>
        <w:t xml:space="preserve"> بناء على المعايير المحاسبية الدولية للقطاع العام مصروفات اهتلاك المباني والمعدات ومصروف استهلاك الأصول غير المادية، نظرا</w:t>
      </w:r>
      <w:r w:rsidR="00EA0CD6">
        <w:rPr>
          <w:rFonts w:hint="cs"/>
          <w:rtl/>
          <w:lang w:bidi="ar-EG"/>
        </w:rPr>
        <w:t>ً</w:t>
      </w:r>
      <w:r>
        <w:rPr>
          <w:rFonts w:hint="cs"/>
          <w:rtl/>
          <w:lang w:bidi="ar-EG"/>
        </w:rPr>
        <w:t xml:space="preserve"> </w:t>
      </w:r>
      <w:r w:rsidR="00EA0CD6">
        <w:rPr>
          <w:rFonts w:hint="cs"/>
          <w:rtl/>
          <w:lang w:bidi="ar-EG"/>
        </w:rPr>
        <w:t xml:space="preserve">إلى </w:t>
      </w:r>
      <w:r>
        <w:rPr>
          <w:rFonts w:hint="cs"/>
          <w:rtl/>
          <w:lang w:bidi="ar-EG"/>
        </w:rPr>
        <w:t xml:space="preserve">أن تكاليف هذه الأصول موزعة على عمرها الإنتاجي. وقد بلغ مجموع تكاليف الاهتلاك والاستهلاك للسنة </w:t>
      </w:r>
      <w:r w:rsidR="001D3857">
        <w:rPr>
          <w:rFonts w:hint="cs"/>
          <w:rtl/>
          <w:lang w:bidi="ar-EG"/>
        </w:rPr>
        <w:t>9.1</w:t>
      </w:r>
      <w:r>
        <w:rPr>
          <w:rFonts w:hint="cs"/>
          <w:rtl/>
          <w:lang w:bidi="ar-EG"/>
        </w:rPr>
        <w:t xml:space="preserve"> مليون فرنك سويسري.</w:t>
      </w:r>
    </w:p>
    <w:p w14:paraId="6702A387" w14:textId="0F9FACB3" w:rsidR="001D3857" w:rsidRDefault="00E16243" w:rsidP="000A5ACC">
      <w:pPr>
        <w:pStyle w:val="NumberedParaAR"/>
        <w:numPr>
          <w:ilvl w:val="0"/>
          <w:numId w:val="7"/>
        </w:numPr>
        <w:rPr>
          <w:lang w:bidi="ar-EG"/>
        </w:rPr>
      </w:pPr>
      <w:r>
        <w:rPr>
          <w:rFonts w:hint="cs"/>
          <w:rtl/>
          <w:lang w:bidi="ar-EG"/>
        </w:rPr>
        <w:t>وتستلزم المعايير المحاسبية الدولية للقطاع العام قيد مستحقات الموظفين التي يحصل عليها الموظفون ولكنها لم</w:t>
      </w:r>
      <w:r>
        <w:rPr>
          <w:rFonts w:hint="eastAsia"/>
          <w:rtl/>
          <w:lang w:bidi="ar-EG"/>
        </w:rPr>
        <w:t> </w:t>
      </w:r>
      <w:r>
        <w:rPr>
          <w:rFonts w:hint="cs"/>
          <w:rtl/>
          <w:lang w:bidi="ar-EG"/>
        </w:rPr>
        <w:t>تسدد بعد باعتبارها خصوما</w:t>
      </w:r>
      <w:r w:rsidR="00EA0CD6">
        <w:rPr>
          <w:rFonts w:hint="cs"/>
          <w:rtl/>
          <w:lang w:bidi="ar-EG"/>
        </w:rPr>
        <w:t>ً</w:t>
      </w:r>
      <w:r>
        <w:rPr>
          <w:rFonts w:hint="cs"/>
          <w:rtl/>
          <w:lang w:bidi="ar-EG"/>
        </w:rPr>
        <w:t xml:space="preserve"> على المنظمة. </w:t>
      </w:r>
      <w:r w:rsidR="009A1B38">
        <w:rPr>
          <w:rFonts w:hint="cs"/>
          <w:rtl/>
          <w:lang w:bidi="ar-EG"/>
        </w:rPr>
        <w:t xml:space="preserve">وتحقق تسويات المعايير المحاسبية الدولية للقطاع العام </w:t>
      </w:r>
      <w:r w:rsidR="00E077A9">
        <w:rPr>
          <w:rFonts w:hint="cs"/>
          <w:rtl/>
          <w:lang w:bidi="ar-EG"/>
        </w:rPr>
        <w:t xml:space="preserve">في </w:t>
      </w:r>
      <w:r w:rsidR="009A1B38">
        <w:rPr>
          <w:rFonts w:hint="cs"/>
          <w:rtl/>
          <w:lang w:bidi="ar-EG"/>
        </w:rPr>
        <w:t xml:space="preserve">مجموع الخصوم المقيدة في البيانات المالية </w:t>
      </w:r>
      <w:r w:rsidR="00E077A9">
        <w:rPr>
          <w:rFonts w:hint="cs"/>
          <w:rtl/>
          <w:lang w:bidi="ar-EG"/>
        </w:rPr>
        <w:t xml:space="preserve">اتساقاً مع </w:t>
      </w:r>
      <w:r w:rsidR="00BA7A9F">
        <w:rPr>
          <w:rFonts w:hint="cs"/>
          <w:rtl/>
          <w:lang w:bidi="ar-EG"/>
        </w:rPr>
        <w:t xml:space="preserve">حسابات تلك الخصوم </w:t>
      </w:r>
      <w:r w:rsidR="002B3DBD">
        <w:rPr>
          <w:rFonts w:hint="cs"/>
          <w:rtl/>
          <w:lang w:bidi="ar-EG"/>
        </w:rPr>
        <w:t xml:space="preserve">وفقاً </w:t>
      </w:r>
      <w:r w:rsidR="00E077A9">
        <w:rPr>
          <w:rFonts w:hint="cs"/>
          <w:rtl/>
          <w:lang w:bidi="ar-EG"/>
        </w:rPr>
        <w:t>للمعايير المحاسبية الدولية للقطاع العام</w:t>
      </w:r>
      <w:r w:rsidR="00BA7A9F">
        <w:rPr>
          <w:rFonts w:hint="cs"/>
          <w:rtl/>
          <w:lang w:bidi="ar-EG"/>
        </w:rPr>
        <w:t xml:space="preserve">، بما في ذلك تلك التي أعدها </w:t>
      </w:r>
      <w:r w:rsidR="00A104C3">
        <w:rPr>
          <w:rFonts w:hint="cs"/>
          <w:rtl/>
          <w:lang w:bidi="ar-EG"/>
        </w:rPr>
        <w:t xml:space="preserve">أكتواريون خارجيون. </w:t>
      </w:r>
      <w:r w:rsidR="001D3857">
        <w:rPr>
          <w:rFonts w:hint="cs"/>
          <w:rtl/>
          <w:lang w:bidi="ar-EG"/>
        </w:rPr>
        <w:t xml:space="preserve">وازدادت خصوم </w:t>
      </w:r>
      <w:r w:rsidR="00EA0CD6">
        <w:rPr>
          <w:rFonts w:hint="cs"/>
          <w:rtl/>
          <w:lang w:bidi="ar-EG"/>
        </w:rPr>
        <w:t>مستحقات</w:t>
      </w:r>
      <w:r w:rsidR="001D3857">
        <w:rPr>
          <w:rFonts w:hint="cs"/>
          <w:rtl/>
          <w:lang w:bidi="ar-EG"/>
        </w:rPr>
        <w:t xml:space="preserve"> الموظفين المعترف بها بموجب المعايير المحاسبية الدولية للقطاع العام (التأمين الصحي ما بعد الخدمة، ومنح العودة إلى الوطن والسفر، والإجازات السنوية المتراكمة، والإجازات لزيارة الوطن، والساعات الإضافية، و</w:t>
      </w:r>
      <w:r w:rsidR="001D3857" w:rsidRPr="001D3857">
        <w:rPr>
          <w:rtl/>
          <w:lang w:bidi="ar-EG"/>
        </w:rPr>
        <w:t>صندوق الويبو المقفل للمعاشات التقاعدية</w:t>
      </w:r>
      <w:r w:rsidR="001D3857">
        <w:rPr>
          <w:rFonts w:hint="cs"/>
          <w:rtl/>
          <w:lang w:bidi="ar-EG"/>
        </w:rPr>
        <w:t xml:space="preserve">) بمبلغ 10.2 مليون فرنك سويسري خلال عام 2014. وفي إطار البرنامج والميزانية، فرض رسم قدره 6 بالمئة على تكاليف الوظائف لتمويل </w:t>
      </w:r>
      <w:r w:rsidR="00EA0CD6">
        <w:rPr>
          <w:rFonts w:hint="cs"/>
          <w:rtl/>
          <w:lang w:bidi="ar-EG"/>
        </w:rPr>
        <w:t>مستحقات</w:t>
      </w:r>
      <w:r w:rsidR="001D3857">
        <w:rPr>
          <w:rFonts w:hint="cs"/>
          <w:rtl/>
          <w:lang w:bidi="ar-EG"/>
        </w:rPr>
        <w:t xml:space="preserve"> الموظفين في فترة ما بعد الخدمة. وفي عام 2014، أدى هذا الرسم إلى تخصيص 7.4 مليون فرنك سويسري، بعد خصم المستحقات المسددة للموظفين في فترة ما بعد الخدمة خلال تلك الفترة (مساهمة المنظمة أساساً في أقساط المتقاعدين المتمتعين بالتأمين الصحي ما بعد الخدمة). ونتيجة لذلك، </w:t>
      </w:r>
      <w:r w:rsidR="003A0EC9">
        <w:rPr>
          <w:rFonts w:hint="cs"/>
          <w:rtl/>
          <w:lang w:bidi="ar-EG"/>
        </w:rPr>
        <w:t>بلغت</w:t>
      </w:r>
      <w:r w:rsidR="001D3857">
        <w:rPr>
          <w:rFonts w:hint="cs"/>
          <w:rtl/>
          <w:lang w:bidi="ar-EG"/>
        </w:rPr>
        <w:t xml:space="preserve"> التسوية </w:t>
      </w:r>
      <w:r w:rsidR="002B3DBD">
        <w:rPr>
          <w:rFonts w:hint="cs"/>
          <w:rtl/>
          <w:lang w:bidi="ar-EG"/>
        </w:rPr>
        <w:t xml:space="preserve">وفقاً </w:t>
      </w:r>
      <w:r w:rsidR="001D3857">
        <w:rPr>
          <w:rFonts w:hint="cs"/>
          <w:rtl/>
          <w:lang w:bidi="ar-EG"/>
        </w:rPr>
        <w:t xml:space="preserve">للمعايير المحاسبية الدولية للقطاع العام اللازمة لتغطية الزيادة المتبقية البالغة 10.2 مليون فرنك سويسري والمتعلقة بخصوم </w:t>
      </w:r>
      <w:r w:rsidR="00EA0CD6">
        <w:rPr>
          <w:rFonts w:hint="cs"/>
          <w:rtl/>
          <w:lang w:bidi="ar-EG"/>
        </w:rPr>
        <w:t>مستحقات</w:t>
      </w:r>
      <w:r w:rsidR="001D3857">
        <w:rPr>
          <w:rFonts w:hint="cs"/>
          <w:rtl/>
          <w:lang w:bidi="ar-EG"/>
        </w:rPr>
        <w:t xml:space="preserve"> الموظفين</w:t>
      </w:r>
      <w:r w:rsidR="003A0EC9">
        <w:rPr>
          <w:rFonts w:hint="cs"/>
          <w:rtl/>
          <w:lang w:bidi="ar-EG"/>
        </w:rPr>
        <w:t xml:space="preserve"> 2.8 مليون فرنك سويسري.</w:t>
      </w:r>
    </w:p>
    <w:p w14:paraId="6B486FEC" w14:textId="77777777" w:rsidR="003A0EC9" w:rsidRDefault="003A0EC9" w:rsidP="000A5ACC">
      <w:pPr>
        <w:pStyle w:val="NumberedParaAR"/>
        <w:numPr>
          <w:ilvl w:val="0"/>
          <w:numId w:val="7"/>
        </w:numPr>
        <w:rPr>
          <w:lang w:bidi="ar-EG"/>
        </w:rPr>
      </w:pPr>
      <w:r>
        <w:rPr>
          <w:rFonts w:hint="cs"/>
          <w:rtl/>
          <w:lang w:bidi="ar-EG"/>
        </w:rPr>
        <w:t>وتخص التسويات الأخرى بموجب المعايير المحاسبية الدولية للقطاع العام انخفاض المخزونات (ما أدى إلى إنفاق 0.4 مليون فرنك سويسري) وانخفاض المستحقات عن الاشتراكات المقررة (ما أدى إلى إيرادات قدرها 0.3 مليون فرنك سويسري).</w:t>
      </w:r>
    </w:p>
    <w:p w14:paraId="54FA9091" w14:textId="4FC2ABA8" w:rsidR="00E16243" w:rsidRDefault="00E16243" w:rsidP="000A5ACC">
      <w:pPr>
        <w:pStyle w:val="NumberedParaAR"/>
        <w:numPr>
          <w:ilvl w:val="0"/>
          <w:numId w:val="7"/>
        </w:numPr>
        <w:rPr>
          <w:lang w:bidi="ar-EG"/>
        </w:rPr>
      </w:pPr>
      <w:r>
        <w:rPr>
          <w:rFonts w:hint="cs"/>
          <w:rtl/>
          <w:lang w:bidi="ar-EG"/>
        </w:rPr>
        <w:lastRenderedPageBreak/>
        <w:t xml:space="preserve">وقد رُسملت التكاليف المتعلقة بتشييد المباني وتحسينها </w:t>
      </w:r>
      <w:r w:rsidR="002B3DBD">
        <w:rPr>
          <w:rFonts w:hint="cs"/>
          <w:rtl/>
          <w:lang w:bidi="ar-EG"/>
        </w:rPr>
        <w:t xml:space="preserve">وفقاً </w:t>
      </w:r>
      <w:r>
        <w:rPr>
          <w:rFonts w:hint="cs"/>
          <w:rtl/>
          <w:lang w:bidi="ar-EG"/>
        </w:rPr>
        <w:t>للمعايير المحاسبية الدولية للقطا</w:t>
      </w:r>
      <w:r w:rsidR="003A0EC9">
        <w:rPr>
          <w:rFonts w:hint="cs"/>
          <w:rtl/>
          <w:lang w:bidi="ar-EG"/>
        </w:rPr>
        <w:t xml:space="preserve">ع العام، ما خفض المصروفات خلال </w:t>
      </w:r>
      <w:r>
        <w:rPr>
          <w:rFonts w:hint="cs"/>
          <w:rtl/>
          <w:lang w:bidi="ar-EG"/>
        </w:rPr>
        <w:t xml:space="preserve">عام </w:t>
      </w:r>
      <w:r w:rsidR="003A0EC9">
        <w:rPr>
          <w:rFonts w:hint="cs"/>
          <w:rtl/>
          <w:lang w:bidi="ar-EG"/>
        </w:rPr>
        <w:t>2014</w:t>
      </w:r>
      <w:r>
        <w:rPr>
          <w:rFonts w:hint="cs"/>
          <w:rtl/>
          <w:lang w:bidi="ar-EG"/>
        </w:rPr>
        <w:t xml:space="preserve"> بمبلغ قدره </w:t>
      </w:r>
      <w:r w:rsidR="003A0EC9">
        <w:rPr>
          <w:rFonts w:hint="cs"/>
          <w:rtl/>
          <w:lang w:bidi="ar-EG"/>
        </w:rPr>
        <w:t xml:space="preserve">30.4 مليون </w:t>
      </w:r>
      <w:r>
        <w:rPr>
          <w:rFonts w:hint="cs"/>
          <w:rtl/>
          <w:lang w:bidi="ar-EG"/>
        </w:rPr>
        <w:t xml:space="preserve">فرنك سويسري. وعلى النسق ذاته رُسمل اقتناء بعض المعدات بناء على المعايير المحاسبية الدولية للقطاع العام، ما خفض مصروفات </w:t>
      </w:r>
      <w:r w:rsidR="00357BE9">
        <w:rPr>
          <w:rFonts w:hint="cs"/>
          <w:rtl/>
          <w:lang w:bidi="ar-EG"/>
        </w:rPr>
        <w:t xml:space="preserve">العام </w:t>
      </w:r>
      <w:r w:rsidR="003A0EC9">
        <w:rPr>
          <w:rFonts w:hint="cs"/>
          <w:rtl/>
          <w:lang w:bidi="ar-EG"/>
        </w:rPr>
        <w:t xml:space="preserve">بمبلغ قدره مليوني </w:t>
      </w:r>
      <w:r>
        <w:rPr>
          <w:rFonts w:hint="cs"/>
          <w:rtl/>
          <w:lang w:bidi="ar-EG"/>
        </w:rPr>
        <w:t>فرنك سويسري.</w:t>
      </w:r>
    </w:p>
    <w:p w14:paraId="2B88F0CE" w14:textId="77777777" w:rsidR="00E16243" w:rsidRPr="00DD5B3E" w:rsidRDefault="00E16243" w:rsidP="00540C96">
      <w:pPr>
        <w:pStyle w:val="NumberedParaAR"/>
        <w:keepNext/>
        <w:keepLines/>
        <w:numPr>
          <w:ilvl w:val="0"/>
          <w:numId w:val="0"/>
        </w:numPr>
        <w:rPr>
          <w:b/>
          <w:bCs/>
          <w:i/>
          <w:iCs/>
          <w:rtl/>
          <w:lang w:bidi="ar-EG"/>
        </w:rPr>
      </w:pPr>
      <w:r w:rsidRPr="00DD5B3E">
        <w:rPr>
          <w:rFonts w:hint="cs"/>
          <w:b/>
          <w:bCs/>
          <w:i/>
          <w:iCs/>
          <w:rtl/>
          <w:lang w:bidi="ar-EG"/>
        </w:rPr>
        <w:t>تحليل الإيرادات</w:t>
      </w:r>
    </w:p>
    <w:p w14:paraId="3F8AD86A" w14:textId="4A2AFA50" w:rsidR="00E16243" w:rsidRPr="003A0EC9" w:rsidRDefault="00E16243" w:rsidP="0089059B">
      <w:pPr>
        <w:pStyle w:val="NumberedParaAR"/>
        <w:keepNext/>
        <w:keepLines/>
        <w:numPr>
          <w:ilvl w:val="0"/>
          <w:numId w:val="0"/>
        </w:numPr>
        <w:spacing w:after="120"/>
        <w:jc w:val="center"/>
        <w:rPr>
          <w:u w:val="single"/>
          <w:rtl/>
          <w:lang w:bidi="ar-EG"/>
        </w:rPr>
      </w:pPr>
      <w:r w:rsidRPr="003A0EC9">
        <w:rPr>
          <w:rFonts w:hint="cs"/>
          <w:u w:val="single"/>
          <w:rtl/>
          <w:lang w:bidi="ar-EG"/>
        </w:rPr>
        <w:t xml:space="preserve">مكونات الإيرادات في </w:t>
      </w:r>
      <w:r w:rsidR="003A0EC9" w:rsidRPr="003A0EC9">
        <w:rPr>
          <w:rFonts w:hint="cs"/>
          <w:u w:val="single"/>
          <w:rtl/>
          <w:lang w:bidi="ar-EG"/>
        </w:rPr>
        <w:t>2014</w:t>
      </w:r>
      <w:r w:rsidRPr="003A0EC9">
        <w:rPr>
          <w:rFonts w:hint="cs"/>
          <w:u w:val="single"/>
          <w:rtl/>
          <w:lang w:bidi="ar-EG"/>
        </w:rPr>
        <w:t xml:space="preserve"> على </w:t>
      </w:r>
      <w:r w:rsidR="00FD2528">
        <w:rPr>
          <w:rFonts w:hint="cs"/>
          <w:u w:val="single"/>
          <w:rtl/>
          <w:lang w:bidi="ar-EG"/>
        </w:rPr>
        <w:t xml:space="preserve">أساس </w:t>
      </w:r>
      <w:r w:rsidRPr="003A0EC9">
        <w:rPr>
          <w:rFonts w:hint="cs"/>
          <w:u w:val="single"/>
          <w:rtl/>
          <w:lang w:bidi="ar-EG"/>
        </w:rPr>
        <w:t>المعايير المحاسبية الدولية للقطاع العام</w:t>
      </w:r>
    </w:p>
    <w:p w14:paraId="4C9D4295" w14:textId="77777777" w:rsidR="003A0EC9" w:rsidRPr="00EA0CD6" w:rsidRDefault="003A0EC9" w:rsidP="003A0EC9">
      <w:pPr>
        <w:pStyle w:val="NumberedParaAR"/>
        <w:keepNext/>
        <w:keepLines/>
        <w:numPr>
          <w:ilvl w:val="0"/>
          <w:numId w:val="0"/>
        </w:numPr>
        <w:jc w:val="center"/>
        <w:rPr>
          <w:i/>
          <w:iCs/>
          <w:rtl/>
          <w:lang w:bidi="ar-EG"/>
        </w:rPr>
      </w:pPr>
      <w:r w:rsidRPr="00EA0CD6">
        <w:rPr>
          <w:rFonts w:hint="cs"/>
          <w:i/>
          <w:iCs/>
          <w:rtl/>
          <w:lang w:bidi="ar-EG"/>
        </w:rPr>
        <w:t>(بملايين الفرنكات السويسرية)</w:t>
      </w:r>
    </w:p>
    <w:p w14:paraId="4810336F" w14:textId="7366CB1E" w:rsidR="00E16243" w:rsidRDefault="000605E2" w:rsidP="00C73B1C">
      <w:pPr>
        <w:pStyle w:val="NumberedParaAR"/>
        <w:numPr>
          <w:ilvl w:val="0"/>
          <w:numId w:val="0"/>
        </w:numPr>
        <w:spacing w:line="240" w:lineRule="auto"/>
        <w:jc w:val="center"/>
        <w:rPr>
          <w:rtl/>
          <w:lang w:bidi="ar-EG"/>
        </w:rPr>
      </w:pPr>
      <w:r>
        <w:rPr>
          <w:noProof/>
        </w:rPr>
        <w:drawing>
          <wp:inline distT="0" distB="0" distL="0" distR="0" wp14:anchorId="4AE0FA2A" wp14:editId="5DE9F4F2">
            <wp:extent cx="4944110" cy="3213100"/>
            <wp:effectExtent l="0" t="0" r="8890" b="635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4110" cy="3213100"/>
                    </a:xfrm>
                    <a:prstGeom prst="rect">
                      <a:avLst/>
                    </a:prstGeom>
                    <a:noFill/>
                  </pic:spPr>
                </pic:pic>
              </a:graphicData>
            </a:graphic>
          </wp:inline>
        </w:drawing>
      </w:r>
    </w:p>
    <w:p w14:paraId="3091F2FB" w14:textId="41CCED2B" w:rsidR="001E3CE5" w:rsidRDefault="00E16243" w:rsidP="001E3CE5">
      <w:pPr>
        <w:pStyle w:val="NumberedParaAR"/>
        <w:rPr>
          <w:lang w:bidi="ar-EG"/>
        </w:rPr>
      </w:pPr>
      <w:r>
        <w:rPr>
          <w:rFonts w:hint="cs"/>
          <w:rtl/>
          <w:lang w:bidi="ar-EG"/>
        </w:rPr>
        <w:t xml:space="preserve">بلغ مجموع إيرادات المنظمة </w:t>
      </w:r>
      <w:r w:rsidR="001E3CE5">
        <w:rPr>
          <w:rFonts w:hint="cs"/>
          <w:rtl/>
          <w:lang w:bidi="ar-EG"/>
        </w:rPr>
        <w:t>370.2</w:t>
      </w:r>
      <w:r>
        <w:rPr>
          <w:rFonts w:hint="cs"/>
          <w:rtl/>
          <w:lang w:bidi="ar-EG"/>
        </w:rPr>
        <w:t xml:space="preserve"> مليون فرنك سويسري في عام </w:t>
      </w:r>
      <w:r w:rsidR="001E3CE5">
        <w:rPr>
          <w:rFonts w:hint="cs"/>
          <w:rtl/>
          <w:lang w:bidi="ar-EG"/>
        </w:rPr>
        <w:t>2014</w:t>
      </w:r>
      <w:r>
        <w:rPr>
          <w:rFonts w:hint="cs"/>
          <w:rtl/>
          <w:lang w:bidi="ar-EG"/>
        </w:rPr>
        <w:t xml:space="preserve">، ويمثل ذلك زيادة قدرها </w:t>
      </w:r>
      <w:r w:rsidR="001E3CE5">
        <w:rPr>
          <w:rFonts w:hint="cs"/>
          <w:rtl/>
          <w:lang w:bidi="ar-EG"/>
        </w:rPr>
        <w:t>5.3</w:t>
      </w:r>
      <w:r>
        <w:rPr>
          <w:rFonts w:hint="cs"/>
          <w:rtl/>
          <w:lang w:bidi="ar-EG"/>
        </w:rPr>
        <w:t xml:space="preserve"> </w:t>
      </w:r>
      <w:r w:rsidR="00257637">
        <w:rPr>
          <w:rFonts w:hint="cs"/>
          <w:rtl/>
          <w:lang w:bidi="ar-EG"/>
        </w:rPr>
        <w:t>بالمئة</w:t>
      </w:r>
      <w:r>
        <w:rPr>
          <w:rFonts w:hint="cs"/>
          <w:rtl/>
          <w:lang w:bidi="ar-EG"/>
        </w:rPr>
        <w:t xml:space="preserve"> مقارنة </w:t>
      </w:r>
      <w:r w:rsidR="00871F21">
        <w:rPr>
          <w:rFonts w:hint="cs"/>
          <w:rtl/>
          <w:lang w:bidi="ar-EG"/>
        </w:rPr>
        <w:t xml:space="preserve">بمجموع إيرادات عام </w:t>
      </w:r>
      <w:r w:rsidR="001E3CE5">
        <w:rPr>
          <w:rFonts w:hint="cs"/>
          <w:rtl/>
          <w:lang w:bidi="ar-EG"/>
        </w:rPr>
        <w:t>2013</w:t>
      </w:r>
      <w:r w:rsidR="00871F21">
        <w:rPr>
          <w:rFonts w:hint="cs"/>
          <w:rtl/>
          <w:lang w:bidi="ar-EG"/>
        </w:rPr>
        <w:t xml:space="preserve"> </w:t>
      </w:r>
      <w:r w:rsidR="001E3CE5">
        <w:rPr>
          <w:rFonts w:hint="cs"/>
          <w:rtl/>
          <w:lang w:bidi="ar-EG"/>
        </w:rPr>
        <w:t>البالغ 351.6</w:t>
      </w:r>
      <w:r>
        <w:rPr>
          <w:rFonts w:hint="cs"/>
          <w:rtl/>
          <w:lang w:bidi="ar-EG"/>
        </w:rPr>
        <w:t xml:space="preserve"> مليون فرنك سويسري.</w:t>
      </w:r>
      <w:r w:rsidR="001E3CE5">
        <w:rPr>
          <w:rFonts w:hint="cs"/>
          <w:rtl/>
          <w:lang w:bidi="ar-EG"/>
        </w:rPr>
        <w:t xml:space="preserve"> </w:t>
      </w:r>
      <w:r>
        <w:rPr>
          <w:rFonts w:hint="cs"/>
          <w:rtl/>
          <w:lang w:bidi="ar-EG"/>
        </w:rPr>
        <w:t xml:space="preserve">وكان أكبر مصدر للإيرادات خلال </w:t>
      </w:r>
      <w:r w:rsidR="001E3CE5">
        <w:rPr>
          <w:rFonts w:hint="cs"/>
          <w:rtl/>
          <w:lang w:bidi="ar-EG"/>
        </w:rPr>
        <w:t>2014</w:t>
      </w:r>
      <w:r>
        <w:rPr>
          <w:rFonts w:hint="cs"/>
          <w:rtl/>
          <w:lang w:bidi="ar-EG"/>
        </w:rPr>
        <w:t xml:space="preserve"> هو رسوم نظام </w:t>
      </w:r>
      <w:r w:rsidR="001E3CE5">
        <w:rPr>
          <w:rFonts w:hint="cs"/>
          <w:rtl/>
          <w:lang w:bidi="ar-EG"/>
        </w:rPr>
        <w:t>معاهدة التعاون بشأن البراءات</w:t>
      </w:r>
      <w:r>
        <w:rPr>
          <w:rFonts w:hint="cs"/>
          <w:rtl/>
          <w:lang w:bidi="ar-EG"/>
        </w:rPr>
        <w:t xml:space="preserve">، التي بلغت </w:t>
      </w:r>
      <w:r w:rsidR="001E3CE5">
        <w:rPr>
          <w:rFonts w:hint="cs"/>
          <w:rtl/>
          <w:lang w:bidi="ar-EG"/>
        </w:rPr>
        <w:t>75.2</w:t>
      </w:r>
      <w:r>
        <w:rPr>
          <w:rFonts w:hint="cs"/>
          <w:rtl/>
          <w:lang w:bidi="ar-EG"/>
        </w:rPr>
        <w:t xml:space="preserve"> </w:t>
      </w:r>
      <w:r w:rsidR="00257637">
        <w:rPr>
          <w:rFonts w:hint="cs"/>
          <w:rtl/>
          <w:lang w:bidi="ar-EG"/>
        </w:rPr>
        <w:t>بالمئة</w:t>
      </w:r>
      <w:r>
        <w:rPr>
          <w:rFonts w:hint="cs"/>
          <w:rtl/>
          <w:lang w:bidi="ar-EG"/>
        </w:rPr>
        <w:t xml:space="preserve"> من مجموع الإيرادات. وقد زادت إيرادات رسوم نظام </w:t>
      </w:r>
      <w:r w:rsidR="001E3CE5">
        <w:rPr>
          <w:rFonts w:hint="cs"/>
          <w:rtl/>
          <w:lang w:bidi="ar-EG"/>
        </w:rPr>
        <w:t>التعاون بشأن البراءات</w:t>
      </w:r>
      <w:r>
        <w:rPr>
          <w:rFonts w:hint="cs"/>
          <w:rtl/>
          <w:lang w:bidi="ar-EG"/>
        </w:rPr>
        <w:t xml:space="preserve"> بنسبة </w:t>
      </w:r>
      <w:r w:rsidR="001E3CE5">
        <w:rPr>
          <w:rFonts w:hint="cs"/>
          <w:rtl/>
          <w:lang w:bidi="ar-EG"/>
        </w:rPr>
        <w:t>8.2</w:t>
      </w:r>
      <w:r>
        <w:rPr>
          <w:rFonts w:hint="cs"/>
          <w:rtl/>
          <w:lang w:bidi="ar-EG"/>
        </w:rPr>
        <w:t xml:space="preserve"> </w:t>
      </w:r>
      <w:r w:rsidR="00257637">
        <w:rPr>
          <w:rFonts w:hint="cs"/>
          <w:rtl/>
          <w:lang w:bidi="ar-EG"/>
        </w:rPr>
        <w:t>بالمئة</w:t>
      </w:r>
      <w:r>
        <w:rPr>
          <w:rFonts w:hint="cs"/>
          <w:rtl/>
          <w:lang w:bidi="ar-EG"/>
        </w:rPr>
        <w:t xml:space="preserve"> عما كانت عليه في </w:t>
      </w:r>
      <w:r w:rsidR="001E3CE5">
        <w:rPr>
          <w:rFonts w:hint="cs"/>
          <w:rtl/>
          <w:lang w:bidi="ar-EG"/>
        </w:rPr>
        <w:t>2013.</w:t>
      </w:r>
    </w:p>
    <w:p w14:paraId="6A234FDD" w14:textId="3E5908A8" w:rsidR="001E3CE5" w:rsidRDefault="00E16243" w:rsidP="001E3CE5">
      <w:pPr>
        <w:pStyle w:val="NumberedParaAR"/>
        <w:rPr>
          <w:lang w:bidi="ar-EG"/>
        </w:rPr>
      </w:pPr>
      <w:r>
        <w:rPr>
          <w:rFonts w:hint="cs"/>
          <w:rtl/>
          <w:lang w:bidi="ar-EG"/>
        </w:rPr>
        <w:t xml:space="preserve">وتمثل رسوم نظام مدريد ثاني أكبر مصدر لإيرادات المنظمة، حيث بلغت </w:t>
      </w:r>
      <w:r w:rsidR="001E3CE5">
        <w:rPr>
          <w:rFonts w:hint="cs"/>
          <w:rtl/>
          <w:lang w:bidi="ar-EG"/>
        </w:rPr>
        <w:t>14.9</w:t>
      </w:r>
      <w:r>
        <w:rPr>
          <w:rFonts w:hint="cs"/>
          <w:rtl/>
          <w:lang w:bidi="ar-EG"/>
        </w:rPr>
        <w:t xml:space="preserve"> </w:t>
      </w:r>
      <w:r w:rsidR="00257637">
        <w:rPr>
          <w:rFonts w:hint="cs"/>
          <w:rtl/>
          <w:lang w:bidi="ar-EG"/>
        </w:rPr>
        <w:t>بالمئة</w:t>
      </w:r>
      <w:r>
        <w:rPr>
          <w:rFonts w:hint="cs"/>
          <w:rtl/>
          <w:lang w:bidi="ar-EG"/>
        </w:rPr>
        <w:t xml:space="preserve"> من مجموع الإيرادات</w:t>
      </w:r>
      <w:r w:rsidR="001E3CE5">
        <w:rPr>
          <w:rFonts w:hint="cs"/>
          <w:rtl/>
          <w:lang w:bidi="ar-EG"/>
        </w:rPr>
        <w:t xml:space="preserve"> وإن انخفضت هذه الرسوم بمبلغ 0.3 مليون فرنك سويسري مقارنة بعام 2013.</w:t>
      </w:r>
      <w:r>
        <w:rPr>
          <w:rFonts w:hint="cs"/>
          <w:rtl/>
          <w:lang w:bidi="ar-EG"/>
        </w:rPr>
        <w:t xml:space="preserve"> </w:t>
      </w:r>
      <w:r w:rsidR="001E3CE5">
        <w:rPr>
          <w:rFonts w:hint="cs"/>
          <w:rtl/>
          <w:lang w:bidi="ar-EG"/>
        </w:rPr>
        <w:t>وتمثل رسوم نظام لاهاي والاشتراكات المقررة والمساهمات الطوعية والإيرادات الأخرى (الاستثمارات والمنشورات والتحكيم والوساطة، والإيرادات النثرية والرسوم الأخرى) النسبة المتبقية من مجموع إيرادات المنظمة أي 9.9 بالمئة. ويقدم الجدول الوارد أدناه ملخ</w:t>
      </w:r>
      <w:r w:rsidR="007C4121">
        <w:rPr>
          <w:rFonts w:hint="cs"/>
          <w:rtl/>
          <w:lang w:bidi="ar-EG"/>
        </w:rPr>
        <w:t>ص</w:t>
      </w:r>
      <w:r w:rsidR="001E3CE5">
        <w:rPr>
          <w:rFonts w:hint="cs"/>
          <w:rtl/>
          <w:lang w:bidi="ar-EG"/>
        </w:rPr>
        <w:t>اً للتغيرات من حيث نوع الإيرادات مقارنة بالعام السابق.</w:t>
      </w:r>
    </w:p>
    <w:p w14:paraId="67BBB277" w14:textId="77777777" w:rsidR="00E16243" w:rsidRPr="00A153E1" w:rsidRDefault="00E16243" w:rsidP="00A153E1">
      <w:pPr>
        <w:pStyle w:val="NumberedParaAR"/>
        <w:keepNext/>
        <w:numPr>
          <w:ilvl w:val="0"/>
          <w:numId w:val="0"/>
        </w:numPr>
        <w:jc w:val="center"/>
        <w:rPr>
          <w:u w:val="single"/>
          <w:rtl/>
          <w:lang w:bidi="ar-EG"/>
        </w:rPr>
      </w:pPr>
      <w:r w:rsidRPr="00A153E1">
        <w:rPr>
          <w:rFonts w:hint="cs"/>
          <w:u w:val="single"/>
          <w:rtl/>
          <w:lang w:bidi="ar-EG"/>
        </w:rPr>
        <w:lastRenderedPageBreak/>
        <w:t>التغير في الإيرادات بين عامي</w:t>
      </w:r>
      <w:r w:rsidR="00A153E1">
        <w:rPr>
          <w:rFonts w:hint="cs"/>
          <w:u w:val="single"/>
          <w:rtl/>
          <w:lang w:bidi="ar-EG"/>
        </w:rPr>
        <w:t xml:space="preserve"> </w:t>
      </w:r>
      <w:r w:rsidR="002C41EB" w:rsidRPr="00A153E1">
        <w:rPr>
          <w:rFonts w:hint="cs"/>
          <w:u w:val="single"/>
          <w:rtl/>
          <w:lang w:bidi="ar-EG"/>
        </w:rPr>
        <w:t>2</w:t>
      </w:r>
      <w:r w:rsidR="00A153E1">
        <w:rPr>
          <w:rFonts w:hint="cs"/>
          <w:u w:val="single"/>
          <w:rtl/>
          <w:lang w:bidi="ar-EG"/>
        </w:rPr>
        <w:t>013</w:t>
      </w:r>
      <w:r w:rsidRPr="00A153E1">
        <w:rPr>
          <w:rFonts w:hint="cs"/>
          <w:u w:val="single"/>
          <w:rtl/>
          <w:lang w:bidi="ar-EG"/>
        </w:rPr>
        <w:t xml:space="preserve"> و201</w:t>
      </w:r>
      <w:r w:rsidR="00A153E1">
        <w:rPr>
          <w:rFonts w:hint="cs"/>
          <w:u w:val="single"/>
          <w:rtl/>
          <w:lang w:bidi="ar-EG"/>
        </w:rPr>
        <w:t>4</w:t>
      </w:r>
    </w:p>
    <w:p w14:paraId="26BA6FA0" w14:textId="784A0755" w:rsidR="00E16243" w:rsidRDefault="000605E2" w:rsidP="00C73B1C">
      <w:pPr>
        <w:pStyle w:val="NumberedParaAR"/>
        <w:numPr>
          <w:ilvl w:val="0"/>
          <w:numId w:val="0"/>
        </w:numPr>
        <w:spacing w:line="240" w:lineRule="auto"/>
        <w:jc w:val="center"/>
        <w:rPr>
          <w:rtl/>
          <w:lang w:bidi="ar-EG"/>
        </w:rPr>
      </w:pPr>
      <w:r w:rsidRPr="000605E2">
        <w:rPr>
          <w:noProof/>
          <w:rtl/>
        </w:rPr>
        <w:drawing>
          <wp:inline distT="0" distB="0" distL="0" distR="0" wp14:anchorId="7D2CC9DB" wp14:editId="0EDE1B55">
            <wp:extent cx="5940425" cy="3001679"/>
            <wp:effectExtent l="0" t="0" r="3175" b="825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3001679"/>
                    </a:xfrm>
                    <a:prstGeom prst="rect">
                      <a:avLst/>
                    </a:prstGeom>
                    <a:noFill/>
                    <a:ln>
                      <a:noFill/>
                    </a:ln>
                  </pic:spPr>
                </pic:pic>
              </a:graphicData>
            </a:graphic>
          </wp:inline>
        </w:drawing>
      </w:r>
    </w:p>
    <w:p w14:paraId="59591248" w14:textId="02147CAC" w:rsidR="00A153E1" w:rsidRDefault="00C00D32" w:rsidP="002E053A">
      <w:pPr>
        <w:pStyle w:val="NumberedParaAR"/>
        <w:keepNext/>
        <w:rPr>
          <w:lang w:bidi="ar-EG"/>
        </w:rPr>
      </w:pPr>
      <w:r>
        <w:rPr>
          <w:rFonts w:hint="cs"/>
          <w:rtl/>
          <w:lang w:bidi="ar-EG"/>
        </w:rPr>
        <w:t>واستمر نشاط نظام التعاون بشأن البراءات في الازدياد خلال عام 2014 إذ بلغ إجمالي عدد الطلبات المودعة في ذلك العام 900 214 طلب (استناداً إلى تقديرات فبراير 2015). وتعد مستويات الطلبات بموجب نظام التعاون بشأن البراءات مؤشراً مباشراً لمستويات الإيرادات الناجمة عن رسوم نظام التعاون بشأن البراءات، وشهد هذا المستوى ازدياداً مستمراً منذ عام 2010. واستناداً إلى ت</w:t>
      </w:r>
      <w:r w:rsidR="00966C90">
        <w:rPr>
          <w:rFonts w:hint="cs"/>
          <w:rtl/>
          <w:lang w:bidi="ar-EG"/>
        </w:rPr>
        <w:t>قديرات</w:t>
      </w:r>
      <w:r>
        <w:rPr>
          <w:rFonts w:hint="cs"/>
          <w:rtl/>
          <w:lang w:bidi="ar-EG"/>
        </w:rPr>
        <w:t xml:space="preserve"> يناير 2015، يُتوقع أن يتواصل ازدياد عدد الطلبات على مدار السنوات الثلاث التالية:</w:t>
      </w:r>
    </w:p>
    <w:p w14:paraId="491F4719" w14:textId="77777777" w:rsidR="00C00D32" w:rsidRPr="00C00D32" w:rsidRDefault="00C00D32" w:rsidP="00C00D32">
      <w:pPr>
        <w:pStyle w:val="NumberedParaAR"/>
        <w:keepNext/>
        <w:numPr>
          <w:ilvl w:val="0"/>
          <w:numId w:val="0"/>
        </w:numPr>
        <w:jc w:val="center"/>
        <w:rPr>
          <w:u w:val="single"/>
          <w:rtl/>
          <w:lang w:bidi="ar-EG"/>
        </w:rPr>
      </w:pPr>
      <w:r w:rsidRPr="00C00D32">
        <w:rPr>
          <w:rFonts w:hint="cs"/>
          <w:u w:val="single"/>
          <w:rtl/>
          <w:lang w:bidi="ar-EG"/>
        </w:rPr>
        <w:t>عدد الطلبات بناء على نظام التعاون بشأن البراءات للفترة 2010-2017</w:t>
      </w:r>
    </w:p>
    <w:p w14:paraId="4FF755FC" w14:textId="5FB2FE69" w:rsidR="00C00D32" w:rsidRDefault="002B6F7A" w:rsidP="00C00D32">
      <w:pPr>
        <w:pStyle w:val="NumberedParaAR"/>
        <w:numPr>
          <w:ilvl w:val="0"/>
          <w:numId w:val="0"/>
        </w:numPr>
        <w:spacing w:line="240" w:lineRule="auto"/>
        <w:jc w:val="center"/>
        <w:rPr>
          <w:lang w:bidi="ar-EG"/>
        </w:rPr>
      </w:pPr>
      <w:r>
        <w:rPr>
          <w:noProof/>
        </w:rPr>
        <w:drawing>
          <wp:inline distT="0" distB="0" distL="0" distR="0" wp14:anchorId="722AD523" wp14:editId="14BE32E4">
            <wp:extent cx="4700270" cy="2840990"/>
            <wp:effectExtent l="0" t="0" r="508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00270" cy="2840990"/>
                    </a:xfrm>
                    <a:prstGeom prst="rect">
                      <a:avLst/>
                    </a:prstGeom>
                    <a:noFill/>
                  </pic:spPr>
                </pic:pic>
              </a:graphicData>
            </a:graphic>
          </wp:inline>
        </w:drawing>
      </w:r>
    </w:p>
    <w:p w14:paraId="5EAA7E76" w14:textId="1DA15FB8" w:rsidR="00C00D32" w:rsidRDefault="00D741D5" w:rsidP="002E053A">
      <w:pPr>
        <w:pStyle w:val="NumberedParaAR"/>
        <w:rPr>
          <w:lang w:bidi="ar-EG"/>
        </w:rPr>
      </w:pPr>
      <w:r>
        <w:rPr>
          <w:rFonts w:hint="cs"/>
          <w:rtl/>
          <w:lang w:bidi="ar-EG"/>
        </w:rPr>
        <w:t>و</w:t>
      </w:r>
      <w:r w:rsidR="002E053A">
        <w:rPr>
          <w:rFonts w:hint="cs"/>
          <w:rtl/>
          <w:lang w:bidi="ar-EG"/>
        </w:rPr>
        <w:t>تتألف</w:t>
      </w:r>
      <w:r>
        <w:rPr>
          <w:rFonts w:hint="cs"/>
          <w:rtl/>
          <w:lang w:bidi="ar-EG"/>
        </w:rPr>
        <w:t xml:space="preserve"> إيرادات نظام التعاون بشأن البراءات أساساً من رسوم الإيداع الدولي (الرسم الأساسي ورسوم الصفحات الإضافية، وخفض تقليص الرسوم للإيداعات الإلكترونية وللبلدان الأقل نمواً). كما يشمل مجموع رسوم نظام التعاون بشأن البراءات رسوماً أخرى (منها رسوم المعالجة والإحالة) ومكاسب أو </w:t>
      </w:r>
      <w:r w:rsidR="00A3480D">
        <w:rPr>
          <w:rFonts w:hint="cs"/>
          <w:rtl/>
          <w:lang w:bidi="ar-EG"/>
        </w:rPr>
        <w:t>خسائر</w:t>
      </w:r>
      <w:r>
        <w:rPr>
          <w:rFonts w:hint="cs"/>
          <w:rtl/>
          <w:lang w:bidi="ar-EG"/>
        </w:rPr>
        <w:t xml:space="preserve"> أسعار الصرف.</w:t>
      </w:r>
    </w:p>
    <w:p w14:paraId="4DC24D82" w14:textId="77777777" w:rsidR="00671252" w:rsidRPr="00671252" w:rsidRDefault="00671252" w:rsidP="00BE7D84">
      <w:pPr>
        <w:pStyle w:val="NumberedParaAR"/>
        <w:keepNext/>
        <w:numPr>
          <w:ilvl w:val="0"/>
          <w:numId w:val="0"/>
        </w:numPr>
        <w:jc w:val="center"/>
        <w:rPr>
          <w:u w:val="single"/>
          <w:rtl/>
          <w:lang w:bidi="ar-EG"/>
        </w:rPr>
      </w:pPr>
      <w:r w:rsidRPr="00671252">
        <w:rPr>
          <w:rFonts w:hint="cs"/>
          <w:u w:val="single"/>
          <w:rtl/>
          <w:lang w:bidi="ar-EG"/>
        </w:rPr>
        <w:lastRenderedPageBreak/>
        <w:t>تفاصيل رسوم نظام التعاون بشأن البراءات للفترة 2012-2014</w:t>
      </w:r>
    </w:p>
    <w:p w14:paraId="3224497F" w14:textId="32377304" w:rsidR="00671252" w:rsidRDefault="002B6F7A" w:rsidP="002633E1">
      <w:pPr>
        <w:pStyle w:val="NumberedParaAR"/>
        <w:numPr>
          <w:ilvl w:val="0"/>
          <w:numId w:val="0"/>
        </w:numPr>
        <w:spacing w:line="240" w:lineRule="auto"/>
        <w:jc w:val="center"/>
        <w:rPr>
          <w:rtl/>
          <w:lang w:bidi="ar-EG"/>
        </w:rPr>
      </w:pPr>
      <w:r w:rsidRPr="002B6F7A">
        <w:rPr>
          <w:noProof/>
          <w:rtl/>
        </w:rPr>
        <w:drawing>
          <wp:inline distT="0" distB="0" distL="0" distR="0" wp14:anchorId="28C8116C" wp14:editId="4CB76200">
            <wp:extent cx="5123180" cy="1377315"/>
            <wp:effectExtent l="0" t="0" r="127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23180" cy="1377315"/>
                    </a:xfrm>
                    <a:prstGeom prst="rect">
                      <a:avLst/>
                    </a:prstGeom>
                    <a:noFill/>
                    <a:ln>
                      <a:noFill/>
                    </a:ln>
                  </pic:spPr>
                </pic:pic>
              </a:graphicData>
            </a:graphic>
          </wp:inline>
        </w:drawing>
      </w:r>
    </w:p>
    <w:p w14:paraId="35245BBD" w14:textId="0B471EAF" w:rsidR="00671252" w:rsidRDefault="002E053A" w:rsidP="00671252">
      <w:pPr>
        <w:pStyle w:val="NumberedParaAR"/>
        <w:rPr>
          <w:lang w:bidi="ar-EG"/>
        </w:rPr>
      </w:pPr>
      <w:r>
        <w:rPr>
          <w:rFonts w:hint="cs"/>
          <w:rtl/>
          <w:lang w:bidi="ar-EG"/>
        </w:rPr>
        <w:t>و</w:t>
      </w:r>
      <w:r w:rsidR="007C0B5E">
        <w:rPr>
          <w:rFonts w:hint="cs"/>
          <w:rtl/>
          <w:lang w:bidi="ar-EG"/>
        </w:rPr>
        <w:t xml:space="preserve">في البيانات المعدة </w:t>
      </w:r>
      <w:r w:rsidR="002B3DBD">
        <w:rPr>
          <w:rFonts w:hint="cs"/>
          <w:rtl/>
          <w:lang w:bidi="ar-EG"/>
        </w:rPr>
        <w:t xml:space="preserve">وفقاً </w:t>
      </w:r>
      <w:r w:rsidR="007C0B5E">
        <w:rPr>
          <w:rFonts w:hint="cs"/>
          <w:rtl/>
          <w:lang w:bidi="ar-EG"/>
        </w:rPr>
        <w:t xml:space="preserve">للمعايير المحاسبية الدولية للقطاع العام، لا تقيد الإيرادات الناجمة عن رسوم الإيداع الدولي للطلبات المقدمة بناء على نظام معاهدة التعاون بشأن البراءات إلى أن يُنشر الطلب. وفي غالبية الحالات، </w:t>
      </w:r>
      <w:r w:rsidR="00176FCE">
        <w:rPr>
          <w:rFonts w:hint="cs"/>
          <w:rtl/>
          <w:lang w:bidi="ar-EG"/>
        </w:rPr>
        <w:t>يُنشر الطلب بعد مرور ستة أشهر على إيداع طلب دولي بناء على معاهدة التعاون بشأن البراءات. وفي تاريخ الإيداع، يقيد رصيد مستحق حتى تحصل المنظمة على الرسم. ويقيد خصم إيرادات مؤجل لكل إيداع حتى النشر. ويختلف الأمر فيما يخص نتيجة الميزانية في إطار البرنامج والميزانية حيث تقيد الإيرادات لدى تحصيل الرسوم نقداً. وبالنظر في الإيرادات الناجمة عن رسوم الإيداع الدولي بناء على معاهدة التعاون بشأن البراءات بما يتماشى مع المعايير المحاسبية الدولية للقطاع العام، يلاحظ أن هذه الإيرادات قد ازدادت مع ازدياد المنشورات السنوية:</w:t>
      </w:r>
    </w:p>
    <w:p w14:paraId="4EE029E4" w14:textId="77777777" w:rsidR="00176FCE" w:rsidRPr="00176FCE" w:rsidRDefault="00176FCE" w:rsidP="00176FCE">
      <w:pPr>
        <w:pStyle w:val="NumberedParaAR"/>
        <w:keepNext/>
        <w:numPr>
          <w:ilvl w:val="0"/>
          <w:numId w:val="0"/>
        </w:numPr>
        <w:jc w:val="center"/>
        <w:rPr>
          <w:u w:val="single"/>
          <w:rtl/>
          <w:lang w:bidi="ar-EG"/>
        </w:rPr>
      </w:pPr>
      <w:r>
        <w:rPr>
          <w:rFonts w:hint="cs"/>
          <w:u w:val="single"/>
          <w:rtl/>
          <w:lang w:bidi="ar-EG"/>
        </w:rPr>
        <w:t xml:space="preserve">معاهدة التعاون بشأن البراءات </w:t>
      </w:r>
      <w:r>
        <w:rPr>
          <w:u w:val="single"/>
          <w:rtl/>
          <w:lang w:bidi="ar-EG"/>
        </w:rPr>
        <w:t>–</w:t>
      </w:r>
      <w:r>
        <w:rPr>
          <w:rFonts w:hint="cs"/>
          <w:u w:val="single"/>
          <w:rtl/>
          <w:lang w:bidi="ar-EG"/>
        </w:rPr>
        <w:t xml:space="preserve"> رسوم الإيداع الدولي والمنشورات للفترة 2012-2014</w:t>
      </w:r>
    </w:p>
    <w:p w14:paraId="08B3ED91" w14:textId="53054A8A" w:rsidR="00176FCE" w:rsidRDefault="002B6F7A" w:rsidP="002B6F7A">
      <w:pPr>
        <w:pStyle w:val="NumberedParaAR"/>
        <w:numPr>
          <w:ilvl w:val="0"/>
          <w:numId w:val="0"/>
        </w:numPr>
        <w:spacing w:line="240" w:lineRule="auto"/>
        <w:jc w:val="center"/>
        <w:rPr>
          <w:rtl/>
          <w:lang w:bidi="ar-EG"/>
        </w:rPr>
      </w:pPr>
      <w:r>
        <w:rPr>
          <w:noProof/>
        </w:rPr>
        <w:drawing>
          <wp:inline distT="0" distB="0" distL="0" distR="0" wp14:anchorId="7D29ADEC" wp14:editId="479C5212">
            <wp:extent cx="5767070" cy="3279775"/>
            <wp:effectExtent l="0" t="0" r="508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7070" cy="3279775"/>
                    </a:xfrm>
                    <a:prstGeom prst="rect">
                      <a:avLst/>
                    </a:prstGeom>
                    <a:noFill/>
                  </pic:spPr>
                </pic:pic>
              </a:graphicData>
            </a:graphic>
          </wp:inline>
        </w:drawing>
      </w:r>
    </w:p>
    <w:p w14:paraId="79AD9011" w14:textId="6DCDF46A" w:rsidR="00176FCE" w:rsidRDefault="009C1844" w:rsidP="009C1844">
      <w:pPr>
        <w:pStyle w:val="NumberedParaAR"/>
        <w:rPr>
          <w:lang w:bidi="ar-EG"/>
        </w:rPr>
      </w:pPr>
      <w:r>
        <w:rPr>
          <w:rFonts w:hint="cs"/>
          <w:rtl/>
          <w:lang w:bidi="ar-EG"/>
        </w:rPr>
        <w:t xml:space="preserve">وتتعرض رسوم الإيداع الدولي بناء على معاهدة التعاون بشأن البراءات لمكاسب أو </w:t>
      </w:r>
      <w:r w:rsidR="00A3480D">
        <w:rPr>
          <w:rFonts w:hint="cs"/>
          <w:rtl/>
          <w:lang w:bidi="ar-EG"/>
        </w:rPr>
        <w:t>خسائر</w:t>
      </w:r>
      <w:r>
        <w:rPr>
          <w:rFonts w:hint="cs"/>
          <w:rtl/>
          <w:lang w:bidi="ar-EG"/>
        </w:rPr>
        <w:t xml:space="preserve"> سعر الصرف عندما تحص</w:t>
      </w:r>
      <w:r w:rsidR="002E053A">
        <w:rPr>
          <w:rFonts w:hint="cs"/>
          <w:rtl/>
          <w:lang w:bidi="ar-EG"/>
        </w:rPr>
        <w:t>َّ</w:t>
      </w:r>
      <w:r>
        <w:rPr>
          <w:rFonts w:hint="cs"/>
          <w:rtl/>
          <w:lang w:bidi="ar-EG"/>
        </w:rPr>
        <w:t>ل هذه الرسوم بعملات غير الفرنك السويسري. وتحدد الويبو مبالغ معادلة لهذه الرسوم بمختلف العملات كل سنة. وتحدد المبالغ المعادلة المطبقة في تاريخ إيداع الطلب المبلغ الذي سيتعين على مقدم الطلب أن يسدده بعملته المحلية. ويحد</w:t>
      </w:r>
      <w:r w:rsidR="00F232C1">
        <w:rPr>
          <w:rFonts w:hint="cs"/>
          <w:rtl/>
          <w:lang w:bidi="ar-EG"/>
        </w:rPr>
        <w:t>َّ</w:t>
      </w:r>
      <w:r>
        <w:rPr>
          <w:rFonts w:hint="cs"/>
          <w:rtl/>
          <w:lang w:bidi="ar-EG"/>
        </w:rPr>
        <w:t xml:space="preserve">د المبلغ الفعلي الذي تطلبه الويبو بالفرنك السويسري استناداً إلى </w:t>
      </w:r>
      <w:r w:rsidR="00F232C1">
        <w:rPr>
          <w:rtl/>
          <w:lang w:bidi="ar-EG"/>
        </w:rPr>
        <w:t>أسعار الصرف في الأمم المتحدة</w:t>
      </w:r>
      <w:r>
        <w:rPr>
          <w:rFonts w:hint="cs"/>
          <w:rtl/>
          <w:lang w:bidi="ar-EG"/>
        </w:rPr>
        <w:t xml:space="preserve"> في تاريخ السداد. وعليه، تنجم مكاسب أو </w:t>
      </w:r>
      <w:r w:rsidR="00A3480D">
        <w:rPr>
          <w:rFonts w:hint="cs"/>
          <w:rtl/>
          <w:lang w:bidi="ar-EG"/>
        </w:rPr>
        <w:t>خسائر</w:t>
      </w:r>
      <w:r>
        <w:rPr>
          <w:rFonts w:hint="cs"/>
          <w:rtl/>
          <w:lang w:bidi="ar-EG"/>
        </w:rPr>
        <w:t xml:space="preserve"> سعر الصرف عن الاختلاف بين الرسم المعادل للفرنك السويسري والمبلغ الفعلي بالفرنك السويسري في تاريخ السداد. وفي عام 2014، تكبدت المنظمة خسارة صافية بسبب سعر الصرف قدرها 1.7 مليون فرنك سويسري فيما </w:t>
      </w:r>
      <w:r>
        <w:rPr>
          <w:rFonts w:hint="cs"/>
          <w:rtl/>
          <w:lang w:bidi="ar-EG"/>
        </w:rPr>
        <w:lastRenderedPageBreak/>
        <w:t>يخص الرسوم المحص</w:t>
      </w:r>
      <w:r w:rsidR="00F232C1">
        <w:rPr>
          <w:rFonts w:hint="cs"/>
          <w:rtl/>
          <w:lang w:bidi="ar-EG"/>
        </w:rPr>
        <w:t>َّ</w:t>
      </w:r>
      <w:r>
        <w:rPr>
          <w:rFonts w:hint="cs"/>
          <w:rtl/>
          <w:lang w:bidi="ar-EG"/>
        </w:rPr>
        <w:t>لة في إطار نظام التعاون بشأن البراءات (رسوم الإيداع الدولي ورسوم المعالجة). وتعلقت هذه الخسارة أساساً بالرسوم المحص</w:t>
      </w:r>
      <w:r w:rsidR="00F232C1">
        <w:rPr>
          <w:rFonts w:hint="cs"/>
          <w:rtl/>
          <w:lang w:bidi="ar-EG"/>
        </w:rPr>
        <w:t>َّ</w:t>
      </w:r>
      <w:r>
        <w:rPr>
          <w:rFonts w:hint="cs"/>
          <w:rtl/>
          <w:lang w:bidi="ar-EG"/>
        </w:rPr>
        <w:t xml:space="preserve">لة بالين الياباني (خسارة قدرها 1.3 مليون فرنك سويسري). وفي عام 2013، تكبدت المنظمة خسارة صافية نتيجة لسعر الصرف قدرها 6 ملايين فرنك سويسري فيما يخص </w:t>
      </w:r>
      <w:r w:rsidR="00073807">
        <w:rPr>
          <w:rFonts w:hint="cs"/>
          <w:rtl/>
          <w:lang w:bidi="ar-EG"/>
        </w:rPr>
        <w:t>الرسوم المحص</w:t>
      </w:r>
      <w:r w:rsidR="00F232C1">
        <w:rPr>
          <w:rFonts w:hint="cs"/>
          <w:rtl/>
          <w:lang w:bidi="ar-EG"/>
        </w:rPr>
        <w:t>َّ</w:t>
      </w:r>
      <w:r w:rsidR="00073807">
        <w:rPr>
          <w:rFonts w:hint="cs"/>
          <w:rtl/>
          <w:lang w:bidi="ar-EG"/>
        </w:rPr>
        <w:t>لة في إطار نظام التعاون بشأن البراءات بينما حققت المنظمة ربح</w:t>
      </w:r>
      <w:r w:rsidR="00F232C1">
        <w:rPr>
          <w:rFonts w:hint="cs"/>
          <w:rtl/>
          <w:lang w:bidi="ar-EG"/>
        </w:rPr>
        <w:t>اً</w:t>
      </w:r>
      <w:r w:rsidR="00073807">
        <w:rPr>
          <w:rFonts w:hint="cs"/>
          <w:rtl/>
          <w:lang w:bidi="ar-EG"/>
        </w:rPr>
        <w:t xml:space="preserve"> صافي</w:t>
      </w:r>
      <w:r w:rsidR="00F232C1">
        <w:rPr>
          <w:rFonts w:hint="cs"/>
          <w:rtl/>
          <w:lang w:bidi="ar-EG"/>
        </w:rPr>
        <w:t>اً</w:t>
      </w:r>
      <w:r w:rsidR="00073807">
        <w:rPr>
          <w:rFonts w:hint="cs"/>
          <w:rtl/>
          <w:lang w:bidi="ar-EG"/>
        </w:rPr>
        <w:t xml:space="preserve"> قدره 7.5 مليون فرنك سويسري في عام 2012:</w:t>
      </w:r>
    </w:p>
    <w:p w14:paraId="127CC574" w14:textId="0C35E831" w:rsidR="00073807" w:rsidRPr="00073807" w:rsidRDefault="00073807" w:rsidP="00073807">
      <w:pPr>
        <w:pStyle w:val="NumberedParaAR"/>
        <w:keepNext/>
        <w:numPr>
          <w:ilvl w:val="0"/>
          <w:numId w:val="0"/>
        </w:numPr>
        <w:jc w:val="center"/>
        <w:rPr>
          <w:u w:val="single"/>
          <w:lang w:bidi="ar-EG"/>
        </w:rPr>
      </w:pPr>
      <w:r w:rsidRPr="00073807">
        <w:rPr>
          <w:rFonts w:hint="cs"/>
          <w:u w:val="single"/>
          <w:rtl/>
          <w:lang w:bidi="ar-EG"/>
        </w:rPr>
        <w:t>تفاصيل مكاسب/</w:t>
      </w:r>
      <w:r w:rsidR="00A3480D">
        <w:rPr>
          <w:rFonts w:hint="cs"/>
          <w:u w:val="single"/>
          <w:rtl/>
          <w:lang w:bidi="ar-EG"/>
        </w:rPr>
        <w:t>خسائر</w:t>
      </w:r>
      <w:r w:rsidRPr="00073807">
        <w:rPr>
          <w:rFonts w:hint="cs"/>
          <w:u w:val="single"/>
          <w:rtl/>
          <w:lang w:bidi="ar-EG"/>
        </w:rPr>
        <w:t xml:space="preserve"> سع</w:t>
      </w:r>
      <w:r w:rsidR="00F232C1">
        <w:rPr>
          <w:rFonts w:hint="cs"/>
          <w:u w:val="single"/>
          <w:rtl/>
          <w:lang w:bidi="ar-EG"/>
        </w:rPr>
        <w:t>ر الصرف فيما يخص الرسوم المحصلة</w:t>
      </w:r>
      <w:r w:rsidR="00F232C1">
        <w:rPr>
          <w:u w:val="single"/>
          <w:rtl/>
          <w:lang w:bidi="ar-EG"/>
        </w:rPr>
        <w:br/>
      </w:r>
      <w:r w:rsidRPr="00073807">
        <w:rPr>
          <w:rFonts w:hint="cs"/>
          <w:u w:val="single"/>
          <w:rtl/>
          <w:lang w:bidi="ar-EG"/>
        </w:rPr>
        <w:t>في إطار نظام التعاون بشأن البراءات للفترة 2012-2014</w:t>
      </w:r>
    </w:p>
    <w:p w14:paraId="57AFAE8F" w14:textId="01084361" w:rsidR="00176FCE" w:rsidRDefault="002B6F7A" w:rsidP="00073807">
      <w:pPr>
        <w:pStyle w:val="NumberedParaAR"/>
        <w:numPr>
          <w:ilvl w:val="0"/>
          <w:numId w:val="0"/>
        </w:numPr>
        <w:spacing w:line="240" w:lineRule="auto"/>
        <w:jc w:val="center"/>
        <w:rPr>
          <w:rtl/>
          <w:lang w:bidi="ar-EG"/>
        </w:rPr>
      </w:pPr>
      <w:r w:rsidRPr="002B6F7A">
        <w:rPr>
          <w:noProof/>
          <w:rtl/>
        </w:rPr>
        <w:drawing>
          <wp:inline distT="0" distB="0" distL="0" distR="0" wp14:anchorId="69B8DCA6" wp14:editId="14BBBB2C">
            <wp:extent cx="5210810" cy="1348105"/>
            <wp:effectExtent l="0" t="0" r="8890" b="444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10810" cy="1348105"/>
                    </a:xfrm>
                    <a:prstGeom prst="rect">
                      <a:avLst/>
                    </a:prstGeom>
                    <a:noFill/>
                    <a:ln>
                      <a:noFill/>
                    </a:ln>
                  </pic:spPr>
                </pic:pic>
              </a:graphicData>
            </a:graphic>
          </wp:inline>
        </w:drawing>
      </w:r>
    </w:p>
    <w:p w14:paraId="6BCADD56" w14:textId="7C29AF94" w:rsidR="00C405E2" w:rsidRDefault="008C177A" w:rsidP="00C405E2">
      <w:pPr>
        <w:pStyle w:val="NumberedParaAR"/>
        <w:rPr>
          <w:lang w:bidi="ar-EG"/>
        </w:rPr>
      </w:pPr>
      <w:r>
        <w:rPr>
          <w:rtl/>
          <w:lang w:bidi="ar-EG"/>
        </w:rPr>
        <w:t>وتحد</w:t>
      </w:r>
      <w:r>
        <w:rPr>
          <w:rFonts w:hint="cs"/>
          <w:rtl/>
          <w:lang w:bidi="ar-EG"/>
        </w:rPr>
        <w:t>َّ</w:t>
      </w:r>
      <w:r>
        <w:rPr>
          <w:rtl/>
          <w:lang w:bidi="ar-EG"/>
        </w:rPr>
        <w:t>د المبالغ المعادلة للرسوم ب</w:t>
      </w:r>
      <w:r w:rsidR="00C405E2">
        <w:rPr>
          <w:rFonts w:hint="cs"/>
          <w:rtl/>
          <w:lang w:bidi="ar-EG"/>
        </w:rPr>
        <w:t>ال</w:t>
      </w:r>
      <w:r>
        <w:rPr>
          <w:rtl/>
          <w:lang w:bidi="ar-EG"/>
        </w:rPr>
        <w:t xml:space="preserve">عملات </w:t>
      </w:r>
      <w:r w:rsidR="00C405E2">
        <w:rPr>
          <w:rFonts w:hint="cs"/>
          <w:rtl/>
          <w:lang w:bidi="ar-EG"/>
        </w:rPr>
        <w:t>ال</w:t>
      </w:r>
      <w:r w:rsidR="00C405E2">
        <w:rPr>
          <w:rtl/>
          <w:lang w:bidi="ar-EG"/>
        </w:rPr>
        <w:t>أخرى غير الفرنك السويسري</w:t>
      </w:r>
      <w:r>
        <w:rPr>
          <w:rtl/>
          <w:lang w:bidi="ar-EG"/>
        </w:rPr>
        <w:t xml:space="preserve"> كل سنة </w:t>
      </w:r>
      <w:r w:rsidR="002B3DBD">
        <w:rPr>
          <w:rtl/>
          <w:lang w:bidi="ar-EG"/>
        </w:rPr>
        <w:t xml:space="preserve">وفقاً </w:t>
      </w:r>
      <w:r>
        <w:rPr>
          <w:rtl/>
          <w:lang w:bidi="ar-EG"/>
        </w:rPr>
        <w:t xml:space="preserve">لأسعار الصرف السائدة في </w:t>
      </w:r>
      <w:r w:rsidR="00C405E2" w:rsidRPr="00C405E2">
        <w:rPr>
          <w:rtl/>
          <w:lang w:bidi="ar-EG"/>
        </w:rPr>
        <w:t>الاثنين الأول من شهر أكتوبر</w:t>
      </w:r>
      <w:r>
        <w:rPr>
          <w:rtl/>
          <w:lang w:bidi="ar-EG"/>
        </w:rPr>
        <w:t xml:space="preserve"> من العام السابق. </w:t>
      </w:r>
      <w:r w:rsidR="00C405E2">
        <w:rPr>
          <w:rFonts w:hint="cs"/>
          <w:rtl/>
          <w:lang w:bidi="ar-EG"/>
        </w:rPr>
        <w:t xml:space="preserve">وقد تحدَّد </w:t>
      </w:r>
      <w:r>
        <w:rPr>
          <w:rtl/>
          <w:lang w:bidi="ar-EG"/>
        </w:rPr>
        <w:t>المبالغ المعادلة</w:t>
      </w:r>
      <w:r w:rsidR="00C405E2">
        <w:rPr>
          <w:rFonts w:hint="cs"/>
          <w:rtl/>
          <w:lang w:bidi="ar-EG"/>
        </w:rPr>
        <w:t xml:space="preserve"> مجدداً</w:t>
      </w:r>
      <w:r>
        <w:rPr>
          <w:rtl/>
          <w:lang w:bidi="ar-EG"/>
        </w:rPr>
        <w:t xml:space="preserve"> خلال العام إذا </w:t>
      </w:r>
      <w:r w:rsidR="00C405E2">
        <w:rPr>
          <w:rFonts w:hint="cs"/>
          <w:rtl/>
          <w:lang w:bidi="ar-EG"/>
        </w:rPr>
        <w:t>تغير</w:t>
      </w:r>
      <w:r>
        <w:rPr>
          <w:rtl/>
          <w:lang w:bidi="ar-EG"/>
        </w:rPr>
        <w:t xml:space="preserve"> سعر الصرف بين </w:t>
      </w:r>
      <w:r w:rsidR="00C405E2">
        <w:rPr>
          <w:rFonts w:hint="cs"/>
          <w:rtl/>
          <w:lang w:bidi="ar-EG"/>
        </w:rPr>
        <w:t>ال</w:t>
      </w:r>
      <w:r>
        <w:rPr>
          <w:rtl/>
          <w:lang w:bidi="ar-EG"/>
        </w:rPr>
        <w:t xml:space="preserve">عملة </w:t>
      </w:r>
      <w:r w:rsidR="00C405E2">
        <w:rPr>
          <w:rFonts w:hint="cs"/>
          <w:rtl/>
          <w:lang w:bidi="ar-EG"/>
        </w:rPr>
        <w:t>ال</w:t>
      </w:r>
      <w:r>
        <w:rPr>
          <w:rtl/>
          <w:lang w:bidi="ar-EG"/>
        </w:rPr>
        <w:t xml:space="preserve">أخرى والفرنك السويسري بنسبة 5.0 </w:t>
      </w:r>
      <w:r w:rsidR="00C405E2">
        <w:rPr>
          <w:rFonts w:hint="cs"/>
          <w:rtl/>
          <w:lang w:bidi="ar-EG"/>
        </w:rPr>
        <w:t>بالمئة</w:t>
      </w:r>
      <w:r>
        <w:rPr>
          <w:rtl/>
          <w:lang w:bidi="ar-EG"/>
        </w:rPr>
        <w:t xml:space="preserve"> أو أكثر </w:t>
      </w:r>
      <w:r w:rsidR="00C405E2" w:rsidRPr="00C405E2">
        <w:rPr>
          <w:rtl/>
          <w:lang w:bidi="ar-EG"/>
        </w:rPr>
        <w:t xml:space="preserve">لأكثر من أربع جمعات متتالية بنسبة 5 </w:t>
      </w:r>
      <w:r w:rsidR="00257637">
        <w:rPr>
          <w:rtl/>
          <w:lang w:bidi="ar-EG"/>
        </w:rPr>
        <w:t>بالمئة</w:t>
      </w:r>
      <w:r>
        <w:rPr>
          <w:rtl/>
          <w:lang w:bidi="ar-EG"/>
        </w:rPr>
        <w:t xml:space="preserve"> متتالية. وتبي</w:t>
      </w:r>
      <w:r w:rsidR="00C405E2">
        <w:rPr>
          <w:rFonts w:hint="cs"/>
          <w:rtl/>
          <w:lang w:bidi="ar-EG"/>
        </w:rPr>
        <w:t>ِّ</w:t>
      </w:r>
      <w:r>
        <w:rPr>
          <w:rtl/>
          <w:lang w:bidi="ar-EG"/>
        </w:rPr>
        <w:t>ن الجداول التالية الفرق بين سعر الصرف المستخدم لتحديد المبالغ المعادلة و</w:t>
      </w:r>
      <w:r w:rsidR="00F232C1">
        <w:rPr>
          <w:rFonts w:hint="cs"/>
          <w:rtl/>
          <w:lang w:bidi="ar-EG"/>
        </w:rPr>
        <w:t>أسعار الصرف في الأمم المتحدة</w:t>
      </w:r>
      <w:r w:rsidR="00C405E2">
        <w:rPr>
          <w:rtl/>
          <w:lang w:bidi="ar-EG"/>
        </w:rPr>
        <w:t xml:space="preserve"> خلا</w:t>
      </w:r>
      <w:r w:rsidR="00C405E2">
        <w:rPr>
          <w:rFonts w:hint="cs"/>
          <w:rtl/>
          <w:lang w:bidi="ar-EG"/>
        </w:rPr>
        <w:t>ل الفترة 2012-2014 ل</w:t>
      </w:r>
      <w:r>
        <w:rPr>
          <w:rtl/>
          <w:lang w:bidi="ar-EG"/>
        </w:rPr>
        <w:t xml:space="preserve">لدولار </w:t>
      </w:r>
      <w:r w:rsidR="00FD2528">
        <w:rPr>
          <w:rtl/>
          <w:lang w:bidi="ar-EG"/>
        </w:rPr>
        <w:t>الأمريكي</w:t>
      </w:r>
      <w:r>
        <w:rPr>
          <w:rtl/>
          <w:lang w:bidi="ar-EG"/>
        </w:rPr>
        <w:t xml:space="preserve"> والين الياباني واليورو:</w:t>
      </w:r>
    </w:p>
    <w:p w14:paraId="609A222D" w14:textId="01AC11D4" w:rsidR="008C177A" w:rsidRPr="005211E0" w:rsidRDefault="00C405E2" w:rsidP="00C405E2">
      <w:pPr>
        <w:pStyle w:val="NumberedParaAR"/>
        <w:keepNext/>
        <w:numPr>
          <w:ilvl w:val="0"/>
          <w:numId w:val="0"/>
        </w:numPr>
        <w:jc w:val="center"/>
        <w:rPr>
          <w:u w:val="single"/>
          <w:rtl/>
          <w:lang w:bidi="ar-EG"/>
        </w:rPr>
      </w:pPr>
      <w:r w:rsidRPr="005211E0">
        <w:rPr>
          <w:rFonts w:hint="cs"/>
          <w:u w:val="single"/>
          <w:rtl/>
        </w:rPr>
        <w:t xml:space="preserve">الدولار </w:t>
      </w:r>
      <w:r w:rsidR="00FD2528">
        <w:rPr>
          <w:rFonts w:hint="cs"/>
          <w:u w:val="single"/>
          <w:rtl/>
        </w:rPr>
        <w:t>الأمريكي</w:t>
      </w:r>
      <w:r w:rsidRPr="005211E0">
        <w:rPr>
          <w:rFonts w:hint="cs"/>
          <w:u w:val="single"/>
          <w:rtl/>
        </w:rPr>
        <w:t xml:space="preserve"> </w:t>
      </w:r>
      <w:r w:rsidRPr="005211E0">
        <w:rPr>
          <w:rFonts w:hint="cs"/>
          <w:u w:val="single"/>
          <w:rtl/>
          <w:lang w:bidi="ar-EG"/>
        </w:rPr>
        <w:t>–</w:t>
      </w:r>
      <w:r w:rsidRPr="005211E0">
        <w:rPr>
          <w:rFonts w:hint="cs"/>
          <w:u w:val="single"/>
          <w:rtl/>
        </w:rPr>
        <w:t xml:space="preserve"> مقارنة سعر الصرف للمبالغ المعادلة و</w:t>
      </w:r>
      <w:r w:rsidR="00F232C1" w:rsidRPr="005211E0">
        <w:rPr>
          <w:rFonts w:hint="cs"/>
          <w:u w:val="single"/>
          <w:rtl/>
        </w:rPr>
        <w:t>أسعار الصرف في الأمم المتحدة</w:t>
      </w:r>
      <w:r w:rsidRPr="005211E0">
        <w:rPr>
          <w:rFonts w:hint="cs"/>
          <w:u w:val="single"/>
          <w:rtl/>
        </w:rPr>
        <w:t xml:space="preserve"> خلال الفترة 2012-</w:t>
      </w:r>
      <w:r w:rsidRPr="005211E0">
        <w:rPr>
          <w:rFonts w:hint="cs"/>
          <w:u w:val="single"/>
          <w:rtl/>
          <w:lang w:bidi="ar-EG"/>
        </w:rPr>
        <w:t>2014</w:t>
      </w:r>
    </w:p>
    <w:p w14:paraId="141E14F5" w14:textId="0F08064B" w:rsidR="008C177A" w:rsidRDefault="004F3209" w:rsidP="00EB303F">
      <w:pPr>
        <w:pStyle w:val="NumberedParaAR"/>
        <w:numPr>
          <w:ilvl w:val="0"/>
          <w:numId w:val="0"/>
        </w:numPr>
        <w:spacing w:line="240" w:lineRule="auto"/>
        <w:jc w:val="center"/>
        <w:rPr>
          <w:rtl/>
          <w:lang w:bidi="ar-EG"/>
        </w:rPr>
      </w:pPr>
      <w:r>
        <w:rPr>
          <w:noProof/>
        </w:rPr>
        <w:drawing>
          <wp:inline distT="0" distB="0" distL="0" distR="0" wp14:anchorId="12962729" wp14:editId="5358C19A">
            <wp:extent cx="4572635" cy="283464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72635" cy="2834640"/>
                    </a:xfrm>
                    <a:prstGeom prst="rect">
                      <a:avLst/>
                    </a:prstGeom>
                    <a:noFill/>
                  </pic:spPr>
                </pic:pic>
              </a:graphicData>
            </a:graphic>
          </wp:inline>
        </w:drawing>
      </w:r>
    </w:p>
    <w:p w14:paraId="6116B11A" w14:textId="4E80615D" w:rsidR="00C405E2" w:rsidRPr="005211E0" w:rsidRDefault="00C405E2" w:rsidP="00C405E2">
      <w:pPr>
        <w:pStyle w:val="NumberedParaAR"/>
        <w:keepNext/>
        <w:numPr>
          <w:ilvl w:val="0"/>
          <w:numId w:val="0"/>
        </w:numPr>
        <w:jc w:val="center"/>
        <w:rPr>
          <w:u w:val="single"/>
          <w:rtl/>
          <w:lang w:bidi="ar-EG"/>
        </w:rPr>
      </w:pPr>
      <w:r w:rsidRPr="005211E0">
        <w:rPr>
          <w:rFonts w:hint="cs"/>
          <w:u w:val="single"/>
          <w:rtl/>
          <w:lang w:bidi="ar-EG"/>
        </w:rPr>
        <w:lastRenderedPageBreak/>
        <w:t>الين الياباني – مقارنة سعر الصرف للمبالغ المعادلة و</w:t>
      </w:r>
      <w:r w:rsidR="00F232C1" w:rsidRPr="005211E0">
        <w:rPr>
          <w:rFonts w:hint="cs"/>
          <w:u w:val="single"/>
          <w:rtl/>
          <w:lang w:bidi="ar-EG"/>
        </w:rPr>
        <w:t>أسعار الصرف في الأمم المتحدة</w:t>
      </w:r>
      <w:r w:rsidRPr="005211E0">
        <w:rPr>
          <w:rFonts w:hint="cs"/>
          <w:u w:val="single"/>
          <w:rtl/>
          <w:lang w:bidi="ar-EG"/>
        </w:rPr>
        <w:t xml:space="preserve"> خلال الفترة 2012-2014</w:t>
      </w:r>
    </w:p>
    <w:p w14:paraId="3E9511D4" w14:textId="179C3257" w:rsidR="008C177A" w:rsidRDefault="004F3209" w:rsidP="00C405E2">
      <w:pPr>
        <w:pStyle w:val="NumberedParaAR"/>
        <w:keepNext/>
        <w:numPr>
          <w:ilvl w:val="0"/>
          <w:numId w:val="0"/>
        </w:numPr>
        <w:spacing w:line="240" w:lineRule="auto"/>
        <w:jc w:val="center"/>
        <w:rPr>
          <w:rtl/>
          <w:lang w:bidi="ar-EG"/>
        </w:rPr>
      </w:pPr>
      <w:r>
        <w:rPr>
          <w:noProof/>
        </w:rPr>
        <w:drawing>
          <wp:inline distT="0" distB="0" distL="0" distR="0" wp14:anchorId="41DE0713" wp14:editId="674D32A1">
            <wp:extent cx="4572635" cy="28409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635" cy="2840990"/>
                    </a:xfrm>
                    <a:prstGeom prst="rect">
                      <a:avLst/>
                    </a:prstGeom>
                    <a:noFill/>
                  </pic:spPr>
                </pic:pic>
              </a:graphicData>
            </a:graphic>
          </wp:inline>
        </w:drawing>
      </w:r>
    </w:p>
    <w:p w14:paraId="77D9D49E" w14:textId="35DD0848" w:rsidR="00C405E2" w:rsidRPr="005211E0" w:rsidRDefault="00C405E2" w:rsidP="00C405E2">
      <w:pPr>
        <w:pStyle w:val="NumberedParaAR"/>
        <w:keepNext/>
        <w:numPr>
          <w:ilvl w:val="0"/>
          <w:numId w:val="0"/>
        </w:numPr>
        <w:jc w:val="center"/>
        <w:rPr>
          <w:u w:val="single"/>
          <w:rtl/>
          <w:lang w:bidi="ar-EG"/>
        </w:rPr>
      </w:pPr>
      <w:r w:rsidRPr="005211E0">
        <w:rPr>
          <w:rFonts w:hint="cs"/>
          <w:u w:val="single"/>
          <w:rtl/>
          <w:lang w:bidi="ar-EG"/>
        </w:rPr>
        <w:t>اليورو – مقارنة سعر الصرف للمبالغ المعادلة و</w:t>
      </w:r>
      <w:r w:rsidR="00F232C1" w:rsidRPr="005211E0">
        <w:rPr>
          <w:rFonts w:hint="cs"/>
          <w:u w:val="single"/>
          <w:rtl/>
          <w:lang w:bidi="ar-EG"/>
        </w:rPr>
        <w:t>أسعار الصرف في الأمم المتحدة</w:t>
      </w:r>
      <w:r w:rsidRPr="005211E0">
        <w:rPr>
          <w:rFonts w:hint="cs"/>
          <w:u w:val="single"/>
          <w:rtl/>
          <w:lang w:bidi="ar-EG"/>
        </w:rPr>
        <w:t xml:space="preserve"> خلال الفترة 2012-2014</w:t>
      </w:r>
    </w:p>
    <w:p w14:paraId="7ABEB319" w14:textId="463E252A" w:rsidR="008C177A" w:rsidRDefault="004F3209" w:rsidP="008F0776">
      <w:pPr>
        <w:pStyle w:val="NumberedParaAR"/>
        <w:numPr>
          <w:ilvl w:val="0"/>
          <w:numId w:val="0"/>
        </w:numPr>
        <w:spacing w:after="120" w:line="240" w:lineRule="auto"/>
        <w:jc w:val="center"/>
        <w:rPr>
          <w:rtl/>
          <w:lang w:bidi="ar-EG"/>
        </w:rPr>
      </w:pPr>
      <w:r>
        <w:rPr>
          <w:noProof/>
        </w:rPr>
        <w:drawing>
          <wp:inline distT="0" distB="0" distL="0" distR="0" wp14:anchorId="2054F33D" wp14:editId="29BCACCE">
            <wp:extent cx="5108575" cy="32251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08575" cy="3225165"/>
                    </a:xfrm>
                    <a:prstGeom prst="rect">
                      <a:avLst/>
                    </a:prstGeom>
                    <a:noFill/>
                  </pic:spPr>
                </pic:pic>
              </a:graphicData>
            </a:graphic>
          </wp:inline>
        </w:drawing>
      </w:r>
    </w:p>
    <w:p w14:paraId="00E9B01C" w14:textId="1E38E7DE" w:rsidR="008C177A" w:rsidRDefault="00546397" w:rsidP="00257637">
      <w:pPr>
        <w:pStyle w:val="NumberedParaAR"/>
        <w:rPr>
          <w:lang w:bidi="ar-EG"/>
        </w:rPr>
      </w:pPr>
      <w:r>
        <w:rPr>
          <w:rtl/>
          <w:lang w:bidi="ar-EG"/>
        </w:rPr>
        <w:t>وفي سبتمبر 2011</w:t>
      </w:r>
      <w:r>
        <w:rPr>
          <w:rFonts w:hint="cs"/>
          <w:rtl/>
          <w:lang w:bidi="ar-EG"/>
        </w:rPr>
        <w:t xml:space="preserve">، </w:t>
      </w:r>
      <w:r w:rsidR="008C177A">
        <w:rPr>
          <w:rtl/>
          <w:lang w:bidi="ar-EG"/>
        </w:rPr>
        <w:t>أعلن البنك الوطني السويسري (البنك المركزي السويسري) سياسة للحفاظ على سعر صرف أدنى</w:t>
      </w:r>
      <w:r>
        <w:rPr>
          <w:rFonts w:hint="cs"/>
          <w:rtl/>
          <w:lang w:bidi="ar-EG"/>
        </w:rPr>
        <w:t xml:space="preserve"> قدره</w:t>
      </w:r>
      <w:r w:rsidR="008C177A">
        <w:rPr>
          <w:rtl/>
          <w:lang w:bidi="ar-EG"/>
        </w:rPr>
        <w:t xml:space="preserve"> 1.20 فرنك سويسري </w:t>
      </w:r>
      <w:r>
        <w:rPr>
          <w:rFonts w:hint="cs"/>
          <w:rtl/>
          <w:lang w:bidi="ar-EG"/>
        </w:rPr>
        <w:t>ل</w:t>
      </w:r>
      <w:r>
        <w:rPr>
          <w:rtl/>
          <w:lang w:bidi="ar-EG"/>
        </w:rPr>
        <w:t>ليورو.</w:t>
      </w:r>
      <w:r>
        <w:rPr>
          <w:rFonts w:hint="cs"/>
          <w:rtl/>
          <w:lang w:bidi="ar-EG"/>
        </w:rPr>
        <w:t xml:space="preserve"> وأدت </w:t>
      </w:r>
      <w:r w:rsidR="008C177A">
        <w:rPr>
          <w:rtl/>
          <w:lang w:bidi="ar-EG"/>
        </w:rPr>
        <w:t xml:space="preserve">هذه السياسة </w:t>
      </w:r>
      <w:r>
        <w:rPr>
          <w:rFonts w:hint="cs"/>
          <w:rtl/>
          <w:lang w:bidi="ar-EG"/>
        </w:rPr>
        <w:t>إلى تقليص</w:t>
      </w:r>
      <w:r w:rsidR="008C177A">
        <w:rPr>
          <w:rtl/>
          <w:lang w:bidi="ar-EG"/>
        </w:rPr>
        <w:t xml:space="preserve"> تعرض المنظمة لخسائر الصرف </w:t>
      </w:r>
      <w:r>
        <w:rPr>
          <w:rFonts w:hint="cs"/>
          <w:rtl/>
          <w:lang w:bidi="ar-EG"/>
        </w:rPr>
        <w:t xml:space="preserve">على </w:t>
      </w:r>
      <w:r w:rsidR="008C177A">
        <w:rPr>
          <w:rtl/>
          <w:lang w:bidi="ar-EG"/>
        </w:rPr>
        <w:t xml:space="preserve">الرسوم الواردة </w:t>
      </w:r>
      <w:r>
        <w:rPr>
          <w:rFonts w:hint="cs"/>
          <w:rtl/>
          <w:lang w:bidi="ar-EG"/>
        </w:rPr>
        <w:t>ب</w:t>
      </w:r>
      <w:r w:rsidR="008C177A">
        <w:rPr>
          <w:rtl/>
          <w:lang w:bidi="ar-EG"/>
        </w:rPr>
        <w:t>اليورو</w:t>
      </w:r>
      <w:r>
        <w:rPr>
          <w:rFonts w:hint="cs"/>
          <w:rtl/>
          <w:lang w:bidi="ar-EG"/>
        </w:rPr>
        <w:t xml:space="preserve"> بصورة </w:t>
      </w:r>
      <w:r>
        <w:rPr>
          <w:rtl/>
          <w:lang w:bidi="ar-EG"/>
        </w:rPr>
        <w:t>فعال</w:t>
      </w:r>
      <w:r>
        <w:rPr>
          <w:rFonts w:hint="cs"/>
          <w:rtl/>
          <w:lang w:bidi="ar-EG"/>
        </w:rPr>
        <w:t>ة</w:t>
      </w:r>
      <w:r w:rsidR="008C177A">
        <w:rPr>
          <w:rtl/>
          <w:lang w:bidi="ar-EG"/>
        </w:rPr>
        <w:t>. ومع ذلك، أعلن البنك المركزي السويسري</w:t>
      </w:r>
      <w:r>
        <w:rPr>
          <w:rFonts w:hint="cs"/>
          <w:rtl/>
          <w:lang w:bidi="ar-EG"/>
        </w:rPr>
        <w:t xml:space="preserve">، </w:t>
      </w:r>
      <w:r>
        <w:rPr>
          <w:rtl/>
          <w:lang w:bidi="ar-EG"/>
        </w:rPr>
        <w:t>في 15 يناير 2015</w:t>
      </w:r>
      <w:r>
        <w:rPr>
          <w:rFonts w:hint="cs"/>
          <w:rtl/>
          <w:lang w:bidi="ar-EG"/>
        </w:rPr>
        <w:t>،</w:t>
      </w:r>
      <w:r w:rsidR="008C177A">
        <w:rPr>
          <w:rtl/>
          <w:lang w:bidi="ar-EG"/>
        </w:rPr>
        <w:t xml:space="preserve"> وقف هذه السياسة. </w:t>
      </w:r>
      <w:r>
        <w:rPr>
          <w:rFonts w:hint="cs"/>
          <w:rtl/>
          <w:lang w:bidi="ar-EG"/>
        </w:rPr>
        <w:t>وعليه</w:t>
      </w:r>
      <w:r w:rsidR="008C177A">
        <w:rPr>
          <w:rtl/>
          <w:lang w:bidi="ar-EG"/>
        </w:rPr>
        <w:t xml:space="preserve"> ارتفعت قيمة الفرنك السويسري </w:t>
      </w:r>
      <w:r>
        <w:rPr>
          <w:rFonts w:hint="cs"/>
          <w:rtl/>
          <w:lang w:bidi="ar-EG"/>
        </w:rPr>
        <w:t xml:space="preserve">بعدئذ </w:t>
      </w:r>
      <w:r w:rsidR="008C177A">
        <w:rPr>
          <w:rtl/>
          <w:lang w:bidi="ar-EG"/>
        </w:rPr>
        <w:t xml:space="preserve">بشكل حاد، </w:t>
      </w:r>
      <w:r>
        <w:rPr>
          <w:rFonts w:hint="cs"/>
          <w:rtl/>
          <w:lang w:bidi="ar-EG"/>
        </w:rPr>
        <w:t xml:space="preserve">وفقدت </w:t>
      </w:r>
      <w:r w:rsidR="008C177A">
        <w:rPr>
          <w:rtl/>
          <w:lang w:bidi="ar-EG"/>
        </w:rPr>
        <w:t xml:space="preserve">جميع العملات الأخرى في المتوسط 15.0 </w:t>
      </w:r>
      <w:r w:rsidR="00257637">
        <w:rPr>
          <w:rFonts w:hint="cs"/>
          <w:rtl/>
          <w:lang w:bidi="ar-EG"/>
        </w:rPr>
        <w:t>في المئة</w:t>
      </w:r>
      <w:r w:rsidR="008C177A">
        <w:rPr>
          <w:rtl/>
          <w:lang w:bidi="ar-EG"/>
        </w:rPr>
        <w:t xml:space="preserve"> من قيمتها مقابل الفرنك السويسري في أس</w:t>
      </w:r>
      <w:r>
        <w:rPr>
          <w:rtl/>
          <w:lang w:bidi="ar-EG"/>
        </w:rPr>
        <w:t>واق العملات. ويلخص الجدول التال</w:t>
      </w:r>
      <w:r>
        <w:rPr>
          <w:rFonts w:hint="cs"/>
          <w:rtl/>
          <w:lang w:bidi="ar-EG"/>
        </w:rPr>
        <w:t>ي</w:t>
      </w:r>
      <w:r w:rsidR="008C177A">
        <w:rPr>
          <w:rtl/>
          <w:lang w:bidi="ar-EG"/>
        </w:rPr>
        <w:t xml:space="preserve"> الفرق بين سعر الصرف المستخدم لتحديد المبالغ المعادلة </w:t>
      </w:r>
      <w:r>
        <w:rPr>
          <w:rFonts w:hint="cs"/>
          <w:rtl/>
          <w:lang w:bidi="ar-EG"/>
        </w:rPr>
        <w:t xml:space="preserve">للإيداعات </w:t>
      </w:r>
      <w:r w:rsidR="008C177A">
        <w:rPr>
          <w:rtl/>
          <w:lang w:bidi="ar-EG"/>
        </w:rPr>
        <w:t xml:space="preserve">في نهاية عام 2014 وبداية عام 2015 </w:t>
      </w:r>
      <w:r>
        <w:rPr>
          <w:rFonts w:hint="cs"/>
          <w:rtl/>
          <w:lang w:bidi="ar-EG"/>
        </w:rPr>
        <w:t>فيما يخص</w:t>
      </w:r>
      <w:r w:rsidR="008C177A">
        <w:rPr>
          <w:rtl/>
          <w:lang w:bidi="ar-EG"/>
        </w:rPr>
        <w:t xml:space="preserve"> الدولار </w:t>
      </w:r>
      <w:r w:rsidR="00FD2528">
        <w:rPr>
          <w:rtl/>
          <w:lang w:bidi="ar-EG"/>
        </w:rPr>
        <w:t>الأمريكي</w:t>
      </w:r>
      <w:r w:rsidR="008C177A">
        <w:rPr>
          <w:rtl/>
          <w:lang w:bidi="ar-EG"/>
        </w:rPr>
        <w:t xml:space="preserve"> والين الياباني واليورو، و</w:t>
      </w:r>
      <w:r>
        <w:rPr>
          <w:rFonts w:hint="cs"/>
          <w:rtl/>
          <w:lang w:bidi="ar-EG"/>
        </w:rPr>
        <w:t xml:space="preserve">بين </w:t>
      </w:r>
      <w:r w:rsidR="00F232C1">
        <w:rPr>
          <w:rFonts w:hint="cs"/>
          <w:rtl/>
          <w:lang w:bidi="ar-EG"/>
        </w:rPr>
        <w:t>أسعار الصرف في الأمم المتحدة</w:t>
      </w:r>
      <w:r w:rsidR="008C177A">
        <w:rPr>
          <w:rtl/>
          <w:lang w:bidi="ar-EG"/>
        </w:rPr>
        <w:t xml:space="preserve"> عق</w:t>
      </w:r>
      <w:r>
        <w:rPr>
          <w:rtl/>
          <w:lang w:bidi="ar-EG"/>
        </w:rPr>
        <w:t>ب إعلان البنك المركزي السويسري:</w:t>
      </w:r>
    </w:p>
    <w:p w14:paraId="00D4916E" w14:textId="23D651AF" w:rsidR="00546397" w:rsidRDefault="00AB7C4D" w:rsidP="00546397">
      <w:pPr>
        <w:pStyle w:val="NumberedParaAR"/>
        <w:numPr>
          <w:ilvl w:val="0"/>
          <w:numId w:val="0"/>
        </w:numPr>
        <w:spacing w:line="240" w:lineRule="auto"/>
        <w:jc w:val="center"/>
        <w:rPr>
          <w:rtl/>
          <w:lang w:bidi="ar-EG"/>
        </w:rPr>
      </w:pPr>
      <w:r w:rsidRPr="00AB7C4D">
        <w:rPr>
          <w:noProof/>
          <w:rtl/>
        </w:rPr>
        <w:lastRenderedPageBreak/>
        <w:drawing>
          <wp:inline distT="0" distB="0" distL="0" distR="0" wp14:anchorId="47B29FBB" wp14:editId="17E57808">
            <wp:extent cx="5940425" cy="2652817"/>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0425" cy="2652817"/>
                    </a:xfrm>
                    <a:prstGeom prst="rect">
                      <a:avLst/>
                    </a:prstGeom>
                    <a:noFill/>
                    <a:ln>
                      <a:noFill/>
                    </a:ln>
                  </pic:spPr>
                </pic:pic>
              </a:graphicData>
            </a:graphic>
          </wp:inline>
        </w:drawing>
      </w:r>
    </w:p>
    <w:p w14:paraId="75DBDC65" w14:textId="68AC9C2B" w:rsidR="008C177A" w:rsidRDefault="00546397" w:rsidP="00F66751">
      <w:pPr>
        <w:pStyle w:val="NumberedParaAR"/>
        <w:rPr>
          <w:rtl/>
          <w:lang w:bidi="ar-EG"/>
        </w:rPr>
      </w:pPr>
      <w:r>
        <w:rPr>
          <w:rFonts w:hint="cs"/>
          <w:rtl/>
          <w:lang w:bidi="ar-EG"/>
        </w:rPr>
        <w:t>ويُتوقع أن تتكبد</w:t>
      </w:r>
      <w:r w:rsidR="008C177A">
        <w:rPr>
          <w:rtl/>
          <w:lang w:bidi="ar-EG"/>
        </w:rPr>
        <w:t xml:space="preserve"> الويبو خسائر صرف سواء على</w:t>
      </w:r>
      <w:r>
        <w:rPr>
          <w:rFonts w:hint="cs"/>
          <w:rtl/>
          <w:lang w:bidi="ar-EG"/>
        </w:rPr>
        <w:t xml:space="preserve"> </w:t>
      </w:r>
      <w:r w:rsidR="008C177A">
        <w:rPr>
          <w:rtl/>
          <w:lang w:bidi="ar-EG"/>
        </w:rPr>
        <w:t>إيداعات</w:t>
      </w:r>
      <w:r>
        <w:rPr>
          <w:rFonts w:hint="cs"/>
          <w:rtl/>
          <w:lang w:bidi="ar-EG"/>
        </w:rPr>
        <w:t xml:space="preserve"> عام 2014</w:t>
      </w:r>
      <w:r w:rsidR="008C177A">
        <w:rPr>
          <w:rtl/>
          <w:lang w:bidi="ar-EG"/>
        </w:rPr>
        <w:t xml:space="preserve"> التي </w:t>
      </w:r>
      <w:r>
        <w:rPr>
          <w:rFonts w:hint="cs"/>
          <w:rtl/>
          <w:lang w:bidi="ar-EG"/>
        </w:rPr>
        <w:t>لم تسدَّد ق</w:t>
      </w:r>
      <w:r w:rsidR="008C177A">
        <w:rPr>
          <w:rtl/>
          <w:lang w:bidi="ar-EG"/>
        </w:rPr>
        <w:t>ب</w:t>
      </w:r>
      <w:r>
        <w:rPr>
          <w:rtl/>
          <w:lang w:bidi="ar-EG"/>
        </w:rPr>
        <w:t>ل إعلان البنك المركزي السويسري</w:t>
      </w:r>
      <w:r>
        <w:rPr>
          <w:rFonts w:hint="cs"/>
          <w:rtl/>
          <w:lang w:bidi="ar-EG"/>
        </w:rPr>
        <w:t>، أو إيداعات عام</w:t>
      </w:r>
      <w:r w:rsidR="008C177A">
        <w:rPr>
          <w:rtl/>
          <w:lang w:bidi="ar-EG"/>
        </w:rPr>
        <w:t xml:space="preserve"> 2015 التي قدمت خلال الأشهر الثلاثة الأولى من العام قبل تنفيذ المبالغ المعادلة الجديدة اعتبارا</w:t>
      </w:r>
      <w:r>
        <w:rPr>
          <w:rFonts w:hint="cs"/>
          <w:rtl/>
          <w:lang w:bidi="ar-EG"/>
        </w:rPr>
        <w:t>ً</w:t>
      </w:r>
      <w:r w:rsidR="008C177A">
        <w:rPr>
          <w:rtl/>
          <w:lang w:bidi="ar-EG"/>
        </w:rPr>
        <w:t xml:space="preserve"> من 1 ابريل 2015. </w:t>
      </w:r>
      <w:r>
        <w:rPr>
          <w:rFonts w:hint="cs"/>
          <w:rtl/>
          <w:lang w:bidi="ar-EG"/>
        </w:rPr>
        <w:t>ويتوقع أن ترد رسوم هذه الإيداعات خلال</w:t>
      </w:r>
      <w:r w:rsidR="008C177A">
        <w:rPr>
          <w:rtl/>
          <w:lang w:bidi="ar-EG"/>
        </w:rPr>
        <w:t xml:space="preserve"> الأشهر الخمسة الأولى من عام 2015، </w:t>
      </w:r>
      <w:r>
        <w:rPr>
          <w:rFonts w:hint="cs"/>
          <w:rtl/>
          <w:lang w:bidi="ar-EG"/>
        </w:rPr>
        <w:t>وعليه</w:t>
      </w:r>
      <w:r w:rsidR="008C177A">
        <w:rPr>
          <w:rtl/>
          <w:lang w:bidi="ar-EG"/>
        </w:rPr>
        <w:t xml:space="preserve"> فإن حجم الخسائر </w:t>
      </w:r>
      <w:r w:rsidR="00B936A5">
        <w:rPr>
          <w:rFonts w:hint="cs"/>
          <w:rtl/>
          <w:lang w:bidi="ar-EG"/>
        </w:rPr>
        <w:t>يرتهن</w:t>
      </w:r>
      <w:r w:rsidR="008C177A">
        <w:rPr>
          <w:rtl/>
          <w:lang w:bidi="ar-EG"/>
        </w:rPr>
        <w:t xml:space="preserve"> </w:t>
      </w:r>
      <w:r w:rsidR="00B936A5">
        <w:rPr>
          <w:rFonts w:hint="cs"/>
          <w:rtl/>
          <w:lang w:bidi="ar-EG"/>
        </w:rPr>
        <w:t>ب</w:t>
      </w:r>
      <w:r w:rsidR="008C177A">
        <w:rPr>
          <w:rtl/>
          <w:lang w:bidi="ar-EG"/>
        </w:rPr>
        <w:t>نمط التدفقات النقدية وأسعار الصرف في المستقبل. وتجدر الإشارة إلى أن المبالغ المعادلة الجديدة التي أ</w:t>
      </w:r>
      <w:r w:rsidR="00B936A5">
        <w:rPr>
          <w:rFonts w:hint="cs"/>
          <w:rtl/>
          <w:lang w:bidi="ar-EG"/>
        </w:rPr>
        <w:t>ُ</w:t>
      </w:r>
      <w:r w:rsidR="008C177A">
        <w:rPr>
          <w:rtl/>
          <w:lang w:bidi="ar-EG"/>
        </w:rPr>
        <w:t>علنت اعتبارا</w:t>
      </w:r>
      <w:r w:rsidR="00B936A5">
        <w:rPr>
          <w:rFonts w:hint="cs"/>
          <w:rtl/>
          <w:lang w:bidi="ar-EG"/>
        </w:rPr>
        <w:t>ً</w:t>
      </w:r>
      <w:r w:rsidR="00B936A5">
        <w:rPr>
          <w:rtl/>
          <w:lang w:bidi="ar-EG"/>
        </w:rPr>
        <w:t xml:space="preserve"> من 1 أبريل 2015 </w:t>
      </w:r>
      <w:r w:rsidR="008C177A">
        <w:rPr>
          <w:rtl/>
          <w:lang w:bidi="ar-EG"/>
        </w:rPr>
        <w:t xml:space="preserve">شملت اليورو ولكن ليس الدولار </w:t>
      </w:r>
      <w:r w:rsidR="00FD2528">
        <w:rPr>
          <w:rtl/>
          <w:lang w:bidi="ar-EG"/>
        </w:rPr>
        <w:t>الأمريكي</w:t>
      </w:r>
      <w:r w:rsidR="008C177A">
        <w:rPr>
          <w:rtl/>
          <w:lang w:bidi="ar-EG"/>
        </w:rPr>
        <w:t xml:space="preserve"> والين الياباني </w:t>
      </w:r>
      <w:r w:rsidR="00B936A5">
        <w:rPr>
          <w:rFonts w:hint="cs"/>
          <w:rtl/>
          <w:lang w:bidi="ar-EG"/>
        </w:rPr>
        <w:t>اللذين لم يستوفيا</w:t>
      </w:r>
      <w:r w:rsidR="008C177A">
        <w:rPr>
          <w:rtl/>
          <w:lang w:bidi="ar-EG"/>
        </w:rPr>
        <w:t xml:space="preserve"> الشروط اللازمة لتحديد </w:t>
      </w:r>
      <w:r w:rsidR="00B936A5">
        <w:rPr>
          <w:rFonts w:hint="cs"/>
          <w:rtl/>
          <w:lang w:bidi="ar-EG"/>
        </w:rPr>
        <w:t>مبلغ معادل</w:t>
      </w:r>
      <w:r w:rsidR="008C177A">
        <w:rPr>
          <w:rtl/>
          <w:lang w:bidi="ar-EG"/>
        </w:rPr>
        <w:t xml:space="preserve"> جديد</w:t>
      </w:r>
      <w:r w:rsidR="00B936A5">
        <w:rPr>
          <w:rFonts w:hint="cs"/>
          <w:rtl/>
          <w:lang w:bidi="ar-EG"/>
        </w:rPr>
        <w:t xml:space="preserve"> </w:t>
      </w:r>
      <w:r w:rsidR="00B936A5">
        <w:rPr>
          <w:rtl/>
          <w:lang w:bidi="ar-EG"/>
        </w:rPr>
        <w:t xml:space="preserve">بسبب </w:t>
      </w:r>
      <w:r w:rsidR="00F66751">
        <w:rPr>
          <w:rFonts w:hint="cs"/>
          <w:rtl/>
          <w:lang w:bidi="ar-EG"/>
        </w:rPr>
        <w:t>استعادتهما</w:t>
      </w:r>
      <w:r w:rsidR="00B936A5">
        <w:rPr>
          <w:rtl/>
          <w:lang w:bidi="ar-EG"/>
        </w:rPr>
        <w:t xml:space="preserve"> جزء</w:t>
      </w:r>
      <w:r w:rsidR="00F66751">
        <w:rPr>
          <w:rFonts w:hint="cs"/>
          <w:rtl/>
          <w:lang w:bidi="ar-EG"/>
        </w:rPr>
        <w:t>اً</w:t>
      </w:r>
      <w:r w:rsidR="00B936A5">
        <w:rPr>
          <w:rtl/>
          <w:lang w:bidi="ar-EG"/>
        </w:rPr>
        <w:t xml:space="preserve"> كبير</w:t>
      </w:r>
      <w:r w:rsidR="00F66751">
        <w:rPr>
          <w:rFonts w:hint="cs"/>
          <w:rtl/>
          <w:lang w:bidi="ar-EG"/>
        </w:rPr>
        <w:t>اً</w:t>
      </w:r>
      <w:r w:rsidR="00B936A5">
        <w:rPr>
          <w:rtl/>
          <w:lang w:bidi="ar-EG"/>
        </w:rPr>
        <w:t xml:space="preserve"> من قيمته</w:t>
      </w:r>
      <w:r w:rsidR="00F66751">
        <w:rPr>
          <w:rFonts w:hint="cs"/>
          <w:rtl/>
          <w:lang w:bidi="ar-EG"/>
        </w:rPr>
        <w:t>م</w:t>
      </w:r>
      <w:r w:rsidR="00B936A5">
        <w:rPr>
          <w:rtl/>
          <w:lang w:bidi="ar-EG"/>
        </w:rPr>
        <w:t xml:space="preserve">ا </w:t>
      </w:r>
      <w:r w:rsidR="00F66751">
        <w:rPr>
          <w:rFonts w:hint="cs"/>
          <w:rtl/>
          <w:lang w:bidi="ar-EG"/>
        </w:rPr>
        <w:t>أمام</w:t>
      </w:r>
      <w:r w:rsidR="00B936A5">
        <w:rPr>
          <w:rtl/>
          <w:lang w:bidi="ar-EG"/>
        </w:rPr>
        <w:t xml:space="preserve"> الفرنك السويسري</w:t>
      </w:r>
      <w:r w:rsidR="008C177A">
        <w:rPr>
          <w:rtl/>
          <w:lang w:bidi="ar-EG"/>
        </w:rPr>
        <w:t>. وتشير التقديرات إلى أنه في أعقاب إعلان البنك الو</w:t>
      </w:r>
      <w:r w:rsidR="00B936A5">
        <w:rPr>
          <w:rtl/>
          <w:lang w:bidi="ar-EG"/>
        </w:rPr>
        <w:t>طني السويسري، ستتكبد الويبو خسارة</w:t>
      </w:r>
      <w:r w:rsidR="00B936A5">
        <w:rPr>
          <w:rFonts w:hint="cs"/>
          <w:rtl/>
          <w:lang w:bidi="ar-EG"/>
        </w:rPr>
        <w:t xml:space="preserve"> صرف تتراوح</w:t>
      </w:r>
      <w:r w:rsidR="008C177A">
        <w:rPr>
          <w:rtl/>
          <w:lang w:bidi="ar-EG"/>
        </w:rPr>
        <w:t xml:space="preserve"> بين </w:t>
      </w:r>
      <w:r w:rsidR="00B936A5">
        <w:rPr>
          <w:rFonts w:hint="cs"/>
          <w:rtl/>
          <w:lang w:bidi="ar-EG"/>
        </w:rPr>
        <w:t>مليوني</w:t>
      </w:r>
      <w:r w:rsidR="008C177A">
        <w:rPr>
          <w:rtl/>
          <w:lang w:bidi="ar-EG"/>
        </w:rPr>
        <w:t xml:space="preserve"> </w:t>
      </w:r>
      <w:r w:rsidR="00B936A5">
        <w:rPr>
          <w:rFonts w:hint="cs"/>
          <w:rtl/>
          <w:lang w:bidi="ar-EG"/>
        </w:rPr>
        <w:t>وخمسة ملايين</w:t>
      </w:r>
      <w:r w:rsidR="008C177A">
        <w:rPr>
          <w:rtl/>
          <w:lang w:bidi="ar-EG"/>
        </w:rPr>
        <w:t xml:space="preserve"> فرنك سويسري على </w:t>
      </w:r>
      <w:r w:rsidR="00B936A5">
        <w:rPr>
          <w:rFonts w:hint="cs"/>
          <w:rtl/>
          <w:lang w:bidi="ar-EG"/>
        </w:rPr>
        <w:t xml:space="preserve">رسوم الإيداعات الدولية بناء على </w:t>
      </w:r>
      <w:r w:rsidR="008C177A">
        <w:rPr>
          <w:rtl/>
          <w:lang w:bidi="ar-EG"/>
        </w:rPr>
        <w:t>معاهدة التعاون بشأن البراءات التي وردت خلال الأشهر الخمسة الأولى من</w:t>
      </w:r>
      <w:r w:rsidR="00B936A5">
        <w:rPr>
          <w:rFonts w:hint="cs"/>
          <w:rtl/>
          <w:lang w:bidi="ar-EG"/>
        </w:rPr>
        <w:t xml:space="preserve"> عام</w:t>
      </w:r>
      <w:r w:rsidR="008C177A">
        <w:rPr>
          <w:rtl/>
          <w:lang w:bidi="ar-EG"/>
        </w:rPr>
        <w:t xml:space="preserve"> 2015.</w:t>
      </w:r>
    </w:p>
    <w:p w14:paraId="0EA3166E" w14:textId="77777777" w:rsidR="008C177A" w:rsidRDefault="00B936A5" w:rsidP="00F66751">
      <w:pPr>
        <w:pStyle w:val="NumberedParaAR"/>
        <w:keepNext/>
        <w:rPr>
          <w:rtl/>
          <w:lang w:bidi="ar-EG"/>
        </w:rPr>
      </w:pPr>
      <w:r>
        <w:rPr>
          <w:rFonts w:hint="cs"/>
          <w:rtl/>
          <w:lang w:bidi="ar-EG"/>
        </w:rPr>
        <w:t xml:space="preserve">وتشمل </w:t>
      </w:r>
      <w:r w:rsidR="008C177A">
        <w:rPr>
          <w:rtl/>
          <w:lang w:bidi="ar-EG"/>
        </w:rPr>
        <w:t>رسوم نظام مدريد أساسا</w:t>
      </w:r>
      <w:r>
        <w:rPr>
          <w:rFonts w:hint="cs"/>
          <w:rtl/>
          <w:lang w:bidi="ar-EG"/>
        </w:rPr>
        <w:t>ً</w:t>
      </w:r>
      <w:r w:rsidR="008C177A">
        <w:rPr>
          <w:rtl/>
          <w:lang w:bidi="ar-EG"/>
        </w:rPr>
        <w:t xml:space="preserve"> الرسوم الأساسية الواردة </w:t>
      </w:r>
      <w:r>
        <w:rPr>
          <w:rFonts w:hint="cs"/>
          <w:rtl/>
          <w:lang w:bidi="ar-EG"/>
        </w:rPr>
        <w:t>ع</w:t>
      </w:r>
      <w:r w:rsidR="008C177A">
        <w:rPr>
          <w:rtl/>
          <w:lang w:bidi="ar-EG"/>
        </w:rPr>
        <w:t xml:space="preserve">ن طلبات التسجيل أو التجديد ورسوم </w:t>
      </w:r>
      <w:r>
        <w:rPr>
          <w:rFonts w:hint="cs"/>
          <w:rtl/>
          <w:lang w:bidi="ar-EG"/>
        </w:rPr>
        <w:t>التعيينات اللاحقة</w:t>
      </w:r>
      <w:r w:rsidR="008C177A">
        <w:rPr>
          <w:rtl/>
          <w:lang w:bidi="ar-EG"/>
        </w:rPr>
        <w:t>:</w:t>
      </w:r>
    </w:p>
    <w:p w14:paraId="21A02772" w14:textId="77777777" w:rsidR="008C177A" w:rsidRPr="00B936A5" w:rsidRDefault="00B936A5" w:rsidP="00B936A5">
      <w:pPr>
        <w:pStyle w:val="NumberedParaAR"/>
        <w:keepNext/>
        <w:numPr>
          <w:ilvl w:val="0"/>
          <w:numId w:val="0"/>
        </w:numPr>
        <w:jc w:val="center"/>
        <w:rPr>
          <w:u w:val="single"/>
          <w:rtl/>
          <w:lang w:bidi="ar-EG"/>
        </w:rPr>
      </w:pPr>
      <w:r>
        <w:rPr>
          <w:rFonts w:hint="cs"/>
          <w:u w:val="single"/>
          <w:rtl/>
          <w:lang w:bidi="ar-EG"/>
        </w:rPr>
        <w:t>تفاصيل رسوم نظام مدريد للفترة 2012-2014</w:t>
      </w:r>
    </w:p>
    <w:p w14:paraId="1815FDB5" w14:textId="49020576" w:rsidR="008C177A" w:rsidRDefault="00BF4871" w:rsidP="00BF4871">
      <w:pPr>
        <w:pStyle w:val="NumberedParaAR"/>
        <w:numPr>
          <w:ilvl w:val="0"/>
          <w:numId w:val="0"/>
        </w:numPr>
        <w:spacing w:line="240" w:lineRule="auto"/>
        <w:jc w:val="center"/>
        <w:rPr>
          <w:rtl/>
          <w:lang w:bidi="ar-EG"/>
        </w:rPr>
      </w:pPr>
      <w:r w:rsidRPr="00BF4871">
        <w:rPr>
          <w:noProof/>
          <w:rtl/>
        </w:rPr>
        <w:drawing>
          <wp:inline distT="0" distB="0" distL="0" distR="0" wp14:anchorId="373208A4" wp14:editId="40E269CF">
            <wp:extent cx="5118100" cy="1219200"/>
            <wp:effectExtent l="0" t="0" r="635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18100" cy="1219200"/>
                    </a:xfrm>
                    <a:prstGeom prst="rect">
                      <a:avLst/>
                    </a:prstGeom>
                    <a:noFill/>
                    <a:ln>
                      <a:noFill/>
                    </a:ln>
                  </pic:spPr>
                </pic:pic>
              </a:graphicData>
            </a:graphic>
          </wp:inline>
        </w:drawing>
      </w:r>
    </w:p>
    <w:p w14:paraId="1EB2D290" w14:textId="690336C7" w:rsidR="008C177A" w:rsidRDefault="00B936A5" w:rsidP="00A3480D">
      <w:pPr>
        <w:pStyle w:val="NumberedParaAR"/>
        <w:rPr>
          <w:lang w:bidi="ar-EG"/>
        </w:rPr>
      </w:pPr>
      <w:r>
        <w:rPr>
          <w:rFonts w:hint="cs"/>
          <w:rtl/>
          <w:lang w:bidi="ar-EG"/>
        </w:rPr>
        <w:t>و</w:t>
      </w:r>
      <w:r w:rsidR="002B3DBD">
        <w:rPr>
          <w:rtl/>
          <w:lang w:bidi="ar-EG"/>
        </w:rPr>
        <w:t xml:space="preserve">وفقاً </w:t>
      </w:r>
      <w:r w:rsidR="008C177A">
        <w:rPr>
          <w:rtl/>
          <w:lang w:bidi="ar-EG"/>
        </w:rPr>
        <w:t>للمعايير المحاسبية الدولية</w:t>
      </w:r>
      <w:r>
        <w:rPr>
          <w:rFonts w:hint="cs"/>
          <w:rtl/>
          <w:lang w:bidi="ar-EG"/>
        </w:rPr>
        <w:t xml:space="preserve"> للقطاع العام</w:t>
      </w:r>
      <w:r w:rsidR="008C177A">
        <w:rPr>
          <w:rtl/>
          <w:lang w:bidi="ar-EG"/>
        </w:rPr>
        <w:t xml:space="preserve">، </w:t>
      </w:r>
      <w:r>
        <w:rPr>
          <w:rFonts w:hint="cs"/>
          <w:rtl/>
          <w:lang w:bidi="ar-EG"/>
        </w:rPr>
        <w:t>تقيَّد</w:t>
      </w:r>
      <w:r>
        <w:rPr>
          <w:rtl/>
          <w:lang w:bidi="ar-EG"/>
        </w:rPr>
        <w:t xml:space="preserve"> </w:t>
      </w:r>
      <w:r w:rsidR="008C177A">
        <w:rPr>
          <w:rtl/>
          <w:lang w:bidi="ar-EG"/>
        </w:rPr>
        <w:t>إيرادات رسوم مدريد للتسجيل</w:t>
      </w:r>
      <w:r>
        <w:rPr>
          <w:rFonts w:hint="cs"/>
          <w:rtl/>
          <w:lang w:bidi="ar-EG"/>
        </w:rPr>
        <w:t>ات</w:t>
      </w:r>
      <w:r w:rsidR="008C177A">
        <w:rPr>
          <w:rtl/>
          <w:lang w:bidi="ar-EG"/>
        </w:rPr>
        <w:t xml:space="preserve"> والتجديدات والتعيينات اللاحقة في البيانات المالية فور نشره</w:t>
      </w:r>
      <w:r>
        <w:rPr>
          <w:rFonts w:hint="cs"/>
          <w:rtl/>
          <w:lang w:bidi="ar-EG"/>
        </w:rPr>
        <w:t>ا</w:t>
      </w:r>
      <w:r w:rsidR="008C177A">
        <w:rPr>
          <w:rtl/>
          <w:lang w:bidi="ar-EG"/>
        </w:rPr>
        <w:t xml:space="preserve">. </w:t>
      </w:r>
      <w:r>
        <w:rPr>
          <w:rFonts w:hint="cs"/>
          <w:rtl/>
          <w:lang w:bidi="ar-EG"/>
        </w:rPr>
        <w:t xml:space="preserve">وازدادت </w:t>
      </w:r>
      <w:r w:rsidR="008C177A">
        <w:rPr>
          <w:rtl/>
          <w:lang w:bidi="ar-EG"/>
        </w:rPr>
        <w:t>إيرادات التسجيلات والتجديدات (</w:t>
      </w:r>
      <w:r>
        <w:rPr>
          <w:rFonts w:hint="cs"/>
          <w:rtl/>
          <w:lang w:bidi="ar-EG"/>
        </w:rPr>
        <w:t>دون الرسوم الأخرى</w:t>
      </w:r>
      <w:r>
        <w:rPr>
          <w:rtl/>
          <w:lang w:bidi="ar-EG"/>
        </w:rPr>
        <w:t>)</w:t>
      </w:r>
      <w:r>
        <w:rPr>
          <w:rFonts w:hint="cs"/>
          <w:rtl/>
          <w:lang w:bidi="ar-EG"/>
        </w:rPr>
        <w:t xml:space="preserve"> </w:t>
      </w:r>
      <w:r w:rsidR="002B3DBD">
        <w:rPr>
          <w:rtl/>
          <w:lang w:bidi="ar-EG"/>
        </w:rPr>
        <w:t xml:space="preserve">وفقاً </w:t>
      </w:r>
      <w:r w:rsidR="008C177A">
        <w:rPr>
          <w:rtl/>
          <w:lang w:bidi="ar-EG"/>
        </w:rPr>
        <w:t>للمعايير المحاسبية الدولية</w:t>
      </w:r>
      <w:r>
        <w:rPr>
          <w:rFonts w:hint="cs"/>
          <w:rtl/>
          <w:lang w:bidi="ar-EG"/>
        </w:rPr>
        <w:t xml:space="preserve"> للقطاع العام</w:t>
      </w:r>
      <w:r w:rsidR="008C177A">
        <w:rPr>
          <w:rtl/>
          <w:lang w:bidi="ar-EG"/>
        </w:rPr>
        <w:t xml:space="preserve"> </w:t>
      </w:r>
      <w:r>
        <w:rPr>
          <w:rFonts w:hint="cs"/>
          <w:rtl/>
          <w:lang w:bidi="ar-EG"/>
        </w:rPr>
        <w:t xml:space="preserve">مع ازدياد </w:t>
      </w:r>
      <w:r w:rsidR="008C177A">
        <w:rPr>
          <w:rtl/>
          <w:lang w:bidi="ar-EG"/>
        </w:rPr>
        <w:t xml:space="preserve">عدد التسجيلات </w:t>
      </w:r>
      <w:r>
        <w:rPr>
          <w:rFonts w:hint="cs"/>
          <w:rtl/>
          <w:lang w:bidi="ar-EG"/>
        </w:rPr>
        <w:t>و</w:t>
      </w:r>
      <w:r w:rsidR="008C177A">
        <w:rPr>
          <w:rtl/>
          <w:lang w:bidi="ar-EG"/>
        </w:rPr>
        <w:t xml:space="preserve">التجديدات </w:t>
      </w:r>
      <w:r>
        <w:rPr>
          <w:rFonts w:hint="cs"/>
          <w:rtl/>
          <w:lang w:bidi="ar-EG"/>
        </w:rPr>
        <w:t>كل سنة:</w:t>
      </w:r>
    </w:p>
    <w:p w14:paraId="4D448E91" w14:textId="77777777" w:rsidR="008C177A" w:rsidRPr="00B936A5" w:rsidRDefault="008C177A" w:rsidP="00B936A5">
      <w:pPr>
        <w:pStyle w:val="NumberedParaAR"/>
        <w:keepNext/>
        <w:numPr>
          <w:ilvl w:val="0"/>
          <w:numId w:val="0"/>
        </w:numPr>
        <w:jc w:val="center"/>
        <w:rPr>
          <w:u w:val="single"/>
          <w:rtl/>
          <w:lang w:bidi="ar-EG"/>
        </w:rPr>
      </w:pPr>
      <w:r w:rsidRPr="00B936A5">
        <w:rPr>
          <w:u w:val="single"/>
          <w:rtl/>
          <w:lang w:bidi="ar-EG"/>
        </w:rPr>
        <w:lastRenderedPageBreak/>
        <w:t>مدري</w:t>
      </w:r>
      <w:r w:rsidR="00B936A5" w:rsidRPr="00B936A5">
        <w:rPr>
          <w:u w:val="single"/>
          <w:rtl/>
          <w:lang w:bidi="ar-EG"/>
        </w:rPr>
        <w:t xml:space="preserve">د </w:t>
      </w:r>
      <w:r w:rsidR="00B936A5" w:rsidRPr="00B936A5">
        <w:rPr>
          <w:rFonts w:hint="cs"/>
          <w:u w:val="single"/>
          <w:rtl/>
          <w:lang w:bidi="ar-EG"/>
        </w:rPr>
        <w:t>-</w:t>
      </w:r>
      <w:r w:rsidR="00B936A5">
        <w:rPr>
          <w:rFonts w:hint="cs"/>
          <w:u w:val="single"/>
          <w:rtl/>
          <w:lang w:bidi="ar-EG"/>
        </w:rPr>
        <w:t xml:space="preserve"> </w:t>
      </w:r>
      <w:r w:rsidR="00B936A5" w:rsidRPr="00B936A5">
        <w:rPr>
          <w:rFonts w:hint="cs"/>
          <w:u w:val="single"/>
          <w:rtl/>
          <w:lang w:bidi="ar-EG"/>
        </w:rPr>
        <w:t>الرسوم</w:t>
      </w:r>
      <w:r w:rsidR="00B936A5" w:rsidRPr="00B936A5">
        <w:rPr>
          <w:u w:val="single"/>
          <w:rtl/>
          <w:lang w:bidi="ar-EG"/>
        </w:rPr>
        <w:t xml:space="preserve"> الأساسية والتسجيلات</w:t>
      </w:r>
      <w:r w:rsidR="00B936A5" w:rsidRPr="00B936A5">
        <w:rPr>
          <w:rFonts w:hint="cs"/>
          <w:u w:val="single"/>
          <w:rtl/>
          <w:lang w:bidi="ar-EG"/>
        </w:rPr>
        <w:t>/التجديدات للفترة 2012-2014</w:t>
      </w:r>
    </w:p>
    <w:p w14:paraId="5A1E299D" w14:textId="0EA139AA" w:rsidR="00B936A5" w:rsidRDefault="00BF4871" w:rsidP="00B936A5">
      <w:pPr>
        <w:pStyle w:val="NumberedParaAR"/>
        <w:numPr>
          <w:ilvl w:val="0"/>
          <w:numId w:val="0"/>
        </w:numPr>
        <w:spacing w:line="240" w:lineRule="auto"/>
        <w:jc w:val="center"/>
        <w:rPr>
          <w:rtl/>
          <w:lang w:bidi="ar-EG"/>
        </w:rPr>
      </w:pPr>
      <w:r>
        <w:rPr>
          <w:noProof/>
        </w:rPr>
        <w:drawing>
          <wp:inline distT="0" distB="0" distL="0" distR="0" wp14:anchorId="614713A5" wp14:editId="1BDD2A01">
            <wp:extent cx="6682105" cy="3499485"/>
            <wp:effectExtent l="0" t="0" r="4445" b="571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82105" cy="3499485"/>
                    </a:xfrm>
                    <a:prstGeom prst="rect">
                      <a:avLst/>
                    </a:prstGeom>
                    <a:noFill/>
                  </pic:spPr>
                </pic:pic>
              </a:graphicData>
            </a:graphic>
          </wp:inline>
        </w:drawing>
      </w:r>
    </w:p>
    <w:p w14:paraId="7E166BD3" w14:textId="39F25385" w:rsidR="00B936A5" w:rsidRDefault="00B936A5" w:rsidP="00B936A5">
      <w:pPr>
        <w:pStyle w:val="NumberedParaAR"/>
        <w:rPr>
          <w:lang w:bidi="ar-EG"/>
        </w:rPr>
      </w:pPr>
      <w:r>
        <w:rPr>
          <w:rFonts w:hint="cs"/>
          <w:rtl/>
          <w:lang w:bidi="ar-EG"/>
        </w:rPr>
        <w:t>بلغ مجموع رسوم نظام لاهاي 3.2 مليون فرنك سويسري في عام 2014. وعلى غرار رسوم نظام معاهدة التعاون بشأن البراءات ونظام مدريد</w:t>
      </w:r>
      <w:r w:rsidR="008D64F3">
        <w:rPr>
          <w:rFonts w:hint="cs"/>
          <w:rtl/>
          <w:lang w:bidi="ar-EG"/>
        </w:rPr>
        <w:t xml:space="preserve">، تقيَّد إيرادات الرسوم المتعلقة بمعالجة الطلبات عندما يُنشر الطلب. </w:t>
      </w:r>
      <w:r w:rsidR="00CB6784">
        <w:rPr>
          <w:rFonts w:hint="cs"/>
          <w:rtl/>
          <w:lang w:bidi="ar-EG"/>
        </w:rPr>
        <w:t>وتظل رسوم نظام لاهاي ثابتة ولا تتغير جوهرياً مقارنة بالعام السابق.</w:t>
      </w:r>
    </w:p>
    <w:p w14:paraId="50B7E5A9" w14:textId="4490F9CE" w:rsidR="00CB6784" w:rsidRDefault="00CB6784" w:rsidP="00B936A5">
      <w:pPr>
        <w:pStyle w:val="NumberedParaAR"/>
        <w:rPr>
          <w:lang w:bidi="ar-EG"/>
        </w:rPr>
      </w:pPr>
      <w:r>
        <w:rPr>
          <w:rFonts w:hint="cs"/>
          <w:rtl/>
          <w:lang w:bidi="ar-EG"/>
        </w:rPr>
        <w:t>وتمثل الإيرادات من الاشتراكات المقررة البالغة 17.9 مليون فرنك سويسري 4.8 بالمئة من مجموع الإيرادات بينما تمثل إيرادات المساهمات الطوعية الواردة في إطار الحسابات الخاصة والبالغة 8.9 مليون فرنك سويسري 2.4 بالمئة من مجموع الإيرادات. وتقيِّد إيرادات المساهمات الطوعية مع تنفيذ العمل وتكبد النفقات بما يتماشى مع الاتفاق المعني.</w:t>
      </w:r>
    </w:p>
    <w:p w14:paraId="7ADFB4BE" w14:textId="1656276F" w:rsidR="00D920DB" w:rsidRDefault="008C177A" w:rsidP="005778EE">
      <w:pPr>
        <w:pStyle w:val="NumberedParaAR"/>
        <w:rPr>
          <w:lang w:bidi="ar-EG"/>
        </w:rPr>
      </w:pPr>
      <w:r>
        <w:rPr>
          <w:rtl/>
          <w:lang w:bidi="ar-EG"/>
        </w:rPr>
        <w:t xml:space="preserve">وبلغ </w:t>
      </w:r>
      <w:r w:rsidR="00CB6784">
        <w:rPr>
          <w:rFonts w:hint="cs"/>
          <w:rtl/>
          <w:lang w:bidi="ar-EG"/>
        </w:rPr>
        <w:t>مجموع</w:t>
      </w:r>
      <w:r w:rsidR="00CB6784">
        <w:rPr>
          <w:rtl/>
          <w:lang w:bidi="ar-EG"/>
        </w:rPr>
        <w:t xml:space="preserve"> </w:t>
      </w:r>
      <w:r>
        <w:rPr>
          <w:rtl/>
          <w:lang w:bidi="ar-EG"/>
        </w:rPr>
        <w:t>إيرادات</w:t>
      </w:r>
      <w:r w:rsidR="00CB6784">
        <w:rPr>
          <w:rFonts w:hint="cs"/>
          <w:rtl/>
          <w:lang w:bidi="ar-EG"/>
        </w:rPr>
        <w:t xml:space="preserve"> </w:t>
      </w:r>
      <w:r>
        <w:rPr>
          <w:rtl/>
          <w:lang w:bidi="ar-EG"/>
        </w:rPr>
        <w:t>الاستثمار 1.6</w:t>
      </w:r>
      <w:r w:rsidR="00CB6784">
        <w:rPr>
          <w:rtl/>
          <w:lang w:bidi="ar-EG"/>
        </w:rPr>
        <w:t xml:space="preserve"> مليون فرنك سويسري في عام 2014</w:t>
      </w:r>
      <w:r w:rsidR="00CB6784">
        <w:rPr>
          <w:rFonts w:hint="cs"/>
          <w:rtl/>
          <w:lang w:bidi="ar-EG"/>
        </w:rPr>
        <w:t xml:space="preserve">، أي </w:t>
      </w:r>
      <w:r>
        <w:rPr>
          <w:rtl/>
          <w:lang w:bidi="ar-EG"/>
        </w:rPr>
        <w:t xml:space="preserve">بانخفاض قدره 23.8 </w:t>
      </w:r>
      <w:r w:rsidR="00257637">
        <w:rPr>
          <w:rtl/>
          <w:lang w:bidi="ar-EG"/>
        </w:rPr>
        <w:t>في المئة</w:t>
      </w:r>
      <w:r>
        <w:rPr>
          <w:rtl/>
          <w:lang w:bidi="ar-EG"/>
        </w:rPr>
        <w:t xml:space="preserve"> مقارنة </w:t>
      </w:r>
      <w:r w:rsidR="00CB6784">
        <w:rPr>
          <w:rFonts w:hint="cs"/>
          <w:rtl/>
          <w:lang w:bidi="ar-EG"/>
        </w:rPr>
        <w:t>ب</w:t>
      </w:r>
      <w:r>
        <w:rPr>
          <w:rtl/>
          <w:lang w:bidi="ar-EG"/>
        </w:rPr>
        <w:t>عام 2013. وانخفض</w:t>
      </w:r>
      <w:r w:rsidR="00CB6784">
        <w:rPr>
          <w:rFonts w:hint="cs"/>
          <w:rtl/>
          <w:lang w:bidi="ar-EG"/>
        </w:rPr>
        <w:t>ت</w:t>
      </w:r>
      <w:r>
        <w:rPr>
          <w:rtl/>
          <w:lang w:bidi="ar-EG"/>
        </w:rPr>
        <w:t xml:space="preserve"> </w:t>
      </w:r>
      <w:r w:rsidR="00CB6784">
        <w:rPr>
          <w:rFonts w:hint="cs"/>
          <w:rtl/>
          <w:lang w:bidi="ar-EG"/>
        </w:rPr>
        <w:t>إيرادات</w:t>
      </w:r>
      <w:r>
        <w:rPr>
          <w:rtl/>
          <w:lang w:bidi="ar-EG"/>
        </w:rPr>
        <w:t xml:space="preserve"> الفائدة </w:t>
      </w:r>
      <w:r w:rsidR="00D920DB">
        <w:rPr>
          <w:rFonts w:hint="cs"/>
          <w:rtl/>
          <w:lang w:bidi="ar-EG"/>
        </w:rPr>
        <w:t>مع انخفاض</w:t>
      </w:r>
      <w:r>
        <w:rPr>
          <w:rtl/>
          <w:lang w:bidi="ar-EG"/>
        </w:rPr>
        <w:t xml:space="preserve"> متوسط</w:t>
      </w:r>
      <w:r w:rsidR="00CB6784">
        <w:rPr>
          <w:rFonts w:hint="cs"/>
          <w:rtl/>
          <w:lang w:bidi="ar-EG"/>
        </w:rPr>
        <w:t xml:space="preserve"> </w:t>
      </w:r>
      <w:r>
        <w:rPr>
          <w:rFonts w:hint="cs"/>
          <w:rtl/>
          <w:lang w:bidi="ar-EG"/>
        </w:rPr>
        <w:t>سعر</w:t>
      </w:r>
      <w:r>
        <w:rPr>
          <w:rtl/>
          <w:lang w:bidi="ar-EG"/>
        </w:rPr>
        <w:t xml:space="preserve"> </w:t>
      </w:r>
      <w:r>
        <w:rPr>
          <w:rFonts w:hint="cs"/>
          <w:rtl/>
          <w:lang w:bidi="ar-EG"/>
        </w:rPr>
        <w:t>الفائدة</w:t>
      </w:r>
      <w:r>
        <w:rPr>
          <w:rtl/>
          <w:lang w:bidi="ar-EG"/>
        </w:rPr>
        <w:t xml:space="preserve"> </w:t>
      </w:r>
      <w:r>
        <w:rPr>
          <w:rFonts w:hint="cs"/>
          <w:rtl/>
          <w:lang w:bidi="ar-EG"/>
        </w:rPr>
        <w:t>على</w:t>
      </w:r>
      <w:r>
        <w:rPr>
          <w:rtl/>
          <w:lang w:bidi="ar-EG"/>
        </w:rPr>
        <w:t xml:space="preserve"> </w:t>
      </w:r>
      <w:r>
        <w:rPr>
          <w:rFonts w:hint="cs"/>
          <w:rtl/>
          <w:lang w:bidi="ar-EG"/>
        </w:rPr>
        <w:t>الحسابات</w:t>
      </w:r>
      <w:r>
        <w:rPr>
          <w:rtl/>
          <w:lang w:bidi="ar-EG"/>
        </w:rPr>
        <w:t xml:space="preserve"> </w:t>
      </w:r>
      <w:r w:rsidR="00D920DB">
        <w:rPr>
          <w:rFonts w:hint="cs"/>
          <w:rtl/>
          <w:lang w:bidi="ar-EG"/>
        </w:rPr>
        <w:t>المدرة</w:t>
      </w:r>
      <w:r>
        <w:rPr>
          <w:rtl/>
          <w:lang w:bidi="ar-EG"/>
        </w:rPr>
        <w:t xml:space="preserve"> </w:t>
      </w:r>
      <w:r w:rsidR="00D920DB">
        <w:rPr>
          <w:rFonts w:hint="cs"/>
          <w:rtl/>
          <w:lang w:bidi="ar-EG"/>
        </w:rPr>
        <w:t>لل</w:t>
      </w:r>
      <w:r>
        <w:rPr>
          <w:rFonts w:hint="cs"/>
          <w:rtl/>
          <w:lang w:bidi="ar-EG"/>
        </w:rPr>
        <w:t>فائدة</w:t>
      </w:r>
      <w:r>
        <w:rPr>
          <w:rtl/>
          <w:lang w:bidi="ar-EG"/>
        </w:rPr>
        <w:t xml:space="preserve"> </w:t>
      </w:r>
      <w:r>
        <w:rPr>
          <w:rFonts w:hint="cs"/>
          <w:rtl/>
          <w:lang w:bidi="ar-EG"/>
        </w:rPr>
        <w:t>والاستثمارات</w:t>
      </w:r>
      <w:r>
        <w:rPr>
          <w:rtl/>
          <w:lang w:bidi="ar-EG"/>
        </w:rPr>
        <w:t xml:space="preserve"> </w:t>
      </w:r>
      <w:r w:rsidR="00D920DB">
        <w:rPr>
          <w:rFonts w:hint="cs"/>
          <w:rtl/>
          <w:lang w:bidi="ar-EG"/>
        </w:rPr>
        <w:t>لدى</w:t>
      </w:r>
      <w:r>
        <w:rPr>
          <w:rtl/>
          <w:lang w:bidi="ar-EG"/>
        </w:rPr>
        <w:t xml:space="preserve"> </w:t>
      </w:r>
      <w:r>
        <w:rPr>
          <w:rFonts w:hint="cs"/>
          <w:rtl/>
          <w:lang w:bidi="ar-EG"/>
        </w:rPr>
        <w:t>الإدارة</w:t>
      </w:r>
      <w:r>
        <w:rPr>
          <w:rtl/>
          <w:lang w:bidi="ar-EG"/>
        </w:rPr>
        <w:t xml:space="preserve"> </w:t>
      </w:r>
      <w:r>
        <w:rPr>
          <w:rFonts w:hint="cs"/>
          <w:rtl/>
          <w:lang w:bidi="ar-EG"/>
        </w:rPr>
        <w:t>المالية</w:t>
      </w:r>
      <w:r>
        <w:rPr>
          <w:rtl/>
          <w:lang w:bidi="ar-EG"/>
        </w:rPr>
        <w:t xml:space="preserve"> </w:t>
      </w:r>
      <w:r>
        <w:rPr>
          <w:rFonts w:hint="cs"/>
          <w:rtl/>
          <w:lang w:bidi="ar-EG"/>
        </w:rPr>
        <w:t>الاتحادي</w:t>
      </w:r>
      <w:r w:rsidR="00D920DB">
        <w:rPr>
          <w:rFonts w:hint="cs"/>
          <w:rtl/>
          <w:lang w:bidi="ar-EG"/>
        </w:rPr>
        <w:t>ة</w:t>
      </w:r>
      <w:r>
        <w:rPr>
          <w:rtl/>
          <w:lang w:bidi="ar-EG"/>
        </w:rPr>
        <w:t xml:space="preserve"> </w:t>
      </w:r>
      <w:r>
        <w:rPr>
          <w:rFonts w:hint="cs"/>
          <w:rtl/>
          <w:lang w:bidi="ar-EG"/>
        </w:rPr>
        <w:t>السويسري</w:t>
      </w:r>
      <w:r w:rsidR="00D920DB">
        <w:rPr>
          <w:rFonts w:hint="cs"/>
          <w:rtl/>
          <w:lang w:bidi="ar-EG"/>
        </w:rPr>
        <w:t xml:space="preserve">ة إلى 0.421 بالمئة في عام 2014 مقارنة بنسبة 0.558 بالمئة في عام 2013. وكانت إيرادات التحكيم والوساطة البالغة 1.5 مليون فرنك سويسري ومبيعات المنشورات البالغة قيمتها 0.4 مليون فرنك سويسري لعام 2014 </w:t>
      </w:r>
      <w:r w:rsidR="005778EE">
        <w:rPr>
          <w:rFonts w:hint="cs"/>
          <w:rtl/>
          <w:lang w:bidi="ar-EG"/>
        </w:rPr>
        <w:t>أي بما يتماشى</w:t>
      </w:r>
      <w:r w:rsidR="00D920DB">
        <w:rPr>
          <w:rFonts w:hint="cs"/>
          <w:rtl/>
          <w:lang w:bidi="ar-EG"/>
        </w:rPr>
        <w:t xml:space="preserve"> إلى حد بعيد مع العام السابق. وانخفضت الإيرادات الأخرى/المتنوعة من 6.2 مليون فرنك سويسري في عام 2013 إلى 3 ملايين فرنك سويسري في عام 2014. وكانت إيرادات عام 2013 أعلى نظراً إلى استلام ذلك</w:t>
      </w:r>
      <w:r w:rsidR="00242AD0">
        <w:rPr>
          <w:rFonts w:hint="cs"/>
          <w:rtl/>
          <w:lang w:bidi="ar-EG"/>
        </w:rPr>
        <w:t xml:space="preserve"> العام 4.3 مليون فرنك سويسري كسندات دائنة من مركز الحوسبة الدولي.</w:t>
      </w:r>
    </w:p>
    <w:p w14:paraId="163588B5" w14:textId="77777777" w:rsidR="00E16243" w:rsidRPr="00540C96" w:rsidRDefault="00E16243" w:rsidP="00E16243">
      <w:pPr>
        <w:pStyle w:val="NumberedParaAR"/>
        <w:keepNext/>
        <w:numPr>
          <w:ilvl w:val="0"/>
          <w:numId w:val="0"/>
        </w:numPr>
        <w:rPr>
          <w:b/>
          <w:bCs/>
          <w:i/>
          <w:iCs/>
          <w:rtl/>
          <w:lang w:bidi="ar-EG"/>
        </w:rPr>
      </w:pPr>
      <w:r w:rsidRPr="00540C96">
        <w:rPr>
          <w:rFonts w:hint="cs"/>
          <w:b/>
          <w:bCs/>
          <w:i/>
          <w:iCs/>
          <w:rtl/>
          <w:lang w:bidi="ar-EG"/>
        </w:rPr>
        <w:lastRenderedPageBreak/>
        <w:t>تحليل المصروفات</w:t>
      </w:r>
    </w:p>
    <w:p w14:paraId="1ECA43A0" w14:textId="1D834C07" w:rsidR="00E16243" w:rsidRPr="005778EE" w:rsidRDefault="00E16243" w:rsidP="00EE51AC">
      <w:pPr>
        <w:pStyle w:val="NumberedParaAR"/>
        <w:keepNext/>
        <w:numPr>
          <w:ilvl w:val="0"/>
          <w:numId w:val="0"/>
        </w:numPr>
        <w:spacing w:after="120"/>
        <w:jc w:val="center"/>
        <w:rPr>
          <w:u w:val="single"/>
          <w:rtl/>
          <w:lang w:bidi="ar-EG"/>
        </w:rPr>
      </w:pPr>
      <w:r w:rsidRPr="005778EE">
        <w:rPr>
          <w:rFonts w:hint="cs"/>
          <w:u w:val="single"/>
          <w:rtl/>
          <w:lang w:bidi="ar-EG"/>
        </w:rPr>
        <w:t xml:space="preserve">تكوين مصروفات عام </w:t>
      </w:r>
      <w:r w:rsidR="00242AD0" w:rsidRPr="005778EE">
        <w:rPr>
          <w:rFonts w:hint="cs"/>
          <w:u w:val="single"/>
          <w:rtl/>
          <w:lang w:bidi="ar-EG"/>
        </w:rPr>
        <w:t>2014</w:t>
      </w:r>
      <w:r w:rsidRPr="005778EE">
        <w:rPr>
          <w:rFonts w:hint="cs"/>
          <w:u w:val="single"/>
          <w:rtl/>
          <w:lang w:bidi="ar-EG"/>
        </w:rPr>
        <w:t xml:space="preserve"> على </w:t>
      </w:r>
      <w:r w:rsidR="00FD2528">
        <w:rPr>
          <w:rFonts w:hint="cs"/>
          <w:u w:val="single"/>
          <w:rtl/>
          <w:lang w:bidi="ar-EG"/>
        </w:rPr>
        <w:t xml:space="preserve">أساس </w:t>
      </w:r>
      <w:r w:rsidRPr="005778EE">
        <w:rPr>
          <w:rFonts w:hint="cs"/>
          <w:u w:val="single"/>
          <w:rtl/>
          <w:lang w:bidi="ar-EG"/>
        </w:rPr>
        <w:t>المعايير المحاسبية الدولية للقطاع العام</w:t>
      </w:r>
    </w:p>
    <w:p w14:paraId="118804DE" w14:textId="2A2F7425" w:rsidR="00242AD0" w:rsidRPr="005778EE" w:rsidRDefault="00242AD0" w:rsidP="00242AD0">
      <w:pPr>
        <w:pStyle w:val="NumberedParaAR"/>
        <w:keepNext/>
        <w:numPr>
          <w:ilvl w:val="0"/>
          <w:numId w:val="0"/>
        </w:numPr>
        <w:jc w:val="center"/>
        <w:rPr>
          <w:i/>
          <w:iCs/>
          <w:rtl/>
          <w:lang w:bidi="ar-EG"/>
        </w:rPr>
      </w:pPr>
      <w:r w:rsidRPr="005778EE">
        <w:rPr>
          <w:rFonts w:hint="cs"/>
          <w:i/>
          <w:iCs/>
          <w:rtl/>
          <w:lang w:bidi="ar-EG"/>
        </w:rPr>
        <w:t>(بملايين الفرنكات السويسرية)</w:t>
      </w:r>
    </w:p>
    <w:p w14:paraId="5091099F" w14:textId="37A7CD2B" w:rsidR="00E16243" w:rsidRDefault="00B60CD6" w:rsidP="00242AD0">
      <w:pPr>
        <w:pStyle w:val="NumberedParaAR"/>
        <w:numPr>
          <w:ilvl w:val="0"/>
          <w:numId w:val="0"/>
        </w:numPr>
        <w:spacing w:line="240" w:lineRule="auto"/>
        <w:jc w:val="center"/>
        <w:rPr>
          <w:rtl/>
          <w:lang w:bidi="ar-EG"/>
        </w:rPr>
      </w:pPr>
      <w:r>
        <w:rPr>
          <w:noProof/>
        </w:rPr>
        <w:drawing>
          <wp:inline distT="0" distB="0" distL="0" distR="0" wp14:anchorId="35839C9F" wp14:editId="3227B06B">
            <wp:extent cx="5761355" cy="33286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1355" cy="3328670"/>
                    </a:xfrm>
                    <a:prstGeom prst="rect">
                      <a:avLst/>
                    </a:prstGeom>
                    <a:noFill/>
                  </pic:spPr>
                </pic:pic>
              </a:graphicData>
            </a:graphic>
          </wp:inline>
        </w:drawing>
      </w:r>
    </w:p>
    <w:p w14:paraId="6F8F5FF9" w14:textId="6EEE7272" w:rsidR="00242AD0" w:rsidRDefault="00242AD0" w:rsidP="00242AD0">
      <w:pPr>
        <w:pStyle w:val="NumberedParaAR"/>
        <w:rPr>
          <w:lang w:bidi="ar-EG"/>
        </w:rPr>
      </w:pPr>
      <w:r>
        <w:rPr>
          <w:rFonts w:hint="cs"/>
          <w:rtl/>
          <w:lang w:bidi="ar-EG"/>
        </w:rPr>
        <w:t>بلغ مجموع مصروفات المنظمة 333.2</w:t>
      </w:r>
      <w:r w:rsidR="00E16243">
        <w:rPr>
          <w:rFonts w:hint="cs"/>
          <w:rtl/>
          <w:lang w:bidi="ar-EG"/>
        </w:rPr>
        <w:t xml:space="preserve"> مليون فرنك سويسري في عام </w:t>
      </w:r>
      <w:r w:rsidR="00924A2C">
        <w:rPr>
          <w:rFonts w:hint="cs"/>
          <w:rtl/>
          <w:lang w:bidi="ar-EG"/>
        </w:rPr>
        <w:t>2013</w:t>
      </w:r>
      <w:r w:rsidR="00E16243">
        <w:rPr>
          <w:rFonts w:hint="cs"/>
          <w:rtl/>
          <w:lang w:bidi="ar-EG"/>
        </w:rPr>
        <w:t xml:space="preserve">، وهو ما يمثل </w:t>
      </w:r>
      <w:r>
        <w:rPr>
          <w:rFonts w:hint="cs"/>
          <w:rtl/>
          <w:lang w:bidi="ar-EG"/>
        </w:rPr>
        <w:t xml:space="preserve">انخفاضاً نسبته 1 </w:t>
      </w:r>
      <w:r w:rsidR="00257637">
        <w:rPr>
          <w:rFonts w:hint="cs"/>
          <w:rtl/>
          <w:lang w:bidi="ar-EG"/>
        </w:rPr>
        <w:t>بالمئة</w:t>
      </w:r>
      <w:r w:rsidR="00E16243">
        <w:rPr>
          <w:rFonts w:hint="cs"/>
          <w:rtl/>
          <w:lang w:bidi="ar-EG"/>
        </w:rPr>
        <w:t xml:space="preserve"> مقارنة بمجموع مصروفات </w:t>
      </w:r>
      <w:r>
        <w:rPr>
          <w:rFonts w:hint="cs"/>
          <w:rtl/>
          <w:lang w:bidi="ar-EG"/>
        </w:rPr>
        <w:t>2013</w:t>
      </w:r>
      <w:r w:rsidR="00E16243">
        <w:rPr>
          <w:rFonts w:hint="cs"/>
          <w:rtl/>
          <w:lang w:bidi="ar-EG"/>
        </w:rPr>
        <w:t xml:space="preserve"> الذي بلغ </w:t>
      </w:r>
      <w:r>
        <w:rPr>
          <w:rFonts w:hint="cs"/>
          <w:rtl/>
          <w:lang w:bidi="ar-EG"/>
        </w:rPr>
        <w:t>336.5</w:t>
      </w:r>
      <w:r w:rsidR="00E16243">
        <w:rPr>
          <w:rFonts w:hint="cs"/>
          <w:rtl/>
          <w:lang w:bidi="ar-EG"/>
        </w:rPr>
        <w:t xml:space="preserve"> مليون فرنك سويسري.</w:t>
      </w:r>
      <w:r>
        <w:rPr>
          <w:rFonts w:hint="cs"/>
          <w:rtl/>
          <w:lang w:bidi="ar-EG"/>
        </w:rPr>
        <w:t xml:space="preserve"> </w:t>
      </w:r>
      <w:r w:rsidR="00E16243">
        <w:rPr>
          <w:rFonts w:hint="cs"/>
          <w:rtl/>
          <w:lang w:bidi="ar-EG"/>
        </w:rPr>
        <w:t xml:space="preserve">وتشكل نفقات الموظفين أكبر مصروفات المنظمة، حيث </w:t>
      </w:r>
      <w:r w:rsidR="003B4BEF">
        <w:rPr>
          <w:rFonts w:hint="cs"/>
          <w:rtl/>
          <w:lang w:bidi="ar-EG"/>
        </w:rPr>
        <w:t xml:space="preserve">تبلغ </w:t>
      </w:r>
      <w:r>
        <w:rPr>
          <w:rFonts w:hint="cs"/>
          <w:rtl/>
          <w:lang w:bidi="ar-EG"/>
        </w:rPr>
        <w:t>216.4</w:t>
      </w:r>
      <w:r w:rsidR="003B4BEF">
        <w:rPr>
          <w:rFonts w:hint="cs"/>
          <w:rtl/>
          <w:lang w:bidi="ar-EG"/>
        </w:rPr>
        <w:t xml:space="preserve"> مليون فرنك سويسري و</w:t>
      </w:r>
      <w:r w:rsidR="00E16243">
        <w:rPr>
          <w:rFonts w:hint="cs"/>
          <w:rtl/>
          <w:lang w:bidi="ar-EG"/>
        </w:rPr>
        <w:t xml:space="preserve">تمثل </w:t>
      </w:r>
      <w:r>
        <w:rPr>
          <w:rFonts w:hint="cs"/>
          <w:rtl/>
          <w:lang w:bidi="ar-EG"/>
        </w:rPr>
        <w:t xml:space="preserve">64.9 </w:t>
      </w:r>
      <w:r w:rsidR="00257637">
        <w:rPr>
          <w:rFonts w:hint="cs"/>
          <w:rtl/>
          <w:lang w:bidi="ar-EG"/>
        </w:rPr>
        <w:t>بالمئة</w:t>
      </w:r>
      <w:r>
        <w:rPr>
          <w:rFonts w:hint="cs"/>
          <w:rtl/>
          <w:lang w:bidi="ar-EG"/>
        </w:rPr>
        <w:t xml:space="preserve"> من مجموع مصروفاتها. </w:t>
      </w:r>
      <w:r w:rsidR="00E16243">
        <w:rPr>
          <w:rFonts w:hint="cs"/>
          <w:rtl/>
          <w:lang w:bidi="ar-EG"/>
        </w:rPr>
        <w:t xml:space="preserve">وكانت الخدمات التعاقدية ثاني أكبر باب في مصروفات المنظمة حيث بلغت </w:t>
      </w:r>
      <w:r>
        <w:rPr>
          <w:rFonts w:hint="cs"/>
          <w:rtl/>
          <w:lang w:bidi="ar-EG"/>
        </w:rPr>
        <w:t>63.6</w:t>
      </w:r>
      <w:r w:rsidR="00E16243">
        <w:rPr>
          <w:rFonts w:hint="cs"/>
          <w:rtl/>
          <w:lang w:bidi="ar-EG"/>
        </w:rPr>
        <w:t xml:space="preserve"> مليون فرنك سويسري</w:t>
      </w:r>
      <w:r>
        <w:rPr>
          <w:rFonts w:hint="cs"/>
          <w:rtl/>
          <w:lang w:bidi="ar-EG"/>
        </w:rPr>
        <w:t>، وتليها من حيث الحجم مصروفات التشغيل البالغة 20.8 مليون فرنك سويسري. ويعرض الجدول الوارد أدناه ملخصاً للتغييرات من حيث نوع المصروفات مقارنة بالعام السابق.</w:t>
      </w:r>
    </w:p>
    <w:p w14:paraId="55A7A617" w14:textId="47B0FA41" w:rsidR="00E16243" w:rsidRPr="00242AD0" w:rsidRDefault="00E16243" w:rsidP="00242AD0">
      <w:pPr>
        <w:pStyle w:val="NumberedParaAR"/>
        <w:keepNext/>
        <w:numPr>
          <w:ilvl w:val="0"/>
          <w:numId w:val="0"/>
        </w:numPr>
        <w:jc w:val="center"/>
        <w:rPr>
          <w:u w:val="single"/>
          <w:rtl/>
          <w:lang w:bidi="ar-EG"/>
        </w:rPr>
      </w:pPr>
      <w:r w:rsidRPr="00242AD0">
        <w:rPr>
          <w:rFonts w:hint="cs"/>
          <w:u w:val="single"/>
          <w:rtl/>
          <w:lang w:bidi="ar-EG"/>
        </w:rPr>
        <w:t xml:space="preserve">التغير في المصروفات بين عامي </w:t>
      </w:r>
      <w:r w:rsidR="00242AD0">
        <w:rPr>
          <w:rFonts w:hint="cs"/>
          <w:u w:val="single"/>
          <w:rtl/>
          <w:lang w:bidi="ar-EG"/>
        </w:rPr>
        <w:t>2013 و2014</w:t>
      </w:r>
    </w:p>
    <w:p w14:paraId="1B9B951A" w14:textId="3608569F" w:rsidR="00E16243" w:rsidRDefault="00BF4871" w:rsidP="00C73B1C">
      <w:pPr>
        <w:pStyle w:val="NumberedParaAR"/>
        <w:numPr>
          <w:ilvl w:val="0"/>
          <w:numId w:val="0"/>
        </w:numPr>
        <w:spacing w:line="240" w:lineRule="auto"/>
        <w:jc w:val="center"/>
        <w:rPr>
          <w:rtl/>
          <w:lang w:bidi="ar-EG"/>
        </w:rPr>
      </w:pPr>
      <w:r w:rsidRPr="00BF4871">
        <w:rPr>
          <w:noProof/>
          <w:rtl/>
        </w:rPr>
        <w:drawing>
          <wp:inline distT="0" distB="0" distL="0" distR="0" wp14:anchorId="11DE6DCA" wp14:editId="5DEF3295">
            <wp:extent cx="5940425" cy="2185978"/>
            <wp:effectExtent l="0" t="0" r="3175" b="508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0425" cy="2185978"/>
                    </a:xfrm>
                    <a:prstGeom prst="rect">
                      <a:avLst/>
                    </a:prstGeom>
                    <a:noFill/>
                    <a:ln>
                      <a:noFill/>
                    </a:ln>
                  </pic:spPr>
                </pic:pic>
              </a:graphicData>
            </a:graphic>
          </wp:inline>
        </w:drawing>
      </w:r>
    </w:p>
    <w:p w14:paraId="496490AA" w14:textId="473920D3" w:rsidR="00BE1A3A" w:rsidRDefault="00A468EF" w:rsidP="00C844F6">
      <w:pPr>
        <w:pStyle w:val="NumberedParaAR"/>
        <w:rPr>
          <w:lang w:bidi="ar-EG"/>
        </w:rPr>
      </w:pPr>
      <w:r>
        <w:rPr>
          <w:rFonts w:hint="cs"/>
          <w:rtl/>
          <w:lang w:bidi="ar-EG"/>
        </w:rPr>
        <w:lastRenderedPageBreak/>
        <w:t xml:space="preserve">وتتألف نفقات الموظفين أساساً من صافي المرتب الأساسي وتسويات </w:t>
      </w:r>
      <w:r w:rsidR="00C844F6">
        <w:rPr>
          <w:rFonts w:hint="cs"/>
          <w:rtl/>
          <w:lang w:bidi="ar-EG"/>
        </w:rPr>
        <w:t>الوظائف الثابتة</w:t>
      </w:r>
      <w:r>
        <w:rPr>
          <w:rFonts w:hint="cs"/>
          <w:rtl/>
          <w:lang w:bidi="ar-EG"/>
        </w:rPr>
        <w:t xml:space="preserve"> أو </w:t>
      </w:r>
      <w:r w:rsidR="00C844F6">
        <w:rPr>
          <w:rFonts w:hint="cs"/>
          <w:rtl/>
          <w:lang w:bidi="ar-EG"/>
        </w:rPr>
        <w:t>المؤقتة</w:t>
      </w:r>
      <w:r>
        <w:rPr>
          <w:rFonts w:hint="cs"/>
          <w:rtl/>
          <w:lang w:bidi="ar-EG"/>
        </w:rPr>
        <w:t>.</w:t>
      </w:r>
      <w:r w:rsidR="00C844F6">
        <w:rPr>
          <w:rFonts w:hint="cs"/>
          <w:rtl/>
          <w:lang w:bidi="ar-EG"/>
        </w:rPr>
        <w:t xml:space="preserve"> وتمثل هذه النفقات إجمالاً 145.3 مليون فرنك سويسري أي 67.2 بالمئة من مجموع نفقات الموظفين لعام 2014. وتمثل مساهمات المنظمة في </w:t>
      </w:r>
      <w:r w:rsidR="00C844F6" w:rsidRPr="00C844F6">
        <w:rPr>
          <w:rtl/>
          <w:lang w:bidi="ar-EG"/>
        </w:rPr>
        <w:t>الصندوق المشترك للمعاشات التقاعدية لموظفي الأمم المتحدة</w:t>
      </w:r>
      <w:r w:rsidR="00C844F6">
        <w:rPr>
          <w:rFonts w:hint="cs"/>
          <w:rtl/>
          <w:lang w:bidi="ar-EG"/>
        </w:rPr>
        <w:t xml:space="preserve"> ثاني أكبر باب نفقات الموظفين إذ يبلغ مجموعها 26 مليون فرنك س</w:t>
      </w:r>
      <w:r w:rsidR="00FD2528">
        <w:rPr>
          <w:rFonts w:hint="cs"/>
          <w:rtl/>
          <w:lang w:bidi="ar-EG"/>
        </w:rPr>
        <w:t>ويسري في عام 2014. وتبلغ اشتراكات</w:t>
      </w:r>
      <w:r w:rsidR="00C844F6">
        <w:rPr>
          <w:rFonts w:hint="cs"/>
          <w:rtl/>
          <w:lang w:bidi="ar-EG"/>
        </w:rPr>
        <w:t xml:space="preserve"> الويبو المقررة في الصندوق المشترك للمعاشات التقاعدية لموظفي الأمم المتحدة حالياً 15.8 بالمئة من حصة راتب الموظفين المخصصة للمعاشات. وتمثل </w:t>
      </w:r>
      <w:r w:rsidR="00311F61">
        <w:rPr>
          <w:rFonts w:hint="cs"/>
          <w:rtl/>
          <w:lang w:bidi="ar-EG"/>
        </w:rPr>
        <w:t>البدلات</w:t>
      </w:r>
      <w:r w:rsidR="00C844F6">
        <w:rPr>
          <w:rFonts w:hint="cs"/>
          <w:rtl/>
          <w:lang w:bidi="ar-EG"/>
        </w:rPr>
        <w:t xml:space="preserve"> البالغة 16.3 مليون فرنك سويسري 7.5 بالمئة من مجموع نفقات الموظفين. وتشمل هذه </w:t>
      </w:r>
      <w:r w:rsidR="00311F61">
        <w:rPr>
          <w:rFonts w:hint="cs"/>
          <w:rtl/>
          <w:lang w:bidi="ar-EG"/>
        </w:rPr>
        <w:t>البدلات</w:t>
      </w:r>
      <w:r w:rsidR="00C844F6">
        <w:rPr>
          <w:rFonts w:hint="cs"/>
          <w:rtl/>
          <w:lang w:bidi="ar-EG"/>
        </w:rPr>
        <w:t xml:space="preserve"> أساساً علاوات الإعالة البالغة 4.8 مليون فرنك سويسري ومنح التعليم البالغة 5.4 مليون فرنك سويسري والإجازات لزيارة الوطن البالغة قيمتها 3 ملايين فرنك سويسري. وبلغ مجموع تكلفة مساهمة المنظمة في أقساط التأمين الصحي الشهرية للموظفين العاملين 10 ملايين فرنك سويسري في عام 2014. وتضم نفقات الموظفين الأخرى البالغة 5.1 مليون فرنك سويسري مساهمات تأمين الموظفين الأخرى واتفاقات </w:t>
      </w:r>
      <w:r w:rsidR="00311F61">
        <w:rPr>
          <w:rFonts w:hint="cs"/>
          <w:rtl/>
          <w:lang w:bidi="ar-EG"/>
        </w:rPr>
        <w:t>نهاية الخدمة</w:t>
      </w:r>
      <w:r w:rsidR="00C844F6">
        <w:rPr>
          <w:rFonts w:hint="cs"/>
          <w:rtl/>
          <w:lang w:bidi="ar-EG"/>
        </w:rPr>
        <w:t>.</w:t>
      </w:r>
    </w:p>
    <w:p w14:paraId="3CAC89FF" w14:textId="48858013" w:rsidR="00BE1A3A" w:rsidRDefault="00C844F6" w:rsidP="00C844F6">
      <w:pPr>
        <w:pStyle w:val="NumberedParaAR"/>
        <w:keepNext/>
        <w:numPr>
          <w:ilvl w:val="0"/>
          <w:numId w:val="0"/>
        </w:numPr>
        <w:jc w:val="center"/>
        <w:rPr>
          <w:u w:val="single"/>
          <w:rtl/>
          <w:lang w:bidi="ar-EG"/>
        </w:rPr>
      </w:pPr>
      <w:r>
        <w:rPr>
          <w:rFonts w:hint="cs"/>
          <w:u w:val="single"/>
          <w:rtl/>
          <w:lang w:bidi="ar-EG"/>
        </w:rPr>
        <w:t>تكوين نفقات الموظفين ل</w:t>
      </w:r>
      <w:r w:rsidRPr="00C844F6">
        <w:rPr>
          <w:u w:val="single"/>
          <w:rtl/>
          <w:lang w:bidi="ar-EG"/>
        </w:rPr>
        <w:t xml:space="preserve">عام 2014 على </w:t>
      </w:r>
      <w:r w:rsidR="00FD2528">
        <w:rPr>
          <w:u w:val="single"/>
          <w:rtl/>
          <w:lang w:bidi="ar-EG"/>
        </w:rPr>
        <w:t xml:space="preserve">أساس </w:t>
      </w:r>
      <w:r w:rsidRPr="00C844F6">
        <w:rPr>
          <w:u w:val="single"/>
          <w:rtl/>
          <w:lang w:bidi="ar-EG"/>
        </w:rPr>
        <w:t>المعايير المحاسبية الدولية للقطاع العام</w:t>
      </w:r>
    </w:p>
    <w:p w14:paraId="1FAE3DE9" w14:textId="640573AB" w:rsidR="00C844F6" w:rsidRPr="00311F61" w:rsidRDefault="00C844F6" w:rsidP="00BF4871">
      <w:pPr>
        <w:pStyle w:val="NumberedParaAR"/>
        <w:keepNext/>
        <w:numPr>
          <w:ilvl w:val="0"/>
          <w:numId w:val="0"/>
        </w:numPr>
        <w:jc w:val="center"/>
        <w:rPr>
          <w:i/>
          <w:iCs/>
          <w:rtl/>
          <w:lang w:bidi="ar-EG"/>
        </w:rPr>
      </w:pPr>
      <w:r w:rsidRPr="00311F61">
        <w:rPr>
          <w:rFonts w:hint="cs"/>
          <w:i/>
          <w:iCs/>
          <w:rtl/>
          <w:lang w:bidi="ar-EG"/>
        </w:rPr>
        <w:t>(بملايين الفرنكات السويسرية)</w:t>
      </w:r>
    </w:p>
    <w:p w14:paraId="4AC2B0D9" w14:textId="7C4954C4" w:rsidR="00BE1A3A" w:rsidRDefault="00BF4871" w:rsidP="00BF4871">
      <w:pPr>
        <w:pStyle w:val="NumberedParaAR"/>
        <w:numPr>
          <w:ilvl w:val="0"/>
          <w:numId w:val="0"/>
        </w:numPr>
        <w:spacing w:line="240" w:lineRule="auto"/>
        <w:jc w:val="center"/>
        <w:rPr>
          <w:rtl/>
          <w:lang w:bidi="ar-EG"/>
        </w:rPr>
      </w:pPr>
      <w:r>
        <w:rPr>
          <w:noProof/>
        </w:rPr>
        <w:drawing>
          <wp:inline distT="0" distB="0" distL="0" distR="0" wp14:anchorId="746EDB68" wp14:editId="6C43B37B">
            <wp:extent cx="4420235" cy="3115310"/>
            <wp:effectExtent l="0" t="0" r="0" b="889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20235" cy="3115310"/>
                    </a:xfrm>
                    <a:prstGeom prst="rect">
                      <a:avLst/>
                    </a:prstGeom>
                    <a:noFill/>
                  </pic:spPr>
                </pic:pic>
              </a:graphicData>
            </a:graphic>
          </wp:inline>
        </w:drawing>
      </w:r>
    </w:p>
    <w:p w14:paraId="360B1FCD" w14:textId="6426AB05" w:rsidR="00C844F6" w:rsidRDefault="00854F1B" w:rsidP="00854F1B">
      <w:pPr>
        <w:pStyle w:val="NumberedParaAR"/>
        <w:rPr>
          <w:lang w:bidi="ar-EG"/>
        </w:rPr>
      </w:pPr>
      <w:r>
        <w:rPr>
          <w:rFonts w:hint="cs"/>
          <w:rtl/>
          <w:lang w:bidi="ar-EG"/>
        </w:rPr>
        <w:t xml:space="preserve">وتمثل </w:t>
      </w:r>
      <w:r w:rsidR="00EA0CD6">
        <w:rPr>
          <w:rFonts w:hint="cs"/>
          <w:rtl/>
          <w:lang w:bidi="ar-EG"/>
        </w:rPr>
        <w:t>مستحقات</w:t>
      </w:r>
      <w:r>
        <w:rPr>
          <w:rFonts w:hint="cs"/>
          <w:rtl/>
          <w:lang w:bidi="ar-EG"/>
        </w:rPr>
        <w:t xml:space="preserve"> الموظفين في فترة ما بعد الخدمة البالغة 13.7 مليون فرنك سويسري ما تتحمله المنظمة من تكلفة </w:t>
      </w:r>
      <w:r w:rsidRPr="00854F1B">
        <w:rPr>
          <w:rtl/>
          <w:lang w:bidi="ar-EG"/>
        </w:rPr>
        <w:t>التأمين الصحي ما بعد الخدمة، ومنح العودة إلى الوطن والسفر، والإجازات السنوية المتراكمة</w:t>
      </w:r>
      <w:r>
        <w:rPr>
          <w:rFonts w:hint="cs"/>
          <w:rtl/>
          <w:lang w:bidi="ar-EG"/>
        </w:rPr>
        <w:t>. وتعادل مصروفات عام 2014 التسديدات النقدية الفعلية لهذه ال</w:t>
      </w:r>
      <w:r w:rsidR="00EA0CD6">
        <w:rPr>
          <w:rFonts w:hint="cs"/>
          <w:rtl/>
          <w:lang w:bidi="ar-EG"/>
        </w:rPr>
        <w:t>مستحقات</w:t>
      </w:r>
      <w:r>
        <w:rPr>
          <w:rFonts w:hint="cs"/>
          <w:rtl/>
          <w:lang w:bidi="ar-EG"/>
        </w:rPr>
        <w:t xml:space="preserve"> إضافة إلى حركة الخصوم الإجمالية مقارنة بتاريخ 31 ديسمبر 2013.</w:t>
      </w:r>
    </w:p>
    <w:p w14:paraId="2346D4CA" w14:textId="3CB1B9CB" w:rsidR="00854F1B" w:rsidRPr="00854F1B" w:rsidRDefault="00854F1B" w:rsidP="00854F1B">
      <w:pPr>
        <w:pStyle w:val="NumberedParaAR"/>
        <w:keepNext/>
        <w:numPr>
          <w:ilvl w:val="0"/>
          <w:numId w:val="0"/>
        </w:numPr>
        <w:jc w:val="center"/>
        <w:rPr>
          <w:u w:val="single"/>
          <w:rtl/>
          <w:lang w:bidi="ar-EG"/>
        </w:rPr>
      </w:pPr>
      <w:r w:rsidRPr="00854F1B">
        <w:rPr>
          <w:rFonts w:hint="cs"/>
          <w:u w:val="single"/>
          <w:rtl/>
          <w:lang w:bidi="ar-EG"/>
        </w:rPr>
        <w:lastRenderedPageBreak/>
        <w:t xml:space="preserve">مصروفات </w:t>
      </w:r>
      <w:r w:rsidR="00EA0CD6">
        <w:rPr>
          <w:rFonts w:hint="cs"/>
          <w:u w:val="single"/>
          <w:rtl/>
          <w:lang w:bidi="ar-EG"/>
        </w:rPr>
        <w:t>مستحقات</w:t>
      </w:r>
      <w:r w:rsidRPr="00854F1B">
        <w:rPr>
          <w:rFonts w:hint="cs"/>
          <w:u w:val="single"/>
          <w:rtl/>
          <w:lang w:bidi="ar-EG"/>
        </w:rPr>
        <w:t xml:space="preserve"> الموظفين في فترة ما بعد الخدمة في عام 2014</w:t>
      </w:r>
    </w:p>
    <w:p w14:paraId="63CFD622" w14:textId="69BEB9E2" w:rsidR="00C844F6" w:rsidRDefault="00AB7C4D" w:rsidP="00854F1B">
      <w:pPr>
        <w:pStyle w:val="NumberedParaAR"/>
        <w:numPr>
          <w:ilvl w:val="0"/>
          <w:numId w:val="0"/>
        </w:numPr>
        <w:spacing w:line="240" w:lineRule="auto"/>
        <w:jc w:val="center"/>
        <w:rPr>
          <w:rtl/>
          <w:lang w:bidi="ar-EG"/>
        </w:rPr>
      </w:pPr>
      <w:r w:rsidRPr="00AB7C4D">
        <w:rPr>
          <w:noProof/>
          <w:rtl/>
        </w:rPr>
        <w:drawing>
          <wp:inline distT="0" distB="0" distL="0" distR="0" wp14:anchorId="63EE8CC7" wp14:editId="23575E05">
            <wp:extent cx="5822950" cy="1770380"/>
            <wp:effectExtent l="0" t="0" r="635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22950" cy="1770380"/>
                    </a:xfrm>
                    <a:prstGeom prst="rect">
                      <a:avLst/>
                    </a:prstGeom>
                    <a:noFill/>
                    <a:ln>
                      <a:noFill/>
                    </a:ln>
                  </pic:spPr>
                </pic:pic>
              </a:graphicData>
            </a:graphic>
          </wp:inline>
        </w:drawing>
      </w:r>
    </w:p>
    <w:p w14:paraId="585D1E6F" w14:textId="31480AD7" w:rsidR="00854F1B" w:rsidRDefault="00854F1B" w:rsidP="00BE1A3A">
      <w:pPr>
        <w:pStyle w:val="NumberedParaAR"/>
        <w:rPr>
          <w:lang w:bidi="ar-EG"/>
        </w:rPr>
      </w:pPr>
      <w:r>
        <w:rPr>
          <w:rFonts w:hint="cs"/>
          <w:rtl/>
          <w:lang w:bidi="ar-EG"/>
        </w:rPr>
        <w:t>وازداد مجموع نفقات الموظفين البالغ 216.4 مليون فرنك سويسري بنسبة 1.1 بالمئة مقارنة بمجموع نفقات الموظفين البالغ 214 مليون فرنك سويسري في عام 2013. ويرد في الجدول أدناه ملخصاً تفصيلياً لنفقات الموظفين وتغيرها مقارنة بعام 2013.</w:t>
      </w:r>
    </w:p>
    <w:p w14:paraId="3BCC8CF3" w14:textId="6973AC65" w:rsidR="00854F1B" w:rsidRPr="00854F1B" w:rsidRDefault="00854F1B" w:rsidP="00854F1B">
      <w:pPr>
        <w:pStyle w:val="NumberedParaAR"/>
        <w:keepNext/>
        <w:numPr>
          <w:ilvl w:val="0"/>
          <w:numId w:val="0"/>
        </w:numPr>
        <w:jc w:val="center"/>
        <w:rPr>
          <w:u w:val="single"/>
          <w:lang w:bidi="ar-EG"/>
        </w:rPr>
      </w:pPr>
      <w:r>
        <w:rPr>
          <w:rFonts w:hint="cs"/>
          <w:u w:val="single"/>
          <w:rtl/>
          <w:lang w:bidi="ar-EG"/>
        </w:rPr>
        <w:t>تفاصيل نفقات الموظفين للفترة 2013-2014</w:t>
      </w:r>
    </w:p>
    <w:p w14:paraId="15A97F5A" w14:textId="746BAD13" w:rsidR="00854F1B" w:rsidRDefault="005A0899" w:rsidP="00854F1B">
      <w:pPr>
        <w:pStyle w:val="NumberedParaAR"/>
        <w:numPr>
          <w:ilvl w:val="0"/>
          <w:numId w:val="0"/>
        </w:numPr>
        <w:spacing w:line="240" w:lineRule="auto"/>
        <w:jc w:val="center"/>
        <w:rPr>
          <w:lang w:bidi="ar-EG"/>
        </w:rPr>
      </w:pPr>
      <w:r w:rsidRPr="005A0899">
        <w:rPr>
          <w:noProof/>
          <w:rtl/>
        </w:rPr>
        <w:drawing>
          <wp:inline distT="0" distB="0" distL="0" distR="0" wp14:anchorId="563E6815" wp14:editId="79C778A1">
            <wp:extent cx="5930900" cy="3473450"/>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30900" cy="3473450"/>
                    </a:xfrm>
                    <a:prstGeom prst="rect">
                      <a:avLst/>
                    </a:prstGeom>
                    <a:noFill/>
                    <a:ln>
                      <a:noFill/>
                    </a:ln>
                  </pic:spPr>
                </pic:pic>
              </a:graphicData>
            </a:graphic>
          </wp:inline>
        </w:drawing>
      </w:r>
    </w:p>
    <w:p w14:paraId="23C8D7FD" w14:textId="37F9F041" w:rsidR="00F6557F" w:rsidRDefault="00F6557F" w:rsidP="00F6557F">
      <w:pPr>
        <w:pStyle w:val="NumberedParaAR"/>
        <w:rPr>
          <w:lang w:bidi="ar-EG"/>
        </w:rPr>
      </w:pPr>
      <w:r>
        <w:rPr>
          <w:rFonts w:hint="cs"/>
          <w:rtl/>
          <w:lang w:bidi="ar-EG"/>
        </w:rPr>
        <w:t>و</w:t>
      </w:r>
      <w:r w:rsidR="00BE1A3A">
        <w:rPr>
          <w:rtl/>
          <w:lang w:bidi="ar-EG"/>
        </w:rPr>
        <w:t xml:space="preserve">على الرغم من أن </w:t>
      </w:r>
      <w:r>
        <w:rPr>
          <w:rFonts w:hint="cs"/>
          <w:rtl/>
          <w:lang w:bidi="ar-EG"/>
        </w:rPr>
        <w:t xml:space="preserve">مصروفات الوظائف الثابتة ازدادت بمبلغ 6.9 مليون فرنك سويسري مقارنة بعام 2013، فإن مصروفات الوظائف المؤقتة قد انخفضت بمبلغ 4.5 مليون فرنك سويسري. ويعزى جزء كبير من هذا الانخفاض إلى تعيين الموظفين المؤقتين الطويلين الأجل في وظائف ثابتة. وترجع زيادة مصروفات </w:t>
      </w:r>
      <w:r w:rsidR="00EA0CD6">
        <w:rPr>
          <w:rFonts w:hint="cs"/>
          <w:rtl/>
          <w:lang w:bidi="ar-EG"/>
        </w:rPr>
        <w:t>مستحقات</w:t>
      </w:r>
      <w:r>
        <w:rPr>
          <w:rFonts w:hint="cs"/>
          <w:rtl/>
          <w:lang w:bidi="ar-EG"/>
        </w:rPr>
        <w:t xml:space="preserve"> الموظفين في فترة ما بعد الخدمة بمبلغ 2.1 مليون فرنك سويسري إلى التغير العام لخصوم </w:t>
      </w:r>
      <w:r w:rsidR="00EA0CD6">
        <w:rPr>
          <w:rFonts w:hint="cs"/>
          <w:rtl/>
          <w:lang w:bidi="ar-EG"/>
        </w:rPr>
        <w:t>مستحقات</w:t>
      </w:r>
      <w:r>
        <w:rPr>
          <w:rFonts w:hint="cs"/>
          <w:rtl/>
          <w:lang w:bidi="ar-EG"/>
        </w:rPr>
        <w:t xml:space="preserve"> الموظفين في فترة ما بعد الخدمة الذي كان أشد</w:t>
      </w:r>
      <w:r w:rsidR="00311F61">
        <w:rPr>
          <w:rFonts w:hint="cs"/>
          <w:rtl/>
          <w:lang w:bidi="ar-EG"/>
        </w:rPr>
        <w:t xml:space="preserve"> وقعاً</w:t>
      </w:r>
      <w:r>
        <w:rPr>
          <w:rFonts w:hint="cs"/>
          <w:rtl/>
          <w:lang w:bidi="ar-EG"/>
        </w:rPr>
        <w:t xml:space="preserve"> في عامي 2013 و2014 مقارنة بعامي 2012 و2013. وتمثل تكاليف الموظفين الأخرى المبيَّنة بصورة منفردة في الجدول أعلاه التكاليف المشتركة بين الوظائف الثابتة والمؤقتة (ا</w:t>
      </w:r>
      <w:r w:rsidRPr="00F6557F">
        <w:rPr>
          <w:rtl/>
          <w:lang w:bidi="ar-EG"/>
        </w:rPr>
        <w:t>لتأمين ضد حوادث العمل</w:t>
      </w:r>
      <w:r>
        <w:rPr>
          <w:rFonts w:hint="cs"/>
          <w:rtl/>
          <w:lang w:bidi="ar-EG"/>
        </w:rPr>
        <w:t xml:space="preserve"> </w:t>
      </w:r>
      <w:r w:rsidRPr="00F6557F">
        <w:rPr>
          <w:rtl/>
          <w:lang w:bidi="ar-EG"/>
        </w:rPr>
        <w:t>وصندوق المعاشات التقاعدية المغلق</w:t>
      </w:r>
      <w:r>
        <w:rPr>
          <w:rFonts w:hint="cs"/>
          <w:rtl/>
          <w:lang w:bidi="ar-EG"/>
        </w:rPr>
        <w:t xml:space="preserve"> </w:t>
      </w:r>
      <w:r w:rsidRPr="00F6557F">
        <w:rPr>
          <w:rtl/>
          <w:lang w:bidi="ar-EG"/>
        </w:rPr>
        <w:t>وتكاليف التقاضي</w:t>
      </w:r>
      <w:r>
        <w:rPr>
          <w:rFonts w:hint="cs"/>
          <w:rtl/>
          <w:lang w:bidi="ar-EG"/>
        </w:rPr>
        <w:t>).</w:t>
      </w:r>
    </w:p>
    <w:p w14:paraId="4EFAB51B" w14:textId="6C74C745" w:rsidR="00F6557F" w:rsidRDefault="00F6557F" w:rsidP="006138F5">
      <w:pPr>
        <w:pStyle w:val="NumberedParaAR"/>
        <w:rPr>
          <w:lang w:bidi="ar-EG"/>
        </w:rPr>
      </w:pPr>
      <w:r>
        <w:rPr>
          <w:rFonts w:hint="cs"/>
          <w:rtl/>
          <w:lang w:bidi="ar-EG"/>
        </w:rPr>
        <w:lastRenderedPageBreak/>
        <w:t xml:space="preserve">وفي البيانات المالية لعام </w:t>
      </w:r>
      <w:r w:rsidR="006138F5">
        <w:rPr>
          <w:rFonts w:hint="cs"/>
          <w:rtl/>
          <w:lang w:bidi="ar-EG"/>
        </w:rPr>
        <w:t>2014، لم تعد تكاليف المتدربين مدرجة في نفقات الموظفين. ويبرز ذلك طبيعة علاقة هؤلاء الأفراد بالمنظمة نظراً إلى أنهم غير مشمولين بنظام ولائحة الموظفين. وتُجمع مصروفات المتدربين مع منح الويبو التي كانت مدرجة في باب مصروفات المنح والأسفار. وترمي منح الويبو إلى تزويد الأفراد بالخبرة اللازمة لتعزيز معارفهم وكفاءاتهم المهنية. وترد هذه التكاليف منفصلة عن منح الدورات وهي مصروفات إيفاد متدربين (غير موظفين) لحضور دورات وندوات تُدرج في باب مصروفات المنح والأسفار. وازدادت تكلفة منح الويبو بمبلغ 0.8 مليون فرنك سويسري مقارنة بعام 2013 ما يشير إلى الميزانية التي خصصتها المنظمة لتعزيز برامج التبادل مع المكاتب الوطنية للملكية الفكرية وبرنامج المنح في مركز التحكيم والوساطة.</w:t>
      </w:r>
    </w:p>
    <w:p w14:paraId="681AEFF7" w14:textId="2B025E59" w:rsidR="006138F5" w:rsidRDefault="006138F5" w:rsidP="00D5513B">
      <w:pPr>
        <w:pStyle w:val="NumberedParaAR"/>
        <w:rPr>
          <w:lang w:bidi="ar-EG"/>
        </w:rPr>
      </w:pPr>
      <w:r>
        <w:rPr>
          <w:rFonts w:hint="cs"/>
          <w:rtl/>
          <w:lang w:bidi="ar-EG"/>
        </w:rPr>
        <w:t>ويبلغ مجموع المنح والأسفار 15.4 مليون فرنك سويسري في عام 2014 أي 4.6 بالمئة من مجموع المصروفات. وانخفضت هذه المصروفات بنسبة 19.8 بالمئة مقارنة بعام 2013 حيث بلغت 19.2 مليون فرنك سويسري. وتشمل تكاليف السفر سفر الغير (المشاركين والمحاضرين في المؤتمرات) البالغة قيمتها 7.6 مليون فرنك سويسري، وتكاليف بعثات الموظفين والاستشاريين البالغة 5.7 مليون فرنك سويسري. و</w:t>
      </w:r>
      <w:r w:rsidR="00D5513B">
        <w:rPr>
          <w:rFonts w:hint="cs"/>
          <w:rtl/>
          <w:lang w:bidi="ar-EG"/>
        </w:rPr>
        <w:t>انخفضت تكاليف السفر بمبلغ 3.5 مليون فرنك سويسري مقارنة بعام 2013، ما يتماشى إلى حد بعيد بالتخفيضات المالية في بند هذه التكلفة. وخلال عام 2013، عُقد مؤتمر هام (</w:t>
      </w:r>
      <w:r w:rsidR="00D5513B" w:rsidRPr="00D5513B">
        <w:rPr>
          <w:rtl/>
          <w:lang w:bidi="ar-EG"/>
        </w:rPr>
        <w:t>المؤتمر الدبلوماسي المعني بإبرام معاهدة لتيسير نفاذ الأشخاص معاقي البصر والأشخاص العاجزين عن قراءة المطبوعات إلى المصنفات المنشورة</w:t>
      </w:r>
      <w:r w:rsidR="00D5513B">
        <w:rPr>
          <w:rFonts w:hint="cs"/>
          <w:rtl/>
          <w:lang w:bidi="ar-EG"/>
        </w:rPr>
        <w:t>) في مراكش</w:t>
      </w:r>
      <w:r w:rsidR="00D46582">
        <w:rPr>
          <w:rFonts w:hint="cs"/>
          <w:rtl/>
          <w:lang w:bidi="ar-EG"/>
        </w:rPr>
        <w:t>. وفي عام 2014، أطلقت أداة حجز شبكية جديدة للسفر ما ساعد أيضاً على تقليص تكاليف السفر في المنظمة. وفي عام 2014، بلغ مجموع تكاليف منح الدورات 2.1 مليون فرنك سويسري مقارنة بمبلغ 2.4 مليون فرنك سويسري في العام السابق.</w:t>
      </w:r>
    </w:p>
    <w:p w14:paraId="0FF571F8" w14:textId="73CDBEF6" w:rsidR="00BE1A3A" w:rsidRDefault="00D46582" w:rsidP="008805D3">
      <w:pPr>
        <w:pStyle w:val="NumberedParaAR"/>
        <w:rPr>
          <w:rtl/>
          <w:lang w:bidi="ar-EG"/>
        </w:rPr>
      </w:pPr>
      <w:r>
        <w:rPr>
          <w:rFonts w:hint="cs"/>
          <w:rtl/>
          <w:lang w:bidi="ar-EG"/>
        </w:rPr>
        <w:t>وفي عام 2014، بلغ مجموع الخدمات التعاقدية 63.6 مليون فرنك سويسري.</w:t>
      </w:r>
      <w:r w:rsidR="002E296F">
        <w:rPr>
          <w:rFonts w:hint="cs"/>
          <w:rtl/>
          <w:lang w:bidi="ar-EG"/>
        </w:rPr>
        <w:t xml:space="preserve"> </w:t>
      </w:r>
      <w:r w:rsidR="00BE1A3A">
        <w:rPr>
          <w:rtl/>
          <w:lang w:bidi="ar-EG"/>
        </w:rPr>
        <w:t xml:space="preserve">وقد انخفضت هذه النفقات بنسبة 2.2 </w:t>
      </w:r>
      <w:r w:rsidR="00257637">
        <w:rPr>
          <w:rtl/>
          <w:lang w:bidi="ar-EG"/>
        </w:rPr>
        <w:t>في المئة</w:t>
      </w:r>
      <w:r w:rsidR="00BE1A3A">
        <w:rPr>
          <w:rtl/>
          <w:lang w:bidi="ar-EG"/>
        </w:rPr>
        <w:t xml:space="preserve"> مقارنة </w:t>
      </w:r>
      <w:r w:rsidR="002E296F">
        <w:rPr>
          <w:rFonts w:hint="cs"/>
          <w:rtl/>
          <w:lang w:bidi="ar-EG"/>
        </w:rPr>
        <w:t>بعام 2013 حيث بلغت النفقات 65.0</w:t>
      </w:r>
      <w:r w:rsidR="00BE1A3A">
        <w:rPr>
          <w:rtl/>
          <w:lang w:bidi="ar-EG"/>
        </w:rPr>
        <w:t xml:space="preserve"> مليون فرنك سوي</w:t>
      </w:r>
      <w:r w:rsidR="002E296F">
        <w:rPr>
          <w:rtl/>
          <w:lang w:bidi="ar-EG"/>
        </w:rPr>
        <w:t>سر</w:t>
      </w:r>
      <w:r w:rsidR="002E296F">
        <w:rPr>
          <w:rFonts w:hint="cs"/>
          <w:rtl/>
          <w:lang w:bidi="ar-EG"/>
        </w:rPr>
        <w:t xml:space="preserve">ي. وتخص </w:t>
      </w:r>
      <w:r w:rsidR="00BE1A3A">
        <w:rPr>
          <w:rtl/>
          <w:lang w:bidi="ar-EG"/>
        </w:rPr>
        <w:t xml:space="preserve">الخدمات التعاقدية في عام 2014 </w:t>
      </w:r>
      <w:r w:rsidR="002E296F">
        <w:rPr>
          <w:rFonts w:hint="cs"/>
          <w:rtl/>
          <w:lang w:bidi="ar-EG"/>
        </w:rPr>
        <w:t xml:space="preserve">أساساً </w:t>
      </w:r>
      <w:r w:rsidR="00BE1A3A">
        <w:rPr>
          <w:rtl/>
          <w:lang w:bidi="ar-EG"/>
        </w:rPr>
        <w:t xml:space="preserve">خدمات الترجمة التجارية (22.5 مليون فرنك سويسري)، وخدمات </w:t>
      </w:r>
      <w:r w:rsidR="002E296F">
        <w:rPr>
          <w:rFonts w:hint="cs"/>
          <w:rtl/>
          <w:lang w:bidi="ar-EG"/>
        </w:rPr>
        <w:t>مركز الحوسبة الدولي</w:t>
      </w:r>
      <w:r w:rsidR="00BE1A3A">
        <w:rPr>
          <w:rtl/>
          <w:lang w:bidi="ar-EG"/>
        </w:rPr>
        <w:t xml:space="preserve"> (11.5 مليون فرنك سويسري)، </w:t>
      </w:r>
      <w:r w:rsidR="002E296F">
        <w:rPr>
          <w:rFonts w:hint="cs"/>
          <w:rtl/>
          <w:lang w:bidi="ar-EG"/>
        </w:rPr>
        <w:t xml:space="preserve">والخدمات التجارية المتعلقة بتكنولوجيا المعلومات (10.1 مليون فرنك سويسري) </w:t>
      </w:r>
      <w:r w:rsidR="00BE1A3A">
        <w:rPr>
          <w:rtl/>
          <w:lang w:bidi="ar-EG"/>
        </w:rPr>
        <w:t>والخدمات التعاقدية الفردية</w:t>
      </w:r>
      <w:r w:rsidR="002E296F">
        <w:rPr>
          <w:rFonts w:hint="cs"/>
          <w:rtl/>
          <w:lang w:bidi="ar-EG"/>
        </w:rPr>
        <w:t xml:space="preserve"> (10.5 مليون </w:t>
      </w:r>
      <w:r w:rsidR="00BE1A3A">
        <w:rPr>
          <w:rtl/>
          <w:lang w:bidi="ar-EG"/>
        </w:rPr>
        <w:t>فرنك سويسري</w:t>
      </w:r>
      <w:r w:rsidR="002E296F">
        <w:rPr>
          <w:rFonts w:hint="cs"/>
          <w:rtl/>
          <w:lang w:bidi="ar-EG"/>
        </w:rPr>
        <w:t xml:space="preserve">). وازدادت قيمة خدمات الترجمة التجارية بمقدار </w:t>
      </w:r>
      <w:r w:rsidR="00BE1A3A">
        <w:rPr>
          <w:rtl/>
          <w:lang w:bidi="ar-EG"/>
        </w:rPr>
        <w:t>2.1 مليون فرنك سويسري مقارنة</w:t>
      </w:r>
      <w:r w:rsidR="002E296F">
        <w:rPr>
          <w:rFonts w:hint="cs"/>
          <w:rtl/>
          <w:lang w:bidi="ar-EG"/>
        </w:rPr>
        <w:t xml:space="preserve"> بعام</w:t>
      </w:r>
      <w:r w:rsidR="00BE1A3A">
        <w:rPr>
          <w:rtl/>
          <w:lang w:bidi="ar-EG"/>
        </w:rPr>
        <w:t xml:space="preserve"> 2013، </w:t>
      </w:r>
      <w:r w:rsidR="002E296F">
        <w:rPr>
          <w:rFonts w:hint="cs"/>
          <w:rtl/>
          <w:lang w:bidi="ar-EG"/>
        </w:rPr>
        <w:t>ويعزى ذلك جزئياً</w:t>
      </w:r>
      <w:r w:rsidR="00BE1A3A">
        <w:rPr>
          <w:rtl/>
          <w:lang w:bidi="ar-EG"/>
        </w:rPr>
        <w:t xml:space="preserve"> إلى زيادة </w:t>
      </w:r>
      <w:r w:rsidR="002E296F">
        <w:rPr>
          <w:rtl/>
          <w:lang w:bidi="ar-EG"/>
        </w:rPr>
        <w:t>متوسط</w:t>
      </w:r>
      <w:r w:rsidR="002E296F">
        <w:rPr>
          <w:rFonts w:hint="cs"/>
          <w:rtl/>
          <w:lang w:bidi="ar-EG"/>
        </w:rPr>
        <w:t xml:space="preserve"> </w:t>
      </w:r>
      <w:r w:rsidR="00BE1A3A">
        <w:rPr>
          <w:rFonts w:hint="cs"/>
          <w:rtl/>
          <w:lang w:bidi="ar-EG"/>
        </w:rPr>
        <w:t>طول</w:t>
      </w:r>
      <w:r w:rsidR="00BE1A3A">
        <w:rPr>
          <w:rtl/>
          <w:lang w:bidi="ar-EG"/>
        </w:rPr>
        <w:t xml:space="preserve"> </w:t>
      </w:r>
      <w:r w:rsidR="00BE1A3A">
        <w:rPr>
          <w:rFonts w:hint="cs"/>
          <w:rtl/>
          <w:lang w:bidi="ar-EG"/>
        </w:rPr>
        <w:t>تق</w:t>
      </w:r>
      <w:r w:rsidR="002E296F">
        <w:rPr>
          <w:rFonts w:hint="cs"/>
          <w:rtl/>
          <w:lang w:bidi="ar-EG"/>
        </w:rPr>
        <w:t>ا</w:t>
      </w:r>
      <w:r w:rsidR="00BE1A3A">
        <w:rPr>
          <w:rFonts w:hint="cs"/>
          <w:rtl/>
          <w:lang w:bidi="ar-EG"/>
        </w:rPr>
        <w:t>رير</w:t>
      </w:r>
      <w:r w:rsidR="00BE1A3A">
        <w:rPr>
          <w:rtl/>
          <w:lang w:bidi="ar-EG"/>
        </w:rPr>
        <w:t xml:space="preserve"> </w:t>
      </w:r>
      <w:r w:rsidR="002E296F">
        <w:rPr>
          <w:rFonts w:hint="cs"/>
          <w:rtl/>
          <w:lang w:bidi="ar-EG"/>
        </w:rPr>
        <w:t>الأهلية للبراءة التي تتُرجم خارج المنظمة</w:t>
      </w:r>
      <w:r w:rsidR="00BE1A3A">
        <w:rPr>
          <w:rtl/>
          <w:lang w:bidi="ar-EG"/>
        </w:rPr>
        <w:t xml:space="preserve"> (</w:t>
      </w:r>
      <w:r w:rsidR="00BE1A3A">
        <w:rPr>
          <w:rFonts w:hint="cs"/>
          <w:rtl/>
          <w:lang w:bidi="ar-EG"/>
        </w:rPr>
        <w:t>من</w:t>
      </w:r>
      <w:r w:rsidR="00BE1A3A">
        <w:rPr>
          <w:rtl/>
          <w:lang w:bidi="ar-EG"/>
        </w:rPr>
        <w:t xml:space="preserve"> 612 </w:t>
      </w:r>
      <w:r w:rsidR="00BE1A3A">
        <w:rPr>
          <w:rFonts w:hint="cs"/>
          <w:rtl/>
          <w:lang w:bidi="ar-EG"/>
        </w:rPr>
        <w:t>كلمة</w:t>
      </w:r>
      <w:r w:rsidR="00BE1A3A">
        <w:rPr>
          <w:rtl/>
          <w:lang w:bidi="ar-EG"/>
        </w:rPr>
        <w:t xml:space="preserve"> </w:t>
      </w:r>
      <w:r w:rsidR="002E296F">
        <w:rPr>
          <w:rFonts w:hint="cs"/>
          <w:rtl/>
          <w:lang w:bidi="ar-EG"/>
        </w:rPr>
        <w:t>في عام 2013 إلى 687 كلمة</w:t>
      </w:r>
      <w:r w:rsidR="00BE1A3A">
        <w:rPr>
          <w:rtl/>
          <w:lang w:bidi="ar-EG"/>
        </w:rPr>
        <w:t xml:space="preserve"> </w:t>
      </w:r>
      <w:r w:rsidR="00BE1A3A">
        <w:rPr>
          <w:rFonts w:hint="cs"/>
          <w:rtl/>
          <w:lang w:bidi="ar-EG"/>
        </w:rPr>
        <w:t>في</w:t>
      </w:r>
      <w:r w:rsidR="00BE1A3A">
        <w:rPr>
          <w:rtl/>
          <w:lang w:bidi="ar-EG"/>
        </w:rPr>
        <w:t xml:space="preserve"> </w:t>
      </w:r>
      <w:r w:rsidR="00BE1A3A">
        <w:rPr>
          <w:rFonts w:hint="cs"/>
          <w:rtl/>
          <w:lang w:bidi="ar-EG"/>
        </w:rPr>
        <w:t>عام</w:t>
      </w:r>
      <w:r w:rsidR="00BE1A3A">
        <w:rPr>
          <w:rtl/>
          <w:lang w:bidi="ar-EG"/>
        </w:rPr>
        <w:t xml:space="preserve"> 2014). </w:t>
      </w:r>
      <w:r w:rsidR="00BE1A3A">
        <w:rPr>
          <w:rFonts w:hint="cs"/>
          <w:rtl/>
          <w:lang w:bidi="ar-EG"/>
        </w:rPr>
        <w:t>ومع</w:t>
      </w:r>
      <w:r w:rsidR="00BE1A3A">
        <w:rPr>
          <w:rtl/>
          <w:lang w:bidi="ar-EG"/>
        </w:rPr>
        <w:t xml:space="preserve"> </w:t>
      </w:r>
      <w:r w:rsidR="00BE1A3A">
        <w:rPr>
          <w:rFonts w:hint="cs"/>
          <w:rtl/>
          <w:lang w:bidi="ar-EG"/>
        </w:rPr>
        <w:t>ذلك،</w:t>
      </w:r>
      <w:r w:rsidR="00BE1A3A">
        <w:rPr>
          <w:rtl/>
          <w:lang w:bidi="ar-EG"/>
        </w:rPr>
        <w:t xml:space="preserve"> </w:t>
      </w:r>
      <w:r w:rsidR="00BE1A3A">
        <w:rPr>
          <w:rFonts w:hint="cs"/>
          <w:rtl/>
          <w:lang w:bidi="ar-EG"/>
        </w:rPr>
        <w:t>فإن</w:t>
      </w:r>
      <w:r w:rsidR="00BE1A3A">
        <w:rPr>
          <w:rtl/>
          <w:lang w:bidi="ar-EG"/>
        </w:rPr>
        <w:t xml:space="preserve"> </w:t>
      </w:r>
      <w:r w:rsidR="00BE1A3A">
        <w:rPr>
          <w:rFonts w:hint="cs"/>
          <w:rtl/>
          <w:lang w:bidi="ar-EG"/>
        </w:rPr>
        <w:t>تكلفة</w:t>
      </w:r>
      <w:r w:rsidR="00BE1A3A">
        <w:rPr>
          <w:rtl/>
          <w:lang w:bidi="ar-EG"/>
        </w:rPr>
        <w:t xml:space="preserve"> </w:t>
      </w:r>
      <w:r w:rsidR="00BE1A3A">
        <w:rPr>
          <w:rFonts w:hint="cs"/>
          <w:rtl/>
          <w:lang w:bidi="ar-EG"/>
        </w:rPr>
        <w:t>الخدمات</w:t>
      </w:r>
      <w:r w:rsidR="00BE1A3A">
        <w:rPr>
          <w:rtl/>
          <w:lang w:bidi="ar-EG"/>
        </w:rPr>
        <w:t xml:space="preserve"> </w:t>
      </w:r>
      <w:r w:rsidR="00BE1A3A">
        <w:rPr>
          <w:rFonts w:hint="cs"/>
          <w:rtl/>
          <w:lang w:bidi="ar-EG"/>
        </w:rPr>
        <w:t>التعاقدي</w:t>
      </w:r>
      <w:r w:rsidR="00BE1A3A">
        <w:rPr>
          <w:rtl/>
          <w:lang w:bidi="ar-EG"/>
        </w:rPr>
        <w:t xml:space="preserve">ة الفردية </w:t>
      </w:r>
      <w:r w:rsidR="002E296F">
        <w:rPr>
          <w:rFonts w:hint="cs"/>
          <w:rtl/>
          <w:lang w:bidi="ar-EG"/>
        </w:rPr>
        <w:t>قد انخفضت بمبلغ</w:t>
      </w:r>
      <w:r w:rsidR="00BE1A3A">
        <w:rPr>
          <w:rtl/>
          <w:lang w:bidi="ar-EG"/>
        </w:rPr>
        <w:t xml:space="preserve"> 2.1 مليون فرنك سويسري مقارنة </w:t>
      </w:r>
      <w:r w:rsidR="002E296F">
        <w:rPr>
          <w:rFonts w:hint="cs"/>
          <w:rtl/>
          <w:lang w:bidi="ar-EG"/>
        </w:rPr>
        <w:t>بعام</w:t>
      </w:r>
      <w:r w:rsidR="002E296F">
        <w:rPr>
          <w:rtl/>
          <w:lang w:bidi="ar-EG"/>
        </w:rPr>
        <w:t xml:space="preserve"> 2013، و</w:t>
      </w:r>
      <w:r w:rsidR="002E296F">
        <w:rPr>
          <w:rFonts w:hint="cs"/>
          <w:rtl/>
          <w:lang w:bidi="ar-EG"/>
        </w:rPr>
        <w:t xml:space="preserve">انخفضت أيضاً </w:t>
      </w:r>
      <w:r w:rsidR="00BE1A3A">
        <w:rPr>
          <w:rtl/>
          <w:lang w:bidi="ar-EG"/>
        </w:rPr>
        <w:t>تكلفة المؤتمرات</w:t>
      </w:r>
      <w:r w:rsidR="002E296F">
        <w:rPr>
          <w:rFonts w:hint="cs"/>
          <w:rtl/>
          <w:lang w:bidi="ar-EG"/>
        </w:rPr>
        <w:t xml:space="preserve"> بمبلغ</w:t>
      </w:r>
      <w:r w:rsidR="00BE1A3A">
        <w:rPr>
          <w:rtl/>
          <w:lang w:bidi="ar-EG"/>
        </w:rPr>
        <w:t xml:space="preserve"> 0.9 مليون فرنك سويسري مقارنة </w:t>
      </w:r>
      <w:r w:rsidR="002E296F">
        <w:rPr>
          <w:rFonts w:hint="cs"/>
          <w:rtl/>
          <w:lang w:bidi="ar-EG"/>
        </w:rPr>
        <w:t>ب</w:t>
      </w:r>
      <w:r w:rsidR="00BE1A3A">
        <w:rPr>
          <w:rtl/>
          <w:lang w:bidi="ar-EG"/>
        </w:rPr>
        <w:t>السنة السابقة.</w:t>
      </w:r>
    </w:p>
    <w:p w14:paraId="70589BE1" w14:textId="770947EB" w:rsidR="00BE1A3A" w:rsidRDefault="008805D3" w:rsidP="00FD2C04">
      <w:pPr>
        <w:pStyle w:val="NumberedParaAR"/>
        <w:rPr>
          <w:lang w:bidi="ar-EG"/>
        </w:rPr>
      </w:pPr>
      <w:r>
        <w:rPr>
          <w:rFonts w:hint="cs"/>
          <w:rtl/>
          <w:lang w:bidi="ar-EG"/>
        </w:rPr>
        <w:t xml:space="preserve">وبلغ مجموع </w:t>
      </w:r>
      <w:r w:rsidR="00BE1A3A">
        <w:rPr>
          <w:rtl/>
          <w:lang w:bidi="ar-EG"/>
        </w:rPr>
        <w:t xml:space="preserve">مصروفات التشغيل في عام 2014 </w:t>
      </w:r>
      <w:r>
        <w:rPr>
          <w:rFonts w:hint="cs"/>
          <w:rtl/>
          <w:lang w:bidi="ar-EG"/>
        </w:rPr>
        <w:t>20.8</w:t>
      </w:r>
      <w:r w:rsidR="00BE1A3A">
        <w:rPr>
          <w:rtl/>
          <w:lang w:bidi="ar-EG"/>
        </w:rPr>
        <w:t xml:space="preserve"> </w:t>
      </w:r>
      <w:r>
        <w:rPr>
          <w:rFonts w:hint="cs"/>
          <w:rtl/>
          <w:lang w:bidi="ar-EG"/>
        </w:rPr>
        <w:t xml:space="preserve">مليون </w:t>
      </w:r>
      <w:r w:rsidR="00BE1A3A">
        <w:rPr>
          <w:rtl/>
          <w:lang w:bidi="ar-EG"/>
        </w:rPr>
        <w:t>فرنك سويسري</w:t>
      </w:r>
      <w:r>
        <w:rPr>
          <w:rFonts w:hint="cs"/>
          <w:rtl/>
          <w:lang w:bidi="ar-EG"/>
        </w:rPr>
        <w:t xml:space="preserve"> أي بانخفاض طفيف نسبته</w:t>
      </w:r>
      <w:r w:rsidR="00BE1A3A">
        <w:rPr>
          <w:rtl/>
          <w:lang w:bidi="ar-EG"/>
        </w:rPr>
        <w:t xml:space="preserve"> 1.4 </w:t>
      </w:r>
      <w:r w:rsidR="00257637">
        <w:rPr>
          <w:rtl/>
          <w:lang w:bidi="ar-EG"/>
        </w:rPr>
        <w:t>في المئة</w:t>
      </w:r>
      <w:r w:rsidR="00BE1A3A">
        <w:rPr>
          <w:rtl/>
          <w:lang w:bidi="ar-EG"/>
        </w:rPr>
        <w:t xml:space="preserve"> مقارنة بمجموع</w:t>
      </w:r>
      <w:r>
        <w:rPr>
          <w:rFonts w:hint="cs"/>
          <w:rtl/>
          <w:lang w:bidi="ar-EG"/>
        </w:rPr>
        <w:t xml:space="preserve"> عام</w:t>
      </w:r>
      <w:r>
        <w:rPr>
          <w:rtl/>
          <w:lang w:bidi="ar-EG"/>
        </w:rPr>
        <w:t xml:space="preserve"> 2013 </w:t>
      </w:r>
      <w:r>
        <w:rPr>
          <w:rFonts w:hint="cs"/>
          <w:rtl/>
          <w:lang w:bidi="ar-EG"/>
        </w:rPr>
        <w:t>البالغ</w:t>
      </w:r>
      <w:r w:rsidR="00BE1A3A">
        <w:rPr>
          <w:rtl/>
          <w:lang w:bidi="ar-EG"/>
        </w:rPr>
        <w:t xml:space="preserve"> 21.1 مليون فرنك سويسري. وتشمل </w:t>
      </w:r>
      <w:r>
        <w:rPr>
          <w:rFonts w:hint="cs"/>
          <w:rtl/>
          <w:lang w:bidi="ar-EG"/>
        </w:rPr>
        <w:t xml:space="preserve">مصروفات </w:t>
      </w:r>
      <w:r w:rsidR="00BE1A3A">
        <w:rPr>
          <w:rtl/>
          <w:lang w:bidi="ar-EG"/>
        </w:rPr>
        <w:t xml:space="preserve">التشغيل في عام 2014 بشكل رئيسي المباني وتكاليف الصيانة </w:t>
      </w:r>
      <w:r>
        <w:rPr>
          <w:rFonts w:hint="cs"/>
          <w:rtl/>
          <w:lang w:bidi="ar-EG"/>
        </w:rPr>
        <w:t xml:space="preserve">(16.8 مليون </w:t>
      </w:r>
      <w:r w:rsidR="00BE1A3A">
        <w:rPr>
          <w:rtl/>
          <w:lang w:bidi="ar-EG"/>
        </w:rPr>
        <w:t>فرنك سويسري)، و</w:t>
      </w:r>
      <w:r>
        <w:rPr>
          <w:rFonts w:hint="cs"/>
          <w:rtl/>
          <w:lang w:bidi="ar-EG"/>
        </w:rPr>
        <w:t xml:space="preserve">مصروفات </w:t>
      </w:r>
      <w:r w:rsidR="00BE1A3A">
        <w:rPr>
          <w:rtl/>
          <w:lang w:bidi="ar-EG"/>
        </w:rPr>
        <w:t xml:space="preserve">الاتصالات (2.3 مليون فرنك سويسري) والرسوم الإدارية (0.8 مليون فرنك سويسري). </w:t>
      </w:r>
      <w:r w:rsidR="00FD2C04">
        <w:rPr>
          <w:rFonts w:hint="cs"/>
          <w:rtl/>
          <w:lang w:bidi="ar-EG"/>
        </w:rPr>
        <w:t xml:space="preserve">ويعزى </w:t>
      </w:r>
      <w:r w:rsidR="00BE1A3A">
        <w:rPr>
          <w:rtl/>
          <w:lang w:bidi="ar-EG"/>
        </w:rPr>
        <w:t xml:space="preserve">انخفاض قدره 0.3 مليون فرنك سويسري في نفقات الاتصالات </w:t>
      </w:r>
      <w:r w:rsidR="00FD2C04">
        <w:rPr>
          <w:rFonts w:hint="cs"/>
          <w:rtl/>
          <w:lang w:bidi="ar-EG"/>
        </w:rPr>
        <w:t>مقارنة بعام</w:t>
      </w:r>
      <w:r w:rsidR="00FD2C04">
        <w:rPr>
          <w:rtl/>
          <w:lang w:bidi="ar-EG"/>
        </w:rPr>
        <w:t xml:space="preserve"> 2013 إلى انخفاض</w:t>
      </w:r>
      <w:r w:rsidR="00BE1A3A">
        <w:rPr>
          <w:rtl/>
          <w:lang w:bidi="ar-EG"/>
        </w:rPr>
        <w:t xml:space="preserve"> الرسائل</w:t>
      </w:r>
      <w:r w:rsidR="00FD2C04">
        <w:rPr>
          <w:rFonts w:hint="cs"/>
          <w:rtl/>
          <w:lang w:bidi="ar-EG"/>
        </w:rPr>
        <w:t xml:space="preserve"> البريدية</w:t>
      </w:r>
      <w:r w:rsidR="00BE1A3A">
        <w:rPr>
          <w:rtl/>
          <w:lang w:bidi="ar-EG"/>
        </w:rPr>
        <w:t xml:space="preserve"> المادية.</w:t>
      </w:r>
    </w:p>
    <w:p w14:paraId="3F66BDA0" w14:textId="79AAF2E0" w:rsidR="00B35D8A" w:rsidRDefault="00B35D8A" w:rsidP="00B35D8A">
      <w:pPr>
        <w:pStyle w:val="NumberedParaAR"/>
        <w:rPr>
          <w:rtl/>
          <w:lang w:bidi="ar-EG"/>
        </w:rPr>
      </w:pPr>
      <w:r>
        <w:rPr>
          <w:rFonts w:hint="cs"/>
          <w:rtl/>
          <w:lang w:bidi="ar-EG"/>
        </w:rPr>
        <w:t xml:space="preserve">وانخفضت مصروفات الإمدادات والمواد البالغة 1.8 مليون فرنك سويسري بنسبة 45.5 بالمئة مقارنة بعام 2013. </w:t>
      </w:r>
      <w:r w:rsidR="00BE1A3A">
        <w:rPr>
          <w:rtl/>
          <w:lang w:bidi="ar-EG"/>
        </w:rPr>
        <w:t>و</w:t>
      </w:r>
      <w:r>
        <w:rPr>
          <w:rFonts w:hint="cs"/>
          <w:rtl/>
          <w:lang w:bidi="ar-EG"/>
        </w:rPr>
        <w:t xml:space="preserve">انخفضت كذلك مصروفات </w:t>
      </w:r>
      <w:r w:rsidR="00BE1A3A">
        <w:rPr>
          <w:rtl/>
          <w:lang w:bidi="ar-EG"/>
        </w:rPr>
        <w:t xml:space="preserve">الأثاث والمعدات </w:t>
      </w:r>
      <w:r>
        <w:rPr>
          <w:rFonts w:hint="cs"/>
          <w:rtl/>
          <w:lang w:bidi="ar-EG"/>
        </w:rPr>
        <w:t xml:space="preserve">إذ </w:t>
      </w:r>
      <w:r w:rsidR="00BE1A3A">
        <w:rPr>
          <w:rtl/>
          <w:lang w:bidi="ar-EG"/>
        </w:rPr>
        <w:t xml:space="preserve">بلغ مجموعها 0.2 مليون فرنك سويسري في عام 2014 مقارنة </w:t>
      </w:r>
      <w:r>
        <w:rPr>
          <w:rFonts w:hint="cs"/>
          <w:rtl/>
          <w:lang w:bidi="ar-EG"/>
        </w:rPr>
        <w:t>بمبلغ</w:t>
      </w:r>
      <w:r w:rsidR="00BE1A3A">
        <w:rPr>
          <w:rtl/>
          <w:lang w:bidi="ar-EG"/>
        </w:rPr>
        <w:t xml:space="preserve"> 0.9 مليون فرنك سويسري في عام 2013. و</w:t>
      </w:r>
      <w:r>
        <w:rPr>
          <w:rFonts w:hint="cs"/>
          <w:rtl/>
          <w:lang w:bidi="ar-EG"/>
        </w:rPr>
        <w:t xml:space="preserve">تخص مصروفات </w:t>
      </w:r>
      <w:r w:rsidR="00BE1A3A">
        <w:rPr>
          <w:rtl/>
          <w:lang w:bidi="ar-EG"/>
        </w:rPr>
        <w:t>الأثاث والمعدات</w:t>
      </w:r>
      <w:r>
        <w:rPr>
          <w:rFonts w:hint="cs"/>
          <w:rtl/>
          <w:lang w:bidi="ar-EG"/>
        </w:rPr>
        <w:t xml:space="preserve"> البنود التي لا تستوفي الحد الأدنى للرسملة في المنظمة البالغ 5000 فرنك سويسري، وتقيد فوراً في باب المصروفات. وتجدر الإشارة إلى أن النفقات المتصلة بمعدات تكنولوجيا المعلومات من هذه الفئة قد انخفضت من 0.6 مليون فرنك سويسري في عام 2013 إلى 0.1 مليون فرنك سويسري في عام 2014.</w:t>
      </w:r>
    </w:p>
    <w:p w14:paraId="63DF2608" w14:textId="5FA75E04" w:rsidR="00B35D8A" w:rsidRDefault="00BE1A3A" w:rsidP="00D910AA">
      <w:pPr>
        <w:pStyle w:val="NumberedParaAR"/>
        <w:rPr>
          <w:lang w:bidi="ar-EG"/>
        </w:rPr>
      </w:pPr>
      <w:r>
        <w:rPr>
          <w:rtl/>
          <w:lang w:bidi="ar-EG"/>
        </w:rPr>
        <w:lastRenderedPageBreak/>
        <w:t>وكما ذ</w:t>
      </w:r>
      <w:r w:rsidR="00B35D8A">
        <w:rPr>
          <w:rFonts w:hint="cs"/>
          <w:rtl/>
          <w:lang w:bidi="ar-EG"/>
        </w:rPr>
        <w:t>ُ</w:t>
      </w:r>
      <w:r>
        <w:rPr>
          <w:rtl/>
          <w:lang w:bidi="ar-EG"/>
        </w:rPr>
        <w:t xml:space="preserve">كر أعلاه، </w:t>
      </w:r>
      <w:r w:rsidR="00D910AA" w:rsidRPr="00D910AA">
        <w:rPr>
          <w:rtl/>
          <w:lang w:bidi="ar-EG"/>
        </w:rPr>
        <w:t xml:space="preserve">وتشمل </w:t>
      </w:r>
      <w:r w:rsidR="00D910AA">
        <w:rPr>
          <w:rFonts w:hint="cs"/>
          <w:rtl/>
          <w:lang w:bidi="ar-EG"/>
        </w:rPr>
        <w:t>المصروفات</w:t>
      </w:r>
      <w:r w:rsidR="00D910AA" w:rsidRPr="00D910AA">
        <w:rPr>
          <w:rtl/>
          <w:lang w:bidi="ar-EG"/>
        </w:rPr>
        <w:t xml:space="preserve"> بناء على المعايير المحاسبية الدولية للقطاع العام مصروفات اهتلاك المباني والمعدات ومصروف استهلاك الأصول غير المادية، نظرا</w:t>
      </w:r>
      <w:r w:rsidR="00D910AA">
        <w:rPr>
          <w:rFonts w:hint="cs"/>
          <w:rtl/>
          <w:lang w:bidi="ar-EG"/>
        </w:rPr>
        <w:t xml:space="preserve">ً إلى </w:t>
      </w:r>
      <w:r w:rsidR="00D910AA" w:rsidRPr="00D910AA">
        <w:rPr>
          <w:rtl/>
          <w:lang w:bidi="ar-EG"/>
        </w:rPr>
        <w:t>أن تكاليف هذه الأصول موزعة على عمرها الإنتاجي</w:t>
      </w:r>
      <w:r w:rsidR="00D910AA">
        <w:rPr>
          <w:rFonts w:hint="cs"/>
          <w:rtl/>
          <w:lang w:bidi="ar-EG"/>
        </w:rPr>
        <w:t xml:space="preserve">. وفي عام 2014، بلغ مجموع هذه المصروفات 9.1 مليون فرنك سويسري مقارنة بمبلغ 7.9 مليون فرنك سويسري في عام 2013. وترتبط هذه الزيادة باستكمال قاعة المؤتمرات الجديدة التي ولدت مصروفات اهتلاك تبلغ 0.7 مليون فرنك سويسري بعد أن بدأ استخدامها في سبتمبر 2014، واستكمال مشروع تطوير برمجية </w:t>
      </w:r>
      <w:r w:rsidR="00AC3C42">
        <w:rPr>
          <w:rFonts w:hint="cs"/>
          <w:rtl/>
          <w:lang w:bidi="ar-EG"/>
        </w:rPr>
        <w:t xml:space="preserve">داخلياً </w:t>
      </w:r>
      <w:r w:rsidR="00D910AA">
        <w:rPr>
          <w:rFonts w:hint="cs"/>
          <w:rtl/>
          <w:lang w:bidi="ar-EG"/>
        </w:rPr>
        <w:t>في أوائل عام 2014، ما ولد اهتلاك إضافي يبلغ 0.6 مليون فرنك سويسري خلال ذلك العام.</w:t>
      </w:r>
    </w:p>
    <w:p w14:paraId="5A328436" w14:textId="1794EE23" w:rsidR="00D910AA" w:rsidRDefault="00D910AA" w:rsidP="008B39B8">
      <w:pPr>
        <w:pStyle w:val="NumberedParaAR"/>
        <w:rPr>
          <w:lang w:bidi="ar-EG"/>
        </w:rPr>
      </w:pPr>
      <w:r>
        <w:rPr>
          <w:rFonts w:hint="cs"/>
          <w:rtl/>
          <w:lang w:bidi="ar-EG"/>
        </w:rPr>
        <w:t>ولأول مرة في البيانات المالية لعام 2014، ترد تكاليف التمويل بصورة مستقلة</w:t>
      </w:r>
      <w:r w:rsidR="008B39B8">
        <w:rPr>
          <w:rFonts w:hint="cs"/>
          <w:rtl/>
          <w:lang w:bidi="ar-EG"/>
        </w:rPr>
        <w:t xml:space="preserve"> على وجه بيان الأداء المالي. إذ كانت هذه التكاليف تُدرج سابقاً في مصروفات التشغيل. وظلت تكاليف التمويل مستقرة نسبياً مقارنة بالعام السابق وبلغ مجموعها 3.3 مليون فرنك سويسري في عام 2014 و3.4 مليون فرنك سويسري في عام 2013. وتمثل تكاليف التمويل أساساً تسديد فوائد </w:t>
      </w:r>
      <w:r w:rsidR="008B39B8" w:rsidRPr="008B39B8">
        <w:rPr>
          <w:rtl/>
          <w:lang w:bidi="ar-EG"/>
        </w:rPr>
        <w:t xml:space="preserve">قرض بنك كانتون جنيف </w:t>
      </w:r>
      <w:r w:rsidR="008B39B8" w:rsidRPr="008B39B8">
        <w:rPr>
          <w:lang w:bidi="ar-EG"/>
        </w:rPr>
        <w:t>BCG</w:t>
      </w:r>
      <w:r w:rsidR="008B39B8" w:rsidRPr="008B39B8">
        <w:rPr>
          <w:rtl/>
          <w:lang w:bidi="ar-EG"/>
        </w:rPr>
        <w:t xml:space="preserve"> وبنك كانتون فو </w:t>
      </w:r>
      <w:r w:rsidR="008B39B8" w:rsidRPr="008B39B8">
        <w:rPr>
          <w:lang w:bidi="ar-EG"/>
        </w:rPr>
        <w:t>BCV</w:t>
      </w:r>
      <w:r w:rsidR="008B39B8">
        <w:rPr>
          <w:rFonts w:hint="cs"/>
          <w:rtl/>
          <w:lang w:bidi="ar-EG"/>
        </w:rPr>
        <w:t xml:space="preserve"> الخاص بالمبنى الجيد، وبلغ مجموعها 3.1 مليون فرنك سويسري في عام 2014. وتتعلق تكاليف التمويل المتبقية بالرسوم المصرفية.</w:t>
      </w:r>
    </w:p>
    <w:p w14:paraId="3AB3CAA1" w14:textId="77777777" w:rsidR="00E16243" w:rsidRPr="00F17073" w:rsidRDefault="00E16243" w:rsidP="00BE1A3A">
      <w:pPr>
        <w:keepNext/>
        <w:bidi/>
        <w:spacing w:after="240" w:line="360" w:lineRule="exact"/>
        <w:rPr>
          <w:rFonts w:ascii="Arabic Typesetting" w:hAnsi="Arabic Typesetting" w:cs="Arabic Typesetting"/>
          <w:b/>
          <w:bCs/>
          <w:sz w:val="36"/>
          <w:szCs w:val="36"/>
          <w:rtl/>
          <w:lang w:bidi="ar-EG"/>
        </w:rPr>
      </w:pPr>
      <w:r w:rsidRPr="00F17073">
        <w:rPr>
          <w:rFonts w:ascii="Arabic Typesetting" w:hAnsi="Arabic Typesetting" w:cs="Arabic Typesetting" w:hint="cs"/>
          <w:b/>
          <w:bCs/>
          <w:sz w:val="36"/>
          <w:szCs w:val="36"/>
          <w:rtl/>
          <w:lang w:bidi="ar-EG"/>
        </w:rPr>
        <w:t>الوضع المالي</w:t>
      </w:r>
    </w:p>
    <w:p w14:paraId="1E716792" w14:textId="604230ED" w:rsidR="00E16243" w:rsidRDefault="00E16243" w:rsidP="00720092">
      <w:pPr>
        <w:pStyle w:val="NumberedParaAR"/>
        <w:rPr>
          <w:lang w:bidi="ar-EG"/>
        </w:rPr>
      </w:pPr>
      <w:r>
        <w:rPr>
          <w:rFonts w:hint="cs"/>
          <w:rtl/>
          <w:lang w:bidi="ar-EG"/>
        </w:rPr>
        <w:t xml:space="preserve">في 31 ديسمبر </w:t>
      </w:r>
      <w:r w:rsidR="00A0328B">
        <w:rPr>
          <w:rFonts w:hint="cs"/>
          <w:rtl/>
          <w:lang w:bidi="ar-EG"/>
        </w:rPr>
        <w:t>2014</w:t>
      </w:r>
      <w:r>
        <w:rPr>
          <w:rFonts w:hint="cs"/>
          <w:rtl/>
          <w:lang w:bidi="ar-EG"/>
        </w:rPr>
        <w:t xml:space="preserve">، بلغ صافي أصول المنظمة </w:t>
      </w:r>
      <w:r w:rsidR="00720092">
        <w:rPr>
          <w:rFonts w:hint="cs"/>
          <w:rtl/>
          <w:lang w:bidi="ar-EG"/>
        </w:rPr>
        <w:t>245.8</w:t>
      </w:r>
      <w:r>
        <w:rPr>
          <w:rFonts w:hint="cs"/>
          <w:rtl/>
          <w:lang w:bidi="ar-EG"/>
        </w:rPr>
        <w:t xml:space="preserve"> مليون فرنك سويسري، حيث بلغ مجموع الأصول </w:t>
      </w:r>
      <w:r w:rsidR="00720092">
        <w:rPr>
          <w:rFonts w:hint="cs"/>
          <w:rtl/>
          <w:lang w:bidi="ar-EG"/>
        </w:rPr>
        <w:t>969.4</w:t>
      </w:r>
      <w:r>
        <w:rPr>
          <w:rFonts w:hint="cs"/>
          <w:rtl/>
          <w:lang w:bidi="ar-EG"/>
        </w:rPr>
        <w:t xml:space="preserve"> مليون فرنك سويسري ومجموع الخصوم </w:t>
      </w:r>
      <w:r w:rsidR="00720092">
        <w:rPr>
          <w:rFonts w:hint="cs"/>
          <w:rtl/>
          <w:lang w:bidi="ar-EG"/>
        </w:rPr>
        <w:t xml:space="preserve">723.6 </w:t>
      </w:r>
      <w:r>
        <w:rPr>
          <w:rFonts w:hint="cs"/>
          <w:rtl/>
          <w:lang w:bidi="ar-EG"/>
        </w:rPr>
        <w:t xml:space="preserve">مليون فرنك سويسري. </w:t>
      </w:r>
      <w:r w:rsidR="00D726DF">
        <w:rPr>
          <w:rFonts w:hint="cs"/>
          <w:rtl/>
          <w:lang w:bidi="ar-EG"/>
        </w:rPr>
        <w:t>و</w:t>
      </w:r>
      <w:r>
        <w:rPr>
          <w:rFonts w:hint="cs"/>
          <w:rtl/>
          <w:lang w:bidi="ar-EG"/>
        </w:rPr>
        <w:t xml:space="preserve">نتيجة </w:t>
      </w:r>
      <w:r w:rsidR="00D726DF">
        <w:rPr>
          <w:rFonts w:hint="cs"/>
          <w:rtl/>
          <w:lang w:bidi="ar-EG"/>
        </w:rPr>
        <w:t>ل</w:t>
      </w:r>
      <w:r>
        <w:rPr>
          <w:rFonts w:hint="cs"/>
          <w:rtl/>
          <w:lang w:bidi="ar-EG"/>
        </w:rPr>
        <w:t xml:space="preserve">فائض </w:t>
      </w:r>
      <w:r w:rsidR="00D726DF">
        <w:rPr>
          <w:rFonts w:hint="cs"/>
          <w:rtl/>
          <w:lang w:bidi="ar-EG"/>
        </w:rPr>
        <w:t xml:space="preserve">عام </w:t>
      </w:r>
      <w:r w:rsidR="00720092">
        <w:rPr>
          <w:rFonts w:hint="cs"/>
          <w:rtl/>
          <w:lang w:bidi="ar-EG"/>
        </w:rPr>
        <w:t>2014</w:t>
      </w:r>
      <w:r w:rsidR="00D726DF">
        <w:rPr>
          <w:rFonts w:hint="cs"/>
          <w:rtl/>
          <w:lang w:bidi="ar-EG"/>
        </w:rPr>
        <w:t xml:space="preserve"> الذي بلغ </w:t>
      </w:r>
      <w:r w:rsidR="00720092">
        <w:rPr>
          <w:rFonts w:hint="cs"/>
          <w:rtl/>
          <w:lang w:bidi="ar-EG"/>
        </w:rPr>
        <w:t>37.0</w:t>
      </w:r>
      <w:r>
        <w:rPr>
          <w:rFonts w:hint="cs"/>
          <w:rtl/>
          <w:lang w:bidi="ar-EG"/>
        </w:rPr>
        <w:t xml:space="preserve"> مليون فرنك سويسري، زاد صافي الأصول </w:t>
      </w:r>
      <w:r w:rsidR="001066C4">
        <w:rPr>
          <w:rFonts w:hint="cs"/>
          <w:rtl/>
          <w:lang w:bidi="ar-EG"/>
        </w:rPr>
        <w:t xml:space="preserve">إلى </w:t>
      </w:r>
      <w:r w:rsidR="00720092">
        <w:rPr>
          <w:rFonts w:hint="cs"/>
          <w:rtl/>
          <w:lang w:bidi="ar-EG"/>
        </w:rPr>
        <w:t>245.8</w:t>
      </w:r>
      <w:r w:rsidR="001066C4">
        <w:rPr>
          <w:rFonts w:hint="cs"/>
          <w:rtl/>
          <w:lang w:bidi="ar-EG"/>
        </w:rPr>
        <w:t xml:space="preserve"> مليون فرنك سويسري في نهاية عام </w:t>
      </w:r>
      <w:r w:rsidR="00720092">
        <w:rPr>
          <w:rFonts w:hint="cs"/>
          <w:rtl/>
          <w:lang w:bidi="ar-EG"/>
        </w:rPr>
        <w:t xml:space="preserve">2014 من الرصيد البالغ 208.8 </w:t>
      </w:r>
      <w:r>
        <w:rPr>
          <w:rFonts w:hint="cs"/>
          <w:rtl/>
          <w:lang w:bidi="ar-EG"/>
        </w:rPr>
        <w:t>مليون فرنك سويسري</w:t>
      </w:r>
      <w:r w:rsidR="00953DE4">
        <w:rPr>
          <w:rFonts w:hint="cs"/>
          <w:rtl/>
          <w:lang w:bidi="ar-EG"/>
        </w:rPr>
        <w:t xml:space="preserve"> في نهاية عام </w:t>
      </w:r>
      <w:r w:rsidR="00720092">
        <w:rPr>
          <w:rFonts w:hint="cs"/>
          <w:rtl/>
          <w:lang w:bidi="ar-EG"/>
        </w:rPr>
        <w:t>2013</w:t>
      </w:r>
      <w:r>
        <w:rPr>
          <w:rFonts w:hint="cs"/>
          <w:rtl/>
          <w:lang w:bidi="ar-EG"/>
        </w:rPr>
        <w:t>.</w:t>
      </w:r>
    </w:p>
    <w:p w14:paraId="7700441E" w14:textId="24F910AC" w:rsidR="00720092" w:rsidRDefault="00981C66" w:rsidP="00981C66">
      <w:pPr>
        <w:pStyle w:val="NumberedParaAR"/>
        <w:rPr>
          <w:lang w:bidi="ar-EG"/>
        </w:rPr>
      </w:pPr>
      <w:r w:rsidRPr="00981C66">
        <w:rPr>
          <w:rtl/>
          <w:lang w:bidi="ar-EG"/>
        </w:rPr>
        <w:t>كان لزاماً على الويبو إثر تغيير أجري على السياسة المحاسبية فيما يتعلق بقيد الإيرادات من طلبات البراءات الدولية أن تعيد تحد</w:t>
      </w:r>
      <w:r>
        <w:rPr>
          <w:rtl/>
          <w:lang w:bidi="ar-EG"/>
        </w:rPr>
        <w:t xml:space="preserve">يد صافي أصولها حسب الوضع في </w:t>
      </w:r>
      <w:r w:rsidRPr="00981C66">
        <w:rPr>
          <w:rtl/>
          <w:lang w:bidi="ar-EG"/>
        </w:rPr>
        <w:t xml:space="preserve">31 ديسمبر 2012. وبلغ صافي الأصول في نهاية عام </w:t>
      </w:r>
      <w:r>
        <w:rPr>
          <w:rFonts w:hint="cs"/>
          <w:rtl/>
          <w:lang w:bidi="ar-EG"/>
        </w:rPr>
        <w:t>2012</w:t>
      </w:r>
      <w:r w:rsidRPr="00981C66">
        <w:rPr>
          <w:rtl/>
          <w:lang w:bidi="ar-EG"/>
        </w:rPr>
        <w:t xml:space="preserve"> بعد إعادة التحديد </w:t>
      </w:r>
      <w:r>
        <w:rPr>
          <w:rFonts w:hint="cs"/>
          <w:rtl/>
          <w:lang w:bidi="ar-EG"/>
        </w:rPr>
        <w:t>193.7</w:t>
      </w:r>
      <w:r w:rsidRPr="00981C66">
        <w:rPr>
          <w:rtl/>
          <w:lang w:bidi="ar-EG"/>
        </w:rPr>
        <w:t xml:space="preserve"> مليون فرنك سويسري (مقارنةً بمبلغ </w:t>
      </w:r>
      <w:r>
        <w:rPr>
          <w:rFonts w:hint="cs"/>
          <w:rtl/>
          <w:lang w:bidi="ar-EG"/>
        </w:rPr>
        <w:t>178.2</w:t>
      </w:r>
      <w:r w:rsidRPr="00981C66">
        <w:rPr>
          <w:rtl/>
          <w:lang w:bidi="ar-EG"/>
        </w:rPr>
        <w:t xml:space="preserve"> م</w:t>
      </w:r>
      <w:r>
        <w:rPr>
          <w:rtl/>
          <w:lang w:bidi="ar-EG"/>
        </w:rPr>
        <w:t>ليون فرنك سويسري المحدد من قبل)</w:t>
      </w:r>
      <w:r>
        <w:rPr>
          <w:rFonts w:hint="cs"/>
          <w:rtl/>
          <w:lang w:bidi="ar-EG"/>
        </w:rPr>
        <w:t>.</w:t>
      </w:r>
      <w:r w:rsidRPr="00981C66">
        <w:rPr>
          <w:rtl/>
          <w:lang w:bidi="ar-EG"/>
        </w:rPr>
        <w:t xml:space="preserve"> وسجلت المنظمة في </w:t>
      </w:r>
      <w:r>
        <w:rPr>
          <w:rFonts w:hint="cs"/>
          <w:rtl/>
          <w:lang w:bidi="ar-EG"/>
        </w:rPr>
        <w:t xml:space="preserve">عام </w:t>
      </w:r>
      <w:r w:rsidRPr="00981C66">
        <w:rPr>
          <w:rtl/>
          <w:lang w:bidi="ar-EG"/>
        </w:rPr>
        <w:t xml:space="preserve">2013 فائضاً </w:t>
      </w:r>
      <w:r>
        <w:rPr>
          <w:rFonts w:hint="cs"/>
          <w:rtl/>
          <w:lang w:bidi="ar-EG"/>
        </w:rPr>
        <w:t>قدره 15.1 مليون فرنك سويسري</w:t>
      </w:r>
      <w:r w:rsidRPr="00981C66">
        <w:rPr>
          <w:rtl/>
          <w:lang w:bidi="ar-EG"/>
        </w:rPr>
        <w:t>.</w:t>
      </w:r>
    </w:p>
    <w:p w14:paraId="7F9F00C9" w14:textId="59B3B943" w:rsidR="00E16243" w:rsidRPr="00BA3D2E" w:rsidRDefault="00E16243" w:rsidP="00BA3D2E">
      <w:pPr>
        <w:pStyle w:val="NumberedParaAR"/>
        <w:keepNext/>
        <w:numPr>
          <w:ilvl w:val="0"/>
          <w:numId w:val="0"/>
        </w:numPr>
        <w:jc w:val="center"/>
        <w:rPr>
          <w:u w:val="single"/>
          <w:rtl/>
          <w:lang w:bidi="ar-EG"/>
        </w:rPr>
      </w:pPr>
      <w:r w:rsidRPr="00BA3D2E">
        <w:rPr>
          <w:rFonts w:hint="cs"/>
          <w:u w:val="single"/>
          <w:rtl/>
          <w:lang w:bidi="ar-EG"/>
        </w:rPr>
        <w:lastRenderedPageBreak/>
        <w:t>حركة صافي الأصول</w:t>
      </w:r>
      <w:r w:rsidR="00BA3D2E">
        <w:rPr>
          <w:rFonts w:hint="cs"/>
          <w:u w:val="single"/>
          <w:rtl/>
          <w:lang w:bidi="ar-EG"/>
        </w:rPr>
        <w:t xml:space="preserve"> من 2012 إلى 2014</w:t>
      </w:r>
    </w:p>
    <w:p w14:paraId="11EE1A6E" w14:textId="0E390D3B" w:rsidR="00B04DCB" w:rsidRDefault="005A0899" w:rsidP="00981C66">
      <w:pPr>
        <w:pStyle w:val="NumberedParaAR"/>
        <w:numPr>
          <w:ilvl w:val="0"/>
          <w:numId w:val="0"/>
        </w:numPr>
        <w:spacing w:line="240" w:lineRule="auto"/>
        <w:jc w:val="center"/>
        <w:rPr>
          <w:lang w:bidi="ar-EG"/>
        </w:rPr>
      </w:pPr>
      <w:r w:rsidRPr="005A0899">
        <w:rPr>
          <w:noProof/>
          <w:rtl/>
        </w:rPr>
        <w:drawing>
          <wp:inline distT="0" distB="0" distL="0" distR="0" wp14:anchorId="3F03C619" wp14:editId="5A01B2E6">
            <wp:extent cx="5308600" cy="3251200"/>
            <wp:effectExtent l="0" t="0" r="6350" b="635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08600" cy="3251200"/>
                    </a:xfrm>
                    <a:prstGeom prst="rect">
                      <a:avLst/>
                    </a:prstGeom>
                    <a:noFill/>
                    <a:ln>
                      <a:noFill/>
                    </a:ln>
                  </pic:spPr>
                </pic:pic>
              </a:graphicData>
            </a:graphic>
          </wp:inline>
        </w:drawing>
      </w:r>
    </w:p>
    <w:p w14:paraId="58091EE7" w14:textId="77777777" w:rsidR="00981C66" w:rsidRDefault="00981C66" w:rsidP="00981C66">
      <w:pPr>
        <w:pStyle w:val="NumberedParaAR"/>
        <w:keepNext/>
        <w:rPr>
          <w:lang w:bidi="ar-EG"/>
        </w:rPr>
      </w:pPr>
      <w:r>
        <w:rPr>
          <w:rFonts w:hint="cs"/>
          <w:rtl/>
          <w:lang w:bidi="ar-EG"/>
        </w:rPr>
        <w:t>ويعرض الرسم البياني الآتي ملخصا لبيان الوضع المالي للويبو حتى 31 ديسمبر 2014.</w:t>
      </w:r>
    </w:p>
    <w:p w14:paraId="3B65BCC7" w14:textId="691C6976" w:rsidR="00E16243" w:rsidRDefault="00E16243" w:rsidP="00981C66">
      <w:pPr>
        <w:pStyle w:val="NumberedParaAR"/>
        <w:keepNext/>
        <w:numPr>
          <w:ilvl w:val="0"/>
          <w:numId w:val="0"/>
        </w:numPr>
        <w:jc w:val="center"/>
        <w:rPr>
          <w:u w:val="single"/>
          <w:rtl/>
          <w:lang w:bidi="ar-EG"/>
        </w:rPr>
      </w:pPr>
      <w:r w:rsidRPr="00981C66">
        <w:rPr>
          <w:rFonts w:hint="cs"/>
          <w:u w:val="single"/>
          <w:rtl/>
          <w:lang w:bidi="ar-EG"/>
        </w:rPr>
        <w:t>ملخص الأصول والخصوم</w:t>
      </w:r>
      <w:r w:rsidR="00981C66">
        <w:rPr>
          <w:rFonts w:hint="cs"/>
          <w:u w:val="single"/>
          <w:rtl/>
          <w:lang w:bidi="ar-EG"/>
        </w:rPr>
        <w:t xml:space="preserve"> في 31 ديسمبر 2014</w:t>
      </w:r>
    </w:p>
    <w:p w14:paraId="7C4B1940" w14:textId="7CAD1B3E" w:rsidR="00981C66" w:rsidRPr="00981C66" w:rsidRDefault="00683667" w:rsidP="00683667">
      <w:pPr>
        <w:pStyle w:val="NumberedParaAR"/>
        <w:numPr>
          <w:ilvl w:val="0"/>
          <w:numId w:val="0"/>
        </w:numPr>
        <w:spacing w:after="120" w:line="240" w:lineRule="auto"/>
        <w:jc w:val="center"/>
        <w:rPr>
          <w:u w:val="single"/>
          <w:rtl/>
          <w:lang w:bidi="ar-EG"/>
        </w:rPr>
      </w:pPr>
      <w:r w:rsidRPr="00683667">
        <w:rPr>
          <w:noProof/>
          <w:rtl/>
        </w:rPr>
        <w:drawing>
          <wp:inline distT="0" distB="0" distL="0" distR="0" wp14:anchorId="64EA8E4E" wp14:editId="1327ED28">
            <wp:extent cx="5940425" cy="309200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0425" cy="3092004"/>
                    </a:xfrm>
                    <a:prstGeom prst="rect">
                      <a:avLst/>
                    </a:prstGeom>
                    <a:noFill/>
                    <a:ln>
                      <a:noFill/>
                    </a:ln>
                  </pic:spPr>
                </pic:pic>
              </a:graphicData>
            </a:graphic>
          </wp:inline>
        </w:drawing>
      </w:r>
    </w:p>
    <w:p w14:paraId="5C2FB76F" w14:textId="79D9D6E4" w:rsidR="00981C66" w:rsidRPr="00981C66" w:rsidRDefault="00981C66" w:rsidP="00981C66">
      <w:pPr>
        <w:pStyle w:val="NumberedParaAR"/>
        <w:keepNext/>
        <w:numPr>
          <w:ilvl w:val="0"/>
          <w:numId w:val="0"/>
        </w:numPr>
        <w:rPr>
          <w:b/>
          <w:bCs/>
          <w:i/>
          <w:iCs/>
          <w:lang w:bidi="ar-EG"/>
        </w:rPr>
      </w:pPr>
      <w:r>
        <w:rPr>
          <w:rFonts w:hint="cs"/>
          <w:b/>
          <w:bCs/>
          <w:i/>
          <w:iCs/>
          <w:rtl/>
          <w:lang w:bidi="ar-EG"/>
        </w:rPr>
        <w:t>الأصول</w:t>
      </w:r>
    </w:p>
    <w:p w14:paraId="500687E5" w14:textId="6BE5475E" w:rsidR="00E16243" w:rsidRDefault="00E16243" w:rsidP="00C178A0">
      <w:pPr>
        <w:pStyle w:val="NumberedParaAR"/>
        <w:rPr>
          <w:lang w:bidi="ar-EG"/>
        </w:rPr>
      </w:pPr>
      <w:r>
        <w:rPr>
          <w:rFonts w:hint="cs"/>
          <w:rtl/>
          <w:lang w:bidi="ar-EG"/>
        </w:rPr>
        <w:t xml:space="preserve">يوجد لدى المنظمة أرصدة نقدية قدرها </w:t>
      </w:r>
      <w:r w:rsidR="00347BF2">
        <w:rPr>
          <w:rFonts w:hint="cs"/>
          <w:rtl/>
          <w:lang w:bidi="ar-EG"/>
        </w:rPr>
        <w:t>474.5</w:t>
      </w:r>
      <w:r>
        <w:rPr>
          <w:rFonts w:hint="cs"/>
          <w:rtl/>
          <w:lang w:bidi="ar-EG"/>
        </w:rPr>
        <w:t xml:space="preserve"> مليون فرنك سويسري، تمثل </w:t>
      </w:r>
      <w:r w:rsidR="00347BF2">
        <w:rPr>
          <w:rFonts w:hint="cs"/>
          <w:rtl/>
          <w:lang w:bidi="ar-EG"/>
        </w:rPr>
        <w:t>48.9</w:t>
      </w:r>
      <w:r>
        <w:rPr>
          <w:rFonts w:hint="cs"/>
          <w:rtl/>
          <w:lang w:bidi="ar-EG"/>
        </w:rPr>
        <w:t xml:space="preserve"> </w:t>
      </w:r>
      <w:r w:rsidR="00257637">
        <w:rPr>
          <w:rFonts w:hint="cs"/>
          <w:rtl/>
          <w:lang w:bidi="ar-EG"/>
        </w:rPr>
        <w:t>بالمئة</w:t>
      </w:r>
      <w:r>
        <w:rPr>
          <w:rFonts w:hint="cs"/>
          <w:rtl/>
          <w:lang w:bidi="ar-EG"/>
        </w:rPr>
        <w:t xml:space="preserve"> من مجموع الأصول، رغم أنها تشمل مبالغ يصل مجموعها إلى </w:t>
      </w:r>
      <w:r w:rsidR="00347BF2">
        <w:rPr>
          <w:rFonts w:hint="cs"/>
          <w:rtl/>
          <w:lang w:bidi="ar-EG"/>
        </w:rPr>
        <w:t>249.8</w:t>
      </w:r>
      <w:r>
        <w:rPr>
          <w:rFonts w:hint="cs"/>
          <w:rtl/>
          <w:lang w:bidi="ar-EG"/>
        </w:rPr>
        <w:t xml:space="preserve"> مليون فرنك سويسري مصنفة باعتبارها </w:t>
      </w:r>
      <w:r w:rsidRPr="00F63BFE">
        <w:rPr>
          <w:rFonts w:hint="cs"/>
          <w:rtl/>
          <w:lang w:bidi="ar-EG"/>
        </w:rPr>
        <w:t>مقيدة</w:t>
      </w:r>
      <w:r>
        <w:rPr>
          <w:rFonts w:hint="cs"/>
          <w:rtl/>
          <w:lang w:bidi="ar-EG"/>
        </w:rPr>
        <w:t xml:space="preserve"> </w:t>
      </w:r>
      <w:r w:rsidR="002B3DBD">
        <w:rPr>
          <w:rFonts w:hint="cs"/>
          <w:rtl/>
          <w:lang w:bidi="ar-EG"/>
        </w:rPr>
        <w:t xml:space="preserve">وفقاً </w:t>
      </w:r>
      <w:r>
        <w:rPr>
          <w:rFonts w:hint="cs"/>
          <w:rtl/>
          <w:lang w:bidi="ar-EG"/>
        </w:rPr>
        <w:t xml:space="preserve">للمعايير المحاسبية الدولية للقطاع </w:t>
      </w:r>
      <w:r>
        <w:rPr>
          <w:rFonts w:hint="cs"/>
          <w:rtl/>
          <w:lang w:bidi="ar-EG"/>
        </w:rPr>
        <w:lastRenderedPageBreak/>
        <w:t xml:space="preserve">العام. وقد زاد مجموع الأرصدة النقدية مقارنة برصيد </w:t>
      </w:r>
      <w:r w:rsidR="00C178A0">
        <w:rPr>
          <w:rFonts w:hint="cs"/>
          <w:rtl/>
          <w:lang w:bidi="ar-EG"/>
        </w:rPr>
        <w:t xml:space="preserve">409.9 </w:t>
      </w:r>
      <w:r>
        <w:rPr>
          <w:rFonts w:hint="cs"/>
          <w:rtl/>
          <w:lang w:bidi="ar-EG"/>
        </w:rPr>
        <w:t>مليون فرنك سويسري الذي كان موجودا في 31 ديسمبر</w:t>
      </w:r>
      <w:r>
        <w:rPr>
          <w:rFonts w:hint="eastAsia"/>
          <w:rtl/>
          <w:lang w:bidi="ar-EG"/>
        </w:rPr>
        <w:t> </w:t>
      </w:r>
      <w:r w:rsidR="00C178A0">
        <w:rPr>
          <w:rFonts w:hint="cs"/>
          <w:rtl/>
          <w:lang w:bidi="ar-EG"/>
        </w:rPr>
        <w:t>2013</w:t>
      </w:r>
      <w:r>
        <w:rPr>
          <w:rFonts w:hint="cs"/>
          <w:rtl/>
          <w:lang w:bidi="ar-EG"/>
        </w:rPr>
        <w:t>، وت</w:t>
      </w:r>
      <w:r w:rsidR="00C178A0">
        <w:rPr>
          <w:rFonts w:hint="cs"/>
          <w:rtl/>
          <w:lang w:bidi="ar-EG"/>
        </w:rPr>
        <w:t>ُ</w:t>
      </w:r>
      <w:r>
        <w:rPr>
          <w:rFonts w:hint="cs"/>
          <w:rtl/>
          <w:lang w:bidi="ar-EG"/>
        </w:rPr>
        <w:t xml:space="preserve">ستثمر هذه الأرصدة على النحو الملائم بما يتماشى </w:t>
      </w:r>
      <w:r w:rsidR="00C178A0">
        <w:rPr>
          <w:rFonts w:hint="cs"/>
          <w:rtl/>
          <w:lang w:bidi="ar-EG"/>
        </w:rPr>
        <w:t xml:space="preserve">مع </w:t>
      </w:r>
      <w:r>
        <w:rPr>
          <w:rFonts w:hint="cs"/>
          <w:rtl/>
          <w:lang w:bidi="ar-EG"/>
        </w:rPr>
        <w:t>سياسة الويبو الخاصة بالاستثمار.</w:t>
      </w:r>
    </w:p>
    <w:p w14:paraId="25983EF3" w14:textId="4ED4679C" w:rsidR="00E16243" w:rsidRDefault="00E16243" w:rsidP="00C178A0">
      <w:pPr>
        <w:pStyle w:val="NumberedParaAR"/>
        <w:rPr>
          <w:lang w:bidi="ar-EG"/>
        </w:rPr>
      </w:pPr>
      <w:r>
        <w:rPr>
          <w:rFonts w:hint="cs"/>
          <w:rtl/>
          <w:lang w:bidi="ar-EG"/>
        </w:rPr>
        <w:t>وتمتلك المنظمة عددا</w:t>
      </w:r>
      <w:r w:rsidR="00C178A0">
        <w:rPr>
          <w:rFonts w:hint="cs"/>
          <w:rtl/>
          <w:lang w:bidi="ar-EG"/>
        </w:rPr>
        <w:t>ً</w:t>
      </w:r>
      <w:r>
        <w:rPr>
          <w:rFonts w:hint="cs"/>
          <w:rtl/>
          <w:lang w:bidi="ar-EG"/>
        </w:rPr>
        <w:t xml:space="preserve"> كبيرا</w:t>
      </w:r>
      <w:r w:rsidR="00C178A0">
        <w:rPr>
          <w:rFonts w:hint="cs"/>
          <w:rtl/>
          <w:lang w:bidi="ar-EG"/>
        </w:rPr>
        <w:t>ً</w:t>
      </w:r>
      <w:r>
        <w:rPr>
          <w:rFonts w:hint="cs"/>
          <w:rtl/>
          <w:lang w:bidi="ar-EG"/>
        </w:rPr>
        <w:t xml:space="preserve"> من الأصول الثابتة (أ</w:t>
      </w:r>
      <w:r w:rsidR="00C178A0">
        <w:rPr>
          <w:rFonts w:hint="cs"/>
          <w:rtl/>
          <w:lang w:bidi="ar-EG"/>
        </w:rPr>
        <w:t>راض ومبان</w:t>
      </w:r>
      <w:r>
        <w:rPr>
          <w:rFonts w:hint="cs"/>
          <w:rtl/>
          <w:lang w:bidi="ar-EG"/>
        </w:rPr>
        <w:t xml:space="preserve"> وملكية استثمارية وأصول غير مادية ومعدات) يبلغ مجموع قيمتها الدفترية الصافية </w:t>
      </w:r>
      <w:r w:rsidR="00C178A0">
        <w:rPr>
          <w:rFonts w:hint="cs"/>
          <w:rtl/>
          <w:lang w:bidi="ar-EG"/>
        </w:rPr>
        <w:t>419.7</w:t>
      </w:r>
      <w:r w:rsidR="004245D3">
        <w:rPr>
          <w:rFonts w:hint="cs"/>
          <w:rtl/>
          <w:lang w:bidi="ar-EG"/>
        </w:rPr>
        <w:t xml:space="preserve"> مليون فرنك سويسري مقابل </w:t>
      </w:r>
      <w:r w:rsidR="00C178A0">
        <w:rPr>
          <w:rFonts w:hint="cs"/>
          <w:rtl/>
          <w:lang w:bidi="ar-EG"/>
        </w:rPr>
        <w:t>396.4</w:t>
      </w:r>
      <w:r>
        <w:rPr>
          <w:rFonts w:hint="cs"/>
          <w:rtl/>
          <w:lang w:bidi="ar-EG"/>
        </w:rPr>
        <w:t xml:space="preserve"> مليون فرنك سويسري في 31 ديسمبر </w:t>
      </w:r>
      <w:r w:rsidR="00C178A0">
        <w:rPr>
          <w:rFonts w:hint="cs"/>
          <w:rtl/>
          <w:lang w:bidi="ar-EG"/>
        </w:rPr>
        <w:t>2013</w:t>
      </w:r>
      <w:r>
        <w:rPr>
          <w:rFonts w:hint="cs"/>
          <w:rtl/>
          <w:lang w:bidi="ar-EG"/>
        </w:rPr>
        <w:t xml:space="preserve">. فخلال عام </w:t>
      </w:r>
      <w:r w:rsidR="00C178A0">
        <w:rPr>
          <w:rFonts w:hint="cs"/>
          <w:rtl/>
          <w:lang w:bidi="ar-EG"/>
        </w:rPr>
        <w:t>2014</w:t>
      </w:r>
      <w:r>
        <w:rPr>
          <w:rFonts w:hint="cs"/>
          <w:rtl/>
          <w:lang w:bidi="ar-EG"/>
        </w:rPr>
        <w:t xml:space="preserve">، قامت المنظمة برسملة </w:t>
      </w:r>
      <w:r w:rsidR="000A608A">
        <w:rPr>
          <w:rFonts w:hint="cs"/>
          <w:rtl/>
          <w:lang w:bidi="ar-EG"/>
        </w:rPr>
        <w:t xml:space="preserve">تكاليف معتبرة تحت بند </w:t>
      </w:r>
      <w:r w:rsidR="00C178A0">
        <w:rPr>
          <w:rFonts w:hint="cs"/>
          <w:rtl/>
          <w:lang w:bidi="ar-EG"/>
        </w:rPr>
        <w:t xml:space="preserve">بناء </w:t>
      </w:r>
      <w:r>
        <w:rPr>
          <w:rFonts w:hint="cs"/>
          <w:rtl/>
          <w:lang w:bidi="ar-EG"/>
        </w:rPr>
        <w:t>قاعة المؤتمرات الجديدة والإنشاءات الأمنية</w:t>
      </w:r>
      <w:r w:rsidR="008C664C">
        <w:rPr>
          <w:rFonts w:hint="cs"/>
          <w:rtl/>
          <w:lang w:bidi="ar-EG"/>
        </w:rPr>
        <w:t xml:space="preserve"> </w:t>
      </w:r>
      <w:r w:rsidR="00C178A0">
        <w:rPr>
          <w:rFonts w:hint="cs"/>
          <w:rtl/>
          <w:lang w:bidi="ar-EG"/>
        </w:rPr>
        <w:t>(الذي يشمل مركز النفاذ و</w:t>
      </w:r>
      <w:r w:rsidR="00656672">
        <w:rPr>
          <w:rFonts w:hint="cs"/>
          <w:rtl/>
          <w:lang w:bidi="ar-EG"/>
        </w:rPr>
        <w:t>المحيط الأمني</w:t>
      </w:r>
      <w:r w:rsidR="008C664C">
        <w:rPr>
          <w:rFonts w:hint="cs"/>
          <w:rtl/>
          <w:lang w:bidi="ar-EG"/>
        </w:rPr>
        <w:t>)</w:t>
      </w:r>
      <w:r>
        <w:rPr>
          <w:rFonts w:hint="cs"/>
          <w:rtl/>
          <w:lang w:bidi="ar-EG"/>
        </w:rPr>
        <w:t xml:space="preserve">، </w:t>
      </w:r>
      <w:r w:rsidR="008C664C">
        <w:rPr>
          <w:rFonts w:hint="cs"/>
          <w:rtl/>
          <w:lang w:bidi="ar-EG"/>
        </w:rPr>
        <w:t xml:space="preserve">وبرسملة إضافات </w:t>
      </w:r>
      <w:r w:rsidR="00C178A0">
        <w:rPr>
          <w:rFonts w:hint="cs"/>
          <w:rtl/>
          <w:lang w:bidi="ar-EG"/>
        </w:rPr>
        <w:t>إلى المبانٍي القائمة المشغولة، ولا سيما مبنى أرباد بوكش. وبدأ استخدام قاعة المؤتمرات الجديدة في سبتمبر 2014 ويتوقع استكمال مشروع الإنشاءات الأمنية في النصف الأول من عام 2015. ورُسملت التكاليف البالغة 30.4 مليون فرنك سويسري وأضيفت إلى تكاليف مباني المنظمة خلال عام 2014. وغُطت تلك التكاليف جزئياً من خلال رسوم استهلاك قدرها 7.1 مليون فرنك سويسري تتعلق بالمباني في ذلك العام.</w:t>
      </w:r>
    </w:p>
    <w:p w14:paraId="0A95D3CB" w14:textId="699785A3" w:rsidR="00C178A0" w:rsidRDefault="00C178A0" w:rsidP="00DE6308">
      <w:pPr>
        <w:pStyle w:val="NumberedParaAR"/>
        <w:rPr>
          <w:lang w:bidi="ar-EG"/>
        </w:rPr>
      </w:pPr>
      <w:r>
        <w:rPr>
          <w:rFonts w:hint="cs"/>
          <w:rtl/>
          <w:lang w:bidi="ar-EG"/>
        </w:rPr>
        <w:t>ويرد في الجدول أدناه ملخصاً للأصول الثابتة التي تمتلكها المنظمة.</w:t>
      </w:r>
      <w:r w:rsidR="00DE6308">
        <w:rPr>
          <w:rFonts w:hint="cs"/>
          <w:rtl/>
          <w:lang w:bidi="ar-EG"/>
        </w:rPr>
        <w:t xml:space="preserve"> ويختلف تصنيف </w:t>
      </w:r>
      <w:r w:rsidR="00263763">
        <w:rPr>
          <w:rFonts w:hint="cs"/>
          <w:rtl/>
          <w:lang w:bidi="ar-EG"/>
        </w:rPr>
        <w:t>الأراضي والممتلكات</w:t>
      </w:r>
      <w:r w:rsidR="00DE6308">
        <w:rPr>
          <w:rFonts w:hint="cs"/>
          <w:rtl/>
          <w:lang w:bidi="ar-EG"/>
        </w:rPr>
        <w:t>،</w:t>
      </w:r>
      <w:r w:rsidR="00263763">
        <w:rPr>
          <w:rFonts w:hint="cs"/>
          <w:rtl/>
          <w:lang w:bidi="ar-EG"/>
        </w:rPr>
        <w:t xml:space="preserve"> </w:t>
      </w:r>
      <w:r w:rsidR="002B3DBD">
        <w:rPr>
          <w:rFonts w:hint="cs"/>
          <w:rtl/>
          <w:lang w:bidi="ar-EG"/>
        </w:rPr>
        <w:t xml:space="preserve">وفقاً </w:t>
      </w:r>
      <w:r w:rsidR="00263763">
        <w:rPr>
          <w:rFonts w:hint="cs"/>
          <w:rtl/>
          <w:lang w:bidi="ar-EG"/>
        </w:rPr>
        <w:t>للمعايير المحاسبية الدولية للقطاع العام</w:t>
      </w:r>
      <w:r w:rsidR="00DE6308">
        <w:rPr>
          <w:rFonts w:hint="cs"/>
          <w:rtl/>
          <w:lang w:bidi="ar-EG"/>
        </w:rPr>
        <w:t>،</w:t>
      </w:r>
      <w:r w:rsidR="00263763">
        <w:rPr>
          <w:rFonts w:hint="cs"/>
          <w:rtl/>
          <w:lang w:bidi="ar-EG"/>
        </w:rPr>
        <w:t xml:space="preserve"> </w:t>
      </w:r>
      <w:r w:rsidR="00DE6308">
        <w:rPr>
          <w:rFonts w:hint="cs"/>
          <w:rtl/>
          <w:lang w:bidi="ar-EG"/>
        </w:rPr>
        <w:t xml:space="preserve">بحسب الغرض من استخدامها أو طبيعة الحق أو الاتفاق التعاقدي التي تُمتلك بموجبها. وخلافاً للأراضي والممتلكات المدرجة أدناه في بند الأصول الثابتة، تؤجر المنظمة أماكن ومخازن ومرافق إضافية في جنيف، وتؤجر أيضاً بعض مكاتبها الخارجية (انظر الملاحظة 19)}. كما مُنحت المنظمة </w:t>
      </w:r>
      <w:r w:rsidR="00DE6308">
        <w:rPr>
          <w:rtl/>
          <w:lang w:bidi="ar-EG"/>
        </w:rPr>
        <w:t xml:space="preserve">حقوق استغلال قطعة </w:t>
      </w:r>
      <w:r w:rsidR="00DE6308">
        <w:rPr>
          <w:rFonts w:hint="cs"/>
          <w:rtl/>
          <w:lang w:bidi="ar-EG"/>
        </w:rPr>
        <w:t>أرض تقع عليها بعض مباني المقر. ولا تقيَّد هذه الحقوق، التي اكتُسبت دون تكلفة، في البيانات المالية ولكن يُفصح عنها (انظر الملاحظة 8).</w:t>
      </w:r>
    </w:p>
    <w:p w14:paraId="25ED33A3" w14:textId="23847FB4" w:rsidR="00DE6308" w:rsidRPr="00DE6308" w:rsidRDefault="00DE6308" w:rsidP="00DE6308">
      <w:pPr>
        <w:pStyle w:val="NumberedParaAR"/>
        <w:keepNext/>
        <w:numPr>
          <w:ilvl w:val="0"/>
          <w:numId w:val="0"/>
        </w:numPr>
        <w:jc w:val="center"/>
        <w:rPr>
          <w:u w:val="single"/>
          <w:lang w:bidi="ar-EG"/>
        </w:rPr>
      </w:pPr>
      <w:r>
        <w:rPr>
          <w:rFonts w:hint="cs"/>
          <w:u w:val="single"/>
          <w:rtl/>
          <w:lang w:bidi="ar-EG"/>
        </w:rPr>
        <w:t>الأصول الثابتة في 31 ديسمبر 2014</w:t>
      </w:r>
    </w:p>
    <w:p w14:paraId="47398183" w14:textId="10A18C1C" w:rsidR="00C178A0" w:rsidRPr="00C178A0" w:rsidRDefault="002B7909" w:rsidP="00DE6308">
      <w:pPr>
        <w:pStyle w:val="NumberedParaAR"/>
        <w:numPr>
          <w:ilvl w:val="0"/>
          <w:numId w:val="0"/>
        </w:numPr>
        <w:spacing w:line="240" w:lineRule="auto"/>
        <w:jc w:val="center"/>
        <w:rPr>
          <w:rtl/>
          <w:lang w:bidi="ar-EG"/>
        </w:rPr>
      </w:pPr>
      <w:r w:rsidRPr="002B7909">
        <w:rPr>
          <w:noProof/>
          <w:rtl/>
        </w:rPr>
        <w:drawing>
          <wp:inline distT="0" distB="0" distL="0" distR="0" wp14:anchorId="482B3552" wp14:editId="775EF31D">
            <wp:extent cx="5544820" cy="33794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544820" cy="3379470"/>
                    </a:xfrm>
                    <a:prstGeom prst="rect">
                      <a:avLst/>
                    </a:prstGeom>
                    <a:noFill/>
                    <a:ln>
                      <a:noFill/>
                    </a:ln>
                  </pic:spPr>
                </pic:pic>
              </a:graphicData>
            </a:graphic>
          </wp:inline>
        </w:drawing>
      </w:r>
    </w:p>
    <w:p w14:paraId="042A6C4A" w14:textId="409D7772" w:rsidR="00C178A0" w:rsidRDefault="00FE0D00" w:rsidP="00FE0D00">
      <w:pPr>
        <w:pStyle w:val="NumberedParaAR"/>
        <w:rPr>
          <w:lang w:bidi="ar-EG"/>
        </w:rPr>
      </w:pPr>
      <w:r>
        <w:rPr>
          <w:rFonts w:hint="cs"/>
          <w:rtl/>
          <w:lang w:bidi="ar-EG"/>
        </w:rPr>
        <w:t>وانخفضت القيمة الدفترية الصافية للمعدات التي تمتلكها المنظمة بمبلغ 0.6 مليون فرنك سويسري أي من 2.3 مليون فرنك سويسري في نهاية عام 2013 إلى 1.7 مليون فرنك سويسري في نهاية عام 2014. ويعزى هذا الانخفاض إلى استهلاك 0.8 مليون فرنك سويسري انخفض جزئياً بسبب معدات إضافية. وخلال العام، تصرفت المنظمة في معدات بالية من تكنولوجيا المعلومات. وعلى الرغم من أن المبلغ الإجمالي المرحل للتصرف</w:t>
      </w:r>
      <w:r w:rsidR="007F14A0">
        <w:rPr>
          <w:rFonts w:hint="cs"/>
          <w:rtl/>
          <w:lang w:bidi="ar-EG"/>
        </w:rPr>
        <w:t xml:space="preserve"> وصل إلى 5.3 مليون فرنك سويسري، فإن القيمة الدفترية الصافية لم تبلغ سوى 8771 فرنكاً سويسرياً نظراً إلى أن هذه المعدات استُهلكت كامل تكاليفها تقريباً. وازدادت </w:t>
      </w:r>
      <w:r w:rsidR="007F14A0">
        <w:rPr>
          <w:rFonts w:hint="cs"/>
          <w:rtl/>
          <w:lang w:bidi="ar-EG"/>
        </w:rPr>
        <w:lastRenderedPageBreak/>
        <w:t>القيمة الدفترية الصافية للأصول غير المادية للمنظمة بمبلغ 0.6 مليون فرنك سويسري خلال عام 2014 نظراً إلى إضافات برمجيات رُسملت.</w:t>
      </w:r>
    </w:p>
    <w:p w14:paraId="7C7081EC" w14:textId="2F27CEAE" w:rsidR="007F14A0" w:rsidRDefault="0073699D" w:rsidP="007F14A0">
      <w:pPr>
        <w:pStyle w:val="NumberedParaAR"/>
        <w:rPr>
          <w:lang w:bidi="ar-EG"/>
        </w:rPr>
      </w:pPr>
      <w:r>
        <w:rPr>
          <w:rFonts w:hint="cs"/>
          <w:rtl/>
          <w:lang w:bidi="ar-EG"/>
        </w:rPr>
        <w:t xml:space="preserve">وتتضمن الأصول الأخرى للمنظمة التي يبلغ مجموعها </w:t>
      </w:r>
      <w:r w:rsidR="007F14A0">
        <w:rPr>
          <w:rFonts w:hint="cs"/>
          <w:rtl/>
          <w:lang w:bidi="ar-EG"/>
        </w:rPr>
        <w:t>75.2</w:t>
      </w:r>
      <w:r>
        <w:rPr>
          <w:rFonts w:hint="cs"/>
          <w:rtl/>
          <w:lang w:bidi="ar-EG"/>
        </w:rPr>
        <w:t xml:space="preserve"> مليون فرنك سويسري </w:t>
      </w:r>
      <w:r w:rsidR="00F037FD">
        <w:rPr>
          <w:rFonts w:hint="cs"/>
          <w:rtl/>
          <w:lang w:bidi="ar-EG"/>
        </w:rPr>
        <w:t xml:space="preserve">الحسابات المدينة وقوائم الموجودات والمبالغ المدفوعة مقدما. وأبرز رصيد ضمن ذلك </w:t>
      </w:r>
      <w:r w:rsidR="007D1280">
        <w:rPr>
          <w:rFonts w:hint="cs"/>
          <w:rtl/>
          <w:lang w:bidi="ar-EG"/>
        </w:rPr>
        <w:t xml:space="preserve">هو </w:t>
      </w:r>
      <w:r w:rsidR="00653432">
        <w:rPr>
          <w:rFonts w:hint="cs"/>
          <w:rtl/>
          <w:lang w:bidi="ar-EG"/>
        </w:rPr>
        <w:t>ا</w:t>
      </w:r>
      <w:r w:rsidR="00543B34">
        <w:rPr>
          <w:rFonts w:hint="cs"/>
          <w:rtl/>
        </w:rPr>
        <w:t>لحسابات المدينة لنظام معاهدة التعاون بشأن البراءات</w:t>
      </w:r>
      <w:r w:rsidR="00653432">
        <w:rPr>
          <w:rFonts w:hint="cs"/>
          <w:rtl/>
        </w:rPr>
        <w:t xml:space="preserve"> الذي بلغ مجموعه</w:t>
      </w:r>
      <w:r w:rsidR="007F14A0">
        <w:rPr>
          <w:rFonts w:hint="cs"/>
          <w:rtl/>
        </w:rPr>
        <w:t xml:space="preserve"> 46.7 </w:t>
      </w:r>
      <w:r w:rsidR="00653432">
        <w:rPr>
          <w:rFonts w:hint="cs"/>
          <w:rtl/>
        </w:rPr>
        <w:t>مليون فرنك سويسري</w:t>
      </w:r>
      <w:r w:rsidR="002C5856">
        <w:rPr>
          <w:rFonts w:hint="cs"/>
          <w:rtl/>
        </w:rPr>
        <w:t xml:space="preserve">. فقد شهدت جميع الأوقات إيداع عدد معتبر من طلبات نظام معاهدة التعاون بشأن البراءات لدى </w:t>
      </w:r>
      <w:r w:rsidR="00AD7FA1">
        <w:rPr>
          <w:rFonts w:hint="cs"/>
          <w:rtl/>
        </w:rPr>
        <w:t xml:space="preserve">مكاتب </w:t>
      </w:r>
      <w:r w:rsidR="00AD7FA1" w:rsidRPr="00A01328">
        <w:rPr>
          <w:rtl/>
        </w:rPr>
        <w:t>تسلّم الطلبات</w:t>
      </w:r>
      <w:r w:rsidR="00AD7FA1">
        <w:rPr>
          <w:rFonts w:hint="cs"/>
          <w:rtl/>
        </w:rPr>
        <w:t xml:space="preserve">، </w:t>
      </w:r>
      <w:r w:rsidR="008F02ED">
        <w:rPr>
          <w:rFonts w:hint="cs"/>
          <w:rtl/>
        </w:rPr>
        <w:t xml:space="preserve">أو </w:t>
      </w:r>
      <w:r w:rsidR="00AD7FA1">
        <w:rPr>
          <w:rFonts w:hint="cs"/>
          <w:rtl/>
        </w:rPr>
        <w:t>وربما تسل</w:t>
      </w:r>
      <w:r w:rsidR="00546219">
        <w:rPr>
          <w:rFonts w:hint="cs"/>
          <w:rtl/>
        </w:rPr>
        <w:t>مه</w:t>
      </w:r>
      <w:r w:rsidR="00531401">
        <w:rPr>
          <w:rFonts w:hint="cs"/>
          <w:rtl/>
        </w:rPr>
        <w:t xml:space="preserve">ا </w:t>
      </w:r>
      <w:r w:rsidR="00546219">
        <w:rPr>
          <w:rFonts w:hint="cs"/>
          <w:rtl/>
        </w:rPr>
        <w:t xml:space="preserve">في الويبو، </w:t>
      </w:r>
      <w:r w:rsidR="00170A00">
        <w:rPr>
          <w:rFonts w:hint="cs"/>
          <w:rtl/>
        </w:rPr>
        <w:t>دون أن تتلقى المن</w:t>
      </w:r>
      <w:r w:rsidR="007F14A0">
        <w:rPr>
          <w:rFonts w:hint="cs"/>
          <w:rtl/>
        </w:rPr>
        <w:t xml:space="preserve">ظمة سداداً للرسوم المناظرة لها. وانخفض رصيد الحسابات المدينة لنظام معاهدة التعاون بشأن البراءات انخفاضاً ملحوظاً في العام السابق حيث بلغ مجموعه 62.4 مليون فرنك سويسري. وفي نهاية عام 2013، لم تُسدد رسوم نحو 23.8 بالمئة من الطلبات المودعة خلال الأشهر الاثني عشر السابقة. وفي نهاية عام 2014، انخفضت هذه النسبة المئوية إلى نحو 16.0 بالمئة. وإضافة إلى هذا الانخفاض </w:t>
      </w:r>
      <w:r w:rsidR="00695892">
        <w:rPr>
          <w:rFonts w:hint="cs"/>
          <w:rtl/>
        </w:rPr>
        <w:t xml:space="preserve">في حصة الطلبات غير المسددة رسومها في نهاية العام، شهد عام 2014 أيضاً </w:t>
      </w:r>
      <w:r w:rsidR="00695892">
        <w:rPr>
          <w:rFonts w:hint="cs"/>
          <w:rtl/>
          <w:lang w:bidi="ar-EG"/>
        </w:rPr>
        <w:t>تحصيل المدفوعات المستحقة عن طلبات عام 2013. ويفسر هذان العاملان الانخفاض في رصيد الحسابات المدينة لنظام معاهدة التعاون بشأن البراءات.</w:t>
      </w:r>
    </w:p>
    <w:p w14:paraId="7B4C09FB" w14:textId="5ACE9A5C" w:rsidR="00695892" w:rsidRDefault="00695892" w:rsidP="00695892">
      <w:pPr>
        <w:pStyle w:val="NumberedParaAR"/>
        <w:keepNext/>
        <w:numPr>
          <w:ilvl w:val="0"/>
          <w:numId w:val="0"/>
        </w:numPr>
        <w:jc w:val="center"/>
        <w:rPr>
          <w:u w:val="single"/>
          <w:rtl/>
          <w:lang w:bidi="ar-EG"/>
        </w:rPr>
      </w:pPr>
      <w:r>
        <w:rPr>
          <w:rFonts w:hint="cs"/>
          <w:u w:val="single"/>
          <w:rtl/>
          <w:lang w:bidi="ar-EG"/>
        </w:rPr>
        <w:t>الحسابات المدينة لنظام معاهدة التعاون بشأن البراءات في 2013-2014</w:t>
      </w:r>
    </w:p>
    <w:p w14:paraId="43049A35" w14:textId="75DBAD6A" w:rsidR="00695892" w:rsidRPr="00695892" w:rsidRDefault="00DC7F21" w:rsidP="00DC7F21">
      <w:pPr>
        <w:pStyle w:val="NumberedParaAR"/>
        <w:numPr>
          <w:ilvl w:val="0"/>
          <w:numId w:val="0"/>
        </w:numPr>
        <w:spacing w:line="240" w:lineRule="auto"/>
        <w:jc w:val="center"/>
        <w:rPr>
          <w:lang w:bidi="ar-EG"/>
        </w:rPr>
      </w:pPr>
      <w:r w:rsidRPr="00DC7F21">
        <w:rPr>
          <w:noProof/>
          <w:rtl/>
        </w:rPr>
        <w:drawing>
          <wp:inline distT="0" distB="0" distL="0" distR="0" wp14:anchorId="448190EF" wp14:editId="1832F487">
            <wp:extent cx="4946650" cy="1917700"/>
            <wp:effectExtent l="0" t="0" r="6350" b="635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946650" cy="1917700"/>
                    </a:xfrm>
                    <a:prstGeom prst="rect">
                      <a:avLst/>
                    </a:prstGeom>
                    <a:noFill/>
                    <a:ln>
                      <a:noFill/>
                    </a:ln>
                  </pic:spPr>
                </pic:pic>
              </a:graphicData>
            </a:graphic>
          </wp:inline>
        </w:drawing>
      </w:r>
    </w:p>
    <w:p w14:paraId="5CB3B330" w14:textId="69EA8128" w:rsidR="0073699D" w:rsidRPr="00695892" w:rsidRDefault="00695892" w:rsidP="00695892">
      <w:pPr>
        <w:pStyle w:val="NumberedParaAR"/>
        <w:keepNext/>
        <w:numPr>
          <w:ilvl w:val="0"/>
          <w:numId w:val="0"/>
        </w:numPr>
        <w:rPr>
          <w:b/>
          <w:bCs/>
          <w:i/>
          <w:iCs/>
          <w:lang w:bidi="ar-EG"/>
        </w:rPr>
      </w:pPr>
      <w:r>
        <w:rPr>
          <w:rFonts w:hint="cs"/>
          <w:b/>
          <w:bCs/>
          <w:i/>
          <w:iCs/>
          <w:rtl/>
        </w:rPr>
        <w:t>الخصوم</w:t>
      </w:r>
    </w:p>
    <w:p w14:paraId="74EE1A24" w14:textId="5311A33A" w:rsidR="00E16243" w:rsidRDefault="00E16243" w:rsidP="00B522A4">
      <w:pPr>
        <w:pStyle w:val="NumberedParaAR"/>
        <w:rPr>
          <w:lang w:bidi="ar-EG"/>
        </w:rPr>
      </w:pPr>
      <w:r>
        <w:rPr>
          <w:rFonts w:hint="cs"/>
          <w:rtl/>
          <w:lang w:bidi="ar-EG"/>
        </w:rPr>
        <w:t xml:space="preserve">يبلغ مجموع المبالغ </w:t>
      </w:r>
      <w:r w:rsidR="002B3DBD">
        <w:rPr>
          <w:rFonts w:hint="cs"/>
          <w:rtl/>
          <w:lang w:bidi="ar-EG"/>
        </w:rPr>
        <w:t>المستحقة الدفع</w:t>
      </w:r>
      <w:r>
        <w:rPr>
          <w:rFonts w:hint="cs"/>
          <w:rtl/>
          <w:lang w:bidi="ar-EG"/>
        </w:rPr>
        <w:t xml:space="preserve"> والمبالغ المتسلمة قبل استحقاقها</w:t>
      </w:r>
      <w:r w:rsidR="00695892">
        <w:rPr>
          <w:rFonts w:hint="cs"/>
          <w:rtl/>
          <w:lang w:bidi="ar-EG"/>
        </w:rPr>
        <w:t xml:space="preserve"> 358.7</w:t>
      </w:r>
      <w:r>
        <w:rPr>
          <w:rFonts w:hint="cs"/>
          <w:rtl/>
          <w:lang w:bidi="ar-EG"/>
        </w:rPr>
        <w:t xml:space="preserve"> </w:t>
      </w:r>
      <w:r w:rsidR="00DA364D">
        <w:rPr>
          <w:rFonts w:hint="cs"/>
          <w:rtl/>
          <w:lang w:bidi="ar-EG"/>
        </w:rPr>
        <w:t xml:space="preserve">مليون </w:t>
      </w:r>
      <w:r>
        <w:rPr>
          <w:rFonts w:hint="cs"/>
          <w:rtl/>
          <w:lang w:bidi="ar-EG"/>
        </w:rPr>
        <w:t>فرنك سويسري، وهي تشمل بصورة رئيسية إيرادات مؤجلة</w:t>
      </w:r>
      <w:r w:rsidR="00B522A4">
        <w:rPr>
          <w:rFonts w:hint="cs"/>
          <w:rtl/>
          <w:lang w:bidi="ar-EG"/>
        </w:rPr>
        <w:t xml:space="preserve"> لمعالجة الطلبات الدولية (العلامات التجارية والتصاميم الصناعية والبراءات)</w:t>
      </w:r>
      <w:r>
        <w:rPr>
          <w:rFonts w:hint="cs"/>
          <w:rtl/>
          <w:lang w:bidi="ar-EG"/>
        </w:rPr>
        <w:t xml:space="preserve"> قدرها </w:t>
      </w:r>
      <w:r w:rsidR="00B522A4">
        <w:rPr>
          <w:rFonts w:hint="cs"/>
          <w:rtl/>
          <w:lang w:bidi="ar-EG"/>
        </w:rPr>
        <w:t>203.7</w:t>
      </w:r>
      <w:r>
        <w:rPr>
          <w:rFonts w:hint="cs"/>
          <w:rtl/>
          <w:lang w:bidi="ar-EG"/>
        </w:rPr>
        <w:t xml:space="preserve"> مليون فرنك سويسري. و</w:t>
      </w:r>
      <w:r w:rsidR="00206946">
        <w:rPr>
          <w:rFonts w:hint="cs"/>
          <w:rtl/>
          <w:lang w:bidi="ar-EG"/>
        </w:rPr>
        <w:t xml:space="preserve">يتعلق رصيد الإيرادات المؤجلة هذا أساساً برسوم </w:t>
      </w:r>
      <w:r w:rsidR="001321D5">
        <w:rPr>
          <w:rFonts w:hint="cs"/>
          <w:rtl/>
          <w:lang w:bidi="ar-EG"/>
        </w:rPr>
        <w:t xml:space="preserve">في </w:t>
      </w:r>
      <w:r w:rsidR="00206946">
        <w:rPr>
          <w:rFonts w:hint="cs"/>
          <w:rtl/>
          <w:lang w:bidi="ar-EG"/>
        </w:rPr>
        <w:t>نظام معاهدة التعاون</w:t>
      </w:r>
      <w:r w:rsidR="004340AF">
        <w:rPr>
          <w:rFonts w:hint="cs"/>
          <w:rtl/>
          <w:lang w:bidi="ar-EG"/>
        </w:rPr>
        <w:t xml:space="preserve"> </w:t>
      </w:r>
      <w:r w:rsidR="00206946">
        <w:rPr>
          <w:rFonts w:hint="cs"/>
          <w:rtl/>
          <w:lang w:bidi="ar-EG"/>
        </w:rPr>
        <w:t>بشأن البراءات</w:t>
      </w:r>
      <w:r w:rsidR="001321D5">
        <w:rPr>
          <w:rFonts w:hint="cs"/>
          <w:rtl/>
          <w:lang w:bidi="ar-EG"/>
        </w:rPr>
        <w:t xml:space="preserve"> تبلغ</w:t>
      </w:r>
      <w:r w:rsidR="008F02ED">
        <w:rPr>
          <w:rFonts w:hint="cs"/>
          <w:rtl/>
          <w:lang w:bidi="ar-EG"/>
        </w:rPr>
        <w:t xml:space="preserve"> </w:t>
      </w:r>
      <w:r w:rsidR="00B522A4">
        <w:rPr>
          <w:rFonts w:hint="cs"/>
          <w:rtl/>
          <w:lang w:bidi="ar-EG"/>
        </w:rPr>
        <w:t xml:space="preserve">199.7 </w:t>
      </w:r>
      <w:r w:rsidR="008F02ED">
        <w:rPr>
          <w:rFonts w:hint="cs"/>
          <w:rtl/>
          <w:lang w:bidi="ar-EG"/>
        </w:rPr>
        <w:t>مليون فرنك سويسري</w:t>
      </w:r>
      <w:r w:rsidR="00B522A4">
        <w:rPr>
          <w:rFonts w:hint="cs"/>
          <w:rtl/>
          <w:lang w:bidi="ar-EG"/>
        </w:rPr>
        <w:t>.</w:t>
      </w:r>
      <w:r w:rsidR="008F02ED">
        <w:rPr>
          <w:rFonts w:hint="cs"/>
          <w:rtl/>
          <w:lang w:bidi="ar-EG"/>
        </w:rPr>
        <w:t xml:space="preserve"> </w:t>
      </w:r>
      <w:r w:rsidR="00B522A4">
        <w:rPr>
          <w:rFonts w:hint="cs"/>
          <w:rtl/>
          <w:lang w:bidi="ar-EG"/>
        </w:rPr>
        <w:t>و</w:t>
      </w:r>
      <w:r w:rsidR="008F02ED">
        <w:rPr>
          <w:rFonts w:hint="cs"/>
          <w:rtl/>
          <w:lang w:bidi="ar-EG"/>
        </w:rPr>
        <w:t>تؤجَل إيرادات الرسوم المتعلقة بمعالجة الطلبات الدولية إلى أن ينشر الطلب ذو الصلة</w:t>
      </w:r>
      <w:r>
        <w:rPr>
          <w:rFonts w:hint="cs"/>
          <w:rtl/>
          <w:lang w:bidi="ar-EG"/>
        </w:rPr>
        <w:t>.</w:t>
      </w:r>
      <w:r w:rsidR="004340AF">
        <w:rPr>
          <w:rFonts w:hint="cs"/>
          <w:rtl/>
          <w:lang w:bidi="ar-EG"/>
        </w:rPr>
        <w:t xml:space="preserve"> وتشهد جميع الأوقات </w:t>
      </w:r>
      <w:r w:rsidR="00856F2A">
        <w:rPr>
          <w:rFonts w:hint="cs"/>
          <w:rtl/>
          <w:lang w:bidi="ar-EG"/>
        </w:rPr>
        <w:t xml:space="preserve">وجود </w:t>
      </w:r>
      <w:r w:rsidR="004340AF">
        <w:rPr>
          <w:rFonts w:hint="cs"/>
          <w:rtl/>
          <w:lang w:bidi="ar-EG"/>
        </w:rPr>
        <w:t xml:space="preserve">عدد معتبر من الطلبات </w:t>
      </w:r>
      <w:r w:rsidR="008418C0">
        <w:rPr>
          <w:rFonts w:hint="cs"/>
          <w:rtl/>
          <w:lang w:bidi="ar-EG"/>
        </w:rPr>
        <w:t xml:space="preserve">المودعة </w:t>
      </w:r>
      <w:r w:rsidR="004340AF">
        <w:rPr>
          <w:rFonts w:hint="cs"/>
          <w:rtl/>
          <w:lang w:bidi="ar-EG"/>
        </w:rPr>
        <w:t xml:space="preserve">في إطار نظام معاهدة التعاون بشأن البراءات </w:t>
      </w:r>
      <w:r w:rsidR="00856F2A">
        <w:rPr>
          <w:rFonts w:hint="cs"/>
          <w:rtl/>
          <w:lang w:bidi="ar-EG"/>
        </w:rPr>
        <w:t xml:space="preserve">لدى مكاتب تسلّم الطلبات أو الويبو </w:t>
      </w:r>
      <w:r w:rsidR="008418C0">
        <w:rPr>
          <w:rFonts w:hint="cs"/>
          <w:rtl/>
          <w:lang w:bidi="ar-EG"/>
        </w:rPr>
        <w:t xml:space="preserve">دون أن تنشر بعد. </w:t>
      </w:r>
      <w:r w:rsidR="008418C0">
        <w:rPr>
          <w:rFonts w:hint="cs"/>
          <w:rtl/>
        </w:rPr>
        <w:t xml:space="preserve">ويبلغ العدد التقديري للطلبات التي تحمل تاريخ إيداع يرجع إلى </w:t>
      </w:r>
      <w:r w:rsidR="00B522A4">
        <w:rPr>
          <w:rFonts w:hint="cs"/>
          <w:rtl/>
        </w:rPr>
        <w:t>2013</w:t>
      </w:r>
      <w:r w:rsidR="008418C0">
        <w:rPr>
          <w:rFonts w:hint="cs"/>
          <w:rtl/>
        </w:rPr>
        <w:t xml:space="preserve"> أو </w:t>
      </w:r>
      <w:r w:rsidR="00B522A4">
        <w:rPr>
          <w:rFonts w:hint="cs"/>
          <w:rtl/>
        </w:rPr>
        <w:t>2014</w:t>
      </w:r>
      <w:r w:rsidR="008418C0">
        <w:rPr>
          <w:rFonts w:hint="cs"/>
          <w:rtl/>
        </w:rPr>
        <w:t xml:space="preserve"> ولم </w:t>
      </w:r>
      <w:r w:rsidR="002310D8">
        <w:rPr>
          <w:rFonts w:hint="cs"/>
          <w:rtl/>
        </w:rPr>
        <w:t>تنشر</w:t>
      </w:r>
      <w:r w:rsidR="00B522A4">
        <w:rPr>
          <w:rFonts w:hint="cs"/>
          <w:rtl/>
        </w:rPr>
        <w:t xml:space="preserve"> 157 145</w:t>
      </w:r>
      <w:r w:rsidR="008418C0">
        <w:rPr>
          <w:rFonts w:hint="cs"/>
          <w:rtl/>
        </w:rPr>
        <w:t xml:space="preserve"> طلب</w:t>
      </w:r>
      <w:r w:rsidR="00B522A4">
        <w:rPr>
          <w:rFonts w:hint="cs"/>
          <w:rtl/>
        </w:rPr>
        <w:t>اً</w:t>
      </w:r>
      <w:r w:rsidR="008418C0">
        <w:rPr>
          <w:rFonts w:hint="cs"/>
          <w:rtl/>
        </w:rPr>
        <w:t xml:space="preserve"> حسب الوضع في 31 ديسمبر </w:t>
      </w:r>
      <w:r w:rsidR="00B522A4">
        <w:rPr>
          <w:rFonts w:hint="cs"/>
          <w:rtl/>
        </w:rPr>
        <w:t>2014</w:t>
      </w:r>
      <w:r w:rsidR="008418C0">
        <w:rPr>
          <w:rFonts w:hint="cs"/>
          <w:rtl/>
        </w:rPr>
        <w:t>.</w:t>
      </w:r>
      <w:r w:rsidR="00B522A4">
        <w:rPr>
          <w:rFonts w:hint="cs"/>
          <w:rtl/>
        </w:rPr>
        <w:t xml:space="preserve">وعلى الرغم من هذا العدد أقل مما كان عليه في عام 2013، ازداد مجموع مبلغ الإيرادات المؤجلة نظراً إلى ارتفاع الدولار </w:t>
      </w:r>
      <w:r w:rsidR="00FD2528">
        <w:rPr>
          <w:rFonts w:hint="cs"/>
          <w:rtl/>
        </w:rPr>
        <w:t>الأمريكي</w:t>
      </w:r>
      <w:r w:rsidR="00B522A4">
        <w:rPr>
          <w:rFonts w:hint="cs"/>
          <w:rtl/>
        </w:rPr>
        <w:t xml:space="preserve"> مقابل الفرنك السويسري في النصف الثاني من عام 2014 فضلاً عن زيادة متوسط تكلفة ترجمة تقارير الأهلية للبراءة.</w:t>
      </w:r>
    </w:p>
    <w:p w14:paraId="591777CA" w14:textId="77FAAB6C" w:rsidR="00B522A4" w:rsidRPr="00B522A4" w:rsidRDefault="00B522A4" w:rsidP="00B522A4">
      <w:pPr>
        <w:pStyle w:val="NumberedParaAR"/>
        <w:keepNext/>
        <w:numPr>
          <w:ilvl w:val="0"/>
          <w:numId w:val="0"/>
        </w:numPr>
        <w:jc w:val="center"/>
        <w:rPr>
          <w:u w:val="single"/>
          <w:lang w:bidi="ar-EG"/>
        </w:rPr>
      </w:pPr>
      <w:r>
        <w:rPr>
          <w:rFonts w:hint="cs"/>
          <w:u w:val="single"/>
          <w:rtl/>
          <w:lang w:bidi="ar-EG"/>
        </w:rPr>
        <w:lastRenderedPageBreak/>
        <w:t>الإيرادات المؤجلة لنظام معاهدة التعاون بشأن البراءات في عامي 2013-2014</w:t>
      </w:r>
    </w:p>
    <w:p w14:paraId="668F39AE" w14:textId="2BD1F899" w:rsidR="00B522A4" w:rsidRDefault="00DC7F21" w:rsidP="00B522A4">
      <w:pPr>
        <w:pStyle w:val="NumberedParaAR"/>
        <w:numPr>
          <w:ilvl w:val="0"/>
          <w:numId w:val="0"/>
        </w:numPr>
        <w:spacing w:line="240" w:lineRule="auto"/>
        <w:jc w:val="center"/>
        <w:rPr>
          <w:lang w:bidi="ar-EG"/>
        </w:rPr>
      </w:pPr>
      <w:r w:rsidRPr="00DC7F21">
        <w:rPr>
          <w:noProof/>
          <w:rtl/>
        </w:rPr>
        <w:drawing>
          <wp:inline distT="0" distB="0" distL="0" distR="0" wp14:anchorId="733426E6" wp14:editId="00ED5491">
            <wp:extent cx="4946650" cy="2254250"/>
            <wp:effectExtent l="0" t="0" r="635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946650" cy="2254250"/>
                    </a:xfrm>
                    <a:prstGeom prst="rect">
                      <a:avLst/>
                    </a:prstGeom>
                    <a:noFill/>
                    <a:ln>
                      <a:noFill/>
                    </a:ln>
                  </pic:spPr>
                </pic:pic>
              </a:graphicData>
            </a:graphic>
          </wp:inline>
        </w:drawing>
      </w:r>
    </w:p>
    <w:p w14:paraId="6D6DD1E2" w14:textId="57CE5C7F" w:rsidR="00E16243" w:rsidRDefault="00E16243" w:rsidP="00B522A4">
      <w:pPr>
        <w:pStyle w:val="NumberedParaAR"/>
        <w:rPr>
          <w:lang w:bidi="ar-EG"/>
        </w:rPr>
      </w:pPr>
      <w:r>
        <w:rPr>
          <w:rFonts w:hint="cs"/>
          <w:rtl/>
          <w:lang w:bidi="ar-EG"/>
        </w:rPr>
        <w:t xml:space="preserve">وتتألف خصوم مستحقات الموظفين البالغة </w:t>
      </w:r>
      <w:r w:rsidR="00B522A4">
        <w:rPr>
          <w:rFonts w:hint="cs"/>
          <w:rtl/>
          <w:lang w:bidi="ar-EG"/>
        </w:rPr>
        <w:t>161.2</w:t>
      </w:r>
      <w:r>
        <w:rPr>
          <w:rFonts w:hint="cs"/>
          <w:rtl/>
          <w:lang w:bidi="ar-EG"/>
        </w:rPr>
        <w:t xml:space="preserve"> مليون فرنك سويسري بصورة رئيسية من خصوم التأمين الصحي لما بعد الخدمة البالغ </w:t>
      </w:r>
      <w:r w:rsidR="00B522A4">
        <w:rPr>
          <w:rFonts w:hint="cs"/>
          <w:rtl/>
          <w:lang w:bidi="ar-EG"/>
        </w:rPr>
        <w:t>127.9</w:t>
      </w:r>
      <w:r>
        <w:rPr>
          <w:rFonts w:hint="cs"/>
          <w:rtl/>
          <w:lang w:bidi="ar-EG"/>
        </w:rPr>
        <w:t xml:space="preserve"> مليون فرنك سويسري، والذي يمثل </w:t>
      </w:r>
      <w:r w:rsidR="00B522A4">
        <w:rPr>
          <w:rFonts w:hint="cs"/>
          <w:rtl/>
          <w:lang w:bidi="ar-EG"/>
        </w:rPr>
        <w:t>79.4</w:t>
      </w:r>
      <w:r>
        <w:rPr>
          <w:rFonts w:hint="cs"/>
          <w:rtl/>
          <w:lang w:bidi="ar-EG"/>
        </w:rPr>
        <w:t xml:space="preserve"> </w:t>
      </w:r>
      <w:r w:rsidR="00257637">
        <w:rPr>
          <w:rFonts w:hint="cs"/>
          <w:rtl/>
          <w:lang w:bidi="ar-EG"/>
        </w:rPr>
        <w:t>بالمئة</w:t>
      </w:r>
      <w:r>
        <w:rPr>
          <w:rFonts w:hint="cs"/>
          <w:rtl/>
          <w:lang w:bidi="ar-EG"/>
        </w:rPr>
        <w:t xml:space="preserve"> من مجموع خصوم مستحقات الموظفين في 31 ديسمبر </w:t>
      </w:r>
      <w:r w:rsidR="00B522A4">
        <w:rPr>
          <w:rFonts w:hint="cs"/>
          <w:rtl/>
          <w:lang w:bidi="ar-EG"/>
        </w:rPr>
        <w:t>2014</w:t>
      </w:r>
      <w:r>
        <w:rPr>
          <w:rFonts w:hint="cs"/>
          <w:rtl/>
          <w:lang w:bidi="ar-EG"/>
        </w:rPr>
        <w:t xml:space="preserve">. وقد زادت خصوم التأمين الصحي لما بعد الخدمة بمبلغ </w:t>
      </w:r>
      <w:r w:rsidR="00B522A4">
        <w:rPr>
          <w:rFonts w:hint="cs"/>
          <w:rtl/>
          <w:lang w:bidi="ar-EG"/>
        </w:rPr>
        <w:t>8.3</w:t>
      </w:r>
      <w:r>
        <w:rPr>
          <w:rFonts w:hint="cs"/>
          <w:rtl/>
          <w:lang w:bidi="ar-EG"/>
        </w:rPr>
        <w:t xml:space="preserve"> مليون فرنك سويسري مقارنة بعام</w:t>
      </w:r>
      <w:r w:rsidR="00B522A4">
        <w:rPr>
          <w:rFonts w:hint="cs"/>
          <w:rtl/>
          <w:lang w:bidi="ar-EG"/>
        </w:rPr>
        <w:t xml:space="preserve"> 2013</w:t>
      </w:r>
      <w:r>
        <w:rPr>
          <w:rFonts w:hint="cs"/>
          <w:rtl/>
          <w:lang w:bidi="ar-EG"/>
        </w:rPr>
        <w:t>. ويضطلع أكتواري مستقل بحساب الخصوم ويسجل الكلفة المستقبلية لحصة الويبو في أقساط التأمين الصحي لمتقاعدي الويبو الحاليين وال</w:t>
      </w:r>
      <w:r w:rsidR="00B522A4">
        <w:rPr>
          <w:rFonts w:hint="cs"/>
          <w:rtl/>
          <w:lang w:bidi="ar-EG"/>
        </w:rPr>
        <w:t>متقاعدين المتوقعين في المستقبل.</w:t>
      </w:r>
    </w:p>
    <w:p w14:paraId="2919C037" w14:textId="6289CDC5" w:rsidR="00E16243" w:rsidRPr="00B522A4" w:rsidRDefault="00E16243" w:rsidP="00E16243">
      <w:pPr>
        <w:pStyle w:val="NumberedParaAR"/>
        <w:keepNext/>
        <w:numPr>
          <w:ilvl w:val="0"/>
          <w:numId w:val="0"/>
        </w:numPr>
        <w:jc w:val="center"/>
        <w:rPr>
          <w:u w:val="single"/>
          <w:rtl/>
          <w:lang w:bidi="ar-EG"/>
        </w:rPr>
      </w:pPr>
      <w:r w:rsidRPr="00B522A4">
        <w:rPr>
          <w:rFonts w:hint="cs"/>
          <w:u w:val="single"/>
          <w:rtl/>
          <w:lang w:bidi="ar-EG"/>
        </w:rPr>
        <w:t>مكونات خصوم مستحقات الموظفين</w:t>
      </w:r>
      <w:r w:rsidR="00B522A4" w:rsidRPr="00B522A4">
        <w:rPr>
          <w:rFonts w:hint="cs"/>
          <w:u w:val="single"/>
          <w:rtl/>
          <w:lang w:bidi="ar-EG"/>
        </w:rPr>
        <w:t xml:space="preserve"> في 31 ديسمبر 2014</w:t>
      </w:r>
    </w:p>
    <w:p w14:paraId="5BEFD439" w14:textId="7D3D1BD1" w:rsidR="00E16243" w:rsidRDefault="00DC7F21" w:rsidP="00C73B1C">
      <w:pPr>
        <w:pStyle w:val="NumberedParaAR"/>
        <w:numPr>
          <w:ilvl w:val="0"/>
          <w:numId w:val="0"/>
        </w:numPr>
        <w:spacing w:line="240" w:lineRule="auto"/>
        <w:jc w:val="center"/>
        <w:rPr>
          <w:rtl/>
          <w:lang w:bidi="ar-EG"/>
        </w:rPr>
      </w:pPr>
      <w:r w:rsidRPr="00DC7F21">
        <w:rPr>
          <w:noProof/>
          <w:rtl/>
        </w:rPr>
        <w:drawing>
          <wp:inline distT="0" distB="0" distL="0" distR="0" wp14:anchorId="4B439246" wp14:editId="5C7E883B">
            <wp:extent cx="5803900" cy="2279650"/>
            <wp:effectExtent l="0" t="0" r="635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803900" cy="2279650"/>
                    </a:xfrm>
                    <a:prstGeom prst="rect">
                      <a:avLst/>
                    </a:prstGeom>
                    <a:noFill/>
                    <a:ln>
                      <a:noFill/>
                    </a:ln>
                  </pic:spPr>
                </pic:pic>
              </a:graphicData>
            </a:graphic>
          </wp:inline>
        </w:drawing>
      </w:r>
    </w:p>
    <w:p w14:paraId="4FCE922E" w14:textId="6519A953" w:rsidR="00B522A4" w:rsidRPr="00E80DAB" w:rsidRDefault="004D6EB7" w:rsidP="00E80DAB">
      <w:pPr>
        <w:pStyle w:val="NumberedParaAR"/>
      </w:pPr>
      <w:r w:rsidRPr="00E80DAB">
        <w:rPr>
          <w:rFonts w:hint="cs"/>
          <w:rtl/>
        </w:rPr>
        <w:t xml:space="preserve">وشهدت خصوص التأمين الصحي لما بعد الخدمة زيادة منتظمة على مدار السنوات الست الماضية، ويتوقع استناداً إلى التوقعات </w:t>
      </w:r>
      <w:r w:rsidR="00AC3C42">
        <w:rPr>
          <w:rFonts w:hint="cs"/>
          <w:rtl/>
        </w:rPr>
        <w:t>الأكتوارية</w:t>
      </w:r>
      <w:r w:rsidRPr="00E80DAB">
        <w:rPr>
          <w:rFonts w:hint="cs"/>
          <w:rtl/>
        </w:rPr>
        <w:t xml:space="preserve"> أن تستمر هذه الزيادة. </w:t>
      </w:r>
      <w:r w:rsidR="00A52EF4" w:rsidRPr="00E80DAB">
        <w:rPr>
          <w:rFonts w:hint="cs"/>
          <w:rtl/>
        </w:rPr>
        <w:t xml:space="preserve">وتزداد </w:t>
      </w:r>
      <w:r w:rsidRPr="00E80DAB">
        <w:rPr>
          <w:rFonts w:hint="cs"/>
          <w:rtl/>
        </w:rPr>
        <w:t xml:space="preserve">هذه الخصوم كل </w:t>
      </w:r>
      <w:r w:rsidR="00A52EF4" w:rsidRPr="00E80DAB">
        <w:rPr>
          <w:rFonts w:hint="cs"/>
          <w:rtl/>
        </w:rPr>
        <w:t>عام بسبب تكلفة الخدمة الجارية وتكلفة الفائدة وتنخفض الخصوم كل عام بفضل المستحقات التي تسددها المنظمة. وتمثل تكلفة الخدمة الجارية</w:t>
      </w:r>
      <w:r w:rsidR="0089341D" w:rsidRPr="00E80DAB">
        <w:rPr>
          <w:rFonts w:hint="cs"/>
          <w:rtl/>
        </w:rPr>
        <w:t xml:space="preserve"> الأثر الصافي لناجم عن خدمة الموظفين خلال العام. وأما تكلفة الفائدة فهي الأثر الناجم عن اقتراب كل موظف عامل كل عام من سن الأهلية للاشتراك في التأمين الصحي لما بعد الخدمة. وتمثل المستحقات التي تدفعها المنظمة كل عام المساهمات الشهرية (65.0 بالمئة من الأقساط حالياً) التي تسددها المنظمة للمتقاعدين المشتركين في التأمين الصحي لما بعد الخدمة. وعليه، فإن السمات الديمغرافية لموظفي الويبو ونسبة الموظفين إلى المتقاعدين </w:t>
      </w:r>
      <w:r w:rsidR="0033731A" w:rsidRPr="00E80DAB">
        <w:rPr>
          <w:rFonts w:hint="cs"/>
          <w:rtl/>
        </w:rPr>
        <w:t>تؤثر تأثيراً ملحوظاً في حركة الخصوم. وفي هذا السياق، تجدر مراعاة تغير سن التقاعد مؤخراً للموظفين الذين عينوا اعتباراً من 1 يناير 2014. فبالنسبة إلى هؤلاء الموظفين، ارتفع سن التقاعد إلى 65 عاماً مقارنة بسن تقاعد الموظفين الذي عينوا اعتباراً من 1 نوفمبر 1990 ولكن قبل 1 يناير 2014، ويبلغ ذلك السن 62 عاماً.</w:t>
      </w:r>
    </w:p>
    <w:p w14:paraId="539D9E1C" w14:textId="484293E9" w:rsidR="0033731A" w:rsidRPr="00E80DAB" w:rsidRDefault="0033731A" w:rsidP="0033731A">
      <w:pPr>
        <w:pStyle w:val="NumberedParaAR"/>
        <w:keepNext/>
        <w:numPr>
          <w:ilvl w:val="0"/>
          <w:numId w:val="0"/>
        </w:numPr>
        <w:jc w:val="center"/>
        <w:rPr>
          <w:u w:val="single"/>
        </w:rPr>
      </w:pPr>
      <w:r w:rsidRPr="00E80DAB">
        <w:rPr>
          <w:rFonts w:hint="cs"/>
          <w:u w:val="single"/>
          <w:rtl/>
        </w:rPr>
        <w:lastRenderedPageBreak/>
        <w:t>حركة خصوم التأمين الصحي لما بعد الخدمة في 2009-2018</w:t>
      </w:r>
    </w:p>
    <w:p w14:paraId="44CCA34C" w14:textId="7C209A92" w:rsidR="0033731A" w:rsidRPr="0033731A" w:rsidRDefault="009D5FCD" w:rsidP="0033731A">
      <w:pPr>
        <w:pStyle w:val="NumberedParaAR"/>
        <w:numPr>
          <w:ilvl w:val="0"/>
          <w:numId w:val="0"/>
        </w:numPr>
        <w:spacing w:line="240" w:lineRule="auto"/>
        <w:jc w:val="center"/>
        <w:rPr>
          <w:sz w:val="40"/>
          <w:szCs w:val="40"/>
        </w:rPr>
      </w:pPr>
      <w:r>
        <w:rPr>
          <w:noProof/>
          <w:sz w:val="40"/>
          <w:szCs w:val="40"/>
        </w:rPr>
        <w:drawing>
          <wp:inline distT="0" distB="0" distL="0" distR="0" wp14:anchorId="6D08A295" wp14:editId="2E40844F">
            <wp:extent cx="5114925" cy="3127375"/>
            <wp:effectExtent l="0" t="0" r="9525"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114925" cy="3127375"/>
                    </a:xfrm>
                    <a:prstGeom prst="rect">
                      <a:avLst/>
                    </a:prstGeom>
                    <a:noFill/>
                  </pic:spPr>
                </pic:pic>
              </a:graphicData>
            </a:graphic>
          </wp:inline>
        </w:drawing>
      </w:r>
    </w:p>
    <w:p w14:paraId="58EAE7EE" w14:textId="48D93E93" w:rsidR="00A3480D" w:rsidRPr="00E80DAB" w:rsidRDefault="0035051B" w:rsidP="00E80DAB">
      <w:pPr>
        <w:pStyle w:val="NumberedParaAR"/>
      </w:pPr>
      <w:r w:rsidRPr="00E80DAB">
        <w:rPr>
          <w:rFonts w:hint="cs"/>
          <w:rtl/>
        </w:rPr>
        <w:t>ويضم ال</w:t>
      </w:r>
      <w:r w:rsidRPr="00E80DAB">
        <w:rPr>
          <w:rtl/>
        </w:rPr>
        <w:t>حساب</w:t>
      </w:r>
      <w:r w:rsidRPr="00E80DAB">
        <w:rPr>
          <w:rFonts w:hint="cs"/>
          <w:rtl/>
        </w:rPr>
        <w:t xml:space="preserve"> الذي يجريه</w:t>
      </w:r>
      <w:r w:rsidRPr="00E80DAB">
        <w:rPr>
          <w:rtl/>
        </w:rPr>
        <w:t xml:space="preserve"> الخبير </w:t>
      </w:r>
      <w:r w:rsidR="00C13126">
        <w:rPr>
          <w:rtl/>
        </w:rPr>
        <w:t>ا</w:t>
      </w:r>
      <w:r w:rsidR="00C13126">
        <w:rPr>
          <w:rFonts w:hint="cs"/>
          <w:rtl/>
        </w:rPr>
        <w:t>لا</w:t>
      </w:r>
      <w:r w:rsidR="00AC3C42">
        <w:rPr>
          <w:rtl/>
        </w:rPr>
        <w:t>كتواري</w:t>
      </w:r>
      <w:r w:rsidRPr="00E80DAB">
        <w:rPr>
          <w:rtl/>
        </w:rPr>
        <w:t xml:space="preserve"> </w:t>
      </w:r>
      <w:r w:rsidR="00A3480D" w:rsidRPr="00E80DAB">
        <w:rPr>
          <w:rFonts w:hint="cs"/>
          <w:rtl/>
        </w:rPr>
        <w:t>ال</w:t>
      </w:r>
      <w:r w:rsidRPr="00E80DAB">
        <w:rPr>
          <w:rtl/>
        </w:rPr>
        <w:t>مستقل أيضا</w:t>
      </w:r>
      <w:r w:rsidR="00A3480D" w:rsidRPr="00E80DAB">
        <w:rPr>
          <w:rFonts w:hint="cs"/>
          <w:rtl/>
        </w:rPr>
        <w:t>ً</w:t>
      </w:r>
      <w:r w:rsidRPr="00E80DAB">
        <w:rPr>
          <w:rtl/>
        </w:rPr>
        <w:t xml:space="preserve"> عددا</w:t>
      </w:r>
      <w:r w:rsidR="00A3480D" w:rsidRPr="00E80DAB">
        <w:rPr>
          <w:rFonts w:hint="cs"/>
          <w:rtl/>
        </w:rPr>
        <w:t>ً</w:t>
      </w:r>
      <w:r w:rsidRPr="00E80DAB">
        <w:rPr>
          <w:rtl/>
        </w:rPr>
        <w:t xml:space="preserve"> من الافتراضات </w:t>
      </w:r>
      <w:r w:rsidR="00C13126">
        <w:rPr>
          <w:rtl/>
        </w:rPr>
        <w:t>ا</w:t>
      </w:r>
      <w:r w:rsidR="00C13126">
        <w:rPr>
          <w:rFonts w:hint="cs"/>
          <w:rtl/>
        </w:rPr>
        <w:t>لا</w:t>
      </w:r>
      <w:r w:rsidR="00AC3C42">
        <w:rPr>
          <w:rtl/>
        </w:rPr>
        <w:t>كتوارية</w:t>
      </w:r>
      <w:r w:rsidRPr="00E80DAB">
        <w:rPr>
          <w:rtl/>
        </w:rPr>
        <w:t xml:space="preserve">، بما في ذلك سعر الخصم، ومعدلات </w:t>
      </w:r>
      <w:r w:rsidR="00A3480D" w:rsidRPr="00E80DAB">
        <w:rPr>
          <w:rFonts w:hint="cs"/>
          <w:rtl/>
        </w:rPr>
        <w:t>توجه</w:t>
      </w:r>
      <w:r w:rsidRPr="00E80DAB">
        <w:rPr>
          <w:rtl/>
        </w:rPr>
        <w:t xml:space="preserve"> التكاليف الطبية، ومعدلات </w:t>
      </w:r>
      <w:r w:rsidR="00A3480D" w:rsidRPr="00E80DAB">
        <w:rPr>
          <w:rtl/>
        </w:rPr>
        <w:t>دوران الموظفين ومعدلات الوفيات.</w:t>
      </w:r>
      <w:r w:rsidR="00A3480D" w:rsidRPr="00E80DAB">
        <w:rPr>
          <w:rFonts w:hint="cs"/>
          <w:rtl/>
        </w:rPr>
        <w:t xml:space="preserve"> ويؤدي تغير </w:t>
      </w:r>
      <w:r w:rsidRPr="00E80DAB">
        <w:rPr>
          <w:rtl/>
        </w:rPr>
        <w:t xml:space="preserve">هذه الافتراضات </w:t>
      </w:r>
      <w:r w:rsidR="00A3480D" w:rsidRPr="00E80DAB">
        <w:rPr>
          <w:rFonts w:hint="cs"/>
          <w:rtl/>
        </w:rPr>
        <w:t xml:space="preserve">سنوياً </w:t>
      </w:r>
      <w:r w:rsidRPr="00E80DAB">
        <w:rPr>
          <w:rtl/>
        </w:rPr>
        <w:t xml:space="preserve">إلى </w:t>
      </w:r>
      <w:r w:rsidR="00A3480D" w:rsidRPr="00E80DAB">
        <w:rPr>
          <w:rtl/>
        </w:rPr>
        <w:t>مكاسب و</w:t>
      </w:r>
      <w:r w:rsidRPr="00E80DAB">
        <w:rPr>
          <w:rtl/>
        </w:rPr>
        <w:t xml:space="preserve">خسائر </w:t>
      </w:r>
      <w:r w:rsidR="00A3480D" w:rsidRPr="00E80DAB">
        <w:rPr>
          <w:rtl/>
        </w:rPr>
        <w:t>اكتوارية.</w:t>
      </w:r>
      <w:r w:rsidR="00A3480D" w:rsidRPr="00E80DAB">
        <w:rPr>
          <w:rFonts w:hint="cs"/>
          <w:rtl/>
        </w:rPr>
        <w:t xml:space="preserve"> و</w:t>
      </w:r>
      <w:r w:rsidR="002B3DBD" w:rsidRPr="00E80DAB">
        <w:rPr>
          <w:rFonts w:hint="cs"/>
          <w:rtl/>
        </w:rPr>
        <w:t xml:space="preserve">وفقاً </w:t>
      </w:r>
      <w:r w:rsidR="00A3480D" w:rsidRPr="00E80DAB">
        <w:rPr>
          <w:rFonts w:hint="cs"/>
          <w:rtl/>
        </w:rPr>
        <w:t>لل</w:t>
      </w:r>
      <w:r w:rsidRPr="00E80DAB">
        <w:rPr>
          <w:rtl/>
        </w:rPr>
        <w:t>معايير المحاسبية الدولية</w:t>
      </w:r>
      <w:r w:rsidR="00A3480D" w:rsidRPr="00E80DAB">
        <w:rPr>
          <w:rFonts w:hint="cs"/>
          <w:rtl/>
        </w:rPr>
        <w:t xml:space="preserve"> للقطاع العام</w:t>
      </w:r>
      <w:r w:rsidRPr="00E80DAB">
        <w:rPr>
          <w:rtl/>
        </w:rPr>
        <w:t xml:space="preserve">، </w:t>
      </w:r>
      <w:r w:rsidR="00A3480D" w:rsidRPr="00E80DAB">
        <w:rPr>
          <w:rFonts w:hint="cs"/>
          <w:rtl/>
        </w:rPr>
        <w:t xml:space="preserve">تطبق الويبو أسلوب الممرات في المعالجة المحاسبية لهذه المكاسب والخسائر </w:t>
      </w:r>
      <w:r w:rsidR="00C13126">
        <w:rPr>
          <w:rFonts w:hint="cs"/>
          <w:rtl/>
        </w:rPr>
        <w:t>الا</w:t>
      </w:r>
      <w:r w:rsidR="00AC3C42">
        <w:rPr>
          <w:rFonts w:hint="cs"/>
          <w:rtl/>
        </w:rPr>
        <w:t>كتوارية</w:t>
      </w:r>
      <w:r w:rsidR="00A3480D" w:rsidRPr="00E80DAB">
        <w:rPr>
          <w:rFonts w:hint="cs"/>
          <w:rtl/>
        </w:rPr>
        <w:t xml:space="preserve">، ويعني ذلك أنها لا تقيد فوراً في البيانات المالية. وتجدر الإشارة إلى أن </w:t>
      </w:r>
      <w:r w:rsidR="00A3480D" w:rsidRPr="00E80DAB">
        <w:rPr>
          <w:rtl/>
        </w:rPr>
        <w:t>المعايير الدولية للإبلاغ المالي</w:t>
      </w:r>
      <w:r w:rsidR="00047C1B" w:rsidRPr="00E80DAB">
        <w:rPr>
          <w:rFonts w:hint="cs"/>
          <w:rtl/>
        </w:rPr>
        <w:t xml:space="preserve"> قد ألغت أسلوب الممرات كوسيلة لتأجيل قيد هذه المكاسب والخسائر. وإذا اعتمدت المعايير المحاسبية الدولية للقطاع العام هذا التغيير الذي طرأ في إطار المعايير الدولية للإبلاغ المالي، فق يؤدي ذلك إلى المزيد من التقلبات في خصوم التأمين الصحي لما بعد الخدمة المقيدة في بيان الوضع المالي. وفي 31 ديسمبر 2014، سجلت الويبو </w:t>
      </w:r>
      <w:r w:rsidR="00443025" w:rsidRPr="00E80DAB">
        <w:rPr>
          <w:rFonts w:hint="cs"/>
          <w:rtl/>
        </w:rPr>
        <w:t>إجمالي خسائر اكتوارية متراكمة غير مقيدة قدره 26.6 مليون فرنك سويسري فيما يتعلق بالتأمين الصحي لما بعد الخدمة.</w:t>
      </w:r>
    </w:p>
    <w:p w14:paraId="25DADF8F" w14:textId="3B89414A" w:rsidR="00443025" w:rsidRPr="00E80DAB" w:rsidRDefault="00443025" w:rsidP="00E80DAB">
      <w:pPr>
        <w:pStyle w:val="NumberedParaAR"/>
      </w:pPr>
      <w:r w:rsidRPr="00E80DAB">
        <w:rPr>
          <w:rFonts w:hint="cs"/>
          <w:rtl/>
        </w:rPr>
        <w:t>و</w:t>
      </w:r>
      <w:r w:rsidRPr="00E80DAB">
        <w:rPr>
          <w:rtl/>
        </w:rPr>
        <w:t>تتألف القروض من قرض مؤسسة مباني المنظمات الدولية (</w:t>
      </w:r>
      <w:r w:rsidRPr="00E80DAB">
        <w:rPr>
          <w:rFonts w:hint="cs"/>
          <w:rtl/>
        </w:rPr>
        <w:t>20.9</w:t>
      </w:r>
      <w:r w:rsidRPr="00E80DAB">
        <w:rPr>
          <w:rtl/>
        </w:rPr>
        <w:t xml:space="preserve"> مليون فرنك سويسري) وقرض بنك كانتون جنيف </w:t>
      </w:r>
      <w:r w:rsidRPr="00E80DAB">
        <w:t>BCG</w:t>
      </w:r>
      <w:r w:rsidRPr="00E80DAB">
        <w:rPr>
          <w:rtl/>
        </w:rPr>
        <w:t xml:space="preserve"> وبنك كانتون فو </w:t>
      </w:r>
      <w:r w:rsidRPr="00E80DAB">
        <w:t>BCV</w:t>
      </w:r>
      <w:r w:rsidRPr="00E80DAB">
        <w:rPr>
          <w:rtl/>
        </w:rPr>
        <w:t xml:space="preserve"> لإنشاء المبنى الجديد (</w:t>
      </w:r>
      <w:r w:rsidRPr="00E80DAB">
        <w:rPr>
          <w:rFonts w:hint="cs"/>
          <w:rtl/>
        </w:rPr>
        <w:t>118.3</w:t>
      </w:r>
      <w:r w:rsidRPr="00E80DAB">
        <w:rPr>
          <w:rtl/>
        </w:rPr>
        <w:t xml:space="preserve"> مليون فرنك سويسري).</w:t>
      </w:r>
      <w:r w:rsidRPr="00E80DAB">
        <w:rPr>
          <w:rFonts w:hint="cs"/>
          <w:rtl/>
        </w:rPr>
        <w:t xml:space="preserve"> </w:t>
      </w:r>
      <w:r w:rsidRPr="00E80DAB">
        <w:rPr>
          <w:rtl/>
        </w:rPr>
        <w:t>ويبلغ مجموع المبالغ المدفوعة سنويا</w:t>
      </w:r>
      <w:r w:rsidRPr="00E80DAB">
        <w:rPr>
          <w:rFonts w:hint="cs"/>
          <w:rtl/>
        </w:rPr>
        <w:t>ً</w:t>
      </w:r>
      <w:r w:rsidRPr="00E80DAB">
        <w:rPr>
          <w:rtl/>
        </w:rPr>
        <w:t xml:space="preserve"> لتسديد أصول هذه القروض </w:t>
      </w:r>
      <w:r w:rsidRPr="00E80DAB">
        <w:rPr>
          <w:rFonts w:hint="cs"/>
          <w:rtl/>
        </w:rPr>
        <w:t>5.3 مليون</w:t>
      </w:r>
      <w:r w:rsidRPr="00E80DAB">
        <w:rPr>
          <w:rtl/>
        </w:rPr>
        <w:t xml:space="preserve"> فرنك سويسري</w:t>
      </w:r>
      <w:r w:rsidRPr="00E80DAB">
        <w:rPr>
          <w:rFonts w:hint="cs"/>
          <w:rtl/>
        </w:rPr>
        <w:t xml:space="preserve"> في عام 2014. وإن المنظمة ملزمة، في نوفمبر 2015 بدفع القسط الإجمالي المقرر البالغ 24.0 مليون فرنك سويسري لتسديد قرض بنك كانتون جنيف وبنك كانتون فو للمبنى الجديد. </w:t>
      </w:r>
      <w:r w:rsidRPr="00E80DAB">
        <w:rPr>
          <w:rtl/>
        </w:rPr>
        <w:t xml:space="preserve">ويصل مجموع الخصوم الأخرى إلى </w:t>
      </w:r>
      <w:r w:rsidRPr="00E80DAB">
        <w:rPr>
          <w:rFonts w:hint="cs"/>
          <w:rtl/>
        </w:rPr>
        <w:t>64.5</w:t>
      </w:r>
      <w:r w:rsidRPr="00E80DAB">
        <w:rPr>
          <w:rtl/>
        </w:rPr>
        <w:t xml:space="preserve"> مليون فرنك سويسري وهي تتضمن بشكل رئيسي </w:t>
      </w:r>
      <w:r w:rsidRPr="00E80DAB">
        <w:rPr>
          <w:rFonts w:hint="cs"/>
          <w:rtl/>
        </w:rPr>
        <w:t xml:space="preserve">63.6 </w:t>
      </w:r>
      <w:r w:rsidRPr="00E80DAB">
        <w:rPr>
          <w:rtl/>
        </w:rPr>
        <w:t xml:space="preserve">مليون فرنك سويسري في صورة حسابات جارية لمودعي الطلبات والأطراف المتعاقدة، </w:t>
      </w:r>
      <w:r w:rsidRPr="00E80DAB">
        <w:rPr>
          <w:rFonts w:hint="cs"/>
          <w:rtl/>
        </w:rPr>
        <w:t>فضلاً عن 0.9</w:t>
      </w:r>
      <w:r w:rsidRPr="00E80DAB">
        <w:rPr>
          <w:rtl/>
        </w:rPr>
        <w:t xml:space="preserve"> مليون فرنك سويسري من المخصصات للتكاليف القانونية.</w:t>
      </w:r>
    </w:p>
    <w:p w14:paraId="3BD178A4" w14:textId="2C17DE5A" w:rsidR="002E7AD6" w:rsidRPr="002E7AD6" w:rsidRDefault="002E7AD6" w:rsidP="002E7AD6">
      <w:pPr>
        <w:pStyle w:val="NumberedParaAR"/>
        <w:keepNext/>
        <w:numPr>
          <w:ilvl w:val="0"/>
          <w:numId w:val="0"/>
        </w:numPr>
        <w:rPr>
          <w:b/>
          <w:bCs/>
          <w:sz w:val="40"/>
          <w:szCs w:val="40"/>
        </w:rPr>
      </w:pPr>
      <w:r>
        <w:rPr>
          <w:rFonts w:hint="cs"/>
          <w:b/>
          <w:bCs/>
          <w:sz w:val="40"/>
          <w:szCs w:val="40"/>
          <w:rtl/>
        </w:rPr>
        <w:t>التدفق النقدي</w:t>
      </w:r>
    </w:p>
    <w:p w14:paraId="5516C381" w14:textId="1070CA33" w:rsidR="00443025" w:rsidRPr="00E80DAB" w:rsidRDefault="0015710B" w:rsidP="00E80DAB">
      <w:pPr>
        <w:pStyle w:val="NumberedParaAR"/>
      </w:pPr>
      <w:r w:rsidRPr="00E80DAB">
        <w:rPr>
          <w:rFonts w:hint="cs"/>
          <w:rtl/>
        </w:rPr>
        <w:t>يبلغ الرصيد النقدي للمنظمة 474.5 مليون فرنك سويسري في 31 ديسمبر 2014 مقارنة بمبلغ 409.9 مليون فرنك سويسري في 31 ديسمبر 2013. وتزداد مجموع الأرصدة النقدية منذ عام 2011.</w:t>
      </w:r>
      <w:r w:rsidR="007B2EEC" w:rsidRPr="00E80DAB">
        <w:rPr>
          <w:rFonts w:hint="cs"/>
          <w:rtl/>
        </w:rPr>
        <w:t xml:space="preserve"> وتعزى الزيادة البالغة 64.6 مليون فرنك سويسري بين عامي 2013 و2014 أساساً إلى مستوى تسلم مبالغ نقدية عن رسوم نظام معاهدة التعاون بشأن البراءات خلال العام. وشهد رصيد الحسابات الجارية المملوكة لحساب الغير زيادة قدرها 8.7 مليون فنك سويسري، وسجلت إيداعات اتحاد مدريد زيادة قدرها 8.4 مليون فرنك سويسري (تصنَّف إما كتحويلات مستحقة الدفع أو مدفوعات مقدمة).</w:t>
      </w:r>
    </w:p>
    <w:p w14:paraId="471324E3" w14:textId="0FF88F76" w:rsidR="00294F90" w:rsidRPr="00E80DAB" w:rsidRDefault="007B2EEC" w:rsidP="00E80DAB">
      <w:pPr>
        <w:pStyle w:val="NumberedParaAR"/>
      </w:pPr>
      <w:r w:rsidRPr="00E80DAB">
        <w:rPr>
          <w:rFonts w:hint="cs"/>
          <w:rtl/>
        </w:rPr>
        <w:lastRenderedPageBreak/>
        <w:t xml:space="preserve">وفي البيانات المالية (انظر الملاحظة 3)، </w:t>
      </w:r>
      <w:r w:rsidR="00294F90" w:rsidRPr="00E80DAB">
        <w:rPr>
          <w:rFonts w:hint="cs"/>
          <w:rtl/>
        </w:rPr>
        <w:t xml:space="preserve">تقسم الأموال المقيدة بين الأموال المقيدة وغير المقيدة. وتشمل الأموال المقيدة </w:t>
      </w:r>
      <w:r w:rsidR="00294F90" w:rsidRPr="00E80DAB">
        <w:rPr>
          <w:rtl/>
        </w:rPr>
        <w:t xml:space="preserve">الأموال المحتفظ بها للغير لأغراض تسجيل العلامات التجارية </w:t>
      </w:r>
      <w:r w:rsidR="00294F90" w:rsidRPr="00E80DAB">
        <w:rPr>
          <w:rFonts w:hint="cs"/>
          <w:rtl/>
        </w:rPr>
        <w:t>والتصاميم</w:t>
      </w:r>
      <w:r w:rsidR="00294F90" w:rsidRPr="00E80DAB">
        <w:rPr>
          <w:rtl/>
        </w:rPr>
        <w:t xml:space="preserve"> الصناعية </w:t>
      </w:r>
      <w:r w:rsidR="00294F90" w:rsidRPr="00E80DAB">
        <w:rPr>
          <w:rFonts w:hint="cs"/>
          <w:rtl/>
        </w:rPr>
        <w:t>و</w:t>
      </w:r>
      <w:r w:rsidR="00294F90" w:rsidRPr="00E80DAB">
        <w:rPr>
          <w:rtl/>
        </w:rPr>
        <w:t>الرسوم المحصلة باسم الأطراف المتعاقدة في اتفاق مدريد وبروتوكوله واتفاق لاهاي، وباسم إدارات البحث الدولي في إطار معاهدة التعاون بشأن البراءات</w:t>
      </w:r>
      <w:r w:rsidR="00294F90" w:rsidRPr="00E80DAB">
        <w:rPr>
          <w:rFonts w:hint="cs"/>
          <w:rtl/>
        </w:rPr>
        <w:t xml:space="preserve">. </w:t>
      </w:r>
      <w:r w:rsidR="00294F90" w:rsidRPr="00E80DAB">
        <w:rPr>
          <w:rtl/>
        </w:rPr>
        <w:t xml:space="preserve">وتضاف إلى ذلك الودائع المستلمة في إطار الإجراءات الجارية بشأن العلامات التجارية، خلاف القسط الذي يقدر كمبالغ استلمتها المنظمة قبل استحقاقها، وهي تمثل أموالاً محصلة باسم </w:t>
      </w:r>
      <w:r w:rsidR="00294F90" w:rsidRPr="00E80DAB">
        <w:rPr>
          <w:rFonts w:hint="cs"/>
          <w:rtl/>
        </w:rPr>
        <w:t>جهات مانحة لمساهمات طوعية</w:t>
      </w:r>
      <w:r w:rsidR="00294F90" w:rsidRPr="00E80DAB">
        <w:rPr>
          <w:rtl/>
        </w:rPr>
        <w:t xml:space="preserve"> وتعتبر أموالا مقيّدة.</w:t>
      </w:r>
    </w:p>
    <w:p w14:paraId="4DA45438" w14:textId="29E95D6F" w:rsidR="00294F90" w:rsidRPr="00E80DAB" w:rsidRDefault="00294F90" w:rsidP="00E80DAB">
      <w:pPr>
        <w:pStyle w:val="NumberedParaAR"/>
      </w:pPr>
      <w:r w:rsidRPr="00E80DAB">
        <w:rPr>
          <w:rFonts w:hint="cs"/>
          <w:rtl/>
        </w:rPr>
        <w:t xml:space="preserve">وخلال عام 2014، أجرت المنظمة تحويلاً مالياً قدره 85.2 مليون فرنك سويسري إلى حساب مصرفي مستقل أنشئ لحفظ الأموال المخصصة لتمويل </w:t>
      </w:r>
      <w:r w:rsidR="00EA0CD6" w:rsidRPr="00E80DAB">
        <w:rPr>
          <w:rFonts w:hint="cs"/>
          <w:rtl/>
        </w:rPr>
        <w:t>مستحقات</w:t>
      </w:r>
      <w:r w:rsidRPr="00E80DAB">
        <w:rPr>
          <w:rFonts w:hint="cs"/>
          <w:rtl/>
        </w:rPr>
        <w:t xml:space="preserve"> الموظفين في فتر</w:t>
      </w:r>
      <w:r w:rsidR="00EB1BC3" w:rsidRPr="00E80DAB">
        <w:rPr>
          <w:rFonts w:hint="cs"/>
          <w:rtl/>
        </w:rPr>
        <w:t>ة ما بعد الخدمة في المستقبل. ويصنَّف رصيد هذا الحساب في 31 ديسمبر 2014 كأموال مقيدة.</w:t>
      </w:r>
    </w:p>
    <w:p w14:paraId="086FB87F" w14:textId="0F989A6B" w:rsidR="00EB1BC3" w:rsidRPr="00E80DAB" w:rsidRDefault="00EB1BC3" w:rsidP="00EB1BC3">
      <w:pPr>
        <w:pStyle w:val="NumberedParaAR"/>
        <w:keepNext/>
        <w:numPr>
          <w:ilvl w:val="0"/>
          <w:numId w:val="0"/>
        </w:numPr>
        <w:jc w:val="center"/>
        <w:rPr>
          <w:u w:val="single"/>
          <w:rtl/>
        </w:rPr>
      </w:pPr>
      <w:r w:rsidRPr="00E80DAB">
        <w:rPr>
          <w:rFonts w:hint="cs"/>
          <w:u w:val="single"/>
          <w:rtl/>
        </w:rPr>
        <w:t>الأرصدة النقدية المقيدة وغير المقيدة في 2010-2014</w:t>
      </w:r>
    </w:p>
    <w:p w14:paraId="6C68A654" w14:textId="75899BE4" w:rsidR="00EB1BC3" w:rsidRDefault="009D5FCD" w:rsidP="00EB1BC3">
      <w:pPr>
        <w:pStyle w:val="NumberedParaAR"/>
        <w:numPr>
          <w:ilvl w:val="0"/>
          <w:numId w:val="0"/>
        </w:numPr>
        <w:spacing w:line="240" w:lineRule="auto"/>
        <w:jc w:val="center"/>
        <w:rPr>
          <w:sz w:val="40"/>
          <w:szCs w:val="40"/>
          <w:rtl/>
        </w:rPr>
      </w:pPr>
      <w:r>
        <w:rPr>
          <w:noProof/>
          <w:sz w:val="40"/>
          <w:szCs w:val="40"/>
        </w:rPr>
        <w:drawing>
          <wp:inline distT="0" distB="0" distL="0" distR="0" wp14:anchorId="4E42D353" wp14:editId="10CBCD24">
            <wp:extent cx="5547995" cy="3682365"/>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547995" cy="3682365"/>
                    </a:xfrm>
                    <a:prstGeom prst="rect">
                      <a:avLst/>
                    </a:prstGeom>
                    <a:noFill/>
                  </pic:spPr>
                </pic:pic>
              </a:graphicData>
            </a:graphic>
          </wp:inline>
        </w:drawing>
      </w:r>
    </w:p>
    <w:p w14:paraId="524B4FEA" w14:textId="7D0B065A" w:rsidR="004016B2" w:rsidRPr="00E80DAB" w:rsidRDefault="00EB1BC3" w:rsidP="004016B2">
      <w:pPr>
        <w:pStyle w:val="NumberedParaAR"/>
      </w:pPr>
      <w:r w:rsidRPr="00E80DAB">
        <w:rPr>
          <w:rFonts w:hint="cs"/>
          <w:rtl/>
        </w:rPr>
        <w:t>و</w:t>
      </w:r>
      <w:r w:rsidR="0035051B" w:rsidRPr="00E80DAB">
        <w:rPr>
          <w:rtl/>
        </w:rPr>
        <w:t>كما ذكر أعلاه في تحليل القروض، من المقرر منظمة</w:t>
      </w:r>
      <w:r w:rsidRPr="00E80DAB">
        <w:rPr>
          <w:rFonts w:hint="cs"/>
          <w:rtl/>
        </w:rPr>
        <w:t xml:space="preserve"> أن تبدأ المنظمة في</w:t>
      </w:r>
      <w:r w:rsidR="004D4334" w:rsidRPr="00E80DAB">
        <w:rPr>
          <w:rFonts w:hint="cs"/>
          <w:rtl/>
        </w:rPr>
        <w:t xml:space="preserve"> </w:t>
      </w:r>
      <w:r w:rsidRPr="00E80DAB">
        <w:rPr>
          <w:rFonts w:hint="cs"/>
          <w:rtl/>
        </w:rPr>
        <w:t>عام 2015</w:t>
      </w:r>
      <w:r w:rsidR="0035051B" w:rsidRPr="00E80DAB">
        <w:rPr>
          <w:rtl/>
        </w:rPr>
        <w:t xml:space="preserve"> </w:t>
      </w:r>
      <w:r w:rsidRPr="00E80DAB">
        <w:rPr>
          <w:rFonts w:hint="cs"/>
          <w:rtl/>
        </w:rPr>
        <w:t>ب</w:t>
      </w:r>
      <w:r w:rsidR="005A62A7" w:rsidRPr="00E80DAB">
        <w:rPr>
          <w:rtl/>
        </w:rPr>
        <w:t xml:space="preserve">تسديد </w:t>
      </w:r>
      <w:r w:rsidR="005A62A7" w:rsidRPr="00E80DAB">
        <w:rPr>
          <w:rFonts w:hint="cs"/>
          <w:rtl/>
        </w:rPr>
        <w:t xml:space="preserve">أقساط قرض بنك كانتون جنيف وبنك كانتون فو لإنشاء المبنى الجديد. </w:t>
      </w:r>
      <w:r w:rsidR="00AF5747" w:rsidRPr="00E80DAB">
        <w:rPr>
          <w:rFonts w:hint="cs"/>
          <w:rtl/>
        </w:rPr>
        <w:t>ولا شك في أن الدفعة الأولى البالغة 24.0 مليون فرنك سويسري المقرر تسديدها في نوفمبر 2015 ستؤثر تأثيراً ملحوظاً في رصيد المنظمة النقدي في نهاية 2015.</w:t>
      </w:r>
    </w:p>
    <w:p w14:paraId="791A325D" w14:textId="1E896437" w:rsidR="00AF5747" w:rsidRPr="00E80DAB" w:rsidRDefault="00AF5747" w:rsidP="00D279CC">
      <w:pPr>
        <w:pStyle w:val="NumberedParaAR"/>
      </w:pPr>
      <w:r w:rsidRPr="00E80DAB">
        <w:rPr>
          <w:rFonts w:hint="cs"/>
          <w:rtl/>
        </w:rPr>
        <w:t xml:space="preserve">وتمثل التدفقات النقدية الرئيسية للمنظمة المدفوعات المتعلقة بأنشطة نظام معاهدة التعاون بشأن البراءات. وبلغ متوسط التدفقات النقدية الشهرية لأنشطة نظام التعاون بشأن البراءات 24.6 مليون فرنك سويسري خلال عام 2014 مقارنة بمبلغ 21.1 مليون فرنك سويسري خلال عام 2013، بينما بلغ متوسط التدفقات النقدية الشهرية من المصار الأخرى 7.0 ملايين فرنك سويسري خلال عام 2014 مقارنة بمبلغ 7.3 مليون فرنك سويسري خلال عام 2013. وكما يتضح من الجدولين الواردين في الصفحة التالية، سُجلت تغييرات ملحوظة في التدفقات النقدية بحسب الأشهر. إذ كانت التدفقات من أنشطة نظام معاهدة التعاون بشأن البراءات أعلى بكثير في أبريل ومايو 2014 نظراً إلى تحصيل مستحقات الطلبات المودعة </w:t>
      </w:r>
      <w:r w:rsidRPr="00E80DAB">
        <w:rPr>
          <w:rFonts w:hint="cs"/>
          <w:rtl/>
        </w:rPr>
        <w:lastRenderedPageBreak/>
        <w:t>في عام 2013 إضافة إلى زيادة مستويات الإيداع في مارس 2014.</w:t>
      </w:r>
      <w:r w:rsidR="00D279CC" w:rsidRPr="00E80DAB">
        <w:rPr>
          <w:rFonts w:hint="cs"/>
          <w:rtl/>
        </w:rPr>
        <w:t xml:space="preserve"> وكانت التدفقات في يوليو 2014 دون المتوسط نظراً إلى عدم تحصيل مدفوعات خلال ذلك الشهر من مكتبي تسلم الطلبات.</w:t>
      </w:r>
    </w:p>
    <w:p w14:paraId="3154D558" w14:textId="64AF77CC" w:rsidR="00D279CC" w:rsidRPr="00E80DAB" w:rsidRDefault="00D279CC" w:rsidP="00D279CC">
      <w:pPr>
        <w:pStyle w:val="NumberedParaAR"/>
        <w:keepNext/>
        <w:numPr>
          <w:ilvl w:val="0"/>
          <w:numId w:val="0"/>
        </w:numPr>
        <w:jc w:val="center"/>
        <w:rPr>
          <w:u w:val="single"/>
          <w:rtl/>
        </w:rPr>
      </w:pPr>
      <w:r w:rsidRPr="00E80DAB">
        <w:rPr>
          <w:rFonts w:hint="cs"/>
          <w:u w:val="single"/>
          <w:rtl/>
        </w:rPr>
        <w:t>التدفقات النقدية الشهرية في عام 2014</w:t>
      </w:r>
    </w:p>
    <w:p w14:paraId="38C052EC" w14:textId="77777777" w:rsidR="00D279CC" w:rsidRPr="00E80DAB" w:rsidRDefault="00DA3DC5" w:rsidP="00D279CC">
      <w:pPr>
        <w:pStyle w:val="NumberedParaAR"/>
        <w:numPr>
          <w:ilvl w:val="0"/>
          <w:numId w:val="0"/>
        </w:numPr>
        <w:spacing w:line="240" w:lineRule="auto"/>
        <w:jc w:val="center"/>
        <w:rPr>
          <w:u w:val="single"/>
          <w:rtl/>
        </w:rPr>
      </w:pPr>
      <w:r w:rsidRPr="00E80DAB">
        <w:rPr>
          <w:noProof/>
          <w:u w:val="single"/>
        </w:rPr>
        <w:drawing>
          <wp:inline distT="0" distB="0" distL="0" distR="0" wp14:anchorId="111CA7B5" wp14:editId="5A8F7945">
            <wp:extent cx="5281574" cy="3262709"/>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81574" cy="3262709"/>
                    </a:xfrm>
                    <a:prstGeom prst="rect">
                      <a:avLst/>
                    </a:prstGeom>
                    <a:noFill/>
                  </pic:spPr>
                </pic:pic>
              </a:graphicData>
            </a:graphic>
          </wp:inline>
        </w:drawing>
      </w:r>
    </w:p>
    <w:p w14:paraId="23CD2CC7" w14:textId="759FEF1A" w:rsidR="00D279CC" w:rsidRPr="00E80DAB" w:rsidRDefault="00D279CC" w:rsidP="00D279CC">
      <w:pPr>
        <w:pStyle w:val="NumberedParaAR"/>
        <w:keepNext/>
        <w:numPr>
          <w:ilvl w:val="0"/>
          <w:numId w:val="0"/>
        </w:numPr>
        <w:jc w:val="center"/>
        <w:rPr>
          <w:u w:val="single"/>
        </w:rPr>
      </w:pPr>
      <w:r w:rsidRPr="00E80DAB">
        <w:rPr>
          <w:rFonts w:hint="cs"/>
          <w:u w:val="single"/>
          <w:rtl/>
        </w:rPr>
        <w:t>التدفقات النقدية الشهرية في عام 2013</w:t>
      </w:r>
    </w:p>
    <w:p w14:paraId="1CF5FBE4" w14:textId="3B4A3A56" w:rsidR="00D279CC" w:rsidRPr="00DA3DC5" w:rsidRDefault="00DA3DC5" w:rsidP="00D279CC">
      <w:pPr>
        <w:pStyle w:val="NumberedParaAR"/>
        <w:numPr>
          <w:ilvl w:val="0"/>
          <w:numId w:val="0"/>
        </w:numPr>
        <w:spacing w:line="240" w:lineRule="auto"/>
        <w:jc w:val="center"/>
        <w:rPr>
          <w:sz w:val="40"/>
          <w:szCs w:val="40"/>
          <w:u w:val="single"/>
        </w:rPr>
      </w:pPr>
      <w:r>
        <w:rPr>
          <w:noProof/>
          <w:sz w:val="40"/>
          <w:szCs w:val="40"/>
          <w:u w:val="single"/>
        </w:rPr>
        <w:drawing>
          <wp:inline distT="0" distB="0" distL="0" distR="0" wp14:anchorId="6894EBC9" wp14:editId="5504FC27">
            <wp:extent cx="5292090" cy="3194685"/>
            <wp:effectExtent l="0" t="0" r="3810" b="5715"/>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92090" cy="3194685"/>
                    </a:xfrm>
                    <a:prstGeom prst="rect">
                      <a:avLst/>
                    </a:prstGeom>
                    <a:noFill/>
                  </pic:spPr>
                </pic:pic>
              </a:graphicData>
            </a:graphic>
          </wp:inline>
        </w:drawing>
      </w:r>
    </w:p>
    <w:p w14:paraId="09F53002" w14:textId="77777777" w:rsidR="00E16243" w:rsidRPr="005A11C9" w:rsidRDefault="00E16243" w:rsidP="00E80DAB">
      <w:pPr>
        <w:pStyle w:val="Heading1"/>
        <w:pageBreakBefore/>
        <w:bidi/>
        <w:spacing w:before="0"/>
        <w:jc w:val="center"/>
        <w:rPr>
          <w:rFonts w:ascii="Arabic Typesetting" w:hAnsi="Arabic Typesetting" w:cs="Arabic Typesetting"/>
          <w:sz w:val="40"/>
          <w:szCs w:val="40"/>
          <w:rtl/>
        </w:rPr>
      </w:pPr>
      <w:bookmarkStart w:id="7" w:name="_Toc362519088"/>
      <w:r w:rsidRPr="005A11C9">
        <w:rPr>
          <w:rFonts w:ascii="Arabic Typesetting" w:hAnsi="Arabic Typesetting" w:cs="Arabic Typesetting" w:hint="cs"/>
          <w:sz w:val="40"/>
          <w:szCs w:val="40"/>
          <w:rtl/>
        </w:rPr>
        <w:lastRenderedPageBreak/>
        <w:t>البيان المالي الأول</w:t>
      </w:r>
      <w:bookmarkEnd w:id="7"/>
    </w:p>
    <w:p w14:paraId="1E3F78F9" w14:textId="77777777" w:rsidR="00E16243" w:rsidRPr="00780749" w:rsidRDefault="00E16243" w:rsidP="00D91942">
      <w:pPr>
        <w:pStyle w:val="Heading1"/>
        <w:bidi/>
        <w:spacing w:before="0"/>
        <w:jc w:val="center"/>
        <w:rPr>
          <w:rFonts w:ascii="Arabic Typesetting" w:hAnsi="Arabic Typesetting" w:cs="Arabic Typesetting"/>
          <w:sz w:val="40"/>
          <w:szCs w:val="40"/>
          <w:rtl/>
        </w:rPr>
      </w:pPr>
      <w:bookmarkStart w:id="8" w:name="_Toc362519089"/>
      <w:r w:rsidRPr="00780749">
        <w:rPr>
          <w:rFonts w:ascii="Arabic Typesetting" w:hAnsi="Arabic Typesetting" w:cs="Arabic Typesetting" w:hint="cs"/>
          <w:sz w:val="40"/>
          <w:szCs w:val="40"/>
          <w:rtl/>
        </w:rPr>
        <w:t>بيان الوضع المالي</w:t>
      </w:r>
      <w:bookmarkEnd w:id="8"/>
    </w:p>
    <w:p w14:paraId="04109D6F" w14:textId="44572619" w:rsidR="00E16243" w:rsidRPr="00E80DAB" w:rsidRDefault="00E16243" w:rsidP="00E80DAB">
      <w:pPr>
        <w:pStyle w:val="Heading1"/>
        <w:bidi/>
        <w:spacing w:before="0"/>
        <w:jc w:val="center"/>
        <w:rPr>
          <w:rFonts w:ascii="Arabic Typesetting" w:hAnsi="Arabic Typesetting" w:cs="Arabic Typesetting"/>
          <w:sz w:val="40"/>
          <w:szCs w:val="40"/>
          <w:rtl/>
        </w:rPr>
      </w:pPr>
      <w:r w:rsidRPr="00E80DAB">
        <w:rPr>
          <w:rFonts w:ascii="Arabic Typesetting" w:hAnsi="Arabic Typesetting" w:cs="Arabic Typesetting" w:hint="cs"/>
          <w:sz w:val="40"/>
          <w:szCs w:val="40"/>
          <w:rtl/>
        </w:rPr>
        <w:t xml:space="preserve">في 31 ديسمبر </w:t>
      </w:r>
      <w:r w:rsidR="00D279CC" w:rsidRPr="00E80DAB">
        <w:rPr>
          <w:rFonts w:ascii="Arabic Typesetting" w:hAnsi="Arabic Typesetting" w:cs="Arabic Typesetting" w:hint="cs"/>
          <w:sz w:val="40"/>
          <w:szCs w:val="40"/>
          <w:rtl/>
        </w:rPr>
        <w:t>2014</w:t>
      </w:r>
    </w:p>
    <w:p w14:paraId="0C746EEA" w14:textId="77777777" w:rsidR="0072027F" w:rsidRPr="00C13126" w:rsidRDefault="0072027F" w:rsidP="00D91942">
      <w:pPr>
        <w:pStyle w:val="NormalParaAR"/>
        <w:keepNext/>
        <w:spacing w:after="60"/>
        <w:jc w:val="center"/>
        <w:rPr>
          <w:b/>
          <w:bCs/>
          <w:i/>
          <w:iCs/>
          <w:rtl/>
        </w:rPr>
      </w:pPr>
      <w:r w:rsidRPr="00C13126">
        <w:rPr>
          <w:rFonts w:hint="cs"/>
          <w:b/>
          <w:bCs/>
          <w:i/>
          <w:iCs/>
          <w:rtl/>
        </w:rPr>
        <w:t>(بآلاف الفرنكات السويسرية)</w:t>
      </w:r>
    </w:p>
    <w:p w14:paraId="69CFB456" w14:textId="58626D5E" w:rsidR="00100DB8" w:rsidRDefault="004E5568" w:rsidP="00E80DAB">
      <w:pPr>
        <w:pStyle w:val="NumberedParaAR"/>
        <w:numPr>
          <w:ilvl w:val="0"/>
          <w:numId w:val="0"/>
        </w:numPr>
        <w:spacing w:line="240" w:lineRule="auto"/>
        <w:jc w:val="center"/>
        <w:rPr>
          <w:b/>
          <w:bCs/>
          <w:rtl/>
        </w:rPr>
      </w:pPr>
      <w:r w:rsidRPr="004E5568">
        <w:rPr>
          <w:noProof/>
        </w:rPr>
        <w:drawing>
          <wp:inline distT="0" distB="0" distL="0" distR="0" wp14:anchorId="6C9A0574" wp14:editId="1694661C">
            <wp:extent cx="5940425" cy="6594472"/>
            <wp:effectExtent l="0" t="0" r="3175"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0425" cy="6594472"/>
                    </a:xfrm>
                    <a:prstGeom prst="rect">
                      <a:avLst/>
                    </a:prstGeom>
                    <a:noFill/>
                    <a:ln>
                      <a:noFill/>
                    </a:ln>
                  </pic:spPr>
                </pic:pic>
              </a:graphicData>
            </a:graphic>
          </wp:inline>
        </w:drawing>
      </w:r>
    </w:p>
    <w:p w14:paraId="60464352" w14:textId="2A326496" w:rsidR="00E16243" w:rsidRPr="00780749" w:rsidRDefault="00E16243" w:rsidP="00E80DAB">
      <w:pPr>
        <w:pStyle w:val="Heading1"/>
        <w:pageBreakBefore/>
        <w:bidi/>
        <w:jc w:val="center"/>
        <w:rPr>
          <w:rFonts w:ascii="Arabic Typesetting" w:hAnsi="Arabic Typesetting" w:cs="Arabic Typesetting"/>
          <w:sz w:val="40"/>
          <w:szCs w:val="40"/>
          <w:rtl/>
        </w:rPr>
      </w:pPr>
      <w:bookmarkStart w:id="9" w:name="_Toc362519090"/>
      <w:r w:rsidRPr="00780749">
        <w:rPr>
          <w:rFonts w:ascii="Arabic Typesetting" w:hAnsi="Arabic Typesetting" w:cs="Arabic Typesetting" w:hint="cs"/>
          <w:sz w:val="40"/>
          <w:szCs w:val="40"/>
          <w:rtl/>
        </w:rPr>
        <w:lastRenderedPageBreak/>
        <w:t>البيان المالي الثاني</w:t>
      </w:r>
      <w:bookmarkEnd w:id="9"/>
    </w:p>
    <w:p w14:paraId="02919934" w14:textId="77777777" w:rsidR="00E16243" w:rsidRPr="00780749" w:rsidRDefault="00E16243" w:rsidP="00F17073">
      <w:pPr>
        <w:pStyle w:val="Heading1"/>
        <w:bidi/>
        <w:spacing w:before="0"/>
        <w:jc w:val="center"/>
        <w:rPr>
          <w:rFonts w:ascii="Arabic Typesetting" w:hAnsi="Arabic Typesetting" w:cs="Arabic Typesetting"/>
          <w:sz w:val="40"/>
          <w:szCs w:val="40"/>
          <w:rtl/>
        </w:rPr>
      </w:pPr>
      <w:bookmarkStart w:id="10" w:name="_Toc362519091"/>
      <w:r w:rsidRPr="00780749">
        <w:rPr>
          <w:rFonts w:ascii="Arabic Typesetting" w:hAnsi="Arabic Typesetting" w:cs="Arabic Typesetting" w:hint="cs"/>
          <w:sz w:val="40"/>
          <w:szCs w:val="40"/>
          <w:rtl/>
        </w:rPr>
        <w:t>بيان الأداء المالي</w:t>
      </w:r>
      <w:bookmarkEnd w:id="10"/>
    </w:p>
    <w:p w14:paraId="26AF0F66" w14:textId="7E220EDD" w:rsidR="00E16243" w:rsidRPr="00E80DAB" w:rsidRDefault="00E16243" w:rsidP="00E80DAB">
      <w:pPr>
        <w:pStyle w:val="Heading1"/>
        <w:bidi/>
        <w:spacing w:before="0"/>
        <w:jc w:val="center"/>
        <w:rPr>
          <w:rFonts w:ascii="Arabic Typesetting" w:hAnsi="Arabic Typesetting" w:cs="Arabic Typesetting"/>
          <w:sz w:val="40"/>
          <w:szCs w:val="40"/>
          <w:rtl/>
        </w:rPr>
      </w:pPr>
      <w:r w:rsidRPr="00E80DAB">
        <w:rPr>
          <w:rFonts w:ascii="Arabic Typesetting" w:hAnsi="Arabic Typesetting" w:cs="Arabic Typesetting" w:hint="cs"/>
          <w:sz w:val="40"/>
          <w:szCs w:val="40"/>
          <w:rtl/>
        </w:rPr>
        <w:t xml:space="preserve">للسنة المنتهية في 31 ديسمبر </w:t>
      </w:r>
      <w:r w:rsidR="00D279CC" w:rsidRPr="00E80DAB">
        <w:rPr>
          <w:rFonts w:ascii="Arabic Typesetting" w:hAnsi="Arabic Typesetting" w:cs="Arabic Typesetting" w:hint="cs"/>
          <w:sz w:val="40"/>
          <w:szCs w:val="40"/>
          <w:rtl/>
        </w:rPr>
        <w:t>2014</w:t>
      </w:r>
    </w:p>
    <w:p w14:paraId="24EE75AE" w14:textId="77777777" w:rsidR="00E16243" w:rsidRPr="00C13126" w:rsidRDefault="00E16243" w:rsidP="00E16243">
      <w:pPr>
        <w:pStyle w:val="NormalParaAR"/>
        <w:spacing w:after="480"/>
        <w:jc w:val="center"/>
        <w:rPr>
          <w:b/>
          <w:bCs/>
          <w:i/>
          <w:iCs/>
          <w:rtl/>
        </w:rPr>
      </w:pPr>
      <w:r w:rsidRPr="00C13126">
        <w:rPr>
          <w:rFonts w:hint="cs"/>
          <w:b/>
          <w:bCs/>
          <w:i/>
          <w:iCs/>
          <w:rtl/>
        </w:rPr>
        <w:t>(بآلاف الفرنكات السويسرية)</w:t>
      </w:r>
    </w:p>
    <w:p w14:paraId="6B255279" w14:textId="47773C02" w:rsidR="001739C3" w:rsidRDefault="004E5568" w:rsidP="00EC4F24">
      <w:pPr>
        <w:pStyle w:val="NormalParaAR"/>
        <w:spacing w:after="480" w:line="240" w:lineRule="auto"/>
        <w:jc w:val="center"/>
        <w:rPr>
          <w:b/>
          <w:bCs/>
          <w:rtl/>
        </w:rPr>
      </w:pPr>
      <w:r w:rsidRPr="004E5568">
        <w:rPr>
          <w:noProof/>
          <w:rtl/>
        </w:rPr>
        <w:drawing>
          <wp:inline distT="0" distB="0" distL="0" distR="0" wp14:anchorId="27A497EA" wp14:editId="0BFAE8EA">
            <wp:extent cx="5940425" cy="5663247"/>
            <wp:effectExtent l="0" t="0" r="3175"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40425" cy="5663247"/>
                    </a:xfrm>
                    <a:prstGeom prst="rect">
                      <a:avLst/>
                    </a:prstGeom>
                    <a:noFill/>
                    <a:ln>
                      <a:noFill/>
                    </a:ln>
                  </pic:spPr>
                </pic:pic>
              </a:graphicData>
            </a:graphic>
          </wp:inline>
        </w:drawing>
      </w:r>
    </w:p>
    <w:p w14:paraId="6FF25677" w14:textId="77777777" w:rsidR="00E16243" w:rsidRPr="00780749" w:rsidRDefault="00E16243" w:rsidP="00E80DAB">
      <w:pPr>
        <w:pStyle w:val="Heading1"/>
        <w:pageBreakBefore/>
        <w:bidi/>
        <w:jc w:val="center"/>
        <w:rPr>
          <w:rFonts w:ascii="Arabic Typesetting" w:hAnsi="Arabic Typesetting" w:cs="Arabic Typesetting"/>
          <w:sz w:val="40"/>
          <w:szCs w:val="40"/>
          <w:rtl/>
        </w:rPr>
      </w:pPr>
      <w:bookmarkStart w:id="11" w:name="_Toc362519092"/>
      <w:r w:rsidRPr="00780749">
        <w:rPr>
          <w:rFonts w:ascii="Arabic Typesetting" w:hAnsi="Arabic Typesetting" w:cs="Arabic Typesetting" w:hint="cs"/>
          <w:sz w:val="40"/>
          <w:szCs w:val="40"/>
          <w:rtl/>
        </w:rPr>
        <w:lastRenderedPageBreak/>
        <w:t>البيان المالي الثالث</w:t>
      </w:r>
      <w:bookmarkEnd w:id="11"/>
    </w:p>
    <w:p w14:paraId="3EEBFEFA" w14:textId="77777777" w:rsidR="00E16243" w:rsidRPr="00780749" w:rsidRDefault="00E16243" w:rsidP="00F17073">
      <w:pPr>
        <w:pStyle w:val="Heading1"/>
        <w:bidi/>
        <w:spacing w:before="0"/>
        <w:jc w:val="center"/>
        <w:rPr>
          <w:rFonts w:ascii="Arabic Typesetting" w:hAnsi="Arabic Typesetting" w:cs="Arabic Typesetting"/>
          <w:sz w:val="40"/>
          <w:szCs w:val="40"/>
          <w:rtl/>
        </w:rPr>
      </w:pPr>
      <w:bookmarkStart w:id="12" w:name="_Toc362519093"/>
      <w:r w:rsidRPr="00780749">
        <w:rPr>
          <w:rFonts w:ascii="Arabic Typesetting" w:hAnsi="Arabic Typesetting" w:cs="Arabic Typesetting" w:hint="cs"/>
          <w:sz w:val="40"/>
          <w:szCs w:val="40"/>
          <w:rtl/>
        </w:rPr>
        <w:t>بيان التغييرات في صافي الأصول</w:t>
      </w:r>
      <w:bookmarkEnd w:id="12"/>
    </w:p>
    <w:p w14:paraId="7EA19E73" w14:textId="6DC34F51" w:rsidR="00E16243" w:rsidRPr="00E80DAB" w:rsidRDefault="00E16243" w:rsidP="00E80DAB">
      <w:pPr>
        <w:pStyle w:val="Heading1"/>
        <w:bidi/>
        <w:spacing w:before="0"/>
        <w:jc w:val="center"/>
        <w:rPr>
          <w:rFonts w:ascii="Arabic Typesetting" w:hAnsi="Arabic Typesetting" w:cs="Arabic Typesetting"/>
          <w:sz w:val="40"/>
          <w:szCs w:val="40"/>
          <w:rtl/>
        </w:rPr>
      </w:pPr>
      <w:r w:rsidRPr="00E80DAB">
        <w:rPr>
          <w:rFonts w:ascii="Arabic Typesetting" w:hAnsi="Arabic Typesetting" w:cs="Arabic Typesetting" w:hint="cs"/>
          <w:sz w:val="40"/>
          <w:szCs w:val="40"/>
          <w:rtl/>
        </w:rPr>
        <w:t xml:space="preserve">للسنة المنتهية في 31 ديسمبر </w:t>
      </w:r>
      <w:r w:rsidR="00D279CC" w:rsidRPr="00E80DAB">
        <w:rPr>
          <w:rFonts w:ascii="Arabic Typesetting" w:hAnsi="Arabic Typesetting" w:cs="Arabic Typesetting" w:hint="cs"/>
          <w:sz w:val="40"/>
          <w:szCs w:val="40"/>
          <w:rtl/>
        </w:rPr>
        <w:t>2014</w:t>
      </w:r>
    </w:p>
    <w:p w14:paraId="1948959F" w14:textId="77777777" w:rsidR="00E16243" w:rsidRPr="00C13126" w:rsidRDefault="00E16243" w:rsidP="0072027F">
      <w:pPr>
        <w:pStyle w:val="NormalParaAR"/>
        <w:keepNext/>
        <w:spacing w:after="480"/>
        <w:jc w:val="center"/>
        <w:rPr>
          <w:b/>
          <w:bCs/>
          <w:i/>
          <w:iCs/>
          <w:rtl/>
        </w:rPr>
      </w:pPr>
      <w:r w:rsidRPr="00C13126">
        <w:rPr>
          <w:rFonts w:hint="cs"/>
          <w:b/>
          <w:bCs/>
          <w:i/>
          <w:iCs/>
          <w:rtl/>
        </w:rPr>
        <w:t>(بآلاف الفرنكات السويسرية)</w:t>
      </w:r>
    </w:p>
    <w:p w14:paraId="10A0A159" w14:textId="32EE2134" w:rsidR="00E16243" w:rsidRPr="00E61187" w:rsidRDefault="004E5568" w:rsidP="004E5568">
      <w:pPr>
        <w:bidi/>
        <w:spacing w:after="240"/>
        <w:jc w:val="center"/>
        <w:rPr>
          <w:rFonts w:ascii="Arabic Typesetting" w:hAnsi="Arabic Typesetting" w:cs="Arabic Typesetting"/>
          <w:sz w:val="36"/>
          <w:szCs w:val="36"/>
          <w:rtl/>
        </w:rPr>
      </w:pPr>
      <w:r w:rsidRPr="004E5568">
        <w:rPr>
          <w:noProof/>
          <w:szCs w:val="22"/>
          <w:rtl/>
        </w:rPr>
        <w:drawing>
          <wp:inline distT="0" distB="0" distL="0" distR="0" wp14:anchorId="29797B93" wp14:editId="45975820">
            <wp:extent cx="5940425" cy="2585832"/>
            <wp:effectExtent l="0" t="0" r="3175" b="508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40425" cy="2585832"/>
                    </a:xfrm>
                    <a:prstGeom prst="rect">
                      <a:avLst/>
                    </a:prstGeom>
                    <a:noFill/>
                    <a:ln>
                      <a:noFill/>
                    </a:ln>
                  </pic:spPr>
                </pic:pic>
              </a:graphicData>
            </a:graphic>
          </wp:inline>
        </w:drawing>
      </w:r>
    </w:p>
    <w:p w14:paraId="7D5A89BA" w14:textId="5CA062D7" w:rsidR="00E16243" w:rsidRPr="002611FA" w:rsidRDefault="00E16243" w:rsidP="00E80DAB">
      <w:pPr>
        <w:pStyle w:val="Heading1"/>
        <w:pageBreakBefore/>
        <w:bidi/>
        <w:jc w:val="center"/>
        <w:rPr>
          <w:rFonts w:ascii="Arabic Typesetting" w:hAnsi="Arabic Typesetting" w:cs="Arabic Typesetting"/>
          <w:sz w:val="40"/>
          <w:szCs w:val="40"/>
          <w:rtl/>
        </w:rPr>
      </w:pPr>
      <w:bookmarkStart w:id="13" w:name="_Toc362519094"/>
      <w:r w:rsidRPr="002611FA">
        <w:rPr>
          <w:rFonts w:ascii="Arabic Typesetting" w:hAnsi="Arabic Typesetting" w:cs="Arabic Typesetting" w:hint="cs"/>
          <w:sz w:val="40"/>
          <w:szCs w:val="40"/>
          <w:rtl/>
        </w:rPr>
        <w:lastRenderedPageBreak/>
        <w:t>البيان المالي الرابع</w:t>
      </w:r>
      <w:bookmarkEnd w:id="13"/>
    </w:p>
    <w:p w14:paraId="15629FD5" w14:textId="77777777" w:rsidR="00E16243" w:rsidRPr="00780749" w:rsidRDefault="00E16243" w:rsidP="00F17073">
      <w:pPr>
        <w:pStyle w:val="Heading1"/>
        <w:bidi/>
        <w:spacing w:before="0"/>
        <w:jc w:val="center"/>
        <w:rPr>
          <w:rFonts w:ascii="Arabic Typesetting" w:hAnsi="Arabic Typesetting" w:cs="Arabic Typesetting"/>
          <w:sz w:val="40"/>
          <w:szCs w:val="40"/>
          <w:rtl/>
        </w:rPr>
      </w:pPr>
      <w:bookmarkStart w:id="14" w:name="_Toc362519095"/>
      <w:r w:rsidRPr="002611FA">
        <w:rPr>
          <w:rFonts w:ascii="Arabic Typesetting" w:hAnsi="Arabic Typesetting" w:cs="Arabic Typesetting" w:hint="cs"/>
          <w:sz w:val="40"/>
          <w:szCs w:val="40"/>
          <w:rtl/>
        </w:rPr>
        <w:t>بيان التدفق النقدي</w:t>
      </w:r>
      <w:bookmarkEnd w:id="14"/>
    </w:p>
    <w:p w14:paraId="039A5A37" w14:textId="1E22A45B" w:rsidR="00E16243" w:rsidRPr="00E80DAB" w:rsidRDefault="00E16243" w:rsidP="00E80DAB">
      <w:pPr>
        <w:pStyle w:val="Heading1"/>
        <w:bidi/>
        <w:spacing w:before="0"/>
        <w:jc w:val="center"/>
        <w:rPr>
          <w:rFonts w:ascii="Arabic Typesetting" w:hAnsi="Arabic Typesetting" w:cs="Arabic Typesetting"/>
          <w:sz w:val="40"/>
          <w:szCs w:val="40"/>
          <w:rtl/>
        </w:rPr>
      </w:pPr>
      <w:r w:rsidRPr="00E80DAB">
        <w:rPr>
          <w:rFonts w:ascii="Arabic Typesetting" w:hAnsi="Arabic Typesetting" w:cs="Arabic Typesetting" w:hint="cs"/>
          <w:sz w:val="40"/>
          <w:szCs w:val="40"/>
          <w:rtl/>
        </w:rPr>
        <w:t xml:space="preserve">للسنة المنتهية في 31 ديسمبر </w:t>
      </w:r>
      <w:r w:rsidR="00D279CC" w:rsidRPr="00E80DAB">
        <w:rPr>
          <w:rFonts w:ascii="Arabic Typesetting" w:hAnsi="Arabic Typesetting" w:cs="Arabic Typesetting" w:hint="cs"/>
          <w:sz w:val="40"/>
          <w:szCs w:val="40"/>
          <w:rtl/>
        </w:rPr>
        <w:t>2014</w:t>
      </w:r>
    </w:p>
    <w:p w14:paraId="5383AD6C" w14:textId="77777777" w:rsidR="00E16243" w:rsidRPr="00C13126" w:rsidRDefault="00E16243" w:rsidP="001051A8">
      <w:pPr>
        <w:pStyle w:val="NormalParaAR"/>
        <w:spacing w:after="120"/>
        <w:jc w:val="center"/>
        <w:rPr>
          <w:b/>
          <w:bCs/>
          <w:i/>
          <w:iCs/>
          <w:rtl/>
        </w:rPr>
      </w:pPr>
      <w:r w:rsidRPr="00C13126">
        <w:rPr>
          <w:rFonts w:hint="cs"/>
          <w:b/>
          <w:bCs/>
          <w:i/>
          <w:iCs/>
          <w:rtl/>
        </w:rPr>
        <w:t>(بآلاف الفرنكات السويسرية)</w:t>
      </w:r>
    </w:p>
    <w:p w14:paraId="7DA0DFF9" w14:textId="0B2E7CA5" w:rsidR="00C649DF" w:rsidRDefault="002238B5" w:rsidP="00C430F9">
      <w:pPr>
        <w:pStyle w:val="NormalParaAR"/>
        <w:spacing w:after="480" w:line="240" w:lineRule="auto"/>
        <w:jc w:val="center"/>
        <w:rPr>
          <w:b/>
          <w:bCs/>
          <w:rtl/>
        </w:rPr>
      </w:pPr>
      <w:r w:rsidRPr="002238B5">
        <w:rPr>
          <w:noProof/>
          <w:rtl/>
        </w:rPr>
        <w:drawing>
          <wp:inline distT="0" distB="0" distL="0" distR="0" wp14:anchorId="52952798" wp14:editId="142F117F">
            <wp:extent cx="5940425" cy="6256069"/>
            <wp:effectExtent l="0" t="0" r="317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40425" cy="6256069"/>
                    </a:xfrm>
                    <a:prstGeom prst="rect">
                      <a:avLst/>
                    </a:prstGeom>
                    <a:noFill/>
                    <a:ln>
                      <a:noFill/>
                    </a:ln>
                  </pic:spPr>
                </pic:pic>
              </a:graphicData>
            </a:graphic>
          </wp:inline>
        </w:drawing>
      </w:r>
    </w:p>
    <w:p w14:paraId="1FBD4833" w14:textId="2BFAF227" w:rsidR="00E16243" w:rsidRPr="008040C3" w:rsidRDefault="00E16243" w:rsidP="00D279CC">
      <w:pPr>
        <w:bidi/>
        <w:spacing w:after="240"/>
        <w:rPr>
          <w:rFonts w:ascii="Arabic Typesetting" w:hAnsi="Arabic Typesetting" w:cs="Arabic Typesetting"/>
          <w:sz w:val="30"/>
          <w:szCs w:val="30"/>
          <w:rtl/>
          <w:lang w:bidi="ar-EG"/>
        </w:rPr>
      </w:pPr>
      <w:r w:rsidRPr="008040C3">
        <w:rPr>
          <w:rFonts w:ascii="Arabic Typesetting" w:hAnsi="Arabic Typesetting" w:cs="Arabic Typesetting" w:hint="cs"/>
          <w:sz w:val="30"/>
          <w:szCs w:val="30"/>
          <w:rtl/>
          <w:lang w:bidi="ar-EG"/>
        </w:rPr>
        <w:t>(1) باستثناء الفائدة المكتسب</w:t>
      </w:r>
      <w:r w:rsidR="00D279CC">
        <w:rPr>
          <w:rFonts w:ascii="Arabic Typesetting" w:hAnsi="Arabic Typesetting" w:cs="Arabic Typesetting" w:hint="cs"/>
          <w:sz w:val="30"/>
          <w:szCs w:val="30"/>
          <w:rtl/>
          <w:lang w:bidi="ar-EG"/>
        </w:rPr>
        <w:t>ة والفائدة المدفوعة على القروض وأثر تغير سعر الصرف على السيولة وما يعادلها. و</w:t>
      </w:r>
      <w:r w:rsidRPr="008040C3">
        <w:rPr>
          <w:rFonts w:ascii="Arabic Typesetting" w:hAnsi="Arabic Typesetting" w:cs="Arabic Typesetting" w:hint="cs"/>
          <w:sz w:val="30"/>
          <w:szCs w:val="30"/>
          <w:rtl/>
          <w:lang w:bidi="ar-EG"/>
        </w:rPr>
        <w:t>الفائدة المكتسبة متضمنة في إيرادات الاستثمار (انظر الملاحظة 23). وللاطلاع على تفاصيل الفائدة المدفوعة على القروض، انظر الملاحظة 15.</w:t>
      </w:r>
      <w:r w:rsidR="00D279CC">
        <w:rPr>
          <w:rFonts w:ascii="Arabic Typesetting" w:hAnsi="Arabic Typesetting" w:cs="Arabic Typesetting" w:hint="cs"/>
          <w:sz w:val="30"/>
          <w:szCs w:val="30"/>
          <w:rtl/>
          <w:lang w:bidi="ar-EG"/>
        </w:rPr>
        <w:t xml:space="preserve"> وللاطلاع على أثر تغير سعر الصرف على السيولة وما يعادلها، انظر الملاحظة 26.</w:t>
      </w:r>
    </w:p>
    <w:p w14:paraId="3B878001" w14:textId="0595515D" w:rsidR="00E16243" w:rsidRPr="00780749" w:rsidRDefault="00E16243" w:rsidP="00E80DAB">
      <w:pPr>
        <w:pStyle w:val="Heading1"/>
        <w:pageBreakBefore/>
        <w:bidi/>
        <w:jc w:val="center"/>
        <w:rPr>
          <w:rFonts w:ascii="Arabic Typesetting" w:hAnsi="Arabic Typesetting" w:cs="Arabic Typesetting"/>
          <w:sz w:val="40"/>
          <w:szCs w:val="40"/>
          <w:rtl/>
        </w:rPr>
      </w:pPr>
      <w:bookmarkStart w:id="15" w:name="_Toc362519096"/>
      <w:r w:rsidRPr="00780749">
        <w:rPr>
          <w:rFonts w:ascii="Arabic Typesetting" w:hAnsi="Arabic Typesetting" w:cs="Arabic Typesetting" w:hint="cs"/>
          <w:sz w:val="40"/>
          <w:szCs w:val="40"/>
          <w:rtl/>
        </w:rPr>
        <w:lastRenderedPageBreak/>
        <w:t>البيان المالي الخامس</w:t>
      </w:r>
      <w:bookmarkEnd w:id="15"/>
    </w:p>
    <w:p w14:paraId="64925DA7" w14:textId="77777777" w:rsidR="00E55E23" w:rsidRDefault="00E16243" w:rsidP="00397533">
      <w:pPr>
        <w:pStyle w:val="Heading1"/>
        <w:bidi/>
        <w:spacing w:before="0"/>
        <w:jc w:val="center"/>
        <w:rPr>
          <w:rFonts w:ascii="Arabic Typesetting" w:hAnsi="Arabic Typesetting" w:cs="Arabic Typesetting"/>
          <w:sz w:val="40"/>
          <w:szCs w:val="40"/>
          <w:rtl/>
        </w:rPr>
      </w:pPr>
      <w:bookmarkStart w:id="16" w:name="_Toc362519097"/>
      <w:r w:rsidRPr="00780749">
        <w:rPr>
          <w:rFonts w:ascii="Arabic Typesetting" w:hAnsi="Arabic Typesetting" w:cs="Arabic Typesetting" w:hint="cs"/>
          <w:sz w:val="40"/>
          <w:szCs w:val="40"/>
          <w:rtl/>
        </w:rPr>
        <w:t xml:space="preserve">بيان مقارنة المبالغ المدرجة في الميزانية والمبالغ </w:t>
      </w:r>
      <w:r w:rsidR="00397533" w:rsidRPr="00780749">
        <w:rPr>
          <w:rFonts w:ascii="Arabic Typesetting" w:hAnsi="Arabic Typesetting" w:cs="Arabic Typesetting" w:hint="cs"/>
          <w:sz w:val="40"/>
          <w:szCs w:val="40"/>
          <w:rtl/>
        </w:rPr>
        <w:t>الفعلية</w:t>
      </w:r>
      <w:r w:rsidR="00397533" w:rsidRPr="00780749">
        <w:rPr>
          <w:rFonts w:ascii="Arabic Typesetting" w:hAnsi="Arabic Typesetting" w:cs="Arabic Typesetting"/>
          <w:sz w:val="40"/>
          <w:szCs w:val="40"/>
          <w:rtl/>
        </w:rPr>
        <w:t xml:space="preserve"> </w:t>
      </w:r>
      <w:r w:rsidRPr="00780749">
        <w:rPr>
          <w:rFonts w:ascii="Arabic Typesetting" w:hAnsi="Arabic Typesetting" w:cs="Arabic Typesetting"/>
          <w:sz w:val="40"/>
          <w:szCs w:val="40"/>
          <w:rtl/>
        </w:rPr>
        <w:t>–</w:t>
      </w:r>
      <w:r w:rsidRPr="00780749">
        <w:rPr>
          <w:rFonts w:ascii="Arabic Typesetting" w:hAnsi="Arabic Typesetting" w:cs="Arabic Typesetting" w:hint="cs"/>
          <w:sz w:val="40"/>
          <w:szCs w:val="40"/>
          <w:rtl/>
        </w:rPr>
        <w:t xml:space="preserve"> الإيرادات</w:t>
      </w:r>
      <w:bookmarkEnd w:id="16"/>
    </w:p>
    <w:p w14:paraId="2277CAA9" w14:textId="7A1A789F" w:rsidR="00E16243" w:rsidRPr="00E80DAB" w:rsidRDefault="00E16243" w:rsidP="00E80DAB">
      <w:pPr>
        <w:pStyle w:val="Heading1"/>
        <w:bidi/>
        <w:spacing w:before="0"/>
        <w:jc w:val="center"/>
        <w:rPr>
          <w:rFonts w:ascii="Arabic Typesetting" w:hAnsi="Arabic Typesetting" w:cs="Arabic Typesetting"/>
          <w:sz w:val="40"/>
          <w:szCs w:val="40"/>
          <w:rtl/>
        </w:rPr>
      </w:pPr>
      <w:r w:rsidRPr="00E80DAB">
        <w:rPr>
          <w:rFonts w:ascii="Arabic Typesetting" w:hAnsi="Arabic Typesetting" w:cs="Arabic Typesetting" w:hint="cs"/>
          <w:sz w:val="40"/>
          <w:szCs w:val="40"/>
          <w:rtl/>
        </w:rPr>
        <w:t xml:space="preserve">للسنة المنتهية في 31 ديسمبر </w:t>
      </w:r>
      <w:r w:rsidR="00D279CC" w:rsidRPr="00E80DAB">
        <w:rPr>
          <w:rFonts w:ascii="Arabic Typesetting" w:hAnsi="Arabic Typesetting" w:cs="Arabic Typesetting" w:hint="cs"/>
          <w:sz w:val="40"/>
          <w:szCs w:val="40"/>
          <w:rtl/>
        </w:rPr>
        <w:t>2014</w:t>
      </w:r>
    </w:p>
    <w:p w14:paraId="68A6839E" w14:textId="77777777" w:rsidR="00E16243" w:rsidRPr="00C13126" w:rsidRDefault="00E16243" w:rsidP="00E80DAB">
      <w:pPr>
        <w:pStyle w:val="NormalParaAR"/>
        <w:keepNext/>
        <w:spacing w:after="480"/>
        <w:jc w:val="center"/>
        <w:rPr>
          <w:b/>
          <w:bCs/>
          <w:i/>
          <w:iCs/>
          <w:rtl/>
        </w:rPr>
      </w:pPr>
      <w:r w:rsidRPr="00C13126">
        <w:rPr>
          <w:rFonts w:hint="cs"/>
          <w:b/>
          <w:bCs/>
          <w:i/>
          <w:iCs/>
          <w:rtl/>
        </w:rPr>
        <w:t>(بآلاف الفرنكات السويسرية)</w:t>
      </w:r>
    </w:p>
    <w:p w14:paraId="57143683" w14:textId="76A7C0B7" w:rsidR="00E16243" w:rsidRPr="00C76216" w:rsidRDefault="002238B5" w:rsidP="00C430F9">
      <w:pPr>
        <w:bidi/>
        <w:spacing w:after="240"/>
        <w:jc w:val="center"/>
        <w:rPr>
          <w:rFonts w:ascii="Arabic Typesetting" w:hAnsi="Arabic Typesetting" w:cs="Arabic Typesetting"/>
          <w:sz w:val="36"/>
          <w:szCs w:val="36"/>
          <w:rtl/>
          <w:lang w:bidi="ar-EG"/>
        </w:rPr>
      </w:pPr>
      <w:r w:rsidRPr="002238B5">
        <w:rPr>
          <w:noProof/>
          <w:szCs w:val="22"/>
          <w:rtl/>
        </w:rPr>
        <w:drawing>
          <wp:inline distT="0" distB="0" distL="0" distR="0" wp14:anchorId="62EFE9FC" wp14:editId="4360890A">
            <wp:extent cx="5940425" cy="3233474"/>
            <wp:effectExtent l="0" t="0" r="3175" b="508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40425" cy="3233474"/>
                    </a:xfrm>
                    <a:prstGeom prst="rect">
                      <a:avLst/>
                    </a:prstGeom>
                    <a:noFill/>
                    <a:ln>
                      <a:noFill/>
                    </a:ln>
                  </pic:spPr>
                </pic:pic>
              </a:graphicData>
            </a:graphic>
          </wp:inline>
        </w:drawing>
      </w:r>
    </w:p>
    <w:p w14:paraId="3D7C31EE" w14:textId="41FBB6A2" w:rsidR="00E16243" w:rsidRPr="00221716" w:rsidRDefault="00E16243" w:rsidP="00D279CC">
      <w:pPr>
        <w:bidi/>
        <w:rPr>
          <w:rFonts w:ascii="Arabic Typesetting" w:hAnsi="Arabic Typesetting" w:cs="Arabic Typesetting"/>
          <w:sz w:val="28"/>
          <w:szCs w:val="28"/>
          <w:rtl/>
          <w:lang w:bidi="ar-EG"/>
        </w:rPr>
      </w:pPr>
      <w:r w:rsidRPr="00221716">
        <w:rPr>
          <w:rFonts w:ascii="Arabic Typesetting" w:hAnsi="Arabic Typesetting" w:cs="Arabic Typesetting" w:hint="cs"/>
          <w:sz w:val="28"/>
          <w:szCs w:val="28"/>
          <w:rtl/>
        </w:rPr>
        <w:t xml:space="preserve">(1) يمثل عمود الميزانية الأصلية وعمود الميزانية "النهائية" السنة </w:t>
      </w:r>
      <w:r w:rsidR="00A22C74" w:rsidRPr="00221716">
        <w:rPr>
          <w:rFonts w:ascii="Arabic Typesetting" w:hAnsi="Arabic Typesetting" w:cs="Arabic Typesetting" w:hint="cs"/>
          <w:sz w:val="28"/>
          <w:szCs w:val="28"/>
          <w:rtl/>
        </w:rPr>
        <w:t>الثانية</w:t>
      </w:r>
      <w:r w:rsidRPr="00221716">
        <w:rPr>
          <w:rFonts w:ascii="Arabic Typesetting" w:hAnsi="Arabic Typesetting" w:cs="Arabic Typesetting" w:hint="cs"/>
          <w:sz w:val="28"/>
          <w:szCs w:val="28"/>
          <w:rtl/>
        </w:rPr>
        <w:t xml:space="preserve"> للميزانية المعتمدة للفترة</w:t>
      </w:r>
      <w:r w:rsidR="00D279CC">
        <w:rPr>
          <w:rFonts w:ascii="Arabic Typesetting" w:hAnsi="Arabic Typesetting" w:cs="Arabic Typesetting" w:hint="cs"/>
          <w:sz w:val="28"/>
          <w:szCs w:val="28"/>
          <w:rtl/>
        </w:rPr>
        <w:t xml:space="preserve"> 2014-2015.</w:t>
      </w:r>
    </w:p>
    <w:p w14:paraId="60945857" w14:textId="4563ABA4" w:rsidR="00E16243" w:rsidRPr="00221716" w:rsidRDefault="00E16243" w:rsidP="00D279CC">
      <w:pPr>
        <w:bidi/>
        <w:rPr>
          <w:rFonts w:ascii="Arabic Typesetting" w:hAnsi="Arabic Typesetting" w:cs="Arabic Typesetting"/>
          <w:sz w:val="28"/>
          <w:szCs w:val="28"/>
          <w:rtl/>
        </w:rPr>
      </w:pPr>
      <w:r w:rsidRPr="00221716">
        <w:rPr>
          <w:rFonts w:ascii="Arabic Typesetting" w:hAnsi="Arabic Typesetting" w:cs="Arabic Typesetting" w:hint="cs"/>
          <w:sz w:val="28"/>
          <w:szCs w:val="28"/>
          <w:rtl/>
        </w:rPr>
        <w:t xml:space="preserve">(2) هو الفارق بين الميزانية "النهائية" لسنة </w:t>
      </w:r>
      <w:r w:rsidR="00D279CC">
        <w:rPr>
          <w:rFonts w:ascii="Arabic Typesetting" w:hAnsi="Arabic Typesetting" w:cs="Arabic Typesetting" w:hint="cs"/>
          <w:sz w:val="28"/>
          <w:szCs w:val="28"/>
          <w:rtl/>
        </w:rPr>
        <w:t>2014</w:t>
      </w:r>
      <w:r w:rsidRPr="00221716">
        <w:rPr>
          <w:rFonts w:ascii="Arabic Typesetting" w:hAnsi="Arabic Typesetting" w:cs="Arabic Typesetting" w:hint="cs"/>
          <w:sz w:val="28"/>
          <w:szCs w:val="28"/>
          <w:rtl/>
        </w:rPr>
        <w:t xml:space="preserve"> والإيرادات الفعلية على </w:t>
      </w:r>
      <w:r w:rsidR="00FD2528">
        <w:rPr>
          <w:rFonts w:ascii="Arabic Typesetting" w:hAnsi="Arabic Typesetting" w:cs="Arabic Typesetting" w:hint="cs"/>
          <w:sz w:val="28"/>
          <w:szCs w:val="28"/>
          <w:rtl/>
        </w:rPr>
        <w:t xml:space="preserve">أساس </w:t>
      </w:r>
      <w:r w:rsidRPr="00221716">
        <w:rPr>
          <w:rFonts w:ascii="Arabic Typesetting" w:hAnsi="Arabic Typesetting" w:cs="Arabic Typesetting" w:hint="cs"/>
          <w:sz w:val="28"/>
          <w:szCs w:val="28"/>
          <w:rtl/>
        </w:rPr>
        <w:t xml:space="preserve">قابل للمقارنة </w:t>
      </w:r>
      <w:r w:rsidR="00B26EBC" w:rsidRPr="00221716">
        <w:rPr>
          <w:rFonts w:ascii="Arabic Typesetting" w:hAnsi="Arabic Typesetting" w:cs="Arabic Typesetting" w:hint="cs"/>
          <w:sz w:val="28"/>
          <w:szCs w:val="28"/>
          <w:rtl/>
        </w:rPr>
        <w:t>ل</w:t>
      </w:r>
      <w:r w:rsidRPr="00221716">
        <w:rPr>
          <w:rFonts w:ascii="Arabic Typesetting" w:hAnsi="Arabic Typesetting" w:cs="Arabic Typesetting" w:hint="cs"/>
          <w:sz w:val="28"/>
          <w:szCs w:val="28"/>
          <w:rtl/>
        </w:rPr>
        <w:t xml:space="preserve">لسنة </w:t>
      </w:r>
      <w:r w:rsidR="00B26EBC" w:rsidRPr="00221716">
        <w:rPr>
          <w:rFonts w:ascii="Arabic Typesetting" w:hAnsi="Arabic Typesetting" w:cs="Arabic Typesetting" w:hint="cs"/>
          <w:sz w:val="28"/>
          <w:szCs w:val="28"/>
          <w:rtl/>
        </w:rPr>
        <w:t xml:space="preserve">المنتهية في 31 ديسمبر </w:t>
      </w:r>
      <w:r w:rsidR="00D279CC">
        <w:rPr>
          <w:rFonts w:ascii="Arabic Typesetting" w:hAnsi="Arabic Typesetting" w:cs="Arabic Typesetting" w:hint="cs"/>
          <w:sz w:val="28"/>
          <w:szCs w:val="28"/>
          <w:rtl/>
        </w:rPr>
        <w:t>2014</w:t>
      </w:r>
      <w:r w:rsidRPr="00221716">
        <w:rPr>
          <w:rFonts w:ascii="Arabic Typesetting" w:hAnsi="Arabic Typesetting" w:cs="Arabic Typesetting" w:hint="cs"/>
          <w:sz w:val="28"/>
          <w:szCs w:val="28"/>
          <w:rtl/>
        </w:rPr>
        <w:t>.</w:t>
      </w:r>
    </w:p>
    <w:p w14:paraId="360DFC7D" w14:textId="77AF5E8F" w:rsidR="00E16243" w:rsidRPr="00E86ED5" w:rsidRDefault="00E16243" w:rsidP="00E80DAB">
      <w:pPr>
        <w:pStyle w:val="NormalParaAR"/>
        <w:keepNext/>
        <w:pageBreakBefore/>
        <w:spacing w:after="120"/>
        <w:jc w:val="center"/>
        <w:rPr>
          <w:b/>
          <w:bCs/>
          <w:sz w:val="40"/>
          <w:szCs w:val="40"/>
          <w:rtl/>
          <w:lang w:bidi="ar-EG"/>
        </w:rPr>
      </w:pPr>
      <w:r w:rsidRPr="00E86ED5">
        <w:rPr>
          <w:rFonts w:hint="cs"/>
          <w:b/>
          <w:bCs/>
          <w:sz w:val="40"/>
          <w:szCs w:val="40"/>
          <w:rtl/>
        </w:rPr>
        <w:lastRenderedPageBreak/>
        <w:t>البيان المالي الخامس</w:t>
      </w:r>
    </w:p>
    <w:p w14:paraId="0040ABB2" w14:textId="77777777" w:rsidR="00E55E23" w:rsidRDefault="00E16243" w:rsidP="00570C38">
      <w:pPr>
        <w:pStyle w:val="NormalParaAR"/>
        <w:spacing w:after="120"/>
        <w:jc w:val="center"/>
        <w:rPr>
          <w:b/>
          <w:bCs/>
          <w:sz w:val="40"/>
          <w:szCs w:val="40"/>
          <w:rtl/>
        </w:rPr>
      </w:pPr>
      <w:r w:rsidRPr="00E86ED5">
        <w:rPr>
          <w:rFonts w:hint="cs"/>
          <w:b/>
          <w:bCs/>
          <w:sz w:val="40"/>
          <w:szCs w:val="40"/>
          <w:rtl/>
        </w:rPr>
        <w:t xml:space="preserve">بيان مقارنة المبالغ المدرجة في الميزانية والمبالغ </w:t>
      </w:r>
      <w:r w:rsidR="00570C38" w:rsidRPr="00E86ED5">
        <w:rPr>
          <w:rFonts w:hint="cs"/>
          <w:b/>
          <w:bCs/>
          <w:sz w:val="40"/>
          <w:szCs w:val="40"/>
          <w:rtl/>
        </w:rPr>
        <w:t>الفعلية</w:t>
      </w:r>
      <w:r w:rsidR="00570C38" w:rsidRPr="00E86ED5">
        <w:rPr>
          <w:b/>
          <w:bCs/>
          <w:sz w:val="40"/>
          <w:szCs w:val="40"/>
          <w:rtl/>
        </w:rPr>
        <w:t xml:space="preserve"> </w:t>
      </w:r>
      <w:r w:rsidRPr="00E86ED5">
        <w:rPr>
          <w:b/>
          <w:bCs/>
          <w:sz w:val="40"/>
          <w:szCs w:val="40"/>
          <w:rtl/>
        </w:rPr>
        <w:t>–</w:t>
      </w:r>
      <w:r w:rsidRPr="00E86ED5">
        <w:rPr>
          <w:rFonts w:hint="cs"/>
          <w:b/>
          <w:bCs/>
          <w:sz w:val="40"/>
          <w:szCs w:val="40"/>
          <w:rtl/>
        </w:rPr>
        <w:t xml:space="preserve"> المصروفات</w:t>
      </w:r>
    </w:p>
    <w:p w14:paraId="6D136D29" w14:textId="5E1FAD1A" w:rsidR="00E16243" w:rsidRPr="00E80DAB" w:rsidRDefault="00E16243" w:rsidP="00E80DAB">
      <w:pPr>
        <w:pStyle w:val="NormalParaAR"/>
        <w:spacing w:after="120"/>
        <w:jc w:val="center"/>
        <w:rPr>
          <w:b/>
          <w:bCs/>
          <w:sz w:val="40"/>
          <w:szCs w:val="40"/>
          <w:rtl/>
        </w:rPr>
      </w:pPr>
      <w:r w:rsidRPr="00E80DAB">
        <w:rPr>
          <w:rFonts w:hint="cs"/>
          <w:b/>
          <w:bCs/>
          <w:sz w:val="40"/>
          <w:szCs w:val="40"/>
          <w:rtl/>
        </w:rPr>
        <w:t xml:space="preserve">للسنة المنتهية في 31 ديسمبر </w:t>
      </w:r>
      <w:r w:rsidR="00D279CC" w:rsidRPr="00E80DAB">
        <w:rPr>
          <w:rFonts w:hint="cs"/>
          <w:b/>
          <w:bCs/>
          <w:sz w:val="40"/>
          <w:szCs w:val="40"/>
          <w:rtl/>
        </w:rPr>
        <w:t>2014</w:t>
      </w:r>
    </w:p>
    <w:p w14:paraId="1D4FBE40" w14:textId="77777777" w:rsidR="00E16243" w:rsidRPr="00C13126" w:rsidRDefault="00E16243" w:rsidP="00E80DAB">
      <w:pPr>
        <w:pStyle w:val="NormalParaAR"/>
        <w:spacing w:after="200"/>
        <w:jc w:val="center"/>
        <w:rPr>
          <w:b/>
          <w:bCs/>
          <w:i/>
          <w:iCs/>
          <w:rtl/>
        </w:rPr>
      </w:pPr>
      <w:r w:rsidRPr="00C13126">
        <w:rPr>
          <w:rFonts w:hint="cs"/>
          <w:b/>
          <w:bCs/>
          <w:i/>
          <w:iCs/>
          <w:rtl/>
        </w:rPr>
        <w:t>(بآلاف الفرنكات السويسرية)</w:t>
      </w:r>
    </w:p>
    <w:p w14:paraId="17425693" w14:textId="4BD925C7" w:rsidR="00F2662D" w:rsidRDefault="002238B5" w:rsidP="00F2662D">
      <w:pPr>
        <w:pStyle w:val="NormalParaAR"/>
        <w:spacing w:after="0" w:line="240" w:lineRule="auto"/>
        <w:jc w:val="center"/>
        <w:rPr>
          <w:b/>
          <w:bCs/>
          <w:rtl/>
        </w:rPr>
      </w:pPr>
      <w:r w:rsidRPr="002238B5">
        <w:rPr>
          <w:noProof/>
          <w:rtl/>
        </w:rPr>
        <w:drawing>
          <wp:inline distT="0" distB="0" distL="0" distR="0" wp14:anchorId="7E1EA8FB" wp14:editId="0BFCFC17">
            <wp:extent cx="5940425" cy="6984571"/>
            <wp:effectExtent l="0" t="0" r="3175" b="698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40425" cy="6984571"/>
                    </a:xfrm>
                    <a:prstGeom prst="rect">
                      <a:avLst/>
                    </a:prstGeom>
                    <a:noFill/>
                    <a:ln>
                      <a:noFill/>
                    </a:ln>
                  </pic:spPr>
                </pic:pic>
              </a:graphicData>
            </a:graphic>
          </wp:inline>
        </w:drawing>
      </w:r>
    </w:p>
    <w:p w14:paraId="04B98463" w14:textId="5CAE9DE1" w:rsidR="00E16243" w:rsidRPr="00221716" w:rsidRDefault="00E16243" w:rsidP="00186451">
      <w:pPr>
        <w:bidi/>
        <w:spacing w:before="40" w:line="240" w:lineRule="exact"/>
        <w:rPr>
          <w:rFonts w:ascii="Arabic Typesetting" w:hAnsi="Arabic Typesetting" w:cs="Arabic Typesetting"/>
          <w:sz w:val="28"/>
          <w:szCs w:val="28"/>
          <w:rtl/>
        </w:rPr>
      </w:pPr>
      <w:r w:rsidRPr="00221716">
        <w:rPr>
          <w:rFonts w:ascii="Arabic Typesetting" w:hAnsi="Arabic Typesetting" w:cs="Arabic Typesetting" w:hint="cs"/>
          <w:sz w:val="28"/>
          <w:szCs w:val="28"/>
          <w:rtl/>
        </w:rPr>
        <w:t xml:space="preserve">(1) يمثل عمود الميزانية الأصلية وعمود الميزانية "النهائية" السنة </w:t>
      </w:r>
      <w:r w:rsidR="00186451">
        <w:rPr>
          <w:rFonts w:ascii="Arabic Typesetting" w:hAnsi="Arabic Typesetting" w:cs="Arabic Typesetting" w:hint="cs"/>
          <w:sz w:val="28"/>
          <w:szCs w:val="28"/>
          <w:rtl/>
        </w:rPr>
        <w:t xml:space="preserve">الأولى </w:t>
      </w:r>
      <w:r w:rsidRPr="00221716">
        <w:rPr>
          <w:rFonts w:ascii="Arabic Typesetting" w:hAnsi="Arabic Typesetting" w:cs="Arabic Typesetting" w:hint="cs"/>
          <w:sz w:val="28"/>
          <w:szCs w:val="28"/>
          <w:rtl/>
        </w:rPr>
        <w:t>للميزانية المعتمدة للفترة</w:t>
      </w:r>
      <w:r w:rsidR="00D279CC">
        <w:rPr>
          <w:rFonts w:ascii="Arabic Typesetting" w:hAnsi="Arabic Typesetting" w:cs="Arabic Typesetting" w:hint="cs"/>
          <w:sz w:val="28"/>
          <w:szCs w:val="28"/>
          <w:rtl/>
        </w:rPr>
        <w:t xml:space="preserve"> 2014-2015. </w:t>
      </w:r>
      <w:r w:rsidRPr="00221716">
        <w:rPr>
          <w:rFonts w:ascii="Arabic Typesetting" w:hAnsi="Arabic Typesetting" w:cs="Arabic Typesetting" w:hint="cs"/>
          <w:sz w:val="28"/>
          <w:szCs w:val="28"/>
          <w:rtl/>
        </w:rPr>
        <w:t xml:space="preserve">وتستند الميزانية الأصلية إلى ميزانية الثنائية البالغة </w:t>
      </w:r>
      <w:r w:rsidR="00D279CC">
        <w:rPr>
          <w:rFonts w:ascii="Arabic Typesetting" w:hAnsi="Arabic Typesetting" w:cs="Arabic Typesetting" w:hint="cs"/>
          <w:sz w:val="28"/>
          <w:szCs w:val="28"/>
          <w:rtl/>
        </w:rPr>
        <w:t>674.0</w:t>
      </w:r>
      <w:r w:rsidRPr="00221716">
        <w:rPr>
          <w:rFonts w:ascii="Arabic Typesetting" w:hAnsi="Arabic Typesetting" w:cs="Arabic Typesetting" w:hint="cs"/>
          <w:sz w:val="28"/>
          <w:szCs w:val="28"/>
          <w:rtl/>
        </w:rPr>
        <w:t xml:space="preserve"> مليون فرنك سويسري، التي وافقت عليها جمعيات الدول الأعضاء في الويبو يوم </w:t>
      </w:r>
      <w:r w:rsidR="00D279CC">
        <w:rPr>
          <w:rFonts w:ascii="Arabic Typesetting" w:hAnsi="Arabic Typesetting" w:cs="Arabic Typesetting" w:hint="cs"/>
          <w:sz w:val="28"/>
          <w:szCs w:val="28"/>
          <w:rtl/>
        </w:rPr>
        <w:t>12</w:t>
      </w:r>
      <w:r w:rsidRPr="00221716">
        <w:rPr>
          <w:rFonts w:ascii="Arabic Typesetting" w:hAnsi="Arabic Typesetting" w:cs="Arabic Typesetting" w:hint="cs"/>
          <w:sz w:val="28"/>
          <w:szCs w:val="28"/>
          <w:rtl/>
        </w:rPr>
        <w:t xml:space="preserve"> سبتمبر </w:t>
      </w:r>
      <w:r w:rsidR="00D279CC">
        <w:rPr>
          <w:rFonts w:ascii="Arabic Typesetting" w:hAnsi="Arabic Typesetting" w:cs="Arabic Typesetting" w:hint="cs"/>
          <w:sz w:val="28"/>
          <w:szCs w:val="28"/>
          <w:rtl/>
        </w:rPr>
        <w:t>2013.</w:t>
      </w:r>
    </w:p>
    <w:p w14:paraId="409DABE7" w14:textId="2E159782" w:rsidR="00E16243" w:rsidRPr="00221716" w:rsidRDefault="00E16243" w:rsidP="00D279CC">
      <w:pPr>
        <w:bidi/>
        <w:spacing w:line="240" w:lineRule="exact"/>
        <w:rPr>
          <w:rFonts w:ascii="Arabic Typesetting" w:hAnsi="Arabic Typesetting" w:cs="Arabic Typesetting"/>
          <w:sz w:val="28"/>
          <w:szCs w:val="28"/>
          <w:rtl/>
        </w:rPr>
      </w:pPr>
      <w:r w:rsidRPr="00221716">
        <w:rPr>
          <w:rFonts w:ascii="Arabic Typesetting" w:hAnsi="Arabic Typesetting" w:cs="Arabic Typesetting" w:hint="cs"/>
          <w:sz w:val="28"/>
          <w:szCs w:val="28"/>
          <w:rtl/>
        </w:rPr>
        <w:t xml:space="preserve">(2) هو الفارق بين الميزانية "النهائية" لسنة </w:t>
      </w:r>
      <w:r w:rsidR="00D279CC">
        <w:rPr>
          <w:rFonts w:ascii="Arabic Typesetting" w:hAnsi="Arabic Typesetting" w:cs="Arabic Typesetting" w:hint="cs"/>
          <w:sz w:val="28"/>
          <w:szCs w:val="28"/>
          <w:rtl/>
        </w:rPr>
        <w:t>2014</w:t>
      </w:r>
      <w:r w:rsidRPr="00221716">
        <w:rPr>
          <w:rFonts w:ascii="Arabic Typesetting" w:hAnsi="Arabic Typesetting" w:cs="Arabic Typesetting" w:hint="cs"/>
          <w:sz w:val="28"/>
          <w:szCs w:val="28"/>
          <w:rtl/>
        </w:rPr>
        <w:t xml:space="preserve"> والمصروفات الفعلية على </w:t>
      </w:r>
      <w:r w:rsidR="00FD2528">
        <w:rPr>
          <w:rFonts w:ascii="Arabic Typesetting" w:hAnsi="Arabic Typesetting" w:cs="Arabic Typesetting" w:hint="cs"/>
          <w:sz w:val="28"/>
          <w:szCs w:val="28"/>
          <w:rtl/>
        </w:rPr>
        <w:t xml:space="preserve">أساس </w:t>
      </w:r>
      <w:r w:rsidRPr="00221716">
        <w:rPr>
          <w:rFonts w:ascii="Arabic Typesetting" w:hAnsi="Arabic Typesetting" w:cs="Arabic Typesetting" w:hint="cs"/>
          <w:sz w:val="28"/>
          <w:szCs w:val="28"/>
          <w:rtl/>
        </w:rPr>
        <w:t xml:space="preserve">قابل </w:t>
      </w:r>
      <w:r w:rsidR="00D279CC">
        <w:rPr>
          <w:rFonts w:ascii="Arabic Typesetting" w:hAnsi="Arabic Typesetting" w:cs="Arabic Typesetting" w:hint="cs"/>
          <w:sz w:val="28"/>
          <w:szCs w:val="28"/>
          <w:rtl/>
        </w:rPr>
        <w:t>للمقارنة في 31 ديسمبر 2014</w:t>
      </w:r>
      <w:r w:rsidRPr="00221716">
        <w:rPr>
          <w:rFonts w:ascii="Arabic Typesetting" w:hAnsi="Arabic Typesetting" w:cs="Arabic Typesetting" w:hint="cs"/>
          <w:sz w:val="28"/>
          <w:szCs w:val="28"/>
          <w:rtl/>
        </w:rPr>
        <w:t>.</w:t>
      </w:r>
    </w:p>
    <w:p w14:paraId="4EF33D98" w14:textId="5DFBC8AB" w:rsidR="00EB07A7" w:rsidRPr="00221716" w:rsidRDefault="00E16243" w:rsidP="00186451">
      <w:pPr>
        <w:bidi/>
        <w:spacing w:line="240" w:lineRule="exact"/>
        <w:rPr>
          <w:rFonts w:ascii="Arabic Typesetting" w:hAnsi="Arabic Typesetting" w:cs="Arabic Typesetting"/>
          <w:sz w:val="28"/>
          <w:szCs w:val="28"/>
          <w:rtl/>
          <w:lang w:bidi="ar-EG"/>
        </w:rPr>
      </w:pPr>
      <w:r w:rsidRPr="00221716">
        <w:rPr>
          <w:rFonts w:ascii="Arabic Typesetting" w:hAnsi="Arabic Typesetting" w:cs="Arabic Typesetting" w:hint="cs"/>
          <w:sz w:val="28"/>
          <w:szCs w:val="28"/>
          <w:rtl/>
          <w:lang w:bidi="ar-EG"/>
        </w:rPr>
        <w:t xml:space="preserve">(3) ترد تفاصيل تسويات الفائض </w:t>
      </w:r>
      <w:r w:rsidR="002B3DBD">
        <w:rPr>
          <w:rFonts w:ascii="Arabic Typesetting" w:hAnsi="Arabic Typesetting" w:cs="Arabic Typesetting" w:hint="cs"/>
          <w:sz w:val="28"/>
          <w:szCs w:val="28"/>
          <w:rtl/>
          <w:lang w:bidi="ar-EG"/>
        </w:rPr>
        <w:t xml:space="preserve">وفقاً </w:t>
      </w:r>
      <w:r w:rsidRPr="00221716">
        <w:rPr>
          <w:rFonts w:ascii="Arabic Typesetting" w:hAnsi="Arabic Typesetting" w:cs="Arabic Typesetting" w:hint="cs"/>
          <w:sz w:val="28"/>
          <w:szCs w:val="28"/>
          <w:rtl/>
          <w:lang w:bidi="ar-EG"/>
        </w:rPr>
        <w:t>للمعايير المحاسبية الدولية للقطاع العام في الملاحظة 22 من هذه البيانات المالية.</w:t>
      </w:r>
      <w:bookmarkStart w:id="17" w:name="_Toc362519098"/>
    </w:p>
    <w:p w14:paraId="57C77224" w14:textId="7BB9231C" w:rsidR="00E16243" w:rsidRPr="00780749" w:rsidRDefault="00E16243" w:rsidP="00E80DAB">
      <w:pPr>
        <w:pStyle w:val="Heading1"/>
        <w:pageBreakBefore/>
        <w:bidi/>
        <w:jc w:val="center"/>
        <w:rPr>
          <w:rFonts w:ascii="Arabic Typesetting" w:hAnsi="Arabic Typesetting" w:cs="Arabic Typesetting"/>
          <w:sz w:val="40"/>
          <w:szCs w:val="40"/>
          <w:rtl/>
        </w:rPr>
      </w:pPr>
      <w:r w:rsidRPr="00780749">
        <w:rPr>
          <w:rFonts w:ascii="Arabic Typesetting" w:hAnsi="Arabic Typesetting" w:cs="Arabic Typesetting" w:hint="cs"/>
          <w:sz w:val="40"/>
          <w:szCs w:val="40"/>
          <w:rtl/>
        </w:rPr>
        <w:lastRenderedPageBreak/>
        <w:t>ملاحظات على البيانات المالية</w:t>
      </w:r>
      <w:bookmarkEnd w:id="17"/>
    </w:p>
    <w:p w14:paraId="1972BFC6" w14:textId="77777777" w:rsidR="00E16243" w:rsidRPr="00780749" w:rsidRDefault="00E16243" w:rsidP="0035596D">
      <w:pPr>
        <w:pStyle w:val="Heading2"/>
        <w:tabs>
          <w:tab w:val="left" w:pos="1417"/>
        </w:tabs>
        <w:bidi/>
        <w:rPr>
          <w:rFonts w:ascii="Arabic Typesetting" w:hAnsi="Arabic Typesetting" w:cs="Arabic Typesetting"/>
          <w:i/>
          <w:iCs w:val="0"/>
          <w:sz w:val="40"/>
          <w:szCs w:val="40"/>
          <w:rtl/>
        </w:rPr>
      </w:pPr>
      <w:bookmarkStart w:id="18" w:name="_Toc362519099"/>
      <w:r w:rsidRPr="00780749">
        <w:rPr>
          <w:rFonts w:ascii="Arabic Typesetting" w:hAnsi="Arabic Typesetting" w:cs="Arabic Typesetting" w:hint="cs"/>
          <w:i/>
          <w:iCs w:val="0"/>
          <w:sz w:val="40"/>
          <w:szCs w:val="40"/>
          <w:rtl/>
        </w:rPr>
        <w:t>الملاحظة 1:</w:t>
      </w:r>
      <w:r w:rsidR="0035596D">
        <w:rPr>
          <w:rFonts w:ascii="Arabic Typesetting" w:hAnsi="Arabic Typesetting" w:cs="Arabic Typesetting"/>
          <w:i/>
          <w:iCs w:val="0"/>
          <w:sz w:val="40"/>
          <w:szCs w:val="40"/>
        </w:rPr>
        <w:tab/>
      </w:r>
      <w:r w:rsidRPr="00780749">
        <w:rPr>
          <w:rFonts w:ascii="Arabic Typesetting" w:hAnsi="Arabic Typesetting" w:cs="Arabic Typesetting" w:hint="cs"/>
          <w:i/>
          <w:iCs w:val="0"/>
          <w:sz w:val="40"/>
          <w:szCs w:val="40"/>
          <w:rtl/>
        </w:rPr>
        <w:t>أهداف المنظمة وميزانيتها</w:t>
      </w:r>
      <w:bookmarkEnd w:id="18"/>
    </w:p>
    <w:p w14:paraId="6233C999" w14:textId="34779413" w:rsidR="00E16243" w:rsidRPr="00EA490D" w:rsidRDefault="00E16243" w:rsidP="00945A2A">
      <w:pPr>
        <w:pStyle w:val="NormalParaAR"/>
        <w:rPr>
          <w:rtl/>
        </w:rPr>
      </w:pPr>
      <w:r>
        <w:rPr>
          <w:rFonts w:hint="cs"/>
          <w:rtl/>
        </w:rPr>
        <w:t xml:space="preserve">أنشئت المنظمة العالمية للملكية الفكرية في سنة 1967 وحلت محل مكتب حماية الملكية الفكرية الذي أنشئ في سنة 1893 </w:t>
      </w:r>
      <w:r w:rsidR="00945A2A">
        <w:rPr>
          <w:rFonts w:hint="cs"/>
          <w:rtl/>
        </w:rPr>
        <w:t>(</w:t>
      </w:r>
      <w:r>
        <w:rPr>
          <w:rFonts w:hint="cs"/>
          <w:rtl/>
        </w:rPr>
        <w:t>ويعرف بمختصر</w:t>
      </w:r>
      <w:r>
        <w:rPr>
          <w:rtl/>
        </w:rPr>
        <w:t xml:space="preserve"> البربي</w:t>
      </w:r>
      <w:r w:rsidR="00945A2A">
        <w:rPr>
          <w:rFonts w:hint="cs"/>
          <w:rtl/>
          <w:lang w:bidi="ar-EG"/>
        </w:rPr>
        <w:t xml:space="preserve"> (</w:t>
      </w:r>
      <w:r w:rsidR="00945A2A" w:rsidRPr="00945A2A">
        <w:rPr>
          <w:lang w:bidi="ar-EG"/>
        </w:rPr>
        <w:t>BIRPI</w:t>
      </w:r>
      <w:r w:rsidR="00945A2A">
        <w:rPr>
          <w:rFonts w:hint="cs"/>
          <w:rtl/>
          <w:lang w:bidi="ar-EG"/>
        </w:rPr>
        <w:t xml:space="preserve">) </w:t>
      </w:r>
      <w:r>
        <w:rPr>
          <w:rFonts w:hint="cs"/>
          <w:rtl/>
        </w:rPr>
        <w:t>مختصر باللغة الفرنسية</w:t>
      </w:r>
      <w:r w:rsidRPr="00EA490D">
        <w:rPr>
          <w:rtl/>
        </w:rPr>
        <w:t xml:space="preserve"> </w:t>
      </w:r>
      <w:r>
        <w:rPr>
          <w:rFonts w:hint="cs"/>
          <w:rtl/>
        </w:rPr>
        <w:t>يعني</w:t>
      </w:r>
      <w:r w:rsidRPr="00EA490D">
        <w:rPr>
          <w:rtl/>
        </w:rPr>
        <w:t xml:space="preserve"> </w:t>
      </w:r>
      <w:r w:rsidRPr="00520840">
        <w:rPr>
          <w:i/>
          <w:iCs/>
          <w:rtl/>
        </w:rPr>
        <w:t>المكاتب الدولية المتحدة لحماية الملكية الفكرية</w:t>
      </w:r>
      <w:r>
        <w:rPr>
          <w:rFonts w:hint="cs"/>
          <w:rtl/>
        </w:rPr>
        <w:t>) لإدارة اتفاقية باريس لحماية الملكية الصناعية (1883) واتفاقية برن لحماية المصنفات الأدبية والفنية (1886)</w:t>
      </w:r>
      <w:r w:rsidRPr="00EA490D">
        <w:rPr>
          <w:rtl/>
        </w:rPr>
        <w:t>.</w:t>
      </w:r>
      <w:r>
        <w:rPr>
          <w:rFonts w:hint="cs"/>
          <w:rtl/>
        </w:rPr>
        <w:t xml:space="preserve"> وفي سنة 1974، اعتُرف </w:t>
      </w:r>
      <w:r w:rsidRPr="00EA490D">
        <w:rPr>
          <w:rtl/>
        </w:rPr>
        <w:t>بالويبو كوكالة متخصصة في منظومة الأمم المتحدة</w:t>
      </w:r>
      <w:r>
        <w:rPr>
          <w:rFonts w:hint="cs"/>
          <w:rtl/>
        </w:rPr>
        <w:t>.</w:t>
      </w:r>
    </w:p>
    <w:p w14:paraId="77C9D509" w14:textId="74D54590"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w:t>
      </w:r>
      <w:r w:rsidRPr="00EA490D">
        <w:rPr>
          <w:rFonts w:ascii="Arabic Typesetting" w:hAnsi="Arabic Typesetting" w:cs="Arabic Typesetting"/>
          <w:sz w:val="36"/>
          <w:szCs w:val="36"/>
          <w:rtl/>
        </w:rPr>
        <w:t xml:space="preserve">تضطلع الويبو </w:t>
      </w:r>
      <w:r>
        <w:rPr>
          <w:rFonts w:ascii="Arabic Typesetting" w:hAnsi="Arabic Typesetting" w:cs="Arabic Typesetting" w:hint="cs"/>
          <w:sz w:val="36"/>
          <w:szCs w:val="36"/>
          <w:rtl/>
        </w:rPr>
        <w:t>ب</w:t>
      </w:r>
      <w:r w:rsidRPr="00EA490D">
        <w:rPr>
          <w:rFonts w:ascii="Arabic Typesetting" w:hAnsi="Arabic Typesetting" w:cs="Arabic Typesetting"/>
          <w:sz w:val="36"/>
          <w:szCs w:val="36"/>
          <w:rtl/>
        </w:rPr>
        <w:t xml:space="preserve">طائفة واسعة من </w:t>
      </w:r>
      <w:r>
        <w:rPr>
          <w:rFonts w:ascii="Arabic Typesetting" w:hAnsi="Arabic Typesetting" w:cs="Arabic Typesetting" w:hint="cs"/>
          <w:sz w:val="36"/>
          <w:szCs w:val="36"/>
          <w:rtl/>
        </w:rPr>
        <w:t>المهام</w:t>
      </w:r>
      <w:r w:rsidRPr="00EA490D">
        <w:rPr>
          <w:rFonts w:ascii="Arabic Typesetting" w:hAnsi="Arabic Typesetting" w:cs="Arabic Typesetting"/>
          <w:sz w:val="36"/>
          <w:szCs w:val="36"/>
          <w:rtl/>
        </w:rPr>
        <w:t xml:space="preserve"> المتصلة بحماية </w:t>
      </w:r>
      <w:r>
        <w:rPr>
          <w:rFonts w:ascii="Arabic Typesetting" w:hAnsi="Arabic Typesetting" w:cs="Arabic Typesetting" w:hint="cs"/>
          <w:sz w:val="36"/>
          <w:szCs w:val="36"/>
          <w:rtl/>
        </w:rPr>
        <w:t xml:space="preserve">حقوق </w:t>
      </w:r>
      <w:r w:rsidRPr="00EA490D">
        <w:rPr>
          <w:rFonts w:ascii="Arabic Typesetting" w:hAnsi="Arabic Typesetting" w:cs="Arabic Typesetting"/>
          <w:sz w:val="36"/>
          <w:szCs w:val="36"/>
          <w:rtl/>
        </w:rPr>
        <w:t>الملكية الفكرية</w:t>
      </w:r>
      <w:r>
        <w:rPr>
          <w:rFonts w:ascii="Arabic Typesetting" w:hAnsi="Arabic Typesetting" w:cs="Arabic Typesetting" w:hint="cs"/>
          <w:sz w:val="36"/>
          <w:szCs w:val="36"/>
          <w:rtl/>
        </w:rPr>
        <w:t>.</w:t>
      </w:r>
      <w:r w:rsidRPr="00EA490D">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وتشمل هذه المهام ما يلي</w:t>
      </w:r>
      <w:r w:rsidRPr="00EA490D">
        <w:rPr>
          <w:rFonts w:ascii="Arabic Typesetting" w:hAnsi="Arabic Typesetting" w:cs="Arabic Typesetting"/>
          <w:sz w:val="36"/>
          <w:szCs w:val="36"/>
          <w:rtl/>
        </w:rPr>
        <w:t>:</w:t>
      </w:r>
      <w:r w:rsidRPr="005816C3">
        <w:rPr>
          <w:rFonts w:ascii="Arabic Typesetting" w:hAnsi="Arabic Typesetting" w:cs="Arabic Typesetting"/>
          <w:sz w:val="36"/>
          <w:szCs w:val="36"/>
          <w:rtl/>
        </w:rPr>
        <w:t xml:space="preserve"> </w:t>
      </w:r>
      <w:r w:rsidRPr="00EA490D">
        <w:rPr>
          <w:rFonts w:ascii="Arabic Typesetting" w:hAnsi="Arabic Typesetting" w:cs="Arabic Typesetting"/>
          <w:sz w:val="36"/>
          <w:szCs w:val="36"/>
          <w:rtl/>
        </w:rPr>
        <w:t xml:space="preserve">مساعدة الحكومات والمنظمات على </w:t>
      </w:r>
      <w:r>
        <w:rPr>
          <w:rFonts w:ascii="Arabic Typesetting" w:hAnsi="Arabic Typesetting" w:cs="Arabic Typesetting" w:hint="cs"/>
          <w:sz w:val="36"/>
          <w:szCs w:val="36"/>
          <w:rtl/>
        </w:rPr>
        <w:t>وضع</w:t>
      </w:r>
      <w:r w:rsidRPr="00EA490D">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w:t>
      </w:r>
      <w:r w:rsidRPr="00EA490D">
        <w:rPr>
          <w:rFonts w:ascii="Arabic Typesetting" w:hAnsi="Arabic Typesetting" w:cs="Arabic Typesetting"/>
          <w:sz w:val="36"/>
          <w:szCs w:val="36"/>
          <w:rtl/>
        </w:rPr>
        <w:t>سياسات و</w:t>
      </w:r>
      <w:r>
        <w:rPr>
          <w:rFonts w:ascii="Arabic Typesetting" w:hAnsi="Arabic Typesetting" w:cs="Arabic Typesetting" w:hint="cs"/>
          <w:sz w:val="36"/>
          <w:szCs w:val="36"/>
          <w:rtl/>
        </w:rPr>
        <w:t>إقامة ال</w:t>
      </w:r>
      <w:r w:rsidRPr="00EA490D">
        <w:rPr>
          <w:rFonts w:ascii="Arabic Typesetting" w:hAnsi="Arabic Typesetting" w:cs="Arabic Typesetting"/>
          <w:sz w:val="36"/>
          <w:szCs w:val="36"/>
          <w:rtl/>
        </w:rPr>
        <w:t>هياكل و</w:t>
      </w:r>
      <w:r>
        <w:rPr>
          <w:rFonts w:ascii="Arabic Typesetting" w:hAnsi="Arabic Typesetting" w:cs="Arabic Typesetting" w:hint="cs"/>
          <w:sz w:val="36"/>
          <w:szCs w:val="36"/>
          <w:rtl/>
        </w:rPr>
        <w:t>تطوير ال</w:t>
      </w:r>
      <w:r w:rsidRPr="00EA490D">
        <w:rPr>
          <w:rFonts w:ascii="Arabic Typesetting" w:hAnsi="Arabic Typesetting" w:cs="Arabic Typesetting"/>
          <w:sz w:val="36"/>
          <w:szCs w:val="36"/>
          <w:rtl/>
        </w:rPr>
        <w:t>مهارات</w:t>
      </w:r>
      <w:r>
        <w:rPr>
          <w:rFonts w:ascii="Arabic Typesetting" w:hAnsi="Arabic Typesetting" w:cs="Arabic Typesetting" w:hint="cs"/>
          <w:sz w:val="36"/>
          <w:szCs w:val="36"/>
          <w:rtl/>
        </w:rPr>
        <w:t xml:space="preserve"> اللازمة</w:t>
      </w:r>
      <w:r w:rsidRPr="00EA490D">
        <w:rPr>
          <w:rFonts w:ascii="Arabic Typesetting" w:hAnsi="Arabic Typesetting" w:cs="Arabic Typesetting"/>
          <w:sz w:val="36"/>
          <w:szCs w:val="36"/>
          <w:rtl/>
        </w:rPr>
        <w:t xml:space="preserve"> لتسخير إمكانات الملكية الفكرية لأغراض التنمية الاقتصادية</w:t>
      </w:r>
      <w:r>
        <w:rPr>
          <w:rFonts w:ascii="Arabic Typesetting" w:hAnsi="Arabic Typesetting" w:cs="Arabic Typesetting" w:hint="cs"/>
          <w:sz w:val="36"/>
          <w:szCs w:val="36"/>
          <w:rtl/>
        </w:rPr>
        <w:t>؛ و</w:t>
      </w:r>
      <w:r w:rsidRPr="00EA490D">
        <w:rPr>
          <w:rFonts w:ascii="Arabic Typesetting" w:hAnsi="Arabic Typesetting" w:cs="Arabic Typesetting"/>
          <w:sz w:val="36"/>
          <w:szCs w:val="36"/>
          <w:rtl/>
        </w:rPr>
        <w:t xml:space="preserve">العمل مع الدول الأعضاء </w:t>
      </w:r>
      <w:r>
        <w:rPr>
          <w:rFonts w:ascii="Arabic Typesetting" w:hAnsi="Arabic Typesetting" w:cs="Arabic Typesetting" w:hint="cs"/>
          <w:sz w:val="36"/>
          <w:szCs w:val="36"/>
          <w:rtl/>
        </w:rPr>
        <w:t>على</w:t>
      </w:r>
      <w:r w:rsidRPr="00EA490D">
        <w:rPr>
          <w:rFonts w:ascii="Arabic Typesetting" w:hAnsi="Arabic Typesetting" w:cs="Arabic Typesetting"/>
          <w:sz w:val="36"/>
          <w:szCs w:val="36"/>
          <w:rtl/>
        </w:rPr>
        <w:t xml:space="preserve"> تطو</w:t>
      </w:r>
      <w:r>
        <w:rPr>
          <w:rFonts w:ascii="Arabic Typesetting" w:hAnsi="Arabic Typesetting" w:cs="Arabic Typesetting" w:hint="cs"/>
          <w:sz w:val="36"/>
          <w:szCs w:val="36"/>
          <w:rtl/>
        </w:rPr>
        <w:t>ي</w:t>
      </w:r>
      <w:r w:rsidRPr="00EA490D">
        <w:rPr>
          <w:rFonts w:ascii="Arabic Typesetting" w:hAnsi="Arabic Typesetting" w:cs="Arabic Typesetting"/>
          <w:sz w:val="36"/>
          <w:szCs w:val="36"/>
          <w:rtl/>
        </w:rPr>
        <w:t>ر قانون الملكية الفكرية ا</w:t>
      </w:r>
      <w:r>
        <w:rPr>
          <w:rFonts w:ascii="Arabic Typesetting" w:hAnsi="Arabic Typesetting" w:cs="Arabic Typesetting"/>
          <w:sz w:val="36"/>
          <w:szCs w:val="36"/>
          <w:rtl/>
        </w:rPr>
        <w:t>لدولي</w:t>
      </w:r>
      <w:r>
        <w:rPr>
          <w:rFonts w:ascii="Arabic Typesetting" w:hAnsi="Arabic Typesetting" w:cs="Arabic Typesetting" w:hint="cs"/>
          <w:sz w:val="36"/>
          <w:szCs w:val="36"/>
          <w:rtl/>
        </w:rPr>
        <w:t>؛ و</w:t>
      </w:r>
      <w:r w:rsidRPr="00EA490D">
        <w:rPr>
          <w:rFonts w:ascii="Arabic Typesetting" w:hAnsi="Arabic Typesetting" w:cs="Arabic Typesetting"/>
          <w:sz w:val="36"/>
          <w:szCs w:val="36"/>
          <w:rtl/>
        </w:rPr>
        <w:t>إدارة المعاهدات</w:t>
      </w:r>
      <w:r>
        <w:rPr>
          <w:rFonts w:ascii="Arabic Typesetting" w:hAnsi="Arabic Typesetting" w:cs="Arabic Typesetting" w:hint="cs"/>
          <w:sz w:val="36"/>
          <w:szCs w:val="36"/>
          <w:rtl/>
        </w:rPr>
        <w:t xml:space="preserve">؛ وإدارة </w:t>
      </w:r>
      <w:r w:rsidRPr="005816C3">
        <w:rPr>
          <w:rFonts w:ascii="Arabic Typesetting" w:hAnsi="Arabic Typesetting" w:cs="Arabic Typesetting"/>
          <w:sz w:val="36"/>
          <w:szCs w:val="36"/>
          <w:rtl/>
        </w:rPr>
        <w:t>أنظمة</w:t>
      </w:r>
      <w:r>
        <w:rPr>
          <w:rFonts w:ascii="Arabic Typesetting" w:hAnsi="Arabic Typesetting" w:cs="Arabic Typesetting" w:hint="cs"/>
          <w:sz w:val="36"/>
          <w:szCs w:val="36"/>
          <w:rtl/>
        </w:rPr>
        <w:t xml:space="preserve"> ا</w:t>
      </w:r>
      <w:r w:rsidRPr="005816C3">
        <w:rPr>
          <w:rFonts w:ascii="Arabic Typesetting" w:hAnsi="Arabic Typesetting" w:cs="Arabic Typesetting"/>
          <w:sz w:val="36"/>
          <w:szCs w:val="36"/>
          <w:rtl/>
        </w:rPr>
        <w:t xml:space="preserve">لتسجيل </w:t>
      </w:r>
      <w:r>
        <w:rPr>
          <w:rFonts w:ascii="Arabic Typesetting" w:hAnsi="Arabic Typesetting" w:cs="Arabic Typesetting" w:hint="cs"/>
          <w:sz w:val="36"/>
          <w:szCs w:val="36"/>
          <w:rtl/>
        </w:rPr>
        <w:t>العالمية ل</w:t>
      </w:r>
      <w:r w:rsidRPr="005816C3">
        <w:rPr>
          <w:rFonts w:ascii="Arabic Typesetting" w:hAnsi="Arabic Typesetting" w:cs="Arabic Typesetting"/>
          <w:sz w:val="36"/>
          <w:szCs w:val="36"/>
          <w:rtl/>
        </w:rPr>
        <w:t>لعلامات التجارية والرسوم وا</w:t>
      </w:r>
      <w:r>
        <w:rPr>
          <w:rFonts w:ascii="Arabic Typesetting" w:hAnsi="Arabic Typesetting" w:cs="Arabic Typesetting"/>
          <w:sz w:val="36"/>
          <w:szCs w:val="36"/>
          <w:rtl/>
        </w:rPr>
        <w:t xml:space="preserve">لنماذج الصناعية وتسميات المنشأ </w:t>
      </w:r>
      <w:r>
        <w:rPr>
          <w:rFonts w:ascii="Arabic Typesetting" w:hAnsi="Arabic Typesetting" w:cs="Arabic Typesetting" w:hint="cs"/>
          <w:sz w:val="36"/>
          <w:szCs w:val="36"/>
          <w:rtl/>
        </w:rPr>
        <w:t>فضلا</w:t>
      </w:r>
      <w:r w:rsidR="00AC3C42">
        <w:rPr>
          <w:rFonts w:ascii="Arabic Typesetting" w:hAnsi="Arabic Typesetting" w:cs="Arabic Typesetting" w:hint="cs"/>
          <w:sz w:val="36"/>
          <w:szCs w:val="36"/>
          <w:rtl/>
        </w:rPr>
        <w:t>ً</w:t>
      </w:r>
      <w:r>
        <w:rPr>
          <w:rFonts w:ascii="Arabic Typesetting" w:hAnsi="Arabic Typesetting" w:cs="Arabic Typesetting" w:hint="cs"/>
          <w:sz w:val="36"/>
          <w:szCs w:val="36"/>
          <w:rtl/>
        </w:rPr>
        <w:t xml:space="preserve"> عن </w:t>
      </w:r>
      <w:r>
        <w:rPr>
          <w:rFonts w:ascii="Arabic Typesetting" w:hAnsi="Arabic Typesetting" w:cs="Arabic Typesetting"/>
          <w:sz w:val="36"/>
          <w:szCs w:val="36"/>
          <w:rtl/>
        </w:rPr>
        <w:t xml:space="preserve">نظام إيداع </w:t>
      </w:r>
      <w:r w:rsidRPr="005816C3">
        <w:rPr>
          <w:rFonts w:ascii="Arabic Typesetting" w:hAnsi="Arabic Typesetting" w:cs="Arabic Typesetting"/>
          <w:sz w:val="36"/>
          <w:szCs w:val="36"/>
          <w:rtl/>
        </w:rPr>
        <w:t>البراءات</w:t>
      </w:r>
      <w:r>
        <w:rPr>
          <w:rFonts w:ascii="Arabic Typesetting" w:hAnsi="Arabic Typesetting" w:cs="Arabic Typesetting" w:hint="cs"/>
          <w:sz w:val="36"/>
          <w:szCs w:val="36"/>
          <w:rtl/>
        </w:rPr>
        <w:t>؛ وتوفير خدمات تسوية المنازعات؛ والاضطلاع بدور المحفل لإجراء الحوار المستنير وتبادل الخبرات.</w:t>
      </w:r>
    </w:p>
    <w:p w14:paraId="14FEAE09" w14:textId="23B51437" w:rsidR="00E16243" w:rsidRPr="007A01D6" w:rsidRDefault="00E16243" w:rsidP="00182157">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وتعمل المنظمة </w:t>
      </w:r>
      <w:r w:rsidR="002B3DBD">
        <w:rPr>
          <w:rFonts w:ascii="Arabic Typesetting" w:hAnsi="Arabic Typesetting" w:cs="Arabic Typesetting" w:hint="cs"/>
          <w:sz w:val="36"/>
          <w:szCs w:val="36"/>
          <w:rtl/>
        </w:rPr>
        <w:t xml:space="preserve">وفقاً </w:t>
      </w:r>
      <w:r>
        <w:rPr>
          <w:rFonts w:ascii="Arabic Typesetting" w:hAnsi="Arabic Typesetting" w:cs="Arabic Typesetting" w:hint="cs"/>
          <w:sz w:val="36"/>
          <w:szCs w:val="36"/>
          <w:rtl/>
        </w:rPr>
        <w:t>لاتفاقية الويبو الموقعة في استوكهولم في 14 يوليو 1967 والمعدلة في 28 سبتمبر 1979. وتضم الويبو حاليا</w:t>
      </w:r>
      <w:r w:rsidR="00AC3C42">
        <w:rPr>
          <w:rFonts w:ascii="Arabic Typesetting" w:hAnsi="Arabic Typesetting" w:cs="Arabic Typesetting" w:hint="cs"/>
          <w:sz w:val="36"/>
          <w:szCs w:val="36"/>
          <w:rtl/>
        </w:rPr>
        <w:t>ً</w:t>
      </w:r>
      <w:r>
        <w:rPr>
          <w:rFonts w:ascii="Arabic Typesetting" w:hAnsi="Arabic Typesetting" w:cs="Arabic Typesetting" w:hint="eastAsia"/>
          <w:sz w:val="36"/>
          <w:szCs w:val="36"/>
          <w:rtl/>
        </w:rPr>
        <w:t> </w:t>
      </w:r>
      <w:r w:rsidR="00182157">
        <w:rPr>
          <w:rFonts w:ascii="Arabic Typesetting" w:hAnsi="Arabic Typesetting" w:cs="Arabic Typesetting" w:hint="cs"/>
          <w:sz w:val="36"/>
          <w:szCs w:val="36"/>
          <w:rtl/>
        </w:rPr>
        <w:t>188</w:t>
      </w:r>
      <w:r>
        <w:rPr>
          <w:rFonts w:ascii="Arabic Typesetting" w:hAnsi="Arabic Typesetting" w:cs="Arabic Typesetting" w:hint="cs"/>
          <w:sz w:val="36"/>
          <w:szCs w:val="36"/>
          <w:rtl/>
        </w:rPr>
        <w:t xml:space="preserve"> بلدا</w:t>
      </w:r>
      <w:r w:rsidR="00AC3C42">
        <w:rPr>
          <w:rFonts w:ascii="Arabic Typesetting" w:hAnsi="Arabic Typesetting" w:cs="Arabic Typesetting" w:hint="cs"/>
          <w:sz w:val="36"/>
          <w:szCs w:val="36"/>
          <w:rtl/>
        </w:rPr>
        <w:t>ً</w:t>
      </w:r>
      <w:r>
        <w:rPr>
          <w:rFonts w:ascii="Arabic Typesetting" w:hAnsi="Arabic Typesetting" w:cs="Arabic Typesetting" w:hint="cs"/>
          <w:sz w:val="36"/>
          <w:szCs w:val="36"/>
          <w:rtl/>
        </w:rPr>
        <w:t xml:space="preserve"> عضوا</w:t>
      </w:r>
      <w:r w:rsidR="00AC3C42">
        <w:rPr>
          <w:rFonts w:ascii="Arabic Typesetting" w:hAnsi="Arabic Typesetting" w:cs="Arabic Typesetting" w:hint="cs"/>
          <w:sz w:val="36"/>
          <w:szCs w:val="36"/>
          <w:rtl/>
        </w:rPr>
        <w:t>ً</w:t>
      </w:r>
      <w:r>
        <w:rPr>
          <w:rFonts w:ascii="Arabic Typesetting" w:hAnsi="Arabic Typesetting" w:cs="Arabic Typesetting" w:hint="cs"/>
          <w:sz w:val="36"/>
          <w:szCs w:val="36"/>
          <w:rtl/>
        </w:rPr>
        <w:t>. ويقع مقر الويبو الرئيسي في جنيف بسويسرا ولديها مكاتب تمثلها في</w:t>
      </w:r>
      <w:r w:rsidR="00182157">
        <w:rPr>
          <w:rFonts w:ascii="Arabic Typesetting" w:hAnsi="Arabic Typesetting" w:cs="Arabic Typesetting" w:hint="cs"/>
          <w:sz w:val="36"/>
          <w:szCs w:val="36"/>
          <w:rtl/>
        </w:rPr>
        <w:t xml:space="preserve"> بيجين وموسكو (أُنشئا في عام 2014)</w:t>
      </w:r>
      <w:r>
        <w:rPr>
          <w:rFonts w:ascii="Arabic Typesetting" w:hAnsi="Arabic Typesetting" w:cs="Arabic Typesetting" w:hint="cs"/>
          <w:sz w:val="36"/>
          <w:szCs w:val="36"/>
          <w:rtl/>
        </w:rPr>
        <w:t xml:space="preserve"> </w:t>
      </w:r>
      <w:r w:rsidR="00182157">
        <w:rPr>
          <w:rFonts w:ascii="Arabic Typesetting" w:hAnsi="Arabic Typesetting" w:cs="Arabic Typesetting" w:hint="cs"/>
          <w:sz w:val="36"/>
          <w:szCs w:val="36"/>
          <w:rtl/>
        </w:rPr>
        <w:t>و</w:t>
      </w:r>
      <w:r>
        <w:rPr>
          <w:rFonts w:ascii="Arabic Typesetting" w:hAnsi="Arabic Typesetting" w:cs="Arabic Typesetting" w:hint="cs"/>
          <w:sz w:val="36"/>
          <w:szCs w:val="36"/>
          <w:rtl/>
        </w:rPr>
        <w:t>نيويورك وريو دي جانيرو وسنغافورة وطوكيو. وتتمتع المنظمة ب</w:t>
      </w:r>
      <w:r>
        <w:rPr>
          <w:rFonts w:ascii="Arabic Typesetting" w:hAnsi="Arabic Typesetting" w:cs="Arabic Typesetting"/>
          <w:sz w:val="36"/>
          <w:szCs w:val="36"/>
          <w:rtl/>
        </w:rPr>
        <w:t xml:space="preserve">امتيازات </w:t>
      </w:r>
      <w:r>
        <w:rPr>
          <w:rFonts w:ascii="Arabic Typesetting" w:hAnsi="Arabic Typesetting" w:cs="Arabic Typesetting" w:hint="cs"/>
          <w:sz w:val="36"/>
          <w:szCs w:val="36"/>
          <w:rtl/>
        </w:rPr>
        <w:t>و</w:t>
      </w:r>
      <w:r w:rsidRPr="004A1E8E">
        <w:rPr>
          <w:rFonts w:ascii="Arabic Typesetting" w:hAnsi="Arabic Typesetting" w:cs="Arabic Typesetting"/>
          <w:sz w:val="36"/>
          <w:szCs w:val="36"/>
          <w:rtl/>
        </w:rPr>
        <w:t xml:space="preserve">حصانات </w:t>
      </w:r>
      <w:r>
        <w:rPr>
          <w:rFonts w:ascii="Arabic Typesetting" w:hAnsi="Arabic Typesetting" w:cs="Arabic Typesetting" w:hint="cs"/>
          <w:sz w:val="36"/>
          <w:szCs w:val="36"/>
          <w:rtl/>
        </w:rPr>
        <w:t>بناء</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على </w:t>
      </w:r>
      <w:r w:rsidRPr="004A1E8E">
        <w:rPr>
          <w:rFonts w:ascii="Arabic Typesetting" w:hAnsi="Arabic Typesetting" w:cs="Arabic Typesetting"/>
          <w:sz w:val="36"/>
          <w:szCs w:val="36"/>
          <w:rtl/>
        </w:rPr>
        <w:t xml:space="preserve">اتفاقية امتيازات الوكالات المتخصصة </w:t>
      </w:r>
      <w:r>
        <w:rPr>
          <w:rFonts w:ascii="Arabic Typesetting" w:hAnsi="Arabic Typesetting" w:cs="Arabic Typesetting" w:hint="cs"/>
          <w:sz w:val="36"/>
          <w:szCs w:val="36"/>
          <w:rtl/>
        </w:rPr>
        <w:t xml:space="preserve">للأمم المتحدة </w:t>
      </w:r>
      <w:r w:rsidRPr="004A1E8E">
        <w:rPr>
          <w:rFonts w:ascii="Arabic Typesetting" w:hAnsi="Arabic Typesetting" w:cs="Arabic Typesetting"/>
          <w:sz w:val="36"/>
          <w:szCs w:val="36"/>
          <w:rtl/>
        </w:rPr>
        <w:t xml:space="preserve">وحصاناتها، كما أقرتها الجمعية العامة للأمم المتحدة في </w:t>
      </w:r>
      <w:r>
        <w:rPr>
          <w:rFonts w:ascii="Arabic Typesetting" w:hAnsi="Arabic Typesetting" w:cs="Arabic Typesetting" w:hint="cs"/>
          <w:sz w:val="36"/>
          <w:szCs w:val="36"/>
          <w:rtl/>
        </w:rPr>
        <w:t>سنة</w:t>
      </w:r>
      <w:r w:rsidRPr="004A1E8E">
        <w:rPr>
          <w:rFonts w:ascii="Arabic Typesetting" w:hAnsi="Arabic Typesetting" w:cs="Arabic Typesetting"/>
          <w:sz w:val="36"/>
          <w:szCs w:val="36"/>
          <w:rtl/>
        </w:rPr>
        <w:t xml:space="preserve"> 1947</w:t>
      </w:r>
      <w:r>
        <w:rPr>
          <w:rFonts w:ascii="Arabic Typesetting" w:hAnsi="Arabic Typesetting" w:cs="Arabic Typesetting" w:hint="cs"/>
          <w:sz w:val="36"/>
          <w:szCs w:val="36"/>
          <w:rtl/>
        </w:rPr>
        <w:t>، و</w:t>
      </w:r>
      <w:r w:rsidRPr="007A01D6">
        <w:rPr>
          <w:rFonts w:ascii="Arabic Typesetting" w:hAnsi="Arabic Typesetting" w:cs="Arabic Typesetting"/>
          <w:sz w:val="36"/>
          <w:szCs w:val="36"/>
          <w:rtl/>
        </w:rPr>
        <w:t xml:space="preserve">اتفاق </w:t>
      </w:r>
      <w:r>
        <w:rPr>
          <w:rFonts w:ascii="Arabic Typesetting" w:hAnsi="Arabic Typesetting" w:cs="Arabic Typesetting" w:hint="cs"/>
          <w:sz w:val="36"/>
          <w:szCs w:val="36"/>
          <w:rtl/>
        </w:rPr>
        <w:t>ال</w:t>
      </w:r>
      <w:r w:rsidRPr="007A01D6">
        <w:rPr>
          <w:rFonts w:ascii="Arabic Typesetting" w:hAnsi="Arabic Typesetting" w:cs="Arabic Typesetting"/>
          <w:sz w:val="36"/>
          <w:szCs w:val="36"/>
          <w:rtl/>
        </w:rPr>
        <w:t xml:space="preserve">مقر المبرم مع المجلس </w:t>
      </w:r>
      <w:r>
        <w:rPr>
          <w:rFonts w:ascii="Arabic Typesetting" w:hAnsi="Arabic Typesetting" w:cs="Arabic Typesetting" w:hint="cs"/>
          <w:sz w:val="36"/>
          <w:szCs w:val="36"/>
          <w:rtl/>
        </w:rPr>
        <w:t>الفدرالي</w:t>
      </w:r>
      <w:r w:rsidRPr="007A01D6">
        <w:rPr>
          <w:rFonts w:ascii="Arabic Typesetting" w:hAnsi="Arabic Typesetting" w:cs="Arabic Typesetting"/>
          <w:sz w:val="36"/>
          <w:szCs w:val="36"/>
          <w:rtl/>
        </w:rPr>
        <w:t xml:space="preserve"> السويسري</w:t>
      </w:r>
      <w:r>
        <w:rPr>
          <w:rFonts w:ascii="Arabic Typesetting" w:hAnsi="Arabic Typesetting" w:cs="Arabic Typesetting" w:hint="cs"/>
          <w:sz w:val="36"/>
          <w:szCs w:val="36"/>
          <w:rtl/>
        </w:rPr>
        <w:t xml:space="preserve"> في سنة</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1970 ولا سيما فيما يتعلق بالإعفاء من دفع معظم أنواع الضرائب المباشرة وغير المباشرة.</w:t>
      </w:r>
    </w:p>
    <w:p w14:paraId="09675B2D" w14:textId="77777777"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وتخضع الويبو للهيئات الرئاسية التالية التي أنشئت بموجب اتفاقية الويبو وتجتمع في دورات عادية مرة كل سنتين على الأقل ولها أن تجتمع في دورات استثنائية </w:t>
      </w:r>
      <w:r>
        <w:rPr>
          <w:rFonts w:ascii="Arabic Typesetting" w:hAnsi="Arabic Typesetting" w:cs="Arabic Typesetting"/>
          <w:sz w:val="36"/>
          <w:szCs w:val="36"/>
          <w:rtl/>
        </w:rPr>
        <w:t>في السن</w:t>
      </w:r>
      <w:r>
        <w:rPr>
          <w:rFonts w:ascii="Arabic Typesetting" w:hAnsi="Arabic Typesetting" w:cs="Arabic Typesetting" w:hint="cs"/>
          <w:sz w:val="36"/>
          <w:szCs w:val="36"/>
          <w:rtl/>
        </w:rPr>
        <w:t>وات الأخرى:</w:t>
      </w:r>
    </w:p>
    <w:p w14:paraId="5D2180E6" w14:textId="77777777" w:rsidR="00E16243" w:rsidRPr="00182157" w:rsidRDefault="00E16243" w:rsidP="00182157">
      <w:pPr>
        <w:pStyle w:val="ListParagraph"/>
        <w:numPr>
          <w:ilvl w:val="0"/>
          <w:numId w:val="36"/>
        </w:numPr>
        <w:bidi/>
        <w:spacing w:after="240" w:line="360" w:lineRule="exact"/>
        <w:rPr>
          <w:rFonts w:ascii="Arabic Typesetting" w:hAnsi="Arabic Typesetting" w:cs="Arabic Typesetting"/>
          <w:sz w:val="36"/>
          <w:szCs w:val="36"/>
          <w:rtl/>
        </w:rPr>
      </w:pPr>
      <w:r w:rsidRPr="00182157">
        <w:rPr>
          <w:rFonts w:ascii="Arabic Typesetting" w:hAnsi="Arabic Typesetting" w:cs="Arabic Typesetting"/>
          <w:sz w:val="36"/>
          <w:szCs w:val="36"/>
          <w:rtl/>
        </w:rPr>
        <w:t>الجمعية العامة</w:t>
      </w:r>
      <w:r w:rsidRPr="00182157">
        <w:rPr>
          <w:rFonts w:ascii="Arabic Typesetting" w:hAnsi="Arabic Typesetting" w:cs="Arabic Typesetting" w:hint="cs"/>
          <w:sz w:val="36"/>
          <w:szCs w:val="36"/>
          <w:rtl/>
        </w:rPr>
        <w:t>، والتي تتألف</w:t>
      </w:r>
      <w:r w:rsidRPr="00182157">
        <w:rPr>
          <w:rFonts w:ascii="Arabic Typesetting" w:hAnsi="Arabic Typesetting" w:cs="Arabic Typesetting"/>
          <w:sz w:val="36"/>
          <w:szCs w:val="36"/>
          <w:rtl/>
        </w:rPr>
        <w:t xml:space="preserve"> من الدول </w:t>
      </w:r>
      <w:r w:rsidRPr="00182157">
        <w:rPr>
          <w:rFonts w:ascii="Arabic Typesetting" w:hAnsi="Arabic Typesetting" w:cs="Arabic Typesetting" w:hint="cs"/>
          <w:sz w:val="36"/>
          <w:szCs w:val="36"/>
          <w:rtl/>
        </w:rPr>
        <w:t>الأطراف</w:t>
      </w:r>
      <w:r w:rsidRPr="00182157">
        <w:rPr>
          <w:rFonts w:ascii="Arabic Typesetting" w:hAnsi="Arabic Typesetting" w:cs="Arabic Typesetting"/>
          <w:sz w:val="36"/>
          <w:szCs w:val="36"/>
          <w:rtl/>
        </w:rPr>
        <w:t xml:space="preserve"> في</w:t>
      </w:r>
      <w:r w:rsidRPr="00182157">
        <w:rPr>
          <w:rFonts w:ascii="Arabic Typesetting" w:hAnsi="Arabic Typesetting" w:cs="Arabic Typesetting" w:hint="cs"/>
          <w:sz w:val="36"/>
          <w:szCs w:val="36"/>
          <w:rtl/>
        </w:rPr>
        <w:t xml:space="preserve"> اتفاقية</w:t>
      </w:r>
      <w:r w:rsidRPr="00182157">
        <w:rPr>
          <w:rFonts w:ascii="Arabic Typesetting" w:hAnsi="Arabic Typesetting" w:cs="Arabic Typesetting"/>
          <w:sz w:val="36"/>
          <w:szCs w:val="36"/>
          <w:rtl/>
        </w:rPr>
        <w:t xml:space="preserve"> الويبو و</w:t>
      </w:r>
      <w:r w:rsidRPr="00182157">
        <w:rPr>
          <w:rFonts w:ascii="Arabic Typesetting" w:hAnsi="Arabic Typesetting" w:cs="Arabic Typesetting" w:hint="cs"/>
          <w:sz w:val="36"/>
          <w:szCs w:val="36"/>
          <w:rtl/>
        </w:rPr>
        <w:t xml:space="preserve">الأعضاء </w:t>
      </w:r>
      <w:r w:rsidRPr="00182157">
        <w:rPr>
          <w:rFonts w:ascii="Arabic Typesetting" w:hAnsi="Arabic Typesetting" w:cs="Arabic Typesetting"/>
          <w:sz w:val="36"/>
          <w:szCs w:val="36"/>
          <w:rtl/>
        </w:rPr>
        <w:t>في أي من الاتحادات</w:t>
      </w:r>
      <w:r w:rsidRPr="00182157">
        <w:rPr>
          <w:rFonts w:ascii="Arabic Typesetting" w:hAnsi="Arabic Typesetting" w:cs="Arabic Typesetting" w:hint="cs"/>
          <w:sz w:val="36"/>
          <w:szCs w:val="36"/>
          <w:rtl/>
        </w:rPr>
        <w:t>،</w:t>
      </w:r>
      <w:r w:rsidRPr="00182157">
        <w:rPr>
          <w:rFonts w:ascii="Arabic Typesetting" w:hAnsi="Arabic Typesetting" w:cs="Arabic Typesetting"/>
          <w:sz w:val="36"/>
          <w:szCs w:val="36"/>
          <w:rtl/>
        </w:rPr>
        <w:t xml:space="preserve"> </w:t>
      </w:r>
      <w:r w:rsidRPr="00182157">
        <w:rPr>
          <w:rFonts w:ascii="Arabic Typesetting" w:hAnsi="Arabic Typesetting" w:cs="Arabic Typesetting" w:hint="cs"/>
          <w:sz w:val="36"/>
          <w:szCs w:val="36"/>
          <w:rtl/>
        </w:rPr>
        <w:t>وهي مسؤولة عن</w:t>
      </w:r>
      <w:r w:rsidRPr="00182157">
        <w:rPr>
          <w:rFonts w:ascii="Arabic Typesetting" w:hAnsi="Arabic Typesetting" w:cs="Arabic Typesetting"/>
          <w:sz w:val="36"/>
          <w:szCs w:val="36"/>
          <w:rtl/>
        </w:rPr>
        <w:t xml:space="preserve"> تعيين المدير العام </w:t>
      </w:r>
      <w:r w:rsidRPr="00182157">
        <w:rPr>
          <w:rFonts w:ascii="Arabic Typesetting" w:hAnsi="Arabic Typesetting" w:cs="Arabic Typesetting" w:hint="cs"/>
          <w:sz w:val="36"/>
          <w:szCs w:val="36"/>
          <w:rtl/>
        </w:rPr>
        <w:t>لفترة محددة لا تقل عن ست سنوات،</w:t>
      </w:r>
      <w:r w:rsidRPr="00182157">
        <w:rPr>
          <w:rFonts w:ascii="Arabic Typesetting" w:hAnsi="Arabic Typesetting" w:cs="Arabic Typesetting"/>
          <w:sz w:val="36"/>
          <w:szCs w:val="36"/>
          <w:rtl/>
        </w:rPr>
        <w:t xml:space="preserve"> </w:t>
      </w:r>
      <w:r w:rsidRPr="00182157">
        <w:rPr>
          <w:rFonts w:ascii="Arabic Typesetting" w:hAnsi="Arabic Typesetting" w:cs="Arabic Typesetting" w:hint="cs"/>
          <w:sz w:val="36"/>
          <w:szCs w:val="36"/>
          <w:rtl/>
        </w:rPr>
        <w:t>واعتماد</w:t>
      </w:r>
      <w:r w:rsidRPr="00182157">
        <w:rPr>
          <w:rFonts w:ascii="Arabic Typesetting" w:hAnsi="Arabic Typesetting" w:cs="Arabic Typesetting"/>
          <w:sz w:val="36"/>
          <w:szCs w:val="36"/>
          <w:rtl/>
        </w:rPr>
        <w:t xml:space="preserve"> </w:t>
      </w:r>
      <w:r w:rsidRPr="00182157">
        <w:rPr>
          <w:rFonts w:ascii="Arabic Typesetting" w:hAnsi="Arabic Typesetting" w:cs="Arabic Typesetting" w:hint="cs"/>
          <w:sz w:val="36"/>
          <w:szCs w:val="36"/>
          <w:rtl/>
        </w:rPr>
        <w:t>ال</w:t>
      </w:r>
      <w:r w:rsidRPr="00182157">
        <w:rPr>
          <w:rFonts w:ascii="Arabic Typesetting" w:hAnsi="Arabic Typesetting" w:cs="Arabic Typesetting"/>
          <w:sz w:val="36"/>
          <w:szCs w:val="36"/>
          <w:rtl/>
        </w:rPr>
        <w:t xml:space="preserve">ميزانية </w:t>
      </w:r>
      <w:r w:rsidRPr="00182157">
        <w:rPr>
          <w:rFonts w:ascii="Arabic Typesetting" w:hAnsi="Arabic Typesetting" w:cs="Arabic Typesetting" w:hint="cs"/>
          <w:sz w:val="36"/>
          <w:szCs w:val="36"/>
          <w:rtl/>
        </w:rPr>
        <w:t>للمصروفات</w:t>
      </w:r>
      <w:r w:rsidRPr="00182157">
        <w:rPr>
          <w:rFonts w:ascii="Arabic Typesetting" w:hAnsi="Arabic Typesetting" w:cs="Arabic Typesetting"/>
          <w:sz w:val="36"/>
          <w:szCs w:val="36"/>
          <w:rtl/>
        </w:rPr>
        <w:t xml:space="preserve"> المشتركة بين </w:t>
      </w:r>
      <w:r w:rsidRPr="00182157">
        <w:rPr>
          <w:rFonts w:ascii="Arabic Typesetting" w:hAnsi="Arabic Typesetting" w:cs="Arabic Typesetting" w:hint="cs"/>
          <w:sz w:val="36"/>
          <w:szCs w:val="36"/>
          <w:rtl/>
        </w:rPr>
        <w:t xml:space="preserve">جميع </w:t>
      </w:r>
      <w:r w:rsidRPr="00182157">
        <w:rPr>
          <w:rFonts w:ascii="Arabic Typesetting" w:hAnsi="Arabic Typesetting" w:cs="Arabic Typesetting"/>
          <w:sz w:val="36"/>
          <w:szCs w:val="36"/>
          <w:rtl/>
        </w:rPr>
        <w:t xml:space="preserve">الاتحادات </w:t>
      </w:r>
      <w:r w:rsidRPr="00182157">
        <w:rPr>
          <w:rFonts w:ascii="Arabic Typesetting" w:hAnsi="Arabic Typesetting" w:cs="Arabic Typesetting" w:hint="cs"/>
          <w:sz w:val="36"/>
          <w:szCs w:val="36"/>
          <w:rtl/>
        </w:rPr>
        <w:t>واعتماد</w:t>
      </w:r>
      <w:r w:rsidRPr="00182157">
        <w:rPr>
          <w:rFonts w:ascii="Arabic Typesetting" w:hAnsi="Arabic Typesetting" w:cs="Arabic Typesetting"/>
          <w:sz w:val="36"/>
          <w:szCs w:val="36"/>
          <w:rtl/>
        </w:rPr>
        <w:t xml:space="preserve"> النظام المالي للمنظمة</w:t>
      </w:r>
      <w:r w:rsidRPr="00182157">
        <w:rPr>
          <w:rFonts w:ascii="Arabic Typesetting" w:hAnsi="Arabic Typesetting" w:cs="Arabic Typesetting" w:hint="cs"/>
          <w:sz w:val="36"/>
          <w:szCs w:val="36"/>
          <w:rtl/>
        </w:rPr>
        <w:t>، ودعوة الدول إلى أن تصبح أعضاء في المنظمة وغيرها من الوظائف التي حددتها الاتفاقية.</w:t>
      </w:r>
    </w:p>
    <w:p w14:paraId="695AD031" w14:textId="77777777" w:rsidR="00E16243" w:rsidRPr="00182157" w:rsidRDefault="00E16243" w:rsidP="00182157">
      <w:pPr>
        <w:pStyle w:val="ListParagraph"/>
        <w:numPr>
          <w:ilvl w:val="0"/>
          <w:numId w:val="36"/>
        </w:numPr>
        <w:bidi/>
        <w:spacing w:after="240" w:line="360" w:lineRule="exact"/>
        <w:rPr>
          <w:rFonts w:ascii="Arabic Typesetting" w:hAnsi="Arabic Typesetting" w:cs="Arabic Typesetting"/>
          <w:sz w:val="36"/>
          <w:szCs w:val="36"/>
          <w:rtl/>
        </w:rPr>
      </w:pPr>
      <w:r w:rsidRPr="00182157">
        <w:rPr>
          <w:rFonts w:ascii="Arabic Typesetting" w:hAnsi="Arabic Typesetting" w:cs="Arabic Typesetting" w:hint="cs"/>
          <w:sz w:val="36"/>
          <w:szCs w:val="36"/>
          <w:rtl/>
        </w:rPr>
        <w:t>و</w:t>
      </w:r>
      <w:r w:rsidRPr="00182157">
        <w:rPr>
          <w:rFonts w:ascii="Arabic Typesetting" w:hAnsi="Arabic Typesetting" w:cs="Arabic Typesetting"/>
          <w:sz w:val="36"/>
          <w:szCs w:val="36"/>
          <w:rtl/>
        </w:rPr>
        <w:t xml:space="preserve">مؤتمر الويبو </w:t>
      </w:r>
      <w:r w:rsidRPr="00182157">
        <w:rPr>
          <w:rFonts w:ascii="Arabic Typesetting" w:hAnsi="Arabic Typesetting" w:cs="Arabic Typesetting" w:hint="cs"/>
          <w:sz w:val="36"/>
          <w:szCs w:val="36"/>
          <w:rtl/>
        </w:rPr>
        <w:t>الذي يتألف</w:t>
      </w:r>
      <w:r w:rsidRPr="00182157">
        <w:rPr>
          <w:rFonts w:ascii="Arabic Typesetting" w:hAnsi="Arabic Typesetting" w:cs="Arabic Typesetting"/>
          <w:sz w:val="36"/>
          <w:szCs w:val="36"/>
          <w:rtl/>
        </w:rPr>
        <w:t xml:space="preserve"> من </w:t>
      </w:r>
      <w:r w:rsidRPr="00182157">
        <w:rPr>
          <w:rFonts w:ascii="Arabic Typesetting" w:hAnsi="Arabic Typesetting" w:cs="Arabic Typesetting" w:hint="cs"/>
          <w:sz w:val="36"/>
          <w:szCs w:val="36"/>
          <w:rtl/>
        </w:rPr>
        <w:t xml:space="preserve">جميع </w:t>
      </w:r>
      <w:r w:rsidRPr="00182157">
        <w:rPr>
          <w:rFonts w:ascii="Arabic Typesetting" w:hAnsi="Arabic Typesetting" w:cs="Arabic Typesetting"/>
          <w:sz w:val="36"/>
          <w:szCs w:val="36"/>
          <w:rtl/>
        </w:rPr>
        <w:t xml:space="preserve">الدول </w:t>
      </w:r>
      <w:r w:rsidRPr="00182157">
        <w:rPr>
          <w:rFonts w:ascii="Arabic Typesetting" w:hAnsi="Arabic Typesetting" w:cs="Arabic Typesetting" w:hint="cs"/>
          <w:sz w:val="36"/>
          <w:szCs w:val="36"/>
          <w:rtl/>
        </w:rPr>
        <w:t>الأعضاء،</w:t>
      </w:r>
      <w:r w:rsidRPr="00182157">
        <w:rPr>
          <w:rFonts w:ascii="Arabic Typesetting" w:hAnsi="Arabic Typesetting" w:cs="Arabic Typesetting"/>
          <w:sz w:val="36"/>
          <w:szCs w:val="36"/>
          <w:rtl/>
        </w:rPr>
        <w:t xml:space="preserve"> </w:t>
      </w:r>
      <w:r w:rsidRPr="00182157">
        <w:rPr>
          <w:rFonts w:ascii="Arabic Typesetting" w:hAnsi="Arabic Typesetting" w:cs="Arabic Typesetting" w:hint="cs"/>
          <w:sz w:val="36"/>
          <w:szCs w:val="36"/>
          <w:rtl/>
        </w:rPr>
        <w:t>سواء كانت أعضاء في أي من الاتحادات أو لم تكن.</w:t>
      </w:r>
      <w:r w:rsidRPr="00182157">
        <w:rPr>
          <w:rFonts w:ascii="Arabic Typesetting" w:hAnsi="Arabic Typesetting" w:cs="Arabic Typesetting"/>
          <w:sz w:val="36"/>
          <w:szCs w:val="36"/>
          <w:rtl/>
        </w:rPr>
        <w:t xml:space="preserve"> </w:t>
      </w:r>
      <w:r w:rsidRPr="00182157">
        <w:rPr>
          <w:rFonts w:ascii="Arabic Typesetting" w:hAnsi="Arabic Typesetting" w:cs="Arabic Typesetting" w:hint="cs"/>
          <w:sz w:val="36"/>
          <w:szCs w:val="36"/>
          <w:rtl/>
        </w:rPr>
        <w:t>ويعتمد المؤتمر ميزانيته</w:t>
      </w:r>
      <w:r w:rsidRPr="00182157">
        <w:rPr>
          <w:rFonts w:ascii="Arabic Typesetting" w:hAnsi="Arabic Typesetting" w:cs="Arabic Typesetting"/>
          <w:sz w:val="36"/>
          <w:szCs w:val="36"/>
          <w:rtl/>
        </w:rPr>
        <w:t xml:space="preserve"> </w:t>
      </w:r>
      <w:r w:rsidRPr="00182157">
        <w:rPr>
          <w:rFonts w:ascii="Arabic Typesetting" w:hAnsi="Arabic Typesetting" w:cs="Arabic Typesetting" w:hint="cs"/>
          <w:sz w:val="36"/>
          <w:szCs w:val="36"/>
          <w:rtl/>
        </w:rPr>
        <w:t>و</w:t>
      </w:r>
      <w:r w:rsidRPr="00182157">
        <w:rPr>
          <w:rFonts w:ascii="Arabic Typesetting" w:hAnsi="Arabic Typesetting" w:cs="Arabic Typesetting"/>
          <w:sz w:val="36"/>
          <w:szCs w:val="36"/>
          <w:rtl/>
        </w:rPr>
        <w:t xml:space="preserve">التعديلات على الاتفاقية </w:t>
      </w:r>
      <w:r w:rsidRPr="00182157">
        <w:rPr>
          <w:rFonts w:ascii="Arabic Typesetting" w:hAnsi="Arabic Typesetting" w:cs="Arabic Typesetting" w:hint="cs"/>
          <w:sz w:val="36"/>
          <w:szCs w:val="36"/>
          <w:rtl/>
        </w:rPr>
        <w:t>فضلا عن وظائف أخرى حسب الاقتضاء.</w:t>
      </w:r>
    </w:p>
    <w:p w14:paraId="5BF1E36E" w14:textId="0976E2F3" w:rsidR="00E16243" w:rsidRPr="00182157" w:rsidRDefault="00E16243" w:rsidP="00182157">
      <w:pPr>
        <w:pStyle w:val="ListParagraph"/>
        <w:numPr>
          <w:ilvl w:val="0"/>
          <w:numId w:val="36"/>
        </w:numPr>
        <w:bidi/>
        <w:rPr>
          <w:rFonts w:ascii="Arabic Typesetting" w:hAnsi="Arabic Typesetting" w:cs="Arabic Typesetting"/>
          <w:sz w:val="36"/>
          <w:szCs w:val="36"/>
          <w:rtl/>
        </w:rPr>
      </w:pPr>
      <w:r w:rsidRPr="00182157">
        <w:rPr>
          <w:rFonts w:ascii="Arabic Typesetting" w:hAnsi="Arabic Typesetting" w:cs="Arabic Typesetting"/>
          <w:sz w:val="36"/>
          <w:szCs w:val="36"/>
          <w:rtl/>
        </w:rPr>
        <w:t xml:space="preserve">ولجنة الويبو للتنسيق </w:t>
      </w:r>
      <w:r w:rsidRPr="00182157">
        <w:rPr>
          <w:rFonts w:ascii="Arabic Typesetting" w:hAnsi="Arabic Typesetting" w:cs="Arabic Typesetting" w:hint="cs"/>
          <w:sz w:val="36"/>
          <w:szCs w:val="36"/>
          <w:rtl/>
        </w:rPr>
        <w:t xml:space="preserve">التي </w:t>
      </w:r>
      <w:r w:rsidRPr="00182157">
        <w:rPr>
          <w:rFonts w:ascii="Arabic Typesetting" w:hAnsi="Arabic Typesetting" w:cs="Arabic Typesetting"/>
          <w:sz w:val="36"/>
          <w:szCs w:val="36"/>
          <w:rtl/>
        </w:rPr>
        <w:t>تتألف من أعضاء اللجن</w:t>
      </w:r>
      <w:r w:rsidRPr="00182157">
        <w:rPr>
          <w:rFonts w:ascii="Arabic Typesetting" w:hAnsi="Arabic Typesetting" w:cs="Arabic Typesetting" w:hint="cs"/>
          <w:sz w:val="36"/>
          <w:szCs w:val="36"/>
          <w:rtl/>
        </w:rPr>
        <w:t>تين</w:t>
      </w:r>
      <w:r w:rsidRPr="00182157">
        <w:rPr>
          <w:rFonts w:ascii="Arabic Typesetting" w:hAnsi="Arabic Typesetting" w:cs="Arabic Typesetting"/>
          <w:sz w:val="36"/>
          <w:szCs w:val="36"/>
          <w:rtl/>
        </w:rPr>
        <w:t xml:space="preserve"> التنفيذي</w:t>
      </w:r>
      <w:r w:rsidRPr="00182157">
        <w:rPr>
          <w:rFonts w:ascii="Arabic Typesetting" w:hAnsi="Arabic Typesetting" w:cs="Arabic Typesetting" w:hint="cs"/>
          <w:sz w:val="36"/>
          <w:szCs w:val="36"/>
          <w:rtl/>
        </w:rPr>
        <w:t>تين</w:t>
      </w:r>
      <w:r w:rsidRPr="00182157">
        <w:rPr>
          <w:rFonts w:ascii="Arabic Typesetting" w:hAnsi="Arabic Typesetting" w:cs="Arabic Typesetting"/>
          <w:sz w:val="36"/>
          <w:szCs w:val="36"/>
          <w:rtl/>
        </w:rPr>
        <w:t xml:space="preserve"> لاتحاد</w:t>
      </w:r>
      <w:r w:rsidRPr="00182157">
        <w:rPr>
          <w:rFonts w:ascii="Arabic Typesetting" w:hAnsi="Arabic Typesetting" w:cs="Arabic Typesetting" w:hint="cs"/>
          <w:sz w:val="36"/>
          <w:szCs w:val="36"/>
          <w:rtl/>
        </w:rPr>
        <w:t>ي</w:t>
      </w:r>
      <w:r w:rsidRPr="00182157">
        <w:rPr>
          <w:rFonts w:ascii="Arabic Typesetting" w:hAnsi="Arabic Typesetting" w:cs="Arabic Typesetting"/>
          <w:sz w:val="36"/>
          <w:szCs w:val="36"/>
          <w:rtl/>
        </w:rPr>
        <w:t xml:space="preserve"> باريس وبرن</w:t>
      </w:r>
      <w:r w:rsidR="00182157">
        <w:rPr>
          <w:rFonts w:ascii="Arabic Typesetting" w:hAnsi="Arabic Typesetting" w:cs="Arabic Typesetting" w:hint="cs"/>
          <w:sz w:val="36"/>
          <w:szCs w:val="36"/>
          <w:rtl/>
        </w:rPr>
        <w:t xml:space="preserve"> </w:t>
      </w:r>
      <w:r w:rsidR="00182157" w:rsidRPr="00182157">
        <w:rPr>
          <w:rFonts w:ascii="Arabic Typesetting" w:hAnsi="Arabic Typesetting" w:cs="Arabic Typesetting"/>
          <w:sz w:val="36"/>
          <w:szCs w:val="36"/>
          <w:rtl/>
        </w:rPr>
        <w:t xml:space="preserve">وربع عدد الدول الأطراف في اتفاقية الويبو غير الأعضاء في أي اتحاد، وسويسرا، باعتبارها الدولة </w:t>
      </w:r>
      <w:r w:rsidR="00182157">
        <w:rPr>
          <w:rFonts w:ascii="Arabic Typesetting" w:hAnsi="Arabic Typesetting" w:cs="Arabic Typesetting"/>
          <w:sz w:val="36"/>
          <w:szCs w:val="36"/>
          <w:rtl/>
        </w:rPr>
        <w:t>التي يقع مقر المنظمة في أراضيها</w:t>
      </w:r>
      <w:r w:rsidRPr="00182157">
        <w:rPr>
          <w:rFonts w:ascii="Arabic Typesetting" w:hAnsi="Arabic Typesetting" w:cs="Arabic Typesetting" w:hint="cs"/>
          <w:sz w:val="36"/>
          <w:szCs w:val="36"/>
          <w:rtl/>
        </w:rPr>
        <w:t>. وتختار اللجنة أسماء مرشحين ل</w:t>
      </w:r>
      <w:r w:rsidRPr="00182157">
        <w:rPr>
          <w:rFonts w:ascii="Arabic Typesetting" w:hAnsi="Arabic Typesetting" w:cs="Arabic Typesetting"/>
          <w:sz w:val="36"/>
          <w:szCs w:val="36"/>
          <w:rtl/>
        </w:rPr>
        <w:t xml:space="preserve">منصب المدير العام </w:t>
      </w:r>
      <w:r w:rsidRPr="00182157">
        <w:rPr>
          <w:rFonts w:ascii="Arabic Typesetting" w:hAnsi="Arabic Typesetting" w:cs="Arabic Typesetting" w:hint="cs"/>
          <w:sz w:val="36"/>
          <w:szCs w:val="36"/>
          <w:rtl/>
        </w:rPr>
        <w:t>و</w:t>
      </w:r>
      <w:r w:rsidRPr="00182157">
        <w:rPr>
          <w:rFonts w:ascii="Arabic Typesetting" w:hAnsi="Arabic Typesetting" w:cs="Arabic Typesetting"/>
          <w:sz w:val="36"/>
          <w:szCs w:val="36"/>
          <w:rtl/>
        </w:rPr>
        <w:t>ت</w:t>
      </w:r>
      <w:r w:rsidRPr="00182157">
        <w:rPr>
          <w:rFonts w:ascii="Arabic Typesetting" w:hAnsi="Arabic Typesetting" w:cs="Arabic Typesetting" w:hint="cs"/>
          <w:sz w:val="36"/>
          <w:szCs w:val="36"/>
          <w:rtl/>
        </w:rPr>
        <w:t xml:space="preserve">صوغ </w:t>
      </w:r>
      <w:r w:rsidRPr="00182157">
        <w:rPr>
          <w:rFonts w:ascii="Arabic Typesetting" w:hAnsi="Arabic Typesetting" w:cs="Arabic Typesetting"/>
          <w:sz w:val="36"/>
          <w:szCs w:val="36"/>
          <w:rtl/>
        </w:rPr>
        <w:t>جد</w:t>
      </w:r>
      <w:r w:rsidRPr="00182157">
        <w:rPr>
          <w:rFonts w:ascii="Arabic Typesetting" w:hAnsi="Arabic Typesetting" w:cs="Arabic Typesetting" w:hint="cs"/>
          <w:sz w:val="36"/>
          <w:szCs w:val="36"/>
          <w:rtl/>
        </w:rPr>
        <w:t>ا</w:t>
      </w:r>
      <w:r w:rsidRPr="00182157">
        <w:rPr>
          <w:rFonts w:ascii="Arabic Typesetting" w:hAnsi="Arabic Typesetting" w:cs="Arabic Typesetting"/>
          <w:sz w:val="36"/>
          <w:szCs w:val="36"/>
          <w:rtl/>
        </w:rPr>
        <w:t xml:space="preserve">ول أعمال الجمعية العامة </w:t>
      </w:r>
      <w:r w:rsidRPr="00182157">
        <w:rPr>
          <w:rFonts w:ascii="Arabic Typesetting" w:hAnsi="Arabic Typesetting" w:cs="Arabic Typesetting" w:hint="cs"/>
          <w:sz w:val="36"/>
          <w:szCs w:val="36"/>
          <w:rtl/>
        </w:rPr>
        <w:t>و</w:t>
      </w:r>
      <w:r w:rsidRPr="00182157">
        <w:rPr>
          <w:rFonts w:ascii="Arabic Typesetting" w:hAnsi="Arabic Typesetting" w:cs="Arabic Typesetting"/>
          <w:sz w:val="36"/>
          <w:szCs w:val="36"/>
          <w:rtl/>
        </w:rPr>
        <w:t xml:space="preserve">البرنامج والميزانية </w:t>
      </w:r>
      <w:r w:rsidRPr="00182157">
        <w:rPr>
          <w:rFonts w:ascii="Arabic Typesetting" w:hAnsi="Arabic Typesetting" w:cs="Arabic Typesetting" w:hint="cs"/>
          <w:sz w:val="36"/>
          <w:szCs w:val="36"/>
          <w:rtl/>
        </w:rPr>
        <w:t>لل</w:t>
      </w:r>
      <w:r w:rsidRPr="00182157">
        <w:rPr>
          <w:rFonts w:ascii="Arabic Typesetting" w:hAnsi="Arabic Typesetting" w:cs="Arabic Typesetting"/>
          <w:sz w:val="36"/>
          <w:szCs w:val="36"/>
          <w:rtl/>
        </w:rPr>
        <w:t xml:space="preserve">مؤتمر </w:t>
      </w:r>
      <w:r w:rsidRPr="00182157">
        <w:rPr>
          <w:rFonts w:ascii="Arabic Typesetting" w:hAnsi="Arabic Typesetting" w:cs="Arabic Typesetting" w:hint="cs"/>
          <w:sz w:val="36"/>
          <w:szCs w:val="36"/>
          <w:rtl/>
        </w:rPr>
        <w:t>وتؤدي واجبات أخرى تكلّف بها بموجب اتفاقية</w:t>
      </w:r>
      <w:r w:rsidRPr="00182157">
        <w:rPr>
          <w:rFonts w:ascii="Arabic Typesetting" w:hAnsi="Arabic Typesetting" w:cs="Arabic Typesetting" w:hint="eastAsia"/>
          <w:sz w:val="36"/>
          <w:szCs w:val="36"/>
          <w:rtl/>
        </w:rPr>
        <w:t> </w:t>
      </w:r>
      <w:r w:rsidRPr="00182157">
        <w:rPr>
          <w:rFonts w:ascii="Arabic Typesetting" w:hAnsi="Arabic Typesetting" w:cs="Arabic Typesetting" w:hint="cs"/>
          <w:sz w:val="36"/>
          <w:szCs w:val="36"/>
          <w:rtl/>
        </w:rPr>
        <w:t>الويبو.</w:t>
      </w:r>
    </w:p>
    <w:p w14:paraId="69AEE7EC" w14:textId="77777777" w:rsidR="00E16243" w:rsidRPr="00182157" w:rsidRDefault="00E16243" w:rsidP="00182157">
      <w:pPr>
        <w:pStyle w:val="ListParagraph"/>
        <w:numPr>
          <w:ilvl w:val="0"/>
          <w:numId w:val="36"/>
        </w:numPr>
        <w:bidi/>
        <w:spacing w:after="240" w:line="360" w:lineRule="exact"/>
        <w:rPr>
          <w:rFonts w:ascii="Arabic Typesetting" w:hAnsi="Arabic Typesetting" w:cs="Arabic Typesetting"/>
          <w:sz w:val="36"/>
          <w:szCs w:val="36"/>
          <w:rtl/>
        </w:rPr>
      </w:pPr>
      <w:r w:rsidRPr="00182157">
        <w:rPr>
          <w:rFonts w:ascii="Arabic Typesetting" w:hAnsi="Arabic Typesetting" w:cs="Arabic Typesetting" w:hint="cs"/>
          <w:sz w:val="36"/>
          <w:szCs w:val="36"/>
          <w:rtl/>
        </w:rPr>
        <w:t xml:space="preserve">وتجتمع جمعيات اتحادات برن ولاهاي ونيس وليشبونة ولوكارنو وفيينا وبودابست </w:t>
      </w:r>
      <w:r w:rsidRPr="00182157">
        <w:rPr>
          <w:rFonts w:ascii="Arabic Typesetting" w:hAnsi="Arabic Typesetting" w:cs="Arabic Typesetting"/>
          <w:sz w:val="36"/>
          <w:szCs w:val="36"/>
          <w:rtl/>
        </w:rPr>
        <w:t>والتصنيف الدولي للبراءات</w:t>
      </w:r>
      <w:r w:rsidRPr="00182157">
        <w:rPr>
          <w:rFonts w:ascii="Arabic Typesetting" w:hAnsi="Arabic Typesetting" w:cs="Arabic Typesetting" w:hint="cs"/>
          <w:sz w:val="36"/>
          <w:szCs w:val="36"/>
          <w:rtl/>
        </w:rPr>
        <w:t xml:space="preserve"> وباريس بمقتضى المعاهدات التي أنشئ بموجبها كلٌ من الاتحادات التي تديرها الويبو وتعتمد تلك الأجزاء من ميزانية الويبو المرتبطة بالإيرادات والنفقات المنسوبة حصرياً إلى كل منها وتحدد مستوى الرسوم الواجب دفعها إلى الويبو لقاء الخدمات المقدمة بموجب كل</w:t>
      </w:r>
      <w:r w:rsidRPr="00182157">
        <w:rPr>
          <w:rFonts w:ascii="Arabic Typesetting" w:hAnsi="Arabic Typesetting" w:cs="Arabic Typesetting" w:hint="eastAsia"/>
          <w:sz w:val="36"/>
          <w:szCs w:val="36"/>
          <w:rtl/>
        </w:rPr>
        <w:t> </w:t>
      </w:r>
      <w:r w:rsidRPr="00182157">
        <w:rPr>
          <w:rFonts w:ascii="Arabic Typesetting" w:hAnsi="Arabic Typesetting" w:cs="Arabic Typesetting" w:hint="cs"/>
          <w:sz w:val="36"/>
          <w:szCs w:val="36"/>
          <w:rtl/>
        </w:rPr>
        <w:t>معاهدة.</w:t>
      </w:r>
    </w:p>
    <w:p w14:paraId="55AE24DF" w14:textId="69F3F709" w:rsidR="00E55E2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 xml:space="preserve">وتحصل الويبو على تمويلها من الرسوم المحصلة لقاء الخدمات التي تقدمها المنظمة ومن الاشتراكات التي تدفعها الدول الأعضاء ومن </w:t>
      </w:r>
      <w:r w:rsidR="00FD2528">
        <w:rPr>
          <w:rFonts w:ascii="Arabic Typesetting" w:hAnsi="Arabic Typesetting" w:cs="Arabic Typesetting" w:hint="cs"/>
          <w:sz w:val="36"/>
          <w:szCs w:val="36"/>
          <w:rtl/>
        </w:rPr>
        <w:t>المساهمات</w:t>
      </w:r>
      <w:r>
        <w:rPr>
          <w:rFonts w:ascii="Arabic Typesetting" w:hAnsi="Arabic Typesetting" w:cs="Arabic Typesetting" w:hint="cs"/>
          <w:sz w:val="36"/>
          <w:szCs w:val="36"/>
          <w:rtl/>
        </w:rPr>
        <w:t xml:space="preserve"> الطوعية من الدول الأعضاء وسائر الجهات المانحة. وتعمل المنظمة في إطار برنامج وميزانية لفترة سنتين بما</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يضمن اعتمادات تمثل ال</w:t>
      </w:r>
      <w:r w:rsidRPr="00F95E1E">
        <w:rPr>
          <w:rFonts w:ascii="Arabic Typesetting" w:hAnsi="Arabic Typesetting" w:cs="Arabic Typesetting"/>
          <w:sz w:val="36"/>
          <w:szCs w:val="36"/>
          <w:rtl/>
        </w:rPr>
        <w:t xml:space="preserve">تصريحات </w:t>
      </w:r>
      <w:r>
        <w:rPr>
          <w:rFonts w:ascii="Arabic Typesetting" w:hAnsi="Arabic Typesetting" w:cs="Arabic Typesetting" w:hint="cs"/>
          <w:sz w:val="36"/>
          <w:szCs w:val="36"/>
          <w:rtl/>
        </w:rPr>
        <w:t>بالإنفاق</w:t>
      </w:r>
      <w:r w:rsidRPr="00F95E1E">
        <w:rPr>
          <w:rFonts w:ascii="Arabic Typesetting" w:hAnsi="Arabic Typesetting" w:cs="Arabic Typesetting"/>
          <w:sz w:val="36"/>
          <w:szCs w:val="36"/>
          <w:rtl/>
        </w:rPr>
        <w:t xml:space="preserve"> من الميزانية التي توافق عليها الجمعية العامة ل</w:t>
      </w:r>
      <w:r>
        <w:rPr>
          <w:rFonts w:ascii="Arabic Typesetting" w:hAnsi="Arabic Typesetting" w:cs="Arabic Typesetting" w:hint="cs"/>
          <w:sz w:val="36"/>
          <w:szCs w:val="36"/>
          <w:rtl/>
        </w:rPr>
        <w:t xml:space="preserve">كل </w:t>
      </w:r>
      <w:r w:rsidRPr="00F95E1E">
        <w:rPr>
          <w:rFonts w:ascii="Arabic Typesetting" w:hAnsi="Arabic Typesetting" w:cs="Arabic Typesetting"/>
          <w:sz w:val="36"/>
          <w:szCs w:val="36"/>
          <w:rtl/>
        </w:rPr>
        <w:t>فترة مالية</w:t>
      </w:r>
      <w:r>
        <w:rPr>
          <w:rFonts w:ascii="Arabic Typesetting" w:hAnsi="Arabic Typesetting" w:cs="Arabic Typesetting" w:hint="cs"/>
          <w:sz w:val="36"/>
          <w:szCs w:val="36"/>
          <w:rtl/>
        </w:rPr>
        <w:t xml:space="preserve"> ما. وبفضل الموافقة على الاعتمادات يخوَّل المدير العام صلاحية التعهد بالمصروفات والتصريح بها وتسديد المدفوعات للأغراض المحددة لها في حدود الاعتمادات.</w:t>
      </w:r>
    </w:p>
    <w:p w14:paraId="1ACB6F41" w14:textId="4C0778B2" w:rsidR="00E16243" w:rsidRPr="00780749" w:rsidRDefault="00E16243" w:rsidP="0035596D">
      <w:pPr>
        <w:pStyle w:val="Heading2"/>
        <w:tabs>
          <w:tab w:val="left" w:pos="1417"/>
        </w:tabs>
        <w:bidi/>
        <w:rPr>
          <w:rFonts w:ascii="Arabic Typesetting" w:hAnsi="Arabic Typesetting" w:cs="Arabic Typesetting"/>
          <w:i/>
          <w:iCs w:val="0"/>
          <w:sz w:val="40"/>
          <w:szCs w:val="40"/>
          <w:rtl/>
        </w:rPr>
      </w:pPr>
      <w:bookmarkStart w:id="19" w:name="_Toc362519100"/>
      <w:r w:rsidRPr="00780749">
        <w:rPr>
          <w:rFonts w:ascii="Arabic Typesetting" w:hAnsi="Arabic Typesetting" w:cs="Arabic Typesetting" w:hint="cs"/>
          <w:i/>
          <w:iCs w:val="0"/>
          <w:sz w:val="40"/>
          <w:szCs w:val="40"/>
          <w:rtl/>
        </w:rPr>
        <w:t>الملاحظة 2:</w:t>
      </w:r>
      <w:r w:rsidR="0035596D">
        <w:rPr>
          <w:rFonts w:ascii="Arabic Typesetting" w:hAnsi="Arabic Typesetting" w:cs="Arabic Typesetting"/>
          <w:i/>
          <w:iCs w:val="0"/>
          <w:sz w:val="40"/>
          <w:szCs w:val="40"/>
        </w:rPr>
        <w:tab/>
      </w:r>
      <w:r w:rsidRPr="00780749">
        <w:rPr>
          <w:rFonts w:ascii="Arabic Typesetting" w:hAnsi="Arabic Typesetting" w:cs="Arabic Typesetting" w:hint="cs"/>
          <w:i/>
          <w:iCs w:val="0"/>
          <w:sz w:val="40"/>
          <w:szCs w:val="40"/>
          <w:rtl/>
        </w:rPr>
        <w:t>السياسات المحاسبية المهمة</w:t>
      </w:r>
      <w:bookmarkEnd w:id="19"/>
    </w:p>
    <w:p w14:paraId="0977CD16" w14:textId="7E7E2705" w:rsidR="00E16243" w:rsidRDefault="00FD2528"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أساس </w:t>
      </w:r>
      <w:r w:rsidR="00E16243">
        <w:rPr>
          <w:rFonts w:ascii="Arabic Typesetting" w:hAnsi="Arabic Typesetting" w:cs="Arabic Typesetting" w:hint="cs"/>
          <w:b/>
          <w:bCs/>
          <w:sz w:val="36"/>
          <w:szCs w:val="36"/>
          <w:rtl/>
        </w:rPr>
        <w:t>الإعداد</w:t>
      </w:r>
    </w:p>
    <w:p w14:paraId="54036882" w14:textId="088BD7BC" w:rsidR="00E16243" w:rsidRDefault="00E16243" w:rsidP="00E16243">
      <w:pPr>
        <w:bidi/>
        <w:spacing w:after="240" w:line="360" w:lineRule="exact"/>
        <w:rPr>
          <w:rFonts w:ascii="Arabic Typesetting" w:hAnsi="Arabic Typesetting" w:cs="Arabic Typesetting"/>
          <w:sz w:val="36"/>
          <w:szCs w:val="36"/>
          <w:rtl/>
        </w:rPr>
      </w:pPr>
      <w:r w:rsidRPr="00751CFA">
        <w:rPr>
          <w:rFonts w:ascii="Arabic Typesetting" w:hAnsi="Arabic Typesetting" w:cs="Arabic Typesetting" w:hint="cs"/>
          <w:sz w:val="36"/>
          <w:szCs w:val="36"/>
          <w:rtl/>
        </w:rPr>
        <w:t xml:space="preserve">أعدت هذه البيانات المالية على </w:t>
      </w:r>
      <w:r w:rsidR="00FD2528">
        <w:rPr>
          <w:rFonts w:ascii="Arabic Typesetting" w:hAnsi="Arabic Typesetting" w:cs="Arabic Typesetting" w:hint="cs"/>
          <w:sz w:val="36"/>
          <w:szCs w:val="36"/>
          <w:rtl/>
        </w:rPr>
        <w:t xml:space="preserve">أساس </w:t>
      </w:r>
      <w:r w:rsidRPr="00751CFA">
        <w:rPr>
          <w:rFonts w:ascii="Arabic Typesetting" w:hAnsi="Arabic Typesetting" w:cs="Arabic Typesetting" w:hint="cs"/>
          <w:sz w:val="36"/>
          <w:szCs w:val="36"/>
          <w:rtl/>
        </w:rPr>
        <w:t>الاستمرارية وملازمة الاستحقاق</w:t>
      </w:r>
      <w:r>
        <w:rPr>
          <w:rFonts w:ascii="Arabic Typesetting" w:hAnsi="Arabic Typesetting" w:cs="Arabic Typesetting" w:hint="cs"/>
          <w:sz w:val="36"/>
          <w:szCs w:val="36"/>
          <w:rtl/>
        </w:rPr>
        <w:t xml:space="preserve"> وطبقت المبادئ المحاسبية بانتظام طيلة الفترة. وتستوفي هذه البيانات متطلبات المعايير المحاسبية الدولية للقطاع العام.</w:t>
      </w:r>
    </w:p>
    <w:p w14:paraId="5570A061" w14:textId="77777777"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تكاليف الاقتراض</w:t>
      </w:r>
    </w:p>
    <w:p w14:paraId="5CC59AC1" w14:textId="7DA1419B" w:rsidR="00E16243" w:rsidRPr="00751CFA" w:rsidRDefault="00E16243" w:rsidP="00182157">
      <w:pPr>
        <w:keepNext/>
        <w:bidi/>
        <w:spacing w:after="240" w:line="360" w:lineRule="exact"/>
        <w:rPr>
          <w:rFonts w:ascii="Arabic Typesetting" w:hAnsi="Arabic Typesetting" w:cs="Arabic Typesetting"/>
          <w:sz w:val="36"/>
          <w:szCs w:val="36"/>
          <w:rtl/>
        </w:rPr>
      </w:pPr>
      <w:r w:rsidRPr="00751CFA">
        <w:rPr>
          <w:rFonts w:ascii="Arabic Typesetting" w:hAnsi="Arabic Typesetting" w:cs="Arabic Typesetting" w:hint="cs"/>
          <w:sz w:val="36"/>
          <w:szCs w:val="36"/>
          <w:rtl/>
        </w:rPr>
        <w:t>تقي</w:t>
      </w:r>
      <w:r>
        <w:rPr>
          <w:rFonts w:ascii="Arabic Typesetting" w:hAnsi="Arabic Typesetting" w:cs="Arabic Typesetting" w:hint="cs"/>
          <w:sz w:val="36"/>
          <w:szCs w:val="36"/>
          <w:rtl/>
        </w:rPr>
        <w:t>ّ</w:t>
      </w:r>
      <w:r w:rsidRPr="00751CFA">
        <w:rPr>
          <w:rFonts w:ascii="Arabic Typesetting" w:hAnsi="Arabic Typesetting" w:cs="Arabic Typesetting" w:hint="cs"/>
          <w:sz w:val="36"/>
          <w:szCs w:val="36"/>
          <w:rtl/>
        </w:rPr>
        <w:t xml:space="preserve">د كل التكاليف المقترنة بالاقتراض </w:t>
      </w:r>
      <w:r>
        <w:rPr>
          <w:rFonts w:ascii="Arabic Typesetting" w:hAnsi="Arabic Typesetting" w:cs="Arabic Typesetting" w:hint="cs"/>
          <w:sz w:val="36"/>
          <w:szCs w:val="36"/>
          <w:rtl/>
        </w:rPr>
        <w:t>في باب المصروفات في الفترة التي تكبدتها المنظمة. وقد رسملت تكاليف الاقتراض (الفوائد والرسوم) المرتبطة ببناء المبنى الجديد بوصفها عملا جاريا أثناء مرحلة البناء (انظر الملاحظة 9).</w:t>
      </w:r>
      <w:r w:rsidR="00FC0809">
        <w:rPr>
          <w:rFonts w:ascii="Arabic Typesetting" w:hAnsi="Arabic Typesetting" w:cs="Arabic Typesetting" w:hint="cs"/>
          <w:sz w:val="36"/>
          <w:szCs w:val="36"/>
          <w:rtl/>
        </w:rPr>
        <w:t xml:space="preserve"> و</w:t>
      </w:r>
      <w:r w:rsidR="00182157">
        <w:rPr>
          <w:rFonts w:ascii="Arabic Typesetting" w:hAnsi="Arabic Typesetting" w:cs="Arabic Typesetting" w:hint="cs"/>
          <w:sz w:val="36"/>
          <w:szCs w:val="36"/>
          <w:rtl/>
        </w:rPr>
        <w:t>ر</w:t>
      </w:r>
      <w:r w:rsidR="00FD2528">
        <w:rPr>
          <w:rFonts w:ascii="Arabic Typesetting" w:hAnsi="Arabic Typesetting" w:cs="Arabic Typesetting" w:hint="cs"/>
          <w:sz w:val="36"/>
          <w:szCs w:val="36"/>
          <w:rtl/>
        </w:rPr>
        <w:t>ُ</w:t>
      </w:r>
      <w:r w:rsidR="00182157">
        <w:rPr>
          <w:rFonts w:ascii="Arabic Typesetting" w:hAnsi="Arabic Typesetting" w:cs="Arabic Typesetting" w:hint="cs"/>
          <w:sz w:val="36"/>
          <w:szCs w:val="36"/>
          <w:rtl/>
        </w:rPr>
        <w:t xml:space="preserve">سملت </w:t>
      </w:r>
      <w:r w:rsidR="00FC0809">
        <w:rPr>
          <w:rFonts w:ascii="Arabic Typesetting" w:hAnsi="Arabic Typesetting" w:cs="Arabic Typesetting" w:hint="cs"/>
          <w:sz w:val="36"/>
          <w:szCs w:val="36"/>
          <w:rtl/>
        </w:rPr>
        <w:t xml:space="preserve">تكاليف الاقتراض (عمولة على مبالغ </w:t>
      </w:r>
      <w:r w:rsidR="00804C21">
        <w:rPr>
          <w:rFonts w:ascii="Arabic Typesetting" w:hAnsi="Arabic Typesetting" w:cs="Arabic Typesetting" w:hint="cs"/>
          <w:sz w:val="36"/>
          <w:szCs w:val="36"/>
          <w:rtl/>
        </w:rPr>
        <w:t xml:space="preserve">القروض غير المسحوبة) المرتبطة ببناء قاعة المؤتمرات الجديدة </w:t>
      </w:r>
      <w:r w:rsidR="001153D4">
        <w:rPr>
          <w:rFonts w:ascii="Arabic Typesetting" w:hAnsi="Arabic Typesetting" w:cs="Arabic Typesetting" w:hint="cs"/>
          <w:sz w:val="36"/>
          <w:szCs w:val="36"/>
          <w:rtl/>
        </w:rPr>
        <w:t>بوصفها عملا</w:t>
      </w:r>
      <w:r w:rsidR="00FD2528">
        <w:rPr>
          <w:rFonts w:ascii="Arabic Typesetting" w:hAnsi="Arabic Typesetting" w:cs="Arabic Typesetting" w:hint="cs"/>
          <w:sz w:val="36"/>
          <w:szCs w:val="36"/>
          <w:rtl/>
        </w:rPr>
        <w:t>ً</w:t>
      </w:r>
      <w:r w:rsidR="001153D4">
        <w:rPr>
          <w:rFonts w:ascii="Arabic Typesetting" w:hAnsi="Arabic Typesetting" w:cs="Arabic Typesetting" w:hint="cs"/>
          <w:sz w:val="36"/>
          <w:szCs w:val="36"/>
          <w:rtl/>
        </w:rPr>
        <w:t xml:space="preserve"> جاريا</w:t>
      </w:r>
      <w:r w:rsidR="00FD2528">
        <w:rPr>
          <w:rFonts w:ascii="Arabic Typesetting" w:hAnsi="Arabic Typesetting" w:cs="Arabic Typesetting" w:hint="cs"/>
          <w:sz w:val="36"/>
          <w:szCs w:val="36"/>
          <w:rtl/>
        </w:rPr>
        <w:t>ً</w:t>
      </w:r>
      <w:r w:rsidR="001153D4">
        <w:rPr>
          <w:rFonts w:ascii="Arabic Typesetting" w:hAnsi="Arabic Typesetting" w:cs="Arabic Typesetting" w:hint="cs"/>
          <w:sz w:val="36"/>
          <w:szCs w:val="36"/>
          <w:rtl/>
        </w:rPr>
        <w:t xml:space="preserve"> أثناء مرحلة البناء (انظر الملاحظة 9).</w:t>
      </w:r>
      <w:r>
        <w:rPr>
          <w:rFonts w:ascii="Arabic Typesetting" w:hAnsi="Arabic Typesetting" w:cs="Arabic Typesetting" w:hint="cs"/>
          <w:sz w:val="36"/>
          <w:szCs w:val="36"/>
          <w:rtl/>
        </w:rPr>
        <w:t xml:space="preserve"> وأما تكاليف الاقتراض (الفوائد والرسوم) المرتبطة باقتناء حق المساحة من المنظمة العالمية للأرصاد الجوية فيما يتعلق بالموقع الذي شيد عليه مبنى </w:t>
      </w:r>
      <w:r w:rsidRPr="00EF5C12">
        <w:rPr>
          <w:rFonts w:ascii="Arabic Typesetting" w:hAnsi="Arabic Typesetting" w:cs="Arabic Typesetting"/>
          <w:sz w:val="36"/>
          <w:szCs w:val="36"/>
          <w:rtl/>
        </w:rPr>
        <w:t>معاهدة التعاون بشأن البراءات</w:t>
      </w:r>
      <w:r>
        <w:rPr>
          <w:rFonts w:ascii="Arabic Typesetting" w:hAnsi="Arabic Typesetting" w:cs="Arabic Typesetting" w:hint="cs"/>
          <w:sz w:val="36"/>
          <w:szCs w:val="36"/>
          <w:rtl/>
        </w:rPr>
        <w:t>، فقد رسملت بوصفها جزءا</w:t>
      </w:r>
      <w:r w:rsidR="00FD2528">
        <w:rPr>
          <w:rFonts w:ascii="Arabic Typesetting" w:hAnsi="Arabic Typesetting" w:cs="Arabic Typesetting" w:hint="cs"/>
          <w:sz w:val="36"/>
          <w:szCs w:val="36"/>
          <w:rtl/>
        </w:rPr>
        <w:t>ً</w:t>
      </w:r>
      <w:r>
        <w:rPr>
          <w:rFonts w:ascii="Arabic Typesetting" w:hAnsi="Arabic Typesetting" w:cs="Arabic Typesetting" w:hint="cs"/>
          <w:sz w:val="36"/>
          <w:szCs w:val="36"/>
          <w:rtl/>
        </w:rPr>
        <w:t xml:space="preserve"> من قيمة الأصول واستهلكت طيلة المدة المتبقية من سريان الحقوق على الأرض (انظر الملاحظة 8).</w:t>
      </w:r>
    </w:p>
    <w:p w14:paraId="23CEBF13" w14:textId="77777777"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السيولة والاستثمارات وغيرها من الأصول المالية</w:t>
      </w:r>
    </w:p>
    <w:p w14:paraId="4D84F107" w14:textId="6AC7B143" w:rsidR="00E16243" w:rsidRPr="00751CFA" w:rsidRDefault="00E16243" w:rsidP="00E16243">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تشمل السيولة وما يعادلها المبالغ النقدية المتوفرة والإيداعات المستأمنة رهن الإشارة لدى المصارف والإيداعات المستأمنة لمدة تصل إلى 90 يوما</w:t>
      </w:r>
      <w:r w:rsidR="00022D31">
        <w:rPr>
          <w:rFonts w:ascii="Arabic Typesetting" w:hAnsi="Arabic Typesetting" w:cs="Arabic Typesetting" w:hint="cs"/>
          <w:sz w:val="36"/>
          <w:szCs w:val="36"/>
          <w:rtl/>
        </w:rPr>
        <w:t>ً</w:t>
      </w:r>
      <w:r>
        <w:rPr>
          <w:rFonts w:ascii="Arabic Typesetting" w:hAnsi="Arabic Typesetting" w:cs="Arabic Typesetting" w:hint="cs"/>
          <w:sz w:val="36"/>
          <w:szCs w:val="36"/>
          <w:rtl/>
        </w:rPr>
        <w:t xml:space="preserve"> وغيرها من الاستثمارات النقدية على الأجل القصير سهلة التحويل إلى نقد والمعرضة إلى خطر قليل للتقلب في القيمة.</w:t>
      </w:r>
    </w:p>
    <w:p w14:paraId="001F6B12" w14:textId="77777777"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مستحقات الموظفين</w:t>
      </w:r>
    </w:p>
    <w:p w14:paraId="0ED7CD0A" w14:textId="60842320" w:rsidR="00E55E23" w:rsidRDefault="00E16243" w:rsidP="00630846">
      <w:pPr>
        <w:bidi/>
        <w:spacing w:after="240" w:line="360" w:lineRule="exact"/>
        <w:rPr>
          <w:rFonts w:ascii="Arabic Typesetting" w:hAnsi="Arabic Typesetting" w:cs="Arabic Typesetting"/>
          <w:sz w:val="36"/>
          <w:szCs w:val="36"/>
          <w:rtl/>
        </w:rPr>
      </w:pPr>
      <w:r w:rsidRPr="00D17F47">
        <w:rPr>
          <w:rFonts w:ascii="Arabic Typesetting" w:hAnsi="Arabic Typesetting" w:cs="Arabic Typesetting" w:hint="cs"/>
          <w:sz w:val="36"/>
          <w:szCs w:val="36"/>
          <w:rtl/>
        </w:rPr>
        <w:t>تحد</w:t>
      </w:r>
      <w:r>
        <w:rPr>
          <w:rFonts w:ascii="Arabic Typesetting" w:hAnsi="Arabic Typesetting" w:cs="Arabic Typesetting" w:hint="cs"/>
          <w:sz w:val="36"/>
          <w:szCs w:val="36"/>
          <w:rtl/>
        </w:rPr>
        <w:t>ّ</w:t>
      </w:r>
      <w:r w:rsidRPr="00D17F47">
        <w:rPr>
          <w:rFonts w:ascii="Arabic Typesetting" w:hAnsi="Arabic Typesetting" w:cs="Arabic Typesetting" w:hint="cs"/>
          <w:sz w:val="36"/>
          <w:szCs w:val="36"/>
          <w:rtl/>
        </w:rPr>
        <w:t xml:space="preserve">د </w:t>
      </w:r>
      <w:r>
        <w:rPr>
          <w:rFonts w:ascii="Arabic Typesetting" w:hAnsi="Arabic Typesetting" w:cs="Arabic Typesetting" w:hint="cs"/>
          <w:sz w:val="36"/>
          <w:szCs w:val="36"/>
          <w:rtl/>
        </w:rPr>
        <w:t>الخصوم المتعلقة بالتأمين الصحي ما بعد الخدمة</w:t>
      </w:r>
      <w:r w:rsidR="00182157">
        <w:rPr>
          <w:rFonts w:ascii="Arabic Typesetting" w:hAnsi="Arabic Typesetting" w:cs="Arabic Typesetting" w:hint="cs"/>
          <w:sz w:val="36"/>
          <w:szCs w:val="36"/>
          <w:rtl/>
        </w:rPr>
        <w:t xml:space="preserve"> و</w:t>
      </w:r>
      <w:r>
        <w:rPr>
          <w:rFonts w:ascii="Arabic Typesetting" w:hAnsi="Arabic Typesetting" w:cs="Arabic Typesetting" w:hint="cs"/>
          <w:sz w:val="36"/>
          <w:szCs w:val="36"/>
          <w:rtl/>
        </w:rPr>
        <w:t xml:space="preserve">منحة العودة إلى الوطن والسفر المدفوعة </w:t>
      </w:r>
      <w:r w:rsidR="002B3DBD">
        <w:rPr>
          <w:rFonts w:ascii="Arabic Typesetting" w:hAnsi="Arabic Typesetting" w:cs="Arabic Typesetting" w:hint="cs"/>
          <w:sz w:val="36"/>
          <w:szCs w:val="36"/>
          <w:rtl/>
        </w:rPr>
        <w:t xml:space="preserve">وفقاً </w:t>
      </w:r>
      <w:r>
        <w:rPr>
          <w:rFonts w:ascii="Arabic Typesetting" w:hAnsi="Arabic Typesetting" w:cs="Arabic Typesetting" w:hint="cs"/>
          <w:sz w:val="36"/>
          <w:szCs w:val="36"/>
          <w:rtl/>
        </w:rPr>
        <w:t xml:space="preserve">لما يحدده </w:t>
      </w:r>
      <w:r w:rsidR="00022D31">
        <w:rPr>
          <w:rFonts w:ascii="Arabic Typesetting" w:hAnsi="Arabic Typesetting" w:cs="Arabic Typesetting" w:hint="cs"/>
          <w:sz w:val="36"/>
          <w:szCs w:val="36"/>
          <w:rtl/>
        </w:rPr>
        <w:t xml:space="preserve">الخبير </w:t>
      </w:r>
      <w:r w:rsidR="00AC3C42">
        <w:rPr>
          <w:rFonts w:ascii="Arabic Typesetting" w:hAnsi="Arabic Typesetting" w:cs="Arabic Typesetting" w:hint="cs"/>
          <w:sz w:val="36"/>
          <w:szCs w:val="36"/>
          <w:rtl/>
        </w:rPr>
        <w:t>الأكتواري</w:t>
      </w:r>
      <w:r>
        <w:rPr>
          <w:rFonts w:ascii="Arabic Typesetting" w:hAnsi="Arabic Typesetting" w:cs="Arabic Typesetting" w:hint="cs"/>
          <w:sz w:val="36"/>
          <w:szCs w:val="36"/>
          <w:rtl/>
        </w:rPr>
        <w:t xml:space="preserve"> المستقل على </w:t>
      </w:r>
      <w:r w:rsidR="00FD2528">
        <w:rPr>
          <w:rFonts w:ascii="Arabic Typesetting" w:hAnsi="Arabic Typesetting" w:cs="Arabic Typesetting" w:hint="cs"/>
          <w:sz w:val="36"/>
          <w:szCs w:val="36"/>
          <w:rtl/>
        </w:rPr>
        <w:t xml:space="preserve">أساس </w:t>
      </w:r>
      <w:r>
        <w:rPr>
          <w:rFonts w:ascii="Arabic Typesetting" w:hAnsi="Arabic Typesetting" w:cs="Arabic Typesetting" w:hint="cs"/>
          <w:sz w:val="36"/>
          <w:szCs w:val="36"/>
          <w:rtl/>
        </w:rPr>
        <w:t>سنويّ وبتطبيق منهجية تقييم وحدة الاعتمادات المتوقعة. وتقيّد ال</w:t>
      </w:r>
      <w:r>
        <w:rPr>
          <w:rFonts w:ascii="Arabic Typesetting" w:hAnsi="Arabic Typesetting" w:cs="Arabic Typesetting"/>
          <w:sz w:val="36"/>
          <w:szCs w:val="36"/>
          <w:rtl/>
        </w:rPr>
        <w:t xml:space="preserve">أرباح </w:t>
      </w:r>
      <w:r w:rsidRPr="00D060AC">
        <w:rPr>
          <w:rFonts w:ascii="Arabic Typesetting" w:hAnsi="Arabic Typesetting" w:cs="Arabic Typesetting"/>
          <w:sz w:val="36"/>
          <w:szCs w:val="36"/>
          <w:rtl/>
        </w:rPr>
        <w:t>و</w:t>
      </w:r>
      <w:r>
        <w:rPr>
          <w:rFonts w:ascii="Arabic Typesetting" w:hAnsi="Arabic Typesetting" w:cs="Arabic Typesetting" w:hint="cs"/>
          <w:sz w:val="36"/>
          <w:szCs w:val="36"/>
          <w:rtl/>
        </w:rPr>
        <w:t>ال</w:t>
      </w:r>
      <w:r w:rsidRPr="00D060AC">
        <w:rPr>
          <w:rFonts w:ascii="Arabic Typesetting" w:hAnsi="Arabic Typesetting" w:cs="Arabic Typesetting"/>
          <w:sz w:val="36"/>
          <w:szCs w:val="36"/>
          <w:rtl/>
        </w:rPr>
        <w:t>خسائر</w:t>
      </w:r>
      <w:r w:rsidRPr="00A03352">
        <w:rPr>
          <w:rtl/>
        </w:rPr>
        <w:t xml:space="preserve"> </w:t>
      </w:r>
      <w:r w:rsidR="00AC3C42">
        <w:rPr>
          <w:rFonts w:ascii="Arabic Typesetting" w:hAnsi="Arabic Typesetting" w:cs="Arabic Typesetting" w:hint="cs"/>
          <w:sz w:val="36"/>
          <w:szCs w:val="36"/>
          <w:rtl/>
        </w:rPr>
        <w:t>الأكتوارية</w:t>
      </w:r>
      <w:r w:rsidR="00182157">
        <w:rPr>
          <w:rFonts w:ascii="Arabic Typesetting" w:hAnsi="Arabic Typesetting" w:cs="Arabic Typesetting" w:hint="cs"/>
          <w:sz w:val="36"/>
          <w:szCs w:val="36"/>
          <w:rtl/>
        </w:rPr>
        <w:t xml:space="preserve"> للتأمين الصحي لما بعد الخدمة</w:t>
      </w:r>
      <w:r>
        <w:rPr>
          <w:rFonts w:ascii="Arabic Typesetting" w:hAnsi="Arabic Typesetting" w:cs="Arabic Typesetting" w:hint="cs"/>
          <w:sz w:val="36"/>
          <w:szCs w:val="36"/>
          <w:rtl/>
        </w:rPr>
        <w:t xml:space="preserve"> باستخدام </w:t>
      </w:r>
      <w:r w:rsidRPr="00DD10D3">
        <w:rPr>
          <w:rFonts w:ascii="Arabic Typesetting" w:hAnsi="Arabic Typesetting" w:cs="Arabic Typesetting" w:hint="cs"/>
          <w:sz w:val="36"/>
          <w:szCs w:val="36"/>
          <w:rtl/>
        </w:rPr>
        <w:t>منهجية الممرات</w:t>
      </w:r>
      <w:r>
        <w:rPr>
          <w:rFonts w:ascii="Arabic Typesetting" w:hAnsi="Arabic Typesetting" w:cs="Arabic Typesetting" w:hint="cs"/>
          <w:sz w:val="36"/>
          <w:szCs w:val="36"/>
          <w:rtl/>
        </w:rPr>
        <w:t xml:space="preserve"> </w:t>
      </w:r>
      <w:r w:rsidR="00630846">
        <w:rPr>
          <w:rFonts w:ascii="Arabic Typesetting" w:hAnsi="Arabic Typesetting" w:cs="Arabic Typesetting"/>
          <w:sz w:val="36"/>
          <w:szCs w:val="36"/>
          <w:rtl/>
        </w:rPr>
        <w:t>و</w:t>
      </w:r>
      <w:r w:rsidR="00630846">
        <w:rPr>
          <w:rFonts w:ascii="Arabic Typesetting" w:hAnsi="Arabic Typesetting" w:cs="Arabic Typesetting" w:hint="cs"/>
          <w:sz w:val="36"/>
          <w:szCs w:val="36"/>
          <w:rtl/>
        </w:rPr>
        <w:t>تُستهلك</w:t>
      </w:r>
      <w:r>
        <w:rPr>
          <w:rFonts w:ascii="Arabic Typesetting" w:hAnsi="Arabic Typesetting" w:cs="Arabic Typesetting" w:hint="cs"/>
          <w:sz w:val="36"/>
          <w:szCs w:val="36"/>
          <w:rtl/>
        </w:rPr>
        <w:t xml:space="preserve"> </w:t>
      </w:r>
      <w:r w:rsidRPr="00A03352">
        <w:rPr>
          <w:rFonts w:ascii="Arabic Typesetting" w:hAnsi="Arabic Typesetting" w:cs="Arabic Typesetting"/>
          <w:sz w:val="36"/>
          <w:szCs w:val="36"/>
          <w:rtl/>
        </w:rPr>
        <w:t>على مدى</w:t>
      </w:r>
      <w:r w:rsidRPr="00616E43">
        <w:rPr>
          <w:rtl/>
        </w:rPr>
        <w:t xml:space="preserve"> </w:t>
      </w:r>
      <w:r>
        <w:rPr>
          <w:rFonts w:ascii="Arabic Typesetting" w:hAnsi="Arabic Typesetting" w:cs="Arabic Typesetting"/>
          <w:sz w:val="36"/>
          <w:szCs w:val="36"/>
          <w:rtl/>
        </w:rPr>
        <w:t>متوسط سنوات خدم</w:t>
      </w:r>
      <w:r>
        <w:rPr>
          <w:rFonts w:ascii="Arabic Typesetting" w:hAnsi="Arabic Typesetting" w:cs="Arabic Typesetting" w:hint="cs"/>
          <w:sz w:val="36"/>
          <w:szCs w:val="36"/>
          <w:rtl/>
        </w:rPr>
        <w:t xml:space="preserve">ة الموظف في المستقبل. </w:t>
      </w:r>
      <w:r w:rsidR="00311F61">
        <w:rPr>
          <w:rFonts w:ascii="Arabic Typesetting" w:hAnsi="Arabic Typesetting" w:cs="Arabic Typesetting" w:hint="cs"/>
          <w:sz w:val="36"/>
          <w:szCs w:val="36"/>
          <w:rtl/>
        </w:rPr>
        <w:t>وإضافة إلى ذلك</w:t>
      </w:r>
      <w:r>
        <w:rPr>
          <w:rFonts w:ascii="Arabic Typesetting" w:hAnsi="Arabic Typesetting" w:cs="Arabic Typesetting" w:hint="cs"/>
          <w:sz w:val="36"/>
          <w:szCs w:val="36"/>
          <w:rtl/>
        </w:rPr>
        <w:t>، تحدد الخصوم بالنسبة إلى قيمة العطل السنوية المتراكمة وعطل زيارة الوطن</w:t>
      </w:r>
      <w:r w:rsidR="00182157">
        <w:rPr>
          <w:rFonts w:ascii="Arabic Typesetting" w:hAnsi="Arabic Typesetting" w:cs="Arabic Typesetting" w:hint="cs"/>
          <w:sz w:val="36"/>
          <w:szCs w:val="36"/>
          <w:rtl/>
        </w:rPr>
        <w:t xml:space="preserve"> غير المأخوذة</w:t>
      </w:r>
      <w:r>
        <w:rPr>
          <w:rFonts w:ascii="Arabic Typesetting" w:hAnsi="Arabic Typesetting" w:cs="Arabic Typesetting" w:hint="cs"/>
          <w:sz w:val="36"/>
          <w:szCs w:val="36"/>
          <w:rtl/>
        </w:rPr>
        <w:t xml:space="preserve"> وساعات العمل الإضافية المستحقة غير المسددة </w:t>
      </w:r>
      <w:r w:rsidR="00182157">
        <w:rPr>
          <w:rFonts w:ascii="Arabic Typesetting" w:hAnsi="Arabic Typesetting" w:cs="Arabic Typesetting" w:hint="cs"/>
          <w:sz w:val="36"/>
          <w:szCs w:val="36"/>
          <w:rtl/>
        </w:rPr>
        <w:t>و</w:t>
      </w:r>
      <w:r w:rsidR="00EA0CD6">
        <w:rPr>
          <w:rFonts w:ascii="Arabic Typesetting" w:hAnsi="Arabic Typesetting" w:cs="Arabic Typesetting" w:hint="cs"/>
          <w:sz w:val="36"/>
          <w:szCs w:val="36"/>
          <w:rtl/>
        </w:rPr>
        <w:t>مستحقات</w:t>
      </w:r>
      <w:r w:rsidR="00182157">
        <w:rPr>
          <w:rFonts w:ascii="Arabic Typesetting" w:hAnsi="Arabic Typesetting" w:cs="Arabic Typesetting" w:hint="cs"/>
          <w:sz w:val="36"/>
          <w:szCs w:val="36"/>
          <w:rtl/>
        </w:rPr>
        <w:t xml:space="preserve"> </w:t>
      </w:r>
      <w:r w:rsidR="00311F61">
        <w:rPr>
          <w:rFonts w:ascii="Arabic Typesetting" w:hAnsi="Arabic Typesetting" w:cs="Arabic Typesetting" w:hint="cs"/>
          <w:sz w:val="36"/>
          <w:szCs w:val="36"/>
          <w:rtl/>
        </w:rPr>
        <w:t>نهاية الخدمة</w:t>
      </w:r>
      <w:r w:rsidR="00182157">
        <w:rPr>
          <w:rFonts w:ascii="Arabic Typesetting" w:hAnsi="Arabic Typesetting" w:cs="Arabic Typesetting" w:hint="cs"/>
          <w:sz w:val="36"/>
          <w:szCs w:val="36"/>
          <w:rtl/>
        </w:rPr>
        <w:t xml:space="preserve"> ومكافآت الأداء</w:t>
      </w:r>
      <w:r>
        <w:rPr>
          <w:rFonts w:ascii="Arabic Typesetting" w:hAnsi="Arabic Typesetting" w:cs="Arabic Typesetting" w:hint="cs"/>
          <w:sz w:val="36"/>
          <w:szCs w:val="36"/>
          <w:rtl/>
        </w:rPr>
        <w:t xml:space="preserve"> ومنح التعليم المستحقة في تاريخ التقرير المالي والتي لم تدرج في بند النفقات المتداولة.</w:t>
      </w:r>
    </w:p>
    <w:p w14:paraId="564B94F5" w14:textId="14C96FEE" w:rsidR="00E16243" w:rsidRDefault="00E16243" w:rsidP="00E16243">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والويبو منظمة عضو تشارك في </w:t>
      </w:r>
      <w:r w:rsidRPr="0080250D">
        <w:rPr>
          <w:rFonts w:ascii="Arabic Typesetting" w:hAnsi="Arabic Typesetting" w:cs="Arabic Typesetting"/>
          <w:sz w:val="36"/>
          <w:szCs w:val="36"/>
          <w:rtl/>
        </w:rPr>
        <w:t>الصندوق المشترك للمعاشات التقاعدية لموظفي الأمم المتحدة</w:t>
      </w:r>
      <w:r>
        <w:rPr>
          <w:rFonts w:ascii="Arabic Typesetting" w:hAnsi="Arabic Typesetting" w:cs="Arabic Typesetting" w:hint="cs"/>
          <w:sz w:val="36"/>
          <w:szCs w:val="36"/>
          <w:rtl/>
        </w:rPr>
        <w:t xml:space="preserve"> الذي أنشأته الجمعية العامة للأمم المتحدة لتوفير منافع تتعلق بالتقاعد والوفاة والإعاقة للموظفين. وصندوق المعاشات التقاعدية عبارة عن خطة منافع ممولة محددة من قِبل أرباب عمل متعددين. وتنص المادة 3(ب) من اللائحة التنفيذية للصندوق على فتح باب العضوية في الصندوق أمام الوكالات المتخصصة ولأي منظمة حكومية دولية أخرى تشارك في النظام المشترك للرواتب والبدلات وظروف الخدمة الأخرى للأمم المتحدة والوكالات المتخصصة.</w:t>
      </w:r>
    </w:p>
    <w:p w14:paraId="2C9E5465" w14:textId="3AD819E9" w:rsidR="00E16243" w:rsidRPr="0082452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 xml:space="preserve">وتعرض الخطة المنظمات المشاركة لمخاطر أكتوارية مقترنة بالموظفين الحاليين والسابقين للمنظمات الأخرى المشاركة في الصندوق، مما يؤدي إلى غياب </w:t>
      </w:r>
      <w:r w:rsidR="00FD2528">
        <w:rPr>
          <w:rFonts w:ascii="Arabic Typesetting" w:hAnsi="Arabic Typesetting" w:cs="Arabic Typesetting" w:hint="cs"/>
          <w:sz w:val="36"/>
          <w:szCs w:val="36"/>
          <w:rtl/>
        </w:rPr>
        <w:t xml:space="preserve">أساس </w:t>
      </w:r>
      <w:r>
        <w:rPr>
          <w:rFonts w:ascii="Arabic Typesetting" w:hAnsi="Arabic Typesetting" w:cs="Arabic Typesetting" w:hint="cs"/>
          <w:sz w:val="36"/>
          <w:szCs w:val="36"/>
          <w:rtl/>
        </w:rPr>
        <w:t>متسق وموثوق لتخصيص الالتزام وأصول الخطة والتكاليف لكلٍ من المنظمات المشاركة في الخطة. ويتعذر على الويبو والصندوق المشترك، شأنهما في ذلك شأن سائر المنظمات المشاركة في الصندوق، في الوضع الحالي تعيين حصة الويبو التناسبية من التزام المنافع المحدد وأصول الخطة والتكاليف المقترنة بالخطة على نحو يتسم بقدر كافٍ من الموثوقية للأغراض المحاسبية. ولذلك فقد تعاملت الويبو مع هذه الخطة على أنها خطة إسهام موضوعة وفق المعيار</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 xml:space="preserve">25 </w:t>
      </w:r>
      <w:r w:rsidRPr="004A448F">
        <w:rPr>
          <w:rFonts w:ascii="Arabic Typesetting" w:hAnsi="Arabic Typesetting" w:cs="Arabic Typesetting"/>
          <w:sz w:val="36"/>
          <w:szCs w:val="36"/>
          <w:rtl/>
        </w:rPr>
        <w:t xml:space="preserve">من المعايير المحاسبية الدولية </w:t>
      </w:r>
      <w:r>
        <w:rPr>
          <w:rFonts w:ascii="Arabic Typesetting" w:hAnsi="Arabic Typesetting" w:cs="Arabic Typesetting" w:hint="cs"/>
          <w:sz w:val="36"/>
          <w:szCs w:val="36"/>
          <w:rtl/>
        </w:rPr>
        <w:t>للقطاع العام. وتُقيد إسهامات الويبو في الخطة خلال الفترة المالية بوصفها مصروفات في بيان الأداء المالي.</w:t>
      </w:r>
    </w:p>
    <w:p w14:paraId="511874EA" w14:textId="77777777"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قيد المصروفات</w:t>
      </w:r>
    </w:p>
    <w:p w14:paraId="324A2720" w14:textId="77777777" w:rsidR="00E16243" w:rsidRPr="007306EC"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تقيّد المصروفات عند استلام السلع وتقديم الخدمات.</w:t>
      </w:r>
    </w:p>
    <w:p w14:paraId="61CBC29A" w14:textId="77777777" w:rsidR="00E16243" w:rsidRDefault="0030745A" w:rsidP="00E16243">
      <w:pPr>
        <w:keepNext/>
        <w:bidi/>
        <w:spacing w:after="240" w:line="360" w:lineRule="exact"/>
        <w:rPr>
          <w:rFonts w:ascii="Arabic Typesetting" w:hAnsi="Arabic Typesetting" w:cs="Arabic Typesetting"/>
          <w:b/>
          <w:bCs/>
          <w:sz w:val="36"/>
          <w:szCs w:val="36"/>
        </w:rPr>
      </w:pPr>
      <w:r>
        <w:rPr>
          <w:rFonts w:ascii="Arabic Typesetting" w:hAnsi="Arabic Typesetting" w:cs="Arabic Typesetting" w:hint="cs"/>
          <w:b/>
          <w:bCs/>
          <w:sz w:val="36"/>
          <w:szCs w:val="36"/>
          <w:rtl/>
        </w:rPr>
        <w:t>الأدوات</w:t>
      </w:r>
      <w:r w:rsidR="00E16243">
        <w:rPr>
          <w:rFonts w:ascii="Arabic Typesetting" w:hAnsi="Arabic Typesetting" w:cs="Arabic Typesetting" w:hint="cs"/>
          <w:b/>
          <w:bCs/>
          <w:sz w:val="36"/>
          <w:szCs w:val="36"/>
          <w:rtl/>
        </w:rPr>
        <w:t xml:space="preserve"> المالية</w:t>
      </w:r>
    </w:p>
    <w:p w14:paraId="60F56ED3" w14:textId="77777777" w:rsidR="0017582C" w:rsidRPr="0017582C" w:rsidRDefault="0017582C" w:rsidP="0017582C">
      <w:pPr>
        <w:keepNext/>
        <w:bidi/>
        <w:spacing w:after="240" w:line="360" w:lineRule="exact"/>
        <w:rPr>
          <w:rFonts w:ascii="Arabic Typesetting" w:hAnsi="Arabic Typesetting" w:cs="Arabic Typesetting"/>
          <w:b/>
          <w:bCs/>
          <w:i/>
          <w:iCs/>
          <w:sz w:val="36"/>
          <w:szCs w:val="36"/>
          <w:rtl/>
          <w:lang w:bidi="ar-EG"/>
        </w:rPr>
      </w:pPr>
      <w:r w:rsidRPr="0017582C">
        <w:rPr>
          <w:rFonts w:ascii="Arabic Typesetting" w:hAnsi="Arabic Typesetting" w:cs="Arabic Typesetting" w:hint="cs"/>
          <w:b/>
          <w:bCs/>
          <w:i/>
          <w:iCs/>
          <w:sz w:val="36"/>
          <w:szCs w:val="36"/>
          <w:rtl/>
          <w:lang w:bidi="ar-EG"/>
        </w:rPr>
        <w:t>الأصول المالية</w:t>
      </w:r>
    </w:p>
    <w:p w14:paraId="42A98F89" w14:textId="77777777" w:rsidR="0017582C" w:rsidRDefault="005D122F" w:rsidP="00087B14">
      <w:pPr>
        <w:keepNext/>
        <w:bidi/>
        <w:spacing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القيد والقياس </w:t>
      </w:r>
      <w:r w:rsidR="006514B7">
        <w:rPr>
          <w:rFonts w:ascii="Arabic Typesetting" w:hAnsi="Arabic Typesetting" w:cs="Arabic Typesetting" w:hint="cs"/>
          <w:sz w:val="36"/>
          <w:szCs w:val="36"/>
          <w:rtl/>
          <w:lang w:bidi="ar-EG"/>
        </w:rPr>
        <w:t>الأولي</w:t>
      </w:r>
      <w:r>
        <w:rPr>
          <w:rFonts w:ascii="Arabic Typesetting" w:hAnsi="Arabic Typesetting" w:cs="Arabic Typesetting" w:hint="cs"/>
          <w:sz w:val="36"/>
          <w:szCs w:val="36"/>
          <w:rtl/>
          <w:lang w:bidi="ar-EG"/>
        </w:rPr>
        <w:t>:</w:t>
      </w:r>
    </w:p>
    <w:p w14:paraId="7DF45069" w14:textId="77777777" w:rsidR="005D122F" w:rsidRDefault="005D122F" w:rsidP="00827EAB">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bidi="ar-EG"/>
        </w:rPr>
        <w:t xml:space="preserve">تصنَّف الأصول المالية ضمن نطاق المعيار 29 من </w:t>
      </w:r>
      <w:r w:rsidR="00EE0948" w:rsidRPr="004A448F">
        <w:rPr>
          <w:rFonts w:ascii="Arabic Typesetting" w:hAnsi="Arabic Typesetting" w:cs="Arabic Typesetting"/>
          <w:sz w:val="36"/>
          <w:szCs w:val="36"/>
          <w:rtl/>
        </w:rPr>
        <w:t xml:space="preserve">من المعايير المحاسبية الدولية </w:t>
      </w:r>
      <w:r w:rsidR="00EE0948">
        <w:rPr>
          <w:rFonts w:ascii="Arabic Typesetting" w:hAnsi="Arabic Typesetting" w:cs="Arabic Typesetting" w:hint="cs"/>
          <w:sz w:val="36"/>
          <w:szCs w:val="36"/>
          <w:rtl/>
        </w:rPr>
        <w:t xml:space="preserve">للقطاع العام </w:t>
      </w:r>
      <w:r w:rsidR="00EE0948" w:rsidRPr="004A448F">
        <w:rPr>
          <w:rFonts w:ascii="Arabic Typesetting" w:hAnsi="Arabic Typesetting" w:cs="Arabic Typesetting"/>
          <w:sz w:val="36"/>
          <w:szCs w:val="36"/>
          <w:rtl/>
        </w:rPr>
        <w:t xml:space="preserve">المتعلق </w:t>
      </w:r>
      <w:r w:rsidR="00EE0948" w:rsidRPr="006514B7">
        <w:rPr>
          <w:rFonts w:ascii="Arabic Typesetting" w:hAnsi="Arabic Typesetting" w:cs="Arabic Typesetting"/>
          <w:i/>
          <w:iCs/>
          <w:sz w:val="36"/>
          <w:szCs w:val="36"/>
          <w:rtl/>
        </w:rPr>
        <w:t>بال</w:t>
      </w:r>
      <w:r w:rsidR="00EE0948" w:rsidRPr="006514B7">
        <w:rPr>
          <w:rFonts w:ascii="Arabic Typesetting" w:hAnsi="Arabic Typesetting" w:cs="Arabic Typesetting" w:hint="cs"/>
          <w:i/>
          <w:iCs/>
          <w:sz w:val="36"/>
          <w:szCs w:val="36"/>
          <w:rtl/>
        </w:rPr>
        <w:t>أدوات المالية</w:t>
      </w:r>
      <w:r w:rsidR="006514B7">
        <w:rPr>
          <w:rFonts w:ascii="Arabic Typesetting" w:hAnsi="Arabic Typesetting" w:cs="Arabic Typesetting" w:hint="cs"/>
          <w:i/>
          <w:iCs/>
          <w:sz w:val="36"/>
          <w:szCs w:val="36"/>
          <w:rtl/>
        </w:rPr>
        <w:t>: القيد والقياس</w:t>
      </w:r>
      <w:r w:rsidR="006514B7">
        <w:rPr>
          <w:rFonts w:ascii="Arabic Typesetting" w:hAnsi="Arabic Typesetting" w:cs="Arabic Typesetting" w:hint="cs"/>
          <w:sz w:val="36"/>
          <w:szCs w:val="36"/>
          <w:rtl/>
        </w:rPr>
        <w:t xml:space="preserve"> باعتبارها أصولاً مالية</w:t>
      </w:r>
      <w:r w:rsidR="001D0D02">
        <w:rPr>
          <w:rFonts w:ascii="Arabic Typesetting" w:hAnsi="Arabic Typesetting" w:cs="Arabic Typesetting" w:hint="cs"/>
          <w:sz w:val="36"/>
          <w:szCs w:val="36"/>
          <w:rtl/>
        </w:rPr>
        <w:t xml:space="preserve"> بالقيمة العادلة من </w:t>
      </w:r>
      <w:r w:rsidR="0087479C">
        <w:rPr>
          <w:rFonts w:ascii="Arabic Typesetting" w:hAnsi="Arabic Typesetting" w:cs="Arabic Typesetting" w:hint="cs"/>
          <w:sz w:val="36"/>
          <w:szCs w:val="36"/>
          <w:rtl/>
          <w:lang w:bidi="ar-EG"/>
        </w:rPr>
        <w:t xml:space="preserve">خلال </w:t>
      </w:r>
      <w:r w:rsidR="001D0D02">
        <w:rPr>
          <w:rFonts w:ascii="Arabic Typesetting" w:hAnsi="Arabic Typesetting" w:cs="Arabic Typesetting" w:hint="cs"/>
          <w:sz w:val="36"/>
          <w:szCs w:val="36"/>
          <w:rtl/>
        </w:rPr>
        <w:t>الفائض أو العجز، أو قروض</w:t>
      </w:r>
      <w:r w:rsidR="00827EAB">
        <w:rPr>
          <w:rFonts w:ascii="Arabic Typesetting" w:hAnsi="Arabic Typesetting" w:cs="Arabic Typesetting" w:hint="cs"/>
          <w:sz w:val="36"/>
          <w:szCs w:val="36"/>
          <w:rtl/>
        </w:rPr>
        <w:t>اً</w:t>
      </w:r>
      <w:r w:rsidR="001D0D02">
        <w:rPr>
          <w:rFonts w:ascii="Arabic Typesetting" w:hAnsi="Arabic Typesetting" w:cs="Arabic Typesetting" w:hint="cs"/>
          <w:sz w:val="36"/>
          <w:szCs w:val="36"/>
          <w:rtl/>
        </w:rPr>
        <w:t xml:space="preserve"> و</w:t>
      </w:r>
      <w:r w:rsidR="00B05862">
        <w:rPr>
          <w:rFonts w:ascii="Arabic Typesetting" w:hAnsi="Arabic Typesetting" w:cs="Arabic Typesetting" w:hint="cs"/>
          <w:sz w:val="36"/>
          <w:szCs w:val="36"/>
          <w:rtl/>
        </w:rPr>
        <w:t>مبالغ مستحقة</w:t>
      </w:r>
      <w:r w:rsidR="0087479C">
        <w:rPr>
          <w:rFonts w:ascii="Arabic Typesetting" w:hAnsi="Arabic Typesetting" w:cs="Arabic Typesetting" w:hint="cs"/>
          <w:sz w:val="36"/>
          <w:szCs w:val="36"/>
          <w:rtl/>
        </w:rPr>
        <w:t xml:space="preserve">، أو استثمارات </w:t>
      </w:r>
      <w:r w:rsidR="00853011">
        <w:rPr>
          <w:rFonts w:ascii="Arabic Typesetting" w:hAnsi="Arabic Typesetting" w:cs="Arabic Typesetting" w:hint="cs"/>
          <w:sz w:val="36"/>
          <w:szCs w:val="36"/>
          <w:rtl/>
        </w:rPr>
        <w:t>محتفظ بها حتى الاستحقاق، أو أصول</w:t>
      </w:r>
      <w:r w:rsidR="00827EAB">
        <w:rPr>
          <w:rFonts w:ascii="Arabic Typesetting" w:hAnsi="Arabic Typesetting" w:cs="Arabic Typesetting" w:hint="cs"/>
          <w:sz w:val="36"/>
          <w:szCs w:val="36"/>
          <w:rtl/>
        </w:rPr>
        <w:t>اً</w:t>
      </w:r>
      <w:r w:rsidR="00853011">
        <w:rPr>
          <w:rFonts w:ascii="Arabic Typesetting" w:hAnsi="Arabic Typesetting" w:cs="Arabic Typesetting" w:hint="cs"/>
          <w:sz w:val="36"/>
          <w:szCs w:val="36"/>
          <w:rtl/>
        </w:rPr>
        <w:t xml:space="preserve"> مالية متاحة للبيع، حسب الاقتضاء.</w:t>
      </w:r>
      <w:r w:rsidR="00AF6F14">
        <w:rPr>
          <w:rFonts w:ascii="Arabic Typesetting" w:hAnsi="Arabic Typesetting" w:cs="Arabic Typesetting" w:hint="cs"/>
          <w:sz w:val="36"/>
          <w:szCs w:val="36"/>
          <w:rtl/>
        </w:rPr>
        <w:t xml:space="preserve"> وتحدد المنظمة</w:t>
      </w:r>
      <w:r w:rsidR="00DA449A">
        <w:rPr>
          <w:rFonts w:ascii="Arabic Typesetting" w:hAnsi="Arabic Typesetting" w:cs="Arabic Typesetting" w:hint="cs"/>
          <w:sz w:val="36"/>
          <w:szCs w:val="36"/>
          <w:rtl/>
        </w:rPr>
        <w:t xml:space="preserve"> تصنيف أصولها المالية عند القيد الأولي. وتتضمن الأصول المالية للمنظمة النقد والإيداعات قصيرة الأجل والقروض والمبالغ المستحقة.</w:t>
      </w:r>
    </w:p>
    <w:p w14:paraId="20BDBD97" w14:textId="77777777" w:rsidR="001F6FC7" w:rsidRDefault="001F6FC7" w:rsidP="00087B14">
      <w:pPr>
        <w:keepNext/>
        <w:bidi/>
        <w:spacing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القياس التالي:</w:t>
      </w:r>
    </w:p>
    <w:p w14:paraId="2A1EFDA2" w14:textId="77777777" w:rsidR="001F6FC7" w:rsidRPr="006514B7" w:rsidRDefault="001F6FC7" w:rsidP="001F6FC7">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يعتمد قياس الأصول المالية فيما يلي ذلك على تصنيفها.</w:t>
      </w:r>
    </w:p>
    <w:p w14:paraId="01F4F70A" w14:textId="77777777" w:rsidR="0017582C" w:rsidRDefault="004B719E" w:rsidP="00087B14">
      <w:pPr>
        <w:keepNext/>
        <w:bidi/>
        <w:spacing w:line="360" w:lineRule="exact"/>
        <w:rPr>
          <w:rFonts w:ascii="Arabic Typesetting" w:hAnsi="Arabic Typesetting" w:cs="Arabic Typesetting"/>
          <w:sz w:val="36"/>
          <w:szCs w:val="36"/>
          <w:rtl/>
        </w:rPr>
      </w:pPr>
      <w:r>
        <w:rPr>
          <w:rFonts w:ascii="Arabic Typesetting" w:hAnsi="Arabic Typesetting" w:cs="Arabic Typesetting" w:hint="cs"/>
          <w:i/>
          <w:iCs/>
          <w:sz w:val="36"/>
          <w:szCs w:val="36"/>
          <w:rtl/>
        </w:rPr>
        <w:t>الأصول المالية بالقيمة العادلة من خلال الفائض أو العجز</w:t>
      </w:r>
    </w:p>
    <w:p w14:paraId="2DB5DD2D" w14:textId="77777777" w:rsidR="004B719E" w:rsidRDefault="00CF25D2" w:rsidP="004B719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تتضمن </w:t>
      </w:r>
      <w:r w:rsidRPr="00CF25D2">
        <w:rPr>
          <w:rFonts w:ascii="Arabic Typesetting" w:hAnsi="Arabic Typesetting" w:cs="Arabic Typesetting"/>
          <w:sz w:val="36"/>
          <w:szCs w:val="36"/>
          <w:rtl/>
        </w:rPr>
        <w:t>الأصول المالية بالقيمة العادلة من خلال الفائض أو العجز</w:t>
      </w:r>
      <w:r w:rsidR="00CD30B7">
        <w:rPr>
          <w:rFonts w:ascii="Arabic Typesetting" w:hAnsi="Arabic Typesetting" w:cs="Arabic Typesetting" w:hint="cs"/>
          <w:sz w:val="36"/>
          <w:szCs w:val="36"/>
          <w:rtl/>
        </w:rPr>
        <w:t xml:space="preserve"> الأصول المالية المحتفظ بها</w:t>
      </w:r>
      <w:r w:rsidR="00CD30B7">
        <w:rPr>
          <w:rFonts w:ascii="Arabic Typesetting" w:hAnsi="Arabic Typesetting" w:cs="Arabic Typesetting" w:hint="cs"/>
          <w:sz w:val="36"/>
          <w:szCs w:val="36"/>
          <w:rtl/>
          <w:lang w:bidi="ar-EG"/>
        </w:rPr>
        <w:t xml:space="preserve"> للتداول </w:t>
      </w:r>
      <w:r w:rsidR="00CB5AB4">
        <w:rPr>
          <w:rFonts w:ascii="Arabic Typesetting" w:hAnsi="Arabic Typesetting" w:cs="Arabic Typesetting" w:hint="cs"/>
          <w:sz w:val="36"/>
          <w:szCs w:val="36"/>
          <w:rtl/>
          <w:lang w:bidi="ar-EG"/>
        </w:rPr>
        <w:t xml:space="preserve">والأصول المالية المحددة لدى القيد الأولي بالقيمة العادلة </w:t>
      </w:r>
      <w:r w:rsidR="00CB5AB4" w:rsidRPr="00CF25D2">
        <w:rPr>
          <w:rFonts w:ascii="Arabic Typesetting" w:hAnsi="Arabic Typesetting" w:cs="Arabic Typesetting"/>
          <w:sz w:val="36"/>
          <w:szCs w:val="36"/>
          <w:rtl/>
        </w:rPr>
        <w:t>من خلال الفائض أو العجز</w:t>
      </w:r>
      <w:r w:rsidR="00CB5AB4">
        <w:rPr>
          <w:rFonts w:ascii="Arabic Typesetting" w:hAnsi="Arabic Typesetting" w:cs="Arabic Typesetting" w:hint="cs"/>
          <w:sz w:val="36"/>
          <w:szCs w:val="36"/>
          <w:rtl/>
        </w:rPr>
        <w:t xml:space="preserve">. وتصنَّف الأصول المالية </w:t>
      </w:r>
      <w:r w:rsidR="00AA19D4">
        <w:rPr>
          <w:rFonts w:ascii="Arabic Typesetting" w:hAnsi="Arabic Typesetting" w:cs="Arabic Typesetting" w:hint="cs"/>
          <w:sz w:val="36"/>
          <w:szCs w:val="36"/>
          <w:rtl/>
        </w:rPr>
        <w:t xml:space="preserve">على أنها محتفظ بها للتداول إذا كان اقتناؤها لغرض البيع أو إعادة الشراء في الأجل القريب. </w:t>
      </w:r>
      <w:r w:rsidR="00774F09">
        <w:rPr>
          <w:rFonts w:ascii="Arabic Typesetting" w:hAnsi="Arabic Typesetting" w:cs="Arabic Typesetting" w:hint="cs"/>
          <w:sz w:val="36"/>
          <w:szCs w:val="36"/>
          <w:rtl/>
        </w:rPr>
        <w:t xml:space="preserve">وتثبت </w:t>
      </w:r>
      <w:r w:rsidR="00774F09" w:rsidRPr="00CF25D2">
        <w:rPr>
          <w:rFonts w:ascii="Arabic Typesetting" w:hAnsi="Arabic Typesetting" w:cs="Arabic Typesetting"/>
          <w:sz w:val="36"/>
          <w:szCs w:val="36"/>
          <w:rtl/>
        </w:rPr>
        <w:t>الأصول المالية بالقيمة العادلة من خلال الفائض أو العجز</w:t>
      </w:r>
      <w:r w:rsidR="00774F09">
        <w:rPr>
          <w:rFonts w:ascii="Arabic Typesetting" w:hAnsi="Arabic Typesetting" w:cs="Arabic Typesetting" w:hint="cs"/>
          <w:sz w:val="36"/>
          <w:szCs w:val="36"/>
          <w:rtl/>
        </w:rPr>
        <w:t xml:space="preserve"> في بيان الوضع المالي بالقيمة العادلة مع قيد التغيرات في القيمة العادلة في الفائض أو العجز.</w:t>
      </w:r>
    </w:p>
    <w:p w14:paraId="34F2D713" w14:textId="77777777" w:rsidR="00774F09" w:rsidRDefault="00774F09" w:rsidP="00087B14">
      <w:pPr>
        <w:keepNext/>
        <w:bidi/>
        <w:spacing w:line="360" w:lineRule="exact"/>
        <w:rPr>
          <w:rFonts w:ascii="Arabic Typesetting" w:hAnsi="Arabic Typesetting" w:cs="Arabic Typesetting"/>
          <w:sz w:val="36"/>
          <w:szCs w:val="36"/>
          <w:rtl/>
        </w:rPr>
      </w:pPr>
      <w:r>
        <w:rPr>
          <w:rFonts w:ascii="Arabic Typesetting" w:hAnsi="Arabic Typesetting" w:cs="Arabic Typesetting" w:hint="cs"/>
          <w:i/>
          <w:iCs/>
          <w:sz w:val="36"/>
          <w:szCs w:val="36"/>
          <w:rtl/>
        </w:rPr>
        <w:t>القروض والمبالغ المستحقة</w:t>
      </w:r>
    </w:p>
    <w:p w14:paraId="6331C892" w14:textId="252FA2EE" w:rsidR="00774F09" w:rsidRPr="00774F09" w:rsidRDefault="00774F09" w:rsidP="00FA6DDB">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القروض والمبالغ المستحقة أصول مالية غير مشتقة</w:t>
      </w:r>
      <w:r w:rsidR="006A78DA">
        <w:rPr>
          <w:rFonts w:ascii="Arabic Typesetting" w:hAnsi="Arabic Typesetting" w:cs="Arabic Typesetting" w:hint="cs"/>
          <w:sz w:val="36"/>
          <w:szCs w:val="36"/>
          <w:rtl/>
          <w:lang w:bidi="ar-EG"/>
        </w:rPr>
        <w:t xml:space="preserve"> بمدفوعات ثابتة أو قابلة للتحديد </w:t>
      </w:r>
      <w:r w:rsidR="00445AE7">
        <w:rPr>
          <w:rFonts w:ascii="Arabic Typesetting" w:hAnsi="Arabic Typesetting" w:cs="Arabic Typesetting" w:hint="cs"/>
          <w:sz w:val="36"/>
          <w:szCs w:val="36"/>
          <w:rtl/>
          <w:lang w:bidi="ar-EG"/>
        </w:rPr>
        <w:t xml:space="preserve">غير مطروحة في سوق نشطة. وبعد القياس الأولي، تقاس هذه الأصول المالية فيما يلي ذلك </w:t>
      </w:r>
      <w:r w:rsidR="00B66624">
        <w:rPr>
          <w:rFonts w:ascii="Arabic Typesetting" w:hAnsi="Arabic Typesetting" w:cs="Arabic Typesetting" w:hint="cs"/>
          <w:sz w:val="36"/>
          <w:szCs w:val="36"/>
          <w:rtl/>
          <w:lang w:bidi="ar-EG"/>
        </w:rPr>
        <w:t>بالت</w:t>
      </w:r>
      <w:r w:rsidR="00A8547B">
        <w:rPr>
          <w:rFonts w:ascii="Arabic Typesetting" w:hAnsi="Arabic Typesetting" w:cs="Arabic Typesetting" w:hint="cs"/>
          <w:sz w:val="36"/>
          <w:szCs w:val="36"/>
          <w:rtl/>
          <w:lang w:bidi="ar-EG"/>
        </w:rPr>
        <w:t>كلفة المستهلكة باستخدام أسلوب معدل الفائدة المعادل</w:t>
      </w:r>
      <w:r w:rsidR="000D4BE6">
        <w:rPr>
          <w:rFonts w:ascii="Arabic Typesetting" w:hAnsi="Arabic Typesetting" w:cs="Arabic Typesetting"/>
          <w:sz w:val="36"/>
          <w:szCs w:val="36"/>
          <w:rtl/>
          <w:lang w:bidi="ar-EG"/>
        </w:rPr>
        <w:t xml:space="preserve"> </w:t>
      </w:r>
      <w:r w:rsidR="00902B99">
        <w:rPr>
          <w:rFonts w:ascii="Arabic Typesetting" w:hAnsi="Arabic Typesetting" w:cs="Arabic Typesetting" w:hint="cs"/>
          <w:sz w:val="36"/>
          <w:szCs w:val="36"/>
          <w:rtl/>
          <w:lang w:bidi="ar-EG"/>
        </w:rPr>
        <w:t>مطروحاً منه خسائر الأضرار</w:t>
      </w:r>
      <w:r w:rsidR="00A8547B">
        <w:rPr>
          <w:rFonts w:ascii="Arabic Typesetting" w:hAnsi="Arabic Typesetting" w:cs="Arabic Typesetting" w:hint="cs"/>
          <w:sz w:val="36"/>
          <w:szCs w:val="36"/>
          <w:rtl/>
          <w:lang w:bidi="ar-EG"/>
        </w:rPr>
        <w:t xml:space="preserve">. </w:t>
      </w:r>
      <w:r w:rsidR="00902B99">
        <w:rPr>
          <w:rFonts w:ascii="Arabic Typesetting" w:hAnsi="Arabic Typesetting" w:cs="Arabic Typesetting" w:hint="cs"/>
          <w:sz w:val="36"/>
          <w:szCs w:val="36"/>
          <w:rtl/>
          <w:lang w:bidi="ar-EG"/>
        </w:rPr>
        <w:t xml:space="preserve">وتحسب التكلفة المستهلكة عن طريق أخذ أي </w:t>
      </w:r>
      <w:r w:rsidR="006B6AAE">
        <w:rPr>
          <w:rFonts w:ascii="Arabic Typesetting" w:hAnsi="Arabic Typesetting" w:cs="Arabic Typesetting" w:hint="cs"/>
          <w:sz w:val="36"/>
          <w:szCs w:val="36"/>
          <w:rtl/>
          <w:lang w:bidi="ar-EG"/>
        </w:rPr>
        <w:t xml:space="preserve">خصم أو </w:t>
      </w:r>
      <w:r w:rsidR="00FA6DDB">
        <w:rPr>
          <w:rFonts w:ascii="Arabic Typesetting" w:hAnsi="Arabic Typesetting" w:cs="Arabic Typesetting" w:hint="cs"/>
          <w:sz w:val="36"/>
          <w:szCs w:val="36"/>
          <w:rtl/>
          <w:lang w:bidi="ar-EG"/>
        </w:rPr>
        <w:t>ميزة سعرية</w:t>
      </w:r>
      <w:r w:rsidR="006B6AAE">
        <w:rPr>
          <w:rFonts w:ascii="Arabic Typesetting" w:hAnsi="Arabic Typesetting" w:cs="Arabic Typesetting" w:hint="cs"/>
          <w:sz w:val="36"/>
          <w:szCs w:val="36"/>
          <w:rtl/>
          <w:lang w:bidi="ar-EG"/>
        </w:rPr>
        <w:t xml:space="preserve"> </w:t>
      </w:r>
      <w:r w:rsidR="00FA6DDB">
        <w:rPr>
          <w:rFonts w:ascii="Arabic Typesetting" w:hAnsi="Arabic Typesetting" w:cs="Arabic Typesetting" w:hint="cs"/>
          <w:sz w:val="36"/>
          <w:szCs w:val="36"/>
          <w:rtl/>
          <w:lang w:bidi="ar-EG"/>
        </w:rPr>
        <w:t xml:space="preserve">لدى </w:t>
      </w:r>
      <w:r w:rsidR="006B6AAE">
        <w:rPr>
          <w:rFonts w:ascii="Arabic Typesetting" w:hAnsi="Arabic Typesetting" w:cs="Arabic Typesetting" w:hint="cs"/>
          <w:sz w:val="36"/>
          <w:szCs w:val="36"/>
          <w:rtl/>
          <w:lang w:bidi="ar-EG"/>
        </w:rPr>
        <w:t xml:space="preserve">الاقتناء والرسوم أو التكاليف التي تشكل جزءاً لا يتجزأ من معدل الفائدة المعادل في الحسبان. </w:t>
      </w:r>
      <w:r w:rsidR="00A8547B">
        <w:rPr>
          <w:rFonts w:ascii="Arabic Typesetting" w:hAnsi="Arabic Typesetting" w:cs="Arabic Typesetting" w:hint="cs"/>
          <w:sz w:val="36"/>
          <w:szCs w:val="36"/>
          <w:rtl/>
          <w:lang w:bidi="ar-EG"/>
        </w:rPr>
        <w:t xml:space="preserve">أما الخسائر الناجمة عن </w:t>
      </w:r>
      <w:r w:rsidR="00FA6DDB">
        <w:rPr>
          <w:rFonts w:ascii="Arabic Typesetting" w:hAnsi="Arabic Typesetting" w:cs="Arabic Typesetting" w:hint="cs"/>
          <w:sz w:val="36"/>
          <w:szCs w:val="36"/>
          <w:rtl/>
          <w:lang w:bidi="ar-EG"/>
        </w:rPr>
        <w:t>الأضرار</w:t>
      </w:r>
      <w:r w:rsidR="00A8547B">
        <w:rPr>
          <w:rFonts w:ascii="Arabic Typesetting" w:hAnsi="Arabic Typesetting" w:cs="Arabic Typesetting" w:hint="cs"/>
          <w:sz w:val="36"/>
          <w:szCs w:val="36"/>
          <w:rtl/>
          <w:lang w:bidi="ar-EG"/>
        </w:rPr>
        <w:t xml:space="preserve"> فتقيد في الفائض أو العجز.</w:t>
      </w:r>
    </w:p>
    <w:p w14:paraId="07E86C9F" w14:textId="77777777" w:rsidR="0017582C" w:rsidRDefault="00BF271F" w:rsidP="00087B14">
      <w:pPr>
        <w:keepNext/>
        <w:bidi/>
        <w:spacing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إلغاء القيد:</w:t>
      </w:r>
    </w:p>
    <w:p w14:paraId="7A9BD298" w14:textId="77777777" w:rsidR="00BF271F" w:rsidRDefault="00BF271F" w:rsidP="00296F12">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تلغي المنظمة قيد أصل مالي، أو جزء من أصل مالي </w:t>
      </w:r>
      <w:r w:rsidR="00B93376">
        <w:rPr>
          <w:rFonts w:ascii="Arabic Typesetting" w:hAnsi="Arabic Typesetting" w:cs="Arabic Typesetting" w:hint="cs"/>
          <w:sz w:val="36"/>
          <w:szCs w:val="36"/>
          <w:rtl/>
          <w:lang w:bidi="ar-EG"/>
        </w:rPr>
        <w:t xml:space="preserve">أو جزء من مجموعة من أصول مالية متشابهة </w:t>
      </w:r>
      <w:r w:rsidR="00296F12">
        <w:rPr>
          <w:rFonts w:ascii="Arabic Typesetting" w:hAnsi="Arabic Typesetting" w:cs="Arabic Typesetting" w:hint="cs"/>
          <w:sz w:val="36"/>
          <w:szCs w:val="36"/>
          <w:rtl/>
          <w:lang w:bidi="ar-EG"/>
        </w:rPr>
        <w:t>عند الاقتضاء</w:t>
      </w:r>
      <w:r>
        <w:rPr>
          <w:rFonts w:ascii="Arabic Typesetting" w:hAnsi="Arabic Typesetting" w:cs="Arabic Typesetting" w:hint="cs"/>
          <w:sz w:val="36"/>
          <w:szCs w:val="36"/>
          <w:rtl/>
          <w:lang w:bidi="ar-EG"/>
        </w:rPr>
        <w:t xml:space="preserve">، </w:t>
      </w:r>
      <w:r w:rsidR="00D25AE7">
        <w:rPr>
          <w:rFonts w:ascii="Arabic Typesetting" w:hAnsi="Arabic Typesetting" w:cs="Arabic Typesetting" w:hint="cs"/>
          <w:sz w:val="36"/>
          <w:szCs w:val="36"/>
          <w:rtl/>
          <w:lang w:bidi="ar-EG"/>
        </w:rPr>
        <w:t>عند انقضاء حقوق تلقي تدفقات نقدية من الأصل أو التنازل عنها.</w:t>
      </w:r>
    </w:p>
    <w:p w14:paraId="46EB1252" w14:textId="77777777" w:rsidR="00833179" w:rsidRDefault="00833179" w:rsidP="00087B14">
      <w:pPr>
        <w:keepNext/>
        <w:bidi/>
        <w:spacing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lastRenderedPageBreak/>
        <w:t>أضرار الأصول المالية:</w:t>
      </w:r>
    </w:p>
    <w:p w14:paraId="432AAC6E" w14:textId="77777777" w:rsidR="008B5697" w:rsidRDefault="008B5697" w:rsidP="007337FE">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تجري المنظمة تقييماً كلما حل تاريخ إعداد التقرير لتبين وجود أي أدلة موضوعية </w:t>
      </w:r>
      <w:r w:rsidR="003532E8">
        <w:rPr>
          <w:rFonts w:ascii="Arabic Typesetting" w:hAnsi="Arabic Typesetting" w:cs="Arabic Typesetting" w:hint="cs"/>
          <w:sz w:val="36"/>
          <w:szCs w:val="36"/>
          <w:rtl/>
          <w:lang w:bidi="ar-EG"/>
        </w:rPr>
        <w:t>تشير إلى أضرار لحقت بأصل مالي أو مجموعة من الأصول المالية.</w:t>
      </w:r>
      <w:r w:rsidR="00DF1070">
        <w:rPr>
          <w:rFonts w:ascii="Arabic Typesetting" w:hAnsi="Arabic Typesetting" w:cs="Arabic Typesetting" w:hint="cs"/>
          <w:sz w:val="36"/>
          <w:szCs w:val="36"/>
          <w:rtl/>
          <w:lang w:bidi="ar-EG"/>
        </w:rPr>
        <w:t xml:space="preserve"> ولا يعتبر أي </w:t>
      </w:r>
      <w:r w:rsidR="00721A38">
        <w:rPr>
          <w:rFonts w:ascii="Arabic Typesetting" w:hAnsi="Arabic Typesetting" w:cs="Arabic Typesetting" w:hint="cs"/>
          <w:sz w:val="36"/>
          <w:szCs w:val="36"/>
          <w:rtl/>
          <w:lang w:bidi="ar-EG"/>
        </w:rPr>
        <w:t>ضرر ب</w:t>
      </w:r>
      <w:r w:rsidR="00DF1070">
        <w:rPr>
          <w:rFonts w:ascii="Arabic Typesetting" w:hAnsi="Arabic Typesetting" w:cs="Arabic Typesetting" w:hint="cs"/>
          <w:sz w:val="36"/>
          <w:szCs w:val="36"/>
          <w:rtl/>
          <w:lang w:bidi="ar-EG"/>
        </w:rPr>
        <w:t xml:space="preserve">أصل مالي أو مجموعة من الأصول المالية </w:t>
      </w:r>
      <w:r w:rsidR="00721A38">
        <w:rPr>
          <w:rFonts w:ascii="Arabic Typesetting" w:hAnsi="Arabic Typesetting" w:cs="Arabic Typesetting" w:hint="cs"/>
          <w:sz w:val="36"/>
          <w:szCs w:val="36"/>
          <w:rtl/>
          <w:lang w:bidi="ar-EG"/>
        </w:rPr>
        <w:t xml:space="preserve">ما لم تتوافر أدلة موضوعية تثبت </w:t>
      </w:r>
      <w:r w:rsidR="00671439">
        <w:rPr>
          <w:rFonts w:ascii="Arabic Typesetting" w:hAnsi="Arabic Typesetting" w:cs="Arabic Typesetting" w:hint="cs"/>
          <w:sz w:val="36"/>
          <w:szCs w:val="36"/>
          <w:rtl/>
          <w:lang w:bidi="ar-EG"/>
        </w:rPr>
        <w:t xml:space="preserve">حدوث </w:t>
      </w:r>
      <w:r w:rsidR="00721A38">
        <w:rPr>
          <w:rFonts w:ascii="Arabic Typesetting" w:hAnsi="Arabic Typesetting" w:cs="Arabic Typesetting" w:hint="cs"/>
          <w:sz w:val="36"/>
          <w:szCs w:val="36"/>
          <w:rtl/>
          <w:lang w:bidi="ar-EG"/>
        </w:rPr>
        <w:t xml:space="preserve">الضرر </w:t>
      </w:r>
      <w:r w:rsidR="00671439">
        <w:rPr>
          <w:rFonts w:ascii="Arabic Typesetting" w:hAnsi="Arabic Typesetting" w:cs="Arabic Typesetting" w:hint="cs"/>
          <w:sz w:val="36"/>
          <w:szCs w:val="36"/>
          <w:rtl/>
          <w:lang w:bidi="ar-EG"/>
        </w:rPr>
        <w:t>نتيجة لوقوع حدث واحد أو عدة أحداث بعد القيد الأولي للأصل (تكبد "حدث خسارة")</w:t>
      </w:r>
      <w:r w:rsidR="007337FE">
        <w:rPr>
          <w:rFonts w:ascii="Arabic Typesetting" w:hAnsi="Arabic Typesetting" w:cs="Arabic Typesetting" w:hint="cs"/>
          <w:sz w:val="36"/>
          <w:szCs w:val="36"/>
          <w:rtl/>
          <w:lang w:bidi="ar-EG"/>
        </w:rPr>
        <w:t xml:space="preserve"> وكان لحدث الخسارة هذا أثر في التدفقات النقدية المستقبلية التقديرية للأصل المالي أو مجموعة الأصول المالية</w:t>
      </w:r>
      <w:r w:rsidR="008D1CBA">
        <w:rPr>
          <w:rFonts w:ascii="Arabic Typesetting" w:hAnsi="Arabic Typesetting" w:cs="Arabic Typesetting" w:hint="cs"/>
          <w:sz w:val="36"/>
          <w:szCs w:val="36"/>
          <w:rtl/>
          <w:lang w:bidi="ar-EG"/>
        </w:rPr>
        <w:t xml:space="preserve"> يمكن تقديره بشكل موثوق.</w:t>
      </w:r>
    </w:p>
    <w:p w14:paraId="5725CD3A" w14:textId="77777777" w:rsidR="00921A29" w:rsidRPr="0017582C" w:rsidRDefault="00921A29" w:rsidP="00921A29">
      <w:pPr>
        <w:keepNext/>
        <w:bidi/>
        <w:spacing w:after="240" w:line="360" w:lineRule="exact"/>
        <w:rPr>
          <w:rFonts w:ascii="Arabic Typesetting" w:hAnsi="Arabic Typesetting" w:cs="Arabic Typesetting"/>
          <w:b/>
          <w:bCs/>
          <w:i/>
          <w:iCs/>
          <w:sz w:val="36"/>
          <w:szCs w:val="36"/>
          <w:rtl/>
          <w:lang w:bidi="ar-EG"/>
        </w:rPr>
      </w:pPr>
      <w:r>
        <w:rPr>
          <w:rFonts w:ascii="Arabic Typesetting" w:hAnsi="Arabic Typesetting" w:cs="Arabic Typesetting" w:hint="cs"/>
          <w:b/>
          <w:bCs/>
          <w:i/>
          <w:iCs/>
          <w:sz w:val="36"/>
          <w:szCs w:val="36"/>
          <w:rtl/>
          <w:lang w:bidi="ar-EG"/>
        </w:rPr>
        <w:t xml:space="preserve">الخصوم </w:t>
      </w:r>
      <w:r w:rsidRPr="0017582C">
        <w:rPr>
          <w:rFonts w:ascii="Arabic Typesetting" w:hAnsi="Arabic Typesetting" w:cs="Arabic Typesetting" w:hint="cs"/>
          <w:b/>
          <w:bCs/>
          <w:i/>
          <w:iCs/>
          <w:sz w:val="36"/>
          <w:szCs w:val="36"/>
          <w:rtl/>
          <w:lang w:bidi="ar-EG"/>
        </w:rPr>
        <w:t>المالية</w:t>
      </w:r>
    </w:p>
    <w:p w14:paraId="603F1F08" w14:textId="77777777" w:rsidR="00921A29" w:rsidRDefault="00921A29" w:rsidP="00087B14">
      <w:pPr>
        <w:keepNext/>
        <w:bidi/>
        <w:spacing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القيد والقياس الأولي:</w:t>
      </w:r>
    </w:p>
    <w:p w14:paraId="7096647F" w14:textId="77777777" w:rsidR="00921A29" w:rsidRDefault="00921A29" w:rsidP="00BE012C">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lang w:bidi="ar-EG"/>
        </w:rPr>
        <w:t xml:space="preserve">تصنَّف الخصوم المالية ضمن نطاق المعيار 29 من </w:t>
      </w:r>
      <w:r w:rsidRPr="004A448F">
        <w:rPr>
          <w:rFonts w:ascii="Arabic Typesetting" w:hAnsi="Arabic Typesetting" w:cs="Arabic Typesetting"/>
          <w:sz w:val="36"/>
          <w:szCs w:val="36"/>
          <w:rtl/>
        </w:rPr>
        <w:t xml:space="preserve">من المعايير المحاسبية الدولية </w:t>
      </w:r>
      <w:r>
        <w:rPr>
          <w:rFonts w:ascii="Arabic Typesetting" w:hAnsi="Arabic Typesetting" w:cs="Arabic Typesetting" w:hint="cs"/>
          <w:sz w:val="36"/>
          <w:szCs w:val="36"/>
          <w:rtl/>
        </w:rPr>
        <w:t xml:space="preserve">للقطاع العام </w:t>
      </w:r>
      <w:r w:rsidRPr="004A448F">
        <w:rPr>
          <w:rFonts w:ascii="Arabic Typesetting" w:hAnsi="Arabic Typesetting" w:cs="Arabic Typesetting"/>
          <w:sz w:val="36"/>
          <w:szCs w:val="36"/>
          <w:rtl/>
        </w:rPr>
        <w:t xml:space="preserve">المتعلق </w:t>
      </w:r>
      <w:r w:rsidRPr="006514B7">
        <w:rPr>
          <w:rFonts w:ascii="Arabic Typesetting" w:hAnsi="Arabic Typesetting" w:cs="Arabic Typesetting"/>
          <w:i/>
          <w:iCs/>
          <w:sz w:val="36"/>
          <w:szCs w:val="36"/>
          <w:rtl/>
        </w:rPr>
        <w:t>بال</w:t>
      </w:r>
      <w:r w:rsidRPr="006514B7">
        <w:rPr>
          <w:rFonts w:ascii="Arabic Typesetting" w:hAnsi="Arabic Typesetting" w:cs="Arabic Typesetting" w:hint="cs"/>
          <w:i/>
          <w:iCs/>
          <w:sz w:val="36"/>
          <w:szCs w:val="36"/>
          <w:rtl/>
        </w:rPr>
        <w:t>أدوات المالية</w:t>
      </w:r>
      <w:r>
        <w:rPr>
          <w:rFonts w:ascii="Arabic Typesetting" w:hAnsi="Arabic Typesetting" w:cs="Arabic Typesetting" w:hint="cs"/>
          <w:i/>
          <w:iCs/>
          <w:sz w:val="36"/>
          <w:szCs w:val="36"/>
          <w:rtl/>
        </w:rPr>
        <w:t>: القيد والقياس</w:t>
      </w:r>
      <w:r>
        <w:rPr>
          <w:rFonts w:ascii="Arabic Typesetting" w:hAnsi="Arabic Typesetting" w:cs="Arabic Typesetting" w:hint="cs"/>
          <w:sz w:val="36"/>
          <w:szCs w:val="36"/>
          <w:rtl/>
        </w:rPr>
        <w:t xml:space="preserve"> باعتبارها </w:t>
      </w:r>
      <w:r w:rsidR="00F85AC2">
        <w:rPr>
          <w:rFonts w:ascii="Arabic Typesetting" w:hAnsi="Arabic Typesetting" w:cs="Arabic Typesetting" w:hint="cs"/>
          <w:sz w:val="36"/>
          <w:szCs w:val="36"/>
          <w:rtl/>
        </w:rPr>
        <w:t xml:space="preserve">خصوماً </w:t>
      </w:r>
      <w:r>
        <w:rPr>
          <w:rFonts w:ascii="Arabic Typesetting" w:hAnsi="Arabic Typesetting" w:cs="Arabic Typesetting" w:hint="cs"/>
          <w:sz w:val="36"/>
          <w:szCs w:val="36"/>
          <w:rtl/>
        </w:rPr>
        <w:t xml:space="preserve">مالية بالقيمة العادلة من </w:t>
      </w:r>
      <w:r>
        <w:rPr>
          <w:rFonts w:ascii="Arabic Typesetting" w:hAnsi="Arabic Typesetting" w:cs="Arabic Typesetting" w:hint="cs"/>
          <w:sz w:val="36"/>
          <w:szCs w:val="36"/>
          <w:rtl/>
          <w:lang w:bidi="ar-EG"/>
        </w:rPr>
        <w:t xml:space="preserve">خلال </w:t>
      </w:r>
      <w:r w:rsidR="004B67F0">
        <w:rPr>
          <w:rFonts w:ascii="Arabic Typesetting" w:hAnsi="Arabic Typesetting" w:cs="Arabic Typesetting" w:hint="cs"/>
          <w:sz w:val="36"/>
          <w:szCs w:val="36"/>
          <w:rtl/>
        </w:rPr>
        <w:t>الفائض أو العجز</w:t>
      </w:r>
      <w:r>
        <w:rPr>
          <w:rFonts w:ascii="Arabic Typesetting" w:hAnsi="Arabic Typesetting" w:cs="Arabic Typesetting" w:hint="cs"/>
          <w:sz w:val="36"/>
          <w:szCs w:val="36"/>
          <w:rtl/>
        </w:rPr>
        <w:t xml:space="preserve"> أو قروض</w:t>
      </w:r>
      <w:r w:rsidR="00F85AC2">
        <w:rPr>
          <w:rFonts w:ascii="Arabic Typesetting" w:hAnsi="Arabic Typesetting" w:cs="Arabic Typesetting" w:hint="cs"/>
          <w:sz w:val="36"/>
          <w:szCs w:val="36"/>
          <w:rtl/>
        </w:rPr>
        <w:t>اً</w:t>
      </w:r>
      <w:r>
        <w:rPr>
          <w:rFonts w:ascii="Arabic Typesetting" w:hAnsi="Arabic Typesetting" w:cs="Arabic Typesetting" w:hint="cs"/>
          <w:sz w:val="36"/>
          <w:szCs w:val="36"/>
          <w:rtl/>
        </w:rPr>
        <w:t xml:space="preserve">، حسب الاقتضاء. وتحدد المنظمة تصنيف </w:t>
      </w:r>
      <w:r w:rsidR="003B50EB">
        <w:rPr>
          <w:rFonts w:ascii="Arabic Typesetting" w:hAnsi="Arabic Typesetting" w:cs="Arabic Typesetting" w:hint="cs"/>
          <w:sz w:val="36"/>
          <w:szCs w:val="36"/>
          <w:rtl/>
        </w:rPr>
        <w:t xml:space="preserve">خصومها </w:t>
      </w:r>
      <w:r>
        <w:rPr>
          <w:rFonts w:ascii="Arabic Typesetting" w:hAnsi="Arabic Typesetting" w:cs="Arabic Typesetting" w:hint="cs"/>
          <w:sz w:val="36"/>
          <w:szCs w:val="36"/>
          <w:rtl/>
        </w:rPr>
        <w:t xml:space="preserve">المالية عند القيد الأولي. </w:t>
      </w:r>
      <w:r w:rsidR="005E61B1">
        <w:rPr>
          <w:rFonts w:ascii="Arabic Typesetting" w:hAnsi="Arabic Typesetting" w:cs="Arabic Typesetting" w:hint="cs"/>
          <w:sz w:val="36"/>
          <w:szCs w:val="36"/>
          <w:rtl/>
        </w:rPr>
        <w:t xml:space="preserve">وتقيد جميع الخصوم المالية أولاً بالقيمة العادلة، ويضاف إليها في حالة القروض تكاليف المعاملات </w:t>
      </w:r>
      <w:r w:rsidR="00BE012C">
        <w:rPr>
          <w:rFonts w:ascii="Arabic Typesetting" w:hAnsi="Arabic Typesetting" w:cs="Arabic Typesetting" w:hint="cs"/>
          <w:sz w:val="36"/>
          <w:szCs w:val="36"/>
          <w:rtl/>
          <w:lang w:bidi="ar-EG"/>
        </w:rPr>
        <w:t xml:space="preserve">التي يمكن عزوها إليها </w:t>
      </w:r>
      <w:r w:rsidR="00063FAB">
        <w:rPr>
          <w:rFonts w:ascii="Arabic Typesetting" w:hAnsi="Arabic Typesetting" w:cs="Arabic Typesetting" w:hint="cs"/>
          <w:sz w:val="36"/>
          <w:szCs w:val="36"/>
          <w:rtl/>
        </w:rPr>
        <w:t xml:space="preserve">مباشرة. </w:t>
      </w:r>
      <w:r>
        <w:rPr>
          <w:rFonts w:ascii="Arabic Typesetting" w:hAnsi="Arabic Typesetting" w:cs="Arabic Typesetting" w:hint="cs"/>
          <w:sz w:val="36"/>
          <w:szCs w:val="36"/>
          <w:rtl/>
        </w:rPr>
        <w:t xml:space="preserve">وتتضمن </w:t>
      </w:r>
      <w:r w:rsidR="00BE012C">
        <w:rPr>
          <w:rFonts w:ascii="Arabic Typesetting" w:hAnsi="Arabic Typesetting" w:cs="Arabic Typesetting" w:hint="cs"/>
          <w:sz w:val="36"/>
          <w:szCs w:val="36"/>
          <w:rtl/>
        </w:rPr>
        <w:t xml:space="preserve">الخصوم </w:t>
      </w:r>
      <w:r>
        <w:rPr>
          <w:rFonts w:ascii="Arabic Typesetting" w:hAnsi="Arabic Typesetting" w:cs="Arabic Typesetting" w:hint="cs"/>
          <w:sz w:val="36"/>
          <w:szCs w:val="36"/>
          <w:rtl/>
        </w:rPr>
        <w:t xml:space="preserve">المالية للمنظمة </w:t>
      </w:r>
      <w:r w:rsidR="00BE012C">
        <w:rPr>
          <w:rFonts w:ascii="Arabic Typesetting" w:hAnsi="Arabic Typesetting" w:cs="Arabic Typesetting" w:hint="cs"/>
          <w:sz w:val="36"/>
          <w:szCs w:val="36"/>
          <w:rtl/>
        </w:rPr>
        <w:t>التداول وغير ذلك من المدفوعات والقروض</w:t>
      </w:r>
      <w:r>
        <w:rPr>
          <w:rFonts w:ascii="Arabic Typesetting" w:hAnsi="Arabic Typesetting" w:cs="Arabic Typesetting" w:hint="cs"/>
          <w:sz w:val="36"/>
          <w:szCs w:val="36"/>
          <w:rtl/>
        </w:rPr>
        <w:t>.</w:t>
      </w:r>
    </w:p>
    <w:p w14:paraId="549A603C" w14:textId="77777777" w:rsidR="00921A29" w:rsidRDefault="00921A29" w:rsidP="00087B14">
      <w:pPr>
        <w:keepNext/>
        <w:bidi/>
        <w:spacing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القياس التالي:</w:t>
      </w:r>
    </w:p>
    <w:p w14:paraId="416AC0A1" w14:textId="77777777" w:rsidR="00921A29" w:rsidRPr="006514B7" w:rsidRDefault="00921A29" w:rsidP="003B2A33">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 xml:space="preserve">يعتمد قياس </w:t>
      </w:r>
      <w:r w:rsidR="003B2A33">
        <w:rPr>
          <w:rFonts w:ascii="Arabic Typesetting" w:hAnsi="Arabic Typesetting" w:cs="Arabic Typesetting" w:hint="cs"/>
          <w:sz w:val="36"/>
          <w:szCs w:val="36"/>
          <w:rtl/>
        </w:rPr>
        <w:t xml:space="preserve">الخصوم </w:t>
      </w:r>
      <w:r>
        <w:rPr>
          <w:rFonts w:ascii="Arabic Typesetting" w:hAnsi="Arabic Typesetting" w:cs="Arabic Typesetting" w:hint="cs"/>
          <w:sz w:val="36"/>
          <w:szCs w:val="36"/>
          <w:rtl/>
        </w:rPr>
        <w:t>المالية فيما يلي ذلك على تصنيفها.</w:t>
      </w:r>
    </w:p>
    <w:p w14:paraId="376CAA5E" w14:textId="77777777" w:rsidR="00921A29" w:rsidRDefault="003B2A33" w:rsidP="00087B14">
      <w:pPr>
        <w:keepNext/>
        <w:bidi/>
        <w:spacing w:line="360" w:lineRule="exact"/>
        <w:rPr>
          <w:rFonts w:ascii="Arabic Typesetting" w:hAnsi="Arabic Typesetting" w:cs="Arabic Typesetting"/>
          <w:sz w:val="36"/>
          <w:szCs w:val="36"/>
          <w:rtl/>
        </w:rPr>
      </w:pPr>
      <w:r>
        <w:rPr>
          <w:rFonts w:ascii="Arabic Typesetting" w:hAnsi="Arabic Typesetting" w:cs="Arabic Typesetting" w:hint="cs"/>
          <w:i/>
          <w:iCs/>
          <w:sz w:val="36"/>
          <w:szCs w:val="36"/>
          <w:rtl/>
        </w:rPr>
        <w:t>الخصوم</w:t>
      </w:r>
      <w:r w:rsidR="00921A29">
        <w:rPr>
          <w:rFonts w:ascii="Arabic Typesetting" w:hAnsi="Arabic Typesetting" w:cs="Arabic Typesetting" w:hint="cs"/>
          <w:i/>
          <w:iCs/>
          <w:sz w:val="36"/>
          <w:szCs w:val="36"/>
          <w:rtl/>
        </w:rPr>
        <w:t xml:space="preserve"> المالية بالقيمة العادلة من خلال الفائض أو العجز</w:t>
      </w:r>
    </w:p>
    <w:p w14:paraId="5ED0B5BB" w14:textId="77777777" w:rsidR="00921A29" w:rsidRDefault="00921A29" w:rsidP="00BA3386">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تتضمن </w:t>
      </w:r>
      <w:r w:rsidR="003B2A33">
        <w:rPr>
          <w:rFonts w:ascii="Arabic Typesetting" w:hAnsi="Arabic Typesetting" w:cs="Arabic Typesetting" w:hint="cs"/>
          <w:sz w:val="36"/>
          <w:szCs w:val="36"/>
          <w:rtl/>
        </w:rPr>
        <w:t xml:space="preserve">الخصوم </w:t>
      </w:r>
      <w:r w:rsidRPr="00CF25D2">
        <w:rPr>
          <w:rFonts w:ascii="Arabic Typesetting" w:hAnsi="Arabic Typesetting" w:cs="Arabic Typesetting"/>
          <w:sz w:val="36"/>
          <w:szCs w:val="36"/>
          <w:rtl/>
        </w:rPr>
        <w:t>المالية بالقيمة العادلة من خلال الفائض أو العجز</w:t>
      </w:r>
      <w:r>
        <w:rPr>
          <w:rFonts w:ascii="Arabic Typesetting" w:hAnsi="Arabic Typesetting" w:cs="Arabic Typesetting" w:hint="cs"/>
          <w:sz w:val="36"/>
          <w:szCs w:val="36"/>
          <w:rtl/>
        </w:rPr>
        <w:t xml:space="preserve"> </w:t>
      </w:r>
      <w:r w:rsidR="003B2A33">
        <w:rPr>
          <w:rFonts w:ascii="Arabic Typesetting" w:hAnsi="Arabic Typesetting" w:cs="Arabic Typesetting" w:hint="cs"/>
          <w:sz w:val="36"/>
          <w:szCs w:val="36"/>
          <w:rtl/>
        </w:rPr>
        <w:t xml:space="preserve">الخصوم </w:t>
      </w:r>
      <w:r>
        <w:rPr>
          <w:rFonts w:ascii="Arabic Typesetting" w:hAnsi="Arabic Typesetting" w:cs="Arabic Typesetting" w:hint="cs"/>
          <w:sz w:val="36"/>
          <w:szCs w:val="36"/>
          <w:rtl/>
        </w:rPr>
        <w:t>المالية المحتفظ بها</w:t>
      </w:r>
      <w:r>
        <w:rPr>
          <w:rFonts w:ascii="Arabic Typesetting" w:hAnsi="Arabic Typesetting" w:cs="Arabic Typesetting" w:hint="cs"/>
          <w:sz w:val="36"/>
          <w:szCs w:val="36"/>
          <w:rtl/>
          <w:lang w:bidi="ar-EG"/>
        </w:rPr>
        <w:t xml:space="preserve"> للتداول </w:t>
      </w:r>
      <w:r w:rsidR="003B2A33">
        <w:rPr>
          <w:rFonts w:ascii="Arabic Typesetting" w:hAnsi="Arabic Typesetting" w:cs="Arabic Typesetting" w:hint="cs"/>
          <w:sz w:val="36"/>
          <w:szCs w:val="36"/>
          <w:rtl/>
          <w:lang w:bidi="ar-EG"/>
        </w:rPr>
        <w:t xml:space="preserve">والخصوم </w:t>
      </w:r>
      <w:r>
        <w:rPr>
          <w:rFonts w:ascii="Arabic Typesetting" w:hAnsi="Arabic Typesetting" w:cs="Arabic Typesetting" w:hint="cs"/>
          <w:sz w:val="36"/>
          <w:szCs w:val="36"/>
          <w:rtl/>
          <w:lang w:bidi="ar-EG"/>
        </w:rPr>
        <w:t xml:space="preserve">المالية المحددة لدى القيد الأولي بالقيمة العادلة </w:t>
      </w:r>
      <w:r w:rsidRPr="00CF25D2">
        <w:rPr>
          <w:rFonts w:ascii="Arabic Typesetting" w:hAnsi="Arabic Typesetting" w:cs="Arabic Typesetting"/>
          <w:sz w:val="36"/>
          <w:szCs w:val="36"/>
          <w:rtl/>
        </w:rPr>
        <w:t>من خلال الفائض أو العجز</w:t>
      </w:r>
      <w:r>
        <w:rPr>
          <w:rFonts w:ascii="Arabic Typesetting" w:hAnsi="Arabic Typesetting" w:cs="Arabic Typesetting" w:hint="cs"/>
          <w:sz w:val="36"/>
          <w:szCs w:val="36"/>
          <w:rtl/>
        </w:rPr>
        <w:t xml:space="preserve">. وتصنَّف </w:t>
      </w:r>
      <w:r w:rsidR="00984052">
        <w:rPr>
          <w:rFonts w:ascii="Arabic Typesetting" w:hAnsi="Arabic Typesetting" w:cs="Arabic Typesetting" w:hint="cs"/>
          <w:sz w:val="36"/>
          <w:szCs w:val="36"/>
          <w:rtl/>
        </w:rPr>
        <w:t xml:space="preserve">الخصوم </w:t>
      </w:r>
      <w:r>
        <w:rPr>
          <w:rFonts w:ascii="Arabic Typesetting" w:hAnsi="Arabic Typesetting" w:cs="Arabic Typesetting" w:hint="cs"/>
          <w:sz w:val="36"/>
          <w:szCs w:val="36"/>
          <w:rtl/>
        </w:rPr>
        <w:t>المالية على أنها محتفظ بها للتداول إذا كان اقتناؤها لغرض البيع في الأجل القريب. و</w:t>
      </w:r>
      <w:r w:rsidR="00984052">
        <w:rPr>
          <w:rFonts w:ascii="Arabic Typesetting" w:hAnsi="Arabic Typesetting" w:cs="Arabic Typesetting" w:hint="cs"/>
          <w:sz w:val="36"/>
          <w:szCs w:val="36"/>
          <w:rtl/>
        </w:rPr>
        <w:t xml:space="preserve">تقيد المكاسب أو الخسائر على الخصوم المحتفظ بها للتداول </w:t>
      </w:r>
      <w:r>
        <w:rPr>
          <w:rFonts w:ascii="Arabic Typesetting" w:hAnsi="Arabic Typesetting" w:cs="Arabic Typesetting" w:hint="cs"/>
          <w:sz w:val="36"/>
          <w:szCs w:val="36"/>
          <w:rtl/>
        </w:rPr>
        <w:t>في الفائض أو العجز.</w:t>
      </w:r>
    </w:p>
    <w:p w14:paraId="07D8C21F" w14:textId="77777777" w:rsidR="00921A29" w:rsidRDefault="00921A29" w:rsidP="00087B14">
      <w:pPr>
        <w:keepNext/>
        <w:bidi/>
        <w:spacing w:line="360" w:lineRule="exact"/>
        <w:rPr>
          <w:rFonts w:ascii="Arabic Typesetting" w:hAnsi="Arabic Typesetting" w:cs="Arabic Typesetting"/>
          <w:sz w:val="36"/>
          <w:szCs w:val="36"/>
          <w:rtl/>
        </w:rPr>
      </w:pPr>
      <w:r>
        <w:rPr>
          <w:rFonts w:ascii="Arabic Typesetting" w:hAnsi="Arabic Typesetting" w:cs="Arabic Typesetting" w:hint="cs"/>
          <w:i/>
          <w:iCs/>
          <w:sz w:val="36"/>
          <w:szCs w:val="36"/>
          <w:rtl/>
        </w:rPr>
        <w:t>القروض والمبالغ المستحقة</w:t>
      </w:r>
    </w:p>
    <w:p w14:paraId="219BC40E" w14:textId="77777777" w:rsidR="00921A29" w:rsidRPr="00774F09" w:rsidRDefault="00921A29" w:rsidP="002B251F">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بعد القياس الأولي، تقاس </w:t>
      </w:r>
      <w:r w:rsidR="004E37B8">
        <w:rPr>
          <w:rFonts w:ascii="Arabic Typesetting" w:hAnsi="Arabic Typesetting" w:cs="Arabic Typesetting" w:hint="cs"/>
          <w:sz w:val="36"/>
          <w:szCs w:val="36"/>
          <w:rtl/>
          <w:lang w:bidi="ar-EG"/>
        </w:rPr>
        <w:t xml:space="preserve">القروض </w:t>
      </w:r>
      <w:r>
        <w:rPr>
          <w:rFonts w:ascii="Arabic Typesetting" w:hAnsi="Arabic Typesetting" w:cs="Arabic Typesetting" w:hint="cs"/>
          <w:sz w:val="36"/>
          <w:szCs w:val="36"/>
          <w:rtl/>
          <w:lang w:bidi="ar-EG"/>
        </w:rPr>
        <w:t xml:space="preserve">فيما يلي ذلك بالتكلفة المستهلكة باستخدام أسلوب معدل الفائدة المعادل. </w:t>
      </w:r>
      <w:r w:rsidR="002B251F">
        <w:rPr>
          <w:rFonts w:ascii="Arabic Typesetting" w:hAnsi="Arabic Typesetting" w:cs="Arabic Typesetting" w:hint="cs"/>
          <w:sz w:val="36"/>
          <w:szCs w:val="36"/>
          <w:rtl/>
          <w:lang w:bidi="ar-EG"/>
        </w:rPr>
        <w:t>وتقيد المكاسب والخسائر في الفائض أو العجز</w:t>
      </w:r>
      <w:r w:rsidR="005236F1">
        <w:rPr>
          <w:rFonts w:ascii="Arabic Typesetting" w:hAnsi="Arabic Typesetting" w:cs="Arabic Typesetting" w:hint="cs"/>
          <w:sz w:val="36"/>
          <w:szCs w:val="36"/>
          <w:rtl/>
          <w:lang w:bidi="ar-EG"/>
        </w:rPr>
        <w:t xml:space="preserve"> عند إلغاء قيد الخصوم وكذلك من خلال عملية استهلاك أسلوب الفائدة المعادلة</w:t>
      </w:r>
      <w:r w:rsidR="002B251F">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 xml:space="preserve">وتحسب التكلفة المستهلكة عن طريق أخذ أي خصم أو ميزة سعرية لدى الاقتناء والرسوم أو التكاليف التي تشكل جزءاً لا يتجزأ من معدل </w:t>
      </w:r>
      <w:r w:rsidR="002B251F">
        <w:rPr>
          <w:rFonts w:ascii="Arabic Typesetting" w:hAnsi="Arabic Typesetting" w:cs="Arabic Typesetting" w:hint="cs"/>
          <w:sz w:val="36"/>
          <w:szCs w:val="36"/>
          <w:rtl/>
          <w:lang w:bidi="ar-EG"/>
        </w:rPr>
        <w:t>الفائدة المعادل في الحسبان.</w:t>
      </w:r>
    </w:p>
    <w:p w14:paraId="6FBD07AD" w14:textId="77777777" w:rsidR="00921A29" w:rsidRDefault="00921A29" w:rsidP="00087B14">
      <w:pPr>
        <w:keepNext/>
        <w:bidi/>
        <w:spacing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إلغاء القيد:</w:t>
      </w:r>
    </w:p>
    <w:p w14:paraId="41DC79B3" w14:textId="77777777" w:rsidR="00921A29" w:rsidRDefault="00A84089" w:rsidP="00A55A55">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ي</w:t>
      </w:r>
      <w:r w:rsidR="00921A29">
        <w:rPr>
          <w:rFonts w:ascii="Arabic Typesetting" w:hAnsi="Arabic Typesetting" w:cs="Arabic Typesetting" w:hint="cs"/>
          <w:sz w:val="36"/>
          <w:szCs w:val="36"/>
          <w:rtl/>
          <w:lang w:bidi="ar-EG"/>
        </w:rPr>
        <w:t xml:space="preserve">لغي قيد </w:t>
      </w:r>
      <w:r>
        <w:rPr>
          <w:rFonts w:ascii="Arabic Typesetting" w:hAnsi="Arabic Typesetting" w:cs="Arabic Typesetting" w:hint="cs"/>
          <w:sz w:val="36"/>
          <w:szCs w:val="36"/>
          <w:rtl/>
          <w:lang w:bidi="ar-EG"/>
        </w:rPr>
        <w:t xml:space="preserve">أي خصم </w:t>
      </w:r>
      <w:r w:rsidR="00921A29">
        <w:rPr>
          <w:rFonts w:ascii="Arabic Typesetting" w:hAnsi="Arabic Typesetting" w:cs="Arabic Typesetting" w:hint="cs"/>
          <w:sz w:val="36"/>
          <w:szCs w:val="36"/>
          <w:rtl/>
          <w:lang w:bidi="ar-EG"/>
        </w:rPr>
        <w:t>مالي</w:t>
      </w:r>
      <w:r>
        <w:rPr>
          <w:rFonts w:ascii="Arabic Typesetting" w:hAnsi="Arabic Typesetting" w:cs="Arabic Typesetting" w:hint="cs"/>
          <w:sz w:val="36"/>
          <w:szCs w:val="36"/>
          <w:rtl/>
          <w:lang w:bidi="ar-EG"/>
        </w:rPr>
        <w:t xml:space="preserve"> عند </w:t>
      </w:r>
      <w:r w:rsidR="008700AD">
        <w:rPr>
          <w:rFonts w:ascii="Arabic Typesetting" w:hAnsi="Arabic Typesetting" w:cs="Arabic Typesetting" w:hint="cs"/>
          <w:sz w:val="36"/>
          <w:szCs w:val="36"/>
          <w:rtl/>
          <w:lang w:bidi="ar-EG"/>
        </w:rPr>
        <w:t>الوفاء بالالتزام الذي يقتضيه الخصم</w:t>
      </w:r>
      <w:r w:rsidR="003964C9">
        <w:rPr>
          <w:rFonts w:ascii="Arabic Typesetting" w:hAnsi="Arabic Typesetting" w:cs="Arabic Typesetting" w:hint="cs"/>
          <w:sz w:val="36"/>
          <w:szCs w:val="36"/>
          <w:rtl/>
          <w:lang w:bidi="ar-EG"/>
        </w:rPr>
        <w:t xml:space="preserve"> أو إل</w:t>
      </w:r>
      <w:r w:rsidR="008700AD">
        <w:rPr>
          <w:rFonts w:ascii="Arabic Typesetting" w:hAnsi="Arabic Typesetting" w:cs="Arabic Typesetting" w:hint="cs"/>
          <w:sz w:val="36"/>
          <w:szCs w:val="36"/>
          <w:rtl/>
          <w:lang w:bidi="ar-EG"/>
        </w:rPr>
        <w:t>غائه أو انقضائه</w:t>
      </w:r>
      <w:r w:rsidR="003964C9">
        <w:rPr>
          <w:rFonts w:ascii="Arabic Typesetting" w:hAnsi="Arabic Typesetting" w:cs="Arabic Typesetting" w:hint="cs"/>
          <w:sz w:val="36"/>
          <w:szCs w:val="36"/>
          <w:rtl/>
          <w:lang w:bidi="ar-EG"/>
        </w:rPr>
        <w:t xml:space="preserve">. </w:t>
      </w:r>
      <w:r w:rsidR="002E4849">
        <w:rPr>
          <w:rFonts w:ascii="Arabic Typesetting" w:hAnsi="Arabic Typesetting" w:cs="Arabic Typesetting" w:hint="cs"/>
          <w:sz w:val="36"/>
          <w:szCs w:val="36"/>
          <w:rtl/>
          <w:lang w:bidi="ar-EG"/>
        </w:rPr>
        <w:t xml:space="preserve">وإذا حل خصم مالي محل آخر من نفس جهة الإقراض استناداً إلى شروط مختلفة </w:t>
      </w:r>
      <w:r w:rsidR="00A55A55">
        <w:rPr>
          <w:rFonts w:ascii="Arabic Typesetting" w:hAnsi="Arabic Typesetting" w:cs="Arabic Typesetting" w:hint="cs"/>
          <w:sz w:val="36"/>
          <w:szCs w:val="36"/>
          <w:rtl/>
          <w:lang w:bidi="ar-EG"/>
        </w:rPr>
        <w:t>اختلافاً كبيراً، أو خضعت شروط خصم قائم لتعديلات جوهرية، فإن هذا الإحلال أو التعديل يعامَل على أنه إلغاء قيد للخصم الأصلي وقيد</w:t>
      </w:r>
      <w:r w:rsidR="00EE4D76">
        <w:rPr>
          <w:rFonts w:ascii="Arabic Typesetting" w:hAnsi="Arabic Typesetting" w:cs="Arabic Typesetting" w:hint="cs"/>
          <w:sz w:val="36"/>
          <w:szCs w:val="36"/>
          <w:rtl/>
          <w:lang w:bidi="ar-EG"/>
        </w:rPr>
        <w:t xml:space="preserve"> لخصم جديد، بينما يقيد الفرق بين المبالغ المرحلة المناظرة في الفائض أو العجز.</w:t>
      </w:r>
    </w:p>
    <w:p w14:paraId="423599A0" w14:textId="77777777"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معاملات بالعملات الأجنبية</w:t>
      </w:r>
    </w:p>
    <w:p w14:paraId="1D53618C" w14:textId="173087B4" w:rsidR="00E16243" w:rsidRPr="002F5474" w:rsidRDefault="00E16243" w:rsidP="00630846">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الفرنك السويسري هو العملة التي تعمل بها الويبو وبه تعرض هذه البيانات المالية. وتحول كل المعاملات التي </w:t>
      </w:r>
      <w:r w:rsidR="00630846">
        <w:rPr>
          <w:rFonts w:ascii="Arabic Typesetting" w:hAnsi="Arabic Typesetting" w:cs="Arabic Typesetting" w:hint="cs"/>
          <w:sz w:val="36"/>
          <w:szCs w:val="36"/>
          <w:rtl/>
        </w:rPr>
        <w:t xml:space="preserve">تجرى </w:t>
      </w:r>
      <w:r>
        <w:rPr>
          <w:rFonts w:ascii="Arabic Typesetting" w:hAnsi="Arabic Typesetting" w:cs="Arabic Typesetting" w:hint="cs"/>
          <w:sz w:val="36"/>
          <w:szCs w:val="36"/>
          <w:rtl/>
        </w:rPr>
        <w:t xml:space="preserve">بعملات أخرى إلى مبالغ بالفرنك السويسري </w:t>
      </w:r>
      <w:r w:rsidR="002B3DBD">
        <w:rPr>
          <w:rFonts w:ascii="Arabic Typesetting" w:hAnsi="Arabic Typesetting" w:cs="Arabic Typesetting" w:hint="cs"/>
          <w:sz w:val="36"/>
          <w:szCs w:val="36"/>
          <w:rtl/>
        </w:rPr>
        <w:t xml:space="preserve">وفقاً </w:t>
      </w:r>
      <w:r>
        <w:rPr>
          <w:rFonts w:ascii="Arabic Typesetting" w:hAnsi="Arabic Typesetting" w:cs="Arabic Typesetting" w:hint="cs"/>
          <w:sz w:val="36"/>
          <w:szCs w:val="36"/>
          <w:rtl/>
        </w:rPr>
        <w:t>لأسعار صرف الأمم المتحدة التي تمثل تلك السائدة في تاريخ إجراء تلك المعاملات. وتقيد في بيان الأداء المالي كل المكاسب والخسائر المحققة وغير المحققة والناتجة عن تسوية تلك المعاملات وعن عملية التحويل في تاريخ التقرير المالي عن الأصول والخصوم التي تمت بعملات خلاف العملة التي تعمل بها الويب</w:t>
      </w:r>
      <w:r>
        <w:rPr>
          <w:rFonts w:ascii="Arabic Typesetting" w:hAnsi="Arabic Typesetting" w:cs="Arabic Typesetting" w:hint="eastAsia"/>
          <w:sz w:val="36"/>
          <w:szCs w:val="36"/>
          <w:rtl/>
        </w:rPr>
        <w:t>و</w:t>
      </w:r>
      <w:r>
        <w:rPr>
          <w:rFonts w:ascii="Arabic Typesetting" w:hAnsi="Arabic Typesetting" w:cs="Arabic Typesetting" w:hint="cs"/>
          <w:sz w:val="36"/>
          <w:szCs w:val="36"/>
          <w:rtl/>
        </w:rPr>
        <w:t>.</w:t>
      </w:r>
    </w:p>
    <w:p w14:paraId="22D20A35" w14:textId="77777777"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lastRenderedPageBreak/>
        <w:t>الأصول الثابتة</w:t>
      </w:r>
    </w:p>
    <w:p w14:paraId="7704C64F" w14:textId="2017F7FA" w:rsidR="00E55E2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تقيّم المعدات بحسب تكلفتها ناقص اهتلاكها التراكمي والأضرار التي تلحق بها. وتقيد المعدات بوصفها أصولا إذا كانت تكلفة الوحدة الواحدة منها تساوي 000 5 فرنك سويسري أو أكثر. وتقيد الأراضي والممتلكات الاستثمارية بقيمتها العادلة كما تحددها عملية تقييم مستقلة تجرى </w:t>
      </w:r>
      <w:r w:rsidR="002B3DBD">
        <w:rPr>
          <w:rFonts w:ascii="Arabic Typesetting" w:hAnsi="Arabic Typesetting" w:cs="Arabic Typesetting" w:hint="cs"/>
          <w:sz w:val="36"/>
          <w:szCs w:val="36"/>
          <w:rtl/>
        </w:rPr>
        <w:t xml:space="preserve">وفقاً </w:t>
      </w:r>
      <w:r>
        <w:rPr>
          <w:rFonts w:ascii="Arabic Typesetting" w:hAnsi="Arabic Typesetting" w:cs="Arabic Typesetting" w:hint="cs"/>
          <w:sz w:val="36"/>
          <w:szCs w:val="36"/>
          <w:rtl/>
        </w:rPr>
        <w:t>لمعايير التقييم الدولية. وتقدر قيمة المباني المشغولة بتكلفة المبنى عندما كان جديدا زائد تكاليف التحسينات اللاحقة كما يحددها خبير مستقل ناقص الاهتلاك التراكمي. وبالنسبة إلى القيد الأولي للمباني المشغولة في الأول من يناير 2010، وهو تاريخ الانتقال إلى المعايير المحاسبية الدولية للقطاع العام، فتحدد قيمتها في حالتها الجديدة بالرجوع إلى تكلفة تقديرية يحسبها خبير استشاري خارجي وتمثل قيمة كل عنصر في مرحلة البناء زائد أعمال التحسين القائمة في تاريخ القيد الأولي ناقص الاهتلاك التراكمي المستند إلى العمر الإنتاجي المقدر المتبقي لكل عنصر. وتوضع التكاليف اللاحقة لأعمال التجديد والتحسين الكبيرة التي تجرى على الأصول الثابتة والتي تزيد أو تمدد المنافع الاقتصادية أو قدرة الخدمة بقيمتها. وتقدر أرباح وخسائر التصرف بمقارنة العائدات بمبلغ الأصول المرحّلة وتدرج في بيان الأداء المالي. ولا تقيّد قيمة الأصول التاريخية، بما</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فيها المصنفات الفنية المتبرع بها، في البيانات المالية.</w:t>
      </w:r>
    </w:p>
    <w:p w14:paraId="63E13C59" w14:textId="07E1A85E" w:rsidR="00E16243" w:rsidRDefault="00E16243" w:rsidP="006E5D68">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ويسجّل الاهتلاك بحيث تشطب التكلفة الكاملة للأصول الثابتة بخلاف الأراضي والمباني الجاري تشييدها أثناء عمرها الإنتاجي المقدر بتطبيق منهجية تأثر القيمة المباشر. وفي حالة استخدام أصول ثابتة لجزء من السنة فقط (نتيجة لاقتنائها أو التصرف فيها أو الاستغناء عنها خلال السنة)، لا يقيد الاهتلاك إلا مقابل الشهور التي استخدم خلالها الأصل. وتطبق </w:t>
      </w:r>
      <w:r w:rsidR="00182157">
        <w:rPr>
          <w:rFonts w:ascii="Arabic Typesetting" w:hAnsi="Arabic Typesetting" w:cs="Arabic Typesetting" w:hint="cs"/>
          <w:sz w:val="36"/>
          <w:szCs w:val="36"/>
          <w:rtl/>
        </w:rPr>
        <w:t xml:space="preserve">مجموعات </w:t>
      </w:r>
      <w:r>
        <w:rPr>
          <w:rFonts w:ascii="Arabic Typesetting" w:hAnsi="Arabic Typesetting" w:cs="Arabic Typesetting" w:hint="cs"/>
          <w:sz w:val="36"/>
          <w:szCs w:val="36"/>
          <w:rtl/>
        </w:rPr>
        <w:t>قيم العمر الإنتاجي التالية على مختلف أصناف الأصول الثابتة:</w:t>
      </w:r>
    </w:p>
    <w:tbl>
      <w:tblPr>
        <w:tblW w:w="7710" w:type="dxa"/>
        <w:jc w:val="center"/>
        <w:tblLook w:val="0000" w:firstRow="0" w:lastRow="0" w:firstColumn="0" w:lastColumn="0" w:noHBand="0" w:noVBand="0"/>
      </w:tblPr>
      <w:tblGrid>
        <w:gridCol w:w="2715"/>
        <w:gridCol w:w="2340"/>
        <w:gridCol w:w="2655"/>
      </w:tblGrid>
      <w:tr w:rsidR="00E16243" w:rsidRPr="00F059BA" w14:paraId="05E8737D" w14:textId="77777777" w:rsidTr="00E16243">
        <w:trPr>
          <w:trHeight w:val="345"/>
          <w:jc w:val="center"/>
        </w:trPr>
        <w:tc>
          <w:tcPr>
            <w:tcW w:w="2715" w:type="dxa"/>
            <w:tcBorders>
              <w:top w:val="single" w:sz="4" w:space="0" w:color="auto"/>
              <w:left w:val="nil"/>
              <w:bottom w:val="single" w:sz="4" w:space="0" w:color="auto"/>
              <w:right w:val="nil"/>
            </w:tcBorders>
            <w:shd w:val="clear" w:color="auto" w:fill="auto"/>
            <w:noWrap/>
            <w:vAlign w:val="center"/>
          </w:tcPr>
          <w:p w14:paraId="52D517E5" w14:textId="77777777" w:rsidR="00E16243" w:rsidRPr="00F059BA" w:rsidRDefault="00E16243" w:rsidP="006E5D68">
            <w:pPr>
              <w:keepNext/>
              <w:bidi/>
              <w:spacing w:line="280" w:lineRule="exact"/>
              <w:jc w:val="center"/>
              <w:rPr>
                <w:rFonts w:ascii="Arabic Typesetting" w:hAnsi="Arabic Typesetting" w:cs="Arabic Typesetting"/>
                <w:bCs/>
                <w:sz w:val="28"/>
                <w:szCs w:val="28"/>
                <w:rtl/>
              </w:rPr>
            </w:pPr>
            <w:r w:rsidRPr="00F059BA">
              <w:rPr>
                <w:rFonts w:ascii="Arabic Typesetting" w:hAnsi="Arabic Typesetting" w:cs="Arabic Typesetting"/>
                <w:bCs/>
                <w:sz w:val="28"/>
                <w:szCs w:val="28"/>
                <w:rtl/>
              </w:rPr>
              <w:t>العمر الإنتاجي المقدر</w:t>
            </w:r>
          </w:p>
        </w:tc>
        <w:tc>
          <w:tcPr>
            <w:tcW w:w="2340" w:type="dxa"/>
            <w:tcBorders>
              <w:top w:val="single" w:sz="4" w:space="0" w:color="auto"/>
              <w:left w:val="nil"/>
              <w:bottom w:val="single" w:sz="4" w:space="0" w:color="auto"/>
              <w:right w:val="nil"/>
            </w:tcBorders>
            <w:shd w:val="clear" w:color="auto" w:fill="auto"/>
            <w:vAlign w:val="center"/>
          </w:tcPr>
          <w:p w14:paraId="540285CE" w14:textId="77777777" w:rsidR="00E16243" w:rsidRPr="00F059BA" w:rsidRDefault="00E16243" w:rsidP="006E5D68">
            <w:pPr>
              <w:keepNext/>
              <w:bidi/>
              <w:spacing w:line="280" w:lineRule="exact"/>
              <w:jc w:val="center"/>
              <w:rPr>
                <w:rFonts w:ascii="Arabic Typesetting" w:hAnsi="Arabic Typesetting" w:cs="Arabic Typesetting"/>
                <w:bCs/>
                <w:sz w:val="28"/>
                <w:szCs w:val="28"/>
              </w:rPr>
            </w:pPr>
            <w:r w:rsidRPr="00F059BA">
              <w:rPr>
                <w:rFonts w:ascii="Arabic Typesetting" w:hAnsi="Arabic Typesetting" w:cs="Arabic Typesetting"/>
                <w:bCs/>
                <w:sz w:val="28"/>
                <w:szCs w:val="28"/>
                <w:rtl/>
              </w:rPr>
              <w:t>العنصر</w:t>
            </w:r>
          </w:p>
        </w:tc>
        <w:tc>
          <w:tcPr>
            <w:tcW w:w="2655" w:type="dxa"/>
            <w:tcBorders>
              <w:top w:val="single" w:sz="4" w:space="0" w:color="auto"/>
              <w:left w:val="nil"/>
              <w:bottom w:val="single" w:sz="4" w:space="0" w:color="auto"/>
              <w:right w:val="nil"/>
            </w:tcBorders>
            <w:shd w:val="clear" w:color="auto" w:fill="auto"/>
            <w:vAlign w:val="center"/>
          </w:tcPr>
          <w:p w14:paraId="7FD412F6" w14:textId="77777777" w:rsidR="00E16243" w:rsidRPr="00F059BA" w:rsidRDefault="00E16243" w:rsidP="006E5D68">
            <w:pPr>
              <w:keepNext/>
              <w:bidi/>
              <w:spacing w:line="280" w:lineRule="exact"/>
              <w:jc w:val="center"/>
              <w:rPr>
                <w:rFonts w:ascii="Arabic Typesetting" w:hAnsi="Arabic Typesetting" w:cs="Arabic Typesetting"/>
                <w:bCs/>
                <w:color w:val="333333"/>
                <w:sz w:val="28"/>
                <w:szCs w:val="28"/>
              </w:rPr>
            </w:pPr>
            <w:r w:rsidRPr="00F059BA">
              <w:rPr>
                <w:rFonts w:ascii="Arabic Typesetting" w:hAnsi="Arabic Typesetting" w:cs="Arabic Typesetting"/>
                <w:bCs/>
                <w:color w:val="333333"/>
                <w:sz w:val="28"/>
                <w:szCs w:val="28"/>
                <w:rtl/>
              </w:rPr>
              <w:t>الصنف</w:t>
            </w:r>
          </w:p>
        </w:tc>
      </w:tr>
      <w:tr w:rsidR="00E16243" w:rsidRPr="00F059BA" w14:paraId="047AFEF9" w14:textId="77777777" w:rsidTr="00E16243">
        <w:trPr>
          <w:trHeight w:val="563"/>
          <w:jc w:val="center"/>
        </w:trPr>
        <w:tc>
          <w:tcPr>
            <w:tcW w:w="2715" w:type="dxa"/>
            <w:tcBorders>
              <w:top w:val="nil"/>
              <w:left w:val="nil"/>
              <w:bottom w:val="nil"/>
              <w:right w:val="nil"/>
            </w:tcBorders>
            <w:shd w:val="clear" w:color="auto" w:fill="auto"/>
            <w:noWrap/>
            <w:vAlign w:val="bottom"/>
          </w:tcPr>
          <w:p w14:paraId="41A3294C" w14:textId="77777777" w:rsidR="00E16243" w:rsidRPr="00F059BA" w:rsidRDefault="00E16243" w:rsidP="000D58D5">
            <w:pPr>
              <w:keepNext/>
              <w:bidi/>
              <w:spacing w:line="280" w:lineRule="exact"/>
              <w:jc w:val="right"/>
              <w:rPr>
                <w:rFonts w:ascii="Arabic Typesetting" w:hAnsi="Arabic Typesetting" w:cs="Arabic Typesetting"/>
                <w:sz w:val="28"/>
                <w:szCs w:val="28"/>
                <w:rtl/>
              </w:rPr>
            </w:pPr>
            <w:r w:rsidRPr="00F059BA">
              <w:rPr>
                <w:rFonts w:ascii="Arabic Typesetting" w:hAnsi="Arabic Typesetting" w:cs="Arabic Typesetting"/>
                <w:sz w:val="28"/>
                <w:szCs w:val="28"/>
                <w:rtl/>
              </w:rPr>
              <w:t>5 سنوات</w:t>
            </w:r>
          </w:p>
        </w:tc>
        <w:tc>
          <w:tcPr>
            <w:tcW w:w="2340" w:type="dxa"/>
            <w:tcBorders>
              <w:top w:val="nil"/>
              <w:left w:val="nil"/>
              <w:bottom w:val="nil"/>
              <w:right w:val="nil"/>
            </w:tcBorders>
            <w:shd w:val="clear" w:color="auto" w:fill="auto"/>
            <w:vAlign w:val="center"/>
          </w:tcPr>
          <w:p w14:paraId="2B742CDD" w14:textId="77777777" w:rsidR="00E16243" w:rsidRPr="00F059BA" w:rsidRDefault="00E16243" w:rsidP="006E5D68">
            <w:pPr>
              <w:keepNext/>
              <w:bidi/>
              <w:spacing w:line="280" w:lineRule="exact"/>
              <w:rPr>
                <w:rFonts w:ascii="Arabic Typesetting" w:hAnsi="Arabic Typesetting" w:cs="Arabic Typesetting"/>
                <w:sz w:val="28"/>
                <w:szCs w:val="28"/>
              </w:rPr>
            </w:pPr>
          </w:p>
        </w:tc>
        <w:tc>
          <w:tcPr>
            <w:tcW w:w="2655" w:type="dxa"/>
            <w:tcBorders>
              <w:top w:val="nil"/>
              <w:left w:val="nil"/>
              <w:bottom w:val="nil"/>
              <w:right w:val="nil"/>
            </w:tcBorders>
            <w:shd w:val="clear" w:color="auto" w:fill="auto"/>
            <w:vAlign w:val="bottom"/>
          </w:tcPr>
          <w:p w14:paraId="22E9F57A" w14:textId="77777777" w:rsidR="00E16243" w:rsidRPr="00F059BA" w:rsidRDefault="00E16243" w:rsidP="000D58D5">
            <w:pPr>
              <w:keepNext/>
              <w:bidi/>
              <w:spacing w:line="280" w:lineRule="exact"/>
              <w:rPr>
                <w:rFonts w:ascii="Arabic Typesetting" w:hAnsi="Arabic Typesetting" w:cs="Arabic Typesetting"/>
                <w:sz w:val="28"/>
                <w:szCs w:val="28"/>
                <w:rtl/>
              </w:rPr>
            </w:pPr>
            <w:r w:rsidRPr="00F059BA">
              <w:rPr>
                <w:rFonts w:ascii="Arabic Typesetting" w:hAnsi="Arabic Typesetting" w:cs="Arabic Typesetting"/>
                <w:sz w:val="28"/>
                <w:szCs w:val="28"/>
                <w:rtl/>
              </w:rPr>
              <w:t>معدات الاتصالات وتكنولوجيا المعلومات</w:t>
            </w:r>
          </w:p>
        </w:tc>
      </w:tr>
      <w:tr w:rsidR="00E16243" w:rsidRPr="00F059BA" w14:paraId="2430EAB0" w14:textId="77777777" w:rsidTr="00E16243">
        <w:trPr>
          <w:trHeight w:val="285"/>
          <w:jc w:val="center"/>
        </w:trPr>
        <w:tc>
          <w:tcPr>
            <w:tcW w:w="2715" w:type="dxa"/>
            <w:tcBorders>
              <w:top w:val="nil"/>
              <w:left w:val="nil"/>
              <w:bottom w:val="nil"/>
              <w:right w:val="nil"/>
            </w:tcBorders>
            <w:shd w:val="clear" w:color="auto" w:fill="auto"/>
            <w:noWrap/>
            <w:vAlign w:val="bottom"/>
          </w:tcPr>
          <w:p w14:paraId="7D944C07" w14:textId="77777777"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5 سنوات</w:t>
            </w:r>
          </w:p>
        </w:tc>
        <w:tc>
          <w:tcPr>
            <w:tcW w:w="2340" w:type="dxa"/>
            <w:tcBorders>
              <w:top w:val="nil"/>
              <w:left w:val="nil"/>
              <w:bottom w:val="nil"/>
              <w:right w:val="nil"/>
            </w:tcBorders>
            <w:shd w:val="clear" w:color="auto" w:fill="auto"/>
            <w:vAlign w:val="center"/>
          </w:tcPr>
          <w:p w14:paraId="3D35A3E0" w14:textId="77777777" w:rsidR="00E16243" w:rsidRPr="00F059BA" w:rsidRDefault="00E16243" w:rsidP="006E5D68">
            <w:pPr>
              <w:keepNext/>
              <w:bidi/>
              <w:spacing w:line="280" w:lineRule="exact"/>
              <w:rPr>
                <w:rFonts w:ascii="Arabic Typesetting" w:hAnsi="Arabic Typesetting" w:cs="Arabic Typesetting"/>
                <w:sz w:val="28"/>
                <w:szCs w:val="28"/>
              </w:rPr>
            </w:pPr>
          </w:p>
        </w:tc>
        <w:tc>
          <w:tcPr>
            <w:tcW w:w="2655" w:type="dxa"/>
            <w:tcBorders>
              <w:top w:val="nil"/>
              <w:left w:val="nil"/>
              <w:bottom w:val="nil"/>
              <w:right w:val="nil"/>
            </w:tcBorders>
            <w:shd w:val="clear" w:color="auto" w:fill="auto"/>
            <w:vAlign w:val="center"/>
          </w:tcPr>
          <w:p w14:paraId="4DDCA19D" w14:textId="77777777" w:rsidR="00E16243" w:rsidRPr="00F059BA" w:rsidRDefault="00E16243" w:rsidP="000D58D5">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المركبات</w:t>
            </w:r>
          </w:p>
        </w:tc>
      </w:tr>
      <w:tr w:rsidR="00E16243" w:rsidRPr="00F059BA" w14:paraId="6EEE6EAB" w14:textId="77777777" w:rsidTr="00E16243">
        <w:trPr>
          <w:trHeight w:val="285"/>
          <w:jc w:val="center"/>
        </w:trPr>
        <w:tc>
          <w:tcPr>
            <w:tcW w:w="2715" w:type="dxa"/>
            <w:tcBorders>
              <w:top w:val="nil"/>
              <w:left w:val="nil"/>
              <w:bottom w:val="nil"/>
              <w:right w:val="nil"/>
            </w:tcBorders>
            <w:shd w:val="clear" w:color="auto" w:fill="auto"/>
            <w:noWrap/>
            <w:vAlign w:val="bottom"/>
          </w:tcPr>
          <w:p w14:paraId="03A835F0" w14:textId="77777777"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10 سنوات</w:t>
            </w:r>
          </w:p>
        </w:tc>
        <w:tc>
          <w:tcPr>
            <w:tcW w:w="2340" w:type="dxa"/>
            <w:tcBorders>
              <w:top w:val="nil"/>
              <w:left w:val="nil"/>
              <w:bottom w:val="nil"/>
              <w:right w:val="nil"/>
            </w:tcBorders>
            <w:shd w:val="clear" w:color="auto" w:fill="auto"/>
            <w:vAlign w:val="center"/>
          </w:tcPr>
          <w:p w14:paraId="6729DD0D" w14:textId="77777777" w:rsidR="00E16243" w:rsidRPr="00F059BA" w:rsidRDefault="00E16243" w:rsidP="006E5D68">
            <w:pPr>
              <w:keepNext/>
              <w:bidi/>
              <w:spacing w:line="280" w:lineRule="exact"/>
              <w:rPr>
                <w:rFonts w:ascii="Arabic Typesetting" w:hAnsi="Arabic Typesetting" w:cs="Arabic Typesetting"/>
                <w:sz w:val="28"/>
                <w:szCs w:val="28"/>
              </w:rPr>
            </w:pPr>
          </w:p>
        </w:tc>
        <w:tc>
          <w:tcPr>
            <w:tcW w:w="2655" w:type="dxa"/>
            <w:tcBorders>
              <w:top w:val="nil"/>
              <w:left w:val="nil"/>
              <w:bottom w:val="nil"/>
              <w:right w:val="nil"/>
            </w:tcBorders>
            <w:shd w:val="clear" w:color="auto" w:fill="auto"/>
            <w:vAlign w:val="center"/>
          </w:tcPr>
          <w:p w14:paraId="4C1223A6" w14:textId="77777777" w:rsidR="00E16243" w:rsidRPr="00F059BA" w:rsidRDefault="00E16243" w:rsidP="000D58D5">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الأثاث والتثبيتات</w:t>
            </w:r>
          </w:p>
        </w:tc>
      </w:tr>
      <w:tr w:rsidR="00E16243" w:rsidRPr="00F059BA" w14:paraId="632F379E" w14:textId="77777777" w:rsidTr="00E16243">
        <w:trPr>
          <w:trHeight w:val="285"/>
          <w:jc w:val="center"/>
        </w:trPr>
        <w:tc>
          <w:tcPr>
            <w:tcW w:w="2715" w:type="dxa"/>
            <w:tcBorders>
              <w:top w:val="nil"/>
              <w:left w:val="nil"/>
              <w:bottom w:val="nil"/>
              <w:right w:val="nil"/>
            </w:tcBorders>
            <w:shd w:val="clear" w:color="auto" w:fill="auto"/>
            <w:noWrap/>
            <w:vAlign w:val="bottom"/>
          </w:tcPr>
          <w:p w14:paraId="4C188E61" w14:textId="78C50F0D" w:rsidR="00E16243" w:rsidRPr="00F059BA" w:rsidRDefault="00182157" w:rsidP="000D58D5">
            <w:pPr>
              <w:keepNext/>
              <w:bidi/>
              <w:spacing w:line="280" w:lineRule="exact"/>
              <w:jc w:val="right"/>
              <w:rPr>
                <w:rFonts w:ascii="Arabic Typesetting" w:hAnsi="Arabic Typesetting" w:cs="Arabic Typesetting"/>
                <w:sz w:val="28"/>
                <w:szCs w:val="28"/>
                <w:rtl/>
              </w:rPr>
            </w:pPr>
            <w:r>
              <w:rPr>
                <w:rFonts w:ascii="Arabic Typesetting" w:hAnsi="Arabic Typesetting" w:cs="Arabic Typesetting" w:hint="cs"/>
                <w:sz w:val="28"/>
                <w:szCs w:val="28"/>
                <w:rtl/>
              </w:rPr>
              <w:t xml:space="preserve">80 - </w:t>
            </w:r>
            <w:r w:rsidR="00E16243" w:rsidRPr="00F059BA">
              <w:rPr>
                <w:rFonts w:ascii="Arabic Typesetting" w:hAnsi="Arabic Typesetting" w:cs="Arabic Typesetting"/>
                <w:sz w:val="28"/>
                <w:szCs w:val="28"/>
                <w:rtl/>
              </w:rPr>
              <w:t>100 سنة</w:t>
            </w:r>
          </w:p>
        </w:tc>
        <w:tc>
          <w:tcPr>
            <w:tcW w:w="2340" w:type="dxa"/>
            <w:tcBorders>
              <w:top w:val="nil"/>
              <w:left w:val="nil"/>
              <w:bottom w:val="nil"/>
              <w:right w:val="nil"/>
            </w:tcBorders>
            <w:shd w:val="clear" w:color="auto" w:fill="auto"/>
            <w:vAlign w:val="bottom"/>
          </w:tcPr>
          <w:p w14:paraId="651B0D9B" w14:textId="77777777" w:rsidR="00E16243" w:rsidRPr="00F059BA" w:rsidRDefault="00E16243" w:rsidP="006E5D68">
            <w:pPr>
              <w:keepNext/>
              <w:bidi/>
              <w:spacing w:line="280" w:lineRule="exact"/>
              <w:rPr>
                <w:rFonts w:ascii="Arabic Typesetting" w:hAnsi="Arabic Typesetting" w:cs="Arabic Typesetting"/>
                <w:sz w:val="28"/>
                <w:szCs w:val="28"/>
                <w:rtl/>
              </w:rPr>
            </w:pPr>
            <w:r w:rsidRPr="00F059BA">
              <w:rPr>
                <w:rFonts w:ascii="Arabic Typesetting" w:hAnsi="Arabic Typesetting" w:cs="Arabic Typesetting"/>
                <w:sz w:val="28"/>
                <w:szCs w:val="28"/>
                <w:rtl/>
              </w:rPr>
              <w:t>الهيكل والأساسات</w:t>
            </w:r>
          </w:p>
        </w:tc>
        <w:tc>
          <w:tcPr>
            <w:tcW w:w="2655" w:type="dxa"/>
            <w:tcBorders>
              <w:top w:val="nil"/>
              <w:left w:val="nil"/>
              <w:bottom w:val="nil"/>
              <w:right w:val="nil"/>
            </w:tcBorders>
            <w:shd w:val="clear" w:color="auto" w:fill="auto"/>
            <w:vAlign w:val="center"/>
          </w:tcPr>
          <w:p w14:paraId="59E5E280" w14:textId="77777777" w:rsidR="00E16243" w:rsidRPr="00F059BA" w:rsidRDefault="00E16243" w:rsidP="000D58D5">
            <w:pPr>
              <w:keepNext/>
              <w:bidi/>
              <w:spacing w:line="280" w:lineRule="exact"/>
              <w:rPr>
                <w:rFonts w:ascii="Arabic Typesetting" w:hAnsi="Arabic Typesetting" w:cs="Arabic Typesetting"/>
                <w:sz w:val="28"/>
                <w:szCs w:val="28"/>
                <w:rtl/>
              </w:rPr>
            </w:pPr>
            <w:r w:rsidRPr="00F059BA">
              <w:rPr>
                <w:rFonts w:ascii="Arabic Typesetting" w:hAnsi="Arabic Typesetting" w:cs="Arabic Typesetting"/>
                <w:sz w:val="28"/>
                <w:szCs w:val="28"/>
                <w:rtl/>
              </w:rPr>
              <w:t>المباني</w:t>
            </w:r>
          </w:p>
        </w:tc>
      </w:tr>
      <w:tr w:rsidR="00E16243" w:rsidRPr="00F059BA" w14:paraId="096F4586" w14:textId="77777777" w:rsidTr="00E16243">
        <w:trPr>
          <w:trHeight w:val="285"/>
          <w:jc w:val="center"/>
        </w:trPr>
        <w:tc>
          <w:tcPr>
            <w:tcW w:w="2715" w:type="dxa"/>
            <w:tcBorders>
              <w:top w:val="nil"/>
              <w:left w:val="nil"/>
              <w:bottom w:val="nil"/>
              <w:right w:val="nil"/>
            </w:tcBorders>
            <w:shd w:val="clear" w:color="auto" w:fill="auto"/>
            <w:noWrap/>
            <w:vAlign w:val="bottom"/>
          </w:tcPr>
          <w:p w14:paraId="2575908D" w14:textId="77777777"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50 سنة</w:t>
            </w:r>
          </w:p>
        </w:tc>
        <w:tc>
          <w:tcPr>
            <w:tcW w:w="2340" w:type="dxa"/>
            <w:tcBorders>
              <w:top w:val="nil"/>
              <w:left w:val="nil"/>
              <w:bottom w:val="nil"/>
              <w:right w:val="nil"/>
            </w:tcBorders>
            <w:shd w:val="clear" w:color="auto" w:fill="auto"/>
            <w:vAlign w:val="center"/>
          </w:tcPr>
          <w:p w14:paraId="2A373722" w14:textId="77777777"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الواجهة</w:t>
            </w:r>
          </w:p>
        </w:tc>
        <w:tc>
          <w:tcPr>
            <w:tcW w:w="2655" w:type="dxa"/>
            <w:tcBorders>
              <w:top w:val="nil"/>
              <w:left w:val="nil"/>
              <w:bottom w:val="nil"/>
              <w:right w:val="nil"/>
            </w:tcBorders>
            <w:shd w:val="clear" w:color="auto" w:fill="auto"/>
            <w:vAlign w:val="center"/>
          </w:tcPr>
          <w:p w14:paraId="234AD8E3" w14:textId="77777777"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14:paraId="13F6B3BA" w14:textId="77777777" w:rsidTr="00E16243">
        <w:trPr>
          <w:trHeight w:val="285"/>
          <w:jc w:val="center"/>
        </w:trPr>
        <w:tc>
          <w:tcPr>
            <w:tcW w:w="2715" w:type="dxa"/>
            <w:tcBorders>
              <w:top w:val="nil"/>
              <w:left w:val="nil"/>
              <w:bottom w:val="nil"/>
              <w:right w:val="nil"/>
            </w:tcBorders>
            <w:shd w:val="clear" w:color="auto" w:fill="auto"/>
            <w:noWrap/>
            <w:vAlign w:val="bottom"/>
          </w:tcPr>
          <w:p w14:paraId="0CCADCFB" w14:textId="3ADF6A59" w:rsidR="00E16243" w:rsidRPr="00F059BA" w:rsidRDefault="00182157" w:rsidP="000D58D5">
            <w:pPr>
              <w:keepNext/>
              <w:bidi/>
              <w:spacing w:line="280" w:lineRule="exact"/>
              <w:jc w:val="right"/>
              <w:rPr>
                <w:rFonts w:ascii="Arabic Typesetting" w:hAnsi="Arabic Typesetting" w:cs="Arabic Typesetting"/>
                <w:sz w:val="28"/>
                <w:szCs w:val="28"/>
              </w:rPr>
            </w:pPr>
            <w:r>
              <w:rPr>
                <w:rFonts w:ascii="Arabic Typesetting" w:hAnsi="Arabic Typesetting" w:cs="Arabic Typesetting" w:hint="cs"/>
                <w:sz w:val="28"/>
                <w:szCs w:val="28"/>
                <w:rtl/>
              </w:rPr>
              <w:t xml:space="preserve">40 - </w:t>
            </w:r>
            <w:r w:rsidR="00E16243" w:rsidRPr="00F059BA">
              <w:rPr>
                <w:rFonts w:ascii="Arabic Typesetting" w:hAnsi="Arabic Typesetting" w:cs="Arabic Typesetting"/>
                <w:sz w:val="28"/>
                <w:szCs w:val="28"/>
                <w:rtl/>
              </w:rPr>
              <w:t>50 سنة</w:t>
            </w:r>
          </w:p>
        </w:tc>
        <w:tc>
          <w:tcPr>
            <w:tcW w:w="2340" w:type="dxa"/>
            <w:tcBorders>
              <w:top w:val="nil"/>
              <w:left w:val="nil"/>
              <w:bottom w:val="nil"/>
              <w:right w:val="nil"/>
            </w:tcBorders>
            <w:shd w:val="clear" w:color="auto" w:fill="auto"/>
            <w:vAlign w:val="center"/>
          </w:tcPr>
          <w:p w14:paraId="5D8C3E9B" w14:textId="77777777"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أعمال تحسين الأرض</w:t>
            </w:r>
          </w:p>
        </w:tc>
        <w:tc>
          <w:tcPr>
            <w:tcW w:w="2655" w:type="dxa"/>
            <w:tcBorders>
              <w:top w:val="nil"/>
              <w:left w:val="nil"/>
              <w:bottom w:val="nil"/>
              <w:right w:val="nil"/>
            </w:tcBorders>
            <w:shd w:val="clear" w:color="auto" w:fill="auto"/>
            <w:vAlign w:val="center"/>
          </w:tcPr>
          <w:p w14:paraId="684AADB4" w14:textId="77777777"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14:paraId="6FB9A8A2" w14:textId="77777777" w:rsidTr="00E16243">
        <w:trPr>
          <w:trHeight w:val="285"/>
          <w:jc w:val="center"/>
        </w:trPr>
        <w:tc>
          <w:tcPr>
            <w:tcW w:w="2715" w:type="dxa"/>
            <w:tcBorders>
              <w:top w:val="nil"/>
              <w:left w:val="nil"/>
              <w:bottom w:val="nil"/>
              <w:right w:val="nil"/>
            </w:tcBorders>
            <w:shd w:val="clear" w:color="auto" w:fill="auto"/>
            <w:noWrap/>
            <w:vAlign w:val="bottom"/>
          </w:tcPr>
          <w:p w14:paraId="7A59982B" w14:textId="27FF9F4A" w:rsidR="00E16243" w:rsidRPr="00F059BA" w:rsidRDefault="00182157" w:rsidP="000D58D5">
            <w:pPr>
              <w:keepNext/>
              <w:bidi/>
              <w:spacing w:line="280" w:lineRule="exact"/>
              <w:jc w:val="right"/>
              <w:rPr>
                <w:rFonts w:ascii="Arabic Typesetting" w:hAnsi="Arabic Typesetting" w:cs="Arabic Typesetting"/>
                <w:sz w:val="28"/>
                <w:szCs w:val="28"/>
              </w:rPr>
            </w:pPr>
            <w:r>
              <w:rPr>
                <w:rFonts w:ascii="Arabic Typesetting" w:hAnsi="Arabic Typesetting" w:cs="Arabic Typesetting" w:hint="cs"/>
                <w:sz w:val="28"/>
                <w:szCs w:val="28"/>
                <w:rtl/>
              </w:rPr>
              <w:t xml:space="preserve">50 - </w:t>
            </w:r>
            <w:r w:rsidR="00E16243" w:rsidRPr="00F059BA">
              <w:rPr>
                <w:rFonts w:ascii="Arabic Typesetting" w:hAnsi="Arabic Typesetting" w:cs="Arabic Typesetting"/>
                <w:sz w:val="28"/>
                <w:szCs w:val="28"/>
                <w:rtl/>
              </w:rPr>
              <w:t>60 سنة</w:t>
            </w:r>
          </w:p>
        </w:tc>
        <w:tc>
          <w:tcPr>
            <w:tcW w:w="2340" w:type="dxa"/>
            <w:tcBorders>
              <w:top w:val="nil"/>
              <w:left w:val="nil"/>
              <w:bottom w:val="nil"/>
              <w:right w:val="nil"/>
            </w:tcBorders>
            <w:shd w:val="clear" w:color="auto" w:fill="auto"/>
            <w:vAlign w:val="center"/>
          </w:tcPr>
          <w:p w14:paraId="5A2FB343" w14:textId="77777777" w:rsidR="00E16243" w:rsidRPr="00F059BA" w:rsidRDefault="00E16243" w:rsidP="006E5D68">
            <w:pPr>
              <w:keepNext/>
              <w:bidi/>
              <w:spacing w:line="280" w:lineRule="exact"/>
              <w:rPr>
                <w:rFonts w:ascii="Arabic Typesetting" w:hAnsi="Arabic Typesetting" w:cs="Arabic Typesetting"/>
                <w:sz w:val="28"/>
                <w:szCs w:val="28"/>
                <w:rtl/>
              </w:rPr>
            </w:pPr>
            <w:r w:rsidRPr="00F059BA">
              <w:rPr>
                <w:rFonts w:ascii="Arabic Typesetting" w:hAnsi="Arabic Typesetting" w:cs="Arabic Typesetting"/>
                <w:sz w:val="28"/>
                <w:szCs w:val="28"/>
                <w:rtl/>
              </w:rPr>
              <w:t>السطح</w:t>
            </w:r>
          </w:p>
        </w:tc>
        <w:tc>
          <w:tcPr>
            <w:tcW w:w="2655" w:type="dxa"/>
            <w:tcBorders>
              <w:top w:val="nil"/>
              <w:left w:val="nil"/>
              <w:bottom w:val="nil"/>
              <w:right w:val="nil"/>
            </w:tcBorders>
            <w:shd w:val="clear" w:color="auto" w:fill="auto"/>
            <w:vAlign w:val="center"/>
          </w:tcPr>
          <w:p w14:paraId="72FD051A" w14:textId="77777777"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14:paraId="5DF84E1C" w14:textId="77777777" w:rsidTr="00E16243">
        <w:trPr>
          <w:trHeight w:val="283"/>
          <w:jc w:val="center"/>
        </w:trPr>
        <w:tc>
          <w:tcPr>
            <w:tcW w:w="2715" w:type="dxa"/>
            <w:tcBorders>
              <w:top w:val="nil"/>
              <w:left w:val="nil"/>
              <w:bottom w:val="nil"/>
              <w:right w:val="nil"/>
            </w:tcBorders>
            <w:shd w:val="clear" w:color="auto" w:fill="auto"/>
            <w:noWrap/>
            <w:vAlign w:val="bottom"/>
          </w:tcPr>
          <w:p w14:paraId="40874829" w14:textId="77777777"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50 سنة</w:t>
            </w:r>
          </w:p>
        </w:tc>
        <w:tc>
          <w:tcPr>
            <w:tcW w:w="2340" w:type="dxa"/>
            <w:tcBorders>
              <w:top w:val="nil"/>
              <w:left w:val="nil"/>
              <w:bottom w:val="nil"/>
              <w:right w:val="nil"/>
            </w:tcBorders>
            <w:shd w:val="clear" w:color="auto" w:fill="auto"/>
            <w:vAlign w:val="bottom"/>
          </w:tcPr>
          <w:p w14:paraId="20E829BC" w14:textId="77777777" w:rsidR="00E16243" w:rsidRPr="00F059BA" w:rsidRDefault="00E16243" w:rsidP="006E5D68">
            <w:pPr>
              <w:keepNext/>
              <w:bidi/>
              <w:spacing w:line="280" w:lineRule="exact"/>
              <w:rPr>
                <w:rFonts w:ascii="Arabic Typesetting" w:hAnsi="Arabic Typesetting" w:cs="Arabic Typesetting"/>
                <w:sz w:val="28"/>
                <w:szCs w:val="28"/>
                <w:rtl/>
              </w:rPr>
            </w:pPr>
            <w:r w:rsidRPr="00F059BA">
              <w:rPr>
                <w:rFonts w:ascii="Arabic Typesetting" w:hAnsi="Arabic Typesetting" w:cs="Arabic Typesetting"/>
                <w:sz w:val="28"/>
                <w:szCs w:val="28"/>
                <w:rtl/>
              </w:rPr>
              <w:t>الطوابق والجدران والسلالم</w:t>
            </w:r>
          </w:p>
        </w:tc>
        <w:tc>
          <w:tcPr>
            <w:tcW w:w="2655" w:type="dxa"/>
            <w:tcBorders>
              <w:top w:val="nil"/>
              <w:left w:val="nil"/>
              <w:bottom w:val="nil"/>
              <w:right w:val="nil"/>
            </w:tcBorders>
            <w:shd w:val="clear" w:color="auto" w:fill="auto"/>
            <w:vAlign w:val="bottom"/>
          </w:tcPr>
          <w:p w14:paraId="0595C6CD" w14:textId="77777777"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14:paraId="2CE196C9" w14:textId="77777777" w:rsidTr="00E16243">
        <w:trPr>
          <w:trHeight w:val="285"/>
          <w:jc w:val="center"/>
        </w:trPr>
        <w:tc>
          <w:tcPr>
            <w:tcW w:w="2715" w:type="dxa"/>
            <w:tcBorders>
              <w:top w:val="nil"/>
              <w:left w:val="nil"/>
              <w:bottom w:val="nil"/>
              <w:right w:val="nil"/>
            </w:tcBorders>
            <w:shd w:val="clear" w:color="auto" w:fill="auto"/>
            <w:noWrap/>
            <w:vAlign w:val="bottom"/>
          </w:tcPr>
          <w:p w14:paraId="19D96563" w14:textId="148EB440" w:rsidR="00E16243" w:rsidRPr="00F059BA" w:rsidRDefault="00182157" w:rsidP="000D58D5">
            <w:pPr>
              <w:keepNext/>
              <w:bidi/>
              <w:spacing w:line="280" w:lineRule="exact"/>
              <w:jc w:val="right"/>
              <w:rPr>
                <w:rFonts w:ascii="Arabic Typesetting" w:hAnsi="Arabic Typesetting" w:cs="Arabic Typesetting"/>
                <w:sz w:val="28"/>
                <w:szCs w:val="28"/>
              </w:rPr>
            </w:pPr>
            <w:r>
              <w:rPr>
                <w:rFonts w:ascii="Arabic Typesetting" w:hAnsi="Arabic Typesetting" w:cs="Arabic Typesetting" w:hint="cs"/>
                <w:sz w:val="28"/>
                <w:szCs w:val="28"/>
                <w:rtl/>
              </w:rPr>
              <w:t xml:space="preserve">30 - </w:t>
            </w:r>
            <w:r w:rsidR="00E16243" w:rsidRPr="00F059BA">
              <w:rPr>
                <w:rFonts w:ascii="Arabic Typesetting" w:hAnsi="Arabic Typesetting" w:cs="Arabic Typesetting"/>
                <w:sz w:val="28"/>
                <w:szCs w:val="28"/>
                <w:rtl/>
              </w:rPr>
              <w:t>40 سنة</w:t>
            </w:r>
          </w:p>
        </w:tc>
        <w:tc>
          <w:tcPr>
            <w:tcW w:w="2340" w:type="dxa"/>
            <w:tcBorders>
              <w:top w:val="nil"/>
              <w:left w:val="nil"/>
              <w:bottom w:val="nil"/>
              <w:right w:val="nil"/>
            </w:tcBorders>
            <w:shd w:val="clear" w:color="auto" w:fill="auto"/>
            <w:vAlign w:val="center"/>
          </w:tcPr>
          <w:p w14:paraId="441338F1" w14:textId="77777777"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الأرضية وتغطية الجدران</w:t>
            </w:r>
          </w:p>
        </w:tc>
        <w:tc>
          <w:tcPr>
            <w:tcW w:w="2655" w:type="dxa"/>
            <w:tcBorders>
              <w:top w:val="nil"/>
              <w:left w:val="nil"/>
              <w:bottom w:val="nil"/>
              <w:right w:val="nil"/>
            </w:tcBorders>
            <w:shd w:val="clear" w:color="auto" w:fill="auto"/>
          </w:tcPr>
          <w:p w14:paraId="307C554F" w14:textId="77777777" w:rsidR="00E16243" w:rsidRPr="00F059BA" w:rsidRDefault="00E16243" w:rsidP="000D58D5">
            <w:pPr>
              <w:keepNext/>
              <w:bidi/>
              <w:spacing w:line="280" w:lineRule="exact"/>
              <w:rPr>
                <w:rFonts w:ascii="Arabic Typesetting" w:hAnsi="Arabic Typesetting" w:cs="Arabic Typesetting"/>
                <w:sz w:val="28"/>
                <w:szCs w:val="28"/>
                <w:rtl/>
              </w:rPr>
            </w:pPr>
          </w:p>
        </w:tc>
      </w:tr>
      <w:tr w:rsidR="00E16243" w:rsidRPr="00F059BA" w14:paraId="3C458A31" w14:textId="77777777" w:rsidTr="00E16243">
        <w:trPr>
          <w:trHeight w:val="285"/>
          <w:jc w:val="center"/>
        </w:trPr>
        <w:tc>
          <w:tcPr>
            <w:tcW w:w="2715" w:type="dxa"/>
            <w:tcBorders>
              <w:top w:val="nil"/>
              <w:left w:val="nil"/>
              <w:bottom w:val="nil"/>
              <w:right w:val="nil"/>
            </w:tcBorders>
            <w:shd w:val="clear" w:color="auto" w:fill="auto"/>
            <w:noWrap/>
            <w:vAlign w:val="bottom"/>
          </w:tcPr>
          <w:p w14:paraId="656263C0" w14:textId="41A5B0F9" w:rsidR="00E16243" w:rsidRPr="00F059BA" w:rsidRDefault="00182157" w:rsidP="000D58D5">
            <w:pPr>
              <w:keepNext/>
              <w:bidi/>
              <w:spacing w:line="280" w:lineRule="exact"/>
              <w:jc w:val="right"/>
              <w:rPr>
                <w:rFonts w:ascii="Arabic Typesetting" w:hAnsi="Arabic Typesetting" w:cs="Arabic Typesetting"/>
                <w:sz w:val="28"/>
                <w:szCs w:val="28"/>
              </w:rPr>
            </w:pPr>
            <w:r>
              <w:rPr>
                <w:rFonts w:ascii="Arabic Typesetting" w:hAnsi="Arabic Typesetting" w:cs="Arabic Typesetting" w:hint="cs"/>
                <w:sz w:val="28"/>
                <w:szCs w:val="28"/>
                <w:rtl/>
              </w:rPr>
              <w:t xml:space="preserve">20 - </w:t>
            </w:r>
            <w:r w:rsidR="00E16243" w:rsidRPr="00F059BA">
              <w:rPr>
                <w:rFonts w:ascii="Arabic Typesetting" w:hAnsi="Arabic Typesetting" w:cs="Arabic Typesetting"/>
                <w:sz w:val="28"/>
                <w:szCs w:val="28"/>
                <w:rtl/>
              </w:rPr>
              <w:t>40 سنة</w:t>
            </w:r>
          </w:p>
        </w:tc>
        <w:tc>
          <w:tcPr>
            <w:tcW w:w="2340" w:type="dxa"/>
            <w:tcBorders>
              <w:top w:val="nil"/>
              <w:left w:val="nil"/>
              <w:bottom w:val="nil"/>
              <w:right w:val="nil"/>
            </w:tcBorders>
            <w:shd w:val="clear" w:color="auto" w:fill="auto"/>
            <w:vAlign w:val="center"/>
          </w:tcPr>
          <w:p w14:paraId="0A99A893" w14:textId="77777777"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تجهيزات المطابخ</w:t>
            </w:r>
          </w:p>
        </w:tc>
        <w:tc>
          <w:tcPr>
            <w:tcW w:w="2655" w:type="dxa"/>
            <w:tcBorders>
              <w:top w:val="nil"/>
              <w:left w:val="nil"/>
              <w:bottom w:val="nil"/>
              <w:right w:val="nil"/>
            </w:tcBorders>
            <w:shd w:val="clear" w:color="auto" w:fill="auto"/>
          </w:tcPr>
          <w:p w14:paraId="43E4D17D" w14:textId="77777777"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14:paraId="7314920F" w14:textId="77777777" w:rsidTr="00E16243">
        <w:trPr>
          <w:trHeight w:val="285"/>
          <w:jc w:val="center"/>
        </w:trPr>
        <w:tc>
          <w:tcPr>
            <w:tcW w:w="2715" w:type="dxa"/>
            <w:tcBorders>
              <w:top w:val="nil"/>
              <w:left w:val="nil"/>
              <w:bottom w:val="nil"/>
              <w:right w:val="nil"/>
            </w:tcBorders>
            <w:shd w:val="clear" w:color="auto" w:fill="auto"/>
            <w:noWrap/>
            <w:vAlign w:val="bottom"/>
          </w:tcPr>
          <w:p w14:paraId="52D35536" w14:textId="1DF077A3" w:rsidR="00E16243" w:rsidRPr="00F059BA" w:rsidRDefault="00182157" w:rsidP="000D58D5">
            <w:pPr>
              <w:keepNext/>
              <w:bidi/>
              <w:spacing w:line="280" w:lineRule="exact"/>
              <w:jc w:val="right"/>
              <w:rPr>
                <w:rFonts w:ascii="Arabic Typesetting" w:hAnsi="Arabic Typesetting" w:cs="Arabic Typesetting"/>
                <w:sz w:val="28"/>
                <w:szCs w:val="28"/>
              </w:rPr>
            </w:pPr>
            <w:r>
              <w:rPr>
                <w:rFonts w:ascii="Arabic Typesetting" w:hAnsi="Arabic Typesetting" w:cs="Arabic Typesetting" w:hint="cs"/>
                <w:sz w:val="28"/>
                <w:szCs w:val="28"/>
                <w:rtl/>
              </w:rPr>
              <w:t xml:space="preserve">5 سنوات - </w:t>
            </w:r>
            <w:r w:rsidR="00E16243" w:rsidRPr="00F059BA">
              <w:rPr>
                <w:rFonts w:ascii="Arabic Typesetting" w:hAnsi="Arabic Typesetting" w:cs="Arabic Typesetting"/>
                <w:sz w:val="28"/>
                <w:szCs w:val="28"/>
                <w:rtl/>
              </w:rPr>
              <w:t>40 سنة</w:t>
            </w:r>
          </w:p>
        </w:tc>
        <w:tc>
          <w:tcPr>
            <w:tcW w:w="2340" w:type="dxa"/>
            <w:tcBorders>
              <w:top w:val="nil"/>
              <w:left w:val="nil"/>
              <w:bottom w:val="nil"/>
              <w:right w:val="nil"/>
            </w:tcBorders>
            <w:shd w:val="clear" w:color="auto" w:fill="auto"/>
            <w:vAlign w:val="center"/>
          </w:tcPr>
          <w:p w14:paraId="1078E98A" w14:textId="7DBCF0DE" w:rsidR="00E16243" w:rsidRPr="00F059BA" w:rsidRDefault="00182157" w:rsidP="006E5D68">
            <w:pPr>
              <w:keepNext/>
              <w:bidi/>
              <w:spacing w:line="280" w:lineRule="exact"/>
              <w:rPr>
                <w:rFonts w:ascii="Arabic Typesetting" w:hAnsi="Arabic Typesetting" w:cs="Arabic Typesetting"/>
                <w:sz w:val="28"/>
                <w:szCs w:val="28"/>
              </w:rPr>
            </w:pPr>
            <w:r>
              <w:rPr>
                <w:rFonts w:ascii="Arabic Typesetting" w:hAnsi="Arabic Typesetting" w:cs="Arabic Typesetting" w:hint="cs"/>
                <w:sz w:val="28"/>
                <w:szCs w:val="28"/>
                <w:rtl/>
                <w:lang w:bidi="ar-EG"/>
              </w:rPr>
              <w:t>تجهيزات</w:t>
            </w:r>
            <w:r w:rsidR="00E16243" w:rsidRPr="00F059BA">
              <w:rPr>
                <w:rFonts w:ascii="Arabic Typesetting" w:hAnsi="Arabic Typesetting" w:cs="Arabic Typesetting"/>
                <w:sz w:val="28"/>
                <w:szCs w:val="28"/>
                <w:rtl/>
              </w:rPr>
              <w:t xml:space="preserve"> المؤتمرات</w:t>
            </w:r>
          </w:p>
        </w:tc>
        <w:tc>
          <w:tcPr>
            <w:tcW w:w="2655" w:type="dxa"/>
            <w:tcBorders>
              <w:top w:val="nil"/>
              <w:left w:val="nil"/>
              <w:bottom w:val="nil"/>
              <w:right w:val="nil"/>
            </w:tcBorders>
            <w:shd w:val="clear" w:color="auto" w:fill="auto"/>
          </w:tcPr>
          <w:p w14:paraId="09A3FC59" w14:textId="77777777"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14:paraId="1A61B51E" w14:textId="77777777" w:rsidTr="00E16243">
        <w:trPr>
          <w:trHeight w:val="285"/>
          <w:jc w:val="center"/>
        </w:trPr>
        <w:tc>
          <w:tcPr>
            <w:tcW w:w="2715" w:type="dxa"/>
            <w:tcBorders>
              <w:top w:val="nil"/>
              <w:left w:val="nil"/>
              <w:bottom w:val="nil"/>
              <w:right w:val="nil"/>
            </w:tcBorders>
            <w:shd w:val="clear" w:color="auto" w:fill="auto"/>
            <w:noWrap/>
            <w:vAlign w:val="bottom"/>
          </w:tcPr>
          <w:p w14:paraId="77343E56" w14:textId="77777777"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30 سنة</w:t>
            </w:r>
          </w:p>
        </w:tc>
        <w:tc>
          <w:tcPr>
            <w:tcW w:w="2340" w:type="dxa"/>
            <w:tcBorders>
              <w:top w:val="nil"/>
              <w:left w:val="nil"/>
              <w:bottom w:val="nil"/>
              <w:right w:val="nil"/>
            </w:tcBorders>
            <w:shd w:val="clear" w:color="auto" w:fill="auto"/>
            <w:vAlign w:val="center"/>
          </w:tcPr>
          <w:p w14:paraId="2A4850DF" w14:textId="77777777"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التدفئة والتهوية</w:t>
            </w:r>
          </w:p>
        </w:tc>
        <w:tc>
          <w:tcPr>
            <w:tcW w:w="2655" w:type="dxa"/>
            <w:tcBorders>
              <w:top w:val="nil"/>
              <w:left w:val="nil"/>
              <w:bottom w:val="nil"/>
              <w:right w:val="nil"/>
            </w:tcBorders>
            <w:shd w:val="clear" w:color="auto" w:fill="auto"/>
          </w:tcPr>
          <w:p w14:paraId="33533695" w14:textId="77777777"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14:paraId="589C049F" w14:textId="77777777" w:rsidTr="00E16243">
        <w:trPr>
          <w:trHeight w:val="285"/>
          <w:jc w:val="center"/>
        </w:trPr>
        <w:tc>
          <w:tcPr>
            <w:tcW w:w="2715" w:type="dxa"/>
            <w:tcBorders>
              <w:top w:val="nil"/>
              <w:left w:val="nil"/>
              <w:bottom w:val="nil"/>
              <w:right w:val="nil"/>
            </w:tcBorders>
            <w:shd w:val="clear" w:color="auto" w:fill="auto"/>
            <w:noWrap/>
            <w:vAlign w:val="bottom"/>
          </w:tcPr>
          <w:p w14:paraId="316E0236" w14:textId="77777777"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40 سنة</w:t>
            </w:r>
          </w:p>
        </w:tc>
        <w:tc>
          <w:tcPr>
            <w:tcW w:w="2340" w:type="dxa"/>
            <w:tcBorders>
              <w:top w:val="nil"/>
              <w:left w:val="nil"/>
              <w:bottom w:val="nil"/>
              <w:right w:val="nil"/>
            </w:tcBorders>
            <w:shd w:val="clear" w:color="auto" w:fill="auto"/>
            <w:vAlign w:val="center"/>
          </w:tcPr>
          <w:p w14:paraId="6457A1F0" w14:textId="77777777"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المرافق الصحية</w:t>
            </w:r>
          </w:p>
        </w:tc>
        <w:tc>
          <w:tcPr>
            <w:tcW w:w="2655" w:type="dxa"/>
            <w:tcBorders>
              <w:top w:val="nil"/>
              <w:left w:val="nil"/>
              <w:bottom w:val="nil"/>
              <w:right w:val="nil"/>
            </w:tcBorders>
            <w:shd w:val="clear" w:color="auto" w:fill="auto"/>
          </w:tcPr>
          <w:p w14:paraId="10EC699A" w14:textId="77777777"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14:paraId="742F830D" w14:textId="77777777" w:rsidTr="00E16243">
        <w:trPr>
          <w:trHeight w:val="285"/>
          <w:jc w:val="center"/>
        </w:trPr>
        <w:tc>
          <w:tcPr>
            <w:tcW w:w="2715" w:type="dxa"/>
            <w:tcBorders>
              <w:top w:val="nil"/>
              <w:left w:val="nil"/>
              <w:bottom w:val="nil"/>
              <w:right w:val="nil"/>
            </w:tcBorders>
            <w:shd w:val="clear" w:color="auto" w:fill="auto"/>
            <w:noWrap/>
            <w:vAlign w:val="bottom"/>
          </w:tcPr>
          <w:p w14:paraId="746A3322" w14:textId="2D2A5B51" w:rsidR="00E16243" w:rsidRPr="00F059BA" w:rsidRDefault="00182157" w:rsidP="000D58D5">
            <w:pPr>
              <w:keepNext/>
              <w:bidi/>
              <w:spacing w:line="280" w:lineRule="exact"/>
              <w:jc w:val="right"/>
              <w:rPr>
                <w:rFonts w:ascii="Arabic Typesetting" w:hAnsi="Arabic Typesetting" w:cs="Arabic Typesetting"/>
                <w:sz w:val="28"/>
                <w:szCs w:val="28"/>
              </w:rPr>
            </w:pPr>
            <w:r>
              <w:rPr>
                <w:rFonts w:ascii="Arabic Typesetting" w:hAnsi="Arabic Typesetting" w:cs="Arabic Typesetting" w:hint="cs"/>
                <w:sz w:val="28"/>
                <w:szCs w:val="28"/>
                <w:rtl/>
              </w:rPr>
              <w:t xml:space="preserve">30 - </w:t>
            </w:r>
            <w:r w:rsidR="00E16243" w:rsidRPr="00F059BA">
              <w:rPr>
                <w:rFonts w:ascii="Arabic Typesetting" w:hAnsi="Arabic Typesetting" w:cs="Arabic Typesetting"/>
                <w:sz w:val="28"/>
                <w:szCs w:val="28"/>
                <w:rtl/>
              </w:rPr>
              <w:t>50 سنة</w:t>
            </w:r>
          </w:p>
        </w:tc>
        <w:tc>
          <w:tcPr>
            <w:tcW w:w="2340" w:type="dxa"/>
            <w:tcBorders>
              <w:top w:val="nil"/>
              <w:left w:val="nil"/>
              <w:bottom w:val="nil"/>
              <w:right w:val="nil"/>
            </w:tcBorders>
            <w:shd w:val="clear" w:color="auto" w:fill="auto"/>
            <w:vAlign w:val="center"/>
          </w:tcPr>
          <w:p w14:paraId="2938845B" w14:textId="77777777"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التجهيزات الكهربائية</w:t>
            </w:r>
          </w:p>
        </w:tc>
        <w:tc>
          <w:tcPr>
            <w:tcW w:w="2655" w:type="dxa"/>
            <w:tcBorders>
              <w:top w:val="nil"/>
              <w:left w:val="nil"/>
              <w:bottom w:val="nil"/>
              <w:right w:val="nil"/>
            </w:tcBorders>
            <w:shd w:val="clear" w:color="auto" w:fill="auto"/>
          </w:tcPr>
          <w:p w14:paraId="783A6B33" w14:textId="77777777"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14:paraId="2F368F58" w14:textId="77777777" w:rsidTr="00E16243">
        <w:trPr>
          <w:trHeight w:val="285"/>
          <w:jc w:val="center"/>
        </w:trPr>
        <w:tc>
          <w:tcPr>
            <w:tcW w:w="2715" w:type="dxa"/>
            <w:tcBorders>
              <w:top w:val="nil"/>
              <w:left w:val="nil"/>
              <w:bottom w:val="nil"/>
              <w:right w:val="nil"/>
            </w:tcBorders>
            <w:shd w:val="clear" w:color="auto" w:fill="auto"/>
            <w:noWrap/>
            <w:vAlign w:val="bottom"/>
          </w:tcPr>
          <w:p w14:paraId="5DC38FEB" w14:textId="77777777"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40 سنة</w:t>
            </w:r>
          </w:p>
        </w:tc>
        <w:tc>
          <w:tcPr>
            <w:tcW w:w="2340" w:type="dxa"/>
            <w:tcBorders>
              <w:top w:val="nil"/>
              <w:left w:val="nil"/>
              <w:bottom w:val="nil"/>
              <w:right w:val="nil"/>
            </w:tcBorders>
            <w:shd w:val="clear" w:color="auto" w:fill="auto"/>
            <w:vAlign w:val="center"/>
          </w:tcPr>
          <w:p w14:paraId="32751080" w14:textId="77777777"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المصاعد</w:t>
            </w:r>
          </w:p>
        </w:tc>
        <w:tc>
          <w:tcPr>
            <w:tcW w:w="2655" w:type="dxa"/>
            <w:tcBorders>
              <w:top w:val="nil"/>
              <w:left w:val="nil"/>
              <w:bottom w:val="nil"/>
              <w:right w:val="nil"/>
            </w:tcBorders>
            <w:shd w:val="clear" w:color="auto" w:fill="auto"/>
          </w:tcPr>
          <w:p w14:paraId="5006C814" w14:textId="77777777" w:rsidR="00E16243" w:rsidRPr="00F059BA" w:rsidRDefault="00E16243" w:rsidP="000D58D5">
            <w:pPr>
              <w:keepNext/>
              <w:bidi/>
              <w:spacing w:line="280" w:lineRule="exact"/>
              <w:rPr>
                <w:rFonts w:ascii="Arabic Typesetting" w:hAnsi="Arabic Typesetting" w:cs="Arabic Typesetting"/>
                <w:sz w:val="28"/>
                <w:szCs w:val="28"/>
              </w:rPr>
            </w:pPr>
          </w:p>
        </w:tc>
      </w:tr>
      <w:tr w:rsidR="00E16243" w:rsidRPr="00F059BA" w14:paraId="3E056ADA" w14:textId="77777777" w:rsidTr="00E16243">
        <w:trPr>
          <w:trHeight w:val="285"/>
          <w:jc w:val="center"/>
        </w:trPr>
        <w:tc>
          <w:tcPr>
            <w:tcW w:w="2715" w:type="dxa"/>
            <w:tcBorders>
              <w:top w:val="nil"/>
              <w:left w:val="nil"/>
              <w:bottom w:val="nil"/>
              <w:right w:val="nil"/>
            </w:tcBorders>
            <w:shd w:val="clear" w:color="auto" w:fill="auto"/>
            <w:noWrap/>
            <w:vAlign w:val="bottom"/>
          </w:tcPr>
          <w:p w14:paraId="5B25E1E8" w14:textId="77777777" w:rsidR="00E16243" w:rsidRPr="00F059BA" w:rsidRDefault="00E16243" w:rsidP="000D58D5">
            <w:pPr>
              <w:keepNext/>
              <w:bidi/>
              <w:spacing w:line="280" w:lineRule="exact"/>
              <w:jc w:val="right"/>
              <w:rPr>
                <w:rFonts w:ascii="Arabic Typesetting" w:hAnsi="Arabic Typesetting" w:cs="Arabic Typesetting"/>
                <w:sz w:val="28"/>
                <w:szCs w:val="28"/>
              </w:rPr>
            </w:pPr>
            <w:r w:rsidRPr="00F059BA">
              <w:rPr>
                <w:rFonts w:ascii="Arabic Typesetting" w:hAnsi="Arabic Typesetting" w:cs="Arabic Typesetting"/>
                <w:sz w:val="28"/>
                <w:szCs w:val="28"/>
                <w:rtl/>
              </w:rPr>
              <w:t>45 سنة</w:t>
            </w:r>
          </w:p>
        </w:tc>
        <w:tc>
          <w:tcPr>
            <w:tcW w:w="2340" w:type="dxa"/>
            <w:tcBorders>
              <w:top w:val="nil"/>
              <w:left w:val="nil"/>
              <w:bottom w:val="nil"/>
              <w:right w:val="nil"/>
            </w:tcBorders>
            <w:shd w:val="clear" w:color="auto" w:fill="auto"/>
            <w:vAlign w:val="center"/>
          </w:tcPr>
          <w:p w14:paraId="5758714C" w14:textId="77777777" w:rsidR="00E16243" w:rsidRPr="00F059BA" w:rsidRDefault="00E16243" w:rsidP="006E5D68">
            <w:pPr>
              <w:keepNext/>
              <w:bidi/>
              <w:spacing w:line="280" w:lineRule="exact"/>
              <w:rPr>
                <w:rFonts w:ascii="Arabic Typesetting" w:hAnsi="Arabic Typesetting" w:cs="Arabic Typesetting"/>
                <w:sz w:val="28"/>
                <w:szCs w:val="28"/>
              </w:rPr>
            </w:pPr>
            <w:r w:rsidRPr="00F059BA">
              <w:rPr>
                <w:rFonts w:ascii="Arabic Typesetting" w:hAnsi="Arabic Typesetting" w:cs="Arabic Typesetting"/>
                <w:sz w:val="28"/>
                <w:szCs w:val="28"/>
                <w:rtl/>
              </w:rPr>
              <w:t>معدات التنظيف الخارجي</w:t>
            </w:r>
          </w:p>
        </w:tc>
        <w:tc>
          <w:tcPr>
            <w:tcW w:w="2655" w:type="dxa"/>
            <w:tcBorders>
              <w:top w:val="nil"/>
              <w:left w:val="nil"/>
              <w:bottom w:val="nil"/>
              <w:right w:val="nil"/>
            </w:tcBorders>
            <w:shd w:val="clear" w:color="auto" w:fill="auto"/>
          </w:tcPr>
          <w:p w14:paraId="76FF5FA6" w14:textId="77777777" w:rsidR="00E16243" w:rsidRPr="00F059BA" w:rsidRDefault="00E16243" w:rsidP="000D58D5">
            <w:pPr>
              <w:keepNext/>
              <w:bidi/>
              <w:spacing w:line="280" w:lineRule="exact"/>
              <w:rPr>
                <w:rFonts w:ascii="Arabic Typesetting" w:hAnsi="Arabic Typesetting" w:cs="Arabic Typesetting"/>
                <w:sz w:val="28"/>
                <w:szCs w:val="28"/>
              </w:rPr>
            </w:pPr>
          </w:p>
        </w:tc>
      </w:tr>
    </w:tbl>
    <w:p w14:paraId="70E0F74C" w14:textId="77777777" w:rsidR="00E16243" w:rsidRPr="00DB3D2C" w:rsidRDefault="00E16243" w:rsidP="00525C9F">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وتخضع القيم</w:t>
      </w:r>
      <w:r w:rsidRPr="00DB3D2C">
        <w:rPr>
          <w:rFonts w:ascii="Arabic Typesetting" w:hAnsi="Arabic Typesetting" w:cs="Arabic Typesetting" w:hint="cs"/>
          <w:sz w:val="36"/>
          <w:szCs w:val="36"/>
          <w:rtl/>
        </w:rPr>
        <w:t xml:space="preserve"> المرح</w:t>
      </w:r>
      <w:r>
        <w:rPr>
          <w:rFonts w:ascii="Arabic Typesetting" w:hAnsi="Arabic Typesetting" w:cs="Arabic Typesetting" w:hint="cs"/>
          <w:sz w:val="36"/>
          <w:szCs w:val="36"/>
          <w:rtl/>
        </w:rPr>
        <w:t>ّ</w:t>
      </w:r>
      <w:r w:rsidRPr="00DB3D2C">
        <w:rPr>
          <w:rFonts w:ascii="Arabic Typesetting" w:hAnsi="Arabic Typesetting" w:cs="Arabic Typesetting" w:hint="cs"/>
          <w:sz w:val="36"/>
          <w:szCs w:val="36"/>
          <w:rtl/>
        </w:rPr>
        <w:t xml:space="preserve">لة للأصول الثابتة للمراجعة </w:t>
      </w:r>
      <w:r>
        <w:rPr>
          <w:rFonts w:ascii="Arabic Typesetting" w:hAnsi="Arabic Typesetting" w:cs="Arabic Typesetting" w:hint="cs"/>
          <w:sz w:val="36"/>
          <w:szCs w:val="36"/>
          <w:rtl/>
        </w:rPr>
        <w:t>لخفضها إذا ما بينت أحداث أو تغيرات ما في الظروف إلى أن القيمة الدفترية للأصول قد لا تستردّ. وإذا ما ثبت ذلك، يقدّر المبلغ القابل للاسترداد من الأصول بهدف تحديد مدى خسارة الأضرار المتكبدة، إن وجدت. وتقيد كل الخسائر بسبب الأضرار في بيان الأداء المالي.</w:t>
      </w:r>
    </w:p>
    <w:p w14:paraId="017C111B" w14:textId="77777777"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lastRenderedPageBreak/>
        <w:t>قوائم الموجودات</w:t>
      </w:r>
    </w:p>
    <w:p w14:paraId="0FA8DAE7" w14:textId="77777777" w:rsidR="00E16243" w:rsidRPr="002318C1"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تشمل قوائم الموجودات قيمة المنشورات المعدّة للبيع والمنشورات الموزّعة مجّانا، وقيمة الإمدادات والمعدّات المستخدمة في إنتاج المنشورات وقيمة السّلع المحفوظة في متجر الويبو. وتحدّد القيمة الإجمالية للمنشورات في صيغتها النهائية باستخدام تكلفة الصّفحة المطبوعة في المتوسّط (باستثناء تكاليف التّسويق والتّوزيع) مضروبة في عدد صفحات المنشورات الواردة في قائمة المنشورات وتسويتها للأخذ بالقيمة الأدنى من بين التكلفة وصافي القيمة الممكن تحقيقها. وتشطب قيمة المنشورات التي تسحب من البيع أو التوزيع المجاني خلال السنة التي تصبح فيها قديمة.</w:t>
      </w:r>
    </w:p>
    <w:p w14:paraId="5BE29C32" w14:textId="66B00B6A"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وتجرى عملية جرد مادي سنويّا لجميع الإمدادات المخزّنة للمنشورات والسلع المعدّة للبيع في متجر</w:t>
      </w:r>
      <w:r w:rsidR="000D4BE6">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الويبو. وتعدّ</w:t>
      </w:r>
      <w:r w:rsidRPr="002318C1">
        <w:rPr>
          <w:rFonts w:ascii="Arabic Typesetting" w:hAnsi="Arabic Typesetting" w:cs="Arabic Typesetting" w:hint="cs"/>
          <w:sz w:val="36"/>
          <w:szCs w:val="36"/>
          <w:rtl/>
        </w:rPr>
        <w:t xml:space="preserve"> قائمة المنشورات المعد</w:t>
      </w:r>
      <w:r>
        <w:rPr>
          <w:rFonts w:ascii="Arabic Typesetting" w:hAnsi="Arabic Typesetting" w:cs="Arabic Typesetting" w:hint="cs"/>
          <w:sz w:val="36"/>
          <w:szCs w:val="36"/>
          <w:rtl/>
        </w:rPr>
        <w:t>ّ</w:t>
      </w:r>
      <w:r w:rsidRPr="002318C1">
        <w:rPr>
          <w:rFonts w:ascii="Arabic Typesetting" w:hAnsi="Arabic Typesetting" w:cs="Arabic Typesetting" w:hint="cs"/>
          <w:sz w:val="36"/>
          <w:szCs w:val="36"/>
          <w:rtl/>
        </w:rPr>
        <w:t>ة للبي</w:t>
      </w:r>
      <w:r>
        <w:rPr>
          <w:rFonts w:ascii="Arabic Typesetting" w:hAnsi="Arabic Typesetting" w:cs="Arabic Typesetting" w:hint="cs"/>
          <w:sz w:val="36"/>
          <w:szCs w:val="36"/>
          <w:rtl/>
        </w:rPr>
        <w:t xml:space="preserve">ع باستمرار وتجرى بعض عمليات الإحصاء المادي الاختبارية طوال السنة للتحقق </w:t>
      </w:r>
      <w:r w:rsidRPr="00976808">
        <w:rPr>
          <w:rFonts w:ascii="Arabic Typesetting" w:hAnsi="Arabic Typesetting" w:cs="Arabic Typesetting" w:hint="cs"/>
          <w:sz w:val="36"/>
          <w:szCs w:val="36"/>
          <w:rtl/>
        </w:rPr>
        <w:t>من أرصدة قائمة الموجودات</w:t>
      </w:r>
      <w:r>
        <w:rPr>
          <w:rFonts w:ascii="Arabic Typesetting" w:hAnsi="Arabic Typesetting" w:cs="Arabic Typesetting" w:hint="cs"/>
          <w:sz w:val="36"/>
          <w:szCs w:val="36"/>
          <w:rtl/>
        </w:rPr>
        <w:t>. وفي نهاية كل سنة، تشطب السلع التي تحذف من مجلة المنشورات المعدة للبيع أو التوزيع المجاني إلى جانب السلع التي يتوقع عدم إمكانية مواصلة توزيعها بالمجان أو بيعها وتخفّض قيمتها لتصل إلى الصّفر.</w:t>
      </w:r>
    </w:p>
    <w:p w14:paraId="1F8F0C0F" w14:textId="77777777" w:rsidR="00E16243" w:rsidRDefault="00E16243" w:rsidP="00E16243">
      <w:pPr>
        <w:bidi/>
        <w:spacing w:after="240" w:line="360" w:lineRule="exact"/>
        <w:rPr>
          <w:rFonts w:ascii="Arabic Typesetting" w:hAnsi="Arabic Typesetting" w:cs="Arabic Typesetting"/>
          <w:b/>
          <w:bCs/>
          <w:sz w:val="36"/>
          <w:szCs w:val="36"/>
          <w:rtl/>
        </w:rPr>
      </w:pPr>
      <w:r>
        <w:rPr>
          <w:rFonts w:ascii="Arabic Typesetting" w:hAnsi="Arabic Typesetting" w:cs="Arabic Typesetting" w:hint="cs"/>
          <w:sz w:val="36"/>
          <w:szCs w:val="36"/>
          <w:rtl/>
        </w:rPr>
        <w:t xml:space="preserve">وقدّرت تكلفة الأوراق والإمدادات الأخرى المستخدمة في عملية الإنتاج باستخدام طريقة </w:t>
      </w:r>
      <w:r>
        <w:rPr>
          <w:rFonts w:ascii="Arabic Typesetting" w:hAnsi="Arabic Typesetting" w:cs="Arabic Typesetting"/>
          <w:sz w:val="36"/>
          <w:szCs w:val="36"/>
          <w:rtl/>
        </w:rPr>
        <w:t>ال</w:t>
      </w:r>
      <w:r>
        <w:rPr>
          <w:rFonts w:ascii="Arabic Typesetting" w:hAnsi="Arabic Typesetting" w:cs="Arabic Typesetting" w:hint="cs"/>
          <w:sz w:val="36"/>
          <w:szCs w:val="36"/>
          <w:rtl/>
        </w:rPr>
        <w:t>أ</w:t>
      </w:r>
      <w:r>
        <w:rPr>
          <w:rFonts w:ascii="Arabic Typesetting" w:hAnsi="Arabic Typesetting" w:cs="Arabic Typesetting"/>
          <w:sz w:val="36"/>
          <w:szCs w:val="36"/>
          <w:rtl/>
        </w:rPr>
        <w:t>و</w:t>
      </w:r>
      <w:r>
        <w:rPr>
          <w:rFonts w:ascii="Arabic Typesetting" w:hAnsi="Arabic Typesetting" w:cs="Arabic Typesetting" w:hint="cs"/>
          <w:sz w:val="36"/>
          <w:szCs w:val="36"/>
          <w:rtl/>
        </w:rPr>
        <w:t>ّ</w:t>
      </w:r>
      <w:r>
        <w:rPr>
          <w:rFonts w:ascii="Arabic Typesetting" w:hAnsi="Arabic Typesetting" w:cs="Arabic Typesetting"/>
          <w:sz w:val="36"/>
          <w:szCs w:val="36"/>
          <w:rtl/>
        </w:rPr>
        <w:t>ل في الد</w:t>
      </w:r>
      <w:r>
        <w:rPr>
          <w:rFonts w:ascii="Arabic Typesetting" w:hAnsi="Arabic Typesetting" w:cs="Arabic Typesetting" w:hint="cs"/>
          <w:sz w:val="36"/>
          <w:szCs w:val="36"/>
          <w:rtl/>
        </w:rPr>
        <w:t>ّ</w:t>
      </w:r>
      <w:r>
        <w:rPr>
          <w:rFonts w:ascii="Arabic Typesetting" w:hAnsi="Arabic Typesetting" w:cs="Arabic Typesetting"/>
          <w:sz w:val="36"/>
          <w:szCs w:val="36"/>
          <w:rtl/>
        </w:rPr>
        <w:t>خول هو ال</w:t>
      </w:r>
      <w:r>
        <w:rPr>
          <w:rFonts w:ascii="Arabic Typesetting" w:hAnsi="Arabic Typesetting" w:cs="Arabic Typesetting" w:hint="cs"/>
          <w:sz w:val="36"/>
          <w:szCs w:val="36"/>
          <w:rtl/>
        </w:rPr>
        <w:t>أ</w:t>
      </w:r>
      <w:r w:rsidRPr="00A80BA0">
        <w:rPr>
          <w:rFonts w:ascii="Arabic Typesetting" w:hAnsi="Arabic Typesetting" w:cs="Arabic Typesetting"/>
          <w:sz w:val="36"/>
          <w:szCs w:val="36"/>
          <w:rtl/>
        </w:rPr>
        <w:t>و</w:t>
      </w:r>
      <w:r>
        <w:rPr>
          <w:rFonts w:ascii="Arabic Typesetting" w:hAnsi="Arabic Typesetting" w:cs="Arabic Typesetting" w:hint="cs"/>
          <w:sz w:val="36"/>
          <w:szCs w:val="36"/>
          <w:rtl/>
        </w:rPr>
        <w:t>ّ</w:t>
      </w:r>
      <w:r w:rsidRPr="00A80BA0">
        <w:rPr>
          <w:rFonts w:ascii="Arabic Typesetting" w:hAnsi="Arabic Typesetting" w:cs="Arabic Typesetting"/>
          <w:sz w:val="36"/>
          <w:szCs w:val="36"/>
          <w:rtl/>
        </w:rPr>
        <w:t>ل في الخروج</w:t>
      </w:r>
      <w:r>
        <w:rPr>
          <w:rFonts w:ascii="Arabic Typesetting" w:hAnsi="Arabic Typesetting" w:cs="Arabic Typesetting" w:hint="cs"/>
          <w:sz w:val="36"/>
          <w:szCs w:val="36"/>
          <w:rtl/>
        </w:rPr>
        <w:t>. وتقدّر قيمة السّلع المحفوظة في متجر الويبو بتكلفتها التي تكبّدتها المنظّمة. وتخفّض قيمتها لتعكس صافي قيمتها القابلة للتحقيق إذا ما لحقتها أضرار أو أصبحت قديمة. ولا يمكن رهن الموجودات بوصفها ضمانا للخصوم.</w:t>
      </w:r>
    </w:p>
    <w:p w14:paraId="4DCE6E2B" w14:textId="77777777"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الأصول غير المادية</w:t>
      </w:r>
    </w:p>
    <w:p w14:paraId="036555D8" w14:textId="7733C168"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ترحل الأصول غير المادية بتكلفتها مخصوماً منها الاستهلاك التراكمي والتلفيات. ويطبق الاستهلاك على </w:t>
      </w:r>
      <w:r w:rsidR="00FD2528">
        <w:rPr>
          <w:rFonts w:ascii="Arabic Typesetting" w:hAnsi="Arabic Typesetting" w:cs="Arabic Typesetting" w:hint="cs"/>
          <w:sz w:val="36"/>
          <w:szCs w:val="36"/>
          <w:rtl/>
        </w:rPr>
        <w:t xml:space="preserve">أساس </w:t>
      </w:r>
      <w:r>
        <w:rPr>
          <w:rFonts w:ascii="Arabic Typesetting" w:hAnsi="Arabic Typesetting" w:cs="Arabic Typesetting" w:hint="cs"/>
          <w:sz w:val="36"/>
          <w:szCs w:val="36"/>
          <w:rtl/>
        </w:rPr>
        <w:t>خط مستقيم على جميع الأصول غير المادية ذات العمر المحدد بمعدلات تكفل شطب التكلفة أو القيمة على مدى أعمارها الإنتاجية. وقد قدرت الأعمار الإنتاجية للأصناف الرئيسية على النحو التالي:</w:t>
      </w:r>
    </w:p>
    <w:tbl>
      <w:tblPr>
        <w:bidiVisual/>
        <w:tblW w:w="5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5"/>
        <w:gridCol w:w="2715"/>
      </w:tblGrid>
      <w:tr w:rsidR="00E16243" w:rsidRPr="00F059BA" w14:paraId="7FA2EA0E" w14:textId="77777777" w:rsidTr="00E16243">
        <w:trPr>
          <w:trHeight w:val="345"/>
          <w:jc w:val="center"/>
        </w:trPr>
        <w:tc>
          <w:tcPr>
            <w:tcW w:w="2715" w:type="dxa"/>
            <w:tcBorders>
              <w:top w:val="single" w:sz="4" w:space="0" w:color="auto"/>
              <w:left w:val="nil"/>
              <w:bottom w:val="single" w:sz="4" w:space="0" w:color="auto"/>
              <w:right w:val="nil"/>
            </w:tcBorders>
            <w:vAlign w:val="center"/>
          </w:tcPr>
          <w:p w14:paraId="619AFA5C" w14:textId="77777777" w:rsidR="00E16243" w:rsidRPr="00F059BA" w:rsidRDefault="00E16243" w:rsidP="00E16243">
            <w:pPr>
              <w:bidi/>
              <w:spacing w:line="280" w:lineRule="exact"/>
              <w:jc w:val="center"/>
              <w:rPr>
                <w:rFonts w:ascii="Arabic Typesetting" w:hAnsi="Arabic Typesetting" w:cs="Arabic Typesetting"/>
                <w:bCs/>
                <w:color w:val="333333"/>
                <w:sz w:val="30"/>
                <w:szCs w:val="30"/>
              </w:rPr>
            </w:pPr>
            <w:r w:rsidRPr="00F059BA">
              <w:rPr>
                <w:rFonts w:ascii="Arabic Typesetting" w:hAnsi="Arabic Typesetting" w:cs="Arabic Typesetting"/>
                <w:bCs/>
                <w:color w:val="333333"/>
                <w:sz w:val="30"/>
                <w:szCs w:val="30"/>
                <w:rtl/>
              </w:rPr>
              <w:t>الصنف</w:t>
            </w:r>
          </w:p>
        </w:tc>
        <w:tc>
          <w:tcPr>
            <w:tcW w:w="2715" w:type="dxa"/>
            <w:tcBorders>
              <w:top w:val="single" w:sz="4" w:space="0" w:color="auto"/>
              <w:left w:val="nil"/>
              <w:bottom w:val="single" w:sz="4" w:space="0" w:color="auto"/>
              <w:right w:val="nil"/>
            </w:tcBorders>
            <w:shd w:val="clear" w:color="auto" w:fill="auto"/>
            <w:noWrap/>
            <w:vAlign w:val="center"/>
          </w:tcPr>
          <w:p w14:paraId="118392C9" w14:textId="77777777" w:rsidR="00E16243" w:rsidRPr="00F059BA" w:rsidRDefault="00E16243" w:rsidP="00E16243">
            <w:pPr>
              <w:bidi/>
              <w:spacing w:line="280" w:lineRule="exact"/>
              <w:jc w:val="center"/>
              <w:rPr>
                <w:rFonts w:ascii="Arabic Typesetting" w:hAnsi="Arabic Typesetting" w:cs="Arabic Typesetting"/>
                <w:bCs/>
                <w:sz w:val="30"/>
                <w:szCs w:val="30"/>
                <w:rtl/>
              </w:rPr>
            </w:pPr>
            <w:r w:rsidRPr="00F059BA">
              <w:rPr>
                <w:rFonts w:ascii="Arabic Typesetting" w:hAnsi="Arabic Typesetting" w:cs="Arabic Typesetting"/>
                <w:bCs/>
                <w:sz w:val="30"/>
                <w:szCs w:val="30"/>
                <w:rtl/>
              </w:rPr>
              <w:t>العمر الإنتاجي المقدر</w:t>
            </w:r>
          </w:p>
        </w:tc>
      </w:tr>
      <w:tr w:rsidR="00E16243" w:rsidRPr="00F059BA" w14:paraId="164356A8" w14:textId="77777777" w:rsidTr="00E16243">
        <w:trPr>
          <w:trHeight w:val="367"/>
          <w:jc w:val="center"/>
        </w:trPr>
        <w:tc>
          <w:tcPr>
            <w:tcW w:w="2715" w:type="dxa"/>
            <w:tcBorders>
              <w:top w:val="single" w:sz="4" w:space="0" w:color="auto"/>
              <w:left w:val="nil"/>
              <w:bottom w:val="nil"/>
              <w:right w:val="nil"/>
            </w:tcBorders>
          </w:tcPr>
          <w:p w14:paraId="27FA0E67" w14:textId="77777777" w:rsidR="00E16243" w:rsidRPr="00F059BA" w:rsidRDefault="00E16243" w:rsidP="00E16243">
            <w:pPr>
              <w:bidi/>
              <w:spacing w:line="280" w:lineRule="exact"/>
              <w:rPr>
                <w:rFonts w:ascii="Arabic Typesetting" w:hAnsi="Arabic Typesetting" w:cs="Arabic Typesetting"/>
                <w:sz w:val="30"/>
                <w:szCs w:val="30"/>
                <w:rtl/>
              </w:rPr>
            </w:pPr>
            <w:r w:rsidRPr="00F059BA">
              <w:rPr>
                <w:rFonts w:ascii="Arabic Typesetting" w:hAnsi="Arabic Typesetting" w:cs="Arabic Typesetting"/>
                <w:sz w:val="30"/>
                <w:szCs w:val="30"/>
                <w:rtl/>
              </w:rPr>
              <w:t>برامج حاسوب اقتنيت خارجياً</w:t>
            </w:r>
          </w:p>
        </w:tc>
        <w:tc>
          <w:tcPr>
            <w:tcW w:w="2715" w:type="dxa"/>
            <w:tcBorders>
              <w:top w:val="single" w:sz="4" w:space="0" w:color="auto"/>
              <w:left w:val="nil"/>
              <w:bottom w:val="nil"/>
              <w:right w:val="nil"/>
            </w:tcBorders>
            <w:shd w:val="clear" w:color="auto" w:fill="auto"/>
            <w:noWrap/>
          </w:tcPr>
          <w:p w14:paraId="3F074DE0" w14:textId="77777777" w:rsidR="00E16243" w:rsidRPr="00F059BA" w:rsidRDefault="00E16243" w:rsidP="000D58D5">
            <w:pPr>
              <w:bidi/>
              <w:spacing w:line="280" w:lineRule="exact"/>
              <w:jc w:val="right"/>
              <w:rPr>
                <w:rFonts w:ascii="Arabic Typesetting" w:hAnsi="Arabic Typesetting" w:cs="Arabic Typesetting"/>
                <w:sz w:val="30"/>
                <w:szCs w:val="30"/>
                <w:rtl/>
              </w:rPr>
            </w:pPr>
            <w:r w:rsidRPr="00F059BA">
              <w:rPr>
                <w:rFonts w:ascii="Arabic Typesetting" w:hAnsi="Arabic Typesetting" w:cs="Arabic Typesetting"/>
                <w:sz w:val="30"/>
                <w:szCs w:val="30"/>
                <w:rtl/>
              </w:rPr>
              <w:t>5 سنوات</w:t>
            </w:r>
          </w:p>
        </w:tc>
      </w:tr>
      <w:tr w:rsidR="00E16243" w:rsidRPr="00F059BA" w14:paraId="442973F9" w14:textId="77777777" w:rsidTr="00E16243">
        <w:trPr>
          <w:trHeight w:val="285"/>
          <w:jc w:val="center"/>
        </w:trPr>
        <w:tc>
          <w:tcPr>
            <w:tcW w:w="2715" w:type="dxa"/>
            <w:tcBorders>
              <w:top w:val="nil"/>
              <w:left w:val="nil"/>
              <w:bottom w:val="nil"/>
              <w:right w:val="nil"/>
            </w:tcBorders>
          </w:tcPr>
          <w:p w14:paraId="30601B10" w14:textId="77777777" w:rsidR="00E16243" w:rsidRPr="00F059BA" w:rsidRDefault="00E16243" w:rsidP="00E16243">
            <w:pPr>
              <w:bidi/>
              <w:spacing w:line="280" w:lineRule="exact"/>
              <w:rPr>
                <w:rFonts w:ascii="Arabic Typesetting" w:hAnsi="Arabic Typesetting" w:cs="Arabic Typesetting"/>
                <w:sz w:val="30"/>
                <w:szCs w:val="30"/>
              </w:rPr>
            </w:pPr>
            <w:r w:rsidRPr="00F059BA">
              <w:rPr>
                <w:rFonts w:ascii="Arabic Typesetting" w:hAnsi="Arabic Typesetting" w:cs="Arabic Typesetting"/>
                <w:sz w:val="30"/>
                <w:szCs w:val="30"/>
                <w:rtl/>
              </w:rPr>
              <w:t>برامج مطورة داخلياً</w:t>
            </w:r>
          </w:p>
        </w:tc>
        <w:tc>
          <w:tcPr>
            <w:tcW w:w="2715" w:type="dxa"/>
            <w:tcBorders>
              <w:top w:val="nil"/>
              <w:left w:val="nil"/>
              <w:bottom w:val="nil"/>
              <w:right w:val="nil"/>
            </w:tcBorders>
            <w:shd w:val="clear" w:color="auto" w:fill="auto"/>
            <w:noWrap/>
          </w:tcPr>
          <w:p w14:paraId="71FAF8D8" w14:textId="77777777" w:rsidR="00E16243" w:rsidRPr="00F059BA" w:rsidRDefault="00E16243" w:rsidP="000D58D5">
            <w:pPr>
              <w:bidi/>
              <w:spacing w:line="280" w:lineRule="exact"/>
              <w:jc w:val="right"/>
              <w:rPr>
                <w:rFonts w:ascii="Arabic Typesetting" w:hAnsi="Arabic Typesetting" w:cs="Arabic Typesetting"/>
                <w:sz w:val="30"/>
                <w:szCs w:val="30"/>
              </w:rPr>
            </w:pPr>
            <w:r w:rsidRPr="00F059BA">
              <w:rPr>
                <w:rFonts w:ascii="Arabic Typesetting" w:hAnsi="Arabic Typesetting" w:cs="Arabic Typesetting"/>
                <w:sz w:val="30"/>
                <w:szCs w:val="30"/>
                <w:rtl/>
              </w:rPr>
              <w:t>5 سنوات</w:t>
            </w:r>
          </w:p>
        </w:tc>
      </w:tr>
      <w:tr w:rsidR="00E16243" w:rsidRPr="00F059BA" w14:paraId="67020F8C" w14:textId="77777777" w:rsidTr="00E16243">
        <w:trPr>
          <w:trHeight w:val="285"/>
          <w:jc w:val="center"/>
        </w:trPr>
        <w:tc>
          <w:tcPr>
            <w:tcW w:w="2715" w:type="dxa"/>
            <w:tcBorders>
              <w:top w:val="nil"/>
              <w:left w:val="nil"/>
              <w:bottom w:val="nil"/>
              <w:right w:val="nil"/>
            </w:tcBorders>
          </w:tcPr>
          <w:p w14:paraId="0552FAE4" w14:textId="77777777" w:rsidR="00E16243" w:rsidRPr="00F059BA" w:rsidRDefault="00E16243" w:rsidP="00E16243">
            <w:pPr>
              <w:bidi/>
              <w:spacing w:line="280" w:lineRule="exact"/>
              <w:rPr>
                <w:rFonts w:ascii="Arabic Typesetting" w:hAnsi="Arabic Typesetting" w:cs="Arabic Typesetting"/>
                <w:sz w:val="30"/>
                <w:szCs w:val="30"/>
              </w:rPr>
            </w:pPr>
            <w:r w:rsidRPr="00F059BA">
              <w:rPr>
                <w:rFonts w:ascii="Arabic Typesetting" w:hAnsi="Arabic Typesetting" w:cs="Arabic Typesetting"/>
                <w:sz w:val="30"/>
                <w:szCs w:val="30"/>
                <w:rtl/>
              </w:rPr>
              <w:t>تراخيص وحقوق</w:t>
            </w:r>
          </w:p>
        </w:tc>
        <w:tc>
          <w:tcPr>
            <w:tcW w:w="2715" w:type="dxa"/>
            <w:tcBorders>
              <w:top w:val="nil"/>
              <w:left w:val="nil"/>
              <w:bottom w:val="nil"/>
              <w:right w:val="nil"/>
            </w:tcBorders>
            <w:shd w:val="clear" w:color="auto" w:fill="auto"/>
            <w:noWrap/>
          </w:tcPr>
          <w:p w14:paraId="5B6FB1BA" w14:textId="77777777" w:rsidR="00E16243" w:rsidRPr="00F059BA" w:rsidRDefault="00E16243" w:rsidP="000D58D5">
            <w:pPr>
              <w:bidi/>
              <w:spacing w:line="280" w:lineRule="exact"/>
              <w:jc w:val="right"/>
              <w:rPr>
                <w:rFonts w:ascii="Arabic Typesetting" w:hAnsi="Arabic Typesetting" w:cs="Arabic Typesetting"/>
                <w:sz w:val="30"/>
                <w:szCs w:val="30"/>
              </w:rPr>
            </w:pPr>
            <w:r w:rsidRPr="00F059BA">
              <w:rPr>
                <w:rFonts w:ascii="Arabic Typesetting" w:hAnsi="Arabic Typesetting" w:cs="Arabic Typesetting"/>
                <w:sz w:val="30"/>
                <w:szCs w:val="30"/>
                <w:rtl/>
              </w:rPr>
              <w:t>مدة الترخيص/الحق</w:t>
            </w:r>
          </w:p>
        </w:tc>
      </w:tr>
    </w:tbl>
    <w:p w14:paraId="551B6C0A" w14:textId="3A5D299C" w:rsidR="00E16243" w:rsidRDefault="00E16243" w:rsidP="007705C5">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وترسمل تراخيص برامج الحاسوب المقتناة على </w:t>
      </w:r>
      <w:r w:rsidR="00FD2528">
        <w:rPr>
          <w:rFonts w:ascii="Arabic Typesetting" w:hAnsi="Arabic Typesetting" w:cs="Arabic Typesetting" w:hint="cs"/>
          <w:sz w:val="36"/>
          <w:szCs w:val="36"/>
          <w:rtl/>
        </w:rPr>
        <w:t xml:space="preserve">أساس </w:t>
      </w:r>
      <w:r>
        <w:rPr>
          <w:rFonts w:ascii="Arabic Typesetting" w:hAnsi="Arabic Typesetting" w:cs="Arabic Typesetting" w:hint="cs"/>
          <w:sz w:val="36"/>
          <w:szCs w:val="36"/>
          <w:rtl/>
        </w:rPr>
        <w:t>التكاليف المتكبدة لاقتناء البرنامج المعني وتجهيزه للاستخدام.</w:t>
      </w:r>
      <w:r w:rsidR="00E806C0">
        <w:rPr>
          <w:rFonts w:ascii="Arabic Typesetting" w:hAnsi="Arabic Typesetting" w:cs="Arabic Typesetting" w:hint="cs"/>
          <w:sz w:val="36"/>
          <w:szCs w:val="36"/>
          <w:rtl/>
        </w:rPr>
        <w:t xml:space="preserve"> وتقيد البرامج أو تراخيص البرامج التي تشترى خارجياً على أنها أصل إذا بلغت تكلفة كل وحدة منها </w:t>
      </w:r>
      <w:r w:rsidR="0065116C">
        <w:rPr>
          <w:rFonts w:ascii="Arabic Typesetting" w:hAnsi="Arabic Typesetting" w:cs="Arabic Typesetting" w:hint="cs"/>
          <w:sz w:val="36"/>
          <w:szCs w:val="36"/>
          <w:rtl/>
        </w:rPr>
        <w:t>5000</w:t>
      </w:r>
      <w:r w:rsidR="00E806C0">
        <w:rPr>
          <w:rFonts w:ascii="Arabic Typesetting" w:hAnsi="Arabic Typesetting" w:cs="Arabic Typesetting" w:hint="cs"/>
          <w:sz w:val="36"/>
          <w:szCs w:val="36"/>
          <w:rtl/>
        </w:rPr>
        <w:t xml:space="preserve"> فرنك سويسري أو أكثر.</w:t>
      </w:r>
      <w:r>
        <w:rPr>
          <w:rFonts w:ascii="Arabic Typesetting" w:hAnsi="Arabic Typesetting" w:cs="Arabic Typesetting" w:hint="cs"/>
          <w:sz w:val="36"/>
          <w:szCs w:val="36"/>
          <w:rtl/>
        </w:rPr>
        <w:t xml:space="preserve"> وترسمل التكاليف المقترنة بشكل مباشر بتطوير برامج لاستخدامها في الويبو بوصفها أصولاً غير مادية. وتتضمن التكاليف المباشرة تكاليف الموظفين القائمين على تطوير البرامج.</w:t>
      </w:r>
      <w:r w:rsidR="007705C5">
        <w:rPr>
          <w:rFonts w:ascii="Arabic Typesetting" w:hAnsi="Arabic Typesetting" w:cs="Arabic Typesetting" w:hint="cs"/>
          <w:sz w:val="36"/>
          <w:szCs w:val="36"/>
          <w:rtl/>
        </w:rPr>
        <w:t xml:space="preserve"> وتقيد البرامج المطورة </w:t>
      </w:r>
      <w:r w:rsidR="00AC3C42">
        <w:rPr>
          <w:rFonts w:ascii="Arabic Typesetting" w:hAnsi="Arabic Typesetting" w:cs="Arabic Typesetting" w:hint="cs"/>
          <w:sz w:val="36"/>
          <w:szCs w:val="36"/>
          <w:rtl/>
        </w:rPr>
        <w:t xml:space="preserve">داخلياً </w:t>
      </w:r>
      <w:r w:rsidR="007705C5">
        <w:rPr>
          <w:rFonts w:ascii="Arabic Typesetting" w:hAnsi="Arabic Typesetting" w:cs="Arabic Typesetting" w:hint="cs"/>
          <w:sz w:val="36"/>
          <w:szCs w:val="36"/>
          <w:rtl/>
        </w:rPr>
        <w:t xml:space="preserve">على أنها أصل إذا بلغت تكلفتها </w:t>
      </w:r>
      <w:r w:rsidR="00067F3F">
        <w:rPr>
          <w:rFonts w:ascii="Arabic Typesetting" w:hAnsi="Arabic Typesetting" w:cs="Arabic Typesetting" w:hint="cs"/>
          <w:sz w:val="36"/>
          <w:szCs w:val="36"/>
          <w:rtl/>
        </w:rPr>
        <w:t>000 100 فرنك سويسري أو أكثر.</w:t>
      </w:r>
    </w:p>
    <w:p w14:paraId="32ACD753" w14:textId="181E56FC" w:rsidR="00E55E23" w:rsidRDefault="00E16243" w:rsidP="00630846">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w:t>
      </w:r>
      <w:r w:rsidRPr="00AC1453">
        <w:rPr>
          <w:rFonts w:ascii="Arabic Typesetting" w:hAnsi="Arabic Typesetting" w:cs="Arabic Typesetting" w:hint="cs"/>
          <w:sz w:val="36"/>
          <w:szCs w:val="36"/>
          <w:rtl/>
        </w:rPr>
        <w:t>قي</w:t>
      </w:r>
      <w:r>
        <w:rPr>
          <w:rFonts w:ascii="Arabic Typesetting" w:hAnsi="Arabic Typesetting" w:cs="Arabic Typesetting" w:hint="cs"/>
          <w:sz w:val="36"/>
          <w:szCs w:val="36"/>
          <w:rtl/>
        </w:rPr>
        <w:t>ّ</w:t>
      </w:r>
      <w:r w:rsidRPr="00AC1453">
        <w:rPr>
          <w:rFonts w:ascii="Arabic Typesetting" w:hAnsi="Arabic Typesetting" w:cs="Arabic Typesetting" w:hint="cs"/>
          <w:sz w:val="36"/>
          <w:szCs w:val="36"/>
          <w:rtl/>
        </w:rPr>
        <w:t xml:space="preserve">دت </w:t>
      </w:r>
      <w:r>
        <w:rPr>
          <w:rFonts w:ascii="Arabic Typesetting" w:hAnsi="Arabic Typesetting" w:cs="Arabic Typesetting" w:hint="cs"/>
          <w:sz w:val="36"/>
          <w:szCs w:val="36"/>
          <w:rtl/>
        </w:rPr>
        <w:t xml:space="preserve">حقوق استخدام الأملاك في كانتون جنيف التي اقتنتها المنظمة بطريق الشراء بتكلفتها التاريخية </w:t>
      </w:r>
      <w:r w:rsidR="00630846">
        <w:rPr>
          <w:rFonts w:ascii="Arabic Typesetting" w:hAnsi="Arabic Typesetting" w:cs="Arabic Typesetting" w:hint="cs"/>
          <w:sz w:val="36"/>
          <w:szCs w:val="36"/>
          <w:rtl/>
        </w:rPr>
        <w:t>وتُستهلك</w:t>
      </w:r>
      <w:r>
        <w:rPr>
          <w:rFonts w:ascii="Arabic Typesetting" w:hAnsi="Arabic Typesetting" w:cs="Arabic Typesetting" w:hint="cs"/>
          <w:sz w:val="36"/>
          <w:szCs w:val="36"/>
          <w:rtl/>
        </w:rPr>
        <w:t xml:space="preserve"> طيلة الفترة المتبقية من مدّة الحق الممنوح. ولا تقيّد في البيانات المالية قيمة حقوق استخدام الملكيّة التي منحها كانتون جنيف بدون تكلفة والتي يستعيد ملكيّتها في نهاية فترة المنح.</w:t>
      </w:r>
    </w:p>
    <w:p w14:paraId="35229C64" w14:textId="52DE3BE6"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المخصّصات</w:t>
      </w:r>
    </w:p>
    <w:p w14:paraId="0BD66C71" w14:textId="77777777" w:rsidR="00E16243" w:rsidRPr="002318C1" w:rsidRDefault="00E16243" w:rsidP="00E16243">
      <w:pPr>
        <w:bidi/>
        <w:spacing w:after="240" w:line="360" w:lineRule="exact"/>
        <w:rPr>
          <w:rFonts w:ascii="Arabic Typesetting" w:hAnsi="Arabic Typesetting" w:cs="Arabic Typesetting"/>
          <w:sz w:val="36"/>
          <w:szCs w:val="36"/>
          <w:rtl/>
        </w:rPr>
      </w:pPr>
      <w:r w:rsidRPr="002318C1">
        <w:rPr>
          <w:rFonts w:ascii="Arabic Typesetting" w:hAnsi="Arabic Typesetting" w:cs="Arabic Typesetting" w:hint="cs"/>
          <w:sz w:val="36"/>
          <w:szCs w:val="36"/>
          <w:rtl/>
        </w:rPr>
        <w:t>تقي</w:t>
      </w:r>
      <w:r>
        <w:rPr>
          <w:rFonts w:ascii="Arabic Typesetting" w:hAnsi="Arabic Typesetting" w:cs="Arabic Typesetting" w:hint="cs"/>
          <w:sz w:val="36"/>
          <w:szCs w:val="36"/>
          <w:rtl/>
        </w:rPr>
        <w:t>ّ</w:t>
      </w:r>
      <w:r w:rsidRPr="002318C1">
        <w:rPr>
          <w:rFonts w:ascii="Arabic Typesetting" w:hAnsi="Arabic Typesetting" w:cs="Arabic Typesetting" w:hint="cs"/>
          <w:sz w:val="36"/>
          <w:szCs w:val="36"/>
          <w:rtl/>
        </w:rPr>
        <w:t>د المخص</w:t>
      </w:r>
      <w:r>
        <w:rPr>
          <w:rFonts w:ascii="Arabic Typesetting" w:hAnsi="Arabic Typesetting" w:cs="Arabic Typesetting" w:hint="cs"/>
          <w:sz w:val="36"/>
          <w:szCs w:val="36"/>
          <w:rtl/>
        </w:rPr>
        <w:t>ّ</w:t>
      </w:r>
      <w:r w:rsidRPr="002318C1">
        <w:rPr>
          <w:rFonts w:ascii="Arabic Typesetting" w:hAnsi="Arabic Typesetting" w:cs="Arabic Typesetting" w:hint="cs"/>
          <w:sz w:val="36"/>
          <w:szCs w:val="36"/>
          <w:rtl/>
        </w:rPr>
        <w:t xml:space="preserve">صات </w:t>
      </w:r>
      <w:r>
        <w:rPr>
          <w:rFonts w:ascii="Arabic Typesetting" w:hAnsi="Arabic Typesetting" w:cs="Arabic Typesetting" w:hint="cs"/>
          <w:sz w:val="36"/>
          <w:szCs w:val="36"/>
          <w:rtl/>
        </w:rPr>
        <w:t>عندما يكون للويبو التزام قانوني أو إسنادي ناتج عن حدث سابق قد يقتضي إخراج موارد من أجل تسوية الالتزام متى ما أمكن التوصّل إلى تقدير موثوق لمبلغ ذلك الالتزام.</w:t>
      </w:r>
    </w:p>
    <w:p w14:paraId="3C0AE2CC" w14:textId="77777777"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lastRenderedPageBreak/>
        <w:t>المبالغ المستحقّة للمنظمة</w:t>
      </w:r>
    </w:p>
    <w:p w14:paraId="08AB8B59" w14:textId="64462CB3" w:rsidR="00E16243" w:rsidRDefault="00E16243" w:rsidP="00182157">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تقاس المبالغ المستحقّة من المعاملات التبادليّة، والتي تشمل الرّسوم المحصّلة من البراءات الدّولية والتسجيل الدولي للعلامات التجارية </w:t>
      </w:r>
      <w:r w:rsidR="00182157">
        <w:rPr>
          <w:rFonts w:ascii="Arabic Typesetting" w:hAnsi="Arabic Typesetting" w:cs="Arabic Typesetting" w:hint="cs"/>
          <w:sz w:val="36"/>
          <w:szCs w:val="36"/>
          <w:rtl/>
        </w:rPr>
        <w:t>والتصاميم</w:t>
      </w:r>
      <w:r>
        <w:rPr>
          <w:rFonts w:ascii="Arabic Typesetting" w:hAnsi="Arabic Typesetting" w:cs="Arabic Typesetting" w:hint="cs"/>
          <w:sz w:val="36"/>
          <w:szCs w:val="36"/>
          <w:rtl/>
        </w:rPr>
        <w:t xml:space="preserve"> الصناعية وغيرها من الخدمات والمنشورات، على القيمة العادلة للعوض المحصل أو الممكن تحصيله مقابل رسوم العلامات التجارية</w:t>
      </w:r>
      <w:r w:rsidR="00182157">
        <w:rPr>
          <w:rFonts w:ascii="Arabic Typesetting" w:hAnsi="Arabic Typesetting" w:cs="Arabic Typesetting" w:hint="cs"/>
          <w:sz w:val="36"/>
          <w:szCs w:val="36"/>
          <w:rtl/>
        </w:rPr>
        <w:t xml:space="preserve"> والتصاميم الصناعية</w:t>
      </w:r>
      <w:r>
        <w:rPr>
          <w:rFonts w:ascii="Arabic Typesetting" w:hAnsi="Arabic Typesetting" w:cs="Arabic Typesetting" w:hint="cs"/>
          <w:sz w:val="36"/>
          <w:szCs w:val="36"/>
          <w:rtl/>
        </w:rPr>
        <w:t xml:space="preserve"> ومعاهدة التعاون بشأن البراءات متى ما سجل الطلب الدولي وعندما تستلم أموال تحت باب إيرادات أخرى.</w:t>
      </w:r>
    </w:p>
    <w:p w14:paraId="380D83A3" w14:textId="77777777"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وتقيد الاشتراكات المقرّرة كإيرادات في بداية السنة المالية. ويدوّن مبلغ بديل بالنسبة إلى المبالغ المستحقة التي يتعذر استردادها تساوي الاشتراكات المقررة التي جمدتها الجمعية العامة زائد الاشتراكات المستحقة من الدول الأعضاء التي فقدت حق التصويت بناء على المادة 11 من اتفاقية إنشاء المنظمة العالمية للملكية الفكرية.</w:t>
      </w:r>
    </w:p>
    <w:p w14:paraId="797FE7CB" w14:textId="77777777" w:rsidR="00E16243" w:rsidRPr="002318C1"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وبالنسبة إلى باقي المبالغ المستحقة تحدد بدائل عدم استرداد بالاستناد إلى استعراض المبالغ غير المستلمة حتى تاريخ إعداد التقرير المالي.</w:t>
      </w:r>
    </w:p>
    <w:p w14:paraId="3AEC3FF2" w14:textId="77777777"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قيد </w:t>
      </w:r>
      <w:r w:rsidRPr="000D6AC4">
        <w:rPr>
          <w:rFonts w:ascii="Arabic Typesetting" w:hAnsi="Arabic Typesetting" w:cs="Arabic Typesetting"/>
          <w:b/>
          <w:bCs/>
          <w:sz w:val="36"/>
          <w:szCs w:val="36"/>
          <w:rtl/>
        </w:rPr>
        <w:t>الإيرادات</w:t>
      </w:r>
    </w:p>
    <w:p w14:paraId="145E01A8" w14:textId="77777777" w:rsidR="00E16243" w:rsidRDefault="00E16243" w:rsidP="00FF42DB">
      <w:pPr>
        <w:pStyle w:val="NormalParaAR"/>
        <w:rPr>
          <w:rtl/>
        </w:rPr>
      </w:pPr>
      <w:r>
        <w:rPr>
          <w:rFonts w:hint="cs"/>
          <w:rtl/>
        </w:rPr>
        <w:t>تقيّد الإيرادات المحقّقة من المعاملات التبادليّة التي تشمل الرسوم المحصلة على طلبات البراءات الدولية، بما في ذلك الرس</w:t>
      </w:r>
      <w:r w:rsidR="00FF42DB">
        <w:rPr>
          <w:rFonts w:hint="cs"/>
          <w:rtl/>
        </w:rPr>
        <w:t>وم المحصلة على الصفحات الإضافية</w:t>
      </w:r>
      <w:r>
        <w:rPr>
          <w:rFonts w:hint="cs"/>
          <w:rtl/>
        </w:rPr>
        <w:t>، والتسجيل الدولي للعلامات التجارية والرسوم والنماذج الصناعية في تاريخ النشر. ويؤجل قيد الإيرادات المحصلة من الرسوم المستلمة على الطلبات غير المنشورة خلال الفترة المشمولة بالتقرير إلى حين استكمال النشر. ويؤجل أيضا قيد الجزء من رسم طلب البراءة الذي يغطي تكاليف ترجمة تقارير الأهلية للبراءة الواردة بغير اللغة الإنكليزية المستلمة بعد النشر إلى حين استكمال الترجمة. وتقيد جميع الرسوم الأخرى المرتبطة بطلبات البراءات والعلامات التجارية والرسوم والنماذج الصناعية، بما في ذلك حالات التجديد، عندما تقدم الخدمات التي تغطيها الرسوم. وتقيد الإيرادات المتأتية من المنشورات وخدمات التحكيم والوساطة عند تسليم السلع أو أداء الخدمات بالكامل.</w:t>
      </w:r>
    </w:p>
    <w:p w14:paraId="75723C3B" w14:textId="0AC86003" w:rsidR="00E16243" w:rsidRDefault="00E16243" w:rsidP="00E16243">
      <w:pPr>
        <w:pStyle w:val="NormalParaAR"/>
        <w:rPr>
          <w:rtl/>
        </w:rPr>
      </w:pPr>
      <w:r>
        <w:rPr>
          <w:rFonts w:hint="cs"/>
          <w:rtl/>
        </w:rPr>
        <w:t xml:space="preserve">أما الإيرادات المحققّة من المعاملات غير التبادلية مثل </w:t>
      </w:r>
      <w:r w:rsidR="00FD2528">
        <w:rPr>
          <w:rFonts w:hint="cs"/>
          <w:rtl/>
        </w:rPr>
        <w:t>المساهمات</w:t>
      </w:r>
      <w:r>
        <w:rPr>
          <w:rFonts w:hint="cs"/>
          <w:rtl/>
        </w:rPr>
        <w:t xml:space="preserve"> الطوعية المودعة في حسابات خاصة تستند إلى اتفاقات قابلة للإنفاذ، فتقيد كإيرادات في الوقت الذي يصبح فيه الاتفاق ملزما ما لم يشمل الاتفاق شروطا تتعلق بأداء معين أو رد الأرصدة غير المنفقة. وتقتضي تلك الاتفاقات قيد خصوم في البداية لتأجيل قيد الإيرادات ومن ثم تقيد الإيرادات حيث تشطب الخصوم من خلال أداء الشروط الخاصة الواردة في الاتفاق.</w:t>
      </w:r>
    </w:p>
    <w:p w14:paraId="3A7D9819" w14:textId="77777777" w:rsidR="00E16243" w:rsidRPr="006E25C8" w:rsidRDefault="00E16243" w:rsidP="00E16243">
      <w:pPr>
        <w:pStyle w:val="NormalParaAR"/>
        <w:rPr>
          <w:rtl/>
        </w:rPr>
      </w:pPr>
      <w:r>
        <w:rPr>
          <w:rFonts w:hint="cs"/>
          <w:rtl/>
        </w:rPr>
        <w:t>وتقيّد الاشتراكات المقررة كإيرادات في بداية كل سنة من فترة الميزانية التي يسري عليها تقرير تلك الاشتراكات.</w:t>
      </w:r>
    </w:p>
    <w:p w14:paraId="7F40C9E0" w14:textId="77777777" w:rsidR="00E16243" w:rsidRDefault="00E16243" w:rsidP="00E16243">
      <w:pPr>
        <w:keepNext/>
        <w:bidi/>
        <w:spacing w:after="240" w:line="360" w:lineRule="exact"/>
        <w:rPr>
          <w:rFonts w:ascii="Arabic Typesetting" w:hAnsi="Arabic Typesetting" w:cs="Arabic Typesetting"/>
          <w:b/>
          <w:bCs/>
          <w:sz w:val="36"/>
          <w:szCs w:val="36"/>
          <w:rtl/>
        </w:rPr>
      </w:pPr>
      <w:r w:rsidRPr="00F03C73">
        <w:rPr>
          <w:rFonts w:ascii="Arabic Typesetting" w:hAnsi="Arabic Typesetting" w:cs="Arabic Typesetting"/>
          <w:b/>
          <w:bCs/>
          <w:sz w:val="36"/>
          <w:szCs w:val="36"/>
          <w:rtl/>
        </w:rPr>
        <w:t>إعداد تقارير القطاعات</w:t>
      </w:r>
    </w:p>
    <w:p w14:paraId="738D8B8F" w14:textId="1B57AAAE" w:rsidR="00E16243" w:rsidRDefault="00E16243" w:rsidP="00182157">
      <w:pPr>
        <w:bidi/>
        <w:spacing w:after="240" w:line="360" w:lineRule="exact"/>
        <w:rPr>
          <w:rFonts w:ascii="Arabic Typesetting" w:hAnsi="Arabic Typesetting" w:cs="Arabic Typesetting"/>
          <w:sz w:val="36"/>
          <w:szCs w:val="36"/>
          <w:rtl/>
        </w:rPr>
      </w:pPr>
      <w:r w:rsidRPr="007350C4">
        <w:rPr>
          <w:rFonts w:ascii="Arabic Typesetting" w:hAnsi="Arabic Typesetting" w:cs="Arabic Typesetting" w:hint="cs"/>
          <w:sz w:val="36"/>
          <w:szCs w:val="36"/>
          <w:rtl/>
        </w:rPr>
        <w:t xml:space="preserve">تتولى الاتحادات التي تشكل المنظمة العالمية للملكية الفكرية إعداد تقارير القطاعات. </w:t>
      </w:r>
      <w:r>
        <w:rPr>
          <w:rFonts w:ascii="Arabic Typesetting" w:hAnsi="Arabic Typesetting" w:cs="Arabic Typesetting" w:hint="cs"/>
          <w:sz w:val="36"/>
          <w:szCs w:val="36"/>
          <w:rtl/>
        </w:rPr>
        <w:t xml:space="preserve">وتقسم إيرادات </w:t>
      </w:r>
      <w:r>
        <w:rPr>
          <w:rFonts w:ascii="Arabic Typesetting" w:hAnsi="Arabic Typesetting" w:cs="Arabic Typesetting" w:hint="cs"/>
          <w:sz w:val="36"/>
          <w:szCs w:val="36"/>
          <w:rtl/>
          <w:lang w:bidi="ar-EG"/>
        </w:rPr>
        <w:t xml:space="preserve">المنظمة </w:t>
      </w:r>
      <w:r>
        <w:rPr>
          <w:rFonts w:ascii="Arabic Typesetting" w:hAnsi="Arabic Typesetting" w:cs="Arabic Typesetting" w:hint="cs"/>
          <w:sz w:val="36"/>
          <w:szCs w:val="36"/>
          <w:rtl/>
        </w:rPr>
        <w:t xml:space="preserve">ونفقاتها فيما بين الاتحادات </w:t>
      </w:r>
      <w:r w:rsidR="002B3DBD">
        <w:rPr>
          <w:rFonts w:ascii="Arabic Typesetting" w:hAnsi="Arabic Typesetting" w:cs="Arabic Typesetting" w:hint="cs"/>
          <w:sz w:val="36"/>
          <w:szCs w:val="36"/>
          <w:rtl/>
        </w:rPr>
        <w:t xml:space="preserve">وفقاً </w:t>
      </w:r>
      <w:r>
        <w:rPr>
          <w:rFonts w:ascii="Arabic Typesetting" w:hAnsi="Arabic Typesetting" w:cs="Arabic Typesetting" w:hint="cs"/>
          <w:sz w:val="36"/>
          <w:szCs w:val="36"/>
          <w:rtl/>
        </w:rPr>
        <w:t xml:space="preserve">لطريقة تقسيم أقرتها جمعية الويبو [المرفق الثالث من </w:t>
      </w:r>
      <w:r w:rsidRPr="00311557">
        <w:rPr>
          <w:rFonts w:ascii="Arabic Typesetting" w:hAnsi="Arabic Typesetting" w:cs="Arabic Typesetting"/>
          <w:sz w:val="36"/>
          <w:szCs w:val="36"/>
          <w:rtl/>
        </w:rPr>
        <w:t>وثيقة البرنامج والميزانية</w:t>
      </w:r>
      <w:r>
        <w:rPr>
          <w:rFonts w:ascii="Arabic Typesetting" w:hAnsi="Arabic Typesetting" w:cs="Arabic Typesetting" w:hint="cs"/>
          <w:sz w:val="36"/>
          <w:szCs w:val="36"/>
          <w:rtl/>
        </w:rPr>
        <w:t xml:space="preserve"> للفترة </w:t>
      </w:r>
      <w:r w:rsidR="00182157">
        <w:rPr>
          <w:rFonts w:ascii="Arabic Typesetting" w:hAnsi="Arabic Typesetting" w:cs="Arabic Typesetting" w:hint="cs"/>
          <w:sz w:val="36"/>
          <w:szCs w:val="36"/>
          <w:rtl/>
        </w:rPr>
        <w:t>2014</w:t>
      </w:r>
      <w:r>
        <w:rPr>
          <w:rFonts w:ascii="Arabic Typesetting" w:hAnsi="Arabic Typesetting" w:cs="Arabic Typesetting" w:hint="cs"/>
          <w:sz w:val="36"/>
          <w:szCs w:val="36"/>
          <w:rtl/>
        </w:rPr>
        <w:t>/</w:t>
      </w:r>
      <w:r w:rsidR="00182157">
        <w:rPr>
          <w:rFonts w:ascii="Arabic Typesetting" w:hAnsi="Arabic Typesetting" w:cs="Arabic Typesetting" w:hint="cs"/>
          <w:sz w:val="36"/>
          <w:szCs w:val="36"/>
          <w:rtl/>
        </w:rPr>
        <w:t>2015</w:t>
      </w:r>
      <w:r>
        <w:rPr>
          <w:rFonts w:ascii="Arabic Typesetting" w:hAnsi="Arabic Typesetting" w:cs="Arabic Typesetting" w:hint="cs"/>
          <w:sz w:val="36"/>
          <w:szCs w:val="36"/>
          <w:rtl/>
        </w:rPr>
        <w:t xml:space="preserve">]. وتقسم الطريقة المذكورة الإيرادات والنفقات على كل برنامج ومن ثم على كل اتحاد بالاستناد إلى الجمع بين الإيرادات والنفقات المباشرة وعدد الموظفين وقدرة كل اتحاد على السداد، وتحدَد تلك القدرة ذاتها بناء على عملية تجمع بين الإيرادات والأموال المتداولة والاحتياطيات. ولا تخصص أصول الويبو وخصومها على القطاعات الفردية لأن المنظمة ككل تحتفظ بملكيتها، إلا أن حصة كل اتحاد في صافي أصول المنظمة بما فيها أرصدة الأموال المتجمعة وفائض إعادة التقييم وصناديق رؤوس الأموال العاملة، تقيّد حسب كل قطاع (انظر الملاحظة </w:t>
      </w:r>
      <w:r w:rsidR="00F61D43">
        <w:rPr>
          <w:rFonts w:ascii="Arabic Typesetting" w:hAnsi="Arabic Typesetting" w:cs="Arabic Typesetting" w:hint="cs"/>
          <w:sz w:val="36"/>
          <w:szCs w:val="36"/>
          <w:rtl/>
        </w:rPr>
        <w:t>28</w:t>
      </w:r>
      <w:r>
        <w:rPr>
          <w:rFonts w:ascii="Arabic Typesetting" w:hAnsi="Arabic Typesetting" w:cs="Arabic Typesetting" w:hint="cs"/>
          <w:sz w:val="36"/>
          <w:szCs w:val="36"/>
          <w:rtl/>
        </w:rPr>
        <w:t>).</w:t>
      </w:r>
    </w:p>
    <w:p w14:paraId="68DA1602" w14:textId="77777777" w:rsidR="00195C53" w:rsidRPr="00D9111F" w:rsidRDefault="00AA7424" w:rsidP="00FB037F">
      <w:pPr>
        <w:keepNext/>
        <w:keepLines/>
        <w:bidi/>
        <w:spacing w:after="240" w:line="360" w:lineRule="exact"/>
        <w:rPr>
          <w:rFonts w:ascii="Arabic Typesetting" w:hAnsi="Arabic Typesetting" w:cs="Arabic Typesetting"/>
          <w:b/>
          <w:bCs/>
          <w:sz w:val="36"/>
          <w:szCs w:val="36"/>
          <w:rtl/>
        </w:rPr>
      </w:pPr>
      <w:r w:rsidRPr="00D9111F">
        <w:rPr>
          <w:rFonts w:ascii="Arabic Typesetting" w:hAnsi="Arabic Typesetting" w:cs="Arabic Typesetting" w:hint="cs"/>
          <w:b/>
          <w:bCs/>
          <w:sz w:val="36"/>
          <w:szCs w:val="36"/>
          <w:rtl/>
        </w:rPr>
        <w:lastRenderedPageBreak/>
        <w:t>التغيرات في العرض</w:t>
      </w:r>
    </w:p>
    <w:p w14:paraId="71133CEE" w14:textId="15762F4C" w:rsidR="00D9111F" w:rsidRDefault="00D9111F" w:rsidP="00525C9F">
      <w:pPr>
        <w:keepNext/>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أجريت التغييرات التالية على عرض المبالغ المقارنة بغية مواءمتها مع تصنيف البنود في البيانات المالية لعام 2014:</w:t>
      </w:r>
    </w:p>
    <w:p w14:paraId="1436CD7F" w14:textId="3CB0DD26" w:rsidR="00D9111F" w:rsidRDefault="00D9111F" w:rsidP="00D9111F">
      <w:pPr>
        <w:pStyle w:val="ListParagraph"/>
        <w:numPr>
          <w:ilvl w:val="0"/>
          <w:numId w:val="37"/>
        </w:numPr>
        <w:bidi/>
        <w:spacing w:after="240" w:line="360" w:lineRule="exact"/>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أعيد تصنيف 3.4 مليون فرنك سويسري من مصروفات التشغيل إلى بند تكاليف التمويل الذي أصبح يرد منفصلاً في بيان الأداء المالي؛</w:t>
      </w:r>
    </w:p>
    <w:p w14:paraId="264B3A6D" w14:textId="281AC9DD" w:rsidR="00D9111F" w:rsidRDefault="00D9111F" w:rsidP="00D9111F">
      <w:pPr>
        <w:pStyle w:val="ListParagraph"/>
        <w:numPr>
          <w:ilvl w:val="0"/>
          <w:numId w:val="37"/>
        </w:numPr>
        <w:bidi/>
        <w:spacing w:after="240" w:line="360" w:lineRule="exact"/>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أعيد تصنيف 0.5 مليون فرنك سويسري من نفقات الموظفين إلى بند المتدربين ومنح الويبو الذي أصبح يرد منفصلاً في بيان الأداء المالي. ويخص ذلك تكاليف المتدربين التي لم تعد مدرجة في نفقات الموظفين بغية إبراز طبيعة العلاقة بين هؤلاء الأفراد والمنظمة بصورة ملائمة؛</w:t>
      </w:r>
    </w:p>
    <w:p w14:paraId="1C5FF3DB" w14:textId="6E6D5980" w:rsidR="00D9111F" w:rsidRDefault="00D9111F" w:rsidP="00D9111F">
      <w:pPr>
        <w:pStyle w:val="ListParagraph"/>
        <w:numPr>
          <w:ilvl w:val="0"/>
          <w:numId w:val="37"/>
        </w:numPr>
        <w:bidi/>
        <w:spacing w:after="240" w:line="360" w:lineRule="exact"/>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أعيد تصنيف 1.3 مليون فرنك سويسري من الأسفار والمنح إلى بند المتدربين ومنح الويبو </w:t>
      </w:r>
      <w:r w:rsidRPr="00D9111F">
        <w:rPr>
          <w:rFonts w:ascii="Arabic Typesetting" w:hAnsi="Arabic Typesetting" w:cs="Arabic Typesetting"/>
          <w:sz w:val="36"/>
          <w:szCs w:val="36"/>
          <w:rtl/>
          <w:lang w:bidi="ar-EG"/>
        </w:rPr>
        <w:t>الذي أصبح يرد منفصلاً في بيان الأداء المالي</w:t>
      </w:r>
      <w:r>
        <w:rPr>
          <w:rFonts w:ascii="Arabic Typesetting" w:hAnsi="Arabic Typesetting" w:cs="Arabic Typesetting" w:hint="cs"/>
          <w:sz w:val="36"/>
          <w:szCs w:val="36"/>
          <w:rtl/>
          <w:lang w:bidi="ar-EG"/>
        </w:rPr>
        <w:t>. وأما البيانات السابقة فكانت تضم فئة واحدة من المنح تندرج في إطار بند الأسفار والمنح، ولكن أسفر تنفيذ إصلاح المنظمة للخدمات التعاقدية عن فئتين من المنح تتطلب التمييز بينها وهما منح الويبو ومنح الدورات. وتظل منح الدورات جزءاً من بند الأسفار والمنح؛</w:t>
      </w:r>
    </w:p>
    <w:p w14:paraId="06EA87EE" w14:textId="25F208F6" w:rsidR="00D9111F" w:rsidRDefault="004F6A78" w:rsidP="004F6A78">
      <w:pPr>
        <w:pStyle w:val="ListParagraph"/>
        <w:numPr>
          <w:ilvl w:val="0"/>
          <w:numId w:val="37"/>
        </w:numPr>
        <w:bidi/>
        <w:spacing w:after="240" w:line="360" w:lineRule="exact"/>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في بيان الوضع المالي، أعيد تصنيف 3.1 مليون فرنك سويسري يتعلق بالضرائب </w:t>
      </w:r>
      <w:r w:rsidR="00FD2528">
        <w:rPr>
          <w:rFonts w:ascii="Arabic Typesetting" w:hAnsi="Arabic Typesetting" w:cs="Arabic Typesetting" w:hint="cs"/>
          <w:sz w:val="36"/>
          <w:szCs w:val="36"/>
          <w:rtl/>
          <w:lang w:bidi="ar-EG"/>
        </w:rPr>
        <w:t>الأمريكي</w:t>
      </w:r>
      <w:r>
        <w:rPr>
          <w:rFonts w:ascii="Arabic Typesetting" w:hAnsi="Arabic Typesetting" w:cs="Arabic Typesetting" w:hint="cs"/>
          <w:sz w:val="36"/>
          <w:szCs w:val="36"/>
          <w:rtl/>
          <w:lang w:bidi="ar-EG"/>
        </w:rPr>
        <w:t>ة القابلة للاسترداد من الحسابات الجارية إلى الحسابات غير الجارية (معاملات الصرف)؛</w:t>
      </w:r>
    </w:p>
    <w:p w14:paraId="6863871F" w14:textId="39D01497" w:rsidR="004F6A78" w:rsidRPr="00D9111F" w:rsidRDefault="004F6A78" w:rsidP="004F6A78">
      <w:pPr>
        <w:pStyle w:val="ListParagraph"/>
        <w:numPr>
          <w:ilvl w:val="0"/>
          <w:numId w:val="37"/>
        </w:num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في بيان الوضع المالي، أعيد تصنيف 0.1 مليون فرنك سويسري يتعلق ب</w:t>
      </w:r>
      <w:r w:rsidR="00EA0CD6">
        <w:rPr>
          <w:rFonts w:ascii="Arabic Typesetting" w:hAnsi="Arabic Typesetting" w:cs="Arabic Typesetting" w:hint="cs"/>
          <w:sz w:val="36"/>
          <w:szCs w:val="36"/>
          <w:rtl/>
          <w:lang w:bidi="ar-EG"/>
        </w:rPr>
        <w:t>مستحقات</w:t>
      </w:r>
      <w:r>
        <w:rPr>
          <w:rFonts w:ascii="Arabic Typesetting" w:hAnsi="Arabic Typesetting" w:cs="Arabic Typesetting" w:hint="cs"/>
          <w:sz w:val="36"/>
          <w:szCs w:val="36"/>
          <w:rtl/>
          <w:lang w:bidi="ar-EG"/>
        </w:rPr>
        <w:t xml:space="preserve"> </w:t>
      </w:r>
      <w:r w:rsidR="00311F61">
        <w:rPr>
          <w:rFonts w:ascii="Arabic Typesetting" w:hAnsi="Arabic Typesetting" w:cs="Arabic Typesetting" w:hint="cs"/>
          <w:sz w:val="36"/>
          <w:szCs w:val="36"/>
          <w:rtl/>
          <w:lang w:bidi="ar-EG"/>
        </w:rPr>
        <w:t>نهاية الخدمة</w:t>
      </w:r>
      <w:r>
        <w:rPr>
          <w:rFonts w:ascii="Arabic Typesetting" w:hAnsi="Arabic Typesetting" w:cs="Arabic Typesetting" w:hint="cs"/>
          <w:sz w:val="36"/>
          <w:szCs w:val="36"/>
          <w:rtl/>
          <w:lang w:bidi="ar-EG"/>
        </w:rPr>
        <w:t xml:space="preserve"> من حسابات المدفوعات (معاملات الصرف) إلى </w:t>
      </w:r>
      <w:r w:rsidR="00EA0CD6">
        <w:rPr>
          <w:rFonts w:ascii="Arabic Typesetting" w:hAnsi="Arabic Typesetting" w:cs="Arabic Typesetting" w:hint="cs"/>
          <w:sz w:val="36"/>
          <w:szCs w:val="36"/>
          <w:rtl/>
          <w:lang w:bidi="ar-EG"/>
        </w:rPr>
        <w:t>مستحقات</w:t>
      </w:r>
      <w:r>
        <w:rPr>
          <w:rFonts w:ascii="Arabic Typesetting" w:hAnsi="Arabic Typesetting" w:cs="Arabic Typesetting" w:hint="cs"/>
          <w:sz w:val="36"/>
          <w:szCs w:val="36"/>
          <w:rtl/>
          <w:lang w:bidi="ar-EG"/>
        </w:rPr>
        <w:t xml:space="preserve"> الموظفين).</w:t>
      </w:r>
    </w:p>
    <w:p w14:paraId="4A824882" w14:textId="77777777" w:rsidR="00E16243" w:rsidRDefault="00E16243" w:rsidP="00E16243">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الاستعانة ب</w:t>
      </w:r>
      <w:r w:rsidRPr="001C5721">
        <w:rPr>
          <w:rFonts w:ascii="Arabic Typesetting" w:hAnsi="Arabic Typesetting" w:cs="Arabic Typesetting" w:hint="cs"/>
          <w:b/>
          <w:bCs/>
          <w:sz w:val="36"/>
          <w:szCs w:val="36"/>
          <w:rtl/>
        </w:rPr>
        <w:t>التقديرات</w:t>
      </w:r>
    </w:p>
    <w:p w14:paraId="0324810A" w14:textId="36EB94C0" w:rsidR="00E16243" w:rsidRDefault="00E16243" w:rsidP="00E16243">
      <w:pPr>
        <w:pStyle w:val="NormalParaAR"/>
        <w:rPr>
          <w:rtl/>
        </w:rPr>
      </w:pPr>
      <w:r w:rsidRPr="001C5721">
        <w:rPr>
          <w:rFonts w:hint="cs"/>
          <w:rtl/>
        </w:rPr>
        <w:t xml:space="preserve">تحتوي البيانات المالية </w:t>
      </w:r>
      <w:r>
        <w:rPr>
          <w:rFonts w:hint="cs"/>
          <w:rtl/>
        </w:rPr>
        <w:t>بالضرورة على عدد من المبالغ المالية القائمة على التقديرات والافتراضات التي تضعها الإدارة. وتشمل التقديرات عددا من العناصر من بينها على سبيل المثال لا الحصر ما يلي: التزامات تتعلق بمستحقات التأمين الصحي المحددة وغيرها من مستحقات ما بعد الخدمة (التي يحسب قيمتها أكتواري مستقل) والمبالغ المخصصة للتقاضي وتقدير قيمة قوائم الموجودات من المنشورات والمخاطر المالية المتصلة بالحسابات المدينة والتكاليف المتراكمة ودرجة تلف الأصول الثابتة. وتكون النتائج الفعلية أحيانا</w:t>
      </w:r>
      <w:r w:rsidR="00AC3C42">
        <w:rPr>
          <w:rFonts w:hint="cs"/>
          <w:rtl/>
        </w:rPr>
        <w:t>ً</w:t>
      </w:r>
      <w:r>
        <w:rPr>
          <w:rFonts w:hint="cs"/>
          <w:rtl/>
        </w:rPr>
        <w:t xml:space="preserve"> مختلفة عن هذه التقديرات. وتقيد التغيرات في التقديرات خلال الفترة التي تصبح معروفة فيها.</w:t>
      </w:r>
    </w:p>
    <w:p w14:paraId="2A771FFF" w14:textId="4D2C8863" w:rsidR="00E16243" w:rsidRDefault="00E16243" w:rsidP="00AC3C42">
      <w:pPr>
        <w:pStyle w:val="NormalParaAR"/>
      </w:pPr>
      <w:r>
        <w:rPr>
          <w:rFonts w:hint="cs"/>
          <w:rtl/>
        </w:rPr>
        <w:t>وقد تقع بعض الفروق التقريبية الصغيرة نظرا</w:t>
      </w:r>
      <w:r w:rsidR="00AC3C42">
        <w:rPr>
          <w:rFonts w:hint="cs"/>
          <w:rtl/>
        </w:rPr>
        <w:t>ً</w:t>
      </w:r>
      <w:r>
        <w:rPr>
          <w:rFonts w:hint="cs"/>
          <w:rtl/>
        </w:rPr>
        <w:t xml:space="preserve"> </w:t>
      </w:r>
      <w:r w:rsidR="00AC3C42">
        <w:rPr>
          <w:rFonts w:hint="cs"/>
          <w:rtl/>
        </w:rPr>
        <w:t xml:space="preserve">إلى </w:t>
      </w:r>
      <w:r>
        <w:rPr>
          <w:rFonts w:hint="cs"/>
          <w:rtl/>
        </w:rPr>
        <w:t>عرض جميع الأرصدة بآلاف الفرنكات السويسرية.</w:t>
      </w:r>
    </w:p>
    <w:p w14:paraId="7768A6AE" w14:textId="683CFD3C" w:rsidR="00E16243" w:rsidRPr="00780749" w:rsidRDefault="00E16243" w:rsidP="0035596D">
      <w:pPr>
        <w:pStyle w:val="Heading2"/>
        <w:tabs>
          <w:tab w:val="left" w:pos="1417"/>
        </w:tabs>
        <w:bidi/>
        <w:rPr>
          <w:rFonts w:ascii="Arabic Typesetting" w:hAnsi="Arabic Typesetting" w:cs="Arabic Typesetting"/>
          <w:i/>
          <w:iCs w:val="0"/>
          <w:sz w:val="40"/>
          <w:szCs w:val="40"/>
          <w:rtl/>
        </w:rPr>
      </w:pPr>
      <w:bookmarkStart w:id="20" w:name="_Toc362519101"/>
      <w:r w:rsidRPr="00780749">
        <w:rPr>
          <w:rFonts w:ascii="Arabic Typesetting" w:hAnsi="Arabic Typesetting" w:cs="Arabic Typesetting" w:hint="cs"/>
          <w:i/>
          <w:iCs w:val="0"/>
          <w:sz w:val="40"/>
          <w:szCs w:val="40"/>
          <w:rtl/>
        </w:rPr>
        <w:lastRenderedPageBreak/>
        <w:t>الملاحظة 3:</w:t>
      </w:r>
      <w:r w:rsidR="0035596D">
        <w:rPr>
          <w:rFonts w:ascii="Arabic Typesetting" w:hAnsi="Arabic Typesetting" w:cs="Arabic Typesetting"/>
          <w:i/>
          <w:iCs w:val="0"/>
          <w:sz w:val="40"/>
          <w:szCs w:val="40"/>
        </w:rPr>
        <w:tab/>
      </w:r>
      <w:r w:rsidRPr="00780749">
        <w:rPr>
          <w:rFonts w:ascii="Arabic Typesetting" w:hAnsi="Arabic Typesetting" w:cs="Arabic Typesetting" w:hint="cs"/>
          <w:i/>
          <w:iCs w:val="0"/>
          <w:sz w:val="40"/>
          <w:szCs w:val="40"/>
          <w:rtl/>
        </w:rPr>
        <w:t>السيولة وما يعادلها</w:t>
      </w:r>
      <w:bookmarkEnd w:id="20"/>
    </w:p>
    <w:p w14:paraId="04CF4F6F" w14:textId="1178A728" w:rsidR="00780749" w:rsidRDefault="00BB7B39" w:rsidP="00780749">
      <w:pPr>
        <w:pStyle w:val="NormalParaAR"/>
        <w:spacing w:before="240" w:line="240" w:lineRule="auto"/>
        <w:jc w:val="center"/>
        <w:rPr>
          <w:rtl/>
        </w:rPr>
      </w:pPr>
      <w:r w:rsidRPr="00BB7B39">
        <w:rPr>
          <w:noProof/>
          <w:rtl/>
        </w:rPr>
        <w:drawing>
          <wp:inline distT="0" distB="0" distL="0" distR="0" wp14:anchorId="590766A0" wp14:editId="6D43D942">
            <wp:extent cx="5935107" cy="361370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40425" cy="3616947"/>
                    </a:xfrm>
                    <a:prstGeom prst="rect">
                      <a:avLst/>
                    </a:prstGeom>
                    <a:noFill/>
                    <a:ln>
                      <a:noFill/>
                    </a:ln>
                  </pic:spPr>
                </pic:pic>
              </a:graphicData>
            </a:graphic>
          </wp:inline>
        </w:drawing>
      </w:r>
    </w:p>
    <w:p w14:paraId="2027104C" w14:textId="40792524" w:rsidR="00E16243" w:rsidRDefault="00E16243" w:rsidP="004F6A78">
      <w:pPr>
        <w:pStyle w:val="NormalParaAR"/>
        <w:spacing w:before="240"/>
        <w:rPr>
          <w:rtl/>
        </w:rPr>
      </w:pPr>
      <w:r>
        <w:rPr>
          <w:rFonts w:hint="cs"/>
          <w:rtl/>
        </w:rPr>
        <w:t>تحفظ الودائع النقدية عموما</w:t>
      </w:r>
      <w:r w:rsidR="00AC3C42">
        <w:rPr>
          <w:rFonts w:hint="cs"/>
          <w:rtl/>
        </w:rPr>
        <w:t>ً</w:t>
      </w:r>
      <w:r>
        <w:rPr>
          <w:rFonts w:hint="cs"/>
          <w:rtl/>
        </w:rPr>
        <w:t xml:space="preserve"> في حسابات بنكية بنفاذ مباشر وحسابات بالفائدة. وبلغت أسعار الفائدة المحققة في المتوسط من الحسابات بالفائدة والاستثمارات المحفوظة لدى </w:t>
      </w:r>
      <w:r w:rsidR="004F6A78">
        <w:rPr>
          <w:rFonts w:hint="cs"/>
          <w:rtl/>
        </w:rPr>
        <w:t>الإدارة المالية الاتحادية السويسرية 0.421 بالمئة في عام 2014 [0.558 بالمئة في عام 2013]. وبعد تنفيذ الأحكام الجديدة للإدارة المالية الاتحادية السويسرية الخاصة بفتح حسابات إيداع والحفاظ عليها، لن تتمكن الويبو من إبقاء إيداعاتها لدى هذه الإدارة اعتباراً من نهاية عام 2015.</w:t>
      </w:r>
    </w:p>
    <w:p w14:paraId="15A8E537" w14:textId="5EB97D9F" w:rsidR="00E16243" w:rsidRDefault="00E16243" w:rsidP="00664297">
      <w:pPr>
        <w:pStyle w:val="NormalParaAR"/>
        <w:rPr>
          <w:rtl/>
        </w:rPr>
      </w:pPr>
      <w:r>
        <w:rPr>
          <w:rFonts w:hint="cs"/>
          <w:rtl/>
        </w:rPr>
        <w:t xml:space="preserve">والأموال المقيدة تشمل أموال الغير بالفرنك السويسري الممسوكة لأغراض تسجيل العلامات التجارية أو الرسوم والنماذج الصناعية والاشتراك في دوريات الويبو وغير ذلك. وتشمل أيضا الرسوم المحصلة نيابةً عن الأطراف المتعاقدة بموجب اتفاق مدريد وبروتوكوله واتفاق لاهاي ونيابةً عن إدارات البحث الدولي في إطار معاهدة التعاون بشأن البراءات من قبل المكتب الدولي للويبو العامل كمكتب لتسلم الطلبات. </w:t>
      </w:r>
      <w:r w:rsidR="00311F61">
        <w:rPr>
          <w:rFonts w:hint="cs"/>
          <w:rtl/>
        </w:rPr>
        <w:t>وإضافة إلى ذلك</w:t>
      </w:r>
      <w:r>
        <w:rPr>
          <w:rFonts w:hint="cs"/>
          <w:rtl/>
        </w:rPr>
        <w:t>، تمثل الودائع المستلمة في إطار الإجراءات الجارية بشأن العلامات التجارية، خلاف القسط منها الذي يقدر كمبالغ استلمتها المنظمة قبل استحقاقها، أموالاً محصلة نيابةً عن الغ</w:t>
      </w:r>
      <w:r w:rsidR="00104AEA">
        <w:rPr>
          <w:rFonts w:hint="cs"/>
          <w:rtl/>
        </w:rPr>
        <w:t>ير وتعتبر كأموال محدودة النفاذ.</w:t>
      </w:r>
    </w:p>
    <w:p w14:paraId="734E48D0" w14:textId="791761F7" w:rsidR="004F6A78" w:rsidRPr="004F6A78" w:rsidRDefault="004F6A78" w:rsidP="0014045C">
      <w:pPr>
        <w:pStyle w:val="NumberedParaAR"/>
        <w:numPr>
          <w:ilvl w:val="0"/>
          <w:numId w:val="0"/>
        </w:numPr>
      </w:pPr>
      <w:r w:rsidRPr="004F6A78">
        <w:rPr>
          <w:rFonts w:hint="cs"/>
          <w:rtl/>
        </w:rPr>
        <w:t xml:space="preserve">وخلال عام 2014، أجرت المنظمة تحويلاً مالياً قدره 85.2 مليون فرنك سويسري إلى حساب مصرفي مستقل أنشئ لحفظ الأموال المخصصة لتمويل </w:t>
      </w:r>
      <w:r w:rsidR="00EA0CD6">
        <w:rPr>
          <w:rFonts w:hint="cs"/>
          <w:rtl/>
        </w:rPr>
        <w:t>مستحقات</w:t>
      </w:r>
      <w:r w:rsidRPr="004F6A78">
        <w:rPr>
          <w:rFonts w:hint="cs"/>
          <w:rtl/>
        </w:rPr>
        <w:t xml:space="preserve"> الموظفين في فترة ما بعد الخدمة في المستقبل. ويصنَّف رصيد هذا الحساب في 31 ديسمبر 2014 كأموال مقيدة.</w:t>
      </w:r>
    </w:p>
    <w:p w14:paraId="0B6E2BE7" w14:textId="692835B1" w:rsidR="00E16243" w:rsidRDefault="00E16243" w:rsidP="004F6A78">
      <w:pPr>
        <w:pStyle w:val="NormalParaAR"/>
        <w:rPr>
          <w:rtl/>
        </w:rPr>
      </w:pPr>
      <w:r w:rsidRPr="00BD5EF8">
        <w:rPr>
          <w:rFonts w:hint="cs"/>
          <w:rtl/>
        </w:rPr>
        <w:t xml:space="preserve">وأما الحسابات الخاصة التي تمسكها المنظمة </w:t>
      </w:r>
      <w:r>
        <w:rPr>
          <w:rFonts w:hint="cs"/>
          <w:rtl/>
        </w:rPr>
        <w:t>نيابةً عن</w:t>
      </w:r>
      <w:r w:rsidRPr="00BD5EF8">
        <w:rPr>
          <w:rFonts w:hint="cs"/>
          <w:rtl/>
        </w:rPr>
        <w:t xml:space="preserve"> المتبرعين ب</w:t>
      </w:r>
      <w:r w:rsidR="00FD2528">
        <w:rPr>
          <w:rFonts w:hint="cs"/>
          <w:rtl/>
        </w:rPr>
        <w:t>المساهمات</w:t>
      </w:r>
      <w:r w:rsidRPr="00BD5EF8">
        <w:rPr>
          <w:rFonts w:hint="cs"/>
          <w:rtl/>
        </w:rPr>
        <w:t xml:space="preserve"> الطوعية فتودع بالعملة التي ستقيد بها النفقات المعنية، بالاستناد إلى الاتفاقات مع المانحين.</w:t>
      </w:r>
    </w:p>
    <w:p w14:paraId="1C96E3E2" w14:textId="77777777" w:rsidR="00E16243" w:rsidRDefault="00E16243" w:rsidP="0035596D">
      <w:pPr>
        <w:pStyle w:val="Heading2"/>
        <w:tabs>
          <w:tab w:val="left" w:pos="1417"/>
        </w:tabs>
        <w:bidi/>
        <w:rPr>
          <w:rFonts w:ascii="Arabic Typesetting" w:hAnsi="Arabic Typesetting" w:cs="Arabic Typesetting"/>
          <w:i/>
          <w:iCs w:val="0"/>
          <w:sz w:val="40"/>
          <w:szCs w:val="40"/>
          <w:rtl/>
        </w:rPr>
      </w:pPr>
      <w:bookmarkStart w:id="21" w:name="_Toc362519102"/>
      <w:r w:rsidRPr="00780749">
        <w:rPr>
          <w:rFonts w:ascii="Arabic Typesetting" w:hAnsi="Arabic Typesetting" w:cs="Arabic Typesetting" w:hint="cs"/>
          <w:i/>
          <w:iCs w:val="0"/>
          <w:sz w:val="40"/>
          <w:szCs w:val="40"/>
          <w:rtl/>
        </w:rPr>
        <w:lastRenderedPageBreak/>
        <w:t>الملاحظة 4:</w:t>
      </w:r>
      <w:r w:rsidR="0035596D">
        <w:rPr>
          <w:rFonts w:ascii="Arabic Typesetting" w:hAnsi="Arabic Typesetting" w:cs="Arabic Typesetting"/>
          <w:sz w:val="40"/>
          <w:szCs w:val="40"/>
        </w:rPr>
        <w:tab/>
      </w:r>
      <w:r w:rsidRPr="00780749">
        <w:rPr>
          <w:rFonts w:ascii="Arabic Typesetting" w:hAnsi="Arabic Typesetting" w:cs="Arabic Typesetting" w:hint="cs"/>
          <w:i/>
          <w:iCs w:val="0"/>
          <w:sz w:val="40"/>
          <w:szCs w:val="40"/>
          <w:rtl/>
        </w:rPr>
        <w:t>الحسابات</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المدينة</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والمبالغ</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المدفوعة</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مقدّما</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والمبالغ</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المدفوعة</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قبل</w:t>
      </w:r>
      <w:r w:rsidRPr="00780749">
        <w:rPr>
          <w:rFonts w:ascii="Arabic Typesetting" w:hAnsi="Arabic Typesetting" w:cs="Arabic Typesetting"/>
          <w:i/>
          <w:iCs w:val="0"/>
          <w:sz w:val="40"/>
          <w:szCs w:val="40"/>
        </w:rPr>
        <w:t xml:space="preserve"> </w:t>
      </w:r>
      <w:r w:rsidRPr="00780749">
        <w:rPr>
          <w:rFonts w:ascii="Arabic Typesetting" w:hAnsi="Arabic Typesetting" w:cs="Arabic Typesetting" w:hint="cs"/>
          <w:i/>
          <w:iCs w:val="0"/>
          <w:sz w:val="40"/>
          <w:szCs w:val="40"/>
          <w:rtl/>
        </w:rPr>
        <w:t>استحقاقها</w:t>
      </w:r>
      <w:bookmarkEnd w:id="21"/>
    </w:p>
    <w:p w14:paraId="63B119F5" w14:textId="17B990CA" w:rsidR="00C430F9" w:rsidRPr="00C430F9" w:rsidRDefault="009A1CD3" w:rsidP="00C430F9">
      <w:pPr>
        <w:pStyle w:val="NormalParaAR"/>
        <w:spacing w:line="240" w:lineRule="auto"/>
        <w:rPr>
          <w:rtl/>
        </w:rPr>
      </w:pPr>
      <w:r w:rsidRPr="009A1CD3">
        <w:rPr>
          <w:noProof/>
          <w:rtl/>
        </w:rPr>
        <w:drawing>
          <wp:inline distT="0" distB="0" distL="0" distR="0" wp14:anchorId="317F0040" wp14:editId="01DD144F">
            <wp:extent cx="5940425" cy="642709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40425" cy="6427096"/>
                    </a:xfrm>
                    <a:prstGeom prst="rect">
                      <a:avLst/>
                    </a:prstGeom>
                    <a:noFill/>
                    <a:ln>
                      <a:noFill/>
                    </a:ln>
                  </pic:spPr>
                </pic:pic>
              </a:graphicData>
            </a:graphic>
          </wp:inline>
        </w:drawing>
      </w:r>
    </w:p>
    <w:p w14:paraId="1C3DC970" w14:textId="0292B47E" w:rsidR="00E16243" w:rsidRDefault="00E16243" w:rsidP="00525C9F">
      <w:pPr>
        <w:pStyle w:val="NormalParaAR"/>
        <w:spacing w:before="240"/>
        <w:rPr>
          <w:rtl/>
        </w:rPr>
      </w:pPr>
      <w:r>
        <w:rPr>
          <w:rFonts w:hint="cs"/>
          <w:rtl/>
        </w:rPr>
        <w:t xml:space="preserve">تمثل الاشتراكات المقررة إيرادات غير محصّلة تتصل بنظام الويبو أحادي الاشتراكات الذي وافقت عليه جمعيات الدول الأعضاء في الويبو والاتحادات التي تديرها الويبو. وتحدّد الجمعيات قيمة وحدة الاشتراك بالفرنك السويسري عند إعداد الميزانية للفترة المالية التي تدوم سنتين. وتقسم الاشتراكات إلى فئات وعلى كل فئة أن تساهم بعدد محدد من وحدات الاشتراك. وتترك للدول الأعضاء حرية اختيار الفئة التي تحدد </w:t>
      </w:r>
      <w:r w:rsidR="00FD2528">
        <w:rPr>
          <w:rFonts w:hint="cs"/>
          <w:rtl/>
        </w:rPr>
        <w:t xml:space="preserve">أساس </w:t>
      </w:r>
      <w:r>
        <w:rPr>
          <w:rFonts w:hint="cs"/>
          <w:rtl/>
        </w:rPr>
        <w:t>اشتراكها، فيما عدا البلدان النامية التي تنتمي تلقائ</w:t>
      </w:r>
      <w:r w:rsidR="004F6A78">
        <w:rPr>
          <w:rFonts w:hint="cs"/>
          <w:rtl/>
        </w:rPr>
        <w:t>يا</w:t>
      </w:r>
      <w:r w:rsidR="00AC3C42">
        <w:rPr>
          <w:rFonts w:hint="cs"/>
          <w:rtl/>
        </w:rPr>
        <w:t>ً</w:t>
      </w:r>
      <w:r w:rsidR="004F6A78">
        <w:rPr>
          <w:rFonts w:hint="cs"/>
          <w:rtl/>
        </w:rPr>
        <w:t xml:space="preserve"> إلى واحدة من فئات ثلاث خاصة.</w:t>
      </w:r>
    </w:p>
    <w:p w14:paraId="167AB589" w14:textId="5122F427" w:rsidR="00E16243" w:rsidRDefault="00E16243" w:rsidP="004F6A78">
      <w:pPr>
        <w:pStyle w:val="NormalParaAR"/>
        <w:rPr>
          <w:rtl/>
        </w:rPr>
      </w:pPr>
      <w:r>
        <w:rPr>
          <w:rFonts w:hint="cs"/>
          <w:rtl/>
        </w:rPr>
        <w:t>وقد خصص بدل يقابل قيمة الأموال المدينة المستحقة من الاشتراكات المقررة وإسهامات صناديق رؤوس الأموال العاملة المستحقة من الاتحادات والمتعلقة بفترات تسبق بدء العمل ب</w:t>
      </w:r>
      <w:r w:rsidRPr="00B14650">
        <w:rPr>
          <w:rtl/>
        </w:rPr>
        <w:t>النظام أحادي الاشتراكات</w:t>
      </w:r>
      <w:r>
        <w:rPr>
          <w:rFonts w:hint="cs"/>
          <w:rtl/>
        </w:rPr>
        <w:t xml:space="preserve"> في سنة 1994. ويغطي هذا البدل مبالغ مستحقة من الدول الأعضاء التي فقدت حق التصويت بموجب الفقرة 5 من المادة 11 من اتفاقية الويبو واشتراكات </w:t>
      </w:r>
      <w:r>
        <w:rPr>
          <w:rFonts w:hint="cs"/>
          <w:rtl/>
        </w:rPr>
        <w:lastRenderedPageBreak/>
        <w:t>البلدان الأقل نموا</w:t>
      </w:r>
      <w:r w:rsidR="00AC3C42">
        <w:rPr>
          <w:rFonts w:hint="cs"/>
          <w:rtl/>
        </w:rPr>
        <w:t>ً</w:t>
      </w:r>
      <w:r>
        <w:rPr>
          <w:rFonts w:hint="cs"/>
          <w:rtl/>
        </w:rPr>
        <w:t xml:space="preserve"> التي جمدت بقرار من الجمعيات.</w:t>
      </w:r>
      <w:r w:rsidR="004F6A78">
        <w:rPr>
          <w:rFonts w:hint="cs"/>
          <w:rtl/>
        </w:rPr>
        <w:t xml:space="preserve"> وإن إجمالي البدلات في 31 ديسمبر 2014 قد بلغ 6.8 مليون فرنك سويسري [7.1 مليون فرنك سويسري في 31 ديسمبر 2013].</w:t>
      </w:r>
    </w:p>
    <w:p w14:paraId="627A64AD" w14:textId="316F54DA" w:rsidR="004F6A78" w:rsidRPr="00B14650" w:rsidRDefault="004F6A78" w:rsidP="00CC1C09">
      <w:pPr>
        <w:pStyle w:val="NormalParaAR"/>
        <w:rPr>
          <w:rtl/>
        </w:rPr>
      </w:pPr>
      <w:r>
        <w:rPr>
          <w:rFonts w:hint="cs"/>
          <w:rtl/>
          <w:lang w:bidi="ar-EG"/>
        </w:rPr>
        <w:t>تمثل ا</w:t>
      </w:r>
      <w:r>
        <w:rPr>
          <w:rFonts w:hint="cs"/>
          <w:rtl/>
        </w:rPr>
        <w:t xml:space="preserve">لحسابات المدينة لنظام معاهدة التعاون بشأن البراءات رسوم الإيداع الدولي غير المسددة عن طلبات البراءات المودعة قبل تاريخ </w:t>
      </w:r>
      <w:r w:rsidR="00CC1C09">
        <w:rPr>
          <w:rFonts w:hint="cs"/>
          <w:rtl/>
        </w:rPr>
        <w:t>صدور</w:t>
      </w:r>
      <w:r>
        <w:rPr>
          <w:rFonts w:hint="cs"/>
          <w:rtl/>
        </w:rPr>
        <w:t xml:space="preserve"> التقرير. </w:t>
      </w:r>
      <w:r w:rsidR="00CC1C09" w:rsidRPr="00CC1C09">
        <w:rPr>
          <w:rtl/>
        </w:rPr>
        <w:t>وتشمل المبلغ المقدر للرسوم المفروضة على طلبات البراءات الدولية التي استلمتها مكاتب تسلّم الطلبات الوطنية قبل تاريخ صدور التقرير المالي ولم تحيلها إلى المكتب الدولي لنظام المعاهدة بحلول تاريخ صدور التقرير المالي.</w:t>
      </w:r>
    </w:p>
    <w:p w14:paraId="7C930921" w14:textId="33E2534A" w:rsidR="00E16243" w:rsidRDefault="00E16243" w:rsidP="00CC1C09">
      <w:pPr>
        <w:pStyle w:val="NormalParaAR"/>
        <w:rPr>
          <w:rtl/>
        </w:rPr>
      </w:pPr>
      <w:r>
        <w:rPr>
          <w:rFonts w:hint="cs"/>
          <w:rtl/>
        </w:rPr>
        <w:t xml:space="preserve">ويحق للموظفين المعينين دوليا، خلاف الموظفين الذين يعيشون في أوطانهم، الحصول على منحة تغطي تكاليف تعليم الأبناء المعالين بنسبة </w:t>
      </w:r>
      <w:r w:rsidR="00CC1C09">
        <w:rPr>
          <w:rFonts w:hint="cs"/>
          <w:rtl/>
        </w:rPr>
        <w:t>75.0</w:t>
      </w:r>
      <w:r>
        <w:rPr>
          <w:rFonts w:hint="cs"/>
          <w:rtl/>
        </w:rPr>
        <w:t xml:space="preserve"> </w:t>
      </w:r>
      <w:r w:rsidR="00257637">
        <w:rPr>
          <w:rFonts w:hint="cs"/>
          <w:rtl/>
        </w:rPr>
        <w:t>بالمئة</w:t>
      </w:r>
      <w:r>
        <w:rPr>
          <w:rFonts w:hint="cs"/>
          <w:rtl/>
        </w:rPr>
        <w:t xml:space="preserve"> إلى حين </w:t>
      </w:r>
      <w:r w:rsidR="00CC1C09">
        <w:rPr>
          <w:rFonts w:hint="cs"/>
          <w:rtl/>
        </w:rPr>
        <w:t xml:space="preserve">السنة الرابعة من الدراسات بعد المرحلة الثانوية على ألا يتجاوز ذلك </w:t>
      </w:r>
      <w:r>
        <w:rPr>
          <w:rFonts w:hint="cs"/>
          <w:rtl/>
        </w:rPr>
        <w:t>انتهاء السنة الدراسية التي يبلغ فيها الابن أو الابنة سن 25 سنة. وتحدد مبالغ قصوى للمنح لكل بلد. ويحق للموظفين الدوليين الحصول على مبلغ مدفوع مقدما</w:t>
      </w:r>
      <w:r w:rsidR="00AC3C42">
        <w:rPr>
          <w:rFonts w:hint="cs"/>
          <w:rtl/>
        </w:rPr>
        <w:t>ً</w:t>
      </w:r>
      <w:r>
        <w:rPr>
          <w:rFonts w:hint="cs"/>
          <w:rtl/>
        </w:rPr>
        <w:t xml:space="preserve"> يساوي المبلغ المقدر لمنحة التعليم لكل ابن في بداية السنة الدراسية. وتمثل المبالغ المدفوعة مقدما</w:t>
      </w:r>
      <w:r w:rsidR="00AC3C42">
        <w:rPr>
          <w:rFonts w:hint="cs"/>
          <w:rtl/>
        </w:rPr>
        <w:t>ً</w:t>
      </w:r>
      <w:r>
        <w:rPr>
          <w:rFonts w:hint="cs"/>
          <w:rtl/>
        </w:rPr>
        <w:t xml:space="preserve"> للموظفين </w:t>
      </w:r>
      <w:r w:rsidR="00173961">
        <w:rPr>
          <w:rFonts w:hint="cs"/>
          <w:rtl/>
        </w:rPr>
        <w:t xml:space="preserve">مجموع </w:t>
      </w:r>
      <w:r>
        <w:rPr>
          <w:rFonts w:hint="cs"/>
          <w:rtl/>
        </w:rPr>
        <w:t>المنح المدفوعة مقدما</w:t>
      </w:r>
      <w:r w:rsidR="00AC3C42">
        <w:rPr>
          <w:rFonts w:hint="cs"/>
          <w:rtl/>
        </w:rPr>
        <w:t>ً</w:t>
      </w:r>
      <w:r>
        <w:rPr>
          <w:rFonts w:hint="cs"/>
          <w:rtl/>
        </w:rPr>
        <w:t xml:space="preserve"> للسنة الدراسية</w:t>
      </w:r>
      <w:r w:rsidR="00AC3C42">
        <w:rPr>
          <w:rFonts w:hint="cs"/>
          <w:rtl/>
        </w:rPr>
        <w:t xml:space="preserve"> </w:t>
      </w:r>
      <w:r w:rsidR="00CC1C09">
        <w:rPr>
          <w:rFonts w:hint="cs"/>
          <w:rtl/>
        </w:rPr>
        <w:t>2014-2015</w:t>
      </w:r>
      <w:r>
        <w:rPr>
          <w:rFonts w:hint="cs"/>
          <w:rtl/>
        </w:rPr>
        <w:t>.</w:t>
      </w:r>
    </w:p>
    <w:p w14:paraId="2FD23851" w14:textId="0CA21DDF" w:rsidR="00E16243" w:rsidRDefault="00E16243" w:rsidP="00CC1C09">
      <w:pPr>
        <w:pStyle w:val="NormalParaAR"/>
        <w:rPr>
          <w:rtl/>
        </w:rPr>
      </w:pPr>
      <w:r>
        <w:rPr>
          <w:rFonts w:hint="cs"/>
          <w:rtl/>
        </w:rPr>
        <w:t>وتستعمل الأموال المدفوعة مقدما</w:t>
      </w:r>
      <w:r w:rsidR="00AC3C42">
        <w:rPr>
          <w:rFonts w:hint="cs"/>
          <w:rtl/>
        </w:rPr>
        <w:t>ً</w:t>
      </w:r>
      <w:r>
        <w:rPr>
          <w:rFonts w:hint="cs"/>
          <w:rtl/>
        </w:rPr>
        <w:t xml:space="preserve"> إلى برنامج الأمم المتحدة الإنمائي للدفع بالنيابة عن المنظمة. ويشمل المبلغ المدين الإجمالي المبين المبالغ الخاصة بطلبات الدفع المقدمة إلى البرنامج التي لم تستلم الموافقة عليها بعد أو التي لا تزال الموافقة عليها قيد البحث. وتمثل </w:t>
      </w:r>
      <w:r w:rsidR="00CC1C09">
        <w:rPr>
          <w:rFonts w:hint="cs"/>
          <w:rtl/>
        </w:rPr>
        <w:t>النفقات القابلة للاسترداد</w:t>
      </w:r>
      <w:r>
        <w:rPr>
          <w:rFonts w:hint="cs"/>
          <w:rtl/>
        </w:rPr>
        <w:t xml:space="preserve"> </w:t>
      </w:r>
      <w:r w:rsidR="00CC1C09">
        <w:rPr>
          <w:rFonts w:hint="cs"/>
          <w:rtl/>
        </w:rPr>
        <w:t>ل</w:t>
      </w:r>
      <w:r>
        <w:rPr>
          <w:rFonts w:hint="cs"/>
          <w:rtl/>
        </w:rPr>
        <w:t>لاتحاد الدولي لحماية الأصناف النباتية الجديدة (الأوبوف) مبالغ تدفعها المنظمة بالنيابة عن الأوبوف ولم تسدد لها بعد.</w:t>
      </w:r>
    </w:p>
    <w:p w14:paraId="2EC742AF" w14:textId="42609B46" w:rsidR="00E16243" w:rsidRDefault="00E16243" w:rsidP="00CC1C09">
      <w:pPr>
        <w:pStyle w:val="NormalParaAR"/>
        <w:rPr>
          <w:rtl/>
        </w:rPr>
      </w:pPr>
      <w:r>
        <w:rPr>
          <w:rFonts w:hint="cs"/>
          <w:rtl/>
        </w:rPr>
        <w:t xml:space="preserve">وتمثل الحسابات المدينة من ضرائب الولايات المتحدة </w:t>
      </w:r>
      <w:r w:rsidR="00FD2528">
        <w:rPr>
          <w:rFonts w:hint="cs"/>
          <w:rtl/>
        </w:rPr>
        <w:t>الأمريكي</w:t>
      </w:r>
      <w:r>
        <w:rPr>
          <w:rFonts w:hint="cs"/>
          <w:rtl/>
        </w:rPr>
        <w:t>ة مبالغ مدفوعة مقدما</w:t>
      </w:r>
      <w:r w:rsidR="00AC3C42">
        <w:rPr>
          <w:rFonts w:hint="cs"/>
          <w:rtl/>
        </w:rPr>
        <w:t>ً</w:t>
      </w:r>
      <w:r>
        <w:rPr>
          <w:rFonts w:hint="cs"/>
          <w:rtl/>
        </w:rPr>
        <w:t xml:space="preserve"> إلى الموظفين لتعويضهم عن الضرائب على الدخل التي يدفعونها للولايات المتحدة </w:t>
      </w:r>
      <w:r w:rsidR="00FD2528">
        <w:rPr>
          <w:rFonts w:hint="cs"/>
          <w:rtl/>
        </w:rPr>
        <w:t>الأمريكي</w:t>
      </w:r>
      <w:r>
        <w:rPr>
          <w:rFonts w:hint="cs"/>
          <w:rtl/>
        </w:rPr>
        <w:t xml:space="preserve">ة. وبناء على اتفاقات مبرمة بين المنظمة والولايات المتحدة </w:t>
      </w:r>
      <w:r w:rsidR="00FD2528">
        <w:rPr>
          <w:rFonts w:hint="cs"/>
          <w:rtl/>
        </w:rPr>
        <w:t>الأمريكي</w:t>
      </w:r>
      <w:r>
        <w:rPr>
          <w:rFonts w:hint="cs"/>
          <w:rtl/>
        </w:rPr>
        <w:t xml:space="preserve">ة، تردّ هذه المبالغ إلى المنظمة. </w:t>
      </w:r>
      <w:r w:rsidR="00CC1C09">
        <w:rPr>
          <w:rFonts w:hint="cs"/>
          <w:rtl/>
        </w:rPr>
        <w:t xml:space="preserve">وتقاس الضرائب </w:t>
      </w:r>
      <w:r w:rsidR="00FD2528">
        <w:rPr>
          <w:rFonts w:hint="cs"/>
          <w:rtl/>
        </w:rPr>
        <w:t>الأمريكي</w:t>
      </w:r>
      <w:r w:rsidR="00CC1C09">
        <w:rPr>
          <w:rFonts w:hint="cs"/>
          <w:rtl/>
        </w:rPr>
        <w:t xml:space="preserve">ة المستردة بحسب تكلفتها الاستهلاكية التي تُحسب بناء على أنماط الدفع السابقة. </w:t>
      </w:r>
      <w:r>
        <w:rPr>
          <w:rFonts w:hint="cs"/>
          <w:rtl/>
        </w:rPr>
        <w:t>وتشمل الضرائب السويسرية المستردّة المدفوعات الخاصة بضريبة القيمة المضافة وضريبة الدمغة والضريبة الفيدرالية السويسرية المقتطعة من المنبع التي يحق للمنظمة استردادها بناء على اتفاق المقر الذي أبرمته مع حكومة سويسرا.</w:t>
      </w:r>
    </w:p>
    <w:p w14:paraId="2D560373" w14:textId="77777777" w:rsidR="00E16243" w:rsidRDefault="00E16243" w:rsidP="0035596D">
      <w:pPr>
        <w:pStyle w:val="Heading2"/>
        <w:tabs>
          <w:tab w:val="left" w:pos="1417"/>
        </w:tabs>
        <w:bidi/>
        <w:rPr>
          <w:rFonts w:ascii="Arabic Typesetting" w:hAnsi="Arabic Typesetting" w:cs="Arabic Typesetting"/>
          <w:i/>
          <w:iCs w:val="0"/>
          <w:sz w:val="40"/>
          <w:szCs w:val="40"/>
          <w:rtl/>
        </w:rPr>
      </w:pPr>
      <w:bookmarkStart w:id="22" w:name="_Toc362519103"/>
      <w:r w:rsidRPr="00780749">
        <w:rPr>
          <w:rFonts w:ascii="Arabic Typesetting" w:hAnsi="Arabic Typesetting" w:cs="Arabic Typesetting" w:hint="cs"/>
          <w:i/>
          <w:iCs w:val="0"/>
          <w:sz w:val="40"/>
          <w:szCs w:val="40"/>
          <w:rtl/>
        </w:rPr>
        <w:t>الملاحظة 5:</w:t>
      </w:r>
      <w:r w:rsidR="0035596D">
        <w:rPr>
          <w:rFonts w:ascii="Arabic Typesetting" w:hAnsi="Arabic Typesetting" w:cs="Arabic Typesetting"/>
          <w:i/>
          <w:iCs w:val="0"/>
          <w:sz w:val="40"/>
          <w:szCs w:val="40"/>
        </w:rPr>
        <w:tab/>
      </w:r>
      <w:r w:rsidRPr="00780749">
        <w:rPr>
          <w:rFonts w:ascii="Arabic Typesetting" w:hAnsi="Arabic Typesetting" w:cs="Arabic Typesetting" w:hint="cs"/>
          <w:i/>
          <w:iCs w:val="0"/>
          <w:sz w:val="40"/>
          <w:szCs w:val="40"/>
          <w:rtl/>
        </w:rPr>
        <w:t>قوائم الموجودات</w:t>
      </w:r>
      <w:bookmarkEnd w:id="22"/>
    </w:p>
    <w:p w14:paraId="57CF1E61" w14:textId="1D683A2E" w:rsidR="00C430F9" w:rsidRPr="00C430F9" w:rsidRDefault="003D0A1E" w:rsidP="003D0A1E">
      <w:pPr>
        <w:pStyle w:val="NormalParaAR"/>
        <w:spacing w:line="240" w:lineRule="auto"/>
        <w:jc w:val="center"/>
        <w:rPr>
          <w:rtl/>
        </w:rPr>
      </w:pPr>
      <w:r w:rsidRPr="003D0A1E">
        <w:rPr>
          <w:noProof/>
          <w:rtl/>
        </w:rPr>
        <w:drawing>
          <wp:inline distT="0" distB="0" distL="0" distR="0" wp14:anchorId="3BC898D4" wp14:editId="79DFE52F">
            <wp:extent cx="5746750" cy="1187450"/>
            <wp:effectExtent l="0" t="0" r="635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46750" cy="1187450"/>
                    </a:xfrm>
                    <a:prstGeom prst="rect">
                      <a:avLst/>
                    </a:prstGeom>
                    <a:noFill/>
                    <a:ln>
                      <a:noFill/>
                    </a:ln>
                  </pic:spPr>
                </pic:pic>
              </a:graphicData>
            </a:graphic>
          </wp:inline>
        </w:drawing>
      </w:r>
    </w:p>
    <w:p w14:paraId="3FCD53A4" w14:textId="625735AD" w:rsidR="00E16243" w:rsidRDefault="00E16243" w:rsidP="00AC3C42">
      <w:pPr>
        <w:pStyle w:val="NormalParaAR"/>
      </w:pPr>
      <w:r>
        <w:rPr>
          <w:rFonts w:hint="cs"/>
          <w:rtl/>
        </w:rPr>
        <w:t xml:space="preserve">خفضت قيمة المنشورات الكاملة إلى القيمة الصافية القابلة للتحقيق وقدرها </w:t>
      </w:r>
      <w:r w:rsidR="00910E6B">
        <w:rPr>
          <w:rFonts w:hint="cs"/>
          <w:rtl/>
        </w:rPr>
        <w:t>0</w:t>
      </w:r>
      <w:r w:rsidR="00AC3C42">
        <w:rPr>
          <w:rFonts w:hint="cs"/>
          <w:rtl/>
        </w:rPr>
        <w:t>.</w:t>
      </w:r>
      <w:r w:rsidR="00CC1C09">
        <w:rPr>
          <w:rFonts w:hint="cs"/>
          <w:rtl/>
        </w:rPr>
        <w:t>1</w:t>
      </w:r>
      <w:r>
        <w:rPr>
          <w:rFonts w:hint="cs"/>
          <w:rtl/>
        </w:rPr>
        <w:t xml:space="preserve"> مليون فرنك سويسري (</w:t>
      </w:r>
      <w:r w:rsidR="00910E6B">
        <w:rPr>
          <w:rFonts w:hint="cs"/>
          <w:rtl/>
        </w:rPr>
        <w:t>0</w:t>
      </w:r>
      <w:r w:rsidR="00AC3C42">
        <w:rPr>
          <w:rFonts w:hint="cs"/>
          <w:rtl/>
        </w:rPr>
        <w:t>.</w:t>
      </w:r>
      <w:r w:rsidR="00910E6B">
        <w:rPr>
          <w:rFonts w:hint="cs"/>
          <w:rtl/>
        </w:rPr>
        <w:t>2</w:t>
      </w:r>
      <w:r>
        <w:rPr>
          <w:rFonts w:hint="cs"/>
          <w:rtl/>
        </w:rPr>
        <w:t xml:space="preserve"> مليون فرنك سويسري في سنة </w:t>
      </w:r>
      <w:r w:rsidR="00CC1C09">
        <w:rPr>
          <w:rFonts w:hint="cs"/>
          <w:rtl/>
        </w:rPr>
        <w:t>2013</w:t>
      </w:r>
      <w:r>
        <w:rPr>
          <w:rFonts w:hint="cs"/>
          <w:rtl/>
        </w:rPr>
        <w:t>). ولم يسجل أي عكس لهذا الخفض.</w:t>
      </w:r>
    </w:p>
    <w:p w14:paraId="23AB042A" w14:textId="77777777" w:rsidR="00E16243" w:rsidRDefault="00E16243" w:rsidP="00FB037F">
      <w:pPr>
        <w:pStyle w:val="Heading2"/>
        <w:keepLines/>
        <w:tabs>
          <w:tab w:val="left" w:pos="1417"/>
        </w:tabs>
        <w:bidi/>
        <w:rPr>
          <w:rFonts w:ascii="Arabic Typesetting" w:hAnsi="Arabic Typesetting" w:cs="Arabic Typesetting"/>
          <w:i/>
          <w:iCs w:val="0"/>
          <w:sz w:val="40"/>
          <w:szCs w:val="40"/>
          <w:rtl/>
        </w:rPr>
      </w:pPr>
      <w:bookmarkStart w:id="23" w:name="_Toc362519104"/>
      <w:r w:rsidRPr="00780749">
        <w:rPr>
          <w:rFonts w:ascii="Arabic Typesetting" w:hAnsi="Arabic Typesetting" w:cs="Arabic Typesetting" w:hint="cs"/>
          <w:i/>
          <w:iCs w:val="0"/>
          <w:sz w:val="40"/>
          <w:szCs w:val="40"/>
          <w:rtl/>
        </w:rPr>
        <w:lastRenderedPageBreak/>
        <w:t>الملاحظة 6:</w:t>
      </w:r>
      <w:r w:rsidR="00FB037F" w:rsidRPr="00FB037F">
        <w:rPr>
          <w:rFonts w:ascii="Arabic Typesetting" w:hAnsi="Arabic Typesetting" w:cs="Arabic Typesetting"/>
          <w:i/>
          <w:iCs w:val="0"/>
          <w:sz w:val="40"/>
          <w:szCs w:val="40"/>
        </w:rPr>
        <w:tab/>
      </w:r>
      <w:r w:rsidRPr="00FB037F">
        <w:rPr>
          <w:rFonts w:ascii="Arabic Typesetting" w:hAnsi="Arabic Typesetting" w:cs="Arabic Typesetting" w:hint="cs"/>
          <w:i/>
          <w:iCs w:val="0"/>
          <w:sz w:val="40"/>
          <w:szCs w:val="40"/>
          <w:rtl/>
        </w:rPr>
        <w:t>المعدات</w:t>
      </w:r>
      <w:bookmarkEnd w:id="23"/>
    </w:p>
    <w:p w14:paraId="72CB7594" w14:textId="5CB3DCEE" w:rsidR="00B73D99" w:rsidRDefault="003D0A1E" w:rsidP="00B73D99">
      <w:pPr>
        <w:bidi/>
        <w:rPr>
          <w:rtl/>
        </w:rPr>
      </w:pPr>
      <w:r w:rsidRPr="003D0A1E">
        <w:rPr>
          <w:noProof/>
          <w:szCs w:val="22"/>
          <w:rtl/>
        </w:rPr>
        <w:drawing>
          <wp:inline distT="0" distB="0" distL="0" distR="0" wp14:anchorId="2DE222F0" wp14:editId="66DA386F">
            <wp:extent cx="5861050" cy="3327400"/>
            <wp:effectExtent l="0" t="0" r="635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861050" cy="3327400"/>
                    </a:xfrm>
                    <a:prstGeom prst="rect">
                      <a:avLst/>
                    </a:prstGeom>
                    <a:noFill/>
                    <a:ln>
                      <a:noFill/>
                    </a:ln>
                  </pic:spPr>
                </pic:pic>
              </a:graphicData>
            </a:graphic>
          </wp:inline>
        </w:drawing>
      </w:r>
    </w:p>
    <w:p w14:paraId="026AA30F" w14:textId="3E5E590D" w:rsidR="00B73D99" w:rsidRDefault="00B73D99" w:rsidP="00B73D99">
      <w:pPr>
        <w:bidi/>
        <w:rPr>
          <w:rtl/>
        </w:rPr>
      </w:pPr>
    </w:p>
    <w:p w14:paraId="4FFE2654" w14:textId="3CBDB137" w:rsidR="00F9530C" w:rsidRPr="00F9530C" w:rsidRDefault="003D0A1E" w:rsidP="00F9530C">
      <w:pPr>
        <w:bidi/>
        <w:rPr>
          <w:rtl/>
        </w:rPr>
      </w:pPr>
      <w:r w:rsidRPr="003D0A1E">
        <w:rPr>
          <w:noProof/>
          <w:szCs w:val="22"/>
          <w:rtl/>
        </w:rPr>
        <w:drawing>
          <wp:inline distT="0" distB="0" distL="0" distR="0" wp14:anchorId="32A850CF" wp14:editId="0BDD1D67">
            <wp:extent cx="5861050" cy="3194050"/>
            <wp:effectExtent l="0" t="0" r="635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861050" cy="3194050"/>
                    </a:xfrm>
                    <a:prstGeom prst="rect">
                      <a:avLst/>
                    </a:prstGeom>
                    <a:noFill/>
                    <a:ln>
                      <a:noFill/>
                    </a:ln>
                  </pic:spPr>
                </pic:pic>
              </a:graphicData>
            </a:graphic>
          </wp:inline>
        </w:drawing>
      </w:r>
    </w:p>
    <w:p w14:paraId="641140FA" w14:textId="18AC7B8E" w:rsidR="00E16243" w:rsidRDefault="00E16243" w:rsidP="00525C9F">
      <w:pPr>
        <w:pStyle w:val="NormalParaAR"/>
        <w:spacing w:before="240"/>
        <w:rPr>
          <w:rtl/>
        </w:rPr>
      </w:pPr>
      <w:r>
        <w:rPr>
          <w:rFonts w:hint="cs"/>
          <w:rtl/>
        </w:rPr>
        <w:t>تُقدر جميع</w:t>
      </w:r>
      <w:r w:rsidRPr="00E84975">
        <w:rPr>
          <w:color w:val="000000"/>
          <w:rtl/>
        </w:rPr>
        <w:t xml:space="preserve"> المعدات في المخزون على </w:t>
      </w:r>
      <w:r w:rsidR="00FD2528">
        <w:rPr>
          <w:color w:val="000000"/>
          <w:rtl/>
        </w:rPr>
        <w:t xml:space="preserve">أساس </w:t>
      </w:r>
      <w:r w:rsidRPr="00E84975">
        <w:rPr>
          <w:color w:val="000000"/>
          <w:rtl/>
        </w:rPr>
        <w:t>التكلفة بعد خ</w:t>
      </w:r>
      <w:r w:rsidRPr="00E84975">
        <w:rPr>
          <w:color w:val="000000"/>
          <w:rtl/>
          <w:lang w:bidi="ar-EG"/>
        </w:rPr>
        <w:t>ص</w:t>
      </w:r>
      <w:r w:rsidRPr="00E84975">
        <w:rPr>
          <w:color w:val="000000"/>
          <w:rtl/>
        </w:rPr>
        <w:t xml:space="preserve">م الإهلاك على </w:t>
      </w:r>
      <w:r w:rsidR="00FD2528">
        <w:rPr>
          <w:color w:val="000000"/>
          <w:rtl/>
        </w:rPr>
        <w:t xml:space="preserve">أساس </w:t>
      </w:r>
      <w:r w:rsidRPr="00E84975">
        <w:rPr>
          <w:color w:val="000000"/>
          <w:rtl/>
        </w:rPr>
        <w:t>القسط الثابت. ي</w:t>
      </w:r>
      <w:r>
        <w:rPr>
          <w:rFonts w:hint="cs"/>
          <w:color w:val="000000"/>
          <w:rtl/>
        </w:rPr>
        <w:t>ُ</w:t>
      </w:r>
      <w:r w:rsidRPr="00E84975">
        <w:rPr>
          <w:color w:val="000000"/>
          <w:rtl/>
        </w:rPr>
        <w:t xml:space="preserve">ستهلك الأثاث والمفروشات </w:t>
      </w:r>
      <w:r w:rsidRPr="00E84975">
        <w:rPr>
          <w:color w:val="000000"/>
          <w:rtl/>
          <w:lang w:bidi="ar-EG"/>
        </w:rPr>
        <w:t>بعد الاستخدام النافع لمدة</w:t>
      </w:r>
      <w:r w:rsidRPr="00E84975">
        <w:rPr>
          <w:color w:val="000000"/>
          <w:rtl/>
        </w:rPr>
        <w:t xml:space="preserve"> عشر سنوات. تستهلك جميع المعدات الأخرى على مدى خمس سنوات </w:t>
      </w:r>
      <w:r w:rsidRPr="00E84975">
        <w:rPr>
          <w:color w:val="000000"/>
          <w:rtl/>
          <w:lang w:bidi="ar-EG"/>
        </w:rPr>
        <w:t>من العمر التشغيلي</w:t>
      </w:r>
      <w:r w:rsidRPr="00E84975">
        <w:rPr>
          <w:color w:val="000000"/>
          <w:rtl/>
        </w:rPr>
        <w:t xml:space="preserve">. </w:t>
      </w:r>
      <w:r w:rsidR="00CC1C09" w:rsidRPr="00CC1C09">
        <w:rPr>
          <w:rFonts w:hint="cs"/>
          <w:color w:val="000000"/>
          <w:rtl/>
        </w:rPr>
        <w:t>وخلال</w:t>
      </w:r>
      <w:r w:rsidR="00CC1C09">
        <w:rPr>
          <w:rFonts w:hint="cs"/>
          <w:color w:val="000000"/>
          <w:rtl/>
        </w:rPr>
        <w:t xml:space="preserve"> عام 2014</w:t>
      </w:r>
      <w:r w:rsidR="00CC1C09" w:rsidRPr="00CC1C09">
        <w:rPr>
          <w:rFonts w:hint="cs"/>
          <w:color w:val="000000"/>
          <w:rtl/>
        </w:rPr>
        <w:t xml:space="preserve">، </w:t>
      </w:r>
      <w:r w:rsidR="00CC1C09">
        <w:rPr>
          <w:rFonts w:hint="cs"/>
          <w:color w:val="000000"/>
          <w:rtl/>
        </w:rPr>
        <w:t xml:space="preserve">كانت غالبية المعدات التي تصرفت المنظمة فيها </w:t>
      </w:r>
      <w:r w:rsidR="00CC1C09" w:rsidRPr="00CC1C09">
        <w:rPr>
          <w:rFonts w:hint="cs"/>
          <w:color w:val="000000"/>
          <w:rtl/>
        </w:rPr>
        <w:t xml:space="preserve">معدات بالية </w:t>
      </w:r>
      <w:r w:rsidR="00CC1C09">
        <w:rPr>
          <w:rFonts w:hint="cs"/>
          <w:color w:val="000000"/>
          <w:rtl/>
        </w:rPr>
        <w:t>وصل</w:t>
      </w:r>
      <w:r w:rsidR="00CC1C09" w:rsidRPr="00CC1C09">
        <w:rPr>
          <w:rFonts w:hint="cs"/>
          <w:color w:val="000000"/>
          <w:rtl/>
        </w:rPr>
        <w:t xml:space="preserve"> المبلغ الإجمالي المرحل للتصرف</w:t>
      </w:r>
      <w:r w:rsidR="00CC1C09">
        <w:rPr>
          <w:rFonts w:hint="cs"/>
          <w:color w:val="000000"/>
          <w:rtl/>
        </w:rPr>
        <w:t xml:space="preserve"> بها</w:t>
      </w:r>
      <w:r w:rsidR="00CC1C09" w:rsidRPr="00CC1C09">
        <w:rPr>
          <w:rFonts w:hint="cs"/>
          <w:color w:val="000000"/>
          <w:rtl/>
        </w:rPr>
        <w:t xml:space="preserve"> إلى 5.3 مليون فرنك سويسري،</w:t>
      </w:r>
      <w:r w:rsidR="00CC1C09">
        <w:rPr>
          <w:rFonts w:hint="cs"/>
          <w:color w:val="000000"/>
          <w:rtl/>
        </w:rPr>
        <w:t xml:space="preserve"> ولم تبلغ قيمتها الدفترية الصافية</w:t>
      </w:r>
      <w:r w:rsidR="00CC1C09" w:rsidRPr="00CC1C09">
        <w:rPr>
          <w:rFonts w:hint="cs"/>
          <w:color w:val="000000"/>
          <w:rtl/>
        </w:rPr>
        <w:t xml:space="preserve"> سوى 8771 فرنكاً سويسرياً</w:t>
      </w:r>
      <w:r w:rsidR="00CC1C09">
        <w:rPr>
          <w:rFonts w:hint="cs"/>
          <w:color w:val="000000"/>
          <w:rtl/>
        </w:rPr>
        <w:t xml:space="preserve"> بعد الاهتلاك المتراكم. ويشمل هذا المبلغ شطب المعدات التي لم يتسن العثور عليها والتي وصل</w:t>
      </w:r>
      <w:r w:rsidR="00CC1C09" w:rsidRPr="00CC1C09">
        <w:rPr>
          <w:rFonts w:hint="cs"/>
          <w:color w:val="000000"/>
          <w:rtl/>
        </w:rPr>
        <w:t xml:space="preserve"> المبلغ الإجمالي المرحل للتصرف</w:t>
      </w:r>
      <w:r w:rsidR="00CC1C09">
        <w:rPr>
          <w:rFonts w:hint="cs"/>
          <w:color w:val="000000"/>
          <w:rtl/>
        </w:rPr>
        <w:t xml:space="preserve"> بها</w:t>
      </w:r>
      <w:r w:rsidR="00CC1C09" w:rsidRPr="00CC1C09">
        <w:rPr>
          <w:rFonts w:hint="cs"/>
          <w:color w:val="000000"/>
          <w:rtl/>
        </w:rPr>
        <w:t xml:space="preserve"> إلى</w:t>
      </w:r>
      <w:r w:rsidR="00F84044">
        <w:rPr>
          <w:rFonts w:hint="cs"/>
          <w:color w:val="000000"/>
          <w:rtl/>
        </w:rPr>
        <w:t xml:space="preserve"> 0.8 فرنك سويسري، والمبلغ الصافي المرحل للتصرف بها إلى 5657 فرنكاً سويسرياً. و</w:t>
      </w:r>
      <w:r w:rsidRPr="00E84975">
        <w:rPr>
          <w:color w:val="000000"/>
          <w:rtl/>
        </w:rPr>
        <w:t xml:space="preserve">لا تُقَيّد الأصول التراثية بما فيها المصنفات الفنية المتبرع بها في بيان الموقف </w:t>
      </w:r>
      <w:r>
        <w:rPr>
          <w:rFonts w:hint="cs"/>
          <w:rtl/>
        </w:rPr>
        <w:t>المالي.</w:t>
      </w:r>
    </w:p>
    <w:p w14:paraId="04F6AD36" w14:textId="4C4884A1" w:rsidR="00E16243" w:rsidRPr="007E7C2D" w:rsidRDefault="00E16243" w:rsidP="00F84044">
      <w:pPr>
        <w:pStyle w:val="Heading2"/>
        <w:bidi/>
        <w:rPr>
          <w:rFonts w:ascii="Arabic Typesetting" w:hAnsi="Arabic Typesetting" w:cs="Arabic Typesetting"/>
          <w:b/>
          <w:bCs w:val="0"/>
          <w:sz w:val="40"/>
          <w:szCs w:val="40"/>
          <w:rtl/>
        </w:rPr>
      </w:pPr>
      <w:bookmarkStart w:id="24" w:name="_Toc362519105"/>
      <w:r w:rsidRPr="00780749">
        <w:rPr>
          <w:rFonts w:ascii="Arabic Typesetting" w:hAnsi="Arabic Typesetting" w:cs="Arabic Typesetting" w:hint="cs"/>
          <w:i/>
          <w:iCs w:val="0"/>
          <w:sz w:val="40"/>
          <w:szCs w:val="40"/>
          <w:rtl/>
        </w:rPr>
        <w:lastRenderedPageBreak/>
        <w:t>الملاحظة 7: ملكية استثمارية</w:t>
      </w:r>
      <w:bookmarkEnd w:id="24"/>
    </w:p>
    <w:p w14:paraId="065FA3CC" w14:textId="7217231B" w:rsidR="00E16243" w:rsidRPr="00325785" w:rsidRDefault="003D0A1E" w:rsidP="00701215">
      <w:pPr>
        <w:pStyle w:val="NormalParaAR"/>
        <w:spacing w:line="240" w:lineRule="auto"/>
        <w:rPr>
          <w:rtl/>
          <w:lang w:bidi="ar-EG"/>
        </w:rPr>
      </w:pPr>
      <w:r w:rsidRPr="003D0A1E">
        <w:rPr>
          <w:noProof/>
          <w:rtl/>
        </w:rPr>
        <w:drawing>
          <wp:inline distT="0" distB="0" distL="0" distR="0" wp14:anchorId="1FE7F8CC" wp14:editId="4CDDBFE2">
            <wp:extent cx="5880100" cy="1346200"/>
            <wp:effectExtent l="0" t="0" r="6350" b="635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880100" cy="1346200"/>
                    </a:xfrm>
                    <a:prstGeom prst="rect">
                      <a:avLst/>
                    </a:prstGeom>
                    <a:noFill/>
                    <a:ln>
                      <a:noFill/>
                    </a:ln>
                  </pic:spPr>
                </pic:pic>
              </a:graphicData>
            </a:graphic>
          </wp:inline>
        </w:drawing>
      </w:r>
    </w:p>
    <w:p w14:paraId="1E1B7EE9" w14:textId="4F4EE76D" w:rsidR="00E16243" w:rsidRDefault="00E16243" w:rsidP="00525C9F">
      <w:pPr>
        <w:pStyle w:val="NormalParaAR"/>
        <w:spacing w:before="240"/>
        <w:rPr>
          <w:rtl/>
        </w:rPr>
      </w:pPr>
      <w:r w:rsidRPr="00F57F24">
        <w:rPr>
          <w:rFonts w:hint="cs"/>
          <w:rtl/>
        </w:rPr>
        <w:t xml:space="preserve">اشترت </w:t>
      </w:r>
      <w:r w:rsidRPr="00CD19C3">
        <w:rPr>
          <w:color w:val="000000"/>
          <w:rtl/>
        </w:rPr>
        <w:t>"المنظمة" في عام 1974 مبنى اتحاد مدريد، وهو مبنى استثماري في ميران</w:t>
      </w:r>
      <w:r>
        <w:rPr>
          <w:rFonts w:hint="cs"/>
          <w:color w:val="000000"/>
          <w:rtl/>
        </w:rPr>
        <w:t>،</w:t>
      </w:r>
      <w:r w:rsidRPr="00CD19C3">
        <w:rPr>
          <w:color w:val="000000"/>
          <w:rtl/>
        </w:rPr>
        <w:t xml:space="preserve"> ك</w:t>
      </w:r>
      <w:r>
        <w:rPr>
          <w:rFonts w:hint="cs"/>
          <w:color w:val="000000"/>
          <w:rtl/>
        </w:rPr>
        <w:t>ا</w:t>
      </w:r>
      <w:r>
        <w:rPr>
          <w:color w:val="000000"/>
          <w:rtl/>
        </w:rPr>
        <w:t>نتون جنيف بسويسرا.</w:t>
      </w:r>
      <w:r w:rsidRPr="00CD19C3">
        <w:rPr>
          <w:color w:val="000000"/>
          <w:rtl/>
        </w:rPr>
        <w:t xml:space="preserve"> </w:t>
      </w:r>
      <w:r>
        <w:rPr>
          <w:rFonts w:hint="cs"/>
          <w:color w:val="000000"/>
          <w:rtl/>
        </w:rPr>
        <w:t>و</w:t>
      </w:r>
      <w:r w:rsidR="00630846">
        <w:rPr>
          <w:rFonts w:hint="cs"/>
          <w:color w:val="000000"/>
          <w:rtl/>
        </w:rPr>
        <w:t xml:space="preserve">شُغِّل </w:t>
      </w:r>
      <w:r w:rsidRPr="00CD19C3">
        <w:rPr>
          <w:color w:val="000000"/>
          <w:rtl/>
        </w:rPr>
        <w:t xml:space="preserve">المبنى لأول مرة في عام 1964. يُقدّر العقار بالقيمة العادلة على </w:t>
      </w:r>
      <w:r w:rsidR="00FD2528">
        <w:rPr>
          <w:color w:val="000000"/>
          <w:rtl/>
        </w:rPr>
        <w:t xml:space="preserve">أساس </w:t>
      </w:r>
      <w:r w:rsidRPr="00CD19C3">
        <w:rPr>
          <w:color w:val="000000"/>
          <w:rtl/>
        </w:rPr>
        <w:t xml:space="preserve">التقييم الذي </w:t>
      </w:r>
      <w:r w:rsidR="00630846">
        <w:rPr>
          <w:rFonts w:hint="cs"/>
          <w:color w:val="000000"/>
          <w:rtl/>
        </w:rPr>
        <w:t>أجري</w:t>
      </w:r>
      <w:r w:rsidRPr="00CD19C3">
        <w:rPr>
          <w:color w:val="000000"/>
          <w:rtl/>
        </w:rPr>
        <w:t xml:space="preserve"> في 31 ديسمبر 2012 من قبل خبير مستقل يتمتع بمؤهلات مهنية معترف بها ومناسبة وله تجربة حديثة في مجال تقييم العقارات في ك</w:t>
      </w:r>
      <w:r>
        <w:rPr>
          <w:rFonts w:hint="cs"/>
          <w:color w:val="000000"/>
          <w:rtl/>
        </w:rPr>
        <w:t>ا</w:t>
      </w:r>
      <w:r w:rsidRPr="00CD19C3">
        <w:rPr>
          <w:color w:val="000000"/>
          <w:rtl/>
        </w:rPr>
        <w:t xml:space="preserve">نتون جنيف. </w:t>
      </w:r>
      <w:r w:rsidR="00630846">
        <w:rPr>
          <w:rFonts w:hint="cs"/>
          <w:color w:val="000000"/>
          <w:rtl/>
        </w:rPr>
        <w:t>وحددَّت</w:t>
      </w:r>
      <w:r w:rsidRPr="00CD19C3">
        <w:rPr>
          <w:color w:val="000000"/>
          <w:rtl/>
        </w:rPr>
        <w:t xml:space="preserve"> القيمة العادلة على </w:t>
      </w:r>
      <w:r w:rsidR="00FD2528">
        <w:rPr>
          <w:color w:val="000000"/>
          <w:rtl/>
        </w:rPr>
        <w:t xml:space="preserve">أساس </w:t>
      </w:r>
      <w:r w:rsidRPr="00CD19C3">
        <w:rPr>
          <w:color w:val="000000"/>
          <w:rtl/>
        </w:rPr>
        <w:t xml:space="preserve">تقييم استثماري، حيث يُرَسْمَل تدفق الدخل المستقبلي من العقار بمستوى ريع مناسب. </w:t>
      </w:r>
      <w:r>
        <w:rPr>
          <w:rFonts w:hint="cs"/>
          <w:color w:val="000000"/>
          <w:rtl/>
        </w:rPr>
        <w:t>و</w:t>
      </w:r>
      <w:r w:rsidRPr="00CD19C3">
        <w:rPr>
          <w:color w:val="000000"/>
          <w:rtl/>
        </w:rPr>
        <w:t xml:space="preserve">يُختار مبلغ الريع استناداً على جودة الإيرادات ومدتها المفترضة المنظورة والنمو المتوقع تحقيقه في القيمة الإيجارية، وتُقارن القيمة بالإسناد الترافقي مع الأدلة المقدمة من مبيعات قابلة للمقارنة. </w:t>
      </w:r>
      <w:r>
        <w:rPr>
          <w:rFonts w:hint="cs"/>
          <w:color w:val="000000"/>
          <w:rtl/>
        </w:rPr>
        <w:t>و</w:t>
      </w:r>
      <w:r w:rsidRPr="00CD19C3">
        <w:rPr>
          <w:color w:val="000000"/>
          <w:rtl/>
        </w:rPr>
        <w:t>أسفر التقييم في 31 ديسمبر 2012 عن زيادة في القيمة العادلة للمبنى بقيمة 0</w:t>
      </w:r>
      <w:r w:rsidR="00553C9E">
        <w:rPr>
          <w:rFonts w:hint="cs"/>
          <w:color w:val="000000"/>
          <w:rtl/>
        </w:rPr>
        <w:t>.</w:t>
      </w:r>
      <w:r w:rsidRPr="00CD19C3">
        <w:rPr>
          <w:color w:val="000000"/>
          <w:rtl/>
        </w:rPr>
        <w:t xml:space="preserve">5 مليون فرنك سويسري. </w:t>
      </w:r>
      <w:r w:rsidR="007A2103">
        <w:rPr>
          <w:rFonts w:hint="cs"/>
          <w:color w:val="000000"/>
          <w:rtl/>
        </w:rPr>
        <w:t>وقد قيدت</w:t>
      </w:r>
      <w:r w:rsidRPr="00CD19C3">
        <w:rPr>
          <w:color w:val="000000"/>
          <w:rtl/>
        </w:rPr>
        <w:t xml:space="preserve"> الزيادة في بيان الأداء المالي لعام 2012 كإيرادات استثمارية</w:t>
      </w:r>
      <w:r w:rsidRPr="00B17190">
        <w:rPr>
          <w:rFonts w:hint="cs"/>
          <w:rtl/>
        </w:rPr>
        <w:t>.</w:t>
      </w:r>
    </w:p>
    <w:p w14:paraId="1FE07428" w14:textId="744C3056" w:rsidR="00E16243" w:rsidRDefault="00E16243" w:rsidP="00F84044">
      <w:pPr>
        <w:pStyle w:val="NormalParaAR"/>
        <w:rPr>
          <w:rtl/>
        </w:rPr>
      </w:pPr>
      <w:r>
        <w:rPr>
          <w:rFonts w:hint="cs"/>
          <w:color w:val="000000"/>
          <w:rtl/>
        </w:rPr>
        <w:t>و</w:t>
      </w:r>
      <w:r w:rsidRPr="002C20CB">
        <w:rPr>
          <w:color w:val="000000"/>
          <w:rtl/>
        </w:rPr>
        <w:t>يتولى إدارة تأجير الشقق وموقف السيارات وسائر المرافق في مبنى</w:t>
      </w:r>
      <w:r>
        <w:rPr>
          <w:color w:val="000000"/>
          <w:rtl/>
        </w:rPr>
        <w:t xml:space="preserve"> اتحاد مدريد وكيل تأجير، وهو مس</w:t>
      </w:r>
      <w:r>
        <w:rPr>
          <w:rFonts w:hint="cs"/>
          <w:color w:val="000000"/>
          <w:rtl/>
        </w:rPr>
        <w:t>ؤ</w:t>
      </w:r>
      <w:r w:rsidRPr="002C20CB">
        <w:rPr>
          <w:color w:val="000000"/>
          <w:rtl/>
        </w:rPr>
        <w:t xml:space="preserve">ول عن تحصيل جميع إيرادات الإيجار ودفع كل المصروفات اللازمة لتشغيل المبنى. </w:t>
      </w:r>
      <w:r>
        <w:rPr>
          <w:rFonts w:hint="cs"/>
          <w:color w:val="000000"/>
          <w:rtl/>
        </w:rPr>
        <w:t>و</w:t>
      </w:r>
      <w:r w:rsidRPr="002C20CB">
        <w:rPr>
          <w:color w:val="000000"/>
          <w:rtl/>
        </w:rPr>
        <w:t>تصل مدة الإيجار في العادة إلى سنتين، وتستند على نموذج عقد الإيجار المعتمد من ك</w:t>
      </w:r>
      <w:r>
        <w:rPr>
          <w:rFonts w:hint="cs"/>
          <w:color w:val="000000"/>
          <w:rtl/>
        </w:rPr>
        <w:t>ا</w:t>
      </w:r>
      <w:r>
        <w:rPr>
          <w:color w:val="000000"/>
          <w:rtl/>
        </w:rPr>
        <w:t xml:space="preserve">نتون </w:t>
      </w:r>
      <w:r w:rsidRPr="002C20CB">
        <w:rPr>
          <w:color w:val="000000"/>
          <w:rtl/>
        </w:rPr>
        <w:t xml:space="preserve">جنيف. وجميع عقود الإيجار غير قابلة للإلغاء خلال فترة الإيجار. </w:t>
      </w:r>
      <w:r>
        <w:rPr>
          <w:rFonts w:hint="cs"/>
          <w:color w:val="000000"/>
          <w:rtl/>
        </w:rPr>
        <w:t>و</w:t>
      </w:r>
      <w:r w:rsidRPr="002C20CB">
        <w:rPr>
          <w:color w:val="000000"/>
          <w:rtl/>
        </w:rPr>
        <w:t xml:space="preserve">يُخصص للوكيل نسبة </w:t>
      </w:r>
      <w:r w:rsidRPr="002C20CB">
        <w:rPr>
          <w:color w:val="000000"/>
          <w:rtl/>
          <w:lang w:bidi="ar-EG"/>
        </w:rPr>
        <w:t xml:space="preserve">تعادل </w:t>
      </w:r>
      <w:r w:rsidRPr="002C20CB">
        <w:rPr>
          <w:color w:val="000000"/>
          <w:rtl/>
        </w:rPr>
        <w:t>3.9</w:t>
      </w:r>
      <w:r>
        <w:rPr>
          <w:rFonts w:hint="cs"/>
          <w:color w:val="000000"/>
          <w:rtl/>
        </w:rPr>
        <w:t xml:space="preserve"> </w:t>
      </w:r>
      <w:r w:rsidR="00257637">
        <w:rPr>
          <w:rFonts w:hint="cs"/>
          <w:color w:val="000000"/>
          <w:rtl/>
        </w:rPr>
        <w:t>بالمئة</w:t>
      </w:r>
      <w:r w:rsidRPr="002C20CB">
        <w:rPr>
          <w:color w:val="000000"/>
          <w:rtl/>
        </w:rPr>
        <w:t xml:space="preserve"> من إجمالي إيرادات الإيجار في مقابل خدماته. </w:t>
      </w:r>
      <w:r>
        <w:rPr>
          <w:rFonts w:hint="cs"/>
          <w:color w:val="000000"/>
          <w:rtl/>
        </w:rPr>
        <w:t>و</w:t>
      </w:r>
      <w:r w:rsidRPr="002C20CB">
        <w:rPr>
          <w:color w:val="000000"/>
          <w:rtl/>
        </w:rPr>
        <w:t xml:space="preserve">بلغت قيمة الإيجارات غير الملغاة في 31 ديسمبر </w:t>
      </w:r>
      <w:r w:rsidR="00F84044">
        <w:rPr>
          <w:rFonts w:hint="cs"/>
          <w:color w:val="000000"/>
          <w:rtl/>
        </w:rPr>
        <w:t>2014</w:t>
      </w:r>
      <w:r w:rsidRPr="002C20CB">
        <w:rPr>
          <w:color w:val="000000"/>
          <w:rtl/>
        </w:rPr>
        <w:t xml:space="preserve"> على النحو </w:t>
      </w:r>
      <w:r>
        <w:rPr>
          <w:rFonts w:hint="cs"/>
          <w:color w:val="000000"/>
          <w:rtl/>
        </w:rPr>
        <w:t>التالي:</w:t>
      </w:r>
    </w:p>
    <w:p w14:paraId="00D4EF43" w14:textId="56A7A928" w:rsidR="00465DD6" w:rsidRDefault="003D0A1E" w:rsidP="00701215">
      <w:pPr>
        <w:bidi/>
        <w:spacing w:before="240" w:after="240"/>
        <w:rPr>
          <w:rFonts w:ascii="Arabic Typesetting" w:hAnsi="Arabic Typesetting" w:cs="Arabic Typesetting"/>
          <w:sz w:val="36"/>
          <w:szCs w:val="36"/>
          <w:rtl/>
        </w:rPr>
      </w:pPr>
      <w:r w:rsidRPr="003D0A1E">
        <w:rPr>
          <w:noProof/>
          <w:szCs w:val="22"/>
          <w:rtl/>
        </w:rPr>
        <w:drawing>
          <wp:inline distT="0" distB="0" distL="0" distR="0" wp14:anchorId="71119312" wp14:editId="35FA1941">
            <wp:extent cx="5746750" cy="1181100"/>
            <wp:effectExtent l="0" t="0" r="635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46750" cy="1181100"/>
                    </a:xfrm>
                    <a:prstGeom prst="rect">
                      <a:avLst/>
                    </a:prstGeom>
                    <a:noFill/>
                    <a:ln>
                      <a:noFill/>
                    </a:ln>
                  </pic:spPr>
                </pic:pic>
              </a:graphicData>
            </a:graphic>
          </wp:inline>
        </w:drawing>
      </w:r>
    </w:p>
    <w:p w14:paraId="7E07BFB7" w14:textId="77777777" w:rsidR="00E55E23" w:rsidRDefault="00465DD6" w:rsidP="00F84044">
      <w:pPr>
        <w:bidi/>
        <w:spacing w:before="240" w:after="240" w:line="360" w:lineRule="exact"/>
        <w:rPr>
          <w:rFonts w:ascii="Arabic Typesetting" w:hAnsi="Arabic Typesetting" w:cs="Arabic Typesetting"/>
          <w:color w:val="000000"/>
          <w:sz w:val="36"/>
          <w:szCs w:val="36"/>
          <w:rtl/>
        </w:rPr>
      </w:pPr>
      <w:r>
        <w:rPr>
          <w:rFonts w:ascii="Arabic Typesetting" w:hAnsi="Arabic Typesetting" w:cs="Arabic Typesetting" w:hint="cs"/>
          <w:sz w:val="36"/>
          <w:szCs w:val="36"/>
          <w:rtl/>
        </w:rPr>
        <w:t>و</w:t>
      </w:r>
      <w:r w:rsidR="00712C84">
        <w:rPr>
          <w:rFonts w:ascii="Arabic Typesetting" w:hAnsi="Arabic Typesetting" w:cs="Arabic Typesetting" w:hint="cs"/>
          <w:color w:val="000000"/>
          <w:sz w:val="36"/>
          <w:szCs w:val="36"/>
          <w:rtl/>
        </w:rPr>
        <w:t xml:space="preserve">في عام </w:t>
      </w:r>
      <w:r w:rsidR="00F84044">
        <w:rPr>
          <w:rFonts w:ascii="Arabic Typesetting" w:hAnsi="Arabic Typesetting" w:cs="Arabic Typesetting" w:hint="cs"/>
          <w:color w:val="000000"/>
          <w:sz w:val="36"/>
          <w:szCs w:val="36"/>
          <w:rtl/>
        </w:rPr>
        <w:t>2014</w:t>
      </w:r>
      <w:r w:rsidR="00712C84">
        <w:rPr>
          <w:rFonts w:ascii="Arabic Typesetting" w:hAnsi="Arabic Typesetting" w:cs="Arabic Typesetting" w:hint="cs"/>
          <w:color w:val="000000"/>
          <w:sz w:val="36"/>
          <w:szCs w:val="36"/>
          <w:rtl/>
        </w:rPr>
        <w:t>،</w:t>
      </w:r>
      <w:r w:rsidR="00712C84" w:rsidRPr="00EF79D7">
        <w:rPr>
          <w:rFonts w:ascii="Arabic Typesetting" w:hAnsi="Arabic Typesetting" w:cs="Arabic Typesetting"/>
          <w:color w:val="000000"/>
          <w:sz w:val="36"/>
          <w:szCs w:val="36"/>
          <w:rtl/>
        </w:rPr>
        <w:t xml:space="preserve"> </w:t>
      </w:r>
      <w:r>
        <w:rPr>
          <w:rFonts w:ascii="Arabic Typesetting" w:hAnsi="Arabic Typesetting" w:cs="Arabic Typesetting" w:hint="cs"/>
          <w:sz w:val="36"/>
          <w:szCs w:val="36"/>
          <w:rtl/>
        </w:rPr>
        <w:t xml:space="preserve">بلغ مجموع </w:t>
      </w:r>
      <w:r w:rsidR="00E16243" w:rsidRPr="00EF79D7">
        <w:rPr>
          <w:rFonts w:ascii="Arabic Typesetting" w:hAnsi="Arabic Typesetting" w:cs="Arabic Typesetting"/>
          <w:color w:val="000000"/>
          <w:sz w:val="36"/>
          <w:szCs w:val="36"/>
          <w:rtl/>
        </w:rPr>
        <w:t xml:space="preserve">إيرادات </w:t>
      </w:r>
      <w:r>
        <w:rPr>
          <w:rFonts w:ascii="Arabic Typesetting" w:hAnsi="Arabic Typesetting" w:cs="Arabic Typesetting"/>
          <w:color w:val="000000"/>
          <w:sz w:val="36"/>
          <w:szCs w:val="36"/>
          <w:rtl/>
        </w:rPr>
        <w:t>إيجار</w:t>
      </w:r>
      <w:r>
        <w:rPr>
          <w:rFonts w:ascii="Arabic Typesetting" w:hAnsi="Arabic Typesetting" w:cs="Arabic Typesetting" w:hint="cs"/>
          <w:color w:val="000000"/>
          <w:sz w:val="36"/>
          <w:szCs w:val="36"/>
          <w:rtl/>
        </w:rPr>
        <w:t xml:space="preserve"> المبنى </w:t>
      </w:r>
      <w:r w:rsidR="00F84044">
        <w:rPr>
          <w:rFonts w:ascii="Arabic Typesetting" w:hAnsi="Arabic Typesetting" w:cs="Arabic Typesetting" w:hint="cs"/>
          <w:color w:val="000000"/>
          <w:sz w:val="36"/>
          <w:szCs w:val="36"/>
          <w:rtl/>
        </w:rPr>
        <w:t>377</w:t>
      </w:r>
      <w:r w:rsidR="00E16243" w:rsidRPr="00EF79D7">
        <w:rPr>
          <w:rFonts w:ascii="Arabic Typesetting" w:hAnsi="Arabic Typesetting" w:cs="Arabic Typesetting"/>
          <w:color w:val="000000"/>
          <w:sz w:val="36"/>
          <w:szCs w:val="36"/>
          <w:rtl/>
        </w:rPr>
        <w:t xml:space="preserve"> ألف فرنك سويسري و</w:t>
      </w:r>
      <w:r w:rsidR="00712C84">
        <w:rPr>
          <w:rFonts w:ascii="Arabic Typesetting" w:hAnsi="Arabic Typesetting" w:cs="Arabic Typesetting" w:hint="cs"/>
          <w:color w:val="000000"/>
          <w:sz w:val="36"/>
          <w:szCs w:val="36"/>
          <w:rtl/>
        </w:rPr>
        <w:t xml:space="preserve">مجموع </w:t>
      </w:r>
      <w:r w:rsidR="00E16243" w:rsidRPr="00EF79D7">
        <w:rPr>
          <w:rFonts w:ascii="Arabic Typesetting" w:hAnsi="Arabic Typesetting" w:cs="Arabic Typesetting"/>
          <w:color w:val="000000"/>
          <w:sz w:val="36"/>
          <w:szCs w:val="36"/>
          <w:rtl/>
        </w:rPr>
        <w:t xml:space="preserve">مصروفات تشغيل المبنى </w:t>
      </w:r>
      <w:r w:rsidR="00F84044">
        <w:rPr>
          <w:rFonts w:ascii="Arabic Typesetting" w:hAnsi="Arabic Typesetting" w:cs="Arabic Typesetting" w:hint="cs"/>
          <w:color w:val="000000"/>
          <w:sz w:val="36"/>
          <w:szCs w:val="36"/>
          <w:rtl/>
        </w:rPr>
        <w:t>211</w:t>
      </w:r>
      <w:r w:rsidR="00E16243" w:rsidRPr="00EF79D7">
        <w:rPr>
          <w:rFonts w:ascii="Arabic Typesetting" w:hAnsi="Arabic Typesetting" w:cs="Arabic Typesetting"/>
          <w:color w:val="000000"/>
          <w:sz w:val="36"/>
          <w:szCs w:val="36"/>
          <w:rtl/>
        </w:rPr>
        <w:t xml:space="preserve"> ألف فرنك سويسري. </w:t>
      </w:r>
      <w:r w:rsidR="00E16243">
        <w:rPr>
          <w:rFonts w:ascii="Arabic Typesetting" w:hAnsi="Arabic Typesetting" w:cs="Arabic Typesetting" w:hint="cs"/>
          <w:color w:val="000000"/>
          <w:sz w:val="36"/>
          <w:szCs w:val="36"/>
          <w:rtl/>
        </w:rPr>
        <w:t>و</w:t>
      </w:r>
      <w:r w:rsidR="00E16243" w:rsidRPr="00EF79D7">
        <w:rPr>
          <w:rFonts w:ascii="Arabic Typesetting" w:hAnsi="Arabic Typesetting" w:cs="Arabic Typesetting"/>
          <w:color w:val="000000"/>
          <w:sz w:val="36"/>
          <w:szCs w:val="36"/>
          <w:rtl/>
        </w:rPr>
        <w:t xml:space="preserve">لا </w:t>
      </w:r>
      <w:r w:rsidR="009803F1">
        <w:rPr>
          <w:rFonts w:ascii="Arabic Typesetting" w:hAnsi="Arabic Typesetting" w:cs="Arabic Typesetting" w:hint="cs"/>
          <w:color w:val="000000"/>
          <w:sz w:val="36"/>
          <w:szCs w:val="36"/>
          <w:rtl/>
        </w:rPr>
        <w:t>ت</w:t>
      </w:r>
      <w:r w:rsidR="00E16243" w:rsidRPr="00EF79D7">
        <w:rPr>
          <w:rFonts w:ascii="Arabic Typesetting" w:hAnsi="Arabic Typesetting" w:cs="Arabic Typesetting"/>
          <w:color w:val="000000"/>
          <w:sz w:val="36"/>
          <w:szCs w:val="36"/>
          <w:rtl/>
        </w:rPr>
        <w:t xml:space="preserve">وجد أي قيود </w:t>
      </w:r>
      <w:r w:rsidR="00E16243">
        <w:rPr>
          <w:rFonts w:ascii="Arabic Typesetting" w:hAnsi="Arabic Typesetting" w:cs="Arabic Typesetting" w:hint="cs"/>
          <w:color w:val="000000"/>
          <w:sz w:val="36"/>
          <w:szCs w:val="36"/>
          <w:rtl/>
        </w:rPr>
        <w:t>تحد من القدرة</w:t>
      </w:r>
      <w:r w:rsidR="00E16243" w:rsidRPr="00EF79D7">
        <w:rPr>
          <w:rFonts w:ascii="Arabic Typesetting" w:hAnsi="Arabic Typesetting" w:cs="Arabic Typesetting"/>
          <w:color w:val="000000"/>
          <w:sz w:val="36"/>
          <w:szCs w:val="36"/>
          <w:rtl/>
        </w:rPr>
        <w:t xml:space="preserve"> على تحقيق </w:t>
      </w:r>
      <w:r w:rsidR="00E16243">
        <w:rPr>
          <w:rFonts w:ascii="Arabic Typesetting" w:hAnsi="Arabic Typesetting" w:cs="Arabic Typesetting" w:hint="cs"/>
          <w:color w:val="000000"/>
          <w:sz w:val="36"/>
          <w:szCs w:val="36"/>
          <w:rtl/>
        </w:rPr>
        <w:t>إيرادات</w:t>
      </w:r>
      <w:r w:rsidR="00E16243" w:rsidRPr="00EF79D7">
        <w:rPr>
          <w:rFonts w:ascii="Arabic Typesetting" w:hAnsi="Arabic Typesetting" w:cs="Arabic Typesetting"/>
          <w:color w:val="000000"/>
          <w:sz w:val="36"/>
          <w:szCs w:val="36"/>
          <w:rtl/>
        </w:rPr>
        <w:t xml:space="preserve"> أو تحويل</w:t>
      </w:r>
      <w:r w:rsidR="00E16243">
        <w:rPr>
          <w:rFonts w:ascii="Arabic Typesetting" w:hAnsi="Arabic Typesetting" w:cs="Arabic Typesetting" w:hint="cs"/>
          <w:color w:val="000000"/>
          <w:sz w:val="36"/>
          <w:szCs w:val="36"/>
          <w:rtl/>
        </w:rPr>
        <w:t xml:space="preserve"> تلك الإيرادات </w:t>
      </w:r>
      <w:r w:rsidR="00E16243" w:rsidRPr="00EF79D7">
        <w:rPr>
          <w:rFonts w:ascii="Arabic Typesetting" w:hAnsi="Arabic Typesetting" w:cs="Arabic Typesetting"/>
          <w:color w:val="000000"/>
          <w:sz w:val="36"/>
          <w:szCs w:val="36"/>
          <w:rtl/>
        </w:rPr>
        <w:t xml:space="preserve">من الملكية الاستثمارية </w:t>
      </w:r>
      <w:r w:rsidR="009803F1">
        <w:rPr>
          <w:rFonts w:ascii="Arabic Typesetting" w:hAnsi="Arabic Typesetting" w:cs="Arabic Typesetting" w:hint="cs"/>
          <w:color w:val="000000"/>
          <w:sz w:val="36"/>
          <w:szCs w:val="36"/>
          <w:rtl/>
        </w:rPr>
        <w:t>إ</w:t>
      </w:r>
      <w:r w:rsidR="00E16243" w:rsidRPr="00EF79D7">
        <w:rPr>
          <w:rFonts w:ascii="Arabic Typesetting" w:hAnsi="Arabic Typesetting" w:cs="Arabic Typesetting"/>
          <w:color w:val="000000"/>
          <w:sz w:val="36"/>
          <w:szCs w:val="36"/>
          <w:rtl/>
        </w:rPr>
        <w:t>لى حد علم "المنظمة".</w:t>
      </w:r>
    </w:p>
    <w:p w14:paraId="7F1F7398" w14:textId="2BCD4CCB" w:rsidR="00E16243" w:rsidRDefault="00E16243" w:rsidP="005E3AE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ولا </w:t>
      </w:r>
      <w:r w:rsidRPr="00EF79D7">
        <w:rPr>
          <w:rFonts w:ascii="Arabic Typesetting" w:hAnsi="Arabic Typesetting" w:cs="Arabic Typesetting"/>
          <w:color w:val="000000"/>
          <w:sz w:val="36"/>
          <w:szCs w:val="36"/>
          <w:rtl/>
        </w:rPr>
        <w:t xml:space="preserve">تشمل </w:t>
      </w:r>
      <w:r w:rsidR="00C878E2">
        <w:rPr>
          <w:rFonts w:ascii="Arabic Typesetting" w:hAnsi="Arabic Typesetting" w:cs="Arabic Typesetting" w:hint="cs"/>
          <w:color w:val="000000"/>
          <w:sz w:val="36"/>
          <w:szCs w:val="36"/>
          <w:rtl/>
        </w:rPr>
        <w:t>مصروفات التش</w:t>
      </w:r>
      <w:r w:rsidR="005E3AE1">
        <w:rPr>
          <w:rFonts w:ascii="Arabic Typesetting" w:hAnsi="Arabic Typesetting" w:cs="Arabic Typesetting" w:hint="cs"/>
          <w:color w:val="000000"/>
          <w:sz w:val="36"/>
          <w:szCs w:val="36"/>
          <w:rtl/>
        </w:rPr>
        <w:t xml:space="preserve">غيل </w:t>
      </w:r>
      <w:r w:rsidRPr="00EF79D7">
        <w:rPr>
          <w:rFonts w:ascii="Arabic Typesetting" w:hAnsi="Arabic Typesetting" w:cs="Arabic Typesetting"/>
          <w:color w:val="000000"/>
          <w:sz w:val="36"/>
          <w:szCs w:val="36"/>
          <w:rtl/>
        </w:rPr>
        <w:t>استه</w:t>
      </w:r>
      <w:r>
        <w:rPr>
          <w:rFonts w:ascii="Arabic Typesetting" w:hAnsi="Arabic Typesetting" w:cs="Arabic Typesetting"/>
          <w:color w:val="000000"/>
          <w:sz w:val="36"/>
          <w:szCs w:val="36"/>
          <w:rtl/>
        </w:rPr>
        <w:t xml:space="preserve">لاك المبنى. </w:t>
      </w:r>
      <w:r>
        <w:rPr>
          <w:rFonts w:ascii="Arabic Typesetting" w:hAnsi="Arabic Typesetting" w:cs="Arabic Typesetting" w:hint="cs"/>
          <w:color w:val="000000"/>
          <w:sz w:val="36"/>
          <w:szCs w:val="36"/>
          <w:rtl/>
        </w:rPr>
        <w:t xml:space="preserve">ولا يوجد هناك </w:t>
      </w:r>
      <w:r w:rsidRPr="00EF79D7">
        <w:rPr>
          <w:rFonts w:ascii="Arabic Typesetting" w:hAnsi="Arabic Typesetting" w:cs="Arabic Typesetting"/>
          <w:color w:val="000000"/>
          <w:sz w:val="36"/>
          <w:szCs w:val="36"/>
          <w:rtl/>
        </w:rPr>
        <w:t>أية التزامات تعاقدية لشراء أو بناء أو تطوير أي استثمارات عقارية، أو أي التزامات أخرى لإجراء إصلاحات أو صيانة أو رفع إمكانيات العقارات الحالية</w:t>
      </w:r>
      <w:r>
        <w:rPr>
          <w:rFonts w:ascii="Arabic Typesetting" w:hAnsi="Arabic Typesetting" w:cs="Arabic Typesetting" w:hint="cs"/>
          <w:color w:val="000000"/>
          <w:sz w:val="36"/>
          <w:szCs w:val="36"/>
          <w:rtl/>
        </w:rPr>
        <w:t xml:space="preserve"> في تاريخ التقرير المالي</w:t>
      </w:r>
      <w:r>
        <w:rPr>
          <w:rFonts w:ascii="Arabic Typesetting" w:hAnsi="Arabic Typesetting" w:cs="Arabic Typesetting" w:hint="cs"/>
          <w:sz w:val="36"/>
          <w:szCs w:val="36"/>
          <w:rtl/>
        </w:rPr>
        <w:t>.</w:t>
      </w:r>
    </w:p>
    <w:p w14:paraId="74A29977" w14:textId="77777777" w:rsidR="00E16243" w:rsidRDefault="00E16243" w:rsidP="002869C3">
      <w:pPr>
        <w:pStyle w:val="Heading2"/>
        <w:bidi/>
        <w:rPr>
          <w:rFonts w:ascii="Arabic Typesetting" w:hAnsi="Arabic Typesetting" w:cs="Arabic Typesetting"/>
          <w:i/>
          <w:iCs w:val="0"/>
          <w:sz w:val="40"/>
          <w:szCs w:val="40"/>
          <w:rtl/>
        </w:rPr>
      </w:pPr>
      <w:bookmarkStart w:id="25" w:name="_Toc362519106"/>
      <w:r w:rsidRPr="002869C3">
        <w:rPr>
          <w:rFonts w:ascii="Arabic Typesetting" w:hAnsi="Arabic Typesetting" w:cs="Arabic Typesetting" w:hint="cs"/>
          <w:i/>
          <w:iCs w:val="0"/>
          <w:sz w:val="40"/>
          <w:szCs w:val="40"/>
          <w:rtl/>
        </w:rPr>
        <w:lastRenderedPageBreak/>
        <w:t>الملاحظة 8: الأصول غير المادية</w:t>
      </w:r>
      <w:bookmarkEnd w:id="25"/>
    </w:p>
    <w:p w14:paraId="1CE665F1" w14:textId="4C91592F" w:rsidR="00C6262B" w:rsidRDefault="008C72EB" w:rsidP="00C6262B">
      <w:pPr>
        <w:bidi/>
        <w:rPr>
          <w:rtl/>
        </w:rPr>
      </w:pPr>
      <w:r w:rsidRPr="008C72EB">
        <w:rPr>
          <w:noProof/>
          <w:szCs w:val="22"/>
          <w:rtl/>
        </w:rPr>
        <w:drawing>
          <wp:inline distT="0" distB="0" distL="0" distR="0" wp14:anchorId="0A46B6C6" wp14:editId="643E08F7">
            <wp:extent cx="5940425" cy="3452715"/>
            <wp:effectExtent l="0" t="0" r="3175"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40425" cy="3452715"/>
                    </a:xfrm>
                    <a:prstGeom prst="rect">
                      <a:avLst/>
                    </a:prstGeom>
                    <a:noFill/>
                    <a:ln>
                      <a:noFill/>
                    </a:ln>
                  </pic:spPr>
                </pic:pic>
              </a:graphicData>
            </a:graphic>
          </wp:inline>
        </w:drawing>
      </w:r>
    </w:p>
    <w:p w14:paraId="4DE17DD4" w14:textId="77777777" w:rsidR="00C6262B" w:rsidRDefault="00C6262B" w:rsidP="00C6262B">
      <w:pPr>
        <w:bidi/>
        <w:rPr>
          <w:rtl/>
        </w:rPr>
      </w:pPr>
    </w:p>
    <w:p w14:paraId="5EA51F75" w14:textId="18F571F7" w:rsidR="00C6262B" w:rsidRPr="00C6262B" w:rsidRDefault="008C72EB" w:rsidP="00C6262B">
      <w:pPr>
        <w:bidi/>
        <w:rPr>
          <w:rtl/>
        </w:rPr>
      </w:pPr>
      <w:r w:rsidRPr="008C72EB">
        <w:rPr>
          <w:noProof/>
          <w:szCs w:val="22"/>
          <w:rtl/>
        </w:rPr>
        <w:drawing>
          <wp:inline distT="0" distB="0" distL="0" distR="0" wp14:anchorId="1460ACF0" wp14:editId="15CF25B8">
            <wp:extent cx="5940425" cy="3283526"/>
            <wp:effectExtent l="0" t="0" r="3175"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940425" cy="3283526"/>
                    </a:xfrm>
                    <a:prstGeom prst="rect">
                      <a:avLst/>
                    </a:prstGeom>
                    <a:noFill/>
                    <a:ln>
                      <a:noFill/>
                    </a:ln>
                  </pic:spPr>
                </pic:pic>
              </a:graphicData>
            </a:graphic>
          </wp:inline>
        </w:drawing>
      </w:r>
    </w:p>
    <w:p w14:paraId="7FB4A57D" w14:textId="274CF694" w:rsidR="00E16243" w:rsidRDefault="00E16243" w:rsidP="00553C9E">
      <w:pPr>
        <w:pStyle w:val="NormalParaAR"/>
        <w:spacing w:before="240"/>
        <w:rPr>
          <w:rtl/>
        </w:rPr>
      </w:pPr>
      <w:r>
        <w:rPr>
          <w:rFonts w:hint="cs"/>
          <w:rtl/>
        </w:rPr>
        <w:t>في ع</w:t>
      </w:r>
      <w:r w:rsidRPr="00DE4DE0">
        <w:rPr>
          <w:color w:val="000000"/>
          <w:rtl/>
        </w:rPr>
        <w:t>ام 1996، اشترت الويبو من المنظمة العالمية للأرصاد الجوية (</w:t>
      </w:r>
      <w:r w:rsidRPr="00DE4DE0">
        <w:rPr>
          <w:color w:val="000000"/>
        </w:rPr>
        <w:t>WMO</w:t>
      </w:r>
      <w:r w:rsidRPr="00DE4DE0">
        <w:rPr>
          <w:color w:val="000000"/>
          <w:rtl/>
        </w:rPr>
        <w:t>) حقوق استغلال قطعة الأرض رقم 4008 الواقعة في بتي-</w:t>
      </w:r>
      <w:r>
        <w:rPr>
          <w:rFonts w:hint="cs"/>
          <w:color w:val="000000"/>
          <w:rtl/>
        </w:rPr>
        <w:t xml:space="preserve"> </w:t>
      </w:r>
      <w:r w:rsidRPr="00DE4DE0">
        <w:rPr>
          <w:color w:val="000000"/>
          <w:rtl/>
        </w:rPr>
        <w:t>ساكونيه في مدينة جنيف، وهي حقوق منحتها جمهورية وك</w:t>
      </w:r>
      <w:r>
        <w:rPr>
          <w:rFonts w:hint="cs"/>
          <w:color w:val="000000"/>
          <w:rtl/>
        </w:rPr>
        <w:t>ا</w:t>
      </w:r>
      <w:r w:rsidRPr="00DE4DE0">
        <w:rPr>
          <w:color w:val="000000"/>
          <w:rtl/>
        </w:rPr>
        <w:t xml:space="preserve">نتون بجنيف للمنظمة العالمية للأرصاد </w:t>
      </w:r>
      <w:r>
        <w:rPr>
          <w:rFonts w:hint="cs"/>
          <w:color w:val="000000"/>
          <w:rtl/>
        </w:rPr>
        <w:t xml:space="preserve">الجوية </w:t>
      </w:r>
      <w:r w:rsidRPr="00DE4DE0">
        <w:rPr>
          <w:color w:val="000000"/>
          <w:rtl/>
        </w:rPr>
        <w:t>بتكلفة قدرها 34</w:t>
      </w:r>
      <w:r w:rsidR="00553C9E">
        <w:rPr>
          <w:rFonts w:hint="cs"/>
          <w:color w:val="000000"/>
          <w:rtl/>
        </w:rPr>
        <w:t>.</w:t>
      </w:r>
      <w:r w:rsidRPr="00DE4DE0">
        <w:rPr>
          <w:color w:val="000000"/>
          <w:rtl/>
        </w:rPr>
        <w:t xml:space="preserve">3 مليون فرنك سويسري شاملة الفوائد والرسوم. </w:t>
      </w:r>
      <w:r>
        <w:rPr>
          <w:rFonts w:hint="cs"/>
          <w:color w:val="000000"/>
          <w:rtl/>
        </w:rPr>
        <w:t>و</w:t>
      </w:r>
      <w:r w:rsidRPr="00DE4DE0">
        <w:rPr>
          <w:color w:val="000000"/>
          <w:rtl/>
        </w:rPr>
        <w:t>تصل المدة المتبقية لحقوق استغلال الأرض الأصلية من تاريخ الشراء</w:t>
      </w:r>
      <w:r>
        <w:rPr>
          <w:rFonts w:hint="cs"/>
          <w:color w:val="000000"/>
          <w:rtl/>
        </w:rPr>
        <w:t xml:space="preserve"> </w:t>
      </w:r>
      <w:r w:rsidRPr="00DE4DE0">
        <w:rPr>
          <w:color w:val="000000"/>
          <w:rtl/>
        </w:rPr>
        <w:t>بمقتضى القانون السويسري إلى 78 عاما</w:t>
      </w:r>
      <w:r w:rsidR="00AC3C42">
        <w:rPr>
          <w:rFonts w:hint="cs"/>
          <w:color w:val="000000"/>
          <w:rtl/>
        </w:rPr>
        <w:t>ً</w:t>
      </w:r>
      <w:r>
        <w:rPr>
          <w:rFonts w:hint="cs"/>
          <w:color w:val="000000"/>
          <w:rtl/>
        </w:rPr>
        <w:t xml:space="preserve"> و</w:t>
      </w:r>
      <w:r w:rsidRPr="00DE4DE0">
        <w:rPr>
          <w:color w:val="000000"/>
          <w:rtl/>
        </w:rPr>
        <w:t>تنتهي في عام 2</w:t>
      </w:r>
      <w:r>
        <w:rPr>
          <w:color w:val="000000"/>
          <w:rtl/>
        </w:rPr>
        <w:t>073</w:t>
      </w:r>
      <w:r w:rsidRPr="00DE4DE0">
        <w:rPr>
          <w:color w:val="000000"/>
          <w:rtl/>
        </w:rPr>
        <w:t xml:space="preserve"> ما لم تُجدد تلك المدة من قبل </w:t>
      </w:r>
      <w:r>
        <w:rPr>
          <w:rFonts w:hint="cs"/>
          <w:color w:val="000000"/>
          <w:rtl/>
        </w:rPr>
        <w:t>ال</w:t>
      </w:r>
      <w:r w:rsidRPr="00DE4DE0">
        <w:rPr>
          <w:color w:val="000000"/>
          <w:rtl/>
        </w:rPr>
        <w:t>ك</w:t>
      </w:r>
      <w:r>
        <w:rPr>
          <w:rFonts w:hint="cs"/>
          <w:color w:val="000000"/>
          <w:rtl/>
        </w:rPr>
        <w:t>ا</w:t>
      </w:r>
      <w:r w:rsidRPr="00DE4DE0">
        <w:rPr>
          <w:color w:val="000000"/>
          <w:rtl/>
        </w:rPr>
        <w:t xml:space="preserve">نتون. </w:t>
      </w:r>
      <w:r>
        <w:rPr>
          <w:rFonts w:hint="cs"/>
          <w:color w:val="000000"/>
          <w:rtl/>
        </w:rPr>
        <w:t>و</w:t>
      </w:r>
      <w:r w:rsidRPr="00DE4DE0">
        <w:rPr>
          <w:color w:val="000000"/>
          <w:rtl/>
        </w:rPr>
        <w:t>جاري حاليا استهلاك التكلفة التاريخية على مدار فترة العمر الإنتاجي</w:t>
      </w:r>
      <w:r>
        <w:rPr>
          <w:rFonts w:hint="cs"/>
          <w:color w:val="000000"/>
          <w:rtl/>
        </w:rPr>
        <w:t xml:space="preserve"> المتبقي.</w:t>
      </w:r>
    </w:p>
    <w:p w14:paraId="503DB262" w14:textId="5F5CE409" w:rsidR="00E16243" w:rsidRDefault="00E16243" w:rsidP="00630846">
      <w:pPr>
        <w:pStyle w:val="NormalParaAR"/>
        <w:rPr>
          <w:rtl/>
        </w:rPr>
      </w:pPr>
      <w:r>
        <w:rPr>
          <w:rFonts w:hint="cs"/>
          <w:rtl/>
        </w:rPr>
        <w:lastRenderedPageBreak/>
        <w:t xml:space="preserve">وتملك </w:t>
      </w:r>
      <w:r w:rsidRPr="00C1579C">
        <w:rPr>
          <w:color w:val="000000"/>
          <w:rtl/>
        </w:rPr>
        <w:t>جمهورية وك</w:t>
      </w:r>
      <w:r>
        <w:rPr>
          <w:rFonts w:hint="cs"/>
          <w:color w:val="000000"/>
          <w:rtl/>
        </w:rPr>
        <w:t>ا</w:t>
      </w:r>
      <w:r w:rsidRPr="00C1579C">
        <w:rPr>
          <w:color w:val="000000"/>
          <w:rtl/>
        </w:rPr>
        <w:t xml:space="preserve">نتون </w:t>
      </w:r>
      <w:r>
        <w:rPr>
          <w:rFonts w:hint="cs"/>
          <w:color w:val="000000"/>
          <w:rtl/>
        </w:rPr>
        <w:t xml:space="preserve">جنيف </w:t>
      </w:r>
      <w:r w:rsidRPr="00C1579C">
        <w:rPr>
          <w:color w:val="000000"/>
          <w:rtl/>
        </w:rPr>
        <w:t>الأراضي الموجود عليها م</w:t>
      </w:r>
      <w:r>
        <w:rPr>
          <w:color w:val="000000"/>
          <w:rtl/>
        </w:rPr>
        <w:t>باني أرباد بو</w:t>
      </w:r>
      <w:r>
        <w:rPr>
          <w:rFonts w:hint="cs"/>
          <w:color w:val="000000"/>
          <w:rtl/>
        </w:rPr>
        <w:t>ك</w:t>
      </w:r>
      <w:r>
        <w:rPr>
          <w:color w:val="000000"/>
          <w:rtl/>
        </w:rPr>
        <w:t>ش وجورج بودنهاوزن</w:t>
      </w:r>
      <w:r w:rsidRPr="00C1579C">
        <w:rPr>
          <w:color w:val="000000"/>
          <w:rtl/>
        </w:rPr>
        <w:t>، وقد مُنحت الويبو حقوق الاستغلال بما فيها الحق في تشييد المباني لمدة 60 عاماً مع خيار متاح لها وحدها ويمكنها ممارسته لتمديد فترة الاستغلال لمدة</w:t>
      </w:r>
      <w:r>
        <w:rPr>
          <w:rFonts w:hint="cs"/>
          <w:color w:val="000000"/>
          <w:rtl/>
        </w:rPr>
        <w:t> </w:t>
      </w:r>
      <w:r w:rsidRPr="00C1579C">
        <w:rPr>
          <w:color w:val="000000"/>
          <w:rtl/>
        </w:rPr>
        <w:t>30 عاما</w:t>
      </w:r>
      <w:r w:rsidR="00AC3C42">
        <w:rPr>
          <w:rFonts w:hint="cs"/>
          <w:color w:val="000000"/>
          <w:rtl/>
        </w:rPr>
        <w:t>ً</w:t>
      </w:r>
      <w:r w:rsidRPr="00C1579C">
        <w:rPr>
          <w:color w:val="000000"/>
          <w:rtl/>
        </w:rPr>
        <w:t xml:space="preserve"> إضافية. </w:t>
      </w:r>
      <w:r>
        <w:rPr>
          <w:rFonts w:hint="cs"/>
          <w:color w:val="000000"/>
          <w:rtl/>
        </w:rPr>
        <w:t>و</w:t>
      </w:r>
      <w:r w:rsidRPr="00C1579C">
        <w:rPr>
          <w:color w:val="000000"/>
          <w:rtl/>
        </w:rPr>
        <w:t>م</w:t>
      </w:r>
      <w:r w:rsidR="00630846">
        <w:rPr>
          <w:rFonts w:hint="cs"/>
          <w:color w:val="000000"/>
          <w:rtl/>
        </w:rPr>
        <w:t>ُ</w:t>
      </w:r>
      <w:r w:rsidRPr="00C1579C">
        <w:rPr>
          <w:color w:val="000000"/>
          <w:rtl/>
        </w:rPr>
        <w:t>نح</w:t>
      </w:r>
      <w:r w:rsidR="00630846">
        <w:rPr>
          <w:rFonts w:hint="cs"/>
          <w:color w:val="000000"/>
          <w:rtl/>
        </w:rPr>
        <w:t>ت</w:t>
      </w:r>
      <w:r w:rsidRPr="00C1579C">
        <w:rPr>
          <w:color w:val="000000"/>
          <w:rtl/>
        </w:rPr>
        <w:t xml:space="preserve"> حقوق الاستغلال المساحي لتلك الأراضي "للمنظمة" دون أي تكلفة، ولم تُقي</w:t>
      </w:r>
      <w:r>
        <w:rPr>
          <w:rFonts w:hint="cs"/>
          <w:color w:val="000000"/>
          <w:rtl/>
        </w:rPr>
        <w:t>ّ</w:t>
      </w:r>
      <w:r w:rsidRPr="00C1579C">
        <w:rPr>
          <w:color w:val="000000"/>
          <w:rtl/>
        </w:rPr>
        <w:t xml:space="preserve">د أي </w:t>
      </w:r>
      <w:r>
        <w:rPr>
          <w:rFonts w:hint="cs"/>
          <w:color w:val="000000"/>
          <w:rtl/>
        </w:rPr>
        <w:t>مبالغ</w:t>
      </w:r>
      <w:r w:rsidRPr="00C1579C">
        <w:rPr>
          <w:color w:val="000000"/>
          <w:rtl/>
        </w:rPr>
        <w:t>، حيث لا يترتب للمنظمة أي حق في التصرف في الحقوق التي تعود إلى جمهورية وك</w:t>
      </w:r>
      <w:r>
        <w:rPr>
          <w:rFonts w:hint="cs"/>
          <w:color w:val="000000"/>
          <w:rtl/>
        </w:rPr>
        <w:t>ا</w:t>
      </w:r>
      <w:r w:rsidRPr="00C1579C">
        <w:rPr>
          <w:color w:val="000000"/>
          <w:rtl/>
        </w:rPr>
        <w:t xml:space="preserve">نتون جنيف، ما لم </w:t>
      </w:r>
      <w:r w:rsidR="00630846">
        <w:rPr>
          <w:rFonts w:hint="cs"/>
          <w:color w:val="000000"/>
          <w:rtl/>
        </w:rPr>
        <w:t>تجدَّد</w:t>
      </w:r>
      <w:r w:rsidRPr="00C1579C">
        <w:rPr>
          <w:color w:val="000000"/>
          <w:rtl/>
        </w:rPr>
        <w:t xml:space="preserve"> هذه</w:t>
      </w:r>
      <w:r>
        <w:rPr>
          <w:rFonts w:hint="eastAsia"/>
          <w:rtl/>
        </w:rPr>
        <w:t> </w:t>
      </w:r>
      <w:r>
        <w:rPr>
          <w:rFonts w:hint="cs"/>
          <w:rtl/>
        </w:rPr>
        <w:t>الحقوق.</w:t>
      </w:r>
    </w:p>
    <w:p w14:paraId="69F12ABF" w14:textId="197D455C" w:rsidR="00E16243" w:rsidRDefault="00E16243" w:rsidP="00630846">
      <w:pPr>
        <w:pStyle w:val="NormalParaAR"/>
        <w:rPr>
          <w:rtl/>
        </w:rPr>
      </w:pPr>
      <w:r>
        <w:rPr>
          <w:rFonts w:hint="cs"/>
          <w:rtl/>
        </w:rPr>
        <w:t xml:space="preserve">واعتباراً </w:t>
      </w:r>
      <w:r w:rsidRPr="00011ECA">
        <w:rPr>
          <w:color w:val="000000"/>
          <w:rtl/>
        </w:rPr>
        <w:t xml:space="preserve">من 1 يناير 2012، </w:t>
      </w:r>
      <w:r w:rsidR="00630846">
        <w:rPr>
          <w:rFonts w:hint="cs"/>
          <w:color w:val="000000"/>
          <w:rtl/>
        </w:rPr>
        <w:t>رُسملت</w:t>
      </w:r>
      <w:r w:rsidRPr="00011ECA">
        <w:rPr>
          <w:color w:val="000000"/>
          <w:rtl/>
        </w:rPr>
        <w:t xml:space="preserve"> التكلفة الخاصة بالبرمجيات التي حصلت عليها "المنظمة" من مصادر خارجية وتلك التي تقوم بإعدادها وتطويرها داخليا. </w:t>
      </w:r>
      <w:r>
        <w:rPr>
          <w:rFonts w:hint="cs"/>
          <w:color w:val="000000"/>
          <w:rtl/>
        </w:rPr>
        <w:t>و</w:t>
      </w:r>
      <w:r w:rsidRPr="00011ECA">
        <w:rPr>
          <w:color w:val="000000"/>
          <w:rtl/>
        </w:rPr>
        <w:t xml:space="preserve">ترتبط الأصول غير المادية تحت التطوير بالبرمجيات الجاري تطويرها </w:t>
      </w:r>
      <w:r w:rsidR="00AC3C42">
        <w:rPr>
          <w:color w:val="000000"/>
          <w:rtl/>
        </w:rPr>
        <w:t xml:space="preserve">داخلياً </w:t>
      </w:r>
      <w:r w:rsidRPr="00011ECA">
        <w:rPr>
          <w:color w:val="000000"/>
          <w:rtl/>
        </w:rPr>
        <w:t xml:space="preserve">والتي لم </w:t>
      </w:r>
      <w:r w:rsidR="00630846">
        <w:rPr>
          <w:rFonts w:hint="cs"/>
          <w:color w:val="000000"/>
          <w:rtl/>
        </w:rPr>
        <w:t>يُشرع</w:t>
      </w:r>
      <w:r w:rsidRPr="00011ECA">
        <w:rPr>
          <w:color w:val="000000"/>
          <w:rtl/>
        </w:rPr>
        <w:t xml:space="preserve"> في استخدامها</w:t>
      </w:r>
      <w:r>
        <w:rPr>
          <w:rFonts w:hint="cs"/>
          <w:color w:val="000000"/>
          <w:rtl/>
        </w:rPr>
        <w:t xml:space="preserve"> بعد.</w:t>
      </w:r>
    </w:p>
    <w:p w14:paraId="6401D6B9" w14:textId="77777777" w:rsidR="00E16243" w:rsidRPr="009827E5" w:rsidRDefault="00E16243" w:rsidP="007760E5">
      <w:pPr>
        <w:pStyle w:val="Heading2"/>
        <w:tabs>
          <w:tab w:val="left" w:pos="1417"/>
        </w:tabs>
        <w:bidi/>
        <w:rPr>
          <w:rFonts w:ascii="Arabic Typesetting" w:hAnsi="Arabic Typesetting" w:cs="Arabic Typesetting"/>
          <w:b/>
          <w:bCs w:val="0"/>
          <w:sz w:val="40"/>
          <w:szCs w:val="40"/>
          <w:rtl/>
        </w:rPr>
      </w:pPr>
      <w:bookmarkStart w:id="26" w:name="_Toc362519107"/>
      <w:r w:rsidRPr="002869C3">
        <w:rPr>
          <w:rFonts w:ascii="Arabic Typesetting" w:hAnsi="Arabic Typesetting" w:cs="Arabic Typesetting" w:hint="cs"/>
          <w:i/>
          <w:iCs w:val="0"/>
          <w:sz w:val="40"/>
          <w:szCs w:val="40"/>
          <w:rtl/>
        </w:rPr>
        <w:t>الملاحظة 9:</w:t>
      </w:r>
      <w:r w:rsidR="007760E5">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الأراضي والمباني</w:t>
      </w:r>
      <w:bookmarkEnd w:id="26"/>
    </w:p>
    <w:p w14:paraId="35976248" w14:textId="43A66F31" w:rsidR="00E16243" w:rsidRPr="002435A8" w:rsidRDefault="00E16243" w:rsidP="00630846">
      <w:pPr>
        <w:pStyle w:val="NormalParaAR"/>
        <w:rPr>
          <w:rtl/>
        </w:rPr>
      </w:pPr>
      <w:r>
        <w:rPr>
          <w:rFonts w:hint="cs"/>
          <w:rtl/>
        </w:rPr>
        <w:t xml:space="preserve">تشمل </w:t>
      </w:r>
      <w:r w:rsidRPr="00011ECA">
        <w:rPr>
          <w:color w:val="000000"/>
          <w:rtl/>
        </w:rPr>
        <w:t>أراضي الويبو ومبانيها على مقرها الرئيسي في ساحة الأمم بجنيف</w:t>
      </w:r>
      <w:r>
        <w:rPr>
          <w:rFonts w:hint="cs"/>
          <w:color w:val="000000"/>
          <w:rtl/>
        </w:rPr>
        <w:t xml:space="preserve"> في </w:t>
      </w:r>
      <w:r w:rsidRPr="00011ECA">
        <w:rPr>
          <w:color w:val="000000"/>
          <w:rtl/>
        </w:rPr>
        <w:t xml:space="preserve">سويسرا، ويتضمن الأراضي والمباني تحت الإنشاء والمباني المشغولة. وبعد اعتماد المعايير المحاسبية الدولية </w:t>
      </w:r>
      <w:r w:rsidR="00630846">
        <w:rPr>
          <w:color w:val="000000"/>
          <w:rtl/>
        </w:rPr>
        <w:t xml:space="preserve">للقطاع العام من 1 يناير 2010، </w:t>
      </w:r>
      <w:r w:rsidR="00630846">
        <w:rPr>
          <w:rFonts w:hint="cs"/>
          <w:color w:val="000000"/>
          <w:rtl/>
        </w:rPr>
        <w:t>قيِّمت</w:t>
      </w:r>
      <w:r w:rsidRPr="00011ECA">
        <w:rPr>
          <w:color w:val="000000"/>
          <w:rtl/>
        </w:rPr>
        <w:t xml:space="preserve"> المباني التي كانت مشغولة في ذلك التاريخ بقيمة حددها خبراء استشاريون مستقلون وهي تمثل القيمة المقدرة للمبنى بحالته الجديدة (تعتبر تكلفة البناء) شاملة القيمة المقدرة لأعمال التجديدات والإصلاحات الرئيسية التي </w:t>
      </w:r>
      <w:r w:rsidR="00630846">
        <w:rPr>
          <w:rFonts w:hint="cs"/>
          <w:color w:val="000000"/>
          <w:rtl/>
        </w:rPr>
        <w:t>نفِّذت</w:t>
      </w:r>
      <w:r w:rsidR="00630846">
        <w:rPr>
          <w:color w:val="000000"/>
          <w:rtl/>
        </w:rPr>
        <w:t xml:space="preserve"> منذ شغل المبنى الأص</w:t>
      </w:r>
      <w:r w:rsidR="00630846">
        <w:rPr>
          <w:rFonts w:hint="cs"/>
          <w:color w:val="000000"/>
          <w:rtl/>
        </w:rPr>
        <w:t>لي</w:t>
      </w:r>
      <w:r w:rsidRPr="00011ECA">
        <w:rPr>
          <w:color w:val="000000"/>
          <w:rtl/>
        </w:rPr>
        <w:t xml:space="preserve"> مطروحا</w:t>
      </w:r>
      <w:r w:rsidR="00630846">
        <w:rPr>
          <w:rFonts w:hint="cs"/>
          <w:color w:val="000000"/>
          <w:rtl/>
        </w:rPr>
        <w:t>ً</w:t>
      </w:r>
      <w:r w:rsidRPr="00011ECA">
        <w:rPr>
          <w:color w:val="000000"/>
          <w:rtl/>
        </w:rPr>
        <w:t xml:space="preserve"> منها الاستهلاك المتراكم و</w:t>
      </w:r>
      <w:r w:rsidRPr="00011ECA">
        <w:rPr>
          <w:color w:val="000000"/>
          <w:rtl/>
          <w:lang w:bidi="ar-EG"/>
        </w:rPr>
        <w:t>انخف</w:t>
      </w:r>
      <w:r>
        <w:rPr>
          <w:color w:val="000000"/>
          <w:rtl/>
          <w:lang w:bidi="ar-EG"/>
        </w:rPr>
        <w:t>اض القيمة. أما المباني التي بُد</w:t>
      </w:r>
      <w:r>
        <w:rPr>
          <w:rFonts w:hint="cs"/>
          <w:color w:val="000000"/>
          <w:rtl/>
          <w:lang w:bidi="ar-EG"/>
        </w:rPr>
        <w:t>ئ</w:t>
      </w:r>
      <w:r w:rsidRPr="00011ECA">
        <w:rPr>
          <w:color w:val="000000"/>
          <w:rtl/>
          <w:lang w:bidi="ar-EG"/>
        </w:rPr>
        <w:t xml:space="preserve"> في استخدامها بعد </w:t>
      </w:r>
      <w:r w:rsidRPr="00011ECA">
        <w:rPr>
          <w:color w:val="000000"/>
          <w:rtl/>
        </w:rPr>
        <w:t xml:space="preserve">1 يناير 2010، فقد قُدرت قيمتها مبدئيا بسعر التكلفة الحقيقية. </w:t>
      </w:r>
      <w:r>
        <w:rPr>
          <w:rFonts w:hint="cs"/>
          <w:color w:val="000000"/>
          <w:rtl/>
        </w:rPr>
        <w:t>و</w:t>
      </w:r>
      <w:r w:rsidRPr="00011ECA">
        <w:rPr>
          <w:color w:val="000000"/>
          <w:rtl/>
        </w:rPr>
        <w:t xml:space="preserve">تُستهلك جميع المباني </w:t>
      </w:r>
      <w:r w:rsidR="002B3DBD">
        <w:rPr>
          <w:color w:val="000000"/>
          <w:rtl/>
        </w:rPr>
        <w:t xml:space="preserve">وفقاً </w:t>
      </w:r>
      <w:r w:rsidRPr="00011ECA">
        <w:rPr>
          <w:color w:val="000000"/>
          <w:rtl/>
        </w:rPr>
        <w:t>لطريقة القسط الثابت استناداً إلى العمر المستفاد منه لكل مكون رئيسي من مكونات.</w:t>
      </w:r>
    </w:p>
    <w:p w14:paraId="24277338" w14:textId="0199D59C" w:rsidR="00E55E23" w:rsidRDefault="00E16243" w:rsidP="00553C9E">
      <w:pPr>
        <w:pStyle w:val="NormalParaAR"/>
        <w:rPr>
          <w:color w:val="000000"/>
          <w:rtl/>
        </w:rPr>
      </w:pPr>
      <w:r>
        <w:rPr>
          <w:rFonts w:hint="cs"/>
          <w:rtl/>
        </w:rPr>
        <w:t xml:space="preserve">وحصلت </w:t>
      </w:r>
      <w:r w:rsidRPr="00011ECA">
        <w:rPr>
          <w:color w:val="000000"/>
          <w:rtl/>
        </w:rPr>
        <w:t>الويبو على الأرض التي شُيِّد عليها المبنى الجديد بتكلفة قدرها 13</w:t>
      </w:r>
      <w:r w:rsidR="00553C9E">
        <w:rPr>
          <w:rFonts w:hint="cs"/>
          <w:color w:val="000000"/>
          <w:rtl/>
        </w:rPr>
        <w:t>.</w:t>
      </w:r>
      <w:r w:rsidRPr="00011ECA">
        <w:rPr>
          <w:color w:val="000000"/>
          <w:rtl/>
        </w:rPr>
        <w:t xml:space="preserve">6 مليون فرنك سويسري في عام 1998، </w:t>
      </w:r>
      <w:r>
        <w:rPr>
          <w:rFonts w:hint="cs"/>
          <w:color w:val="000000"/>
          <w:rtl/>
        </w:rPr>
        <w:t xml:space="preserve">وأعيد </w:t>
      </w:r>
      <w:r w:rsidRPr="00011ECA">
        <w:rPr>
          <w:color w:val="000000"/>
          <w:rtl/>
        </w:rPr>
        <w:t xml:space="preserve">تقييمها بالقيمة العادلة على </w:t>
      </w:r>
      <w:r w:rsidR="00FD2528">
        <w:rPr>
          <w:color w:val="000000"/>
          <w:rtl/>
        </w:rPr>
        <w:t xml:space="preserve">أساس </w:t>
      </w:r>
      <w:r w:rsidRPr="00011ECA">
        <w:rPr>
          <w:color w:val="000000"/>
          <w:rtl/>
        </w:rPr>
        <w:t>"معايير التقييم الدولية" كما قَدَّرها مثمن مستقل في 31 ديسمبر 2009 بقيمة 28</w:t>
      </w:r>
      <w:r w:rsidR="00553C9E">
        <w:rPr>
          <w:rFonts w:hint="cs"/>
          <w:color w:val="000000"/>
          <w:rtl/>
        </w:rPr>
        <w:t>.</w:t>
      </w:r>
      <w:r w:rsidRPr="00011ECA">
        <w:rPr>
          <w:color w:val="000000"/>
          <w:rtl/>
        </w:rPr>
        <w:t xml:space="preserve">6 مليون فرنك سويسري. </w:t>
      </w:r>
      <w:r>
        <w:rPr>
          <w:rFonts w:hint="cs"/>
          <w:color w:val="000000"/>
          <w:rtl/>
        </w:rPr>
        <w:t>و</w:t>
      </w:r>
      <w:r w:rsidRPr="00011ECA">
        <w:rPr>
          <w:color w:val="000000"/>
          <w:rtl/>
        </w:rPr>
        <w:t xml:space="preserve">يُدرج صافي نتيجة إعادة التقييم وقيمته 15 مليون فرنك سويسري في بند فائض إعادة التقييم الذي يشكل جزءا من صافي أصول الويبو. </w:t>
      </w:r>
      <w:r w:rsidR="00EC1D4A">
        <w:rPr>
          <w:rFonts w:hint="cs"/>
          <w:color w:val="000000"/>
          <w:rtl/>
        </w:rPr>
        <w:t xml:space="preserve">وأجرى </w:t>
      </w:r>
      <w:r w:rsidR="00EC1D4A" w:rsidRPr="00011ECA">
        <w:rPr>
          <w:color w:val="000000"/>
          <w:rtl/>
        </w:rPr>
        <w:t xml:space="preserve">مثمن مستقل </w:t>
      </w:r>
      <w:r w:rsidR="00EC1D4A">
        <w:rPr>
          <w:rFonts w:hint="cs"/>
          <w:color w:val="000000"/>
          <w:rtl/>
        </w:rPr>
        <w:t xml:space="preserve">تقييماً محدثاً للأرض </w:t>
      </w:r>
      <w:r w:rsidR="00EC1D4A" w:rsidRPr="00011ECA">
        <w:rPr>
          <w:color w:val="000000"/>
          <w:rtl/>
        </w:rPr>
        <w:t>في 31 ديسمبر 20</w:t>
      </w:r>
      <w:r w:rsidR="00EC1D4A">
        <w:rPr>
          <w:rFonts w:hint="cs"/>
          <w:color w:val="000000"/>
          <w:rtl/>
        </w:rPr>
        <w:t>13</w:t>
      </w:r>
      <w:r w:rsidR="00EC1D4A" w:rsidRPr="00011ECA">
        <w:rPr>
          <w:color w:val="000000"/>
          <w:rtl/>
        </w:rPr>
        <w:t xml:space="preserve"> </w:t>
      </w:r>
      <w:r w:rsidR="00EC1D4A">
        <w:rPr>
          <w:rFonts w:hint="cs"/>
          <w:color w:val="000000"/>
          <w:rtl/>
        </w:rPr>
        <w:t xml:space="preserve">. ولم يتبين من هذا التقييم أي تغير في القيمة العادلة للأرض عن </w:t>
      </w:r>
      <w:r w:rsidR="00662350">
        <w:rPr>
          <w:rFonts w:hint="cs"/>
          <w:color w:val="000000"/>
          <w:rtl/>
        </w:rPr>
        <w:t>مبلغ 28</w:t>
      </w:r>
      <w:r w:rsidR="00553C9E">
        <w:rPr>
          <w:rFonts w:hint="cs"/>
          <w:color w:val="000000"/>
          <w:rtl/>
        </w:rPr>
        <w:t>.</w:t>
      </w:r>
      <w:r w:rsidR="00662350">
        <w:rPr>
          <w:rFonts w:hint="cs"/>
          <w:color w:val="000000"/>
          <w:rtl/>
        </w:rPr>
        <w:t>6 مليون فرنك سويسري المقدر سابقاً.</w:t>
      </w:r>
      <w:r w:rsidR="00EC1D4A">
        <w:rPr>
          <w:rFonts w:hint="cs"/>
          <w:color w:val="000000"/>
          <w:rtl/>
        </w:rPr>
        <w:t xml:space="preserve"> </w:t>
      </w:r>
      <w:r>
        <w:rPr>
          <w:rFonts w:hint="cs"/>
          <w:color w:val="000000"/>
          <w:rtl/>
        </w:rPr>
        <w:t>وقُدرت</w:t>
      </w:r>
      <w:r w:rsidRPr="00011ECA">
        <w:rPr>
          <w:color w:val="000000"/>
          <w:rtl/>
        </w:rPr>
        <w:t xml:space="preserve"> القيمة السوقية عن طريق الرسملة بحساب تدفق دخل مستقبلي محتمل كعائد استثماري مناسب من الممتلكات العقارية. </w:t>
      </w:r>
      <w:r>
        <w:rPr>
          <w:rFonts w:hint="cs"/>
          <w:color w:val="000000"/>
          <w:rtl/>
        </w:rPr>
        <w:t>و</w:t>
      </w:r>
      <w:r w:rsidRPr="00011ECA">
        <w:rPr>
          <w:color w:val="000000"/>
          <w:rtl/>
        </w:rPr>
        <w:t xml:space="preserve">يستند الإيراد المحتمل على إيجارات قابلة للمقارنة في السوق مع الأخذ في الاعتبار جودة المساحات فضلا عن الموقع. </w:t>
      </w:r>
      <w:r>
        <w:rPr>
          <w:rFonts w:hint="cs"/>
          <w:color w:val="000000"/>
          <w:rtl/>
        </w:rPr>
        <w:t>و</w:t>
      </w:r>
      <w:r w:rsidRPr="00011ECA">
        <w:rPr>
          <w:color w:val="000000"/>
          <w:rtl/>
        </w:rPr>
        <w:t>يُختار مبلغ الريع بالاستناد إلى جودة الإيرادات ومدتها المفترضة المنظورة والنمو المتوقع تحقيقه في القيمة الإيجارية، وتُقارن القيمة بالإسناد الترافقي مع الأدلة المقدمة من مبيعات قابلة للمقارنة.</w:t>
      </w:r>
    </w:p>
    <w:p w14:paraId="67B02E25" w14:textId="0A52C39F" w:rsidR="00E16243" w:rsidRDefault="00E16243" w:rsidP="00F84044">
      <w:pPr>
        <w:pStyle w:val="NormalParaAR"/>
        <w:rPr>
          <w:rtl/>
        </w:rPr>
      </w:pPr>
      <w:r>
        <w:rPr>
          <w:rFonts w:hint="cs"/>
          <w:rtl/>
        </w:rPr>
        <w:t>وفي أكتوبر 2009</w:t>
      </w:r>
      <w:r w:rsidRPr="00C10BE2">
        <w:rPr>
          <w:color w:val="000000"/>
          <w:rtl/>
        </w:rPr>
        <w:t>، وافقت الجمعية العامة على بناء قاعة مؤتمرات جديدة، على أن تكون متصلة فعليا بمبنى</w:t>
      </w:r>
      <w:r w:rsidRPr="00C10BE2">
        <w:rPr>
          <w:color w:val="000000"/>
        </w:rPr>
        <w:t xml:space="preserve"> </w:t>
      </w:r>
      <w:r w:rsidRPr="00C10BE2">
        <w:rPr>
          <w:color w:val="000000"/>
          <w:rtl/>
        </w:rPr>
        <w:t>أرباد بوكش</w:t>
      </w:r>
      <w:r w:rsidRPr="00C10BE2">
        <w:rPr>
          <w:color w:val="000000"/>
          <w:rtl/>
          <w:lang w:bidi="ar-EG"/>
        </w:rPr>
        <w:t xml:space="preserve">. </w:t>
      </w:r>
      <w:r w:rsidR="00F84044">
        <w:rPr>
          <w:rFonts w:hint="cs"/>
          <w:color w:val="000000"/>
          <w:rtl/>
          <w:lang w:bidi="ar-EG"/>
        </w:rPr>
        <w:t>واستُكمل</w:t>
      </w:r>
      <w:r w:rsidRPr="00C10BE2">
        <w:rPr>
          <w:color w:val="000000"/>
          <w:rtl/>
        </w:rPr>
        <w:t xml:space="preserve"> المشروع في عام 2014، </w:t>
      </w:r>
      <w:r w:rsidR="00F84044">
        <w:rPr>
          <w:rFonts w:hint="cs"/>
          <w:color w:val="000000"/>
          <w:rtl/>
        </w:rPr>
        <w:t>وبدأ استخدام المبنى الجديد في سبتمبر 2014. وشمل هذا المشروع أيضاً هدم وإعادة بناء وتحسين بعض مساحات مبنى أرباد بوكش. وسُجلت المساحات التي هُدمت كعوائق خلال مرحلة البناء. وشُطبت الآن هذه المناطق المعيقة من البيانات المالية نظراً إلى أنها استُبدلت بالأماكن والتحسينات الجديدة</w:t>
      </w:r>
      <w:r w:rsidRPr="00C10BE2">
        <w:rPr>
          <w:color w:val="000000"/>
          <w:rtl/>
        </w:rPr>
        <w:t xml:space="preserve">. </w:t>
      </w:r>
      <w:r w:rsidR="00F84044">
        <w:rPr>
          <w:rFonts w:hint="cs"/>
          <w:color w:val="000000"/>
          <w:rtl/>
        </w:rPr>
        <w:t>وتضطلع الويبو</w:t>
      </w:r>
      <w:r w:rsidRPr="00C10BE2">
        <w:rPr>
          <w:color w:val="000000"/>
          <w:rtl/>
        </w:rPr>
        <w:t xml:space="preserve"> أيضا </w:t>
      </w:r>
      <w:r w:rsidR="00F84044">
        <w:rPr>
          <w:rFonts w:hint="cs"/>
          <w:color w:val="000000"/>
          <w:rtl/>
        </w:rPr>
        <w:t>ب</w:t>
      </w:r>
      <w:r w:rsidRPr="00C10BE2">
        <w:rPr>
          <w:color w:val="000000"/>
          <w:rtl/>
        </w:rPr>
        <w:t>تنفيذ مشروع للارتقاء بمعايير السلامة والأمن في مباني</w:t>
      </w:r>
      <w:r w:rsidR="00F84044">
        <w:rPr>
          <w:rFonts w:hint="cs"/>
          <w:color w:val="000000"/>
          <w:rtl/>
        </w:rPr>
        <w:t>ها</w:t>
      </w:r>
      <w:r w:rsidRPr="00C10BE2">
        <w:rPr>
          <w:color w:val="000000"/>
          <w:rtl/>
        </w:rPr>
        <w:t xml:space="preserve"> الحالية، تنفيذاً لتوصيات "إدارة الأمن في الأمم المتحدة". ويتضمن هذا العمل الارتقاء إلى</w:t>
      </w:r>
      <w:r w:rsidRPr="00C10BE2">
        <w:rPr>
          <w:color w:val="000000"/>
          <w:rtl/>
          <w:lang w:bidi="ar-EG"/>
        </w:rPr>
        <w:t xml:space="preserve"> متطلبات معايير الأمن التشغيلي الدنيا للأمم المتحدة لمقار الأمم المتحدة (</w:t>
      </w:r>
      <w:r w:rsidRPr="00C10BE2">
        <w:rPr>
          <w:color w:val="000000"/>
          <w:lang w:bidi="ar-EG"/>
        </w:rPr>
        <w:t>H-MOSS</w:t>
      </w:r>
      <w:r w:rsidRPr="00C10BE2">
        <w:rPr>
          <w:color w:val="000000"/>
          <w:rtl/>
          <w:lang w:bidi="ar-EG"/>
        </w:rPr>
        <w:t>). ويشمل</w:t>
      </w:r>
      <w:r w:rsidRPr="00C10BE2">
        <w:rPr>
          <w:color w:val="000000"/>
          <w:rtl/>
        </w:rPr>
        <w:t xml:space="preserve"> المشروع بناء محيط أمني</w:t>
      </w:r>
      <w:r w:rsidR="00F84044">
        <w:rPr>
          <w:rFonts w:hint="cs"/>
          <w:color w:val="000000"/>
          <w:rtl/>
        </w:rPr>
        <w:t xml:space="preserve"> ومركز نفاذ جديد</w:t>
      </w:r>
      <w:r w:rsidRPr="00C10BE2">
        <w:rPr>
          <w:color w:val="000000"/>
          <w:rtl/>
        </w:rPr>
        <w:t xml:space="preserve"> وتدابير أمنية داخلية.</w:t>
      </w:r>
      <w:r w:rsidR="007760E5">
        <w:rPr>
          <w:color w:val="000000"/>
        </w:rPr>
        <w:t xml:space="preserve"> </w:t>
      </w:r>
      <w:r>
        <w:rPr>
          <w:rFonts w:hint="cs"/>
          <w:color w:val="000000"/>
          <w:rtl/>
        </w:rPr>
        <w:t>و</w:t>
      </w:r>
      <w:r w:rsidRPr="00C10BE2">
        <w:rPr>
          <w:color w:val="000000"/>
          <w:rtl/>
        </w:rPr>
        <w:t>تم</w:t>
      </w:r>
      <w:r>
        <w:rPr>
          <w:rFonts w:hint="cs"/>
          <w:color w:val="000000"/>
          <w:rtl/>
        </w:rPr>
        <w:t>ت</w:t>
      </w:r>
      <w:r w:rsidRPr="00C10BE2">
        <w:rPr>
          <w:color w:val="000000"/>
          <w:rtl/>
        </w:rPr>
        <w:t xml:space="preserve"> رسملة التكاليف المتعلقة بمشروع الإنشاء التي تتكبدها "المنظمة" كأعمال </w:t>
      </w:r>
      <w:r>
        <w:rPr>
          <w:rFonts w:hint="cs"/>
          <w:color w:val="000000"/>
          <w:rtl/>
        </w:rPr>
        <w:t>تحت</w:t>
      </w:r>
      <w:r w:rsidRPr="00C10BE2">
        <w:rPr>
          <w:color w:val="000000"/>
          <w:rtl/>
        </w:rPr>
        <w:t xml:space="preserve"> التنفيذ خلال عام </w:t>
      </w:r>
      <w:r w:rsidR="00F84044">
        <w:rPr>
          <w:rFonts w:hint="cs"/>
          <w:color w:val="000000"/>
          <w:rtl/>
        </w:rPr>
        <w:t>2014، ويُتوقع إنجاز هذا المشروع في النصف الأول من عام 2015.</w:t>
      </w:r>
      <w:r w:rsidRPr="00C10BE2">
        <w:rPr>
          <w:color w:val="000000"/>
          <w:rtl/>
        </w:rPr>
        <w:t xml:space="preserve"> </w:t>
      </w:r>
      <w:r>
        <w:rPr>
          <w:rFonts w:hint="cs"/>
          <w:color w:val="000000"/>
          <w:rtl/>
        </w:rPr>
        <w:t>و</w:t>
      </w:r>
      <w:r w:rsidRPr="00C10BE2">
        <w:rPr>
          <w:color w:val="000000"/>
          <w:rtl/>
        </w:rPr>
        <w:t>يُمَوَّل مشروع الإنشاء جزئيا من قبل مؤسسة مباني المنظمات الدولية (</w:t>
      </w:r>
      <w:r w:rsidRPr="00C10BE2">
        <w:rPr>
          <w:color w:val="000000"/>
        </w:rPr>
        <w:t>FIPOI</w:t>
      </w:r>
      <w:r w:rsidRPr="00C10BE2">
        <w:rPr>
          <w:color w:val="000000"/>
          <w:rtl/>
        </w:rPr>
        <w:t>). وتم</w:t>
      </w:r>
      <w:r>
        <w:rPr>
          <w:rFonts w:hint="cs"/>
          <w:color w:val="000000"/>
          <w:rtl/>
        </w:rPr>
        <w:t>ت</w:t>
      </w:r>
      <w:r w:rsidRPr="00C10BE2">
        <w:rPr>
          <w:color w:val="000000"/>
          <w:rtl/>
        </w:rPr>
        <w:t xml:space="preserve"> رسملة أعمال الإنشاء الممولة تلك في </w:t>
      </w:r>
      <w:r w:rsidRPr="00C10BE2">
        <w:rPr>
          <w:color w:val="000000"/>
          <w:rtl/>
          <w:lang w:bidi="ar-EG"/>
        </w:rPr>
        <w:t>بند أعمال تحت التنفيذ، وقُيّدت قيمة مقابلة كإيرادات</w:t>
      </w:r>
      <w:r>
        <w:rPr>
          <w:rFonts w:hint="cs"/>
          <w:color w:val="000000"/>
          <w:rtl/>
          <w:lang w:bidi="ar-EG"/>
        </w:rPr>
        <w:t> </w:t>
      </w:r>
      <w:r>
        <w:rPr>
          <w:rFonts w:hint="cs"/>
          <w:rtl/>
        </w:rPr>
        <w:t>مؤجلة</w:t>
      </w:r>
      <w:r w:rsidR="007B65EB">
        <w:rPr>
          <w:rFonts w:hint="cs"/>
          <w:rtl/>
        </w:rPr>
        <w:t xml:space="preserve"> (انظر الملاحظة 14)</w:t>
      </w:r>
      <w:r>
        <w:rPr>
          <w:rFonts w:hint="cs"/>
          <w:rtl/>
        </w:rPr>
        <w:t>.</w:t>
      </w:r>
    </w:p>
    <w:p w14:paraId="6CE73F78" w14:textId="77777777" w:rsidR="00E16243" w:rsidRDefault="00E16243" w:rsidP="00E16243">
      <w:pPr>
        <w:bidi/>
        <w:rPr>
          <w:rFonts w:ascii="Arabic Typesetting" w:hAnsi="Arabic Typesetting" w:cs="Arabic Typesetting"/>
          <w:sz w:val="30"/>
          <w:szCs w:val="30"/>
          <w:rtl/>
        </w:rPr>
        <w:sectPr w:rsidR="00E16243" w:rsidSect="00CB5BDF">
          <w:headerReference w:type="first" r:id="rId63"/>
          <w:pgSz w:w="11907" w:h="16840" w:code="9"/>
          <w:pgMar w:top="567" w:right="1418" w:bottom="1418" w:left="1134" w:header="510" w:footer="1021" w:gutter="0"/>
          <w:pgNumType w:start="2"/>
          <w:cols w:space="720"/>
          <w:titlePg/>
          <w:docGrid w:linePitch="299"/>
        </w:sectPr>
      </w:pPr>
    </w:p>
    <w:p w14:paraId="7E7ACC5C" w14:textId="4B9A1EC0" w:rsidR="00E16243" w:rsidRPr="00945A2A" w:rsidRDefault="00E16243" w:rsidP="00016D4A">
      <w:pPr>
        <w:bidi/>
        <w:spacing w:after="240" w:line="360" w:lineRule="exact"/>
        <w:ind w:left="821"/>
        <w:rPr>
          <w:rFonts w:ascii="Arabic Typesetting" w:hAnsi="Arabic Typesetting" w:cs="Arabic Typesetting"/>
          <w:sz w:val="36"/>
          <w:szCs w:val="36"/>
          <w:u w:val="single"/>
          <w:rtl/>
        </w:rPr>
      </w:pPr>
      <w:r w:rsidRPr="00945A2A">
        <w:rPr>
          <w:rFonts w:ascii="Arabic Typesetting" w:hAnsi="Arabic Typesetting" w:cs="Arabic Typesetting" w:hint="cs"/>
          <w:sz w:val="36"/>
          <w:szCs w:val="36"/>
          <w:u w:val="single"/>
          <w:rtl/>
        </w:rPr>
        <w:lastRenderedPageBreak/>
        <w:t xml:space="preserve">التحركات الخاصة بالأراضي والمباني في سنة </w:t>
      </w:r>
      <w:r w:rsidR="00F84044" w:rsidRPr="00945A2A">
        <w:rPr>
          <w:rFonts w:ascii="Arabic Typesetting" w:hAnsi="Arabic Typesetting" w:cs="Arabic Typesetting" w:hint="cs"/>
          <w:sz w:val="36"/>
          <w:szCs w:val="36"/>
          <w:u w:val="single"/>
          <w:rtl/>
        </w:rPr>
        <w:t>2014</w:t>
      </w:r>
      <w:r w:rsidR="00D91942" w:rsidRPr="00945A2A">
        <w:rPr>
          <w:rFonts w:ascii="Arabic Typesetting" w:hAnsi="Arabic Typesetting" w:cs="Arabic Typesetting" w:hint="cs"/>
          <w:sz w:val="36"/>
          <w:szCs w:val="36"/>
          <w:rtl/>
        </w:rPr>
        <w:t>:</w:t>
      </w:r>
    </w:p>
    <w:p w14:paraId="47FEE9AC" w14:textId="5F039692" w:rsidR="003439D1" w:rsidRDefault="00934D53" w:rsidP="00934D53">
      <w:pPr>
        <w:bidi/>
        <w:spacing w:after="240"/>
        <w:ind w:left="822"/>
        <w:jc w:val="center"/>
        <w:rPr>
          <w:rFonts w:ascii="Arabic Typesetting" w:hAnsi="Arabic Typesetting" w:cs="Arabic Typesetting"/>
          <w:sz w:val="36"/>
          <w:szCs w:val="36"/>
          <w:rtl/>
        </w:rPr>
      </w:pPr>
      <w:r w:rsidRPr="00934D53">
        <w:rPr>
          <w:noProof/>
          <w:szCs w:val="22"/>
          <w:rtl/>
        </w:rPr>
        <w:drawing>
          <wp:inline distT="0" distB="0" distL="0" distR="0" wp14:anchorId="744CDBED" wp14:editId="153F13DA">
            <wp:extent cx="9072880" cy="4300582"/>
            <wp:effectExtent l="0" t="0" r="0" b="508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072880" cy="4300582"/>
                    </a:xfrm>
                    <a:prstGeom prst="rect">
                      <a:avLst/>
                    </a:prstGeom>
                    <a:noFill/>
                    <a:ln>
                      <a:noFill/>
                    </a:ln>
                  </pic:spPr>
                </pic:pic>
              </a:graphicData>
            </a:graphic>
          </wp:inline>
        </w:drawing>
      </w:r>
    </w:p>
    <w:p w14:paraId="195735E4" w14:textId="0DFD4F3C" w:rsidR="003439D1" w:rsidRPr="00945A2A" w:rsidRDefault="003439D1" w:rsidP="00016D4A">
      <w:pPr>
        <w:keepNext/>
        <w:keepLines/>
        <w:bidi/>
        <w:spacing w:after="240" w:line="360" w:lineRule="exact"/>
        <w:ind w:left="822"/>
        <w:rPr>
          <w:rFonts w:ascii="Arabic Typesetting" w:hAnsi="Arabic Typesetting" w:cs="Arabic Typesetting"/>
          <w:sz w:val="36"/>
          <w:szCs w:val="36"/>
          <w:u w:val="single"/>
          <w:rtl/>
        </w:rPr>
      </w:pPr>
      <w:r w:rsidRPr="00945A2A">
        <w:rPr>
          <w:rFonts w:ascii="Arabic Typesetting" w:hAnsi="Arabic Typesetting" w:cs="Arabic Typesetting" w:hint="cs"/>
          <w:color w:val="000000"/>
          <w:sz w:val="36"/>
          <w:szCs w:val="36"/>
          <w:u w:val="single"/>
          <w:rtl/>
        </w:rPr>
        <w:lastRenderedPageBreak/>
        <w:t>التحركات في</w:t>
      </w:r>
      <w:r w:rsidRPr="00945A2A">
        <w:rPr>
          <w:rFonts w:ascii="Arabic Typesetting" w:hAnsi="Arabic Typesetting" w:cs="Arabic Typesetting"/>
          <w:color w:val="000000"/>
          <w:sz w:val="36"/>
          <w:szCs w:val="36"/>
          <w:u w:val="single"/>
          <w:rtl/>
        </w:rPr>
        <w:t xml:space="preserve"> الأراضي والمباني في السنة السابقة </w:t>
      </w:r>
      <w:r w:rsidR="00F84044" w:rsidRPr="00945A2A">
        <w:rPr>
          <w:rFonts w:ascii="Arabic Typesetting" w:hAnsi="Arabic Typesetting" w:cs="Arabic Typesetting" w:hint="cs"/>
          <w:color w:val="000000"/>
          <w:sz w:val="36"/>
          <w:szCs w:val="36"/>
          <w:u w:val="single"/>
          <w:rtl/>
        </w:rPr>
        <w:t>2013</w:t>
      </w:r>
      <w:r w:rsidRPr="00945A2A">
        <w:rPr>
          <w:rFonts w:ascii="Arabic Typesetting" w:hAnsi="Arabic Typesetting" w:cs="Arabic Typesetting"/>
          <w:color w:val="000000"/>
          <w:sz w:val="36"/>
          <w:szCs w:val="36"/>
          <w:rtl/>
        </w:rPr>
        <w:t>:</w:t>
      </w:r>
    </w:p>
    <w:p w14:paraId="41BB2D77" w14:textId="0087D81E" w:rsidR="00E16243" w:rsidRDefault="00934D53" w:rsidP="00701215">
      <w:pPr>
        <w:bidi/>
        <w:spacing w:after="240"/>
        <w:rPr>
          <w:rFonts w:ascii="Arabic Typesetting" w:hAnsi="Arabic Typesetting" w:cs="Arabic Typesetting"/>
          <w:sz w:val="36"/>
          <w:szCs w:val="36"/>
          <w:rtl/>
        </w:rPr>
      </w:pPr>
      <w:r w:rsidRPr="00934D53">
        <w:rPr>
          <w:noProof/>
          <w:szCs w:val="22"/>
          <w:rtl/>
        </w:rPr>
        <w:drawing>
          <wp:inline distT="0" distB="0" distL="0" distR="0" wp14:anchorId="5A839F5C" wp14:editId="7B02ECB3">
            <wp:extent cx="9072880" cy="3964311"/>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072880" cy="3964311"/>
                    </a:xfrm>
                    <a:prstGeom prst="rect">
                      <a:avLst/>
                    </a:prstGeom>
                    <a:noFill/>
                    <a:ln>
                      <a:noFill/>
                    </a:ln>
                  </pic:spPr>
                </pic:pic>
              </a:graphicData>
            </a:graphic>
          </wp:inline>
        </w:drawing>
      </w:r>
    </w:p>
    <w:p w14:paraId="630AE473" w14:textId="77777777" w:rsidR="00E16243" w:rsidRDefault="00E16243" w:rsidP="00E16243">
      <w:pPr>
        <w:bidi/>
        <w:spacing w:after="240" w:line="360" w:lineRule="exact"/>
        <w:rPr>
          <w:rFonts w:ascii="Arabic Typesetting" w:hAnsi="Arabic Typesetting" w:cs="Arabic Typesetting"/>
          <w:b/>
          <w:bCs/>
          <w:sz w:val="44"/>
          <w:szCs w:val="44"/>
          <w:lang w:bidi="ar-EG"/>
        </w:rPr>
      </w:pPr>
    </w:p>
    <w:p w14:paraId="33EAFE73" w14:textId="77777777" w:rsidR="00E16243" w:rsidRDefault="00E16243" w:rsidP="00E16243">
      <w:pPr>
        <w:bidi/>
        <w:spacing w:after="240" w:line="360" w:lineRule="exact"/>
        <w:rPr>
          <w:rFonts w:ascii="Arabic Typesetting" w:hAnsi="Arabic Typesetting" w:cs="Arabic Typesetting"/>
          <w:b/>
          <w:bCs/>
          <w:sz w:val="44"/>
          <w:szCs w:val="44"/>
        </w:rPr>
        <w:sectPr w:rsidR="00E16243" w:rsidSect="001051A8">
          <w:headerReference w:type="first" r:id="rId66"/>
          <w:pgSz w:w="16840" w:h="11907" w:orient="landscape" w:code="9"/>
          <w:pgMar w:top="1134" w:right="1418" w:bottom="1418" w:left="1134" w:header="510" w:footer="1021" w:gutter="0"/>
          <w:cols w:space="720"/>
          <w:docGrid w:linePitch="299"/>
        </w:sectPr>
      </w:pPr>
    </w:p>
    <w:p w14:paraId="5930401E" w14:textId="77777777" w:rsidR="00E16243" w:rsidRPr="00D159E7" w:rsidRDefault="00E16243" w:rsidP="00687571">
      <w:pPr>
        <w:pStyle w:val="Heading2"/>
        <w:tabs>
          <w:tab w:val="left" w:pos="1417"/>
        </w:tabs>
        <w:bidi/>
        <w:rPr>
          <w:rFonts w:ascii="Arabic Typesetting" w:hAnsi="Arabic Typesetting" w:cs="Arabic Typesetting"/>
          <w:sz w:val="40"/>
          <w:szCs w:val="40"/>
          <w:rtl/>
        </w:rPr>
      </w:pPr>
      <w:bookmarkStart w:id="27" w:name="_Toc362519108"/>
      <w:r w:rsidRPr="002869C3">
        <w:rPr>
          <w:rFonts w:ascii="Arabic Typesetting" w:hAnsi="Arabic Typesetting" w:cs="Arabic Typesetting" w:hint="cs"/>
          <w:i/>
          <w:iCs w:val="0"/>
          <w:sz w:val="40"/>
          <w:szCs w:val="40"/>
          <w:rtl/>
        </w:rPr>
        <w:lastRenderedPageBreak/>
        <w:t>الملاحظة 10:</w:t>
      </w:r>
      <w:r w:rsidR="00687571">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أصول أخرى غير متداولة</w:t>
      </w:r>
      <w:bookmarkEnd w:id="27"/>
    </w:p>
    <w:p w14:paraId="2B189D89" w14:textId="79F423D5" w:rsidR="00E16243" w:rsidRDefault="00934D53" w:rsidP="00701215">
      <w:pPr>
        <w:pStyle w:val="NormalParaAR"/>
        <w:spacing w:line="240" w:lineRule="auto"/>
        <w:rPr>
          <w:rtl/>
        </w:rPr>
      </w:pPr>
      <w:r w:rsidRPr="00934D53">
        <w:rPr>
          <w:noProof/>
          <w:rtl/>
        </w:rPr>
        <w:drawing>
          <wp:inline distT="0" distB="0" distL="0" distR="0" wp14:anchorId="664B2A93" wp14:editId="74CD1038">
            <wp:extent cx="5884545" cy="1185545"/>
            <wp:effectExtent l="0" t="0" r="1905"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884545" cy="1185545"/>
                    </a:xfrm>
                    <a:prstGeom prst="rect">
                      <a:avLst/>
                    </a:prstGeom>
                    <a:noFill/>
                    <a:ln>
                      <a:noFill/>
                    </a:ln>
                  </pic:spPr>
                </pic:pic>
              </a:graphicData>
            </a:graphic>
          </wp:inline>
        </w:drawing>
      </w:r>
    </w:p>
    <w:p w14:paraId="6A60540E" w14:textId="1889B965" w:rsidR="00E16243" w:rsidRDefault="00E16243" w:rsidP="00525C9F">
      <w:pPr>
        <w:pStyle w:val="NormalParaAR"/>
        <w:spacing w:before="240"/>
        <w:rPr>
          <w:rtl/>
        </w:rPr>
      </w:pPr>
      <w:r>
        <w:rPr>
          <w:rFonts w:hint="cs"/>
          <w:rtl/>
        </w:rPr>
        <w:t xml:space="preserve">أبرمت المنظمة </w:t>
      </w:r>
      <w:r w:rsidRPr="00A669AB">
        <w:rPr>
          <w:color w:val="000000"/>
          <w:rtl/>
        </w:rPr>
        <w:t>في عام 1991 اتفاقية مع مؤسسة مركز جنيف الدولي (</w:t>
      </w:r>
      <w:r w:rsidRPr="00A669AB">
        <w:rPr>
          <w:color w:val="000000"/>
        </w:rPr>
        <w:t>FCIG</w:t>
      </w:r>
      <w:r w:rsidRPr="00A669AB">
        <w:rPr>
          <w:color w:val="000000"/>
          <w:rtl/>
          <w:lang w:bidi="ar-EG"/>
        </w:rPr>
        <w:t xml:space="preserve">) بشأن </w:t>
      </w:r>
      <w:r w:rsidRPr="00A669AB">
        <w:rPr>
          <w:color w:val="000000"/>
          <w:rtl/>
        </w:rPr>
        <w:t xml:space="preserve">تشييد مبنى في شارع موريون في جنيف بسويسرا بتكلفة إجمالية قدرها </w:t>
      </w:r>
      <w:r w:rsidR="00B87F70">
        <w:rPr>
          <w:rFonts w:hint="cs"/>
          <w:color w:val="000000"/>
          <w:rtl/>
        </w:rPr>
        <w:t>20.4</w:t>
      </w:r>
      <w:r w:rsidRPr="00A669AB">
        <w:rPr>
          <w:color w:val="000000"/>
          <w:rtl/>
        </w:rPr>
        <w:t xml:space="preserve"> مليون فرنك سويسري. </w:t>
      </w:r>
      <w:r>
        <w:rPr>
          <w:rFonts w:hint="cs"/>
          <w:color w:val="000000"/>
          <w:rtl/>
        </w:rPr>
        <w:t>و</w:t>
      </w:r>
      <w:r w:rsidRPr="00A669AB">
        <w:rPr>
          <w:color w:val="000000"/>
          <w:rtl/>
        </w:rPr>
        <w:t xml:space="preserve">نصت الاتفاقية على </w:t>
      </w:r>
      <w:r w:rsidRPr="00525C9F">
        <w:rPr>
          <w:rtl/>
        </w:rPr>
        <w:t>قيام</w:t>
      </w:r>
      <w:r w:rsidRPr="00A669AB">
        <w:rPr>
          <w:color w:val="000000"/>
          <w:rtl/>
        </w:rPr>
        <w:t xml:space="preserve"> "المنظمة" بسداد دفعة </w:t>
      </w:r>
      <w:r w:rsidR="00B87F70">
        <w:rPr>
          <w:rFonts w:hint="cs"/>
          <w:color w:val="000000"/>
          <w:rtl/>
        </w:rPr>
        <w:t xml:space="preserve">أولية </w:t>
      </w:r>
      <w:r w:rsidRPr="00A669AB">
        <w:rPr>
          <w:color w:val="000000"/>
          <w:rtl/>
        </w:rPr>
        <w:t xml:space="preserve">مقدمة بمبلغ </w:t>
      </w:r>
      <w:r w:rsidR="00B87F70">
        <w:rPr>
          <w:rFonts w:hint="cs"/>
          <w:color w:val="000000"/>
          <w:rtl/>
        </w:rPr>
        <w:t>10.0</w:t>
      </w:r>
      <w:r w:rsidRPr="00A669AB">
        <w:rPr>
          <w:color w:val="000000"/>
          <w:rtl/>
        </w:rPr>
        <w:t xml:space="preserve"> مل</w:t>
      </w:r>
      <w:r w:rsidR="00B87F70">
        <w:rPr>
          <w:rFonts w:hint="cs"/>
          <w:color w:val="000000"/>
          <w:rtl/>
        </w:rPr>
        <w:t>ايين</w:t>
      </w:r>
      <w:r w:rsidRPr="00A669AB">
        <w:rPr>
          <w:color w:val="000000"/>
          <w:rtl/>
        </w:rPr>
        <w:t xml:space="preserve"> فرنك سويسري</w:t>
      </w:r>
      <w:r w:rsidR="00B87F70">
        <w:rPr>
          <w:rFonts w:hint="cs"/>
          <w:color w:val="000000"/>
          <w:rtl/>
        </w:rPr>
        <w:t xml:space="preserve"> إضافة إلى دفعة أخرى قدرها مليون فرنك سويسري تخص الفائدة على الدفعة الأولى ما يؤدي إلى دفعة مقدمة إجمالية قدرها 11 مليون فرنك سويسري. وغطى</w:t>
      </w:r>
      <w:r w:rsidRPr="00A669AB">
        <w:rPr>
          <w:color w:val="000000"/>
          <w:rtl/>
        </w:rPr>
        <w:t xml:space="preserve"> رصيد تكلفة البناء بقرض </w:t>
      </w:r>
      <w:r>
        <w:rPr>
          <w:rFonts w:hint="cs"/>
          <w:color w:val="000000"/>
          <w:rtl/>
        </w:rPr>
        <w:t xml:space="preserve">بضمان </w:t>
      </w:r>
      <w:r w:rsidRPr="00A669AB">
        <w:rPr>
          <w:color w:val="000000"/>
          <w:rtl/>
        </w:rPr>
        <w:t>رهن عقاري بين مؤسسة مركز جنيف الدولي وبنك ك</w:t>
      </w:r>
      <w:r>
        <w:rPr>
          <w:rFonts w:hint="cs"/>
          <w:color w:val="000000"/>
          <w:rtl/>
        </w:rPr>
        <w:t>ا</w:t>
      </w:r>
      <w:r w:rsidRPr="00A669AB">
        <w:rPr>
          <w:color w:val="000000"/>
          <w:rtl/>
        </w:rPr>
        <w:t xml:space="preserve">نتون جنيف. وفي ذلك التاريخ، أبرمت "المنظمة" أيضا اتفاقاً لاستئجار المبنى من المؤسسة. </w:t>
      </w:r>
      <w:r>
        <w:rPr>
          <w:rFonts w:hint="cs"/>
          <w:color w:val="000000"/>
          <w:rtl/>
        </w:rPr>
        <w:t>و</w:t>
      </w:r>
      <w:r w:rsidR="00630846">
        <w:rPr>
          <w:rFonts w:hint="cs"/>
          <w:color w:val="000000"/>
          <w:rtl/>
        </w:rPr>
        <w:t>جُدِّد</w:t>
      </w:r>
      <w:r w:rsidRPr="00A669AB">
        <w:rPr>
          <w:color w:val="000000"/>
          <w:rtl/>
        </w:rPr>
        <w:t xml:space="preserve"> عقد الإيجار لمدة سبع سنوات اعتبارا من 1 يناير 2012</w:t>
      </w:r>
      <w:r>
        <w:rPr>
          <w:rFonts w:hint="cs"/>
          <w:rtl/>
        </w:rPr>
        <w:t>.</w:t>
      </w:r>
    </w:p>
    <w:p w14:paraId="5A9F4698" w14:textId="2FCE1A19" w:rsidR="00F52747" w:rsidRDefault="00E16243" w:rsidP="00630846">
      <w:pPr>
        <w:pStyle w:val="NormalParaAR"/>
        <w:rPr>
          <w:color w:val="000000"/>
          <w:rtl/>
        </w:rPr>
      </w:pPr>
      <w:r>
        <w:rPr>
          <w:rFonts w:hint="cs"/>
          <w:rtl/>
        </w:rPr>
        <w:t xml:space="preserve">وبموجب </w:t>
      </w:r>
      <w:r w:rsidRPr="00A669AB">
        <w:rPr>
          <w:color w:val="000000"/>
          <w:rtl/>
        </w:rPr>
        <w:t xml:space="preserve">اتفاقية التأجير الحالية بين "المنظمة" ومؤسسة مركز جنيف الدولي، يكون لكلا الطرفين الحق في إنهاء عقد الإيجار في أي وقت من خلال اتفاق متبادل </w:t>
      </w:r>
      <w:r w:rsidR="00630846">
        <w:rPr>
          <w:rFonts w:hint="cs"/>
          <w:color w:val="000000"/>
          <w:rtl/>
        </w:rPr>
        <w:t>يُبرم</w:t>
      </w:r>
      <w:r w:rsidRPr="00A669AB">
        <w:rPr>
          <w:color w:val="000000"/>
          <w:rtl/>
        </w:rPr>
        <w:t xml:space="preserve"> كتابةً. </w:t>
      </w:r>
      <w:r>
        <w:rPr>
          <w:rFonts w:hint="cs"/>
          <w:color w:val="000000"/>
          <w:rtl/>
        </w:rPr>
        <w:t>و</w:t>
      </w:r>
      <w:r w:rsidRPr="00A669AB">
        <w:rPr>
          <w:color w:val="000000"/>
          <w:rtl/>
        </w:rPr>
        <w:t xml:space="preserve">يتساوى مبلغ الإيجار السنوي المستحق الدفع من قبل الويبو مع دفعات السداد السنوية لتسوية الرهن العقاري بين المؤسسة وبنك كانتون جنيف (الفائدة بالإضافة إلى دفعات سداد أصل القرض). وعلى هذا الأساس، بلغ الإيجار المدفوع من الويبو خلال عام </w:t>
      </w:r>
      <w:r w:rsidR="00B87F70">
        <w:rPr>
          <w:rFonts w:hint="cs"/>
          <w:color w:val="000000"/>
          <w:rtl/>
        </w:rPr>
        <w:t>2014</w:t>
      </w:r>
      <w:r w:rsidRPr="00A669AB">
        <w:rPr>
          <w:color w:val="000000"/>
          <w:rtl/>
        </w:rPr>
        <w:t xml:space="preserve"> مبلغ</w:t>
      </w:r>
      <w:r w:rsidR="00B87F70">
        <w:rPr>
          <w:rFonts w:hint="cs"/>
          <w:color w:val="000000"/>
          <w:rtl/>
        </w:rPr>
        <w:t xml:space="preserve"> 124 234 فرنكاً سويسرياً (709</w:t>
      </w:r>
      <w:r w:rsidR="00C47903">
        <w:rPr>
          <w:rFonts w:hint="cs"/>
          <w:color w:val="000000"/>
          <w:rtl/>
        </w:rPr>
        <w:t> </w:t>
      </w:r>
      <w:r w:rsidR="00C47903" w:rsidRPr="00A669AB">
        <w:rPr>
          <w:color w:val="000000"/>
          <w:rtl/>
        </w:rPr>
        <w:t>2</w:t>
      </w:r>
      <w:r w:rsidR="00C47903">
        <w:rPr>
          <w:rFonts w:hint="cs"/>
          <w:color w:val="000000"/>
          <w:rtl/>
          <w:lang w:bidi="ar-EG"/>
        </w:rPr>
        <w:t>35 فرنكا</w:t>
      </w:r>
      <w:r w:rsidR="00B87F70">
        <w:rPr>
          <w:rFonts w:hint="cs"/>
          <w:color w:val="000000"/>
          <w:rtl/>
          <w:lang w:bidi="ar-EG"/>
        </w:rPr>
        <w:t>ت سويسرية في 2013)</w:t>
      </w:r>
      <w:r w:rsidRPr="00A669AB">
        <w:rPr>
          <w:color w:val="000000"/>
          <w:rtl/>
        </w:rPr>
        <w:t xml:space="preserve">. </w:t>
      </w:r>
      <w:r>
        <w:rPr>
          <w:rFonts w:hint="cs"/>
          <w:color w:val="000000"/>
          <w:rtl/>
        </w:rPr>
        <w:t>و</w:t>
      </w:r>
      <w:r w:rsidRPr="00A669AB">
        <w:rPr>
          <w:color w:val="000000"/>
          <w:rtl/>
        </w:rPr>
        <w:t>نسبة الفائدة الحالية 1.48</w:t>
      </w:r>
      <w:r>
        <w:rPr>
          <w:rFonts w:hint="cs"/>
          <w:color w:val="000000"/>
          <w:rtl/>
        </w:rPr>
        <w:t xml:space="preserve"> </w:t>
      </w:r>
      <w:r w:rsidR="00257637">
        <w:rPr>
          <w:rFonts w:hint="cs"/>
          <w:color w:val="000000"/>
          <w:rtl/>
        </w:rPr>
        <w:t>بالمئة</w:t>
      </w:r>
      <w:r w:rsidRPr="00A669AB">
        <w:rPr>
          <w:color w:val="000000"/>
          <w:rtl/>
        </w:rPr>
        <w:t>، وهي نسبة ثابتة حتى 31 ديسمبر 2018، واعتباراً من 1 يناير 2012، تتحمل الويبو أيضا رسم استهلاك سنوي</w:t>
      </w:r>
      <w:r>
        <w:rPr>
          <w:rFonts w:hint="cs"/>
          <w:color w:val="000000"/>
          <w:rtl/>
        </w:rPr>
        <w:t xml:space="preserve"> للقرض</w:t>
      </w:r>
      <w:r w:rsidRPr="00A669AB">
        <w:rPr>
          <w:color w:val="000000"/>
          <w:rtl/>
        </w:rPr>
        <w:t xml:space="preserve"> بقيمة 679</w:t>
      </w:r>
      <w:r>
        <w:rPr>
          <w:rFonts w:hint="cs"/>
          <w:color w:val="000000"/>
          <w:rtl/>
        </w:rPr>
        <w:t> </w:t>
      </w:r>
      <w:r w:rsidRPr="00A669AB">
        <w:rPr>
          <w:color w:val="000000"/>
          <w:rtl/>
        </w:rPr>
        <w:t>188 فرنك سويسري مقابل</w:t>
      </w:r>
      <w:r w:rsidR="00F52747">
        <w:rPr>
          <w:rFonts w:hint="cs"/>
          <w:color w:val="000000"/>
          <w:rtl/>
        </w:rPr>
        <w:t xml:space="preserve"> الدفعة المقدمة إلى مؤسسة مركز جنيف الدولي. وفضلاً عن ذلك، تؤجر المنظمة</w:t>
      </w:r>
      <w:r w:rsidR="00960C54">
        <w:rPr>
          <w:rFonts w:hint="cs"/>
          <w:color w:val="000000"/>
          <w:rtl/>
        </w:rPr>
        <w:t xml:space="preserve"> أماكن </w:t>
      </w:r>
      <w:r w:rsidR="00960C54" w:rsidRPr="00960C54">
        <w:rPr>
          <w:color w:val="000000"/>
          <w:rtl/>
        </w:rPr>
        <w:t>توقيف السيارات</w:t>
      </w:r>
      <w:r w:rsidR="00960C54">
        <w:rPr>
          <w:rFonts w:hint="cs"/>
          <w:color w:val="000000"/>
          <w:rtl/>
        </w:rPr>
        <w:t xml:space="preserve"> الداخلية بتكلفة سنوية قدرها 452 148 فرنكاً سويسرياً. وفي حال عدم إنهاء اتفاق التأجير بالتراضي بين الطرفين، ستكون مدفوعات الويبو المستقبلية (بما فيها تسديد الإيجار، واستهلاك الدفعة المقدمة وتأجير أماكن توقيف السيارات) حتى نهاية العقد في 2018 على النحو التالي:</w:t>
      </w:r>
    </w:p>
    <w:p w14:paraId="4A2AF1AA" w14:textId="4845FD95" w:rsidR="00960C54" w:rsidRDefault="00934D53" w:rsidP="00934D53">
      <w:pPr>
        <w:pStyle w:val="NormalParaAR"/>
        <w:spacing w:line="240" w:lineRule="auto"/>
        <w:jc w:val="center"/>
        <w:rPr>
          <w:color w:val="000000"/>
          <w:rtl/>
        </w:rPr>
      </w:pPr>
      <w:r w:rsidRPr="00934D53">
        <w:rPr>
          <w:rFonts w:hint="cs"/>
          <w:noProof/>
          <w:rtl/>
        </w:rPr>
        <w:drawing>
          <wp:inline distT="0" distB="0" distL="0" distR="0" wp14:anchorId="248764EE" wp14:editId="12E0771B">
            <wp:extent cx="5740400" cy="1176655"/>
            <wp:effectExtent l="0" t="0" r="0" b="4445"/>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740400" cy="1176655"/>
                    </a:xfrm>
                    <a:prstGeom prst="rect">
                      <a:avLst/>
                    </a:prstGeom>
                    <a:noFill/>
                    <a:ln>
                      <a:noFill/>
                    </a:ln>
                  </pic:spPr>
                </pic:pic>
              </a:graphicData>
            </a:graphic>
          </wp:inline>
        </w:drawing>
      </w:r>
    </w:p>
    <w:p w14:paraId="0C857B46" w14:textId="13ED37D2" w:rsidR="00E16243" w:rsidRDefault="00E16243" w:rsidP="00960C54">
      <w:pPr>
        <w:pStyle w:val="NormalParaAR"/>
        <w:rPr>
          <w:rtl/>
        </w:rPr>
      </w:pPr>
      <w:r>
        <w:rPr>
          <w:rFonts w:hint="cs"/>
          <w:color w:val="000000"/>
          <w:rtl/>
        </w:rPr>
        <w:t>و</w:t>
      </w:r>
      <w:r w:rsidRPr="00A669AB">
        <w:rPr>
          <w:color w:val="000000"/>
          <w:rtl/>
        </w:rPr>
        <w:t xml:space="preserve">عند إخلاء المباني، تسترد الويبو الباقي من </w:t>
      </w:r>
      <w:r w:rsidR="00960C54">
        <w:rPr>
          <w:rFonts w:hint="cs"/>
          <w:color w:val="000000"/>
          <w:rtl/>
        </w:rPr>
        <w:t>الدفعة المقدمة البالغة 11.0 مليون فرنك سويسري</w:t>
      </w:r>
      <w:r w:rsidRPr="00A669AB">
        <w:rPr>
          <w:color w:val="000000"/>
          <w:rtl/>
        </w:rPr>
        <w:t xml:space="preserve"> بعد خصم القيمة المستهلكة. كما تحتفظ مؤسسة مركز جنيف الدولي</w:t>
      </w:r>
      <w:r w:rsidRPr="00A669AB">
        <w:rPr>
          <w:color w:val="000000"/>
          <w:rtl/>
          <w:lang w:bidi="ar-EG"/>
        </w:rPr>
        <w:t xml:space="preserve"> بمبلغ </w:t>
      </w:r>
      <w:r w:rsidRPr="00A669AB">
        <w:rPr>
          <w:color w:val="000000"/>
          <w:rtl/>
        </w:rPr>
        <w:t>1 مليون فرنك سويسري</w:t>
      </w:r>
      <w:r w:rsidR="00960C54">
        <w:rPr>
          <w:rFonts w:hint="cs"/>
          <w:color w:val="000000"/>
          <w:rtl/>
        </w:rPr>
        <w:t xml:space="preserve"> من المبلغ المقدم</w:t>
      </w:r>
      <w:r w:rsidRPr="00A669AB">
        <w:rPr>
          <w:color w:val="000000"/>
          <w:rtl/>
        </w:rPr>
        <w:t xml:space="preserve"> لاستعادة المبنى إلى حالته الأصلية</w:t>
      </w:r>
      <w:r>
        <w:rPr>
          <w:rFonts w:hint="cs"/>
          <w:rtl/>
        </w:rPr>
        <w:t>.</w:t>
      </w:r>
    </w:p>
    <w:p w14:paraId="77D6EC44" w14:textId="3DF7298C" w:rsidR="00C43FF7" w:rsidRDefault="00C43FF7" w:rsidP="00960C54">
      <w:pPr>
        <w:pStyle w:val="NormalParaAR"/>
        <w:rPr>
          <w:rtl/>
          <w:lang w:bidi="ar-EG"/>
        </w:rPr>
      </w:pPr>
      <w:r>
        <w:rPr>
          <w:rFonts w:hint="cs"/>
          <w:rtl/>
        </w:rPr>
        <w:t xml:space="preserve">ولأغراض العرض في البيانات المالية، تعامَل القيمة الإجمالية </w:t>
      </w:r>
      <w:r w:rsidR="00960C54">
        <w:rPr>
          <w:rFonts w:hint="cs"/>
          <w:rtl/>
        </w:rPr>
        <w:t>ال</w:t>
      </w:r>
      <w:r>
        <w:rPr>
          <w:rFonts w:hint="cs"/>
          <w:rtl/>
        </w:rPr>
        <w:t xml:space="preserve">استهلاك على أنها </w:t>
      </w:r>
      <w:r w:rsidR="00960C54">
        <w:rPr>
          <w:rFonts w:hint="cs"/>
          <w:rtl/>
        </w:rPr>
        <w:t>دفعة مقدمة للإيجار</w:t>
      </w:r>
      <w:r w:rsidR="004963C8">
        <w:rPr>
          <w:rFonts w:hint="cs"/>
          <w:rtl/>
          <w:lang w:bidi="ar-EG"/>
        </w:rPr>
        <w:t xml:space="preserve">، وتقسم إلى قسمين أحدهما الجزء المتداول منها (انظر الملاحظة 4) والآخر هو الجزء غير المتداول. </w:t>
      </w:r>
      <w:r w:rsidR="004B4FFA">
        <w:rPr>
          <w:rFonts w:hint="cs"/>
          <w:rtl/>
          <w:lang w:bidi="ar-EG"/>
        </w:rPr>
        <w:t xml:space="preserve">وبلغ إجمالي قيمة </w:t>
      </w:r>
      <w:r w:rsidR="00960C54">
        <w:rPr>
          <w:rFonts w:hint="cs"/>
          <w:rtl/>
          <w:lang w:bidi="ar-EG"/>
        </w:rPr>
        <w:t>هذه الدفعة المقدمة</w:t>
      </w:r>
      <w:r w:rsidR="004B4FFA">
        <w:rPr>
          <w:rFonts w:hint="cs"/>
          <w:rtl/>
          <w:lang w:bidi="ar-EG"/>
        </w:rPr>
        <w:t xml:space="preserve"> 0.</w:t>
      </w:r>
      <w:r w:rsidR="00960C54">
        <w:rPr>
          <w:rFonts w:hint="cs"/>
          <w:rtl/>
          <w:lang w:bidi="ar-EG"/>
        </w:rPr>
        <w:t>8</w:t>
      </w:r>
      <w:r w:rsidR="004B4FFA">
        <w:rPr>
          <w:rFonts w:hint="cs"/>
          <w:rtl/>
          <w:lang w:bidi="ar-EG"/>
        </w:rPr>
        <w:t xml:space="preserve"> مليون فرنك سويسري </w:t>
      </w:r>
      <w:r w:rsidR="00BA2A47">
        <w:rPr>
          <w:rFonts w:hint="cs"/>
          <w:rtl/>
          <w:lang w:bidi="ar-EG"/>
        </w:rPr>
        <w:t xml:space="preserve">في 31 ديسمبر </w:t>
      </w:r>
      <w:r w:rsidR="00960C54">
        <w:rPr>
          <w:rFonts w:hint="cs"/>
          <w:rtl/>
          <w:lang w:bidi="ar-EG"/>
        </w:rPr>
        <w:t>2014</w:t>
      </w:r>
      <w:r w:rsidR="00BA2A47">
        <w:rPr>
          <w:rFonts w:hint="cs"/>
          <w:rtl/>
          <w:lang w:bidi="ar-EG"/>
        </w:rPr>
        <w:t>. ويعامَل باقي رصيد</w:t>
      </w:r>
      <w:r w:rsidR="00960C54">
        <w:rPr>
          <w:rFonts w:hint="cs"/>
          <w:rtl/>
          <w:lang w:bidi="ar-EG"/>
        </w:rPr>
        <w:t xml:space="preserve"> دفعة الويبو المقدمة إلى مؤسسة مركز جنيف الدولي</w:t>
      </w:r>
      <w:r w:rsidR="00BA2A47">
        <w:rPr>
          <w:rFonts w:hint="cs"/>
          <w:rtl/>
          <w:lang w:bidi="ar-EG"/>
        </w:rPr>
        <w:t xml:space="preserve"> على أنه</w:t>
      </w:r>
      <w:r w:rsidR="00960C54">
        <w:rPr>
          <w:rFonts w:hint="cs"/>
          <w:rtl/>
          <w:lang w:bidi="ar-EG"/>
        </w:rPr>
        <w:t>ا</w:t>
      </w:r>
      <w:r w:rsidR="00BA2A47">
        <w:rPr>
          <w:rFonts w:hint="cs"/>
          <w:rtl/>
          <w:lang w:bidi="ar-EG"/>
        </w:rPr>
        <w:t xml:space="preserve"> قرض ميسر </w:t>
      </w:r>
      <w:r w:rsidR="002B3DBD">
        <w:rPr>
          <w:rFonts w:hint="cs"/>
          <w:rtl/>
          <w:lang w:bidi="ar-EG"/>
        </w:rPr>
        <w:t xml:space="preserve">وفقاً </w:t>
      </w:r>
      <w:r w:rsidR="00BA2A47">
        <w:rPr>
          <w:rFonts w:hint="cs"/>
          <w:rtl/>
          <w:lang w:bidi="ar-EG"/>
        </w:rPr>
        <w:t>ل</w:t>
      </w:r>
      <w:r w:rsidR="00BA2A47" w:rsidRPr="00944313">
        <w:rPr>
          <w:rFonts w:hint="cs"/>
          <w:rtl/>
        </w:rPr>
        <w:t>لمعايير المحاسبية الدولية للقطاع العام</w:t>
      </w:r>
      <w:r w:rsidR="00BA2A47">
        <w:rPr>
          <w:rFonts w:hint="cs"/>
          <w:rtl/>
        </w:rPr>
        <w:t xml:space="preserve"> ويقاس بالتكلفة المستهلكة. </w:t>
      </w:r>
      <w:r w:rsidR="006721E0">
        <w:rPr>
          <w:rFonts w:hint="cs"/>
          <w:rtl/>
        </w:rPr>
        <w:t xml:space="preserve">ويقيد العنصر المعفي من الفوائد من القرض </w:t>
      </w:r>
      <w:r w:rsidR="00960C54">
        <w:rPr>
          <w:rFonts w:hint="cs"/>
          <w:rtl/>
        </w:rPr>
        <w:t xml:space="preserve">الميسر أيضاً </w:t>
      </w:r>
      <w:r w:rsidR="006721E0">
        <w:rPr>
          <w:rFonts w:hint="cs"/>
          <w:rtl/>
        </w:rPr>
        <w:t xml:space="preserve">على أنه </w:t>
      </w:r>
      <w:r w:rsidR="00960C54">
        <w:rPr>
          <w:rFonts w:hint="cs"/>
          <w:rtl/>
        </w:rPr>
        <w:t>دفعة مقدمة</w:t>
      </w:r>
      <w:r w:rsidR="00246070">
        <w:rPr>
          <w:rFonts w:hint="cs"/>
          <w:rtl/>
        </w:rPr>
        <w:t xml:space="preserve"> </w:t>
      </w:r>
      <w:r w:rsidR="00246070">
        <w:rPr>
          <w:rFonts w:hint="cs"/>
          <w:rtl/>
          <w:lang w:bidi="ar-EG"/>
        </w:rPr>
        <w:t xml:space="preserve">ويقسم إلى قسمين أحدهما الجزء المتداول منه (انظر الملاحظة 4) والآخر هو الجزء </w:t>
      </w:r>
      <w:r w:rsidR="00246070">
        <w:rPr>
          <w:rFonts w:hint="cs"/>
          <w:rtl/>
          <w:lang w:bidi="ar-EG"/>
        </w:rPr>
        <w:lastRenderedPageBreak/>
        <w:t>غير المتداول. و</w:t>
      </w:r>
      <w:r w:rsidR="00960C54">
        <w:rPr>
          <w:rFonts w:hint="cs"/>
          <w:rtl/>
          <w:lang w:bidi="ar-EG"/>
        </w:rPr>
        <w:t>ت</w:t>
      </w:r>
      <w:r w:rsidR="00246070">
        <w:rPr>
          <w:rFonts w:hint="cs"/>
          <w:rtl/>
          <w:lang w:bidi="ar-EG"/>
        </w:rPr>
        <w:t xml:space="preserve">خفض </w:t>
      </w:r>
      <w:r w:rsidR="00960C54">
        <w:rPr>
          <w:rFonts w:hint="cs"/>
          <w:rtl/>
          <w:lang w:bidi="ar-EG"/>
        </w:rPr>
        <w:t>الدفعة المقدمة</w:t>
      </w:r>
      <w:r w:rsidR="00246070">
        <w:rPr>
          <w:rFonts w:hint="cs"/>
          <w:rtl/>
          <w:lang w:bidi="ar-EG"/>
        </w:rPr>
        <w:t xml:space="preserve"> على مدى فترة اتفاق التأجير.</w:t>
      </w:r>
      <w:r w:rsidR="001D4E85">
        <w:rPr>
          <w:rFonts w:hint="cs"/>
          <w:rtl/>
          <w:lang w:bidi="ar-EG"/>
        </w:rPr>
        <w:t xml:space="preserve"> وبلغ إجمالي قيمة هذا المقدم </w:t>
      </w:r>
      <w:r w:rsidR="00960C54">
        <w:rPr>
          <w:rFonts w:hint="cs"/>
          <w:rtl/>
          <w:lang w:bidi="ar-EG"/>
        </w:rPr>
        <w:t>0.5</w:t>
      </w:r>
      <w:r w:rsidR="001D4E85">
        <w:rPr>
          <w:rFonts w:hint="cs"/>
          <w:rtl/>
          <w:lang w:bidi="ar-EG"/>
        </w:rPr>
        <w:t xml:space="preserve"> مليون فرنك سويسري في 31 ديسمبر </w:t>
      </w:r>
      <w:r w:rsidR="00960C54">
        <w:rPr>
          <w:rFonts w:hint="cs"/>
          <w:rtl/>
          <w:lang w:bidi="ar-EG"/>
        </w:rPr>
        <w:t>2014</w:t>
      </w:r>
      <w:r w:rsidR="001D4E85">
        <w:rPr>
          <w:rFonts w:hint="cs"/>
          <w:rtl/>
          <w:lang w:bidi="ar-EG"/>
        </w:rPr>
        <w:t>.</w:t>
      </w:r>
    </w:p>
    <w:p w14:paraId="0B32E39E" w14:textId="77777777" w:rsidR="00F07A31" w:rsidRDefault="00E16243" w:rsidP="00687571">
      <w:pPr>
        <w:pStyle w:val="Heading2"/>
        <w:bidi/>
        <w:rPr>
          <w:noProof/>
          <w:rtl/>
        </w:rPr>
      </w:pPr>
      <w:bookmarkStart w:id="28" w:name="_Toc362519109"/>
      <w:r w:rsidRPr="002869C3">
        <w:rPr>
          <w:rFonts w:ascii="Arabic Typesetting" w:hAnsi="Arabic Typesetting" w:cs="Arabic Typesetting" w:hint="cs"/>
          <w:i/>
          <w:iCs w:val="0"/>
          <w:sz w:val="40"/>
          <w:szCs w:val="40"/>
          <w:rtl/>
        </w:rPr>
        <w:t>الملاحظة 11:</w:t>
      </w:r>
      <w:r w:rsidR="00687571">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الحسابات الدائنة</w:t>
      </w:r>
      <w:bookmarkEnd w:id="28"/>
    </w:p>
    <w:p w14:paraId="3A52E211" w14:textId="025FEB69" w:rsidR="00701215" w:rsidRPr="00701215" w:rsidRDefault="00934D53" w:rsidP="00701215">
      <w:pPr>
        <w:bidi/>
        <w:rPr>
          <w:rtl/>
        </w:rPr>
      </w:pPr>
      <w:r w:rsidRPr="00934D53">
        <w:rPr>
          <w:noProof/>
          <w:szCs w:val="22"/>
          <w:rtl/>
        </w:rPr>
        <w:drawing>
          <wp:inline distT="0" distB="0" distL="0" distR="0" wp14:anchorId="75158A0C" wp14:editId="267F72B2">
            <wp:extent cx="5884545" cy="1185545"/>
            <wp:effectExtent l="0" t="0" r="1905"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884545" cy="1185545"/>
                    </a:xfrm>
                    <a:prstGeom prst="rect">
                      <a:avLst/>
                    </a:prstGeom>
                    <a:noFill/>
                    <a:ln>
                      <a:noFill/>
                    </a:ln>
                  </pic:spPr>
                </pic:pic>
              </a:graphicData>
            </a:graphic>
          </wp:inline>
        </w:drawing>
      </w:r>
    </w:p>
    <w:p w14:paraId="18B76C76" w14:textId="77777777" w:rsidR="00E16243" w:rsidRDefault="00E16243" w:rsidP="00F07A31">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تشمل الحسابات الدائنة الفواتير المستلمة من الموردين والتي لم تسدد بعد بما في ذلك إعادة تقييم الفواتير الواجب دفعها بعملات غير الفرنك السويسري.</w:t>
      </w:r>
    </w:p>
    <w:p w14:paraId="4FC8ACE1" w14:textId="77777777" w:rsidR="00E16243" w:rsidRPr="00BF0610" w:rsidRDefault="00E16243" w:rsidP="00687571">
      <w:pPr>
        <w:pStyle w:val="Heading2"/>
        <w:tabs>
          <w:tab w:val="left" w:pos="1417"/>
        </w:tabs>
        <w:bidi/>
        <w:rPr>
          <w:rFonts w:ascii="Arabic Typesetting" w:hAnsi="Arabic Typesetting" w:cs="Arabic Typesetting"/>
          <w:sz w:val="40"/>
          <w:szCs w:val="40"/>
          <w:rtl/>
        </w:rPr>
      </w:pPr>
      <w:bookmarkStart w:id="29" w:name="_Toc362519110"/>
      <w:r w:rsidRPr="002869C3">
        <w:rPr>
          <w:rFonts w:ascii="Arabic Typesetting" w:hAnsi="Arabic Typesetting" w:cs="Arabic Typesetting" w:hint="cs"/>
          <w:i/>
          <w:iCs w:val="0"/>
          <w:sz w:val="40"/>
          <w:szCs w:val="40"/>
          <w:rtl/>
        </w:rPr>
        <w:t>الملاحظة 12:</w:t>
      </w:r>
      <w:r w:rsidR="00687571">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مستحقات الموظفين</w:t>
      </w:r>
      <w:bookmarkEnd w:id="29"/>
    </w:p>
    <w:p w14:paraId="18D21CFE" w14:textId="1F2D0AFF" w:rsidR="00960C54" w:rsidRDefault="00934D53" w:rsidP="00960C54">
      <w:pPr>
        <w:keepNext/>
        <w:bidi/>
        <w:spacing w:after="240"/>
        <w:rPr>
          <w:rFonts w:ascii="Arabic Typesetting" w:hAnsi="Arabic Typesetting" w:cs="Arabic Typesetting"/>
          <w:sz w:val="36"/>
          <w:szCs w:val="36"/>
          <w:rtl/>
        </w:rPr>
      </w:pPr>
      <w:r w:rsidRPr="00934D53">
        <w:rPr>
          <w:rFonts w:hint="cs"/>
          <w:noProof/>
          <w:szCs w:val="22"/>
          <w:rtl/>
        </w:rPr>
        <w:drawing>
          <wp:inline distT="0" distB="0" distL="0" distR="0" wp14:anchorId="05081DCD" wp14:editId="4271B4AC">
            <wp:extent cx="5884545" cy="3810000"/>
            <wp:effectExtent l="0" t="0" r="1905"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884545" cy="3810000"/>
                    </a:xfrm>
                    <a:prstGeom prst="rect">
                      <a:avLst/>
                    </a:prstGeom>
                    <a:noFill/>
                    <a:ln>
                      <a:noFill/>
                    </a:ln>
                  </pic:spPr>
                </pic:pic>
              </a:graphicData>
            </a:graphic>
          </wp:inline>
        </w:drawing>
      </w:r>
    </w:p>
    <w:p w14:paraId="609D0E8D" w14:textId="77777777" w:rsidR="00E16243" w:rsidRDefault="00E16243" w:rsidP="00960C54">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تشمل مستحقات الموظفين ما يلي:</w:t>
      </w:r>
    </w:p>
    <w:p w14:paraId="044416C3" w14:textId="77777777" w:rsidR="00E16243" w:rsidRDefault="00E16243" w:rsidP="00E16243">
      <w:pPr>
        <w:bidi/>
        <w:spacing w:after="240" w:line="360" w:lineRule="exact"/>
        <w:rPr>
          <w:rFonts w:ascii="Arabic Typesetting" w:hAnsi="Arabic Typesetting" w:cs="Arabic Typesetting"/>
          <w:sz w:val="36"/>
          <w:szCs w:val="36"/>
          <w:rtl/>
        </w:rPr>
      </w:pPr>
      <w:r w:rsidRPr="00C01858">
        <w:rPr>
          <w:rFonts w:ascii="Arabic Typesetting" w:hAnsi="Arabic Typesetting" w:cs="Arabic Typesetting" w:hint="cs"/>
          <w:i/>
          <w:iCs/>
          <w:sz w:val="36"/>
          <w:szCs w:val="36"/>
          <w:rtl/>
        </w:rPr>
        <w:t>مستحقات الموظفين المؤقتين</w:t>
      </w:r>
      <w:r>
        <w:rPr>
          <w:rFonts w:ascii="Arabic Typesetting" w:hAnsi="Arabic Typesetting" w:cs="Arabic Typesetting" w:hint="cs"/>
          <w:sz w:val="36"/>
          <w:szCs w:val="36"/>
          <w:rtl/>
        </w:rPr>
        <w:t xml:space="preserve"> التي تشمل الأجور والبدلات والمنح عند التعيين الأول والتعليم للأطفال المعالين والإجازات السنوية بأجر والإجازات المرضية بأجر والتأمين من الحوادث والتأمين على الحياة؛</w:t>
      </w:r>
    </w:p>
    <w:p w14:paraId="4329DAA8" w14:textId="77777777" w:rsidR="00E16243" w:rsidRDefault="00E16243" w:rsidP="00E16243">
      <w:pPr>
        <w:bidi/>
        <w:spacing w:after="240" w:line="360" w:lineRule="exact"/>
        <w:rPr>
          <w:rFonts w:ascii="Arabic Typesetting" w:hAnsi="Arabic Typesetting" w:cs="Arabic Typesetting"/>
          <w:sz w:val="36"/>
          <w:szCs w:val="36"/>
        </w:rPr>
      </w:pPr>
      <w:r w:rsidRPr="00C01858">
        <w:rPr>
          <w:rFonts w:ascii="Arabic Typesetting" w:hAnsi="Arabic Typesetting" w:cs="Arabic Typesetting" w:hint="cs"/>
          <w:i/>
          <w:iCs/>
          <w:sz w:val="36"/>
          <w:szCs w:val="36"/>
          <w:rtl/>
        </w:rPr>
        <w:t>ومستحقات ما بعد الخدمة</w:t>
      </w:r>
      <w:r>
        <w:rPr>
          <w:rFonts w:ascii="Arabic Typesetting" w:hAnsi="Arabic Typesetting" w:cs="Arabic Typesetting" w:hint="cs"/>
          <w:sz w:val="36"/>
          <w:szCs w:val="36"/>
          <w:rtl/>
        </w:rPr>
        <w:t xml:space="preserve"> التي تشمل مستحقات ترك الخدمة التي تشمل المنح المدفوعة للعودة إلى الوطن والسفر إلى الوطن وشحن الأغراض الشخصية والتأمين الصحي ما بعد الخدمة.</w:t>
      </w:r>
    </w:p>
    <w:p w14:paraId="37B63221" w14:textId="77777777" w:rsidR="00E16243" w:rsidRDefault="00E16243" w:rsidP="00E16243">
      <w:pPr>
        <w:bidi/>
        <w:spacing w:after="240" w:line="360" w:lineRule="exact"/>
        <w:rPr>
          <w:rFonts w:ascii="Arabic Typesetting" w:hAnsi="Arabic Typesetting" w:cs="Arabic Typesetting"/>
          <w:sz w:val="36"/>
          <w:szCs w:val="36"/>
          <w:rtl/>
        </w:rPr>
      </w:pPr>
      <w:r w:rsidRPr="00C01858">
        <w:rPr>
          <w:rFonts w:ascii="Arabic Typesetting" w:hAnsi="Arabic Typesetting" w:cs="Arabic Typesetting" w:hint="cs"/>
          <w:i/>
          <w:iCs/>
          <w:sz w:val="36"/>
          <w:szCs w:val="36"/>
          <w:rtl/>
        </w:rPr>
        <w:lastRenderedPageBreak/>
        <w:t>ومستحقات نهاية الخدمة</w:t>
      </w:r>
      <w:r>
        <w:rPr>
          <w:rFonts w:ascii="Arabic Typesetting" w:hAnsi="Arabic Typesetting" w:cs="Arabic Typesetting" w:hint="cs"/>
          <w:sz w:val="36"/>
          <w:szCs w:val="36"/>
          <w:rtl/>
        </w:rPr>
        <w:t xml:space="preserve"> التي تشمل تعويضا يدفع للموظفين ذوي العقود الدائمة أو الثابتة التي تنتهي عقودهم قبل موعدها بقرار من المنظمة.</w:t>
      </w:r>
    </w:p>
    <w:p w14:paraId="20839CCE" w14:textId="77777777" w:rsidR="00E16243" w:rsidRPr="00BF0610" w:rsidRDefault="00E16243" w:rsidP="00E16243">
      <w:pPr>
        <w:keepNext/>
        <w:bidi/>
        <w:spacing w:before="240" w:after="240" w:line="360" w:lineRule="exact"/>
        <w:rPr>
          <w:rFonts w:ascii="Arabic Typesetting" w:hAnsi="Arabic Typesetting" w:cs="Arabic Typesetting"/>
          <w:b/>
          <w:bCs/>
          <w:sz w:val="36"/>
          <w:szCs w:val="36"/>
          <w:rtl/>
        </w:rPr>
      </w:pPr>
      <w:r w:rsidRPr="00BF0610">
        <w:rPr>
          <w:rFonts w:ascii="Arabic Typesetting" w:hAnsi="Arabic Typesetting" w:cs="Arabic Typesetting" w:hint="cs"/>
          <w:b/>
          <w:bCs/>
          <w:sz w:val="36"/>
          <w:szCs w:val="36"/>
          <w:rtl/>
        </w:rPr>
        <w:t>مستحقات الموظفين المؤقتين</w:t>
      </w:r>
    </w:p>
    <w:p w14:paraId="74235DB4" w14:textId="77777777" w:rsidR="00E16243" w:rsidRDefault="00E16243" w:rsidP="00E16243">
      <w:pPr>
        <w:pStyle w:val="NormalParaAR"/>
        <w:rPr>
          <w:rtl/>
        </w:rPr>
      </w:pPr>
      <w:r>
        <w:rPr>
          <w:rFonts w:hint="cs"/>
          <w:rtl/>
        </w:rPr>
        <w:t>قيدت المنظمة الخصوم المتعلقة بالمستحقات التالية التي تدفعها للموظفين المؤقتين والتي تقدر قيمتها استنادا إلى المبلغ المدفوع إلى كل موظف في تاريخ التقرير المالي.</w:t>
      </w:r>
    </w:p>
    <w:p w14:paraId="0BCEBE8D" w14:textId="281FBD4C" w:rsidR="00E16243" w:rsidRDefault="00E16243" w:rsidP="00B35138">
      <w:pPr>
        <w:bidi/>
        <w:spacing w:after="240" w:line="360" w:lineRule="exact"/>
        <w:rPr>
          <w:rFonts w:ascii="Arabic Typesetting" w:hAnsi="Arabic Typesetting" w:cs="Arabic Typesetting"/>
          <w:sz w:val="36"/>
          <w:szCs w:val="36"/>
          <w:rtl/>
        </w:rPr>
      </w:pPr>
      <w:r w:rsidRPr="00B35138">
        <w:rPr>
          <w:rFonts w:ascii="Arabic Typesetting" w:hAnsi="Arabic Typesetting" w:cs="Arabic Typesetting" w:hint="cs"/>
          <w:b/>
          <w:bCs/>
          <w:i/>
          <w:iCs/>
          <w:sz w:val="36"/>
          <w:szCs w:val="36"/>
          <w:rtl/>
        </w:rPr>
        <w:t>الإجازات المتراكمة</w:t>
      </w:r>
      <w:r w:rsidR="00960C54" w:rsidRPr="00B35138">
        <w:rPr>
          <w:rFonts w:ascii="Arabic Typesetting" w:hAnsi="Arabic Typesetting" w:cs="Arabic Typesetting" w:hint="cs"/>
          <w:i/>
          <w:iCs/>
          <w:sz w:val="36"/>
          <w:szCs w:val="36"/>
          <w:rtl/>
        </w:rPr>
        <w:t>:</w:t>
      </w:r>
      <w:r>
        <w:rPr>
          <w:rFonts w:ascii="Arabic Typesetting" w:hAnsi="Arabic Typesetting" w:cs="Arabic Typesetting" w:hint="cs"/>
          <w:sz w:val="36"/>
          <w:szCs w:val="36"/>
          <w:rtl/>
        </w:rPr>
        <w:t xml:space="preserve"> </w:t>
      </w:r>
      <w:r w:rsidRPr="00C10BE2">
        <w:rPr>
          <w:rFonts w:ascii="Arabic Typesetting" w:hAnsi="Arabic Typesetting" w:cs="Arabic Typesetting"/>
          <w:color w:val="000000"/>
          <w:sz w:val="36"/>
          <w:szCs w:val="36"/>
          <w:rtl/>
        </w:rPr>
        <w:t xml:space="preserve">يحق للموظفين </w:t>
      </w:r>
      <w:r>
        <w:rPr>
          <w:rFonts w:ascii="Arabic Typesetting" w:hAnsi="Arabic Typesetting" w:cs="Arabic Typesetting" w:hint="cs"/>
          <w:color w:val="000000"/>
          <w:sz w:val="36"/>
          <w:szCs w:val="36"/>
          <w:rtl/>
        </w:rPr>
        <w:t xml:space="preserve">الحصول على إجازة </w:t>
      </w:r>
      <w:r w:rsidRPr="00C10BE2">
        <w:rPr>
          <w:rFonts w:ascii="Arabic Typesetting" w:hAnsi="Arabic Typesetting" w:cs="Arabic Typesetting"/>
          <w:color w:val="000000"/>
          <w:sz w:val="36"/>
          <w:szCs w:val="36"/>
          <w:rtl/>
        </w:rPr>
        <w:t>سنوية تبلغ 30 يوما. بمقتضى نظام موظفي الويبو ولائحته (</w:t>
      </w:r>
      <w:r w:rsidRPr="00C10BE2">
        <w:rPr>
          <w:rFonts w:ascii="Arabic Typesetting" w:hAnsi="Arabic Typesetting" w:cs="Arabic Typesetting"/>
          <w:color w:val="000000"/>
          <w:sz w:val="36"/>
          <w:szCs w:val="36"/>
        </w:rPr>
        <w:t>SRR</w:t>
      </w:r>
      <w:r w:rsidRPr="00C10BE2">
        <w:rPr>
          <w:rFonts w:ascii="Arabic Typesetting" w:hAnsi="Arabic Typesetting" w:cs="Arabic Typesetting"/>
          <w:color w:val="000000"/>
          <w:sz w:val="36"/>
          <w:szCs w:val="36"/>
          <w:rtl/>
        </w:rPr>
        <w:t xml:space="preserve">) </w:t>
      </w:r>
      <w:r w:rsidR="00960C54">
        <w:rPr>
          <w:rFonts w:ascii="Arabic Typesetting" w:hAnsi="Arabic Typesetting" w:cs="Arabic Typesetting" w:hint="cs"/>
          <w:color w:val="000000"/>
          <w:sz w:val="36"/>
          <w:szCs w:val="36"/>
          <w:rtl/>
        </w:rPr>
        <w:t>و</w:t>
      </w:r>
      <w:r>
        <w:rPr>
          <w:rFonts w:ascii="Arabic Typesetting" w:hAnsi="Arabic Typesetting" w:cs="Arabic Typesetting"/>
          <w:color w:val="000000"/>
          <w:sz w:val="36"/>
          <w:szCs w:val="36"/>
          <w:rtl/>
        </w:rPr>
        <w:t xml:space="preserve">يجوز للموظف تجميع حتى 15 يوما </w:t>
      </w:r>
      <w:r>
        <w:rPr>
          <w:rFonts w:ascii="Arabic Typesetting" w:hAnsi="Arabic Typesetting" w:cs="Arabic Typesetting" w:hint="cs"/>
          <w:color w:val="000000"/>
          <w:sz w:val="36"/>
          <w:szCs w:val="36"/>
          <w:rtl/>
        </w:rPr>
        <w:t>إ</w:t>
      </w:r>
      <w:r w:rsidRPr="00C10BE2">
        <w:rPr>
          <w:rFonts w:ascii="Arabic Typesetting" w:hAnsi="Arabic Typesetting" w:cs="Arabic Typesetting"/>
          <w:color w:val="000000"/>
          <w:sz w:val="36"/>
          <w:szCs w:val="36"/>
          <w:rtl/>
        </w:rPr>
        <w:t xml:space="preserve">جازة سنوية في أي سنة واحدة، بإجمالي رصيد متراكم لمدة 60 يوما. </w:t>
      </w:r>
      <w:r w:rsidR="00B35138">
        <w:rPr>
          <w:rFonts w:ascii="Arabic Typesetting" w:hAnsi="Arabic Typesetting" w:cs="Arabic Typesetting" w:hint="cs"/>
          <w:color w:val="000000"/>
          <w:sz w:val="36"/>
          <w:szCs w:val="36"/>
          <w:rtl/>
        </w:rPr>
        <w:t xml:space="preserve">ومع ذلك، يجوز للموظفين الذين راكموا أكثر من 60 يوماً قبل 1 يناير 2013 أن يحتفظوا بها حتى 1 يناير 2018. ورغم أن الإجازة السنوية أحد مستحقات الموظفين القصيري الأجل نظراً إلى أنه يجوز لهؤلاء الموظفين عدم استخدام أيام الإجازة السنوية وتلقي راتب بدلها عند </w:t>
      </w:r>
      <w:r w:rsidR="00311F61">
        <w:rPr>
          <w:rFonts w:ascii="Arabic Typesetting" w:hAnsi="Arabic Typesetting" w:cs="Arabic Typesetting" w:hint="cs"/>
          <w:color w:val="000000"/>
          <w:sz w:val="36"/>
          <w:szCs w:val="36"/>
          <w:rtl/>
        </w:rPr>
        <w:t>نهاية الخدمة</w:t>
      </w:r>
      <w:r w:rsidR="00B35138">
        <w:rPr>
          <w:rFonts w:ascii="Arabic Typesetting" w:hAnsi="Arabic Typesetting" w:cs="Arabic Typesetting" w:hint="cs"/>
          <w:color w:val="000000"/>
          <w:sz w:val="36"/>
          <w:szCs w:val="36"/>
          <w:rtl/>
        </w:rPr>
        <w:t xml:space="preserve">، فقد صنف جزء من الإجازة المتراكمة كخصم غير متداول. </w:t>
      </w:r>
      <w:r w:rsidR="00B35138">
        <w:rPr>
          <w:rFonts w:ascii="Arabic Typesetting" w:hAnsi="Arabic Typesetting" w:cs="Arabic Typesetting" w:hint="cs"/>
          <w:color w:val="000000"/>
          <w:sz w:val="36"/>
          <w:szCs w:val="36"/>
          <w:rtl/>
          <w:lang w:bidi="ar-EG"/>
        </w:rPr>
        <w:t>و</w:t>
      </w:r>
      <w:r w:rsidRPr="00C10BE2">
        <w:rPr>
          <w:rFonts w:ascii="Arabic Typesetting" w:hAnsi="Arabic Typesetting" w:cs="Arabic Typesetting"/>
          <w:color w:val="000000"/>
          <w:sz w:val="36"/>
          <w:szCs w:val="36"/>
          <w:rtl/>
        </w:rPr>
        <w:t xml:space="preserve">تبلغ قيمة مجموع الخصوم المستحقة في تاريخ التقرير المالي </w:t>
      </w:r>
      <w:r w:rsidR="00B35138">
        <w:rPr>
          <w:rFonts w:ascii="Arabic Typesetting" w:hAnsi="Arabic Typesetting" w:cs="Arabic Typesetting" w:hint="cs"/>
          <w:color w:val="000000"/>
          <w:sz w:val="36"/>
          <w:szCs w:val="36"/>
          <w:rtl/>
        </w:rPr>
        <w:t>12.9</w:t>
      </w:r>
      <w:r w:rsidRPr="00C10BE2">
        <w:rPr>
          <w:rFonts w:ascii="Arabic Typesetting" w:hAnsi="Arabic Typesetting" w:cs="Arabic Typesetting"/>
          <w:color w:val="000000"/>
          <w:sz w:val="36"/>
          <w:szCs w:val="36"/>
          <w:rtl/>
        </w:rPr>
        <w:t xml:space="preserve"> مليون فرنك سويسري [</w:t>
      </w:r>
      <w:r w:rsidR="00B35138">
        <w:rPr>
          <w:rFonts w:ascii="Arabic Typesetting" w:hAnsi="Arabic Typesetting" w:cs="Arabic Typesetting" w:hint="cs"/>
          <w:color w:val="000000"/>
          <w:sz w:val="36"/>
          <w:szCs w:val="36"/>
          <w:rtl/>
        </w:rPr>
        <w:t>12.2</w:t>
      </w:r>
      <w:r w:rsidRPr="00C10BE2">
        <w:rPr>
          <w:rFonts w:ascii="Arabic Typesetting" w:hAnsi="Arabic Typesetting" w:cs="Arabic Typesetting"/>
          <w:color w:val="000000"/>
          <w:sz w:val="36"/>
          <w:szCs w:val="36"/>
          <w:rtl/>
        </w:rPr>
        <w:t xml:space="preserve"> مليون فرنك سويسري في 31 ديسمبر </w:t>
      </w:r>
      <w:r w:rsidR="00B35138">
        <w:rPr>
          <w:rFonts w:ascii="Arabic Typesetting" w:hAnsi="Arabic Typesetting" w:cs="Arabic Typesetting" w:hint="cs"/>
          <w:color w:val="000000"/>
          <w:sz w:val="36"/>
          <w:szCs w:val="36"/>
          <w:rtl/>
        </w:rPr>
        <w:t>2013</w:t>
      </w:r>
      <w:r w:rsidRPr="00C10BE2">
        <w:rPr>
          <w:rFonts w:ascii="Arabic Typesetting" w:hAnsi="Arabic Typesetting" w:cs="Arabic Typesetting"/>
          <w:color w:val="000000"/>
          <w:sz w:val="36"/>
          <w:szCs w:val="36"/>
          <w:rtl/>
        </w:rPr>
        <w:t>].</w:t>
      </w:r>
    </w:p>
    <w:p w14:paraId="1570D9F4" w14:textId="145057CD" w:rsidR="00E16243" w:rsidRDefault="00E16243" w:rsidP="00553C9E">
      <w:pPr>
        <w:bidi/>
        <w:spacing w:after="240" w:line="360" w:lineRule="exact"/>
        <w:rPr>
          <w:rFonts w:ascii="Arabic Typesetting" w:hAnsi="Arabic Typesetting" w:cs="Arabic Typesetting"/>
          <w:sz w:val="36"/>
          <w:szCs w:val="36"/>
        </w:rPr>
      </w:pPr>
      <w:r w:rsidRPr="00B35138">
        <w:rPr>
          <w:rFonts w:ascii="Arabic Typesetting" w:hAnsi="Arabic Typesetting" w:cs="Arabic Typesetting" w:hint="cs"/>
          <w:b/>
          <w:bCs/>
          <w:i/>
          <w:iCs/>
          <w:sz w:val="36"/>
          <w:szCs w:val="36"/>
          <w:rtl/>
        </w:rPr>
        <w:t>إجازات زيارة الوطن</w:t>
      </w:r>
      <w:r w:rsidR="00B35138">
        <w:rPr>
          <w:rFonts w:ascii="Arabic Typesetting" w:hAnsi="Arabic Typesetting" w:cs="Arabic Typesetting" w:hint="cs"/>
          <w:b/>
          <w:bCs/>
          <w:i/>
          <w:iCs/>
          <w:sz w:val="36"/>
          <w:szCs w:val="36"/>
          <w:rtl/>
        </w:rPr>
        <w:t>:</w:t>
      </w:r>
      <w:r>
        <w:rPr>
          <w:rFonts w:ascii="Arabic Typesetting" w:hAnsi="Arabic Typesetting" w:cs="Arabic Typesetting" w:hint="cs"/>
          <w:sz w:val="36"/>
          <w:szCs w:val="36"/>
          <w:rtl/>
        </w:rPr>
        <w:t xml:space="preserve"> </w:t>
      </w:r>
      <w:r w:rsidRPr="00C10BE2">
        <w:rPr>
          <w:rFonts w:ascii="Arabic Typesetting" w:hAnsi="Arabic Typesetting" w:cs="Arabic Typesetting"/>
          <w:color w:val="000000"/>
          <w:sz w:val="36"/>
          <w:szCs w:val="36"/>
          <w:rtl/>
        </w:rPr>
        <w:t>يس</w:t>
      </w:r>
      <w:r>
        <w:rPr>
          <w:rFonts w:ascii="Arabic Typesetting" w:hAnsi="Arabic Typesetting" w:cs="Arabic Typesetting"/>
          <w:color w:val="000000"/>
          <w:sz w:val="36"/>
          <w:szCs w:val="36"/>
          <w:rtl/>
        </w:rPr>
        <w:t xml:space="preserve">تحق الموظفين الدوليين المعينين </w:t>
      </w:r>
      <w:r>
        <w:rPr>
          <w:rFonts w:ascii="Arabic Typesetting" w:hAnsi="Arabic Typesetting" w:cs="Arabic Typesetting" w:hint="cs"/>
          <w:color w:val="000000"/>
          <w:sz w:val="36"/>
          <w:szCs w:val="36"/>
          <w:rtl/>
        </w:rPr>
        <w:t>إ</w:t>
      </w:r>
      <w:r w:rsidRPr="00C10BE2">
        <w:rPr>
          <w:rFonts w:ascii="Arabic Typesetting" w:hAnsi="Arabic Typesetting" w:cs="Arabic Typesetting"/>
          <w:color w:val="000000"/>
          <w:sz w:val="36"/>
          <w:szCs w:val="36"/>
          <w:rtl/>
        </w:rPr>
        <w:t xml:space="preserve">جازة لزيارة الوطن لأنفسهم وعائلاتهم للبلد التي </w:t>
      </w:r>
      <w:r w:rsidR="00630846">
        <w:rPr>
          <w:rFonts w:ascii="Arabic Typesetting" w:hAnsi="Arabic Typesetting" w:cs="Arabic Typesetting" w:hint="cs"/>
          <w:color w:val="000000"/>
          <w:sz w:val="36"/>
          <w:szCs w:val="36"/>
          <w:rtl/>
        </w:rPr>
        <w:t>عيونوا</w:t>
      </w:r>
      <w:r w:rsidRPr="00C10BE2">
        <w:rPr>
          <w:rFonts w:ascii="Arabic Typesetting" w:hAnsi="Arabic Typesetting" w:cs="Arabic Typesetting"/>
          <w:color w:val="000000"/>
          <w:sz w:val="36"/>
          <w:szCs w:val="36"/>
          <w:rtl/>
        </w:rPr>
        <w:t xml:space="preserve"> منها مرة كل سنتين. </w:t>
      </w:r>
      <w:r>
        <w:rPr>
          <w:rFonts w:ascii="Arabic Typesetting" w:hAnsi="Arabic Typesetting" w:cs="Arabic Typesetting" w:hint="cs"/>
          <w:color w:val="000000"/>
          <w:sz w:val="36"/>
          <w:szCs w:val="36"/>
          <w:rtl/>
        </w:rPr>
        <w:t>و</w:t>
      </w:r>
      <w:r w:rsidRPr="00C10BE2">
        <w:rPr>
          <w:rFonts w:ascii="Arabic Typesetting" w:hAnsi="Arabic Typesetting" w:cs="Arabic Typesetting"/>
          <w:color w:val="000000"/>
          <w:sz w:val="36"/>
          <w:szCs w:val="36"/>
          <w:rtl/>
        </w:rPr>
        <w:t>تبل</w:t>
      </w:r>
      <w:r>
        <w:rPr>
          <w:rFonts w:ascii="Arabic Typesetting" w:hAnsi="Arabic Typesetting" w:cs="Arabic Typesetting"/>
          <w:color w:val="000000"/>
          <w:sz w:val="36"/>
          <w:szCs w:val="36"/>
          <w:rtl/>
        </w:rPr>
        <w:t xml:space="preserve">غ قيمة الالتزامات القائمة نظير </w:t>
      </w:r>
      <w:r>
        <w:rPr>
          <w:rFonts w:ascii="Arabic Typesetting" w:hAnsi="Arabic Typesetting" w:cs="Arabic Typesetting" w:hint="cs"/>
          <w:color w:val="000000"/>
          <w:sz w:val="36"/>
          <w:szCs w:val="36"/>
          <w:rtl/>
        </w:rPr>
        <w:t>إ</w:t>
      </w:r>
      <w:r w:rsidRPr="00C10BE2">
        <w:rPr>
          <w:rFonts w:ascii="Arabic Typesetting" w:hAnsi="Arabic Typesetting" w:cs="Arabic Typesetting"/>
          <w:color w:val="000000"/>
          <w:sz w:val="36"/>
          <w:szCs w:val="36"/>
          <w:rtl/>
        </w:rPr>
        <w:t xml:space="preserve">جازات زيارة الوطن المكتسبة ولكن لم </w:t>
      </w:r>
      <w:r w:rsidR="00630846">
        <w:rPr>
          <w:rFonts w:ascii="Arabic Typesetting" w:hAnsi="Arabic Typesetting" w:cs="Arabic Typesetting" w:hint="cs"/>
          <w:color w:val="000000"/>
          <w:sz w:val="36"/>
          <w:szCs w:val="36"/>
          <w:rtl/>
        </w:rPr>
        <w:t>تُستغل</w:t>
      </w:r>
      <w:r w:rsidRPr="00C10BE2">
        <w:rPr>
          <w:rFonts w:ascii="Arabic Typesetting" w:hAnsi="Arabic Typesetting" w:cs="Arabic Typesetting"/>
          <w:color w:val="000000"/>
          <w:sz w:val="36"/>
          <w:szCs w:val="36"/>
          <w:rtl/>
        </w:rPr>
        <w:t xml:space="preserve"> في تاريخ التقرير المالي 0</w:t>
      </w:r>
      <w:r w:rsidR="00553C9E">
        <w:rPr>
          <w:rFonts w:ascii="Arabic Typesetting" w:hAnsi="Arabic Typesetting" w:cs="Arabic Typesetting" w:hint="cs"/>
          <w:color w:val="000000"/>
          <w:sz w:val="36"/>
          <w:szCs w:val="36"/>
          <w:rtl/>
        </w:rPr>
        <w:t>.</w:t>
      </w:r>
      <w:r w:rsidRPr="00C10BE2">
        <w:rPr>
          <w:rFonts w:ascii="Arabic Typesetting" w:hAnsi="Arabic Typesetting" w:cs="Arabic Typesetting"/>
          <w:color w:val="000000"/>
          <w:sz w:val="36"/>
          <w:szCs w:val="36"/>
          <w:rtl/>
        </w:rPr>
        <w:t>5 مليون فرنك سويسري [0</w:t>
      </w:r>
      <w:r w:rsidR="00553C9E">
        <w:rPr>
          <w:rFonts w:ascii="Arabic Typesetting" w:hAnsi="Arabic Typesetting" w:cs="Arabic Typesetting" w:hint="cs"/>
          <w:color w:val="000000"/>
          <w:sz w:val="36"/>
          <w:szCs w:val="36"/>
          <w:rtl/>
        </w:rPr>
        <w:t>.</w:t>
      </w:r>
      <w:r w:rsidRPr="00C10BE2">
        <w:rPr>
          <w:rFonts w:ascii="Arabic Typesetting" w:hAnsi="Arabic Typesetting" w:cs="Arabic Typesetting"/>
          <w:color w:val="000000"/>
          <w:sz w:val="36"/>
          <w:szCs w:val="36"/>
          <w:rtl/>
        </w:rPr>
        <w:t>5 مليون فرنك سويسري في 31 ديسمبر</w:t>
      </w:r>
      <w:r>
        <w:rPr>
          <w:rFonts w:ascii="Arabic Typesetting" w:hAnsi="Arabic Typesetting" w:cs="Arabic Typesetting" w:hint="cs"/>
          <w:color w:val="000000"/>
          <w:sz w:val="36"/>
          <w:szCs w:val="36"/>
          <w:rtl/>
        </w:rPr>
        <w:t> </w:t>
      </w:r>
      <w:r w:rsidR="00B35138">
        <w:rPr>
          <w:rFonts w:ascii="Arabic Typesetting" w:hAnsi="Arabic Typesetting" w:cs="Arabic Typesetting" w:hint="cs"/>
          <w:color w:val="000000"/>
          <w:sz w:val="36"/>
          <w:szCs w:val="36"/>
          <w:rtl/>
        </w:rPr>
        <w:t>2013</w:t>
      </w:r>
      <w:r w:rsidRPr="00C10BE2">
        <w:rPr>
          <w:rFonts w:ascii="Arabic Typesetting" w:hAnsi="Arabic Typesetting" w:cs="Arabic Typesetting"/>
          <w:color w:val="000000"/>
          <w:sz w:val="36"/>
          <w:szCs w:val="36"/>
          <w:rtl/>
        </w:rPr>
        <w:t>]</w:t>
      </w:r>
      <w:r>
        <w:rPr>
          <w:rFonts w:ascii="Arabic Typesetting" w:hAnsi="Arabic Typesetting" w:cs="Arabic Typesetting" w:hint="cs"/>
          <w:sz w:val="36"/>
          <w:szCs w:val="36"/>
          <w:rtl/>
        </w:rPr>
        <w:t>.</w:t>
      </w:r>
    </w:p>
    <w:p w14:paraId="256617FF" w14:textId="4111C4FF" w:rsidR="00A32BA6" w:rsidRPr="00B35138" w:rsidRDefault="00E16243" w:rsidP="00B35138">
      <w:pPr>
        <w:bidi/>
        <w:spacing w:after="240" w:line="360" w:lineRule="exact"/>
        <w:rPr>
          <w:rFonts w:ascii="Arabic Typesetting" w:hAnsi="Arabic Typesetting" w:cs="Arabic Typesetting"/>
          <w:color w:val="000000"/>
          <w:sz w:val="36"/>
          <w:szCs w:val="36"/>
          <w:rtl/>
        </w:rPr>
      </w:pPr>
      <w:r w:rsidRPr="00B35138">
        <w:rPr>
          <w:rFonts w:ascii="Arabic Typesetting" w:hAnsi="Arabic Typesetting" w:cs="Arabic Typesetting" w:hint="cs"/>
          <w:b/>
          <w:bCs/>
          <w:i/>
          <w:iCs/>
          <w:sz w:val="36"/>
          <w:szCs w:val="36"/>
          <w:rtl/>
        </w:rPr>
        <w:t>الساعات الإضافية</w:t>
      </w:r>
      <w:r w:rsidR="00B35138" w:rsidRPr="00B35138">
        <w:rPr>
          <w:rFonts w:ascii="Arabic Typesetting" w:hAnsi="Arabic Typesetting" w:cs="Arabic Typesetting" w:hint="cs"/>
          <w:b/>
          <w:bCs/>
          <w:i/>
          <w:iCs/>
          <w:sz w:val="36"/>
          <w:szCs w:val="36"/>
          <w:rtl/>
        </w:rPr>
        <w:t xml:space="preserve">: </w:t>
      </w:r>
      <w:r w:rsidRPr="00B35138">
        <w:rPr>
          <w:rFonts w:ascii="Arabic Typesetting" w:hAnsi="Arabic Typesetting" w:cs="Arabic Typesetting" w:hint="cs"/>
          <w:sz w:val="36"/>
          <w:szCs w:val="36"/>
          <w:rtl/>
        </w:rPr>
        <w:t xml:space="preserve">يحق للموظفين أن يسدد لهم نقدا مقابل الساعات الإضافية المستحقة بعد انقضاء فترة محددة في </w:t>
      </w:r>
      <w:r w:rsidRPr="00B35138">
        <w:rPr>
          <w:rFonts w:ascii="Arabic Typesetting" w:hAnsi="Arabic Typesetting" w:cs="Arabic Typesetting"/>
          <w:sz w:val="36"/>
          <w:szCs w:val="36"/>
          <w:rtl/>
        </w:rPr>
        <w:t>نظام الويبو الأساسي للموظفين ولائح</w:t>
      </w:r>
      <w:r w:rsidRPr="00B35138">
        <w:rPr>
          <w:rFonts w:ascii="Arabic Typesetting" w:hAnsi="Arabic Typesetting" w:cs="Arabic Typesetting" w:hint="cs"/>
          <w:sz w:val="36"/>
          <w:szCs w:val="36"/>
          <w:rtl/>
        </w:rPr>
        <w:t xml:space="preserve">ته. </w:t>
      </w:r>
      <w:r w:rsidRPr="00B35138">
        <w:rPr>
          <w:rFonts w:ascii="Arabic Typesetting" w:hAnsi="Arabic Typesetting" w:cs="Arabic Typesetting" w:hint="cs"/>
          <w:color w:val="000000"/>
          <w:sz w:val="36"/>
          <w:szCs w:val="36"/>
          <w:rtl/>
        </w:rPr>
        <w:t xml:space="preserve">ويصل </w:t>
      </w:r>
      <w:r w:rsidRPr="00B35138">
        <w:rPr>
          <w:rFonts w:ascii="Arabic Typesetting" w:hAnsi="Arabic Typesetting" w:cs="Arabic Typesetting"/>
          <w:color w:val="000000"/>
          <w:sz w:val="36"/>
          <w:szCs w:val="36"/>
          <w:rtl/>
        </w:rPr>
        <w:t xml:space="preserve">إجمالي المبلغ المستحق في تاريخ التقرير المالي </w:t>
      </w:r>
      <w:r w:rsidR="00B35138">
        <w:rPr>
          <w:rFonts w:ascii="Arabic Typesetting" w:hAnsi="Arabic Typesetting" w:cs="Arabic Typesetting" w:hint="cs"/>
          <w:color w:val="000000"/>
          <w:sz w:val="36"/>
          <w:szCs w:val="36"/>
          <w:rtl/>
        </w:rPr>
        <w:t>0.5</w:t>
      </w:r>
      <w:r w:rsidRPr="00B35138">
        <w:rPr>
          <w:rFonts w:ascii="Arabic Typesetting" w:hAnsi="Arabic Typesetting" w:cs="Arabic Typesetting"/>
          <w:color w:val="000000"/>
          <w:sz w:val="36"/>
          <w:szCs w:val="36"/>
          <w:rtl/>
        </w:rPr>
        <w:t xml:space="preserve"> مليون فرنك سويسري [</w:t>
      </w:r>
      <w:r w:rsidR="00B35138">
        <w:rPr>
          <w:rFonts w:ascii="Arabic Typesetting" w:hAnsi="Arabic Typesetting" w:cs="Arabic Typesetting" w:hint="cs"/>
          <w:color w:val="000000"/>
          <w:sz w:val="36"/>
          <w:szCs w:val="36"/>
          <w:rtl/>
        </w:rPr>
        <w:t>0.8</w:t>
      </w:r>
      <w:r w:rsidRPr="00B35138">
        <w:rPr>
          <w:rFonts w:ascii="Arabic Typesetting" w:hAnsi="Arabic Typesetting" w:cs="Arabic Typesetting"/>
          <w:color w:val="000000"/>
          <w:sz w:val="36"/>
          <w:szCs w:val="36"/>
          <w:rtl/>
        </w:rPr>
        <w:t xml:space="preserve"> مليون فرنك سويسري في 31 ديسمبر </w:t>
      </w:r>
      <w:r w:rsidR="00B35138">
        <w:rPr>
          <w:rFonts w:ascii="Arabic Typesetting" w:hAnsi="Arabic Typesetting" w:cs="Arabic Typesetting" w:hint="cs"/>
          <w:color w:val="000000"/>
          <w:sz w:val="36"/>
          <w:szCs w:val="36"/>
          <w:rtl/>
        </w:rPr>
        <w:t>2013</w:t>
      </w:r>
      <w:r w:rsidRPr="00B35138">
        <w:rPr>
          <w:rFonts w:ascii="Arabic Typesetting" w:hAnsi="Arabic Typesetting" w:cs="Arabic Typesetting"/>
          <w:color w:val="000000"/>
          <w:sz w:val="36"/>
          <w:szCs w:val="36"/>
          <w:rtl/>
        </w:rPr>
        <w:t>].</w:t>
      </w:r>
    </w:p>
    <w:p w14:paraId="58B34782" w14:textId="1D8C2960" w:rsidR="00A32BA6" w:rsidRPr="002C7E08" w:rsidRDefault="00A32BA6" w:rsidP="00B35138">
      <w:pPr>
        <w:bidi/>
        <w:spacing w:after="240" w:line="360" w:lineRule="exact"/>
        <w:rPr>
          <w:rFonts w:ascii="Arabic Typesetting" w:hAnsi="Arabic Typesetting" w:cs="Arabic Typesetting"/>
          <w:color w:val="000000"/>
          <w:sz w:val="36"/>
          <w:szCs w:val="36"/>
        </w:rPr>
      </w:pPr>
      <w:r w:rsidRPr="00B35138">
        <w:rPr>
          <w:rFonts w:ascii="Arabic Typesetting" w:hAnsi="Arabic Typesetting" w:cs="Arabic Typesetting" w:hint="cs"/>
          <w:b/>
          <w:bCs/>
          <w:i/>
          <w:iCs/>
          <w:color w:val="000000"/>
          <w:sz w:val="36"/>
          <w:szCs w:val="36"/>
          <w:rtl/>
        </w:rPr>
        <w:t>المنحة التعليمية</w:t>
      </w:r>
      <w:r w:rsidR="00B35138">
        <w:rPr>
          <w:rFonts w:ascii="Arabic Typesetting" w:hAnsi="Arabic Typesetting" w:cs="Arabic Typesetting" w:hint="cs"/>
          <w:b/>
          <w:bCs/>
          <w:i/>
          <w:iCs/>
          <w:color w:val="000000"/>
          <w:sz w:val="36"/>
          <w:szCs w:val="36"/>
          <w:rtl/>
        </w:rPr>
        <w:t>:</w:t>
      </w:r>
      <w:r>
        <w:rPr>
          <w:rFonts w:ascii="Arabic Typesetting" w:hAnsi="Arabic Typesetting" w:cs="Arabic Typesetting" w:hint="cs"/>
          <w:color w:val="000000"/>
          <w:sz w:val="36"/>
          <w:szCs w:val="36"/>
          <w:rtl/>
        </w:rPr>
        <w:t xml:space="preserve"> </w:t>
      </w:r>
      <w:r w:rsidR="00DD49C2" w:rsidRPr="00DD49C2">
        <w:rPr>
          <w:rFonts w:ascii="Arabic Typesetting" w:hAnsi="Arabic Typesetting" w:cs="Arabic Typesetting"/>
          <w:color w:val="000000"/>
          <w:sz w:val="36"/>
          <w:szCs w:val="36"/>
          <w:rtl/>
        </w:rPr>
        <w:t xml:space="preserve">يحق للموظفين المعينين دوليا، خلاف الموظفين الذين يعيشون في أوطانهم، الحصول على منحة تغطي تكاليف تعليم الأبناء المعالين بنسبة </w:t>
      </w:r>
      <w:r w:rsidR="00B35138">
        <w:rPr>
          <w:rFonts w:ascii="Arabic Typesetting" w:hAnsi="Arabic Typesetting" w:cs="Arabic Typesetting" w:hint="cs"/>
          <w:color w:val="000000"/>
          <w:sz w:val="36"/>
          <w:szCs w:val="36"/>
          <w:rtl/>
        </w:rPr>
        <w:t>75.0</w:t>
      </w:r>
      <w:r w:rsidR="00DD49C2" w:rsidRPr="00DD49C2">
        <w:rPr>
          <w:rFonts w:ascii="Arabic Typesetting" w:hAnsi="Arabic Typesetting" w:cs="Arabic Typesetting"/>
          <w:color w:val="000000"/>
          <w:sz w:val="36"/>
          <w:szCs w:val="36"/>
          <w:rtl/>
        </w:rPr>
        <w:t xml:space="preserve"> </w:t>
      </w:r>
      <w:r w:rsidR="00257637">
        <w:rPr>
          <w:rFonts w:ascii="Arabic Typesetting" w:hAnsi="Arabic Typesetting" w:cs="Arabic Typesetting"/>
          <w:color w:val="000000"/>
          <w:sz w:val="36"/>
          <w:szCs w:val="36"/>
          <w:rtl/>
        </w:rPr>
        <w:t>بالمئة</w:t>
      </w:r>
      <w:r w:rsidR="00DD49C2" w:rsidRPr="00DD49C2">
        <w:rPr>
          <w:rFonts w:ascii="Arabic Typesetting" w:hAnsi="Arabic Typesetting" w:cs="Arabic Typesetting"/>
          <w:color w:val="000000"/>
          <w:sz w:val="36"/>
          <w:szCs w:val="36"/>
          <w:rtl/>
        </w:rPr>
        <w:t xml:space="preserve"> إلى </w:t>
      </w:r>
      <w:r w:rsidR="00B35138" w:rsidRPr="00B35138">
        <w:rPr>
          <w:rFonts w:ascii="Arabic Typesetting" w:hAnsi="Arabic Typesetting" w:cs="Arabic Typesetting"/>
          <w:color w:val="000000"/>
          <w:sz w:val="36"/>
          <w:szCs w:val="36"/>
          <w:rtl/>
        </w:rPr>
        <w:t>السنة الرابعة من الدراسات بعد المرحلة الثانوية على ألا يتجاوز ذلك</w:t>
      </w:r>
      <w:r w:rsidR="00B35138">
        <w:rPr>
          <w:rFonts w:ascii="Arabic Typesetting" w:hAnsi="Arabic Typesetting" w:cs="Arabic Typesetting" w:hint="cs"/>
          <w:color w:val="000000"/>
          <w:sz w:val="36"/>
          <w:szCs w:val="36"/>
          <w:rtl/>
        </w:rPr>
        <w:t xml:space="preserve"> </w:t>
      </w:r>
      <w:r w:rsidR="00DD49C2" w:rsidRPr="00DD49C2">
        <w:rPr>
          <w:rFonts w:ascii="Arabic Typesetting" w:hAnsi="Arabic Typesetting" w:cs="Arabic Typesetting"/>
          <w:color w:val="000000"/>
          <w:sz w:val="36"/>
          <w:szCs w:val="36"/>
          <w:rtl/>
        </w:rPr>
        <w:t xml:space="preserve">انتهاء السنة الدراسية التي يبلغ فيها الابن أو الابنة سن 25 سنة. </w:t>
      </w:r>
      <w:r w:rsidR="008846B5">
        <w:rPr>
          <w:rFonts w:ascii="Arabic Typesetting" w:hAnsi="Arabic Typesetting" w:cs="Arabic Typesetting" w:hint="cs"/>
          <w:color w:val="000000"/>
          <w:sz w:val="36"/>
          <w:szCs w:val="36"/>
          <w:rtl/>
        </w:rPr>
        <w:t xml:space="preserve">ويحسب </w:t>
      </w:r>
      <w:r w:rsidR="00B35138">
        <w:rPr>
          <w:rFonts w:ascii="Arabic Typesetting" w:hAnsi="Arabic Typesetting" w:cs="Arabic Typesetting" w:hint="cs"/>
          <w:color w:val="000000"/>
          <w:sz w:val="36"/>
          <w:szCs w:val="36"/>
          <w:rtl/>
        </w:rPr>
        <w:t>خصم</w:t>
      </w:r>
      <w:r w:rsidR="008846B5">
        <w:rPr>
          <w:rFonts w:ascii="Arabic Typesetting" w:hAnsi="Arabic Typesetting" w:cs="Arabic Typesetting" w:hint="cs"/>
          <w:color w:val="000000"/>
          <w:sz w:val="36"/>
          <w:szCs w:val="36"/>
          <w:rtl/>
        </w:rPr>
        <w:t xml:space="preserve"> </w:t>
      </w:r>
      <w:r w:rsidR="004330E6">
        <w:rPr>
          <w:rFonts w:ascii="Arabic Typesetting" w:hAnsi="Arabic Typesetting" w:cs="Arabic Typesetting" w:hint="cs"/>
          <w:color w:val="000000"/>
          <w:sz w:val="36"/>
          <w:szCs w:val="36"/>
          <w:rtl/>
        </w:rPr>
        <w:t>ا</w:t>
      </w:r>
      <w:r w:rsidR="008846B5">
        <w:rPr>
          <w:rFonts w:ascii="Arabic Typesetting" w:hAnsi="Arabic Typesetting" w:cs="Arabic Typesetting" w:hint="cs"/>
          <w:color w:val="000000"/>
          <w:sz w:val="36"/>
          <w:szCs w:val="36"/>
          <w:rtl/>
        </w:rPr>
        <w:t>لمنح التعليمية المستحقة للسداد</w:t>
      </w:r>
      <w:r w:rsidR="004330E6">
        <w:rPr>
          <w:rFonts w:ascii="Arabic Typesetting" w:hAnsi="Arabic Typesetting" w:cs="Arabic Typesetting" w:hint="cs"/>
          <w:color w:val="000000"/>
          <w:sz w:val="36"/>
          <w:szCs w:val="36"/>
          <w:rtl/>
        </w:rPr>
        <w:t xml:space="preserve"> نسبةً إلى عدد الشهور المنقضية بين بء العام الدراسي/العام الجامعي وتاريخ 31 ديسمبر </w:t>
      </w:r>
      <w:r w:rsidR="00B35138">
        <w:rPr>
          <w:rFonts w:ascii="Arabic Typesetting" w:hAnsi="Arabic Typesetting" w:cs="Arabic Typesetting" w:hint="cs"/>
          <w:color w:val="000000"/>
          <w:sz w:val="36"/>
          <w:szCs w:val="36"/>
          <w:rtl/>
        </w:rPr>
        <w:t>2014</w:t>
      </w:r>
      <w:r w:rsidR="004330E6">
        <w:rPr>
          <w:rFonts w:ascii="Arabic Typesetting" w:hAnsi="Arabic Typesetting" w:cs="Arabic Typesetting" w:hint="cs"/>
          <w:color w:val="000000"/>
          <w:sz w:val="36"/>
          <w:szCs w:val="36"/>
          <w:rtl/>
        </w:rPr>
        <w:t xml:space="preserve"> </w:t>
      </w:r>
      <w:r w:rsidR="008C0955">
        <w:rPr>
          <w:rFonts w:ascii="Arabic Typesetting" w:hAnsi="Arabic Typesetting" w:cs="Arabic Typesetting" w:hint="cs"/>
          <w:color w:val="000000"/>
          <w:sz w:val="36"/>
          <w:szCs w:val="36"/>
          <w:rtl/>
        </w:rPr>
        <w:t xml:space="preserve">المستحق عنها رسوم بناءً على ذلك. وبلغ إجمالي المخصص في تاريخ </w:t>
      </w:r>
      <w:r w:rsidR="00CB1F06">
        <w:rPr>
          <w:rFonts w:ascii="Arabic Typesetting" w:hAnsi="Arabic Typesetting" w:cs="Arabic Typesetting" w:hint="cs"/>
          <w:sz w:val="36"/>
          <w:szCs w:val="36"/>
          <w:rtl/>
        </w:rPr>
        <w:t>التقرير المالي</w:t>
      </w:r>
      <w:r w:rsidR="00725730">
        <w:rPr>
          <w:rFonts w:ascii="Arabic Typesetting" w:hAnsi="Arabic Typesetting" w:cs="Arabic Typesetting" w:hint="cs"/>
          <w:sz w:val="36"/>
          <w:szCs w:val="36"/>
          <w:rtl/>
        </w:rPr>
        <w:t xml:space="preserve"> </w:t>
      </w:r>
      <w:r w:rsidR="00B35138">
        <w:rPr>
          <w:rFonts w:ascii="Arabic Typesetting" w:hAnsi="Arabic Typesetting" w:cs="Arabic Typesetting" w:hint="cs"/>
          <w:sz w:val="36"/>
          <w:szCs w:val="36"/>
          <w:rtl/>
        </w:rPr>
        <w:t>1.9</w:t>
      </w:r>
      <w:r w:rsidR="00725730">
        <w:rPr>
          <w:rFonts w:ascii="Arabic Typesetting" w:hAnsi="Arabic Typesetting" w:cs="Arabic Typesetting" w:hint="cs"/>
          <w:sz w:val="36"/>
          <w:szCs w:val="36"/>
          <w:rtl/>
        </w:rPr>
        <w:t xml:space="preserve"> مليون فرنك سويسري [</w:t>
      </w:r>
      <w:r w:rsidR="00B35138">
        <w:rPr>
          <w:rFonts w:ascii="Arabic Typesetting" w:hAnsi="Arabic Typesetting" w:cs="Arabic Typesetting" w:hint="cs"/>
          <w:sz w:val="36"/>
          <w:szCs w:val="36"/>
          <w:rtl/>
        </w:rPr>
        <w:t>1.8</w:t>
      </w:r>
      <w:r w:rsidR="00725730">
        <w:rPr>
          <w:rFonts w:ascii="Arabic Typesetting" w:hAnsi="Arabic Typesetting" w:cs="Arabic Typesetting" w:hint="cs"/>
          <w:sz w:val="36"/>
          <w:szCs w:val="36"/>
          <w:rtl/>
        </w:rPr>
        <w:t xml:space="preserve"> مليون فرنك سويسري في 31 ديسمبر </w:t>
      </w:r>
      <w:r w:rsidR="00B35138">
        <w:rPr>
          <w:rFonts w:ascii="Arabic Typesetting" w:hAnsi="Arabic Typesetting" w:cs="Arabic Typesetting" w:hint="cs"/>
          <w:sz w:val="36"/>
          <w:szCs w:val="36"/>
          <w:rtl/>
        </w:rPr>
        <w:t>2013</w:t>
      </w:r>
      <w:r w:rsidR="00725730">
        <w:rPr>
          <w:rFonts w:ascii="Arabic Typesetting" w:hAnsi="Arabic Typesetting" w:cs="Arabic Typesetting" w:hint="cs"/>
          <w:sz w:val="36"/>
          <w:szCs w:val="36"/>
          <w:rtl/>
        </w:rPr>
        <w:t>].</w:t>
      </w:r>
    </w:p>
    <w:p w14:paraId="70CB3711" w14:textId="1165D3CF" w:rsidR="002C7E08" w:rsidRPr="00C10BE2" w:rsidRDefault="003B0DD2" w:rsidP="00B35138">
      <w:pPr>
        <w:bidi/>
        <w:spacing w:after="240" w:line="360" w:lineRule="exact"/>
        <w:rPr>
          <w:rFonts w:ascii="Arabic Typesetting" w:hAnsi="Arabic Typesetting" w:cs="Arabic Typesetting"/>
          <w:color w:val="000000"/>
          <w:sz w:val="36"/>
          <w:szCs w:val="36"/>
        </w:rPr>
      </w:pPr>
      <w:r w:rsidRPr="00B35138">
        <w:rPr>
          <w:rFonts w:ascii="Arabic Typesetting" w:hAnsi="Arabic Typesetting" w:cs="Arabic Typesetting" w:hint="cs"/>
          <w:b/>
          <w:bCs/>
          <w:i/>
          <w:iCs/>
          <w:color w:val="000000"/>
          <w:sz w:val="36"/>
          <w:szCs w:val="36"/>
          <w:rtl/>
          <w:lang w:bidi="ar-EG"/>
        </w:rPr>
        <w:t>مكافآت الأداء</w:t>
      </w:r>
      <w:r w:rsidR="00B35138">
        <w:rPr>
          <w:rFonts w:ascii="Arabic Typesetting" w:hAnsi="Arabic Typesetting" w:cs="Arabic Typesetting" w:hint="cs"/>
          <w:b/>
          <w:bCs/>
          <w:i/>
          <w:iCs/>
          <w:color w:val="000000"/>
          <w:sz w:val="36"/>
          <w:szCs w:val="36"/>
          <w:rtl/>
          <w:lang w:bidi="ar-EG"/>
        </w:rPr>
        <w:t>:</w:t>
      </w:r>
      <w:r>
        <w:rPr>
          <w:rFonts w:ascii="Arabic Typesetting" w:hAnsi="Arabic Typesetting" w:cs="Arabic Typesetting" w:hint="cs"/>
          <w:color w:val="000000"/>
          <w:sz w:val="36"/>
          <w:szCs w:val="36"/>
          <w:rtl/>
          <w:lang w:bidi="ar-EG"/>
        </w:rPr>
        <w:t xml:space="preserve"> أطلقت الويبو في عام 2013 برنامجاً للمكافآت والتقدير يتيح النظر في </w:t>
      </w:r>
      <w:r w:rsidR="00024F3E">
        <w:rPr>
          <w:rFonts w:ascii="Arabic Typesetting" w:hAnsi="Arabic Typesetting" w:cs="Arabic Typesetting" w:hint="cs"/>
          <w:color w:val="000000"/>
          <w:sz w:val="36"/>
          <w:szCs w:val="36"/>
          <w:rtl/>
          <w:lang w:bidi="ar-EG"/>
        </w:rPr>
        <w:t>صرف مكافأ</w:t>
      </w:r>
      <w:r>
        <w:rPr>
          <w:rFonts w:ascii="Arabic Typesetting" w:hAnsi="Arabic Typesetting" w:cs="Arabic Typesetting" w:hint="cs"/>
          <w:color w:val="000000"/>
          <w:sz w:val="36"/>
          <w:szCs w:val="36"/>
          <w:rtl/>
          <w:lang w:bidi="ar-EG"/>
        </w:rPr>
        <w:t>ة نقدية</w:t>
      </w:r>
      <w:r w:rsidR="00825210">
        <w:rPr>
          <w:rFonts w:ascii="Arabic Typesetting" w:hAnsi="Arabic Typesetting" w:cs="Arabic Typesetting" w:hint="cs"/>
          <w:color w:val="000000"/>
          <w:sz w:val="36"/>
          <w:szCs w:val="36"/>
          <w:rtl/>
          <w:lang w:bidi="ar-EG"/>
        </w:rPr>
        <w:t xml:space="preserve"> دفعة واحدة تبلغ 500 2 فرنك سويسري أو 000 5 فرنك سويسري للموظفين </w:t>
      </w:r>
      <w:r w:rsidR="00EC4537">
        <w:rPr>
          <w:rFonts w:ascii="Arabic Typesetting" w:hAnsi="Arabic Typesetting" w:cs="Arabic Typesetting" w:hint="cs"/>
          <w:color w:val="000000"/>
          <w:sz w:val="36"/>
          <w:szCs w:val="36"/>
          <w:rtl/>
          <w:lang w:bidi="ar-EG"/>
        </w:rPr>
        <w:t xml:space="preserve">الذين </w:t>
      </w:r>
      <w:r w:rsidR="00F07A0F">
        <w:rPr>
          <w:rFonts w:ascii="Arabic Typesetting" w:hAnsi="Arabic Typesetting" w:cs="Arabic Typesetting" w:hint="cs"/>
          <w:color w:val="000000"/>
          <w:sz w:val="36"/>
          <w:szCs w:val="36"/>
          <w:rtl/>
          <w:lang w:bidi="ar-EG"/>
        </w:rPr>
        <w:t xml:space="preserve">ينالون تقدير أداء </w:t>
      </w:r>
      <w:r w:rsidR="006A261F">
        <w:rPr>
          <w:rFonts w:ascii="Arabic Typesetting" w:hAnsi="Arabic Typesetting" w:cs="Arabic Typesetting" w:hint="cs"/>
          <w:color w:val="000000"/>
          <w:sz w:val="36"/>
          <w:szCs w:val="36"/>
          <w:rtl/>
          <w:lang w:bidi="ar-EG"/>
        </w:rPr>
        <w:t xml:space="preserve">ممتاز. </w:t>
      </w:r>
      <w:r w:rsidR="00D822D1">
        <w:rPr>
          <w:rFonts w:ascii="Arabic Typesetting" w:hAnsi="Arabic Typesetting" w:cs="Arabic Typesetting" w:hint="cs"/>
          <w:color w:val="000000"/>
          <w:sz w:val="36"/>
          <w:szCs w:val="36"/>
          <w:rtl/>
          <w:lang w:bidi="ar-EG"/>
        </w:rPr>
        <w:t>واستناداً إلى القرارات المتخذة خلال العام، بلغ مجموع مكافآت الأداء المستحقة للسداد لموظفين</w:t>
      </w:r>
      <w:r w:rsidR="00B35138">
        <w:rPr>
          <w:rFonts w:ascii="Arabic Typesetting" w:hAnsi="Arabic Typesetting" w:cs="Arabic Typesetting" w:hint="cs"/>
          <w:color w:val="000000"/>
          <w:sz w:val="36"/>
          <w:szCs w:val="36"/>
          <w:rtl/>
          <w:lang w:bidi="ar-EG"/>
        </w:rPr>
        <w:t xml:space="preserve"> 0.2 مليون </w:t>
      </w:r>
      <w:r w:rsidR="00D822D1">
        <w:rPr>
          <w:rFonts w:ascii="Arabic Typesetting" w:hAnsi="Arabic Typesetting" w:cs="Arabic Typesetting" w:hint="cs"/>
          <w:color w:val="000000"/>
          <w:sz w:val="36"/>
          <w:szCs w:val="36"/>
          <w:rtl/>
          <w:lang w:bidi="ar-EG"/>
        </w:rPr>
        <w:t xml:space="preserve">فرنك سويسري في 31 ديسمبر </w:t>
      </w:r>
      <w:r w:rsidR="00B35138">
        <w:rPr>
          <w:rFonts w:ascii="Arabic Typesetting" w:hAnsi="Arabic Typesetting" w:cs="Arabic Typesetting" w:hint="cs"/>
          <w:color w:val="000000"/>
          <w:sz w:val="36"/>
          <w:szCs w:val="36"/>
          <w:rtl/>
          <w:lang w:bidi="ar-EG"/>
        </w:rPr>
        <w:t>2014 [0.1 مليون فرنك سويسري في 31 ديسمبر 2013].</w:t>
      </w:r>
    </w:p>
    <w:p w14:paraId="3F0C7625" w14:textId="77777777" w:rsidR="00E16243" w:rsidRPr="0026659A" w:rsidRDefault="00E16243" w:rsidP="00E16243">
      <w:pPr>
        <w:keepNext/>
        <w:bidi/>
        <w:spacing w:before="240" w:after="240" w:line="360" w:lineRule="exact"/>
        <w:rPr>
          <w:rFonts w:ascii="Arabic Typesetting" w:hAnsi="Arabic Typesetting" w:cs="Arabic Typesetting"/>
          <w:b/>
          <w:bCs/>
          <w:sz w:val="36"/>
          <w:szCs w:val="36"/>
          <w:rtl/>
        </w:rPr>
      </w:pPr>
      <w:r w:rsidRPr="0026659A">
        <w:rPr>
          <w:rFonts w:ascii="Arabic Typesetting" w:hAnsi="Arabic Typesetting" w:cs="Arabic Typesetting" w:hint="cs"/>
          <w:b/>
          <w:bCs/>
          <w:sz w:val="36"/>
          <w:szCs w:val="36"/>
          <w:rtl/>
        </w:rPr>
        <w:t>مستحقات ما بعد الخدمة</w:t>
      </w:r>
    </w:p>
    <w:p w14:paraId="5C1D43BB" w14:textId="1AE67C04" w:rsidR="00E16243" w:rsidRDefault="00E16243" w:rsidP="00B35138">
      <w:pPr>
        <w:bidi/>
        <w:spacing w:after="240" w:line="360" w:lineRule="exact"/>
        <w:rPr>
          <w:rFonts w:ascii="Arabic Typesetting" w:hAnsi="Arabic Typesetting" w:cs="Arabic Typesetting"/>
          <w:sz w:val="36"/>
          <w:szCs w:val="36"/>
          <w:rtl/>
        </w:rPr>
      </w:pPr>
      <w:r w:rsidRPr="00C10BE2">
        <w:rPr>
          <w:rFonts w:ascii="Arabic Typesetting" w:hAnsi="Arabic Typesetting" w:cs="Arabic Typesetting"/>
          <w:i/>
          <w:iCs/>
          <w:color w:val="000000"/>
          <w:sz w:val="36"/>
          <w:szCs w:val="36"/>
          <w:rtl/>
        </w:rPr>
        <w:t>صندوق المعاشات التقاعدية المغلق (</w:t>
      </w:r>
      <w:r w:rsidRPr="00C10BE2">
        <w:rPr>
          <w:rFonts w:ascii="Arabic Typesetting" w:hAnsi="Arabic Typesetting" w:cs="Arabic Typesetting"/>
          <w:i/>
          <w:iCs/>
          <w:color w:val="000000"/>
          <w:sz w:val="36"/>
          <w:szCs w:val="36"/>
        </w:rPr>
        <w:t>CROMPI</w:t>
      </w:r>
      <w:r w:rsidRPr="00C10BE2">
        <w:rPr>
          <w:rFonts w:ascii="Arabic Typesetting" w:hAnsi="Arabic Typesetting" w:cs="Arabic Typesetting"/>
          <w:i/>
          <w:iCs/>
          <w:color w:val="000000"/>
          <w:sz w:val="36"/>
          <w:szCs w:val="36"/>
          <w:rtl/>
          <w:lang w:bidi="ar-EG"/>
        </w:rPr>
        <w:t>)</w:t>
      </w:r>
      <w:r w:rsidRPr="00C10BE2">
        <w:rPr>
          <w:rFonts w:ascii="Arabic Typesetting" w:hAnsi="Arabic Typesetting" w:cs="Arabic Typesetting"/>
          <w:color w:val="000000"/>
          <w:sz w:val="36"/>
          <w:szCs w:val="36"/>
          <w:rtl/>
          <w:lang w:bidi="ar-EG"/>
        </w:rPr>
        <w:t xml:space="preserve">: </w:t>
      </w:r>
      <w:r w:rsidRPr="00C10BE2">
        <w:rPr>
          <w:rFonts w:ascii="Arabic Typesetting" w:hAnsi="Arabic Typesetting" w:cs="Arabic Typesetting"/>
          <w:color w:val="000000"/>
          <w:sz w:val="36"/>
          <w:szCs w:val="36"/>
          <w:rtl/>
        </w:rPr>
        <w:t>قبل أن تصبح "المنظمة" عضواً مشاركاً في الصندوق المشترك للمعاشات التقاعدية لموظفي الأمم المتحدة (</w:t>
      </w:r>
      <w:r w:rsidRPr="00C10BE2">
        <w:rPr>
          <w:rFonts w:ascii="Arabic Typesetting" w:hAnsi="Arabic Typesetting" w:cs="Arabic Typesetting"/>
          <w:color w:val="000000"/>
          <w:sz w:val="36"/>
          <w:szCs w:val="36"/>
          <w:lang w:bidi="ar-EG"/>
        </w:rPr>
        <w:t>UNJSPE</w:t>
      </w:r>
      <w:r w:rsidRPr="00C10BE2">
        <w:rPr>
          <w:rFonts w:ascii="Arabic Typesetting" w:hAnsi="Arabic Typesetting" w:cs="Arabic Typesetting"/>
          <w:color w:val="000000"/>
          <w:sz w:val="36"/>
          <w:szCs w:val="36"/>
          <w:rtl/>
          <w:lang w:bidi="ar-EG"/>
        </w:rPr>
        <w:t xml:space="preserve">)، كان للمنظمة التي تتبعها الويبو في السابق صندوقها الخاص للمعاشات التقاعدية والذي تأسس في </w:t>
      </w:r>
      <w:r w:rsidRPr="00C10BE2">
        <w:rPr>
          <w:rFonts w:ascii="Arabic Typesetting" w:hAnsi="Arabic Typesetting" w:cs="Arabic Typesetting"/>
          <w:color w:val="000000"/>
          <w:sz w:val="36"/>
          <w:szCs w:val="36"/>
          <w:rtl/>
        </w:rPr>
        <w:t xml:space="preserve">عام 1955. </w:t>
      </w:r>
      <w:r>
        <w:rPr>
          <w:rFonts w:ascii="Arabic Typesetting" w:hAnsi="Arabic Typesetting" w:cs="Arabic Typesetting" w:hint="cs"/>
          <w:color w:val="000000"/>
          <w:sz w:val="36"/>
          <w:szCs w:val="36"/>
          <w:rtl/>
        </w:rPr>
        <w:t>و</w:t>
      </w:r>
      <w:r w:rsidRPr="00C10BE2">
        <w:rPr>
          <w:rFonts w:ascii="Arabic Typesetting" w:hAnsi="Arabic Typesetting" w:cs="Arabic Typesetting"/>
          <w:color w:val="000000"/>
          <w:sz w:val="36"/>
          <w:szCs w:val="36"/>
          <w:rtl/>
        </w:rPr>
        <w:t>أُغلق هذا الصندوق أمام العضوية الجديدة في 30 سبتمبر 1975 واستمر في تقديم خدماته للأعضاء المسجلين في وقت الإغلاق تحت إدارة مجلس الجمعية. وبمقتضى اتفاق بين صندوق المعاشات التقاعدية المغلق والويبو وبموجب قرار للمحكمة الإدارية لمنظمة العمل الدولية (</w:t>
      </w:r>
      <w:r w:rsidRPr="00C10BE2">
        <w:rPr>
          <w:rFonts w:ascii="Arabic Typesetting" w:hAnsi="Arabic Typesetting" w:cs="Arabic Typesetting"/>
          <w:color w:val="000000"/>
          <w:sz w:val="36"/>
          <w:szCs w:val="36"/>
        </w:rPr>
        <w:t>ILO</w:t>
      </w:r>
      <w:r w:rsidRPr="00C10BE2">
        <w:rPr>
          <w:rFonts w:ascii="Arabic Typesetting" w:hAnsi="Arabic Typesetting" w:cs="Arabic Typesetting"/>
          <w:color w:val="000000"/>
          <w:sz w:val="36"/>
          <w:szCs w:val="36"/>
          <w:rtl/>
          <w:lang w:bidi="ar-EG"/>
        </w:rPr>
        <w:t>)</w:t>
      </w:r>
      <w:r>
        <w:rPr>
          <w:rFonts w:ascii="Arabic Typesetting" w:hAnsi="Arabic Typesetting" w:cs="Arabic Typesetting"/>
          <w:color w:val="000000"/>
          <w:sz w:val="36"/>
          <w:szCs w:val="36"/>
          <w:rtl/>
        </w:rPr>
        <w:t>، أصبحت الويبو مس</w:t>
      </w:r>
      <w:r>
        <w:rPr>
          <w:rFonts w:ascii="Arabic Typesetting" w:hAnsi="Arabic Typesetting" w:cs="Arabic Typesetting" w:hint="cs"/>
          <w:color w:val="000000"/>
          <w:sz w:val="36"/>
          <w:szCs w:val="36"/>
          <w:rtl/>
        </w:rPr>
        <w:t>ؤ</w:t>
      </w:r>
      <w:r w:rsidRPr="00C10BE2">
        <w:rPr>
          <w:rFonts w:ascii="Arabic Typesetting" w:hAnsi="Arabic Typesetting" w:cs="Arabic Typesetting"/>
          <w:color w:val="000000"/>
          <w:sz w:val="36"/>
          <w:szCs w:val="36"/>
          <w:rtl/>
        </w:rPr>
        <w:t xml:space="preserve">ولة عن تمويل التكاليف التي يتكبدها صندوق المعاشات التقاعدية المغلق والمتصلة بفروق أسعار الصرف الخارجية والاختلافات في سن التقاعد كما هو </w:t>
      </w:r>
      <w:r w:rsidRPr="00C10BE2">
        <w:rPr>
          <w:rFonts w:ascii="Arabic Typesetting" w:hAnsi="Arabic Typesetting" w:cs="Arabic Typesetting"/>
          <w:color w:val="000000"/>
          <w:sz w:val="36"/>
          <w:szCs w:val="36"/>
          <w:rtl/>
        </w:rPr>
        <w:lastRenderedPageBreak/>
        <w:t>منصوص عليه في هذا الصندوق وفي الصندوق المشترك للمعاشات التقاعدية لموظفي الأمم المتحدة. للمنظمة عدة التزامات مرتبطة بالمشاركين في صندوق المعاشات التقاعدية المغلق، وتشمل:</w:t>
      </w:r>
    </w:p>
    <w:p w14:paraId="69BC320D" w14:textId="279CD070" w:rsidR="00E16243" w:rsidRPr="00C10BE2" w:rsidRDefault="00E16243" w:rsidP="00B35138">
      <w:pPr>
        <w:pStyle w:val="ListParagraph"/>
        <w:numPr>
          <w:ilvl w:val="0"/>
          <w:numId w:val="3"/>
        </w:numPr>
        <w:tabs>
          <w:tab w:val="clear" w:pos="720"/>
        </w:tabs>
        <w:bidi/>
        <w:spacing w:after="240" w:line="360" w:lineRule="exact"/>
        <w:ind w:left="1134" w:hanging="567"/>
        <w:rPr>
          <w:rFonts w:ascii="Arabic Typesetting" w:eastAsia="Times New Roman" w:hAnsi="Arabic Typesetting" w:cs="Arabic Typesetting"/>
          <w:color w:val="000000"/>
          <w:sz w:val="36"/>
          <w:szCs w:val="36"/>
          <w:rtl/>
        </w:rPr>
      </w:pPr>
      <w:r w:rsidRPr="00C10BE2">
        <w:rPr>
          <w:rFonts w:ascii="Arabic Typesetting" w:eastAsia="Times New Roman" w:hAnsi="Arabic Typesetting" w:cs="Arabic Typesetting"/>
          <w:color w:val="000000"/>
          <w:sz w:val="36"/>
          <w:szCs w:val="36"/>
          <w:rtl/>
        </w:rPr>
        <w:t xml:space="preserve">الالتزام بتغطية تكلفة المعاشات التقاعدية المستحقة للموظفين السابقين المشاركين في صندوق المعاشات التقاعدية المغلق قبل بلوغهم سن الخامسة والستين. </w:t>
      </w:r>
      <w:r>
        <w:rPr>
          <w:rFonts w:ascii="Arabic Typesetting" w:eastAsia="Times New Roman" w:hAnsi="Arabic Typesetting" w:cs="Arabic Typesetting" w:hint="cs"/>
          <w:color w:val="000000"/>
          <w:sz w:val="36"/>
          <w:szCs w:val="36"/>
          <w:rtl/>
        </w:rPr>
        <w:t>و</w:t>
      </w:r>
      <w:r>
        <w:rPr>
          <w:rFonts w:ascii="Arabic Typesetting" w:eastAsia="Times New Roman" w:hAnsi="Arabic Typesetting" w:cs="Arabic Typesetting"/>
          <w:color w:val="000000"/>
          <w:sz w:val="36"/>
          <w:szCs w:val="36"/>
          <w:rtl/>
        </w:rPr>
        <w:t xml:space="preserve">استناداً إلى </w:t>
      </w:r>
      <w:r w:rsidR="00B35138">
        <w:rPr>
          <w:rFonts w:ascii="Arabic Typesetting" w:eastAsia="Times New Roman" w:hAnsi="Arabic Typesetting" w:cs="Arabic Typesetting" w:hint="cs"/>
          <w:color w:val="000000"/>
          <w:sz w:val="36"/>
          <w:szCs w:val="36"/>
          <w:rtl/>
        </w:rPr>
        <w:t xml:space="preserve">أحدث </w:t>
      </w:r>
      <w:r>
        <w:rPr>
          <w:rFonts w:ascii="Arabic Typesetting" w:eastAsia="Times New Roman" w:hAnsi="Arabic Typesetting" w:cs="Arabic Typesetting"/>
          <w:color w:val="000000"/>
          <w:sz w:val="36"/>
          <w:szCs w:val="36"/>
          <w:rtl/>
        </w:rPr>
        <w:t xml:space="preserve">تقييم </w:t>
      </w:r>
      <w:r>
        <w:rPr>
          <w:rFonts w:ascii="Arabic Typesetting" w:eastAsia="Times New Roman" w:hAnsi="Arabic Typesetting" w:cs="Arabic Typesetting" w:hint="cs"/>
          <w:color w:val="000000"/>
          <w:sz w:val="36"/>
          <w:szCs w:val="36"/>
          <w:rtl/>
        </w:rPr>
        <w:t>أ</w:t>
      </w:r>
      <w:r w:rsidRPr="00C10BE2">
        <w:rPr>
          <w:rFonts w:ascii="Arabic Typesetting" w:eastAsia="Times New Roman" w:hAnsi="Arabic Typesetting" w:cs="Arabic Typesetting"/>
          <w:color w:val="000000"/>
          <w:sz w:val="36"/>
          <w:szCs w:val="36"/>
          <w:rtl/>
        </w:rPr>
        <w:t xml:space="preserve">كتواري </w:t>
      </w:r>
      <w:r w:rsidR="00B35138">
        <w:rPr>
          <w:rFonts w:ascii="Arabic Typesetting" w:eastAsia="Times New Roman" w:hAnsi="Arabic Typesetting" w:cs="Arabic Typesetting" w:hint="cs"/>
          <w:color w:val="000000"/>
          <w:sz w:val="36"/>
          <w:szCs w:val="36"/>
          <w:rtl/>
        </w:rPr>
        <w:t>لعام 2014</w:t>
      </w:r>
      <w:r w:rsidRPr="00C10BE2">
        <w:rPr>
          <w:rFonts w:ascii="Arabic Typesetting" w:eastAsia="Times New Roman" w:hAnsi="Arabic Typesetting" w:cs="Arabic Typesetting"/>
          <w:color w:val="000000"/>
          <w:sz w:val="36"/>
          <w:szCs w:val="36"/>
          <w:rtl/>
        </w:rPr>
        <w:t xml:space="preserve">، تبلغ قيمة الالتزامات المقدرة </w:t>
      </w:r>
      <w:r w:rsidR="00B35138">
        <w:rPr>
          <w:rFonts w:ascii="Arabic Typesetting" w:eastAsia="Times New Roman" w:hAnsi="Arabic Typesetting" w:cs="Arabic Typesetting" w:hint="cs"/>
          <w:color w:val="000000"/>
          <w:sz w:val="36"/>
          <w:szCs w:val="36"/>
          <w:rtl/>
        </w:rPr>
        <w:t>13 ألف فرنك سويسري في 31 ديسمبر 2014 [</w:t>
      </w:r>
      <w:r w:rsidR="004D463E">
        <w:rPr>
          <w:rFonts w:ascii="Arabic Typesetting" w:eastAsia="Times New Roman" w:hAnsi="Arabic Typesetting" w:cs="Arabic Typesetting" w:hint="cs"/>
          <w:color w:val="000000"/>
          <w:sz w:val="36"/>
          <w:szCs w:val="36"/>
          <w:rtl/>
        </w:rPr>
        <w:t xml:space="preserve">47 ألف </w:t>
      </w:r>
      <w:r w:rsidRPr="00C10BE2">
        <w:rPr>
          <w:rFonts w:ascii="Arabic Typesetting" w:eastAsia="Times New Roman" w:hAnsi="Arabic Typesetting" w:cs="Arabic Typesetting"/>
          <w:color w:val="000000"/>
          <w:sz w:val="36"/>
          <w:szCs w:val="36"/>
          <w:rtl/>
        </w:rPr>
        <w:t xml:space="preserve">فرنك سويسري </w:t>
      </w:r>
      <w:r w:rsidR="00B35138">
        <w:rPr>
          <w:rFonts w:ascii="Arabic Typesetting" w:eastAsia="Times New Roman" w:hAnsi="Arabic Typesetting" w:cs="Arabic Typesetting" w:hint="cs"/>
          <w:color w:val="000000"/>
          <w:sz w:val="36"/>
          <w:szCs w:val="36"/>
          <w:rtl/>
        </w:rPr>
        <w:t>في</w:t>
      </w:r>
      <w:r w:rsidR="004D463E">
        <w:rPr>
          <w:rFonts w:ascii="Arabic Typesetting" w:eastAsia="Times New Roman" w:hAnsi="Arabic Typesetting" w:cs="Arabic Typesetting" w:hint="cs"/>
          <w:color w:val="000000"/>
          <w:sz w:val="36"/>
          <w:szCs w:val="36"/>
          <w:rtl/>
        </w:rPr>
        <w:t xml:space="preserve"> 2013</w:t>
      </w:r>
      <w:r w:rsidR="00B35138">
        <w:rPr>
          <w:rFonts w:ascii="Arabic Typesetting" w:eastAsia="Times New Roman" w:hAnsi="Arabic Typesetting" w:cs="Arabic Typesetting" w:hint="cs"/>
          <w:color w:val="000000"/>
          <w:sz w:val="36"/>
          <w:szCs w:val="36"/>
          <w:rtl/>
        </w:rPr>
        <w:t>]</w:t>
      </w:r>
      <w:r w:rsidRPr="00C10BE2">
        <w:rPr>
          <w:rFonts w:ascii="Arabic Typesetting" w:eastAsia="Times New Roman" w:hAnsi="Arabic Typesetting" w:cs="Arabic Typesetting"/>
          <w:color w:val="000000"/>
          <w:sz w:val="36"/>
          <w:szCs w:val="36"/>
          <w:rtl/>
        </w:rPr>
        <w:t>.</w:t>
      </w:r>
    </w:p>
    <w:p w14:paraId="73D903BF" w14:textId="030C025A" w:rsidR="00E16243" w:rsidRDefault="00E16243" w:rsidP="00B35138">
      <w:pPr>
        <w:numPr>
          <w:ilvl w:val="0"/>
          <w:numId w:val="3"/>
        </w:numPr>
        <w:tabs>
          <w:tab w:val="clear" w:pos="720"/>
        </w:tabs>
        <w:bidi/>
        <w:spacing w:after="240" w:line="360" w:lineRule="exact"/>
        <w:ind w:left="1134" w:hanging="567"/>
        <w:rPr>
          <w:rFonts w:ascii="Arabic Typesetting" w:hAnsi="Arabic Typesetting" w:cs="Arabic Typesetting"/>
          <w:sz w:val="36"/>
          <w:szCs w:val="36"/>
        </w:rPr>
      </w:pPr>
      <w:r w:rsidRPr="00C10BE2">
        <w:rPr>
          <w:rFonts w:ascii="Arabic Typesetting" w:hAnsi="Arabic Typesetting" w:cs="Arabic Typesetting"/>
          <w:color w:val="000000"/>
          <w:sz w:val="36"/>
          <w:szCs w:val="36"/>
          <w:rtl/>
        </w:rPr>
        <w:t>تبلغ قيمة الالتزامات المقدرة، استناداً إلى قرار المحكمة الإدارية ل</w:t>
      </w:r>
      <w:r w:rsidR="00B35138">
        <w:rPr>
          <w:rFonts w:ascii="Arabic Typesetting" w:hAnsi="Arabic Typesetting" w:cs="Arabic Typesetting"/>
          <w:color w:val="000000"/>
          <w:sz w:val="36"/>
          <w:szCs w:val="36"/>
          <w:rtl/>
        </w:rPr>
        <w:t>منظمة العمل الدولية في عام 2006</w:t>
      </w:r>
      <w:r w:rsidRPr="00C10BE2">
        <w:rPr>
          <w:rFonts w:ascii="Arabic Typesetting" w:hAnsi="Arabic Typesetting" w:cs="Arabic Typesetting"/>
          <w:color w:val="000000"/>
          <w:sz w:val="36"/>
          <w:szCs w:val="36"/>
          <w:rtl/>
        </w:rPr>
        <w:t xml:space="preserve"> لتغطية بعض الفروق بين المعاش التقاعدي المستحق لأعضاء صندوق المعاشات التقاعدية المغلق وبين المستحق من الصندوق المشترك للمعاشات التقاعدية لموظفي الأمم </w:t>
      </w:r>
      <w:r>
        <w:rPr>
          <w:rFonts w:ascii="Arabic Typesetting" w:hAnsi="Arabic Typesetting" w:cs="Arabic Typesetting"/>
          <w:color w:val="000000"/>
          <w:sz w:val="36"/>
          <w:szCs w:val="36"/>
          <w:rtl/>
        </w:rPr>
        <w:t xml:space="preserve">المتحدة وعلى </w:t>
      </w:r>
      <w:r w:rsidR="00FD2528">
        <w:rPr>
          <w:rFonts w:ascii="Arabic Typesetting" w:hAnsi="Arabic Typesetting" w:cs="Arabic Typesetting"/>
          <w:color w:val="000000"/>
          <w:sz w:val="36"/>
          <w:szCs w:val="36"/>
          <w:rtl/>
        </w:rPr>
        <w:t xml:space="preserve">أساس </w:t>
      </w:r>
      <w:r w:rsidR="00B35138">
        <w:rPr>
          <w:rFonts w:ascii="Arabic Typesetting" w:hAnsi="Arabic Typesetting" w:cs="Arabic Typesetting" w:hint="cs"/>
          <w:color w:val="000000"/>
          <w:sz w:val="36"/>
          <w:szCs w:val="36"/>
          <w:rtl/>
        </w:rPr>
        <w:t xml:space="preserve">أحدث </w:t>
      </w:r>
      <w:r>
        <w:rPr>
          <w:rFonts w:ascii="Arabic Typesetting" w:hAnsi="Arabic Typesetting" w:cs="Arabic Typesetting"/>
          <w:color w:val="000000"/>
          <w:sz w:val="36"/>
          <w:szCs w:val="36"/>
          <w:rtl/>
        </w:rPr>
        <w:t xml:space="preserve">التقييمات </w:t>
      </w:r>
      <w:r w:rsidR="00AC3C42">
        <w:rPr>
          <w:rFonts w:ascii="Arabic Typesetting" w:hAnsi="Arabic Typesetting" w:cs="Arabic Typesetting"/>
          <w:color w:val="000000"/>
          <w:sz w:val="36"/>
          <w:szCs w:val="36"/>
          <w:rtl/>
        </w:rPr>
        <w:t>الأكتوارية</w:t>
      </w:r>
      <w:r w:rsidR="00B35138">
        <w:rPr>
          <w:rFonts w:ascii="Arabic Typesetting" w:hAnsi="Arabic Typesetting" w:cs="Arabic Typesetting"/>
          <w:color w:val="000000"/>
          <w:sz w:val="36"/>
          <w:szCs w:val="36"/>
          <w:rtl/>
        </w:rPr>
        <w:t xml:space="preserve"> التي أجريت </w:t>
      </w:r>
      <w:r w:rsidR="00B35138">
        <w:rPr>
          <w:rFonts w:ascii="Arabic Typesetting" w:hAnsi="Arabic Typesetting" w:cs="Arabic Typesetting" w:hint="cs"/>
          <w:color w:val="000000"/>
          <w:sz w:val="36"/>
          <w:szCs w:val="36"/>
          <w:rtl/>
        </w:rPr>
        <w:t xml:space="preserve">لعام 2014، </w:t>
      </w:r>
      <w:r w:rsidRPr="00C10BE2">
        <w:rPr>
          <w:rFonts w:ascii="Arabic Typesetting" w:hAnsi="Arabic Typesetting" w:cs="Arabic Typesetting"/>
          <w:color w:val="000000"/>
          <w:sz w:val="36"/>
          <w:szCs w:val="36"/>
          <w:rtl/>
        </w:rPr>
        <w:t xml:space="preserve">مبلغ </w:t>
      </w:r>
      <w:r w:rsidR="00B35138">
        <w:rPr>
          <w:rFonts w:ascii="Arabic Typesetting" w:hAnsi="Arabic Typesetting" w:cs="Arabic Typesetting" w:hint="cs"/>
          <w:color w:val="000000"/>
          <w:sz w:val="36"/>
          <w:szCs w:val="36"/>
          <w:rtl/>
        </w:rPr>
        <w:t>2.8</w:t>
      </w:r>
      <w:r w:rsidRPr="00C10BE2">
        <w:rPr>
          <w:rFonts w:ascii="Arabic Typesetting" w:hAnsi="Arabic Typesetting" w:cs="Arabic Typesetting"/>
          <w:color w:val="000000"/>
          <w:sz w:val="36"/>
          <w:szCs w:val="36"/>
          <w:rtl/>
        </w:rPr>
        <w:t xml:space="preserve"> مليون فرنك سويسري </w:t>
      </w:r>
      <w:r w:rsidR="00E630D2">
        <w:rPr>
          <w:rFonts w:ascii="Arabic Typesetting" w:hAnsi="Arabic Typesetting" w:cs="Arabic Typesetting" w:hint="cs"/>
          <w:color w:val="000000"/>
          <w:sz w:val="36"/>
          <w:szCs w:val="36"/>
          <w:rtl/>
        </w:rPr>
        <w:t xml:space="preserve">في 31 ديسمبر </w:t>
      </w:r>
      <w:r w:rsidR="00B35138">
        <w:rPr>
          <w:rFonts w:ascii="Arabic Typesetting" w:hAnsi="Arabic Typesetting" w:cs="Arabic Typesetting" w:hint="cs"/>
          <w:color w:val="000000"/>
          <w:sz w:val="36"/>
          <w:szCs w:val="36"/>
          <w:rtl/>
        </w:rPr>
        <w:t>2014</w:t>
      </w:r>
      <w:r w:rsidR="00E630D2">
        <w:rPr>
          <w:rFonts w:ascii="Arabic Typesetting" w:hAnsi="Arabic Typesetting" w:cs="Arabic Typesetting" w:hint="cs"/>
          <w:color w:val="000000"/>
          <w:sz w:val="36"/>
          <w:szCs w:val="36"/>
          <w:rtl/>
        </w:rPr>
        <w:t xml:space="preserve"> </w:t>
      </w:r>
      <w:r w:rsidRPr="00C10BE2">
        <w:rPr>
          <w:rFonts w:ascii="Arabic Typesetting" w:hAnsi="Arabic Typesetting" w:cs="Arabic Typesetting"/>
          <w:color w:val="000000"/>
          <w:sz w:val="36"/>
          <w:szCs w:val="36"/>
          <w:rtl/>
        </w:rPr>
        <w:t>(</w:t>
      </w:r>
      <w:r w:rsidR="00B35138">
        <w:rPr>
          <w:rFonts w:ascii="Arabic Typesetting" w:hAnsi="Arabic Typesetting" w:cs="Arabic Typesetting" w:hint="cs"/>
          <w:color w:val="000000"/>
          <w:sz w:val="36"/>
          <w:szCs w:val="36"/>
          <w:rtl/>
        </w:rPr>
        <w:t xml:space="preserve">3 ملايين </w:t>
      </w:r>
      <w:r w:rsidRPr="00C10BE2">
        <w:rPr>
          <w:rFonts w:ascii="Arabic Typesetting" w:hAnsi="Arabic Typesetting" w:cs="Arabic Typesetting"/>
          <w:color w:val="000000"/>
          <w:sz w:val="36"/>
          <w:szCs w:val="36"/>
          <w:rtl/>
        </w:rPr>
        <w:t xml:space="preserve">فرنك سويسري في عام </w:t>
      </w:r>
      <w:r w:rsidR="00B35138">
        <w:rPr>
          <w:rFonts w:ascii="Arabic Typesetting" w:hAnsi="Arabic Typesetting" w:cs="Arabic Typesetting" w:hint="cs"/>
          <w:color w:val="000000"/>
          <w:sz w:val="36"/>
          <w:szCs w:val="36"/>
          <w:rtl/>
        </w:rPr>
        <w:t>2013</w:t>
      </w:r>
      <w:r>
        <w:rPr>
          <w:rFonts w:ascii="Arabic Typesetting" w:hAnsi="Arabic Typesetting" w:cs="Arabic Typesetting" w:hint="cs"/>
          <w:sz w:val="36"/>
          <w:szCs w:val="36"/>
          <w:rtl/>
        </w:rPr>
        <w:t>).</w:t>
      </w:r>
    </w:p>
    <w:p w14:paraId="6771AD39" w14:textId="14C36479" w:rsidR="00E16243" w:rsidRPr="007E1DA4" w:rsidRDefault="00E16243" w:rsidP="00FD3F3E">
      <w:pPr>
        <w:pStyle w:val="NormalParaAR"/>
      </w:pPr>
      <w:r w:rsidRPr="00B35138">
        <w:rPr>
          <w:b/>
          <w:bCs/>
          <w:i/>
          <w:iCs/>
          <w:color w:val="000000"/>
          <w:rtl/>
        </w:rPr>
        <w:t>منحة العودة إلى الوطن والسفر</w:t>
      </w:r>
      <w:r w:rsidRPr="00B35138">
        <w:rPr>
          <w:b/>
          <w:bCs/>
          <w:color w:val="000000"/>
          <w:rtl/>
        </w:rPr>
        <w:t>:</w:t>
      </w:r>
      <w:r w:rsidRPr="00C10BE2">
        <w:rPr>
          <w:color w:val="000000"/>
          <w:rtl/>
        </w:rPr>
        <w:t xml:space="preserve"> تلتزم "المنظمة" التزاما تعاقديا بسداد مستحقات لموظفيها مثل منحة العودة إلى الوطن والسفر</w:t>
      </w:r>
      <w:r w:rsidR="00B35138">
        <w:rPr>
          <w:rFonts w:hint="cs"/>
          <w:color w:val="000000"/>
          <w:rtl/>
        </w:rPr>
        <w:t xml:space="preserve"> والإعادة</w:t>
      </w:r>
      <w:r w:rsidRPr="00C10BE2">
        <w:rPr>
          <w:color w:val="000000"/>
          <w:rtl/>
        </w:rPr>
        <w:t xml:space="preserve"> لبعض الموظفين المعينين دوليا حال انتهاء خدمته</w:t>
      </w:r>
      <w:r>
        <w:rPr>
          <w:color w:val="000000"/>
          <w:rtl/>
        </w:rPr>
        <w:t>م.</w:t>
      </w:r>
      <w:r w:rsidR="00FD3F3E">
        <w:rPr>
          <w:rFonts w:hint="cs"/>
          <w:color w:val="000000"/>
          <w:rtl/>
        </w:rPr>
        <w:t xml:space="preserve"> وبالنسبة إلى الموظفين المهنيين الذين يشغلون وظائف مؤقتة، تقدِّر الويبو تكاليف العودة إلى الوطن والإعادة بعد انتهاء الخدمة وتعاملها كخصوم متداولة. وأما بالنسبة إلى الموظفين المهنيين المعينين دولياً في الوظائف الثابتة، فإن خبير اكتواري مستقل يقدِّر خصوم منح العودة إلى الوطن والسفر والإعادة. وقدِّر مجموع الخصوم في تاريخ صدور هذا التقرير على النحو التالي:</w:t>
      </w:r>
    </w:p>
    <w:p w14:paraId="0F0F40D9" w14:textId="0378A8AD" w:rsidR="00E16243" w:rsidRPr="00701215" w:rsidRDefault="00E50566" w:rsidP="00701215">
      <w:pPr>
        <w:pStyle w:val="NormalParaAR"/>
        <w:spacing w:line="240" w:lineRule="auto"/>
        <w:rPr>
          <w:i/>
          <w:iCs/>
          <w:rtl/>
        </w:rPr>
      </w:pPr>
      <w:r w:rsidRPr="00E50566">
        <w:rPr>
          <w:noProof/>
          <w:rtl/>
        </w:rPr>
        <w:drawing>
          <wp:inline distT="0" distB="0" distL="0" distR="0" wp14:anchorId="77CE8F25" wp14:editId="63BECCF6">
            <wp:extent cx="5940425" cy="1252548"/>
            <wp:effectExtent l="0" t="0" r="3175" b="508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40425" cy="1252548"/>
                    </a:xfrm>
                    <a:prstGeom prst="rect">
                      <a:avLst/>
                    </a:prstGeom>
                    <a:noFill/>
                    <a:ln>
                      <a:noFill/>
                    </a:ln>
                  </pic:spPr>
                </pic:pic>
              </a:graphicData>
            </a:graphic>
          </wp:inline>
        </w:drawing>
      </w:r>
    </w:p>
    <w:p w14:paraId="19EC9E3D" w14:textId="17FD1BE2" w:rsidR="00703D69" w:rsidRDefault="00703D69" w:rsidP="00A41B09">
      <w:pPr>
        <w:pStyle w:val="NormalParaAR"/>
        <w:rPr>
          <w:rtl/>
        </w:rPr>
      </w:pPr>
      <w:r w:rsidRPr="00703D69">
        <w:rPr>
          <w:rFonts w:hint="cs"/>
          <w:rtl/>
        </w:rPr>
        <w:t>وفيما يخص التقييم</w:t>
      </w:r>
      <w:r>
        <w:rPr>
          <w:rFonts w:hint="cs"/>
          <w:rtl/>
        </w:rPr>
        <w:t xml:space="preserve"> </w:t>
      </w:r>
      <w:r w:rsidR="00AC3C42">
        <w:rPr>
          <w:rFonts w:hint="cs"/>
          <w:rtl/>
        </w:rPr>
        <w:t>الأكتواري</w:t>
      </w:r>
      <w:r>
        <w:rPr>
          <w:rFonts w:hint="cs"/>
          <w:rtl/>
        </w:rPr>
        <w:t xml:space="preserve"> لمنح العودة إلى الوطن والسفر، يبين الجدول أدناه تفاصيل مصروفات منح العودة إلى الوطن والسفر المقيدة في بيان الأداء المالي:</w:t>
      </w:r>
    </w:p>
    <w:p w14:paraId="6E81DB73" w14:textId="66977E9B" w:rsidR="00703D69" w:rsidRPr="00703D69" w:rsidRDefault="00E50566" w:rsidP="00703D69">
      <w:pPr>
        <w:pStyle w:val="NormalParaAR"/>
        <w:spacing w:line="240" w:lineRule="auto"/>
        <w:rPr>
          <w:rtl/>
        </w:rPr>
      </w:pPr>
      <w:r w:rsidRPr="00E50566">
        <w:rPr>
          <w:rFonts w:hint="cs"/>
          <w:noProof/>
          <w:rtl/>
        </w:rPr>
        <w:drawing>
          <wp:inline distT="0" distB="0" distL="0" distR="0" wp14:anchorId="584BEC67" wp14:editId="759169DF">
            <wp:extent cx="5884545" cy="1506855"/>
            <wp:effectExtent l="0" t="0" r="1905"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884545" cy="1506855"/>
                    </a:xfrm>
                    <a:prstGeom prst="rect">
                      <a:avLst/>
                    </a:prstGeom>
                    <a:noFill/>
                    <a:ln>
                      <a:noFill/>
                    </a:ln>
                  </pic:spPr>
                </pic:pic>
              </a:graphicData>
            </a:graphic>
          </wp:inline>
        </w:drawing>
      </w:r>
    </w:p>
    <w:p w14:paraId="609E8AE1" w14:textId="3F05BF5D" w:rsidR="00703D69" w:rsidRDefault="00703D69" w:rsidP="00A41B09">
      <w:pPr>
        <w:pStyle w:val="NormalParaAR"/>
        <w:rPr>
          <w:rtl/>
        </w:rPr>
      </w:pPr>
      <w:r>
        <w:rPr>
          <w:rFonts w:hint="cs"/>
          <w:rtl/>
        </w:rPr>
        <w:t xml:space="preserve">وتقيَّد المكاسب والخسائر </w:t>
      </w:r>
      <w:r w:rsidR="00AC3C42">
        <w:rPr>
          <w:rFonts w:hint="cs"/>
          <w:rtl/>
        </w:rPr>
        <w:t>الأكتوارية</w:t>
      </w:r>
      <w:r>
        <w:rPr>
          <w:rFonts w:hint="cs"/>
          <w:rtl/>
        </w:rPr>
        <w:t xml:space="preserve"> لمنح العودة إلى الوطن والسفر فوراً في بيان الأداء المالي. ويبيِّن الجدول أدناه تفاصيل التغييرات في منح العودة إلى الوطن و</w:t>
      </w:r>
      <w:r w:rsidR="00EA0CD6">
        <w:rPr>
          <w:rFonts w:hint="cs"/>
          <w:rtl/>
        </w:rPr>
        <w:t>مستحقات</w:t>
      </w:r>
      <w:r>
        <w:rPr>
          <w:rFonts w:hint="cs"/>
          <w:rtl/>
        </w:rPr>
        <w:t xml:space="preserve"> السفر المحددة:</w:t>
      </w:r>
    </w:p>
    <w:p w14:paraId="21D036FF" w14:textId="60708F93" w:rsidR="00703D69" w:rsidRPr="00703D69" w:rsidRDefault="002C212A" w:rsidP="00703D69">
      <w:pPr>
        <w:pStyle w:val="NormalParaAR"/>
        <w:spacing w:line="240" w:lineRule="auto"/>
        <w:rPr>
          <w:rtl/>
        </w:rPr>
      </w:pPr>
      <w:r w:rsidRPr="002C212A">
        <w:rPr>
          <w:rFonts w:hint="cs"/>
          <w:noProof/>
          <w:rtl/>
        </w:rPr>
        <w:lastRenderedPageBreak/>
        <w:drawing>
          <wp:inline distT="0" distB="0" distL="0" distR="0" wp14:anchorId="3DEA71A3" wp14:editId="73961A01">
            <wp:extent cx="5884545" cy="1701800"/>
            <wp:effectExtent l="0" t="0" r="1905"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884545" cy="1701800"/>
                    </a:xfrm>
                    <a:prstGeom prst="rect">
                      <a:avLst/>
                    </a:prstGeom>
                    <a:noFill/>
                    <a:ln>
                      <a:noFill/>
                    </a:ln>
                  </pic:spPr>
                </pic:pic>
              </a:graphicData>
            </a:graphic>
          </wp:inline>
        </w:drawing>
      </w:r>
    </w:p>
    <w:p w14:paraId="55C727B4" w14:textId="58B03367" w:rsidR="00703D69" w:rsidRDefault="00703D69" w:rsidP="00703D69">
      <w:pPr>
        <w:pStyle w:val="NormalParaAR"/>
        <w:rPr>
          <w:rtl/>
        </w:rPr>
      </w:pPr>
      <w:r>
        <w:rPr>
          <w:rFonts w:hint="cs"/>
          <w:rtl/>
        </w:rPr>
        <w:t>وبلغ مجموع المساهمات التي دفعتها المنظمة لمنح العودة إلى الوطن والسفر 0.2 مليون فرنك سويسري في عام 2014 (0.8 مليون فرنك سويسري في عام 2013). وتقدَّر المساهمات المتوقعة لمنح العودة إلى الوطن والسفر عام 2015 بمبلغ 1.5 مليون فرنك سويسري.</w:t>
      </w:r>
    </w:p>
    <w:p w14:paraId="702BBAF5" w14:textId="63C704FF" w:rsidR="00703D69" w:rsidRDefault="00703D69" w:rsidP="00703D69">
      <w:pPr>
        <w:pStyle w:val="NormalParaAR"/>
        <w:rPr>
          <w:rtl/>
        </w:rPr>
      </w:pPr>
      <w:r>
        <w:rPr>
          <w:rFonts w:hint="cs"/>
          <w:rtl/>
        </w:rPr>
        <w:t>ويبيِّن الجدول التالي تفاصيل القيمة الحالية لل</w:t>
      </w:r>
      <w:r w:rsidR="00EA0CD6">
        <w:rPr>
          <w:rFonts w:hint="cs"/>
          <w:rtl/>
        </w:rPr>
        <w:t>مستحقات</w:t>
      </w:r>
      <w:r>
        <w:rPr>
          <w:rFonts w:hint="cs"/>
          <w:rtl/>
        </w:rPr>
        <w:t xml:space="preserve"> المحددة وتسويات الخبرة الناجمة عن خصوم منح العودة إلى الوطن والسفر لعام 2014 وما يسبقها من أعوام أربعة:</w:t>
      </w:r>
    </w:p>
    <w:p w14:paraId="591D792B" w14:textId="31F807E4" w:rsidR="00703D69" w:rsidRPr="00703D69" w:rsidRDefault="0045638D" w:rsidP="00703D69">
      <w:pPr>
        <w:pStyle w:val="NormalParaAR"/>
        <w:spacing w:line="240" w:lineRule="auto"/>
        <w:rPr>
          <w:rtl/>
        </w:rPr>
      </w:pPr>
      <w:r w:rsidRPr="0045638D">
        <w:rPr>
          <w:noProof/>
          <w:rtl/>
        </w:rPr>
        <w:drawing>
          <wp:inline distT="0" distB="0" distL="0" distR="0" wp14:anchorId="415294A7" wp14:editId="26A5D688">
            <wp:extent cx="5940425" cy="1297669"/>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40425" cy="1297669"/>
                    </a:xfrm>
                    <a:prstGeom prst="rect">
                      <a:avLst/>
                    </a:prstGeom>
                    <a:noFill/>
                    <a:ln>
                      <a:noFill/>
                    </a:ln>
                  </pic:spPr>
                </pic:pic>
              </a:graphicData>
            </a:graphic>
          </wp:inline>
        </w:drawing>
      </w:r>
    </w:p>
    <w:p w14:paraId="142E6733" w14:textId="54501653" w:rsidR="00703D69" w:rsidRDefault="00703D69" w:rsidP="00525C9F">
      <w:pPr>
        <w:pStyle w:val="NormalParaAR"/>
        <w:keepNext/>
        <w:rPr>
          <w:rtl/>
        </w:rPr>
      </w:pPr>
      <w:r>
        <w:rPr>
          <w:rFonts w:hint="cs"/>
          <w:rtl/>
        </w:rPr>
        <w:t>وكانت الافتراضات الأساسية المستخدمة في تحديد منح العودة إلى الوطن وخصوم السفر وال</w:t>
      </w:r>
      <w:r w:rsidR="00EA0CD6">
        <w:rPr>
          <w:rFonts w:hint="cs"/>
          <w:rtl/>
        </w:rPr>
        <w:t>مستحقات</w:t>
      </w:r>
      <w:r>
        <w:rPr>
          <w:rFonts w:hint="cs"/>
          <w:rtl/>
        </w:rPr>
        <w:t xml:space="preserve"> المحددة كما يلي:</w:t>
      </w:r>
    </w:p>
    <w:p w14:paraId="7DE2661F" w14:textId="556C6FFD" w:rsidR="00703D69" w:rsidRPr="00703D69" w:rsidRDefault="002C212A" w:rsidP="00703D69">
      <w:pPr>
        <w:pStyle w:val="NormalParaAR"/>
        <w:spacing w:line="240" w:lineRule="auto"/>
        <w:rPr>
          <w:rtl/>
        </w:rPr>
      </w:pPr>
      <w:r w:rsidRPr="002C212A">
        <w:rPr>
          <w:rFonts w:hint="cs"/>
          <w:noProof/>
          <w:rtl/>
        </w:rPr>
        <w:drawing>
          <wp:inline distT="0" distB="0" distL="0" distR="0" wp14:anchorId="79E17809" wp14:editId="33D03420">
            <wp:extent cx="5884545" cy="1490345"/>
            <wp:effectExtent l="0" t="0" r="1905"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884545" cy="1490345"/>
                    </a:xfrm>
                    <a:prstGeom prst="rect">
                      <a:avLst/>
                    </a:prstGeom>
                    <a:noFill/>
                    <a:ln>
                      <a:noFill/>
                    </a:ln>
                  </pic:spPr>
                </pic:pic>
              </a:graphicData>
            </a:graphic>
          </wp:inline>
        </w:drawing>
      </w:r>
    </w:p>
    <w:p w14:paraId="57376FD7" w14:textId="256DCC3A" w:rsidR="00E16243" w:rsidRDefault="00E16243" w:rsidP="00630846">
      <w:pPr>
        <w:pStyle w:val="NormalParaAR"/>
        <w:rPr>
          <w:rtl/>
        </w:rPr>
      </w:pPr>
      <w:r w:rsidRPr="00703D69">
        <w:rPr>
          <w:rFonts w:hint="cs"/>
          <w:b/>
          <w:bCs/>
          <w:i/>
          <w:iCs/>
          <w:rtl/>
        </w:rPr>
        <w:t xml:space="preserve">التأمين الصحي ما بعد الخدمة </w:t>
      </w:r>
      <w:r w:rsidRPr="00703D69">
        <w:rPr>
          <w:b/>
          <w:bCs/>
          <w:i/>
          <w:iCs/>
          <w:color w:val="000000"/>
          <w:rtl/>
        </w:rPr>
        <w:t>(</w:t>
      </w:r>
      <w:r w:rsidRPr="00703D69">
        <w:rPr>
          <w:b/>
          <w:bCs/>
          <w:i/>
          <w:iCs/>
          <w:color w:val="000000"/>
        </w:rPr>
        <w:t>ASHI</w:t>
      </w:r>
      <w:r w:rsidRPr="00703D69">
        <w:rPr>
          <w:b/>
          <w:bCs/>
          <w:color w:val="000000"/>
          <w:rtl/>
        </w:rPr>
        <w:t>):</w:t>
      </w:r>
      <w:r w:rsidRPr="00C437C9">
        <w:rPr>
          <w:color w:val="000000"/>
          <w:rtl/>
        </w:rPr>
        <w:t xml:space="preserve"> تلتزم "المنظمة" أيضا التزاماً تعاقدياً بتوفير ال</w:t>
      </w:r>
      <w:r w:rsidR="00EA0CD6">
        <w:rPr>
          <w:color w:val="000000"/>
          <w:rtl/>
        </w:rPr>
        <w:t>مستحقات</w:t>
      </w:r>
      <w:r w:rsidRPr="00C437C9">
        <w:rPr>
          <w:color w:val="000000"/>
          <w:rtl/>
        </w:rPr>
        <w:t xml:space="preserve"> الطبية لموظفيها بعد انتهاء الخدمة على شكل أقساط تأمينية لبوليصة التأمين الطبي ضد الحوادث. يحق للموظفين المحالين للتقاعد (وأزواجهم وأبنائهم المعالين والمُتَوَفّى عنهم) التمتع بالتأمين الصحي بعد انتهاء الخدمة في حالة استمرارهم في سداد الاشتراكات المقررة. بمقتضى نظام موظفي الويبو ولائحته، تتحمل "المنظمة" حصة بنسبة 65</w:t>
      </w:r>
      <w:r>
        <w:rPr>
          <w:rFonts w:hint="cs"/>
          <w:color w:val="000000"/>
          <w:rtl/>
        </w:rPr>
        <w:t xml:space="preserve"> </w:t>
      </w:r>
      <w:r w:rsidR="00257637">
        <w:rPr>
          <w:rFonts w:hint="cs"/>
          <w:color w:val="000000"/>
          <w:rtl/>
        </w:rPr>
        <w:t>بالمئة</w:t>
      </w:r>
      <w:r w:rsidRPr="00C437C9">
        <w:rPr>
          <w:color w:val="000000"/>
          <w:rtl/>
        </w:rPr>
        <w:t xml:space="preserve"> من أقساط التأمين الطبي الشهري. و</w:t>
      </w:r>
      <w:r w:rsidR="00A124F6">
        <w:rPr>
          <w:rFonts w:hint="cs"/>
          <w:color w:val="000000"/>
          <w:rtl/>
        </w:rPr>
        <w:t xml:space="preserve">اعتباراً من 1 يناير 2015، </w:t>
      </w:r>
      <w:r w:rsidRPr="00C437C9">
        <w:rPr>
          <w:color w:val="000000"/>
          <w:rtl/>
        </w:rPr>
        <w:t xml:space="preserve">يبلغ قسط التأمين </w:t>
      </w:r>
      <w:r w:rsidR="00A124F6">
        <w:rPr>
          <w:rFonts w:hint="cs"/>
          <w:color w:val="000000"/>
          <w:rtl/>
        </w:rPr>
        <w:t>الصحي</w:t>
      </w:r>
      <w:r w:rsidRPr="00C437C9">
        <w:rPr>
          <w:color w:val="000000"/>
          <w:rtl/>
        </w:rPr>
        <w:t xml:space="preserve"> الشهري </w:t>
      </w:r>
      <w:r w:rsidR="00163657">
        <w:rPr>
          <w:rFonts w:hint="cs"/>
          <w:color w:val="000000"/>
          <w:rtl/>
        </w:rPr>
        <w:t>538</w:t>
      </w:r>
      <w:r w:rsidRPr="00C437C9">
        <w:rPr>
          <w:color w:val="000000"/>
          <w:rtl/>
        </w:rPr>
        <w:t xml:space="preserve"> فرنك</w:t>
      </w:r>
      <w:r w:rsidR="00163657">
        <w:rPr>
          <w:rFonts w:hint="cs"/>
          <w:color w:val="000000"/>
          <w:rtl/>
        </w:rPr>
        <w:t>اً</w:t>
      </w:r>
      <w:r w:rsidRPr="00C437C9">
        <w:rPr>
          <w:color w:val="000000"/>
          <w:rtl/>
        </w:rPr>
        <w:t xml:space="preserve"> سويسري</w:t>
      </w:r>
      <w:r w:rsidR="00163657">
        <w:rPr>
          <w:rFonts w:hint="cs"/>
          <w:color w:val="000000"/>
          <w:rtl/>
        </w:rPr>
        <w:t>اً</w:t>
      </w:r>
      <w:r w:rsidRPr="00C437C9">
        <w:rPr>
          <w:color w:val="000000"/>
          <w:rtl/>
        </w:rPr>
        <w:t xml:space="preserve"> </w:t>
      </w:r>
      <w:r w:rsidR="00163657">
        <w:rPr>
          <w:rFonts w:hint="cs"/>
          <w:color w:val="000000"/>
          <w:rtl/>
        </w:rPr>
        <w:t>للبالغ و240 فرنكاً سويسرياً للطفل (552 فرنكاً سويسرياً للبالغ و245 فرنكاً سويسرياً للطفل سابقاً)</w:t>
      </w:r>
      <w:r w:rsidRPr="00C437C9">
        <w:rPr>
          <w:color w:val="000000"/>
          <w:rtl/>
        </w:rPr>
        <w:t xml:space="preserve">. </w:t>
      </w:r>
      <w:r>
        <w:rPr>
          <w:rFonts w:hint="cs"/>
          <w:color w:val="000000"/>
          <w:rtl/>
        </w:rPr>
        <w:t>و</w:t>
      </w:r>
      <w:r w:rsidRPr="00C437C9">
        <w:rPr>
          <w:color w:val="000000"/>
          <w:rtl/>
        </w:rPr>
        <w:t>تتحدد القيمة الحالية لالتزامات ال</w:t>
      </w:r>
      <w:r w:rsidR="00EA0CD6">
        <w:rPr>
          <w:color w:val="000000"/>
          <w:rtl/>
        </w:rPr>
        <w:t>مستحقات</w:t>
      </w:r>
      <w:r w:rsidRPr="00C437C9">
        <w:rPr>
          <w:color w:val="000000"/>
          <w:rtl/>
        </w:rPr>
        <w:t xml:space="preserve"> الطبية بعد الخدمة باستخدام أسلوب حساب وحدات الاستحقاق المتوقعة بما في ذلك خصم التدفقات النقدية المستقبلية المقدرة باستخدام معدل خصم استناداً إلى ارتفاع معدل سندات شركات الدرجة الأولى الصادرة بالفرنك السويسري وسندات الحكومة السويسرية. </w:t>
      </w:r>
      <w:r>
        <w:rPr>
          <w:rFonts w:hint="cs"/>
          <w:color w:val="000000"/>
          <w:rtl/>
        </w:rPr>
        <w:t>و</w:t>
      </w:r>
      <w:r w:rsidRPr="00C437C9">
        <w:rPr>
          <w:color w:val="000000"/>
          <w:rtl/>
        </w:rPr>
        <w:t xml:space="preserve">لا </w:t>
      </w:r>
      <w:r w:rsidR="00630846">
        <w:rPr>
          <w:rFonts w:hint="cs"/>
          <w:color w:val="000000"/>
          <w:rtl/>
        </w:rPr>
        <w:t>يموَّل</w:t>
      </w:r>
      <w:r w:rsidRPr="00C437C9">
        <w:rPr>
          <w:color w:val="000000"/>
          <w:rtl/>
        </w:rPr>
        <w:t xml:space="preserve"> </w:t>
      </w:r>
      <w:r w:rsidRPr="00C437C9">
        <w:rPr>
          <w:color w:val="000000"/>
          <w:rtl/>
        </w:rPr>
        <w:lastRenderedPageBreak/>
        <w:t xml:space="preserve">برنامج الرعاية الصحية ولا </w:t>
      </w:r>
      <w:r w:rsidR="00630846">
        <w:rPr>
          <w:rFonts w:hint="cs"/>
          <w:color w:val="000000"/>
          <w:rtl/>
        </w:rPr>
        <w:t>يُحتجز</w:t>
      </w:r>
      <w:r w:rsidRPr="00C437C9">
        <w:rPr>
          <w:color w:val="000000"/>
          <w:rtl/>
        </w:rPr>
        <w:t xml:space="preserve"> أي أصول للبرنامج في صندوق مستحقات الموظفين طويلة الأجل. </w:t>
      </w:r>
      <w:r>
        <w:rPr>
          <w:rFonts w:hint="cs"/>
          <w:color w:val="000000"/>
          <w:rtl/>
        </w:rPr>
        <w:t>و</w:t>
      </w:r>
      <w:r>
        <w:rPr>
          <w:color w:val="000000"/>
          <w:rtl/>
        </w:rPr>
        <w:t xml:space="preserve">تأسيسا على تقييم خبير </w:t>
      </w:r>
      <w:r>
        <w:rPr>
          <w:rFonts w:hint="cs"/>
          <w:color w:val="000000"/>
          <w:rtl/>
        </w:rPr>
        <w:t>أ</w:t>
      </w:r>
      <w:r w:rsidRPr="00C437C9">
        <w:rPr>
          <w:color w:val="000000"/>
          <w:rtl/>
        </w:rPr>
        <w:t xml:space="preserve">كتواري مستقل في ديسمبر </w:t>
      </w:r>
      <w:r w:rsidR="00163657">
        <w:rPr>
          <w:rFonts w:hint="cs"/>
          <w:color w:val="000000"/>
          <w:rtl/>
        </w:rPr>
        <w:t>2014</w:t>
      </w:r>
      <w:r w:rsidRPr="00C437C9">
        <w:rPr>
          <w:color w:val="000000"/>
          <w:rtl/>
        </w:rPr>
        <w:t>، قُدرت هذه الخصوم في وقت التقرير</w:t>
      </w:r>
      <w:r>
        <w:rPr>
          <w:rFonts w:hint="cs"/>
          <w:color w:val="000000"/>
          <w:rtl/>
        </w:rPr>
        <w:t> </w:t>
      </w:r>
      <w:r w:rsidRPr="00C437C9">
        <w:rPr>
          <w:color w:val="000000"/>
          <w:rtl/>
        </w:rPr>
        <w:t>المالي</w:t>
      </w:r>
      <w:r w:rsidR="0074584F">
        <w:rPr>
          <w:rFonts w:hint="cs"/>
          <w:color w:val="000000"/>
          <w:rtl/>
        </w:rPr>
        <w:t xml:space="preserve"> كما يلي</w:t>
      </w:r>
      <w:r>
        <w:rPr>
          <w:rFonts w:hint="cs"/>
          <w:rtl/>
        </w:rPr>
        <w:t>:</w:t>
      </w:r>
    </w:p>
    <w:p w14:paraId="04CA6EFD" w14:textId="27B5B20D" w:rsidR="00814C35" w:rsidRDefault="002C212A" w:rsidP="00701215">
      <w:pPr>
        <w:bidi/>
        <w:rPr>
          <w:rFonts w:ascii="Arabic Typesetting" w:hAnsi="Arabic Typesetting" w:cs="Arabic Typesetting"/>
          <w:sz w:val="28"/>
          <w:szCs w:val="28"/>
          <w:rtl/>
        </w:rPr>
      </w:pPr>
      <w:r w:rsidRPr="002C212A">
        <w:rPr>
          <w:noProof/>
          <w:szCs w:val="22"/>
          <w:rtl/>
        </w:rPr>
        <w:drawing>
          <wp:inline distT="0" distB="0" distL="0" distR="0" wp14:anchorId="0C1C4B6E" wp14:editId="628F1F6E">
            <wp:extent cx="5884545" cy="990600"/>
            <wp:effectExtent l="0" t="0" r="1905"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884545" cy="990600"/>
                    </a:xfrm>
                    <a:prstGeom prst="rect">
                      <a:avLst/>
                    </a:prstGeom>
                    <a:noFill/>
                    <a:ln>
                      <a:noFill/>
                    </a:ln>
                  </pic:spPr>
                </pic:pic>
              </a:graphicData>
            </a:graphic>
          </wp:inline>
        </w:drawing>
      </w:r>
    </w:p>
    <w:p w14:paraId="2D4E830D" w14:textId="1CD72289" w:rsidR="00FA157E" w:rsidRPr="00945A2A" w:rsidRDefault="00FA157E" w:rsidP="00525C9F">
      <w:pPr>
        <w:pStyle w:val="NormalParaAR"/>
        <w:keepNext/>
        <w:spacing w:before="240"/>
        <w:rPr>
          <w:rtl/>
        </w:rPr>
      </w:pPr>
      <w:r w:rsidRPr="00945A2A">
        <w:rPr>
          <w:rFonts w:hint="cs"/>
          <w:rtl/>
        </w:rPr>
        <w:t>ويوضح الجدول التالي مصروفات التأمين الصحي لما بعد الخدمة المقيدة في بيان الأداء المالي:</w:t>
      </w:r>
    </w:p>
    <w:p w14:paraId="68659A23" w14:textId="40472C05" w:rsidR="00FA157E" w:rsidRDefault="002C212A" w:rsidP="00D21C02">
      <w:pPr>
        <w:pStyle w:val="NormalParaAR"/>
        <w:spacing w:after="0" w:line="240" w:lineRule="auto"/>
        <w:rPr>
          <w:rtl/>
        </w:rPr>
      </w:pPr>
      <w:r w:rsidRPr="002C212A">
        <w:rPr>
          <w:rFonts w:hint="cs"/>
          <w:noProof/>
          <w:rtl/>
        </w:rPr>
        <w:drawing>
          <wp:inline distT="0" distB="0" distL="0" distR="0" wp14:anchorId="74E0909E" wp14:editId="0C053ECE">
            <wp:extent cx="5884545" cy="1506855"/>
            <wp:effectExtent l="0" t="0" r="1905"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884545" cy="1506855"/>
                    </a:xfrm>
                    <a:prstGeom prst="rect">
                      <a:avLst/>
                    </a:prstGeom>
                    <a:noFill/>
                    <a:ln>
                      <a:noFill/>
                    </a:ln>
                  </pic:spPr>
                </pic:pic>
              </a:graphicData>
            </a:graphic>
          </wp:inline>
        </w:drawing>
      </w:r>
    </w:p>
    <w:p w14:paraId="045491E1" w14:textId="68B1DED1" w:rsidR="00FA157E" w:rsidRDefault="00FA157E" w:rsidP="00945A2A">
      <w:pPr>
        <w:pStyle w:val="NormalParaAR"/>
        <w:spacing w:before="240"/>
        <w:rPr>
          <w:rtl/>
        </w:rPr>
      </w:pPr>
      <w:r>
        <w:rPr>
          <w:rFonts w:hint="cs"/>
          <w:rtl/>
        </w:rPr>
        <w:t>وتطبق الويبو أسلوب</w:t>
      </w:r>
      <w:r w:rsidRPr="00FA157E">
        <w:rPr>
          <w:rtl/>
        </w:rPr>
        <w:t xml:space="preserve"> الممر</w:t>
      </w:r>
      <w:r>
        <w:rPr>
          <w:rFonts w:hint="cs"/>
          <w:rtl/>
        </w:rPr>
        <w:t>ات في قيد المكاسب</w:t>
      </w:r>
      <w:r w:rsidRPr="00FA157E">
        <w:rPr>
          <w:rtl/>
        </w:rPr>
        <w:t xml:space="preserve"> والخسائر </w:t>
      </w:r>
      <w:r w:rsidR="00AC3C42">
        <w:rPr>
          <w:rtl/>
        </w:rPr>
        <w:t>الأكتوارية</w:t>
      </w:r>
      <w:r w:rsidRPr="00FA157E">
        <w:rPr>
          <w:rtl/>
        </w:rPr>
        <w:t xml:space="preserve"> </w:t>
      </w:r>
      <w:r>
        <w:rPr>
          <w:rFonts w:hint="cs"/>
          <w:rtl/>
        </w:rPr>
        <w:t>للتأمين الصحي لما بعد</w:t>
      </w:r>
      <w:r w:rsidRPr="00FA157E">
        <w:rPr>
          <w:rtl/>
        </w:rPr>
        <w:t xml:space="preserve"> الخدمة. في إطار هذه السياسة المحاسبية، </w:t>
      </w:r>
      <w:r>
        <w:rPr>
          <w:rFonts w:hint="cs"/>
          <w:rtl/>
        </w:rPr>
        <w:t>يقيد</w:t>
      </w:r>
      <w:r w:rsidRPr="00FA157E">
        <w:rPr>
          <w:rtl/>
        </w:rPr>
        <w:t xml:space="preserve"> جزء من صافي </w:t>
      </w:r>
      <w:r>
        <w:rPr>
          <w:rFonts w:hint="cs"/>
          <w:rtl/>
        </w:rPr>
        <w:t>المكاسب</w:t>
      </w:r>
      <w:r w:rsidRPr="00FA157E">
        <w:rPr>
          <w:rtl/>
        </w:rPr>
        <w:t xml:space="preserve"> والخسائر </w:t>
      </w:r>
      <w:r w:rsidR="00AC3C42">
        <w:rPr>
          <w:rtl/>
        </w:rPr>
        <w:t>الأكتوارية</w:t>
      </w:r>
      <w:r w:rsidRPr="00FA157E">
        <w:rPr>
          <w:rtl/>
        </w:rPr>
        <w:t xml:space="preserve"> إذا كان صافي </w:t>
      </w:r>
      <w:r>
        <w:rPr>
          <w:rFonts w:hint="cs"/>
          <w:rtl/>
        </w:rPr>
        <w:t>المكاسب والخسائر</w:t>
      </w:r>
      <w:r w:rsidRPr="00FA157E">
        <w:rPr>
          <w:rtl/>
        </w:rPr>
        <w:t xml:space="preserve"> التراكمية غير </w:t>
      </w:r>
      <w:r>
        <w:rPr>
          <w:rFonts w:hint="cs"/>
          <w:rtl/>
        </w:rPr>
        <w:t>المقيدة</w:t>
      </w:r>
      <w:r w:rsidRPr="00FA157E">
        <w:rPr>
          <w:rtl/>
        </w:rPr>
        <w:t xml:space="preserve"> في نهاية الفترة المشمولة بالتقرير السابق تتجاوز 10 </w:t>
      </w:r>
      <w:r w:rsidR="00257637">
        <w:rPr>
          <w:rtl/>
        </w:rPr>
        <w:t>في المئة</w:t>
      </w:r>
      <w:r w:rsidRPr="00FA157E">
        <w:rPr>
          <w:rtl/>
        </w:rPr>
        <w:t xml:space="preserve"> من القيمة الحالية </w:t>
      </w:r>
      <w:r>
        <w:rPr>
          <w:rFonts w:hint="cs"/>
          <w:rtl/>
        </w:rPr>
        <w:t>لل</w:t>
      </w:r>
      <w:r w:rsidR="00EA0CD6">
        <w:rPr>
          <w:rFonts w:hint="cs"/>
          <w:rtl/>
        </w:rPr>
        <w:t>مستحقات</w:t>
      </w:r>
      <w:r>
        <w:rPr>
          <w:rFonts w:hint="cs"/>
          <w:rtl/>
        </w:rPr>
        <w:t xml:space="preserve"> المحددة </w:t>
      </w:r>
      <w:r w:rsidRPr="00FA157E">
        <w:rPr>
          <w:rtl/>
        </w:rPr>
        <w:t xml:space="preserve">في ذلك التاريخ. </w:t>
      </w:r>
      <w:r>
        <w:rPr>
          <w:rFonts w:hint="cs"/>
          <w:rtl/>
        </w:rPr>
        <w:t>و</w:t>
      </w:r>
      <w:r w:rsidRPr="00FA157E">
        <w:rPr>
          <w:rtl/>
        </w:rPr>
        <w:t>يوضح الجدول أدناه التغييرات في</w:t>
      </w:r>
      <w:r>
        <w:rPr>
          <w:rFonts w:hint="cs"/>
          <w:rtl/>
        </w:rPr>
        <w:t xml:space="preserve"> </w:t>
      </w:r>
      <w:r w:rsidR="00EA0CD6">
        <w:rPr>
          <w:rFonts w:hint="cs"/>
          <w:rtl/>
        </w:rPr>
        <w:t>مستحقات</w:t>
      </w:r>
      <w:r w:rsidRPr="00FA157E">
        <w:rPr>
          <w:rtl/>
        </w:rPr>
        <w:t xml:space="preserve"> التأمين الصحي </w:t>
      </w:r>
      <w:r>
        <w:rPr>
          <w:rFonts w:hint="cs"/>
          <w:rtl/>
        </w:rPr>
        <w:t>لما بعد الخدمة</w:t>
      </w:r>
      <w:r w:rsidRPr="00FA157E">
        <w:rPr>
          <w:rtl/>
        </w:rPr>
        <w:t>، و</w:t>
      </w:r>
      <w:r>
        <w:rPr>
          <w:rFonts w:hint="cs"/>
          <w:rtl/>
        </w:rPr>
        <w:t>ي</w:t>
      </w:r>
      <w:r w:rsidRPr="00FA157E">
        <w:rPr>
          <w:rtl/>
        </w:rPr>
        <w:t xml:space="preserve">وفق بين </w:t>
      </w:r>
      <w:r>
        <w:rPr>
          <w:rFonts w:hint="cs"/>
          <w:rtl/>
        </w:rPr>
        <w:t>هذه ال</w:t>
      </w:r>
      <w:r w:rsidR="00EA0CD6">
        <w:rPr>
          <w:rFonts w:hint="cs"/>
          <w:rtl/>
        </w:rPr>
        <w:t>مستحقات</w:t>
      </w:r>
      <w:r>
        <w:rPr>
          <w:rFonts w:hint="cs"/>
          <w:rtl/>
        </w:rPr>
        <w:t xml:space="preserve"> والخصوم المقيدة في بيان الوضع المالي</w:t>
      </w:r>
      <w:r w:rsidRPr="00FA157E">
        <w:rPr>
          <w:rtl/>
        </w:rPr>
        <w:t>:</w:t>
      </w:r>
    </w:p>
    <w:p w14:paraId="7DEB3EEE" w14:textId="3EAD0C6F" w:rsidR="00FA157E" w:rsidRDefault="002C212A" w:rsidP="00FA157E">
      <w:pPr>
        <w:pStyle w:val="NormalParaAR"/>
        <w:spacing w:after="0" w:line="240" w:lineRule="auto"/>
        <w:rPr>
          <w:rtl/>
        </w:rPr>
      </w:pPr>
      <w:r w:rsidRPr="002C212A">
        <w:rPr>
          <w:rFonts w:hint="cs"/>
          <w:noProof/>
          <w:rtl/>
        </w:rPr>
        <w:drawing>
          <wp:inline distT="0" distB="0" distL="0" distR="0" wp14:anchorId="1B20A445" wp14:editId="1437E085">
            <wp:extent cx="5884545" cy="2082800"/>
            <wp:effectExtent l="0" t="0" r="1905"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884545" cy="2082800"/>
                    </a:xfrm>
                    <a:prstGeom prst="rect">
                      <a:avLst/>
                    </a:prstGeom>
                    <a:noFill/>
                    <a:ln>
                      <a:noFill/>
                    </a:ln>
                  </pic:spPr>
                </pic:pic>
              </a:graphicData>
            </a:graphic>
          </wp:inline>
        </w:drawing>
      </w:r>
    </w:p>
    <w:p w14:paraId="264E83F1" w14:textId="2D2869FA" w:rsidR="00FA157E" w:rsidRDefault="00FA157E" w:rsidP="00945A2A">
      <w:pPr>
        <w:pStyle w:val="NormalParaAR"/>
        <w:spacing w:before="240"/>
        <w:rPr>
          <w:rtl/>
          <w:lang w:bidi="ar-EG"/>
        </w:rPr>
      </w:pPr>
      <w:r>
        <w:rPr>
          <w:rFonts w:hint="cs"/>
          <w:rtl/>
        </w:rPr>
        <w:t>وبلغ مجموع المساهمات التي دفعتها المنظمة للتأمين الصحي لما بعد الخدمة 2.5 مليون فرنك سويسري في عام 2014 (2.3 مليون فرنك سويسري في 2013). ويتوقع أن تبلغ المساهمات في التامين الصحي لما بعد الخدمة 2.7 مليون فرنك سويسري في عام 2015.</w:t>
      </w:r>
    </w:p>
    <w:p w14:paraId="027662DB" w14:textId="230A6F96" w:rsidR="00FA157E" w:rsidRDefault="00FA157E" w:rsidP="00945A2A">
      <w:pPr>
        <w:pStyle w:val="NormalParaAR"/>
        <w:keepNext/>
        <w:spacing w:before="240"/>
        <w:rPr>
          <w:rtl/>
          <w:lang w:bidi="ar-EG"/>
        </w:rPr>
      </w:pPr>
      <w:r>
        <w:rPr>
          <w:rFonts w:hint="cs"/>
          <w:rtl/>
          <w:lang w:bidi="ar-EG"/>
        </w:rPr>
        <w:lastRenderedPageBreak/>
        <w:t>ويوضح الجدول التالي القيمة الحالية لل</w:t>
      </w:r>
      <w:r w:rsidR="00EA0CD6">
        <w:rPr>
          <w:rFonts w:hint="cs"/>
          <w:rtl/>
          <w:lang w:bidi="ar-EG"/>
        </w:rPr>
        <w:t>مستحقات</w:t>
      </w:r>
      <w:r>
        <w:rPr>
          <w:rFonts w:hint="cs"/>
          <w:rtl/>
          <w:lang w:bidi="ar-EG"/>
        </w:rPr>
        <w:t xml:space="preserve"> المحددة وتسويات الخبرة الناجمة عن </w:t>
      </w:r>
      <w:r>
        <w:rPr>
          <w:rFonts w:hint="cs"/>
          <w:rtl/>
        </w:rPr>
        <w:t>خصوم</w:t>
      </w:r>
      <w:r>
        <w:rPr>
          <w:rFonts w:hint="cs"/>
          <w:rtl/>
          <w:lang w:bidi="ar-EG"/>
        </w:rPr>
        <w:t xml:space="preserve"> التأمين الصحي لما بعد الخدمة في عام 2014 </w:t>
      </w:r>
      <w:r>
        <w:rPr>
          <w:rFonts w:hint="cs"/>
          <w:rtl/>
        </w:rPr>
        <w:t>وما يسبقها من أعوام أربعة:</w:t>
      </w:r>
    </w:p>
    <w:p w14:paraId="15FB3243" w14:textId="56E3E159" w:rsidR="008467C9" w:rsidRDefault="008467C9" w:rsidP="008467C9">
      <w:pPr>
        <w:pStyle w:val="NormalParaAR"/>
        <w:spacing w:after="0" w:line="240" w:lineRule="auto"/>
        <w:jc w:val="center"/>
        <w:rPr>
          <w:noProof/>
        </w:rPr>
      </w:pPr>
      <w:r w:rsidRPr="008467C9">
        <w:rPr>
          <w:noProof/>
          <w:rtl/>
        </w:rPr>
        <w:drawing>
          <wp:inline distT="0" distB="0" distL="0" distR="0" wp14:anchorId="178B1C73" wp14:editId="421DEC6D">
            <wp:extent cx="5940425" cy="1297945"/>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40425" cy="1297945"/>
                    </a:xfrm>
                    <a:prstGeom prst="rect">
                      <a:avLst/>
                    </a:prstGeom>
                    <a:noFill/>
                    <a:ln>
                      <a:noFill/>
                    </a:ln>
                  </pic:spPr>
                </pic:pic>
              </a:graphicData>
            </a:graphic>
          </wp:inline>
        </w:drawing>
      </w:r>
    </w:p>
    <w:p w14:paraId="60C3E797" w14:textId="77777777" w:rsidR="008467C9" w:rsidRDefault="008467C9" w:rsidP="00FA157E">
      <w:pPr>
        <w:pStyle w:val="NormalParaAR"/>
        <w:spacing w:after="0" w:line="240" w:lineRule="auto"/>
        <w:rPr>
          <w:rtl/>
          <w:lang w:bidi="ar-EG"/>
        </w:rPr>
      </w:pPr>
    </w:p>
    <w:p w14:paraId="53E518F2" w14:textId="3D3ABD2C" w:rsidR="00FA157E" w:rsidRDefault="00FA157E" w:rsidP="00CE3483">
      <w:pPr>
        <w:pStyle w:val="NormalParaAR"/>
        <w:keepNext/>
        <w:spacing w:after="0" w:line="240" w:lineRule="auto"/>
        <w:rPr>
          <w:rtl/>
        </w:rPr>
      </w:pPr>
      <w:r>
        <w:rPr>
          <w:rFonts w:hint="cs"/>
          <w:rtl/>
        </w:rPr>
        <w:t>ويرد في الجدول التالي الافتراضات الاساسية التي استخدم لتحديد خصوم التامين الصحي لما بعد الخدمة وال</w:t>
      </w:r>
      <w:r w:rsidR="00EA0CD6">
        <w:rPr>
          <w:rFonts w:hint="cs"/>
          <w:rtl/>
        </w:rPr>
        <w:t>مستحقات</w:t>
      </w:r>
      <w:r>
        <w:rPr>
          <w:rFonts w:hint="cs"/>
          <w:rtl/>
        </w:rPr>
        <w:t xml:space="preserve"> المحددة:</w:t>
      </w:r>
    </w:p>
    <w:p w14:paraId="30335FD6" w14:textId="51F0FF6D" w:rsidR="00FA157E" w:rsidRDefault="00CE3483" w:rsidP="00D21C02">
      <w:pPr>
        <w:pStyle w:val="NormalParaAR"/>
        <w:spacing w:after="0" w:line="240" w:lineRule="auto"/>
        <w:rPr>
          <w:noProof/>
          <w:rtl/>
          <w:lang w:val="fr-FR" w:eastAsia="fr-FR"/>
        </w:rPr>
      </w:pPr>
      <w:r w:rsidRPr="00CE3483">
        <w:rPr>
          <w:rFonts w:hint="cs"/>
          <w:noProof/>
          <w:rtl/>
        </w:rPr>
        <w:drawing>
          <wp:inline distT="0" distB="0" distL="0" distR="0" wp14:anchorId="5B173570" wp14:editId="66E74939">
            <wp:extent cx="5884545" cy="3361055"/>
            <wp:effectExtent l="0" t="0" r="1905"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884545" cy="3361055"/>
                    </a:xfrm>
                    <a:prstGeom prst="rect">
                      <a:avLst/>
                    </a:prstGeom>
                    <a:noFill/>
                    <a:ln>
                      <a:noFill/>
                    </a:ln>
                  </pic:spPr>
                </pic:pic>
              </a:graphicData>
            </a:graphic>
          </wp:inline>
        </w:drawing>
      </w:r>
    </w:p>
    <w:p w14:paraId="02180C44" w14:textId="26C4F0D1" w:rsidR="0075089B" w:rsidRDefault="0075089B" w:rsidP="006B52CB">
      <w:pPr>
        <w:pStyle w:val="NormalParaAR"/>
        <w:spacing w:after="0" w:line="240" w:lineRule="auto"/>
        <w:rPr>
          <w:noProof/>
          <w:rtl/>
          <w:lang w:val="fr-FR" w:eastAsia="fr-FR"/>
        </w:rPr>
      </w:pPr>
      <w:r>
        <w:rPr>
          <w:rFonts w:hint="cs"/>
          <w:noProof/>
          <w:rtl/>
          <w:lang w:val="fr-FR" w:eastAsia="fr-FR"/>
        </w:rPr>
        <w:t>و</w:t>
      </w:r>
      <w:r w:rsidRPr="0075089B">
        <w:rPr>
          <w:noProof/>
          <w:rtl/>
          <w:lang w:val="fr-FR" w:eastAsia="fr-FR"/>
        </w:rPr>
        <w:t>تؤثر توجهات تكلفة الرعاية الصحية المفترضة تأثيراً جوهريا على المبالغ المحسوبة كخصوم متعلقة با</w:t>
      </w:r>
      <w:r>
        <w:rPr>
          <w:noProof/>
          <w:rtl/>
          <w:lang w:val="fr-FR" w:eastAsia="fr-FR"/>
        </w:rPr>
        <w:t>لتأمين الصحي بعد انتهاء الخدمة.</w:t>
      </w:r>
      <w:r w:rsidRPr="0075089B">
        <w:rPr>
          <w:noProof/>
          <w:rtl/>
          <w:lang w:val="fr-FR" w:eastAsia="fr-FR"/>
        </w:rPr>
        <w:t xml:space="preserve"> ويوضح الجدول التالي التأثيرات التي يحدثها التغير في توجهات تكلفة الرعاية الصحية المفترضة بمقدار نقطة واحدة مئوية:</w:t>
      </w:r>
    </w:p>
    <w:p w14:paraId="42F3F313" w14:textId="357C37E6" w:rsidR="006B52CB" w:rsidRDefault="001F5D9C" w:rsidP="006B52CB">
      <w:pPr>
        <w:pStyle w:val="NormalParaAR"/>
        <w:spacing w:after="0" w:line="240" w:lineRule="auto"/>
        <w:rPr>
          <w:noProof/>
          <w:rtl/>
          <w:lang w:val="fr-FR" w:eastAsia="fr-FR"/>
        </w:rPr>
      </w:pPr>
      <w:r w:rsidRPr="001F5D9C">
        <w:rPr>
          <w:rFonts w:hint="cs"/>
          <w:noProof/>
          <w:rtl/>
        </w:rPr>
        <w:drawing>
          <wp:inline distT="0" distB="0" distL="0" distR="0" wp14:anchorId="71972CD5" wp14:editId="6C59265B">
            <wp:extent cx="5940425" cy="1904946"/>
            <wp:effectExtent l="0" t="0" r="3175" b="63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940425" cy="1904946"/>
                    </a:xfrm>
                    <a:prstGeom prst="rect">
                      <a:avLst/>
                    </a:prstGeom>
                    <a:noFill/>
                    <a:ln>
                      <a:noFill/>
                    </a:ln>
                  </pic:spPr>
                </pic:pic>
              </a:graphicData>
            </a:graphic>
          </wp:inline>
        </w:drawing>
      </w:r>
    </w:p>
    <w:p w14:paraId="5D42B987" w14:textId="77777777" w:rsidR="00E16243" w:rsidRPr="00175930" w:rsidRDefault="00E16243" w:rsidP="00E16243">
      <w:pPr>
        <w:pStyle w:val="NormalParaAR"/>
        <w:keepNext/>
        <w:rPr>
          <w:b/>
          <w:bCs/>
          <w:rtl/>
        </w:rPr>
      </w:pPr>
      <w:r w:rsidRPr="00175930">
        <w:rPr>
          <w:rFonts w:hint="cs"/>
          <w:b/>
          <w:bCs/>
          <w:rtl/>
        </w:rPr>
        <w:lastRenderedPageBreak/>
        <w:t>الصندوق المشترك للمعاشات التقاعدية لموظفي الأمم المتحدة</w:t>
      </w:r>
    </w:p>
    <w:p w14:paraId="66D76527" w14:textId="30D44A7A" w:rsidR="00E55E23" w:rsidRDefault="00E16243" w:rsidP="00E16243">
      <w:pPr>
        <w:pStyle w:val="NormalParaAR"/>
        <w:rPr>
          <w:rtl/>
        </w:rPr>
      </w:pPr>
      <w:r w:rsidRPr="008E733F">
        <w:rPr>
          <w:color w:val="000000"/>
          <w:rtl/>
        </w:rPr>
        <w:t>تنص لوائح صندوق المعاشا</w:t>
      </w:r>
      <w:r>
        <w:rPr>
          <w:color w:val="000000"/>
          <w:rtl/>
        </w:rPr>
        <w:t xml:space="preserve">ت أن يُجري مجلس الصندوق تقييما </w:t>
      </w:r>
      <w:r>
        <w:rPr>
          <w:rFonts w:hint="cs"/>
          <w:color w:val="000000"/>
          <w:rtl/>
        </w:rPr>
        <w:t>أ</w:t>
      </w:r>
      <w:r w:rsidRPr="008E733F">
        <w:rPr>
          <w:color w:val="000000"/>
          <w:rtl/>
        </w:rPr>
        <w:t>كتواريا مرة واحدة على ا</w:t>
      </w:r>
      <w:r>
        <w:rPr>
          <w:color w:val="000000"/>
          <w:rtl/>
        </w:rPr>
        <w:t xml:space="preserve">لأقل كل ثلاث سنوات بواسطة خبير </w:t>
      </w:r>
      <w:r>
        <w:rPr>
          <w:rFonts w:hint="cs"/>
          <w:color w:val="000000"/>
          <w:rtl/>
        </w:rPr>
        <w:t>أ</w:t>
      </w:r>
      <w:r w:rsidRPr="008E733F">
        <w:rPr>
          <w:color w:val="000000"/>
          <w:rtl/>
        </w:rPr>
        <w:t>كتواري. وقد جرت العادة في المجلس المشترك للمعا</w:t>
      </w:r>
      <w:r>
        <w:rPr>
          <w:color w:val="000000"/>
          <w:rtl/>
        </w:rPr>
        <w:t xml:space="preserve">شات التقاعدية بالاضطلاع بتقييم </w:t>
      </w:r>
      <w:r>
        <w:rPr>
          <w:rFonts w:hint="cs"/>
          <w:color w:val="000000"/>
          <w:rtl/>
        </w:rPr>
        <w:t>أ</w:t>
      </w:r>
      <w:r w:rsidRPr="008E733F">
        <w:rPr>
          <w:color w:val="000000"/>
          <w:rtl/>
        </w:rPr>
        <w:t xml:space="preserve">كتواري كل سنتين باستخدام "أسلوب المجموعات الكلية المفتوحة". </w:t>
      </w:r>
      <w:r>
        <w:rPr>
          <w:rFonts w:hint="cs"/>
          <w:color w:val="000000"/>
          <w:rtl/>
        </w:rPr>
        <w:t>و</w:t>
      </w:r>
      <w:r w:rsidRPr="008E733F">
        <w:rPr>
          <w:color w:val="000000"/>
          <w:rtl/>
        </w:rPr>
        <w:t>يكمن الغرض الرئيسي من التق</w:t>
      </w:r>
      <w:r>
        <w:rPr>
          <w:color w:val="000000"/>
          <w:rtl/>
        </w:rPr>
        <w:t xml:space="preserve">ييم </w:t>
      </w:r>
      <w:r w:rsidR="00AC3C42">
        <w:rPr>
          <w:color w:val="000000"/>
          <w:rtl/>
        </w:rPr>
        <w:t>الأكتواري</w:t>
      </w:r>
      <w:r w:rsidRPr="008E733F">
        <w:rPr>
          <w:color w:val="000000"/>
          <w:rtl/>
        </w:rPr>
        <w:t xml:space="preserve"> في تحديد ما إذا كانت أصول "الصندوق المشترك للمعاشات التقاعدية" الحالية والمقدرة مستقبلا كافية للوفاء</w:t>
      </w:r>
      <w:r>
        <w:rPr>
          <w:rFonts w:hint="cs"/>
          <w:rtl/>
        </w:rPr>
        <w:t xml:space="preserve"> بالتزاماته.</w:t>
      </w:r>
    </w:p>
    <w:p w14:paraId="6408FEEA" w14:textId="1B92483B" w:rsidR="00E16243" w:rsidRDefault="00E16243" w:rsidP="00553C9E">
      <w:pPr>
        <w:pStyle w:val="NormalParaAR"/>
        <w:rPr>
          <w:rtl/>
        </w:rPr>
      </w:pPr>
      <w:r>
        <w:rPr>
          <w:rFonts w:hint="cs"/>
          <w:color w:val="000000"/>
          <w:rtl/>
        </w:rPr>
        <w:t>و</w:t>
      </w:r>
      <w:r w:rsidRPr="008E733F">
        <w:rPr>
          <w:color w:val="000000"/>
          <w:rtl/>
        </w:rPr>
        <w:t>تتألف التزامات الويبو المالية تجاه صندوق المعاشات التقاعدية لموظفي الأمم المتحدة من مساهمتها المقررة، وبالمعدل الذي قررته الجمعية العامة للأمم المتحدة (وهو حاليا بنسبة 7</w:t>
      </w:r>
      <w:r w:rsidR="00553C9E">
        <w:rPr>
          <w:rFonts w:hint="cs"/>
          <w:color w:val="000000"/>
          <w:rtl/>
        </w:rPr>
        <w:t>.</w:t>
      </w:r>
      <w:r w:rsidRPr="008E733F">
        <w:rPr>
          <w:color w:val="000000"/>
          <w:rtl/>
        </w:rPr>
        <w:t xml:space="preserve">9 </w:t>
      </w:r>
      <w:r w:rsidR="00257637">
        <w:rPr>
          <w:rFonts w:hint="cs"/>
          <w:color w:val="000000"/>
          <w:rtl/>
        </w:rPr>
        <w:t>بالمئة</w:t>
      </w:r>
      <w:r w:rsidRPr="008E733F">
        <w:rPr>
          <w:color w:val="000000"/>
          <w:rtl/>
        </w:rPr>
        <w:t xml:space="preserve"> للمشاركين، ونسبة 15</w:t>
      </w:r>
      <w:r w:rsidR="00553C9E">
        <w:rPr>
          <w:rFonts w:hint="cs"/>
          <w:color w:val="000000"/>
          <w:rtl/>
        </w:rPr>
        <w:t>.</w:t>
      </w:r>
      <w:r w:rsidRPr="008E733F">
        <w:rPr>
          <w:color w:val="000000"/>
          <w:rtl/>
        </w:rPr>
        <w:t xml:space="preserve">8 </w:t>
      </w:r>
      <w:r w:rsidR="00257637">
        <w:rPr>
          <w:rFonts w:hint="cs"/>
          <w:color w:val="000000"/>
          <w:rtl/>
        </w:rPr>
        <w:t>بالمئة</w:t>
      </w:r>
      <w:r w:rsidRPr="008E733F">
        <w:rPr>
          <w:color w:val="000000"/>
          <w:rtl/>
        </w:rPr>
        <w:t xml:space="preserve"> للمنظمات الأعضاء) جنبا إلى جنب مع أي حص</w:t>
      </w:r>
      <w:r>
        <w:rPr>
          <w:color w:val="000000"/>
          <w:rtl/>
        </w:rPr>
        <w:t xml:space="preserve">ة من أي مدفوعات لتغطية العجز </w:t>
      </w:r>
      <w:r w:rsidR="00AC3C42">
        <w:rPr>
          <w:color w:val="000000"/>
          <w:rtl/>
        </w:rPr>
        <w:t>الأكتواري</w:t>
      </w:r>
      <w:r w:rsidRPr="008E733F">
        <w:rPr>
          <w:color w:val="000000"/>
          <w:rtl/>
        </w:rPr>
        <w:t xml:space="preserve"> بمقتضى المادة 26 من لائحة صندوق المعاشات. </w:t>
      </w:r>
      <w:r>
        <w:rPr>
          <w:rFonts w:hint="cs"/>
          <w:color w:val="000000"/>
          <w:rtl/>
        </w:rPr>
        <w:t>و</w:t>
      </w:r>
      <w:r w:rsidRPr="008E733F">
        <w:rPr>
          <w:color w:val="000000"/>
          <w:rtl/>
          <w:lang w:bidi="ar-EG"/>
        </w:rPr>
        <w:t xml:space="preserve">لا </w:t>
      </w:r>
      <w:r w:rsidRPr="008E733F">
        <w:rPr>
          <w:color w:val="000000"/>
          <w:rtl/>
        </w:rPr>
        <w:t>تكون مدفوعات العجز هذه واجبة الأداء إلا إذا وعندما تلجأ الجمعية العامة للأمم المتحدة إلى تطبيق نص المادة 26 وبعد أن يتقرر أن هناك حاجة لسداد مدفوعا</w:t>
      </w:r>
      <w:r>
        <w:rPr>
          <w:color w:val="000000"/>
          <w:rtl/>
        </w:rPr>
        <w:t xml:space="preserve">ت العجز بناء على تقييم العجز </w:t>
      </w:r>
      <w:r w:rsidR="00AC3C42">
        <w:rPr>
          <w:color w:val="000000"/>
          <w:rtl/>
        </w:rPr>
        <w:t>الأكتواري</w:t>
      </w:r>
      <w:r w:rsidRPr="008E733F">
        <w:rPr>
          <w:color w:val="000000"/>
          <w:rtl/>
        </w:rPr>
        <w:t xml:space="preserve"> لصندوق المعاشات اعتباراً من تاريخ التقييم. </w:t>
      </w:r>
      <w:r>
        <w:rPr>
          <w:rFonts w:hint="cs"/>
          <w:color w:val="000000"/>
          <w:rtl/>
        </w:rPr>
        <w:t>و</w:t>
      </w:r>
      <w:r w:rsidRPr="008E733F">
        <w:rPr>
          <w:color w:val="000000"/>
          <w:rtl/>
        </w:rPr>
        <w:t>تساهم كل منظمة عضو في هذا العجز بقيمة تتناسب مع إجمالي الاشتراكات التي سددتها كل منها خلال فترة الثلاث سنوات السابقة لتاريخ</w:t>
      </w:r>
      <w:r>
        <w:rPr>
          <w:rFonts w:hint="cs"/>
          <w:rtl/>
        </w:rPr>
        <w:t xml:space="preserve"> التقييم.</w:t>
      </w:r>
    </w:p>
    <w:p w14:paraId="482850D7" w14:textId="0CD65A96" w:rsidR="00E16243" w:rsidRPr="008E733F" w:rsidRDefault="00E16243" w:rsidP="006B52CB">
      <w:pPr>
        <w:bidi/>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sidR="0041642D">
        <w:rPr>
          <w:rFonts w:ascii="Arabic Typesetting" w:hAnsi="Arabic Typesetting" w:cs="Arabic Typesetting" w:hint="cs"/>
          <w:color w:val="000000"/>
          <w:sz w:val="36"/>
          <w:szCs w:val="36"/>
          <w:rtl/>
        </w:rPr>
        <w:t>قد كشف ال</w:t>
      </w:r>
      <w:r>
        <w:rPr>
          <w:rFonts w:ascii="Arabic Typesetting" w:hAnsi="Arabic Typesetting" w:cs="Arabic Typesetting"/>
          <w:color w:val="000000"/>
          <w:sz w:val="36"/>
          <w:szCs w:val="36"/>
          <w:rtl/>
        </w:rPr>
        <w:t xml:space="preserve">تقييم </w:t>
      </w:r>
      <w:r w:rsidR="00AC3C42">
        <w:rPr>
          <w:rFonts w:ascii="Arabic Typesetting" w:hAnsi="Arabic Typesetting" w:cs="Arabic Typesetting" w:hint="cs"/>
          <w:color w:val="000000"/>
          <w:sz w:val="36"/>
          <w:szCs w:val="36"/>
          <w:rtl/>
        </w:rPr>
        <w:t>الأكتواري</w:t>
      </w:r>
      <w:r w:rsidRPr="008E733F">
        <w:rPr>
          <w:rFonts w:ascii="Arabic Typesetting" w:hAnsi="Arabic Typesetting" w:cs="Arabic Typesetting"/>
          <w:color w:val="000000"/>
          <w:sz w:val="36"/>
          <w:szCs w:val="36"/>
          <w:rtl/>
        </w:rPr>
        <w:t xml:space="preserve"> </w:t>
      </w:r>
      <w:r w:rsidR="0041642D">
        <w:rPr>
          <w:rFonts w:ascii="Arabic Typesetting" w:hAnsi="Arabic Typesetting" w:cs="Arabic Typesetting" w:hint="cs"/>
          <w:color w:val="000000"/>
          <w:sz w:val="36"/>
          <w:szCs w:val="36"/>
          <w:rtl/>
        </w:rPr>
        <w:t xml:space="preserve">الذي أجري </w:t>
      </w:r>
      <w:r w:rsidRPr="008E733F">
        <w:rPr>
          <w:rFonts w:ascii="Arabic Typesetting" w:hAnsi="Arabic Typesetting" w:cs="Arabic Typesetting"/>
          <w:color w:val="000000"/>
          <w:sz w:val="36"/>
          <w:szCs w:val="36"/>
          <w:rtl/>
        </w:rPr>
        <w:t xml:space="preserve">في </w:t>
      </w:r>
      <w:r>
        <w:rPr>
          <w:rFonts w:ascii="Arabic Typesetting" w:hAnsi="Arabic Typesetting" w:cs="Arabic Typesetting"/>
          <w:color w:val="000000"/>
          <w:sz w:val="36"/>
          <w:szCs w:val="36"/>
          <w:rtl/>
        </w:rPr>
        <w:t xml:space="preserve">31 ديسمبر </w:t>
      </w:r>
      <w:r w:rsidR="006B52CB">
        <w:rPr>
          <w:rFonts w:ascii="Arabic Typesetting" w:hAnsi="Arabic Typesetting" w:cs="Arabic Typesetting" w:hint="cs"/>
          <w:color w:val="000000"/>
          <w:sz w:val="36"/>
          <w:szCs w:val="36"/>
          <w:rtl/>
        </w:rPr>
        <w:t>2013</w:t>
      </w:r>
      <w:r w:rsidR="00A332AF">
        <w:rPr>
          <w:rFonts w:ascii="Arabic Typesetting" w:hAnsi="Arabic Typesetting" w:cs="Arabic Typesetting" w:hint="cs"/>
          <w:color w:val="000000"/>
          <w:sz w:val="36"/>
          <w:szCs w:val="36"/>
          <w:rtl/>
        </w:rPr>
        <w:t xml:space="preserve"> عن </w:t>
      </w:r>
      <w:r>
        <w:rPr>
          <w:rFonts w:ascii="Arabic Typesetting" w:hAnsi="Arabic Typesetting" w:cs="Arabic Typesetting"/>
          <w:color w:val="000000"/>
          <w:sz w:val="36"/>
          <w:szCs w:val="36"/>
          <w:rtl/>
        </w:rPr>
        <w:t xml:space="preserve">عجز </w:t>
      </w:r>
      <w:r>
        <w:rPr>
          <w:rFonts w:ascii="Arabic Typesetting" w:hAnsi="Arabic Typesetting" w:cs="Arabic Typesetting" w:hint="cs"/>
          <w:color w:val="000000"/>
          <w:sz w:val="36"/>
          <w:szCs w:val="36"/>
          <w:rtl/>
        </w:rPr>
        <w:t>أ</w:t>
      </w:r>
      <w:r w:rsidRPr="008E733F">
        <w:rPr>
          <w:rFonts w:ascii="Arabic Typesetting" w:hAnsi="Arabic Typesetting" w:cs="Arabic Typesetting"/>
          <w:color w:val="000000"/>
          <w:sz w:val="36"/>
          <w:szCs w:val="36"/>
          <w:rtl/>
        </w:rPr>
        <w:t>كتواري في حساب المعاش التقاعدي بنسبة</w:t>
      </w:r>
      <w:r>
        <w:rPr>
          <w:rFonts w:ascii="Arabic Typesetting" w:hAnsi="Arabic Typesetting" w:cs="Arabic Typesetting" w:hint="cs"/>
          <w:color w:val="000000"/>
          <w:sz w:val="36"/>
          <w:szCs w:val="36"/>
          <w:rtl/>
        </w:rPr>
        <w:t> </w:t>
      </w:r>
      <w:r w:rsidR="006B52CB">
        <w:rPr>
          <w:rFonts w:ascii="Arabic Typesetting" w:hAnsi="Arabic Typesetting" w:cs="Arabic Typesetting" w:hint="cs"/>
          <w:color w:val="000000"/>
          <w:sz w:val="36"/>
          <w:szCs w:val="36"/>
          <w:rtl/>
        </w:rPr>
        <w:t>0.72</w:t>
      </w:r>
      <w:r>
        <w:rPr>
          <w:rFonts w:ascii="Arabic Typesetting" w:hAnsi="Arabic Typesetting" w:cs="Arabic Typesetting" w:hint="cs"/>
          <w:color w:val="000000"/>
          <w:sz w:val="36"/>
          <w:szCs w:val="36"/>
          <w:rtl/>
        </w:rPr>
        <w:t xml:space="preserve"> </w:t>
      </w:r>
      <w:r w:rsidR="00257637">
        <w:rPr>
          <w:rFonts w:ascii="Arabic Typesetting" w:hAnsi="Arabic Typesetting" w:cs="Arabic Typesetting" w:hint="cs"/>
          <w:color w:val="000000"/>
          <w:sz w:val="36"/>
          <w:szCs w:val="36"/>
          <w:rtl/>
        </w:rPr>
        <w:t>بالمئة</w:t>
      </w:r>
      <w:r w:rsidRPr="008E733F">
        <w:rPr>
          <w:rFonts w:ascii="Arabic Typesetting" w:hAnsi="Arabic Typesetting" w:cs="Arabic Typesetting"/>
          <w:color w:val="000000"/>
          <w:sz w:val="36"/>
          <w:szCs w:val="36"/>
          <w:rtl/>
        </w:rPr>
        <w:t xml:space="preserve"> (</w:t>
      </w:r>
      <w:r w:rsidR="006B52CB">
        <w:rPr>
          <w:rFonts w:ascii="Arabic Typesetting" w:hAnsi="Arabic Typesetting" w:cs="Arabic Typesetting" w:hint="cs"/>
          <w:color w:val="000000"/>
          <w:sz w:val="36"/>
          <w:szCs w:val="36"/>
          <w:rtl/>
        </w:rPr>
        <w:t>1.87</w:t>
      </w:r>
      <w:r>
        <w:rPr>
          <w:rFonts w:ascii="Arabic Typesetting" w:hAnsi="Arabic Typesetting" w:cs="Arabic Typesetting" w:hint="cs"/>
          <w:color w:val="000000"/>
          <w:sz w:val="36"/>
          <w:szCs w:val="36"/>
          <w:rtl/>
        </w:rPr>
        <w:t xml:space="preserve"> </w:t>
      </w:r>
      <w:r w:rsidR="00257637">
        <w:rPr>
          <w:rFonts w:ascii="Arabic Typesetting" w:hAnsi="Arabic Typesetting" w:cs="Arabic Typesetting" w:hint="cs"/>
          <w:color w:val="000000"/>
          <w:sz w:val="36"/>
          <w:szCs w:val="36"/>
          <w:rtl/>
        </w:rPr>
        <w:t>بالمئة</w:t>
      </w:r>
      <w:r>
        <w:rPr>
          <w:rFonts w:ascii="Arabic Typesetting" w:hAnsi="Arabic Typesetting" w:cs="Arabic Typesetting"/>
          <w:color w:val="000000"/>
          <w:sz w:val="36"/>
          <w:szCs w:val="36"/>
          <w:rtl/>
        </w:rPr>
        <w:t xml:space="preserve"> في تقييم عام </w:t>
      </w:r>
      <w:r w:rsidR="006B52CB">
        <w:rPr>
          <w:rFonts w:ascii="Arabic Typesetting" w:hAnsi="Arabic Typesetting" w:cs="Arabic Typesetting" w:hint="cs"/>
          <w:color w:val="000000"/>
          <w:sz w:val="36"/>
          <w:szCs w:val="36"/>
          <w:rtl/>
        </w:rPr>
        <w:t>2011</w:t>
      </w:r>
      <w:r>
        <w:rPr>
          <w:rFonts w:ascii="Arabic Typesetting" w:hAnsi="Arabic Typesetting" w:cs="Arabic Typesetting"/>
          <w:color w:val="000000"/>
          <w:sz w:val="36"/>
          <w:szCs w:val="36"/>
          <w:rtl/>
        </w:rPr>
        <w:t>)</w:t>
      </w:r>
      <w:r w:rsidRPr="008E733F">
        <w:rPr>
          <w:rFonts w:ascii="Arabic Typesetting" w:hAnsi="Arabic Typesetting" w:cs="Arabic Typesetting"/>
          <w:color w:val="000000"/>
          <w:sz w:val="36"/>
          <w:szCs w:val="36"/>
          <w:rtl/>
        </w:rPr>
        <w:t xml:space="preserve">، مما يعني أن معدل المساهمة النظري اللازم لتحقيق التوازن كما في 31 ديسمبر </w:t>
      </w:r>
      <w:r w:rsidR="006B52CB">
        <w:rPr>
          <w:rFonts w:ascii="Arabic Typesetting" w:hAnsi="Arabic Typesetting" w:cs="Arabic Typesetting" w:hint="cs"/>
          <w:color w:val="000000"/>
          <w:sz w:val="36"/>
          <w:szCs w:val="36"/>
          <w:rtl/>
        </w:rPr>
        <w:t>2013</w:t>
      </w:r>
      <w:r w:rsidRPr="008E733F">
        <w:rPr>
          <w:rFonts w:ascii="Arabic Typesetting" w:hAnsi="Arabic Typesetting" w:cs="Arabic Typesetting"/>
          <w:color w:val="000000"/>
          <w:sz w:val="36"/>
          <w:szCs w:val="36"/>
          <w:rtl/>
        </w:rPr>
        <w:t xml:space="preserve"> كان </w:t>
      </w:r>
      <w:r w:rsidR="006B52CB">
        <w:rPr>
          <w:rFonts w:ascii="Arabic Typesetting" w:hAnsi="Arabic Typesetting" w:cs="Arabic Typesetting" w:hint="cs"/>
          <w:color w:val="000000"/>
          <w:sz w:val="36"/>
          <w:szCs w:val="36"/>
          <w:rtl/>
        </w:rPr>
        <w:t>24.42</w:t>
      </w:r>
      <w:r>
        <w:rPr>
          <w:rFonts w:ascii="Arabic Typesetting" w:hAnsi="Arabic Typesetting" w:cs="Arabic Typesetting" w:hint="cs"/>
          <w:color w:val="000000"/>
          <w:sz w:val="36"/>
          <w:szCs w:val="36"/>
          <w:rtl/>
        </w:rPr>
        <w:t xml:space="preserve"> </w:t>
      </w:r>
      <w:r w:rsidR="00257637">
        <w:rPr>
          <w:rFonts w:ascii="Arabic Typesetting" w:hAnsi="Arabic Typesetting" w:cs="Arabic Typesetting" w:hint="cs"/>
          <w:color w:val="000000"/>
          <w:sz w:val="36"/>
          <w:szCs w:val="36"/>
          <w:rtl/>
        </w:rPr>
        <w:t>بالمئة</w:t>
      </w:r>
      <w:r w:rsidRPr="008E733F">
        <w:rPr>
          <w:rFonts w:ascii="Arabic Typesetting" w:hAnsi="Arabic Typesetting" w:cs="Arabic Typesetting"/>
          <w:color w:val="000000"/>
          <w:sz w:val="36"/>
          <w:szCs w:val="36"/>
          <w:rtl/>
        </w:rPr>
        <w:t xml:space="preserve"> من حساب المعاش التقاعدي، مقارنة بمعدل الاشتراك الفعلي البالغ </w:t>
      </w:r>
      <w:r w:rsidR="006B52CB">
        <w:rPr>
          <w:rFonts w:ascii="Arabic Typesetting" w:hAnsi="Arabic Typesetting" w:cs="Arabic Typesetting" w:hint="cs"/>
          <w:color w:val="000000"/>
          <w:sz w:val="36"/>
          <w:szCs w:val="36"/>
          <w:rtl/>
        </w:rPr>
        <w:t>23.70</w:t>
      </w:r>
      <w:r>
        <w:rPr>
          <w:rFonts w:ascii="Arabic Typesetting" w:hAnsi="Arabic Typesetting" w:cs="Arabic Typesetting" w:hint="cs"/>
          <w:color w:val="000000"/>
          <w:sz w:val="36"/>
          <w:szCs w:val="36"/>
          <w:rtl/>
        </w:rPr>
        <w:t xml:space="preserve"> </w:t>
      </w:r>
      <w:r w:rsidR="00257637">
        <w:rPr>
          <w:rFonts w:ascii="Arabic Typesetting" w:hAnsi="Arabic Typesetting" w:cs="Arabic Typesetting" w:hint="cs"/>
          <w:color w:val="000000"/>
          <w:sz w:val="36"/>
          <w:szCs w:val="36"/>
          <w:rtl/>
        </w:rPr>
        <w:t>بالمئة</w:t>
      </w:r>
      <w:r w:rsidRPr="008E733F">
        <w:rPr>
          <w:rFonts w:ascii="Arabic Typesetting" w:hAnsi="Arabic Typesetting" w:cs="Arabic Typesetting"/>
          <w:color w:val="000000"/>
          <w:sz w:val="36"/>
          <w:szCs w:val="36"/>
          <w:rtl/>
        </w:rPr>
        <w:t xml:space="preserve">. </w:t>
      </w:r>
      <w:r w:rsidR="00A332AF">
        <w:rPr>
          <w:rFonts w:ascii="Arabic Typesetting" w:hAnsi="Arabic Typesetting" w:cs="Arabic Typesetting" w:hint="cs"/>
          <w:color w:val="000000"/>
          <w:sz w:val="36"/>
          <w:szCs w:val="36"/>
          <w:rtl/>
        </w:rPr>
        <w:t>وسيجرى ال</w:t>
      </w:r>
      <w:r w:rsidR="00A332AF">
        <w:rPr>
          <w:rFonts w:ascii="Arabic Typesetting" w:hAnsi="Arabic Typesetting" w:cs="Arabic Typesetting"/>
          <w:color w:val="000000"/>
          <w:sz w:val="36"/>
          <w:szCs w:val="36"/>
          <w:rtl/>
        </w:rPr>
        <w:t xml:space="preserve">تقييم </w:t>
      </w:r>
      <w:r w:rsidR="00AC3C42">
        <w:rPr>
          <w:rFonts w:ascii="Arabic Typesetting" w:hAnsi="Arabic Typesetting" w:cs="Arabic Typesetting" w:hint="cs"/>
          <w:color w:val="000000"/>
          <w:sz w:val="36"/>
          <w:szCs w:val="36"/>
          <w:rtl/>
        </w:rPr>
        <w:t>الأكتواري</w:t>
      </w:r>
      <w:r w:rsidR="00A332AF">
        <w:rPr>
          <w:rFonts w:ascii="Arabic Typesetting" w:hAnsi="Arabic Typesetting" w:cs="Arabic Typesetting" w:hint="cs"/>
          <w:color w:val="000000"/>
          <w:sz w:val="36"/>
          <w:szCs w:val="36"/>
          <w:rtl/>
        </w:rPr>
        <w:t xml:space="preserve"> التالي </w:t>
      </w:r>
      <w:r w:rsidR="00BA5D5E">
        <w:rPr>
          <w:rFonts w:ascii="Arabic Typesetting" w:hAnsi="Arabic Typesetting" w:cs="Arabic Typesetting" w:hint="cs"/>
          <w:color w:val="000000"/>
          <w:sz w:val="36"/>
          <w:szCs w:val="36"/>
          <w:rtl/>
        </w:rPr>
        <w:t>حسب</w:t>
      </w:r>
      <w:r w:rsidR="00A332AF">
        <w:rPr>
          <w:rFonts w:ascii="Arabic Typesetting" w:hAnsi="Arabic Typesetting" w:cs="Arabic Typesetting" w:hint="cs"/>
          <w:color w:val="000000"/>
          <w:sz w:val="36"/>
          <w:szCs w:val="36"/>
          <w:rtl/>
        </w:rPr>
        <w:t xml:space="preserve"> الوضع في 31 ديسمبر </w:t>
      </w:r>
      <w:r w:rsidR="006B52CB">
        <w:rPr>
          <w:rFonts w:ascii="Arabic Typesetting" w:hAnsi="Arabic Typesetting" w:cs="Arabic Typesetting" w:hint="cs"/>
          <w:color w:val="000000"/>
          <w:sz w:val="36"/>
          <w:szCs w:val="36"/>
          <w:rtl/>
        </w:rPr>
        <w:t>2015</w:t>
      </w:r>
      <w:r w:rsidR="00A332AF">
        <w:rPr>
          <w:rFonts w:ascii="Arabic Typesetting" w:hAnsi="Arabic Typesetting" w:cs="Arabic Typesetting" w:hint="cs"/>
          <w:color w:val="000000"/>
          <w:sz w:val="36"/>
          <w:szCs w:val="36"/>
          <w:rtl/>
        </w:rPr>
        <w:t>.</w:t>
      </w:r>
    </w:p>
    <w:p w14:paraId="596E58D1" w14:textId="5B1C5420" w:rsidR="00E55E23" w:rsidRDefault="00E16243" w:rsidP="00630846">
      <w:pPr>
        <w:bidi/>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sidRPr="008E733F">
        <w:rPr>
          <w:rFonts w:ascii="Arabic Typesetting" w:hAnsi="Arabic Typesetting" w:cs="Arabic Typesetting"/>
          <w:color w:val="000000"/>
          <w:sz w:val="36"/>
          <w:szCs w:val="36"/>
          <w:rtl/>
        </w:rPr>
        <w:t xml:space="preserve">في 31 ديسمبر </w:t>
      </w:r>
      <w:r w:rsidR="006B52CB">
        <w:rPr>
          <w:rFonts w:ascii="Arabic Typesetting" w:hAnsi="Arabic Typesetting" w:cs="Arabic Typesetting" w:hint="cs"/>
          <w:color w:val="000000"/>
          <w:sz w:val="36"/>
          <w:szCs w:val="36"/>
          <w:rtl/>
        </w:rPr>
        <w:t>2013</w:t>
      </w:r>
      <w:r w:rsidRPr="008E733F">
        <w:rPr>
          <w:rFonts w:ascii="Arabic Typesetting" w:hAnsi="Arabic Typesetting" w:cs="Arabic Typesetting"/>
          <w:color w:val="000000"/>
          <w:sz w:val="36"/>
          <w:szCs w:val="36"/>
          <w:rtl/>
        </w:rPr>
        <w:t xml:space="preserve">، كانت </w:t>
      </w:r>
      <w:r w:rsidRPr="008E733F">
        <w:rPr>
          <w:rFonts w:ascii="Arabic Typesetting" w:hAnsi="Arabic Typesetting" w:cs="Arabic Typesetting"/>
          <w:color w:val="000000"/>
          <w:sz w:val="36"/>
          <w:szCs w:val="36"/>
          <w:rtl/>
          <w:lang w:bidi="ar-EG"/>
        </w:rPr>
        <w:t>النسبة المغطاة أو الممولة من الأص</w:t>
      </w:r>
      <w:r>
        <w:rPr>
          <w:rFonts w:ascii="Arabic Typesetting" w:hAnsi="Arabic Typesetting" w:cs="Arabic Typesetting"/>
          <w:color w:val="000000"/>
          <w:sz w:val="36"/>
          <w:szCs w:val="36"/>
          <w:rtl/>
          <w:lang w:bidi="ar-EG"/>
        </w:rPr>
        <w:t xml:space="preserve">ول </w:t>
      </w:r>
      <w:r w:rsidR="00AC3C42">
        <w:rPr>
          <w:rFonts w:ascii="Arabic Typesetting" w:hAnsi="Arabic Typesetting" w:cs="Arabic Typesetting"/>
          <w:color w:val="000000"/>
          <w:sz w:val="36"/>
          <w:szCs w:val="36"/>
          <w:rtl/>
          <w:lang w:bidi="ar-EG"/>
        </w:rPr>
        <w:t>الأكتوارية</w:t>
      </w:r>
      <w:r>
        <w:rPr>
          <w:rFonts w:ascii="Arabic Typesetting" w:hAnsi="Arabic Typesetting" w:cs="Arabic Typesetting"/>
          <w:color w:val="000000"/>
          <w:sz w:val="36"/>
          <w:szCs w:val="36"/>
          <w:rtl/>
          <w:lang w:bidi="ar-EG"/>
        </w:rPr>
        <w:t xml:space="preserve"> إلى الخصوم </w:t>
      </w:r>
      <w:r w:rsidR="00AC3C42">
        <w:rPr>
          <w:rFonts w:ascii="Arabic Typesetting" w:hAnsi="Arabic Typesetting" w:cs="Arabic Typesetting"/>
          <w:color w:val="000000"/>
          <w:sz w:val="36"/>
          <w:szCs w:val="36"/>
          <w:rtl/>
          <w:lang w:bidi="ar-EG"/>
        </w:rPr>
        <w:t>الأكتوارية</w:t>
      </w:r>
      <w:r w:rsidRPr="008E733F">
        <w:rPr>
          <w:rFonts w:ascii="Arabic Typesetting" w:hAnsi="Arabic Typesetting" w:cs="Arabic Typesetting"/>
          <w:color w:val="000000"/>
          <w:sz w:val="36"/>
          <w:szCs w:val="36"/>
          <w:rtl/>
          <w:lang w:bidi="ar-EG"/>
        </w:rPr>
        <w:t xml:space="preserve"> </w:t>
      </w:r>
      <w:r w:rsidR="006B52CB">
        <w:rPr>
          <w:rFonts w:ascii="Arabic Typesetting" w:hAnsi="Arabic Typesetting" w:cs="Arabic Typesetting" w:hint="cs"/>
          <w:color w:val="000000"/>
          <w:sz w:val="36"/>
          <w:szCs w:val="36"/>
          <w:rtl/>
          <w:lang w:bidi="ar-EG"/>
        </w:rPr>
        <w:t>127.5</w:t>
      </w:r>
      <w:r>
        <w:rPr>
          <w:rFonts w:ascii="Arabic Typesetting" w:hAnsi="Arabic Typesetting" w:cs="Arabic Typesetting" w:hint="cs"/>
          <w:color w:val="000000"/>
          <w:sz w:val="36"/>
          <w:szCs w:val="36"/>
          <w:rtl/>
          <w:lang w:bidi="ar-EG"/>
        </w:rPr>
        <w:t xml:space="preserve"> </w:t>
      </w:r>
      <w:r w:rsidR="00257637">
        <w:rPr>
          <w:rFonts w:ascii="Arabic Typesetting" w:hAnsi="Arabic Typesetting" w:cs="Arabic Typesetting" w:hint="cs"/>
          <w:color w:val="000000"/>
          <w:sz w:val="36"/>
          <w:szCs w:val="36"/>
          <w:rtl/>
          <w:lang w:bidi="ar-EG"/>
        </w:rPr>
        <w:t>بالمئة</w:t>
      </w:r>
      <w:r w:rsidRPr="008E733F">
        <w:rPr>
          <w:rFonts w:ascii="Arabic Typesetting" w:hAnsi="Arabic Typesetting" w:cs="Arabic Typesetting"/>
          <w:color w:val="000000"/>
          <w:sz w:val="36"/>
          <w:szCs w:val="36"/>
          <w:rtl/>
          <w:lang w:bidi="ar-EG"/>
        </w:rPr>
        <w:t xml:space="preserve">، مع </w:t>
      </w:r>
      <w:r w:rsidRPr="008E733F">
        <w:rPr>
          <w:rFonts w:ascii="Arabic Typesetting" w:hAnsi="Arabic Typesetting" w:cs="Arabic Typesetting"/>
          <w:color w:val="000000"/>
          <w:sz w:val="36"/>
          <w:szCs w:val="36"/>
          <w:rtl/>
        </w:rPr>
        <w:t xml:space="preserve">افتراض عدم إجراء أي تسويات في المعاشات التقاعدية في المستقبل، (علما بأنها بلغت </w:t>
      </w:r>
      <w:r w:rsidR="006B52CB">
        <w:rPr>
          <w:rFonts w:ascii="Arabic Typesetting" w:hAnsi="Arabic Typesetting" w:cs="Arabic Typesetting" w:hint="cs"/>
          <w:color w:val="000000"/>
          <w:sz w:val="36"/>
          <w:szCs w:val="36"/>
          <w:rtl/>
        </w:rPr>
        <w:t>130.0</w:t>
      </w:r>
      <w:r>
        <w:rPr>
          <w:rFonts w:ascii="Arabic Typesetting" w:hAnsi="Arabic Typesetting" w:cs="Arabic Typesetting" w:hint="cs"/>
          <w:color w:val="000000"/>
          <w:sz w:val="36"/>
          <w:szCs w:val="36"/>
          <w:rtl/>
        </w:rPr>
        <w:t xml:space="preserve"> </w:t>
      </w:r>
      <w:r w:rsidR="00257637">
        <w:rPr>
          <w:rFonts w:ascii="Arabic Typesetting" w:hAnsi="Arabic Typesetting" w:cs="Arabic Typesetting" w:hint="cs"/>
          <w:color w:val="000000"/>
          <w:sz w:val="36"/>
          <w:szCs w:val="36"/>
          <w:rtl/>
        </w:rPr>
        <w:t>بالمئة</w:t>
      </w:r>
      <w:r w:rsidRPr="008E733F">
        <w:rPr>
          <w:rFonts w:ascii="Arabic Typesetting" w:hAnsi="Arabic Typesetting" w:cs="Arabic Typesetting"/>
          <w:color w:val="000000"/>
          <w:sz w:val="36"/>
          <w:szCs w:val="36"/>
          <w:rtl/>
        </w:rPr>
        <w:t xml:space="preserve"> طبقا لتقديرات عام</w:t>
      </w:r>
      <w:r>
        <w:rPr>
          <w:rFonts w:ascii="Arabic Typesetting" w:hAnsi="Arabic Typesetting" w:cs="Arabic Typesetting" w:hint="cs"/>
          <w:color w:val="000000"/>
          <w:sz w:val="36"/>
          <w:szCs w:val="36"/>
          <w:rtl/>
        </w:rPr>
        <w:t> </w:t>
      </w:r>
      <w:r w:rsidR="006B52CB">
        <w:rPr>
          <w:rFonts w:ascii="Arabic Typesetting" w:hAnsi="Arabic Typesetting" w:cs="Arabic Typesetting" w:hint="cs"/>
          <w:color w:val="000000"/>
          <w:sz w:val="36"/>
          <w:szCs w:val="36"/>
          <w:rtl/>
        </w:rPr>
        <w:t>2011</w:t>
      </w:r>
      <w:r w:rsidRPr="008E733F">
        <w:rPr>
          <w:rFonts w:ascii="Arabic Typesetting" w:hAnsi="Arabic Typesetting" w:cs="Arabic Typesetting"/>
          <w:color w:val="000000"/>
          <w:sz w:val="36"/>
          <w:szCs w:val="36"/>
          <w:rtl/>
        </w:rPr>
        <w:t xml:space="preserve">). </w:t>
      </w:r>
      <w:r>
        <w:rPr>
          <w:rFonts w:ascii="Arabic Typesetting" w:hAnsi="Arabic Typesetting" w:cs="Arabic Typesetting" w:hint="cs"/>
          <w:color w:val="000000"/>
          <w:sz w:val="36"/>
          <w:szCs w:val="36"/>
          <w:rtl/>
        </w:rPr>
        <w:t>و</w:t>
      </w:r>
      <w:r w:rsidRPr="008E733F">
        <w:rPr>
          <w:rFonts w:ascii="Arabic Typesetting" w:hAnsi="Arabic Typesetting" w:cs="Arabic Typesetting"/>
          <w:color w:val="000000"/>
          <w:sz w:val="36"/>
          <w:szCs w:val="36"/>
          <w:rtl/>
        </w:rPr>
        <w:t xml:space="preserve">كانت النسبة الممولة </w:t>
      </w:r>
      <w:r w:rsidR="006B52CB">
        <w:rPr>
          <w:rFonts w:ascii="Arabic Typesetting" w:hAnsi="Arabic Typesetting" w:cs="Arabic Typesetting" w:hint="cs"/>
          <w:color w:val="000000"/>
          <w:sz w:val="36"/>
          <w:szCs w:val="36"/>
          <w:rtl/>
        </w:rPr>
        <w:t>91.2</w:t>
      </w:r>
      <w:r>
        <w:rPr>
          <w:rFonts w:ascii="Arabic Typesetting" w:hAnsi="Arabic Typesetting" w:cs="Arabic Typesetting" w:hint="cs"/>
          <w:color w:val="000000"/>
          <w:sz w:val="36"/>
          <w:szCs w:val="36"/>
          <w:rtl/>
        </w:rPr>
        <w:t xml:space="preserve"> </w:t>
      </w:r>
      <w:r w:rsidR="00257637">
        <w:rPr>
          <w:rFonts w:ascii="Arabic Typesetting" w:hAnsi="Arabic Typesetting" w:cs="Arabic Typesetting" w:hint="cs"/>
          <w:color w:val="000000"/>
          <w:sz w:val="36"/>
          <w:szCs w:val="36"/>
          <w:rtl/>
        </w:rPr>
        <w:t>بالمئة</w:t>
      </w:r>
      <w:r w:rsidRPr="008E733F">
        <w:rPr>
          <w:rFonts w:ascii="Arabic Typesetting" w:hAnsi="Arabic Typesetting" w:cs="Arabic Typesetting"/>
          <w:color w:val="000000"/>
          <w:sz w:val="36"/>
          <w:szCs w:val="36"/>
          <w:rtl/>
        </w:rPr>
        <w:t xml:space="preserve"> عندما </w:t>
      </w:r>
      <w:r w:rsidR="00630846">
        <w:rPr>
          <w:rFonts w:ascii="Arabic Typesetting" w:hAnsi="Arabic Typesetting" w:cs="Arabic Typesetting" w:hint="cs"/>
          <w:color w:val="000000"/>
          <w:sz w:val="36"/>
          <w:szCs w:val="36"/>
          <w:rtl/>
        </w:rPr>
        <w:t>يؤخذ</w:t>
      </w:r>
      <w:r w:rsidRPr="008E733F">
        <w:rPr>
          <w:rFonts w:ascii="Arabic Typesetting" w:hAnsi="Arabic Typesetting" w:cs="Arabic Typesetting"/>
          <w:color w:val="000000"/>
          <w:sz w:val="36"/>
          <w:szCs w:val="36"/>
          <w:rtl/>
        </w:rPr>
        <w:t xml:space="preserve"> بالنظام الحالي لتسويات المعاشات التقاعدية (</w:t>
      </w:r>
      <w:r w:rsidR="006B52CB">
        <w:rPr>
          <w:rFonts w:ascii="Arabic Typesetting" w:hAnsi="Arabic Typesetting" w:cs="Arabic Typesetting" w:hint="cs"/>
          <w:color w:val="000000"/>
          <w:sz w:val="36"/>
          <w:szCs w:val="36"/>
          <w:rtl/>
        </w:rPr>
        <w:t>86.2</w:t>
      </w:r>
      <w:r>
        <w:rPr>
          <w:rFonts w:ascii="Arabic Typesetting" w:hAnsi="Arabic Typesetting" w:cs="Arabic Typesetting" w:hint="cs"/>
          <w:color w:val="000000"/>
          <w:sz w:val="36"/>
          <w:szCs w:val="36"/>
          <w:rtl/>
        </w:rPr>
        <w:t xml:space="preserve"> </w:t>
      </w:r>
      <w:r w:rsidR="00257637">
        <w:rPr>
          <w:rFonts w:ascii="Arabic Typesetting" w:hAnsi="Arabic Typesetting" w:cs="Arabic Typesetting" w:hint="cs"/>
          <w:color w:val="000000"/>
          <w:sz w:val="36"/>
          <w:szCs w:val="36"/>
          <w:rtl/>
        </w:rPr>
        <w:t>بالمئة</w:t>
      </w:r>
      <w:r w:rsidRPr="008E733F">
        <w:rPr>
          <w:rFonts w:ascii="Arabic Typesetting" w:hAnsi="Arabic Typesetting" w:cs="Arabic Typesetting"/>
          <w:color w:val="000000"/>
          <w:sz w:val="36"/>
          <w:szCs w:val="36"/>
          <w:rtl/>
        </w:rPr>
        <w:t xml:space="preserve"> في تقييم </w:t>
      </w:r>
      <w:r w:rsidR="006B52CB">
        <w:rPr>
          <w:rFonts w:ascii="Arabic Typesetting" w:hAnsi="Arabic Typesetting" w:cs="Arabic Typesetting" w:hint="cs"/>
          <w:color w:val="000000"/>
          <w:sz w:val="36"/>
          <w:szCs w:val="36"/>
          <w:rtl/>
        </w:rPr>
        <w:t>2011</w:t>
      </w:r>
      <w:r w:rsidRPr="008E733F">
        <w:rPr>
          <w:rFonts w:ascii="Arabic Typesetting" w:hAnsi="Arabic Typesetting" w:cs="Arabic Typesetting"/>
          <w:color w:val="000000"/>
          <w:sz w:val="36"/>
          <w:szCs w:val="36"/>
          <w:rtl/>
        </w:rPr>
        <w:t>).</w:t>
      </w:r>
    </w:p>
    <w:p w14:paraId="60A2D752" w14:textId="11562633" w:rsidR="00E55E23" w:rsidRDefault="00E16243" w:rsidP="006B52CB">
      <w:pPr>
        <w:bidi/>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Pr>
          <w:rFonts w:ascii="Arabic Typesetting" w:hAnsi="Arabic Typesetting" w:cs="Arabic Typesetting"/>
          <w:color w:val="000000"/>
          <w:sz w:val="36"/>
          <w:szCs w:val="36"/>
          <w:rtl/>
        </w:rPr>
        <w:t xml:space="preserve">بعد تقييم </w:t>
      </w:r>
      <w:r w:rsidR="007C05E3">
        <w:rPr>
          <w:rFonts w:ascii="Arabic Typesetting" w:hAnsi="Arabic Typesetting" w:cs="Arabic Typesetting" w:hint="cs"/>
          <w:color w:val="000000"/>
          <w:sz w:val="36"/>
          <w:szCs w:val="36"/>
          <w:rtl/>
        </w:rPr>
        <w:t>الكفاية</w:t>
      </w:r>
      <w:r>
        <w:rPr>
          <w:rFonts w:ascii="Arabic Typesetting" w:hAnsi="Arabic Typesetting" w:cs="Arabic Typesetting"/>
          <w:color w:val="000000"/>
          <w:sz w:val="36"/>
          <w:szCs w:val="36"/>
          <w:rtl/>
        </w:rPr>
        <w:t xml:space="preserve"> </w:t>
      </w:r>
      <w:r w:rsidR="00AC3C42">
        <w:rPr>
          <w:rFonts w:ascii="Arabic Typesetting" w:hAnsi="Arabic Typesetting" w:cs="Arabic Typesetting"/>
          <w:color w:val="000000"/>
          <w:sz w:val="36"/>
          <w:szCs w:val="36"/>
          <w:rtl/>
        </w:rPr>
        <w:t>الأكتوارية</w:t>
      </w:r>
      <w:r>
        <w:rPr>
          <w:rFonts w:ascii="Arabic Typesetting" w:hAnsi="Arabic Typesetting" w:cs="Arabic Typesetting"/>
          <w:color w:val="000000"/>
          <w:sz w:val="36"/>
          <w:szCs w:val="36"/>
          <w:rtl/>
        </w:rPr>
        <w:t xml:space="preserve"> للصندوق، خلص المستشار </w:t>
      </w:r>
      <w:r w:rsidR="00AC3C42">
        <w:rPr>
          <w:rFonts w:ascii="Arabic Typesetting" w:hAnsi="Arabic Typesetting" w:cs="Arabic Typesetting"/>
          <w:color w:val="000000"/>
          <w:sz w:val="36"/>
          <w:szCs w:val="36"/>
          <w:rtl/>
        </w:rPr>
        <w:t>الأكتواري</w:t>
      </w:r>
      <w:r w:rsidRPr="008E733F">
        <w:rPr>
          <w:rFonts w:ascii="Arabic Typesetting" w:hAnsi="Arabic Typesetting" w:cs="Arabic Typesetting"/>
          <w:color w:val="000000"/>
          <w:sz w:val="36"/>
          <w:szCs w:val="36"/>
          <w:rtl/>
        </w:rPr>
        <w:t xml:space="preserve"> إلى عدم وجود أي متطلبات</w:t>
      </w:r>
      <w:r>
        <w:rPr>
          <w:rFonts w:ascii="Arabic Typesetting" w:hAnsi="Arabic Typesetting" w:cs="Arabic Typesetting"/>
          <w:color w:val="000000"/>
          <w:sz w:val="36"/>
          <w:szCs w:val="36"/>
          <w:rtl/>
        </w:rPr>
        <w:t xml:space="preserve"> لسداد أي دفعات لتغطية العجز </w:t>
      </w:r>
      <w:r w:rsidR="00AC3C42">
        <w:rPr>
          <w:rFonts w:ascii="Arabic Typesetting" w:hAnsi="Arabic Typesetting" w:cs="Arabic Typesetting"/>
          <w:color w:val="000000"/>
          <w:sz w:val="36"/>
          <w:szCs w:val="36"/>
          <w:rtl/>
        </w:rPr>
        <w:t>الأكتواري</w:t>
      </w:r>
      <w:r w:rsidRPr="008E733F">
        <w:rPr>
          <w:rFonts w:ascii="Arabic Typesetting" w:hAnsi="Arabic Typesetting" w:cs="Arabic Typesetting"/>
          <w:color w:val="000000"/>
          <w:sz w:val="36"/>
          <w:szCs w:val="36"/>
          <w:rtl/>
        </w:rPr>
        <w:t xml:space="preserve"> في 31 ديسمبر </w:t>
      </w:r>
      <w:r w:rsidR="006B52CB">
        <w:rPr>
          <w:rFonts w:ascii="Arabic Typesetting" w:hAnsi="Arabic Typesetting" w:cs="Arabic Typesetting" w:hint="cs"/>
          <w:color w:val="000000"/>
          <w:sz w:val="36"/>
          <w:szCs w:val="36"/>
          <w:rtl/>
        </w:rPr>
        <w:t>2013</w:t>
      </w:r>
      <w:r w:rsidRPr="008E733F">
        <w:rPr>
          <w:rFonts w:ascii="Arabic Typesetting" w:hAnsi="Arabic Typesetting" w:cs="Arabic Typesetting"/>
          <w:color w:val="000000"/>
          <w:sz w:val="36"/>
          <w:szCs w:val="36"/>
          <w:rtl/>
        </w:rPr>
        <w:t xml:space="preserve"> بمقتضى المادة 26 من لائح</w:t>
      </w:r>
      <w:r>
        <w:rPr>
          <w:rFonts w:ascii="Arabic Typesetting" w:hAnsi="Arabic Typesetting" w:cs="Arabic Typesetting"/>
          <w:color w:val="000000"/>
          <w:sz w:val="36"/>
          <w:szCs w:val="36"/>
          <w:rtl/>
        </w:rPr>
        <w:t xml:space="preserve">ة الصندوق، حيث تجاوزت القيمة </w:t>
      </w:r>
      <w:r w:rsidR="00AC3C42">
        <w:rPr>
          <w:rFonts w:ascii="Arabic Typesetting" w:hAnsi="Arabic Typesetting" w:cs="Arabic Typesetting"/>
          <w:color w:val="000000"/>
          <w:sz w:val="36"/>
          <w:szCs w:val="36"/>
          <w:rtl/>
        </w:rPr>
        <w:t>الأكتوارية</w:t>
      </w:r>
      <w:r>
        <w:rPr>
          <w:rFonts w:ascii="Arabic Typesetting" w:hAnsi="Arabic Typesetting" w:cs="Arabic Typesetting"/>
          <w:color w:val="000000"/>
          <w:sz w:val="36"/>
          <w:szCs w:val="36"/>
          <w:rtl/>
        </w:rPr>
        <w:t xml:space="preserve"> للأصول القيمة </w:t>
      </w:r>
      <w:r w:rsidR="00AC3C42">
        <w:rPr>
          <w:rFonts w:ascii="Arabic Typesetting" w:hAnsi="Arabic Typesetting" w:cs="Arabic Typesetting"/>
          <w:color w:val="000000"/>
          <w:sz w:val="36"/>
          <w:szCs w:val="36"/>
          <w:rtl/>
        </w:rPr>
        <w:t>الأكتوارية</w:t>
      </w:r>
      <w:r w:rsidRPr="008E733F">
        <w:rPr>
          <w:rFonts w:ascii="Arabic Typesetting" w:hAnsi="Arabic Typesetting" w:cs="Arabic Typesetting"/>
          <w:color w:val="000000"/>
          <w:sz w:val="36"/>
          <w:szCs w:val="36"/>
          <w:rtl/>
        </w:rPr>
        <w:t xml:space="preserve"> لجميع الالتزامات المستحقة في إطار الصندوق. وباﻹضافة إلى ذلك، تجاوزت القيم</w:t>
      </w:r>
      <w:r>
        <w:rPr>
          <w:rFonts w:ascii="Arabic Typesetting" w:hAnsi="Arabic Typesetting" w:cs="Arabic Typesetting"/>
          <w:color w:val="000000"/>
          <w:sz w:val="36"/>
          <w:szCs w:val="36"/>
          <w:rtl/>
        </w:rPr>
        <w:t xml:space="preserve">ة السوقية للأصول أيضا القيمة </w:t>
      </w:r>
      <w:r w:rsidR="00AC3C42">
        <w:rPr>
          <w:rFonts w:ascii="Arabic Typesetting" w:hAnsi="Arabic Typesetting" w:cs="Arabic Typesetting"/>
          <w:color w:val="000000"/>
          <w:sz w:val="36"/>
          <w:szCs w:val="36"/>
          <w:rtl/>
        </w:rPr>
        <w:t>الأكتوارية</w:t>
      </w:r>
      <w:r w:rsidRPr="008E733F">
        <w:rPr>
          <w:rFonts w:ascii="Arabic Typesetting" w:hAnsi="Arabic Typesetting" w:cs="Arabic Typesetting"/>
          <w:color w:val="000000"/>
          <w:sz w:val="36"/>
          <w:szCs w:val="36"/>
          <w:rtl/>
        </w:rPr>
        <w:t xml:space="preserve"> لجميع الالتزامات المستحقة في تاريخ التقييم. وفي وقت إعداد هذا التقرير، لم تقرر الجمعية العامة تطبيق نص المادة 26.</w:t>
      </w:r>
    </w:p>
    <w:p w14:paraId="14447E6C" w14:textId="07A00120" w:rsidR="00E16243" w:rsidRPr="00E44C7C" w:rsidRDefault="00E16243" w:rsidP="00B5584D">
      <w:pPr>
        <w:bidi/>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sidRPr="008E733F">
        <w:rPr>
          <w:rFonts w:ascii="Arabic Typesetting" w:hAnsi="Arabic Typesetting" w:cs="Arabic Typesetting"/>
          <w:color w:val="000000"/>
          <w:sz w:val="36"/>
          <w:szCs w:val="36"/>
          <w:rtl/>
        </w:rPr>
        <w:t>في ديسمبر 2012</w:t>
      </w:r>
      <w:r w:rsidR="007C05E3">
        <w:rPr>
          <w:rFonts w:ascii="Arabic Typesetting" w:hAnsi="Arabic Typesetting" w:cs="Arabic Typesetting" w:hint="cs"/>
          <w:color w:val="000000"/>
          <w:sz w:val="36"/>
          <w:szCs w:val="36"/>
          <w:rtl/>
        </w:rPr>
        <w:t xml:space="preserve"> وأبريل 2013</w:t>
      </w:r>
      <w:r w:rsidRPr="008E733F">
        <w:rPr>
          <w:rFonts w:ascii="Arabic Typesetting" w:hAnsi="Arabic Typesetting" w:cs="Arabic Typesetting"/>
          <w:color w:val="000000"/>
          <w:sz w:val="36"/>
          <w:szCs w:val="36"/>
          <w:rtl/>
        </w:rPr>
        <w:t xml:space="preserve">، </w:t>
      </w:r>
      <w:r w:rsidR="002034ED">
        <w:rPr>
          <w:rFonts w:ascii="Arabic Typesetting" w:hAnsi="Arabic Typesetting" w:cs="Arabic Typesetting" w:hint="cs"/>
          <w:color w:val="000000"/>
          <w:sz w:val="36"/>
          <w:szCs w:val="36"/>
          <w:rtl/>
        </w:rPr>
        <w:t xml:space="preserve">اعتمدت </w:t>
      </w:r>
      <w:r w:rsidRPr="008E733F">
        <w:rPr>
          <w:rFonts w:ascii="Arabic Typesetting" w:hAnsi="Arabic Typesetting" w:cs="Arabic Typesetting"/>
          <w:color w:val="000000"/>
          <w:sz w:val="36"/>
          <w:szCs w:val="36"/>
          <w:rtl/>
        </w:rPr>
        <w:t xml:space="preserve">الجمعية العامة زيادة سن التقاعد العادي </w:t>
      </w:r>
      <w:r w:rsidR="008E35DD">
        <w:rPr>
          <w:rFonts w:ascii="Arabic Typesetting" w:hAnsi="Arabic Typesetting" w:cs="Arabic Typesetting" w:hint="cs"/>
          <w:color w:val="000000"/>
          <w:sz w:val="36"/>
          <w:szCs w:val="36"/>
          <w:rtl/>
        </w:rPr>
        <w:t xml:space="preserve">ثم </w:t>
      </w:r>
      <w:r w:rsidR="008E35DD" w:rsidRPr="008E733F">
        <w:rPr>
          <w:rFonts w:ascii="Arabic Typesetting" w:hAnsi="Arabic Typesetting" w:cs="Arabic Typesetting"/>
          <w:color w:val="000000"/>
          <w:sz w:val="36"/>
          <w:szCs w:val="36"/>
          <w:rtl/>
        </w:rPr>
        <w:t>السن الإلزامية ل</w:t>
      </w:r>
      <w:r w:rsidR="00311F61">
        <w:rPr>
          <w:rFonts w:ascii="Arabic Typesetting" w:hAnsi="Arabic Typesetting" w:cs="Arabic Typesetting"/>
          <w:color w:val="000000"/>
          <w:sz w:val="36"/>
          <w:szCs w:val="36"/>
          <w:rtl/>
        </w:rPr>
        <w:t>نهاية الخدمة</w:t>
      </w:r>
      <w:r w:rsidR="008E35DD">
        <w:rPr>
          <w:rFonts w:ascii="Arabic Typesetting" w:hAnsi="Arabic Typesetting" w:cs="Arabic Typesetting" w:hint="cs"/>
          <w:color w:val="000000"/>
          <w:sz w:val="36"/>
          <w:szCs w:val="36"/>
          <w:rtl/>
        </w:rPr>
        <w:t xml:space="preserve"> </w:t>
      </w:r>
      <w:r w:rsidRPr="008E733F">
        <w:rPr>
          <w:rFonts w:ascii="Arabic Typesetting" w:hAnsi="Arabic Typesetting" w:cs="Arabic Typesetting"/>
          <w:color w:val="000000"/>
          <w:sz w:val="36"/>
          <w:szCs w:val="36"/>
          <w:rtl/>
        </w:rPr>
        <w:t>للمشتركين الجدد في الصندوق</w:t>
      </w:r>
      <w:r w:rsidR="00724A9F">
        <w:rPr>
          <w:rFonts w:ascii="Arabic Typesetting" w:hAnsi="Arabic Typesetting" w:cs="Arabic Typesetting" w:hint="cs"/>
          <w:color w:val="000000"/>
          <w:sz w:val="36"/>
          <w:szCs w:val="36"/>
          <w:rtl/>
        </w:rPr>
        <w:t xml:space="preserve"> </w:t>
      </w:r>
      <w:r w:rsidR="00724A9F" w:rsidRPr="008E733F">
        <w:rPr>
          <w:rFonts w:ascii="Arabic Typesetting" w:hAnsi="Arabic Typesetting" w:cs="Arabic Typesetting"/>
          <w:color w:val="000000"/>
          <w:sz w:val="36"/>
          <w:szCs w:val="36"/>
          <w:rtl/>
        </w:rPr>
        <w:t xml:space="preserve">إلى 65 عاماً </w:t>
      </w:r>
      <w:r w:rsidR="00724A9F">
        <w:rPr>
          <w:rFonts w:ascii="Arabic Typesetting" w:hAnsi="Arabic Typesetting" w:cs="Arabic Typesetting" w:hint="cs"/>
          <w:color w:val="000000"/>
          <w:sz w:val="36"/>
          <w:szCs w:val="36"/>
          <w:rtl/>
        </w:rPr>
        <w:t>على الترتيب</w:t>
      </w:r>
      <w:r w:rsidRPr="008E733F">
        <w:rPr>
          <w:rFonts w:ascii="Arabic Typesetting" w:hAnsi="Arabic Typesetting" w:cs="Arabic Typesetting"/>
          <w:color w:val="000000"/>
          <w:sz w:val="36"/>
          <w:szCs w:val="36"/>
          <w:rtl/>
        </w:rPr>
        <w:t xml:space="preserve">، مع تنفيذ هذا القرار في </w:t>
      </w:r>
      <w:r>
        <w:rPr>
          <w:rFonts w:ascii="Arabic Typesetting" w:hAnsi="Arabic Typesetting" w:cs="Arabic Typesetting" w:hint="cs"/>
          <w:color w:val="000000"/>
          <w:sz w:val="36"/>
          <w:szCs w:val="36"/>
          <w:rtl/>
        </w:rPr>
        <w:t>موعد</w:t>
      </w:r>
      <w:r w:rsidRPr="008E733F">
        <w:rPr>
          <w:rFonts w:ascii="Arabic Typesetting" w:hAnsi="Arabic Typesetting" w:cs="Arabic Typesetting"/>
          <w:color w:val="000000"/>
          <w:sz w:val="36"/>
          <w:szCs w:val="36"/>
          <w:rtl/>
        </w:rPr>
        <w:t xml:space="preserve"> غايته 1 يناير 2014</w:t>
      </w:r>
      <w:r w:rsidR="00DE2061">
        <w:rPr>
          <w:rFonts w:ascii="Arabic Typesetting" w:hAnsi="Arabic Typesetting" w:cs="Arabic Typesetting" w:hint="cs"/>
          <w:color w:val="000000"/>
          <w:sz w:val="36"/>
          <w:szCs w:val="36"/>
          <w:rtl/>
        </w:rPr>
        <w:t xml:space="preserve">. وقد وافقت </w:t>
      </w:r>
      <w:r w:rsidRPr="008E733F">
        <w:rPr>
          <w:rFonts w:ascii="Arabic Typesetting" w:hAnsi="Arabic Typesetting" w:cs="Arabic Typesetting"/>
          <w:color w:val="000000"/>
          <w:sz w:val="36"/>
          <w:szCs w:val="36"/>
          <w:rtl/>
        </w:rPr>
        <w:t xml:space="preserve">الجمعية العامة </w:t>
      </w:r>
      <w:r w:rsidR="00DE2061">
        <w:rPr>
          <w:rFonts w:ascii="Arabic Typesetting" w:hAnsi="Arabic Typesetting" w:cs="Arabic Typesetting" w:hint="cs"/>
          <w:color w:val="000000"/>
          <w:sz w:val="36"/>
          <w:szCs w:val="36"/>
          <w:rtl/>
        </w:rPr>
        <w:t xml:space="preserve">على التغيير ذي الصلة في لوائح صندوق المعاشات </w:t>
      </w:r>
      <w:r w:rsidR="00B5584D">
        <w:rPr>
          <w:rFonts w:ascii="Arabic Typesetting" w:hAnsi="Arabic Typesetting" w:cs="Arabic Typesetting" w:hint="cs"/>
          <w:color w:val="000000"/>
          <w:sz w:val="36"/>
          <w:szCs w:val="36"/>
          <w:rtl/>
        </w:rPr>
        <w:t>في ديسمبر 2013</w:t>
      </w:r>
      <w:r w:rsidRPr="00E44C7C">
        <w:rPr>
          <w:rFonts w:ascii="Arabic Typesetting" w:hAnsi="Arabic Typesetting" w:cs="Arabic Typesetting" w:hint="cs"/>
          <w:color w:val="000000"/>
          <w:sz w:val="36"/>
          <w:szCs w:val="36"/>
          <w:rtl/>
        </w:rPr>
        <w:t>.</w:t>
      </w:r>
      <w:r w:rsidR="006B52CB">
        <w:rPr>
          <w:rFonts w:ascii="Arabic Typesetting" w:hAnsi="Arabic Typesetting" w:cs="Arabic Typesetting" w:hint="cs"/>
          <w:color w:val="000000"/>
          <w:sz w:val="36"/>
          <w:szCs w:val="36"/>
          <w:rtl/>
        </w:rPr>
        <w:t xml:space="preserve"> و</w:t>
      </w:r>
      <w:r w:rsidR="00B5584D" w:rsidRPr="00E44C7C">
        <w:rPr>
          <w:rFonts w:ascii="Arabic Typesetting" w:hAnsi="Arabic Typesetting" w:cs="Arabic Typesetting" w:hint="cs"/>
          <w:color w:val="000000"/>
          <w:sz w:val="36"/>
          <w:szCs w:val="36"/>
          <w:rtl/>
        </w:rPr>
        <w:t xml:space="preserve">يعكس التقييم </w:t>
      </w:r>
      <w:r w:rsidR="00AC3C42">
        <w:rPr>
          <w:rFonts w:ascii="Arabic Typesetting" w:hAnsi="Arabic Typesetting" w:cs="Arabic Typesetting" w:hint="cs"/>
          <w:color w:val="000000"/>
          <w:sz w:val="36"/>
          <w:szCs w:val="36"/>
          <w:rtl/>
        </w:rPr>
        <w:t>الأكتواري</w:t>
      </w:r>
      <w:r w:rsidR="00B5584D" w:rsidRPr="00E44C7C">
        <w:rPr>
          <w:rFonts w:ascii="Arabic Typesetting" w:hAnsi="Arabic Typesetting" w:cs="Arabic Typesetting" w:hint="cs"/>
          <w:color w:val="000000"/>
          <w:sz w:val="36"/>
          <w:szCs w:val="36"/>
          <w:rtl/>
        </w:rPr>
        <w:t xml:space="preserve"> للصندوق ح</w:t>
      </w:r>
      <w:r w:rsidR="00BA5D5E" w:rsidRPr="00E44C7C">
        <w:rPr>
          <w:rFonts w:ascii="Arabic Typesetting" w:hAnsi="Arabic Typesetting" w:cs="Arabic Typesetting" w:hint="cs"/>
          <w:color w:val="000000"/>
          <w:sz w:val="36"/>
          <w:szCs w:val="36"/>
          <w:rtl/>
        </w:rPr>
        <w:t>سب الوضع في 31 ديسمبر 2013 الزيادة في سن التقاعد العادي.</w:t>
      </w:r>
    </w:p>
    <w:p w14:paraId="3172E820" w14:textId="77777777" w:rsidR="00E55E23" w:rsidRDefault="00E16243" w:rsidP="006B52CB">
      <w:pPr>
        <w:bidi/>
        <w:spacing w:after="240" w:line="360" w:lineRule="exact"/>
        <w:rPr>
          <w:rFonts w:ascii="Arabic Typesetting" w:hAnsi="Arabic Typesetting" w:cs="Arabic Typesetting"/>
          <w:color w:val="000000"/>
          <w:sz w:val="36"/>
          <w:szCs w:val="36"/>
          <w:rtl/>
        </w:rPr>
      </w:pPr>
      <w:r w:rsidRPr="00574690">
        <w:rPr>
          <w:rFonts w:ascii="Arabic Typesetting" w:hAnsi="Arabic Typesetting" w:cs="Arabic Typesetting" w:hint="cs"/>
          <w:sz w:val="36"/>
          <w:szCs w:val="36"/>
          <w:rtl/>
        </w:rPr>
        <w:t>وخلال</w:t>
      </w:r>
      <w:r>
        <w:rPr>
          <w:rFonts w:ascii="Arabic Typesetting" w:hAnsi="Arabic Typesetting" w:cs="Arabic Typesetting" w:hint="cs"/>
          <w:sz w:val="44"/>
          <w:szCs w:val="44"/>
          <w:rtl/>
        </w:rPr>
        <w:t xml:space="preserve"> عام </w:t>
      </w:r>
      <w:r w:rsidR="006B52CB">
        <w:rPr>
          <w:rFonts w:ascii="Arabic Typesetting" w:hAnsi="Arabic Typesetting" w:cs="Arabic Typesetting" w:hint="cs"/>
          <w:color w:val="000000"/>
          <w:sz w:val="36"/>
          <w:szCs w:val="36"/>
          <w:rtl/>
        </w:rPr>
        <w:t>2014</w:t>
      </w:r>
      <w:r w:rsidRPr="008E733F">
        <w:rPr>
          <w:rFonts w:ascii="Arabic Typesetting" w:hAnsi="Arabic Typesetting" w:cs="Arabic Typesetting"/>
          <w:color w:val="000000"/>
          <w:sz w:val="36"/>
          <w:szCs w:val="36"/>
          <w:rtl/>
        </w:rPr>
        <w:t xml:space="preserve">، </w:t>
      </w:r>
      <w:r w:rsidRPr="008E733F">
        <w:rPr>
          <w:rFonts w:ascii="Arabic Typesetting" w:hAnsi="Arabic Typesetting" w:cs="Arabic Typesetting"/>
          <w:color w:val="000000"/>
          <w:sz w:val="36"/>
          <w:szCs w:val="36"/>
          <w:rtl/>
          <w:lang w:bidi="ar-EG"/>
        </w:rPr>
        <w:t xml:space="preserve">بلغت اشتراكات </w:t>
      </w:r>
      <w:r w:rsidRPr="008E733F">
        <w:rPr>
          <w:rFonts w:ascii="Arabic Typesetting" w:hAnsi="Arabic Typesetting" w:cs="Arabic Typesetting"/>
          <w:color w:val="000000"/>
          <w:sz w:val="36"/>
          <w:szCs w:val="36"/>
          <w:rtl/>
        </w:rPr>
        <w:t xml:space="preserve">الويبو المدفوعة لصندوق المعاشات التقاعدية لموظفي الأمم المتحدة </w:t>
      </w:r>
      <w:r w:rsidR="006B52CB">
        <w:rPr>
          <w:rFonts w:ascii="Arabic Typesetting" w:hAnsi="Arabic Typesetting" w:cs="Arabic Typesetting" w:hint="cs"/>
          <w:color w:val="000000"/>
          <w:sz w:val="36"/>
          <w:szCs w:val="36"/>
          <w:rtl/>
        </w:rPr>
        <w:t>26.0</w:t>
      </w:r>
      <w:r w:rsidR="00A60B63">
        <w:rPr>
          <w:rFonts w:ascii="Arabic Typesetting" w:hAnsi="Arabic Typesetting" w:cs="Arabic Typesetting" w:hint="cs"/>
          <w:color w:val="000000"/>
          <w:sz w:val="36"/>
          <w:szCs w:val="36"/>
          <w:rtl/>
        </w:rPr>
        <w:t xml:space="preserve"> مليون فرنك سويسري [</w:t>
      </w:r>
      <w:r w:rsidR="006B52CB">
        <w:rPr>
          <w:rFonts w:ascii="Arabic Typesetting" w:hAnsi="Arabic Typesetting" w:cs="Arabic Typesetting" w:hint="cs"/>
          <w:color w:val="000000"/>
          <w:sz w:val="36"/>
          <w:szCs w:val="36"/>
          <w:rtl/>
        </w:rPr>
        <w:t>26.1</w:t>
      </w:r>
      <w:r w:rsidRPr="008E733F">
        <w:rPr>
          <w:rFonts w:ascii="Arabic Typesetting" w:hAnsi="Arabic Typesetting" w:cs="Arabic Typesetting"/>
          <w:color w:val="000000"/>
          <w:sz w:val="36"/>
          <w:szCs w:val="36"/>
          <w:rtl/>
        </w:rPr>
        <w:t xml:space="preserve"> مليون فرنك سويسري في عام </w:t>
      </w:r>
      <w:r w:rsidR="006B52CB">
        <w:rPr>
          <w:rFonts w:ascii="Arabic Typesetting" w:hAnsi="Arabic Typesetting" w:cs="Arabic Typesetting" w:hint="cs"/>
          <w:color w:val="000000"/>
          <w:sz w:val="36"/>
          <w:szCs w:val="36"/>
          <w:rtl/>
        </w:rPr>
        <w:t>2013</w:t>
      </w:r>
      <w:r w:rsidRPr="008E733F">
        <w:rPr>
          <w:rFonts w:ascii="Arabic Typesetting" w:hAnsi="Arabic Typesetting" w:cs="Arabic Typesetting"/>
          <w:color w:val="000000"/>
          <w:sz w:val="36"/>
          <w:szCs w:val="36"/>
          <w:rtl/>
        </w:rPr>
        <w:t xml:space="preserve">]. ومن المتوقع أن تصل الاشتراكات المستحقة إلى </w:t>
      </w:r>
      <w:r w:rsidR="006B52CB">
        <w:rPr>
          <w:rFonts w:ascii="Arabic Typesetting" w:hAnsi="Arabic Typesetting" w:cs="Arabic Typesetting" w:hint="cs"/>
          <w:color w:val="000000"/>
          <w:sz w:val="36"/>
          <w:szCs w:val="36"/>
          <w:rtl/>
        </w:rPr>
        <w:t>26.6</w:t>
      </w:r>
      <w:r w:rsidRPr="008E733F">
        <w:rPr>
          <w:rFonts w:ascii="Arabic Typesetting" w:hAnsi="Arabic Typesetting" w:cs="Arabic Typesetting"/>
          <w:color w:val="000000"/>
          <w:sz w:val="36"/>
          <w:szCs w:val="36"/>
          <w:rtl/>
        </w:rPr>
        <w:t xml:space="preserve"> مليون فرنك سويسري في </w:t>
      </w:r>
      <w:r w:rsidR="006B52CB">
        <w:rPr>
          <w:rFonts w:ascii="Arabic Typesetting" w:hAnsi="Arabic Typesetting" w:cs="Arabic Typesetting" w:hint="cs"/>
          <w:color w:val="000000"/>
          <w:sz w:val="36"/>
          <w:szCs w:val="36"/>
          <w:rtl/>
        </w:rPr>
        <w:t>2015</w:t>
      </w:r>
      <w:r w:rsidRPr="008E733F">
        <w:rPr>
          <w:rFonts w:ascii="Arabic Typesetting" w:hAnsi="Arabic Typesetting" w:cs="Arabic Typesetting"/>
          <w:color w:val="000000"/>
          <w:sz w:val="36"/>
          <w:szCs w:val="36"/>
          <w:rtl/>
        </w:rPr>
        <w:t>.</w:t>
      </w:r>
      <w:r w:rsidR="00687571">
        <w:rPr>
          <w:rFonts w:ascii="Arabic Typesetting" w:hAnsi="Arabic Typesetting" w:cs="Arabic Typesetting"/>
          <w:color w:val="000000"/>
          <w:sz w:val="36"/>
          <w:szCs w:val="36"/>
        </w:rPr>
        <w:t xml:space="preserve"> </w:t>
      </w:r>
      <w:r>
        <w:rPr>
          <w:rFonts w:ascii="Arabic Typesetting" w:hAnsi="Arabic Typesetting" w:cs="Arabic Typesetting" w:hint="cs"/>
          <w:color w:val="000000"/>
          <w:sz w:val="36"/>
          <w:szCs w:val="36"/>
          <w:rtl/>
        </w:rPr>
        <w:t>و</w:t>
      </w:r>
      <w:r w:rsidRPr="004E1D0D">
        <w:rPr>
          <w:rFonts w:ascii="Arabic Typesetting" w:hAnsi="Arabic Typesetting" w:cs="Arabic Typesetting"/>
          <w:color w:val="000000"/>
          <w:sz w:val="36"/>
          <w:szCs w:val="36"/>
          <w:rtl/>
        </w:rPr>
        <w:t xml:space="preserve">يضطلع مجلس مراجعي حسابات الأمم المتحدة بمراجعة سنوية لصندوق المعاشات التقاعدية لموظفي الأمم المتحدة، ويرفع تقارير المراجعة إلى مجلس إدارة الصندوق سنويا. </w:t>
      </w:r>
      <w:r>
        <w:rPr>
          <w:rFonts w:ascii="Arabic Typesetting" w:hAnsi="Arabic Typesetting" w:cs="Arabic Typesetting" w:hint="cs"/>
          <w:color w:val="000000"/>
          <w:sz w:val="36"/>
          <w:szCs w:val="36"/>
          <w:rtl/>
        </w:rPr>
        <w:t>و</w:t>
      </w:r>
      <w:r w:rsidRPr="004E1D0D">
        <w:rPr>
          <w:rFonts w:ascii="Arabic Typesetting" w:hAnsi="Arabic Typesetting" w:cs="Arabic Typesetting"/>
          <w:color w:val="000000"/>
          <w:sz w:val="36"/>
          <w:szCs w:val="36"/>
          <w:rtl/>
        </w:rPr>
        <w:t xml:space="preserve">ينشر صندوق المعاشات التقاعدية تقارير </w:t>
      </w:r>
      <w:r w:rsidRPr="004E1D0D">
        <w:rPr>
          <w:rFonts w:ascii="Arabic Typesetting" w:hAnsi="Arabic Typesetting" w:cs="Arabic Typesetting"/>
          <w:color w:val="000000"/>
          <w:sz w:val="36"/>
          <w:szCs w:val="36"/>
          <w:rtl/>
        </w:rPr>
        <w:lastRenderedPageBreak/>
        <w:t>فصلية (ربع سنوية) عن استثماراته، ويمكن الاطلاع على تلك التقاري</w:t>
      </w:r>
      <w:r>
        <w:rPr>
          <w:rFonts w:ascii="Arabic Typesetting" w:hAnsi="Arabic Typesetting" w:cs="Arabic Typesetting"/>
          <w:color w:val="000000"/>
          <w:sz w:val="36"/>
          <w:szCs w:val="36"/>
          <w:rtl/>
        </w:rPr>
        <w:t>ر من خلال زيارة موقع الصندوق ال</w:t>
      </w:r>
      <w:r>
        <w:rPr>
          <w:rFonts w:ascii="Arabic Typesetting" w:hAnsi="Arabic Typesetting" w:cs="Arabic Typesetting" w:hint="cs"/>
          <w:color w:val="000000"/>
          <w:sz w:val="36"/>
          <w:szCs w:val="36"/>
          <w:rtl/>
        </w:rPr>
        <w:t>إ</w:t>
      </w:r>
      <w:r w:rsidRPr="004E1D0D">
        <w:rPr>
          <w:rFonts w:ascii="Arabic Typesetting" w:hAnsi="Arabic Typesetting" w:cs="Arabic Typesetting"/>
          <w:color w:val="000000"/>
          <w:sz w:val="36"/>
          <w:szCs w:val="36"/>
          <w:rtl/>
        </w:rPr>
        <w:t xml:space="preserve">لكتروني على الرابط: </w:t>
      </w:r>
      <w:hyperlink r:id="rId82" w:history="1">
        <w:r w:rsidR="007161DF" w:rsidRPr="00EA361B">
          <w:rPr>
            <w:rStyle w:val="Hyperlink"/>
            <w:rFonts w:ascii="Arabic Typesetting" w:hAnsi="Arabic Typesetting" w:cs="Arabic Typesetting"/>
            <w:sz w:val="36"/>
            <w:szCs w:val="36"/>
          </w:rPr>
          <w:t>www.unjspf.org</w:t>
        </w:r>
      </w:hyperlink>
      <w:r w:rsidR="007161DF">
        <w:rPr>
          <w:rFonts w:ascii="Arabic Typesetting" w:hAnsi="Arabic Typesetting" w:cs="Arabic Typesetting" w:hint="cs"/>
          <w:color w:val="000000"/>
          <w:sz w:val="36"/>
          <w:szCs w:val="36"/>
          <w:rtl/>
        </w:rPr>
        <w:t>.</w:t>
      </w:r>
    </w:p>
    <w:p w14:paraId="3D8022F3" w14:textId="26BF6A2F" w:rsidR="00E16243" w:rsidRPr="00574690" w:rsidRDefault="00E16243" w:rsidP="00687571">
      <w:pPr>
        <w:pStyle w:val="Heading2"/>
        <w:tabs>
          <w:tab w:val="left" w:pos="1417"/>
        </w:tabs>
        <w:bidi/>
        <w:rPr>
          <w:rFonts w:ascii="Arabic Typesetting" w:hAnsi="Arabic Typesetting" w:cs="Arabic Typesetting"/>
          <w:b/>
          <w:bCs w:val="0"/>
          <w:sz w:val="40"/>
          <w:szCs w:val="40"/>
          <w:rtl/>
        </w:rPr>
      </w:pPr>
      <w:bookmarkStart w:id="30" w:name="_Toc362519111"/>
      <w:r w:rsidRPr="002869C3">
        <w:rPr>
          <w:rFonts w:ascii="Arabic Typesetting" w:hAnsi="Arabic Typesetting" w:cs="Arabic Typesetting" w:hint="cs"/>
          <w:i/>
          <w:iCs w:val="0"/>
          <w:sz w:val="40"/>
          <w:szCs w:val="40"/>
          <w:rtl/>
        </w:rPr>
        <w:t>الملاحظة 13:</w:t>
      </w:r>
      <w:r w:rsidR="00687571">
        <w:rPr>
          <w:rFonts w:ascii="Arabic Typesetting" w:hAnsi="Arabic Typesetting" w:cs="Arabic Typesetting"/>
          <w:i/>
          <w:iCs w:val="0"/>
          <w:sz w:val="40"/>
          <w:szCs w:val="40"/>
        </w:rPr>
        <w:tab/>
      </w:r>
      <w:r w:rsidR="002B3DBD">
        <w:rPr>
          <w:rFonts w:ascii="Arabic Typesetting" w:hAnsi="Arabic Typesetting" w:cs="Arabic Typesetting" w:hint="cs"/>
          <w:i/>
          <w:iCs w:val="0"/>
          <w:sz w:val="40"/>
          <w:szCs w:val="40"/>
          <w:rtl/>
        </w:rPr>
        <w:t>ال</w:t>
      </w:r>
      <w:r w:rsidRPr="002869C3">
        <w:rPr>
          <w:rFonts w:ascii="Arabic Typesetting" w:hAnsi="Arabic Typesetting" w:cs="Arabic Typesetting" w:hint="cs"/>
          <w:i/>
          <w:iCs w:val="0"/>
          <w:sz w:val="40"/>
          <w:szCs w:val="40"/>
          <w:rtl/>
        </w:rPr>
        <w:t xml:space="preserve">تحويلات </w:t>
      </w:r>
      <w:r w:rsidR="002B3DBD">
        <w:rPr>
          <w:rFonts w:ascii="Arabic Typesetting" w:hAnsi="Arabic Typesetting" w:cs="Arabic Typesetting" w:hint="cs"/>
          <w:i/>
          <w:iCs w:val="0"/>
          <w:sz w:val="40"/>
          <w:szCs w:val="40"/>
          <w:rtl/>
        </w:rPr>
        <w:t>ال</w:t>
      </w:r>
      <w:r w:rsidRPr="002869C3">
        <w:rPr>
          <w:rFonts w:ascii="Arabic Typesetting" w:hAnsi="Arabic Typesetting" w:cs="Arabic Typesetting" w:hint="cs"/>
          <w:i/>
          <w:iCs w:val="0"/>
          <w:sz w:val="40"/>
          <w:szCs w:val="40"/>
          <w:rtl/>
        </w:rPr>
        <w:t>مستحقة الدفع</w:t>
      </w:r>
      <w:bookmarkEnd w:id="30"/>
    </w:p>
    <w:p w14:paraId="77C99F63" w14:textId="45CED2D0" w:rsidR="009D1F1D" w:rsidRDefault="00CD08AF" w:rsidP="00CD08AF">
      <w:pPr>
        <w:bidi/>
        <w:jc w:val="center"/>
        <w:rPr>
          <w:rFonts w:ascii="Arabic Typesetting" w:hAnsi="Arabic Typesetting" w:cs="Arabic Typesetting"/>
          <w:sz w:val="36"/>
          <w:szCs w:val="36"/>
        </w:rPr>
      </w:pPr>
      <w:r w:rsidRPr="00CD08AF">
        <w:rPr>
          <w:noProof/>
          <w:szCs w:val="22"/>
          <w:rtl/>
        </w:rPr>
        <w:drawing>
          <wp:inline distT="0" distB="0" distL="0" distR="0" wp14:anchorId="748261EF" wp14:editId="7FADB392">
            <wp:extent cx="5735320" cy="29038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35320" cy="2903855"/>
                    </a:xfrm>
                    <a:prstGeom prst="rect">
                      <a:avLst/>
                    </a:prstGeom>
                    <a:noFill/>
                    <a:ln>
                      <a:noFill/>
                    </a:ln>
                  </pic:spPr>
                </pic:pic>
              </a:graphicData>
            </a:graphic>
          </wp:inline>
        </w:drawing>
      </w:r>
    </w:p>
    <w:p w14:paraId="0CF49460" w14:textId="30807942" w:rsidR="00E16243" w:rsidRDefault="00E16243" w:rsidP="00630846">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تتولى </w:t>
      </w:r>
      <w:r w:rsidRPr="006F77CD">
        <w:rPr>
          <w:rFonts w:ascii="Arabic Typesetting" w:hAnsi="Arabic Typesetting" w:cs="Arabic Typesetting"/>
          <w:color w:val="000000"/>
          <w:sz w:val="36"/>
          <w:szCs w:val="36"/>
          <w:rtl/>
        </w:rPr>
        <w:t xml:space="preserve">"المنظمة" تحصيل رسوم نيابة عن الأطراف المتعاقدة بموجب اتفاق مدريد وبروتوكوله واللائحة التنفيذية المشتركة لاتفاق لاهاي. وباﻹضافة إلى ذلك، يتولى مكتب "المنظمة" الدولي لمعاهدة التعاون بشأن البراءات تحصيل الأموال من مودعي الطلبات لتغطية تكلفة مدفوعات </w:t>
      </w:r>
      <w:r>
        <w:rPr>
          <w:rFonts w:ascii="Arabic Typesetting" w:hAnsi="Arabic Typesetting" w:cs="Arabic Typesetting" w:hint="cs"/>
          <w:color w:val="000000"/>
          <w:sz w:val="36"/>
          <w:szCs w:val="36"/>
          <w:rtl/>
        </w:rPr>
        <w:t>إدارات</w:t>
      </w:r>
      <w:r w:rsidRPr="006F77CD">
        <w:rPr>
          <w:rFonts w:ascii="Arabic Typesetting" w:hAnsi="Arabic Typesetting" w:cs="Arabic Typesetting"/>
          <w:color w:val="000000"/>
          <w:sz w:val="36"/>
          <w:szCs w:val="36"/>
          <w:rtl/>
        </w:rPr>
        <w:t xml:space="preserve"> البحث الدولي. </w:t>
      </w:r>
      <w:r w:rsidR="00F02AE5">
        <w:rPr>
          <w:rFonts w:ascii="Arabic Typesetting" w:hAnsi="Arabic Typesetting" w:cs="Arabic Typesetting" w:hint="cs"/>
          <w:color w:val="000000"/>
          <w:sz w:val="36"/>
          <w:szCs w:val="36"/>
          <w:rtl/>
        </w:rPr>
        <w:t xml:space="preserve">وإضافة إلى ذلك، تحصل المنظمة الرسوم المدفوعة مباشرة إلى الوسطاء والمحكمين في الحالات التي تعالج بواسطة مركو التحكيم والوساطة.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 xml:space="preserve">تحتفظ "المنظمة" بهذه الأموال بصفة مؤقتة ريثما </w:t>
      </w:r>
      <w:r w:rsidR="00630846">
        <w:rPr>
          <w:rFonts w:ascii="Arabic Typesetting" w:hAnsi="Arabic Typesetting" w:cs="Arabic Typesetting" w:hint="cs"/>
          <w:color w:val="000000"/>
          <w:sz w:val="36"/>
          <w:szCs w:val="36"/>
          <w:rtl/>
        </w:rPr>
        <w:t>تُنقل</w:t>
      </w:r>
      <w:r w:rsidRPr="006F77CD">
        <w:rPr>
          <w:rFonts w:ascii="Arabic Typesetting" w:hAnsi="Arabic Typesetting" w:cs="Arabic Typesetting"/>
          <w:color w:val="000000"/>
          <w:sz w:val="36"/>
          <w:szCs w:val="36"/>
          <w:rtl/>
        </w:rPr>
        <w:t xml:space="preserve"> إلى المستفيد النهائي </w:t>
      </w:r>
      <w:r w:rsidR="002B3DBD">
        <w:rPr>
          <w:rFonts w:ascii="Arabic Typesetting" w:hAnsi="Arabic Typesetting" w:cs="Arabic Typesetting"/>
          <w:color w:val="000000"/>
          <w:sz w:val="36"/>
          <w:szCs w:val="36"/>
          <w:rtl/>
        </w:rPr>
        <w:t xml:space="preserve">وفقاً </w:t>
      </w:r>
      <w:r w:rsidRPr="006F77CD">
        <w:rPr>
          <w:rFonts w:ascii="Arabic Typesetting" w:hAnsi="Arabic Typesetting" w:cs="Arabic Typesetting"/>
          <w:color w:val="000000"/>
          <w:sz w:val="36"/>
          <w:szCs w:val="36"/>
          <w:rtl/>
        </w:rPr>
        <w:t xml:space="preserve">لمختلف المعاهدات والاتفاقات التي تشرف "المنظمة" على تنفيذها. والآتي بعد إجمالي الرسوم المحصلة من قبل "المنظمة" عن فترة السنتين، </w:t>
      </w:r>
      <w:r>
        <w:rPr>
          <w:rFonts w:ascii="Arabic Typesetting" w:hAnsi="Arabic Typesetting" w:cs="Arabic Typesetting" w:hint="cs"/>
          <w:color w:val="000000"/>
          <w:sz w:val="36"/>
          <w:szCs w:val="36"/>
          <w:rtl/>
        </w:rPr>
        <w:t xml:space="preserve">مع </w:t>
      </w:r>
      <w:r w:rsidRPr="006F77CD">
        <w:rPr>
          <w:rFonts w:ascii="Arabic Typesetting" w:hAnsi="Arabic Typesetting" w:cs="Arabic Typesetting"/>
          <w:color w:val="000000"/>
          <w:sz w:val="36"/>
          <w:szCs w:val="36"/>
          <w:rtl/>
        </w:rPr>
        <w:t>شرح لكل</w:t>
      </w:r>
      <w:r>
        <w:rPr>
          <w:rFonts w:ascii="Arabic Typesetting" w:hAnsi="Arabic Typesetting" w:cs="Arabic Typesetting" w:hint="cs"/>
          <w:color w:val="000000"/>
          <w:sz w:val="36"/>
          <w:szCs w:val="36"/>
          <w:rtl/>
        </w:rPr>
        <w:t xml:space="preserve"> منها</w:t>
      </w:r>
      <w:r>
        <w:rPr>
          <w:rFonts w:ascii="Arabic Typesetting" w:hAnsi="Arabic Typesetting" w:cs="Arabic Typesetting" w:hint="cs"/>
          <w:sz w:val="36"/>
          <w:szCs w:val="36"/>
          <w:rtl/>
        </w:rPr>
        <w:t>:</w:t>
      </w:r>
    </w:p>
    <w:p w14:paraId="1DECE0A6" w14:textId="1A4F15EB" w:rsidR="00E16243" w:rsidRDefault="00E16243" w:rsidP="00630846">
      <w:pPr>
        <w:numPr>
          <w:ilvl w:val="0"/>
          <w:numId w:val="4"/>
        </w:numPr>
        <w:tabs>
          <w:tab w:val="clear" w:pos="720"/>
        </w:tabs>
        <w:bidi/>
        <w:spacing w:after="240" w:line="360" w:lineRule="exact"/>
        <w:ind w:left="1134" w:hanging="567"/>
        <w:rPr>
          <w:rFonts w:ascii="Arabic Typesetting" w:hAnsi="Arabic Typesetting" w:cs="Arabic Typesetting"/>
          <w:sz w:val="36"/>
          <w:szCs w:val="36"/>
        </w:rPr>
      </w:pPr>
      <w:r w:rsidRPr="006F77CD">
        <w:rPr>
          <w:rFonts w:ascii="Arabic Typesetting" w:hAnsi="Arabic Typesetting" w:cs="Arabic Typesetting"/>
          <w:i/>
          <w:iCs/>
          <w:color w:val="000000"/>
          <w:sz w:val="36"/>
          <w:szCs w:val="36"/>
          <w:rtl/>
        </w:rPr>
        <w:t>رسوم اتحاد مدريد التكميلية والإضافية</w:t>
      </w:r>
      <w:r w:rsidRPr="006F77CD">
        <w:rPr>
          <w:rFonts w:ascii="Arabic Typesetting" w:hAnsi="Arabic Typesetting" w:cs="Arabic Typesetting"/>
          <w:color w:val="000000"/>
          <w:sz w:val="36"/>
          <w:szCs w:val="36"/>
          <w:rtl/>
        </w:rPr>
        <w:t xml:space="preserve">: </w:t>
      </w:r>
      <w:r w:rsidR="002B3DBD">
        <w:rPr>
          <w:rFonts w:ascii="Arabic Typesetting" w:hAnsi="Arabic Typesetting" w:cs="Arabic Typesetting"/>
          <w:color w:val="000000"/>
          <w:sz w:val="36"/>
          <w:szCs w:val="36"/>
          <w:rtl/>
        </w:rPr>
        <w:t xml:space="preserve">وفقاً </w:t>
      </w:r>
      <w:r w:rsidRPr="006F77CD">
        <w:rPr>
          <w:rFonts w:ascii="Arabic Typesetting" w:hAnsi="Arabic Typesetting" w:cs="Arabic Typesetting"/>
          <w:color w:val="000000"/>
          <w:sz w:val="36"/>
          <w:szCs w:val="36"/>
          <w:rtl/>
        </w:rPr>
        <w:t>لاتفاق مدريد [المادة 8 (2) (ب وج)] وبروتوكول مدريد [المادة 8 (2) (</w:t>
      </w:r>
      <w:r>
        <w:rPr>
          <w:rFonts w:ascii="Arabic Typesetting" w:hAnsi="Arabic Typesetting" w:cs="Arabic Typesetting" w:hint="cs"/>
          <w:color w:val="000000"/>
          <w:sz w:val="36"/>
          <w:szCs w:val="36"/>
          <w:rtl/>
        </w:rPr>
        <w:t>"1"</w:t>
      </w:r>
      <w:r w:rsidRPr="006F77CD">
        <w:rPr>
          <w:rFonts w:ascii="Arabic Typesetting" w:hAnsi="Arabic Typesetting" w:cs="Arabic Typesetting"/>
          <w:color w:val="000000"/>
          <w:sz w:val="36"/>
          <w:szCs w:val="36"/>
          <w:rtl/>
        </w:rPr>
        <w:t xml:space="preserve"> و</w:t>
      </w:r>
      <w:r>
        <w:rPr>
          <w:rFonts w:ascii="Arabic Typesetting" w:hAnsi="Arabic Typesetting" w:cs="Arabic Typesetting" w:hint="cs"/>
          <w:color w:val="000000"/>
          <w:sz w:val="36"/>
          <w:szCs w:val="36"/>
          <w:rtl/>
        </w:rPr>
        <w:t>"2"</w:t>
      </w:r>
      <w:r>
        <w:rPr>
          <w:rFonts w:ascii="Arabic Typesetting" w:hAnsi="Arabic Typesetting" w:cs="Arabic Typesetting"/>
          <w:color w:val="000000"/>
          <w:sz w:val="36"/>
          <w:szCs w:val="36"/>
          <w:rtl/>
        </w:rPr>
        <w:t>)</w:t>
      </w:r>
      <w:r w:rsidRPr="006F77CD">
        <w:rPr>
          <w:rFonts w:ascii="Arabic Typesetting" w:hAnsi="Arabic Typesetting" w:cs="Arabic Typesetting"/>
          <w:color w:val="000000"/>
          <w:sz w:val="36"/>
          <w:szCs w:val="36"/>
          <w:rtl/>
        </w:rPr>
        <w:t xml:space="preserve">، تتولى "المنظمة" تحصيل الرسوم التكميلية والإضافية بواقع 100 فرنك سويسري لكل طلب أو تجديد نيابة عن الأطراف المتعاقدة. ويختلف المبلغ المستحق لكل طرف متعاقد على </w:t>
      </w:r>
      <w:r w:rsidR="00FD2528">
        <w:rPr>
          <w:rFonts w:ascii="Arabic Typesetting" w:hAnsi="Arabic Typesetting" w:cs="Arabic Typesetting"/>
          <w:color w:val="000000"/>
          <w:sz w:val="36"/>
          <w:szCs w:val="36"/>
          <w:rtl/>
        </w:rPr>
        <w:t xml:space="preserve">أساس </w:t>
      </w:r>
      <w:r w:rsidRPr="006F77CD">
        <w:rPr>
          <w:rFonts w:ascii="Arabic Typesetting" w:hAnsi="Arabic Typesetting" w:cs="Arabic Typesetting"/>
          <w:color w:val="000000"/>
          <w:sz w:val="36"/>
          <w:szCs w:val="36"/>
          <w:rtl/>
        </w:rPr>
        <w:t xml:space="preserve">الخدمات التي يقدمها هذا الطرف (الفحص المضطلع به). </w:t>
      </w:r>
      <w:r>
        <w:rPr>
          <w:rFonts w:ascii="Arabic Typesetting" w:hAnsi="Arabic Typesetting" w:cs="Arabic Typesetting" w:hint="cs"/>
          <w:color w:val="000000"/>
          <w:sz w:val="36"/>
          <w:szCs w:val="36"/>
          <w:rtl/>
        </w:rPr>
        <w:t>و</w:t>
      </w:r>
      <w:r w:rsidR="00630846">
        <w:rPr>
          <w:rFonts w:ascii="Arabic Typesetting" w:hAnsi="Arabic Typesetting" w:cs="Arabic Typesetting" w:hint="cs"/>
          <w:color w:val="000000"/>
          <w:sz w:val="36"/>
          <w:szCs w:val="36"/>
          <w:rtl/>
        </w:rPr>
        <w:t>تحوَّل</w:t>
      </w:r>
      <w:r w:rsidRPr="006F77CD">
        <w:rPr>
          <w:rFonts w:ascii="Arabic Typesetting" w:hAnsi="Arabic Typesetting" w:cs="Arabic Typesetting"/>
          <w:color w:val="000000"/>
          <w:sz w:val="36"/>
          <w:szCs w:val="36"/>
          <w:rtl/>
        </w:rPr>
        <w:t xml:space="preserve"> الأموال سنوياً في النصف الأول من السنة التالية لتاريخ التقرير</w:t>
      </w:r>
      <w:r>
        <w:rPr>
          <w:rFonts w:ascii="Arabic Typesetting" w:hAnsi="Arabic Typesetting" w:cs="Arabic Typesetting" w:hint="cs"/>
          <w:color w:val="000000"/>
          <w:sz w:val="36"/>
          <w:szCs w:val="36"/>
          <w:rtl/>
        </w:rPr>
        <w:t> </w:t>
      </w:r>
      <w:r w:rsidRPr="006F77CD">
        <w:rPr>
          <w:rFonts w:ascii="Arabic Typesetting" w:hAnsi="Arabic Typesetting" w:cs="Arabic Typesetting"/>
          <w:color w:val="000000"/>
          <w:sz w:val="36"/>
          <w:szCs w:val="36"/>
          <w:rtl/>
        </w:rPr>
        <w:t>المالي</w:t>
      </w:r>
      <w:r>
        <w:rPr>
          <w:rFonts w:ascii="Arabic Typesetting" w:hAnsi="Arabic Typesetting" w:cs="Arabic Typesetting" w:hint="cs"/>
          <w:sz w:val="36"/>
          <w:szCs w:val="36"/>
          <w:rtl/>
        </w:rPr>
        <w:t>.</w:t>
      </w:r>
    </w:p>
    <w:p w14:paraId="2372F581" w14:textId="1177385F" w:rsidR="00E16243" w:rsidRDefault="00E16243" w:rsidP="00630846">
      <w:pPr>
        <w:numPr>
          <w:ilvl w:val="0"/>
          <w:numId w:val="4"/>
        </w:numPr>
        <w:tabs>
          <w:tab w:val="clear" w:pos="720"/>
        </w:tabs>
        <w:bidi/>
        <w:spacing w:after="240" w:line="360" w:lineRule="exact"/>
        <w:ind w:left="1134" w:hanging="567"/>
        <w:rPr>
          <w:rFonts w:ascii="Arabic Typesetting" w:hAnsi="Arabic Typesetting" w:cs="Arabic Typesetting"/>
          <w:sz w:val="36"/>
          <w:szCs w:val="36"/>
        </w:rPr>
      </w:pPr>
      <w:r w:rsidRPr="006F77CD">
        <w:rPr>
          <w:rFonts w:ascii="Arabic Typesetting" w:hAnsi="Arabic Typesetting" w:cs="Arabic Typesetting"/>
          <w:i/>
          <w:iCs/>
          <w:color w:val="000000"/>
          <w:sz w:val="36"/>
          <w:szCs w:val="36"/>
          <w:rtl/>
        </w:rPr>
        <w:t xml:space="preserve">رسوم اتحاد مدريد المقررة على </w:t>
      </w:r>
      <w:r w:rsidR="00FD2528">
        <w:rPr>
          <w:rFonts w:ascii="Arabic Typesetting" w:hAnsi="Arabic Typesetting" w:cs="Arabic Typesetting"/>
          <w:i/>
          <w:iCs/>
          <w:color w:val="000000"/>
          <w:sz w:val="36"/>
          <w:szCs w:val="36"/>
          <w:rtl/>
        </w:rPr>
        <w:t xml:space="preserve">أساس </w:t>
      </w:r>
      <w:r w:rsidRPr="006F77CD">
        <w:rPr>
          <w:rFonts w:ascii="Arabic Typesetting" w:hAnsi="Arabic Typesetting" w:cs="Arabic Typesetting"/>
          <w:i/>
          <w:iCs/>
          <w:color w:val="000000"/>
          <w:sz w:val="36"/>
          <w:szCs w:val="36"/>
          <w:rtl/>
        </w:rPr>
        <w:t>فردي</w:t>
      </w:r>
      <w:r w:rsidRPr="006F77CD">
        <w:rPr>
          <w:rFonts w:ascii="Arabic Typesetting" w:hAnsi="Arabic Typesetting" w:cs="Arabic Typesetting"/>
          <w:color w:val="000000"/>
          <w:sz w:val="36"/>
          <w:szCs w:val="36"/>
          <w:rtl/>
        </w:rPr>
        <w:t xml:space="preserve">: </w:t>
      </w:r>
      <w:r w:rsidR="002B3DBD">
        <w:rPr>
          <w:rFonts w:ascii="Arabic Typesetting" w:hAnsi="Arabic Typesetting" w:cs="Arabic Typesetting"/>
          <w:color w:val="000000"/>
          <w:sz w:val="36"/>
          <w:szCs w:val="36"/>
          <w:rtl/>
        </w:rPr>
        <w:t xml:space="preserve">وفقاً </w:t>
      </w:r>
      <w:r w:rsidRPr="006F77CD">
        <w:rPr>
          <w:rFonts w:ascii="Arabic Typesetting" w:hAnsi="Arabic Typesetting" w:cs="Arabic Typesetting"/>
          <w:color w:val="000000"/>
          <w:sz w:val="36"/>
          <w:szCs w:val="36"/>
          <w:rtl/>
        </w:rPr>
        <w:t xml:space="preserve">للمادة 8 (7) من بروتوكول مدريد والقاعدة 38 من اللائحة العامة، يجوز للأطراف المتعاقدة فرض رسوم </w:t>
      </w:r>
      <w:r w:rsidR="00630846">
        <w:rPr>
          <w:rFonts w:ascii="Arabic Typesetting" w:hAnsi="Arabic Typesetting" w:cs="Arabic Typesetting" w:hint="cs"/>
          <w:color w:val="000000"/>
          <w:sz w:val="36"/>
          <w:szCs w:val="36"/>
          <w:rtl/>
        </w:rPr>
        <w:t>تحصَّل</w:t>
      </w:r>
      <w:r w:rsidRPr="006F77CD">
        <w:rPr>
          <w:rFonts w:ascii="Arabic Typesetting" w:hAnsi="Arabic Typesetting" w:cs="Arabic Typesetting"/>
          <w:color w:val="000000"/>
          <w:sz w:val="36"/>
          <w:szCs w:val="36"/>
          <w:rtl/>
        </w:rPr>
        <w:t xml:space="preserve"> بواسطة "المنظمة" وتستحق الدفع إلى الأطراف المتعاقدة خلال الشهر التالي لقيد التسجيل أو لمن </w:t>
      </w:r>
      <w:r w:rsidR="00630846">
        <w:rPr>
          <w:rFonts w:ascii="Arabic Typesetting" w:hAnsi="Arabic Typesetting" w:cs="Arabic Typesetting" w:hint="cs"/>
          <w:color w:val="000000"/>
          <w:sz w:val="36"/>
          <w:szCs w:val="36"/>
          <w:rtl/>
        </w:rPr>
        <w:t>عيِّن</w:t>
      </w:r>
      <w:r w:rsidRPr="006F77CD">
        <w:rPr>
          <w:rFonts w:ascii="Arabic Typesetting" w:hAnsi="Arabic Typesetting" w:cs="Arabic Typesetting"/>
          <w:color w:val="000000"/>
          <w:sz w:val="36"/>
          <w:szCs w:val="36"/>
          <w:rtl/>
        </w:rPr>
        <w:t xml:space="preserve"> في التجديد المستوفي الرسوم المطلوبة.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 xml:space="preserve">لا يحق للأطراف المتعاقدة - التي اختارت فرض رسوم على </w:t>
      </w:r>
      <w:r w:rsidR="00FD2528">
        <w:rPr>
          <w:rFonts w:ascii="Arabic Typesetting" w:hAnsi="Arabic Typesetting" w:cs="Arabic Typesetting"/>
          <w:color w:val="000000"/>
          <w:sz w:val="36"/>
          <w:szCs w:val="36"/>
          <w:rtl/>
        </w:rPr>
        <w:t xml:space="preserve">أساس </w:t>
      </w:r>
      <w:r w:rsidRPr="006F77CD">
        <w:rPr>
          <w:rFonts w:ascii="Arabic Typesetting" w:hAnsi="Arabic Typesetting" w:cs="Arabic Typesetting"/>
          <w:color w:val="000000"/>
          <w:sz w:val="36"/>
          <w:szCs w:val="36"/>
          <w:rtl/>
        </w:rPr>
        <w:t xml:space="preserve">فردي - الحصول على الرسوم التكميلية أو الإضافية المذكورة أعلاه.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تمثل المبالغ المقيدة مستحقة السداد الرسوم المطلوب تحويلها في نهاية الفترة المشمولة بالتقري</w:t>
      </w:r>
      <w:r>
        <w:rPr>
          <w:rFonts w:ascii="Arabic Typesetting" w:hAnsi="Arabic Typesetting" w:cs="Arabic Typesetting" w:hint="cs"/>
          <w:color w:val="000000"/>
          <w:sz w:val="36"/>
          <w:szCs w:val="36"/>
          <w:rtl/>
        </w:rPr>
        <w:t>ر المالي</w:t>
      </w:r>
      <w:r>
        <w:rPr>
          <w:rFonts w:ascii="Arabic Typesetting" w:hAnsi="Arabic Typesetting" w:cs="Arabic Typesetting" w:hint="cs"/>
          <w:sz w:val="36"/>
          <w:szCs w:val="36"/>
          <w:rtl/>
        </w:rPr>
        <w:t>.</w:t>
      </w:r>
    </w:p>
    <w:p w14:paraId="0C412E5B" w14:textId="4563F12B" w:rsidR="00C2659B" w:rsidRDefault="00C2659B" w:rsidP="000A5ACC">
      <w:pPr>
        <w:numPr>
          <w:ilvl w:val="0"/>
          <w:numId w:val="4"/>
        </w:numPr>
        <w:bidi/>
        <w:spacing w:after="240" w:line="360" w:lineRule="exact"/>
        <w:rPr>
          <w:rFonts w:ascii="Arabic Typesetting" w:hAnsi="Arabic Typesetting" w:cs="Arabic Typesetting"/>
          <w:sz w:val="36"/>
          <w:szCs w:val="36"/>
        </w:rPr>
      </w:pPr>
      <w:r>
        <w:rPr>
          <w:rFonts w:ascii="Arabic Typesetting" w:hAnsi="Arabic Typesetting" w:cs="Arabic Typesetting" w:hint="cs"/>
          <w:i/>
          <w:iCs/>
          <w:color w:val="000000"/>
          <w:sz w:val="36"/>
          <w:szCs w:val="36"/>
          <w:rtl/>
        </w:rPr>
        <w:t>إيداعات اتحاد مدريد</w:t>
      </w:r>
      <w:r>
        <w:rPr>
          <w:rFonts w:ascii="Arabic Typesetting" w:hAnsi="Arabic Typesetting" w:cs="Arabic Typesetting" w:hint="cs"/>
          <w:sz w:val="36"/>
          <w:szCs w:val="36"/>
          <w:rtl/>
        </w:rPr>
        <w:t xml:space="preserve">: تتلقى المنظمة المدفوعات من مودعي الطلبات في إطار نظام مدريد التي تمثل إيداعات تتصل بالإجراءات المعلقة ذات الصلة بالعلامات التجارية. </w:t>
      </w:r>
      <w:r w:rsidR="00EA38A5">
        <w:rPr>
          <w:rFonts w:ascii="Arabic Typesetting" w:hAnsi="Arabic Typesetting" w:cs="Arabic Typesetting" w:hint="cs"/>
          <w:sz w:val="36"/>
          <w:szCs w:val="36"/>
          <w:rtl/>
        </w:rPr>
        <w:t>وي</w:t>
      </w:r>
      <w:r w:rsidR="00A5381F">
        <w:rPr>
          <w:rFonts w:ascii="Arabic Typesetting" w:hAnsi="Arabic Typesetting" w:cs="Arabic Typesetting" w:hint="cs"/>
          <w:sz w:val="36"/>
          <w:szCs w:val="36"/>
          <w:rtl/>
        </w:rPr>
        <w:t>ُدرج</w:t>
      </w:r>
      <w:r w:rsidR="00EA38A5">
        <w:rPr>
          <w:rFonts w:ascii="Arabic Typesetting" w:hAnsi="Arabic Typesetting" w:cs="Arabic Typesetting" w:hint="cs"/>
          <w:sz w:val="36"/>
          <w:szCs w:val="36"/>
          <w:rtl/>
        </w:rPr>
        <w:t xml:space="preserve"> الجزء من هذه الإيداعات المقدر أن يمثل الأموال التي تحصلها الويبو نيابةً عن آخرين على أن تحوَّل لاحقاً </w:t>
      </w:r>
      <w:r w:rsidR="002B3DBD">
        <w:rPr>
          <w:rFonts w:ascii="Arabic Typesetting" w:hAnsi="Arabic Typesetting" w:cs="Arabic Typesetting" w:hint="cs"/>
          <w:sz w:val="36"/>
          <w:szCs w:val="36"/>
          <w:rtl/>
        </w:rPr>
        <w:t xml:space="preserve">وفقاً </w:t>
      </w:r>
      <w:r w:rsidR="00EA38A5">
        <w:rPr>
          <w:rFonts w:ascii="Arabic Typesetting" w:hAnsi="Arabic Typesetting" w:cs="Arabic Typesetting" w:hint="cs"/>
          <w:sz w:val="36"/>
          <w:szCs w:val="36"/>
          <w:rtl/>
        </w:rPr>
        <w:t xml:space="preserve">للمعاهدة ضمن </w:t>
      </w:r>
      <w:r w:rsidR="00A5381F" w:rsidRPr="00A5381F">
        <w:rPr>
          <w:rFonts w:ascii="Arabic Typesetting" w:hAnsi="Arabic Typesetting" w:cs="Arabic Typesetting"/>
          <w:sz w:val="36"/>
          <w:szCs w:val="36"/>
          <w:rtl/>
        </w:rPr>
        <w:t>تحويلات مستحقة الدفع</w:t>
      </w:r>
      <w:r w:rsidR="00EA38A5">
        <w:rPr>
          <w:rFonts w:ascii="Arabic Typesetting" w:hAnsi="Arabic Typesetting" w:cs="Arabic Typesetting" w:hint="cs"/>
          <w:sz w:val="36"/>
          <w:szCs w:val="36"/>
          <w:rtl/>
        </w:rPr>
        <w:t xml:space="preserve"> في البيانات المالية. </w:t>
      </w:r>
      <w:r w:rsidR="00F674C9">
        <w:rPr>
          <w:rFonts w:ascii="Arabic Typesetting" w:hAnsi="Arabic Typesetting" w:cs="Arabic Typesetting" w:hint="cs"/>
          <w:sz w:val="36"/>
          <w:szCs w:val="36"/>
          <w:rtl/>
        </w:rPr>
        <w:lastRenderedPageBreak/>
        <w:t>وأما الجزء من هذه الإيداعات المقدر أن يمثل رسوم المنظمة المتسلمة مقدماً</w:t>
      </w:r>
      <w:r w:rsidR="00A5381F">
        <w:rPr>
          <w:rFonts w:ascii="Arabic Typesetting" w:hAnsi="Arabic Typesetting" w:cs="Arabic Typesetting" w:hint="cs"/>
          <w:sz w:val="36"/>
          <w:szCs w:val="36"/>
          <w:rtl/>
        </w:rPr>
        <w:t xml:space="preserve"> في</w:t>
      </w:r>
      <w:r w:rsidR="00A5381F">
        <w:rPr>
          <w:rFonts w:ascii="Arabic Typesetting" w:hAnsi="Arabic Typesetting" w:cs="Arabic Typesetting" w:hint="cs"/>
          <w:sz w:val="36"/>
          <w:szCs w:val="36"/>
          <w:rtl/>
          <w:lang w:bidi="ar-EG"/>
        </w:rPr>
        <w:t xml:space="preserve">ُدرج ضمن </w:t>
      </w:r>
      <w:r w:rsidR="00A5381F" w:rsidRPr="00A5381F">
        <w:rPr>
          <w:rFonts w:ascii="Arabic Typesetting" w:hAnsi="Arabic Typesetting" w:cs="Arabic Typesetting"/>
          <w:sz w:val="36"/>
          <w:szCs w:val="36"/>
          <w:rtl/>
        </w:rPr>
        <w:t>المبالغ المستلمة قبل استحقاقها</w:t>
      </w:r>
      <w:r w:rsidR="00F674C9">
        <w:rPr>
          <w:rFonts w:ascii="Arabic Typesetting" w:hAnsi="Arabic Typesetting" w:cs="Arabic Typesetting" w:hint="cs"/>
          <w:sz w:val="36"/>
          <w:szCs w:val="36"/>
          <w:rtl/>
        </w:rPr>
        <w:t xml:space="preserve"> في البيانات المالية (انظر الملاحظة 14).</w:t>
      </w:r>
    </w:p>
    <w:p w14:paraId="3B9C2064" w14:textId="783D1180" w:rsidR="00E16243" w:rsidRDefault="00E16243" w:rsidP="000A5ACC">
      <w:pPr>
        <w:numPr>
          <w:ilvl w:val="0"/>
          <w:numId w:val="4"/>
        </w:numPr>
        <w:tabs>
          <w:tab w:val="clear" w:pos="720"/>
        </w:tabs>
        <w:bidi/>
        <w:spacing w:after="240" w:line="360" w:lineRule="exact"/>
        <w:ind w:left="1134" w:hanging="567"/>
        <w:rPr>
          <w:rFonts w:ascii="Arabic Typesetting" w:hAnsi="Arabic Typesetting" w:cs="Arabic Typesetting"/>
          <w:sz w:val="36"/>
          <w:szCs w:val="36"/>
        </w:rPr>
      </w:pPr>
      <w:r w:rsidRPr="006F77CD">
        <w:rPr>
          <w:rFonts w:ascii="Arabic Typesetting" w:hAnsi="Arabic Typesetting" w:cs="Arabic Typesetting"/>
          <w:i/>
          <w:iCs/>
          <w:color w:val="000000"/>
          <w:sz w:val="36"/>
          <w:szCs w:val="36"/>
          <w:rtl/>
        </w:rPr>
        <w:t>توزيع إيرادات اتحاد لاهاي</w:t>
      </w:r>
      <w:r w:rsidRPr="006F77CD">
        <w:rPr>
          <w:rFonts w:ascii="Arabic Typesetting" w:hAnsi="Arabic Typesetting" w:cs="Arabic Typesetting"/>
          <w:color w:val="000000"/>
          <w:sz w:val="36"/>
          <w:szCs w:val="36"/>
          <w:rtl/>
        </w:rPr>
        <w:t xml:space="preserve">: </w:t>
      </w:r>
      <w:r w:rsidR="002B3DBD">
        <w:rPr>
          <w:rFonts w:ascii="Arabic Typesetting" w:hAnsi="Arabic Typesetting" w:cs="Arabic Typesetting"/>
          <w:color w:val="000000"/>
          <w:sz w:val="36"/>
          <w:szCs w:val="36"/>
          <w:rtl/>
        </w:rPr>
        <w:t xml:space="preserve">وفقاً </w:t>
      </w:r>
      <w:r w:rsidRPr="006F77CD">
        <w:rPr>
          <w:rFonts w:ascii="Arabic Typesetting" w:hAnsi="Arabic Typesetting" w:cs="Arabic Typesetting"/>
          <w:color w:val="000000"/>
          <w:sz w:val="36"/>
          <w:szCs w:val="36"/>
          <w:rtl/>
        </w:rPr>
        <w:t xml:space="preserve">للقواعد </w:t>
      </w:r>
      <w:r>
        <w:rPr>
          <w:rFonts w:ascii="Arabic Typesetting" w:hAnsi="Arabic Typesetting" w:cs="Arabic Typesetting" w:hint="cs"/>
          <w:color w:val="000000"/>
          <w:sz w:val="36"/>
          <w:szCs w:val="36"/>
          <w:rtl/>
        </w:rPr>
        <w:t>2.13</w:t>
      </w:r>
      <w:r w:rsidRPr="006F77CD">
        <w:rPr>
          <w:rFonts w:ascii="Arabic Typesetting" w:hAnsi="Arabic Typesetting" w:cs="Arabic Typesetting"/>
          <w:color w:val="000000"/>
          <w:sz w:val="36"/>
          <w:szCs w:val="36"/>
          <w:rtl/>
        </w:rPr>
        <w:t>(أ)(</w:t>
      </w:r>
      <w:r>
        <w:rPr>
          <w:rFonts w:ascii="Arabic Typesetting" w:hAnsi="Arabic Typesetting" w:cs="Arabic Typesetting" w:hint="cs"/>
          <w:color w:val="000000"/>
          <w:sz w:val="36"/>
          <w:szCs w:val="36"/>
          <w:rtl/>
          <w:lang w:bidi="ar-EG"/>
        </w:rPr>
        <w:t>"3"</w:t>
      </w:r>
      <w:r w:rsidRPr="006F77CD">
        <w:rPr>
          <w:rFonts w:ascii="Arabic Typesetting" w:hAnsi="Arabic Typesetting" w:cs="Arabic Typesetting"/>
          <w:color w:val="000000"/>
          <w:sz w:val="36"/>
          <w:szCs w:val="36"/>
          <w:rtl/>
        </w:rPr>
        <w:t xml:space="preserve">)، </w:t>
      </w:r>
      <w:r>
        <w:rPr>
          <w:rFonts w:ascii="Arabic Typesetting" w:hAnsi="Arabic Typesetting" w:cs="Arabic Typesetting" w:hint="cs"/>
          <w:color w:val="000000"/>
          <w:sz w:val="36"/>
          <w:szCs w:val="36"/>
          <w:rtl/>
        </w:rPr>
        <w:t>2.13</w:t>
      </w:r>
      <w:r w:rsidRPr="006F77CD">
        <w:rPr>
          <w:rFonts w:ascii="Arabic Typesetting" w:hAnsi="Arabic Typesetting" w:cs="Arabic Typesetting"/>
          <w:color w:val="000000"/>
          <w:sz w:val="36"/>
          <w:szCs w:val="36"/>
          <w:rtl/>
        </w:rPr>
        <w:t xml:space="preserve">(ه) و </w:t>
      </w:r>
      <w:r>
        <w:rPr>
          <w:rFonts w:ascii="Arabic Typesetting" w:hAnsi="Arabic Typesetting" w:cs="Arabic Typesetting" w:hint="cs"/>
          <w:color w:val="000000"/>
          <w:sz w:val="36"/>
          <w:szCs w:val="36"/>
          <w:rtl/>
        </w:rPr>
        <w:t xml:space="preserve">2.24 </w:t>
      </w:r>
      <w:r w:rsidRPr="006F77CD">
        <w:rPr>
          <w:rFonts w:ascii="Arabic Typesetting" w:hAnsi="Arabic Typesetting" w:cs="Arabic Typesetting"/>
          <w:color w:val="000000"/>
          <w:sz w:val="36"/>
          <w:szCs w:val="36"/>
          <w:rtl/>
        </w:rPr>
        <w:t>من اللائحة العامة لاتفاق لاهاي، تتولي "المنظمة" تحصيل الرسوم الوطنية العادية ورسوم التجديد الوطني ورسوم فحص الج</w:t>
      </w:r>
      <w:r>
        <w:rPr>
          <w:rFonts w:ascii="Arabic Typesetting" w:hAnsi="Arabic Typesetting" w:cs="Arabic Typesetting" w:hint="cs"/>
          <w:color w:val="000000"/>
          <w:sz w:val="36"/>
          <w:szCs w:val="36"/>
          <w:rtl/>
        </w:rPr>
        <w:t>ِ</w:t>
      </w:r>
      <w:r w:rsidRPr="006F77CD">
        <w:rPr>
          <w:rFonts w:ascii="Arabic Typesetting" w:hAnsi="Arabic Typesetting" w:cs="Arabic Typesetting"/>
          <w:color w:val="000000"/>
          <w:sz w:val="36"/>
          <w:szCs w:val="36"/>
          <w:rtl/>
        </w:rPr>
        <w:t xml:space="preserve">دِّة نيابة عن الأطراف المتعاقدة للتسجيلات الدولية أو للتجديدات المتعلقة بها.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 xml:space="preserve">تُسدد هذه الأموال إلى الأطراف المتعاقدة على </w:t>
      </w:r>
      <w:r w:rsidR="00FD2528">
        <w:rPr>
          <w:rFonts w:ascii="Arabic Typesetting" w:hAnsi="Arabic Typesetting" w:cs="Arabic Typesetting"/>
          <w:color w:val="000000"/>
          <w:sz w:val="36"/>
          <w:szCs w:val="36"/>
          <w:rtl/>
        </w:rPr>
        <w:t xml:space="preserve">أساس </w:t>
      </w:r>
      <w:r w:rsidRPr="006F77CD">
        <w:rPr>
          <w:rFonts w:ascii="Arabic Typesetting" w:hAnsi="Arabic Typesetting" w:cs="Arabic Typesetting"/>
          <w:color w:val="000000"/>
          <w:sz w:val="36"/>
          <w:szCs w:val="36"/>
          <w:rtl/>
        </w:rPr>
        <w:t xml:space="preserve">شهري. </w:t>
      </w:r>
      <w:r>
        <w:rPr>
          <w:rFonts w:ascii="Arabic Typesetting" w:hAnsi="Arabic Typesetting" w:cs="Arabic Typesetting" w:hint="cs"/>
          <w:color w:val="000000"/>
          <w:sz w:val="36"/>
          <w:szCs w:val="36"/>
          <w:rtl/>
        </w:rPr>
        <w:t>و</w:t>
      </w:r>
      <w:r w:rsidRPr="006F77CD">
        <w:rPr>
          <w:rFonts w:ascii="Arabic Typesetting" w:hAnsi="Arabic Typesetting" w:cs="Arabic Typesetting"/>
          <w:color w:val="000000"/>
          <w:sz w:val="36"/>
          <w:szCs w:val="36"/>
          <w:rtl/>
        </w:rPr>
        <w:t xml:space="preserve">تمثل القيمة المبينة مستحقة السداد المبالغ </w:t>
      </w:r>
      <w:r>
        <w:rPr>
          <w:rFonts w:ascii="Arabic Typesetting" w:hAnsi="Arabic Typesetting" w:cs="Arabic Typesetting" w:hint="cs"/>
          <w:color w:val="000000"/>
          <w:sz w:val="36"/>
          <w:szCs w:val="36"/>
          <w:rtl/>
        </w:rPr>
        <w:t>المطلوب تحويلها</w:t>
      </w:r>
      <w:r w:rsidRPr="006F77CD">
        <w:rPr>
          <w:rFonts w:ascii="Arabic Typesetting" w:hAnsi="Arabic Typesetting" w:cs="Arabic Typesetting"/>
          <w:color w:val="000000"/>
          <w:sz w:val="36"/>
          <w:szCs w:val="36"/>
          <w:rtl/>
        </w:rPr>
        <w:t xml:space="preserve"> في نهاية الفترة المشمولة بالتقرير</w:t>
      </w:r>
      <w:r>
        <w:rPr>
          <w:rFonts w:ascii="Arabic Typesetting" w:hAnsi="Arabic Typesetting" w:cs="Arabic Typesetting" w:hint="cs"/>
          <w:sz w:val="36"/>
          <w:szCs w:val="36"/>
          <w:rtl/>
        </w:rPr>
        <w:t xml:space="preserve"> المالي.</w:t>
      </w:r>
    </w:p>
    <w:p w14:paraId="6F93732B" w14:textId="045B659F" w:rsidR="00E16243" w:rsidRDefault="00E16243" w:rsidP="00630846">
      <w:pPr>
        <w:numPr>
          <w:ilvl w:val="0"/>
          <w:numId w:val="4"/>
        </w:numPr>
        <w:tabs>
          <w:tab w:val="clear" w:pos="720"/>
        </w:tabs>
        <w:bidi/>
        <w:spacing w:after="240" w:line="360" w:lineRule="exact"/>
        <w:ind w:left="1134" w:hanging="567"/>
        <w:rPr>
          <w:rFonts w:ascii="Arabic Typesetting" w:hAnsi="Arabic Typesetting" w:cs="Arabic Typesetting"/>
          <w:sz w:val="36"/>
          <w:szCs w:val="36"/>
        </w:rPr>
      </w:pPr>
      <w:r>
        <w:rPr>
          <w:rFonts w:ascii="Arabic Typesetting" w:hAnsi="Arabic Typesetting" w:cs="Arabic Typesetting" w:hint="cs"/>
          <w:i/>
          <w:iCs/>
          <w:color w:val="000000"/>
          <w:sz w:val="36"/>
          <w:szCs w:val="36"/>
          <w:rtl/>
        </w:rPr>
        <w:t xml:space="preserve">توزيع رسوم </w:t>
      </w:r>
      <w:r w:rsidRPr="006F77CD">
        <w:rPr>
          <w:rFonts w:ascii="Arabic Typesetting" w:hAnsi="Arabic Typesetting" w:cs="Arabic Typesetting"/>
          <w:i/>
          <w:iCs/>
          <w:color w:val="000000"/>
          <w:sz w:val="36"/>
          <w:szCs w:val="36"/>
          <w:rtl/>
        </w:rPr>
        <w:t>إيرادات اتحاد لاهاي ومدريد</w:t>
      </w:r>
      <w:r w:rsidRPr="006F77CD">
        <w:rPr>
          <w:rFonts w:ascii="Arabic Typesetting" w:hAnsi="Arabic Typesetting" w:cs="Arabic Typesetting"/>
          <w:color w:val="000000"/>
          <w:sz w:val="36"/>
          <w:szCs w:val="36"/>
          <w:rtl/>
        </w:rPr>
        <w:t xml:space="preserve">: تحتجز "المنظمة" الأموال المستحقة الدفع للأطراف المتعاقدة عندما لا </w:t>
      </w:r>
      <w:r w:rsidR="00630846">
        <w:rPr>
          <w:rFonts w:ascii="Arabic Typesetting" w:hAnsi="Arabic Typesetting" w:cs="Arabic Typesetting" w:hint="cs"/>
          <w:color w:val="000000"/>
          <w:sz w:val="36"/>
          <w:szCs w:val="36"/>
          <w:rtl/>
        </w:rPr>
        <w:t>ت</w:t>
      </w:r>
      <w:r w:rsidRPr="006F77CD">
        <w:rPr>
          <w:rFonts w:ascii="Arabic Typesetting" w:hAnsi="Arabic Typesetting" w:cs="Arabic Typesetting"/>
          <w:color w:val="000000"/>
          <w:sz w:val="36"/>
          <w:szCs w:val="36"/>
          <w:rtl/>
        </w:rPr>
        <w:t xml:space="preserve">توفر أي تعليمات واضحة للدفع أو بناء على طلب الطرف المتعاقد بالاحتفاظ بالمبالغ ريثما </w:t>
      </w:r>
      <w:r w:rsidR="00630846">
        <w:rPr>
          <w:rFonts w:ascii="Arabic Typesetting" w:hAnsi="Arabic Typesetting" w:cs="Arabic Typesetting" w:hint="cs"/>
          <w:color w:val="000000"/>
          <w:sz w:val="36"/>
          <w:szCs w:val="36"/>
          <w:rtl/>
        </w:rPr>
        <w:t>يرد</w:t>
      </w:r>
      <w:r w:rsidRPr="006F77CD">
        <w:rPr>
          <w:rFonts w:ascii="Arabic Typesetting" w:hAnsi="Arabic Typesetting" w:cs="Arabic Typesetting"/>
          <w:color w:val="000000"/>
          <w:sz w:val="36"/>
          <w:szCs w:val="36"/>
          <w:rtl/>
        </w:rPr>
        <w:t xml:space="preserve"> التأكيد. وتشمل القيمة الموضحة مبلغ </w:t>
      </w:r>
      <w:r w:rsidR="00F02AE5">
        <w:rPr>
          <w:rFonts w:ascii="Arabic Typesetting" w:hAnsi="Arabic Typesetting" w:cs="Arabic Typesetting" w:hint="cs"/>
          <w:color w:val="000000"/>
          <w:sz w:val="36"/>
          <w:szCs w:val="36"/>
          <w:rtl/>
        </w:rPr>
        <w:t>1.8</w:t>
      </w:r>
      <w:r w:rsidRPr="006F77CD">
        <w:rPr>
          <w:rFonts w:ascii="Arabic Typesetting" w:hAnsi="Arabic Typesetting" w:cs="Arabic Typesetting"/>
          <w:color w:val="000000"/>
          <w:sz w:val="36"/>
          <w:szCs w:val="36"/>
          <w:rtl/>
        </w:rPr>
        <w:t xml:space="preserve"> مليون فرنك سويسري مستحق لجميع البلدان المكونة لجمهورية يوغوسلافيا الاتحادية سابقا، أي، البوسنة والهرسك، وكرواتيا والجبل الأسود وصربيا وسلوفينيا وجمهورية مقدونيا اليوغوسلافية السابقة. وسوف يتم السداد حالما </w:t>
      </w:r>
      <w:r w:rsidR="00630846">
        <w:rPr>
          <w:rFonts w:ascii="Arabic Typesetting" w:hAnsi="Arabic Typesetting" w:cs="Arabic Typesetting" w:hint="cs"/>
          <w:color w:val="000000"/>
          <w:sz w:val="36"/>
          <w:szCs w:val="36"/>
          <w:rtl/>
        </w:rPr>
        <w:t>يُ</w:t>
      </w:r>
      <w:r w:rsidRPr="006F77CD">
        <w:rPr>
          <w:rFonts w:ascii="Arabic Typesetting" w:hAnsi="Arabic Typesetting" w:cs="Arabic Typesetting"/>
          <w:color w:val="000000"/>
          <w:sz w:val="36"/>
          <w:szCs w:val="36"/>
          <w:rtl/>
        </w:rPr>
        <w:t>توصل إلى اتفاق متبادل بين الدول الأعضاء المعنية وبين المكتب</w:t>
      </w:r>
      <w:r>
        <w:rPr>
          <w:rFonts w:ascii="Arabic Typesetting" w:hAnsi="Arabic Typesetting" w:cs="Arabic Typesetting" w:hint="cs"/>
          <w:sz w:val="36"/>
          <w:szCs w:val="36"/>
          <w:rtl/>
        </w:rPr>
        <w:t xml:space="preserve"> الدولي</w:t>
      </w:r>
      <w:r w:rsidR="00F02AE5">
        <w:rPr>
          <w:rFonts w:ascii="Arabic Typesetting" w:hAnsi="Arabic Typesetting" w:cs="Arabic Typesetting" w:hint="cs"/>
          <w:sz w:val="36"/>
          <w:szCs w:val="36"/>
          <w:rtl/>
        </w:rPr>
        <w:t xml:space="preserve"> </w:t>
      </w:r>
      <w:r w:rsidR="00F02AE5">
        <w:rPr>
          <w:rFonts w:ascii="Arabic Typesetting" w:hAnsi="Arabic Typesetting" w:cs="Arabic Typesetting" w:hint="cs"/>
          <w:color w:val="000000"/>
          <w:sz w:val="36"/>
          <w:szCs w:val="36"/>
          <w:rtl/>
        </w:rPr>
        <w:t>على المبالغ المستحقة على كل بلد</w:t>
      </w:r>
      <w:r>
        <w:rPr>
          <w:rFonts w:ascii="Arabic Typesetting" w:hAnsi="Arabic Typesetting" w:cs="Arabic Typesetting" w:hint="cs"/>
          <w:sz w:val="36"/>
          <w:szCs w:val="36"/>
          <w:rtl/>
        </w:rPr>
        <w:t>.</w:t>
      </w:r>
    </w:p>
    <w:p w14:paraId="06B62678" w14:textId="085A5765" w:rsidR="00E16243" w:rsidRDefault="00E16243" w:rsidP="00630846">
      <w:pPr>
        <w:numPr>
          <w:ilvl w:val="0"/>
          <w:numId w:val="4"/>
        </w:numPr>
        <w:tabs>
          <w:tab w:val="clear" w:pos="720"/>
        </w:tabs>
        <w:bidi/>
        <w:spacing w:after="240" w:line="360" w:lineRule="exact"/>
        <w:ind w:left="1134" w:hanging="567"/>
        <w:rPr>
          <w:rFonts w:ascii="Arabic Typesetting" w:hAnsi="Arabic Typesetting" w:cs="Arabic Typesetting"/>
          <w:sz w:val="36"/>
          <w:szCs w:val="36"/>
        </w:rPr>
      </w:pPr>
      <w:r w:rsidRPr="004E2700">
        <w:rPr>
          <w:rFonts w:ascii="Arabic Typesetting" w:hAnsi="Arabic Typesetting" w:cs="Arabic Typesetting"/>
          <w:i/>
          <w:iCs/>
          <w:color w:val="000000"/>
          <w:sz w:val="36"/>
          <w:szCs w:val="36"/>
          <w:rtl/>
        </w:rPr>
        <w:t xml:space="preserve">ودائع </w:t>
      </w:r>
      <w:r w:rsidRPr="004E2700">
        <w:rPr>
          <w:rFonts w:ascii="Arabic Typesetting" w:hAnsi="Arabic Typesetting" w:cs="Arabic Typesetting"/>
          <w:i/>
          <w:iCs/>
          <w:color w:val="000000"/>
          <w:sz w:val="36"/>
          <w:szCs w:val="36"/>
          <w:rtl/>
          <w:lang w:bidi="ar-EG"/>
        </w:rPr>
        <w:t>مركز التحكيم والوساطة</w:t>
      </w:r>
      <w:r w:rsidRPr="004E2700">
        <w:rPr>
          <w:rFonts w:ascii="Arabic Typesetting" w:hAnsi="Arabic Typesetting" w:cs="Arabic Typesetting"/>
          <w:color w:val="000000"/>
          <w:sz w:val="36"/>
          <w:szCs w:val="36"/>
          <w:rtl/>
        </w:rPr>
        <w:t>: تتولى "المنظمة" تحصيل رسوم لعمليات التحكيم المضطلع</w:t>
      </w:r>
      <w:r>
        <w:rPr>
          <w:rFonts w:ascii="Arabic Typesetting" w:hAnsi="Arabic Typesetting" w:cs="Arabic Typesetting" w:hint="cs"/>
          <w:color w:val="000000"/>
          <w:sz w:val="36"/>
          <w:szCs w:val="36"/>
          <w:rtl/>
        </w:rPr>
        <w:t>ة</w:t>
      </w:r>
      <w:r w:rsidRPr="004E2700">
        <w:rPr>
          <w:rFonts w:ascii="Arabic Typesetting" w:hAnsi="Arabic Typesetting" w:cs="Arabic Typesetting"/>
          <w:color w:val="000000"/>
          <w:sz w:val="36"/>
          <w:szCs w:val="36"/>
          <w:rtl/>
        </w:rPr>
        <w:t xml:space="preserve"> بها من خلال مركز التحكيم والوساطة التابع لها لتغطية أسماء النطاقات وغيرها من المسائل الأخرى ذات الصلة بالملكية الفكرية. وبالإضافة إلى الرسوم المدفوعة إلى "المنظمة"، يقوم المشاركون بإيداع مبلغ مساو للرسوم المقدرة للمُحَكِّم. </w:t>
      </w:r>
      <w:r>
        <w:rPr>
          <w:rFonts w:ascii="Arabic Typesetting" w:hAnsi="Arabic Typesetting" w:cs="Arabic Typesetting" w:hint="cs"/>
          <w:color w:val="000000"/>
          <w:sz w:val="36"/>
          <w:szCs w:val="36"/>
          <w:rtl/>
        </w:rPr>
        <w:t>و</w:t>
      </w:r>
      <w:r w:rsidRPr="004E2700">
        <w:rPr>
          <w:rFonts w:ascii="Arabic Typesetting" w:hAnsi="Arabic Typesetting" w:cs="Arabic Typesetting"/>
          <w:color w:val="000000"/>
          <w:sz w:val="36"/>
          <w:szCs w:val="36"/>
          <w:rtl/>
        </w:rPr>
        <w:t xml:space="preserve">في حالة تجاوز رسوم المُحَكِّم القيمة المقدرة لها، تطلب "المنظمة" من المشاركين سداد قيمة هذه الزيادة. </w:t>
      </w:r>
      <w:r>
        <w:rPr>
          <w:rFonts w:ascii="Arabic Typesetting" w:hAnsi="Arabic Typesetting" w:cs="Arabic Typesetting" w:hint="cs"/>
          <w:color w:val="000000"/>
          <w:sz w:val="36"/>
          <w:szCs w:val="36"/>
          <w:rtl/>
        </w:rPr>
        <w:t>و</w:t>
      </w:r>
      <w:r w:rsidRPr="004E2700">
        <w:rPr>
          <w:rFonts w:ascii="Arabic Typesetting" w:hAnsi="Arabic Typesetting" w:cs="Arabic Typesetting"/>
          <w:color w:val="000000"/>
          <w:sz w:val="36"/>
          <w:szCs w:val="36"/>
          <w:rtl/>
        </w:rPr>
        <w:t xml:space="preserve">تُدفع الأموال مباشرة إلى المُحَكِّم، ولا تُقَّيد كدخل في سجلات "المنظمة". ويمثل المبلغ المبين في الجدول السابق صافي المبلغ المدفوع بواسطة المشاركين ولم </w:t>
      </w:r>
      <w:r w:rsidR="00630846">
        <w:rPr>
          <w:rFonts w:ascii="Arabic Typesetting" w:hAnsi="Arabic Typesetting" w:cs="Arabic Typesetting" w:hint="cs"/>
          <w:color w:val="000000"/>
          <w:sz w:val="36"/>
          <w:szCs w:val="36"/>
          <w:rtl/>
        </w:rPr>
        <w:t>يُسدَّد</w:t>
      </w:r>
      <w:r w:rsidRPr="004E2700">
        <w:rPr>
          <w:rFonts w:ascii="Arabic Typesetting" w:hAnsi="Arabic Typesetting" w:cs="Arabic Typesetting"/>
          <w:color w:val="000000"/>
          <w:sz w:val="36"/>
          <w:szCs w:val="36"/>
          <w:rtl/>
        </w:rPr>
        <w:t xml:space="preserve"> للمُحَكِّم حتى تاريخ التقرير </w:t>
      </w:r>
      <w:r>
        <w:rPr>
          <w:rFonts w:ascii="Arabic Typesetting" w:hAnsi="Arabic Typesetting" w:cs="Arabic Typesetting" w:hint="cs"/>
          <w:sz w:val="36"/>
          <w:szCs w:val="36"/>
          <w:rtl/>
        </w:rPr>
        <w:t>المالي.</w:t>
      </w:r>
    </w:p>
    <w:p w14:paraId="14EE8829" w14:textId="11C65E30" w:rsidR="00F17073" w:rsidRDefault="00E16243" w:rsidP="0075089B">
      <w:pPr>
        <w:numPr>
          <w:ilvl w:val="0"/>
          <w:numId w:val="4"/>
        </w:numPr>
        <w:tabs>
          <w:tab w:val="clear" w:pos="720"/>
        </w:tabs>
        <w:bidi/>
        <w:spacing w:after="240" w:line="360" w:lineRule="exact"/>
        <w:ind w:left="1134" w:hanging="567"/>
        <w:rPr>
          <w:rFonts w:ascii="Arabic Typesetting" w:hAnsi="Arabic Typesetting" w:cs="Arabic Typesetting"/>
          <w:sz w:val="36"/>
          <w:szCs w:val="36"/>
        </w:rPr>
      </w:pPr>
      <w:r w:rsidRPr="004E2700">
        <w:rPr>
          <w:rFonts w:ascii="Arabic Typesetting" w:hAnsi="Arabic Typesetting" w:cs="Arabic Typesetting"/>
          <w:i/>
          <w:iCs/>
          <w:color w:val="000000"/>
          <w:sz w:val="36"/>
          <w:szCs w:val="36"/>
          <w:rtl/>
        </w:rPr>
        <w:t>إدارات البحث الدولي بناء على معاهدة التعاون بشأن البراءات</w:t>
      </w:r>
      <w:r w:rsidRPr="004E2700">
        <w:rPr>
          <w:rFonts w:ascii="Arabic Typesetting" w:hAnsi="Arabic Typesetting" w:cs="Arabic Typesetting"/>
          <w:color w:val="000000"/>
          <w:sz w:val="36"/>
          <w:szCs w:val="36"/>
          <w:rtl/>
        </w:rPr>
        <w:t>: يتولى المكتب الدولي تحصيل الرسوم من مودعي طلبات براءات الاختراع الدولية</w:t>
      </w:r>
      <w:r w:rsidR="0075089B">
        <w:rPr>
          <w:rFonts w:ascii="Arabic Typesetting" w:hAnsi="Arabic Typesetting" w:cs="Arabic Typesetting" w:hint="cs"/>
          <w:color w:val="000000"/>
          <w:sz w:val="36"/>
          <w:szCs w:val="36"/>
          <w:rtl/>
        </w:rPr>
        <w:t xml:space="preserve"> لدى المكتب الدولي</w:t>
      </w:r>
      <w:r w:rsidRPr="004E2700">
        <w:rPr>
          <w:rFonts w:ascii="Arabic Typesetting" w:hAnsi="Arabic Typesetting" w:cs="Arabic Typesetting"/>
          <w:color w:val="000000"/>
          <w:sz w:val="36"/>
          <w:szCs w:val="36"/>
          <w:rtl/>
        </w:rPr>
        <w:t xml:space="preserve"> لتغطية تكاليف عمليات البحث الدولية التي تُعَيِّنها "المنظمة" عملا بمعاهدة التعاون بشأن البراءات. </w:t>
      </w:r>
      <w:r>
        <w:rPr>
          <w:rFonts w:ascii="Arabic Typesetting" w:hAnsi="Arabic Typesetting" w:cs="Arabic Typesetting" w:hint="cs"/>
          <w:color w:val="000000"/>
          <w:sz w:val="36"/>
          <w:szCs w:val="36"/>
          <w:rtl/>
        </w:rPr>
        <w:t>و</w:t>
      </w:r>
      <w:r w:rsidRPr="004E2700">
        <w:rPr>
          <w:rFonts w:ascii="Arabic Typesetting" w:hAnsi="Arabic Typesetting" w:cs="Arabic Typesetting"/>
          <w:color w:val="000000"/>
          <w:sz w:val="36"/>
          <w:szCs w:val="36"/>
          <w:rtl/>
        </w:rPr>
        <w:t xml:space="preserve">يمثل المبلغ الموضح </w:t>
      </w:r>
      <w:r w:rsidR="0075089B">
        <w:rPr>
          <w:rFonts w:ascii="Arabic Typesetting" w:hAnsi="Arabic Typesetting" w:cs="Arabic Typesetting" w:hint="cs"/>
          <w:color w:val="000000"/>
          <w:sz w:val="36"/>
          <w:szCs w:val="36"/>
          <w:rtl/>
        </w:rPr>
        <w:t>في الجدول السابق</w:t>
      </w:r>
      <w:r w:rsidRPr="004E2700">
        <w:rPr>
          <w:rFonts w:ascii="Arabic Typesetting" w:hAnsi="Arabic Typesetting" w:cs="Arabic Typesetting"/>
          <w:color w:val="000000"/>
          <w:sz w:val="36"/>
          <w:szCs w:val="36"/>
          <w:rtl/>
        </w:rPr>
        <w:t xml:space="preserve"> القيمة المزمع تحويلها إلى إدارات البحث الدولية في تاريخ التقرير</w:t>
      </w:r>
      <w:r>
        <w:rPr>
          <w:rFonts w:ascii="Arabic Typesetting" w:hAnsi="Arabic Typesetting" w:cs="Arabic Typesetting" w:hint="cs"/>
          <w:sz w:val="36"/>
          <w:szCs w:val="36"/>
          <w:rtl/>
        </w:rPr>
        <w:t xml:space="preserve"> المالي.</w:t>
      </w:r>
    </w:p>
    <w:p w14:paraId="6CAAB3EB" w14:textId="02A3A584" w:rsidR="0075089B" w:rsidRDefault="00103EE1" w:rsidP="00103EE1">
      <w:pPr>
        <w:numPr>
          <w:ilvl w:val="0"/>
          <w:numId w:val="4"/>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رسوم البحث المستحقة على </w:t>
      </w:r>
      <w:r w:rsidRPr="00103EE1">
        <w:rPr>
          <w:rFonts w:ascii="Arabic Typesetting" w:hAnsi="Arabic Typesetting" w:cs="Arabic Typesetting"/>
          <w:sz w:val="36"/>
          <w:szCs w:val="36"/>
          <w:rtl/>
        </w:rPr>
        <w:t xml:space="preserve">مكتب الولايات المتحدة </w:t>
      </w:r>
      <w:r w:rsidR="00FD2528">
        <w:rPr>
          <w:rFonts w:ascii="Arabic Typesetting" w:hAnsi="Arabic Typesetting" w:cs="Arabic Typesetting"/>
          <w:sz w:val="36"/>
          <w:szCs w:val="36"/>
          <w:rtl/>
        </w:rPr>
        <w:t>الأمريكي</w:t>
      </w:r>
      <w:r w:rsidRPr="00103EE1">
        <w:rPr>
          <w:rFonts w:ascii="Arabic Typesetting" w:hAnsi="Arabic Typesetting" w:cs="Arabic Typesetting"/>
          <w:sz w:val="36"/>
          <w:szCs w:val="36"/>
          <w:rtl/>
        </w:rPr>
        <w:t>ة للبراءات والعلامات التجارية</w:t>
      </w:r>
      <w:r>
        <w:rPr>
          <w:rFonts w:ascii="Arabic Typesetting" w:hAnsi="Arabic Typesetting" w:cs="Arabic Typesetting" w:hint="cs"/>
          <w:sz w:val="36"/>
          <w:szCs w:val="36"/>
          <w:rtl/>
        </w:rPr>
        <w:t xml:space="preserve"> ل</w:t>
      </w:r>
      <w:r w:rsidRPr="00103EE1">
        <w:rPr>
          <w:rFonts w:ascii="Arabic Typesetting" w:hAnsi="Arabic Typesetting" w:cs="Arabic Typesetting"/>
          <w:sz w:val="36"/>
          <w:szCs w:val="36"/>
          <w:rtl/>
        </w:rPr>
        <w:t>لمكتب الأوروبي للبراءات</w:t>
      </w:r>
      <w:r>
        <w:rPr>
          <w:rFonts w:ascii="Arabic Typesetting" w:hAnsi="Arabic Typesetting" w:cs="Arabic Typesetting" w:hint="cs"/>
          <w:sz w:val="36"/>
          <w:szCs w:val="36"/>
          <w:rtl/>
        </w:rPr>
        <w:t xml:space="preserve">: </w:t>
      </w:r>
      <w:r w:rsidR="002B3DBD">
        <w:rPr>
          <w:rFonts w:ascii="Arabic Typesetting" w:hAnsi="Arabic Typesetting" w:cs="Arabic Typesetting" w:hint="cs"/>
          <w:sz w:val="36"/>
          <w:szCs w:val="36"/>
          <w:rtl/>
        </w:rPr>
        <w:t xml:space="preserve">وفقاً </w:t>
      </w:r>
      <w:r>
        <w:rPr>
          <w:rFonts w:ascii="Arabic Typesetting" w:hAnsi="Arabic Typesetting" w:cs="Arabic Typesetting" w:hint="cs"/>
          <w:sz w:val="36"/>
          <w:szCs w:val="36"/>
          <w:rtl/>
        </w:rPr>
        <w:t>لمذكرة التفاهم بين المكتب الأوروبي للبراءات و</w:t>
      </w:r>
      <w:r>
        <w:rPr>
          <w:rFonts w:ascii="Arabic Typesetting" w:hAnsi="Arabic Typesetting" w:cs="Arabic Typesetting"/>
          <w:sz w:val="36"/>
          <w:szCs w:val="36"/>
          <w:rtl/>
        </w:rPr>
        <w:t xml:space="preserve">مكتب الولايات المتحدة </w:t>
      </w:r>
      <w:r w:rsidR="00FD2528">
        <w:rPr>
          <w:rFonts w:ascii="Arabic Typesetting" w:hAnsi="Arabic Typesetting" w:cs="Arabic Typesetting"/>
          <w:sz w:val="36"/>
          <w:szCs w:val="36"/>
          <w:rtl/>
        </w:rPr>
        <w:t>الأمريكي</w:t>
      </w:r>
      <w:r w:rsidRPr="00103EE1">
        <w:rPr>
          <w:rFonts w:ascii="Arabic Typesetting" w:hAnsi="Arabic Typesetting" w:cs="Arabic Typesetting"/>
          <w:sz w:val="36"/>
          <w:szCs w:val="36"/>
          <w:rtl/>
        </w:rPr>
        <w:t>ة للبراءات والعلامات التجارية</w:t>
      </w:r>
      <w:r>
        <w:rPr>
          <w:rFonts w:ascii="Arabic Typesetting" w:hAnsi="Arabic Typesetting" w:cs="Arabic Typesetting" w:hint="cs"/>
          <w:sz w:val="36"/>
          <w:szCs w:val="36"/>
          <w:rtl/>
        </w:rPr>
        <w:t xml:space="preserve"> والويبو، فإن رسوم البحث الواجب نقلها من مكتب الولايات المتحدة </w:t>
      </w:r>
      <w:r w:rsidR="00FD2528">
        <w:rPr>
          <w:rFonts w:ascii="Arabic Typesetting" w:hAnsi="Arabic Typesetting" w:cs="Arabic Typesetting" w:hint="cs"/>
          <w:sz w:val="36"/>
          <w:szCs w:val="36"/>
          <w:rtl/>
        </w:rPr>
        <w:t>الأمريكي</w:t>
      </w:r>
      <w:r>
        <w:rPr>
          <w:rFonts w:ascii="Arabic Typesetting" w:hAnsi="Arabic Typesetting" w:cs="Arabic Typesetting" w:hint="cs"/>
          <w:sz w:val="36"/>
          <w:szCs w:val="36"/>
          <w:rtl/>
        </w:rPr>
        <w:t xml:space="preserve">ة للبراءات والعلامات التجارية (بصفته مكتب استلام الطلبات بناء على معاهدة التعاون بشأن البراءات) إلى المكتب الأوروبي للبراءات (بصفته إدارة للبحث الدولي) تحصِّلها الويبو من مكتب الولايات المتحدة </w:t>
      </w:r>
      <w:r w:rsidR="00FD2528">
        <w:rPr>
          <w:rFonts w:ascii="Arabic Typesetting" w:hAnsi="Arabic Typesetting" w:cs="Arabic Typesetting" w:hint="cs"/>
          <w:sz w:val="36"/>
          <w:szCs w:val="36"/>
          <w:rtl/>
        </w:rPr>
        <w:t>الأمريكي</w:t>
      </w:r>
      <w:r>
        <w:rPr>
          <w:rFonts w:ascii="Arabic Typesetting" w:hAnsi="Arabic Typesetting" w:cs="Arabic Typesetting" w:hint="cs"/>
          <w:sz w:val="36"/>
          <w:szCs w:val="36"/>
          <w:rtl/>
        </w:rPr>
        <w:t>ة ثم تنقلها إلى المكتب الأوروبي للبراءات. وترمي مذكرة التفاهم هذه إلى تحسين إدارة عمليات نقل رسوم البحث وتقليص الخسائر التي يتكبدها المكتب الدولي بموجب المادة 16.1(هاء) من معاهدة التعاون بشأن البراءات بسبب تقلبات سعر الصرف. ويمثل المبلغ الوارد في الجدول السابق رصيد التحويلات التي تلقتها الويبو ولم تحولها بعد إلى المكتب الأوروبي للبراءات في تاريخ صدور هذا التقرير.</w:t>
      </w:r>
    </w:p>
    <w:p w14:paraId="428E41D3" w14:textId="77777777" w:rsidR="00E16243" w:rsidRDefault="00E16243" w:rsidP="00687571">
      <w:pPr>
        <w:pStyle w:val="Heading2"/>
        <w:tabs>
          <w:tab w:val="left" w:pos="1417"/>
        </w:tabs>
        <w:bidi/>
        <w:rPr>
          <w:rFonts w:ascii="Arabic Typesetting" w:hAnsi="Arabic Typesetting" w:cs="Arabic Typesetting"/>
          <w:i/>
          <w:iCs w:val="0"/>
          <w:sz w:val="40"/>
          <w:szCs w:val="40"/>
          <w:rtl/>
        </w:rPr>
      </w:pPr>
      <w:bookmarkStart w:id="31" w:name="_Toc362519112"/>
      <w:r w:rsidRPr="002869C3">
        <w:rPr>
          <w:rFonts w:ascii="Arabic Typesetting" w:hAnsi="Arabic Typesetting" w:cs="Arabic Typesetting" w:hint="cs"/>
          <w:i/>
          <w:iCs w:val="0"/>
          <w:sz w:val="40"/>
          <w:szCs w:val="40"/>
          <w:rtl/>
        </w:rPr>
        <w:lastRenderedPageBreak/>
        <w:t>الملاحظة 14:</w:t>
      </w:r>
      <w:r w:rsidR="00687571">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المبالغ المستلمة قبل استحقاقها</w:t>
      </w:r>
      <w:bookmarkEnd w:id="31"/>
    </w:p>
    <w:p w14:paraId="66801AF6" w14:textId="1F13EB67" w:rsidR="003B1C3B" w:rsidRPr="003B1C3B" w:rsidRDefault="000B7EDA" w:rsidP="003B1C3B">
      <w:pPr>
        <w:bidi/>
        <w:rPr>
          <w:rtl/>
        </w:rPr>
      </w:pPr>
      <w:r w:rsidRPr="000B7EDA">
        <w:rPr>
          <w:noProof/>
          <w:szCs w:val="22"/>
          <w:rtl/>
        </w:rPr>
        <w:drawing>
          <wp:inline distT="0" distB="0" distL="0" distR="0" wp14:anchorId="3A3BDC95" wp14:editId="3692214A">
            <wp:extent cx="5884545" cy="3208655"/>
            <wp:effectExtent l="0" t="0" r="1905"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884545" cy="3208655"/>
                    </a:xfrm>
                    <a:prstGeom prst="rect">
                      <a:avLst/>
                    </a:prstGeom>
                    <a:noFill/>
                    <a:ln>
                      <a:noFill/>
                    </a:ln>
                  </pic:spPr>
                </pic:pic>
              </a:graphicData>
            </a:graphic>
          </wp:inline>
        </w:drawing>
      </w:r>
    </w:p>
    <w:p w14:paraId="5B972B01" w14:textId="4A3C13CD" w:rsidR="00E16243" w:rsidRDefault="00E16243" w:rsidP="00630846">
      <w:pPr>
        <w:pStyle w:val="NormalParaAR"/>
        <w:spacing w:before="240"/>
        <w:rPr>
          <w:rtl/>
        </w:rPr>
      </w:pPr>
      <w:r w:rsidRPr="004E2700">
        <w:rPr>
          <w:color w:val="000000"/>
          <w:rtl/>
        </w:rPr>
        <w:t xml:space="preserve">في كثير من الحالات، تقوم "المنظمة" بتحصيل الرسوم والمصاريف مقابل تأدية خدمات قبل أن </w:t>
      </w:r>
      <w:r w:rsidR="00630846">
        <w:rPr>
          <w:rFonts w:hint="cs"/>
          <w:color w:val="000000"/>
          <w:rtl/>
        </w:rPr>
        <w:t>تنفَّذ</w:t>
      </w:r>
      <w:r w:rsidRPr="004E2700">
        <w:rPr>
          <w:color w:val="000000"/>
          <w:rtl/>
        </w:rPr>
        <w:t xml:space="preserve"> تلك الخدمات بشكل كامل أو قبل استحقاق الرسم </w:t>
      </w:r>
      <w:r w:rsidR="002B3DBD">
        <w:rPr>
          <w:color w:val="000000"/>
          <w:rtl/>
        </w:rPr>
        <w:t xml:space="preserve">وفقاً </w:t>
      </w:r>
      <w:r w:rsidRPr="004E2700">
        <w:rPr>
          <w:color w:val="000000"/>
          <w:rtl/>
        </w:rPr>
        <w:t xml:space="preserve">للمعاهدات والاتفاقات والبروتوكولات والأنظمة التي تديرها "المنظمة". </w:t>
      </w:r>
      <w:r>
        <w:rPr>
          <w:rFonts w:hint="cs"/>
          <w:color w:val="000000"/>
          <w:rtl/>
        </w:rPr>
        <w:t>و</w:t>
      </w:r>
      <w:r w:rsidRPr="004E2700">
        <w:rPr>
          <w:color w:val="000000"/>
          <w:rtl/>
        </w:rPr>
        <w:t xml:space="preserve">يُقَيّد الإيراد الناتج من رسوم متعلقة بإجراءات الطلبات الدولية (العلامات التجارية والرسوم والنماذج الصناعية وبراءات الاختراع) في سجلات "المنظمة" حال نشر الطلب. </w:t>
      </w:r>
      <w:r>
        <w:rPr>
          <w:rFonts w:hint="cs"/>
          <w:color w:val="000000"/>
          <w:rtl/>
        </w:rPr>
        <w:t>و</w:t>
      </w:r>
      <w:r w:rsidRPr="004E2700">
        <w:rPr>
          <w:color w:val="000000"/>
          <w:rtl/>
        </w:rPr>
        <w:t>يؤجل قيد إيرادات رسوم تكلفة الصفحات الإضافية المتعلقة بطلبات البراءات الدولية إلى أن ي</w:t>
      </w:r>
      <w:r w:rsidR="00630846">
        <w:rPr>
          <w:rFonts w:hint="cs"/>
          <w:color w:val="000000"/>
          <w:rtl/>
        </w:rPr>
        <w:t>ُنشر</w:t>
      </w:r>
      <w:r w:rsidRPr="004E2700">
        <w:rPr>
          <w:color w:val="000000"/>
          <w:rtl/>
        </w:rPr>
        <w:t xml:space="preserve"> الطلب المعني. وبالإضافة إلى ذلك، يؤجل قيد جزء من رسوم طلبات براءات الاختراع الدولية التي تغطي تكاليف ترجمة تقارير البراءة</w:t>
      </w:r>
      <w:r>
        <w:rPr>
          <w:color w:val="000000"/>
          <w:rtl/>
        </w:rPr>
        <w:t xml:space="preserve">، التي لا </w:t>
      </w:r>
      <w:r w:rsidR="00630846">
        <w:rPr>
          <w:rFonts w:hint="cs"/>
          <w:color w:val="000000"/>
          <w:rtl/>
        </w:rPr>
        <w:t>تودع</w:t>
      </w:r>
      <w:r>
        <w:rPr>
          <w:color w:val="000000"/>
          <w:rtl/>
        </w:rPr>
        <w:t xml:space="preserve"> باللغة ال</w:t>
      </w:r>
      <w:r>
        <w:rPr>
          <w:rFonts w:hint="cs"/>
          <w:color w:val="000000"/>
          <w:rtl/>
        </w:rPr>
        <w:t>إ</w:t>
      </w:r>
      <w:r w:rsidRPr="004E2700">
        <w:rPr>
          <w:color w:val="000000"/>
          <w:rtl/>
        </w:rPr>
        <w:t xml:space="preserve">نكليزية، حتى الانتهاء من الترجمة. </w:t>
      </w:r>
      <w:r>
        <w:rPr>
          <w:rFonts w:hint="cs"/>
          <w:color w:val="000000"/>
          <w:rtl/>
        </w:rPr>
        <w:t>و</w:t>
      </w:r>
      <w:r w:rsidRPr="004E2700">
        <w:rPr>
          <w:color w:val="000000"/>
          <w:rtl/>
        </w:rPr>
        <w:t>من المسلم به قيد جميع الإيرادات من الرسوم مثل التجديدات والمستخرجات والتعديلات</w:t>
      </w:r>
      <w:r w:rsidRPr="004E2700">
        <w:rPr>
          <w:color w:val="000000"/>
          <w:rtl/>
          <w:lang w:bidi="ar-EG"/>
        </w:rPr>
        <w:t xml:space="preserve"> والتصرف والتحويلات والتأكيدات والتسويات عند الانتهاء من أداء الخدمة</w:t>
      </w:r>
      <w:r>
        <w:rPr>
          <w:rFonts w:hint="cs"/>
          <w:color w:val="000000"/>
          <w:rtl/>
          <w:lang w:bidi="ar-EG"/>
        </w:rPr>
        <w:t> </w:t>
      </w:r>
      <w:r>
        <w:rPr>
          <w:rFonts w:hint="cs"/>
          <w:rtl/>
          <w:lang w:bidi="ar-EG"/>
        </w:rPr>
        <w:t>المطلوبة.</w:t>
      </w:r>
    </w:p>
    <w:p w14:paraId="5159A4D2" w14:textId="3C23249B" w:rsidR="00E16243" w:rsidRDefault="00E16243" w:rsidP="00630846">
      <w:pPr>
        <w:pStyle w:val="NormalParaAR"/>
        <w:rPr>
          <w:rtl/>
        </w:rPr>
      </w:pPr>
      <w:r>
        <w:rPr>
          <w:rFonts w:hint="cs"/>
          <w:color w:val="000000"/>
          <w:rtl/>
        </w:rPr>
        <w:t>و</w:t>
      </w:r>
      <w:r w:rsidRPr="004E2700">
        <w:rPr>
          <w:color w:val="000000"/>
          <w:rtl/>
        </w:rPr>
        <w:t xml:space="preserve">تُعامل المساهمات الطوعية المقدمة من المانحين لحسابات خاصة، والتي تتضمن شروطاً تتطلب من "المنظمة" تقديم خدمات إلى الحكومات المتلقية أو أطراف ثالثة أخرى، كإيرادات مؤجلة حتى </w:t>
      </w:r>
      <w:r w:rsidR="00630846">
        <w:rPr>
          <w:rFonts w:hint="cs"/>
          <w:color w:val="000000"/>
          <w:rtl/>
        </w:rPr>
        <w:t>تنفذ</w:t>
      </w:r>
      <w:r w:rsidRPr="004E2700">
        <w:rPr>
          <w:color w:val="000000"/>
          <w:rtl/>
        </w:rPr>
        <w:t xml:space="preserve"> الخدمات التي تغطيها تلك المساهمات الطوعية، وعندها </w:t>
      </w:r>
      <w:r w:rsidR="00630846">
        <w:rPr>
          <w:rFonts w:hint="cs"/>
          <w:color w:val="000000"/>
          <w:rtl/>
        </w:rPr>
        <w:t>تقيّد</w:t>
      </w:r>
      <w:r w:rsidRPr="004E2700">
        <w:rPr>
          <w:color w:val="000000"/>
          <w:rtl/>
        </w:rPr>
        <w:t xml:space="preserve"> </w:t>
      </w:r>
      <w:r>
        <w:rPr>
          <w:rFonts w:hint="cs"/>
          <w:rtl/>
        </w:rPr>
        <w:t>الإيرادات.</w:t>
      </w:r>
    </w:p>
    <w:p w14:paraId="7714F5DC" w14:textId="09BB099D" w:rsidR="00687571" w:rsidRDefault="00A204A5" w:rsidP="00103EE1">
      <w:pPr>
        <w:pStyle w:val="NormalParaAR"/>
        <w:rPr>
          <w:rtl/>
          <w:lang w:bidi="ar-EG"/>
        </w:rPr>
      </w:pPr>
      <w:r>
        <w:rPr>
          <w:rFonts w:hint="cs"/>
          <w:color w:val="000000"/>
          <w:rtl/>
        </w:rPr>
        <w:t>و</w:t>
      </w:r>
      <w:r w:rsidR="007301ED">
        <w:rPr>
          <w:rFonts w:hint="cs"/>
          <w:color w:val="000000"/>
          <w:rtl/>
        </w:rPr>
        <w:t xml:space="preserve">قد </w:t>
      </w:r>
      <w:r w:rsidRPr="00C10BE2">
        <w:rPr>
          <w:color w:val="000000"/>
          <w:rtl/>
        </w:rPr>
        <w:t>مَوَّل</w:t>
      </w:r>
      <w:r w:rsidR="007301ED">
        <w:rPr>
          <w:rFonts w:hint="cs"/>
          <w:color w:val="000000"/>
          <w:rtl/>
        </w:rPr>
        <w:t>ت</w:t>
      </w:r>
      <w:r w:rsidRPr="00C10BE2">
        <w:rPr>
          <w:color w:val="000000"/>
          <w:rtl/>
        </w:rPr>
        <w:t xml:space="preserve"> </w:t>
      </w:r>
      <w:r w:rsidR="007301ED" w:rsidRPr="00C10BE2">
        <w:rPr>
          <w:color w:val="000000"/>
          <w:rtl/>
        </w:rPr>
        <w:t>مؤسسة مباني المنظمات الدولية (</w:t>
      </w:r>
      <w:r w:rsidR="007301ED" w:rsidRPr="00C10BE2">
        <w:rPr>
          <w:color w:val="000000"/>
        </w:rPr>
        <w:t>FIPOI</w:t>
      </w:r>
      <w:r w:rsidR="007301ED" w:rsidRPr="00C10BE2">
        <w:rPr>
          <w:color w:val="000000"/>
          <w:rtl/>
        </w:rPr>
        <w:t>)</w:t>
      </w:r>
      <w:r w:rsidR="007301ED">
        <w:rPr>
          <w:rFonts w:hint="cs"/>
          <w:color w:val="000000"/>
          <w:rtl/>
        </w:rPr>
        <w:t xml:space="preserve"> جزئياً </w:t>
      </w:r>
      <w:r w:rsidR="007301ED" w:rsidRPr="00C10BE2">
        <w:rPr>
          <w:color w:val="000000"/>
          <w:rtl/>
        </w:rPr>
        <w:t xml:space="preserve">مشروع </w:t>
      </w:r>
      <w:r w:rsidR="007301ED">
        <w:rPr>
          <w:rFonts w:hint="cs"/>
          <w:color w:val="000000"/>
          <w:rtl/>
        </w:rPr>
        <w:t>ا</w:t>
      </w:r>
      <w:r w:rsidR="007301ED" w:rsidRPr="00C10BE2">
        <w:rPr>
          <w:color w:val="000000"/>
          <w:rtl/>
        </w:rPr>
        <w:t>لارتقاء بمعايير السلامة والأمن في مباني الويبو الحالية.</w:t>
      </w:r>
      <w:r w:rsidR="000D4BE6">
        <w:rPr>
          <w:color w:val="000000"/>
          <w:rtl/>
        </w:rPr>
        <w:t xml:space="preserve"> </w:t>
      </w:r>
      <w:r w:rsidR="005A616B">
        <w:rPr>
          <w:rFonts w:hint="cs"/>
          <w:color w:val="000000"/>
          <w:rtl/>
        </w:rPr>
        <w:t>و</w:t>
      </w:r>
      <w:r w:rsidR="005A616B">
        <w:rPr>
          <w:color w:val="000000"/>
          <w:rtl/>
        </w:rPr>
        <w:t>رسمل</w:t>
      </w:r>
      <w:r w:rsidR="005A616B">
        <w:rPr>
          <w:rFonts w:hint="cs"/>
          <w:color w:val="000000"/>
          <w:rtl/>
        </w:rPr>
        <w:t>ت أعمال البناء التي مولتها هذه المؤسسة</w:t>
      </w:r>
      <w:r w:rsidRPr="00C10BE2">
        <w:rPr>
          <w:color w:val="000000"/>
          <w:rtl/>
        </w:rPr>
        <w:t xml:space="preserve"> </w:t>
      </w:r>
      <w:r w:rsidR="005A616B">
        <w:rPr>
          <w:rFonts w:hint="cs"/>
          <w:color w:val="000000"/>
          <w:rtl/>
        </w:rPr>
        <w:t>ضمن ال</w:t>
      </w:r>
      <w:r w:rsidRPr="00C10BE2">
        <w:rPr>
          <w:color w:val="000000"/>
          <w:rtl/>
        </w:rPr>
        <w:t xml:space="preserve">أعمال </w:t>
      </w:r>
      <w:r>
        <w:rPr>
          <w:rFonts w:hint="cs"/>
          <w:color w:val="000000"/>
          <w:rtl/>
        </w:rPr>
        <w:t>تحت</w:t>
      </w:r>
      <w:r w:rsidRPr="00C10BE2">
        <w:rPr>
          <w:color w:val="000000"/>
          <w:rtl/>
        </w:rPr>
        <w:t xml:space="preserve"> التنفيذ </w:t>
      </w:r>
      <w:r w:rsidR="001F5976">
        <w:rPr>
          <w:color w:val="000000"/>
          <w:rtl/>
          <w:lang w:bidi="ar-EG"/>
        </w:rPr>
        <w:t>وقُيّد</w:t>
      </w:r>
      <w:r w:rsidRPr="00C10BE2">
        <w:rPr>
          <w:color w:val="000000"/>
          <w:rtl/>
          <w:lang w:bidi="ar-EG"/>
        </w:rPr>
        <w:t xml:space="preserve"> </w:t>
      </w:r>
      <w:r w:rsidR="001F5976">
        <w:rPr>
          <w:rFonts w:hint="cs"/>
          <w:color w:val="000000"/>
          <w:rtl/>
          <w:lang w:bidi="ar-EG"/>
        </w:rPr>
        <w:t xml:space="preserve">مبلغ </w:t>
      </w:r>
      <w:r w:rsidR="001F5976">
        <w:rPr>
          <w:color w:val="000000"/>
          <w:rtl/>
          <w:lang w:bidi="ar-EG"/>
        </w:rPr>
        <w:t>مقابل</w:t>
      </w:r>
      <w:r w:rsidRPr="00C10BE2">
        <w:rPr>
          <w:color w:val="000000"/>
          <w:rtl/>
          <w:lang w:bidi="ar-EG"/>
        </w:rPr>
        <w:t xml:space="preserve"> كإيرادات</w:t>
      </w:r>
      <w:r>
        <w:rPr>
          <w:rFonts w:hint="cs"/>
          <w:color w:val="000000"/>
          <w:rtl/>
          <w:lang w:bidi="ar-EG"/>
        </w:rPr>
        <w:t> </w:t>
      </w:r>
      <w:r>
        <w:rPr>
          <w:rFonts w:hint="cs"/>
          <w:rtl/>
        </w:rPr>
        <w:t>مؤجلة.</w:t>
      </w:r>
      <w:r w:rsidR="001F5976">
        <w:rPr>
          <w:rFonts w:hint="cs"/>
          <w:rtl/>
        </w:rPr>
        <w:t xml:space="preserve"> وبلغ رصيد الإيرادات المؤجلة </w:t>
      </w:r>
      <w:r w:rsidR="00103EE1">
        <w:rPr>
          <w:rFonts w:hint="cs"/>
          <w:rtl/>
        </w:rPr>
        <w:t>3 ملايين</w:t>
      </w:r>
      <w:r w:rsidR="00DB4BF1">
        <w:rPr>
          <w:rFonts w:hint="cs"/>
          <w:rtl/>
        </w:rPr>
        <w:t xml:space="preserve"> فرنك سويسري في 31 ديسمبر </w:t>
      </w:r>
      <w:r w:rsidR="00103EE1">
        <w:rPr>
          <w:rFonts w:hint="cs"/>
          <w:rtl/>
        </w:rPr>
        <w:t>2014</w:t>
      </w:r>
      <w:r w:rsidR="00DB4BF1">
        <w:rPr>
          <w:rFonts w:hint="cs"/>
          <w:rtl/>
        </w:rPr>
        <w:t xml:space="preserve"> (</w:t>
      </w:r>
      <w:r w:rsidR="00103EE1">
        <w:rPr>
          <w:rFonts w:hint="cs"/>
          <w:rtl/>
        </w:rPr>
        <w:t>1.9</w:t>
      </w:r>
      <w:r w:rsidR="00DB4BF1">
        <w:rPr>
          <w:rFonts w:hint="cs"/>
          <w:rtl/>
        </w:rPr>
        <w:t xml:space="preserve"> مليون فرنك سويسري في 31 ديسمبر </w:t>
      </w:r>
      <w:r w:rsidR="00103EE1">
        <w:rPr>
          <w:rFonts w:hint="cs"/>
          <w:rtl/>
        </w:rPr>
        <w:t>2013). و</w:t>
      </w:r>
      <w:r w:rsidR="00DB4BF1">
        <w:rPr>
          <w:rFonts w:hint="cs"/>
          <w:rtl/>
        </w:rPr>
        <w:t>تقيد هذه الإيرادات تدريجياً بالتوازي مع اه</w:t>
      </w:r>
      <w:r w:rsidR="000666B8">
        <w:rPr>
          <w:rFonts w:hint="cs"/>
          <w:rtl/>
          <w:lang w:bidi="ar-EG"/>
        </w:rPr>
        <w:t>ت</w:t>
      </w:r>
      <w:r w:rsidR="00DB4BF1">
        <w:rPr>
          <w:rFonts w:hint="cs"/>
          <w:rtl/>
        </w:rPr>
        <w:t xml:space="preserve">لاك أعمال البناء </w:t>
      </w:r>
      <w:r w:rsidR="0054679B">
        <w:rPr>
          <w:rFonts w:hint="cs"/>
          <w:rtl/>
          <w:lang w:bidi="ar-EG"/>
        </w:rPr>
        <w:t>على مدى عمرها الإنتاجي.</w:t>
      </w:r>
    </w:p>
    <w:p w14:paraId="108576D4" w14:textId="0F58F413" w:rsidR="00E16243" w:rsidRPr="002869C3" w:rsidRDefault="00E16243" w:rsidP="00687571">
      <w:pPr>
        <w:pStyle w:val="Heading2"/>
        <w:keepLines/>
        <w:tabs>
          <w:tab w:val="left" w:pos="1417"/>
        </w:tabs>
        <w:bidi/>
        <w:rPr>
          <w:rFonts w:ascii="Arabic Typesetting" w:hAnsi="Arabic Typesetting" w:cs="Arabic Typesetting"/>
          <w:i/>
          <w:iCs w:val="0"/>
          <w:sz w:val="40"/>
          <w:szCs w:val="40"/>
          <w:rtl/>
        </w:rPr>
      </w:pPr>
      <w:bookmarkStart w:id="32" w:name="_Toc362519113"/>
      <w:r w:rsidRPr="002869C3">
        <w:rPr>
          <w:rFonts w:ascii="Arabic Typesetting" w:hAnsi="Arabic Typesetting" w:cs="Arabic Typesetting" w:hint="cs"/>
          <w:i/>
          <w:iCs w:val="0"/>
          <w:sz w:val="40"/>
          <w:szCs w:val="40"/>
          <w:rtl/>
        </w:rPr>
        <w:lastRenderedPageBreak/>
        <w:t>الملاحظة 15:</w:t>
      </w:r>
      <w:r w:rsidR="00687571">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القروض</w:t>
      </w:r>
      <w:bookmarkEnd w:id="32"/>
    </w:p>
    <w:p w14:paraId="6B2C4CE6" w14:textId="3E872DC2" w:rsidR="003B1C3B" w:rsidRDefault="001D4719" w:rsidP="003B1C3B">
      <w:pPr>
        <w:pStyle w:val="NormalParaAR"/>
        <w:spacing w:before="240" w:line="240" w:lineRule="auto"/>
        <w:rPr>
          <w:noProof/>
          <w:rtl/>
        </w:rPr>
      </w:pPr>
      <w:r w:rsidRPr="001D4719">
        <w:rPr>
          <w:noProof/>
          <w:rtl/>
        </w:rPr>
        <w:drawing>
          <wp:inline distT="0" distB="0" distL="0" distR="0" wp14:anchorId="78597389" wp14:editId="07ED8800">
            <wp:extent cx="5884545" cy="1998345"/>
            <wp:effectExtent l="0" t="0" r="1905"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884545" cy="1998345"/>
                    </a:xfrm>
                    <a:prstGeom prst="rect">
                      <a:avLst/>
                    </a:prstGeom>
                    <a:noFill/>
                    <a:ln>
                      <a:noFill/>
                    </a:ln>
                  </pic:spPr>
                </pic:pic>
              </a:graphicData>
            </a:graphic>
          </wp:inline>
        </w:drawing>
      </w:r>
    </w:p>
    <w:p w14:paraId="3A0D4E9C" w14:textId="5DED7FC5" w:rsidR="00E55E23" w:rsidRDefault="00E16243" w:rsidP="00553C9E">
      <w:pPr>
        <w:pStyle w:val="NormalParaAR"/>
        <w:spacing w:before="240"/>
        <w:rPr>
          <w:color w:val="000000"/>
          <w:rtl/>
        </w:rPr>
      </w:pPr>
      <w:r w:rsidRPr="009B4ACE">
        <w:rPr>
          <w:color w:val="000000"/>
          <w:rtl/>
        </w:rPr>
        <w:t>اقترضت المنظمة أموالاً من مؤسسة مباني المنظمات الدولية (50</w:t>
      </w:r>
      <w:r w:rsidR="00553C9E">
        <w:rPr>
          <w:rFonts w:hint="cs"/>
          <w:color w:val="000000"/>
          <w:rtl/>
        </w:rPr>
        <w:t>.</w:t>
      </w:r>
      <w:r w:rsidRPr="009B4ACE">
        <w:rPr>
          <w:color w:val="000000"/>
          <w:rtl/>
        </w:rPr>
        <w:t>8 مليون فرنك سويسري و8</w:t>
      </w:r>
      <w:r w:rsidR="00553C9E">
        <w:rPr>
          <w:rFonts w:hint="cs"/>
          <w:color w:val="000000"/>
          <w:rtl/>
        </w:rPr>
        <w:t>.</w:t>
      </w:r>
      <w:r w:rsidRPr="009B4ACE">
        <w:rPr>
          <w:color w:val="000000"/>
          <w:rtl/>
        </w:rPr>
        <w:t xml:space="preserve">41 مليون فرنك سويسري تمت الموافقة عليهما في عامي 1977 و1987 على التوالي) لغرض تشييد المباني الرئيسية في جنيف، سويسرا. </w:t>
      </w:r>
      <w:r>
        <w:rPr>
          <w:rFonts w:hint="cs"/>
          <w:color w:val="000000"/>
          <w:rtl/>
        </w:rPr>
        <w:t>و</w:t>
      </w:r>
      <w:r w:rsidRPr="009B4ACE">
        <w:rPr>
          <w:color w:val="000000"/>
          <w:rtl/>
        </w:rPr>
        <w:t>تخضع هذه القروض في ال</w:t>
      </w:r>
      <w:r w:rsidR="00FD2528">
        <w:rPr>
          <w:color w:val="000000"/>
          <w:rtl/>
        </w:rPr>
        <w:t xml:space="preserve">أساس </w:t>
      </w:r>
      <w:r w:rsidRPr="009B4ACE">
        <w:rPr>
          <w:color w:val="000000"/>
          <w:rtl/>
        </w:rPr>
        <w:t>إلى سداد فوائد. ومع ذلك، وفي عام 1996 وافقت الإدارة الفيدرالية السويسرية للعلاقات الخارجية على التنازل عن أي مدفوعات أخرى للفائدة، والمطلوب حاليا هو سداد أصل القرض فقط.</w:t>
      </w:r>
    </w:p>
    <w:p w14:paraId="124C89F4" w14:textId="1A2D0916" w:rsidR="00E16243" w:rsidRDefault="00E16243" w:rsidP="00553C9E">
      <w:pPr>
        <w:pStyle w:val="NormalParaAR"/>
        <w:rPr>
          <w:rtl/>
        </w:rPr>
      </w:pPr>
      <w:r>
        <w:rPr>
          <w:rFonts w:hint="cs"/>
          <w:color w:val="000000"/>
          <w:rtl/>
        </w:rPr>
        <w:t>و</w:t>
      </w:r>
      <w:r w:rsidRPr="009B4ACE">
        <w:rPr>
          <w:color w:val="000000"/>
          <w:rtl/>
        </w:rPr>
        <w:t xml:space="preserve">في فبراير 2008، أبرمت "المنظمة" عقداً مع بنك </w:t>
      </w:r>
      <w:r w:rsidR="005211E0">
        <w:rPr>
          <w:color w:val="000000"/>
          <w:rtl/>
        </w:rPr>
        <w:t>كانتون جنيف</w:t>
      </w:r>
      <w:r w:rsidRPr="009B4ACE">
        <w:rPr>
          <w:color w:val="000000"/>
          <w:rtl/>
        </w:rPr>
        <w:t xml:space="preserve"> وبنك </w:t>
      </w:r>
      <w:r w:rsidR="005211E0">
        <w:rPr>
          <w:rFonts w:hint="cs"/>
          <w:color w:val="000000"/>
          <w:rtl/>
          <w:lang w:bidi="ar-EG"/>
        </w:rPr>
        <w:t>كانتون فو</w:t>
      </w:r>
      <w:r w:rsidRPr="009B4ACE">
        <w:rPr>
          <w:color w:val="000000"/>
          <w:rtl/>
        </w:rPr>
        <w:t xml:space="preserve"> بغرض اقتراض 114 مليون فرنك سويسري، مع إمكانية إضافة مبلغ تكميلي بقيمة 16 مليون فرنك سويسري، بغرض تمويل جزء من تكلفة تشييد المبنى الجديد وإتاحته للاستخدام في 28 فبراير 2011. </w:t>
      </w:r>
      <w:r w:rsidR="00630846">
        <w:rPr>
          <w:rFonts w:hint="cs"/>
          <w:color w:val="000000"/>
          <w:rtl/>
        </w:rPr>
        <w:t>وسُحب</w:t>
      </w:r>
      <w:r w:rsidRPr="009B4ACE">
        <w:rPr>
          <w:color w:val="000000"/>
          <w:rtl/>
        </w:rPr>
        <w:t xml:space="preserve"> المبلغ التكميلي البالغ 16 مليون فرنك سويسري في 27 يناير 2011. </w:t>
      </w:r>
      <w:r w:rsidR="002B3DBD">
        <w:rPr>
          <w:rFonts w:hint="cs"/>
          <w:color w:val="000000"/>
          <w:rtl/>
        </w:rPr>
        <w:t>وثُبِّت</w:t>
      </w:r>
      <w:r w:rsidRPr="009B4ACE">
        <w:rPr>
          <w:color w:val="000000"/>
          <w:rtl/>
        </w:rPr>
        <w:t xml:space="preserve"> سعر الفائدة على سعر الليبور لتبادل الفرنك السويسري لمدة تصل حتى 15 سنة، بالإضافة إلى هامش بين 0</w:t>
      </w:r>
      <w:r w:rsidR="009C1E22">
        <w:rPr>
          <w:rFonts w:hint="cs"/>
          <w:color w:val="000000"/>
          <w:rtl/>
        </w:rPr>
        <w:t>.</w:t>
      </w:r>
      <w:r w:rsidRPr="009B4ACE">
        <w:rPr>
          <w:color w:val="000000"/>
          <w:rtl/>
        </w:rPr>
        <w:t>30</w:t>
      </w:r>
      <w:r>
        <w:rPr>
          <w:rFonts w:hint="cs"/>
          <w:color w:val="000000"/>
          <w:rtl/>
        </w:rPr>
        <w:t xml:space="preserve"> </w:t>
      </w:r>
      <w:r w:rsidR="00257637">
        <w:rPr>
          <w:rFonts w:hint="cs"/>
          <w:color w:val="000000"/>
          <w:rtl/>
        </w:rPr>
        <w:t>بالمئة</w:t>
      </w:r>
      <w:r w:rsidRPr="009B4ACE">
        <w:rPr>
          <w:color w:val="000000"/>
          <w:rtl/>
        </w:rPr>
        <w:t xml:space="preserve"> إلى 0</w:t>
      </w:r>
      <w:r w:rsidR="009C1E22">
        <w:rPr>
          <w:rFonts w:hint="cs"/>
          <w:color w:val="000000"/>
          <w:rtl/>
        </w:rPr>
        <w:t>.</w:t>
      </w:r>
      <w:r w:rsidRPr="009B4ACE">
        <w:rPr>
          <w:color w:val="000000"/>
          <w:rtl/>
        </w:rPr>
        <w:t>70</w:t>
      </w:r>
      <w:r>
        <w:rPr>
          <w:rFonts w:hint="cs"/>
          <w:color w:val="000000"/>
          <w:rtl/>
        </w:rPr>
        <w:t xml:space="preserve"> </w:t>
      </w:r>
      <w:r w:rsidR="00257637">
        <w:rPr>
          <w:rFonts w:hint="cs"/>
          <w:color w:val="000000"/>
          <w:rtl/>
        </w:rPr>
        <w:t>بالمئة</w:t>
      </w:r>
      <w:r w:rsidRPr="009B4ACE">
        <w:rPr>
          <w:color w:val="000000"/>
          <w:rtl/>
        </w:rPr>
        <w:t xml:space="preserve"> اعتماداً على طول أجل القرض وكما </w:t>
      </w:r>
      <w:r w:rsidR="002B3DBD">
        <w:rPr>
          <w:rFonts w:hint="cs"/>
          <w:color w:val="000000"/>
          <w:rtl/>
        </w:rPr>
        <w:t>حددته</w:t>
      </w:r>
      <w:r w:rsidRPr="009B4ACE">
        <w:rPr>
          <w:color w:val="000000"/>
          <w:rtl/>
        </w:rPr>
        <w:t xml:space="preserve"> "المنظمة". </w:t>
      </w:r>
      <w:r>
        <w:rPr>
          <w:rFonts w:hint="cs"/>
          <w:color w:val="000000"/>
          <w:rtl/>
        </w:rPr>
        <w:t>و</w:t>
      </w:r>
      <w:r w:rsidRPr="009B4ACE">
        <w:rPr>
          <w:color w:val="000000"/>
          <w:rtl/>
        </w:rPr>
        <w:t xml:space="preserve">بلغ إجمالي مدفوعات الفائدة في عام </w:t>
      </w:r>
      <w:r w:rsidR="009C1E22">
        <w:rPr>
          <w:rFonts w:hint="cs"/>
          <w:color w:val="000000"/>
          <w:rtl/>
        </w:rPr>
        <w:t>2014</w:t>
      </w:r>
      <w:r w:rsidRPr="009B4ACE">
        <w:rPr>
          <w:color w:val="000000"/>
          <w:rtl/>
        </w:rPr>
        <w:t xml:space="preserve"> مبلغ </w:t>
      </w:r>
      <w:r w:rsidR="009C1E22">
        <w:rPr>
          <w:rFonts w:hint="cs"/>
          <w:color w:val="000000"/>
          <w:rtl/>
        </w:rPr>
        <w:t>3.1</w:t>
      </w:r>
      <w:r w:rsidRPr="009B4ACE">
        <w:rPr>
          <w:color w:val="000000"/>
          <w:rtl/>
        </w:rPr>
        <w:t xml:space="preserve"> مليون فرنك سويسري</w:t>
      </w:r>
      <w:r w:rsidR="009C1E22">
        <w:rPr>
          <w:rFonts w:hint="cs"/>
          <w:color w:val="000000"/>
          <w:rtl/>
        </w:rPr>
        <w:t xml:space="preserve"> مع متوسط فائدة مرجح نسبته 2.6 </w:t>
      </w:r>
      <w:r w:rsidR="00257637">
        <w:rPr>
          <w:rFonts w:hint="cs"/>
          <w:color w:val="000000"/>
          <w:rtl/>
        </w:rPr>
        <w:t>بالمئة</w:t>
      </w:r>
      <w:r w:rsidR="009C1E22">
        <w:rPr>
          <w:rFonts w:hint="cs"/>
          <w:color w:val="000000"/>
          <w:rtl/>
        </w:rPr>
        <w:t xml:space="preserve"> خلال هذا العام</w:t>
      </w:r>
      <w:r w:rsidRPr="009B4ACE">
        <w:rPr>
          <w:color w:val="000000"/>
          <w:rtl/>
        </w:rPr>
        <w:t xml:space="preserve">. </w:t>
      </w:r>
      <w:r w:rsidR="009C1E22">
        <w:rPr>
          <w:rFonts w:hint="cs"/>
          <w:color w:val="000000"/>
          <w:rtl/>
        </w:rPr>
        <w:t>و</w:t>
      </w:r>
      <w:r w:rsidRPr="009B4ACE">
        <w:rPr>
          <w:color w:val="000000"/>
          <w:rtl/>
        </w:rPr>
        <w:t>بالإضافة إلى سداد الفائدة</w:t>
      </w:r>
      <w:r w:rsidR="009C1E22">
        <w:rPr>
          <w:rFonts w:hint="cs"/>
          <w:color w:val="000000"/>
          <w:rtl/>
        </w:rPr>
        <w:t xml:space="preserve">، </w:t>
      </w:r>
      <w:r w:rsidRPr="009B4ACE">
        <w:rPr>
          <w:color w:val="000000"/>
          <w:rtl/>
        </w:rPr>
        <w:t>ينص العقد على سداد قسط سنوي لتسوية أصل القرض بقيمة 3</w:t>
      </w:r>
      <w:r w:rsidR="00553C9E">
        <w:rPr>
          <w:rFonts w:hint="cs"/>
          <w:color w:val="000000"/>
          <w:rtl/>
        </w:rPr>
        <w:t>.</w:t>
      </w:r>
      <w:r w:rsidRPr="009B4ACE">
        <w:rPr>
          <w:color w:val="000000"/>
          <w:rtl/>
        </w:rPr>
        <w:t>0</w:t>
      </w:r>
      <w:r>
        <w:rPr>
          <w:rFonts w:hint="cs"/>
          <w:color w:val="000000"/>
          <w:rtl/>
        </w:rPr>
        <w:t xml:space="preserve"> </w:t>
      </w:r>
      <w:r w:rsidR="00257637">
        <w:rPr>
          <w:rFonts w:hint="cs"/>
          <w:color w:val="000000"/>
          <w:rtl/>
        </w:rPr>
        <w:t>بالمئة</w:t>
      </w:r>
      <w:r w:rsidRPr="009B4ACE">
        <w:rPr>
          <w:color w:val="000000"/>
          <w:rtl/>
        </w:rPr>
        <w:t xml:space="preserve"> من إجمالي المبلغ المقترض بدءاً من 28 فبراير 2012 للقرض الأصلي وقيمته 114 مليون فرنك سويسري، والقرض الإضافي وقدره 16 مليون فرنك </w:t>
      </w:r>
      <w:r>
        <w:rPr>
          <w:rFonts w:hint="cs"/>
          <w:rtl/>
        </w:rPr>
        <w:t>سويسري.</w:t>
      </w:r>
      <w:r w:rsidR="009C1E22">
        <w:rPr>
          <w:rFonts w:hint="cs"/>
          <w:rtl/>
        </w:rPr>
        <w:t xml:space="preserve"> </w:t>
      </w:r>
      <w:r w:rsidR="009C1E22" w:rsidRPr="009C1E22">
        <w:rPr>
          <w:rFonts w:hint="cs"/>
          <w:rtl/>
        </w:rPr>
        <w:t xml:space="preserve">وإن المنظمة ملزمة، في نوفمبر </w:t>
      </w:r>
      <w:r w:rsidR="009C1E22">
        <w:rPr>
          <w:rFonts w:hint="cs"/>
          <w:rtl/>
        </w:rPr>
        <w:t xml:space="preserve">2015، </w:t>
      </w:r>
      <w:r w:rsidR="009C1E22" w:rsidRPr="009C1E22">
        <w:rPr>
          <w:rFonts w:hint="cs"/>
          <w:rtl/>
        </w:rPr>
        <w:t>بدفع القسط الإجمالي المقرر البالغ 24.0 مليون فرنك سويسري لتسديد</w:t>
      </w:r>
      <w:r w:rsidR="009C1E22">
        <w:rPr>
          <w:rFonts w:hint="cs"/>
          <w:rtl/>
        </w:rPr>
        <w:t xml:space="preserve"> القرض. كما تلتزم المنظمة بدفع القسط الثاني الإجمالي البالغ 16 مليون فرنك سويسري في يناير 2016.</w:t>
      </w:r>
    </w:p>
    <w:p w14:paraId="6134C21D" w14:textId="153E63F6" w:rsidR="00CD52ED" w:rsidRDefault="00E16243" w:rsidP="00E80DAB">
      <w:pPr>
        <w:bidi/>
        <w:spacing w:after="240" w:line="360" w:lineRule="exact"/>
        <w:rPr>
          <w:rFonts w:ascii="Arabic Typesetting" w:hAnsi="Arabic Typesetting" w:cs="Arabic Typesetting"/>
          <w:sz w:val="36"/>
          <w:szCs w:val="36"/>
          <w:rtl/>
        </w:rPr>
      </w:pPr>
      <w:r>
        <w:rPr>
          <w:rFonts w:ascii="Arabic Typesetting" w:hAnsi="Arabic Typesetting" w:cs="Arabic Typesetting" w:hint="cs"/>
          <w:color w:val="000000"/>
          <w:sz w:val="36"/>
          <w:szCs w:val="36"/>
          <w:rtl/>
        </w:rPr>
        <w:t>و</w:t>
      </w:r>
      <w:r w:rsidRPr="009B4ACE">
        <w:rPr>
          <w:rFonts w:ascii="Arabic Typesetting" w:hAnsi="Arabic Typesetting" w:cs="Arabic Typesetting"/>
          <w:color w:val="000000"/>
          <w:sz w:val="36"/>
          <w:szCs w:val="36"/>
          <w:rtl/>
        </w:rPr>
        <w:t xml:space="preserve">في أكتوبر 2010، اتفق كل من بنك </w:t>
      </w:r>
      <w:r w:rsidR="005211E0">
        <w:rPr>
          <w:rFonts w:ascii="Arabic Typesetting" w:hAnsi="Arabic Typesetting" w:cs="Arabic Typesetting"/>
          <w:color w:val="000000"/>
          <w:sz w:val="36"/>
          <w:szCs w:val="36"/>
          <w:rtl/>
        </w:rPr>
        <w:t>كانتون جنيف</w:t>
      </w:r>
      <w:r w:rsidRPr="009B4ACE">
        <w:rPr>
          <w:rFonts w:ascii="Arabic Typesetting" w:hAnsi="Arabic Typesetting" w:cs="Arabic Typesetting"/>
          <w:color w:val="000000"/>
          <w:sz w:val="36"/>
          <w:szCs w:val="36"/>
          <w:rtl/>
        </w:rPr>
        <w:t xml:space="preserve"> وبنك </w:t>
      </w:r>
      <w:r w:rsidR="005211E0">
        <w:rPr>
          <w:rFonts w:ascii="Arabic Typesetting" w:hAnsi="Arabic Typesetting" w:cs="Arabic Typesetting" w:hint="cs"/>
          <w:color w:val="000000"/>
          <w:sz w:val="36"/>
          <w:szCs w:val="36"/>
          <w:rtl/>
        </w:rPr>
        <w:t>كانتون فو</w:t>
      </w:r>
      <w:r w:rsidRPr="009B4ACE">
        <w:rPr>
          <w:rFonts w:ascii="Arabic Typesetting" w:hAnsi="Arabic Typesetting" w:cs="Arabic Typesetting"/>
          <w:color w:val="000000"/>
          <w:sz w:val="36"/>
          <w:szCs w:val="36"/>
          <w:rtl/>
        </w:rPr>
        <w:t xml:space="preserve"> والويبو على تعديل اتفاقية القرض، بحيث </w:t>
      </w:r>
      <w:r w:rsidR="002B3DBD">
        <w:rPr>
          <w:rFonts w:ascii="Arabic Typesetting" w:hAnsi="Arabic Typesetting" w:cs="Arabic Typesetting" w:hint="cs"/>
          <w:color w:val="000000"/>
          <w:sz w:val="36"/>
          <w:szCs w:val="36"/>
          <w:rtl/>
        </w:rPr>
        <w:t>يوفَّر</w:t>
      </w:r>
      <w:r w:rsidRPr="009B4ACE">
        <w:rPr>
          <w:rFonts w:ascii="Arabic Typesetting" w:hAnsi="Arabic Typesetting" w:cs="Arabic Typesetting"/>
          <w:color w:val="000000"/>
          <w:sz w:val="36"/>
          <w:szCs w:val="36"/>
          <w:rtl/>
        </w:rPr>
        <w:t xml:space="preserve"> مبلغ إضافي قدرة 40 مليون فرنك سويسري بغرض تمويل جزء من تكلفة بناء قاعة المؤتمرات الجديدة وإتاحتها للاستخدام خلال الفترة من 31 مارس 2011 إلى 31 مارس 2014. </w:t>
      </w:r>
      <w:r w:rsidR="00A73A32">
        <w:rPr>
          <w:rFonts w:ascii="Arabic Typesetting" w:hAnsi="Arabic Typesetting" w:cs="Arabic Typesetting" w:hint="cs"/>
          <w:color w:val="000000"/>
          <w:sz w:val="36"/>
          <w:szCs w:val="36"/>
          <w:rtl/>
        </w:rPr>
        <w:t>وخلال عام 2014،</w:t>
      </w:r>
      <w:r w:rsidRPr="009B4ACE">
        <w:rPr>
          <w:rFonts w:ascii="Arabic Typesetting" w:hAnsi="Arabic Typesetting" w:cs="Arabic Typesetting"/>
          <w:color w:val="000000"/>
          <w:sz w:val="36"/>
          <w:szCs w:val="36"/>
          <w:rtl/>
        </w:rPr>
        <w:t xml:space="preserve"> لم تسحب "المنظمة" القيمة الإضافية البالغة 40 مليون فرنك سويسري. وتجدر الإشارة إلى </w:t>
      </w:r>
      <w:r w:rsidR="00A73A32">
        <w:rPr>
          <w:rFonts w:ascii="Arabic Typesetting" w:hAnsi="Arabic Typesetting" w:cs="Arabic Typesetting" w:hint="cs"/>
          <w:color w:val="000000"/>
          <w:sz w:val="36"/>
          <w:szCs w:val="36"/>
          <w:rtl/>
        </w:rPr>
        <w:t xml:space="preserve">أن </w:t>
      </w:r>
      <w:r w:rsidRPr="009B4ACE">
        <w:rPr>
          <w:rFonts w:ascii="Arabic Typesetting" w:hAnsi="Arabic Typesetting" w:cs="Arabic Typesetting"/>
          <w:color w:val="000000"/>
          <w:sz w:val="36"/>
          <w:szCs w:val="36"/>
          <w:rtl/>
        </w:rPr>
        <w:t xml:space="preserve">"المنظمة" </w:t>
      </w:r>
      <w:r w:rsidR="00A73A32">
        <w:rPr>
          <w:rFonts w:ascii="Arabic Typesetting" w:hAnsi="Arabic Typesetting" w:cs="Arabic Typesetting" w:hint="cs"/>
          <w:color w:val="000000"/>
          <w:sz w:val="36"/>
          <w:szCs w:val="36"/>
          <w:rtl/>
        </w:rPr>
        <w:t>قد سددت</w:t>
      </w:r>
      <w:r w:rsidRPr="009B4ACE">
        <w:rPr>
          <w:rFonts w:ascii="Arabic Typesetting" w:hAnsi="Arabic Typesetting" w:cs="Arabic Typesetting"/>
          <w:color w:val="000000"/>
          <w:sz w:val="36"/>
          <w:szCs w:val="36"/>
          <w:rtl/>
        </w:rPr>
        <w:t xml:space="preserve"> عمولة سنوية بواقع </w:t>
      </w:r>
      <w:r w:rsidR="00A73A32">
        <w:rPr>
          <w:rFonts w:ascii="Arabic Typesetting" w:hAnsi="Arabic Typesetting" w:cs="Arabic Typesetting" w:hint="cs"/>
          <w:color w:val="000000"/>
          <w:sz w:val="36"/>
          <w:szCs w:val="36"/>
          <w:rtl/>
        </w:rPr>
        <w:t>0.15</w:t>
      </w:r>
      <w:r>
        <w:rPr>
          <w:rFonts w:ascii="Arabic Typesetting" w:hAnsi="Arabic Typesetting" w:cs="Arabic Typesetting" w:hint="cs"/>
          <w:color w:val="000000"/>
          <w:sz w:val="36"/>
          <w:szCs w:val="36"/>
          <w:rtl/>
        </w:rPr>
        <w:t xml:space="preserve"> </w:t>
      </w:r>
      <w:r w:rsidR="00257637">
        <w:rPr>
          <w:rFonts w:ascii="Arabic Typesetting" w:hAnsi="Arabic Typesetting" w:cs="Arabic Typesetting" w:hint="cs"/>
          <w:color w:val="000000"/>
          <w:sz w:val="36"/>
          <w:szCs w:val="36"/>
          <w:rtl/>
        </w:rPr>
        <w:t>بالمئة</w:t>
      </w:r>
      <w:r w:rsidRPr="009B4ACE">
        <w:rPr>
          <w:rFonts w:ascii="Arabic Typesetting" w:hAnsi="Arabic Typesetting" w:cs="Arabic Typesetting"/>
          <w:color w:val="000000"/>
          <w:sz w:val="36"/>
          <w:szCs w:val="36"/>
          <w:rtl/>
        </w:rPr>
        <w:t xml:space="preserve"> على مبالغ القرض التي لم </w:t>
      </w:r>
      <w:r w:rsidR="002B3DBD">
        <w:rPr>
          <w:rFonts w:ascii="Arabic Typesetting" w:hAnsi="Arabic Typesetting" w:cs="Arabic Typesetting" w:hint="cs"/>
          <w:color w:val="000000"/>
          <w:sz w:val="36"/>
          <w:szCs w:val="36"/>
          <w:rtl/>
        </w:rPr>
        <w:t>تُسحب</w:t>
      </w:r>
      <w:r w:rsidRPr="009B4ACE">
        <w:rPr>
          <w:rFonts w:ascii="Arabic Typesetting" w:hAnsi="Arabic Typesetting" w:cs="Arabic Typesetting"/>
          <w:color w:val="000000"/>
          <w:sz w:val="36"/>
          <w:szCs w:val="36"/>
          <w:rtl/>
        </w:rPr>
        <w:t xml:space="preserve"> أثناء فترة صلاحية </w:t>
      </w:r>
      <w:r>
        <w:rPr>
          <w:rFonts w:ascii="Arabic Typesetting" w:hAnsi="Arabic Typesetting" w:cs="Arabic Typesetting" w:hint="cs"/>
          <w:sz w:val="36"/>
          <w:szCs w:val="36"/>
          <w:rtl/>
        </w:rPr>
        <w:t>القرض.</w:t>
      </w:r>
    </w:p>
    <w:p w14:paraId="4007BC09" w14:textId="77777777" w:rsidR="00E16243" w:rsidRPr="002869C3" w:rsidRDefault="00E16243" w:rsidP="00CD52ED">
      <w:pPr>
        <w:pStyle w:val="Heading2"/>
        <w:keepLines/>
        <w:tabs>
          <w:tab w:val="left" w:pos="1417"/>
        </w:tabs>
        <w:bidi/>
        <w:rPr>
          <w:rFonts w:ascii="Arabic Typesetting" w:hAnsi="Arabic Typesetting" w:cs="Arabic Typesetting"/>
          <w:i/>
          <w:iCs w:val="0"/>
          <w:sz w:val="40"/>
          <w:szCs w:val="40"/>
          <w:rtl/>
        </w:rPr>
      </w:pPr>
      <w:bookmarkStart w:id="33" w:name="_Toc362519114"/>
      <w:r w:rsidRPr="002869C3">
        <w:rPr>
          <w:rFonts w:ascii="Arabic Typesetting" w:hAnsi="Arabic Typesetting" w:cs="Arabic Typesetting" w:hint="cs"/>
          <w:i/>
          <w:iCs w:val="0"/>
          <w:sz w:val="40"/>
          <w:szCs w:val="40"/>
          <w:rtl/>
        </w:rPr>
        <w:t>الملاحظة 16:</w:t>
      </w:r>
      <w:r w:rsidR="00CD52ED">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المخصصات</w:t>
      </w:r>
      <w:bookmarkEnd w:id="33"/>
    </w:p>
    <w:p w14:paraId="03C57586" w14:textId="025FFA12" w:rsidR="00A77B55" w:rsidRDefault="00EA3D9F" w:rsidP="003B1C3B">
      <w:pPr>
        <w:pStyle w:val="NormalParaAR"/>
        <w:spacing w:before="240" w:line="240" w:lineRule="auto"/>
        <w:rPr>
          <w:rtl/>
        </w:rPr>
      </w:pPr>
      <w:r w:rsidRPr="00EA3D9F">
        <w:rPr>
          <w:noProof/>
          <w:rtl/>
        </w:rPr>
        <w:drawing>
          <wp:inline distT="0" distB="0" distL="0" distR="0" wp14:anchorId="42E5CC92" wp14:editId="310405D1">
            <wp:extent cx="5884545" cy="1007745"/>
            <wp:effectExtent l="0" t="0" r="1905" b="190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884545" cy="1007745"/>
                    </a:xfrm>
                    <a:prstGeom prst="rect">
                      <a:avLst/>
                    </a:prstGeom>
                    <a:noFill/>
                    <a:ln>
                      <a:noFill/>
                    </a:ln>
                  </pic:spPr>
                </pic:pic>
              </a:graphicData>
            </a:graphic>
          </wp:inline>
        </w:drawing>
      </w:r>
    </w:p>
    <w:p w14:paraId="493A3766" w14:textId="5BC0FFFA" w:rsidR="00E16243" w:rsidRDefault="004C3AA2" w:rsidP="00A73A32">
      <w:pPr>
        <w:pStyle w:val="NormalParaAR"/>
        <w:spacing w:before="240"/>
        <w:rPr>
          <w:rtl/>
        </w:rPr>
      </w:pPr>
      <w:r>
        <w:rPr>
          <w:rFonts w:hint="cs"/>
          <w:rtl/>
        </w:rPr>
        <w:lastRenderedPageBreak/>
        <w:t>تتعرض المنظمة</w:t>
      </w:r>
      <w:r w:rsidR="00A77B55">
        <w:rPr>
          <w:rFonts w:hint="cs"/>
          <w:rtl/>
        </w:rPr>
        <w:t xml:space="preserve"> </w:t>
      </w:r>
      <w:r w:rsidR="00E16243" w:rsidRPr="00F82332">
        <w:rPr>
          <w:rFonts w:hint="cs"/>
          <w:rtl/>
        </w:rPr>
        <w:t xml:space="preserve">للإجراءات القضائية كجزء من أنشطة عملها العادي. </w:t>
      </w:r>
      <w:r w:rsidR="00E16243">
        <w:rPr>
          <w:rFonts w:hint="cs"/>
          <w:rtl/>
        </w:rPr>
        <w:t>وقد ترتب</w:t>
      </w:r>
      <w:r w:rsidR="00E16243" w:rsidRPr="00F82332">
        <w:rPr>
          <w:rFonts w:hint="cs"/>
          <w:rtl/>
        </w:rPr>
        <w:t xml:space="preserve"> </w:t>
      </w:r>
      <w:r w:rsidR="00E16243">
        <w:rPr>
          <w:rFonts w:hint="cs"/>
          <w:rtl/>
        </w:rPr>
        <w:t xml:space="preserve">على </w:t>
      </w:r>
      <w:r w:rsidR="00E16243" w:rsidRPr="00F82332">
        <w:rPr>
          <w:rFonts w:hint="cs"/>
          <w:rtl/>
        </w:rPr>
        <w:t>الأحداث التي وقعت قبل 31 ديسمبر</w:t>
      </w:r>
      <w:r w:rsidR="00E16243" w:rsidRPr="00F82332">
        <w:rPr>
          <w:rFonts w:hint="eastAsia"/>
          <w:rtl/>
        </w:rPr>
        <w:t> </w:t>
      </w:r>
      <w:r w:rsidR="00A73A32">
        <w:rPr>
          <w:rFonts w:hint="cs"/>
          <w:rtl/>
        </w:rPr>
        <w:t>2014</w:t>
      </w:r>
      <w:r w:rsidR="00E16243" w:rsidRPr="00F82332">
        <w:rPr>
          <w:rFonts w:hint="cs"/>
          <w:rtl/>
        </w:rPr>
        <w:t xml:space="preserve"> بعض الالتزامات القانونية </w:t>
      </w:r>
      <w:r w:rsidR="00E16243">
        <w:rPr>
          <w:rFonts w:hint="cs"/>
          <w:rtl/>
        </w:rPr>
        <w:t xml:space="preserve">حتى </w:t>
      </w:r>
      <w:r w:rsidR="00E16243" w:rsidRPr="00F82332">
        <w:rPr>
          <w:rFonts w:hint="cs"/>
          <w:rtl/>
        </w:rPr>
        <w:t xml:space="preserve">تاريخ التقرير المالي. وبما أنه يحتمل أن تقتضي هذه الالتزامات تسوية في المستقبل وبما أنه بالإمكان تقدير المبالغ المتعلقة بعمليات التسوية بشكل موثوق، فقد وضعت المنظمة مخصصات لتغطية التكاليف القانونية. وقدرت المخصصات بأكبر قدر ممكن من الدقة على </w:t>
      </w:r>
      <w:r w:rsidR="00FD2528">
        <w:rPr>
          <w:rFonts w:hint="cs"/>
          <w:rtl/>
        </w:rPr>
        <w:t xml:space="preserve">أساس </w:t>
      </w:r>
      <w:r w:rsidR="00E16243" w:rsidRPr="00F82332">
        <w:rPr>
          <w:rFonts w:hint="cs"/>
          <w:rtl/>
        </w:rPr>
        <w:t>المعلومات المتاحة.</w:t>
      </w:r>
    </w:p>
    <w:p w14:paraId="596C13DA" w14:textId="588D8114" w:rsidR="003B1C3B" w:rsidRDefault="002B7988" w:rsidP="00E44C7C">
      <w:pPr>
        <w:pStyle w:val="NormalParaAR"/>
        <w:spacing w:before="240" w:line="240" w:lineRule="auto"/>
        <w:jc w:val="center"/>
        <w:rPr>
          <w:rtl/>
        </w:rPr>
      </w:pPr>
      <w:r w:rsidRPr="002B7988">
        <w:rPr>
          <w:noProof/>
          <w:rtl/>
        </w:rPr>
        <w:drawing>
          <wp:inline distT="0" distB="0" distL="0" distR="0" wp14:anchorId="544A3C46" wp14:editId="1C21D24C">
            <wp:extent cx="4556760" cy="336042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556760" cy="3360420"/>
                    </a:xfrm>
                    <a:prstGeom prst="rect">
                      <a:avLst/>
                    </a:prstGeom>
                    <a:noFill/>
                    <a:ln>
                      <a:noFill/>
                    </a:ln>
                  </pic:spPr>
                </pic:pic>
              </a:graphicData>
            </a:graphic>
          </wp:inline>
        </w:drawing>
      </w:r>
    </w:p>
    <w:p w14:paraId="22427D32" w14:textId="77777777" w:rsidR="00E16243" w:rsidRDefault="00E16243" w:rsidP="00CD52ED">
      <w:pPr>
        <w:pStyle w:val="Heading2"/>
        <w:tabs>
          <w:tab w:val="left" w:pos="1417"/>
        </w:tabs>
        <w:bidi/>
        <w:rPr>
          <w:rFonts w:ascii="Arabic Typesetting" w:hAnsi="Arabic Typesetting" w:cs="Arabic Typesetting"/>
          <w:i/>
          <w:iCs w:val="0"/>
          <w:sz w:val="40"/>
          <w:szCs w:val="40"/>
        </w:rPr>
      </w:pPr>
      <w:bookmarkStart w:id="34" w:name="_Toc362519115"/>
      <w:r w:rsidRPr="002869C3">
        <w:rPr>
          <w:rFonts w:ascii="Arabic Typesetting" w:hAnsi="Arabic Typesetting" w:cs="Arabic Typesetting" w:hint="cs"/>
          <w:i/>
          <w:iCs w:val="0"/>
          <w:sz w:val="40"/>
          <w:szCs w:val="40"/>
          <w:rtl/>
        </w:rPr>
        <w:t>الملاحظة 17:</w:t>
      </w:r>
      <w:r w:rsidR="00CD52ED">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خصوم أخرى</w:t>
      </w:r>
      <w:bookmarkEnd w:id="34"/>
    </w:p>
    <w:p w14:paraId="6BC9A953" w14:textId="235AAEF0" w:rsidR="00CD52ED" w:rsidRPr="00CD52ED" w:rsidRDefault="002B7988" w:rsidP="00CD52ED">
      <w:pPr>
        <w:bidi/>
        <w:jc w:val="center"/>
        <w:rPr>
          <w:rFonts w:ascii="Arabic Typesetting" w:hAnsi="Arabic Typesetting" w:cs="Arabic Typesetting"/>
          <w:sz w:val="36"/>
          <w:szCs w:val="36"/>
        </w:rPr>
      </w:pPr>
      <w:r w:rsidRPr="002B7988">
        <w:rPr>
          <w:noProof/>
          <w:szCs w:val="22"/>
          <w:rtl/>
        </w:rPr>
        <w:drawing>
          <wp:inline distT="0" distB="0" distL="0" distR="0" wp14:anchorId="0B92D4AF" wp14:editId="3515E0B7">
            <wp:extent cx="5882640" cy="1013460"/>
            <wp:effectExtent l="0" t="0" r="381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882640" cy="1013460"/>
                    </a:xfrm>
                    <a:prstGeom prst="rect">
                      <a:avLst/>
                    </a:prstGeom>
                    <a:noFill/>
                    <a:ln>
                      <a:noFill/>
                    </a:ln>
                  </pic:spPr>
                </pic:pic>
              </a:graphicData>
            </a:graphic>
          </wp:inline>
        </w:drawing>
      </w:r>
    </w:p>
    <w:p w14:paraId="508F1E5C" w14:textId="381F2812" w:rsidR="00E16243" w:rsidRDefault="00E16243" w:rsidP="002B3DBD">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تتيح المنظمة لمودعي طلبات</w:t>
      </w:r>
      <w:r w:rsidR="00A73A32">
        <w:rPr>
          <w:rFonts w:ascii="Arabic Typesetting" w:hAnsi="Arabic Typesetting" w:cs="Arabic Typesetting" w:hint="cs"/>
          <w:sz w:val="36"/>
          <w:szCs w:val="36"/>
          <w:rtl/>
        </w:rPr>
        <w:t xml:space="preserve"> البراءات و</w:t>
      </w:r>
      <w:r>
        <w:rPr>
          <w:rFonts w:ascii="Arabic Typesetting" w:hAnsi="Arabic Typesetting" w:cs="Arabic Typesetting" w:hint="cs"/>
          <w:sz w:val="36"/>
          <w:szCs w:val="36"/>
          <w:rtl/>
        </w:rPr>
        <w:t xml:space="preserve">العلامات التجارية والرسوم والنماذج الصناعية إمكانية إيداع أموال تحت باب "حسابات جارية" وتعمل المنظمة عمل الأمين عليها إلى أن يحين أوان استعمالها لتغطية الرسوم الواجب دفعها فيما يتعلق بالطلبات والتجديدات الفردية. وتمسك المنظمة تلك المبالغ إلى حين إيداع الطلبات المعنية. وفور استلام الطلب المعني والتصريح، </w:t>
      </w:r>
      <w:r w:rsidR="002B3DBD">
        <w:rPr>
          <w:rFonts w:ascii="Arabic Typesetting" w:hAnsi="Arabic Typesetting" w:cs="Arabic Typesetting" w:hint="cs"/>
          <w:sz w:val="36"/>
          <w:szCs w:val="36"/>
          <w:rtl/>
        </w:rPr>
        <w:t>يخفض</w:t>
      </w:r>
      <w:r>
        <w:rPr>
          <w:rFonts w:ascii="Arabic Typesetting" w:hAnsi="Arabic Typesetting" w:cs="Arabic Typesetting" w:hint="cs"/>
          <w:sz w:val="36"/>
          <w:szCs w:val="36"/>
          <w:rtl/>
        </w:rPr>
        <w:t xml:space="preserve"> رصيد الحساب الجاري وتُعامل الأموال على أنها ودائع إلى حين تسجيل الطلب.</w:t>
      </w:r>
    </w:p>
    <w:p w14:paraId="1D8C884A" w14:textId="77777777" w:rsidR="00E16243" w:rsidRDefault="00E16243" w:rsidP="00E16243">
      <w:pPr>
        <w:bidi/>
        <w:spacing w:after="240" w:line="360" w:lineRule="exact"/>
        <w:rPr>
          <w:rFonts w:ascii="Arabic Typesetting" w:hAnsi="Arabic Typesetting" w:cs="Arabic Typesetting"/>
          <w:sz w:val="36"/>
          <w:szCs w:val="36"/>
          <w:rtl/>
        </w:rPr>
      </w:pPr>
      <w:r w:rsidRPr="0046343B">
        <w:rPr>
          <w:rFonts w:ascii="Arabic Typesetting" w:hAnsi="Arabic Typesetting" w:cs="Arabic Typesetting" w:hint="cs"/>
          <w:sz w:val="36"/>
          <w:szCs w:val="36"/>
          <w:rtl/>
        </w:rPr>
        <w:t xml:space="preserve">وبالإضافة إلى ذلك، </w:t>
      </w:r>
      <w:r>
        <w:rPr>
          <w:rFonts w:ascii="Arabic Typesetting" w:hAnsi="Arabic Typesetting" w:cs="Arabic Typesetting" w:hint="cs"/>
          <w:sz w:val="36"/>
          <w:szCs w:val="36"/>
          <w:rtl/>
        </w:rPr>
        <w:t>تحتفظ</w:t>
      </w:r>
      <w:r w:rsidRPr="0046343B">
        <w:rPr>
          <w:rFonts w:ascii="Arabic Typesetting" w:hAnsi="Arabic Typesetting" w:cs="Arabic Typesetting" w:hint="cs"/>
          <w:sz w:val="36"/>
          <w:szCs w:val="36"/>
          <w:rtl/>
        </w:rPr>
        <w:t xml:space="preserve"> المنظمة </w:t>
      </w:r>
      <w:r>
        <w:rPr>
          <w:rFonts w:ascii="Arabic Typesetting" w:hAnsi="Arabic Typesetting" w:cs="Arabic Typesetting" w:hint="cs"/>
          <w:sz w:val="36"/>
          <w:szCs w:val="36"/>
          <w:rtl/>
        </w:rPr>
        <w:t>ب</w:t>
      </w:r>
      <w:r w:rsidRPr="0046343B">
        <w:rPr>
          <w:rFonts w:ascii="Arabic Typesetting" w:hAnsi="Arabic Typesetting" w:cs="Arabic Typesetting" w:hint="cs"/>
          <w:sz w:val="36"/>
          <w:szCs w:val="36"/>
          <w:rtl/>
        </w:rPr>
        <w:t>حسابات مصرفية باسمها من أجل توفير الآلية لبعض الأطراف المتعاقدة كي تستطيع تلك الأطراف تحويل الأموال التي تحصّلها بالنيابة عن المنظمة. ولا تعتبر المنظمة رصيد تلك الحسابات من باب الإيرادات حتى يُطلع الطرف المتعاقد المعني المنظمة بأن تلك الأموال المقيدة في تلك الحسابات تعد من إيرادات المنظمة.</w:t>
      </w:r>
    </w:p>
    <w:p w14:paraId="7049EAA1" w14:textId="77777777" w:rsidR="00E55E23" w:rsidRDefault="00E16243" w:rsidP="00CD52ED">
      <w:pPr>
        <w:pStyle w:val="Heading2"/>
        <w:tabs>
          <w:tab w:val="left" w:pos="1417"/>
        </w:tabs>
        <w:bidi/>
        <w:rPr>
          <w:rFonts w:ascii="Arabic Typesetting" w:hAnsi="Arabic Typesetting" w:cs="Arabic Typesetting"/>
          <w:i/>
          <w:iCs w:val="0"/>
          <w:sz w:val="40"/>
          <w:szCs w:val="40"/>
          <w:rtl/>
        </w:rPr>
      </w:pPr>
      <w:bookmarkStart w:id="35" w:name="_Toc362519116"/>
      <w:r w:rsidRPr="002869C3">
        <w:rPr>
          <w:rFonts w:ascii="Arabic Typesetting" w:hAnsi="Arabic Typesetting" w:cs="Arabic Typesetting" w:hint="cs"/>
          <w:i/>
          <w:iCs w:val="0"/>
          <w:sz w:val="40"/>
          <w:szCs w:val="40"/>
          <w:rtl/>
        </w:rPr>
        <w:t>الملاحظة 18:</w:t>
      </w:r>
      <w:r w:rsidR="00CD52ED">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الأصول والخصوم المحتملة</w:t>
      </w:r>
      <w:bookmarkEnd w:id="35"/>
    </w:p>
    <w:p w14:paraId="68EC68E6" w14:textId="2B8D8C3E" w:rsidR="00E16243" w:rsidRDefault="00E16243" w:rsidP="00A73A32">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يوجد </w:t>
      </w:r>
      <w:r w:rsidRPr="00C715C7">
        <w:rPr>
          <w:rFonts w:ascii="Arabic Typesetting" w:hAnsi="Arabic Typesetting" w:cs="Arabic Typesetting"/>
          <w:sz w:val="36"/>
          <w:szCs w:val="36"/>
          <w:rtl/>
        </w:rPr>
        <w:t xml:space="preserve">نزاع </w:t>
      </w:r>
      <w:r>
        <w:rPr>
          <w:rFonts w:ascii="Arabic Typesetting" w:hAnsi="Arabic Typesetting" w:cs="Arabic Typesetting" w:hint="cs"/>
          <w:sz w:val="36"/>
          <w:szCs w:val="36"/>
          <w:rtl/>
        </w:rPr>
        <w:t>بين عدد</w:t>
      </w:r>
      <w:r>
        <w:rPr>
          <w:rFonts w:ascii="Arabic Typesetting" w:hAnsi="Arabic Typesetting" w:cs="Arabic Typesetting"/>
          <w:sz w:val="36"/>
          <w:szCs w:val="36"/>
          <w:rtl/>
        </w:rPr>
        <w:t xml:space="preserve"> من</w:t>
      </w:r>
      <w:r>
        <w:rPr>
          <w:rFonts w:ascii="Arabic Typesetting" w:hAnsi="Arabic Typesetting" w:cs="Arabic Typesetting" w:hint="cs"/>
          <w:sz w:val="36"/>
          <w:szCs w:val="36"/>
          <w:rtl/>
        </w:rPr>
        <w:t xml:space="preserve"> </w:t>
      </w:r>
      <w:r w:rsidRPr="00C715C7">
        <w:rPr>
          <w:rFonts w:ascii="Arabic Typesetting" w:hAnsi="Arabic Typesetting" w:cs="Arabic Typesetting"/>
          <w:sz w:val="36"/>
          <w:szCs w:val="36"/>
          <w:rtl/>
        </w:rPr>
        <w:t xml:space="preserve">موظفي الويبو </w:t>
      </w:r>
      <w:r>
        <w:rPr>
          <w:rFonts w:ascii="Arabic Typesetting" w:hAnsi="Arabic Typesetting" w:cs="Arabic Typesetting" w:hint="cs"/>
          <w:sz w:val="36"/>
          <w:szCs w:val="36"/>
          <w:rtl/>
        </w:rPr>
        <w:t>وال</w:t>
      </w:r>
      <w:r w:rsidRPr="00C715C7">
        <w:rPr>
          <w:rFonts w:ascii="Arabic Typesetting" w:hAnsi="Arabic Typesetting" w:cs="Arabic Typesetting"/>
          <w:sz w:val="36"/>
          <w:szCs w:val="36"/>
          <w:rtl/>
        </w:rPr>
        <w:t>منظمة</w:t>
      </w:r>
      <w:r>
        <w:rPr>
          <w:rFonts w:ascii="Arabic Typesetting" w:hAnsi="Arabic Typesetting" w:cs="Arabic Typesetting" w:hint="cs"/>
          <w:sz w:val="36"/>
          <w:szCs w:val="36"/>
          <w:rtl/>
        </w:rPr>
        <w:t>. وقد وردت الأحكام التي صدرت بشأن</w:t>
      </w:r>
      <w:r w:rsidRPr="00525063">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الدعاوى المرفوعة أمام</w:t>
      </w:r>
      <w:r w:rsidRPr="00525063">
        <w:rPr>
          <w:rFonts w:ascii="Arabic Typesetting" w:hAnsi="Arabic Typesetting" w:cs="Arabic Typesetting"/>
          <w:sz w:val="36"/>
          <w:szCs w:val="36"/>
          <w:rtl/>
        </w:rPr>
        <w:t xml:space="preserve"> </w:t>
      </w:r>
      <w:r w:rsidRPr="00862686">
        <w:rPr>
          <w:rFonts w:ascii="Arabic Typesetting" w:hAnsi="Arabic Typesetting" w:cs="Arabic Typesetting"/>
          <w:sz w:val="36"/>
          <w:szCs w:val="36"/>
          <w:rtl/>
        </w:rPr>
        <w:t xml:space="preserve">مجلس الويبو للتظلمات </w:t>
      </w:r>
      <w:r w:rsidRPr="00862686">
        <w:rPr>
          <w:rFonts w:ascii="Arabic Typesetting" w:hAnsi="Arabic Typesetting" w:cs="Arabic Typesetting"/>
          <w:sz w:val="36"/>
          <w:szCs w:val="36"/>
        </w:rPr>
        <w:t>(WAB)</w:t>
      </w:r>
      <w:r>
        <w:rPr>
          <w:rFonts w:ascii="Arabic Typesetting" w:hAnsi="Arabic Typesetting" w:cs="Arabic Typesetting" w:hint="cs"/>
          <w:sz w:val="36"/>
          <w:szCs w:val="36"/>
          <w:rtl/>
        </w:rPr>
        <w:t xml:space="preserve"> </w:t>
      </w:r>
      <w:r>
        <w:rPr>
          <w:rFonts w:ascii="Arabic Typesetting" w:hAnsi="Arabic Typesetting" w:cs="Arabic Typesetting"/>
          <w:sz w:val="36"/>
          <w:szCs w:val="36"/>
          <w:rtl/>
        </w:rPr>
        <w:t>والمحكمة ال</w:t>
      </w:r>
      <w:r>
        <w:rPr>
          <w:rFonts w:ascii="Arabic Typesetting" w:hAnsi="Arabic Typesetting" w:cs="Arabic Typesetting" w:hint="cs"/>
          <w:sz w:val="36"/>
          <w:szCs w:val="36"/>
          <w:rtl/>
        </w:rPr>
        <w:t>إ</w:t>
      </w:r>
      <w:r w:rsidRPr="00862686">
        <w:rPr>
          <w:rFonts w:ascii="Arabic Typesetting" w:hAnsi="Arabic Typesetting" w:cs="Arabic Typesetting"/>
          <w:sz w:val="36"/>
          <w:szCs w:val="36"/>
          <w:rtl/>
        </w:rPr>
        <w:t>دارية التابعة لمنظمة العمل الدولية</w:t>
      </w:r>
      <w:r>
        <w:rPr>
          <w:rFonts w:ascii="Arabic Typesetting" w:hAnsi="Arabic Typesetting" w:cs="Arabic Typesetting" w:hint="cs"/>
          <w:sz w:val="36"/>
          <w:szCs w:val="36"/>
          <w:rtl/>
        </w:rPr>
        <w:t xml:space="preserve"> </w:t>
      </w:r>
      <w:r w:rsidRPr="00862686">
        <w:rPr>
          <w:rFonts w:ascii="Arabic Typesetting" w:hAnsi="Arabic Typesetting" w:cs="Arabic Typesetting"/>
          <w:sz w:val="36"/>
          <w:szCs w:val="36"/>
        </w:rPr>
        <w:t>(ILOAT)</w:t>
      </w:r>
      <w:r>
        <w:rPr>
          <w:rFonts w:ascii="Arabic Typesetting" w:hAnsi="Arabic Typesetting" w:cs="Arabic Typesetting" w:hint="cs"/>
          <w:sz w:val="36"/>
          <w:szCs w:val="36"/>
          <w:rtl/>
        </w:rPr>
        <w:t xml:space="preserve"> في الملاحظة رقم 16. ولم تصدر أحكام بشأن قضايا أخرى معينة منظورة أمام المجلس والمحكمة الإدارية حيث أفادت المشورة القانونية بأن من غير المحتمل أن تنشأ التزامات </w:t>
      </w:r>
      <w:r>
        <w:rPr>
          <w:rFonts w:ascii="Arabic Typesetting" w:hAnsi="Arabic Typesetting" w:cs="Arabic Typesetting" w:hint="cs"/>
          <w:sz w:val="36"/>
          <w:szCs w:val="36"/>
          <w:rtl/>
        </w:rPr>
        <w:lastRenderedPageBreak/>
        <w:t xml:space="preserve">عن هذه القضايا. وتُقدر الخصوم المحتملة </w:t>
      </w:r>
      <w:r>
        <w:rPr>
          <w:rFonts w:ascii="Arabic Typesetting" w:hAnsi="Arabic Typesetting" w:cs="Arabic Typesetting" w:hint="cs"/>
          <w:sz w:val="36"/>
          <w:szCs w:val="36"/>
          <w:rtl/>
          <w:lang w:bidi="ar-EG"/>
        </w:rPr>
        <w:t>التي من الممكن أن تسددها المنظمة للدعاوى الناشئة عن هذه القضايا بنحو</w:t>
      </w:r>
      <w:r>
        <w:rPr>
          <w:rFonts w:ascii="Arabic Typesetting" w:hAnsi="Arabic Typesetting" w:cs="Arabic Typesetting" w:hint="eastAsia"/>
          <w:sz w:val="36"/>
          <w:szCs w:val="36"/>
          <w:rtl/>
          <w:lang w:bidi="ar-EG"/>
        </w:rPr>
        <w:t> </w:t>
      </w:r>
      <w:r w:rsidR="003B4621">
        <w:rPr>
          <w:rFonts w:ascii="Arabic Typesetting" w:hAnsi="Arabic Typesetting" w:cs="Arabic Typesetting" w:hint="cs"/>
          <w:sz w:val="36"/>
          <w:szCs w:val="36"/>
          <w:rtl/>
          <w:lang w:bidi="ar-EG"/>
        </w:rPr>
        <w:t>5</w:t>
      </w:r>
      <w:r>
        <w:rPr>
          <w:rFonts w:ascii="Arabic Typesetting" w:hAnsi="Arabic Typesetting" w:cs="Arabic Typesetting" w:hint="cs"/>
          <w:sz w:val="36"/>
          <w:szCs w:val="36"/>
          <w:rtl/>
          <w:lang w:bidi="ar-EG"/>
        </w:rPr>
        <w:t>00 </w:t>
      </w:r>
      <w:r w:rsidR="00A73A32">
        <w:rPr>
          <w:rFonts w:ascii="Arabic Typesetting" w:hAnsi="Arabic Typesetting" w:cs="Arabic Typesetting" w:hint="cs"/>
          <w:sz w:val="36"/>
          <w:szCs w:val="36"/>
          <w:rtl/>
          <w:lang w:bidi="ar-EG"/>
        </w:rPr>
        <w:t>605</w:t>
      </w:r>
      <w:r>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rPr>
        <w:t>فرنك سويسري حتى</w:t>
      </w:r>
      <w:r w:rsidRPr="00F71586">
        <w:rPr>
          <w:rFonts w:ascii="Arabic Typesetting" w:hAnsi="Arabic Typesetting" w:cs="Arabic Typesetting" w:hint="cs"/>
          <w:sz w:val="36"/>
          <w:szCs w:val="36"/>
          <w:rtl/>
        </w:rPr>
        <w:t xml:space="preserve"> تاريخ التقرير المالي. </w:t>
      </w:r>
      <w:r>
        <w:rPr>
          <w:rFonts w:ascii="Arabic Typesetting" w:hAnsi="Arabic Typesetting" w:cs="Arabic Typesetting" w:hint="cs"/>
          <w:sz w:val="36"/>
          <w:szCs w:val="36"/>
          <w:rtl/>
        </w:rPr>
        <w:t xml:space="preserve">كما توجد أيضا </w:t>
      </w:r>
      <w:r w:rsidRPr="00F71586">
        <w:rPr>
          <w:rFonts w:ascii="Arabic Typesetting" w:hAnsi="Arabic Typesetting" w:cs="Arabic Typesetting" w:hint="cs"/>
          <w:sz w:val="36"/>
          <w:szCs w:val="36"/>
          <w:rtl/>
        </w:rPr>
        <w:t>دعاوى</w:t>
      </w:r>
      <w:r>
        <w:rPr>
          <w:rFonts w:ascii="Arabic Typesetting" w:hAnsi="Arabic Typesetting" w:cs="Arabic Typesetting" w:hint="cs"/>
          <w:sz w:val="36"/>
          <w:szCs w:val="36"/>
          <w:rtl/>
        </w:rPr>
        <w:t xml:space="preserve"> أقامها</w:t>
      </w:r>
      <w:r w:rsidRPr="00F71586">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موظفو</w:t>
      </w:r>
      <w:r w:rsidRPr="00F71586">
        <w:rPr>
          <w:rFonts w:ascii="Arabic Typesetting" w:hAnsi="Arabic Typesetting" w:cs="Arabic Typesetting" w:hint="cs"/>
          <w:sz w:val="36"/>
          <w:szCs w:val="36"/>
          <w:rtl/>
        </w:rPr>
        <w:t xml:space="preserve"> الويبو </w:t>
      </w:r>
      <w:r w:rsidR="00752322">
        <w:rPr>
          <w:rFonts w:ascii="Arabic Typesetting" w:hAnsi="Arabic Typesetting" w:cs="Arabic Typesetting" w:hint="cs"/>
          <w:sz w:val="36"/>
          <w:szCs w:val="36"/>
          <w:rtl/>
        </w:rPr>
        <w:t>م</w:t>
      </w:r>
      <w:r>
        <w:rPr>
          <w:rFonts w:ascii="Arabic Typesetting" w:hAnsi="Arabic Typesetting" w:cs="Arabic Typesetting" w:hint="cs"/>
          <w:sz w:val="36"/>
          <w:szCs w:val="36"/>
          <w:rtl/>
        </w:rPr>
        <w:t>لتُمس مُراجعتها</w:t>
      </w:r>
      <w:r w:rsidRPr="001E6163">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لم تتأكد بعد ال</w:t>
      </w:r>
      <w:r>
        <w:rPr>
          <w:rFonts w:ascii="Arabic Typesetting" w:hAnsi="Arabic Typesetting" w:cs="Arabic Typesetting"/>
          <w:sz w:val="36"/>
          <w:szCs w:val="36"/>
          <w:rtl/>
        </w:rPr>
        <w:t>مب</w:t>
      </w:r>
      <w:r>
        <w:rPr>
          <w:rFonts w:ascii="Arabic Typesetting" w:hAnsi="Arabic Typesetting" w:cs="Arabic Typesetting" w:hint="cs"/>
          <w:sz w:val="36"/>
          <w:szCs w:val="36"/>
          <w:rtl/>
        </w:rPr>
        <w:t>ا</w:t>
      </w:r>
      <w:r>
        <w:rPr>
          <w:rFonts w:ascii="Arabic Typesetting" w:hAnsi="Arabic Typesetting" w:cs="Arabic Typesetting"/>
          <w:sz w:val="36"/>
          <w:szCs w:val="36"/>
          <w:rtl/>
        </w:rPr>
        <w:t>لغ</w:t>
      </w:r>
      <w:r>
        <w:rPr>
          <w:rFonts w:ascii="Arabic Typesetting" w:hAnsi="Arabic Typesetting" w:cs="Arabic Typesetting" w:hint="cs"/>
          <w:sz w:val="36"/>
          <w:szCs w:val="36"/>
          <w:rtl/>
        </w:rPr>
        <w:t xml:space="preserve"> المترتبة على أي منها؛ ومن ثمَّ لم</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تُقيد لها أي مخصصات. وتُقدر الخصوم المحتملة التي قد تسددها المنظمة للتسويات الناشئة عن تلك القضايا بنحو</w:t>
      </w:r>
      <w:r>
        <w:rPr>
          <w:rFonts w:ascii="Arabic Typesetting" w:hAnsi="Arabic Typesetting" w:cs="Arabic Typesetting" w:hint="eastAsia"/>
          <w:sz w:val="36"/>
          <w:szCs w:val="36"/>
          <w:rtl/>
        </w:rPr>
        <w:t> </w:t>
      </w:r>
      <w:r w:rsidR="00A73A32">
        <w:rPr>
          <w:rFonts w:ascii="Arabic Typesetting" w:hAnsi="Arabic Typesetting" w:cs="Arabic Typesetting" w:hint="cs"/>
          <w:sz w:val="36"/>
          <w:szCs w:val="36"/>
          <w:rtl/>
        </w:rPr>
        <w:t>1000</w:t>
      </w:r>
      <w:r>
        <w:rPr>
          <w:rFonts w:ascii="Arabic Typesetting" w:hAnsi="Arabic Typesetting" w:cs="Arabic Typesetting" w:hint="cs"/>
          <w:sz w:val="36"/>
          <w:szCs w:val="36"/>
          <w:rtl/>
        </w:rPr>
        <w:t xml:space="preserve"> فرنك سويسري في تاريخ إعداد التقرير المالي.</w:t>
      </w:r>
    </w:p>
    <w:p w14:paraId="4CD28A9A" w14:textId="77777777" w:rsidR="00E55E23" w:rsidRDefault="00E16243" w:rsidP="00A73A32">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وفي 31 ديسمبر </w:t>
      </w:r>
      <w:r w:rsidR="00A73A32">
        <w:rPr>
          <w:rFonts w:ascii="Arabic Typesetting" w:hAnsi="Arabic Typesetting" w:cs="Arabic Typesetting" w:hint="cs"/>
          <w:sz w:val="36"/>
          <w:szCs w:val="36"/>
          <w:rtl/>
        </w:rPr>
        <w:t>2014</w:t>
      </w:r>
      <w:r>
        <w:rPr>
          <w:rFonts w:ascii="Arabic Typesetting" w:hAnsi="Arabic Typesetting" w:cs="Arabic Typesetting" w:hint="cs"/>
          <w:sz w:val="36"/>
          <w:szCs w:val="36"/>
          <w:rtl/>
        </w:rPr>
        <w:t xml:space="preserve"> بلغت قيمة العقود غير المسددة المتصلة ببناء قاعة المؤتمرات الجديدة </w:t>
      </w:r>
      <w:r w:rsidR="00A73A32">
        <w:rPr>
          <w:rFonts w:ascii="Arabic Typesetting" w:hAnsi="Arabic Typesetting" w:cs="Arabic Typesetting" w:hint="cs"/>
          <w:sz w:val="36"/>
          <w:szCs w:val="36"/>
          <w:rtl/>
        </w:rPr>
        <w:t>0.2</w:t>
      </w:r>
      <w:r>
        <w:rPr>
          <w:rFonts w:ascii="Arabic Typesetting" w:hAnsi="Arabic Typesetting" w:cs="Arabic Typesetting" w:hint="cs"/>
          <w:sz w:val="36"/>
          <w:szCs w:val="36"/>
          <w:rtl/>
        </w:rPr>
        <w:t xml:space="preserve"> مليون فرنك سويسري</w:t>
      </w:r>
      <w:r w:rsidR="00427166">
        <w:rPr>
          <w:rFonts w:ascii="Arabic Typesetting" w:hAnsi="Arabic Typesetting" w:cs="Arabic Typesetting" w:hint="cs"/>
          <w:sz w:val="36"/>
          <w:szCs w:val="36"/>
          <w:rtl/>
        </w:rPr>
        <w:t xml:space="preserve">، وقيمة العقود غير المسددة المتصلة بمباني الأمن </w:t>
      </w:r>
      <w:r w:rsidR="00A73A32">
        <w:rPr>
          <w:rFonts w:ascii="Arabic Typesetting" w:hAnsi="Arabic Typesetting" w:cs="Arabic Typesetting" w:hint="cs"/>
          <w:sz w:val="36"/>
          <w:szCs w:val="36"/>
          <w:rtl/>
        </w:rPr>
        <w:t>0.6</w:t>
      </w:r>
      <w:r w:rsidR="00427166">
        <w:rPr>
          <w:rFonts w:ascii="Arabic Typesetting" w:hAnsi="Arabic Typesetting" w:cs="Arabic Typesetting" w:hint="cs"/>
          <w:sz w:val="36"/>
          <w:szCs w:val="36"/>
          <w:rtl/>
        </w:rPr>
        <w:t xml:space="preserve"> مليون فرنك سويسري</w:t>
      </w:r>
      <w:r>
        <w:rPr>
          <w:rFonts w:ascii="Arabic Typesetting" w:hAnsi="Arabic Typesetting" w:cs="Arabic Typesetting" w:hint="cs"/>
          <w:sz w:val="36"/>
          <w:szCs w:val="36"/>
          <w:rtl/>
        </w:rPr>
        <w:t>.</w:t>
      </w:r>
    </w:p>
    <w:p w14:paraId="66476906" w14:textId="5EBB26F6" w:rsidR="00A73A32" w:rsidRDefault="0023352B" w:rsidP="00644A9D">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وأبرمت المنظمة أيضاً عقود غير قابلة للفسخ عن خدمات تبلغ قيمتها الإجمالية 1.5 مليون فرنك سويسري.</w:t>
      </w:r>
    </w:p>
    <w:p w14:paraId="06FF639B" w14:textId="77777777" w:rsidR="00E16243" w:rsidRDefault="00E16243" w:rsidP="00A73A32">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 xml:space="preserve">وتجري المنظمة مفاوضات مع المقاول </w:t>
      </w:r>
      <w:r w:rsidR="00427166">
        <w:rPr>
          <w:rFonts w:ascii="Arabic Typesetting" w:hAnsi="Arabic Typesetting" w:cs="Arabic Typesetting" w:hint="cs"/>
          <w:sz w:val="36"/>
          <w:szCs w:val="36"/>
          <w:rtl/>
        </w:rPr>
        <w:t xml:space="preserve">الذي كان </w:t>
      </w:r>
      <w:r>
        <w:rPr>
          <w:rFonts w:ascii="Arabic Typesetting" w:hAnsi="Arabic Typesetting" w:cs="Arabic Typesetting" w:hint="cs"/>
          <w:sz w:val="36"/>
          <w:szCs w:val="36"/>
          <w:rtl/>
        </w:rPr>
        <w:t>مسؤول</w:t>
      </w:r>
      <w:r w:rsidR="00427166">
        <w:rPr>
          <w:rFonts w:ascii="Arabic Typesetting" w:hAnsi="Arabic Typesetting" w:cs="Arabic Typesetting" w:hint="cs"/>
          <w:sz w:val="36"/>
          <w:szCs w:val="36"/>
          <w:rtl/>
        </w:rPr>
        <w:t>اً</w:t>
      </w:r>
      <w:r>
        <w:rPr>
          <w:rFonts w:ascii="Arabic Typesetting" w:hAnsi="Arabic Typesetting" w:cs="Arabic Typesetting" w:hint="cs"/>
          <w:sz w:val="36"/>
          <w:szCs w:val="36"/>
          <w:rtl/>
        </w:rPr>
        <w:t xml:space="preserve"> عن تشييد المبنى الجديد و</w:t>
      </w:r>
      <w:r w:rsidRPr="00D10229">
        <w:rPr>
          <w:rFonts w:ascii="Arabic Typesetting" w:hAnsi="Arabic Typesetting" w:cs="Arabic Typesetting" w:hint="cs"/>
          <w:sz w:val="36"/>
          <w:szCs w:val="36"/>
          <w:rtl/>
        </w:rPr>
        <w:t xml:space="preserve">قاعة المؤتمرات الجديدة </w:t>
      </w:r>
      <w:r>
        <w:rPr>
          <w:rFonts w:ascii="Arabic Typesetting" w:hAnsi="Arabic Typesetting" w:cs="Arabic Typesetting" w:hint="cs"/>
          <w:sz w:val="36"/>
          <w:szCs w:val="36"/>
          <w:rtl/>
        </w:rPr>
        <w:t xml:space="preserve">فيما يتعلق </w:t>
      </w:r>
      <w:r w:rsidR="0098700E">
        <w:rPr>
          <w:rFonts w:ascii="Arabic Typesetting" w:hAnsi="Arabic Typesetting" w:cs="Arabic Typesetting" w:hint="cs"/>
          <w:sz w:val="36"/>
          <w:szCs w:val="36"/>
          <w:rtl/>
        </w:rPr>
        <w:t xml:space="preserve">بتنفيذ اتفاقي </w:t>
      </w:r>
      <w:r w:rsidR="00B17FD1">
        <w:rPr>
          <w:rFonts w:ascii="Arabic Typesetting" w:hAnsi="Arabic Typesetting" w:cs="Arabic Typesetting" w:hint="cs"/>
          <w:sz w:val="36"/>
          <w:szCs w:val="36"/>
          <w:rtl/>
        </w:rPr>
        <w:t>الفسخ</w:t>
      </w:r>
      <w:r w:rsidR="0098700E">
        <w:rPr>
          <w:rFonts w:ascii="Arabic Typesetting" w:hAnsi="Arabic Typesetting" w:cs="Arabic Typesetting" w:hint="cs"/>
          <w:sz w:val="36"/>
          <w:szCs w:val="36"/>
          <w:rtl/>
        </w:rPr>
        <w:t xml:space="preserve"> الوديين اللذين أبرما في يوليه 2012 ل</w:t>
      </w:r>
      <w:r w:rsidR="002756F2">
        <w:rPr>
          <w:rFonts w:ascii="Arabic Typesetting" w:hAnsi="Arabic Typesetting" w:cs="Arabic Typesetting" w:hint="cs"/>
          <w:sz w:val="36"/>
          <w:szCs w:val="36"/>
          <w:rtl/>
        </w:rPr>
        <w:t>لعقدين</w:t>
      </w:r>
      <w:r>
        <w:rPr>
          <w:rFonts w:ascii="Arabic Typesetting" w:hAnsi="Arabic Typesetting" w:cs="Arabic Typesetting" w:hint="cs"/>
          <w:sz w:val="36"/>
          <w:szCs w:val="36"/>
          <w:rtl/>
        </w:rPr>
        <w:t xml:space="preserve">. </w:t>
      </w:r>
      <w:r w:rsidR="00644A9D">
        <w:rPr>
          <w:rFonts w:ascii="Arabic Typesetting" w:hAnsi="Arabic Typesetting" w:cs="Arabic Typesetting" w:hint="cs"/>
          <w:sz w:val="36"/>
          <w:szCs w:val="36"/>
          <w:rtl/>
        </w:rPr>
        <w:t xml:space="preserve">وهذا السياق هو محل الجهود المبولة حالياً لتحديد حجم </w:t>
      </w:r>
      <w:r>
        <w:rPr>
          <w:rFonts w:ascii="Arabic Typesetting" w:hAnsi="Arabic Typesetting" w:cs="Arabic Typesetting" w:hint="cs"/>
          <w:sz w:val="36"/>
          <w:szCs w:val="36"/>
          <w:rtl/>
        </w:rPr>
        <w:t xml:space="preserve">التعويض </w:t>
      </w:r>
      <w:r w:rsidR="00644A9D">
        <w:rPr>
          <w:rFonts w:ascii="Arabic Typesetting" w:hAnsi="Arabic Typesetting" w:cs="Arabic Typesetting" w:hint="cs"/>
          <w:sz w:val="36"/>
          <w:szCs w:val="36"/>
          <w:rtl/>
        </w:rPr>
        <w:t xml:space="preserve">المستحق </w:t>
      </w:r>
      <w:r>
        <w:rPr>
          <w:rFonts w:ascii="Arabic Typesetting" w:hAnsi="Arabic Typesetting" w:cs="Arabic Typesetting" w:hint="cs"/>
          <w:sz w:val="36"/>
          <w:szCs w:val="36"/>
          <w:rtl/>
        </w:rPr>
        <w:t>للمنظمة.</w:t>
      </w:r>
    </w:p>
    <w:p w14:paraId="5A00CBEB" w14:textId="77777777" w:rsidR="0023352B" w:rsidRDefault="00E16243" w:rsidP="0023352B">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والويبو منظمة شريكة في المركز الدولي للحساب الإلكتروني وهو مرفق مشترك بين المنظمات لتقديم خدمات تكنولوجيا المعلومات. وبموجب ولاية المركز تتحمل المنظمات حصة من بعض الالتزامات الناجمة عن تسيير عمليات المركز.</w:t>
      </w:r>
    </w:p>
    <w:p w14:paraId="0E9CD640" w14:textId="6B9BDFDE" w:rsidR="00E16243" w:rsidRDefault="00E16243" w:rsidP="0023352B">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وللويبو التزامات تعاقدية تتعلق بترتيبات عقود الإيجار غير القابلة للإلغاء. وتتناول الملاحظة 19 تلك الالتزاما</w:t>
      </w:r>
      <w:r>
        <w:rPr>
          <w:rFonts w:ascii="Arabic Typesetting" w:hAnsi="Arabic Typesetting" w:cs="Arabic Typesetting" w:hint="eastAsia"/>
          <w:sz w:val="36"/>
          <w:szCs w:val="36"/>
          <w:rtl/>
        </w:rPr>
        <w:t>ت</w:t>
      </w:r>
      <w:r>
        <w:rPr>
          <w:rFonts w:ascii="Arabic Typesetting" w:hAnsi="Arabic Typesetting" w:cs="Arabic Typesetting" w:hint="cs"/>
          <w:sz w:val="36"/>
          <w:szCs w:val="36"/>
          <w:rtl/>
        </w:rPr>
        <w:t xml:space="preserve"> بالتفصيل.</w:t>
      </w:r>
    </w:p>
    <w:p w14:paraId="31D41DC8" w14:textId="77777777" w:rsidR="00E16243" w:rsidRPr="002869C3" w:rsidRDefault="00E16243" w:rsidP="00E80DAB">
      <w:pPr>
        <w:pStyle w:val="Heading2"/>
        <w:tabs>
          <w:tab w:val="left" w:pos="1417"/>
        </w:tabs>
        <w:bidi/>
        <w:rPr>
          <w:rFonts w:ascii="Arabic Typesetting" w:hAnsi="Arabic Typesetting" w:cs="Arabic Typesetting"/>
          <w:i/>
          <w:iCs w:val="0"/>
          <w:sz w:val="40"/>
          <w:szCs w:val="40"/>
          <w:rtl/>
        </w:rPr>
      </w:pPr>
      <w:bookmarkStart w:id="36" w:name="_Toc362519117"/>
      <w:r w:rsidRPr="002869C3">
        <w:rPr>
          <w:rFonts w:ascii="Arabic Typesetting" w:hAnsi="Arabic Typesetting" w:cs="Arabic Typesetting" w:hint="cs"/>
          <w:i/>
          <w:iCs w:val="0"/>
          <w:sz w:val="40"/>
          <w:szCs w:val="40"/>
          <w:rtl/>
        </w:rPr>
        <w:t>الملاحظة 19:</w:t>
      </w:r>
      <w:r w:rsidR="004A1EB6">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عقود الإيجار</w:t>
      </w:r>
      <w:bookmarkEnd w:id="36"/>
    </w:p>
    <w:p w14:paraId="654FD37E" w14:textId="5B1F973F" w:rsidR="00BC1435" w:rsidRPr="00BC1435" w:rsidRDefault="00BC1435" w:rsidP="00E80DAB">
      <w:pPr>
        <w:keepNext/>
        <w:bidi/>
        <w:spacing w:after="240" w:line="360" w:lineRule="exact"/>
        <w:rPr>
          <w:rFonts w:ascii="Arabic Typesetting" w:hAnsi="Arabic Typesetting" w:cs="Arabic Typesetting"/>
          <w:b/>
          <w:bCs/>
          <w:i/>
          <w:iCs/>
          <w:sz w:val="36"/>
          <w:szCs w:val="36"/>
          <w:rtl/>
        </w:rPr>
      </w:pPr>
      <w:r w:rsidRPr="00BC1435">
        <w:rPr>
          <w:rFonts w:ascii="Arabic Typesetting" w:hAnsi="Arabic Typesetting" w:cs="Arabic Typesetting" w:hint="cs"/>
          <w:b/>
          <w:bCs/>
          <w:i/>
          <w:iCs/>
          <w:sz w:val="36"/>
          <w:szCs w:val="36"/>
          <w:rtl/>
        </w:rPr>
        <w:t xml:space="preserve">الويبو </w:t>
      </w:r>
      <w:r>
        <w:rPr>
          <w:rFonts w:ascii="Arabic Typesetting" w:hAnsi="Arabic Typesetting" w:cs="Arabic Typesetting" w:hint="cs"/>
          <w:b/>
          <w:bCs/>
          <w:i/>
          <w:iCs/>
          <w:sz w:val="36"/>
          <w:szCs w:val="36"/>
          <w:rtl/>
        </w:rPr>
        <w:t>كأجير</w:t>
      </w:r>
    </w:p>
    <w:p w14:paraId="318754E7" w14:textId="2743D1BC" w:rsidR="00E16243" w:rsidRDefault="00E16243" w:rsidP="00BC1435">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للويبو عدد من عقود الإيجار تتيح لها أماكن ومساحات تخزين إضافية ومرافق متخصصة في جنيف، إضافة إلى ذلك، تستأجر المنظمة أيضا أماكن لمكاتبها </w:t>
      </w:r>
      <w:r w:rsidR="00BC1435">
        <w:rPr>
          <w:rFonts w:ascii="Arabic Typesetting" w:hAnsi="Arabic Typesetting" w:cs="Arabic Typesetting" w:hint="cs"/>
          <w:sz w:val="36"/>
          <w:szCs w:val="36"/>
          <w:rtl/>
        </w:rPr>
        <w:t>الخارجية</w:t>
      </w:r>
      <w:r>
        <w:rPr>
          <w:rFonts w:ascii="Arabic Typesetting" w:hAnsi="Arabic Typesetting" w:cs="Arabic Typesetting" w:hint="cs"/>
          <w:sz w:val="36"/>
          <w:szCs w:val="36"/>
          <w:rtl/>
        </w:rPr>
        <w:t xml:space="preserve"> في نيويورك وريو دي جانيرو وطوكيو. </w:t>
      </w:r>
      <w:r w:rsidR="00BC1435">
        <w:rPr>
          <w:rFonts w:ascii="Arabic Typesetting" w:hAnsi="Arabic Typesetting" w:cs="Arabic Typesetting" w:hint="cs"/>
          <w:sz w:val="36"/>
          <w:szCs w:val="36"/>
          <w:rtl/>
        </w:rPr>
        <w:t>ويوضح الجدول أدناه قيمة مدفوعات الإيجار المستقبلية الدنيا بموجب عقود الإيجار السارية وغير القابلة للفسخ:</w:t>
      </w:r>
    </w:p>
    <w:p w14:paraId="2FD0F431" w14:textId="0CBFABBE" w:rsidR="003B1C3B" w:rsidRDefault="002B7988" w:rsidP="003B1C3B">
      <w:pPr>
        <w:bidi/>
        <w:spacing w:after="240"/>
        <w:rPr>
          <w:rFonts w:ascii="Arabic Typesetting" w:hAnsi="Arabic Typesetting" w:cs="Arabic Typesetting"/>
          <w:sz w:val="36"/>
          <w:szCs w:val="36"/>
          <w:rtl/>
        </w:rPr>
      </w:pPr>
      <w:r w:rsidRPr="002B7988">
        <w:rPr>
          <w:noProof/>
          <w:szCs w:val="22"/>
          <w:rtl/>
        </w:rPr>
        <w:drawing>
          <wp:inline distT="0" distB="0" distL="0" distR="0" wp14:anchorId="6372542C" wp14:editId="5585E56F">
            <wp:extent cx="5737860" cy="1173480"/>
            <wp:effectExtent l="0" t="0" r="0" b="762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737860" cy="1173480"/>
                    </a:xfrm>
                    <a:prstGeom prst="rect">
                      <a:avLst/>
                    </a:prstGeom>
                    <a:noFill/>
                    <a:ln>
                      <a:noFill/>
                    </a:ln>
                  </pic:spPr>
                </pic:pic>
              </a:graphicData>
            </a:graphic>
          </wp:inline>
        </w:drawing>
      </w:r>
    </w:p>
    <w:p w14:paraId="41E2AFA9" w14:textId="17489740" w:rsidR="00BC1435" w:rsidRDefault="00916035" w:rsidP="00977504">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كما أبرمت المنظمة عقد إيجار مبنى من مؤسسة مركز جنيف </w:t>
      </w:r>
      <w:r w:rsidR="00DF6008">
        <w:rPr>
          <w:rFonts w:ascii="Arabic Typesetting" w:hAnsi="Arabic Typesetting" w:cs="Arabic Typesetting" w:hint="cs"/>
          <w:sz w:val="36"/>
          <w:szCs w:val="36"/>
          <w:rtl/>
        </w:rPr>
        <w:t>الدولي. وترد تفاصيل هذا الاتفاق، التي تشمل مدفوعات الإيجار المستقبلية، بصورة منفصلة في الملاحظة 10.</w:t>
      </w:r>
    </w:p>
    <w:p w14:paraId="7E34C035" w14:textId="246A483D" w:rsidR="00E16243" w:rsidRDefault="00E16243" w:rsidP="00DF6008">
      <w:pPr>
        <w:bidi/>
        <w:spacing w:before="240" w:after="240" w:line="360" w:lineRule="exact"/>
        <w:rPr>
          <w:rFonts w:ascii="Arabic Typesetting" w:hAnsi="Arabic Typesetting" w:cs="Arabic Typesetting"/>
          <w:sz w:val="36"/>
          <w:szCs w:val="36"/>
          <w:rtl/>
        </w:rPr>
      </w:pPr>
      <w:r w:rsidRPr="00006C88">
        <w:rPr>
          <w:rFonts w:ascii="Arabic Typesetting" w:hAnsi="Arabic Typesetting" w:cs="Arabic Typesetting" w:hint="cs"/>
          <w:sz w:val="36"/>
          <w:szCs w:val="36"/>
          <w:rtl/>
        </w:rPr>
        <w:t xml:space="preserve">وليس لدى الويبو أي إيجارات غير مسددة تقيد على أنها إيجارات تمويلية حتى تاريخ التقرير المالي. وتبلغ قيمة إجمالي المبالغ المدفوعة مقابل التأجير </w:t>
      </w:r>
      <w:r>
        <w:rPr>
          <w:rFonts w:ascii="Arabic Typesetting" w:hAnsi="Arabic Typesetting" w:cs="Arabic Typesetting" w:hint="cs"/>
          <w:sz w:val="36"/>
          <w:szCs w:val="36"/>
          <w:rtl/>
        </w:rPr>
        <w:t xml:space="preserve">والمقيدة في باب المصروفات في فترة التقرير المالي مبلغ </w:t>
      </w:r>
      <w:r w:rsidR="00DF6008">
        <w:rPr>
          <w:rFonts w:ascii="Arabic Typesetting" w:hAnsi="Arabic Typesetting" w:cs="Arabic Typesetting" w:hint="cs"/>
          <w:sz w:val="36"/>
          <w:szCs w:val="36"/>
          <w:rtl/>
        </w:rPr>
        <w:t>1.9</w:t>
      </w:r>
      <w:r>
        <w:rPr>
          <w:rFonts w:ascii="Arabic Typesetting" w:hAnsi="Arabic Typesetting" w:cs="Arabic Typesetting" w:hint="cs"/>
          <w:sz w:val="36"/>
          <w:szCs w:val="36"/>
          <w:rtl/>
        </w:rPr>
        <w:t xml:space="preserve"> مليون فرنك سويسري [</w:t>
      </w:r>
      <w:r w:rsidR="00DF6008">
        <w:rPr>
          <w:rFonts w:ascii="Arabic Typesetting" w:hAnsi="Arabic Typesetting" w:cs="Arabic Typesetting" w:hint="cs"/>
          <w:sz w:val="36"/>
          <w:szCs w:val="36"/>
          <w:rtl/>
        </w:rPr>
        <w:t>2.0</w:t>
      </w:r>
      <w:r>
        <w:rPr>
          <w:rFonts w:ascii="Arabic Typesetting" w:hAnsi="Arabic Typesetting" w:cs="Arabic Typesetting" w:hint="cs"/>
          <w:sz w:val="36"/>
          <w:szCs w:val="36"/>
          <w:rtl/>
        </w:rPr>
        <w:t xml:space="preserve"> مليون فرنك سويسري في سنة </w:t>
      </w:r>
      <w:r w:rsidR="00DF6008">
        <w:rPr>
          <w:rFonts w:ascii="Arabic Typesetting" w:hAnsi="Arabic Typesetting" w:cs="Arabic Typesetting" w:hint="cs"/>
          <w:sz w:val="36"/>
          <w:szCs w:val="36"/>
          <w:rtl/>
        </w:rPr>
        <w:t>2013</w:t>
      </w:r>
      <w:r>
        <w:rPr>
          <w:rFonts w:ascii="Arabic Typesetting" w:hAnsi="Arabic Typesetting" w:cs="Arabic Typesetting" w:hint="cs"/>
          <w:sz w:val="36"/>
          <w:szCs w:val="36"/>
          <w:rtl/>
        </w:rPr>
        <w:t>].</w:t>
      </w:r>
    </w:p>
    <w:p w14:paraId="1C621704" w14:textId="47EFA8BE" w:rsidR="00DF6008" w:rsidRDefault="00DF6008" w:rsidP="00E80DAB">
      <w:pPr>
        <w:keepNext/>
        <w:bidi/>
        <w:spacing w:after="240" w:line="360" w:lineRule="exact"/>
        <w:rPr>
          <w:rFonts w:ascii="Arabic Typesetting" w:hAnsi="Arabic Typesetting" w:cs="Arabic Typesetting"/>
          <w:b/>
          <w:bCs/>
          <w:i/>
          <w:iCs/>
          <w:sz w:val="36"/>
          <w:szCs w:val="36"/>
          <w:rtl/>
        </w:rPr>
      </w:pPr>
      <w:r w:rsidRPr="00DF6008">
        <w:rPr>
          <w:rFonts w:ascii="Arabic Typesetting" w:hAnsi="Arabic Typesetting" w:cs="Arabic Typesetting" w:hint="cs"/>
          <w:b/>
          <w:bCs/>
          <w:i/>
          <w:iCs/>
          <w:sz w:val="36"/>
          <w:szCs w:val="36"/>
          <w:rtl/>
        </w:rPr>
        <w:lastRenderedPageBreak/>
        <w:t>الويبو كمستأجر</w:t>
      </w:r>
    </w:p>
    <w:p w14:paraId="5029511F" w14:textId="0F559757" w:rsidR="00DF6008" w:rsidRPr="00DF6008" w:rsidRDefault="00DF6008" w:rsidP="000D2069">
      <w:pPr>
        <w:bidi/>
        <w:spacing w:before="240"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أبرمت المنظمة عدداً من الاتفاقات تؤجر بموجبها أماكن داخل مقرها أو حول مباني المقر للغير. ويجوز فسخ جميع عقود الإيجار هذه شريطة استيفاء مهلة الإخطار الم</w:t>
      </w:r>
      <w:r w:rsidR="000D2069">
        <w:rPr>
          <w:rFonts w:ascii="Arabic Typesetting" w:hAnsi="Arabic Typesetting" w:cs="Arabic Typesetting" w:hint="cs"/>
          <w:sz w:val="36"/>
          <w:szCs w:val="36"/>
          <w:rtl/>
        </w:rPr>
        <w:t>حددة في كل اتفاق. ويبلغ إجمال</w:t>
      </w:r>
      <w:r w:rsidR="000D2069">
        <w:rPr>
          <w:rFonts w:ascii="Arabic Typesetting" w:hAnsi="Arabic Typesetting" w:cs="Arabic Typesetting" w:hint="cs"/>
          <w:sz w:val="36"/>
          <w:szCs w:val="36"/>
          <w:rtl/>
          <w:lang w:bidi="ar-EG"/>
        </w:rPr>
        <w:t>ي الإيرادات من التأجير بموجب هذه الاتفاقات خلال الفترة المشمولة بالتقرير 0.6 مليون فرنك سويسري [0.6 مليون فرنك سويسري في عام 2013]. وتؤجر المنظمة أيضاً شققاً وأماكن لتوقيف السيارات ومرافق أخرى في مبنى اتحاد مدريد. وترد قيمة عقود الإيجار غير القابلة للفسخ وإيرادات التأجير في مبنى اتحاد مدريد في إطار الملاحظة 7.</w:t>
      </w:r>
    </w:p>
    <w:p w14:paraId="48BEAB3D" w14:textId="77777777" w:rsidR="00E16243" w:rsidRPr="002869C3" w:rsidRDefault="00E16243" w:rsidP="004A1EB6">
      <w:pPr>
        <w:pStyle w:val="Heading2"/>
        <w:tabs>
          <w:tab w:val="left" w:pos="1417"/>
        </w:tabs>
        <w:bidi/>
        <w:rPr>
          <w:rFonts w:ascii="Arabic Typesetting" w:hAnsi="Arabic Typesetting" w:cs="Arabic Typesetting"/>
          <w:i/>
          <w:iCs w:val="0"/>
          <w:sz w:val="40"/>
          <w:szCs w:val="40"/>
          <w:rtl/>
        </w:rPr>
      </w:pPr>
      <w:bookmarkStart w:id="37" w:name="_Toc362519118"/>
      <w:r w:rsidRPr="002869C3">
        <w:rPr>
          <w:rFonts w:ascii="Arabic Typesetting" w:hAnsi="Arabic Typesetting" w:cs="Arabic Typesetting" w:hint="cs"/>
          <w:i/>
          <w:iCs w:val="0"/>
          <w:sz w:val="40"/>
          <w:szCs w:val="40"/>
          <w:rtl/>
        </w:rPr>
        <w:t>الملاحظة 20:</w:t>
      </w:r>
      <w:r w:rsidR="004A1EB6">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معاملات بين أطراف مترابطة</w:t>
      </w:r>
      <w:bookmarkEnd w:id="37"/>
    </w:p>
    <w:p w14:paraId="02D00C9E" w14:textId="77777777" w:rsidR="00E55E23" w:rsidRDefault="00E16243" w:rsidP="00745210">
      <w:pPr>
        <w:bidi/>
        <w:spacing w:after="240" w:line="360" w:lineRule="exact"/>
        <w:rPr>
          <w:rFonts w:ascii="Arabic Typesetting" w:hAnsi="Arabic Typesetting" w:cs="Arabic Typesetting"/>
          <w:sz w:val="36"/>
          <w:szCs w:val="36"/>
        </w:rPr>
      </w:pPr>
      <w:r w:rsidRPr="009E3A71">
        <w:rPr>
          <w:rFonts w:ascii="Arabic Typesetting" w:hAnsi="Arabic Typesetting" w:cs="Arabic Typesetting" w:hint="cs"/>
          <w:sz w:val="36"/>
          <w:szCs w:val="36"/>
          <w:rtl/>
        </w:rPr>
        <w:t>تتولى جمعية الويبو المؤلفة من ممثلي جميع البلدان الأعضاء تسيير المنظمة. ولا تحصل هذه البلدان على مكافأة من المنظمة. ويسهر المدير</w:t>
      </w:r>
      <w:r>
        <w:rPr>
          <w:rFonts w:ascii="Arabic Typesetting" w:hAnsi="Arabic Typesetting" w:cs="Arabic Typesetting" w:hint="cs"/>
          <w:sz w:val="36"/>
          <w:szCs w:val="36"/>
          <w:rtl/>
        </w:rPr>
        <w:t xml:space="preserve"> العام ونائباه ومساعداه والمسؤولون (موظفو الإدارة الرئيسيون) على إدارة المنظمة ويحصلون على مكافأة من المنظمة. ويشمل المبلغ الإجمالي للمكافأة المدفوعة إلى الموظفين الإداريين الرئيسيين الرواتب والبدلات والأسفار الرسمية وغير</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ذلك من المستحقات المدفوعة بناء على النظام الداخلي للويبو ولوائحه والمطبقة على جميع الموظفين. ويحصل المدير العام ونائباه ومساعداه أيضا على منحة التمثيل. والموظفون الإداريون الرئيسيون أعضاء في صندوق الأمم المتحدة المشترك للمعاشات التقاعدية الذي يساهم فيه الموظفون والمنظمة ويحق لهم الاشتراك في خطة التأمين على الصحة بما في ذلك خطة التأمين الصحي ما بعد الخدمة إذا ما استوفوا شروط الأهلية.</w:t>
      </w:r>
      <w:r w:rsidR="00745210">
        <w:rPr>
          <w:rFonts w:ascii="Arabic Typesetting" w:hAnsi="Arabic Typesetting" w:cs="Arabic Typesetting"/>
          <w:sz w:val="36"/>
          <w:szCs w:val="36"/>
        </w:rPr>
        <w:t xml:space="preserve"> </w:t>
      </w:r>
      <w:r w:rsidRPr="009E3A71">
        <w:rPr>
          <w:rFonts w:ascii="Arabic Typesetting" w:hAnsi="Arabic Typesetting" w:cs="Arabic Typesetting" w:hint="cs"/>
          <w:sz w:val="36"/>
          <w:szCs w:val="36"/>
          <w:rtl/>
        </w:rPr>
        <w:t>ولا تملك المنظمة</w:t>
      </w:r>
      <w:r>
        <w:rPr>
          <w:rFonts w:ascii="Arabic Typesetting" w:hAnsi="Arabic Typesetting" w:cs="Arabic Typesetting" w:hint="cs"/>
          <w:sz w:val="36"/>
          <w:szCs w:val="36"/>
          <w:rtl/>
        </w:rPr>
        <w:t xml:space="preserve"> حقوق ملكية في</w:t>
      </w:r>
      <w:r w:rsidRPr="00991013">
        <w:rPr>
          <w:rFonts w:ascii="Arabic Typesetting" w:hAnsi="Arabic Typesetting" w:cs="Arabic Typesetting"/>
          <w:sz w:val="36"/>
          <w:szCs w:val="36"/>
          <w:rtl/>
        </w:rPr>
        <w:t xml:space="preserve"> جمعيات أو </w:t>
      </w:r>
      <w:r>
        <w:rPr>
          <w:rFonts w:ascii="Arabic Typesetting" w:hAnsi="Arabic Typesetting" w:cs="Arabic Typesetting" w:hint="cs"/>
          <w:sz w:val="36"/>
          <w:szCs w:val="36"/>
          <w:rtl/>
        </w:rPr>
        <w:t>مشروعات</w:t>
      </w:r>
      <w:r w:rsidRPr="00991013">
        <w:rPr>
          <w:rFonts w:ascii="Arabic Typesetting" w:hAnsi="Arabic Typesetting" w:cs="Arabic Typesetting"/>
          <w:sz w:val="36"/>
          <w:szCs w:val="36"/>
          <w:rtl/>
        </w:rPr>
        <w:t xml:space="preserve"> مشتركة و</w:t>
      </w:r>
      <w:r>
        <w:rPr>
          <w:rFonts w:ascii="Arabic Typesetting" w:hAnsi="Arabic Typesetting" w:cs="Arabic Typesetting" w:hint="cs"/>
          <w:sz w:val="36"/>
          <w:szCs w:val="36"/>
          <w:rtl/>
        </w:rPr>
        <w:t xml:space="preserve">لا </w:t>
      </w:r>
      <w:r w:rsidRPr="00991013">
        <w:rPr>
          <w:rFonts w:ascii="Arabic Typesetting" w:hAnsi="Arabic Typesetting" w:cs="Arabic Typesetting"/>
          <w:sz w:val="36"/>
          <w:szCs w:val="36"/>
          <w:rtl/>
        </w:rPr>
        <w:t>أية كيانات تسيطر عليها</w:t>
      </w:r>
      <w:r>
        <w:rPr>
          <w:rFonts w:ascii="Arabic Typesetting" w:hAnsi="Arabic Typesetting" w:cs="Arabic Typesetting" w:hint="cs"/>
          <w:sz w:val="36"/>
          <w:szCs w:val="36"/>
          <w:rtl/>
        </w:rPr>
        <w:t>. والويبو عضو في صندوق الأمم المتحدة المشترك للمعاشات التقاعدية وبعض أعضاء المنظمة السابقين هم أعضاء في صندوق الويبو المغلق للمعاشات التقاعدية. وعلاقة المنظمة مع هذين الصندوقين مبينة بالتفصيل في الملاحظة 12.</w:t>
      </w:r>
    </w:p>
    <w:p w14:paraId="2B07EDD0" w14:textId="43ADAE02" w:rsidR="00E16243" w:rsidRDefault="00E16243" w:rsidP="00745210">
      <w:pPr>
        <w:bidi/>
        <w:spacing w:after="240" w:line="360" w:lineRule="exact"/>
        <w:rPr>
          <w:rFonts w:ascii="Arabic Typesetting" w:hAnsi="Arabic Typesetting" w:cs="Arabic Typesetting"/>
          <w:sz w:val="36"/>
          <w:szCs w:val="36"/>
          <w:rtl/>
        </w:rPr>
      </w:pPr>
      <w:r w:rsidRPr="005A3181">
        <w:rPr>
          <w:rFonts w:ascii="Arabic Typesetting" w:hAnsi="Arabic Typesetting" w:cs="Arabic Typesetting" w:hint="cs"/>
          <w:sz w:val="36"/>
          <w:szCs w:val="36"/>
          <w:rtl/>
        </w:rPr>
        <w:t>وللمنظمة علاقة مع</w:t>
      </w:r>
      <w:r>
        <w:rPr>
          <w:rFonts w:ascii="Arabic Typesetting" w:hAnsi="Arabic Typesetting" w:cs="Arabic Typesetting" w:hint="cs"/>
          <w:sz w:val="36"/>
          <w:szCs w:val="36"/>
          <w:rtl/>
        </w:rPr>
        <w:t xml:space="preserve"> ا</w:t>
      </w:r>
      <w:r w:rsidRPr="00B87109">
        <w:rPr>
          <w:rFonts w:ascii="Arabic Typesetting" w:hAnsi="Arabic Typesetting" w:cs="Arabic Typesetting"/>
          <w:sz w:val="36"/>
          <w:szCs w:val="36"/>
          <w:rtl/>
        </w:rPr>
        <w:t>لاتحاد الدولي لحماية المصنفات النباتية الجديدة</w:t>
      </w:r>
      <w:r>
        <w:rPr>
          <w:rFonts w:ascii="Arabic Typesetting" w:hAnsi="Arabic Typesetting" w:cs="Arabic Typesetting" w:hint="cs"/>
          <w:sz w:val="36"/>
          <w:szCs w:val="36"/>
          <w:rtl/>
        </w:rPr>
        <w:t xml:space="preserve"> (الأوبوف) حيث يشغل المدير العام للمنظمة منصب الأمين العام للأوبوف. وهي مسؤولة عن توفير الأماكن وإدارة شؤون الموظفين وإدارة الشؤون المالية وخدمات المشتريات </w:t>
      </w:r>
      <w:r w:rsidRPr="00B00AFD">
        <w:rPr>
          <w:rFonts w:ascii="Arabic Typesetting" w:hAnsi="Arabic Typesetting" w:cs="Arabic Typesetting" w:hint="cs"/>
          <w:spacing w:val="-4"/>
          <w:sz w:val="36"/>
          <w:szCs w:val="36"/>
          <w:rtl/>
        </w:rPr>
        <w:t xml:space="preserve">وغير ذلك من خدمات الدعم الإداري المتاحة للأوبوف بناء على بنود اتفاق مبرم بين المنظمة والأوبوف بتاريخ 26 نوفمبر </w:t>
      </w:r>
      <w:r>
        <w:rPr>
          <w:rFonts w:ascii="Arabic Typesetting" w:hAnsi="Arabic Typesetting" w:cs="Arabic Typesetting" w:hint="cs"/>
          <w:sz w:val="36"/>
          <w:szCs w:val="36"/>
          <w:rtl/>
        </w:rPr>
        <w:t xml:space="preserve">1982. وترد الأوبوف إلى المنظمة تكاليف تلك الخدمات </w:t>
      </w:r>
      <w:r w:rsidR="002B3DBD">
        <w:rPr>
          <w:rFonts w:ascii="Arabic Typesetting" w:hAnsi="Arabic Typesetting" w:cs="Arabic Typesetting" w:hint="cs"/>
          <w:sz w:val="36"/>
          <w:szCs w:val="36"/>
          <w:rtl/>
        </w:rPr>
        <w:t xml:space="preserve">وفقاً </w:t>
      </w:r>
      <w:r>
        <w:rPr>
          <w:rFonts w:ascii="Arabic Typesetting" w:hAnsi="Arabic Typesetting" w:cs="Arabic Typesetting" w:hint="cs"/>
          <w:sz w:val="36"/>
          <w:szCs w:val="36"/>
          <w:rtl/>
        </w:rPr>
        <w:t xml:space="preserve">لبنود الاتفاق المذكور. </w:t>
      </w:r>
      <w:r w:rsidRPr="00333EB7">
        <w:rPr>
          <w:rFonts w:ascii="Arabic Typesetting" w:hAnsi="Arabic Typesetting" w:cs="Arabic Typesetting" w:hint="cs"/>
          <w:sz w:val="36"/>
          <w:szCs w:val="36"/>
          <w:rtl/>
        </w:rPr>
        <w:t>ويتألف مجلس الأوبوف</w:t>
      </w:r>
      <w:r>
        <w:rPr>
          <w:rFonts w:ascii="Arabic Typesetting" w:hAnsi="Arabic Typesetting" w:cs="Arabic Typesetting" w:hint="cs"/>
          <w:sz w:val="36"/>
          <w:szCs w:val="36"/>
          <w:rtl/>
        </w:rPr>
        <w:t xml:space="preserve"> وهو الهيئة الرئاسية للأوبوف من ممثلي الأطراف المتعاقدة في </w:t>
      </w:r>
      <w:r w:rsidRPr="00096C91">
        <w:rPr>
          <w:rFonts w:ascii="Arabic Typesetting" w:hAnsi="Arabic Typesetting" w:cs="Arabic Typesetting"/>
          <w:sz w:val="36"/>
          <w:szCs w:val="36"/>
          <w:rtl/>
        </w:rPr>
        <w:t>الاتفاقية الدولية لحماية الأصناف النباتية الجديدة</w:t>
      </w:r>
      <w:r>
        <w:rPr>
          <w:rFonts w:ascii="Arabic Typesetting" w:hAnsi="Arabic Typesetting" w:cs="Arabic Typesetting" w:hint="cs"/>
          <w:sz w:val="36"/>
          <w:szCs w:val="36"/>
          <w:rtl/>
        </w:rPr>
        <w:t xml:space="preserve"> بتاريخ 2 ديسمبر 1961 كما عدلت. وبناء على النظام الداخلي للأوبوف ولائحته يمارس مكتب الاتحاد المؤلف من الأمين العام للأوبوف والموظفين، مهامه في استقلالية تامة عن المنظمة.</w:t>
      </w:r>
    </w:p>
    <w:p w14:paraId="6A3B1A0E" w14:textId="3DEF870B" w:rsidR="00E16243" w:rsidRDefault="00E16243" w:rsidP="00BF7C5A">
      <w:pPr>
        <w:bidi/>
        <w:spacing w:after="240" w:line="360" w:lineRule="exact"/>
        <w:rPr>
          <w:rFonts w:ascii="Arabic Typesetting" w:hAnsi="Arabic Typesetting" w:cs="Arabic Typesetting"/>
          <w:sz w:val="36"/>
          <w:szCs w:val="36"/>
          <w:rtl/>
        </w:rPr>
      </w:pPr>
      <w:r w:rsidRPr="00224678">
        <w:rPr>
          <w:rFonts w:ascii="Arabic Typesetting" w:hAnsi="Arabic Typesetting" w:cs="Arabic Typesetting" w:hint="cs"/>
          <w:sz w:val="36"/>
          <w:szCs w:val="36"/>
          <w:rtl/>
        </w:rPr>
        <w:t>وعلاوة على إرجاع جميع</w:t>
      </w:r>
      <w:r>
        <w:rPr>
          <w:rFonts w:ascii="Arabic Typesetting" w:hAnsi="Arabic Typesetting" w:cs="Arabic Typesetting" w:hint="cs"/>
          <w:sz w:val="36"/>
          <w:szCs w:val="36"/>
          <w:rtl/>
        </w:rPr>
        <w:t xml:space="preserve"> الأموال التي تكبدتها المنظمة نيابة عن الأوبوف، تحصل المنظمة على مبلغ 618 ألف فرنك سويسري سنويا من الأوبوف لتغطية تكاليف الخدمات المتاحة بناء على الاتفاق المبرم بين المنظمتين. ولا توجد أية معاملات أخرى ذات شأن مع أطراف معنية خلال سنة </w:t>
      </w:r>
      <w:r w:rsidR="00BF7C5A">
        <w:rPr>
          <w:rFonts w:ascii="Arabic Typesetting" w:hAnsi="Arabic Typesetting" w:cs="Arabic Typesetting" w:hint="cs"/>
          <w:sz w:val="36"/>
          <w:szCs w:val="36"/>
          <w:rtl/>
        </w:rPr>
        <w:t>2014</w:t>
      </w:r>
      <w:r>
        <w:rPr>
          <w:rFonts w:ascii="Arabic Typesetting" w:hAnsi="Arabic Typesetting" w:cs="Arabic Typesetting" w:hint="cs"/>
          <w:sz w:val="36"/>
          <w:szCs w:val="36"/>
          <w:rtl/>
        </w:rPr>
        <w:t>.</w:t>
      </w:r>
    </w:p>
    <w:p w14:paraId="78636E96" w14:textId="6BD4654B" w:rsidR="00745210" w:rsidRPr="00745210" w:rsidRDefault="00745210" w:rsidP="00BF7C5A">
      <w:pPr>
        <w:keepNext/>
        <w:bidi/>
        <w:spacing w:after="240" w:line="360" w:lineRule="exact"/>
        <w:rPr>
          <w:rFonts w:ascii="Arabic Typesetting" w:hAnsi="Arabic Typesetting" w:cs="Arabic Typesetting"/>
          <w:sz w:val="36"/>
          <w:szCs w:val="36"/>
          <w:rtl/>
        </w:rPr>
      </w:pPr>
      <w:r w:rsidRPr="00745210">
        <w:rPr>
          <w:rFonts w:ascii="Arabic Typesetting" w:hAnsi="Arabic Typesetting" w:cs="Arabic Typesetting" w:hint="cs"/>
          <w:sz w:val="36"/>
          <w:szCs w:val="36"/>
          <w:rtl/>
        </w:rPr>
        <w:lastRenderedPageBreak/>
        <w:t>ويبين الجدول التالي عدد الموظفين في المناصب الإدارية الرئيسية وأجرهم المجمع</w:t>
      </w:r>
      <w:r w:rsidR="00BF7C5A">
        <w:rPr>
          <w:rFonts w:ascii="Arabic Typesetting" w:hAnsi="Arabic Typesetting" w:cs="Arabic Typesetting" w:hint="cs"/>
          <w:sz w:val="36"/>
          <w:szCs w:val="36"/>
          <w:rtl/>
        </w:rPr>
        <w:t>. ولا تتاح القروض للموظفين في المناصب الإدارية الرئيسية ولا لأفراد أسرهم المقربين، بينما تُتاح للفئات الأخرى من الموظفين. كما لا يدفع أجر أو تعويض آخر للموظفين في المناصب الإدارية الرئيسية أو لأفراد أسرهم المقربين.</w:t>
      </w:r>
    </w:p>
    <w:p w14:paraId="19967917" w14:textId="06309A32" w:rsidR="00745210" w:rsidRDefault="002B7988" w:rsidP="003B1C3B">
      <w:pPr>
        <w:bidi/>
        <w:jc w:val="center"/>
        <w:rPr>
          <w:rFonts w:ascii="Arabic Typesetting" w:hAnsi="Arabic Typesetting" w:cs="Arabic Typesetting"/>
          <w:sz w:val="36"/>
          <w:szCs w:val="36"/>
        </w:rPr>
      </w:pPr>
      <w:r w:rsidRPr="002B7988">
        <w:rPr>
          <w:noProof/>
          <w:szCs w:val="22"/>
          <w:rtl/>
        </w:rPr>
        <w:drawing>
          <wp:inline distT="0" distB="0" distL="0" distR="0" wp14:anchorId="6506FDD6" wp14:editId="7C500350">
            <wp:extent cx="5940425" cy="1270800"/>
            <wp:effectExtent l="0" t="0" r="3175"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940425" cy="1270800"/>
                    </a:xfrm>
                    <a:prstGeom prst="rect">
                      <a:avLst/>
                    </a:prstGeom>
                    <a:noFill/>
                    <a:ln>
                      <a:noFill/>
                    </a:ln>
                  </pic:spPr>
                </pic:pic>
              </a:graphicData>
            </a:graphic>
          </wp:inline>
        </w:drawing>
      </w:r>
    </w:p>
    <w:p w14:paraId="4BC5A642" w14:textId="77777777" w:rsidR="00E16243" w:rsidRPr="002869C3" w:rsidRDefault="00E16243" w:rsidP="00E100D2">
      <w:pPr>
        <w:pStyle w:val="Heading2"/>
        <w:tabs>
          <w:tab w:val="left" w:pos="1417"/>
        </w:tabs>
        <w:bidi/>
        <w:rPr>
          <w:rFonts w:ascii="Arabic Typesetting" w:hAnsi="Arabic Typesetting" w:cs="Arabic Typesetting"/>
          <w:i/>
          <w:iCs w:val="0"/>
          <w:sz w:val="40"/>
          <w:szCs w:val="40"/>
          <w:rtl/>
        </w:rPr>
      </w:pPr>
      <w:bookmarkStart w:id="38" w:name="_Toc362519119"/>
      <w:r w:rsidRPr="002869C3">
        <w:rPr>
          <w:rFonts w:ascii="Arabic Typesetting" w:hAnsi="Arabic Typesetting" w:cs="Arabic Typesetting" w:hint="cs"/>
          <w:i/>
          <w:iCs w:val="0"/>
          <w:sz w:val="40"/>
          <w:szCs w:val="40"/>
          <w:rtl/>
        </w:rPr>
        <w:t>الملاحظة 21:</w:t>
      </w:r>
      <w:r w:rsidR="00E100D2">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الأموال الاحتياطية ورصيد الأموال</w:t>
      </w:r>
      <w:bookmarkEnd w:id="38"/>
    </w:p>
    <w:p w14:paraId="7887FFAD" w14:textId="0A4B8E70" w:rsidR="00E16243" w:rsidRDefault="004B5A50" w:rsidP="003B1C3B">
      <w:pPr>
        <w:bidi/>
        <w:spacing w:after="240"/>
        <w:rPr>
          <w:rFonts w:ascii="Arabic Typesetting" w:hAnsi="Arabic Typesetting" w:cs="Arabic Typesetting"/>
          <w:b/>
          <w:bCs/>
          <w:sz w:val="42"/>
          <w:szCs w:val="42"/>
          <w:rtl/>
        </w:rPr>
      </w:pPr>
      <w:r w:rsidRPr="004B5A50">
        <w:rPr>
          <w:noProof/>
          <w:szCs w:val="22"/>
          <w:rtl/>
        </w:rPr>
        <w:drawing>
          <wp:inline distT="0" distB="0" distL="0" distR="0" wp14:anchorId="78B2004E" wp14:editId="674C9FFC">
            <wp:extent cx="5940425" cy="2658605"/>
            <wp:effectExtent l="0" t="0" r="3175"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940425" cy="2658605"/>
                    </a:xfrm>
                    <a:prstGeom prst="rect">
                      <a:avLst/>
                    </a:prstGeom>
                    <a:noFill/>
                    <a:ln>
                      <a:noFill/>
                    </a:ln>
                  </pic:spPr>
                </pic:pic>
              </a:graphicData>
            </a:graphic>
          </wp:inline>
        </w:drawing>
      </w:r>
    </w:p>
    <w:p w14:paraId="2227F48A" w14:textId="77777777" w:rsidR="00E55E23" w:rsidRDefault="00E16243" w:rsidP="00242EF3">
      <w:pPr>
        <w:keepNext/>
        <w:bidi/>
        <w:spacing w:after="240" w:line="360" w:lineRule="exact"/>
        <w:rPr>
          <w:rFonts w:ascii="Arabic Typesetting" w:hAnsi="Arabic Typesetting" w:cs="Arabic Typesetting"/>
          <w:sz w:val="36"/>
          <w:szCs w:val="36"/>
          <w:rtl/>
        </w:rPr>
      </w:pPr>
      <w:r w:rsidRPr="000B245B">
        <w:rPr>
          <w:rFonts w:ascii="Arabic Typesetting" w:hAnsi="Arabic Typesetting" w:cs="Arabic Typesetting" w:hint="cs"/>
          <w:sz w:val="36"/>
          <w:szCs w:val="36"/>
          <w:rtl/>
        </w:rPr>
        <w:t>يمثل</w:t>
      </w:r>
      <w:r w:rsidRPr="000B245B">
        <w:rPr>
          <w:rFonts w:ascii="Arabic Typesetting" w:hAnsi="Arabic Typesetting" w:cs="Arabic Typesetting"/>
          <w:sz w:val="36"/>
          <w:szCs w:val="36"/>
          <w:rtl/>
        </w:rPr>
        <w:t xml:space="preserve"> رصيد</w:t>
      </w:r>
      <w:r w:rsidRPr="002C5110">
        <w:rPr>
          <w:rFonts w:ascii="Arabic Typesetting" w:hAnsi="Arabic Typesetting" w:cs="Arabic Typesetting"/>
          <w:sz w:val="36"/>
          <w:szCs w:val="36"/>
          <w:rtl/>
        </w:rPr>
        <w:t xml:space="preserve"> </w:t>
      </w:r>
      <w:r>
        <w:rPr>
          <w:rFonts w:ascii="Arabic Typesetting" w:hAnsi="Arabic Typesetting" w:cs="Arabic Typesetting" w:hint="cs"/>
          <w:sz w:val="36"/>
          <w:szCs w:val="36"/>
          <w:rtl/>
        </w:rPr>
        <w:t>أموال</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w:t>
      </w:r>
      <w:r w:rsidRPr="002C5110">
        <w:rPr>
          <w:rFonts w:ascii="Arabic Typesetting" w:hAnsi="Arabic Typesetting" w:cs="Arabic Typesetting"/>
          <w:sz w:val="36"/>
          <w:szCs w:val="36"/>
          <w:rtl/>
        </w:rPr>
        <w:t>لمنظمة</w:t>
      </w:r>
      <w:r>
        <w:rPr>
          <w:rFonts w:ascii="Arabic Typesetting" w:hAnsi="Arabic Typesetting" w:cs="Arabic Typesetting" w:hint="cs"/>
          <w:sz w:val="36"/>
          <w:szCs w:val="36"/>
          <w:rtl/>
        </w:rPr>
        <w:t xml:space="preserve"> </w:t>
      </w:r>
      <w:r w:rsidRPr="002C5110">
        <w:rPr>
          <w:rFonts w:ascii="Arabic Typesetting" w:hAnsi="Arabic Typesetting" w:cs="Arabic Typesetting"/>
          <w:sz w:val="36"/>
          <w:szCs w:val="36"/>
          <w:rtl/>
        </w:rPr>
        <w:t>النتيجة الصافية المتراكمة</w:t>
      </w:r>
      <w:r>
        <w:rPr>
          <w:rFonts w:ascii="Arabic Typesetting" w:hAnsi="Arabic Typesetting" w:cs="Arabic Typesetting" w:hint="cs"/>
          <w:sz w:val="36"/>
          <w:szCs w:val="36"/>
          <w:rtl/>
        </w:rPr>
        <w:t xml:space="preserve"> للعمليات في سنة </w:t>
      </w:r>
      <w:r w:rsidR="00242EF3">
        <w:rPr>
          <w:rFonts w:ascii="Arabic Typesetting" w:hAnsi="Arabic Typesetting" w:cs="Arabic Typesetting" w:hint="cs"/>
          <w:sz w:val="36"/>
          <w:szCs w:val="36"/>
          <w:rtl/>
        </w:rPr>
        <w:t>2014</w:t>
      </w:r>
      <w:r>
        <w:rPr>
          <w:rFonts w:ascii="Arabic Typesetting" w:hAnsi="Arabic Typesetting" w:cs="Arabic Typesetting" w:hint="cs"/>
          <w:sz w:val="36"/>
          <w:szCs w:val="36"/>
          <w:rtl/>
        </w:rPr>
        <w:t xml:space="preserve"> وفي الفترات السابقة.</w:t>
      </w:r>
    </w:p>
    <w:p w14:paraId="06BF1EB0" w14:textId="0280CC3D" w:rsidR="00E16243" w:rsidRDefault="00E16243" w:rsidP="00242EF3">
      <w:pPr>
        <w:keepNext/>
        <w:bidi/>
        <w:spacing w:after="240" w:line="360" w:lineRule="exact"/>
        <w:rPr>
          <w:rFonts w:ascii="Arabic Typesetting" w:hAnsi="Arabic Typesetting" w:cs="Arabic Typesetting"/>
          <w:sz w:val="36"/>
          <w:szCs w:val="36"/>
          <w:rtl/>
          <w:lang w:bidi="ar-EG"/>
        </w:rPr>
      </w:pPr>
      <w:r w:rsidRPr="00F12F7C">
        <w:rPr>
          <w:rFonts w:ascii="Arabic Typesetting" w:hAnsi="Arabic Typesetting" w:cs="Arabic Typesetting" w:hint="cs"/>
          <w:sz w:val="36"/>
          <w:szCs w:val="36"/>
          <w:rtl/>
        </w:rPr>
        <w:t>وتشمل عملية</w:t>
      </w:r>
      <w:r>
        <w:rPr>
          <w:rFonts w:ascii="Arabic Typesetting" w:hAnsi="Arabic Typesetting" w:cs="Arabic Typesetting" w:hint="cs"/>
          <w:sz w:val="36"/>
          <w:szCs w:val="36"/>
          <w:rtl/>
        </w:rPr>
        <w:t xml:space="preserve"> إعادة تقييم الفائض الاحتياطي نتائج إعادة تقييم (من التكلفة التاريخية إلى القيم العادلة) الأرض التي تملكها المنظمة والتي </w:t>
      </w:r>
      <w:r w:rsidR="00242EF3">
        <w:rPr>
          <w:rFonts w:ascii="Arabic Typesetting" w:hAnsi="Arabic Typesetting" w:cs="Arabic Typesetting" w:hint="cs"/>
          <w:sz w:val="36"/>
          <w:szCs w:val="36"/>
          <w:rtl/>
        </w:rPr>
        <w:t>شيِّد</w:t>
      </w:r>
      <w:r>
        <w:rPr>
          <w:rFonts w:ascii="Arabic Typesetting" w:hAnsi="Arabic Typesetting" w:cs="Arabic Typesetting" w:hint="cs"/>
          <w:sz w:val="36"/>
          <w:szCs w:val="36"/>
          <w:rtl/>
        </w:rPr>
        <w:t xml:space="preserve"> المبنى الجديد عليها. وقد حددت القيمة العادلة بواسطة عملية تقييم مستقلة.</w:t>
      </w:r>
    </w:p>
    <w:p w14:paraId="6D08FDD5" w14:textId="77777777" w:rsidR="00E16243" w:rsidRDefault="00E16243" w:rsidP="00E16243">
      <w:pPr>
        <w:bidi/>
        <w:spacing w:after="240" w:line="360" w:lineRule="exact"/>
        <w:rPr>
          <w:rFonts w:ascii="Arabic Typesetting" w:hAnsi="Arabic Typesetting" w:cs="Arabic Typesetting"/>
          <w:sz w:val="36"/>
          <w:szCs w:val="36"/>
          <w:rtl/>
        </w:rPr>
      </w:pPr>
      <w:r w:rsidRPr="00F20947">
        <w:rPr>
          <w:rFonts w:ascii="Arabic Typesetting" w:hAnsi="Arabic Typesetting" w:cs="Arabic Typesetting" w:hint="cs"/>
          <w:sz w:val="36"/>
          <w:szCs w:val="36"/>
          <w:rtl/>
        </w:rPr>
        <w:t>وتشمل الأموال</w:t>
      </w:r>
      <w:r>
        <w:rPr>
          <w:rFonts w:ascii="Arabic Typesetting" w:hAnsi="Arabic Typesetting" w:cs="Arabic Typesetting" w:hint="cs"/>
          <w:sz w:val="36"/>
          <w:szCs w:val="36"/>
          <w:rtl/>
        </w:rPr>
        <w:t xml:space="preserve"> الاحتياطية </w:t>
      </w:r>
      <w:r>
        <w:rPr>
          <w:rFonts w:ascii="Arabic Typesetting" w:hAnsi="Arabic Typesetting" w:cs="Arabic Typesetting"/>
          <w:sz w:val="36"/>
          <w:szCs w:val="36"/>
          <w:rtl/>
        </w:rPr>
        <w:t>صناديق رؤوس الأموال العامل</w:t>
      </w:r>
      <w:r>
        <w:rPr>
          <w:rFonts w:ascii="Arabic Typesetting" w:hAnsi="Arabic Typesetting" w:cs="Arabic Typesetting" w:hint="cs"/>
          <w:sz w:val="36"/>
          <w:szCs w:val="36"/>
          <w:rtl/>
        </w:rPr>
        <w:t xml:space="preserve">ة التي أنشأتها جمعيات الدول الأعضاء لكل اتحاد </w:t>
      </w:r>
      <w:r w:rsidRPr="00144173">
        <w:rPr>
          <w:rFonts w:ascii="Arabic Typesetting" w:hAnsi="Arabic Typesetting" w:cs="Arabic Typesetting"/>
          <w:sz w:val="36"/>
          <w:szCs w:val="36"/>
          <w:rtl/>
        </w:rPr>
        <w:t>لتمويل اعتمادات مقدمة في حالة وجود عجز مؤقت في السيولة</w:t>
      </w:r>
      <w:r>
        <w:rPr>
          <w:rFonts w:ascii="Arabic Typesetting" w:hAnsi="Arabic Typesetting" w:cs="Arabic Typesetting" w:hint="cs"/>
          <w:sz w:val="36"/>
          <w:szCs w:val="36"/>
          <w:rtl/>
        </w:rPr>
        <w:t>.</w:t>
      </w:r>
    </w:p>
    <w:p w14:paraId="4A6E6FD5" w14:textId="11107BF9" w:rsidR="00E55E23" w:rsidRDefault="00E16243" w:rsidP="00972F6D">
      <w:pPr>
        <w:bidi/>
        <w:spacing w:after="240" w:line="360" w:lineRule="exact"/>
        <w:rPr>
          <w:rFonts w:ascii="Arabic Typesetting" w:hAnsi="Arabic Typesetting" w:cs="Arabic Typesetting"/>
          <w:sz w:val="36"/>
          <w:szCs w:val="36"/>
          <w:rtl/>
        </w:rPr>
      </w:pPr>
      <w:r w:rsidRPr="00F20947">
        <w:rPr>
          <w:rFonts w:ascii="Arabic Typesetting" w:hAnsi="Arabic Typesetting" w:cs="Arabic Typesetting" w:hint="cs"/>
          <w:sz w:val="36"/>
          <w:szCs w:val="36"/>
          <w:rtl/>
        </w:rPr>
        <w:t>ويضم رأس</w:t>
      </w:r>
      <w:r>
        <w:rPr>
          <w:rFonts w:ascii="Arabic Typesetting" w:hAnsi="Arabic Typesetting" w:cs="Arabic Typesetting" w:hint="cs"/>
          <w:sz w:val="36"/>
          <w:szCs w:val="36"/>
          <w:rtl/>
        </w:rPr>
        <w:t xml:space="preserve"> مال الويبو الفائض المتراكم وصناديق رؤوس الأموال العاملة التي تُشكل جزءا من صافي أصولها. ويدار رأس المال بناء على ال</w:t>
      </w:r>
      <w:r w:rsidRPr="00056319">
        <w:rPr>
          <w:rFonts w:ascii="Arabic Typesetting" w:hAnsi="Arabic Typesetting" w:cs="Arabic Typesetting"/>
          <w:sz w:val="36"/>
          <w:szCs w:val="36"/>
          <w:rtl/>
        </w:rPr>
        <w:t xml:space="preserve">سياسة </w:t>
      </w:r>
      <w:r>
        <w:rPr>
          <w:rFonts w:ascii="Arabic Typesetting" w:hAnsi="Arabic Typesetting" w:cs="Arabic Typesetting" w:hint="cs"/>
          <w:sz w:val="36"/>
          <w:szCs w:val="36"/>
          <w:rtl/>
        </w:rPr>
        <w:t>الخاصة</w:t>
      </w:r>
      <w:r w:rsidRPr="00056319">
        <w:rPr>
          <w:rFonts w:ascii="Arabic Typesetting" w:hAnsi="Arabic Typesetting" w:cs="Arabic Typesetting"/>
          <w:sz w:val="36"/>
          <w:szCs w:val="36"/>
          <w:rtl/>
        </w:rPr>
        <w:t xml:space="preserve"> </w:t>
      </w:r>
      <w:r>
        <w:rPr>
          <w:rFonts w:ascii="Arabic Typesetting" w:hAnsi="Arabic Typesetting" w:cs="Arabic Typesetting" w:hint="cs"/>
          <w:sz w:val="36"/>
          <w:szCs w:val="36"/>
          <w:rtl/>
        </w:rPr>
        <w:t>ب</w:t>
      </w:r>
      <w:r w:rsidRPr="00056319">
        <w:rPr>
          <w:rFonts w:ascii="Arabic Typesetting" w:hAnsi="Arabic Typesetting" w:cs="Arabic Typesetting"/>
          <w:sz w:val="36"/>
          <w:szCs w:val="36"/>
          <w:rtl/>
        </w:rPr>
        <w:t>الأموال الاحتياطية والمبادئ المطبقة</w:t>
      </w:r>
      <w:r w:rsidRPr="00056319">
        <w:rPr>
          <w:rtl/>
        </w:rPr>
        <w:t xml:space="preserve"> </w:t>
      </w:r>
      <w:r w:rsidRPr="00056319">
        <w:rPr>
          <w:rFonts w:ascii="Arabic Typesetting" w:hAnsi="Arabic Typesetting" w:cs="Arabic Typesetting"/>
          <w:sz w:val="36"/>
          <w:szCs w:val="36"/>
          <w:rtl/>
        </w:rPr>
        <w:t xml:space="preserve">على استخدام </w:t>
      </w:r>
      <w:r w:rsidR="00BE0093">
        <w:rPr>
          <w:rFonts w:ascii="Arabic Typesetting" w:hAnsi="Arabic Typesetting" w:cs="Arabic Typesetting" w:hint="cs"/>
          <w:sz w:val="36"/>
          <w:szCs w:val="36"/>
          <w:rtl/>
        </w:rPr>
        <w:t xml:space="preserve">الأموال </w:t>
      </w:r>
      <w:r w:rsidR="00BE0093">
        <w:rPr>
          <w:rFonts w:ascii="Arabic Typesetting" w:hAnsi="Arabic Typesetting" w:cs="Arabic Typesetting"/>
          <w:sz w:val="36"/>
          <w:szCs w:val="36"/>
          <w:rtl/>
        </w:rPr>
        <w:t>الاحتياطي</w:t>
      </w:r>
      <w:r w:rsidR="00BE0093">
        <w:rPr>
          <w:rFonts w:ascii="Arabic Typesetting" w:hAnsi="Arabic Typesetting" w:cs="Arabic Typesetting" w:hint="cs"/>
          <w:sz w:val="36"/>
          <w:szCs w:val="36"/>
          <w:rtl/>
        </w:rPr>
        <w:t>ة</w:t>
      </w:r>
      <w:r>
        <w:rPr>
          <w:rFonts w:ascii="Arabic Typesetting" w:hAnsi="Arabic Typesetting" w:cs="Arabic Typesetting" w:hint="cs"/>
          <w:sz w:val="36"/>
          <w:szCs w:val="36"/>
          <w:rtl/>
        </w:rPr>
        <w:t xml:space="preserve"> التي اعتمدتها جمعيات الدول </w:t>
      </w:r>
      <w:r w:rsidRPr="00F20947">
        <w:rPr>
          <w:rFonts w:ascii="Arabic Typesetting" w:hAnsi="Arabic Typesetting" w:cs="Arabic Typesetting" w:hint="cs"/>
          <w:sz w:val="36"/>
          <w:szCs w:val="36"/>
          <w:rtl/>
        </w:rPr>
        <w:t>الأعضاء في الويبو</w:t>
      </w:r>
      <w:r>
        <w:rPr>
          <w:rFonts w:ascii="Arabic Typesetting" w:hAnsi="Arabic Typesetting" w:cs="Arabic Typesetting" w:hint="cs"/>
          <w:sz w:val="36"/>
          <w:szCs w:val="36"/>
          <w:rtl/>
        </w:rPr>
        <w:t xml:space="preserve"> في سلسلة اجتماعاتها الثامنة والأربعين في </w:t>
      </w:r>
      <w:r w:rsidRPr="00556152">
        <w:rPr>
          <w:rFonts w:ascii="Arabic Typesetting" w:hAnsi="Arabic Typesetting" w:cs="Arabic Typesetting" w:hint="cs"/>
          <w:sz w:val="36"/>
          <w:szCs w:val="36"/>
          <w:rtl/>
        </w:rPr>
        <w:t xml:space="preserve">سنة 2010 [الوثيقة </w:t>
      </w:r>
      <w:r w:rsidRPr="00556152">
        <w:rPr>
          <w:rFonts w:ascii="Arabic Typesetting" w:hAnsi="Arabic Typesetting" w:cs="Arabic Typesetting"/>
          <w:sz w:val="36"/>
          <w:szCs w:val="36"/>
        </w:rPr>
        <w:t>A/48/9</w:t>
      </w:r>
      <w:r w:rsidRPr="00556152">
        <w:rPr>
          <w:rFonts w:ascii="Arabic Typesetting" w:hAnsi="Arabic Typesetting" w:cs="Arabic Typesetting" w:hint="cs"/>
          <w:sz w:val="36"/>
          <w:szCs w:val="36"/>
          <w:rtl/>
        </w:rPr>
        <w:t>]</w:t>
      </w:r>
      <w:r>
        <w:rPr>
          <w:rFonts w:ascii="Arabic Typesetting" w:hAnsi="Arabic Typesetting" w:cs="Arabic Typesetting" w:hint="cs"/>
          <w:sz w:val="36"/>
          <w:szCs w:val="36"/>
          <w:rtl/>
        </w:rPr>
        <w:t>.</w:t>
      </w:r>
      <w:r w:rsidRPr="00556152">
        <w:rPr>
          <w:rFonts w:ascii="Arabic Typesetting" w:hAnsi="Arabic Typesetting" w:cs="Arabic Typesetting" w:hint="cs"/>
          <w:sz w:val="36"/>
          <w:szCs w:val="36"/>
          <w:rtl/>
        </w:rPr>
        <w:t xml:space="preserve"> </w:t>
      </w:r>
      <w:r>
        <w:rPr>
          <w:rFonts w:ascii="Arabic Typesetting" w:hAnsi="Arabic Typesetting" w:cs="Arabic Typesetting"/>
          <w:sz w:val="36"/>
          <w:szCs w:val="36"/>
          <w:rtl/>
        </w:rPr>
        <w:t>و</w:t>
      </w:r>
      <w:r>
        <w:rPr>
          <w:rFonts w:ascii="Arabic Typesetting" w:hAnsi="Arabic Typesetting" w:cs="Arabic Typesetting" w:hint="cs"/>
          <w:sz w:val="36"/>
          <w:szCs w:val="36"/>
          <w:rtl/>
        </w:rPr>
        <w:t>ت</w:t>
      </w:r>
      <w:r>
        <w:rPr>
          <w:rFonts w:ascii="Arabic Typesetting" w:hAnsi="Arabic Typesetting" w:cs="Arabic Typesetting"/>
          <w:sz w:val="36"/>
          <w:szCs w:val="36"/>
          <w:rtl/>
        </w:rPr>
        <w:t>حدّد</w:t>
      </w:r>
      <w:r>
        <w:rPr>
          <w:rFonts w:ascii="Arabic Typesetting" w:hAnsi="Arabic Typesetting" w:cs="Arabic Typesetting" w:hint="cs"/>
          <w:sz w:val="36"/>
          <w:szCs w:val="36"/>
          <w:rtl/>
        </w:rPr>
        <w:t xml:space="preserve"> السياسة </w:t>
      </w:r>
      <w:r>
        <w:rPr>
          <w:rFonts w:ascii="Arabic Typesetting" w:hAnsi="Arabic Typesetting" w:cs="Arabic Typesetting"/>
          <w:sz w:val="36"/>
          <w:szCs w:val="36"/>
          <w:rtl/>
        </w:rPr>
        <w:t>المستو</w:t>
      </w:r>
      <w:r>
        <w:rPr>
          <w:rFonts w:ascii="Arabic Typesetting" w:hAnsi="Arabic Typesetting" w:cs="Arabic Typesetting" w:hint="cs"/>
          <w:sz w:val="36"/>
          <w:szCs w:val="36"/>
          <w:rtl/>
        </w:rPr>
        <w:t>ى</w:t>
      </w:r>
      <w:r>
        <w:rPr>
          <w:rFonts w:ascii="Arabic Typesetting" w:hAnsi="Arabic Typesetting" w:cs="Arabic Typesetting"/>
          <w:sz w:val="36"/>
          <w:szCs w:val="36"/>
          <w:rtl/>
        </w:rPr>
        <w:t xml:space="preserve"> المستهدف</w:t>
      </w:r>
      <w:r>
        <w:rPr>
          <w:rFonts w:ascii="Arabic Typesetting" w:hAnsi="Arabic Typesetting" w:cs="Arabic Typesetting" w:hint="cs"/>
          <w:sz w:val="36"/>
          <w:szCs w:val="36"/>
          <w:rtl/>
        </w:rPr>
        <w:t xml:space="preserve"> من الفائض المتراكم</w:t>
      </w:r>
      <w:r w:rsidRPr="00ED2EEF">
        <w:rPr>
          <w:rtl/>
        </w:rPr>
        <w:t xml:space="preserve"> </w:t>
      </w:r>
      <w:r w:rsidRPr="00ED2EEF">
        <w:rPr>
          <w:rFonts w:ascii="Arabic Typesetting" w:hAnsi="Arabic Typesetting" w:cs="Arabic Typesetting"/>
          <w:sz w:val="36"/>
          <w:szCs w:val="36"/>
          <w:rtl/>
        </w:rPr>
        <w:t>كنسبة مئوية من النفقات المقدرة لفترة السنتين</w:t>
      </w:r>
      <w:r>
        <w:rPr>
          <w:rFonts w:ascii="Arabic Typesetting" w:hAnsi="Arabic Typesetting" w:cs="Arabic Typesetting" w:hint="cs"/>
          <w:sz w:val="36"/>
          <w:szCs w:val="36"/>
          <w:rtl/>
        </w:rPr>
        <w:t xml:space="preserve"> لكل اتحاد ينتمي إلى المنظمة. </w:t>
      </w:r>
      <w:r w:rsidR="00311F61">
        <w:rPr>
          <w:rFonts w:ascii="Arabic Typesetting" w:hAnsi="Arabic Typesetting" w:cs="Arabic Typesetting" w:hint="cs"/>
          <w:sz w:val="36"/>
          <w:szCs w:val="36"/>
          <w:rtl/>
        </w:rPr>
        <w:t>وإضافة إلى ذلك</w:t>
      </w:r>
      <w:r>
        <w:rPr>
          <w:rFonts w:ascii="Arabic Typesetting" w:hAnsi="Arabic Typesetting" w:cs="Arabic Typesetting" w:hint="cs"/>
          <w:sz w:val="36"/>
          <w:szCs w:val="36"/>
          <w:rtl/>
        </w:rPr>
        <w:t xml:space="preserve">، يتحدد حسب الاتفاقات التعاهدية لكل اتحاد مستوى صناديق رؤوس الأموال العاملة. وتُدخر الأموال التي تبلغ المستوى المستهدف بالنسبة إلى الفائض المتراكم وصناديق رؤوس الأموال العاملة للحفاظ على مستوى كاف من السيولة ولتغطية أي عجز تشغيلي، إن حدث. ويجوز للجمعيات إتاحة الأموال الفائضة المتراكمة التي تتجاوز المستوى المستهدف لتمويل عملية إدخال تحسينات رأسمالية أو أية أولويات أخرى </w:t>
      </w:r>
      <w:r w:rsidR="002B3DBD">
        <w:rPr>
          <w:rFonts w:ascii="Arabic Typesetting" w:hAnsi="Arabic Typesetting" w:cs="Arabic Typesetting" w:hint="cs"/>
          <w:sz w:val="36"/>
          <w:szCs w:val="36"/>
          <w:rtl/>
        </w:rPr>
        <w:t xml:space="preserve">وفقاً </w:t>
      </w:r>
      <w:r>
        <w:rPr>
          <w:rFonts w:ascii="Arabic Typesetting" w:hAnsi="Arabic Typesetting" w:cs="Arabic Typesetting" w:hint="cs"/>
          <w:sz w:val="36"/>
          <w:szCs w:val="36"/>
          <w:rtl/>
        </w:rPr>
        <w:t xml:space="preserve">لسياسة </w:t>
      </w:r>
      <w:r w:rsidR="00972F6D">
        <w:rPr>
          <w:rFonts w:ascii="Arabic Typesetting" w:hAnsi="Arabic Typesetting" w:cs="Arabic Typesetting" w:hint="cs"/>
          <w:sz w:val="36"/>
          <w:szCs w:val="36"/>
          <w:rtl/>
        </w:rPr>
        <w:t>الأموال</w:t>
      </w:r>
      <w:r w:rsidR="000D4BE6">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الاحتياطي</w:t>
      </w:r>
      <w:r w:rsidR="00972F6D">
        <w:rPr>
          <w:rFonts w:ascii="Arabic Typesetting" w:hAnsi="Arabic Typesetting" w:cs="Arabic Typesetting" w:hint="cs"/>
          <w:sz w:val="36"/>
          <w:szCs w:val="36"/>
          <w:rtl/>
        </w:rPr>
        <w:t>ة</w:t>
      </w:r>
      <w:r>
        <w:rPr>
          <w:rFonts w:ascii="Arabic Typesetting" w:hAnsi="Arabic Typesetting" w:cs="Arabic Typesetting" w:hint="cs"/>
          <w:sz w:val="36"/>
          <w:szCs w:val="36"/>
          <w:rtl/>
        </w:rPr>
        <w:t xml:space="preserve"> التي وضعتها جمعيات الويبو.</w:t>
      </w:r>
    </w:p>
    <w:p w14:paraId="24540ABA" w14:textId="3E8D4C7F" w:rsidR="00BE0093" w:rsidRDefault="00BE0093" w:rsidP="00242EF3">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lastRenderedPageBreak/>
        <w:t>وتضمن رصيد الفائض</w:t>
      </w:r>
      <w:r w:rsidR="00E06427">
        <w:rPr>
          <w:rFonts w:ascii="Arabic Typesetting" w:hAnsi="Arabic Typesetting" w:cs="Arabic Typesetting" w:hint="cs"/>
          <w:sz w:val="36"/>
          <w:szCs w:val="36"/>
          <w:rtl/>
        </w:rPr>
        <w:t xml:space="preserve">ات المتراكمة في 31 ديسمبر </w:t>
      </w:r>
      <w:r w:rsidR="00242EF3">
        <w:rPr>
          <w:rFonts w:ascii="Arabic Typesetting" w:hAnsi="Arabic Typesetting" w:cs="Arabic Typesetting" w:hint="cs"/>
          <w:sz w:val="36"/>
          <w:szCs w:val="36"/>
          <w:rtl/>
        </w:rPr>
        <w:t>2014</w:t>
      </w:r>
      <w:r w:rsidR="00E06427">
        <w:rPr>
          <w:rFonts w:ascii="Arabic Typesetting" w:hAnsi="Arabic Typesetting" w:cs="Arabic Typesetting" w:hint="cs"/>
          <w:sz w:val="36"/>
          <w:szCs w:val="36"/>
          <w:rtl/>
        </w:rPr>
        <w:t xml:space="preserve"> أموالاً ووفق على استخدامها لمشروعات </w:t>
      </w:r>
      <w:r w:rsidR="002B3DBD">
        <w:rPr>
          <w:rFonts w:ascii="Arabic Typesetting" w:hAnsi="Arabic Typesetting" w:cs="Arabic Typesetting" w:hint="cs"/>
          <w:sz w:val="36"/>
          <w:szCs w:val="36"/>
          <w:rtl/>
        </w:rPr>
        <w:t xml:space="preserve">وفقاً </w:t>
      </w:r>
      <w:r w:rsidR="00E06427">
        <w:rPr>
          <w:rFonts w:ascii="Arabic Typesetting" w:hAnsi="Arabic Typesetting" w:cs="Arabic Typesetting" w:hint="cs"/>
          <w:sz w:val="36"/>
          <w:szCs w:val="36"/>
          <w:rtl/>
        </w:rPr>
        <w:t>لهذه السياسة</w:t>
      </w:r>
      <w:r w:rsidR="005A5E81">
        <w:rPr>
          <w:rFonts w:ascii="Arabic Typesetting" w:hAnsi="Arabic Typesetting" w:cs="Arabic Typesetting" w:hint="cs"/>
          <w:sz w:val="36"/>
          <w:szCs w:val="36"/>
          <w:rtl/>
        </w:rPr>
        <w:t xml:space="preserve">. </w:t>
      </w:r>
      <w:r w:rsidR="00195F64">
        <w:rPr>
          <w:rFonts w:ascii="Arabic Typesetting" w:hAnsi="Arabic Typesetting" w:cs="Arabic Typesetting" w:hint="cs"/>
          <w:sz w:val="36"/>
          <w:szCs w:val="36"/>
          <w:rtl/>
        </w:rPr>
        <w:t xml:space="preserve">وبلغ الرصيد المتبقي للمشروعات </w:t>
      </w:r>
      <w:r w:rsidR="00242EF3">
        <w:rPr>
          <w:rFonts w:ascii="Arabic Typesetting" w:hAnsi="Arabic Typesetting" w:cs="Arabic Typesetting" w:hint="cs"/>
          <w:sz w:val="36"/>
          <w:szCs w:val="36"/>
          <w:rtl/>
        </w:rPr>
        <w:t>الخاصة المعتمدة</w:t>
      </w:r>
      <w:r w:rsidR="00195F64">
        <w:rPr>
          <w:rFonts w:ascii="Arabic Typesetting" w:hAnsi="Arabic Typesetting" w:cs="Arabic Typesetting" w:hint="cs"/>
          <w:sz w:val="36"/>
          <w:szCs w:val="36"/>
          <w:rtl/>
        </w:rPr>
        <w:t xml:space="preserve"> </w:t>
      </w:r>
      <w:r w:rsidR="00242EF3">
        <w:rPr>
          <w:rFonts w:ascii="Arabic Typesetting" w:hAnsi="Arabic Typesetting" w:cs="Arabic Typesetting" w:hint="cs"/>
          <w:sz w:val="36"/>
          <w:szCs w:val="36"/>
          <w:rtl/>
        </w:rPr>
        <w:t>في تاريخ صدور هذا التقرير 25.6</w:t>
      </w:r>
      <w:r w:rsidR="00195F64">
        <w:rPr>
          <w:rFonts w:ascii="Arabic Typesetting" w:hAnsi="Arabic Typesetting" w:cs="Arabic Typesetting" w:hint="cs"/>
          <w:sz w:val="36"/>
          <w:szCs w:val="36"/>
          <w:rtl/>
        </w:rPr>
        <w:t xml:space="preserve"> مليون فرنك سويسري</w:t>
      </w:r>
      <w:r w:rsidR="00242EF3">
        <w:rPr>
          <w:rFonts w:ascii="Arabic Typesetting" w:hAnsi="Arabic Typesetting" w:cs="Arabic Typesetting" w:hint="cs"/>
          <w:sz w:val="36"/>
          <w:szCs w:val="36"/>
          <w:rtl/>
        </w:rPr>
        <w:t>. ويبلغ الرصيد المتبقي من الجزء الممول من الاحتياطيات لخطة التنمية في تاريخ صدور هذا التقرير مليون فرنك سويسري.</w:t>
      </w:r>
      <w:r w:rsidR="00956B31">
        <w:rPr>
          <w:rFonts w:ascii="Arabic Typesetting" w:hAnsi="Arabic Typesetting" w:cs="Arabic Typesetting" w:hint="cs"/>
          <w:sz w:val="36"/>
          <w:szCs w:val="36"/>
          <w:rtl/>
        </w:rPr>
        <w:t xml:space="preserve"> ومن الجدير بالملاحظة </w:t>
      </w:r>
      <w:r w:rsidR="00362A73">
        <w:rPr>
          <w:rFonts w:ascii="Arabic Typesetting" w:hAnsi="Arabic Typesetting" w:cs="Arabic Typesetting" w:hint="cs"/>
          <w:sz w:val="36"/>
          <w:szCs w:val="36"/>
          <w:rtl/>
        </w:rPr>
        <w:t>كذلك</w:t>
      </w:r>
      <w:r w:rsidR="00242EF3">
        <w:rPr>
          <w:rFonts w:ascii="Arabic Typesetting" w:hAnsi="Arabic Typesetting" w:cs="Arabic Typesetting" w:hint="cs"/>
          <w:sz w:val="36"/>
          <w:szCs w:val="36"/>
          <w:rtl/>
        </w:rPr>
        <w:t xml:space="preserve"> أن</w:t>
      </w:r>
      <w:r w:rsidR="00362A73">
        <w:rPr>
          <w:rFonts w:ascii="Arabic Typesetting" w:hAnsi="Arabic Typesetting" w:cs="Arabic Typesetting" w:hint="cs"/>
          <w:sz w:val="36"/>
          <w:szCs w:val="36"/>
          <w:rtl/>
        </w:rPr>
        <w:t xml:space="preserve"> رصيداً قدره </w:t>
      </w:r>
      <w:r w:rsidR="00242EF3">
        <w:rPr>
          <w:rFonts w:ascii="Arabic Typesetting" w:hAnsi="Arabic Typesetting" w:cs="Arabic Typesetting" w:hint="cs"/>
          <w:sz w:val="36"/>
          <w:szCs w:val="36"/>
          <w:rtl/>
        </w:rPr>
        <w:t>0.6</w:t>
      </w:r>
      <w:r w:rsidR="00362A73">
        <w:rPr>
          <w:rFonts w:ascii="Arabic Typesetting" w:hAnsi="Arabic Typesetting" w:cs="Arabic Typesetting" w:hint="cs"/>
          <w:sz w:val="36"/>
          <w:szCs w:val="36"/>
          <w:rtl/>
        </w:rPr>
        <w:t xml:space="preserve"> مليون فرنك سويسري مازال باقياً على مشروعات بناء في 31 ديسمبر </w:t>
      </w:r>
      <w:r w:rsidR="00242EF3">
        <w:rPr>
          <w:rFonts w:ascii="Arabic Typesetting" w:hAnsi="Arabic Typesetting" w:cs="Arabic Typesetting" w:hint="cs"/>
          <w:sz w:val="36"/>
          <w:szCs w:val="36"/>
          <w:rtl/>
        </w:rPr>
        <w:t>2014</w:t>
      </w:r>
      <w:r w:rsidR="00362A73">
        <w:rPr>
          <w:rFonts w:ascii="Arabic Typesetting" w:hAnsi="Arabic Typesetting" w:cs="Arabic Typesetting" w:hint="cs"/>
          <w:sz w:val="36"/>
          <w:szCs w:val="36"/>
          <w:rtl/>
        </w:rPr>
        <w:t xml:space="preserve">. ولا تؤثر مشروعات </w:t>
      </w:r>
      <w:r w:rsidR="00773FD4">
        <w:rPr>
          <w:rFonts w:ascii="Arabic Typesetting" w:hAnsi="Arabic Typesetting" w:cs="Arabic Typesetting" w:hint="cs"/>
          <w:sz w:val="36"/>
          <w:szCs w:val="36"/>
          <w:rtl/>
        </w:rPr>
        <w:t>البناء هذه في مستوى صافي الأصول خلال مر</w:t>
      </w:r>
      <w:r w:rsidR="00242EF3">
        <w:rPr>
          <w:rFonts w:ascii="Arabic Typesetting" w:hAnsi="Arabic Typesetting" w:cs="Arabic Typesetting" w:hint="cs"/>
          <w:sz w:val="36"/>
          <w:szCs w:val="36"/>
          <w:rtl/>
        </w:rPr>
        <w:t>احل</w:t>
      </w:r>
      <w:r w:rsidR="00773FD4">
        <w:rPr>
          <w:rFonts w:ascii="Arabic Typesetting" w:hAnsi="Arabic Typesetting" w:cs="Arabic Typesetting" w:hint="cs"/>
          <w:sz w:val="36"/>
          <w:szCs w:val="36"/>
          <w:rtl/>
        </w:rPr>
        <w:t xml:space="preserve"> البناء، حيث </w:t>
      </w:r>
      <w:r w:rsidR="00242EF3">
        <w:rPr>
          <w:rFonts w:ascii="Arabic Typesetting" w:hAnsi="Arabic Typesetting" w:cs="Arabic Typesetting" w:hint="cs"/>
          <w:sz w:val="36"/>
          <w:szCs w:val="36"/>
          <w:rtl/>
        </w:rPr>
        <w:t>أن</w:t>
      </w:r>
      <w:r w:rsidR="00773FD4">
        <w:rPr>
          <w:rFonts w:ascii="Arabic Typesetting" w:hAnsi="Arabic Typesetting" w:cs="Arabic Typesetting" w:hint="cs"/>
          <w:sz w:val="36"/>
          <w:szCs w:val="36"/>
          <w:rtl/>
        </w:rPr>
        <w:t xml:space="preserve"> المصروفات المتكبدة </w:t>
      </w:r>
      <w:r w:rsidR="00242EF3">
        <w:rPr>
          <w:rFonts w:ascii="Arabic Typesetting" w:hAnsi="Arabic Typesetting" w:cs="Arabic Typesetting" w:hint="cs"/>
          <w:sz w:val="36"/>
          <w:szCs w:val="36"/>
          <w:rtl/>
        </w:rPr>
        <w:t>رُسملت</w:t>
      </w:r>
      <w:r w:rsidR="00773FD4">
        <w:rPr>
          <w:rFonts w:ascii="Arabic Typesetting" w:hAnsi="Arabic Typesetting" w:cs="Arabic Typesetting" w:hint="cs"/>
          <w:sz w:val="36"/>
          <w:szCs w:val="36"/>
          <w:rtl/>
        </w:rPr>
        <w:t xml:space="preserve"> على أنها عمل </w:t>
      </w:r>
      <w:r w:rsidR="00270119">
        <w:rPr>
          <w:rFonts w:ascii="Arabic Typesetting" w:hAnsi="Arabic Typesetting" w:cs="Arabic Typesetting" w:hint="cs"/>
          <w:sz w:val="36"/>
          <w:szCs w:val="36"/>
          <w:rtl/>
        </w:rPr>
        <w:t>جارٍ.</w:t>
      </w:r>
      <w:r w:rsidR="00242EF3">
        <w:rPr>
          <w:rFonts w:ascii="Arabic Typesetting" w:hAnsi="Arabic Typesetting" w:cs="Arabic Typesetting" w:hint="cs"/>
          <w:sz w:val="36"/>
          <w:szCs w:val="36"/>
          <w:rtl/>
        </w:rPr>
        <w:t xml:space="preserve"> ويوضح الجدول التالي تفاصيل المشروعات الممولة من الاحتياطيات وصافي النفقات خلال العام:</w:t>
      </w:r>
    </w:p>
    <w:p w14:paraId="3B512B3A" w14:textId="0879C489" w:rsidR="00B24CF6" w:rsidRDefault="00B24CF6" w:rsidP="00B24CF6">
      <w:pPr>
        <w:bidi/>
        <w:jc w:val="center"/>
        <w:rPr>
          <w:rFonts w:ascii="Arabic Typesetting" w:hAnsi="Arabic Typesetting" w:cs="Arabic Typesetting"/>
          <w:sz w:val="36"/>
          <w:szCs w:val="36"/>
        </w:rPr>
      </w:pPr>
      <w:r w:rsidRPr="00B24CF6">
        <w:rPr>
          <w:noProof/>
          <w:szCs w:val="22"/>
          <w:rtl/>
        </w:rPr>
        <w:drawing>
          <wp:inline distT="0" distB="0" distL="0" distR="0" wp14:anchorId="65738BB9" wp14:editId="7A5DCED5">
            <wp:extent cx="5940425" cy="4441055"/>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940425" cy="4441055"/>
                    </a:xfrm>
                    <a:prstGeom prst="rect">
                      <a:avLst/>
                    </a:prstGeom>
                    <a:noFill/>
                    <a:ln>
                      <a:noFill/>
                    </a:ln>
                  </pic:spPr>
                </pic:pic>
              </a:graphicData>
            </a:graphic>
          </wp:inline>
        </w:drawing>
      </w:r>
    </w:p>
    <w:p w14:paraId="472C4681" w14:textId="77777777" w:rsidR="00E16243" w:rsidRPr="002869C3" w:rsidRDefault="00E16243" w:rsidP="00E100D2">
      <w:pPr>
        <w:pStyle w:val="Heading2"/>
        <w:tabs>
          <w:tab w:val="left" w:pos="1417"/>
        </w:tabs>
        <w:bidi/>
        <w:rPr>
          <w:rFonts w:ascii="Arabic Typesetting" w:hAnsi="Arabic Typesetting" w:cs="Arabic Typesetting"/>
          <w:i/>
          <w:iCs w:val="0"/>
          <w:sz w:val="40"/>
          <w:szCs w:val="40"/>
          <w:rtl/>
        </w:rPr>
      </w:pPr>
      <w:bookmarkStart w:id="39" w:name="_Toc362519120"/>
      <w:r w:rsidRPr="002869C3">
        <w:rPr>
          <w:rFonts w:ascii="Arabic Typesetting" w:hAnsi="Arabic Typesetting" w:cs="Arabic Typesetting" w:hint="cs"/>
          <w:i/>
          <w:iCs w:val="0"/>
          <w:sz w:val="40"/>
          <w:szCs w:val="40"/>
          <w:rtl/>
        </w:rPr>
        <w:t>الملاحظة 22:</w:t>
      </w:r>
      <w:r w:rsidR="00E100D2">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 xml:space="preserve">التوفيق بين </w:t>
      </w:r>
      <w:r w:rsidRPr="002869C3">
        <w:rPr>
          <w:rFonts w:ascii="Arabic Typesetting" w:hAnsi="Arabic Typesetting" w:cs="Arabic Typesetting"/>
          <w:i/>
          <w:iCs w:val="0"/>
          <w:sz w:val="40"/>
          <w:szCs w:val="40"/>
          <w:rtl/>
        </w:rPr>
        <w:t>بيان مقارن للميزانية</w:t>
      </w:r>
      <w:r w:rsidRPr="002869C3">
        <w:rPr>
          <w:rFonts w:ascii="Arabic Typesetting" w:hAnsi="Arabic Typesetting" w:cs="Arabic Typesetting" w:hint="cs"/>
          <w:i/>
          <w:iCs w:val="0"/>
          <w:sz w:val="40"/>
          <w:szCs w:val="40"/>
          <w:rtl/>
        </w:rPr>
        <w:t xml:space="preserve"> وبيان الأداء المالي</w:t>
      </w:r>
      <w:bookmarkEnd w:id="39"/>
    </w:p>
    <w:p w14:paraId="278E4F24" w14:textId="55AC6B8A" w:rsidR="00242EF3" w:rsidRDefault="00E16243" w:rsidP="00553C9E">
      <w:pPr>
        <w:pStyle w:val="NormalParaAR"/>
        <w:rPr>
          <w:rtl/>
        </w:rPr>
      </w:pPr>
      <w:r>
        <w:rPr>
          <w:rFonts w:hint="cs"/>
          <w:rtl/>
        </w:rPr>
        <w:t xml:space="preserve">أُعد برنامج وميزانية الويبو على </w:t>
      </w:r>
      <w:r w:rsidR="00FD2528">
        <w:rPr>
          <w:rFonts w:hint="cs"/>
          <w:rtl/>
        </w:rPr>
        <w:t xml:space="preserve">أساس </w:t>
      </w:r>
      <w:r>
        <w:rPr>
          <w:rFonts w:hint="cs"/>
          <w:rtl/>
        </w:rPr>
        <w:t xml:space="preserve">الاستحقاق المعدّل </w:t>
      </w:r>
      <w:r w:rsidR="002B3DBD">
        <w:rPr>
          <w:rFonts w:hint="cs"/>
          <w:rtl/>
        </w:rPr>
        <w:t xml:space="preserve">وفقاً </w:t>
      </w:r>
      <w:r>
        <w:rPr>
          <w:rFonts w:hint="cs"/>
          <w:rtl/>
        </w:rPr>
        <w:t>للنظام المالي ولائحته، ووافقت عليهما جمعيات الدول الأعضاء. وقد حددت وثيقة البرنامج والميزانية ميزانية تقديرية لفترة السنتين 2012</w:t>
      </w:r>
      <w:r w:rsidRPr="00EC241C">
        <w:rPr>
          <w:rFonts w:hint="cs"/>
          <w:rtl/>
        </w:rPr>
        <w:t xml:space="preserve"> </w:t>
      </w:r>
      <w:r>
        <w:rPr>
          <w:rFonts w:hint="cs"/>
          <w:rtl/>
        </w:rPr>
        <w:t>/13</w:t>
      </w:r>
      <w:r w:rsidR="00242EF3">
        <w:rPr>
          <w:rFonts w:hint="cs"/>
          <w:rtl/>
        </w:rPr>
        <w:t xml:space="preserve"> قدرها 647</w:t>
      </w:r>
      <w:r w:rsidR="00553C9E">
        <w:rPr>
          <w:rFonts w:hint="cs"/>
          <w:rtl/>
        </w:rPr>
        <w:t>.</w:t>
      </w:r>
      <w:r w:rsidR="00242EF3">
        <w:rPr>
          <w:rFonts w:hint="cs"/>
          <w:rtl/>
        </w:rPr>
        <w:t xml:space="preserve">4 مليون فرنك سويسري. </w:t>
      </w:r>
      <w:r>
        <w:rPr>
          <w:rFonts w:hint="cs"/>
          <w:rtl/>
        </w:rPr>
        <w:t xml:space="preserve">وبالنسبة إلى سنة </w:t>
      </w:r>
      <w:r w:rsidR="00242EF3">
        <w:rPr>
          <w:rFonts w:hint="cs"/>
          <w:rtl/>
        </w:rPr>
        <w:t>2014</w:t>
      </w:r>
      <w:r>
        <w:rPr>
          <w:rFonts w:hint="cs"/>
          <w:rtl/>
        </w:rPr>
        <w:t xml:space="preserve">، وهي السنة </w:t>
      </w:r>
      <w:r w:rsidR="00242EF3">
        <w:rPr>
          <w:rFonts w:hint="cs"/>
          <w:rtl/>
        </w:rPr>
        <w:t>الأولى من الثنائية</w:t>
      </w:r>
      <w:r>
        <w:rPr>
          <w:rFonts w:hint="cs"/>
          <w:rtl/>
        </w:rPr>
        <w:t xml:space="preserve">، فقد بلغت الإيرادات المقدرة في الميزانية الأصلية والميزانية النهائية </w:t>
      </w:r>
      <w:r w:rsidR="00242EF3">
        <w:rPr>
          <w:rFonts w:hint="cs"/>
          <w:rtl/>
        </w:rPr>
        <w:t>351.3</w:t>
      </w:r>
      <w:r>
        <w:rPr>
          <w:rFonts w:hint="cs"/>
          <w:rtl/>
        </w:rPr>
        <w:t xml:space="preserve"> مليون فرنك سويسري، كما بلغت المصروفات المقدرة </w:t>
      </w:r>
      <w:r w:rsidR="00242EF3">
        <w:rPr>
          <w:rFonts w:hint="cs"/>
          <w:rtl/>
        </w:rPr>
        <w:t>337</w:t>
      </w:r>
      <w:r>
        <w:rPr>
          <w:rFonts w:hint="cs"/>
          <w:rtl/>
        </w:rPr>
        <w:t xml:space="preserve"> مليون فرنك سويسري.</w:t>
      </w:r>
      <w:r w:rsidR="00242EF3">
        <w:rPr>
          <w:rFonts w:hint="cs"/>
          <w:rtl/>
        </w:rPr>
        <w:t xml:space="preserve"> وأما الإيرادات الفعلية على </w:t>
      </w:r>
      <w:r w:rsidR="00FD2528">
        <w:rPr>
          <w:rFonts w:hint="cs"/>
          <w:rtl/>
        </w:rPr>
        <w:t xml:space="preserve">أساس </w:t>
      </w:r>
      <w:r w:rsidR="00242EF3">
        <w:rPr>
          <w:rFonts w:hint="cs"/>
          <w:rtl/>
        </w:rPr>
        <w:t xml:space="preserve">الاستحقاق المقارن المتغير للسنة الأولى من الثنائية فقد بلغت 378.7 مليون فرنك سويسري. وبلغت المصروفات الفعلية على </w:t>
      </w:r>
      <w:r w:rsidR="00FD2528">
        <w:rPr>
          <w:rFonts w:hint="cs"/>
          <w:rtl/>
        </w:rPr>
        <w:t xml:space="preserve">أساس </w:t>
      </w:r>
      <w:r w:rsidR="00242EF3">
        <w:rPr>
          <w:rFonts w:hint="cs"/>
          <w:rtl/>
        </w:rPr>
        <w:t>الاستحقاق المقارن المتغير للسنة الأولى من الثنائية 308.8 مليون فرنك سويسري.</w:t>
      </w:r>
    </w:p>
    <w:p w14:paraId="0CD4A415" w14:textId="5BFFF26C" w:rsidR="00E16243" w:rsidRDefault="00E16243" w:rsidP="00EF5C7A">
      <w:pPr>
        <w:pStyle w:val="NormalParaAR"/>
        <w:rPr>
          <w:rtl/>
        </w:rPr>
      </w:pPr>
      <w:r>
        <w:rPr>
          <w:rFonts w:hint="cs"/>
          <w:rtl/>
        </w:rPr>
        <w:t>ويُقدم</w:t>
      </w:r>
      <w:r w:rsidRPr="00E86AA7">
        <w:rPr>
          <w:rFonts w:hint="cs"/>
          <w:rtl/>
        </w:rPr>
        <w:t xml:space="preserve"> تقرير</w:t>
      </w:r>
      <w:r>
        <w:rPr>
          <w:rFonts w:hint="cs"/>
          <w:rtl/>
        </w:rPr>
        <w:t xml:space="preserve"> أداء البرنامج </w:t>
      </w:r>
      <w:r w:rsidR="003C73B2">
        <w:rPr>
          <w:rFonts w:hint="cs"/>
          <w:rtl/>
        </w:rPr>
        <w:t>للفترة</w:t>
      </w:r>
      <w:r>
        <w:rPr>
          <w:rFonts w:hint="cs"/>
          <w:rtl/>
        </w:rPr>
        <w:t xml:space="preserve"> 2012</w:t>
      </w:r>
      <w:r w:rsidR="003C73B2">
        <w:rPr>
          <w:rFonts w:hint="cs"/>
          <w:rtl/>
        </w:rPr>
        <w:t>/</w:t>
      </w:r>
      <w:r w:rsidR="00EF5C7A">
        <w:rPr>
          <w:rFonts w:hint="cs"/>
          <w:rtl/>
        </w:rPr>
        <w:t>2014</w:t>
      </w:r>
      <w:r>
        <w:rPr>
          <w:rFonts w:hint="cs"/>
          <w:rtl/>
        </w:rPr>
        <w:t xml:space="preserve"> شرحا لكل من التغييرات التي حدثت في الميزانية الأصلية والميزانية النهائية بعد التحويلات، والاختلافات المهمة بين الميزانية والمبالغ الفعلية. وتُعد</w:t>
      </w:r>
      <w:r w:rsidRPr="006B5088">
        <w:rPr>
          <w:rFonts w:hint="cs"/>
          <w:rtl/>
        </w:rPr>
        <w:t xml:space="preserve"> ميزانية الويبو</w:t>
      </w:r>
      <w:r>
        <w:rPr>
          <w:rFonts w:hint="cs"/>
          <w:rtl/>
        </w:rPr>
        <w:t xml:space="preserve"> وحساباتها المالية باستخدام أساسين مختلفين هما بيان الوضع المالي وبيان الأداء المالي. أما بيان</w:t>
      </w:r>
      <w:r w:rsidRPr="004251A3">
        <w:rPr>
          <w:rtl/>
        </w:rPr>
        <w:t xml:space="preserve"> التغيّرات في الأصول</w:t>
      </w:r>
      <w:r>
        <w:rPr>
          <w:rtl/>
        </w:rPr>
        <w:t xml:space="preserve"> الصافية</w:t>
      </w:r>
      <w:r>
        <w:rPr>
          <w:rFonts w:hint="cs"/>
          <w:rtl/>
        </w:rPr>
        <w:t xml:space="preserve"> وبيان حركة الأموال فيُعدان على </w:t>
      </w:r>
      <w:r w:rsidR="00FD2528">
        <w:rPr>
          <w:rFonts w:hint="cs"/>
          <w:rtl/>
        </w:rPr>
        <w:t xml:space="preserve">أساس </w:t>
      </w:r>
      <w:r>
        <w:rPr>
          <w:rFonts w:hint="cs"/>
          <w:rtl/>
        </w:rPr>
        <w:t xml:space="preserve">الاستحقاق الكامل، بينما يُعد بيان مقارن للميزانية والمبالغ الفعلية (البيان المالي الخامس) على </w:t>
      </w:r>
      <w:r w:rsidR="00FD2528">
        <w:rPr>
          <w:rFonts w:hint="cs"/>
          <w:rtl/>
        </w:rPr>
        <w:t xml:space="preserve">أساس </w:t>
      </w:r>
      <w:r>
        <w:rPr>
          <w:rFonts w:hint="cs"/>
          <w:rtl/>
        </w:rPr>
        <w:t>الاستحقاق المعدل.</w:t>
      </w:r>
    </w:p>
    <w:p w14:paraId="54A77678" w14:textId="4EEF830A" w:rsidR="00E16243" w:rsidRDefault="00E16243" w:rsidP="002B3DBD">
      <w:pPr>
        <w:pStyle w:val="NormalParaAR"/>
        <w:rPr>
          <w:rtl/>
        </w:rPr>
      </w:pPr>
      <w:r w:rsidRPr="00944313">
        <w:rPr>
          <w:rFonts w:hint="cs"/>
          <w:rtl/>
        </w:rPr>
        <w:lastRenderedPageBreak/>
        <w:t xml:space="preserve">وكما يقتضي المعيار 24 من المعايير المحاسبية الدولية للقطاع العام، فقد </w:t>
      </w:r>
      <w:r w:rsidR="002B3DBD">
        <w:rPr>
          <w:rFonts w:hint="cs"/>
          <w:rtl/>
        </w:rPr>
        <w:t>وفِّق</w:t>
      </w:r>
      <w:r w:rsidRPr="00944313">
        <w:rPr>
          <w:rFonts w:hint="cs"/>
          <w:rtl/>
        </w:rPr>
        <w:t xml:space="preserve"> بين المبالغ الفعلية الواردة على </w:t>
      </w:r>
      <w:r w:rsidR="00FD2528">
        <w:rPr>
          <w:rFonts w:hint="cs"/>
          <w:rtl/>
        </w:rPr>
        <w:t xml:space="preserve">أساس </w:t>
      </w:r>
      <w:r w:rsidRPr="00944313">
        <w:rPr>
          <w:rFonts w:hint="cs"/>
          <w:rtl/>
        </w:rPr>
        <w:t xml:space="preserve">مقارن في البيان المالي الخامس والمبالغ الفعلية في الحسابات المالية </w:t>
      </w:r>
      <w:r>
        <w:rPr>
          <w:rFonts w:hint="cs"/>
          <w:rtl/>
        </w:rPr>
        <w:t>التي تحدد أية اختلافات</w:t>
      </w:r>
      <w:r w:rsidRPr="00944313">
        <w:rPr>
          <w:rFonts w:hint="cs"/>
          <w:rtl/>
        </w:rPr>
        <w:t xml:space="preserve"> في ال</w:t>
      </w:r>
      <w:r w:rsidR="00FD2528">
        <w:rPr>
          <w:rFonts w:hint="cs"/>
          <w:rtl/>
        </w:rPr>
        <w:t xml:space="preserve">أساس </w:t>
      </w:r>
      <w:r w:rsidRPr="00944313">
        <w:rPr>
          <w:rFonts w:hint="cs"/>
          <w:rtl/>
        </w:rPr>
        <w:t xml:space="preserve">والتوقيت </w:t>
      </w:r>
      <w:r>
        <w:rPr>
          <w:rFonts w:hint="cs"/>
          <w:rtl/>
        </w:rPr>
        <w:t>والاختلاف</w:t>
      </w:r>
      <w:r w:rsidRPr="00944313">
        <w:rPr>
          <w:rFonts w:hint="cs"/>
          <w:rtl/>
        </w:rPr>
        <w:t xml:space="preserve"> بحسب الجهة المعنية. و</w:t>
      </w:r>
      <w:r>
        <w:rPr>
          <w:rFonts w:hint="cs"/>
          <w:rtl/>
        </w:rPr>
        <w:t>مع أن</w:t>
      </w:r>
      <w:r w:rsidRPr="00944313">
        <w:rPr>
          <w:rFonts w:hint="cs"/>
          <w:rtl/>
        </w:rPr>
        <w:t xml:space="preserve"> الجمعيات</w:t>
      </w:r>
      <w:r>
        <w:rPr>
          <w:rFonts w:hint="cs"/>
          <w:rtl/>
        </w:rPr>
        <w:t xml:space="preserve"> </w:t>
      </w:r>
      <w:r w:rsidRPr="00944313">
        <w:rPr>
          <w:rFonts w:hint="cs"/>
          <w:rtl/>
        </w:rPr>
        <w:t xml:space="preserve">تعتمد ميزانية الويبو على </w:t>
      </w:r>
      <w:r w:rsidR="00FD2528">
        <w:rPr>
          <w:rFonts w:hint="cs"/>
          <w:rtl/>
        </w:rPr>
        <w:t xml:space="preserve">أساس </w:t>
      </w:r>
      <w:r w:rsidRPr="00944313">
        <w:rPr>
          <w:rFonts w:hint="cs"/>
          <w:rtl/>
        </w:rPr>
        <w:t xml:space="preserve">فترة سنتين </w:t>
      </w:r>
      <w:r>
        <w:rPr>
          <w:rFonts w:hint="cs"/>
          <w:rtl/>
        </w:rPr>
        <w:t>فإنها</w:t>
      </w:r>
      <w:r w:rsidRPr="00944313">
        <w:rPr>
          <w:rFonts w:hint="cs"/>
          <w:rtl/>
        </w:rPr>
        <w:t xml:space="preserve"> تُعد تقديرات منفصلة لكل </w:t>
      </w:r>
      <w:r>
        <w:rPr>
          <w:rFonts w:hint="cs"/>
          <w:rtl/>
        </w:rPr>
        <w:t>سنة</w:t>
      </w:r>
      <w:r w:rsidRPr="00944313">
        <w:rPr>
          <w:rFonts w:hint="cs"/>
          <w:rtl/>
        </w:rPr>
        <w:t xml:space="preserve"> </w:t>
      </w:r>
      <w:r>
        <w:rPr>
          <w:rFonts w:hint="cs"/>
          <w:rtl/>
        </w:rPr>
        <w:t>من السنتين</w:t>
      </w:r>
      <w:r w:rsidRPr="00417589">
        <w:rPr>
          <w:rFonts w:hint="cs"/>
          <w:b/>
          <w:bCs/>
          <w:rtl/>
        </w:rPr>
        <w:t>؛</w:t>
      </w:r>
      <w:r w:rsidRPr="00944313">
        <w:rPr>
          <w:rFonts w:hint="cs"/>
          <w:rtl/>
        </w:rPr>
        <w:t xml:space="preserve"> وبناء على ذلك، لا يوجد اختلافات في توقيت الإبلاغ عنها. وتُعزى الاختلافات في ال</w:t>
      </w:r>
      <w:r w:rsidR="00FD2528">
        <w:rPr>
          <w:rFonts w:hint="cs"/>
          <w:rtl/>
        </w:rPr>
        <w:t xml:space="preserve">أساس </w:t>
      </w:r>
      <w:r w:rsidRPr="00944313">
        <w:rPr>
          <w:rFonts w:hint="cs"/>
          <w:rtl/>
        </w:rPr>
        <w:t xml:space="preserve">إلى إعداد الميزانية المعتمدة على </w:t>
      </w:r>
      <w:r w:rsidR="00FD2528">
        <w:rPr>
          <w:rFonts w:hint="cs"/>
          <w:rtl/>
        </w:rPr>
        <w:t xml:space="preserve">أساس </w:t>
      </w:r>
      <w:r w:rsidRPr="00944313">
        <w:rPr>
          <w:rFonts w:hint="cs"/>
          <w:rtl/>
        </w:rPr>
        <w:t xml:space="preserve">غير </w:t>
      </w:r>
      <w:r w:rsidR="00FD2528">
        <w:rPr>
          <w:rFonts w:hint="cs"/>
          <w:rtl/>
        </w:rPr>
        <w:t xml:space="preserve">أساس </w:t>
      </w:r>
      <w:r w:rsidRPr="00944313">
        <w:rPr>
          <w:rFonts w:hint="cs"/>
          <w:rtl/>
        </w:rPr>
        <w:t>الاستحقاق المحاسبي الكامل. وتشمل الاختلافات في ال</w:t>
      </w:r>
      <w:r w:rsidR="00FD2528">
        <w:rPr>
          <w:rFonts w:hint="cs"/>
          <w:rtl/>
        </w:rPr>
        <w:t xml:space="preserve">أساس </w:t>
      </w:r>
      <w:r w:rsidRPr="00944313">
        <w:rPr>
          <w:rFonts w:hint="cs"/>
          <w:rtl/>
        </w:rPr>
        <w:t>اهتلاك الأصول وتسجيل المخصصات بالكامل وتأجيل الإيرادات غير المحصّلة. وتُعد الاختلافات بحسب الجهة المعنية مؤشرا على إدراج المشروعات الممولة من الأموال الاحتي</w:t>
      </w:r>
      <w:r>
        <w:rPr>
          <w:rFonts w:hint="cs"/>
          <w:rtl/>
        </w:rPr>
        <w:t>اطية في الحسابات المالية للويبو</w:t>
      </w:r>
      <w:r w:rsidRPr="00944313">
        <w:rPr>
          <w:rFonts w:hint="cs"/>
          <w:rtl/>
        </w:rPr>
        <w:t>، وهي</w:t>
      </w:r>
      <w:r w:rsidRPr="00D249E9">
        <w:rPr>
          <w:rFonts w:hint="cs"/>
          <w:rtl/>
        </w:rPr>
        <w:t xml:space="preserve"> مشروعات لم ترد في الوثيقة المنشورة لبرنامج وميزانية الويبو. كما تُعزى الاختلافات في العرض إلى معاملة المكاسب المتعلقة بالممتلكات الاستثمارية بوصفها أنشطة استثمارية في البيان المالي الرابع.</w:t>
      </w:r>
    </w:p>
    <w:p w14:paraId="22E1A412" w14:textId="7F26B101" w:rsidR="00EF5C7A" w:rsidRDefault="009C02F5" w:rsidP="00EF5C7A">
      <w:pPr>
        <w:pStyle w:val="NormalParaAR"/>
        <w:spacing w:line="240" w:lineRule="auto"/>
        <w:rPr>
          <w:rtl/>
        </w:rPr>
      </w:pPr>
      <w:r w:rsidRPr="009C02F5">
        <w:rPr>
          <w:noProof/>
          <w:rtl/>
        </w:rPr>
        <w:drawing>
          <wp:inline distT="0" distB="0" distL="0" distR="0" wp14:anchorId="222FD56F" wp14:editId="347F3E14">
            <wp:extent cx="5940425" cy="3765805"/>
            <wp:effectExtent l="0" t="0" r="3175" b="635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940425" cy="3765805"/>
                    </a:xfrm>
                    <a:prstGeom prst="rect">
                      <a:avLst/>
                    </a:prstGeom>
                    <a:noFill/>
                    <a:ln>
                      <a:noFill/>
                    </a:ln>
                  </pic:spPr>
                </pic:pic>
              </a:graphicData>
            </a:graphic>
          </wp:inline>
        </w:drawing>
      </w:r>
    </w:p>
    <w:p w14:paraId="44FB7330" w14:textId="77777777" w:rsidR="00E16243" w:rsidRPr="002869C3" w:rsidRDefault="00E16243" w:rsidP="00E100D2">
      <w:pPr>
        <w:pStyle w:val="Heading2"/>
        <w:tabs>
          <w:tab w:val="left" w:pos="1417"/>
        </w:tabs>
        <w:bidi/>
        <w:rPr>
          <w:rFonts w:ascii="Arabic Typesetting" w:hAnsi="Arabic Typesetting" w:cs="Arabic Typesetting"/>
          <w:i/>
          <w:iCs w:val="0"/>
          <w:sz w:val="40"/>
          <w:szCs w:val="40"/>
          <w:rtl/>
        </w:rPr>
      </w:pPr>
      <w:bookmarkStart w:id="40" w:name="_Toc362519121"/>
      <w:r w:rsidRPr="002869C3">
        <w:rPr>
          <w:rFonts w:ascii="Arabic Typesetting" w:hAnsi="Arabic Typesetting" w:cs="Arabic Typesetting" w:hint="cs"/>
          <w:i/>
          <w:iCs w:val="0"/>
          <w:sz w:val="40"/>
          <w:szCs w:val="40"/>
          <w:rtl/>
        </w:rPr>
        <w:lastRenderedPageBreak/>
        <w:t>الملاحظة 23:</w:t>
      </w:r>
      <w:r w:rsidR="00E100D2">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الإيرادات</w:t>
      </w:r>
      <w:bookmarkEnd w:id="40"/>
    </w:p>
    <w:p w14:paraId="7D7EE501" w14:textId="640522FF" w:rsidR="00E16243" w:rsidRPr="00FA79D5" w:rsidRDefault="009C02F5" w:rsidP="009C02F5">
      <w:pPr>
        <w:bidi/>
        <w:spacing w:after="240"/>
        <w:rPr>
          <w:rFonts w:ascii="Arabic Typesetting" w:hAnsi="Arabic Typesetting" w:cs="Arabic Typesetting"/>
          <w:b/>
          <w:bCs/>
          <w:sz w:val="44"/>
          <w:szCs w:val="44"/>
          <w:rtl/>
        </w:rPr>
      </w:pPr>
      <w:r w:rsidRPr="009C02F5">
        <w:rPr>
          <w:noProof/>
          <w:szCs w:val="22"/>
          <w:rtl/>
        </w:rPr>
        <w:drawing>
          <wp:inline distT="0" distB="0" distL="0" distR="0" wp14:anchorId="6579D54D" wp14:editId="5E38C541">
            <wp:extent cx="5940425" cy="3824057"/>
            <wp:effectExtent l="0" t="0" r="3175"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940425" cy="3824057"/>
                    </a:xfrm>
                    <a:prstGeom prst="rect">
                      <a:avLst/>
                    </a:prstGeom>
                    <a:noFill/>
                    <a:ln>
                      <a:noFill/>
                    </a:ln>
                  </pic:spPr>
                </pic:pic>
              </a:graphicData>
            </a:graphic>
          </wp:inline>
        </w:drawing>
      </w:r>
    </w:p>
    <w:p w14:paraId="08245F23" w14:textId="1C04EBBC" w:rsidR="00E16243" w:rsidRDefault="00E16243" w:rsidP="00E16243">
      <w:pPr>
        <w:bidi/>
        <w:spacing w:after="240" w:line="360" w:lineRule="exact"/>
        <w:rPr>
          <w:rFonts w:ascii="Arabic Typesetting" w:hAnsi="Arabic Typesetting" w:cs="Arabic Typesetting"/>
          <w:sz w:val="36"/>
          <w:szCs w:val="36"/>
          <w:rtl/>
        </w:rPr>
      </w:pPr>
      <w:r w:rsidRPr="00441C1F">
        <w:rPr>
          <w:rFonts w:ascii="Arabic Typesetting" w:hAnsi="Arabic Typesetting" w:cs="Arabic Typesetting" w:hint="cs"/>
          <w:sz w:val="36"/>
          <w:szCs w:val="36"/>
          <w:rtl/>
        </w:rPr>
        <w:t xml:space="preserve">المبالغ المبينة في باب البرنامج والميزانية هي الإيرادات الفعلية المحصلة المتعلقة بميزانية المنظمة كما اعتمدتها الجمعيات. وأما </w:t>
      </w:r>
      <w:r w:rsidR="00FD2528">
        <w:rPr>
          <w:rFonts w:ascii="Arabic Typesetting" w:hAnsi="Arabic Typesetting" w:cs="Arabic Typesetting" w:hint="cs"/>
          <w:sz w:val="36"/>
          <w:szCs w:val="36"/>
          <w:rtl/>
        </w:rPr>
        <w:t>المساهمات</w:t>
      </w:r>
      <w:r>
        <w:rPr>
          <w:rFonts w:ascii="Arabic Typesetting" w:hAnsi="Arabic Typesetting" w:cs="Arabic Typesetting" w:hint="cs"/>
          <w:sz w:val="36"/>
          <w:szCs w:val="36"/>
          <w:rtl/>
        </w:rPr>
        <w:t xml:space="preserve"> الطوعية فهي الإيرادات المحصلة من تبرعات من جهات مانحة لفائدة مشروعات فردية</w:t>
      </w:r>
      <w:r w:rsidR="000D4BE6">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تحت حسابات فردية غير مدرجة في البرنامج والميزانية.</w:t>
      </w:r>
    </w:p>
    <w:p w14:paraId="6B0AD952" w14:textId="025BEDE1" w:rsidR="00E55E23" w:rsidRDefault="00E16243" w:rsidP="00511BEB">
      <w:pPr>
        <w:bidi/>
        <w:spacing w:after="240" w:line="360" w:lineRule="exact"/>
        <w:jc w:val="both"/>
        <w:rPr>
          <w:rFonts w:ascii="Arabic Typesetting" w:hAnsi="Arabic Typesetting" w:cs="Arabic Typesetting"/>
          <w:sz w:val="36"/>
          <w:szCs w:val="36"/>
          <w:rtl/>
        </w:rPr>
      </w:pPr>
      <w:r>
        <w:rPr>
          <w:rFonts w:ascii="Arabic Typesetting" w:hAnsi="Arabic Typesetting" w:cs="Arabic Typesetting" w:hint="cs"/>
          <w:sz w:val="36"/>
          <w:szCs w:val="36"/>
          <w:rtl/>
        </w:rPr>
        <w:t xml:space="preserve">وتتعلق التسويات المنجزة </w:t>
      </w:r>
      <w:r w:rsidR="002B3DBD">
        <w:rPr>
          <w:rFonts w:ascii="Arabic Typesetting" w:hAnsi="Arabic Typesetting" w:cs="Arabic Typesetting" w:hint="cs"/>
          <w:sz w:val="36"/>
          <w:szCs w:val="36"/>
          <w:rtl/>
        </w:rPr>
        <w:t xml:space="preserve">وفقاً </w:t>
      </w:r>
      <w:r>
        <w:rPr>
          <w:rFonts w:ascii="Arabic Typesetting" w:hAnsi="Arabic Typesetting" w:cs="Arabic Typesetting" w:hint="cs"/>
          <w:sz w:val="36"/>
          <w:szCs w:val="36"/>
          <w:rtl/>
        </w:rPr>
        <w:t xml:space="preserve">للمعايير المحاسبية الدولية للقطاع العام </w:t>
      </w:r>
      <w:r w:rsidR="00EF5C7A">
        <w:rPr>
          <w:rFonts w:ascii="Arabic Typesetting" w:hAnsi="Arabic Typesetting" w:cs="Arabic Typesetting" w:hint="cs"/>
          <w:sz w:val="36"/>
          <w:szCs w:val="36"/>
          <w:rtl/>
        </w:rPr>
        <w:t xml:space="preserve">أساساً </w:t>
      </w:r>
      <w:r>
        <w:rPr>
          <w:rFonts w:ascii="Arabic Typesetting" w:hAnsi="Arabic Typesetting" w:cs="Arabic Typesetting" w:hint="cs"/>
          <w:sz w:val="36"/>
          <w:szCs w:val="36"/>
          <w:rtl/>
        </w:rPr>
        <w:t xml:space="preserve">بتأجيل الإيرادات غير المحصّلة. وتؤجل الإيرادات المتأتية من </w:t>
      </w:r>
      <w:r w:rsidR="00FD2528">
        <w:rPr>
          <w:rFonts w:ascii="Arabic Typesetting" w:hAnsi="Arabic Typesetting" w:cs="Arabic Typesetting" w:hint="cs"/>
          <w:sz w:val="36"/>
          <w:szCs w:val="36"/>
          <w:rtl/>
        </w:rPr>
        <w:t>المساهمات</w:t>
      </w:r>
      <w:r>
        <w:rPr>
          <w:rFonts w:ascii="Arabic Typesetting" w:hAnsi="Arabic Typesetting" w:cs="Arabic Typesetting" w:hint="cs"/>
          <w:sz w:val="36"/>
          <w:szCs w:val="36"/>
          <w:rtl/>
        </w:rPr>
        <w:t xml:space="preserve"> الطوعية إلى حين تحصيلها من خلال تقديم الخدمات الخاصة التي نصت عليها خطة العمل المتفق عليها مع الجهة المانحة.</w:t>
      </w:r>
    </w:p>
    <w:p w14:paraId="3AFA21AE" w14:textId="28E69C03" w:rsidR="00E16243" w:rsidRPr="006918D3" w:rsidRDefault="00E16243" w:rsidP="00E16243">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rPr>
        <w:t>وتؤجل الإيرادات المتأتية من رسوم معاهدة التعاون بشأن البراءات ومدريد</w:t>
      </w:r>
      <w:r w:rsidR="00EF5C7A">
        <w:rPr>
          <w:rFonts w:ascii="Arabic Typesetting" w:hAnsi="Arabic Typesetting" w:cs="Arabic Typesetting" w:hint="cs"/>
          <w:sz w:val="36"/>
          <w:szCs w:val="36"/>
          <w:rtl/>
        </w:rPr>
        <w:t xml:space="preserve"> ولاهاي</w:t>
      </w:r>
      <w:r>
        <w:rPr>
          <w:rFonts w:ascii="Arabic Typesetting" w:hAnsi="Arabic Typesetting" w:cs="Arabic Typesetting" w:hint="cs"/>
          <w:sz w:val="36"/>
          <w:szCs w:val="36"/>
          <w:rtl/>
        </w:rPr>
        <w:t xml:space="preserve"> إلى حين تحصيلها من خلال نشر الطلب الدولي </w:t>
      </w:r>
      <w:r w:rsidR="002B3DBD">
        <w:rPr>
          <w:rFonts w:ascii="Arabic Typesetting" w:hAnsi="Arabic Typesetting" w:cs="Arabic Typesetting" w:hint="cs"/>
          <w:sz w:val="36"/>
          <w:szCs w:val="36"/>
          <w:rtl/>
        </w:rPr>
        <w:t xml:space="preserve">وفقاً </w:t>
      </w:r>
      <w:r>
        <w:rPr>
          <w:rFonts w:ascii="Arabic Typesetting" w:hAnsi="Arabic Typesetting" w:cs="Arabic Typesetting" w:hint="cs"/>
          <w:sz w:val="36"/>
          <w:szCs w:val="36"/>
          <w:rtl/>
        </w:rPr>
        <w:t>للقواعد المطبقة في كل اتحاد.</w:t>
      </w:r>
    </w:p>
    <w:p w14:paraId="5555DB16" w14:textId="79AB9145" w:rsidR="00E16243" w:rsidRPr="002869C3" w:rsidRDefault="00E16243" w:rsidP="00E100D2">
      <w:pPr>
        <w:pStyle w:val="Heading2"/>
        <w:tabs>
          <w:tab w:val="left" w:pos="1417"/>
        </w:tabs>
        <w:bidi/>
        <w:rPr>
          <w:rFonts w:ascii="Arabic Typesetting" w:hAnsi="Arabic Typesetting" w:cs="Arabic Typesetting"/>
          <w:i/>
          <w:iCs w:val="0"/>
          <w:sz w:val="40"/>
          <w:szCs w:val="40"/>
          <w:rtl/>
        </w:rPr>
      </w:pPr>
      <w:bookmarkStart w:id="41" w:name="_Toc362519122"/>
      <w:r w:rsidRPr="002869C3">
        <w:rPr>
          <w:rFonts w:ascii="Arabic Typesetting" w:hAnsi="Arabic Typesetting" w:cs="Arabic Typesetting" w:hint="cs"/>
          <w:i/>
          <w:iCs w:val="0"/>
          <w:sz w:val="40"/>
          <w:szCs w:val="40"/>
          <w:rtl/>
        </w:rPr>
        <w:lastRenderedPageBreak/>
        <w:t>الملاحظة 24:</w:t>
      </w:r>
      <w:r w:rsidR="00E100D2">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المصروفات</w:t>
      </w:r>
      <w:bookmarkEnd w:id="41"/>
    </w:p>
    <w:p w14:paraId="59C2BB93" w14:textId="7BF69B45" w:rsidR="003B1C3B" w:rsidRDefault="001E3897" w:rsidP="003B1C3B">
      <w:pPr>
        <w:bidi/>
        <w:spacing w:before="240" w:after="240"/>
        <w:rPr>
          <w:noProof/>
          <w:rtl/>
        </w:rPr>
      </w:pPr>
      <w:r w:rsidRPr="001E3897">
        <w:rPr>
          <w:noProof/>
          <w:szCs w:val="22"/>
          <w:rtl/>
        </w:rPr>
        <w:drawing>
          <wp:inline distT="0" distB="0" distL="0" distR="0" wp14:anchorId="27832063" wp14:editId="11303E3E">
            <wp:extent cx="5940425" cy="6832526"/>
            <wp:effectExtent l="0" t="0" r="3175"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940425" cy="6832526"/>
                    </a:xfrm>
                    <a:prstGeom prst="rect">
                      <a:avLst/>
                    </a:prstGeom>
                    <a:noFill/>
                    <a:ln>
                      <a:noFill/>
                    </a:ln>
                  </pic:spPr>
                </pic:pic>
              </a:graphicData>
            </a:graphic>
          </wp:inline>
        </w:drawing>
      </w:r>
    </w:p>
    <w:p w14:paraId="574F8CF3" w14:textId="19EE938A" w:rsidR="00EF5C7A" w:rsidRDefault="00E16243" w:rsidP="002B3DBD">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تُقيد المصروفات في البرنامج والميزانية والحسابات الخاصة والمشاريع الممولة من الأموال الاحتياطية على </w:t>
      </w:r>
      <w:r w:rsidR="00FD2528">
        <w:rPr>
          <w:rFonts w:ascii="Arabic Typesetting" w:hAnsi="Arabic Typesetting" w:cs="Arabic Typesetting" w:hint="cs"/>
          <w:sz w:val="36"/>
          <w:szCs w:val="36"/>
          <w:rtl/>
        </w:rPr>
        <w:t xml:space="preserve">أساس </w:t>
      </w:r>
      <w:r>
        <w:rPr>
          <w:rFonts w:ascii="Arabic Typesetting" w:hAnsi="Arabic Typesetting" w:cs="Arabic Typesetting" w:hint="cs"/>
          <w:sz w:val="36"/>
          <w:szCs w:val="36"/>
          <w:rtl/>
        </w:rPr>
        <w:t xml:space="preserve">الاستحقاق المعدل، حيث تقيد المصروفات عندما تستلم السلع وتقدم الخدمات. ومع ذلك تدون، قبل تطبيق التسويات </w:t>
      </w:r>
      <w:r w:rsidR="002B3DBD">
        <w:rPr>
          <w:rFonts w:ascii="Arabic Typesetting" w:hAnsi="Arabic Typesetting" w:cs="Arabic Typesetting" w:hint="cs"/>
          <w:sz w:val="36"/>
          <w:szCs w:val="36"/>
          <w:rtl/>
        </w:rPr>
        <w:t xml:space="preserve">وفقاً </w:t>
      </w:r>
      <w:r w:rsidRPr="00C30197">
        <w:rPr>
          <w:rFonts w:ascii="Arabic Typesetting" w:hAnsi="Arabic Typesetting" w:cs="Arabic Typesetting"/>
          <w:sz w:val="36"/>
          <w:szCs w:val="36"/>
          <w:rtl/>
        </w:rPr>
        <w:t>ل</w:t>
      </w:r>
      <w:r>
        <w:rPr>
          <w:rFonts w:ascii="Arabic Typesetting" w:hAnsi="Arabic Typesetting" w:cs="Arabic Typesetting" w:hint="cs"/>
          <w:sz w:val="36"/>
          <w:szCs w:val="36"/>
          <w:rtl/>
        </w:rPr>
        <w:t>ل</w:t>
      </w:r>
      <w:r w:rsidRPr="00C30197">
        <w:rPr>
          <w:rFonts w:ascii="Arabic Typesetting" w:hAnsi="Arabic Typesetting" w:cs="Arabic Typesetting"/>
          <w:sz w:val="36"/>
          <w:szCs w:val="36"/>
          <w:rtl/>
        </w:rPr>
        <w:t>م</w:t>
      </w:r>
      <w:r>
        <w:rPr>
          <w:rFonts w:ascii="Arabic Typesetting" w:hAnsi="Arabic Typesetting" w:cs="Arabic Typesetting"/>
          <w:sz w:val="36"/>
          <w:szCs w:val="36"/>
          <w:rtl/>
        </w:rPr>
        <w:t>عايير المحاسب</w:t>
      </w:r>
      <w:r>
        <w:rPr>
          <w:rFonts w:ascii="Arabic Typesetting" w:hAnsi="Arabic Typesetting" w:cs="Arabic Typesetting" w:hint="cs"/>
          <w:sz w:val="36"/>
          <w:szCs w:val="36"/>
          <w:rtl/>
        </w:rPr>
        <w:t>ي</w:t>
      </w:r>
      <w:r w:rsidRPr="00C30197">
        <w:rPr>
          <w:rFonts w:ascii="Arabic Typesetting" w:hAnsi="Arabic Typesetting" w:cs="Arabic Typesetting"/>
          <w:sz w:val="36"/>
          <w:szCs w:val="36"/>
          <w:rtl/>
        </w:rPr>
        <w:t>ة الدولية للقطاع العام</w:t>
      </w:r>
      <w:r>
        <w:rPr>
          <w:rFonts w:ascii="Arabic Typesetting" w:hAnsi="Arabic Typesetting" w:cs="Arabic Typesetting" w:hint="cs"/>
          <w:sz w:val="36"/>
          <w:szCs w:val="36"/>
          <w:rtl/>
        </w:rPr>
        <w:t>،</w:t>
      </w:r>
      <w:r w:rsidRPr="00C30197">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تكاليف اقتناء المعدات والمصروفات المتعلقة بإعداد قوائم الموجودات والمصروفات المتعلقة بالبناء كمصروفات عندما تسدد، ولا تقيد مخصصات مستحقات الموظفين ما بعد ا</w:t>
      </w:r>
      <w:r w:rsidR="00EF5C7A">
        <w:rPr>
          <w:rFonts w:ascii="Arabic Typesetting" w:hAnsi="Arabic Typesetting" w:cs="Arabic Typesetting" w:hint="cs"/>
          <w:sz w:val="36"/>
          <w:szCs w:val="36"/>
          <w:rtl/>
        </w:rPr>
        <w:t xml:space="preserve">لخدمة إلا في حدود ما </w:t>
      </w:r>
      <w:r w:rsidR="002B3DBD">
        <w:rPr>
          <w:rFonts w:ascii="Arabic Typesetting" w:hAnsi="Arabic Typesetting" w:cs="Arabic Typesetting" w:hint="cs"/>
          <w:sz w:val="36"/>
          <w:szCs w:val="36"/>
          <w:rtl/>
        </w:rPr>
        <w:t>موِّل</w:t>
      </w:r>
      <w:r w:rsidR="00EF5C7A">
        <w:rPr>
          <w:rFonts w:ascii="Arabic Typesetting" w:hAnsi="Arabic Typesetting" w:cs="Arabic Typesetting" w:hint="cs"/>
          <w:sz w:val="36"/>
          <w:szCs w:val="36"/>
          <w:rtl/>
        </w:rPr>
        <w:t>. وخلال عام 2014 و</w:t>
      </w:r>
      <w:r w:rsidR="002B3DBD">
        <w:rPr>
          <w:rFonts w:ascii="Arabic Typesetting" w:hAnsi="Arabic Typesetting" w:cs="Arabic Typesetting" w:hint="cs"/>
          <w:sz w:val="36"/>
          <w:szCs w:val="36"/>
          <w:rtl/>
        </w:rPr>
        <w:t xml:space="preserve">وفقاً </w:t>
      </w:r>
      <w:r w:rsidR="00EF5C7A">
        <w:rPr>
          <w:rFonts w:ascii="Arabic Typesetting" w:hAnsi="Arabic Typesetting" w:cs="Arabic Typesetting" w:hint="cs"/>
          <w:sz w:val="36"/>
          <w:szCs w:val="36"/>
          <w:rtl/>
        </w:rPr>
        <w:t xml:space="preserve">للفقرة 39 من وثيقة البرنامج والميزانية للثنائية 15/2014، قيد رسم إضافي قدره 6 </w:t>
      </w:r>
      <w:r w:rsidR="00257637">
        <w:rPr>
          <w:rFonts w:ascii="Arabic Typesetting" w:hAnsi="Arabic Typesetting" w:cs="Arabic Typesetting" w:hint="cs"/>
          <w:sz w:val="36"/>
          <w:szCs w:val="36"/>
          <w:rtl/>
        </w:rPr>
        <w:t>بالمئة</w:t>
      </w:r>
      <w:r w:rsidR="00EF5C7A">
        <w:rPr>
          <w:rFonts w:ascii="Arabic Typesetting" w:hAnsi="Arabic Typesetting" w:cs="Arabic Typesetting" w:hint="cs"/>
          <w:sz w:val="36"/>
          <w:szCs w:val="36"/>
          <w:rtl/>
        </w:rPr>
        <w:t xml:space="preserve"> يخص تكاليف الموظفين لزيادة المخصصات ل</w:t>
      </w:r>
      <w:r w:rsidR="00EA0CD6">
        <w:rPr>
          <w:rFonts w:ascii="Arabic Typesetting" w:hAnsi="Arabic Typesetting" w:cs="Arabic Typesetting" w:hint="cs"/>
          <w:sz w:val="36"/>
          <w:szCs w:val="36"/>
          <w:rtl/>
        </w:rPr>
        <w:t>مستحقات</w:t>
      </w:r>
      <w:r w:rsidR="00EF5C7A">
        <w:rPr>
          <w:rFonts w:ascii="Arabic Typesetting" w:hAnsi="Arabic Typesetting" w:cs="Arabic Typesetting" w:hint="cs"/>
          <w:sz w:val="36"/>
          <w:szCs w:val="36"/>
          <w:rtl/>
        </w:rPr>
        <w:t xml:space="preserve"> ما بعد الخدمة.</w:t>
      </w:r>
    </w:p>
    <w:p w14:paraId="10B75ACE" w14:textId="17AAED07" w:rsidR="00E16243" w:rsidRDefault="00311F61" w:rsidP="00EF5C7A">
      <w:pPr>
        <w:bidi/>
        <w:spacing w:before="240"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وإضافة إلى ذلك</w:t>
      </w:r>
      <w:r w:rsidR="00E16243">
        <w:rPr>
          <w:rFonts w:ascii="Arabic Typesetting" w:hAnsi="Arabic Typesetting" w:cs="Arabic Typesetting" w:hint="cs"/>
          <w:sz w:val="36"/>
          <w:szCs w:val="36"/>
          <w:rtl/>
        </w:rPr>
        <w:t>، لا تقيد التغييرات في مخصصات القروض المشكوك فيها واهتلاك المعدات و</w:t>
      </w:r>
      <w:r w:rsidR="00EF5C7A">
        <w:rPr>
          <w:rFonts w:ascii="Arabic Typesetting" w:hAnsi="Arabic Typesetting" w:cs="Arabic Typesetting" w:hint="cs"/>
          <w:sz w:val="36"/>
          <w:szCs w:val="36"/>
          <w:rtl/>
        </w:rPr>
        <w:t xml:space="preserve">المباني وإتاحة المعدات كمصروفات على </w:t>
      </w:r>
      <w:r w:rsidR="00FD2528">
        <w:rPr>
          <w:rFonts w:ascii="Arabic Typesetting" w:hAnsi="Arabic Typesetting" w:cs="Arabic Typesetting" w:hint="cs"/>
          <w:sz w:val="36"/>
          <w:szCs w:val="36"/>
          <w:rtl/>
        </w:rPr>
        <w:t xml:space="preserve">أساس </w:t>
      </w:r>
      <w:r w:rsidR="00EF5C7A">
        <w:rPr>
          <w:rFonts w:ascii="Arabic Typesetting" w:hAnsi="Arabic Typesetting" w:cs="Arabic Typesetting" w:hint="cs"/>
          <w:sz w:val="36"/>
          <w:szCs w:val="36"/>
          <w:rtl/>
        </w:rPr>
        <w:t xml:space="preserve">الاستحقاق المقارن المتغير. إذ إن </w:t>
      </w:r>
      <w:r w:rsidR="00E16243">
        <w:rPr>
          <w:rFonts w:ascii="Arabic Typesetting" w:hAnsi="Arabic Typesetting" w:cs="Arabic Typesetting" w:hint="cs"/>
          <w:sz w:val="36"/>
          <w:szCs w:val="36"/>
          <w:rtl/>
        </w:rPr>
        <w:t>تكاليف اهتلاك المباني (</w:t>
      </w:r>
      <w:r w:rsidR="00EF5C7A">
        <w:rPr>
          <w:rFonts w:ascii="Arabic Typesetting" w:hAnsi="Arabic Typesetting" w:cs="Arabic Typesetting" w:hint="cs"/>
          <w:sz w:val="36"/>
          <w:szCs w:val="36"/>
          <w:rtl/>
        </w:rPr>
        <w:t>7.1</w:t>
      </w:r>
      <w:r w:rsidR="00E16243">
        <w:rPr>
          <w:rFonts w:ascii="Arabic Typesetting" w:hAnsi="Arabic Typesetting" w:cs="Arabic Typesetting" w:hint="cs"/>
          <w:sz w:val="36"/>
          <w:szCs w:val="36"/>
          <w:rtl/>
        </w:rPr>
        <w:t xml:space="preserve"> مليون فرنك سويسري) والأصول غير الملموسة (</w:t>
      </w:r>
      <w:r w:rsidR="00EF5C7A">
        <w:rPr>
          <w:rFonts w:ascii="Arabic Typesetting" w:hAnsi="Arabic Typesetting" w:cs="Arabic Typesetting" w:hint="cs"/>
          <w:sz w:val="36"/>
          <w:szCs w:val="36"/>
          <w:rtl/>
        </w:rPr>
        <w:t>1.2</w:t>
      </w:r>
      <w:r w:rsidR="00E16243">
        <w:rPr>
          <w:rFonts w:ascii="Arabic Typesetting" w:hAnsi="Arabic Typesetting" w:cs="Arabic Typesetting" w:hint="cs"/>
          <w:sz w:val="36"/>
          <w:szCs w:val="36"/>
          <w:rtl/>
        </w:rPr>
        <w:t xml:space="preserve"> مليون فرنك سويسري) والمعدات (</w:t>
      </w:r>
      <w:r w:rsidR="00EF5C7A">
        <w:rPr>
          <w:rFonts w:ascii="Arabic Typesetting" w:hAnsi="Arabic Typesetting" w:cs="Arabic Typesetting" w:hint="cs"/>
          <w:sz w:val="36"/>
          <w:szCs w:val="36"/>
          <w:rtl/>
        </w:rPr>
        <w:t>0.8</w:t>
      </w:r>
      <w:r w:rsidR="00E16243">
        <w:rPr>
          <w:rFonts w:ascii="Arabic Typesetting" w:hAnsi="Arabic Typesetting" w:cs="Arabic Typesetting" w:hint="cs"/>
          <w:sz w:val="36"/>
          <w:szCs w:val="36"/>
          <w:rtl/>
        </w:rPr>
        <w:t xml:space="preserve"> مليون فرنك سويسري) </w:t>
      </w:r>
      <w:r w:rsidR="00EF5C7A">
        <w:rPr>
          <w:rFonts w:ascii="Arabic Typesetting" w:hAnsi="Arabic Typesetting" w:cs="Arabic Typesetting" w:hint="cs"/>
          <w:sz w:val="36"/>
          <w:szCs w:val="36"/>
          <w:rtl/>
        </w:rPr>
        <w:t xml:space="preserve">توضع </w:t>
      </w:r>
      <w:r w:rsidR="00E16243">
        <w:rPr>
          <w:rFonts w:ascii="Arabic Typesetting" w:hAnsi="Arabic Typesetting" w:cs="Arabic Typesetting" w:hint="cs"/>
          <w:sz w:val="36"/>
          <w:szCs w:val="36"/>
          <w:rtl/>
        </w:rPr>
        <w:t xml:space="preserve">تحت باب التسويات بناء على المعايير المحاسبية الدولية للقطاع العام. </w:t>
      </w:r>
      <w:r>
        <w:rPr>
          <w:rFonts w:ascii="Arabic Typesetting" w:hAnsi="Arabic Typesetting" w:cs="Arabic Typesetting" w:hint="cs"/>
          <w:sz w:val="36"/>
          <w:szCs w:val="36"/>
          <w:rtl/>
        </w:rPr>
        <w:t>وإضافة إلى ذلك</w:t>
      </w:r>
      <w:r w:rsidR="00E16243">
        <w:rPr>
          <w:rFonts w:ascii="Arabic Typesetting" w:hAnsi="Arabic Typesetting" w:cs="Arabic Typesetting" w:hint="cs"/>
          <w:sz w:val="36"/>
          <w:szCs w:val="36"/>
          <w:rtl/>
        </w:rPr>
        <w:t xml:space="preserve"> فإن تحويل تكاليف البناء والإضافات إلى المباني (</w:t>
      </w:r>
      <w:r w:rsidR="00EF5C7A">
        <w:rPr>
          <w:rFonts w:ascii="Arabic Typesetting" w:hAnsi="Arabic Typesetting" w:cs="Arabic Typesetting" w:hint="cs"/>
          <w:sz w:val="36"/>
          <w:szCs w:val="36"/>
          <w:rtl/>
        </w:rPr>
        <w:t>30.4</w:t>
      </w:r>
      <w:r w:rsidR="00E16243">
        <w:rPr>
          <w:rFonts w:ascii="Arabic Typesetting" w:hAnsi="Arabic Typesetting" w:cs="Arabic Typesetting" w:hint="cs"/>
          <w:sz w:val="36"/>
          <w:szCs w:val="36"/>
          <w:rtl/>
        </w:rPr>
        <w:t xml:space="preserve"> مليون فرنك سويسري) إلى أصول ثابتة مدرج أيضا في التسويات بناء على المعايير المحاسبية الدولية للقطاع العام.</w:t>
      </w:r>
    </w:p>
    <w:p w14:paraId="65234FC6" w14:textId="77777777" w:rsidR="00634EBF" w:rsidRDefault="00E16243" w:rsidP="00E100D2">
      <w:pPr>
        <w:pStyle w:val="Heading2"/>
        <w:tabs>
          <w:tab w:val="left" w:pos="1417"/>
        </w:tabs>
        <w:bidi/>
        <w:rPr>
          <w:rFonts w:ascii="Arabic Typesetting" w:hAnsi="Arabic Typesetting" w:cs="Arabic Typesetting"/>
          <w:i/>
          <w:iCs w:val="0"/>
          <w:sz w:val="40"/>
          <w:szCs w:val="40"/>
          <w:rtl/>
        </w:rPr>
      </w:pPr>
      <w:bookmarkStart w:id="42" w:name="_Toc362519123"/>
      <w:r w:rsidRPr="002869C3">
        <w:rPr>
          <w:rFonts w:ascii="Arabic Typesetting" w:hAnsi="Arabic Typesetting" w:cs="Arabic Typesetting" w:hint="cs"/>
          <w:i/>
          <w:iCs w:val="0"/>
          <w:sz w:val="40"/>
          <w:szCs w:val="40"/>
          <w:rtl/>
        </w:rPr>
        <w:t>الملاحظة 25:</w:t>
      </w:r>
      <w:r w:rsidR="00E100D2">
        <w:rPr>
          <w:rFonts w:ascii="Arabic Typesetting" w:hAnsi="Arabic Typesetting" w:cs="Arabic Typesetting"/>
          <w:i/>
          <w:iCs w:val="0"/>
          <w:sz w:val="40"/>
          <w:szCs w:val="40"/>
        </w:rPr>
        <w:tab/>
      </w:r>
      <w:r w:rsidR="00634EBF">
        <w:rPr>
          <w:rFonts w:ascii="Arabic Typesetting" w:hAnsi="Arabic Typesetting" w:cs="Arabic Typesetting" w:hint="cs"/>
          <w:i/>
          <w:iCs w:val="0"/>
          <w:sz w:val="40"/>
          <w:szCs w:val="40"/>
          <w:rtl/>
        </w:rPr>
        <w:t>الأدوات المالية</w:t>
      </w:r>
    </w:p>
    <w:p w14:paraId="16B84EF3" w14:textId="77777777" w:rsidR="00F703E5" w:rsidRDefault="00D72CEE" w:rsidP="007E623F">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المنظمة معرضة لمخاطر معينة ناتجة عن صرف العملات الأجنبية </w:t>
      </w:r>
      <w:r w:rsidR="00CF629C">
        <w:rPr>
          <w:rFonts w:ascii="Arabic Typesetting" w:hAnsi="Arabic Typesetting" w:cs="Arabic Typesetting" w:hint="cs"/>
          <w:sz w:val="36"/>
          <w:szCs w:val="36"/>
          <w:rtl/>
        </w:rPr>
        <w:t>والائتمان</w:t>
      </w:r>
      <w:r>
        <w:rPr>
          <w:rFonts w:ascii="Arabic Typesetting" w:hAnsi="Arabic Typesetting" w:cs="Arabic Typesetting" w:hint="cs"/>
          <w:sz w:val="36"/>
          <w:szCs w:val="36"/>
          <w:rtl/>
        </w:rPr>
        <w:t xml:space="preserve"> و</w:t>
      </w:r>
      <w:r w:rsidR="00CF629C">
        <w:rPr>
          <w:rFonts w:ascii="Arabic Typesetting" w:hAnsi="Arabic Typesetting" w:cs="Arabic Typesetting" w:hint="cs"/>
          <w:sz w:val="36"/>
          <w:szCs w:val="36"/>
          <w:rtl/>
        </w:rPr>
        <w:t xml:space="preserve">سعر </w:t>
      </w:r>
      <w:r>
        <w:rPr>
          <w:rFonts w:ascii="Arabic Typesetting" w:hAnsi="Arabic Typesetting" w:cs="Arabic Typesetting" w:hint="cs"/>
          <w:sz w:val="36"/>
          <w:szCs w:val="36"/>
          <w:rtl/>
        </w:rPr>
        <w:t>الفائدة والسيولة</w:t>
      </w:r>
      <w:r w:rsidR="00855810">
        <w:rPr>
          <w:rFonts w:ascii="Arabic Typesetting" w:hAnsi="Arabic Typesetting" w:cs="Arabic Typesetting" w:hint="cs"/>
          <w:sz w:val="36"/>
          <w:szCs w:val="36"/>
          <w:rtl/>
        </w:rPr>
        <w:t xml:space="preserve"> تنشأ في السياق الطبيعي لأعمالها</w:t>
      </w:r>
      <w:r>
        <w:rPr>
          <w:rFonts w:ascii="Arabic Typesetting" w:hAnsi="Arabic Typesetting" w:cs="Arabic Typesetting" w:hint="cs"/>
          <w:sz w:val="36"/>
          <w:szCs w:val="36"/>
          <w:rtl/>
        </w:rPr>
        <w:t>.</w:t>
      </w:r>
      <w:r w:rsidR="00F703E5">
        <w:rPr>
          <w:rFonts w:ascii="Arabic Typesetting" w:hAnsi="Arabic Typesetting" w:cs="Arabic Typesetting" w:hint="cs"/>
          <w:sz w:val="36"/>
          <w:szCs w:val="36"/>
          <w:rtl/>
        </w:rPr>
        <w:t xml:space="preserve"> وت</w:t>
      </w:r>
      <w:r w:rsidR="007E623F">
        <w:rPr>
          <w:rFonts w:ascii="Arabic Typesetting" w:hAnsi="Arabic Typesetting" w:cs="Arabic Typesetting" w:hint="cs"/>
          <w:sz w:val="36"/>
          <w:szCs w:val="36"/>
          <w:rtl/>
        </w:rPr>
        <w:t>رد في</w:t>
      </w:r>
      <w:r w:rsidR="00F703E5">
        <w:rPr>
          <w:rFonts w:ascii="Arabic Typesetting" w:hAnsi="Arabic Typesetting" w:cs="Arabic Typesetting" w:hint="cs"/>
          <w:sz w:val="36"/>
          <w:szCs w:val="36"/>
          <w:rtl/>
        </w:rPr>
        <w:t xml:space="preserve"> هذه الملاحظة معلومات حول تعرض المنظمة لكلٍ من المخاطر سالفة الذكر والسياسات والعمليات الموجهة إلى قياس المخاطر وإدارتها.</w:t>
      </w:r>
    </w:p>
    <w:p w14:paraId="37B988F5" w14:textId="77777777" w:rsidR="00F703E5" w:rsidRDefault="00F43D0B" w:rsidP="00E80DAB">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b/>
          <w:bCs/>
          <w:sz w:val="36"/>
          <w:szCs w:val="36"/>
          <w:rtl/>
        </w:rPr>
        <w:t>القيم العادلة</w:t>
      </w:r>
    </w:p>
    <w:p w14:paraId="63C8002F" w14:textId="77777777" w:rsidR="00F43D0B" w:rsidRDefault="00F43D0B" w:rsidP="003B1C3B">
      <w:pPr>
        <w:tabs>
          <w:tab w:val="left" w:pos="6827"/>
        </w:tab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فيما يلي مقارنة حسب الفئة للمبالغ المرحلة والقيمة العادلة للأدوات المالية لدى المنظمة.</w:t>
      </w:r>
    </w:p>
    <w:p w14:paraId="0ABBFB78" w14:textId="53157104" w:rsidR="003B1C3B" w:rsidRDefault="00C51806" w:rsidP="003B1C3B">
      <w:pPr>
        <w:tabs>
          <w:tab w:val="left" w:pos="6827"/>
        </w:tabs>
        <w:bidi/>
        <w:spacing w:after="240"/>
        <w:rPr>
          <w:rFonts w:ascii="Arabic Typesetting" w:hAnsi="Arabic Typesetting" w:cs="Arabic Typesetting"/>
          <w:sz w:val="36"/>
          <w:szCs w:val="36"/>
          <w:rtl/>
        </w:rPr>
      </w:pPr>
      <w:r w:rsidRPr="00C51806">
        <w:rPr>
          <w:noProof/>
          <w:szCs w:val="22"/>
          <w:rtl/>
        </w:rPr>
        <w:drawing>
          <wp:inline distT="0" distB="0" distL="0" distR="0" wp14:anchorId="2212B0CD" wp14:editId="0C7A838D">
            <wp:extent cx="5737860" cy="217170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737860" cy="2171700"/>
                    </a:xfrm>
                    <a:prstGeom prst="rect">
                      <a:avLst/>
                    </a:prstGeom>
                    <a:noFill/>
                    <a:ln>
                      <a:noFill/>
                    </a:ln>
                  </pic:spPr>
                </pic:pic>
              </a:graphicData>
            </a:graphic>
          </wp:inline>
        </w:drawing>
      </w:r>
    </w:p>
    <w:p w14:paraId="0130BDB8" w14:textId="4118CC8D" w:rsidR="00EF5C7A" w:rsidRDefault="00C51806" w:rsidP="00EF5C7A">
      <w:pPr>
        <w:tabs>
          <w:tab w:val="left" w:pos="6827"/>
        </w:tabs>
        <w:bidi/>
        <w:spacing w:after="240"/>
        <w:rPr>
          <w:rFonts w:ascii="Arabic Typesetting" w:hAnsi="Arabic Typesetting" w:cs="Arabic Typesetting"/>
          <w:sz w:val="36"/>
          <w:szCs w:val="36"/>
          <w:rtl/>
        </w:rPr>
      </w:pPr>
      <w:r w:rsidRPr="00C51806">
        <w:rPr>
          <w:rFonts w:hint="cs"/>
          <w:noProof/>
          <w:szCs w:val="22"/>
          <w:rtl/>
        </w:rPr>
        <w:drawing>
          <wp:inline distT="0" distB="0" distL="0" distR="0" wp14:anchorId="04C8FEB8" wp14:editId="518A48D4">
            <wp:extent cx="5737860" cy="251460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737860" cy="2514600"/>
                    </a:xfrm>
                    <a:prstGeom prst="rect">
                      <a:avLst/>
                    </a:prstGeom>
                    <a:noFill/>
                    <a:ln>
                      <a:noFill/>
                    </a:ln>
                  </pic:spPr>
                </pic:pic>
              </a:graphicData>
            </a:graphic>
          </wp:inline>
        </w:drawing>
      </w:r>
    </w:p>
    <w:p w14:paraId="68AAEFC0" w14:textId="77777777" w:rsidR="00B25E6B" w:rsidRDefault="004A0ADB" w:rsidP="00EF5C7A">
      <w:pPr>
        <w:tabs>
          <w:tab w:val="left" w:pos="6827"/>
        </w:tab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وتدرج القيمة العادلة للأصول والخصوم المالية بالمبلغ الذي يمكن </w:t>
      </w:r>
      <w:r w:rsidR="0078738B">
        <w:rPr>
          <w:rFonts w:ascii="Arabic Typesetting" w:hAnsi="Arabic Typesetting" w:cs="Arabic Typesetting" w:hint="cs"/>
          <w:sz w:val="36"/>
          <w:szCs w:val="36"/>
          <w:rtl/>
        </w:rPr>
        <w:t>مبادلة</w:t>
      </w:r>
      <w:r>
        <w:rPr>
          <w:rFonts w:ascii="Arabic Typesetting" w:hAnsi="Arabic Typesetting" w:cs="Arabic Typesetting" w:hint="cs"/>
          <w:sz w:val="36"/>
          <w:szCs w:val="36"/>
          <w:rtl/>
        </w:rPr>
        <w:t xml:space="preserve"> الأداة به في معاملة متداولة بين طرفين راغبين، بخلاف ما كان في بيع </w:t>
      </w:r>
      <w:r w:rsidR="00565FBD">
        <w:rPr>
          <w:rFonts w:ascii="Arabic Typesetting" w:hAnsi="Arabic Typesetting" w:cs="Arabic Typesetting" w:hint="cs"/>
          <w:sz w:val="36"/>
          <w:szCs w:val="36"/>
          <w:rtl/>
        </w:rPr>
        <w:t>مفروض أو تصفية. وقد استخدمت الأساليب والافتراضات التالية لتقدير القيم العادلة:</w:t>
      </w:r>
    </w:p>
    <w:p w14:paraId="00BC8BB2" w14:textId="77777777" w:rsidR="00565FBD" w:rsidRPr="007E623F" w:rsidRDefault="00D23F53" w:rsidP="000A5ACC">
      <w:pPr>
        <w:pStyle w:val="ListParagraph"/>
        <w:numPr>
          <w:ilvl w:val="0"/>
          <w:numId w:val="12"/>
        </w:numPr>
        <w:tabs>
          <w:tab w:val="left" w:pos="6827"/>
        </w:tabs>
        <w:bidi/>
        <w:spacing w:after="240" w:line="360" w:lineRule="exact"/>
        <w:rPr>
          <w:rFonts w:ascii="Arabic Typesetting" w:hAnsi="Arabic Typesetting" w:cs="Arabic Typesetting"/>
          <w:sz w:val="36"/>
          <w:szCs w:val="36"/>
          <w:rtl/>
        </w:rPr>
      </w:pPr>
      <w:r w:rsidRPr="007E623F">
        <w:rPr>
          <w:rFonts w:ascii="Arabic Typesetting" w:hAnsi="Arabic Typesetting" w:cs="Arabic Typesetting" w:hint="cs"/>
          <w:sz w:val="36"/>
          <w:szCs w:val="36"/>
          <w:rtl/>
        </w:rPr>
        <w:lastRenderedPageBreak/>
        <w:t>النقد والإيداعات قصيرة الأجل، و</w:t>
      </w:r>
      <w:r w:rsidR="008A1FFB" w:rsidRPr="007E623F">
        <w:rPr>
          <w:rFonts w:ascii="Arabic Typesetting" w:hAnsi="Arabic Typesetting" w:cs="Arabic Typesetting" w:hint="cs"/>
          <w:sz w:val="36"/>
          <w:szCs w:val="36"/>
          <w:rtl/>
        </w:rPr>
        <w:t xml:space="preserve">المبالغ المستحقة </w:t>
      </w:r>
      <w:r w:rsidR="00BE6D20" w:rsidRPr="007E623F">
        <w:rPr>
          <w:rFonts w:ascii="Arabic Typesetting" w:hAnsi="Arabic Typesetting" w:cs="Arabic Typesetting" w:hint="cs"/>
          <w:sz w:val="36"/>
          <w:szCs w:val="36"/>
          <w:rtl/>
        </w:rPr>
        <w:t>من معاملات</w:t>
      </w:r>
      <w:r w:rsidR="00B15C53" w:rsidRPr="007E623F">
        <w:rPr>
          <w:rFonts w:ascii="Arabic Typesetting" w:hAnsi="Arabic Typesetting" w:cs="Arabic Typesetting" w:hint="cs"/>
          <w:sz w:val="36"/>
          <w:szCs w:val="36"/>
          <w:rtl/>
        </w:rPr>
        <w:t xml:space="preserve"> </w:t>
      </w:r>
      <w:r w:rsidR="0078738B" w:rsidRPr="007E623F">
        <w:rPr>
          <w:rFonts w:ascii="Arabic Typesetting" w:hAnsi="Arabic Typesetting" w:cs="Arabic Typesetting" w:hint="cs"/>
          <w:sz w:val="36"/>
          <w:szCs w:val="36"/>
          <w:rtl/>
        </w:rPr>
        <w:t>تبادلية</w:t>
      </w:r>
      <w:r w:rsidR="00BE6D20" w:rsidRPr="007E623F">
        <w:rPr>
          <w:rFonts w:ascii="Arabic Typesetting" w:hAnsi="Arabic Typesetting" w:cs="Arabic Typesetting" w:hint="cs"/>
          <w:sz w:val="36"/>
          <w:szCs w:val="36"/>
          <w:rtl/>
        </w:rPr>
        <w:t xml:space="preserve">، والحسابات الدائنة، وغير ذلك من الخصوم المتداولة تداني </w:t>
      </w:r>
      <w:r w:rsidR="0050612B" w:rsidRPr="007E623F">
        <w:rPr>
          <w:rFonts w:ascii="Arabic Typesetting" w:hAnsi="Arabic Typesetting" w:cs="Arabic Typesetting" w:hint="cs"/>
          <w:sz w:val="36"/>
          <w:szCs w:val="36"/>
          <w:rtl/>
        </w:rPr>
        <w:t>مبالغها</w:t>
      </w:r>
      <w:r w:rsidR="00BE6D20" w:rsidRPr="007E623F">
        <w:rPr>
          <w:rFonts w:ascii="Arabic Typesetting" w:hAnsi="Arabic Typesetting" w:cs="Arabic Typesetting" w:hint="cs"/>
          <w:sz w:val="36"/>
          <w:szCs w:val="36"/>
          <w:rtl/>
        </w:rPr>
        <w:t xml:space="preserve"> المرحلة إلى حد بعيد نظراً لق</w:t>
      </w:r>
      <w:r w:rsidR="00A90A4B" w:rsidRPr="007E623F">
        <w:rPr>
          <w:rFonts w:ascii="Arabic Typesetting" w:hAnsi="Arabic Typesetting" w:cs="Arabic Typesetting" w:hint="cs"/>
          <w:sz w:val="36"/>
          <w:szCs w:val="36"/>
          <w:rtl/>
        </w:rPr>
        <w:t>ص</w:t>
      </w:r>
      <w:r w:rsidR="00BE6D20" w:rsidRPr="007E623F">
        <w:rPr>
          <w:rFonts w:ascii="Arabic Typesetting" w:hAnsi="Arabic Typesetting" w:cs="Arabic Typesetting" w:hint="cs"/>
          <w:sz w:val="36"/>
          <w:szCs w:val="36"/>
          <w:rtl/>
        </w:rPr>
        <w:t>ر أجل استحقاق هذه الأدوات.</w:t>
      </w:r>
    </w:p>
    <w:p w14:paraId="5C47D134" w14:textId="5472F402" w:rsidR="0050612B" w:rsidRPr="00EF5C7A" w:rsidRDefault="0050612B" w:rsidP="00553C9E">
      <w:pPr>
        <w:pStyle w:val="ListParagraph"/>
        <w:numPr>
          <w:ilvl w:val="0"/>
          <w:numId w:val="12"/>
        </w:numPr>
        <w:tabs>
          <w:tab w:val="left" w:pos="6827"/>
        </w:tabs>
        <w:bidi/>
        <w:spacing w:after="240" w:line="360" w:lineRule="exact"/>
        <w:rPr>
          <w:rFonts w:ascii="Arabic Typesetting" w:hAnsi="Arabic Typesetting" w:cs="Arabic Typesetting"/>
          <w:sz w:val="36"/>
          <w:szCs w:val="36"/>
          <w:rtl/>
        </w:rPr>
      </w:pPr>
      <w:r w:rsidRPr="00EF5C7A">
        <w:rPr>
          <w:rFonts w:ascii="Arabic Typesetting" w:hAnsi="Arabic Typesetting" w:cs="Arabic Typesetting" w:hint="cs"/>
          <w:sz w:val="36"/>
          <w:szCs w:val="36"/>
          <w:rtl/>
        </w:rPr>
        <w:t xml:space="preserve">تقيم المنظمة القروض والمبالغ المستحقة طويلة الأجل استناداً إلى معلمات معينة مثل معدلات الفائدة وخصائص المخاطر. </w:t>
      </w:r>
      <w:r w:rsidR="007A5DA2" w:rsidRPr="00EF5C7A">
        <w:rPr>
          <w:rFonts w:ascii="Arabic Typesetting" w:hAnsi="Arabic Typesetting" w:cs="Arabic Typesetting" w:hint="cs"/>
          <w:sz w:val="36"/>
          <w:szCs w:val="36"/>
          <w:rtl/>
        </w:rPr>
        <w:t xml:space="preserve">وقد </w:t>
      </w:r>
      <w:r w:rsidR="0078738B" w:rsidRPr="00EF5C7A">
        <w:rPr>
          <w:rFonts w:ascii="Arabic Typesetting" w:hAnsi="Arabic Typesetting" w:cs="Arabic Typesetting" w:hint="cs"/>
          <w:sz w:val="36"/>
          <w:szCs w:val="36"/>
          <w:rtl/>
        </w:rPr>
        <w:t xml:space="preserve">رصدت مبالغ </w:t>
      </w:r>
      <w:r w:rsidR="007A5DA2" w:rsidRPr="00EF5C7A">
        <w:rPr>
          <w:rFonts w:ascii="Arabic Typesetting" w:hAnsi="Arabic Typesetting" w:cs="Arabic Typesetting" w:hint="cs"/>
          <w:sz w:val="36"/>
          <w:szCs w:val="36"/>
          <w:rtl/>
        </w:rPr>
        <w:t>مقابل الم</w:t>
      </w:r>
      <w:r w:rsidR="00F23DF4" w:rsidRPr="00EF5C7A">
        <w:rPr>
          <w:rFonts w:ascii="Arabic Typesetting" w:hAnsi="Arabic Typesetting" w:cs="Arabic Typesetting" w:hint="cs"/>
          <w:sz w:val="36"/>
          <w:szCs w:val="36"/>
          <w:rtl/>
        </w:rPr>
        <w:t>بالغ المستحقة</w:t>
      </w:r>
      <w:r w:rsidR="00927389" w:rsidRPr="00EF5C7A">
        <w:rPr>
          <w:rFonts w:ascii="Arabic Typesetting" w:hAnsi="Arabic Typesetting" w:cs="Arabic Typesetting" w:hint="cs"/>
          <w:sz w:val="36"/>
          <w:szCs w:val="36"/>
          <w:rtl/>
        </w:rPr>
        <w:t xml:space="preserve"> من معاملات </w:t>
      </w:r>
      <w:r w:rsidR="0078738B" w:rsidRPr="00EF5C7A">
        <w:rPr>
          <w:rFonts w:ascii="Arabic Typesetting" w:hAnsi="Arabic Typesetting" w:cs="Arabic Typesetting" w:hint="cs"/>
          <w:sz w:val="36"/>
          <w:szCs w:val="36"/>
          <w:rtl/>
        </w:rPr>
        <w:t xml:space="preserve">غير التبادلية </w:t>
      </w:r>
      <w:r w:rsidR="00A90A4B" w:rsidRPr="00EF5C7A">
        <w:rPr>
          <w:rFonts w:ascii="Arabic Typesetting" w:hAnsi="Arabic Typesetting" w:cs="Arabic Typesetting" w:hint="cs"/>
          <w:sz w:val="36"/>
          <w:szCs w:val="36"/>
          <w:rtl/>
        </w:rPr>
        <w:t xml:space="preserve">تغطي المبالغ المستحقة من الدول الأعضاء التي </w:t>
      </w:r>
      <w:r w:rsidR="003D4258" w:rsidRPr="00EF5C7A">
        <w:rPr>
          <w:rFonts w:ascii="Arabic Typesetting" w:hAnsi="Arabic Typesetting" w:cs="Arabic Typesetting" w:hint="cs"/>
          <w:sz w:val="36"/>
          <w:szCs w:val="36"/>
          <w:rtl/>
        </w:rPr>
        <w:t xml:space="preserve">سقط حقها في التصويت بموجب الفقرة 5 من المادة 11 من اتفاقية الويبو وللمساهمات المستحقة من أقل البلدان نمواً المجمدة بقرار من الجمعيات. </w:t>
      </w:r>
      <w:r w:rsidR="00FA19D5" w:rsidRPr="00EF5C7A">
        <w:rPr>
          <w:rFonts w:ascii="Arabic Typesetting" w:hAnsi="Arabic Typesetting" w:cs="Arabic Typesetting" w:hint="cs"/>
          <w:sz w:val="36"/>
          <w:szCs w:val="36"/>
          <w:rtl/>
        </w:rPr>
        <w:t>وأما القرض الميسر ل</w:t>
      </w:r>
      <w:r w:rsidR="00FA19D5" w:rsidRPr="00EF5C7A">
        <w:rPr>
          <w:rFonts w:ascii="Arabic Typesetting" w:hAnsi="Arabic Typesetting" w:cs="Arabic Typesetting"/>
          <w:sz w:val="36"/>
          <w:szCs w:val="36"/>
          <w:rtl/>
        </w:rPr>
        <w:t>مؤسسة مركز جنيف الدولي</w:t>
      </w:r>
      <w:r w:rsidR="00FA19D5" w:rsidRPr="00EF5C7A">
        <w:rPr>
          <w:rFonts w:ascii="Arabic Typesetting" w:hAnsi="Arabic Typesetting" w:cs="Arabic Typesetting" w:hint="cs"/>
          <w:sz w:val="36"/>
          <w:szCs w:val="36"/>
          <w:rtl/>
        </w:rPr>
        <w:t xml:space="preserve"> فيقيد بالتكلفة المستهلكة</w:t>
      </w:r>
      <w:r w:rsidR="00726529" w:rsidRPr="00EF5C7A">
        <w:rPr>
          <w:rFonts w:ascii="Arabic Typesetting" w:hAnsi="Arabic Typesetting" w:cs="Arabic Typesetting" w:hint="cs"/>
          <w:sz w:val="36"/>
          <w:szCs w:val="36"/>
          <w:rtl/>
        </w:rPr>
        <w:t xml:space="preserve"> بقيم تست</w:t>
      </w:r>
      <w:r w:rsidR="00FA19D5" w:rsidRPr="00EF5C7A">
        <w:rPr>
          <w:rFonts w:ascii="Arabic Typesetting" w:hAnsi="Arabic Typesetting" w:cs="Arabic Typesetting" w:hint="cs"/>
          <w:sz w:val="36"/>
          <w:szCs w:val="36"/>
          <w:rtl/>
        </w:rPr>
        <w:t xml:space="preserve">ند إلى </w:t>
      </w:r>
      <w:r w:rsidR="00726529" w:rsidRPr="00EF5C7A">
        <w:rPr>
          <w:rFonts w:ascii="Arabic Typesetting" w:hAnsi="Arabic Typesetting" w:cs="Arabic Typesetting" w:hint="cs"/>
          <w:sz w:val="36"/>
          <w:szCs w:val="36"/>
          <w:rtl/>
        </w:rPr>
        <w:t>التدفقات النقدية مخفضة بمعدل خصم 1</w:t>
      </w:r>
      <w:r w:rsidR="00553C9E">
        <w:rPr>
          <w:rFonts w:ascii="Arabic Typesetting" w:hAnsi="Arabic Typesetting" w:cs="Arabic Typesetting" w:hint="cs"/>
          <w:sz w:val="36"/>
          <w:szCs w:val="36"/>
          <w:rtl/>
        </w:rPr>
        <w:t>.</w:t>
      </w:r>
      <w:r w:rsidR="00726529" w:rsidRPr="00EF5C7A">
        <w:rPr>
          <w:rFonts w:ascii="Arabic Typesetting" w:hAnsi="Arabic Typesetting" w:cs="Arabic Typesetting" w:hint="cs"/>
          <w:sz w:val="36"/>
          <w:szCs w:val="36"/>
          <w:rtl/>
        </w:rPr>
        <w:t>48</w:t>
      </w:r>
      <w:r w:rsidR="00EF5C7A" w:rsidRPr="00EF5C7A">
        <w:rPr>
          <w:rFonts w:ascii="Arabic Typesetting" w:hAnsi="Arabic Typesetting" w:cs="Arabic Typesetting" w:hint="cs"/>
          <w:sz w:val="36"/>
          <w:szCs w:val="36"/>
          <w:rtl/>
        </w:rPr>
        <w:t xml:space="preserve"> بالمئة. وتقيد الضرائب </w:t>
      </w:r>
      <w:r w:rsidR="00FD2528">
        <w:rPr>
          <w:rFonts w:ascii="Arabic Typesetting" w:hAnsi="Arabic Typesetting" w:cs="Arabic Typesetting" w:hint="cs"/>
          <w:sz w:val="36"/>
          <w:szCs w:val="36"/>
          <w:rtl/>
        </w:rPr>
        <w:t>الأمريكي</w:t>
      </w:r>
      <w:r w:rsidR="00EF5C7A" w:rsidRPr="00EF5C7A">
        <w:rPr>
          <w:rFonts w:ascii="Arabic Typesetting" w:hAnsi="Arabic Typesetting" w:cs="Arabic Typesetting" w:hint="cs"/>
          <w:sz w:val="36"/>
          <w:szCs w:val="36"/>
          <w:rtl/>
        </w:rPr>
        <w:t>ة المدفوعة بتكلفتها الاستهلاكية وتستند قيمتها إلى التدفقات النقدية المخصومة باستخدام معدل الخصم البالغ 1.81 بالمئة.</w:t>
      </w:r>
    </w:p>
    <w:p w14:paraId="4A3191CE" w14:textId="77777777" w:rsidR="00BE6D20" w:rsidRDefault="00726529" w:rsidP="00E80DAB">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مخاطر الائتمان</w:t>
      </w:r>
    </w:p>
    <w:p w14:paraId="6AB36FF0" w14:textId="7BDDF582" w:rsidR="00726529" w:rsidRDefault="00726529" w:rsidP="00EF5C7A">
      <w:pPr>
        <w:tabs>
          <w:tab w:val="left" w:pos="6827"/>
        </w:tab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مخاطر الائتمان هي مخاطر تكبد المنظمة خسائر مالية في حالة تخلف الأطراف المناظرة في الأدوات المالية عن الوفاء بالتزاماتهم التعاقدية</w:t>
      </w:r>
      <w:r w:rsidR="006802CC">
        <w:rPr>
          <w:rFonts w:ascii="Arabic Typesetting" w:hAnsi="Arabic Typesetting" w:cs="Arabic Typesetting" w:hint="cs"/>
          <w:sz w:val="36"/>
          <w:szCs w:val="36"/>
          <w:rtl/>
        </w:rPr>
        <w:t>، وهي تنشأ أساساً مما للمنظمة من قروض ومبالغ مستحقة ونقد ونقد معادل</w:t>
      </w:r>
      <w:r w:rsidR="000C5DA8">
        <w:rPr>
          <w:rFonts w:ascii="Arabic Typesetting" w:hAnsi="Arabic Typesetting" w:cs="Arabic Typesetting" w:hint="cs"/>
          <w:sz w:val="36"/>
          <w:szCs w:val="36"/>
          <w:rtl/>
        </w:rPr>
        <w:t xml:space="preserve">. ويمثل المبلغ المرحل للأصول المالية أقصى </w:t>
      </w:r>
      <w:r w:rsidR="004A6A87">
        <w:rPr>
          <w:rFonts w:ascii="Arabic Typesetting" w:hAnsi="Arabic Typesetting" w:cs="Arabic Typesetting" w:hint="cs"/>
          <w:sz w:val="36"/>
          <w:szCs w:val="36"/>
          <w:rtl/>
        </w:rPr>
        <w:t xml:space="preserve">مستوى من مخاطر الائتمان. وكان أقصى مستوى للتعرض لمخاطر الائتمان في 31 ديسمبر </w:t>
      </w:r>
      <w:r w:rsidR="00EF5C7A">
        <w:rPr>
          <w:rFonts w:ascii="Arabic Typesetting" w:hAnsi="Arabic Typesetting" w:cs="Arabic Typesetting" w:hint="cs"/>
          <w:sz w:val="36"/>
          <w:szCs w:val="36"/>
          <w:rtl/>
        </w:rPr>
        <w:t>2014</w:t>
      </w:r>
      <w:r w:rsidR="004A6A87">
        <w:rPr>
          <w:rFonts w:ascii="Arabic Typesetting" w:hAnsi="Arabic Typesetting" w:cs="Arabic Typesetting" w:hint="cs"/>
          <w:sz w:val="36"/>
          <w:szCs w:val="36"/>
          <w:rtl/>
        </w:rPr>
        <w:t xml:space="preserve"> كما يلي:</w:t>
      </w:r>
    </w:p>
    <w:p w14:paraId="00DA3DCE" w14:textId="09DFC367" w:rsidR="00B25E6B" w:rsidRPr="00F43D0B" w:rsidRDefault="00C51806" w:rsidP="003B1C3B">
      <w:pPr>
        <w:tabs>
          <w:tab w:val="left" w:pos="6827"/>
        </w:tabs>
        <w:bidi/>
        <w:spacing w:after="240"/>
        <w:rPr>
          <w:rFonts w:ascii="Arabic Typesetting" w:hAnsi="Arabic Typesetting" w:cs="Arabic Typesetting"/>
          <w:sz w:val="36"/>
          <w:szCs w:val="36"/>
          <w:rtl/>
        </w:rPr>
      </w:pPr>
      <w:r w:rsidRPr="00C51806">
        <w:rPr>
          <w:noProof/>
          <w:szCs w:val="22"/>
          <w:rtl/>
        </w:rPr>
        <w:drawing>
          <wp:inline distT="0" distB="0" distL="0" distR="0" wp14:anchorId="21E4D521" wp14:editId="6F90321F">
            <wp:extent cx="5882640" cy="1181100"/>
            <wp:effectExtent l="0" t="0" r="381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882640" cy="1181100"/>
                    </a:xfrm>
                    <a:prstGeom prst="rect">
                      <a:avLst/>
                    </a:prstGeom>
                    <a:noFill/>
                    <a:ln>
                      <a:noFill/>
                    </a:ln>
                  </pic:spPr>
                </pic:pic>
              </a:graphicData>
            </a:graphic>
          </wp:inline>
        </w:drawing>
      </w:r>
    </w:p>
    <w:p w14:paraId="27CC9537" w14:textId="77777777" w:rsidR="00E55E23" w:rsidRDefault="00D72CEE" w:rsidP="00EA4DBC">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وتتأتى </w:t>
      </w:r>
      <w:r w:rsidR="00EA4DBC">
        <w:rPr>
          <w:rFonts w:ascii="Arabic Typesetting" w:hAnsi="Arabic Typesetting" w:cs="Arabic Typesetting" w:hint="cs"/>
          <w:sz w:val="36"/>
          <w:szCs w:val="36"/>
          <w:rtl/>
        </w:rPr>
        <w:t>المبالغ المستحقة ل</w:t>
      </w:r>
      <w:r>
        <w:rPr>
          <w:rFonts w:ascii="Arabic Typesetting" w:hAnsi="Arabic Typesetting" w:cs="Arabic Typesetting" w:hint="cs"/>
          <w:sz w:val="36"/>
          <w:szCs w:val="36"/>
          <w:rtl/>
        </w:rPr>
        <w:t xml:space="preserve">لمنظمة </w:t>
      </w:r>
      <w:r w:rsidR="00EA4DBC">
        <w:rPr>
          <w:rFonts w:ascii="Arabic Typesetting" w:hAnsi="Arabic Typesetting" w:cs="Arabic Typesetting" w:hint="cs"/>
          <w:sz w:val="36"/>
          <w:szCs w:val="36"/>
          <w:rtl/>
        </w:rPr>
        <w:t xml:space="preserve">من معاملات غير تبادلية </w:t>
      </w:r>
      <w:r>
        <w:rPr>
          <w:rFonts w:ascii="Arabic Typesetting" w:hAnsi="Arabic Typesetting" w:cs="Arabic Typesetting" w:hint="cs"/>
          <w:sz w:val="36"/>
          <w:szCs w:val="36"/>
          <w:rtl/>
        </w:rPr>
        <w:t xml:space="preserve">بشكل حصري تقريبا من الدول الأعضاء التي تمثل حكومات ذات سيادة وبالتالي فإن مخاطر </w:t>
      </w:r>
      <w:r w:rsidR="00014DE7">
        <w:rPr>
          <w:rFonts w:ascii="Arabic Typesetting" w:hAnsi="Arabic Typesetting" w:cs="Arabic Typesetting" w:hint="cs"/>
          <w:sz w:val="36"/>
          <w:szCs w:val="36"/>
          <w:rtl/>
        </w:rPr>
        <w:t xml:space="preserve">الائتمان </w:t>
      </w:r>
      <w:r>
        <w:rPr>
          <w:rFonts w:ascii="Arabic Typesetting" w:hAnsi="Arabic Typesetting" w:cs="Arabic Typesetting" w:hint="cs"/>
          <w:sz w:val="36"/>
          <w:szCs w:val="36"/>
          <w:rtl/>
        </w:rPr>
        <w:t xml:space="preserve">تعتبر مخاطر صغيرة. </w:t>
      </w:r>
      <w:r w:rsidR="00A26CE3">
        <w:rPr>
          <w:rFonts w:ascii="Arabic Typesetting" w:hAnsi="Arabic Typesetting" w:cs="Arabic Typesetting" w:hint="cs"/>
          <w:sz w:val="36"/>
          <w:szCs w:val="36"/>
          <w:rtl/>
        </w:rPr>
        <w:t>وقد خصصت أموال مقابل قيمة أصول الحسابات المدينة لإبراز الأموال المستحقة التي لا يتوقع أن تسدد في الأجل</w:t>
      </w:r>
      <w:r w:rsidR="00A26CE3">
        <w:rPr>
          <w:rFonts w:ascii="Arabic Typesetting" w:hAnsi="Arabic Typesetting" w:cs="Arabic Typesetting" w:hint="eastAsia"/>
          <w:sz w:val="36"/>
          <w:szCs w:val="36"/>
          <w:rtl/>
        </w:rPr>
        <w:t> </w:t>
      </w:r>
      <w:r w:rsidR="00A26CE3">
        <w:rPr>
          <w:rFonts w:ascii="Arabic Typesetting" w:hAnsi="Arabic Typesetting" w:cs="Arabic Typesetting" w:hint="cs"/>
          <w:sz w:val="36"/>
          <w:szCs w:val="36"/>
          <w:rtl/>
        </w:rPr>
        <w:t>القصير.</w:t>
      </w:r>
    </w:p>
    <w:p w14:paraId="408B4BC2" w14:textId="77D58E94" w:rsidR="00634EBF" w:rsidRDefault="00D72CEE" w:rsidP="00372322">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ويحتفظ بأموال الاستثمار في بنوك</w:t>
      </w:r>
      <w:r w:rsidRPr="00227D67">
        <w:rPr>
          <w:rFonts w:ascii="Arabic Typesetting" w:hAnsi="Arabic Typesetting" w:cs="Arabic Typesetting"/>
          <w:sz w:val="36"/>
          <w:szCs w:val="36"/>
          <w:rtl/>
        </w:rPr>
        <w:t xml:space="preserve"> ذات مخاطر سيادية ومعدلات ثقة </w:t>
      </w:r>
      <w:r>
        <w:rPr>
          <w:rFonts w:ascii="Arabic Typesetting" w:hAnsi="Arabic Typesetting" w:cs="Arabic Typesetting" w:hint="cs"/>
          <w:sz w:val="36"/>
          <w:szCs w:val="36"/>
          <w:rtl/>
        </w:rPr>
        <w:t xml:space="preserve">لا تقل عن ألف ألف. </w:t>
      </w:r>
      <w:r w:rsidR="00A26CE3">
        <w:rPr>
          <w:rFonts w:ascii="Arabic Typesetting" w:hAnsi="Arabic Typesetting" w:cs="Arabic Typesetting" w:hint="cs"/>
          <w:sz w:val="36"/>
          <w:szCs w:val="36"/>
          <w:rtl/>
        </w:rPr>
        <w:t xml:space="preserve">وتقلل المنظمة من مخاطر الائتمان على </w:t>
      </w:r>
      <w:r w:rsidR="00BB7E12">
        <w:rPr>
          <w:rFonts w:ascii="Arabic Typesetting" w:hAnsi="Arabic Typesetting" w:cs="Arabic Typesetting" w:hint="cs"/>
          <w:sz w:val="36"/>
          <w:szCs w:val="36"/>
          <w:rtl/>
        </w:rPr>
        <w:t xml:space="preserve">ما لديها من </w:t>
      </w:r>
      <w:r w:rsidR="00014DE7">
        <w:rPr>
          <w:rFonts w:ascii="Arabic Typesetting" w:hAnsi="Arabic Typesetting" w:cs="Arabic Typesetting" w:hint="cs"/>
          <w:sz w:val="36"/>
          <w:szCs w:val="36"/>
          <w:rtl/>
        </w:rPr>
        <w:t xml:space="preserve">نقد </w:t>
      </w:r>
      <w:r w:rsidR="00BB7E12">
        <w:rPr>
          <w:rFonts w:ascii="Arabic Typesetting" w:hAnsi="Arabic Typesetting" w:cs="Arabic Typesetting" w:hint="cs"/>
          <w:sz w:val="36"/>
          <w:szCs w:val="36"/>
          <w:rtl/>
        </w:rPr>
        <w:t>و</w:t>
      </w:r>
      <w:r w:rsidR="00014DE7">
        <w:rPr>
          <w:rFonts w:ascii="Arabic Typesetting" w:hAnsi="Arabic Typesetting" w:cs="Arabic Typesetting" w:hint="cs"/>
          <w:sz w:val="36"/>
          <w:szCs w:val="36"/>
          <w:rtl/>
        </w:rPr>
        <w:t>نقد معادل</w:t>
      </w:r>
      <w:r w:rsidR="00372322">
        <w:rPr>
          <w:rFonts w:ascii="Arabic Typesetting" w:hAnsi="Arabic Typesetting" w:cs="Arabic Typesetting" w:hint="cs"/>
          <w:sz w:val="36"/>
          <w:szCs w:val="36"/>
          <w:rtl/>
        </w:rPr>
        <w:t xml:space="preserve"> إلى الحد الأدنى</w:t>
      </w:r>
      <w:r w:rsidR="00BB7E12">
        <w:rPr>
          <w:rFonts w:ascii="Arabic Typesetting" w:hAnsi="Arabic Typesetting" w:cs="Arabic Typesetting" w:hint="cs"/>
          <w:sz w:val="36"/>
          <w:szCs w:val="36"/>
          <w:rtl/>
        </w:rPr>
        <w:t xml:space="preserve"> عن طريق </w:t>
      </w:r>
      <w:r w:rsidR="00372322">
        <w:rPr>
          <w:rFonts w:ascii="Arabic Typesetting" w:hAnsi="Arabic Typesetting" w:cs="Arabic Typesetting" w:hint="cs"/>
          <w:sz w:val="36"/>
          <w:szCs w:val="36"/>
          <w:rtl/>
        </w:rPr>
        <w:t>حفظ</w:t>
      </w:r>
      <w:r w:rsidR="00BB7E12">
        <w:rPr>
          <w:rFonts w:ascii="Arabic Typesetting" w:hAnsi="Arabic Typesetting" w:cs="Arabic Typesetting" w:hint="cs"/>
          <w:sz w:val="36"/>
          <w:szCs w:val="36"/>
          <w:rtl/>
        </w:rPr>
        <w:t xml:space="preserve"> الأغلبية العظمى من أموالها في بنوك </w:t>
      </w:r>
      <w:r w:rsidR="00CC539D">
        <w:rPr>
          <w:rFonts w:ascii="Arabic Typesetting" w:hAnsi="Arabic Typesetting" w:cs="Arabic Typesetting" w:hint="cs"/>
          <w:sz w:val="36"/>
          <w:szCs w:val="36"/>
          <w:rtl/>
        </w:rPr>
        <w:t>تصنيفات ائتمانية من الدرجة العالية أو المتوسطة العليا. ومع ذلك، يحتفظ بأموال في حالات معينة في بنوك ذات تصنيف من الدرجة المتوسطة الدنيا لأغراض تشغيلية محددة. و</w:t>
      </w:r>
      <w:r w:rsidR="002B3DBD">
        <w:rPr>
          <w:rFonts w:ascii="Arabic Typesetting" w:hAnsi="Arabic Typesetting" w:cs="Arabic Typesetting" w:hint="cs"/>
          <w:sz w:val="36"/>
          <w:szCs w:val="36"/>
          <w:rtl/>
        </w:rPr>
        <w:t xml:space="preserve">وفقاً </w:t>
      </w:r>
      <w:r w:rsidR="00CC539D">
        <w:rPr>
          <w:rFonts w:ascii="Arabic Typesetting" w:hAnsi="Arabic Typesetting" w:cs="Arabic Typesetting" w:hint="cs"/>
          <w:sz w:val="36"/>
          <w:szCs w:val="36"/>
          <w:rtl/>
        </w:rPr>
        <w:t>لذلك</w:t>
      </w:r>
      <w:r w:rsidR="0061615F">
        <w:rPr>
          <w:rFonts w:ascii="Arabic Typesetting" w:hAnsi="Arabic Typesetting" w:cs="Arabic Typesetting" w:hint="cs"/>
          <w:sz w:val="36"/>
          <w:szCs w:val="36"/>
          <w:rtl/>
        </w:rPr>
        <w:t xml:space="preserve">، فإن تصنيفات الائتمان الملحقة </w:t>
      </w:r>
      <w:r w:rsidR="00014DE7">
        <w:rPr>
          <w:rFonts w:ascii="Arabic Typesetting" w:hAnsi="Arabic Typesetting" w:cs="Arabic Typesetting" w:hint="cs"/>
          <w:sz w:val="36"/>
          <w:szCs w:val="36"/>
          <w:rtl/>
        </w:rPr>
        <w:t xml:space="preserve">بالنقد والنقد المعادل </w:t>
      </w:r>
      <w:r w:rsidR="0061615F">
        <w:rPr>
          <w:rFonts w:ascii="Arabic Typesetting" w:hAnsi="Arabic Typesetting" w:cs="Arabic Typesetting" w:hint="cs"/>
          <w:sz w:val="36"/>
          <w:szCs w:val="36"/>
          <w:rtl/>
        </w:rPr>
        <w:t>كما يلي:</w:t>
      </w:r>
    </w:p>
    <w:p w14:paraId="3AE638F4" w14:textId="25EC333D" w:rsidR="00EA4DBC" w:rsidRDefault="00C51806" w:rsidP="003B1C3B">
      <w:pPr>
        <w:bidi/>
        <w:spacing w:after="240"/>
        <w:rPr>
          <w:rFonts w:ascii="Arabic Typesetting" w:hAnsi="Arabic Typesetting" w:cs="Arabic Typesetting"/>
          <w:sz w:val="36"/>
          <w:szCs w:val="36"/>
          <w:rtl/>
          <w:lang w:bidi="ar-EG"/>
        </w:rPr>
      </w:pPr>
      <w:r w:rsidRPr="00C51806">
        <w:rPr>
          <w:noProof/>
          <w:szCs w:val="22"/>
          <w:rtl/>
        </w:rPr>
        <w:drawing>
          <wp:inline distT="0" distB="0" distL="0" distR="0" wp14:anchorId="73F56EB9" wp14:editId="6B5C3EFE">
            <wp:extent cx="5940425" cy="1164654"/>
            <wp:effectExtent l="0" t="0" r="3175"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940425" cy="1164654"/>
                    </a:xfrm>
                    <a:prstGeom prst="rect">
                      <a:avLst/>
                    </a:prstGeom>
                    <a:noFill/>
                    <a:ln>
                      <a:noFill/>
                    </a:ln>
                  </pic:spPr>
                </pic:pic>
              </a:graphicData>
            </a:graphic>
          </wp:inline>
        </w:drawing>
      </w:r>
    </w:p>
    <w:p w14:paraId="2D23BC90" w14:textId="77777777" w:rsidR="00C548F3" w:rsidRDefault="00C548F3" w:rsidP="00E44C7C">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مخاطر السيولة</w:t>
      </w:r>
    </w:p>
    <w:p w14:paraId="4F05A492" w14:textId="7BC976E8" w:rsidR="00C548F3" w:rsidRDefault="00C548F3" w:rsidP="00CD03DD">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مخاطر السيولة هي مخاطر عجز المنظمة عن الوفاء با</w:t>
      </w:r>
      <w:r w:rsidR="00EF5C7A">
        <w:rPr>
          <w:rFonts w:ascii="Arabic Typesetting" w:hAnsi="Arabic Typesetting" w:cs="Arabic Typesetting" w:hint="cs"/>
          <w:sz w:val="36"/>
          <w:szCs w:val="36"/>
          <w:rtl/>
        </w:rPr>
        <w:t>لتزاماتها عندما يحل أجلها.</w:t>
      </w:r>
      <w:r w:rsidR="00E80DAB">
        <w:rPr>
          <w:rFonts w:ascii="Arabic Typesetting" w:hAnsi="Arabic Typesetting" w:cs="Arabic Typesetting"/>
          <w:sz w:val="36"/>
          <w:szCs w:val="36"/>
        </w:rPr>
        <w:t xml:space="preserve"> </w:t>
      </w:r>
      <w:r>
        <w:rPr>
          <w:rFonts w:ascii="Arabic Typesetting" w:hAnsi="Arabic Typesetting" w:cs="Arabic Typesetting" w:hint="cs"/>
          <w:sz w:val="36"/>
          <w:szCs w:val="36"/>
          <w:rtl/>
        </w:rPr>
        <w:t>والمنظمة غير معرض</w:t>
      </w:r>
      <w:r w:rsidR="00EF5C7A">
        <w:rPr>
          <w:rFonts w:ascii="Arabic Typesetting" w:hAnsi="Arabic Typesetting" w:cs="Arabic Typesetting" w:hint="cs"/>
          <w:sz w:val="36"/>
          <w:szCs w:val="36"/>
          <w:rtl/>
        </w:rPr>
        <w:t>ة لخطر جسيم يتعلق بالسيولة حيث أ</w:t>
      </w:r>
      <w:r>
        <w:rPr>
          <w:rFonts w:ascii="Arabic Typesetting" w:hAnsi="Arabic Typesetting" w:cs="Arabic Typesetting" w:hint="cs"/>
          <w:sz w:val="36"/>
          <w:szCs w:val="36"/>
          <w:rtl/>
        </w:rPr>
        <w:t xml:space="preserve">نها تملك موارد نقدية </w:t>
      </w:r>
      <w:r w:rsidR="00CD03DD">
        <w:rPr>
          <w:rFonts w:ascii="Arabic Typesetting" w:hAnsi="Arabic Typesetting" w:cs="Arabic Typesetting" w:hint="cs"/>
          <w:sz w:val="36"/>
          <w:szCs w:val="36"/>
          <w:rtl/>
        </w:rPr>
        <w:t xml:space="preserve">ملحوظة </w:t>
      </w:r>
      <w:r>
        <w:rPr>
          <w:rFonts w:ascii="Arabic Typesetting" w:hAnsi="Arabic Typesetting" w:cs="Arabic Typesetting" w:hint="cs"/>
          <w:sz w:val="36"/>
          <w:szCs w:val="36"/>
          <w:rtl/>
        </w:rPr>
        <w:t>غير مقيدة تغذى من نتائج عملياتها. وقد طورت سياسة المنظمة الاستثمارية لضمان إدارة الاستثمارات بال</w:t>
      </w:r>
      <w:r w:rsidR="00FD2528">
        <w:rPr>
          <w:rFonts w:ascii="Arabic Typesetting" w:hAnsi="Arabic Typesetting" w:cs="Arabic Typesetting" w:hint="cs"/>
          <w:sz w:val="36"/>
          <w:szCs w:val="36"/>
          <w:rtl/>
        </w:rPr>
        <w:t xml:space="preserve">أساس </w:t>
      </w:r>
      <w:r>
        <w:rPr>
          <w:rFonts w:ascii="Arabic Typesetting" w:hAnsi="Arabic Typesetting" w:cs="Arabic Typesetting" w:hint="cs"/>
          <w:sz w:val="36"/>
          <w:szCs w:val="36"/>
          <w:rtl/>
        </w:rPr>
        <w:t>في شكل ودائع سيولة قصيرة الأجل.</w:t>
      </w:r>
      <w:r w:rsidR="00474AF5">
        <w:rPr>
          <w:rFonts w:ascii="Arabic Typesetting" w:hAnsi="Arabic Typesetting" w:cs="Arabic Typesetting" w:hint="cs"/>
          <w:sz w:val="36"/>
          <w:szCs w:val="36"/>
          <w:rtl/>
        </w:rPr>
        <w:t xml:space="preserve"> و</w:t>
      </w:r>
      <w:r w:rsidR="00EF5C7A">
        <w:rPr>
          <w:rFonts w:ascii="Arabic Typesetting" w:hAnsi="Arabic Typesetting" w:cs="Arabic Typesetting" w:hint="cs"/>
          <w:sz w:val="36"/>
          <w:szCs w:val="36"/>
          <w:rtl/>
        </w:rPr>
        <w:t xml:space="preserve">يرد في الجدول التالي تحليل لآجال قروض الويبو. </w:t>
      </w:r>
      <w:r w:rsidR="00EF5C7A">
        <w:rPr>
          <w:rFonts w:ascii="Arabic Typesetting" w:hAnsi="Arabic Typesetting" w:cs="Arabic Typesetting" w:hint="cs"/>
          <w:sz w:val="36"/>
          <w:szCs w:val="36"/>
          <w:rtl/>
        </w:rPr>
        <w:lastRenderedPageBreak/>
        <w:t xml:space="preserve">ويشمل تحليل أجل قرض بنك كانتون جنيف وبنك كانتون فو في 31 ديسمبر 2014، </w:t>
      </w:r>
      <w:r w:rsidR="0021219D">
        <w:rPr>
          <w:rFonts w:ascii="Arabic Typesetting" w:hAnsi="Arabic Typesetting" w:cs="Arabic Typesetting" w:hint="cs"/>
          <w:sz w:val="36"/>
          <w:szCs w:val="36"/>
          <w:rtl/>
        </w:rPr>
        <w:t>دفعة</w:t>
      </w:r>
      <w:r w:rsidR="00EF5C7A">
        <w:rPr>
          <w:rFonts w:ascii="Arabic Typesetting" w:hAnsi="Arabic Typesetting" w:cs="Arabic Typesetting" w:hint="cs"/>
          <w:sz w:val="36"/>
          <w:szCs w:val="36"/>
          <w:rtl/>
        </w:rPr>
        <w:t xml:space="preserve"> سنوية قدرها 3.9 مليون فرنك سويسري (أي 3 </w:t>
      </w:r>
      <w:r w:rsidR="00257637">
        <w:rPr>
          <w:rFonts w:ascii="Arabic Typesetting" w:hAnsi="Arabic Typesetting" w:cs="Arabic Typesetting" w:hint="cs"/>
          <w:sz w:val="36"/>
          <w:szCs w:val="36"/>
          <w:rtl/>
        </w:rPr>
        <w:t>بالمئة</w:t>
      </w:r>
      <w:r w:rsidR="00EF5C7A">
        <w:rPr>
          <w:rFonts w:ascii="Arabic Typesetting" w:hAnsi="Arabic Typesetting" w:cs="Arabic Typesetting" w:hint="cs"/>
          <w:sz w:val="36"/>
          <w:szCs w:val="36"/>
          <w:rtl/>
        </w:rPr>
        <w:t xml:space="preserve"> من مجموع قيمة القرض) و</w:t>
      </w:r>
      <w:r w:rsidR="0021219D">
        <w:rPr>
          <w:rFonts w:ascii="Arabic Typesetting" w:hAnsi="Arabic Typesetting" w:cs="Arabic Typesetting" w:hint="cs"/>
          <w:sz w:val="36"/>
          <w:szCs w:val="36"/>
          <w:rtl/>
        </w:rPr>
        <w:t>دفعة</w:t>
      </w:r>
      <w:r w:rsidR="00EF5C7A">
        <w:rPr>
          <w:rFonts w:ascii="Arabic Typesetting" w:hAnsi="Arabic Typesetting" w:cs="Arabic Typesetting" w:hint="cs"/>
          <w:sz w:val="36"/>
          <w:szCs w:val="36"/>
          <w:rtl/>
        </w:rPr>
        <w:t xml:space="preserve"> إجمالية </w:t>
      </w:r>
      <w:r w:rsidR="0021219D">
        <w:rPr>
          <w:rFonts w:ascii="Arabic Typesetting" w:hAnsi="Arabic Typesetting" w:cs="Arabic Typesetting" w:hint="cs"/>
          <w:sz w:val="36"/>
          <w:szCs w:val="36"/>
          <w:rtl/>
        </w:rPr>
        <w:t>قدرها 24 مليون فرنك سويسري في نوفمبر 2015 ودفعة قدرها 16 مليون فرنك سويسري في يناير 2016:</w:t>
      </w:r>
    </w:p>
    <w:p w14:paraId="3929222E" w14:textId="401C7BCB" w:rsidR="0021219D" w:rsidRDefault="00C51806" w:rsidP="0021219D">
      <w:pPr>
        <w:bidi/>
        <w:spacing w:after="240"/>
        <w:rPr>
          <w:rFonts w:ascii="Arabic Typesetting" w:hAnsi="Arabic Typesetting" w:cs="Arabic Typesetting"/>
          <w:sz w:val="36"/>
          <w:szCs w:val="36"/>
          <w:rtl/>
        </w:rPr>
      </w:pPr>
      <w:r w:rsidRPr="00C51806">
        <w:rPr>
          <w:rFonts w:hint="cs"/>
          <w:noProof/>
          <w:szCs w:val="22"/>
          <w:rtl/>
        </w:rPr>
        <w:drawing>
          <wp:inline distT="0" distB="0" distL="0" distR="0" wp14:anchorId="6364D510" wp14:editId="5ADCACD5">
            <wp:extent cx="5940425" cy="966703"/>
            <wp:effectExtent l="0" t="0" r="3175" b="508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940425" cy="966703"/>
                    </a:xfrm>
                    <a:prstGeom prst="rect">
                      <a:avLst/>
                    </a:prstGeom>
                    <a:noFill/>
                    <a:ln>
                      <a:noFill/>
                    </a:ln>
                  </pic:spPr>
                </pic:pic>
              </a:graphicData>
            </a:graphic>
          </wp:inline>
        </w:drawing>
      </w:r>
    </w:p>
    <w:p w14:paraId="53CD96FB" w14:textId="6D10DFA6" w:rsidR="0021219D" w:rsidRDefault="00C51806" w:rsidP="0021219D">
      <w:pPr>
        <w:bidi/>
        <w:spacing w:after="240"/>
        <w:rPr>
          <w:rFonts w:ascii="Arabic Typesetting" w:hAnsi="Arabic Typesetting" w:cs="Arabic Typesetting"/>
          <w:sz w:val="36"/>
          <w:szCs w:val="36"/>
          <w:rtl/>
        </w:rPr>
      </w:pPr>
      <w:r w:rsidRPr="00C51806">
        <w:rPr>
          <w:rFonts w:hint="cs"/>
          <w:noProof/>
          <w:szCs w:val="22"/>
          <w:rtl/>
        </w:rPr>
        <w:drawing>
          <wp:inline distT="0" distB="0" distL="0" distR="0" wp14:anchorId="659BD811" wp14:editId="360A4462">
            <wp:extent cx="5940425" cy="981462"/>
            <wp:effectExtent l="0" t="0" r="3175" b="952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940425" cy="981462"/>
                    </a:xfrm>
                    <a:prstGeom prst="rect">
                      <a:avLst/>
                    </a:prstGeom>
                    <a:noFill/>
                    <a:ln>
                      <a:noFill/>
                    </a:ln>
                  </pic:spPr>
                </pic:pic>
              </a:graphicData>
            </a:graphic>
          </wp:inline>
        </w:drawing>
      </w:r>
    </w:p>
    <w:p w14:paraId="32A45FFC" w14:textId="77777777" w:rsidR="00C9011F" w:rsidRDefault="00C9011F" w:rsidP="00E80DAB">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b/>
          <w:bCs/>
          <w:sz w:val="36"/>
          <w:szCs w:val="36"/>
          <w:rtl/>
        </w:rPr>
        <w:t xml:space="preserve">مخاطر </w:t>
      </w:r>
      <w:r w:rsidRPr="00C9011F">
        <w:rPr>
          <w:rFonts w:ascii="Arabic Typesetting" w:hAnsi="Arabic Typesetting" w:cs="Arabic Typesetting" w:hint="cs"/>
          <w:b/>
          <w:bCs/>
          <w:sz w:val="36"/>
          <w:szCs w:val="36"/>
          <w:rtl/>
        </w:rPr>
        <w:t>العملات</w:t>
      </w:r>
    </w:p>
    <w:p w14:paraId="7D54AF43" w14:textId="69A3C788" w:rsidR="00C9011F" w:rsidRDefault="00C9011F" w:rsidP="0021219D">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تتلقى المنظمة إيراداتها من الرسوم و</w:t>
      </w:r>
      <w:r w:rsidR="00FD2528">
        <w:rPr>
          <w:rFonts w:ascii="Arabic Typesetting" w:hAnsi="Arabic Typesetting" w:cs="Arabic Typesetting" w:hint="cs"/>
          <w:sz w:val="36"/>
          <w:szCs w:val="36"/>
          <w:rtl/>
        </w:rPr>
        <w:t>المساهمات</w:t>
      </w:r>
      <w:r>
        <w:rPr>
          <w:rFonts w:ascii="Arabic Typesetting" w:hAnsi="Arabic Typesetting" w:cs="Arabic Typesetting" w:hint="cs"/>
          <w:sz w:val="36"/>
          <w:szCs w:val="36"/>
          <w:rtl/>
        </w:rPr>
        <w:t xml:space="preserve"> الطوعية بعملات معينة وتتكبد مصروفات بعملات غير العملة التي تعمل بها وهي الفرنك السويسري، وهي معرضة لمخاطر صرف العملات الأجنبية الناتجة عن تقلب أسعار الصرف.</w:t>
      </w:r>
      <w:r w:rsidR="0021219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والمنظمة معرضة أيضا لمخاطر تتعلق بسعر الصرف الناتجة عن الفوارق بين عملات المبالغ المدفوعة لإدارات البحث الدولي بناء </w:t>
      </w:r>
      <w:r w:rsidRPr="00403B10">
        <w:rPr>
          <w:rFonts w:ascii="Arabic Typesetting" w:hAnsi="Arabic Typesetting" w:cs="Arabic Typesetting" w:hint="cs"/>
          <w:i/>
          <w:iCs/>
          <w:sz w:val="36"/>
          <w:szCs w:val="36"/>
          <w:rtl/>
        </w:rPr>
        <w:t>على اللائحة التنفيذية لمعاهدة التعاون بشأن البراءات</w:t>
      </w:r>
      <w:r>
        <w:rPr>
          <w:rFonts w:ascii="Arabic Typesetting" w:hAnsi="Arabic Typesetting" w:cs="Arabic Typesetting" w:hint="cs"/>
          <w:sz w:val="36"/>
          <w:szCs w:val="36"/>
          <w:rtl/>
        </w:rPr>
        <w:t xml:space="preserve"> والمبالغ التي تحصلها مكاتب البراءات الوطنية لرسوم البحث الدولي من مودعي طلبات البراءات الدولية.</w:t>
      </w:r>
    </w:p>
    <w:p w14:paraId="5D8CB9B8" w14:textId="3017E196" w:rsidR="00C9011F" w:rsidRDefault="00C9011F" w:rsidP="0021219D">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والمنظمة معرضة كذلك لمخاطر سعر صرف العملات فيما يتعلق بتكلفة المعاش التقاعدي للموظفين الذين كانوا قد دخلوا في صندوق الويبو المقفل للمعاش التقاعدي وأصبحوا الآن أعضاء في الصندوق المشترك للمعاشات التقاعدية لموظفي الأمم المتحدة. ويضاف إلى ذلك وجود مكاتب </w:t>
      </w:r>
      <w:r w:rsidR="0021219D">
        <w:rPr>
          <w:rFonts w:ascii="Arabic Typesetting" w:hAnsi="Arabic Typesetting" w:cs="Arabic Typesetting" w:hint="cs"/>
          <w:sz w:val="36"/>
          <w:szCs w:val="36"/>
          <w:rtl/>
        </w:rPr>
        <w:t>خارجي</w:t>
      </w:r>
      <w:r>
        <w:rPr>
          <w:rFonts w:ascii="Arabic Typesetting" w:hAnsi="Arabic Typesetting" w:cs="Arabic Typesetting" w:hint="cs"/>
          <w:sz w:val="36"/>
          <w:szCs w:val="36"/>
          <w:rtl/>
        </w:rPr>
        <w:t xml:space="preserve"> للويبو في البرازيل </w:t>
      </w:r>
      <w:r w:rsidR="0021219D">
        <w:rPr>
          <w:rFonts w:ascii="Arabic Typesetting" w:hAnsi="Arabic Typesetting" w:cs="Arabic Typesetting" w:hint="cs"/>
          <w:sz w:val="36"/>
          <w:szCs w:val="36"/>
          <w:rtl/>
        </w:rPr>
        <w:t xml:space="preserve">والصين </w:t>
      </w:r>
      <w:r>
        <w:rPr>
          <w:rFonts w:ascii="Arabic Typesetting" w:hAnsi="Arabic Typesetting" w:cs="Arabic Typesetting" w:hint="cs"/>
          <w:sz w:val="36"/>
          <w:szCs w:val="36"/>
          <w:rtl/>
        </w:rPr>
        <w:t>واليابان</w:t>
      </w:r>
      <w:r w:rsidR="0021219D">
        <w:rPr>
          <w:rFonts w:ascii="Arabic Typesetting" w:hAnsi="Arabic Typesetting" w:cs="Arabic Typesetting" w:hint="cs"/>
          <w:sz w:val="36"/>
          <w:szCs w:val="36"/>
          <w:rtl/>
        </w:rPr>
        <w:t xml:space="preserve"> وروسيا</w:t>
      </w:r>
      <w:r>
        <w:rPr>
          <w:rFonts w:ascii="Arabic Typesetting" w:hAnsi="Arabic Typesetting" w:cs="Arabic Typesetting" w:hint="cs"/>
          <w:sz w:val="36"/>
          <w:szCs w:val="36"/>
          <w:rtl/>
        </w:rPr>
        <w:t xml:space="preserve"> وسنغافورة والولايات المتحدة </w:t>
      </w:r>
      <w:r w:rsidR="00FD2528">
        <w:rPr>
          <w:rFonts w:ascii="Arabic Typesetting" w:hAnsi="Arabic Typesetting" w:cs="Arabic Typesetting" w:hint="cs"/>
          <w:sz w:val="36"/>
          <w:szCs w:val="36"/>
          <w:rtl/>
        </w:rPr>
        <w:t>الأمريكي</w:t>
      </w:r>
      <w:r>
        <w:rPr>
          <w:rFonts w:ascii="Arabic Typesetting" w:hAnsi="Arabic Typesetting" w:cs="Arabic Typesetting" w:hint="cs"/>
          <w:sz w:val="36"/>
          <w:szCs w:val="36"/>
          <w:rtl/>
        </w:rPr>
        <w:t>ة لديها أصول محدودة بالعملة المحلية.</w:t>
      </w:r>
      <w:r w:rsidR="0021219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ولا تستعمل المنظمة أدوات مالية </w:t>
      </w:r>
      <w:r w:rsidR="00057490">
        <w:rPr>
          <w:rFonts w:ascii="Arabic Typesetting" w:hAnsi="Arabic Typesetting" w:cs="Arabic Typesetting" w:hint="cs"/>
          <w:sz w:val="36"/>
          <w:szCs w:val="36"/>
          <w:rtl/>
        </w:rPr>
        <w:t>للوقاية من</w:t>
      </w:r>
      <w:r>
        <w:rPr>
          <w:rFonts w:ascii="Arabic Typesetting" w:hAnsi="Arabic Typesetting" w:cs="Arabic Typesetting" w:hint="cs"/>
          <w:sz w:val="36"/>
          <w:szCs w:val="36"/>
          <w:rtl/>
        </w:rPr>
        <w:t xml:space="preserve"> المخاطر الناتجة عن صرف العملات إلا في حدود ضيقة، وذلك على وجه التحديد للاستثمارات قصيرة الأجل والتي تحول في إطارها الفرنكات السويسرية إلى يورو لفترة تصل إلى شهر</w:t>
      </w:r>
      <w:r w:rsidR="00AF1BE7">
        <w:rPr>
          <w:rFonts w:ascii="Arabic Typesetting" w:hAnsi="Arabic Typesetting" w:cs="Arabic Typesetting" w:hint="cs"/>
          <w:sz w:val="36"/>
          <w:szCs w:val="36"/>
          <w:rtl/>
        </w:rPr>
        <w:t>ين</w:t>
      </w:r>
      <w:r>
        <w:rPr>
          <w:rFonts w:ascii="Arabic Typesetting" w:hAnsi="Arabic Typesetting" w:cs="Arabic Typesetting" w:hint="cs"/>
          <w:sz w:val="36"/>
          <w:szCs w:val="36"/>
          <w:rtl/>
        </w:rPr>
        <w:t>.</w:t>
      </w:r>
      <w:r w:rsidR="00AF1BE7">
        <w:rPr>
          <w:rFonts w:ascii="Arabic Typesetting" w:hAnsi="Arabic Typesetting" w:cs="Arabic Typesetting" w:hint="cs"/>
          <w:sz w:val="36"/>
          <w:szCs w:val="36"/>
          <w:rtl/>
        </w:rPr>
        <w:t xml:space="preserve"> ولا توجد في تاريخ إعداد التقرير المالي أي عقود</w:t>
      </w:r>
      <w:r w:rsidR="001A7634">
        <w:rPr>
          <w:rFonts w:ascii="Arabic Typesetting" w:hAnsi="Arabic Typesetting" w:cs="Arabic Typesetting" w:hint="cs"/>
          <w:sz w:val="36"/>
          <w:szCs w:val="36"/>
          <w:rtl/>
        </w:rPr>
        <w:t xml:space="preserve"> </w:t>
      </w:r>
      <w:r w:rsidR="004E7BD2">
        <w:rPr>
          <w:rFonts w:ascii="Arabic Typesetting" w:hAnsi="Arabic Typesetting" w:cs="Arabic Typesetting" w:hint="cs"/>
          <w:sz w:val="36"/>
          <w:szCs w:val="36"/>
          <w:rtl/>
        </w:rPr>
        <w:t>وقاية من هذا النوع</w:t>
      </w:r>
      <w:r w:rsidR="001A7634">
        <w:rPr>
          <w:rFonts w:ascii="Arabic Typesetting" w:hAnsi="Arabic Typesetting" w:cs="Arabic Typesetting" w:hint="cs"/>
          <w:sz w:val="36"/>
          <w:szCs w:val="36"/>
          <w:rtl/>
        </w:rPr>
        <w:t>.</w:t>
      </w:r>
    </w:p>
    <w:p w14:paraId="7ABDB17D" w14:textId="77777777" w:rsidR="008508EC" w:rsidRDefault="008508EC" w:rsidP="00E80DAB">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b/>
          <w:bCs/>
          <w:sz w:val="36"/>
          <w:szCs w:val="36"/>
          <w:rtl/>
        </w:rPr>
        <w:lastRenderedPageBreak/>
        <w:t>تحليل الحساسية لأسعار صرف العملات</w:t>
      </w:r>
    </w:p>
    <w:p w14:paraId="5A4F0CF5" w14:textId="5AA9FF12" w:rsidR="008508EC" w:rsidRDefault="008508EC" w:rsidP="0021219D">
      <w:pPr>
        <w:keepNext/>
        <w:keepLines/>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يستند تحليل الحساسية لأسعار صرف العملات إلى تحركات معقولة في أسعار</w:t>
      </w:r>
      <w:r w:rsidR="00E9099C">
        <w:rPr>
          <w:rFonts w:ascii="Arabic Typesetting" w:hAnsi="Arabic Typesetting" w:cs="Arabic Typesetting" w:hint="cs"/>
          <w:sz w:val="36"/>
          <w:szCs w:val="36"/>
          <w:rtl/>
        </w:rPr>
        <w:t xml:space="preserve">. </w:t>
      </w:r>
      <w:r w:rsidR="0021219D">
        <w:rPr>
          <w:rFonts w:ascii="Arabic Typesetting" w:hAnsi="Arabic Typesetting" w:cs="Arabic Typesetting" w:hint="cs"/>
          <w:sz w:val="36"/>
          <w:szCs w:val="36"/>
          <w:rtl/>
        </w:rPr>
        <w:t xml:space="preserve">وقد طُبق معدل قدره 10.0 بالمئة استناداً إلى تراجع قيمة العملات الأخرى أمام الفرنك السويسري في الأشهر التالية لإعلان البنك المركزي السويسري في 15 يناير 2015 (انظر الملاحظة 27 </w:t>
      </w:r>
      <w:r w:rsidR="0021219D">
        <w:rPr>
          <w:rFonts w:ascii="Arabic Typesetting" w:hAnsi="Arabic Typesetting" w:cs="Arabic Typesetting"/>
          <w:sz w:val="36"/>
          <w:szCs w:val="36"/>
          <w:rtl/>
        </w:rPr>
        <w:t>–</w:t>
      </w:r>
      <w:r w:rsidR="0021219D">
        <w:rPr>
          <w:rFonts w:ascii="Arabic Typesetting" w:hAnsi="Arabic Typesetting" w:cs="Arabic Typesetting" w:hint="cs"/>
          <w:sz w:val="36"/>
          <w:szCs w:val="36"/>
          <w:rtl/>
        </w:rPr>
        <w:t xml:space="preserve"> أحداث طرأت بعد تاريخ تقديم التقرير المالي). وطبق ذلك</w:t>
      </w:r>
      <w:r w:rsidR="00E9099C">
        <w:rPr>
          <w:rFonts w:ascii="Arabic Typesetting" w:hAnsi="Arabic Typesetting" w:cs="Arabic Typesetting" w:hint="cs"/>
          <w:sz w:val="36"/>
          <w:szCs w:val="36"/>
          <w:rtl/>
        </w:rPr>
        <w:t xml:space="preserve"> على الأصول المالية والخصوم المالية المحتفظ بها بعملات خلاف الفرنك السويسري لتلخيص الأثر في الفائض</w:t>
      </w:r>
      <w:r w:rsidR="00F019C5">
        <w:rPr>
          <w:rFonts w:ascii="Arabic Typesetting" w:hAnsi="Arabic Typesetting" w:cs="Arabic Typesetting" w:hint="cs"/>
          <w:sz w:val="36"/>
          <w:szCs w:val="36"/>
          <w:rtl/>
        </w:rPr>
        <w:t xml:space="preserve"> في الجدول التالي:</w:t>
      </w:r>
    </w:p>
    <w:p w14:paraId="25B0F948" w14:textId="43807F5B" w:rsidR="001E40F1" w:rsidRDefault="004D5F30" w:rsidP="004D5F30">
      <w:pPr>
        <w:bidi/>
        <w:spacing w:after="240"/>
        <w:rPr>
          <w:rFonts w:ascii="Arabic Typesetting" w:hAnsi="Arabic Typesetting" w:cs="Arabic Typesetting"/>
          <w:sz w:val="36"/>
          <w:szCs w:val="36"/>
          <w:rtl/>
        </w:rPr>
      </w:pPr>
      <w:r w:rsidRPr="004D5F30">
        <w:rPr>
          <w:noProof/>
          <w:szCs w:val="22"/>
          <w:rtl/>
        </w:rPr>
        <w:drawing>
          <wp:inline distT="0" distB="0" distL="0" distR="0" wp14:anchorId="53FF5F5F" wp14:editId="28E710E9">
            <wp:extent cx="5768340" cy="3070860"/>
            <wp:effectExtent l="0" t="0" r="381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768340" cy="3070860"/>
                    </a:xfrm>
                    <a:prstGeom prst="rect">
                      <a:avLst/>
                    </a:prstGeom>
                    <a:noFill/>
                    <a:ln>
                      <a:noFill/>
                    </a:ln>
                  </pic:spPr>
                </pic:pic>
              </a:graphicData>
            </a:graphic>
          </wp:inline>
        </w:drawing>
      </w:r>
    </w:p>
    <w:p w14:paraId="115816AD" w14:textId="77777777" w:rsidR="009B4D83" w:rsidRPr="009B4D83" w:rsidRDefault="009B4D83" w:rsidP="00E80DAB">
      <w:pPr>
        <w:keepNext/>
        <w:bidi/>
        <w:spacing w:after="24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مخاطر السوق</w:t>
      </w:r>
    </w:p>
    <w:p w14:paraId="7B6AA450" w14:textId="62335E77" w:rsidR="00C9011F" w:rsidRDefault="00F019C5" w:rsidP="0021219D">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مخاطر السوق هي مخاطر </w:t>
      </w:r>
      <w:r w:rsidR="00E36AAE">
        <w:rPr>
          <w:rFonts w:ascii="Arabic Typesetting" w:hAnsi="Arabic Typesetting" w:cs="Arabic Typesetting" w:hint="cs"/>
          <w:sz w:val="36"/>
          <w:szCs w:val="36"/>
          <w:rtl/>
        </w:rPr>
        <w:t>التغيرات في أسعار السوق، مثل أسعار الفائدة، مما يؤثر في إيرادات المنظمة أو قيمة ما تحتفظ به من أدوات مالية. و</w:t>
      </w:r>
      <w:r w:rsidR="00C9011F">
        <w:rPr>
          <w:rFonts w:ascii="Arabic Typesetting" w:hAnsi="Arabic Typesetting" w:cs="Arabic Typesetting" w:hint="cs"/>
          <w:sz w:val="36"/>
          <w:szCs w:val="36"/>
          <w:rtl/>
        </w:rPr>
        <w:t xml:space="preserve">المنظمة معرضة إلى حد يسير لخطر انخفاض سعر الفائدة، حيث إن </w:t>
      </w:r>
      <w:r w:rsidR="0021219D">
        <w:rPr>
          <w:rFonts w:ascii="Arabic Typesetting" w:hAnsi="Arabic Typesetting" w:cs="Arabic Typesetting" w:hint="cs"/>
          <w:sz w:val="36"/>
          <w:szCs w:val="36"/>
          <w:rtl/>
        </w:rPr>
        <w:t>0.22</w:t>
      </w:r>
      <w:r w:rsidR="00C9011F">
        <w:rPr>
          <w:rFonts w:ascii="Arabic Typesetting" w:hAnsi="Arabic Typesetting" w:cs="Arabic Typesetting" w:hint="cs"/>
          <w:sz w:val="36"/>
          <w:szCs w:val="36"/>
          <w:rtl/>
        </w:rPr>
        <w:t xml:space="preserve"> </w:t>
      </w:r>
      <w:r w:rsidR="00257637">
        <w:rPr>
          <w:rFonts w:ascii="Arabic Typesetting" w:hAnsi="Arabic Typesetting" w:cs="Arabic Typesetting" w:hint="cs"/>
          <w:sz w:val="36"/>
          <w:szCs w:val="36"/>
          <w:rtl/>
        </w:rPr>
        <w:t>بالمئة</w:t>
      </w:r>
      <w:r w:rsidR="00C9011F">
        <w:rPr>
          <w:rFonts w:ascii="Arabic Typesetting" w:hAnsi="Arabic Typesetting" w:cs="Arabic Typesetting" w:hint="cs"/>
          <w:sz w:val="36"/>
          <w:szCs w:val="36"/>
          <w:rtl/>
        </w:rPr>
        <w:t xml:space="preserve"> فحسب من ميزانيتها التشغيلية ممولة من إيرادات محصلة من عائدات الاستثمارات.</w:t>
      </w:r>
      <w:r w:rsidR="0021219D">
        <w:rPr>
          <w:rFonts w:ascii="Arabic Typesetting" w:hAnsi="Arabic Typesetting" w:cs="Arabic Typesetting" w:hint="cs"/>
          <w:sz w:val="36"/>
          <w:szCs w:val="36"/>
          <w:rtl/>
        </w:rPr>
        <w:t xml:space="preserve"> وإن أسعار الفائدة على قرض إنشاء المبنى الجديد من بنك كانتون جنيف وبنك كانتون فو ثابتة طوال فترة سحب القرض.</w:t>
      </w:r>
      <w:r w:rsidR="00C9011F">
        <w:rPr>
          <w:rFonts w:ascii="Arabic Typesetting" w:hAnsi="Arabic Typesetting" w:cs="Arabic Typesetting" w:hint="cs"/>
          <w:sz w:val="36"/>
          <w:szCs w:val="36"/>
          <w:rtl/>
        </w:rPr>
        <w:t xml:space="preserve"> ولا تستخدم المنظمة أدوات مالية </w:t>
      </w:r>
      <w:r w:rsidR="00E36AAE">
        <w:rPr>
          <w:rFonts w:ascii="Arabic Typesetting" w:hAnsi="Arabic Typesetting" w:cs="Arabic Typesetting" w:hint="cs"/>
          <w:sz w:val="36"/>
          <w:szCs w:val="36"/>
          <w:rtl/>
        </w:rPr>
        <w:t xml:space="preserve">للوقاية من </w:t>
      </w:r>
      <w:r w:rsidR="00C9011F">
        <w:rPr>
          <w:rFonts w:ascii="Arabic Typesetting" w:hAnsi="Arabic Typesetting" w:cs="Arabic Typesetting" w:hint="cs"/>
          <w:sz w:val="36"/>
          <w:szCs w:val="36"/>
          <w:rtl/>
        </w:rPr>
        <w:t>المخاطر المتعلقة بسعر الفائدة.</w:t>
      </w:r>
      <w:r w:rsidR="00057490">
        <w:rPr>
          <w:rFonts w:ascii="Arabic Typesetting" w:hAnsi="Arabic Typesetting" w:cs="Arabic Typesetting" w:hint="cs"/>
          <w:sz w:val="36"/>
          <w:szCs w:val="36"/>
          <w:rtl/>
        </w:rPr>
        <w:t xml:space="preserve"> وفيما يلي بيان لأسعار الفائدة و</w:t>
      </w:r>
      <w:r w:rsidR="003E6C5D">
        <w:rPr>
          <w:rFonts w:ascii="Arabic Typesetting" w:hAnsi="Arabic Typesetting" w:cs="Arabic Typesetting" w:hint="cs"/>
          <w:sz w:val="36"/>
          <w:szCs w:val="36"/>
          <w:rtl/>
        </w:rPr>
        <w:t>آجال الأدوات المالية</w:t>
      </w:r>
      <w:r w:rsidR="0021219D">
        <w:rPr>
          <w:rFonts w:ascii="Arabic Typesetting" w:hAnsi="Arabic Typesetting" w:cs="Arabic Typesetting" w:hint="cs"/>
          <w:sz w:val="36"/>
          <w:szCs w:val="36"/>
          <w:rtl/>
        </w:rPr>
        <w:t xml:space="preserve"> في 31 ديسمبر 2014 و31 ديسمبر 2013</w:t>
      </w:r>
      <w:r w:rsidR="003E6C5D">
        <w:rPr>
          <w:rFonts w:ascii="Arabic Typesetting" w:hAnsi="Arabic Typesetting" w:cs="Arabic Typesetting" w:hint="cs"/>
          <w:sz w:val="36"/>
          <w:szCs w:val="36"/>
          <w:rtl/>
        </w:rPr>
        <w:t>:</w:t>
      </w:r>
    </w:p>
    <w:p w14:paraId="452E9D7A" w14:textId="27BC6AB3" w:rsidR="00417477" w:rsidRDefault="004D5F30" w:rsidP="001E40F1">
      <w:pPr>
        <w:bidi/>
        <w:spacing w:after="240"/>
        <w:rPr>
          <w:rFonts w:ascii="Arabic Typesetting" w:hAnsi="Arabic Typesetting" w:cs="Arabic Typesetting"/>
          <w:sz w:val="36"/>
          <w:szCs w:val="36"/>
          <w:lang w:bidi="ar-EG"/>
        </w:rPr>
      </w:pPr>
      <w:r w:rsidRPr="004D5F30">
        <w:rPr>
          <w:noProof/>
          <w:szCs w:val="22"/>
          <w:rtl/>
        </w:rPr>
        <w:drawing>
          <wp:inline distT="0" distB="0" distL="0" distR="0" wp14:anchorId="132C4EC0" wp14:editId="05479F71">
            <wp:extent cx="5669280" cy="1790700"/>
            <wp:effectExtent l="0" t="0" r="762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669280" cy="1790700"/>
                    </a:xfrm>
                    <a:prstGeom prst="rect">
                      <a:avLst/>
                    </a:prstGeom>
                    <a:noFill/>
                    <a:ln>
                      <a:noFill/>
                    </a:ln>
                  </pic:spPr>
                </pic:pic>
              </a:graphicData>
            </a:graphic>
          </wp:inline>
        </w:drawing>
      </w:r>
    </w:p>
    <w:p w14:paraId="0FA61738" w14:textId="2C8A5578" w:rsidR="0021219D" w:rsidRPr="0021219D" w:rsidRDefault="004D5F30" w:rsidP="0021219D">
      <w:pPr>
        <w:bidi/>
        <w:spacing w:after="240"/>
        <w:rPr>
          <w:rFonts w:ascii="Arabic Typesetting" w:hAnsi="Arabic Typesetting" w:cs="Arabic Typesetting"/>
          <w:sz w:val="36"/>
          <w:szCs w:val="36"/>
          <w:rtl/>
        </w:rPr>
      </w:pPr>
      <w:r w:rsidRPr="004D5F30">
        <w:rPr>
          <w:rFonts w:hint="cs"/>
          <w:noProof/>
          <w:szCs w:val="22"/>
          <w:rtl/>
        </w:rPr>
        <w:lastRenderedPageBreak/>
        <w:drawing>
          <wp:inline distT="0" distB="0" distL="0" distR="0" wp14:anchorId="7129810C" wp14:editId="6277E49D">
            <wp:extent cx="5669280" cy="1790700"/>
            <wp:effectExtent l="0" t="0" r="762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669280" cy="1790700"/>
                    </a:xfrm>
                    <a:prstGeom prst="rect">
                      <a:avLst/>
                    </a:prstGeom>
                    <a:noFill/>
                    <a:ln>
                      <a:noFill/>
                    </a:ln>
                  </pic:spPr>
                </pic:pic>
              </a:graphicData>
            </a:graphic>
          </wp:inline>
        </w:drawing>
      </w:r>
    </w:p>
    <w:p w14:paraId="285C3A72" w14:textId="77777777" w:rsidR="00417477" w:rsidRDefault="00417477" w:rsidP="00E80DAB">
      <w:pPr>
        <w:keepNext/>
        <w:bidi/>
        <w:spacing w:after="240" w:line="360" w:lineRule="exact"/>
        <w:rPr>
          <w:rFonts w:ascii="Arabic Typesetting" w:hAnsi="Arabic Typesetting" w:cs="Arabic Typesetting"/>
          <w:sz w:val="36"/>
          <w:szCs w:val="36"/>
          <w:rtl/>
        </w:rPr>
      </w:pPr>
      <w:r>
        <w:rPr>
          <w:rFonts w:ascii="Arabic Typesetting" w:hAnsi="Arabic Typesetting" w:cs="Arabic Typesetting" w:hint="cs"/>
          <w:b/>
          <w:bCs/>
          <w:sz w:val="36"/>
          <w:szCs w:val="36"/>
          <w:rtl/>
        </w:rPr>
        <w:t>تحليل الحساسية لأسعار الفائدة</w:t>
      </w:r>
    </w:p>
    <w:p w14:paraId="753AFB2E" w14:textId="562778FE" w:rsidR="00C9011F" w:rsidRDefault="00417477" w:rsidP="0021219D">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لو كان </w:t>
      </w:r>
      <w:r w:rsidR="0021219D">
        <w:rPr>
          <w:rFonts w:ascii="Arabic Typesetting" w:hAnsi="Arabic Typesetting" w:cs="Arabic Typesetting" w:hint="cs"/>
          <w:sz w:val="36"/>
          <w:szCs w:val="36"/>
          <w:rtl/>
        </w:rPr>
        <w:t xml:space="preserve">متوسط </w:t>
      </w:r>
      <w:r>
        <w:rPr>
          <w:rFonts w:ascii="Arabic Typesetting" w:hAnsi="Arabic Typesetting" w:cs="Arabic Typesetting" w:hint="cs"/>
          <w:sz w:val="36"/>
          <w:szCs w:val="36"/>
          <w:rtl/>
        </w:rPr>
        <w:t xml:space="preserve">سعر الفائدة </w:t>
      </w:r>
      <w:r w:rsidR="0021219D">
        <w:rPr>
          <w:rFonts w:ascii="Arabic Typesetting" w:hAnsi="Arabic Typesetting" w:cs="Arabic Typesetting" w:hint="cs"/>
          <w:sz w:val="36"/>
          <w:szCs w:val="36"/>
          <w:rtl/>
        </w:rPr>
        <w:t>خلال العام</w:t>
      </w:r>
      <w:r w:rsidR="004D602E">
        <w:rPr>
          <w:rFonts w:ascii="Arabic Typesetting" w:hAnsi="Arabic Typesetting" w:cs="Arabic Typesetting" w:hint="cs"/>
          <w:sz w:val="36"/>
          <w:szCs w:val="36"/>
          <w:rtl/>
        </w:rPr>
        <w:t xml:space="preserve"> أعلى أو أدنى بمقدار 50 نقطة </w:t>
      </w:r>
      <w:r w:rsidR="00FD2528">
        <w:rPr>
          <w:rFonts w:ascii="Arabic Typesetting" w:hAnsi="Arabic Typesetting" w:cs="Arabic Typesetting" w:hint="cs"/>
          <w:sz w:val="36"/>
          <w:szCs w:val="36"/>
          <w:rtl/>
        </w:rPr>
        <w:t xml:space="preserve">أساس </w:t>
      </w:r>
      <w:r w:rsidR="004D602E">
        <w:rPr>
          <w:rFonts w:ascii="Arabic Typesetting" w:hAnsi="Arabic Typesetting" w:cs="Arabic Typesetting" w:hint="cs"/>
          <w:sz w:val="36"/>
          <w:szCs w:val="36"/>
          <w:rtl/>
        </w:rPr>
        <w:t>لتأثر إيراد الفائدة أو مصروف الفائدة على النحو التالي:</w:t>
      </w:r>
    </w:p>
    <w:p w14:paraId="47825896" w14:textId="7FF55B8F" w:rsidR="0021219D" w:rsidRDefault="004D5F30" w:rsidP="004D5F30">
      <w:pPr>
        <w:bidi/>
        <w:spacing w:after="240"/>
        <w:jc w:val="center"/>
        <w:rPr>
          <w:rFonts w:ascii="Arabic Typesetting" w:hAnsi="Arabic Typesetting" w:cs="Arabic Typesetting"/>
          <w:sz w:val="36"/>
          <w:szCs w:val="36"/>
          <w:rtl/>
        </w:rPr>
      </w:pPr>
      <w:r w:rsidRPr="004D5F30">
        <w:rPr>
          <w:rFonts w:hint="cs"/>
          <w:noProof/>
          <w:szCs w:val="22"/>
          <w:rtl/>
        </w:rPr>
        <w:drawing>
          <wp:inline distT="0" distB="0" distL="0" distR="0" wp14:anchorId="610A5933" wp14:editId="2F9B9D7C">
            <wp:extent cx="4983480" cy="1973580"/>
            <wp:effectExtent l="0" t="0" r="7620" b="762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983480" cy="1973580"/>
                    </a:xfrm>
                    <a:prstGeom prst="rect">
                      <a:avLst/>
                    </a:prstGeom>
                    <a:noFill/>
                    <a:ln>
                      <a:noFill/>
                    </a:ln>
                  </pic:spPr>
                </pic:pic>
              </a:graphicData>
            </a:graphic>
          </wp:inline>
        </w:drawing>
      </w:r>
    </w:p>
    <w:p w14:paraId="414D04D7" w14:textId="77777777" w:rsidR="00E16243" w:rsidRPr="002869C3" w:rsidRDefault="00634EBF" w:rsidP="00E100D2">
      <w:pPr>
        <w:pStyle w:val="Heading2"/>
        <w:tabs>
          <w:tab w:val="left" w:pos="1417"/>
        </w:tabs>
        <w:bidi/>
        <w:rPr>
          <w:rFonts w:ascii="Arabic Typesetting" w:hAnsi="Arabic Typesetting" w:cs="Arabic Typesetting"/>
          <w:i/>
          <w:iCs w:val="0"/>
          <w:sz w:val="40"/>
          <w:szCs w:val="40"/>
          <w:rtl/>
        </w:rPr>
      </w:pPr>
      <w:r w:rsidRPr="002869C3">
        <w:rPr>
          <w:rFonts w:ascii="Arabic Typesetting" w:hAnsi="Arabic Typesetting" w:cs="Arabic Typesetting" w:hint="cs"/>
          <w:i/>
          <w:iCs w:val="0"/>
          <w:sz w:val="40"/>
          <w:szCs w:val="40"/>
          <w:rtl/>
        </w:rPr>
        <w:lastRenderedPageBreak/>
        <w:t>الملاحظة 2</w:t>
      </w:r>
      <w:r>
        <w:rPr>
          <w:rFonts w:ascii="Arabic Typesetting" w:hAnsi="Arabic Typesetting" w:cs="Arabic Typesetting" w:hint="cs"/>
          <w:i/>
          <w:iCs w:val="0"/>
          <w:sz w:val="40"/>
          <w:szCs w:val="40"/>
          <w:rtl/>
        </w:rPr>
        <w:t>6:</w:t>
      </w:r>
      <w:r w:rsidR="00E100D2">
        <w:rPr>
          <w:rFonts w:ascii="Arabic Typesetting" w:hAnsi="Arabic Typesetting" w:cs="Arabic Typesetting"/>
          <w:i/>
          <w:iCs w:val="0"/>
          <w:sz w:val="40"/>
          <w:szCs w:val="40"/>
        </w:rPr>
        <w:tab/>
      </w:r>
      <w:r w:rsidR="00E16243" w:rsidRPr="002869C3">
        <w:rPr>
          <w:rFonts w:ascii="Arabic Typesetting" w:hAnsi="Arabic Typesetting" w:cs="Arabic Typesetting" w:hint="cs"/>
          <w:i/>
          <w:iCs w:val="0"/>
          <w:sz w:val="40"/>
          <w:szCs w:val="40"/>
          <w:rtl/>
        </w:rPr>
        <w:t>مكاسب وخسائر متعلقة بسعر صرف العملات</w:t>
      </w:r>
      <w:bookmarkEnd w:id="42"/>
    </w:p>
    <w:p w14:paraId="0BF5C72F" w14:textId="1DF77295" w:rsidR="0021219D" w:rsidRDefault="004D5F30" w:rsidP="0021219D">
      <w:pPr>
        <w:bidi/>
        <w:spacing w:after="240"/>
        <w:rPr>
          <w:rFonts w:ascii="Arabic Typesetting" w:hAnsi="Arabic Typesetting" w:cs="Arabic Typesetting"/>
          <w:sz w:val="36"/>
          <w:szCs w:val="36"/>
          <w:rtl/>
        </w:rPr>
      </w:pPr>
      <w:r w:rsidRPr="004D5F30">
        <w:rPr>
          <w:rFonts w:hint="cs"/>
          <w:noProof/>
          <w:szCs w:val="22"/>
          <w:rtl/>
        </w:rPr>
        <w:drawing>
          <wp:inline distT="0" distB="0" distL="0" distR="0" wp14:anchorId="04F6F30B" wp14:editId="36E0E737">
            <wp:extent cx="5940425" cy="4814871"/>
            <wp:effectExtent l="0" t="0" r="3175" b="508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940425" cy="4814871"/>
                    </a:xfrm>
                    <a:prstGeom prst="rect">
                      <a:avLst/>
                    </a:prstGeom>
                    <a:noFill/>
                    <a:ln>
                      <a:noFill/>
                    </a:ln>
                  </pic:spPr>
                </pic:pic>
              </a:graphicData>
            </a:graphic>
          </wp:inline>
        </w:drawing>
      </w:r>
    </w:p>
    <w:p w14:paraId="42BF8964" w14:textId="6AB88DB8" w:rsidR="00E16243" w:rsidRDefault="00E16243" w:rsidP="0021219D">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تحقق المنظمة أرباحا وتتكبد خسائر تتعلق بسعر صرف العملات على معاملات حسابات دائنة وحسابات مدينة بعملات أخرى غير الفرنك السويسري استنادا إلى معدل سعر الصرف المطبق في تاريخ المعاملات. وتتحقق أرباح وخسائر تتعلق بسعر صرف العملات أيضا من </w:t>
      </w:r>
      <w:r w:rsidR="0021219D">
        <w:rPr>
          <w:rFonts w:ascii="Arabic Typesetting" w:hAnsi="Arabic Typesetting" w:cs="Arabic Typesetting" w:hint="cs"/>
          <w:sz w:val="36"/>
          <w:szCs w:val="36"/>
          <w:rtl/>
        </w:rPr>
        <w:t>رسوم الإيداع الدولي</w:t>
      </w:r>
      <w:r>
        <w:rPr>
          <w:rFonts w:ascii="Arabic Typesetting" w:hAnsi="Arabic Typesetting" w:cs="Arabic Typesetting" w:hint="cs"/>
          <w:sz w:val="36"/>
          <w:szCs w:val="36"/>
          <w:rtl/>
        </w:rPr>
        <w:t xml:space="preserve"> و</w:t>
      </w:r>
      <w:r w:rsidR="002E053A">
        <w:rPr>
          <w:rFonts w:ascii="Arabic Typesetting" w:hAnsi="Arabic Typesetting" w:cs="Arabic Typesetting" w:hint="cs"/>
          <w:sz w:val="36"/>
          <w:szCs w:val="36"/>
          <w:rtl/>
        </w:rPr>
        <w:t>رسم المعالجة</w:t>
      </w:r>
      <w:r>
        <w:rPr>
          <w:rFonts w:ascii="Arabic Typesetting" w:hAnsi="Arabic Typesetting" w:cs="Arabic Typesetting" w:hint="cs"/>
          <w:sz w:val="36"/>
          <w:szCs w:val="36"/>
          <w:rtl/>
        </w:rPr>
        <w:t xml:space="preserve"> في إطار معاهدة التعاون بشأن البراءات عندما تحصلها المنظمة بعملات أخرى غير الفرنك السويسري، ومن المبالغ المدفوعة إلى </w:t>
      </w:r>
      <w:r w:rsidRPr="00A11649">
        <w:rPr>
          <w:rFonts w:ascii="Arabic Typesetting" w:hAnsi="Arabic Typesetting" w:cs="Arabic Typesetting"/>
          <w:sz w:val="36"/>
          <w:szCs w:val="36"/>
          <w:rtl/>
        </w:rPr>
        <w:t>إدارات البحث الدولي بناء على معاهدة</w:t>
      </w:r>
      <w:r>
        <w:rPr>
          <w:rFonts w:ascii="Arabic Typesetting" w:hAnsi="Arabic Typesetting" w:cs="Arabic Typesetting" w:hint="cs"/>
          <w:sz w:val="36"/>
          <w:szCs w:val="36"/>
          <w:rtl/>
        </w:rPr>
        <w:t xml:space="preserve"> التعاون بشأن البراءات والتي تقدر قيمتها بعملة هذه الإدارات ولكن الويبو تحصلها بالفرنك السويسري أو يحصلها </w:t>
      </w:r>
      <w:r w:rsidRPr="0058172F">
        <w:rPr>
          <w:rFonts w:ascii="Arabic Typesetting" w:hAnsi="Arabic Typesetting" w:cs="Arabic Typesetting"/>
          <w:sz w:val="36"/>
          <w:szCs w:val="36"/>
          <w:rtl/>
        </w:rPr>
        <w:t>مكتب تسلم الطلبات الوطني</w:t>
      </w:r>
      <w:r>
        <w:rPr>
          <w:rFonts w:ascii="Arabic Typesetting" w:hAnsi="Arabic Typesetting" w:cs="Arabic Typesetting" w:hint="cs"/>
          <w:sz w:val="36"/>
          <w:szCs w:val="36"/>
          <w:rtl/>
        </w:rPr>
        <w:t xml:space="preserve"> بالعملة المحلية. وإضافة إلى ذلك، تقيد في البيانات المالية الأرباح والخسائر غير المحققة المتعلقة بإعادة تقييم حسابات البنوك وغير ذلك من الأصول النقدية والخصوم بالفرنك السويسري بسعر الصرف المطبق في تاريخ تقديم التقرير. ويقيد الأثر الصافي لجميع الأرباح والخسائر البالغة </w:t>
      </w:r>
      <w:r w:rsidR="0021219D">
        <w:rPr>
          <w:rFonts w:ascii="Arabic Typesetting" w:hAnsi="Arabic Typesetting" w:cs="Arabic Typesetting" w:hint="cs"/>
          <w:sz w:val="36"/>
          <w:szCs w:val="36"/>
          <w:rtl/>
        </w:rPr>
        <w:t>0.9</w:t>
      </w:r>
      <w:r>
        <w:rPr>
          <w:rFonts w:ascii="Arabic Typesetting" w:hAnsi="Arabic Typesetting" w:cs="Arabic Typesetting" w:hint="cs"/>
          <w:sz w:val="36"/>
          <w:szCs w:val="36"/>
          <w:rtl/>
        </w:rPr>
        <w:t xml:space="preserve"> مليون فرنك سويسري والمتعلقة بسعر الصرف </w:t>
      </w:r>
      <w:r w:rsidR="008E7664">
        <w:rPr>
          <w:rFonts w:ascii="Arabic Typesetting" w:hAnsi="Arabic Typesetting" w:cs="Arabic Typesetting" w:hint="cs"/>
          <w:sz w:val="36"/>
          <w:szCs w:val="36"/>
          <w:rtl/>
        </w:rPr>
        <w:t xml:space="preserve">ضمن </w:t>
      </w:r>
      <w:r>
        <w:rPr>
          <w:rFonts w:ascii="Arabic Typesetting" w:hAnsi="Arabic Typesetting" w:cs="Arabic Typesetting" w:hint="cs"/>
          <w:sz w:val="36"/>
          <w:szCs w:val="36"/>
          <w:rtl/>
        </w:rPr>
        <w:t>الإيرادات في بيان ال</w:t>
      </w:r>
      <w:r w:rsidR="008E7664">
        <w:rPr>
          <w:rFonts w:ascii="Arabic Typesetting" w:hAnsi="Arabic Typesetting" w:cs="Arabic Typesetting" w:hint="cs"/>
          <w:sz w:val="36"/>
          <w:szCs w:val="36"/>
          <w:rtl/>
        </w:rPr>
        <w:t>أداء المالي، بصورة رئيسية في سط</w:t>
      </w:r>
      <w:r>
        <w:rPr>
          <w:rFonts w:ascii="Arabic Typesetting" w:hAnsi="Arabic Typesetting" w:cs="Arabic Typesetting" w:hint="cs"/>
          <w:sz w:val="36"/>
          <w:szCs w:val="36"/>
          <w:rtl/>
        </w:rPr>
        <w:t>ر رسوم معاهدة التعاون بشأن البراءات.</w:t>
      </w:r>
    </w:p>
    <w:p w14:paraId="1E4D68DB" w14:textId="77777777" w:rsidR="00E16243" w:rsidRPr="002869C3" w:rsidRDefault="00E16243" w:rsidP="00E100D2">
      <w:pPr>
        <w:pStyle w:val="Heading2"/>
        <w:tabs>
          <w:tab w:val="left" w:pos="1417"/>
        </w:tabs>
        <w:bidi/>
        <w:rPr>
          <w:rFonts w:ascii="Arabic Typesetting" w:hAnsi="Arabic Typesetting" w:cs="Arabic Typesetting"/>
          <w:i/>
          <w:iCs w:val="0"/>
          <w:sz w:val="40"/>
          <w:szCs w:val="40"/>
          <w:rtl/>
        </w:rPr>
      </w:pPr>
      <w:bookmarkStart w:id="43" w:name="_Toc362519124"/>
      <w:r w:rsidRPr="002869C3">
        <w:rPr>
          <w:rFonts w:ascii="Arabic Typesetting" w:hAnsi="Arabic Typesetting" w:cs="Arabic Typesetting" w:hint="cs"/>
          <w:i/>
          <w:iCs w:val="0"/>
          <w:sz w:val="40"/>
          <w:szCs w:val="40"/>
          <w:rtl/>
        </w:rPr>
        <w:t>الملاحظة 2</w:t>
      </w:r>
      <w:r w:rsidR="00891636">
        <w:rPr>
          <w:rFonts w:ascii="Arabic Typesetting" w:hAnsi="Arabic Typesetting" w:cs="Arabic Typesetting" w:hint="cs"/>
          <w:i/>
          <w:iCs w:val="0"/>
          <w:sz w:val="40"/>
          <w:szCs w:val="40"/>
          <w:rtl/>
        </w:rPr>
        <w:t>7</w:t>
      </w:r>
      <w:r w:rsidRPr="002869C3">
        <w:rPr>
          <w:rFonts w:ascii="Arabic Typesetting" w:hAnsi="Arabic Typesetting" w:cs="Arabic Typesetting" w:hint="cs"/>
          <w:i/>
          <w:iCs w:val="0"/>
          <w:sz w:val="40"/>
          <w:szCs w:val="40"/>
          <w:rtl/>
        </w:rPr>
        <w:t>:</w:t>
      </w:r>
      <w:r w:rsidR="00E100D2">
        <w:rPr>
          <w:rFonts w:ascii="Arabic Typesetting" w:hAnsi="Arabic Typesetting" w:cs="Arabic Typesetting"/>
          <w:i/>
          <w:iCs w:val="0"/>
          <w:sz w:val="40"/>
          <w:szCs w:val="40"/>
        </w:rPr>
        <w:tab/>
      </w:r>
      <w:r w:rsidRPr="002869C3">
        <w:rPr>
          <w:rFonts w:ascii="Arabic Typesetting" w:hAnsi="Arabic Typesetting" w:cs="Arabic Typesetting" w:hint="cs"/>
          <w:i/>
          <w:iCs w:val="0"/>
          <w:sz w:val="40"/>
          <w:szCs w:val="40"/>
          <w:rtl/>
        </w:rPr>
        <w:t>أحداث طرأت بعد تاريخ تقديم التقرير المالي</w:t>
      </w:r>
      <w:bookmarkEnd w:id="43"/>
    </w:p>
    <w:p w14:paraId="6C8B8EEF" w14:textId="77777777" w:rsidR="0021219D" w:rsidRDefault="00E16243" w:rsidP="0021219D">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تحدد تاريخ 31 ديسمبر </w:t>
      </w:r>
      <w:r w:rsidR="0021219D">
        <w:rPr>
          <w:rFonts w:ascii="Arabic Typesetting" w:hAnsi="Arabic Typesetting" w:cs="Arabic Typesetting" w:hint="cs"/>
          <w:sz w:val="36"/>
          <w:szCs w:val="36"/>
          <w:rtl/>
        </w:rPr>
        <w:t>2014</w:t>
      </w:r>
      <w:r>
        <w:rPr>
          <w:rFonts w:ascii="Arabic Typesetting" w:hAnsi="Arabic Typesetting" w:cs="Arabic Typesetting" w:hint="cs"/>
          <w:sz w:val="36"/>
          <w:szCs w:val="36"/>
          <w:rtl/>
        </w:rPr>
        <w:t xml:space="preserve"> لكي تقدم الويبو تقريرها المالي، كما أُذن بإصدار بياناتها المالية في تاريخ </w:t>
      </w:r>
      <w:r w:rsidR="0021219D">
        <w:rPr>
          <w:rFonts w:ascii="Arabic Typesetting" w:hAnsi="Arabic Typesetting" w:cs="Arabic Typesetting" w:hint="cs"/>
          <w:sz w:val="36"/>
          <w:szCs w:val="36"/>
          <w:rtl/>
        </w:rPr>
        <w:t>1</w:t>
      </w:r>
      <w:r>
        <w:rPr>
          <w:rFonts w:ascii="Arabic Typesetting" w:hAnsi="Arabic Typesetting" w:cs="Arabic Typesetting" w:hint="cs"/>
          <w:sz w:val="36"/>
          <w:szCs w:val="36"/>
          <w:rtl/>
        </w:rPr>
        <w:t xml:space="preserve"> مايو </w:t>
      </w:r>
      <w:r w:rsidR="0021219D">
        <w:rPr>
          <w:rFonts w:ascii="Arabic Typesetting" w:hAnsi="Arabic Typesetting" w:cs="Arabic Typesetting" w:hint="cs"/>
          <w:sz w:val="36"/>
          <w:szCs w:val="36"/>
          <w:rtl/>
        </w:rPr>
        <w:t>2015</w:t>
      </w:r>
      <w:r>
        <w:rPr>
          <w:rFonts w:ascii="Arabic Typesetting" w:hAnsi="Arabic Typesetting" w:cs="Arabic Typesetting" w:hint="cs"/>
          <w:sz w:val="36"/>
          <w:szCs w:val="36"/>
          <w:rtl/>
        </w:rPr>
        <w:t>.</w:t>
      </w:r>
    </w:p>
    <w:p w14:paraId="74B6C8A9" w14:textId="5A147138" w:rsidR="000A3CCF" w:rsidRDefault="000A3CCF" w:rsidP="000A3CCF">
      <w:pPr>
        <w:bidi/>
        <w:spacing w:after="240" w:line="360" w:lineRule="exact"/>
        <w:rPr>
          <w:rFonts w:ascii="Arabic Typesetting" w:hAnsi="Arabic Typesetting" w:cs="Arabic Typesetting"/>
          <w:sz w:val="36"/>
          <w:szCs w:val="36"/>
          <w:rtl/>
        </w:rPr>
      </w:pPr>
      <w:r w:rsidRPr="000A3CCF">
        <w:rPr>
          <w:rFonts w:ascii="Arabic Typesetting" w:hAnsi="Arabic Typesetting" w:cs="Arabic Typesetting"/>
          <w:sz w:val="36"/>
          <w:szCs w:val="36"/>
          <w:rtl/>
        </w:rPr>
        <w:t xml:space="preserve">في 15 يناير 2015، أعلن البنك الوطني السويسري (البنك المركزي السويسري) أنه </w:t>
      </w:r>
      <w:r>
        <w:rPr>
          <w:rFonts w:ascii="Arabic Typesetting" w:hAnsi="Arabic Typesetting" w:cs="Arabic Typesetting" w:hint="cs"/>
          <w:sz w:val="36"/>
          <w:szCs w:val="36"/>
          <w:rtl/>
        </w:rPr>
        <w:t>سياسة</w:t>
      </w:r>
      <w:r>
        <w:rPr>
          <w:rFonts w:ascii="Arabic Typesetting" w:hAnsi="Arabic Typesetting" w:cs="Arabic Typesetting"/>
          <w:sz w:val="36"/>
          <w:szCs w:val="36"/>
          <w:rtl/>
        </w:rPr>
        <w:t xml:space="preserve"> الحفاظ على سعر </w:t>
      </w:r>
      <w:r>
        <w:rPr>
          <w:rFonts w:ascii="Arabic Typesetting" w:hAnsi="Arabic Typesetting" w:cs="Arabic Typesetting" w:hint="cs"/>
          <w:sz w:val="36"/>
          <w:szCs w:val="36"/>
          <w:rtl/>
        </w:rPr>
        <w:t>الصرف الأدنى البالغ 1.20 فرنك سويسري لليورو الواحد</w:t>
      </w:r>
      <w:r w:rsidRPr="000A3CCF">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وكانت هذه السياسة مطبقة منذ 6 سبتمبر 2011. وبعد الإعلان، شهد الفرنك السويسري ارتفاعاً ملحوظاً بينما تراجعت جميع العملات الأخرى بنسبة متوسطها 15.0 </w:t>
      </w:r>
      <w:r w:rsidR="00257637">
        <w:rPr>
          <w:rFonts w:ascii="Arabic Typesetting" w:hAnsi="Arabic Typesetting" w:cs="Arabic Typesetting" w:hint="cs"/>
          <w:sz w:val="36"/>
          <w:szCs w:val="36"/>
          <w:rtl/>
        </w:rPr>
        <w:t>بالمئة</w:t>
      </w:r>
      <w:r>
        <w:rPr>
          <w:rFonts w:ascii="Arabic Typesetting" w:hAnsi="Arabic Typesetting" w:cs="Arabic Typesetting" w:hint="cs"/>
          <w:sz w:val="36"/>
          <w:szCs w:val="36"/>
          <w:rtl/>
        </w:rPr>
        <w:t xml:space="preserve"> أمام الفرنك السويسري </w:t>
      </w:r>
      <w:r>
        <w:rPr>
          <w:rFonts w:ascii="Arabic Typesetting" w:hAnsi="Arabic Typesetting" w:cs="Arabic Typesetting" w:hint="cs"/>
          <w:sz w:val="36"/>
          <w:szCs w:val="36"/>
          <w:rtl/>
        </w:rPr>
        <w:lastRenderedPageBreak/>
        <w:t xml:space="preserve">في أسواق العملات. وكانت </w:t>
      </w:r>
      <w:r w:rsidR="00F232C1">
        <w:rPr>
          <w:rFonts w:ascii="Arabic Typesetting" w:hAnsi="Arabic Typesetting" w:cs="Arabic Typesetting" w:hint="cs"/>
          <w:sz w:val="36"/>
          <w:szCs w:val="36"/>
          <w:rtl/>
        </w:rPr>
        <w:t>أسعار الصرف في الأمم المتحدة</w:t>
      </w:r>
      <w:r>
        <w:rPr>
          <w:rFonts w:ascii="Arabic Typesetting" w:hAnsi="Arabic Typesetting" w:cs="Arabic Typesetting" w:hint="cs"/>
          <w:sz w:val="36"/>
          <w:szCs w:val="36"/>
          <w:rtl/>
        </w:rPr>
        <w:t xml:space="preserve"> والسارية اعتباراً من 15 يناير 2015 قد نُشرت قبل ذلك الإعلان بيومين وعليه لم تدمج أثر الإعلان. ولكن نُشرت أسعار الصرف الجديدة للأمم المتحدة في 29 يناير و26 فبراير و11 مارس 2015. وفيما يخص العملات الثلاث التي تتلقى بها المنظمة جزءاً ملحوظاً من رسومها، بخلاف الفرنك السويسري، يوضح الجدول التالي النسبة المئوية للانخفاض في تراجع قيمة هذه العملات أمام الفرنك السويسري استناداً إلى أسعار الصرف في الأمم المتحدة المنشورة قبل الإعلان وبعده:</w:t>
      </w:r>
    </w:p>
    <w:p w14:paraId="6688B9E9" w14:textId="14073095" w:rsidR="000A3CCF" w:rsidRDefault="002960EF" w:rsidP="000A3CCF">
      <w:pPr>
        <w:bidi/>
        <w:spacing w:after="240"/>
        <w:rPr>
          <w:rFonts w:ascii="Arabic Typesetting" w:hAnsi="Arabic Typesetting" w:cs="Arabic Typesetting"/>
          <w:sz w:val="36"/>
          <w:szCs w:val="36"/>
          <w:rtl/>
        </w:rPr>
      </w:pPr>
      <w:r w:rsidRPr="002960EF">
        <w:rPr>
          <w:rFonts w:hint="cs"/>
          <w:noProof/>
          <w:szCs w:val="22"/>
          <w:rtl/>
        </w:rPr>
        <w:drawing>
          <wp:inline distT="0" distB="0" distL="0" distR="0" wp14:anchorId="6A285ABB" wp14:editId="0B0D98F8">
            <wp:extent cx="5940425" cy="1237896"/>
            <wp:effectExtent l="0" t="0" r="3175" b="63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940425" cy="1237896"/>
                    </a:xfrm>
                    <a:prstGeom prst="rect">
                      <a:avLst/>
                    </a:prstGeom>
                    <a:noFill/>
                    <a:ln>
                      <a:noFill/>
                    </a:ln>
                  </pic:spPr>
                </pic:pic>
              </a:graphicData>
            </a:graphic>
          </wp:inline>
        </w:drawing>
      </w:r>
    </w:p>
    <w:p w14:paraId="78E07F5E" w14:textId="65C8F99F" w:rsidR="000A3CCF" w:rsidRDefault="000A3CCF" w:rsidP="00E55E2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وكما يتبين من الجدول أعلاه، ففي أعقاب الخسارة المتوسطة الأولية البالغة 15 </w:t>
      </w:r>
      <w:r w:rsidR="00257637">
        <w:rPr>
          <w:rFonts w:ascii="Arabic Typesetting" w:hAnsi="Arabic Typesetting" w:cs="Arabic Typesetting" w:hint="cs"/>
          <w:sz w:val="36"/>
          <w:szCs w:val="36"/>
          <w:rtl/>
        </w:rPr>
        <w:t>بالمئة</w:t>
      </w:r>
      <w:r>
        <w:rPr>
          <w:rFonts w:ascii="Arabic Typesetting" w:hAnsi="Arabic Typesetting" w:cs="Arabic Typesetting" w:hint="cs"/>
          <w:sz w:val="36"/>
          <w:szCs w:val="36"/>
          <w:rtl/>
        </w:rPr>
        <w:t>،</w:t>
      </w:r>
      <w:r w:rsidR="000A72CE">
        <w:rPr>
          <w:rFonts w:ascii="Arabic Typesetting" w:hAnsi="Arabic Typesetting" w:cs="Arabic Typesetting" w:hint="cs"/>
          <w:sz w:val="36"/>
          <w:szCs w:val="36"/>
          <w:rtl/>
        </w:rPr>
        <w:t xml:space="preserve"> تعافت العملات الثلاث جميعها بدرجات مختلفة على مدار الشهرين التاليين رغم أن اليورو ظل منخفضاً بنسبة 11.4 </w:t>
      </w:r>
      <w:r w:rsidR="00257637">
        <w:rPr>
          <w:rFonts w:ascii="Arabic Typesetting" w:hAnsi="Arabic Typesetting" w:cs="Arabic Typesetting" w:hint="cs"/>
          <w:sz w:val="36"/>
          <w:szCs w:val="36"/>
          <w:rtl/>
        </w:rPr>
        <w:t>بالمئة</w:t>
      </w:r>
      <w:r w:rsidR="000A72CE">
        <w:rPr>
          <w:rFonts w:ascii="Arabic Typesetting" w:hAnsi="Arabic Typesetting" w:cs="Arabic Typesetting" w:hint="cs"/>
          <w:sz w:val="36"/>
          <w:szCs w:val="36"/>
          <w:rtl/>
        </w:rPr>
        <w:t xml:space="preserve"> مقارنة بقيمتها قبل إعلان البنك المركزي السويسري. ورغم أنه يصعب حساب تقدير كامل للأثر المالي لارتفاع قيمة الفرنك السويسري في عام 2015 على الويبو، فمن الواضح أنه سيؤثر سلباً على رسوم الويبو الواردة عن طلبات البراءات المدفوعة بعملات غير الفرنك السويسري خلال الربع الأول من العام على الأقل. ونتيجة لارتفاع قيمة الفرنك السويسري، أعلنت مبالغ معادلة جديدة بعدد من العملات فيما يخص رسوم الإيداع الدولي بناء على نظام معاهدة التعاون بشأن البراءات و</w:t>
      </w:r>
      <w:r w:rsidR="002E053A">
        <w:rPr>
          <w:rFonts w:ascii="Arabic Typesetting" w:hAnsi="Arabic Typesetting" w:cs="Arabic Typesetting" w:hint="cs"/>
          <w:sz w:val="36"/>
          <w:szCs w:val="36"/>
          <w:rtl/>
        </w:rPr>
        <w:t>رسوم المعالجة</w:t>
      </w:r>
      <w:r w:rsidR="000A72CE">
        <w:rPr>
          <w:rFonts w:ascii="Arabic Typesetting" w:hAnsi="Arabic Typesetting" w:cs="Arabic Typesetting" w:hint="cs"/>
          <w:sz w:val="36"/>
          <w:szCs w:val="36"/>
          <w:rtl/>
        </w:rPr>
        <w:t>، على أن تدخل هذه المبالغ حيز النفاذ في 1 أبريل 2015</w:t>
      </w:r>
      <w:r w:rsidR="0066435C">
        <w:rPr>
          <w:rFonts w:ascii="Arabic Typesetting" w:hAnsi="Arabic Typesetting" w:cs="Arabic Typesetting" w:hint="cs"/>
          <w:sz w:val="36"/>
          <w:szCs w:val="36"/>
          <w:rtl/>
        </w:rPr>
        <w:t xml:space="preserve">. وشمل ذلك اليورو وليس الدولار </w:t>
      </w:r>
      <w:r w:rsidR="00FD2528">
        <w:rPr>
          <w:rFonts w:ascii="Arabic Typesetting" w:hAnsi="Arabic Typesetting" w:cs="Arabic Typesetting" w:hint="cs"/>
          <w:sz w:val="36"/>
          <w:szCs w:val="36"/>
          <w:rtl/>
        </w:rPr>
        <w:t>الأمريكي</w:t>
      </w:r>
      <w:r w:rsidR="0066435C">
        <w:rPr>
          <w:rFonts w:ascii="Arabic Typesetting" w:hAnsi="Arabic Typesetting" w:cs="Arabic Typesetting" w:hint="cs"/>
          <w:sz w:val="36"/>
          <w:szCs w:val="36"/>
          <w:rtl/>
        </w:rPr>
        <w:t xml:space="preserve"> والين الياباني اللذين لم يستوفيا شروط تحديد مبلغ معادل جديد نظراً إلى استعادتهما جزءاً كبيراً من قيمتهما أمام الفرنك السويسري. واستناداً إلى تحليل للمبالغ المعادلة لإيداعات عامي 2014 و2015 و</w:t>
      </w:r>
      <w:r w:rsidR="00F232C1">
        <w:rPr>
          <w:rFonts w:ascii="Arabic Typesetting" w:hAnsi="Arabic Typesetting" w:cs="Arabic Typesetting" w:hint="cs"/>
          <w:sz w:val="36"/>
          <w:szCs w:val="36"/>
          <w:rtl/>
        </w:rPr>
        <w:t>أسعار الصرف في الأمم المتحدة</w:t>
      </w:r>
      <w:r w:rsidR="0066435C">
        <w:rPr>
          <w:rFonts w:ascii="Arabic Typesetting" w:hAnsi="Arabic Typesetting" w:cs="Arabic Typesetting" w:hint="cs"/>
          <w:sz w:val="36"/>
          <w:szCs w:val="36"/>
          <w:rtl/>
        </w:rPr>
        <w:t xml:space="preserve"> إثر إعلان البنك المركزي السويسري، تراوحت خسائر الصرف المقدرة لدى</w:t>
      </w:r>
      <w:r w:rsidR="00E55E23">
        <w:rPr>
          <w:rFonts w:ascii="Arabic Typesetting" w:hAnsi="Arabic Typesetting" w:cs="Arabic Typesetting" w:hint="cs"/>
          <w:sz w:val="36"/>
          <w:szCs w:val="36"/>
          <w:rtl/>
        </w:rPr>
        <w:t xml:space="preserve"> تحصيل رسوم الإيداع بين مليوني وخمسة</w:t>
      </w:r>
      <w:r w:rsidR="0066435C">
        <w:rPr>
          <w:rFonts w:ascii="Arabic Typesetting" w:hAnsi="Arabic Typesetting" w:cs="Arabic Typesetting" w:hint="cs"/>
          <w:sz w:val="36"/>
          <w:szCs w:val="36"/>
          <w:rtl/>
        </w:rPr>
        <w:t xml:space="preserve"> ملايين فرنك سويسري (انظر الصفحة 12 </w:t>
      </w:r>
      <w:r w:rsidR="0066435C">
        <w:rPr>
          <w:rFonts w:ascii="Arabic Typesetting" w:hAnsi="Arabic Typesetting" w:cs="Arabic Typesetting"/>
          <w:sz w:val="36"/>
          <w:szCs w:val="36"/>
          <w:rtl/>
        </w:rPr>
        <w:t>–</w:t>
      </w:r>
      <w:r w:rsidR="0066435C">
        <w:rPr>
          <w:rFonts w:ascii="Arabic Typesetting" w:hAnsi="Arabic Typesetting" w:cs="Arabic Typesetting" w:hint="cs"/>
          <w:sz w:val="36"/>
          <w:szCs w:val="36"/>
          <w:rtl/>
        </w:rPr>
        <w:t xml:space="preserve"> مناقشة وتحليل البيان المالي). ويرتهن هذا التقدير بنمط التدفقات النقدية المستقبلية لرسوم الإيداع الدولي بناء على معاهدة التعاون بشأن البراءات فضلاً عن حركات أسعار الصرف بعدما نُشرت </w:t>
      </w:r>
      <w:r w:rsidR="00F232C1">
        <w:rPr>
          <w:rFonts w:ascii="Arabic Typesetting" w:hAnsi="Arabic Typesetting" w:cs="Arabic Typesetting" w:hint="cs"/>
          <w:sz w:val="36"/>
          <w:szCs w:val="36"/>
          <w:rtl/>
        </w:rPr>
        <w:t>أسعار الصرف في الأمم المتحدة</w:t>
      </w:r>
      <w:r w:rsidR="0066435C">
        <w:rPr>
          <w:rFonts w:ascii="Arabic Typesetting" w:hAnsi="Arabic Typesetting" w:cs="Arabic Typesetting" w:hint="cs"/>
          <w:sz w:val="36"/>
          <w:szCs w:val="36"/>
          <w:rtl/>
        </w:rPr>
        <w:t xml:space="preserve"> في 11 مارس 2015.</w:t>
      </w:r>
    </w:p>
    <w:p w14:paraId="45BBBA3E" w14:textId="77777777" w:rsidR="00E16243" w:rsidRPr="002869C3" w:rsidRDefault="00E16243" w:rsidP="00E100D2">
      <w:pPr>
        <w:pStyle w:val="Heading2"/>
        <w:tabs>
          <w:tab w:val="left" w:pos="1417"/>
        </w:tabs>
        <w:bidi/>
        <w:rPr>
          <w:rFonts w:ascii="Arabic Typesetting" w:hAnsi="Arabic Typesetting" w:cs="Arabic Typesetting"/>
          <w:i/>
          <w:iCs w:val="0"/>
          <w:sz w:val="40"/>
          <w:szCs w:val="40"/>
          <w:rtl/>
        </w:rPr>
      </w:pPr>
      <w:bookmarkStart w:id="44" w:name="_الملاحظة_28:_إعداد"/>
      <w:bookmarkStart w:id="45" w:name="_Toc362519125"/>
      <w:bookmarkEnd w:id="44"/>
      <w:r w:rsidRPr="002869C3">
        <w:rPr>
          <w:rFonts w:ascii="Arabic Typesetting" w:hAnsi="Arabic Typesetting" w:cs="Arabic Typesetting" w:hint="cs"/>
          <w:i/>
          <w:iCs w:val="0"/>
          <w:sz w:val="40"/>
          <w:szCs w:val="40"/>
          <w:rtl/>
        </w:rPr>
        <w:t>الملاحظة 2</w:t>
      </w:r>
      <w:r w:rsidR="00891636">
        <w:rPr>
          <w:rFonts w:ascii="Arabic Typesetting" w:hAnsi="Arabic Typesetting" w:cs="Arabic Typesetting" w:hint="cs"/>
          <w:i/>
          <w:iCs w:val="0"/>
          <w:sz w:val="40"/>
          <w:szCs w:val="40"/>
          <w:rtl/>
        </w:rPr>
        <w:t>8</w:t>
      </w:r>
      <w:r w:rsidRPr="002869C3">
        <w:rPr>
          <w:rFonts w:ascii="Arabic Typesetting" w:hAnsi="Arabic Typesetting" w:cs="Arabic Typesetting" w:hint="cs"/>
          <w:i/>
          <w:iCs w:val="0"/>
          <w:sz w:val="40"/>
          <w:szCs w:val="40"/>
          <w:rtl/>
        </w:rPr>
        <w:t>:</w:t>
      </w:r>
      <w:r w:rsidR="00E100D2">
        <w:rPr>
          <w:rFonts w:ascii="Arabic Typesetting" w:hAnsi="Arabic Typesetting" w:cs="Arabic Typesetting"/>
          <w:i/>
          <w:iCs w:val="0"/>
          <w:sz w:val="40"/>
          <w:szCs w:val="40"/>
        </w:rPr>
        <w:tab/>
      </w:r>
      <w:r w:rsidRPr="002869C3">
        <w:rPr>
          <w:rFonts w:ascii="Arabic Typesetting" w:hAnsi="Arabic Typesetting" w:cs="Arabic Typesetting"/>
          <w:i/>
          <w:iCs w:val="0"/>
          <w:sz w:val="40"/>
          <w:szCs w:val="40"/>
          <w:rtl/>
        </w:rPr>
        <w:t>إعداد تقارير القطاعات</w:t>
      </w:r>
      <w:bookmarkEnd w:id="45"/>
    </w:p>
    <w:p w14:paraId="4DE4B3BD" w14:textId="77777777" w:rsidR="00E16243" w:rsidRDefault="00E16243" w:rsidP="00E16243">
      <w:pPr>
        <w:bidi/>
        <w:spacing w:after="240" w:line="360" w:lineRule="exact"/>
        <w:rPr>
          <w:rFonts w:ascii="Arabic Typesetting" w:hAnsi="Arabic Typesetting" w:cs="Arabic Typesetting"/>
          <w:sz w:val="36"/>
          <w:szCs w:val="36"/>
          <w:rtl/>
        </w:rPr>
      </w:pPr>
      <w:r w:rsidRPr="000E0873">
        <w:rPr>
          <w:rFonts w:ascii="Arabic Typesetting" w:hAnsi="Arabic Typesetting" w:cs="Arabic Typesetting" w:hint="cs"/>
          <w:sz w:val="36"/>
          <w:szCs w:val="36"/>
          <w:rtl/>
        </w:rPr>
        <w:t>تُعرض تقارير</w:t>
      </w:r>
      <w:r>
        <w:rPr>
          <w:rFonts w:ascii="Arabic Typesetting" w:hAnsi="Arabic Typesetting" w:cs="Arabic Typesetting" w:hint="cs"/>
          <w:sz w:val="36"/>
          <w:szCs w:val="36"/>
          <w:rtl/>
        </w:rPr>
        <w:t xml:space="preserve"> القطاعات في شكل يمثل مختلف الاتحادات والقطاعات التي تتألف منها المنظمة العالمية للملكية الفكرية. وقد أنشئت الاتحادات بموجب مختلف المعاهدات التي تديرها الويبو.</w:t>
      </w:r>
    </w:p>
    <w:p w14:paraId="59D043FB" w14:textId="6C8DAB5B" w:rsidR="00E16243" w:rsidRDefault="00E16243" w:rsidP="002B3DBD">
      <w:pPr>
        <w:bidi/>
        <w:spacing w:after="240" w:line="360" w:lineRule="exact"/>
        <w:rPr>
          <w:rFonts w:ascii="Arabic Typesetting" w:hAnsi="Arabic Typesetting" w:cs="Arabic Typesetting"/>
          <w:sz w:val="36"/>
          <w:szCs w:val="36"/>
          <w:rtl/>
        </w:rPr>
      </w:pPr>
      <w:r w:rsidRPr="000E0873">
        <w:rPr>
          <w:rFonts w:ascii="Arabic Typesetting" w:hAnsi="Arabic Typesetting" w:cs="Arabic Typesetting" w:hint="cs"/>
          <w:sz w:val="36"/>
          <w:szCs w:val="36"/>
          <w:rtl/>
        </w:rPr>
        <w:t>و</w:t>
      </w:r>
      <w:r w:rsidR="002B3DBD">
        <w:rPr>
          <w:rFonts w:ascii="Arabic Typesetting" w:hAnsi="Arabic Typesetting" w:cs="Arabic Typesetting" w:hint="cs"/>
          <w:sz w:val="36"/>
          <w:szCs w:val="36"/>
          <w:rtl/>
        </w:rPr>
        <w:t>وحِّدت</w:t>
      </w:r>
      <w:r w:rsidRPr="000E0873">
        <w:rPr>
          <w:rFonts w:ascii="Arabic Typesetting" w:hAnsi="Arabic Typesetting" w:cs="Arabic Typesetting" w:hint="cs"/>
          <w:sz w:val="36"/>
          <w:szCs w:val="36"/>
          <w:rtl/>
        </w:rPr>
        <w:t xml:space="preserve"> تقارير اتحادات</w:t>
      </w:r>
      <w:r>
        <w:rPr>
          <w:rFonts w:ascii="Arabic Typesetting" w:hAnsi="Arabic Typesetting" w:cs="Arabic Typesetting" w:hint="cs"/>
          <w:sz w:val="36"/>
          <w:szCs w:val="36"/>
          <w:rtl/>
        </w:rPr>
        <w:t xml:space="preserve"> الويبو الممولة من الاشتراكات لأغراض تتعلق بالتقديم. وتشمل هذه الاتحادات اتحادات باريس وبرن ولوكارنو ونيس </w:t>
      </w:r>
      <w:r w:rsidR="0066435C">
        <w:rPr>
          <w:rFonts w:ascii="Arabic Typesetting" w:hAnsi="Arabic Typesetting" w:cs="Arabic Typesetting" w:hint="cs"/>
          <w:sz w:val="36"/>
          <w:szCs w:val="36"/>
          <w:rtl/>
        </w:rPr>
        <w:t xml:space="preserve">وفيينا </w:t>
      </w:r>
      <w:r w:rsidRPr="0020713E">
        <w:rPr>
          <w:rFonts w:ascii="Arabic Typesetting" w:hAnsi="Arabic Typesetting" w:cs="Arabic Typesetting"/>
          <w:sz w:val="36"/>
          <w:szCs w:val="36"/>
          <w:rtl/>
        </w:rPr>
        <w:t>والتصنيف الدولي للبراءات</w:t>
      </w:r>
      <w:r>
        <w:rPr>
          <w:rFonts w:ascii="Arabic Typesetting" w:hAnsi="Arabic Typesetting" w:cs="Arabic Typesetting" w:hint="cs"/>
          <w:sz w:val="36"/>
          <w:szCs w:val="36"/>
          <w:rtl/>
        </w:rPr>
        <w:t xml:space="preserve"> إلى جانب المهام التي تغطيها اتفاقية الويبو. ويخضع كل من اتحاد معاهدة التعاون بشأن البراءات واتحاد مدريد (العلامات التجارية) واتحاد لاهاي (النماذج والرسوم الصناعية) واتحاد لشبونة (تسميات المنشأ) لجمعية عامة تجتمع سنويا لاعتماد الميزانية واتخاذ إجراءات أخرى حسبما يكون مناسبا بناء على المعاهدات</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المعنية.</w:t>
      </w:r>
    </w:p>
    <w:p w14:paraId="25CCEAB9" w14:textId="77777777" w:rsidR="00E1624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وتملك المنظمة ككل الأصول والخصوم، خلاف الأموال الاحتياطية التي تكون صافي الأصول، وهي مسؤولة عنها، وليس لاتحادات أو قطاعات بعينها أصول أو خصوم. وتدعم الأصول والخصوم عامة عددا كبيرا من الأنشطة التي تقدم الخدمات في إطار الاتحادات المتعددة (القطاعات). ويتعلق الاستثناء الوحيد بالملكية الاستثمارية في ميران الذي ترجع ملكيته إلى اتحاد مدريد. وبناء على ذلك، فإن الأصول والخصوم الفردية لا تذكر عند الكشف عن المعلومات المتعلقة بالقطاعات أو الاتحادات الفردية. ولا تبين القطاعات الفردية إلا صافي الأصول/الممتلكات بما في ذلك صناديق رؤوس الأموال العاملة.</w:t>
      </w:r>
    </w:p>
    <w:p w14:paraId="41557C52" w14:textId="107A2182" w:rsidR="00E16243" w:rsidRDefault="00E16243" w:rsidP="0066435C">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 xml:space="preserve">وتسند معظم الإيرادات في حسابات الويبو بحسب كل اتحاد. ووزعت الإيرادات المحصلة من الفوائد على الاتحادات استنادا إلى مجموع المبالغ الاحتياطية من السيولة والإيرادات المتداولة في سنة </w:t>
      </w:r>
      <w:r w:rsidR="0066435C">
        <w:rPr>
          <w:rFonts w:ascii="Arabic Typesetting" w:hAnsi="Arabic Typesetting" w:cs="Arabic Typesetting" w:hint="cs"/>
          <w:sz w:val="36"/>
          <w:szCs w:val="36"/>
          <w:rtl/>
        </w:rPr>
        <w:t>2014</w:t>
      </w:r>
      <w:r>
        <w:rPr>
          <w:rFonts w:ascii="Arabic Typesetting" w:hAnsi="Arabic Typesetting" w:cs="Arabic Typesetting" w:hint="cs"/>
          <w:sz w:val="36"/>
          <w:szCs w:val="36"/>
          <w:rtl/>
        </w:rPr>
        <w:t xml:space="preserve">. وتقسم المصروفات بحسب كل برنامج ثم يعاد تخصيصها ثانية لفائدة الاتحادات المختلفة استنادا إلى منهجية تحظى بقبول الجمعية العامة للويبو حيث إن هذه العملية جزء من اعتماد برنامج الويبو وميزانيتها للفترة </w:t>
      </w:r>
      <w:r w:rsidR="0066435C">
        <w:rPr>
          <w:rFonts w:ascii="Arabic Typesetting" w:hAnsi="Arabic Typesetting" w:cs="Arabic Typesetting" w:hint="cs"/>
          <w:sz w:val="36"/>
          <w:szCs w:val="36"/>
          <w:rtl/>
        </w:rPr>
        <w:t>15/2014.</w:t>
      </w:r>
    </w:p>
    <w:p w14:paraId="6DF08383" w14:textId="0971943E" w:rsidR="00E55E23" w:rsidRDefault="00E16243" w:rsidP="00E16243">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وخصص جزء منفصل للإسهامات الطوعية وهي أموال تديرها الويبو نيابة عن الجهات المانحة لتنفيذ برامج تتعلق بولاية الويبو. وتحسب الإيرادات والمصروفات المتصلة ب</w:t>
      </w:r>
      <w:r w:rsidR="00FD2528">
        <w:rPr>
          <w:rFonts w:ascii="Arabic Typesetting" w:hAnsi="Arabic Typesetting" w:cs="Arabic Typesetting" w:hint="cs"/>
          <w:sz w:val="36"/>
          <w:szCs w:val="36"/>
          <w:rtl/>
        </w:rPr>
        <w:t>المساهمات</w:t>
      </w:r>
      <w:r>
        <w:rPr>
          <w:rFonts w:ascii="Arabic Typesetting" w:hAnsi="Arabic Typesetting" w:cs="Arabic Typesetting" w:hint="cs"/>
          <w:sz w:val="36"/>
          <w:szCs w:val="36"/>
          <w:rtl/>
        </w:rPr>
        <w:t xml:space="preserve"> الطوعية (حسابات خاصة) بشكل منفصل في نظام المحاسبة</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المالية</w:t>
      </w:r>
    </w:p>
    <w:p w14:paraId="1A3FEF61" w14:textId="6726808C" w:rsidR="00E16243" w:rsidRDefault="00E16243" w:rsidP="00E16243">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وتقسم جميع المصروفات على الاتحادات التي تتشكل منها القطاعات استنادا إلى منهجية التوزيع المعتمدة. وتدون مصروفات قطاع الحسابات الخاصة المتعلقة ب</w:t>
      </w:r>
      <w:r w:rsidR="00FD2528">
        <w:rPr>
          <w:rFonts w:ascii="Arabic Typesetting" w:hAnsi="Arabic Typesetting" w:cs="Arabic Typesetting" w:hint="cs"/>
          <w:sz w:val="36"/>
          <w:szCs w:val="36"/>
          <w:rtl/>
        </w:rPr>
        <w:t>المساهمات</w:t>
      </w:r>
      <w:r>
        <w:rPr>
          <w:rFonts w:ascii="Arabic Typesetting" w:hAnsi="Arabic Typesetting" w:cs="Arabic Typesetting" w:hint="cs"/>
          <w:sz w:val="36"/>
          <w:szCs w:val="36"/>
          <w:rtl/>
        </w:rPr>
        <w:t xml:space="preserve"> الطوعية المقدمة للمنظمة، بوصفها تكاليف متداولة. وتعتبر تكاليف برنامج الدعم التي تكبدتها الاتحادات لدعم الحسابات الخاصة التكاليف الوحيدة المشتركة بين القطاعات. وتمول الحسابات الخاصة تكاليف برنامج الدعم استنادا إلى نسبة مئوية من إجمالي النفقات المباشرة المحددة في الاتفاق المبرم مع الجهة المانحة.</w:t>
      </w:r>
    </w:p>
    <w:p w14:paraId="225531BA" w14:textId="7C5B0126" w:rsidR="00E16243" w:rsidRPr="006918D3" w:rsidRDefault="00E16243" w:rsidP="00E80DAB">
      <w:pPr>
        <w:pStyle w:val="NormalParaAR"/>
        <w:keepNext/>
        <w:rPr>
          <w:b/>
          <w:bCs/>
          <w:rtl/>
        </w:rPr>
      </w:pPr>
      <w:r w:rsidRPr="000E07B7">
        <w:rPr>
          <w:rFonts w:hint="cs"/>
          <w:b/>
          <w:bCs/>
          <w:rtl/>
        </w:rPr>
        <w:lastRenderedPageBreak/>
        <w:t>الإيرادات والمصروفات والاحتياطي بحسب كل قطاع</w:t>
      </w:r>
    </w:p>
    <w:p w14:paraId="396181FD" w14:textId="26ED3C12" w:rsidR="00462FC1" w:rsidRDefault="003E55FC" w:rsidP="001E40F1">
      <w:pPr>
        <w:pStyle w:val="NormalParaAR"/>
        <w:tabs>
          <w:tab w:val="left" w:pos="986"/>
        </w:tabs>
        <w:spacing w:line="240" w:lineRule="auto"/>
        <w:rPr>
          <w:rtl/>
        </w:rPr>
      </w:pPr>
      <w:r w:rsidRPr="003E55FC">
        <w:rPr>
          <w:noProof/>
          <w:rtl/>
        </w:rPr>
        <w:drawing>
          <wp:inline distT="0" distB="0" distL="0" distR="0" wp14:anchorId="4A52A788" wp14:editId="34BF80FF">
            <wp:extent cx="5940425" cy="7350150"/>
            <wp:effectExtent l="0" t="0" r="3175" b="317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940425" cy="7350150"/>
                    </a:xfrm>
                    <a:prstGeom prst="rect">
                      <a:avLst/>
                    </a:prstGeom>
                    <a:noFill/>
                    <a:ln>
                      <a:noFill/>
                    </a:ln>
                  </pic:spPr>
                </pic:pic>
              </a:graphicData>
            </a:graphic>
          </wp:inline>
        </w:drawing>
      </w:r>
    </w:p>
    <w:p w14:paraId="6CC4A372" w14:textId="3A681AB7" w:rsidR="00E16243" w:rsidRDefault="00E16243" w:rsidP="00EA7C27">
      <w:pPr>
        <w:pStyle w:val="NormalParaAR"/>
        <w:tabs>
          <w:tab w:val="left" w:pos="986"/>
        </w:tabs>
        <w:spacing w:after="0" w:line="280" w:lineRule="exact"/>
        <w:rPr>
          <w:rtl/>
          <w:lang w:bidi="ar-EG"/>
        </w:rPr>
      </w:pPr>
      <w:r w:rsidRPr="00EA7C27">
        <w:rPr>
          <w:rFonts w:hint="cs"/>
          <w:sz w:val="28"/>
          <w:szCs w:val="28"/>
          <w:rtl/>
          <w:lang w:bidi="ar-EG"/>
        </w:rPr>
        <w:t>ملحوظة: تولى اتحاد مدريد تمويل مساهمة اتحاد لاهاي في برنامج تحديث التكنولوجيا المعلوماتية لأنظمة لاهاي ومدريد الدولية للتسجيل وقدرها 3 ملايين فرنك سويسري. وسوف يسدد اتحاد لاهاي المبلغ</w:t>
      </w:r>
      <w:r w:rsidR="000D4BE6">
        <w:rPr>
          <w:rFonts w:hint="cs"/>
          <w:sz w:val="28"/>
          <w:szCs w:val="28"/>
          <w:rtl/>
          <w:lang w:bidi="ar-EG"/>
        </w:rPr>
        <w:t xml:space="preserve"> </w:t>
      </w:r>
      <w:r w:rsidRPr="00EA7C27">
        <w:rPr>
          <w:rFonts w:hint="cs"/>
          <w:sz w:val="28"/>
          <w:szCs w:val="28"/>
          <w:rtl/>
          <w:lang w:bidi="ar-EG"/>
        </w:rPr>
        <w:t xml:space="preserve">إلى اتحاد مدريد </w:t>
      </w:r>
      <w:r w:rsidRPr="00EA7C27">
        <w:rPr>
          <w:rFonts w:hint="cs"/>
          <w:sz w:val="28"/>
          <w:szCs w:val="28"/>
          <w:rtl/>
          <w:lang w:bidi="ar"/>
        </w:rPr>
        <w:t>بمجرد أن</w:t>
      </w:r>
      <w:r w:rsidRPr="00EA7C27">
        <w:rPr>
          <w:sz w:val="28"/>
          <w:szCs w:val="28"/>
          <w:rtl/>
          <w:lang w:bidi="ar"/>
        </w:rPr>
        <w:t xml:space="preserve"> يسمح مستوى صندوق الاحتياطي </w:t>
      </w:r>
      <w:r w:rsidRPr="00EA7C27">
        <w:rPr>
          <w:rFonts w:hint="cs"/>
          <w:sz w:val="28"/>
          <w:szCs w:val="28"/>
          <w:rtl/>
          <w:lang w:bidi="ar"/>
        </w:rPr>
        <w:t>ل</w:t>
      </w:r>
      <w:r w:rsidR="00B80194" w:rsidRPr="00EA7C27">
        <w:rPr>
          <w:sz w:val="28"/>
          <w:szCs w:val="28"/>
          <w:rtl/>
          <w:lang w:bidi="ar"/>
        </w:rPr>
        <w:t>اتحاد لاهاي بذلك.</w:t>
      </w:r>
    </w:p>
    <w:p w14:paraId="4EBF32C4" w14:textId="77777777" w:rsidR="006E5D68" w:rsidRDefault="006E5D68" w:rsidP="006E5D68">
      <w:pPr>
        <w:rPr>
          <w:rtl/>
          <w:lang w:bidi="ar-EG"/>
        </w:rPr>
        <w:sectPr w:rsidR="006E5D68" w:rsidSect="00E16243">
          <w:headerReference w:type="even" r:id="rId109"/>
          <w:pgSz w:w="11907" w:h="16840" w:code="9"/>
          <w:pgMar w:top="567" w:right="1418" w:bottom="1418" w:left="1134" w:header="510" w:footer="1021" w:gutter="0"/>
          <w:cols w:space="720"/>
          <w:titlePg/>
          <w:docGrid w:linePitch="299"/>
        </w:sectPr>
      </w:pPr>
    </w:p>
    <w:p w14:paraId="6A887760" w14:textId="77777777" w:rsidR="00E55E23" w:rsidRDefault="00E16243" w:rsidP="001E40F1">
      <w:pPr>
        <w:pStyle w:val="NormalParaAR"/>
        <w:spacing w:after="60" w:line="280" w:lineRule="exact"/>
        <w:jc w:val="center"/>
        <w:outlineLvl w:val="0"/>
        <w:rPr>
          <w:b/>
          <w:bCs/>
          <w:sz w:val="40"/>
          <w:szCs w:val="40"/>
          <w:rtl/>
        </w:rPr>
      </w:pPr>
      <w:bookmarkStart w:id="46" w:name="_Toc362519126"/>
      <w:r w:rsidRPr="002869C3">
        <w:rPr>
          <w:rFonts w:hint="cs"/>
          <w:b/>
          <w:bCs/>
          <w:sz w:val="40"/>
          <w:szCs w:val="40"/>
          <w:rtl/>
        </w:rPr>
        <w:lastRenderedPageBreak/>
        <w:t>المرفق الأول</w:t>
      </w:r>
      <w:bookmarkEnd w:id="46"/>
    </w:p>
    <w:p w14:paraId="13DB41FD" w14:textId="77777777" w:rsidR="00E55E23" w:rsidRDefault="00E16243" w:rsidP="001E40F1">
      <w:pPr>
        <w:pStyle w:val="NormalParaAR"/>
        <w:spacing w:after="60" w:line="280" w:lineRule="exact"/>
        <w:jc w:val="center"/>
        <w:outlineLvl w:val="0"/>
        <w:rPr>
          <w:b/>
          <w:bCs/>
          <w:sz w:val="40"/>
          <w:szCs w:val="40"/>
          <w:rtl/>
        </w:rPr>
      </w:pPr>
      <w:bookmarkStart w:id="47" w:name="_Toc362519127"/>
      <w:r w:rsidRPr="002869C3">
        <w:rPr>
          <w:rFonts w:hint="cs"/>
          <w:b/>
          <w:bCs/>
          <w:sz w:val="40"/>
          <w:szCs w:val="40"/>
          <w:rtl/>
        </w:rPr>
        <w:t xml:space="preserve">بيان الوضع المالي حسب </w:t>
      </w:r>
      <w:r w:rsidR="006D28F1">
        <w:rPr>
          <w:rFonts w:hint="cs"/>
          <w:b/>
          <w:bCs/>
          <w:sz w:val="40"/>
          <w:szCs w:val="40"/>
          <w:rtl/>
        </w:rPr>
        <w:t>مصدر التمويل</w:t>
      </w:r>
      <w:r w:rsidRPr="002869C3">
        <w:rPr>
          <w:rFonts w:hint="cs"/>
          <w:b/>
          <w:bCs/>
          <w:sz w:val="40"/>
          <w:szCs w:val="40"/>
          <w:rtl/>
        </w:rPr>
        <w:t xml:space="preserve"> [غير مراجع]</w:t>
      </w:r>
      <w:bookmarkEnd w:id="47"/>
    </w:p>
    <w:p w14:paraId="74BBFBF6" w14:textId="77777777" w:rsidR="00E55E23" w:rsidRDefault="00E16243" w:rsidP="008B1725">
      <w:pPr>
        <w:pStyle w:val="NormalParaAR"/>
        <w:spacing w:after="0" w:line="280" w:lineRule="exact"/>
        <w:jc w:val="center"/>
        <w:rPr>
          <w:b/>
          <w:bCs/>
          <w:sz w:val="30"/>
          <w:szCs w:val="30"/>
          <w:rtl/>
        </w:rPr>
      </w:pPr>
      <w:r w:rsidRPr="00BA3CBF">
        <w:rPr>
          <w:rFonts w:hint="cs"/>
          <w:b/>
          <w:bCs/>
          <w:sz w:val="30"/>
          <w:szCs w:val="30"/>
          <w:rtl/>
        </w:rPr>
        <w:t xml:space="preserve">في 31 ديسمبر </w:t>
      </w:r>
      <w:r w:rsidR="008B1725">
        <w:rPr>
          <w:rFonts w:hint="cs"/>
          <w:b/>
          <w:bCs/>
          <w:sz w:val="30"/>
          <w:szCs w:val="30"/>
          <w:rtl/>
        </w:rPr>
        <w:t>2014</w:t>
      </w:r>
    </w:p>
    <w:p w14:paraId="2CEBCFCB" w14:textId="5D7F3909" w:rsidR="00E16243" w:rsidRPr="00D04336" w:rsidRDefault="00E16243" w:rsidP="001E40F1">
      <w:pPr>
        <w:pStyle w:val="NormalParaAR"/>
        <w:spacing w:after="60" w:line="280" w:lineRule="exact"/>
        <w:jc w:val="center"/>
        <w:rPr>
          <w:b/>
          <w:bCs/>
          <w:i/>
          <w:iCs/>
          <w:sz w:val="30"/>
          <w:szCs w:val="30"/>
          <w:rtl/>
        </w:rPr>
      </w:pPr>
      <w:r w:rsidRPr="00D04336">
        <w:rPr>
          <w:rFonts w:hint="cs"/>
          <w:b/>
          <w:bCs/>
          <w:i/>
          <w:iCs/>
          <w:sz w:val="30"/>
          <w:szCs w:val="30"/>
          <w:rtl/>
        </w:rPr>
        <w:t>(بآلاف الفرنكات السويسرية)</w:t>
      </w:r>
    </w:p>
    <w:p w14:paraId="6D8F6F4B" w14:textId="7DCEFCE0" w:rsidR="001E40F1" w:rsidRDefault="003E55FC" w:rsidP="001E40F1">
      <w:pPr>
        <w:pStyle w:val="NormalParaAR"/>
        <w:spacing w:after="60" w:line="240" w:lineRule="auto"/>
        <w:jc w:val="center"/>
        <w:rPr>
          <w:b/>
          <w:bCs/>
          <w:sz w:val="30"/>
          <w:szCs w:val="30"/>
          <w:rtl/>
        </w:rPr>
      </w:pPr>
      <w:r w:rsidRPr="003E55FC">
        <w:rPr>
          <w:noProof/>
          <w:rtl/>
        </w:rPr>
        <w:drawing>
          <wp:inline distT="0" distB="0" distL="0" distR="0" wp14:anchorId="6933460A" wp14:editId="4ADA4AA2">
            <wp:extent cx="8304684" cy="4942776"/>
            <wp:effectExtent l="0" t="0" r="127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8307631" cy="4944530"/>
                    </a:xfrm>
                    <a:prstGeom prst="rect">
                      <a:avLst/>
                    </a:prstGeom>
                    <a:noFill/>
                    <a:ln>
                      <a:noFill/>
                    </a:ln>
                  </pic:spPr>
                </pic:pic>
              </a:graphicData>
            </a:graphic>
          </wp:inline>
        </w:drawing>
      </w:r>
    </w:p>
    <w:p w14:paraId="32AD7434" w14:textId="6E11BC85" w:rsidR="00E16243" w:rsidRPr="002869C3" w:rsidRDefault="00E16243" w:rsidP="00E80DAB">
      <w:pPr>
        <w:pStyle w:val="NormalParaAR"/>
        <w:pageBreakBefore/>
        <w:spacing w:after="60"/>
        <w:jc w:val="center"/>
        <w:outlineLvl w:val="0"/>
        <w:rPr>
          <w:b/>
          <w:bCs/>
          <w:sz w:val="40"/>
          <w:szCs w:val="40"/>
          <w:rtl/>
        </w:rPr>
      </w:pPr>
      <w:bookmarkStart w:id="48" w:name="_Toc362519128"/>
      <w:r w:rsidRPr="002869C3">
        <w:rPr>
          <w:rFonts w:hint="cs"/>
          <w:b/>
          <w:bCs/>
          <w:sz w:val="40"/>
          <w:szCs w:val="40"/>
          <w:rtl/>
        </w:rPr>
        <w:lastRenderedPageBreak/>
        <w:t>المرفق الثاني</w:t>
      </w:r>
      <w:bookmarkEnd w:id="48"/>
    </w:p>
    <w:p w14:paraId="434FAE5B" w14:textId="77777777" w:rsidR="00E16243" w:rsidRPr="00881442" w:rsidRDefault="00E16243" w:rsidP="007B7DE8">
      <w:pPr>
        <w:pStyle w:val="NormalParaAR"/>
        <w:spacing w:after="60"/>
        <w:jc w:val="center"/>
        <w:outlineLvl w:val="0"/>
        <w:rPr>
          <w:b/>
          <w:bCs/>
          <w:sz w:val="40"/>
          <w:szCs w:val="40"/>
          <w:highlight w:val="red"/>
          <w:rtl/>
        </w:rPr>
      </w:pPr>
      <w:bookmarkStart w:id="49" w:name="_Toc362519129"/>
      <w:r w:rsidRPr="002869C3">
        <w:rPr>
          <w:rFonts w:hint="cs"/>
          <w:b/>
          <w:bCs/>
          <w:sz w:val="40"/>
          <w:szCs w:val="40"/>
          <w:rtl/>
        </w:rPr>
        <w:t xml:space="preserve">بيان الأداء المالي حسب </w:t>
      </w:r>
      <w:r w:rsidR="007B7DE8">
        <w:rPr>
          <w:rFonts w:hint="cs"/>
          <w:b/>
          <w:bCs/>
          <w:sz w:val="40"/>
          <w:szCs w:val="40"/>
          <w:rtl/>
        </w:rPr>
        <w:t>مصدر التمويل</w:t>
      </w:r>
      <w:r w:rsidRPr="002869C3">
        <w:rPr>
          <w:rFonts w:hint="cs"/>
          <w:b/>
          <w:bCs/>
          <w:sz w:val="40"/>
          <w:szCs w:val="40"/>
          <w:rtl/>
        </w:rPr>
        <w:t xml:space="preserve"> [غير مراجع]</w:t>
      </w:r>
      <w:bookmarkEnd w:id="49"/>
    </w:p>
    <w:p w14:paraId="62E0AD20" w14:textId="53FF3D18" w:rsidR="00E16243" w:rsidRPr="00B331DE" w:rsidRDefault="00E16243" w:rsidP="008B1725">
      <w:pPr>
        <w:pStyle w:val="NormalParaAR"/>
        <w:spacing w:after="0"/>
        <w:jc w:val="center"/>
        <w:rPr>
          <w:b/>
          <w:bCs/>
          <w:sz w:val="30"/>
          <w:szCs w:val="30"/>
          <w:rtl/>
        </w:rPr>
      </w:pPr>
      <w:r w:rsidRPr="00821049">
        <w:rPr>
          <w:rFonts w:hint="cs"/>
          <w:b/>
          <w:bCs/>
          <w:sz w:val="30"/>
          <w:szCs w:val="30"/>
          <w:rtl/>
        </w:rPr>
        <w:t xml:space="preserve">للسنة المنتهية في 31 ديسمبر </w:t>
      </w:r>
      <w:r w:rsidR="008B1725">
        <w:rPr>
          <w:rFonts w:hint="cs"/>
          <w:b/>
          <w:bCs/>
          <w:sz w:val="30"/>
          <w:szCs w:val="30"/>
          <w:rtl/>
        </w:rPr>
        <w:t>2014</w:t>
      </w:r>
    </w:p>
    <w:p w14:paraId="605E9D2F" w14:textId="77777777" w:rsidR="00E16243" w:rsidRPr="00D04336" w:rsidRDefault="00E16243" w:rsidP="00821049">
      <w:pPr>
        <w:pStyle w:val="NormalParaAR"/>
        <w:spacing w:after="60"/>
        <w:jc w:val="center"/>
        <w:rPr>
          <w:b/>
          <w:bCs/>
          <w:i/>
          <w:iCs/>
          <w:sz w:val="30"/>
          <w:szCs w:val="30"/>
          <w:rtl/>
        </w:rPr>
      </w:pPr>
      <w:r w:rsidRPr="00D04336">
        <w:rPr>
          <w:rFonts w:hint="cs"/>
          <w:b/>
          <w:bCs/>
          <w:i/>
          <w:iCs/>
          <w:sz w:val="30"/>
          <w:szCs w:val="30"/>
          <w:rtl/>
        </w:rPr>
        <w:t>(بآلاف الفرنكات السويسرية)</w:t>
      </w:r>
    </w:p>
    <w:p w14:paraId="28C0F7E1" w14:textId="016C8BB5" w:rsidR="001E40F1" w:rsidRPr="00B331DE" w:rsidRDefault="003E55FC" w:rsidP="001E40F1">
      <w:pPr>
        <w:pStyle w:val="NormalParaAR"/>
        <w:spacing w:after="60" w:line="240" w:lineRule="auto"/>
        <w:jc w:val="center"/>
        <w:rPr>
          <w:b/>
          <w:bCs/>
          <w:rtl/>
          <w:lang w:bidi="ar-EG"/>
        </w:rPr>
      </w:pPr>
      <w:r w:rsidRPr="003E55FC">
        <w:rPr>
          <w:noProof/>
          <w:rtl/>
        </w:rPr>
        <w:drawing>
          <wp:inline distT="0" distB="0" distL="0" distR="0" wp14:anchorId="6465DE61" wp14:editId="0921FF54">
            <wp:extent cx="7318376" cy="4641584"/>
            <wp:effectExtent l="0" t="0" r="0" b="698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7324549" cy="4645499"/>
                    </a:xfrm>
                    <a:prstGeom prst="rect">
                      <a:avLst/>
                    </a:prstGeom>
                    <a:noFill/>
                    <a:ln>
                      <a:noFill/>
                    </a:ln>
                  </pic:spPr>
                </pic:pic>
              </a:graphicData>
            </a:graphic>
          </wp:inline>
        </w:drawing>
      </w:r>
    </w:p>
    <w:p w14:paraId="0DF24A7C" w14:textId="784D00FE" w:rsidR="00E16243" w:rsidRPr="002869C3" w:rsidRDefault="00E16243" w:rsidP="00E80DAB">
      <w:pPr>
        <w:pStyle w:val="NormalParaAR"/>
        <w:pageBreakBefore/>
        <w:spacing w:after="0"/>
        <w:jc w:val="center"/>
        <w:outlineLvl w:val="0"/>
        <w:rPr>
          <w:b/>
          <w:bCs/>
          <w:sz w:val="40"/>
          <w:szCs w:val="40"/>
          <w:rtl/>
        </w:rPr>
      </w:pPr>
      <w:bookmarkStart w:id="50" w:name="_Toc362519130"/>
      <w:r w:rsidRPr="002869C3">
        <w:rPr>
          <w:rFonts w:hint="cs"/>
          <w:b/>
          <w:bCs/>
          <w:sz w:val="40"/>
          <w:szCs w:val="40"/>
          <w:rtl/>
        </w:rPr>
        <w:lastRenderedPageBreak/>
        <w:t>المرفق الثالث</w:t>
      </w:r>
      <w:bookmarkEnd w:id="50"/>
    </w:p>
    <w:p w14:paraId="23201F10" w14:textId="77777777" w:rsidR="00E16243" w:rsidRPr="002869C3" w:rsidRDefault="00E16243" w:rsidP="001C719A">
      <w:pPr>
        <w:pStyle w:val="NormalParaAR"/>
        <w:spacing w:after="0"/>
        <w:jc w:val="center"/>
        <w:outlineLvl w:val="0"/>
        <w:rPr>
          <w:b/>
          <w:bCs/>
          <w:sz w:val="40"/>
          <w:szCs w:val="40"/>
          <w:rtl/>
        </w:rPr>
      </w:pPr>
      <w:bookmarkStart w:id="51" w:name="_Toc362519131"/>
      <w:r w:rsidRPr="002869C3">
        <w:rPr>
          <w:rFonts w:hint="cs"/>
          <w:b/>
          <w:bCs/>
          <w:sz w:val="40"/>
          <w:szCs w:val="40"/>
          <w:rtl/>
        </w:rPr>
        <w:t>حسابات خاصة بحسب مساهمة المانحين</w:t>
      </w:r>
      <w:bookmarkEnd w:id="51"/>
    </w:p>
    <w:p w14:paraId="22545C24" w14:textId="52B3BF63" w:rsidR="00E16243" w:rsidRPr="00D04336" w:rsidRDefault="00E16243" w:rsidP="008F036F">
      <w:pPr>
        <w:pStyle w:val="NormalParaAR"/>
        <w:spacing w:after="0"/>
        <w:jc w:val="center"/>
        <w:rPr>
          <w:b/>
          <w:bCs/>
          <w:i/>
          <w:iCs/>
          <w:sz w:val="30"/>
          <w:szCs w:val="30"/>
          <w:lang w:bidi="ar-EG"/>
        </w:rPr>
      </w:pPr>
      <w:r w:rsidRPr="00D04336">
        <w:rPr>
          <w:rFonts w:hint="cs"/>
          <w:b/>
          <w:bCs/>
          <w:i/>
          <w:iCs/>
          <w:sz w:val="30"/>
          <w:szCs w:val="30"/>
          <w:rtl/>
        </w:rPr>
        <w:t>(بالفرنك السويسري)</w:t>
      </w:r>
    </w:p>
    <w:p w14:paraId="195F94D1" w14:textId="58839151" w:rsidR="00F36B7A" w:rsidRDefault="00802468" w:rsidP="001E40F1">
      <w:pPr>
        <w:pStyle w:val="NormalParaAR"/>
        <w:spacing w:after="0" w:line="240" w:lineRule="auto"/>
        <w:rPr>
          <w:rtl/>
        </w:rPr>
      </w:pPr>
      <w:r w:rsidRPr="00802468">
        <w:rPr>
          <w:noProof/>
          <w:rtl/>
        </w:rPr>
        <w:drawing>
          <wp:inline distT="0" distB="0" distL="0" distR="0" wp14:anchorId="3F6D0DAB" wp14:editId="3B9E6FDA">
            <wp:extent cx="9072880" cy="4164442"/>
            <wp:effectExtent l="0" t="0" r="0" b="762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9072880" cy="4164442"/>
                    </a:xfrm>
                    <a:prstGeom prst="rect">
                      <a:avLst/>
                    </a:prstGeom>
                    <a:noFill/>
                    <a:ln>
                      <a:noFill/>
                    </a:ln>
                  </pic:spPr>
                </pic:pic>
              </a:graphicData>
            </a:graphic>
          </wp:inline>
        </w:drawing>
      </w:r>
    </w:p>
    <w:p w14:paraId="02DCD133" w14:textId="07FF04FB" w:rsidR="007A3F74" w:rsidRPr="00371444" w:rsidRDefault="00E16243" w:rsidP="008B1725">
      <w:pPr>
        <w:pStyle w:val="NormalParaAR"/>
        <w:spacing w:after="0" w:line="340" w:lineRule="exact"/>
        <w:rPr>
          <w:sz w:val="28"/>
          <w:szCs w:val="28"/>
          <w:rtl/>
        </w:rPr>
      </w:pPr>
      <w:r w:rsidRPr="00371444">
        <w:rPr>
          <w:rFonts w:hint="cs"/>
          <w:sz w:val="28"/>
          <w:szCs w:val="28"/>
          <w:rtl/>
        </w:rPr>
        <w:t xml:space="preserve">أعد هذا الجدول بما يتفق مع متطلبات الإبلاغ إلى الجهات المانحة في إطار المعايير المحاسبية لمنظومة الأمم المتحدة التي لا تشمل مستحقات النفقات. ولا يشمل هذا الجدول تسويات الأرصدة الختامية في (31 ديسمبر </w:t>
      </w:r>
      <w:r w:rsidR="008B1725">
        <w:rPr>
          <w:rFonts w:hint="cs"/>
          <w:sz w:val="28"/>
          <w:szCs w:val="28"/>
          <w:rtl/>
        </w:rPr>
        <w:t>2014</w:t>
      </w:r>
      <w:r w:rsidRPr="00371444">
        <w:rPr>
          <w:rFonts w:hint="cs"/>
          <w:sz w:val="28"/>
          <w:szCs w:val="28"/>
          <w:rtl/>
        </w:rPr>
        <w:t>) بناء على المعايير</w:t>
      </w:r>
      <w:r w:rsidR="001F4BA6">
        <w:rPr>
          <w:rFonts w:hint="cs"/>
          <w:sz w:val="28"/>
          <w:szCs w:val="28"/>
          <w:rtl/>
        </w:rPr>
        <w:t xml:space="preserve"> المحاسبية الدولية للقطاع العام</w:t>
      </w:r>
      <w:r w:rsidRPr="00371444">
        <w:rPr>
          <w:rFonts w:hint="cs"/>
          <w:sz w:val="28"/>
          <w:szCs w:val="28"/>
          <w:rtl/>
        </w:rPr>
        <w:t xml:space="preserve">، لكنها أُدرجت ضمن المبالغ المستلمة قبل استحقاقها المبينة في الملاحظة 14 (انظر </w:t>
      </w:r>
      <w:r w:rsidR="00E569D6" w:rsidRPr="00371444">
        <w:rPr>
          <w:rFonts w:hint="cs"/>
          <w:sz w:val="28"/>
          <w:szCs w:val="28"/>
          <w:rtl/>
        </w:rPr>
        <w:t>سطر. الإيرادا</w:t>
      </w:r>
      <w:r w:rsidR="00E569D6" w:rsidRPr="00371444">
        <w:rPr>
          <w:rFonts w:hint="eastAsia"/>
          <w:sz w:val="28"/>
          <w:szCs w:val="28"/>
          <w:rtl/>
        </w:rPr>
        <w:t>ت</w:t>
      </w:r>
      <w:r w:rsidRPr="00371444">
        <w:rPr>
          <w:rFonts w:hint="cs"/>
          <w:sz w:val="28"/>
          <w:szCs w:val="28"/>
          <w:rtl/>
        </w:rPr>
        <w:t xml:space="preserve"> غير التبادلية</w:t>
      </w:r>
      <w:r w:rsidRPr="00371444">
        <w:rPr>
          <w:rFonts w:hint="eastAsia"/>
          <w:sz w:val="28"/>
          <w:szCs w:val="28"/>
          <w:rtl/>
        </w:rPr>
        <w:t> </w:t>
      </w:r>
      <w:r w:rsidRPr="00371444">
        <w:rPr>
          <w:rFonts w:hint="cs"/>
          <w:sz w:val="28"/>
          <w:szCs w:val="28"/>
          <w:rtl/>
        </w:rPr>
        <w:t>المؤجلة).</w:t>
      </w:r>
    </w:p>
    <w:p w14:paraId="6C5238A3" w14:textId="77777777" w:rsidR="00B7723B" w:rsidRDefault="00B7723B" w:rsidP="008828D5">
      <w:pPr>
        <w:pStyle w:val="NormalParaAR"/>
        <w:spacing w:after="60"/>
        <w:jc w:val="center"/>
        <w:outlineLvl w:val="0"/>
        <w:rPr>
          <w:rtl/>
        </w:rPr>
        <w:sectPr w:rsidR="00B7723B" w:rsidSect="00635449">
          <w:headerReference w:type="first" r:id="rId113"/>
          <w:pgSz w:w="16840" w:h="11907" w:orient="landscape" w:code="9"/>
          <w:pgMar w:top="1134" w:right="1418" w:bottom="851" w:left="1134" w:header="510" w:footer="1021" w:gutter="0"/>
          <w:cols w:space="720"/>
          <w:titlePg/>
          <w:docGrid w:linePitch="299"/>
        </w:sectPr>
      </w:pPr>
    </w:p>
    <w:p w14:paraId="178213F6" w14:textId="77777777" w:rsidR="00E55E23" w:rsidRDefault="008828D5" w:rsidP="00D04336">
      <w:pPr>
        <w:pStyle w:val="NormalParaAR"/>
        <w:pageBreakBefore/>
        <w:jc w:val="center"/>
        <w:outlineLvl w:val="0"/>
        <w:rPr>
          <w:b/>
          <w:bCs/>
          <w:sz w:val="40"/>
          <w:szCs w:val="40"/>
          <w:rtl/>
        </w:rPr>
      </w:pPr>
      <w:bookmarkStart w:id="52" w:name="Annex4"/>
      <w:r w:rsidRPr="002869C3">
        <w:rPr>
          <w:rFonts w:hint="cs"/>
          <w:b/>
          <w:bCs/>
          <w:sz w:val="40"/>
          <w:szCs w:val="40"/>
          <w:rtl/>
        </w:rPr>
        <w:lastRenderedPageBreak/>
        <w:t xml:space="preserve">المرفق </w:t>
      </w:r>
      <w:r>
        <w:rPr>
          <w:rFonts w:hint="cs"/>
          <w:b/>
          <w:bCs/>
          <w:sz w:val="40"/>
          <w:szCs w:val="40"/>
          <w:rtl/>
        </w:rPr>
        <w:t>الرابع</w:t>
      </w:r>
    </w:p>
    <w:bookmarkEnd w:id="52"/>
    <w:p w14:paraId="30564ED1" w14:textId="77777777" w:rsidR="00E55E23" w:rsidRDefault="00B7723B" w:rsidP="00D04336">
      <w:pPr>
        <w:pStyle w:val="NormalParaAR"/>
        <w:jc w:val="center"/>
        <w:outlineLvl w:val="0"/>
        <w:rPr>
          <w:b/>
          <w:bCs/>
          <w:sz w:val="40"/>
          <w:szCs w:val="40"/>
          <w:rtl/>
        </w:rPr>
      </w:pPr>
      <w:r>
        <w:rPr>
          <w:rFonts w:hint="cs"/>
          <w:b/>
          <w:bCs/>
          <w:sz w:val="40"/>
          <w:szCs w:val="40"/>
          <w:rtl/>
        </w:rPr>
        <w:t>الإكراميات المدفوعة من الويبو</w:t>
      </w:r>
    </w:p>
    <w:p w14:paraId="5AA83810" w14:textId="5DE1891F" w:rsidR="006C41ED" w:rsidRDefault="00A70311" w:rsidP="00FA2A2E">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تنص المادة 10.5 من النظام المالي على أنه يجب </w:t>
      </w:r>
      <w:r w:rsidR="00FA2A2E" w:rsidRPr="00FA2A2E">
        <w:rPr>
          <w:rFonts w:ascii="Arabic Typesetting" w:hAnsi="Arabic Typesetting" w:cs="Arabic Typesetting"/>
          <w:sz w:val="36"/>
          <w:szCs w:val="36"/>
          <w:rtl/>
        </w:rPr>
        <w:t xml:space="preserve">إدراج بيان موجز </w:t>
      </w:r>
      <w:r w:rsidR="00FA2A2E">
        <w:rPr>
          <w:rFonts w:ascii="Arabic Typesetting" w:hAnsi="Arabic Typesetting" w:cs="Arabic Typesetting" w:hint="cs"/>
          <w:sz w:val="36"/>
          <w:szCs w:val="36"/>
          <w:rtl/>
        </w:rPr>
        <w:t>ب</w:t>
      </w:r>
      <w:r w:rsidR="00FA2A2E" w:rsidRPr="00FA2A2E">
        <w:rPr>
          <w:rFonts w:ascii="Arabic Typesetting" w:hAnsi="Arabic Typesetting" w:cs="Arabic Typesetting"/>
          <w:sz w:val="36"/>
          <w:szCs w:val="36"/>
          <w:rtl/>
        </w:rPr>
        <w:t xml:space="preserve">مدفوعات </w:t>
      </w:r>
      <w:r w:rsidR="00FA2A2E">
        <w:rPr>
          <w:rFonts w:ascii="Arabic Typesetting" w:hAnsi="Arabic Typesetting" w:cs="Arabic Typesetting" w:hint="cs"/>
          <w:sz w:val="36"/>
          <w:szCs w:val="36"/>
          <w:rtl/>
        </w:rPr>
        <w:t xml:space="preserve">الإكراميات للسنة التقويمية </w:t>
      </w:r>
      <w:r w:rsidR="00FA2A2E" w:rsidRPr="00FA2A2E">
        <w:rPr>
          <w:rFonts w:ascii="Arabic Typesetting" w:hAnsi="Arabic Typesetting" w:cs="Arabic Typesetting"/>
          <w:sz w:val="36"/>
          <w:szCs w:val="36"/>
          <w:rtl/>
        </w:rPr>
        <w:t>في بيانات المنظمة المالية.</w:t>
      </w:r>
    </w:p>
    <w:p w14:paraId="29876EBB" w14:textId="31B1D53C" w:rsidR="008B1725" w:rsidRDefault="00FA2A2E" w:rsidP="008B1725">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 xml:space="preserve">وقد </w:t>
      </w:r>
      <w:r w:rsidR="008B1725">
        <w:rPr>
          <w:rFonts w:ascii="Arabic Typesetting" w:hAnsi="Arabic Typesetting" w:cs="Arabic Typesetting" w:hint="cs"/>
          <w:sz w:val="36"/>
          <w:szCs w:val="36"/>
          <w:rtl/>
        </w:rPr>
        <w:t>قيدت</w:t>
      </w:r>
      <w:r w:rsidR="00023DA6">
        <w:rPr>
          <w:rFonts w:ascii="Arabic Typesetting" w:hAnsi="Arabic Typesetting" w:cs="Arabic Typesetting" w:hint="cs"/>
          <w:sz w:val="36"/>
          <w:szCs w:val="36"/>
          <w:rtl/>
        </w:rPr>
        <w:t xml:space="preserve"> المنظمة خلال السنة الم</w:t>
      </w:r>
      <w:r w:rsidR="005D0083">
        <w:rPr>
          <w:rFonts w:ascii="Arabic Typesetting" w:hAnsi="Arabic Typesetting" w:cs="Arabic Typesetting" w:hint="cs"/>
          <w:sz w:val="36"/>
          <w:szCs w:val="36"/>
          <w:rtl/>
        </w:rPr>
        <w:t>ن</w:t>
      </w:r>
      <w:r w:rsidR="00023DA6">
        <w:rPr>
          <w:rFonts w:ascii="Arabic Typesetting" w:hAnsi="Arabic Typesetting" w:cs="Arabic Typesetting" w:hint="cs"/>
          <w:sz w:val="36"/>
          <w:szCs w:val="36"/>
          <w:rtl/>
        </w:rPr>
        <w:t xml:space="preserve">تهية في 31 ديسمبر </w:t>
      </w:r>
      <w:r w:rsidR="008B1725">
        <w:rPr>
          <w:rFonts w:ascii="Arabic Typesetting" w:hAnsi="Arabic Typesetting" w:cs="Arabic Typesetting" w:hint="cs"/>
          <w:sz w:val="36"/>
          <w:szCs w:val="36"/>
          <w:rtl/>
        </w:rPr>
        <w:t>2014</w:t>
      </w:r>
      <w:r w:rsidR="00023DA6">
        <w:rPr>
          <w:rFonts w:ascii="Arabic Typesetting" w:hAnsi="Arabic Typesetting" w:cs="Arabic Typesetting" w:hint="cs"/>
          <w:sz w:val="36"/>
          <w:szCs w:val="36"/>
          <w:rtl/>
        </w:rPr>
        <w:t xml:space="preserve"> إكرامية واحدة. وكانت قيمة هذه الإكرامية </w:t>
      </w:r>
      <w:r w:rsidR="008B1725">
        <w:rPr>
          <w:rFonts w:ascii="Arabic Typesetting" w:hAnsi="Arabic Typesetting" w:cs="Arabic Typesetting" w:hint="cs"/>
          <w:sz w:val="36"/>
          <w:szCs w:val="36"/>
          <w:rtl/>
        </w:rPr>
        <w:t>500 12 فرنك سويسري</w:t>
      </w:r>
      <w:r w:rsidR="00023DA6">
        <w:rPr>
          <w:rFonts w:ascii="Arabic Typesetting" w:hAnsi="Arabic Typesetting" w:cs="Arabic Typesetting" w:hint="cs"/>
          <w:sz w:val="36"/>
          <w:szCs w:val="36"/>
          <w:rtl/>
        </w:rPr>
        <w:t xml:space="preserve"> وقدمت</w:t>
      </w:r>
      <w:r w:rsidR="008B1725">
        <w:rPr>
          <w:rFonts w:ascii="Arabic Typesetting" w:hAnsi="Arabic Typesetting" w:cs="Arabic Typesetting" w:hint="cs"/>
          <w:sz w:val="36"/>
          <w:szCs w:val="36"/>
          <w:rtl/>
        </w:rPr>
        <w:t xml:space="preserve"> في أوائل عام 2015 إلى مدير عام سابق للمنظمة كتسديد لشهرين من تكاليف التأجير التي تكبدها بعد انتهاء ولايته.</w:t>
      </w:r>
    </w:p>
    <w:p w14:paraId="5BF40223" w14:textId="68A644FB" w:rsidR="006C41ED" w:rsidRPr="00F11875" w:rsidRDefault="006C41ED" w:rsidP="00F11875">
      <w:pPr>
        <w:pStyle w:val="EndofDocumentAR"/>
        <w:rPr>
          <w:rtl/>
        </w:rPr>
      </w:pPr>
      <w:r w:rsidRPr="00F11875">
        <w:rPr>
          <w:rFonts w:hint="cs"/>
          <w:rtl/>
        </w:rPr>
        <w:t>[نهاية الوثيقة]</w:t>
      </w:r>
    </w:p>
    <w:sectPr w:rsidR="006C41ED" w:rsidRPr="00F11875" w:rsidSect="00B7723B">
      <w:pgSz w:w="11907" w:h="16840" w:code="9"/>
      <w:pgMar w:top="1418" w:right="851" w:bottom="1134"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336B3" w14:textId="77777777" w:rsidR="003A2A5D" w:rsidRDefault="003A2A5D">
      <w:r>
        <w:separator/>
      </w:r>
    </w:p>
  </w:endnote>
  <w:endnote w:type="continuationSeparator" w:id="0">
    <w:p w14:paraId="79933461" w14:textId="77777777" w:rsidR="003A2A5D" w:rsidRDefault="003A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16125" w14:textId="77777777" w:rsidR="004F3209" w:rsidRDefault="004F32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8403C" w14:textId="77777777" w:rsidR="004F3209" w:rsidRPr="001C719A" w:rsidRDefault="004F3209" w:rsidP="001C71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0075F" w14:textId="77777777" w:rsidR="004F3209" w:rsidRDefault="004F3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232EC" w14:textId="77777777" w:rsidR="003A2A5D" w:rsidRDefault="003A2A5D" w:rsidP="009622BF">
      <w:pPr>
        <w:bidi/>
      </w:pPr>
      <w:bookmarkStart w:id="0" w:name="OLE_LINK1"/>
      <w:bookmarkStart w:id="1" w:name="OLE_LINK2"/>
      <w:r>
        <w:separator/>
      </w:r>
      <w:bookmarkEnd w:id="0"/>
      <w:bookmarkEnd w:id="1"/>
    </w:p>
  </w:footnote>
  <w:footnote w:type="continuationSeparator" w:id="0">
    <w:p w14:paraId="1D6E8619" w14:textId="77777777" w:rsidR="003A2A5D" w:rsidRDefault="003A2A5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329C4" w14:textId="77777777" w:rsidR="004F3209" w:rsidRPr="00DE6439" w:rsidRDefault="004F3209" w:rsidP="00DE6439">
    <w:pPr>
      <w:pStyle w:val="Header"/>
      <w:rPr>
        <w:rStyle w:val="PageNumber"/>
        <w:szCs w:val="22"/>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A184A" w14:textId="77777777" w:rsidR="004F3209" w:rsidRPr="00C13126" w:rsidRDefault="004F3209" w:rsidP="000513E1">
    <w:pPr>
      <w:pStyle w:val="Header"/>
      <w:tabs>
        <w:tab w:val="clear" w:pos="4536"/>
        <w:tab w:val="clear" w:pos="9072"/>
      </w:tabs>
      <w:bidi/>
      <w:ind w:left="4" w:right="220"/>
      <w:jc w:val="right"/>
      <w:rPr>
        <w:rFonts w:ascii="Arabic Typesetting" w:hAnsi="Arabic Typesetting" w:cs="Arabic Typesetting"/>
        <w:b/>
        <w:bCs/>
        <w:sz w:val="36"/>
        <w:szCs w:val="36"/>
        <w:rtl/>
        <w:lang w:val="fr-CH" w:bidi="ar-LB"/>
      </w:rPr>
    </w:pPr>
    <w:r w:rsidRPr="00C13126">
      <w:rPr>
        <w:rFonts w:ascii="Arabic Typesetting" w:hAnsi="Arabic Typesetting" w:cs="Arabic Typesetting"/>
        <w:b/>
        <w:bCs/>
        <w:sz w:val="36"/>
        <w:szCs w:val="36"/>
        <w:rtl/>
        <w:lang w:val="fr-CH" w:bidi="ar-LB"/>
      </w:rPr>
      <w:t xml:space="preserve">التقرير المالي السنوي والبيانات المالية السنوية لعام </w:t>
    </w:r>
    <w:r w:rsidRPr="00C13126">
      <w:rPr>
        <w:rFonts w:ascii="Arabic Typesetting" w:hAnsi="Arabic Typesetting" w:cs="Arabic Typesetting" w:hint="cs"/>
        <w:b/>
        <w:bCs/>
        <w:sz w:val="36"/>
        <w:szCs w:val="36"/>
        <w:rtl/>
        <w:lang w:val="fr-CH" w:bidi="ar-LB"/>
      </w:rPr>
      <w:t>2014</w:t>
    </w:r>
  </w:p>
  <w:p w14:paraId="5242CCE9" w14:textId="77777777" w:rsidR="004F3209" w:rsidRPr="00703B34" w:rsidRDefault="004F3209" w:rsidP="00B96BDF">
    <w:pPr>
      <w:pStyle w:val="Header"/>
      <w:tabs>
        <w:tab w:val="clear" w:pos="9072"/>
      </w:tabs>
      <w:bidi/>
      <w:spacing w:after="120"/>
      <w:ind w:right="181"/>
      <w:jc w:val="right"/>
      <w:rPr>
        <w:rStyle w:val="PageNumber"/>
        <w:b/>
        <w:bCs/>
        <w:szCs w:val="22"/>
        <w:rtl/>
      </w:rPr>
    </w:pPr>
    <w:r w:rsidRPr="00703B34">
      <w:rPr>
        <w:rStyle w:val="PageNumber"/>
        <w:b/>
        <w:bCs/>
        <w:szCs w:val="22"/>
      </w:rPr>
      <w:fldChar w:fldCharType="begin"/>
    </w:r>
    <w:r w:rsidRPr="00703B34">
      <w:rPr>
        <w:rStyle w:val="PageNumber"/>
        <w:b/>
        <w:bCs/>
        <w:szCs w:val="22"/>
      </w:rPr>
      <w:instrText xml:space="preserve"> PAGE </w:instrText>
    </w:r>
    <w:r w:rsidRPr="00703B34">
      <w:rPr>
        <w:rStyle w:val="PageNumber"/>
        <w:b/>
        <w:bCs/>
        <w:szCs w:val="22"/>
      </w:rPr>
      <w:fldChar w:fldCharType="separate"/>
    </w:r>
    <w:r w:rsidR="00FE33A4">
      <w:rPr>
        <w:rStyle w:val="PageNumber"/>
        <w:b/>
        <w:bCs/>
        <w:noProof/>
        <w:szCs w:val="22"/>
      </w:rPr>
      <w:t>81</w:t>
    </w:r>
    <w:r w:rsidRPr="00703B34">
      <w:rPr>
        <w:rStyle w:val="PageNumber"/>
        <w:b/>
        <w:bCs/>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93139" w14:textId="77777777" w:rsidR="004F3209" w:rsidRPr="006A1C20" w:rsidRDefault="004F3209" w:rsidP="006A1C20">
    <w:pPr>
      <w:pStyle w:val="Header"/>
      <w:rPr>
        <w:rStyle w:val="PageNumber"/>
        <w:szCs w:val="22"/>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EED82" w14:textId="77777777" w:rsidR="004F3209" w:rsidRPr="00C13126" w:rsidRDefault="004F3209" w:rsidP="0089059B">
    <w:pPr>
      <w:pStyle w:val="Header"/>
      <w:tabs>
        <w:tab w:val="clear" w:pos="4536"/>
        <w:tab w:val="clear" w:pos="9072"/>
      </w:tabs>
      <w:ind w:left="4" w:right="220"/>
      <w:rPr>
        <w:rFonts w:ascii="Arabic Typesetting" w:hAnsi="Arabic Typesetting" w:cs="Arabic Typesetting"/>
        <w:b/>
        <w:bCs/>
        <w:sz w:val="36"/>
        <w:szCs w:val="36"/>
        <w:rtl/>
        <w:lang w:val="fr-CH" w:bidi="ar-LB"/>
      </w:rPr>
    </w:pPr>
    <w:r w:rsidRPr="00C13126">
      <w:rPr>
        <w:rFonts w:ascii="Arabic Typesetting" w:hAnsi="Arabic Typesetting" w:cs="Arabic Typesetting"/>
        <w:b/>
        <w:bCs/>
        <w:sz w:val="36"/>
        <w:szCs w:val="36"/>
        <w:rtl/>
        <w:lang w:val="fr-CH" w:bidi="ar-LB"/>
      </w:rPr>
      <w:t xml:space="preserve">التقرير المالي السنوي والبيانات المالية السنوية لعام </w:t>
    </w:r>
    <w:r w:rsidRPr="00C13126">
      <w:rPr>
        <w:rFonts w:ascii="Arabic Typesetting" w:hAnsi="Arabic Typesetting" w:cs="Arabic Typesetting" w:hint="cs"/>
        <w:b/>
        <w:bCs/>
        <w:sz w:val="36"/>
        <w:szCs w:val="36"/>
        <w:rtl/>
        <w:lang w:val="fr-CH" w:bidi="ar-LB"/>
      </w:rPr>
      <w:t>2014</w:t>
    </w:r>
  </w:p>
  <w:p w14:paraId="321A7B67" w14:textId="77777777" w:rsidR="004F3209" w:rsidRPr="00703B34" w:rsidRDefault="004F3209" w:rsidP="0060590E">
    <w:pPr>
      <w:pStyle w:val="Header"/>
      <w:bidi/>
      <w:spacing w:after="120"/>
      <w:jc w:val="right"/>
      <w:rPr>
        <w:rStyle w:val="PageNumber"/>
        <w:b/>
        <w:bCs/>
        <w:szCs w:val="22"/>
        <w:rtl/>
      </w:rPr>
    </w:pPr>
    <w:r w:rsidRPr="00703B34">
      <w:rPr>
        <w:rStyle w:val="PageNumber"/>
        <w:b/>
        <w:bCs/>
        <w:szCs w:val="22"/>
      </w:rPr>
      <w:fldChar w:fldCharType="begin"/>
    </w:r>
    <w:r w:rsidRPr="00703B34">
      <w:rPr>
        <w:rStyle w:val="PageNumber"/>
        <w:b/>
        <w:bCs/>
        <w:szCs w:val="22"/>
      </w:rPr>
      <w:instrText xml:space="preserve"> PAGE </w:instrText>
    </w:r>
    <w:r w:rsidRPr="00703B34">
      <w:rPr>
        <w:rStyle w:val="PageNumber"/>
        <w:b/>
        <w:bCs/>
        <w:szCs w:val="22"/>
      </w:rPr>
      <w:fldChar w:fldCharType="separate"/>
    </w:r>
    <w:r w:rsidR="00FE33A4">
      <w:rPr>
        <w:rStyle w:val="PageNumber"/>
        <w:b/>
        <w:bCs/>
        <w:noProof/>
        <w:szCs w:val="22"/>
      </w:rPr>
      <w:t>48</w:t>
    </w:r>
    <w:r w:rsidRPr="00703B34">
      <w:rPr>
        <w:rStyle w:val="PageNumber"/>
        <w:b/>
        <w:bCs/>
        <w:szCs w:val="22"/>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0DC17" w14:textId="77777777" w:rsidR="004F3209" w:rsidRDefault="004F3209" w:rsidP="00877447">
    <w:pPr>
      <w:pStyle w:val="Header"/>
      <w:bidi/>
      <w:rPr>
        <w:rStyle w:val="PageNumber"/>
        <w:szCs w:val="22"/>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03393268"/>
      <w:docPartObj>
        <w:docPartGallery w:val="Page Numbers (Top of Page)"/>
        <w:docPartUnique/>
      </w:docPartObj>
    </w:sdtPr>
    <w:sdtEndPr>
      <w:rPr>
        <w:b/>
        <w:bCs/>
        <w:noProof/>
        <w:rtl w:val="0"/>
      </w:rPr>
    </w:sdtEndPr>
    <w:sdtContent>
      <w:p w14:paraId="6301C03D" w14:textId="77777777" w:rsidR="004F3209" w:rsidRPr="00CB5BDF" w:rsidRDefault="004F3209" w:rsidP="00CB5BDF">
        <w:pPr>
          <w:pStyle w:val="Header"/>
          <w:bidi/>
          <w:jc w:val="right"/>
          <w:rPr>
            <w:rFonts w:ascii="Arabic Typesetting" w:hAnsi="Arabic Typesetting" w:cs="Arabic Typesetting"/>
            <w:b/>
            <w:bCs/>
            <w:sz w:val="36"/>
            <w:szCs w:val="36"/>
            <w:rtl/>
            <w:lang w:bidi="ar-LB"/>
          </w:rPr>
        </w:pPr>
        <w:r w:rsidRPr="00CB5BDF">
          <w:rPr>
            <w:rFonts w:ascii="Arabic Typesetting" w:hAnsi="Arabic Typesetting" w:cs="Arabic Typesetting"/>
            <w:b/>
            <w:bCs/>
            <w:sz w:val="36"/>
            <w:szCs w:val="36"/>
            <w:rtl/>
            <w:lang w:bidi="ar-LB"/>
          </w:rPr>
          <w:t>التقرير المالي السنوي والبيانات المالية السنوية لعام 2014</w:t>
        </w:r>
      </w:p>
      <w:p w14:paraId="37E6ACF4" w14:textId="0057F9B6" w:rsidR="004F3209" w:rsidRPr="00703B34" w:rsidRDefault="004F3209" w:rsidP="00CB5BDF">
        <w:pPr>
          <w:pStyle w:val="Header"/>
          <w:rPr>
            <w:b/>
            <w:bCs/>
          </w:rPr>
        </w:pPr>
        <w:r w:rsidRPr="00703B34">
          <w:rPr>
            <w:b/>
            <w:bCs/>
          </w:rPr>
          <w:fldChar w:fldCharType="begin"/>
        </w:r>
        <w:r w:rsidRPr="00703B34">
          <w:rPr>
            <w:b/>
            <w:bCs/>
          </w:rPr>
          <w:instrText xml:space="preserve"> PAGE   \* MERGEFORMAT </w:instrText>
        </w:r>
        <w:r w:rsidRPr="00703B34">
          <w:rPr>
            <w:b/>
            <w:bCs/>
          </w:rPr>
          <w:fldChar w:fldCharType="separate"/>
        </w:r>
        <w:r w:rsidR="00FE33A4">
          <w:rPr>
            <w:b/>
            <w:bCs/>
            <w:noProof/>
          </w:rPr>
          <w:t>2</w:t>
        </w:r>
        <w:r w:rsidRPr="00703B34">
          <w:rPr>
            <w:b/>
            <w:bCs/>
            <w:noProof/>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8B01E" w14:textId="77777777" w:rsidR="004F3209" w:rsidRPr="00016D4A" w:rsidRDefault="004F3209" w:rsidP="00016D4A">
    <w:pPr>
      <w:pStyle w:val="Header"/>
      <w:tabs>
        <w:tab w:val="clear" w:pos="4536"/>
        <w:tab w:val="clear" w:pos="9072"/>
      </w:tabs>
      <w:bidi/>
      <w:ind w:left="4" w:right="220"/>
      <w:jc w:val="right"/>
      <w:rPr>
        <w:rFonts w:ascii="Arabic Typesetting" w:hAnsi="Arabic Typesetting" w:cs="Arabic Typesetting"/>
        <w:b/>
        <w:bCs/>
        <w:sz w:val="36"/>
        <w:szCs w:val="36"/>
        <w:rtl/>
        <w:lang w:val="fr-CH" w:bidi="ar-LB"/>
      </w:rPr>
    </w:pPr>
    <w:r w:rsidRPr="00016D4A">
      <w:rPr>
        <w:rFonts w:ascii="Arabic Typesetting" w:hAnsi="Arabic Typesetting" w:cs="Arabic Typesetting"/>
        <w:b/>
        <w:bCs/>
        <w:sz w:val="36"/>
        <w:szCs w:val="36"/>
        <w:rtl/>
        <w:lang w:val="fr-CH" w:bidi="ar-LB"/>
      </w:rPr>
      <w:t>التقرير المالي السنوي والبيانات المالية السنوية لعام 2012</w:t>
    </w:r>
  </w:p>
  <w:p w14:paraId="01091D22" w14:textId="77777777" w:rsidR="004F3209" w:rsidRPr="00703B34" w:rsidRDefault="004F3209" w:rsidP="00016D4A">
    <w:pPr>
      <w:pStyle w:val="Header"/>
      <w:tabs>
        <w:tab w:val="clear" w:pos="9072"/>
      </w:tabs>
      <w:bidi/>
      <w:ind w:right="142"/>
      <w:jc w:val="right"/>
      <w:rPr>
        <w:rStyle w:val="PageNumber"/>
        <w:b/>
        <w:bCs/>
        <w:szCs w:val="22"/>
        <w:rtl/>
      </w:rPr>
    </w:pPr>
    <w:r w:rsidRPr="00703B34">
      <w:rPr>
        <w:rStyle w:val="PageNumber"/>
        <w:b/>
        <w:bCs/>
        <w:szCs w:val="22"/>
      </w:rPr>
      <w:fldChar w:fldCharType="begin"/>
    </w:r>
    <w:r w:rsidRPr="00703B34">
      <w:rPr>
        <w:rStyle w:val="PageNumber"/>
        <w:b/>
        <w:bCs/>
        <w:szCs w:val="22"/>
      </w:rPr>
      <w:instrText xml:space="preserve"> PAGE </w:instrText>
    </w:r>
    <w:r w:rsidRPr="00703B34">
      <w:rPr>
        <w:rStyle w:val="PageNumber"/>
        <w:b/>
        <w:bCs/>
        <w:szCs w:val="22"/>
      </w:rPr>
      <w:fldChar w:fldCharType="separate"/>
    </w:r>
    <w:r w:rsidR="00FE33A4">
      <w:rPr>
        <w:rStyle w:val="PageNumber"/>
        <w:b/>
        <w:bCs/>
        <w:noProof/>
        <w:szCs w:val="22"/>
      </w:rPr>
      <w:t>50</w:t>
    </w:r>
    <w:r w:rsidRPr="00703B34">
      <w:rPr>
        <w:rStyle w:val="PageNumber"/>
        <w:b/>
        <w:bCs/>
        <w:szCs w:val="2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804BE" w14:textId="1684C6E9" w:rsidR="004F3209" w:rsidRPr="00F561E2" w:rsidRDefault="004F3209" w:rsidP="00527992">
    <w:pPr>
      <w:pStyle w:val="Header"/>
      <w:tabs>
        <w:tab w:val="clear" w:pos="4536"/>
        <w:tab w:val="clear" w:pos="9072"/>
        <w:tab w:val="right" w:pos="14288"/>
      </w:tabs>
      <w:bidi/>
      <w:ind w:left="4"/>
      <w:jc w:val="right"/>
      <w:rPr>
        <w:rFonts w:ascii="Arabic Typesetting" w:hAnsi="Arabic Typesetting" w:cs="Arabic Typesetting"/>
        <w:b/>
        <w:bCs/>
        <w:sz w:val="36"/>
        <w:szCs w:val="36"/>
        <w:rtl/>
        <w:lang w:val="fr-CH" w:bidi="ar-LB"/>
      </w:rPr>
    </w:pPr>
    <w:r w:rsidRPr="00F561E2">
      <w:rPr>
        <w:rFonts w:ascii="Arabic Typesetting" w:hAnsi="Arabic Typesetting" w:cs="Arabic Typesetting" w:hint="cs"/>
        <w:b/>
        <w:bCs/>
        <w:sz w:val="36"/>
        <w:szCs w:val="36"/>
        <w:rtl/>
        <w:lang w:val="fr-CH" w:bidi="ar-LB"/>
      </w:rPr>
      <w:t>التقرير المالي السنوي والبيانات المالية لسنة 201</w:t>
    </w:r>
    <w:r>
      <w:rPr>
        <w:rFonts w:ascii="Arabic Typesetting" w:hAnsi="Arabic Typesetting" w:cs="Arabic Typesetting" w:hint="cs"/>
        <w:b/>
        <w:bCs/>
        <w:sz w:val="36"/>
        <w:szCs w:val="36"/>
        <w:rtl/>
        <w:lang w:val="fr-CH" w:bidi="ar-LB"/>
      </w:rPr>
      <w:t>4</w:t>
    </w:r>
  </w:p>
  <w:p w14:paraId="535AE775" w14:textId="77777777" w:rsidR="004F3209" w:rsidRPr="00081A3D" w:rsidRDefault="004F3209" w:rsidP="00F561E2">
    <w:pPr>
      <w:pStyle w:val="Header"/>
      <w:bidi/>
      <w:jc w:val="right"/>
      <w:rPr>
        <w:rStyle w:val="PageNumber"/>
        <w:b/>
        <w:bCs/>
        <w:szCs w:val="22"/>
        <w:rtl/>
      </w:rPr>
    </w:pPr>
    <w:r w:rsidRPr="00081A3D">
      <w:rPr>
        <w:rStyle w:val="PageNumber"/>
        <w:b/>
        <w:bCs/>
        <w:szCs w:val="22"/>
      </w:rPr>
      <w:fldChar w:fldCharType="begin"/>
    </w:r>
    <w:r w:rsidRPr="00081A3D">
      <w:rPr>
        <w:rStyle w:val="PageNumber"/>
        <w:b/>
        <w:bCs/>
        <w:szCs w:val="22"/>
      </w:rPr>
      <w:instrText xml:space="preserve"> PAGE </w:instrText>
    </w:r>
    <w:r w:rsidRPr="00081A3D">
      <w:rPr>
        <w:rStyle w:val="PageNumber"/>
        <w:b/>
        <w:bCs/>
        <w:szCs w:val="22"/>
      </w:rPr>
      <w:fldChar w:fldCharType="separate"/>
    </w:r>
    <w:r w:rsidR="00FE33A4">
      <w:rPr>
        <w:rStyle w:val="PageNumber"/>
        <w:b/>
        <w:bCs/>
        <w:noProof/>
        <w:szCs w:val="22"/>
      </w:rPr>
      <w:t>80</w:t>
    </w:r>
    <w:r w:rsidRPr="00081A3D">
      <w:rPr>
        <w:rStyle w:val="PageNumber"/>
        <w:b/>
        <w:bCs/>
        <w:szCs w:val="22"/>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FE1E7" w14:textId="59E09962" w:rsidR="004F3209" w:rsidRPr="004B1C64" w:rsidRDefault="004F3209" w:rsidP="00527992">
    <w:pPr>
      <w:bidi/>
      <w:jc w:val="right"/>
      <w:rPr>
        <w:rFonts w:ascii="Arabic Typesetting" w:hAnsi="Arabic Typesetting" w:cs="Arabic Typesetting"/>
        <w:b/>
        <w:bCs/>
        <w:sz w:val="36"/>
        <w:szCs w:val="36"/>
        <w:rtl/>
      </w:rPr>
    </w:pPr>
    <w:r w:rsidRPr="004B1C64">
      <w:rPr>
        <w:rFonts w:ascii="Arabic Typesetting" w:hAnsi="Arabic Typesetting" w:cs="Arabic Typesetting"/>
        <w:b/>
        <w:bCs/>
        <w:sz w:val="36"/>
        <w:szCs w:val="36"/>
        <w:rtl/>
      </w:rPr>
      <w:t xml:space="preserve">التقرير المالي السنوي والبيانات المالية السنوية لعام </w:t>
    </w:r>
    <w:r>
      <w:rPr>
        <w:rFonts w:ascii="Arabic Typesetting" w:hAnsi="Arabic Typesetting" w:cs="Arabic Typesetting" w:hint="cs"/>
        <w:b/>
        <w:bCs/>
        <w:sz w:val="36"/>
        <w:szCs w:val="36"/>
        <w:rtl/>
      </w:rPr>
      <w:t>2014</w:t>
    </w:r>
  </w:p>
  <w:p w14:paraId="7F7A2A0A" w14:textId="77777777" w:rsidR="004F3209" w:rsidRPr="00081A3D" w:rsidRDefault="004F3209" w:rsidP="004B1C64">
    <w:pPr>
      <w:pStyle w:val="Header"/>
      <w:bidi/>
      <w:jc w:val="right"/>
      <w:rPr>
        <w:rStyle w:val="PageNumber"/>
        <w:b/>
        <w:bCs/>
        <w:szCs w:val="22"/>
        <w:rtl/>
      </w:rPr>
    </w:pPr>
    <w:r w:rsidRPr="00081A3D">
      <w:rPr>
        <w:rStyle w:val="PageNumber"/>
        <w:b/>
        <w:bCs/>
        <w:szCs w:val="22"/>
      </w:rPr>
      <w:fldChar w:fldCharType="begin"/>
    </w:r>
    <w:r w:rsidRPr="00081A3D">
      <w:rPr>
        <w:rStyle w:val="PageNumber"/>
        <w:b/>
        <w:bCs/>
        <w:szCs w:val="22"/>
      </w:rPr>
      <w:instrText xml:space="preserve"> PAGE   \* MERGEFORMAT </w:instrText>
    </w:r>
    <w:r w:rsidRPr="00081A3D">
      <w:rPr>
        <w:rStyle w:val="PageNumber"/>
        <w:b/>
        <w:bCs/>
        <w:szCs w:val="22"/>
      </w:rPr>
      <w:fldChar w:fldCharType="separate"/>
    </w:r>
    <w:r w:rsidR="00FE33A4">
      <w:rPr>
        <w:rStyle w:val="PageNumber"/>
        <w:b/>
        <w:bCs/>
        <w:noProof/>
        <w:szCs w:val="22"/>
      </w:rPr>
      <w:t>82</w:t>
    </w:r>
    <w:r w:rsidRPr="00081A3D">
      <w:rPr>
        <w:rStyle w:val="PageNumber"/>
        <w:b/>
        <w:bCs/>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C2A"/>
    <w:multiLevelType w:val="hybridMultilevel"/>
    <w:tmpl w:val="991A019C"/>
    <w:lvl w:ilvl="0" w:tplc="217007E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CD29E3"/>
    <w:multiLevelType w:val="multilevel"/>
    <w:tmpl w:val="D5ACA414"/>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2172680"/>
    <w:multiLevelType w:val="hybridMultilevel"/>
    <w:tmpl w:val="13726202"/>
    <w:lvl w:ilvl="0" w:tplc="5388F2CC">
      <w:start w:val="1"/>
      <w:numFmt w:val="bullet"/>
      <w:lvlText w:val=""/>
      <w:lvlJc w:val="left"/>
      <w:pPr>
        <w:tabs>
          <w:tab w:val="num" w:pos="566"/>
        </w:tabs>
        <w:ind w:left="1134" w:hanging="567"/>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6C33A7"/>
    <w:multiLevelType w:val="hybridMultilevel"/>
    <w:tmpl w:val="B6EAD180"/>
    <w:lvl w:ilvl="0" w:tplc="D5E655D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E87973"/>
    <w:multiLevelType w:val="hybridMultilevel"/>
    <w:tmpl w:val="5A7E15F4"/>
    <w:lvl w:ilvl="0" w:tplc="FDA0654A">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3A2812"/>
    <w:multiLevelType w:val="hybridMultilevel"/>
    <w:tmpl w:val="C6E286AA"/>
    <w:lvl w:ilvl="0" w:tplc="BBA07F5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0623A7"/>
    <w:multiLevelType w:val="hybridMultilevel"/>
    <w:tmpl w:val="AEB4D0A2"/>
    <w:lvl w:ilvl="0" w:tplc="62E0C1C4">
      <w:start w:val="1"/>
      <w:numFmt w:val="bullet"/>
      <w:lvlText w:val=""/>
      <w:lvlJc w:val="left"/>
      <w:pPr>
        <w:ind w:left="1068" w:hanging="360"/>
      </w:pPr>
      <w:rPr>
        <w:rFonts w:ascii="Wingdings" w:hAnsi="Wingdings" w:hint="default"/>
        <w:sz w:val="24"/>
        <w:szCs w:val="24"/>
        <w:lang w:bidi="ar-SA"/>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nsid w:val="41291546"/>
    <w:multiLevelType w:val="hybridMultilevel"/>
    <w:tmpl w:val="ED8A7B70"/>
    <w:lvl w:ilvl="0" w:tplc="E4D0A0D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F04973"/>
    <w:multiLevelType w:val="hybridMultilevel"/>
    <w:tmpl w:val="8C1A65EC"/>
    <w:lvl w:ilvl="0" w:tplc="96248644">
      <w:start w:val="1"/>
      <w:numFmt w:val="bullet"/>
      <w:lvlText w:val=""/>
      <w:lvlJc w:val="left"/>
      <w:pPr>
        <w:tabs>
          <w:tab w:val="num" w:pos="0"/>
        </w:tabs>
        <w:ind w:left="1134" w:hanging="567"/>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DE47697"/>
    <w:multiLevelType w:val="hybridMultilevel"/>
    <w:tmpl w:val="68AAD2F4"/>
    <w:lvl w:ilvl="0" w:tplc="9836BC2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4B3013F"/>
    <w:multiLevelType w:val="hybridMultilevel"/>
    <w:tmpl w:val="47503A1E"/>
    <w:lvl w:ilvl="0" w:tplc="0400E99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2003117"/>
    <w:multiLevelType w:val="hybridMultilevel"/>
    <w:tmpl w:val="DBF28A42"/>
    <w:lvl w:ilvl="0" w:tplc="9E18A93E">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4"/>
  </w:num>
  <w:num w:numId="3">
    <w:abstractNumId w:val="11"/>
  </w:num>
  <w:num w:numId="4">
    <w:abstractNumId w:val="3"/>
  </w:num>
  <w:num w:numId="5">
    <w:abstractNumId w:val="1"/>
  </w:num>
  <w:num w:numId="6">
    <w:abstractNumId w:val="8"/>
  </w:num>
  <w:num w:numId="7">
    <w:abstractNumId w:val="2"/>
  </w:num>
  <w:num w:numId="8">
    <w:abstractNumId w:val="6"/>
  </w:num>
  <w:num w:numId="9">
    <w:abstractNumId w:val="4"/>
    <w:lvlOverride w:ilvl="0">
      <w:startOverride w:val="1"/>
    </w:lvlOverride>
  </w:num>
  <w:num w:numId="10">
    <w:abstractNumId w:val="10"/>
  </w:num>
  <w:num w:numId="11">
    <w:abstractNumId w:val="5"/>
  </w:num>
  <w:num w:numId="12">
    <w:abstractNumId w:val="0"/>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7"/>
  </w:num>
  <w:num w:numId="37">
    <w:abstractNumId w:val="12"/>
  </w:num>
  <w:num w:numId="38">
    <w:abstractNumId w:val="4"/>
  </w:num>
  <w:num w:numId="39">
    <w:abstractNumId w:val="4"/>
  </w:num>
  <w:num w:numId="40">
    <w:abstractNumId w:val="4"/>
  </w:num>
  <w:num w:numId="41">
    <w:abstractNumId w:val="4"/>
  </w:num>
  <w:num w:numId="42">
    <w:abstractNumId w:val="4"/>
  </w:num>
  <w:num w:numId="43">
    <w:abstractNumId w:val="9"/>
  </w:num>
  <w:num w:numId="44">
    <w:abstractNumId w:val="4"/>
    <w:lvlOverride w:ilvl="0">
      <w:startOverride w:val="1"/>
    </w:lvlOverride>
  </w:num>
  <w:num w:numId="45">
    <w:abstractNumId w:val="4"/>
  </w:num>
  <w:num w:numId="46">
    <w:abstractNumId w:val="4"/>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EA1"/>
    <w:rsid w:val="00002074"/>
    <w:rsid w:val="00002CBE"/>
    <w:rsid w:val="00003232"/>
    <w:rsid w:val="000033DA"/>
    <w:rsid w:val="0000512A"/>
    <w:rsid w:val="0000579F"/>
    <w:rsid w:val="00007247"/>
    <w:rsid w:val="000074D1"/>
    <w:rsid w:val="000076BD"/>
    <w:rsid w:val="00010481"/>
    <w:rsid w:val="00010671"/>
    <w:rsid w:val="000114E2"/>
    <w:rsid w:val="00013347"/>
    <w:rsid w:val="00013D73"/>
    <w:rsid w:val="000142E1"/>
    <w:rsid w:val="000146BD"/>
    <w:rsid w:val="00014B68"/>
    <w:rsid w:val="00014DE7"/>
    <w:rsid w:val="0001645D"/>
    <w:rsid w:val="00016D4A"/>
    <w:rsid w:val="00017A43"/>
    <w:rsid w:val="00017DF0"/>
    <w:rsid w:val="00017FD5"/>
    <w:rsid w:val="0002157B"/>
    <w:rsid w:val="00021BBD"/>
    <w:rsid w:val="00022D31"/>
    <w:rsid w:val="00023101"/>
    <w:rsid w:val="00023DA6"/>
    <w:rsid w:val="0002407C"/>
    <w:rsid w:val="0002476F"/>
    <w:rsid w:val="00024E17"/>
    <w:rsid w:val="00024F3E"/>
    <w:rsid w:val="000258DB"/>
    <w:rsid w:val="000259E5"/>
    <w:rsid w:val="00031B2C"/>
    <w:rsid w:val="00033D2C"/>
    <w:rsid w:val="000340C9"/>
    <w:rsid w:val="00035CE8"/>
    <w:rsid w:val="00036041"/>
    <w:rsid w:val="00036159"/>
    <w:rsid w:val="00040637"/>
    <w:rsid w:val="00040688"/>
    <w:rsid w:val="0004070F"/>
    <w:rsid w:val="0004115B"/>
    <w:rsid w:val="000421B0"/>
    <w:rsid w:val="000426CC"/>
    <w:rsid w:val="00042C97"/>
    <w:rsid w:val="00042F2D"/>
    <w:rsid w:val="000432B2"/>
    <w:rsid w:val="000432CF"/>
    <w:rsid w:val="000438A8"/>
    <w:rsid w:val="00044AC0"/>
    <w:rsid w:val="0004534C"/>
    <w:rsid w:val="00045B68"/>
    <w:rsid w:val="00045E69"/>
    <w:rsid w:val="00046EDC"/>
    <w:rsid w:val="00047497"/>
    <w:rsid w:val="00047A46"/>
    <w:rsid w:val="00047C1B"/>
    <w:rsid w:val="000500C9"/>
    <w:rsid w:val="0005014C"/>
    <w:rsid w:val="000505B3"/>
    <w:rsid w:val="000508E2"/>
    <w:rsid w:val="00050A69"/>
    <w:rsid w:val="00050C55"/>
    <w:rsid w:val="00050F28"/>
    <w:rsid w:val="000513E1"/>
    <w:rsid w:val="00053836"/>
    <w:rsid w:val="00054659"/>
    <w:rsid w:val="00054DD6"/>
    <w:rsid w:val="00055FA2"/>
    <w:rsid w:val="000571DD"/>
    <w:rsid w:val="00057490"/>
    <w:rsid w:val="000605E2"/>
    <w:rsid w:val="00061FF5"/>
    <w:rsid w:val="000622D6"/>
    <w:rsid w:val="00062502"/>
    <w:rsid w:val="00063C91"/>
    <w:rsid w:val="00063FAB"/>
    <w:rsid w:val="000640E7"/>
    <w:rsid w:val="000666B8"/>
    <w:rsid w:val="00066DC7"/>
    <w:rsid w:val="0006794A"/>
    <w:rsid w:val="00067F31"/>
    <w:rsid w:val="00067F3F"/>
    <w:rsid w:val="00071138"/>
    <w:rsid w:val="00071786"/>
    <w:rsid w:val="000717BF"/>
    <w:rsid w:val="00073402"/>
    <w:rsid w:val="00073807"/>
    <w:rsid w:val="00075745"/>
    <w:rsid w:val="00075A04"/>
    <w:rsid w:val="00075D39"/>
    <w:rsid w:val="000760C3"/>
    <w:rsid w:val="000763A4"/>
    <w:rsid w:val="00076705"/>
    <w:rsid w:val="00076901"/>
    <w:rsid w:val="00081A3D"/>
    <w:rsid w:val="0008237C"/>
    <w:rsid w:val="00082489"/>
    <w:rsid w:val="000833C3"/>
    <w:rsid w:val="000839C6"/>
    <w:rsid w:val="0008421F"/>
    <w:rsid w:val="0008451C"/>
    <w:rsid w:val="00085A0B"/>
    <w:rsid w:val="000863B7"/>
    <w:rsid w:val="00087B14"/>
    <w:rsid w:val="00087CB4"/>
    <w:rsid w:val="00087DB6"/>
    <w:rsid w:val="00090139"/>
    <w:rsid w:val="0009024C"/>
    <w:rsid w:val="00090ADD"/>
    <w:rsid w:val="000913C0"/>
    <w:rsid w:val="00091F52"/>
    <w:rsid w:val="00092302"/>
    <w:rsid w:val="00092982"/>
    <w:rsid w:val="00092BE5"/>
    <w:rsid w:val="00092DD6"/>
    <w:rsid w:val="00094C85"/>
    <w:rsid w:val="00094D7E"/>
    <w:rsid w:val="0009517B"/>
    <w:rsid w:val="00095AE2"/>
    <w:rsid w:val="00095FDC"/>
    <w:rsid w:val="000962DF"/>
    <w:rsid w:val="0009661E"/>
    <w:rsid w:val="000A12BC"/>
    <w:rsid w:val="000A1306"/>
    <w:rsid w:val="000A1521"/>
    <w:rsid w:val="000A2FC1"/>
    <w:rsid w:val="000A3A57"/>
    <w:rsid w:val="000A3CCF"/>
    <w:rsid w:val="000A4A24"/>
    <w:rsid w:val="000A5408"/>
    <w:rsid w:val="000A5ACC"/>
    <w:rsid w:val="000A608A"/>
    <w:rsid w:val="000A6510"/>
    <w:rsid w:val="000A72CE"/>
    <w:rsid w:val="000A7653"/>
    <w:rsid w:val="000A785C"/>
    <w:rsid w:val="000B0561"/>
    <w:rsid w:val="000B0BB4"/>
    <w:rsid w:val="000B1045"/>
    <w:rsid w:val="000B1315"/>
    <w:rsid w:val="000B1BAE"/>
    <w:rsid w:val="000B29B3"/>
    <w:rsid w:val="000B3889"/>
    <w:rsid w:val="000B3B3B"/>
    <w:rsid w:val="000B42E7"/>
    <w:rsid w:val="000B70B7"/>
    <w:rsid w:val="000B73E6"/>
    <w:rsid w:val="000B7759"/>
    <w:rsid w:val="000B78EA"/>
    <w:rsid w:val="000B7EDA"/>
    <w:rsid w:val="000C096B"/>
    <w:rsid w:val="000C111E"/>
    <w:rsid w:val="000C1E3C"/>
    <w:rsid w:val="000C1FB4"/>
    <w:rsid w:val="000C2A3E"/>
    <w:rsid w:val="000C2CE8"/>
    <w:rsid w:val="000C335E"/>
    <w:rsid w:val="000C4651"/>
    <w:rsid w:val="000C46EC"/>
    <w:rsid w:val="000C484D"/>
    <w:rsid w:val="000C523D"/>
    <w:rsid w:val="000C52A5"/>
    <w:rsid w:val="000C563F"/>
    <w:rsid w:val="000C5DA8"/>
    <w:rsid w:val="000C5DF9"/>
    <w:rsid w:val="000C5F21"/>
    <w:rsid w:val="000C662C"/>
    <w:rsid w:val="000C733A"/>
    <w:rsid w:val="000C7584"/>
    <w:rsid w:val="000C76B0"/>
    <w:rsid w:val="000D0C07"/>
    <w:rsid w:val="000D0C7C"/>
    <w:rsid w:val="000D1A1D"/>
    <w:rsid w:val="000D2069"/>
    <w:rsid w:val="000D2685"/>
    <w:rsid w:val="000D4BE6"/>
    <w:rsid w:val="000D58D5"/>
    <w:rsid w:val="000D5FB7"/>
    <w:rsid w:val="000E06A5"/>
    <w:rsid w:val="000E07B7"/>
    <w:rsid w:val="000E16EB"/>
    <w:rsid w:val="000E591F"/>
    <w:rsid w:val="000E5A23"/>
    <w:rsid w:val="000E6045"/>
    <w:rsid w:val="000E7872"/>
    <w:rsid w:val="000F0100"/>
    <w:rsid w:val="000F0772"/>
    <w:rsid w:val="000F0BE5"/>
    <w:rsid w:val="000F0C49"/>
    <w:rsid w:val="000F0F0D"/>
    <w:rsid w:val="000F17DC"/>
    <w:rsid w:val="000F1B52"/>
    <w:rsid w:val="000F1C70"/>
    <w:rsid w:val="000F1EAA"/>
    <w:rsid w:val="000F22C2"/>
    <w:rsid w:val="000F30D5"/>
    <w:rsid w:val="000F3387"/>
    <w:rsid w:val="000F33C5"/>
    <w:rsid w:val="000F3ACF"/>
    <w:rsid w:val="000F44F6"/>
    <w:rsid w:val="000F49FA"/>
    <w:rsid w:val="000F58C4"/>
    <w:rsid w:val="000F5E56"/>
    <w:rsid w:val="000F70F9"/>
    <w:rsid w:val="001007AB"/>
    <w:rsid w:val="00100DB8"/>
    <w:rsid w:val="00100F97"/>
    <w:rsid w:val="001012E0"/>
    <w:rsid w:val="001016F2"/>
    <w:rsid w:val="001024C1"/>
    <w:rsid w:val="00102CDE"/>
    <w:rsid w:val="0010385D"/>
    <w:rsid w:val="00103B77"/>
    <w:rsid w:val="00103EE1"/>
    <w:rsid w:val="001041E0"/>
    <w:rsid w:val="001042CD"/>
    <w:rsid w:val="001042E0"/>
    <w:rsid w:val="00104AEA"/>
    <w:rsid w:val="00104C51"/>
    <w:rsid w:val="001051A8"/>
    <w:rsid w:val="0010597B"/>
    <w:rsid w:val="001066C4"/>
    <w:rsid w:val="00110107"/>
    <w:rsid w:val="00110531"/>
    <w:rsid w:val="00110794"/>
    <w:rsid w:val="00112524"/>
    <w:rsid w:val="00112883"/>
    <w:rsid w:val="00113769"/>
    <w:rsid w:val="00114141"/>
    <w:rsid w:val="00114827"/>
    <w:rsid w:val="00115266"/>
    <w:rsid w:val="001153D4"/>
    <w:rsid w:val="001154FB"/>
    <w:rsid w:val="00115B51"/>
    <w:rsid w:val="001171EF"/>
    <w:rsid w:val="001173C5"/>
    <w:rsid w:val="001207CB"/>
    <w:rsid w:val="00121092"/>
    <w:rsid w:val="00121AA0"/>
    <w:rsid w:val="00121FE6"/>
    <w:rsid w:val="00123F16"/>
    <w:rsid w:val="0012405D"/>
    <w:rsid w:val="001252B1"/>
    <w:rsid w:val="00126897"/>
    <w:rsid w:val="0012696D"/>
    <w:rsid w:val="00130FC9"/>
    <w:rsid w:val="001310EE"/>
    <w:rsid w:val="0013191A"/>
    <w:rsid w:val="00131E8F"/>
    <w:rsid w:val="001321D5"/>
    <w:rsid w:val="00135C24"/>
    <w:rsid w:val="001361A7"/>
    <w:rsid w:val="00136389"/>
    <w:rsid w:val="00136A1A"/>
    <w:rsid w:val="00136A96"/>
    <w:rsid w:val="001376B6"/>
    <w:rsid w:val="0014045C"/>
    <w:rsid w:val="00140A35"/>
    <w:rsid w:val="00142F4D"/>
    <w:rsid w:val="00143428"/>
    <w:rsid w:val="0014412C"/>
    <w:rsid w:val="00144713"/>
    <w:rsid w:val="00144CC3"/>
    <w:rsid w:val="001464C6"/>
    <w:rsid w:val="0015009D"/>
    <w:rsid w:val="0015140E"/>
    <w:rsid w:val="001519FB"/>
    <w:rsid w:val="00151B18"/>
    <w:rsid w:val="00151BF2"/>
    <w:rsid w:val="00151C68"/>
    <w:rsid w:val="001520DD"/>
    <w:rsid w:val="00152374"/>
    <w:rsid w:val="00152997"/>
    <w:rsid w:val="00153A62"/>
    <w:rsid w:val="00153CD7"/>
    <w:rsid w:val="00154023"/>
    <w:rsid w:val="0015402B"/>
    <w:rsid w:val="0015407F"/>
    <w:rsid w:val="001550DF"/>
    <w:rsid w:val="00155900"/>
    <w:rsid w:val="00155CEA"/>
    <w:rsid w:val="00156153"/>
    <w:rsid w:val="001563D9"/>
    <w:rsid w:val="00156428"/>
    <w:rsid w:val="001568F4"/>
    <w:rsid w:val="0015710B"/>
    <w:rsid w:val="001572CE"/>
    <w:rsid w:val="001603F7"/>
    <w:rsid w:val="00160C95"/>
    <w:rsid w:val="00162777"/>
    <w:rsid w:val="00162E49"/>
    <w:rsid w:val="0016337E"/>
    <w:rsid w:val="00163657"/>
    <w:rsid w:val="00164691"/>
    <w:rsid w:val="001648F6"/>
    <w:rsid w:val="00164BD2"/>
    <w:rsid w:val="00165AC3"/>
    <w:rsid w:val="001665F3"/>
    <w:rsid w:val="001667B6"/>
    <w:rsid w:val="001668D4"/>
    <w:rsid w:val="00166A09"/>
    <w:rsid w:val="00166B36"/>
    <w:rsid w:val="00167809"/>
    <w:rsid w:val="00167DB3"/>
    <w:rsid w:val="00167F30"/>
    <w:rsid w:val="00170A00"/>
    <w:rsid w:val="00171844"/>
    <w:rsid w:val="0017385A"/>
    <w:rsid w:val="00173961"/>
    <w:rsid w:val="001739C3"/>
    <w:rsid w:val="00175448"/>
    <w:rsid w:val="001757AF"/>
    <w:rsid w:val="00175825"/>
    <w:rsid w:val="0017582C"/>
    <w:rsid w:val="0017666F"/>
    <w:rsid w:val="00176D64"/>
    <w:rsid w:val="00176E2C"/>
    <w:rsid w:val="00176FCE"/>
    <w:rsid w:val="00177DBF"/>
    <w:rsid w:val="00182157"/>
    <w:rsid w:val="00182417"/>
    <w:rsid w:val="0018242F"/>
    <w:rsid w:val="00183512"/>
    <w:rsid w:val="0018414E"/>
    <w:rsid w:val="00185718"/>
    <w:rsid w:val="001857AF"/>
    <w:rsid w:val="00185BBE"/>
    <w:rsid w:val="00186451"/>
    <w:rsid w:val="00186606"/>
    <w:rsid w:val="00186739"/>
    <w:rsid w:val="0018786F"/>
    <w:rsid w:val="00187FCF"/>
    <w:rsid w:val="00190B6D"/>
    <w:rsid w:val="00191E75"/>
    <w:rsid w:val="00192022"/>
    <w:rsid w:val="0019301D"/>
    <w:rsid w:val="0019454F"/>
    <w:rsid w:val="00194719"/>
    <w:rsid w:val="00194774"/>
    <w:rsid w:val="00195C53"/>
    <w:rsid w:val="00195CE0"/>
    <w:rsid w:val="00195F64"/>
    <w:rsid w:val="001A098F"/>
    <w:rsid w:val="001A10CB"/>
    <w:rsid w:val="001A110B"/>
    <w:rsid w:val="001A149A"/>
    <w:rsid w:val="001A2AB7"/>
    <w:rsid w:val="001A4A9C"/>
    <w:rsid w:val="001A6683"/>
    <w:rsid w:val="001A6B88"/>
    <w:rsid w:val="001A6C33"/>
    <w:rsid w:val="001A6E68"/>
    <w:rsid w:val="001A7634"/>
    <w:rsid w:val="001B012D"/>
    <w:rsid w:val="001B3131"/>
    <w:rsid w:val="001B45DC"/>
    <w:rsid w:val="001B4B2F"/>
    <w:rsid w:val="001B7C00"/>
    <w:rsid w:val="001C09D2"/>
    <w:rsid w:val="001C1620"/>
    <w:rsid w:val="001C18B2"/>
    <w:rsid w:val="001C1994"/>
    <w:rsid w:val="001C261B"/>
    <w:rsid w:val="001C2933"/>
    <w:rsid w:val="001C2F54"/>
    <w:rsid w:val="001C5EEE"/>
    <w:rsid w:val="001C6A73"/>
    <w:rsid w:val="001C719A"/>
    <w:rsid w:val="001C73C2"/>
    <w:rsid w:val="001D0474"/>
    <w:rsid w:val="001D0D02"/>
    <w:rsid w:val="001D141D"/>
    <w:rsid w:val="001D1EBD"/>
    <w:rsid w:val="001D1FA6"/>
    <w:rsid w:val="001D2184"/>
    <w:rsid w:val="001D24F3"/>
    <w:rsid w:val="001D2678"/>
    <w:rsid w:val="001D2DC4"/>
    <w:rsid w:val="001D3857"/>
    <w:rsid w:val="001D4719"/>
    <w:rsid w:val="001D4E85"/>
    <w:rsid w:val="001D622D"/>
    <w:rsid w:val="001D6A48"/>
    <w:rsid w:val="001D7E0E"/>
    <w:rsid w:val="001E1043"/>
    <w:rsid w:val="001E10E1"/>
    <w:rsid w:val="001E175F"/>
    <w:rsid w:val="001E19F7"/>
    <w:rsid w:val="001E2669"/>
    <w:rsid w:val="001E3897"/>
    <w:rsid w:val="001E3CE5"/>
    <w:rsid w:val="001E3DDC"/>
    <w:rsid w:val="001E3FB9"/>
    <w:rsid w:val="001E4083"/>
    <w:rsid w:val="001E40F1"/>
    <w:rsid w:val="001E46F3"/>
    <w:rsid w:val="001E5588"/>
    <w:rsid w:val="001E56CB"/>
    <w:rsid w:val="001E56FC"/>
    <w:rsid w:val="001E582D"/>
    <w:rsid w:val="001E6318"/>
    <w:rsid w:val="001E6EED"/>
    <w:rsid w:val="001F0AD5"/>
    <w:rsid w:val="001F0C0A"/>
    <w:rsid w:val="001F1509"/>
    <w:rsid w:val="001F18E7"/>
    <w:rsid w:val="001F3A75"/>
    <w:rsid w:val="001F3A9D"/>
    <w:rsid w:val="001F3FDB"/>
    <w:rsid w:val="001F4BA6"/>
    <w:rsid w:val="001F58A5"/>
    <w:rsid w:val="001F5976"/>
    <w:rsid w:val="001F5D9C"/>
    <w:rsid w:val="001F6545"/>
    <w:rsid w:val="001F66B5"/>
    <w:rsid w:val="001F6F36"/>
    <w:rsid w:val="001F6FC7"/>
    <w:rsid w:val="001F76FD"/>
    <w:rsid w:val="002004C0"/>
    <w:rsid w:val="002012F2"/>
    <w:rsid w:val="002014D7"/>
    <w:rsid w:val="00202F07"/>
    <w:rsid w:val="00203030"/>
    <w:rsid w:val="002034ED"/>
    <w:rsid w:val="00203D45"/>
    <w:rsid w:val="00205495"/>
    <w:rsid w:val="002061DE"/>
    <w:rsid w:val="002065E2"/>
    <w:rsid w:val="00206946"/>
    <w:rsid w:val="00206C61"/>
    <w:rsid w:val="00206F30"/>
    <w:rsid w:val="002072D8"/>
    <w:rsid w:val="00207616"/>
    <w:rsid w:val="00207F10"/>
    <w:rsid w:val="002112E6"/>
    <w:rsid w:val="0021219D"/>
    <w:rsid w:val="00213213"/>
    <w:rsid w:val="002139DD"/>
    <w:rsid w:val="0021457F"/>
    <w:rsid w:val="00214A24"/>
    <w:rsid w:val="0021505D"/>
    <w:rsid w:val="00215877"/>
    <w:rsid w:val="0021604B"/>
    <w:rsid w:val="00216545"/>
    <w:rsid w:val="00220227"/>
    <w:rsid w:val="00221716"/>
    <w:rsid w:val="0022176B"/>
    <w:rsid w:val="00222760"/>
    <w:rsid w:val="00222782"/>
    <w:rsid w:val="0022360A"/>
    <w:rsid w:val="002238B5"/>
    <w:rsid w:val="00223C38"/>
    <w:rsid w:val="00223E99"/>
    <w:rsid w:val="00224785"/>
    <w:rsid w:val="0022479B"/>
    <w:rsid w:val="00226B82"/>
    <w:rsid w:val="00226DAE"/>
    <w:rsid w:val="00227103"/>
    <w:rsid w:val="00230249"/>
    <w:rsid w:val="00230D5F"/>
    <w:rsid w:val="002310D8"/>
    <w:rsid w:val="00231BE3"/>
    <w:rsid w:val="00232C51"/>
    <w:rsid w:val="00233414"/>
    <w:rsid w:val="00233445"/>
    <w:rsid w:val="0023352B"/>
    <w:rsid w:val="00233D69"/>
    <w:rsid w:val="00234E82"/>
    <w:rsid w:val="00235C9D"/>
    <w:rsid w:val="00235CA5"/>
    <w:rsid w:val="00236C92"/>
    <w:rsid w:val="00237D00"/>
    <w:rsid w:val="002412D4"/>
    <w:rsid w:val="00241EF0"/>
    <w:rsid w:val="0024220D"/>
    <w:rsid w:val="00242AD0"/>
    <w:rsid w:val="00242BD3"/>
    <w:rsid w:val="00242C02"/>
    <w:rsid w:val="00242EF3"/>
    <w:rsid w:val="00243155"/>
    <w:rsid w:val="00246070"/>
    <w:rsid w:val="00246E87"/>
    <w:rsid w:val="00247783"/>
    <w:rsid w:val="00250812"/>
    <w:rsid w:val="0025172C"/>
    <w:rsid w:val="0025192A"/>
    <w:rsid w:val="00252CF8"/>
    <w:rsid w:val="00252E2E"/>
    <w:rsid w:val="00253210"/>
    <w:rsid w:val="0025353E"/>
    <w:rsid w:val="00253DE1"/>
    <w:rsid w:val="0025425F"/>
    <w:rsid w:val="00254468"/>
    <w:rsid w:val="00254DE4"/>
    <w:rsid w:val="002559DA"/>
    <w:rsid w:val="00256955"/>
    <w:rsid w:val="00257637"/>
    <w:rsid w:val="0026071A"/>
    <w:rsid w:val="002611FA"/>
    <w:rsid w:val="00261B27"/>
    <w:rsid w:val="00262B5A"/>
    <w:rsid w:val="002633E1"/>
    <w:rsid w:val="00263763"/>
    <w:rsid w:val="0026520E"/>
    <w:rsid w:val="00266486"/>
    <w:rsid w:val="00266762"/>
    <w:rsid w:val="00266B0A"/>
    <w:rsid w:val="00266C61"/>
    <w:rsid w:val="0026749A"/>
    <w:rsid w:val="00270119"/>
    <w:rsid w:val="002708E4"/>
    <w:rsid w:val="00270E72"/>
    <w:rsid w:val="0027167E"/>
    <w:rsid w:val="00271E1D"/>
    <w:rsid w:val="00271F24"/>
    <w:rsid w:val="002721B2"/>
    <w:rsid w:val="00272503"/>
    <w:rsid w:val="00272F3A"/>
    <w:rsid w:val="002736FD"/>
    <w:rsid w:val="00273941"/>
    <w:rsid w:val="00273D91"/>
    <w:rsid w:val="002743E2"/>
    <w:rsid w:val="00274410"/>
    <w:rsid w:val="0027447E"/>
    <w:rsid w:val="0027520A"/>
    <w:rsid w:val="00275419"/>
    <w:rsid w:val="002756F2"/>
    <w:rsid w:val="00275707"/>
    <w:rsid w:val="00275A2D"/>
    <w:rsid w:val="0027655E"/>
    <w:rsid w:val="002772A5"/>
    <w:rsid w:val="002806F8"/>
    <w:rsid w:val="002810B5"/>
    <w:rsid w:val="00281F4F"/>
    <w:rsid w:val="00286744"/>
    <w:rsid w:val="002869C3"/>
    <w:rsid w:val="00286D86"/>
    <w:rsid w:val="0028724F"/>
    <w:rsid w:val="002909B9"/>
    <w:rsid w:val="00291F0E"/>
    <w:rsid w:val="00292CEE"/>
    <w:rsid w:val="00292D22"/>
    <w:rsid w:val="0029311B"/>
    <w:rsid w:val="0029447B"/>
    <w:rsid w:val="0029470D"/>
    <w:rsid w:val="00294F90"/>
    <w:rsid w:val="002960EF"/>
    <w:rsid w:val="00296F12"/>
    <w:rsid w:val="00297B80"/>
    <w:rsid w:val="002A076C"/>
    <w:rsid w:val="002A1059"/>
    <w:rsid w:val="002A197D"/>
    <w:rsid w:val="002A30CE"/>
    <w:rsid w:val="002A3C9D"/>
    <w:rsid w:val="002A5403"/>
    <w:rsid w:val="002A58CE"/>
    <w:rsid w:val="002A6C9F"/>
    <w:rsid w:val="002A77F3"/>
    <w:rsid w:val="002B0110"/>
    <w:rsid w:val="002B14F0"/>
    <w:rsid w:val="002B1F0F"/>
    <w:rsid w:val="002B20AF"/>
    <w:rsid w:val="002B251F"/>
    <w:rsid w:val="002B2E98"/>
    <w:rsid w:val="002B3DBD"/>
    <w:rsid w:val="002B53D3"/>
    <w:rsid w:val="002B5D02"/>
    <w:rsid w:val="002B6202"/>
    <w:rsid w:val="002B6F7A"/>
    <w:rsid w:val="002B7909"/>
    <w:rsid w:val="002B7988"/>
    <w:rsid w:val="002B7F39"/>
    <w:rsid w:val="002C014C"/>
    <w:rsid w:val="002C060C"/>
    <w:rsid w:val="002C0781"/>
    <w:rsid w:val="002C0BA6"/>
    <w:rsid w:val="002C0FA1"/>
    <w:rsid w:val="002C12A7"/>
    <w:rsid w:val="002C212A"/>
    <w:rsid w:val="002C2957"/>
    <w:rsid w:val="002C2B6F"/>
    <w:rsid w:val="002C314F"/>
    <w:rsid w:val="002C41EB"/>
    <w:rsid w:val="002C4AD1"/>
    <w:rsid w:val="002C5856"/>
    <w:rsid w:val="002C6073"/>
    <w:rsid w:val="002C7D29"/>
    <w:rsid w:val="002C7E08"/>
    <w:rsid w:val="002D0298"/>
    <w:rsid w:val="002D1662"/>
    <w:rsid w:val="002D1DE5"/>
    <w:rsid w:val="002D3506"/>
    <w:rsid w:val="002D3670"/>
    <w:rsid w:val="002D4807"/>
    <w:rsid w:val="002D5229"/>
    <w:rsid w:val="002D5624"/>
    <w:rsid w:val="002D5DDC"/>
    <w:rsid w:val="002D5F16"/>
    <w:rsid w:val="002D62F1"/>
    <w:rsid w:val="002D6FD8"/>
    <w:rsid w:val="002D727B"/>
    <w:rsid w:val="002D7EAD"/>
    <w:rsid w:val="002E053A"/>
    <w:rsid w:val="002E1169"/>
    <w:rsid w:val="002E1218"/>
    <w:rsid w:val="002E28F3"/>
    <w:rsid w:val="002E296F"/>
    <w:rsid w:val="002E4849"/>
    <w:rsid w:val="002E4F36"/>
    <w:rsid w:val="002E7615"/>
    <w:rsid w:val="002E7A2A"/>
    <w:rsid w:val="002E7AD6"/>
    <w:rsid w:val="002E7F16"/>
    <w:rsid w:val="002F1425"/>
    <w:rsid w:val="002F1434"/>
    <w:rsid w:val="002F2EC8"/>
    <w:rsid w:val="002F4CE2"/>
    <w:rsid w:val="002F5F6A"/>
    <w:rsid w:val="002F60A4"/>
    <w:rsid w:val="002F6B0C"/>
    <w:rsid w:val="002F77FC"/>
    <w:rsid w:val="003004A6"/>
    <w:rsid w:val="00300E51"/>
    <w:rsid w:val="0030129C"/>
    <w:rsid w:val="003013E2"/>
    <w:rsid w:val="0030152F"/>
    <w:rsid w:val="00301FE4"/>
    <w:rsid w:val="00303E3A"/>
    <w:rsid w:val="00305417"/>
    <w:rsid w:val="00306127"/>
    <w:rsid w:val="0030641B"/>
    <w:rsid w:val="003067C8"/>
    <w:rsid w:val="0030745A"/>
    <w:rsid w:val="00311453"/>
    <w:rsid w:val="003114C9"/>
    <w:rsid w:val="00311F61"/>
    <w:rsid w:val="0031229D"/>
    <w:rsid w:val="00312D6B"/>
    <w:rsid w:val="003135EB"/>
    <w:rsid w:val="00314E12"/>
    <w:rsid w:val="00316570"/>
    <w:rsid w:val="003166A5"/>
    <w:rsid w:val="00316C8C"/>
    <w:rsid w:val="003174C2"/>
    <w:rsid w:val="003179AB"/>
    <w:rsid w:val="00317CE4"/>
    <w:rsid w:val="00320DF4"/>
    <w:rsid w:val="003219A9"/>
    <w:rsid w:val="00321B00"/>
    <w:rsid w:val="00321C54"/>
    <w:rsid w:val="00321DCD"/>
    <w:rsid w:val="0032261F"/>
    <w:rsid w:val="003237A2"/>
    <w:rsid w:val="00324729"/>
    <w:rsid w:val="00325C8B"/>
    <w:rsid w:val="00327011"/>
    <w:rsid w:val="003308D9"/>
    <w:rsid w:val="00334127"/>
    <w:rsid w:val="00335CA6"/>
    <w:rsid w:val="003365F0"/>
    <w:rsid w:val="00336C50"/>
    <w:rsid w:val="0033731A"/>
    <w:rsid w:val="00337388"/>
    <w:rsid w:val="0034007D"/>
    <w:rsid w:val="003433E5"/>
    <w:rsid w:val="003436AA"/>
    <w:rsid w:val="003439D1"/>
    <w:rsid w:val="00344082"/>
    <w:rsid w:val="0034582C"/>
    <w:rsid w:val="00345916"/>
    <w:rsid w:val="00345CAC"/>
    <w:rsid w:val="0034789E"/>
    <w:rsid w:val="00347BF2"/>
    <w:rsid w:val="003501DA"/>
    <w:rsid w:val="003503E2"/>
    <w:rsid w:val="0035051B"/>
    <w:rsid w:val="00351DC1"/>
    <w:rsid w:val="003532E8"/>
    <w:rsid w:val="003534EE"/>
    <w:rsid w:val="003536C4"/>
    <w:rsid w:val="0035596D"/>
    <w:rsid w:val="00357BE9"/>
    <w:rsid w:val="003600A2"/>
    <w:rsid w:val="003612D8"/>
    <w:rsid w:val="0036241E"/>
    <w:rsid w:val="00362A73"/>
    <w:rsid w:val="003637B6"/>
    <w:rsid w:val="00363B25"/>
    <w:rsid w:val="00363F89"/>
    <w:rsid w:val="00363FB0"/>
    <w:rsid w:val="003646D6"/>
    <w:rsid w:val="00364FC6"/>
    <w:rsid w:val="0036541D"/>
    <w:rsid w:val="00370504"/>
    <w:rsid w:val="00371444"/>
    <w:rsid w:val="00371814"/>
    <w:rsid w:val="00371A16"/>
    <w:rsid w:val="00372322"/>
    <w:rsid w:val="00372BAE"/>
    <w:rsid w:val="00372EE9"/>
    <w:rsid w:val="00373998"/>
    <w:rsid w:val="00373F07"/>
    <w:rsid w:val="003746A3"/>
    <w:rsid w:val="00374A60"/>
    <w:rsid w:val="00375181"/>
    <w:rsid w:val="003764C0"/>
    <w:rsid w:val="003767A4"/>
    <w:rsid w:val="00377229"/>
    <w:rsid w:val="003774F6"/>
    <w:rsid w:val="003818B3"/>
    <w:rsid w:val="0038356A"/>
    <w:rsid w:val="0038382F"/>
    <w:rsid w:val="0038443F"/>
    <w:rsid w:val="00385427"/>
    <w:rsid w:val="0038594E"/>
    <w:rsid w:val="00387542"/>
    <w:rsid w:val="00387C6B"/>
    <w:rsid w:val="00390FC0"/>
    <w:rsid w:val="003911B2"/>
    <w:rsid w:val="00391AFE"/>
    <w:rsid w:val="00392705"/>
    <w:rsid w:val="00393A79"/>
    <w:rsid w:val="0039419C"/>
    <w:rsid w:val="00395987"/>
    <w:rsid w:val="00395CD9"/>
    <w:rsid w:val="00396375"/>
    <w:rsid w:val="003964C9"/>
    <w:rsid w:val="00396801"/>
    <w:rsid w:val="00396E82"/>
    <w:rsid w:val="003973D6"/>
    <w:rsid w:val="00397533"/>
    <w:rsid w:val="003A07FF"/>
    <w:rsid w:val="003A0EC9"/>
    <w:rsid w:val="003A146E"/>
    <w:rsid w:val="003A1B50"/>
    <w:rsid w:val="003A26CD"/>
    <w:rsid w:val="003A2A5D"/>
    <w:rsid w:val="003A37F7"/>
    <w:rsid w:val="003A3C54"/>
    <w:rsid w:val="003A54E9"/>
    <w:rsid w:val="003A5E7C"/>
    <w:rsid w:val="003A6294"/>
    <w:rsid w:val="003A78C7"/>
    <w:rsid w:val="003A7E9A"/>
    <w:rsid w:val="003B0DD2"/>
    <w:rsid w:val="003B15FE"/>
    <w:rsid w:val="003B1C3B"/>
    <w:rsid w:val="003B1C41"/>
    <w:rsid w:val="003B2A33"/>
    <w:rsid w:val="003B3EDA"/>
    <w:rsid w:val="003B4621"/>
    <w:rsid w:val="003B46AD"/>
    <w:rsid w:val="003B4BEF"/>
    <w:rsid w:val="003B4C94"/>
    <w:rsid w:val="003B50EB"/>
    <w:rsid w:val="003B5C96"/>
    <w:rsid w:val="003B65FB"/>
    <w:rsid w:val="003B6A26"/>
    <w:rsid w:val="003B6CA7"/>
    <w:rsid w:val="003B7575"/>
    <w:rsid w:val="003C0687"/>
    <w:rsid w:val="003C218D"/>
    <w:rsid w:val="003C3608"/>
    <w:rsid w:val="003C3D89"/>
    <w:rsid w:val="003C3EE2"/>
    <w:rsid w:val="003C4224"/>
    <w:rsid w:val="003C426D"/>
    <w:rsid w:val="003C44F9"/>
    <w:rsid w:val="003C4877"/>
    <w:rsid w:val="003C4B42"/>
    <w:rsid w:val="003C4E91"/>
    <w:rsid w:val="003C6D76"/>
    <w:rsid w:val="003C72F6"/>
    <w:rsid w:val="003C73B2"/>
    <w:rsid w:val="003D073C"/>
    <w:rsid w:val="003D0791"/>
    <w:rsid w:val="003D0A1E"/>
    <w:rsid w:val="003D1130"/>
    <w:rsid w:val="003D37D4"/>
    <w:rsid w:val="003D4258"/>
    <w:rsid w:val="003D47A7"/>
    <w:rsid w:val="003D56B5"/>
    <w:rsid w:val="003D5DCC"/>
    <w:rsid w:val="003D6B84"/>
    <w:rsid w:val="003D7708"/>
    <w:rsid w:val="003E0066"/>
    <w:rsid w:val="003E0713"/>
    <w:rsid w:val="003E1A49"/>
    <w:rsid w:val="003E2D01"/>
    <w:rsid w:val="003E330E"/>
    <w:rsid w:val="003E3AE3"/>
    <w:rsid w:val="003E4CC5"/>
    <w:rsid w:val="003E55FC"/>
    <w:rsid w:val="003E5733"/>
    <w:rsid w:val="003E5E27"/>
    <w:rsid w:val="003E6C5D"/>
    <w:rsid w:val="003E6FD2"/>
    <w:rsid w:val="003E788F"/>
    <w:rsid w:val="003E7A97"/>
    <w:rsid w:val="003E7D3A"/>
    <w:rsid w:val="003F0674"/>
    <w:rsid w:val="003F0950"/>
    <w:rsid w:val="003F09C9"/>
    <w:rsid w:val="003F1BD4"/>
    <w:rsid w:val="003F4C37"/>
    <w:rsid w:val="003F67AE"/>
    <w:rsid w:val="003F6BBB"/>
    <w:rsid w:val="003F719F"/>
    <w:rsid w:val="0040033D"/>
    <w:rsid w:val="004007E1"/>
    <w:rsid w:val="00400B1F"/>
    <w:rsid w:val="00401473"/>
    <w:rsid w:val="004016B2"/>
    <w:rsid w:val="004032D2"/>
    <w:rsid w:val="00403C4F"/>
    <w:rsid w:val="004058B4"/>
    <w:rsid w:val="00405C45"/>
    <w:rsid w:val="004062EF"/>
    <w:rsid w:val="004062F0"/>
    <w:rsid w:val="0040686A"/>
    <w:rsid w:val="00406CB5"/>
    <w:rsid w:val="00407484"/>
    <w:rsid w:val="00410B8F"/>
    <w:rsid w:val="00411F21"/>
    <w:rsid w:val="00412057"/>
    <w:rsid w:val="004126C1"/>
    <w:rsid w:val="00413BA5"/>
    <w:rsid w:val="00414D7D"/>
    <w:rsid w:val="00414FD0"/>
    <w:rsid w:val="00415E8A"/>
    <w:rsid w:val="0041642D"/>
    <w:rsid w:val="00417477"/>
    <w:rsid w:val="00417C97"/>
    <w:rsid w:val="00417E93"/>
    <w:rsid w:val="00420301"/>
    <w:rsid w:val="004218AA"/>
    <w:rsid w:val="00422A2A"/>
    <w:rsid w:val="00423A98"/>
    <w:rsid w:val="004245D3"/>
    <w:rsid w:val="00424BB4"/>
    <w:rsid w:val="004258CD"/>
    <w:rsid w:val="004261D2"/>
    <w:rsid w:val="00426932"/>
    <w:rsid w:val="00427166"/>
    <w:rsid w:val="00427CEF"/>
    <w:rsid w:val="00430009"/>
    <w:rsid w:val="004303D1"/>
    <w:rsid w:val="004330E6"/>
    <w:rsid w:val="00433C0A"/>
    <w:rsid w:val="004340AF"/>
    <w:rsid w:val="00434480"/>
    <w:rsid w:val="004349FA"/>
    <w:rsid w:val="0043609D"/>
    <w:rsid w:val="004406BD"/>
    <w:rsid w:val="00442FBE"/>
    <w:rsid w:val="00443025"/>
    <w:rsid w:val="004433B1"/>
    <w:rsid w:val="00443571"/>
    <w:rsid w:val="004438E5"/>
    <w:rsid w:val="004444E3"/>
    <w:rsid w:val="004447FD"/>
    <w:rsid w:val="00445032"/>
    <w:rsid w:val="004450CB"/>
    <w:rsid w:val="00445AE7"/>
    <w:rsid w:val="00446967"/>
    <w:rsid w:val="00446AB6"/>
    <w:rsid w:val="00450EEE"/>
    <w:rsid w:val="004512B2"/>
    <w:rsid w:val="004528EE"/>
    <w:rsid w:val="00453360"/>
    <w:rsid w:val="0045638D"/>
    <w:rsid w:val="00456409"/>
    <w:rsid w:val="0045659B"/>
    <w:rsid w:val="004569C6"/>
    <w:rsid w:val="00456ADC"/>
    <w:rsid w:val="0045768F"/>
    <w:rsid w:val="00457769"/>
    <w:rsid w:val="004607D0"/>
    <w:rsid w:val="004627AE"/>
    <w:rsid w:val="00462853"/>
    <w:rsid w:val="0046298E"/>
    <w:rsid w:val="00462FC1"/>
    <w:rsid w:val="004647BB"/>
    <w:rsid w:val="0046482B"/>
    <w:rsid w:val="004648E0"/>
    <w:rsid w:val="0046500D"/>
    <w:rsid w:val="00465DD6"/>
    <w:rsid w:val="00466385"/>
    <w:rsid w:val="0046674D"/>
    <w:rsid w:val="00466AAA"/>
    <w:rsid w:val="00470194"/>
    <w:rsid w:val="00472043"/>
    <w:rsid w:val="00472F56"/>
    <w:rsid w:val="0047335E"/>
    <w:rsid w:val="00473CA1"/>
    <w:rsid w:val="00474AF5"/>
    <w:rsid w:val="0047572C"/>
    <w:rsid w:val="00476407"/>
    <w:rsid w:val="004773F7"/>
    <w:rsid w:val="00481F5F"/>
    <w:rsid w:val="004821D0"/>
    <w:rsid w:val="00482286"/>
    <w:rsid w:val="00482CB2"/>
    <w:rsid w:val="004831D8"/>
    <w:rsid w:val="00483D06"/>
    <w:rsid w:val="00485A4A"/>
    <w:rsid w:val="00485CF7"/>
    <w:rsid w:val="004862C2"/>
    <w:rsid w:val="004863F7"/>
    <w:rsid w:val="00486FFC"/>
    <w:rsid w:val="00490ED4"/>
    <w:rsid w:val="00491B91"/>
    <w:rsid w:val="00491C21"/>
    <w:rsid w:val="00491C66"/>
    <w:rsid w:val="004935D6"/>
    <w:rsid w:val="00494195"/>
    <w:rsid w:val="004945FB"/>
    <w:rsid w:val="004963C8"/>
    <w:rsid w:val="00497356"/>
    <w:rsid w:val="00497FEE"/>
    <w:rsid w:val="004A076F"/>
    <w:rsid w:val="004A0ADB"/>
    <w:rsid w:val="004A1DC1"/>
    <w:rsid w:val="004A1EB6"/>
    <w:rsid w:val="004A1F9C"/>
    <w:rsid w:val="004A31A2"/>
    <w:rsid w:val="004A3214"/>
    <w:rsid w:val="004A370B"/>
    <w:rsid w:val="004A48A7"/>
    <w:rsid w:val="004A5473"/>
    <w:rsid w:val="004A655D"/>
    <w:rsid w:val="004A6A87"/>
    <w:rsid w:val="004B01B1"/>
    <w:rsid w:val="004B08D1"/>
    <w:rsid w:val="004B10E6"/>
    <w:rsid w:val="004B198F"/>
    <w:rsid w:val="004B1C64"/>
    <w:rsid w:val="004B357D"/>
    <w:rsid w:val="004B46D0"/>
    <w:rsid w:val="004B4FFA"/>
    <w:rsid w:val="004B57B0"/>
    <w:rsid w:val="004B5A50"/>
    <w:rsid w:val="004B60CE"/>
    <w:rsid w:val="004B61C9"/>
    <w:rsid w:val="004B67F0"/>
    <w:rsid w:val="004B6994"/>
    <w:rsid w:val="004B719E"/>
    <w:rsid w:val="004B76C8"/>
    <w:rsid w:val="004C0B26"/>
    <w:rsid w:val="004C1280"/>
    <w:rsid w:val="004C12FE"/>
    <w:rsid w:val="004C1D57"/>
    <w:rsid w:val="004C2F7C"/>
    <w:rsid w:val="004C34B9"/>
    <w:rsid w:val="004C34F8"/>
    <w:rsid w:val="004C375F"/>
    <w:rsid w:val="004C3AA2"/>
    <w:rsid w:val="004C482F"/>
    <w:rsid w:val="004C49C9"/>
    <w:rsid w:val="004C627F"/>
    <w:rsid w:val="004C76C1"/>
    <w:rsid w:val="004C7DDE"/>
    <w:rsid w:val="004D0D1A"/>
    <w:rsid w:val="004D169F"/>
    <w:rsid w:val="004D18CF"/>
    <w:rsid w:val="004D28B5"/>
    <w:rsid w:val="004D30CE"/>
    <w:rsid w:val="004D4071"/>
    <w:rsid w:val="004D421A"/>
    <w:rsid w:val="004D4334"/>
    <w:rsid w:val="004D463E"/>
    <w:rsid w:val="004D4D0C"/>
    <w:rsid w:val="004D5C65"/>
    <w:rsid w:val="004D5F30"/>
    <w:rsid w:val="004D602E"/>
    <w:rsid w:val="004D6144"/>
    <w:rsid w:val="004D678F"/>
    <w:rsid w:val="004D6EB7"/>
    <w:rsid w:val="004E1264"/>
    <w:rsid w:val="004E2CBC"/>
    <w:rsid w:val="004E35F4"/>
    <w:rsid w:val="004E37B8"/>
    <w:rsid w:val="004E3DD4"/>
    <w:rsid w:val="004E5568"/>
    <w:rsid w:val="004E5C1A"/>
    <w:rsid w:val="004E63C8"/>
    <w:rsid w:val="004E6C8C"/>
    <w:rsid w:val="004E6CC7"/>
    <w:rsid w:val="004E6F82"/>
    <w:rsid w:val="004E776F"/>
    <w:rsid w:val="004E7BD2"/>
    <w:rsid w:val="004F0E40"/>
    <w:rsid w:val="004F111D"/>
    <w:rsid w:val="004F1843"/>
    <w:rsid w:val="004F1EEC"/>
    <w:rsid w:val="004F24C8"/>
    <w:rsid w:val="004F30D6"/>
    <w:rsid w:val="004F3209"/>
    <w:rsid w:val="004F34A5"/>
    <w:rsid w:val="004F40D6"/>
    <w:rsid w:val="004F6925"/>
    <w:rsid w:val="004F6A78"/>
    <w:rsid w:val="004F7ED1"/>
    <w:rsid w:val="0050158B"/>
    <w:rsid w:val="00503AE1"/>
    <w:rsid w:val="00503CA6"/>
    <w:rsid w:val="00503FAE"/>
    <w:rsid w:val="00504DC1"/>
    <w:rsid w:val="00505332"/>
    <w:rsid w:val="00505A57"/>
    <w:rsid w:val="00505D37"/>
    <w:rsid w:val="0050612B"/>
    <w:rsid w:val="00506222"/>
    <w:rsid w:val="005104E8"/>
    <w:rsid w:val="005107DB"/>
    <w:rsid w:val="00510CD4"/>
    <w:rsid w:val="00510DB0"/>
    <w:rsid w:val="005119F6"/>
    <w:rsid w:val="00511B7D"/>
    <w:rsid w:val="00511BEB"/>
    <w:rsid w:val="00511D00"/>
    <w:rsid w:val="00512779"/>
    <w:rsid w:val="005137E7"/>
    <w:rsid w:val="00516256"/>
    <w:rsid w:val="005162CF"/>
    <w:rsid w:val="0051642E"/>
    <w:rsid w:val="00517A63"/>
    <w:rsid w:val="00517C8D"/>
    <w:rsid w:val="00517FD1"/>
    <w:rsid w:val="00520E05"/>
    <w:rsid w:val="005211E0"/>
    <w:rsid w:val="005219E6"/>
    <w:rsid w:val="00521B4A"/>
    <w:rsid w:val="0052212E"/>
    <w:rsid w:val="00522E91"/>
    <w:rsid w:val="00522F64"/>
    <w:rsid w:val="0052302D"/>
    <w:rsid w:val="005236A5"/>
    <w:rsid w:val="005236F1"/>
    <w:rsid w:val="00525C9F"/>
    <w:rsid w:val="005266BD"/>
    <w:rsid w:val="0052772D"/>
    <w:rsid w:val="00527992"/>
    <w:rsid w:val="00530442"/>
    <w:rsid w:val="00531401"/>
    <w:rsid w:val="005328A6"/>
    <w:rsid w:val="00534AF0"/>
    <w:rsid w:val="00535060"/>
    <w:rsid w:val="00535617"/>
    <w:rsid w:val="00535738"/>
    <w:rsid w:val="005409EB"/>
    <w:rsid w:val="00540C96"/>
    <w:rsid w:val="00540F30"/>
    <w:rsid w:val="00541DD2"/>
    <w:rsid w:val="00543A63"/>
    <w:rsid w:val="00543AB5"/>
    <w:rsid w:val="00543B34"/>
    <w:rsid w:val="005457CF"/>
    <w:rsid w:val="00545976"/>
    <w:rsid w:val="00546219"/>
    <w:rsid w:val="00546397"/>
    <w:rsid w:val="0054660F"/>
    <w:rsid w:val="0054679B"/>
    <w:rsid w:val="00547628"/>
    <w:rsid w:val="005533C3"/>
    <w:rsid w:val="005536E6"/>
    <w:rsid w:val="00553AC3"/>
    <w:rsid w:val="00553C9E"/>
    <w:rsid w:val="00553DBA"/>
    <w:rsid w:val="00554335"/>
    <w:rsid w:val="00554642"/>
    <w:rsid w:val="00554D34"/>
    <w:rsid w:val="00555631"/>
    <w:rsid w:val="0055621D"/>
    <w:rsid w:val="00556E6C"/>
    <w:rsid w:val="0055764D"/>
    <w:rsid w:val="00560644"/>
    <w:rsid w:val="00560C6A"/>
    <w:rsid w:val="00560F85"/>
    <w:rsid w:val="005610A0"/>
    <w:rsid w:val="0056248F"/>
    <w:rsid w:val="00564985"/>
    <w:rsid w:val="00565379"/>
    <w:rsid w:val="00565FBD"/>
    <w:rsid w:val="005674C3"/>
    <w:rsid w:val="0056762B"/>
    <w:rsid w:val="00567990"/>
    <w:rsid w:val="00567C4C"/>
    <w:rsid w:val="00570B8B"/>
    <w:rsid w:val="00570C38"/>
    <w:rsid w:val="00571388"/>
    <w:rsid w:val="005728C8"/>
    <w:rsid w:val="005733AD"/>
    <w:rsid w:val="0057381A"/>
    <w:rsid w:val="00573909"/>
    <w:rsid w:val="00573ABD"/>
    <w:rsid w:val="00574B91"/>
    <w:rsid w:val="00574E5C"/>
    <w:rsid w:val="005750F7"/>
    <w:rsid w:val="0057512C"/>
    <w:rsid w:val="00575558"/>
    <w:rsid w:val="00576319"/>
    <w:rsid w:val="0057648C"/>
    <w:rsid w:val="00576AF3"/>
    <w:rsid w:val="00576CD5"/>
    <w:rsid w:val="005778EE"/>
    <w:rsid w:val="00581FF0"/>
    <w:rsid w:val="005825FC"/>
    <w:rsid w:val="00583437"/>
    <w:rsid w:val="00583CE0"/>
    <w:rsid w:val="00584259"/>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899"/>
    <w:rsid w:val="005A0C60"/>
    <w:rsid w:val="005A11C9"/>
    <w:rsid w:val="005A209D"/>
    <w:rsid w:val="005A255F"/>
    <w:rsid w:val="005A330E"/>
    <w:rsid w:val="005A355C"/>
    <w:rsid w:val="005A3646"/>
    <w:rsid w:val="005A3D2C"/>
    <w:rsid w:val="005A5554"/>
    <w:rsid w:val="005A5651"/>
    <w:rsid w:val="005A5E81"/>
    <w:rsid w:val="005A616B"/>
    <w:rsid w:val="005A62A7"/>
    <w:rsid w:val="005A6AFE"/>
    <w:rsid w:val="005A7BF3"/>
    <w:rsid w:val="005A7DE0"/>
    <w:rsid w:val="005B0AEF"/>
    <w:rsid w:val="005B37D9"/>
    <w:rsid w:val="005B445B"/>
    <w:rsid w:val="005B474E"/>
    <w:rsid w:val="005B489A"/>
    <w:rsid w:val="005B5601"/>
    <w:rsid w:val="005B63A6"/>
    <w:rsid w:val="005B64D1"/>
    <w:rsid w:val="005B6A88"/>
    <w:rsid w:val="005B6E05"/>
    <w:rsid w:val="005B798E"/>
    <w:rsid w:val="005B7F42"/>
    <w:rsid w:val="005C1D45"/>
    <w:rsid w:val="005C39A6"/>
    <w:rsid w:val="005C3C9B"/>
    <w:rsid w:val="005C42AB"/>
    <w:rsid w:val="005C45C0"/>
    <w:rsid w:val="005C5335"/>
    <w:rsid w:val="005C56A6"/>
    <w:rsid w:val="005C5D7B"/>
    <w:rsid w:val="005C5E29"/>
    <w:rsid w:val="005C6474"/>
    <w:rsid w:val="005C6A68"/>
    <w:rsid w:val="005C7FA5"/>
    <w:rsid w:val="005D0083"/>
    <w:rsid w:val="005D0186"/>
    <w:rsid w:val="005D0AE3"/>
    <w:rsid w:val="005D1103"/>
    <w:rsid w:val="005D122F"/>
    <w:rsid w:val="005D22C5"/>
    <w:rsid w:val="005D276D"/>
    <w:rsid w:val="005D4D53"/>
    <w:rsid w:val="005D5912"/>
    <w:rsid w:val="005D69CB"/>
    <w:rsid w:val="005D76DD"/>
    <w:rsid w:val="005D794C"/>
    <w:rsid w:val="005D7A9F"/>
    <w:rsid w:val="005D7AA2"/>
    <w:rsid w:val="005E1FF7"/>
    <w:rsid w:val="005E2154"/>
    <w:rsid w:val="005E2FC7"/>
    <w:rsid w:val="005E37B9"/>
    <w:rsid w:val="005E3AE1"/>
    <w:rsid w:val="005E427F"/>
    <w:rsid w:val="005E4574"/>
    <w:rsid w:val="005E4BBE"/>
    <w:rsid w:val="005E4C97"/>
    <w:rsid w:val="005E5014"/>
    <w:rsid w:val="005E61B1"/>
    <w:rsid w:val="005E684F"/>
    <w:rsid w:val="005E77BA"/>
    <w:rsid w:val="005E7CDE"/>
    <w:rsid w:val="005F0112"/>
    <w:rsid w:val="005F0203"/>
    <w:rsid w:val="005F03E3"/>
    <w:rsid w:val="005F0829"/>
    <w:rsid w:val="005F16DC"/>
    <w:rsid w:val="005F32BE"/>
    <w:rsid w:val="005F34FB"/>
    <w:rsid w:val="005F39A0"/>
    <w:rsid w:val="005F546B"/>
    <w:rsid w:val="005F6B68"/>
    <w:rsid w:val="005F6F2E"/>
    <w:rsid w:val="005F7D85"/>
    <w:rsid w:val="00601A1F"/>
    <w:rsid w:val="00602655"/>
    <w:rsid w:val="00603B68"/>
    <w:rsid w:val="00605297"/>
    <w:rsid w:val="0060590E"/>
    <w:rsid w:val="00605CB9"/>
    <w:rsid w:val="006065BF"/>
    <w:rsid w:val="00607C00"/>
    <w:rsid w:val="00610430"/>
    <w:rsid w:val="006114E4"/>
    <w:rsid w:val="00611858"/>
    <w:rsid w:val="006138F5"/>
    <w:rsid w:val="00614EB1"/>
    <w:rsid w:val="00614F67"/>
    <w:rsid w:val="00615277"/>
    <w:rsid w:val="00615519"/>
    <w:rsid w:val="00615C13"/>
    <w:rsid w:val="00615CED"/>
    <w:rsid w:val="00615CFC"/>
    <w:rsid w:val="0061615F"/>
    <w:rsid w:val="00617A92"/>
    <w:rsid w:val="00620CEE"/>
    <w:rsid w:val="00622558"/>
    <w:rsid w:val="00622B88"/>
    <w:rsid w:val="00622D5F"/>
    <w:rsid w:val="00622EAE"/>
    <w:rsid w:val="0062334E"/>
    <w:rsid w:val="00623A4F"/>
    <w:rsid w:val="00624D17"/>
    <w:rsid w:val="00624F56"/>
    <w:rsid w:val="00626594"/>
    <w:rsid w:val="00630442"/>
    <w:rsid w:val="0063048C"/>
    <w:rsid w:val="00630846"/>
    <w:rsid w:val="00630FCD"/>
    <w:rsid w:val="006319C2"/>
    <w:rsid w:val="00631FF6"/>
    <w:rsid w:val="006326AB"/>
    <w:rsid w:val="0063292C"/>
    <w:rsid w:val="0063312C"/>
    <w:rsid w:val="00633DBC"/>
    <w:rsid w:val="00634CA3"/>
    <w:rsid w:val="00634EBF"/>
    <w:rsid w:val="006351AD"/>
    <w:rsid w:val="00635449"/>
    <w:rsid w:val="00635A2A"/>
    <w:rsid w:val="00636406"/>
    <w:rsid w:val="00636477"/>
    <w:rsid w:val="00636A63"/>
    <w:rsid w:val="00636C79"/>
    <w:rsid w:val="00636DCB"/>
    <w:rsid w:val="00636DE3"/>
    <w:rsid w:val="00636F89"/>
    <w:rsid w:val="0063700D"/>
    <w:rsid w:val="00637470"/>
    <w:rsid w:val="00637E13"/>
    <w:rsid w:val="006400BB"/>
    <w:rsid w:val="00640D89"/>
    <w:rsid w:val="00640F58"/>
    <w:rsid w:val="00641203"/>
    <w:rsid w:val="00641776"/>
    <w:rsid w:val="00642EA2"/>
    <w:rsid w:val="00642FD7"/>
    <w:rsid w:val="00644A9D"/>
    <w:rsid w:val="0064656E"/>
    <w:rsid w:val="00646A72"/>
    <w:rsid w:val="00646DF5"/>
    <w:rsid w:val="00650397"/>
    <w:rsid w:val="006507E8"/>
    <w:rsid w:val="00650C73"/>
    <w:rsid w:val="00651143"/>
    <w:rsid w:val="0065116C"/>
    <w:rsid w:val="006514B7"/>
    <w:rsid w:val="00651959"/>
    <w:rsid w:val="00653149"/>
    <w:rsid w:val="006531E4"/>
    <w:rsid w:val="00653432"/>
    <w:rsid w:val="00654505"/>
    <w:rsid w:val="00656672"/>
    <w:rsid w:val="006575A1"/>
    <w:rsid w:val="006575ED"/>
    <w:rsid w:val="006578FD"/>
    <w:rsid w:val="00660060"/>
    <w:rsid w:val="006609AA"/>
    <w:rsid w:val="00662350"/>
    <w:rsid w:val="00662EDE"/>
    <w:rsid w:val="0066375D"/>
    <w:rsid w:val="00664297"/>
    <w:rsid w:val="0066435C"/>
    <w:rsid w:val="00664C9F"/>
    <w:rsid w:val="00666548"/>
    <w:rsid w:val="00666A71"/>
    <w:rsid w:val="00667537"/>
    <w:rsid w:val="006700EC"/>
    <w:rsid w:val="00670865"/>
    <w:rsid w:val="00671252"/>
    <w:rsid w:val="00671439"/>
    <w:rsid w:val="00671AED"/>
    <w:rsid w:val="006721E0"/>
    <w:rsid w:val="006725B5"/>
    <w:rsid w:val="00673521"/>
    <w:rsid w:val="00673767"/>
    <w:rsid w:val="00673F39"/>
    <w:rsid w:val="006746AC"/>
    <w:rsid w:val="0067571B"/>
    <w:rsid w:val="00675E37"/>
    <w:rsid w:val="0067663E"/>
    <w:rsid w:val="00676EAF"/>
    <w:rsid w:val="00677850"/>
    <w:rsid w:val="006802CC"/>
    <w:rsid w:val="00680657"/>
    <w:rsid w:val="00680917"/>
    <w:rsid w:val="00680B1A"/>
    <w:rsid w:val="00680BD9"/>
    <w:rsid w:val="00681B4A"/>
    <w:rsid w:val="00681D07"/>
    <w:rsid w:val="00681EDA"/>
    <w:rsid w:val="00682017"/>
    <w:rsid w:val="00682AAD"/>
    <w:rsid w:val="00682C61"/>
    <w:rsid w:val="00683667"/>
    <w:rsid w:val="006868CA"/>
    <w:rsid w:val="00686E32"/>
    <w:rsid w:val="00687571"/>
    <w:rsid w:val="0069087A"/>
    <w:rsid w:val="00690B4B"/>
    <w:rsid w:val="00690BE4"/>
    <w:rsid w:val="00691077"/>
    <w:rsid w:val="00691982"/>
    <w:rsid w:val="00691BB0"/>
    <w:rsid w:val="00692777"/>
    <w:rsid w:val="00692BE0"/>
    <w:rsid w:val="00692C98"/>
    <w:rsid w:val="0069324E"/>
    <w:rsid w:val="00694487"/>
    <w:rsid w:val="00695812"/>
    <w:rsid w:val="00695815"/>
    <w:rsid w:val="0069581B"/>
    <w:rsid w:val="00695892"/>
    <w:rsid w:val="00696601"/>
    <w:rsid w:val="006977FA"/>
    <w:rsid w:val="006A0368"/>
    <w:rsid w:val="006A05C8"/>
    <w:rsid w:val="006A1C20"/>
    <w:rsid w:val="006A20FB"/>
    <w:rsid w:val="006A25B6"/>
    <w:rsid w:val="006A261F"/>
    <w:rsid w:val="006A339D"/>
    <w:rsid w:val="006A3DAD"/>
    <w:rsid w:val="006A4462"/>
    <w:rsid w:val="006A5B59"/>
    <w:rsid w:val="006A6A14"/>
    <w:rsid w:val="006A753A"/>
    <w:rsid w:val="006A777C"/>
    <w:rsid w:val="006A78DA"/>
    <w:rsid w:val="006A7C46"/>
    <w:rsid w:val="006B0F76"/>
    <w:rsid w:val="006B1F20"/>
    <w:rsid w:val="006B398A"/>
    <w:rsid w:val="006B3E04"/>
    <w:rsid w:val="006B4024"/>
    <w:rsid w:val="006B47D2"/>
    <w:rsid w:val="006B47D7"/>
    <w:rsid w:val="006B499D"/>
    <w:rsid w:val="006B5041"/>
    <w:rsid w:val="006B52CB"/>
    <w:rsid w:val="006B643D"/>
    <w:rsid w:val="006B6AAE"/>
    <w:rsid w:val="006B79A4"/>
    <w:rsid w:val="006C1254"/>
    <w:rsid w:val="006C2DC5"/>
    <w:rsid w:val="006C2F6F"/>
    <w:rsid w:val="006C33F5"/>
    <w:rsid w:val="006C41ED"/>
    <w:rsid w:val="006C480B"/>
    <w:rsid w:val="006C4B18"/>
    <w:rsid w:val="006C570B"/>
    <w:rsid w:val="006C572E"/>
    <w:rsid w:val="006C5997"/>
    <w:rsid w:val="006C5CD2"/>
    <w:rsid w:val="006D0636"/>
    <w:rsid w:val="006D06DC"/>
    <w:rsid w:val="006D09DA"/>
    <w:rsid w:val="006D1F1C"/>
    <w:rsid w:val="006D28F1"/>
    <w:rsid w:val="006D6E46"/>
    <w:rsid w:val="006D7FA8"/>
    <w:rsid w:val="006E1550"/>
    <w:rsid w:val="006E1BE9"/>
    <w:rsid w:val="006E2952"/>
    <w:rsid w:val="006E2EA1"/>
    <w:rsid w:val="006E4601"/>
    <w:rsid w:val="006E4DDF"/>
    <w:rsid w:val="006E5B86"/>
    <w:rsid w:val="006E5D68"/>
    <w:rsid w:val="006E63FF"/>
    <w:rsid w:val="006E652D"/>
    <w:rsid w:val="006E7572"/>
    <w:rsid w:val="006F2F22"/>
    <w:rsid w:val="006F434A"/>
    <w:rsid w:val="006F74F0"/>
    <w:rsid w:val="006F7974"/>
    <w:rsid w:val="007006F1"/>
    <w:rsid w:val="00700A60"/>
    <w:rsid w:val="00701215"/>
    <w:rsid w:val="00703B34"/>
    <w:rsid w:val="00703D69"/>
    <w:rsid w:val="00705027"/>
    <w:rsid w:val="00707887"/>
    <w:rsid w:val="007101D7"/>
    <w:rsid w:val="00710494"/>
    <w:rsid w:val="007117BD"/>
    <w:rsid w:val="00712790"/>
    <w:rsid w:val="00712C84"/>
    <w:rsid w:val="00715129"/>
    <w:rsid w:val="007154CE"/>
    <w:rsid w:val="00715B25"/>
    <w:rsid w:val="00716020"/>
    <w:rsid w:val="007161DF"/>
    <w:rsid w:val="00720092"/>
    <w:rsid w:val="0072027F"/>
    <w:rsid w:val="00720860"/>
    <w:rsid w:val="00720C3A"/>
    <w:rsid w:val="00721087"/>
    <w:rsid w:val="00721530"/>
    <w:rsid w:val="00721A38"/>
    <w:rsid w:val="007225D3"/>
    <w:rsid w:val="00723422"/>
    <w:rsid w:val="00724A9F"/>
    <w:rsid w:val="00725730"/>
    <w:rsid w:val="007260FE"/>
    <w:rsid w:val="00726529"/>
    <w:rsid w:val="00726DD6"/>
    <w:rsid w:val="00727287"/>
    <w:rsid w:val="007301ED"/>
    <w:rsid w:val="0073076E"/>
    <w:rsid w:val="00731C0C"/>
    <w:rsid w:val="00731E3D"/>
    <w:rsid w:val="00733416"/>
    <w:rsid w:val="0073377E"/>
    <w:rsid w:val="007337FE"/>
    <w:rsid w:val="00733E05"/>
    <w:rsid w:val="0073508D"/>
    <w:rsid w:val="00735C8A"/>
    <w:rsid w:val="00735FE2"/>
    <w:rsid w:val="0073699D"/>
    <w:rsid w:val="0073719A"/>
    <w:rsid w:val="00737C62"/>
    <w:rsid w:val="00737C91"/>
    <w:rsid w:val="0074130E"/>
    <w:rsid w:val="00743937"/>
    <w:rsid w:val="00743CFE"/>
    <w:rsid w:val="00743F24"/>
    <w:rsid w:val="00744889"/>
    <w:rsid w:val="00744910"/>
    <w:rsid w:val="00745210"/>
    <w:rsid w:val="0074584F"/>
    <w:rsid w:val="00745BA4"/>
    <w:rsid w:val="00745E8A"/>
    <w:rsid w:val="007462E8"/>
    <w:rsid w:val="00746F2D"/>
    <w:rsid w:val="0074734F"/>
    <w:rsid w:val="00750177"/>
    <w:rsid w:val="0075057F"/>
    <w:rsid w:val="0075066D"/>
    <w:rsid w:val="0075089B"/>
    <w:rsid w:val="00752322"/>
    <w:rsid w:val="00752AEC"/>
    <w:rsid w:val="00752FBA"/>
    <w:rsid w:val="00753324"/>
    <w:rsid w:val="0075458D"/>
    <w:rsid w:val="007554A9"/>
    <w:rsid w:val="007556F5"/>
    <w:rsid w:val="00757105"/>
    <w:rsid w:val="00757B82"/>
    <w:rsid w:val="0076281A"/>
    <w:rsid w:val="00762ADE"/>
    <w:rsid w:val="0076365D"/>
    <w:rsid w:val="007642DC"/>
    <w:rsid w:val="007648CC"/>
    <w:rsid w:val="007660E6"/>
    <w:rsid w:val="007661A9"/>
    <w:rsid w:val="007662C0"/>
    <w:rsid w:val="0076742F"/>
    <w:rsid w:val="00767712"/>
    <w:rsid w:val="00767D3C"/>
    <w:rsid w:val="007705C5"/>
    <w:rsid w:val="007711D0"/>
    <w:rsid w:val="007712E6"/>
    <w:rsid w:val="00771D3D"/>
    <w:rsid w:val="007727C3"/>
    <w:rsid w:val="007728AB"/>
    <w:rsid w:val="00772CFE"/>
    <w:rsid w:val="00772E46"/>
    <w:rsid w:val="007730CF"/>
    <w:rsid w:val="00773FD4"/>
    <w:rsid w:val="00774756"/>
    <w:rsid w:val="00774F09"/>
    <w:rsid w:val="00775181"/>
    <w:rsid w:val="007751B6"/>
    <w:rsid w:val="00775345"/>
    <w:rsid w:val="007760E5"/>
    <w:rsid w:val="0077648F"/>
    <w:rsid w:val="00776A33"/>
    <w:rsid w:val="00776F15"/>
    <w:rsid w:val="00777512"/>
    <w:rsid w:val="007779ED"/>
    <w:rsid w:val="00780749"/>
    <w:rsid w:val="00780AF1"/>
    <w:rsid w:val="00780B1A"/>
    <w:rsid w:val="007810D3"/>
    <w:rsid w:val="0078264A"/>
    <w:rsid w:val="00783D11"/>
    <w:rsid w:val="00785755"/>
    <w:rsid w:val="007859A5"/>
    <w:rsid w:val="00785E46"/>
    <w:rsid w:val="0078738B"/>
    <w:rsid w:val="00787917"/>
    <w:rsid w:val="00791489"/>
    <w:rsid w:val="00791683"/>
    <w:rsid w:val="007927EC"/>
    <w:rsid w:val="00792F0C"/>
    <w:rsid w:val="00795460"/>
    <w:rsid w:val="00796CF7"/>
    <w:rsid w:val="00796DC0"/>
    <w:rsid w:val="007A0313"/>
    <w:rsid w:val="007A0A83"/>
    <w:rsid w:val="007A2103"/>
    <w:rsid w:val="007A3F74"/>
    <w:rsid w:val="007A4BB3"/>
    <w:rsid w:val="007A5DA2"/>
    <w:rsid w:val="007A6307"/>
    <w:rsid w:val="007A6822"/>
    <w:rsid w:val="007A68EA"/>
    <w:rsid w:val="007A724D"/>
    <w:rsid w:val="007A749D"/>
    <w:rsid w:val="007A7B37"/>
    <w:rsid w:val="007B024C"/>
    <w:rsid w:val="007B08AE"/>
    <w:rsid w:val="007B1C4C"/>
    <w:rsid w:val="007B1CCB"/>
    <w:rsid w:val="007B2800"/>
    <w:rsid w:val="007B2BCA"/>
    <w:rsid w:val="007B2EEC"/>
    <w:rsid w:val="007B38F7"/>
    <w:rsid w:val="007B40D4"/>
    <w:rsid w:val="007B4511"/>
    <w:rsid w:val="007B505A"/>
    <w:rsid w:val="007B5C86"/>
    <w:rsid w:val="007B6071"/>
    <w:rsid w:val="007B6540"/>
    <w:rsid w:val="007B65EB"/>
    <w:rsid w:val="007B69A2"/>
    <w:rsid w:val="007B760A"/>
    <w:rsid w:val="007B7DE8"/>
    <w:rsid w:val="007C05E3"/>
    <w:rsid w:val="007C09C4"/>
    <w:rsid w:val="007C0B5E"/>
    <w:rsid w:val="007C2585"/>
    <w:rsid w:val="007C25E9"/>
    <w:rsid w:val="007C2F78"/>
    <w:rsid w:val="007C34C5"/>
    <w:rsid w:val="007C4079"/>
    <w:rsid w:val="007C4121"/>
    <w:rsid w:val="007C4776"/>
    <w:rsid w:val="007C4827"/>
    <w:rsid w:val="007C4A20"/>
    <w:rsid w:val="007D0B7F"/>
    <w:rsid w:val="007D1266"/>
    <w:rsid w:val="007D1280"/>
    <w:rsid w:val="007D1A0E"/>
    <w:rsid w:val="007D1B94"/>
    <w:rsid w:val="007D346C"/>
    <w:rsid w:val="007D458D"/>
    <w:rsid w:val="007D4E8C"/>
    <w:rsid w:val="007D538F"/>
    <w:rsid w:val="007D668A"/>
    <w:rsid w:val="007E09E2"/>
    <w:rsid w:val="007E0FF5"/>
    <w:rsid w:val="007E1012"/>
    <w:rsid w:val="007E17CD"/>
    <w:rsid w:val="007E24ED"/>
    <w:rsid w:val="007E374B"/>
    <w:rsid w:val="007E39DE"/>
    <w:rsid w:val="007E3F53"/>
    <w:rsid w:val="007E623F"/>
    <w:rsid w:val="007E6A8A"/>
    <w:rsid w:val="007E7997"/>
    <w:rsid w:val="007E7B47"/>
    <w:rsid w:val="007F04EF"/>
    <w:rsid w:val="007F0BC0"/>
    <w:rsid w:val="007F14A0"/>
    <w:rsid w:val="007F2DFD"/>
    <w:rsid w:val="007F342F"/>
    <w:rsid w:val="007F38D1"/>
    <w:rsid w:val="007F56BB"/>
    <w:rsid w:val="007F5844"/>
    <w:rsid w:val="007F63CE"/>
    <w:rsid w:val="007F6EA4"/>
    <w:rsid w:val="007F7DF9"/>
    <w:rsid w:val="008002A5"/>
    <w:rsid w:val="0080050E"/>
    <w:rsid w:val="00800521"/>
    <w:rsid w:val="00801329"/>
    <w:rsid w:val="00801424"/>
    <w:rsid w:val="00801AA4"/>
    <w:rsid w:val="00801B7E"/>
    <w:rsid w:val="008021B9"/>
    <w:rsid w:val="00802468"/>
    <w:rsid w:val="00803402"/>
    <w:rsid w:val="00804C21"/>
    <w:rsid w:val="008064BD"/>
    <w:rsid w:val="00806E68"/>
    <w:rsid w:val="00807FC3"/>
    <w:rsid w:val="00810034"/>
    <w:rsid w:val="008102C9"/>
    <w:rsid w:val="008109B0"/>
    <w:rsid w:val="008114CF"/>
    <w:rsid w:val="008115AC"/>
    <w:rsid w:val="008117CC"/>
    <w:rsid w:val="00811AB3"/>
    <w:rsid w:val="0081354C"/>
    <w:rsid w:val="0081421D"/>
    <w:rsid w:val="00814ADB"/>
    <w:rsid w:val="00814C35"/>
    <w:rsid w:val="00815C5D"/>
    <w:rsid w:val="0081618F"/>
    <w:rsid w:val="008174D1"/>
    <w:rsid w:val="008178B2"/>
    <w:rsid w:val="00817948"/>
    <w:rsid w:val="00821049"/>
    <w:rsid w:val="0082165E"/>
    <w:rsid w:val="00822136"/>
    <w:rsid w:val="00822370"/>
    <w:rsid w:val="00822AAF"/>
    <w:rsid w:val="00822F01"/>
    <w:rsid w:val="008232A6"/>
    <w:rsid w:val="00823898"/>
    <w:rsid w:val="008239D1"/>
    <w:rsid w:val="00824071"/>
    <w:rsid w:val="008246B2"/>
    <w:rsid w:val="0082488A"/>
    <w:rsid w:val="00824C08"/>
    <w:rsid w:val="008250F6"/>
    <w:rsid w:val="00825210"/>
    <w:rsid w:val="00825840"/>
    <w:rsid w:val="00826560"/>
    <w:rsid w:val="00826CBB"/>
    <w:rsid w:val="0082713C"/>
    <w:rsid w:val="00827180"/>
    <w:rsid w:val="0082770D"/>
    <w:rsid w:val="00827B6D"/>
    <w:rsid w:val="00827C90"/>
    <w:rsid w:val="00827E3D"/>
    <w:rsid w:val="00827EAB"/>
    <w:rsid w:val="0083004E"/>
    <w:rsid w:val="00830B3B"/>
    <w:rsid w:val="00831EAF"/>
    <w:rsid w:val="00832288"/>
    <w:rsid w:val="008326D6"/>
    <w:rsid w:val="00832AA0"/>
    <w:rsid w:val="00833179"/>
    <w:rsid w:val="008337EA"/>
    <w:rsid w:val="00833839"/>
    <w:rsid w:val="00833B4A"/>
    <w:rsid w:val="00833D15"/>
    <w:rsid w:val="008344C4"/>
    <w:rsid w:val="008348DA"/>
    <w:rsid w:val="00835621"/>
    <w:rsid w:val="008362AE"/>
    <w:rsid w:val="00837719"/>
    <w:rsid w:val="00840419"/>
    <w:rsid w:val="00840A24"/>
    <w:rsid w:val="00840AC3"/>
    <w:rsid w:val="00840F1B"/>
    <w:rsid w:val="0084117A"/>
    <w:rsid w:val="008418C0"/>
    <w:rsid w:val="00842827"/>
    <w:rsid w:val="00842965"/>
    <w:rsid w:val="00842BFF"/>
    <w:rsid w:val="00844300"/>
    <w:rsid w:val="008458BD"/>
    <w:rsid w:val="008467C9"/>
    <w:rsid w:val="00846956"/>
    <w:rsid w:val="00846CF1"/>
    <w:rsid w:val="008472A7"/>
    <w:rsid w:val="00847622"/>
    <w:rsid w:val="00847A27"/>
    <w:rsid w:val="0085050A"/>
    <w:rsid w:val="008505B8"/>
    <w:rsid w:val="008508EC"/>
    <w:rsid w:val="00851005"/>
    <w:rsid w:val="00851ADD"/>
    <w:rsid w:val="00853011"/>
    <w:rsid w:val="00854F1B"/>
    <w:rsid w:val="00855438"/>
    <w:rsid w:val="00855810"/>
    <w:rsid w:val="00855CA6"/>
    <w:rsid w:val="00856F2A"/>
    <w:rsid w:val="0085703A"/>
    <w:rsid w:val="00860323"/>
    <w:rsid w:val="00860F4F"/>
    <w:rsid w:val="008610B9"/>
    <w:rsid w:val="00862656"/>
    <w:rsid w:val="00863013"/>
    <w:rsid w:val="00863F67"/>
    <w:rsid w:val="0086483A"/>
    <w:rsid w:val="008700AD"/>
    <w:rsid w:val="0087049C"/>
    <w:rsid w:val="00870AAD"/>
    <w:rsid w:val="00870B60"/>
    <w:rsid w:val="00870EDE"/>
    <w:rsid w:val="008712C1"/>
    <w:rsid w:val="00871DA0"/>
    <w:rsid w:val="00871F21"/>
    <w:rsid w:val="00872030"/>
    <w:rsid w:val="00873973"/>
    <w:rsid w:val="0087479C"/>
    <w:rsid w:val="008750EB"/>
    <w:rsid w:val="00875C28"/>
    <w:rsid w:val="00875E75"/>
    <w:rsid w:val="0087658F"/>
    <w:rsid w:val="00877447"/>
    <w:rsid w:val="0087762E"/>
    <w:rsid w:val="00877823"/>
    <w:rsid w:val="008803F5"/>
    <w:rsid w:val="008805D3"/>
    <w:rsid w:val="008812BF"/>
    <w:rsid w:val="00881341"/>
    <w:rsid w:val="00881442"/>
    <w:rsid w:val="008828D5"/>
    <w:rsid w:val="00882931"/>
    <w:rsid w:val="00884590"/>
    <w:rsid w:val="008846B5"/>
    <w:rsid w:val="00884939"/>
    <w:rsid w:val="00884A28"/>
    <w:rsid w:val="008853E0"/>
    <w:rsid w:val="00885BE2"/>
    <w:rsid w:val="008863C8"/>
    <w:rsid w:val="00886D40"/>
    <w:rsid w:val="008873BF"/>
    <w:rsid w:val="00887A0E"/>
    <w:rsid w:val="0089059B"/>
    <w:rsid w:val="008907F3"/>
    <w:rsid w:val="00891636"/>
    <w:rsid w:val="008920C2"/>
    <w:rsid w:val="0089341D"/>
    <w:rsid w:val="00895702"/>
    <w:rsid w:val="00897566"/>
    <w:rsid w:val="0089757B"/>
    <w:rsid w:val="008976B4"/>
    <w:rsid w:val="008A05D9"/>
    <w:rsid w:val="008A1594"/>
    <w:rsid w:val="008A1757"/>
    <w:rsid w:val="008A1CE6"/>
    <w:rsid w:val="008A1F25"/>
    <w:rsid w:val="008A1FFB"/>
    <w:rsid w:val="008A47FB"/>
    <w:rsid w:val="008A49D1"/>
    <w:rsid w:val="008A5234"/>
    <w:rsid w:val="008A5397"/>
    <w:rsid w:val="008A6861"/>
    <w:rsid w:val="008A6B4D"/>
    <w:rsid w:val="008A71DD"/>
    <w:rsid w:val="008A7522"/>
    <w:rsid w:val="008A7B55"/>
    <w:rsid w:val="008B0578"/>
    <w:rsid w:val="008B0DC7"/>
    <w:rsid w:val="008B170D"/>
    <w:rsid w:val="008B1725"/>
    <w:rsid w:val="008B2026"/>
    <w:rsid w:val="008B39B8"/>
    <w:rsid w:val="008B4941"/>
    <w:rsid w:val="008B4984"/>
    <w:rsid w:val="008B4F60"/>
    <w:rsid w:val="008B559A"/>
    <w:rsid w:val="008B5697"/>
    <w:rsid w:val="008B598F"/>
    <w:rsid w:val="008B66A5"/>
    <w:rsid w:val="008B7F4A"/>
    <w:rsid w:val="008C0202"/>
    <w:rsid w:val="008C0955"/>
    <w:rsid w:val="008C0D2E"/>
    <w:rsid w:val="008C1056"/>
    <w:rsid w:val="008C177A"/>
    <w:rsid w:val="008C2729"/>
    <w:rsid w:val="008C3347"/>
    <w:rsid w:val="008C39D6"/>
    <w:rsid w:val="008C3B96"/>
    <w:rsid w:val="008C4339"/>
    <w:rsid w:val="008C43BF"/>
    <w:rsid w:val="008C532F"/>
    <w:rsid w:val="008C60C3"/>
    <w:rsid w:val="008C664C"/>
    <w:rsid w:val="008C72EB"/>
    <w:rsid w:val="008C74AD"/>
    <w:rsid w:val="008C7736"/>
    <w:rsid w:val="008D0948"/>
    <w:rsid w:val="008D1CBA"/>
    <w:rsid w:val="008D311C"/>
    <w:rsid w:val="008D31D2"/>
    <w:rsid w:val="008D3CC5"/>
    <w:rsid w:val="008D54E6"/>
    <w:rsid w:val="008D564A"/>
    <w:rsid w:val="008D5915"/>
    <w:rsid w:val="008D5E47"/>
    <w:rsid w:val="008D64F3"/>
    <w:rsid w:val="008D7D8C"/>
    <w:rsid w:val="008E004E"/>
    <w:rsid w:val="008E04FB"/>
    <w:rsid w:val="008E35DD"/>
    <w:rsid w:val="008E3E4B"/>
    <w:rsid w:val="008E3E79"/>
    <w:rsid w:val="008E5282"/>
    <w:rsid w:val="008E5E2C"/>
    <w:rsid w:val="008E7664"/>
    <w:rsid w:val="008E78F1"/>
    <w:rsid w:val="008F02ED"/>
    <w:rsid w:val="008F036F"/>
    <w:rsid w:val="008F03CE"/>
    <w:rsid w:val="008F075B"/>
    <w:rsid w:val="008F0776"/>
    <w:rsid w:val="008F0E9E"/>
    <w:rsid w:val="008F2669"/>
    <w:rsid w:val="008F2913"/>
    <w:rsid w:val="008F2A4E"/>
    <w:rsid w:val="008F2AE9"/>
    <w:rsid w:val="008F332B"/>
    <w:rsid w:val="008F52D0"/>
    <w:rsid w:val="008F58BB"/>
    <w:rsid w:val="008F6106"/>
    <w:rsid w:val="008F791D"/>
    <w:rsid w:val="008F7F7B"/>
    <w:rsid w:val="00900959"/>
    <w:rsid w:val="00901900"/>
    <w:rsid w:val="0090197D"/>
    <w:rsid w:val="00901B7A"/>
    <w:rsid w:val="00901EE8"/>
    <w:rsid w:val="00901F6C"/>
    <w:rsid w:val="0090266B"/>
    <w:rsid w:val="00902B99"/>
    <w:rsid w:val="00902F06"/>
    <w:rsid w:val="009035DB"/>
    <w:rsid w:val="00904671"/>
    <w:rsid w:val="00905BC5"/>
    <w:rsid w:val="009064AA"/>
    <w:rsid w:val="00906563"/>
    <w:rsid w:val="00910E6B"/>
    <w:rsid w:val="00912257"/>
    <w:rsid w:val="00913495"/>
    <w:rsid w:val="00913874"/>
    <w:rsid w:val="009148A4"/>
    <w:rsid w:val="00916035"/>
    <w:rsid w:val="009163CC"/>
    <w:rsid w:val="0091674C"/>
    <w:rsid w:val="00916862"/>
    <w:rsid w:val="00916B2A"/>
    <w:rsid w:val="00916D96"/>
    <w:rsid w:val="00917389"/>
    <w:rsid w:val="009174F7"/>
    <w:rsid w:val="00917E76"/>
    <w:rsid w:val="00920167"/>
    <w:rsid w:val="00921A29"/>
    <w:rsid w:val="00921BB8"/>
    <w:rsid w:val="00921D28"/>
    <w:rsid w:val="00922034"/>
    <w:rsid w:val="0092266C"/>
    <w:rsid w:val="009241E8"/>
    <w:rsid w:val="00924A2C"/>
    <w:rsid w:val="00925956"/>
    <w:rsid w:val="00925DD2"/>
    <w:rsid w:val="00926344"/>
    <w:rsid w:val="00926929"/>
    <w:rsid w:val="00927301"/>
    <w:rsid w:val="00927389"/>
    <w:rsid w:val="00927E9D"/>
    <w:rsid w:val="0093096F"/>
    <w:rsid w:val="00931859"/>
    <w:rsid w:val="00931D1A"/>
    <w:rsid w:val="0093205C"/>
    <w:rsid w:val="009343F5"/>
    <w:rsid w:val="0093456A"/>
    <w:rsid w:val="009345AE"/>
    <w:rsid w:val="009345F7"/>
    <w:rsid w:val="00934D53"/>
    <w:rsid w:val="00935301"/>
    <w:rsid w:val="0093635D"/>
    <w:rsid w:val="00936F64"/>
    <w:rsid w:val="00937540"/>
    <w:rsid w:val="00937B8E"/>
    <w:rsid w:val="00940C5B"/>
    <w:rsid w:val="009411F7"/>
    <w:rsid w:val="00941420"/>
    <w:rsid w:val="009417F1"/>
    <w:rsid w:val="00941A84"/>
    <w:rsid w:val="0094204A"/>
    <w:rsid w:val="009443ED"/>
    <w:rsid w:val="00945A2A"/>
    <w:rsid w:val="00945DBF"/>
    <w:rsid w:val="00946042"/>
    <w:rsid w:val="00946AB3"/>
    <w:rsid w:val="00947074"/>
    <w:rsid w:val="0094752A"/>
    <w:rsid w:val="00947D01"/>
    <w:rsid w:val="009503EA"/>
    <w:rsid w:val="009509F7"/>
    <w:rsid w:val="0095112D"/>
    <w:rsid w:val="00952124"/>
    <w:rsid w:val="00953DE4"/>
    <w:rsid w:val="00956244"/>
    <w:rsid w:val="00956A06"/>
    <w:rsid w:val="00956B31"/>
    <w:rsid w:val="00957219"/>
    <w:rsid w:val="00957435"/>
    <w:rsid w:val="009578D0"/>
    <w:rsid w:val="009600C6"/>
    <w:rsid w:val="00960C54"/>
    <w:rsid w:val="00960D80"/>
    <w:rsid w:val="009621CE"/>
    <w:rsid w:val="009622BF"/>
    <w:rsid w:val="009651B8"/>
    <w:rsid w:val="009653F3"/>
    <w:rsid w:val="0096587A"/>
    <w:rsid w:val="009666E7"/>
    <w:rsid w:val="00966C90"/>
    <w:rsid w:val="00967278"/>
    <w:rsid w:val="00971568"/>
    <w:rsid w:val="009728F2"/>
    <w:rsid w:val="00972BEF"/>
    <w:rsid w:val="00972F6D"/>
    <w:rsid w:val="00973BCF"/>
    <w:rsid w:val="00973FA0"/>
    <w:rsid w:val="009744BC"/>
    <w:rsid w:val="00974E60"/>
    <w:rsid w:val="00975896"/>
    <w:rsid w:val="00975DF1"/>
    <w:rsid w:val="00976AFE"/>
    <w:rsid w:val="00977504"/>
    <w:rsid w:val="009803F1"/>
    <w:rsid w:val="00980780"/>
    <w:rsid w:val="00981C66"/>
    <w:rsid w:val="00983389"/>
    <w:rsid w:val="00983CEA"/>
    <w:rsid w:val="00984052"/>
    <w:rsid w:val="00984198"/>
    <w:rsid w:val="00984603"/>
    <w:rsid w:val="00984E04"/>
    <w:rsid w:val="00986194"/>
    <w:rsid w:val="009861D2"/>
    <w:rsid w:val="0098680E"/>
    <w:rsid w:val="00986E53"/>
    <w:rsid w:val="0098700E"/>
    <w:rsid w:val="00987CE5"/>
    <w:rsid w:val="0099221C"/>
    <w:rsid w:val="00993CF0"/>
    <w:rsid w:val="0099428D"/>
    <w:rsid w:val="009949A7"/>
    <w:rsid w:val="00995CDC"/>
    <w:rsid w:val="009975CA"/>
    <w:rsid w:val="009978F9"/>
    <w:rsid w:val="009A0C15"/>
    <w:rsid w:val="009A0CC1"/>
    <w:rsid w:val="009A1088"/>
    <w:rsid w:val="009A14CB"/>
    <w:rsid w:val="009A1B38"/>
    <w:rsid w:val="009A1CD3"/>
    <w:rsid w:val="009A27C7"/>
    <w:rsid w:val="009A2961"/>
    <w:rsid w:val="009A344A"/>
    <w:rsid w:val="009A3FDF"/>
    <w:rsid w:val="009A41C7"/>
    <w:rsid w:val="009A4F5A"/>
    <w:rsid w:val="009A5C82"/>
    <w:rsid w:val="009A6B7E"/>
    <w:rsid w:val="009A7420"/>
    <w:rsid w:val="009B010D"/>
    <w:rsid w:val="009B0AAB"/>
    <w:rsid w:val="009B0D3E"/>
    <w:rsid w:val="009B1D4E"/>
    <w:rsid w:val="009B1F5B"/>
    <w:rsid w:val="009B2AD1"/>
    <w:rsid w:val="009B3224"/>
    <w:rsid w:val="009B37A2"/>
    <w:rsid w:val="009B3A61"/>
    <w:rsid w:val="009B4D83"/>
    <w:rsid w:val="009B528E"/>
    <w:rsid w:val="009B54FE"/>
    <w:rsid w:val="009B5613"/>
    <w:rsid w:val="009B6B8E"/>
    <w:rsid w:val="009B77DD"/>
    <w:rsid w:val="009C02F5"/>
    <w:rsid w:val="009C13BF"/>
    <w:rsid w:val="009C1844"/>
    <w:rsid w:val="009C1E22"/>
    <w:rsid w:val="009C2481"/>
    <w:rsid w:val="009C2943"/>
    <w:rsid w:val="009C2D63"/>
    <w:rsid w:val="009C35FB"/>
    <w:rsid w:val="009C4B2C"/>
    <w:rsid w:val="009C4CB3"/>
    <w:rsid w:val="009C4F15"/>
    <w:rsid w:val="009C511C"/>
    <w:rsid w:val="009C5416"/>
    <w:rsid w:val="009C587B"/>
    <w:rsid w:val="009C64C5"/>
    <w:rsid w:val="009C6F87"/>
    <w:rsid w:val="009C7166"/>
    <w:rsid w:val="009C742C"/>
    <w:rsid w:val="009D1F1D"/>
    <w:rsid w:val="009D2376"/>
    <w:rsid w:val="009D2D48"/>
    <w:rsid w:val="009D3103"/>
    <w:rsid w:val="009D4144"/>
    <w:rsid w:val="009D4409"/>
    <w:rsid w:val="009D4724"/>
    <w:rsid w:val="009D4B2F"/>
    <w:rsid w:val="009D4C1B"/>
    <w:rsid w:val="009D500A"/>
    <w:rsid w:val="009D50CA"/>
    <w:rsid w:val="009D5159"/>
    <w:rsid w:val="009D5EA5"/>
    <w:rsid w:val="009D5FCD"/>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CFD"/>
    <w:rsid w:val="009E4FFB"/>
    <w:rsid w:val="009F045D"/>
    <w:rsid w:val="009F1098"/>
    <w:rsid w:val="009F1458"/>
    <w:rsid w:val="009F1D3A"/>
    <w:rsid w:val="009F2BD0"/>
    <w:rsid w:val="009F2C2E"/>
    <w:rsid w:val="009F4190"/>
    <w:rsid w:val="009F429C"/>
    <w:rsid w:val="009F4911"/>
    <w:rsid w:val="009F513E"/>
    <w:rsid w:val="009F5241"/>
    <w:rsid w:val="009F6807"/>
    <w:rsid w:val="009F68DF"/>
    <w:rsid w:val="009F6A24"/>
    <w:rsid w:val="00A0042C"/>
    <w:rsid w:val="00A00495"/>
    <w:rsid w:val="00A01925"/>
    <w:rsid w:val="00A01DEB"/>
    <w:rsid w:val="00A0328B"/>
    <w:rsid w:val="00A04DB5"/>
    <w:rsid w:val="00A06D32"/>
    <w:rsid w:val="00A07545"/>
    <w:rsid w:val="00A104C3"/>
    <w:rsid w:val="00A124F6"/>
    <w:rsid w:val="00A13947"/>
    <w:rsid w:val="00A13E2B"/>
    <w:rsid w:val="00A153E1"/>
    <w:rsid w:val="00A1562A"/>
    <w:rsid w:val="00A15901"/>
    <w:rsid w:val="00A16067"/>
    <w:rsid w:val="00A1618E"/>
    <w:rsid w:val="00A161A1"/>
    <w:rsid w:val="00A204A5"/>
    <w:rsid w:val="00A20562"/>
    <w:rsid w:val="00A20F75"/>
    <w:rsid w:val="00A212B1"/>
    <w:rsid w:val="00A228CB"/>
    <w:rsid w:val="00A22C74"/>
    <w:rsid w:val="00A23839"/>
    <w:rsid w:val="00A255DD"/>
    <w:rsid w:val="00A26CE3"/>
    <w:rsid w:val="00A26FFF"/>
    <w:rsid w:val="00A316EC"/>
    <w:rsid w:val="00A31804"/>
    <w:rsid w:val="00A318AE"/>
    <w:rsid w:val="00A318C5"/>
    <w:rsid w:val="00A31EB4"/>
    <w:rsid w:val="00A320BA"/>
    <w:rsid w:val="00A32283"/>
    <w:rsid w:val="00A32342"/>
    <w:rsid w:val="00A325EC"/>
    <w:rsid w:val="00A32B81"/>
    <w:rsid w:val="00A32BA6"/>
    <w:rsid w:val="00A332AF"/>
    <w:rsid w:val="00A332EC"/>
    <w:rsid w:val="00A337E5"/>
    <w:rsid w:val="00A3480D"/>
    <w:rsid w:val="00A34933"/>
    <w:rsid w:val="00A34A70"/>
    <w:rsid w:val="00A35D12"/>
    <w:rsid w:val="00A35DC5"/>
    <w:rsid w:val="00A3658D"/>
    <w:rsid w:val="00A36E51"/>
    <w:rsid w:val="00A377C5"/>
    <w:rsid w:val="00A37B2E"/>
    <w:rsid w:val="00A37D45"/>
    <w:rsid w:val="00A401FD"/>
    <w:rsid w:val="00A40558"/>
    <w:rsid w:val="00A40AF2"/>
    <w:rsid w:val="00A411DC"/>
    <w:rsid w:val="00A41B09"/>
    <w:rsid w:val="00A43904"/>
    <w:rsid w:val="00A4582E"/>
    <w:rsid w:val="00A459C8"/>
    <w:rsid w:val="00A45BD2"/>
    <w:rsid w:val="00A45DFA"/>
    <w:rsid w:val="00A46658"/>
    <w:rsid w:val="00A468EF"/>
    <w:rsid w:val="00A46A1E"/>
    <w:rsid w:val="00A470AA"/>
    <w:rsid w:val="00A50595"/>
    <w:rsid w:val="00A50A39"/>
    <w:rsid w:val="00A51DF1"/>
    <w:rsid w:val="00A5250A"/>
    <w:rsid w:val="00A52AFB"/>
    <w:rsid w:val="00A52EF4"/>
    <w:rsid w:val="00A5381F"/>
    <w:rsid w:val="00A53967"/>
    <w:rsid w:val="00A5455C"/>
    <w:rsid w:val="00A545EC"/>
    <w:rsid w:val="00A549B9"/>
    <w:rsid w:val="00A54C5F"/>
    <w:rsid w:val="00A54D3B"/>
    <w:rsid w:val="00A5578A"/>
    <w:rsid w:val="00A55A55"/>
    <w:rsid w:val="00A55D4E"/>
    <w:rsid w:val="00A60B63"/>
    <w:rsid w:val="00A61365"/>
    <w:rsid w:val="00A61759"/>
    <w:rsid w:val="00A61B88"/>
    <w:rsid w:val="00A62C70"/>
    <w:rsid w:val="00A63982"/>
    <w:rsid w:val="00A65845"/>
    <w:rsid w:val="00A65A41"/>
    <w:rsid w:val="00A666AA"/>
    <w:rsid w:val="00A671FC"/>
    <w:rsid w:val="00A70083"/>
    <w:rsid w:val="00A70311"/>
    <w:rsid w:val="00A71670"/>
    <w:rsid w:val="00A72874"/>
    <w:rsid w:val="00A72E48"/>
    <w:rsid w:val="00A7359C"/>
    <w:rsid w:val="00A73616"/>
    <w:rsid w:val="00A73A32"/>
    <w:rsid w:val="00A74182"/>
    <w:rsid w:val="00A75ADD"/>
    <w:rsid w:val="00A761D8"/>
    <w:rsid w:val="00A76648"/>
    <w:rsid w:val="00A76897"/>
    <w:rsid w:val="00A76DF7"/>
    <w:rsid w:val="00A77523"/>
    <w:rsid w:val="00A77B55"/>
    <w:rsid w:val="00A81E08"/>
    <w:rsid w:val="00A83454"/>
    <w:rsid w:val="00A83F99"/>
    <w:rsid w:val="00A84089"/>
    <w:rsid w:val="00A8414E"/>
    <w:rsid w:val="00A843FC"/>
    <w:rsid w:val="00A84DA5"/>
    <w:rsid w:val="00A85302"/>
    <w:rsid w:val="00A8547B"/>
    <w:rsid w:val="00A86119"/>
    <w:rsid w:val="00A8649F"/>
    <w:rsid w:val="00A86D25"/>
    <w:rsid w:val="00A87586"/>
    <w:rsid w:val="00A877BD"/>
    <w:rsid w:val="00A8786B"/>
    <w:rsid w:val="00A903F1"/>
    <w:rsid w:val="00A905CC"/>
    <w:rsid w:val="00A90974"/>
    <w:rsid w:val="00A90A4B"/>
    <w:rsid w:val="00A9197E"/>
    <w:rsid w:val="00A92065"/>
    <w:rsid w:val="00A92184"/>
    <w:rsid w:val="00A9334F"/>
    <w:rsid w:val="00A93D6F"/>
    <w:rsid w:val="00A9614E"/>
    <w:rsid w:val="00A963B5"/>
    <w:rsid w:val="00A966D7"/>
    <w:rsid w:val="00A96FA8"/>
    <w:rsid w:val="00A97665"/>
    <w:rsid w:val="00A97F59"/>
    <w:rsid w:val="00AA0504"/>
    <w:rsid w:val="00AA0909"/>
    <w:rsid w:val="00AA0E00"/>
    <w:rsid w:val="00AA19D4"/>
    <w:rsid w:val="00AA1C72"/>
    <w:rsid w:val="00AA1E8D"/>
    <w:rsid w:val="00AA1FDE"/>
    <w:rsid w:val="00AA291C"/>
    <w:rsid w:val="00AA30F6"/>
    <w:rsid w:val="00AA3208"/>
    <w:rsid w:val="00AA334D"/>
    <w:rsid w:val="00AA37B1"/>
    <w:rsid w:val="00AA47B8"/>
    <w:rsid w:val="00AA5343"/>
    <w:rsid w:val="00AA550A"/>
    <w:rsid w:val="00AA5EBD"/>
    <w:rsid w:val="00AA628B"/>
    <w:rsid w:val="00AA6DE4"/>
    <w:rsid w:val="00AA7408"/>
    <w:rsid w:val="00AA7424"/>
    <w:rsid w:val="00AA7D1F"/>
    <w:rsid w:val="00AB02C6"/>
    <w:rsid w:val="00AB1012"/>
    <w:rsid w:val="00AB2215"/>
    <w:rsid w:val="00AB246B"/>
    <w:rsid w:val="00AB2E96"/>
    <w:rsid w:val="00AB36D4"/>
    <w:rsid w:val="00AB5500"/>
    <w:rsid w:val="00AB5564"/>
    <w:rsid w:val="00AB57FB"/>
    <w:rsid w:val="00AB7348"/>
    <w:rsid w:val="00AB7C4D"/>
    <w:rsid w:val="00AC13B0"/>
    <w:rsid w:val="00AC2CF3"/>
    <w:rsid w:val="00AC2FD0"/>
    <w:rsid w:val="00AC3C42"/>
    <w:rsid w:val="00AC3DBD"/>
    <w:rsid w:val="00AC4777"/>
    <w:rsid w:val="00AC5E85"/>
    <w:rsid w:val="00AD03D8"/>
    <w:rsid w:val="00AD0D5F"/>
    <w:rsid w:val="00AD1554"/>
    <w:rsid w:val="00AD34CF"/>
    <w:rsid w:val="00AD36C8"/>
    <w:rsid w:val="00AD37C9"/>
    <w:rsid w:val="00AD43FA"/>
    <w:rsid w:val="00AD47D3"/>
    <w:rsid w:val="00AD4A18"/>
    <w:rsid w:val="00AD540E"/>
    <w:rsid w:val="00AD652F"/>
    <w:rsid w:val="00AD7D05"/>
    <w:rsid w:val="00AD7FA1"/>
    <w:rsid w:val="00AE0098"/>
    <w:rsid w:val="00AE01F6"/>
    <w:rsid w:val="00AE0973"/>
    <w:rsid w:val="00AE132D"/>
    <w:rsid w:val="00AE15BD"/>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1BE7"/>
    <w:rsid w:val="00AF3291"/>
    <w:rsid w:val="00AF395E"/>
    <w:rsid w:val="00AF4D6A"/>
    <w:rsid w:val="00AF5747"/>
    <w:rsid w:val="00AF5D2C"/>
    <w:rsid w:val="00AF5D6E"/>
    <w:rsid w:val="00AF6318"/>
    <w:rsid w:val="00AF6557"/>
    <w:rsid w:val="00AF6F14"/>
    <w:rsid w:val="00B0072E"/>
    <w:rsid w:val="00B027AA"/>
    <w:rsid w:val="00B03B63"/>
    <w:rsid w:val="00B04BF7"/>
    <w:rsid w:val="00B04DCB"/>
    <w:rsid w:val="00B0513A"/>
    <w:rsid w:val="00B05321"/>
    <w:rsid w:val="00B05862"/>
    <w:rsid w:val="00B0620B"/>
    <w:rsid w:val="00B072A3"/>
    <w:rsid w:val="00B07FCD"/>
    <w:rsid w:val="00B1149C"/>
    <w:rsid w:val="00B11F60"/>
    <w:rsid w:val="00B121EF"/>
    <w:rsid w:val="00B12202"/>
    <w:rsid w:val="00B127AA"/>
    <w:rsid w:val="00B130CB"/>
    <w:rsid w:val="00B13534"/>
    <w:rsid w:val="00B14D9D"/>
    <w:rsid w:val="00B14EF5"/>
    <w:rsid w:val="00B15C53"/>
    <w:rsid w:val="00B16048"/>
    <w:rsid w:val="00B16244"/>
    <w:rsid w:val="00B17AFB"/>
    <w:rsid w:val="00B17FD1"/>
    <w:rsid w:val="00B2028C"/>
    <w:rsid w:val="00B215DC"/>
    <w:rsid w:val="00B21771"/>
    <w:rsid w:val="00B2191C"/>
    <w:rsid w:val="00B21941"/>
    <w:rsid w:val="00B21B30"/>
    <w:rsid w:val="00B2231E"/>
    <w:rsid w:val="00B22E76"/>
    <w:rsid w:val="00B23016"/>
    <w:rsid w:val="00B23771"/>
    <w:rsid w:val="00B24CF6"/>
    <w:rsid w:val="00B24EA8"/>
    <w:rsid w:val="00B25E6B"/>
    <w:rsid w:val="00B26625"/>
    <w:rsid w:val="00B26A5A"/>
    <w:rsid w:val="00B26EBC"/>
    <w:rsid w:val="00B2713B"/>
    <w:rsid w:val="00B2769B"/>
    <w:rsid w:val="00B302A4"/>
    <w:rsid w:val="00B307D2"/>
    <w:rsid w:val="00B3398B"/>
    <w:rsid w:val="00B33B1E"/>
    <w:rsid w:val="00B34B0C"/>
    <w:rsid w:val="00B35138"/>
    <w:rsid w:val="00B35D8A"/>
    <w:rsid w:val="00B362D9"/>
    <w:rsid w:val="00B36A2A"/>
    <w:rsid w:val="00B36B99"/>
    <w:rsid w:val="00B36D20"/>
    <w:rsid w:val="00B36F67"/>
    <w:rsid w:val="00B401FC"/>
    <w:rsid w:val="00B40633"/>
    <w:rsid w:val="00B41B0B"/>
    <w:rsid w:val="00B44049"/>
    <w:rsid w:val="00B44318"/>
    <w:rsid w:val="00B44C4B"/>
    <w:rsid w:val="00B461AE"/>
    <w:rsid w:val="00B461DC"/>
    <w:rsid w:val="00B46819"/>
    <w:rsid w:val="00B477CB"/>
    <w:rsid w:val="00B508A7"/>
    <w:rsid w:val="00B52081"/>
    <w:rsid w:val="00B522A4"/>
    <w:rsid w:val="00B52695"/>
    <w:rsid w:val="00B545AF"/>
    <w:rsid w:val="00B5584D"/>
    <w:rsid w:val="00B55B09"/>
    <w:rsid w:val="00B56711"/>
    <w:rsid w:val="00B56C58"/>
    <w:rsid w:val="00B574B9"/>
    <w:rsid w:val="00B577DE"/>
    <w:rsid w:val="00B57EF2"/>
    <w:rsid w:val="00B604F3"/>
    <w:rsid w:val="00B60CD6"/>
    <w:rsid w:val="00B60E13"/>
    <w:rsid w:val="00B6101C"/>
    <w:rsid w:val="00B615ED"/>
    <w:rsid w:val="00B61F4E"/>
    <w:rsid w:val="00B626B9"/>
    <w:rsid w:val="00B630C3"/>
    <w:rsid w:val="00B63A9D"/>
    <w:rsid w:val="00B64888"/>
    <w:rsid w:val="00B66554"/>
    <w:rsid w:val="00B66624"/>
    <w:rsid w:val="00B672E3"/>
    <w:rsid w:val="00B675F9"/>
    <w:rsid w:val="00B70849"/>
    <w:rsid w:val="00B72C1C"/>
    <w:rsid w:val="00B73951"/>
    <w:rsid w:val="00B73BB7"/>
    <w:rsid w:val="00B73D99"/>
    <w:rsid w:val="00B74BB1"/>
    <w:rsid w:val="00B751C3"/>
    <w:rsid w:val="00B75682"/>
    <w:rsid w:val="00B76C0D"/>
    <w:rsid w:val="00B7723B"/>
    <w:rsid w:val="00B776C1"/>
    <w:rsid w:val="00B77D0D"/>
    <w:rsid w:val="00B80194"/>
    <w:rsid w:val="00B80817"/>
    <w:rsid w:val="00B81349"/>
    <w:rsid w:val="00B81B5C"/>
    <w:rsid w:val="00B827E6"/>
    <w:rsid w:val="00B82A28"/>
    <w:rsid w:val="00B82B8D"/>
    <w:rsid w:val="00B82C97"/>
    <w:rsid w:val="00B83F98"/>
    <w:rsid w:val="00B851D5"/>
    <w:rsid w:val="00B85B06"/>
    <w:rsid w:val="00B86583"/>
    <w:rsid w:val="00B86624"/>
    <w:rsid w:val="00B87F70"/>
    <w:rsid w:val="00B90558"/>
    <w:rsid w:val="00B9112C"/>
    <w:rsid w:val="00B92958"/>
    <w:rsid w:val="00B93376"/>
    <w:rsid w:val="00B936A5"/>
    <w:rsid w:val="00B93957"/>
    <w:rsid w:val="00B9404A"/>
    <w:rsid w:val="00B94877"/>
    <w:rsid w:val="00B9491F"/>
    <w:rsid w:val="00B96043"/>
    <w:rsid w:val="00B96BDF"/>
    <w:rsid w:val="00B96F5D"/>
    <w:rsid w:val="00BA02F9"/>
    <w:rsid w:val="00BA1987"/>
    <w:rsid w:val="00BA2682"/>
    <w:rsid w:val="00BA2A47"/>
    <w:rsid w:val="00BA31E4"/>
    <w:rsid w:val="00BA3386"/>
    <w:rsid w:val="00BA3959"/>
    <w:rsid w:val="00BA3CBF"/>
    <w:rsid w:val="00BA3D2E"/>
    <w:rsid w:val="00BA47CC"/>
    <w:rsid w:val="00BA524B"/>
    <w:rsid w:val="00BA54F7"/>
    <w:rsid w:val="00BA576C"/>
    <w:rsid w:val="00BA58D0"/>
    <w:rsid w:val="00BA5D5E"/>
    <w:rsid w:val="00BA6205"/>
    <w:rsid w:val="00BA6CE5"/>
    <w:rsid w:val="00BA6F38"/>
    <w:rsid w:val="00BA7A9F"/>
    <w:rsid w:val="00BB0240"/>
    <w:rsid w:val="00BB1388"/>
    <w:rsid w:val="00BB2683"/>
    <w:rsid w:val="00BB381C"/>
    <w:rsid w:val="00BB40DF"/>
    <w:rsid w:val="00BB5E2C"/>
    <w:rsid w:val="00BB7B39"/>
    <w:rsid w:val="00BB7D9E"/>
    <w:rsid w:val="00BB7E12"/>
    <w:rsid w:val="00BC1435"/>
    <w:rsid w:val="00BC16AC"/>
    <w:rsid w:val="00BC2B7B"/>
    <w:rsid w:val="00BC2CB0"/>
    <w:rsid w:val="00BC3AE8"/>
    <w:rsid w:val="00BC3AF4"/>
    <w:rsid w:val="00BC43A8"/>
    <w:rsid w:val="00BC5C6D"/>
    <w:rsid w:val="00BC5F76"/>
    <w:rsid w:val="00BC7120"/>
    <w:rsid w:val="00BC7670"/>
    <w:rsid w:val="00BC76A3"/>
    <w:rsid w:val="00BC7740"/>
    <w:rsid w:val="00BD00D1"/>
    <w:rsid w:val="00BD07A2"/>
    <w:rsid w:val="00BD13AF"/>
    <w:rsid w:val="00BD2603"/>
    <w:rsid w:val="00BD4EEC"/>
    <w:rsid w:val="00BD4F34"/>
    <w:rsid w:val="00BD537C"/>
    <w:rsid w:val="00BD6F5B"/>
    <w:rsid w:val="00BD7662"/>
    <w:rsid w:val="00BE0093"/>
    <w:rsid w:val="00BE012C"/>
    <w:rsid w:val="00BE05ED"/>
    <w:rsid w:val="00BE1A07"/>
    <w:rsid w:val="00BE1A3A"/>
    <w:rsid w:val="00BE350E"/>
    <w:rsid w:val="00BE3801"/>
    <w:rsid w:val="00BE38CF"/>
    <w:rsid w:val="00BE394B"/>
    <w:rsid w:val="00BE48A8"/>
    <w:rsid w:val="00BE528F"/>
    <w:rsid w:val="00BE5850"/>
    <w:rsid w:val="00BE58D6"/>
    <w:rsid w:val="00BE5CA6"/>
    <w:rsid w:val="00BE6023"/>
    <w:rsid w:val="00BE6D20"/>
    <w:rsid w:val="00BE707F"/>
    <w:rsid w:val="00BE76A4"/>
    <w:rsid w:val="00BE7D84"/>
    <w:rsid w:val="00BE7F5D"/>
    <w:rsid w:val="00BF0707"/>
    <w:rsid w:val="00BF164F"/>
    <w:rsid w:val="00BF1AAF"/>
    <w:rsid w:val="00BF268B"/>
    <w:rsid w:val="00BF271F"/>
    <w:rsid w:val="00BF435D"/>
    <w:rsid w:val="00BF4871"/>
    <w:rsid w:val="00BF4D03"/>
    <w:rsid w:val="00BF4E5E"/>
    <w:rsid w:val="00BF4E85"/>
    <w:rsid w:val="00BF54BD"/>
    <w:rsid w:val="00BF5892"/>
    <w:rsid w:val="00BF7C5A"/>
    <w:rsid w:val="00C00D32"/>
    <w:rsid w:val="00C01804"/>
    <w:rsid w:val="00C026BC"/>
    <w:rsid w:val="00C02AD4"/>
    <w:rsid w:val="00C03869"/>
    <w:rsid w:val="00C04878"/>
    <w:rsid w:val="00C07988"/>
    <w:rsid w:val="00C07C5E"/>
    <w:rsid w:val="00C07E11"/>
    <w:rsid w:val="00C10068"/>
    <w:rsid w:val="00C10AC5"/>
    <w:rsid w:val="00C12DAD"/>
    <w:rsid w:val="00C12E17"/>
    <w:rsid w:val="00C13126"/>
    <w:rsid w:val="00C14741"/>
    <w:rsid w:val="00C14CB7"/>
    <w:rsid w:val="00C1544B"/>
    <w:rsid w:val="00C160A7"/>
    <w:rsid w:val="00C1665A"/>
    <w:rsid w:val="00C1739F"/>
    <w:rsid w:val="00C177FF"/>
    <w:rsid w:val="00C178A0"/>
    <w:rsid w:val="00C222FF"/>
    <w:rsid w:val="00C2338E"/>
    <w:rsid w:val="00C23FB0"/>
    <w:rsid w:val="00C24021"/>
    <w:rsid w:val="00C248AF"/>
    <w:rsid w:val="00C24B09"/>
    <w:rsid w:val="00C24BDE"/>
    <w:rsid w:val="00C24E9F"/>
    <w:rsid w:val="00C2659B"/>
    <w:rsid w:val="00C32151"/>
    <w:rsid w:val="00C3217A"/>
    <w:rsid w:val="00C32BBC"/>
    <w:rsid w:val="00C33551"/>
    <w:rsid w:val="00C3357D"/>
    <w:rsid w:val="00C33BE9"/>
    <w:rsid w:val="00C33C13"/>
    <w:rsid w:val="00C348C7"/>
    <w:rsid w:val="00C351C2"/>
    <w:rsid w:val="00C35591"/>
    <w:rsid w:val="00C35B2A"/>
    <w:rsid w:val="00C3629A"/>
    <w:rsid w:val="00C36742"/>
    <w:rsid w:val="00C374AD"/>
    <w:rsid w:val="00C405E2"/>
    <w:rsid w:val="00C40DE4"/>
    <w:rsid w:val="00C40E63"/>
    <w:rsid w:val="00C41A06"/>
    <w:rsid w:val="00C4261B"/>
    <w:rsid w:val="00C42BFB"/>
    <w:rsid w:val="00C430F9"/>
    <w:rsid w:val="00C43772"/>
    <w:rsid w:val="00C43FF7"/>
    <w:rsid w:val="00C44DDC"/>
    <w:rsid w:val="00C4527E"/>
    <w:rsid w:val="00C47672"/>
    <w:rsid w:val="00C47903"/>
    <w:rsid w:val="00C5128B"/>
    <w:rsid w:val="00C51423"/>
    <w:rsid w:val="00C51806"/>
    <w:rsid w:val="00C52105"/>
    <w:rsid w:val="00C5294D"/>
    <w:rsid w:val="00C52F83"/>
    <w:rsid w:val="00C548F3"/>
    <w:rsid w:val="00C54C1B"/>
    <w:rsid w:val="00C54DBA"/>
    <w:rsid w:val="00C57ED3"/>
    <w:rsid w:val="00C61640"/>
    <w:rsid w:val="00C61AA7"/>
    <w:rsid w:val="00C61B8E"/>
    <w:rsid w:val="00C6262B"/>
    <w:rsid w:val="00C649DF"/>
    <w:rsid w:val="00C64A32"/>
    <w:rsid w:val="00C668DE"/>
    <w:rsid w:val="00C7044F"/>
    <w:rsid w:val="00C720F8"/>
    <w:rsid w:val="00C7294B"/>
    <w:rsid w:val="00C73B1C"/>
    <w:rsid w:val="00C75139"/>
    <w:rsid w:val="00C7525C"/>
    <w:rsid w:val="00C76CF7"/>
    <w:rsid w:val="00C777B1"/>
    <w:rsid w:val="00C83A4C"/>
    <w:rsid w:val="00C844F6"/>
    <w:rsid w:val="00C8533B"/>
    <w:rsid w:val="00C858BA"/>
    <w:rsid w:val="00C86977"/>
    <w:rsid w:val="00C874F3"/>
    <w:rsid w:val="00C878E2"/>
    <w:rsid w:val="00C9011F"/>
    <w:rsid w:val="00C916C8"/>
    <w:rsid w:val="00C9398D"/>
    <w:rsid w:val="00C939EE"/>
    <w:rsid w:val="00C93C6E"/>
    <w:rsid w:val="00C93F93"/>
    <w:rsid w:val="00C94D44"/>
    <w:rsid w:val="00C95EEE"/>
    <w:rsid w:val="00C974CB"/>
    <w:rsid w:val="00C97929"/>
    <w:rsid w:val="00CA0049"/>
    <w:rsid w:val="00CA0980"/>
    <w:rsid w:val="00CA1880"/>
    <w:rsid w:val="00CA2A98"/>
    <w:rsid w:val="00CA2BAE"/>
    <w:rsid w:val="00CA34BA"/>
    <w:rsid w:val="00CA4503"/>
    <w:rsid w:val="00CA5A66"/>
    <w:rsid w:val="00CA651B"/>
    <w:rsid w:val="00CA78B2"/>
    <w:rsid w:val="00CA796A"/>
    <w:rsid w:val="00CA7F50"/>
    <w:rsid w:val="00CB0FCF"/>
    <w:rsid w:val="00CB1F06"/>
    <w:rsid w:val="00CB2575"/>
    <w:rsid w:val="00CB3677"/>
    <w:rsid w:val="00CB368F"/>
    <w:rsid w:val="00CB4C42"/>
    <w:rsid w:val="00CB4DFA"/>
    <w:rsid w:val="00CB5AB4"/>
    <w:rsid w:val="00CB5BDF"/>
    <w:rsid w:val="00CB6784"/>
    <w:rsid w:val="00CB7273"/>
    <w:rsid w:val="00CB79E4"/>
    <w:rsid w:val="00CB7BD7"/>
    <w:rsid w:val="00CB7D5F"/>
    <w:rsid w:val="00CC1C09"/>
    <w:rsid w:val="00CC4CB6"/>
    <w:rsid w:val="00CC4DB0"/>
    <w:rsid w:val="00CC5038"/>
    <w:rsid w:val="00CC5326"/>
    <w:rsid w:val="00CC539D"/>
    <w:rsid w:val="00CC7426"/>
    <w:rsid w:val="00CC7910"/>
    <w:rsid w:val="00CD03DD"/>
    <w:rsid w:val="00CD08AF"/>
    <w:rsid w:val="00CD0C20"/>
    <w:rsid w:val="00CD297A"/>
    <w:rsid w:val="00CD30B7"/>
    <w:rsid w:val="00CD3292"/>
    <w:rsid w:val="00CD3B06"/>
    <w:rsid w:val="00CD3DB0"/>
    <w:rsid w:val="00CD4129"/>
    <w:rsid w:val="00CD52ED"/>
    <w:rsid w:val="00CD5DBB"/>
    <w:rsid w:val="00CD675D"/>
    <w:rsid w:val="00CD67E7"/>
    <w:rsid w:val="00CD7388"/>
    <w:rsid w:val="00CE130A"/>
    <w:rsid w:val="00CE23CD"/>
    <w:rsid w:val="00CE247A"/>
    <w:rsid w:val="00CE2A1A"/>
    <w:rsid w:val="00CE2F05"/>
    <w:rsid w:val="00CE3483"/>
    <w:rsid w:val="00CE4A51"/>
    <w:rsid w:val="00CE4F80"/>
    <w:rsid w:val="00CE50E4"/>
    <w:rsid w:val="00CE51E8"/>
    <w:rsid w:val="00CE56A1"/>
    <w:rsid w:val="00CE64A5"/>
    <w:rsid w:val="00CE669E"/>
    <w:rsid w:val="00CE66B5"/>
    <w:rsid w:val="00CE6876"/>
    <w:rsid w:val="00CE6BFE"/>
    <w:rsid w:val="00CE7031"/>
    <w:rsid w:val="00CE7258"/>
    <w:rsid w:val="00CF0B9B"/>
    <w:rsid w:val="00CF0EBC"/>
    <w:rsid w:val="00CF0F7C"/>
    <w:rsid w:val="00CF13B8"/>
    <w:rsid w:val="00CF25D2"/>
    <w:rsid w:val="00CF285E"/>
    <w:rsid w:val="00CF3739"/>
    <w:rsid w:val="00CF5597"/>
    <w:rsid w:val="00CF57B4"/>
    <w:rsid w:val="00CF5CA5"/>
    <w:rsid w:val="00CF629C"/>
    <w:rsid w:val="00CF658A"/>
    <w:rsid w:val="00CF66B6"/>
    <w:rsid w:val="00D007D6"/>
    <w:rsid w:val="00D01643"/>
    <w:rsid w:val="00D01A9F"/>
    <w:rsid w:val="00D01CED"/>
    <w:rsid w:val="00D01E38"/>
    <w:rsid w:val="00D022B5"/>
    <w:rsid w:val="00D0298C"/>
    <w:rsid w:val="00D039B5"/>
    <w:rsid w:val="00D04336"/>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042"/>
    <w:rsid w:val="00D20A68"/>
    <w:rsid w:val="00D21C02"/>
    <w:rsid w:val="00D21D89"/>
    <w:rsid w:val="00D22413"/>
    <w:rsid w:val="00D22522"/>
    <w:rsid w:val="00D22657"/>
    <w:rsid w:val="00D228DF"/>
    <w:rsid w:val="00D23557"/>
    <w:rsid w:val="00D23F53"/>
    <w:rsid w:val="00D2427F"/>
    <w:rsid w:val="00D24BB7"/>
    <w:rsid w:val="00D2506D"/>
    <w:rsid w:val="00D25AE7"/>
    <w:rsid w:val="00D263AE"/>
    <w:rsid w:val="00D27855"/>
    <w:rsid w:val="00D2786F"/>
    <w:rsid w:val="00D279CC"/>
    <w:rsid w:val="00D27E5A"/>
    <w:rsid w:val="00D31021"/>
    <w:rsid w:val="00D329B9"/>
    <w:rsid w:val="00D33412"/>
    <w:rsid w:val="00D339A8"/>
    <w:rsid w:val="00D33DFD"/>
    <w:rsid w:val="00D3482C"/>
    <w:rsid w:val="00D3664C"/>
    <w:rsid w:val="00D3683A"/>
    <w:rsid w:val="00D379C5"/>
    <w:rsid w:val="00D37C36"/>
    <w:rsid w:val="00D40559"/>
    <w:rsid w:val="00D405B8"/>
    <w:rsid w:val="00D41353"/>
    <w:rsid w:val="00D41493"/>
    <w:rsid w:val="00D4200A"/>
    <w:rsid w:val="00D4267F"/>
    <w:rsid w:val="00D441E9"/>
    <w:rsid w:val="00D44425"/>
    <w:rsid w:val="00D445E8"/>
    <w:rsid w:val="00D44FC8"/>
    <w:rsid w:val="00D45D8F"/>
    <w:rsid w:val="00D46582"/>
    <w:rsid w:val="00D47F93"/>
    <w:rsid w:val="00D50332"/>
    <w:rsid w:val="00D5061D"/>
    <w:rsid w:val="00D52B95"/>
    <w:rsid w:val="00D5362B"/>
    <w:rsid w:val="00D53A09"/>
    <w:rsid w:val="00D53C3A"/>
    <w:rsid w:val="00D54AAB"/>
    <w:rsid w:val="00D5513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6DF"/>
    <w:rsid w:val="00D72AE4"/>
    <w:rsid w:val="00D72CEE"/>
    <w:rsid w:val="00D73026"/>
    <w:rsid w:val="00D73FA1"/>
    <w:rsid w:val="00D741D5"/>
    <w:rsid w:val="00D7469D"/>
    <w:rsid w:val="00D7550B"/>
    <w:rsid w:val="00D75EEB"/>
    <w:rsid w:val="00D75F1E"/>
    <w:rsid w:val="00D80F87"/>
    <w:rsid w:val="00D812A5"/>
    <w:rsid w:val="00D822D1"/>
    <w:rsid w:val="00D82A5C"/>
    <w:rsid w:val="00D82D11"/>
    <w:rsid w:val="00D83CD3"/>
    <w:rsid w:val="00D83E51"/>
    <w:rsid w:val="00D84719"/>
    <w:rsid w:val="00D856EA"/>
    <w:rsid w:val="00D85ACD"/>
    <w:rsid w:val="00D86460"/>
    <w:rsid w:val="00D910AA"/>
    <w:rsid w:val="00D9111F"/>
    <w:rsid w:val="00D912D5"/>
    <w:rsid w:val="00D91942"/>
    <w:rsid w:val="00D91A65"/>
    <w:rsid w:val="00D91AAF"/>
    <w:rsid w:val="00D920DB"/>
    <w:rsid w:val="00D92338"/>
    <w:rsid w:val="00D92345"/>
    <w:rsid w:val="00D92EE7"/>
    <w:rsid w:val="00D94564"/>
    <w:rsid w:val="00D9536E"/>
    <w:rsid w:val="00D96A2E"/>
    <w:rsid w:val="00D97426"/>
    <w:rsid w:val="00D97568"/>
    <w:rsid w:val="00DA06B0"/>
    <w:rsid w:val="00DA29BA"/>
    <w:rsid w:val="00DA3249"/>
    <w:rsid w:val="00DA364D"/>
    <w:rsid w:val="00DA38CE"/>
    <w:rsid w:val="00DA3DC5"/>
    <w:rsid w:val="00DA449A"/>
    <w:rsid w:val="00DA4B01"/>
    <w:rsid w:val="00DA5322"/>
    <w:rsid w:val="00DA545F"/>
    <w:rsid w:val="00DA5495"/>
    <w:rsid w:val="00DA556A"/>
    <w:rsid w:val="00DA55AC"/>
    <w:rsid w:val="00DA5600"/>
    <w:rsid w:val="00DA56E5"/>
    <w:rsid w:val="00DA608B"/>
    <w:rsid w:val="00DA7413"/>
    <w:rsid w:val="00DB0066"/>
    <w:rsid w:val="00DB0F9E"/>
    <w:rsid w:val="00DB1307"/>
    <w:rsid w:val="00DB1E1A"/>
    <w:rsid w:val="00DB2AF6"/>
    <w:rsid w:val="00DB364F"/>
    <w:rsid w:val="00DB39E7"/>
    <w:rsid w:val="00DB3B3E"/>
    <w:rsid w:val="00DB4348"/>
    <w:rsid w:val="00DB4BF1"/>
    <w:rsid w:val="00DB56E5"/>
    <w:rsid w:val="00DB71DB"/>
    <w:rsid w:val="00DB71E1"/>
    <w:rsid w:val="00DB7B0F"/>
    <w:rsid w:val="00DB7CB3"/>
    <w:rsid w:val="00DC0D57"/>
    <w:rsid w:val="00DC16F7"/>
    <w:rsid w:val="00DC1CA3"/>
    <w:rsid w:val="00DC2641"/>
    <w:rsid w:val="00DC2B1E"/>
    <w:rsid w:val="00DC2CB5"/>
    <w:rsid w:val="00DC40AD"/>
    <w:rsid w:val="00DC6974"/>
    <w:rsid w:val="00DC739D"/>
    <w:rsid w:val="00DC7481"/>
    <w:rsid w:val="00DC7591"/>
    <w:rsid w:val="00DC7F21"/>
    <w:rsid w:val="00DD0839"/>
    <w:rsid w:val="00DD1B53"/>
    <w:rsid w:val="00DD26D0"/>
    <w:rsid w:val="00DD47D5"/>
    <w:rsid w:val="00DD49C2"/>
    <w:rsid w:val="00DD5B3E"/>
    <w:rsid w:val="00DD60BD"/>
    <w:rsid w:val="00DD6729"/>
    <w:rsid w:val="00DD7038"/>
    <w:rsid w:val="00DD7960"/>
    <w:rsid w:val="00DD7B0D"/>
    <w:rsid w:val="00DD7B56"/>
    <w:rsid w:val="00DE12D7"/>
    <w:rsid w:val="00DE1F29"/>
    <w:rsid w:val="00DE2061"/>
    <w:rsid w:val="00DE3A0F"/>
    <w:rsid w:val="00DE3FEB"/>
    <w:rsid w:val="00DE4315"/>
    <w:rsid w:val="00DE4905"/>
    <w:rsid w:val="00DE510C"/>
    <w:rsid w:val="00DE6308"/>
    <w:rsid w:val="00DE6439"/>
    <w:rsid w:val="00DE7822"/>
    <w:rsid w:val="00DF081A"/>
    <w:rsid w:val="00DF1070"/>
    <w:rsid w:val="00DF265D"/>
    <w:rsid w:val="00DF2EB0"/>
    <w:rsid w:val="00DF31C1"/>
    <w:rsid w:val="00DF427A"/>
    <w:rsid w:val="00DF45C5"/>
    <w:rsid w:val="00DF4D6E"/>
    <w:rsid w:val="00DF5A8C"/>
    <w:rsid w:val="00DF6008"/>
    <w:rsid w:val="00DF68CA"/>
    <w:rsid w:val="00DF6A9C"/>
    <w:rsid w:val="00DF71D8"/>
    <w:rsid w:val="00E00CCA"/>
    <w:rsid w:val="00E00FF9"/>
    <w:rsid w:val="00E01623"/>
    <w:rsid w:val="00E019B9"/>
    <w:rsid w:val="00E01FB9"/>
    <w:rsid w:val="00E03FE3"/>
    <w:rsid w:val="00E05E4B"/>
    <w:rsid w:val="00E06427"/>
    <w:rsid w:val="00E06951"/>
    <w:rsid w:val="00E077A9"/>
    <w:rsid w:val="00E100D2"/>
    <w:rsid w:val="00E10C94"/>
    <w:rsid w:val="00E10EC4"/>
    <w:rsid w:val="00E118D7"/>
    <w:rsid w:val="00E13F46"/>
    <w:rsid w:val="00E14D66"/>
    <w:rsid w:val="00E15BD4"/>
    <w:rsid w:val="00E16243"/>
    <w:rsid w:val="00E16458"/>
    <w:rsid w:val="00E16FB6"/>
    <w:rsid w:val="00E17001"/>
    <w:rsid w:val="00E17814"/>
    <w:rsid w:val="00E17CEF"/>
    <w:rsid w:val="00E20FBC"/>
    <w:rsid w:val="00E224A7"/>
    <w:rsid w:val="00E234FF"/>
    <w:rsid w:val="00E244CA"/>
    <w:rsid w:val="00E2512D"/>
    <w:rsid w:val="00E2548C"/>
    <w:rsid w:val="00E265F9"/>
    <w:rsid w:val="00E2662B"/>
    <w:rsid w:val="00E26736"/>
    <w:rsid w:val="00E268AC"/>
    <w:rsid w:val="00E27986"/>
    <w:rsid w:val="00E27D23"/>
    <w:rsid w:val="00E30A8A"/>
    <w:rsid w:val="00E31BC7"/>
    <w:rsid w:val="00E31E7F"/>
    <w:rsid w:val="00E33AB0"/>
    <w:rsid w:val="00E363CD"/>
    <w:rsid w:val="00E365C4"/>
    <w:rsid w:val="00E36AAE"/>
    <w:rsid w:val="00E36C7F"/>
    <w:rsid w:val="00E37652"/>
    <w:rsid w:val="00E3768F"/>
    <w:rsid w:val="00E402BC"/>
    <w:rsid w:val="00E41403"/>
    <w:rsid w:val="00E418C7"/>
    <w:rsid w:val="00E41BD7"/>
    <w:rsid w:val="00E428D6"/>
    <w:rsid w:val="00E43284"/>
    <w:rsid w:val="00E445C9"/>
    <w:rsid w:val="00E447C5"/>
    <w:rsid w:val="00E44C7C"/>
    <w:rsid w:val="00E450C1"/>
    <w:rsid w:val="00E4547F"/>
    <w:rsid w:val="00E4574F"/>
    <w:rsid w:val="00E46B7D"/>
    <w:rsid w:val="00E50117"/>
    <w:rsid w:val="00E50566"/>
    <w:rsid w:val="00E5091C"/>
    <w:rsid w:val="00E50E42"/>
    <w:rsid w:val="00E51009"/>
    <w:rsid w:val="00E511AB"/>
    <w:rsid w:val="00E51350"/>
    <w:rsid w:val="00E51A71"/>
    <w:rsid w:val="00E51C5E"/>
    <w:rsid w:val="00E523FB"/>
    <w:rsid w:val="00E528AF"/>
    <w:rsid w:val="00E52F02"/>
    <w:rsid w:val="00E53629"/>
    <w:rsid w:val="00E5372C"/>
    <w:rsid w:val="00E537A9"/>
    <w:rsid w:val="00E541BF"/>
    <w:rsid w:val="00E541C7"/>
    <w:rsid w:val="00E541CD"/>
    <w:rsid w:val="00E5480C"/>
    <w:rsid w:val="00E54988"/>
    <w:rsid w:val="00E54AB7"/>
    <w:rsid w:val="00E55131"/>
    <w:rsid w:val="00E55E23"/>
    <w:rsid w:val="00E55F3E"/>
    <w:rsid w:val="00E56204"/>
    <w:rsid w:val="00E56392"/>
    <w:rsid w:val="00E569D6"/>
    <w:rsid w:val="00E5712F"/>
    <w:rsid w:val="00E601DA"/>
    <w:rsid w:val="00E60547"/>
    <w:rsid w:val="00E609FF"/>
    <w:rsid w:val="00E61AA8"/>
    <w:rsid w:val="00E6247F"/>
    <w:rsid w:val="00E62D7A"/>
    <w:rsid w:val="00E62E59"/>
    <w:rsid w:val="00E630D2"/>
    <w:rsid w:val="00E63D5A"/>
    <w:rsid w:val="00E63E99"/>
    <w:rsid w:val="00E6454D"/>
    <w:rsid w:val="00E65301"/>
    <w:rsid w:val="00E6598A"/>
    <w:rsid w:val="00E65B0A"/>
    <w:rsid w:val="00E667A7"/>
    <w:rsid w:val="00E66BA3"/>
    <w:rsid w:val="00E679B3"/>
    <w:rsid w:val="00E7190A"/>
    <w:rsid w:val="00E71CAD"/>
    <w:rsid w:val="00E71E5C"/>
    <w:rsid w:val="00E7245E"/>
    <w:rsid w:val="00E72BEF"/>
    <w:rsid w:val="00E735B2"/>
    <w:rsid w:val="00E73831"/>
    <w:rsid w:val="00E73B66"/>
    <w:rsid w:val="00E746CB"/>
    <w:rsid w:val="00E7498E"/>
    <w:rsid w:val="00E74BB9"/>
    <w:rsid w:val="00E74E43"/>
    <w:rsid w:val="00E74FF5"/>
    <w:rsid w:val="00E7520C"/>
    <w:rsid w:val="00E7584A"/>
    <w:rsid w:val="00E75ED6"/>
    <w:rsid w:val="00E760D0"/>
    <w:rsid w:val="00E76D85"/>
    <w:rsid w:val="00E77C2E"/>
    <w:rsid w:val="00E806C0"/>
    <w:rsid w:val="00E809C5"/>
    <w:rsid w:val="00E80A1A"/>
    <w:rsid w:val="00E80DAB"/>
    <w:rsid w:val="00E82564"/>
    <w:rsid w:val="00E8292A"/>
    <w:rsid w:val="00E82CC1"/>
    <w:rsid w:val="00E82DE7"/>
    <w:rsid w:val="00E84116"/>
    <w:rsid w:val="00E84C5C"/>
    <w:rsid w:val="00E85533"/>
    <w:rsid w:val="00E85ABC"/>
    <w:rsid w:val="00E86343"/>
    <w:rsid w:val="00E866CD"/>
    <w:rsid w:val="00E87395"/>
    <w:rsid w:val="00E877ED"/>
    <w:rsid w:val="00E87838"/>
    <w:rsid w:val="00E901FD"/>
    <w:rsid w:val="00E9099C"/>
    <w:rsid w:val="00E90C7C"/>
    <w:rsid w:val="00E91964"/>
    <w:rsid w:val="00E91FB1"/>
    <w:rsid w:val="00E921B8"/>
    <w:rsid w:val="00E94468"/>
    <w:rsid w:val="00E948B0"/>
    <w:rsid w:val="00E94A0E"/>
    <w:rsid w:val="00E96226"/>
    <w:rsid w:val="00E96DDE"/>
    <w:rsid w:val="00E975DC"/>
    <w:rsid w:val="00EA04AE"/>
    <w:rsid w:val="00EA062F"/>
    <w:rsid w:val="00EA0CD6"/>
    <w:rsid w:val="00EA17A9"/>
    <w:rsid w:val="00EA311B"/>
    <w:rsid w:val="00EA36CA"/>
    <w:rsid w:val="00EA38A5"/>
    <w:rsid w:val="00EA3D9C"/>
    <w:rsid w:val="00EA3D9F"/>
    <w:rsid w:val="00EA3DAE"/>
    <w:rsid w:val="00EA43C0"/>
    <w:rsid w:val="00EA4CB0"/>
    <w:rsid w:val="00EA4DBC"/>
    <w:rsid w:val="00EA566F"/>
    <w:rsid w:val="00EA6B4A"/>
    <w:rsid w:val="00EA7C27"/>
    <w:rsid w:val="00EB07A7"/>
    <w:rsid w:val="00EB1955"/>
    <w:rsid w:val="00EB1BC3"/>
    <w:rsid w:val="00EB2857"/>
    <w:rsid w:val="00EB303F"/>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593"/>
    <w:rsid w:val="00EC1D4A"/>
    <w:rsid w:val="00EC2D7D"/>
    <w:rsid w:val="00EC36AD"/>
    <w:rsid w:val="00EC3BCF"/>
    <w:rsid w:val="00EC4537"/>
    <w:rsid w:val="00EC4F24"/>
    <w:rsid w:val="00EC56B1"/>
    <w:rsid w:val="00EC660B"/>
    <w:rsid w:val="00EC664F"/>
    <w:rsid w:val="00EC6749"/>
    <w:rsid w:val="00EC72F5"/>
    <w:rsid w:val="00EC7334"/>
    <w:rsid w:val="00EC7ABD"/>
    <w:rsid w:val="00ED1809"/>
    <w:rsid w:val="00ED1877"/>
    <w:rsid w:val="00ED247F"/>
    <w:rsid w:val="00ED27E4"/>
    <w:rsid w:val="00ED2F27"/>
    <w:rsid w:val="00ED3370"/>
    <w:rsid w:val="00ED4D96"/>
    <w:rsid w:val="00ED5A40"/>
    <w:rsid w:val="00ED5F21"/>
    <w:rsid w:val="00ED602C"/>
    <w:rsid w:val="00ED62B5"/>
    <w:rsid w:val="00ED6DDB"/>
    <w:rsid w:val="00ED7985"/>
    <w:rsid w:val="00EE0948"/>
    <w:rsid w:val="00EE270D"/>
    <w:rsid w:val="00EE4D76"/>
    <w:rsid w:val="00EE51AC"/>
    <w:rsid w:val="00EE6989"/>
    <w:rsid w:val="00EE6C77"/>
    <w:rsid w:val="00EE7604"/>
    <w:rsid w:val="00EE7912"/>
    <w:rsid w:val="00EE7915"/>
    <w:rsid w:val="00EF0465"/>
    <w:rsid w:val="00EF13C5"/>
    <w:rsid w:val="00EF16D8"/>
    <w:rsid w:val="00EF1E16"/>
    <w:rsid w:val="00EF28EF"/>
    <w:rsid w:val="00EF291B"/>
    <w:rsid w:val="00EF2EB9"/>
    <w:rsid w:val="00EF36A0"/>
    <w:rsid w:val="00EF3B10"/>
    <w:rsid w:val="00EF3D08"/>
    <w:rsid w:val="00EF40E7"/>
    <w:rsid w:val="00EF4529"/>
    <w:rsid w:val="00EF5B34"/>
    <w:rsid w:val="00EF5C7A"/>
    <w:rsid w:val="00EF657C"/>
    <w:rsid w:val="00F004D1"/>
    <w:rsid w:val="00F00C0D"/>
    <w:rsid w:val="00F0128B"/>
    <w:rsid w:val="00F019C5"/>
    <w:rsid w:val="00F02663"/>
    <w:rsid w:val="00F02AE5"/>
    <w:rsid w:val="00F03369"/>
    <w:rsid w:val="00F037FD"/>
    <w:rsid w:val="00F04E62"/>
    <w:rsid w:val="00F050AA"/>
    <w:rsid w:val="00F05E6D"/>
    <w:rsid w:val="00F07400"/>
    <w:rsid w:val="00F079F5"/>
    <w:rsid w:val="00F07A0F"/>
    <w:rsid w:val="00F07A31"/>
    <w:rsid w:val="00F11800"/>
    <w:rsid w:val="00F11875"/>
    <w:rsid w:val="00F11883"/>
    <w:rsid w:val="00F11B61"/>
    <w:rsid w:val="00F120A5"/>
    <w:rsid w:val="00F135D6"/>
    <w:rsid w:val="00F13922"/>
    <w:rsid w:val="00F13DBC"/>
    <w:rsid w:val="00F147C3"/>
    <w:rsid w:val="00F15FCF"/>
    <w:rsid w:val="00F16613"/>
    <w:rsid w:val="00F17073"/>
    <w:rsid w:val="00F1738D"/>
    <w:rsid w:val="00F178E5"/>
    <w:rsid w:val="00F20706"/>
    <w:rsid w:val="00F21496"/>
    <w:rsid w:val="00F21E77"/>
    <w:rsid w:val="00F232C1"/>
    <w:rsid w:val="00F23DF4"/>
    <w:rsid w:val="00F24D27"/>
    <w:rsid w:val="00F2520C"/>
    <w:rsid w:val="00F25BCB"/>
    <w:rsid w:val="00F25ECC"/>
    <w:rsid w:val="00F264C1"/>
    <w:rsid w:val="00F2662D"/>
    <w:rsid w:val="00F26D7F"/>
    <w:rsid w:val="00F27305"/>
    <w:rsid w:val="00F30790"/>
    <w:rsid w:val="00F31570"/>
    <w:rsid w:val="00F33355"/>
    <w:rsid w:val="00F34363"/>
    <w:rsid w:val="00F34CE9"/>
    <w:rsid w:val="00F354B9"/>
    <w:rsid w:val="00F35705"/>
    <w:rsid w:val="00F35B93"/>
    <w:rsid w:val="00F36B7A"/>
    <w:rsid w:val="00F37CFD"/>
    <w:rsid w:val="00F37D33"/>
    <w:rsid w:val="00F40178"/>
    <w:rsid w:val="00F40DB9"/>
    <w:rsid w:val="00F40ED1"/>
    <w:rsid w:val="00F415A3"/>
    <w:rsid w:val="00F41778"/>
    <w:rsid w:val="00F41B3E"/>
    <w:rsid w:val="00F421D1"/>
    <w:rsid w:val="00F4323B"/>
    <w:rsid w:val="00F43B8E"/>
    <w:rsid w:val="00F43D0B"/>
    <w:rsid w:val="00F45196"/>
    <w:rsid w:val="00F45D51"/>
    <w:rsid w:val="00F46842"/>
    <w:rsid w:val="00F4765F"/>
    <w:rsid w:val="00F479B5"/>
    <w:rsid w:val="00F47A1B"/>
    <w:rsid w:val="00F47ADE"/>
    <w:rsid w:val="00F47C4B"/>
    <w:rsid w:val="00F50FE6"/>
    <w:rsid w:val="00F52747"/>
    <w:rsid w:val="00F53775"/>
    <w:rsid w:val="00F539A6"/>
    <w:rsid w:val="00F54541"/>
    <w:rsid w:val="00F547F6"/>
    <w:rsid w:val="00F55E0E"/>
    <w:rsid w:val="00F5611D"/>
    <w:rsid w:val="00F561E2"/>
    <w:rsid w:val="00F56E3E"/>
    <w:rsid w:val="00F578A8"/>
    <w:rsid w:val="00F57EEB"/>
    <w:rsid w:val="00F57F67"/>
    <w:rsid w:val="00F60996"/>
    <w:rsid w:val="00F60B5D"/>
    <w:rsid w:val="00F611E4"/>
    <w:rsid w:val="00F613D4"/>
    <w:rsid w:val="00F61D43"/>
    <w:rsid w:val="00F61FE7"/>
    <w:rsid w:val="00F62AFE"/>
    <w:rsid w:val="00F633E5"/>
    <w:rsid w:val="00F63641"/>
    <w:rsid w:val="00F641B2"/>
    <w:rsid w:val="00F64A3A"/>
    <w:rsid w:val="00F64F35"/>
    <w:rsid w:val="00F64FC4"/>
    <w:rsid w:val="00F6557F"/>
    <w:rsid w:val="00F65DE3"/>
    <w:rsid w:val="00F6628F"/>
    <w:rsid w:val="00F66751"/>
    <w:rsid w:val="00F674C9"/>
    <w:rsid w:val="00F67E6A"/>
    <w:rsid w:val="00F703E5"/>
    <w:rsid w:val="00F70472"/>
    <w:rsid w:val="00F71430"/>
    <w:rsid w:val="00F71A8A"/>
    <w:rsid w:val="00F75896"/>
    <w:rsid w:val="00F76666"/>
    <w:rsid w:val="00F76ECB"/>
    <w:rsid w:val="00F76EF7"/>
    <w:rsid w:val="00F776B7"/>
    <w:rsid w:val="00F77758"/>
    <w:rsid w:val="00F77914"/>
    <w:rsid w:val="00F77BDB"/>
    <w:rsid w:val="00F77EE2"/>
    <w:rsid w:val="00F8031F"/>
    <w:rsid w:val="00F807C5"/>
    <w:rsid w:val="00F80C5C"/>
    <w:rsid w:val="00F818A5"/>
    <w:rsid w:val="00F8197C"/>
    <w:rsid w:val="00F84044"/>
    <w:rsid w:val="00F8465D"/>
    <w:rsid w:val="00F848B3"/>
    <w:rsid w:val="00F85755"/>
    <w:rsid w:val="00F85AC2"/>
    <w:rsid w:val="00F86A0B"/>
    <w:rsid w:val="00F87431"/>
    <w:rsid w:val="00F8765C"/>
    <w:rsid w:val="00F87A53"/>
    <w:rsid w:val="00F9031B"/>
    <w:rsid w:val="00F91504"/>
    <w:rsid w:val="00F91DA4"/>
    <w:rsid w:val="00F92728"/>
    <w:rsid w:val="00F937AF"/>
    <w:rsid w:val="00F94494"/>
    <w:rsid w:val="00F9530C"/>
    <w:rsid w:val="00F96483"/>
    <w:rsid w:val="00F9648C"/>
    <w:rsid w:val="00F96671"/>
    <w:rsid w:val="00F9680E"/>
    <w:rsid w:val="00F96BAD"/>
    <w:rsid w:val="00F96E21"/>
    <w:rsid w:val="00FA00AF"/>
    <w:rsid w:val="00FA0A0A"/>
    <w:rsid w:val="00FA0C9D"/>
    <w:rsid w:val="00FA157E"/>
    <w:rsid w:val="00FA169B"/>
    <w:rsid w:val="00FA19D5"/>
    <w:rsid w:val="00FA2A2E"/>
    <w:rsid w:val="00FA2C4B"/>
    <w:rsid w:val="00FA5CC6"/>
    <w:rsid w:val="00FA64D5"/>
    <w:rsid w:val="00FA6760"/>
    <w:rsid w:val="00FA6DDB"/>
    <w:rsid w:val="00FA70F6"/>
    <w:rsid w:val="00FA7420"/>
    <w:rsid w:val="00FA756C"/>
    <w:rsid w:val="00FA75E4"/>
    <w:rsid w:val="00FA776B"/>
    <w:rsid w:val="00FA7C18"/>
    <w:rsid w:val="00FB037F"/>
    <w:rsid w:val="00FB0AB1"/>
    <w:rsid w:val="00FB2BEF"/>
    <w:rsid w:val="00FB34FC"/>
    <w:rsid w:val="00FB36CA"/>
    <w:rsid w:val="00FB4F99"/>
    <w:rsid w:val="00FB72AC"/>
    <w:rsid w:val="00FB7706"/>
    <w:rsid w:val="00FB7EC9"/>
    <w:rsid w:val="00FB7F82"/>
    <w:rsid w:val="00FC0809"/>
    <w:rsid w:val="00FC0DAF"/>
    <w:rsid w:val="00FC0F0E"/>
    <w:rsid w:val="00FC112B"/>
    <w:rsid w:val="00FC11F5"/>
    <w:rsid w:val="00FC126D"/>
    <w:rsid w:val="00FC3387"/>
    <w:rsid w:val="00FC382F"/>
    <w:rsid w:val="00FC4236"/>
    <w:rsid w:val="00FC615D"/>
    <w:rsid w:val="00FD01CC"/>
    <w:rsid w:val="00FD08AF"/>
    <w:rsid w:val="00FD1A97"/>
    <w:rsid w:val="00FD1E7A"/>
    <w:rsid w:val="00FD2528"/>
    <w:rsid w:val="00FD2672"/>
    <w:rsid w:val="00FD28F4"/>
    <w:rsid w:val="00FD2C04"/>
    <w:rsid w:val="00FD2CE2"/>
    <w:rsid w:val="00FD3F3E"/>
    <w:rsid w:val="00FD4A1E"/>
    <w:rsid w:val="00FD66A9"/>
    <w:rsid w:val="00FD6712"/>
    <w:rsid w:val="00FD6853"/>
    <w:rsid w:val="00FD6E54"/>
    <w:rsid w:val="00FE01B5"/>
    <w:rsid w:val="00FE03BB"/>
    <w:rsid w:val="00FE0BF0"/>
    <w:rsid w:val="00FE0D00"/>
    <w:rsid w:val="00FE15A2"/>
    <w:rsid w:val="00FE33A4"/>
    <w:rsid w:val="00FE3B37"/>
    <w:rsid w:val="00FE3E26"/>
    <w:rsid w:val="00FE4871"/>
    <w:rsid w:val="00FE4B40"/>
    <w:rsid w:val="00FE51BA"/>
    <w:rsid w:val="00FE5DC4"/>
    <w:rsid w:val="00FE6E94"/>
    <w:rsid w:val="00FE76CB"/>
    <w:rsid w:val="00FE7BD8"/>
    <w:rsid w:val="00FF12EF"/>
    <w:rsid w:val="00FF1D76"/>
    <w:rsid w:val="00FF309E"/>
    <w:rsid w:val="00FF3EE6"/>
    <w:rsid w:val="00FF42DB"/>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01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PageNumber">
    <w:name w:val="page number"/>
    <w:basedOn w:val="DefaultParagraphFont"/>
    <w:rsid w:val="00466385"/>
  </w:style>
  <w:style w:type="paragraph" w:customStyle="1" w:styleId="ONUME">
    <w:name w:val="ONUM E"/>
    <w:basedOn w:val="BodyText"/>
    <w:rsid w:val="00466385"/>
    <w:pPr>
      <w:numPr>
        <w:numId w:val="5"/>
      </w:numPr>
      <w:spacing w:after="220"/>
    </w:pPr>
    <w:rPr>
      <w:rFonts w:eastAsia="SimSun"/>
      <w:lang w:eastAsia="zh-CN"/>
    </w:rPr>
  </w:style>
  <w:style w:type="paragraph" w:styleId="BodyText">
    <w:name w:val="Body Text"/>
    <w:basedOn w:val="Normal"/>
    <w:link w:val="BodyTextChar"/>
    <w:rsid w:val="00466385"/>
    <w:pPr>
      <w:spacing w:after="120"/>
    </w:pPr>
  </w:style>
  <w:style w:type="character" w:customStyle="1" w:styleId="BodyTextChar">
    <w:name w:val="Body Text Char"/>
    <w:basedOn w:val="DefaultParagraphFont"/>
    <w:link w:val="BodyText"/>
    <w:rsid w:val="00466385"/>
    <w:rPr>
      <w:rFonts w:ascii="Arial" w:hAnsi="Arial" w:cs="Arial"/>
      <w:sz w:val="22"/>
    </w:rPr>
  </w:style>
  <w:style w:type="character" w:customStyle="1" w:styleId="Heading1Char">
    <w:name w:val="Heading 1 Char"/>
    <w:link w:val="Heading1"/>
    <w:rsid w:val="00466385"/>
    <w:rPr>
      <w:rFonts w:ascii="Arial" w:eastAsia="SimSun" w:hAnsi="Arial" w:cs="Arial"/>
      <w:b/>
      <w:bCs/>
      <w:caps/>
      <w:kern w:val="32"/>
      <w:sz w:val="22"/>
      <w:szCs w:val="32"/>
    </w:rPr>
  </w:style>
  <w:style w:type="character" w:customStyle="1" w:styleId="Heading2Char">
    <w:name w:val="Heading 2 Char"/>
    <w:link w:val="Heading2"/>
    <w:rsid w:val="00466385"/>
    <w:rPr>
      <w:rFonts w:ascii="Arial" w:eastAsia="SimSun" w:hAnsi="Arial" w:cs="Arial"/>
      <w:bCs/>
      <w:iCs/>
      <w:caps/>
      <w:sz w:val="22"/>
      <w:szCs w:val="28"/>
    </w:rPr>
  </w:style>
  <w:style w:type="character" w:customStyle="1" w:styleId="Heading3Char">
    <w:name w:val="Heading 3 Char"/>
    <w:link w:val="Heading3"/>
    <w:rsid w:val="00466385"/>
    <w:rPr>
      <w:rFonts w:ascii="Arial" w:eastAsia="SimSun" w:hAnsi="Arial" w:cs="Arial"/>
      <w:bCs/>
      <w:sz w:val="22"/>
      <w:szCs w:val="26"/>
      <w:u w:val="single"/>
    </w:rPr>
  </w:style>
  <w:style w:type="character" w:customStyle="1" w:styleId="Heading4Char">
    <w:name w:val="Heading 4 Char"/>
    <w:link w:val="Heading4"/>
    <w:rsid w:val="00466385"/>
    <w:rPr>
      <w:rFonts w:ascii="Arial" w:eastAsia="SimSun" w:hAnsi="Arial" w:cs="Arial"/>
      <w:bCs/>
      <w:i/>
      <w:sz w:val="22"/>
      <w:szCs w:val="28"/>
    </w:rPr>
  </w:style>
  <w:style w:type="character" w:customStyle="1" w:styleId="HeaderChar">
    <w:name w:val="Header Char"/>
    <w:link w:val="Header"/>
    <w:uiPriority w:val="99"/>
    <w:rsid w:val="00466385"/>
    <w:rPr>
      <w:rFonts w:ascii="Arial" w:hAnsi="Arial" w:cs="Arial"/>
      <w:sz w:val="22"/>
    </w:rPr>
  </w:style>
  <w:style w:type="character" w:customStyle="1" w:styleId="FooterChar">
    <w:name w:val="Footer Char"/>
    <w:link w:val="Footer"/>
    <w:semiHidden/>
    <w:rsid w:val="00466385"/>
    <w:rPr>
      <w:rFonts w:ascii="Arial" w:hAnsi="Arial" w:cs="Arial"/>
      <w:sz w:val="22"/>
    </w:rPr>
  </w:style>
  <w:style w:type="character" w:customStyle="1" w:styleId="SalutationChar">
    <w:name w:val="Salutation Char"/>
    <w:link w:val="Salutation"/>
    <w:semiHidden/>
    <w:rsid w:val="00466385"/>
    <w:rPr>
      <w:rFonts w:ascii="Arial" w:hAnsi="Arial" w:cs="Arial"/>
      <w:sz w:val="22"/>
    </w:rPr>
  </w:style>
  <w:style w:type="character" w:customStyle="1" w:styleId="SignatureChar">
    <w:name w:val="Signature Char"/>
    <w:link w:val="Signature"/>
    <w:semiHidden/>
    <w:rsid w:val="00466385"/>
    <w:rPr>
      <w:rFonts w:ascii="Arial" w:hAnsi="Arial" w:cs="Arial"/>
      <w:sz w:val="22"/>
    </w:rPr>
  </w:style>
  <w:style w:type="character" w:customStyle="1" w:styleId="FootnoteTextChar">
    <w:name w:val="Footnote Text Char"/>
    <w:link w:val="FootnoteText"/>
    <w:semiHidden/>
    <w:rsid w:val="00466385"/>
    <w:rPr>
      <w:rFonts w:ascii="Arabic Typesetting" w:hAnsi="Arabic Typesetting" w:cs="Arabic Typesetting"/>
      <w:sz w:val="28"/>
      <w:szCs w:val="28"/>
    </w:rPr>
  </w:style>
  <w:style w:type="character" w:customStyle="1" w:styleId="EndnoteTextChar">
    <w:name w:val="Endnote Text Char"/>
    <w:link w:val="EndnoteText"/>
    <w:semiHidden/>
    <w:rsid w:val="00466385"/>
    <w:rPr>
      <w:rFonts w:ascii="Arial" w:hAnsi="Arial" w:cs="Arial"/>
      <w:sz w:val="18"/>
    </w:rPr>
  </w:style>
  <w:style w:type="character" w:customStyle="1" w:styleId="CommentTextChar">
    <w:name w:val="Comment Text Char"/>
    <w:link w:val="CommentText"/>
    <w:semiHidden/>
    <w:rsid w:val="00466385"/>
    <w:rPr>
      <w:rFonts w:ascii="Arial" w:hAnsi="Arial" w:cs="Arial"/>
      <w:sz w:val="18"/>
    </w:rPr>
  </w:style>
  <w:style w:type="paragraph" w:styleId="ListParagraph">
    <w:name w:val="List Paragraph"/>
    <w:basedOn w:val="Normal"/>
    <w:uiPriority w:val="34"/>
    <w:qFormat/>
    <w:rsid w:val="00466385"/>
    <w:pPr>
      <w:spacing w:after="200" w:line="276" w:lineRule="auto"/>
      <w:ind w:left="720"/>
      <w:contextualSpacing/>
    </w:pPr>
    <w:rPr>
      <w:rFonts w:ascii="Calibri" w:eastAsia="Calibri" w:hAnsi="Calibri"/>
      <w:szCs w:val="22"/>
    </w:rPr>
  </w:style>
  <w:style w:type="paragraph" w:styleId="TOCHeading">
    <w:name w:val="TOC Heading"/>
    <w:basedOn w:val="Heading1"/>
    <w:next w:val="Normal"/>
    <w:uiPriority w:val="39"/>
    <w:unhideWhenUsed/>
    <w:qFormat/>
    <w:rsid w:val="0078074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2A30CE"/>
    <w:pPr>
      <w:tabs>
        <w:tab w:val="right" w:pos="9345"/>
      </w:tabs>
      <w:bidi/>
      <w:spacing w:after="100" w:line="276" w:lineRule="auto"/>
      <w:ind w:left="220"/>
    </w:pPr>
    <w:rPr>
      <w:rFonts w:asciiTheme="minorHAnsi" w:eastAsiaTheme="minorEastAsia" w:hAnsiTheme="minorHAnsi" w:cstheme="minorBidi"/>
      <w:szCs w:val="22"/>
      <w:lang w:eastAsia="ja-JP"/>
    </w:rPr>
  </w:style>
  <w:style w:type="paragraph" w:styleId="TOC1">
    <w:name w:val="toc 1"/>
    <w:basedOn w:val="Normal"/>
    <w:next w:val="Normal"/>
    <w:autoRedefine/>
    <w:uiPriority w:val="39"/>
    <w:unhideWhenUsed/>
    <w:qFormat/>
    <w:rsid w:val="00BC7670"/>
    <w:pPr>
      <w:tabs>
        <w:tab w:val="right" w:pos="9345"/>
      </w:tabs>
      <w:bidi/>
      <w:spacing w:line="280" w:lineRule="exact"/>
      <w:ind w:left="-1"/>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rsid w:val="00780749"/>
    <w:pPr>
      <w:spacing w:after="100" w:line="276" w:lineRule="auto"/>
      <w:ind w:left="440"/>
    </w:pPr>
    <w:rPr>
      <w:rFonts w:asciiTheme="minorHAnsi" w:eastAsiaTheme="minorEastAsia" w:hAnsiTheme="minorHAnsi" w:cstheme="minorBidi"/>
      <w:szCs w:val="22"/>
      <w:lang w:eastAsia="ja-JP"/>
    </w:rPr>
  </w:style>
  <w:style w:type="character" w:styleId="Hyperlink">
    <w:name w:val="Hyperlink"/>
    <w:basedOn w:val="DefaultParagraphFont"/>
    <w:uiPriority w:val="99"/>
    <w:unhideWhenUsed/>
    <w:rsid w:val="00780749"/>
    <w:rPr>
      <w:color w:val="0000FF" w:themeColor="hyperlink"/>
      <w:u w:val="single"/>
    </w:rPr>
  </w:style>
  <w:style w:type="character" w:styleId="CommentReference">
    <w:name w:val="annotation reference"/>
    <w:basedOn w:val="DefaultParagraphFont"/>
    <w:rsid w:val="009C1844"/>
    <w:rPr>
      <w:sz w:val="16"/>
      <w:szCs w:val="16"/>
    </w:rPr>
  </w:style>
  <w:style w:type="paragraph" w:styleId="CommentSubject">
    <w:name w:val="annotation subject"/>
    <w:basedOn w:val="CommentText"/>
    <w:next w:val="CommentText"/>
    <w:link w:val="CommentSubjectChar"/>
    <w:rsid w:val="009C1844"/>
    <w:rPr>
      <w:b/>
      <w:bCs/>
      <w:sz w:val="20"/>
    </w:rPr>
  </w:style>
  <w:style w:type="character" w:customStyle="1" w:styleId="CommentSubjectChar">
    <w:name w:val="Comment Subject Char"/>
    <w:basedOn w:val="CommentTextChar"/>
    <w:link w:val="CommentSubject"/>
    <w:rsid w:val="009C1844"/>
    <w:rPr>
      <w:rFonts w:ascii="Arial" w:hAnsi="Arial" w:cs="Arial"/>
      <w:b/>
      <w:bCs/>
      <w:sz w:val="18"/>
    </w:rPr>
  </w:style>
  <w:style w:type="paragraph" w:customStyle="1" w:styleId="Style3">
    <w:name w:val="Style3"/>
    <w:basedOn w:val="Normal"/>
    <w:link w:val="Style3Char"/>
    <w:rsid w:val="00CC1C09"/>
    <w:pPr>
      <w:spacing w:after="120"/>
      <w:jc w:val="both"/>
    </w:pPr>
    <w:rPr>
      <w:rFonts w:cs="Times New Roman"/>
    </w:rPr>
  </w:style>
  <w:style w:type="character" w:customStyle="1" w:styleId="Style3Char">
    <w:name w:val="Style3 Char"/>
    <w:link w:val="Style3"/>
    <w:rsid w:val="00CC1C09"/>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PageNumber">
    <w:name w:val="page number"/>
    <w:basedOn w:val="DefaultParagraphFont"/>
    <w:rsid w:val="00466385"/>
  </w:style>
  <w:style w:type="paragraph" w:customStyle="1" w:styleId="ONUME">
    <w:name w:val="ONUM E"/>
    <w:basedOn w:val="BodyText"/>
    <w:rsid w:val="00466385"/>
    <w:pPr>
      <w:numPr>
        <w:numId w:val="5"/>
      </w:numPr>
      <w:spacing w:after="220"/>
    </w:pPr>
    <w:rPr>
      <w:rFonts w:eastAsia="SimSun"/>
      <w:lang w:eastAsia="zh-CN"/>
    </w:rPr>
  </w:style>
  <w:style w:type="paragraph" w:styleId="BodyText">
    <w:name w:val="Body Text"/>
    <w:basedOn w:val="Normal"/>
    <w:link w:val="BodyTextChar"/>
    <w:rsid w:val="00466385"/>
    <w:pPr>
      <w:spacing w:after="120"/>
    </w:pPr>
  </w:style>
  <w:style w:type="character" w:customStyle="1" w:styleId="BodyTextChar">
    <w:name w:val="Body Text Char"/>
    <w:basedOn w:val="DefaultParagraphFont"/>
    <w:link w:val="BodyText"/>
    <w:rsid w:val="00466385"/>
    <w:rPr>
      <w:rFonts w:ascii="Arial" w:hAnsi="Arial" w:cs="Arial"/>
      <w:sz w:val="22"/>
    </w:rPr>
  </w:style>
  <w:style w:type="character" w:customStyle="1" w:styleId="Heading1Char">
    <w:name w:val="Heading 1 Char"/>
    <w:link w:val="Heading1"/>
    <w:rsid w:val="00466385"/>
    <w:rPr>
      <w:rFonts w:ascii="Arial" w:eastAsia="SimSun" w:hAnsi="Arial" w:cs="Arial"/>
      <w:b/>
      <w:bCs/>
      <w:caps/>
      <w:kern w:val="32"/>
      <w:sz w:val="22"/>
      <w:szCs w:val="32"/>
    </w:rPr>
  </w:style>
  <w:style w:type="character" w:customStyle="1" w:styleId="Heading2Char">
    <w:name w:val="Heading 2 Char"/>
    <w:link w:val="Heading2"/>
    <w:rsid w:val="00466385"/>
    <w:rPr>
      <w:rFonts w:ascii="Arial" w:eastAsia="SimSun" w:hAnsi="Arial" w:cs="Arial"/>
      <w:bCs/>
      <w:iCs/>
      <w:caps/>
      <w:sz w:val="22"/>
      <w:szCs w:val="28"/>
    </w:rPr>
  </w:style>
  <w:style w:type="character" w:customStyle="1" w:styleId="Heading3Char">
    <w:name w:val="Heading 3 Char"/>
    <w:link w:val="Heading3"/>
    <w:rsid w:val="00466385"/>
    <w:rPr>
      <w:rFonts w:ascii="Arial" w:eastAsia="SimSun" w:hAnsi="Arial" w:cs="Arial"/>
      <w:bCs/>
      <w:sz w:val="22"/>
      <w:szCs w:val="26"/>
      <w:u w:val="single"/>
    </w:rPr>
  </w:style>
  <w:style w:type="character" w:customStyle="1" w:styleId="Heading4Char">
    <w:name w:val="Heading 4 Char"/>
    <w:link w:val="Heading4"/>
    <w:rsid w:val="00466385"/>
    <w:rPr>
      <w:rFonts w:ascii="Arial" w:eastAsia="SimSun" w:hAnsi="Arial" w:cs="Arial"/>
      <w:bCs/>
      <w:i/>
      <w:sz w:val="22"/>
      <w:szCs w:val="28"/>
    </w:rPr>
  </w:style>
  <w:style w:type="character" w:customStyle="1" w:styleId="HeaderChar">
    <w:name w:val="Header Char"/>
    <w:link w:val="Header"/>
    <w:uiPriority w:val="99"/>
    <w:rsid w:val="00466385"/>
    <w:rPr>
      <w:rFonts w:ascii="Arial" w:hAnsi="Arial" w:cs="Arial"/>
      <w:sz w:val="22"/>
    </w:rPr>
  </w:style>
  <w:style w:type="character" w:customStyle="1" w:styleId="FooterChar">
    <w:name w:val="Footer Char"/>
    <w:link w:val="Footer"/>
    <w:semiHidden/>
    <w:rsid w:val="00466385"/>
    <w:rPr>
      <w:rFonts w:ascii="Arial" w:hAnsi="Arial" w:cs="Arial"/>
      <w:sz w:val="22"/>
    </w:rPr>
  </w:style>
  <w:style w:type="character" w:customStyle="1" w:styleId="SalutationChar">
    <w:name w:val="Salutation Char"/>
    <w:link w:val="Salutation"/>
    <w:semiHidden/>
    <w:rsid w:val="00466385"/>
    <w:rPr>
      <w:rFonts w:ascii="Arial" w:hAnsi="Arial" w:cs="Arial"/>
      <w:sz w:val="22"/>
    </w:rPr>
  </w:style>
  <w:style w:type="character" w:customStyle="1" w:styleId="SignatureChar">
    <w:name w:val="Signature Char"/>
    <w:link w:val="Signature"/>
    <w:semiHidden/>
    <w:rsid w:val="00466385"/>
    <w:rPr>
      <w:rFonts w:ascii="Arial" w:hAnsi="Arial" w:cs="Arial"/>
      <w:sz w:val="22"/>
    </w:rPr>
  </w:style>
  <w:style w:type="character" w:customStyle="1" w:styleId="FootnoteTextChar">
    <w:name w:val="Footnote Text Char"/>
    <w:link w:val="FootnoteText"/>
    <w:semiHidden/>
    <w:rsid w:val="00466385"/>
    <w:rPr>
      <w:rFonts w:ascii="Arabic Typesetting" w:hAnsi="Arabic Typesetting" w:cs="Arabic Typesetting"/>
      <w:sz w:val="28"/>
      <w:szCs w:val="28"/>
    </w:rPr>
  </w:style>
  <w:style w:type="character" w:customStyle="1" w:styleId="EndnoteTextChar">
    <w:name w:val="Endnote Text Char"/>
    <w:link w:val="EndnoteText"/>
    <w:semiHidden/>
    <w:rsid w:val="00466385"/>
    <w:rPr>
      <w:rFonts w:ascii="Arial" w:hAnsi="Arial" w:cs="Arial"/>
      <w:sz w:val="18"/>
    </w:rPr>
  </w:style>
  <w:style w:type="character" w:customStyle="1" w:styleId="CommentTextChar">
    <w:name w:val="Comment Text Char"/>
    <w:link w:val="CommentText"/>
    <w:semiHidden/>
    <w:rsid w:val="00466385"/>
    <w:rPr>
      <w:rFonts w:ascii="Arial" w:hAnsi="Arial" w:cs="Arial"/>
      <w:sz w:val="18"/>
    </w:rPr>
  </w:style>
  <w:style w:type="paragraph" w:styleId="ListParagraph">
    <w:name w:val="List Paragraph"/>
    <w:basedOn w:val="Normal"/>
    <w:uiPriority w:val="34"/>
    <w:qFormat/>
    <w:rsid w:val="00466385"/>
    <w:pPr>
      <w:spacing w:after="200" w:line="276" w:lineRule="auto"/>
      <w:ind w:left="720"/>
      <w:contextualSpacing/>
    </w:pPr>
    <w:rPr>
      <w:rFonts w:ascii="Calibri" w:eastAsia="Calibri" w:hAnsi="Calibri"/>
      <w:szCs w:val="22"/>
    </w:rPr>
  </w:style>
  <w:style w:type="paragraph" w:styleId="TOCHeading">
    <w:name w:val="TOC Heading"/>
    <w:basedOn w:val="Heading1"/>
    <w:next w:val="Normal"/>
    <w:uiPriority w:val="39"/>
    <w:unhideWhenUsed/>
    <w:qFormat/>
    <w:rsid w:val="0078074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2A30CE"/>
    <w:pPr>
      <w:tabs>
        <w:tab w:val="right" w:pos="9345"/>
      </w:tabs>
      <w:bidi/>
      <w:spacing w:after="100" w:line="276" w:lineRule="auto"/>
      <w:ind w:left="220"/>
    </w:pPr>
    <w:rPr>
      <w:rFonts w:asciiTheme="minorHAnsi" w:eastAsiaTheme="minorEastAsia" w:hAnsiTheme="minorHAnsi" w:cstheme="minorBidi"/>
      <w:szCs w:val="22"/>
      <w:lang w:eastAsia="ja-JP"/>
    </w:rPr>
  </w:style>
  <w:style w:type="paragraph" w:styleId="TOC1">
    <w:name w:val="toc 1"/>
    <w:basedOn w:val="Normal"/>
    <w:next w:val="Normal"/>
    <w:autoRedefine/>
    <w:uiPriority w:val="39"/>
    <w:unhideWhenUsed/>
    <w:qFormat/>
    <w:rsid w:val="00BC7670"/>
    <w:pPr>
      <w:tabs>
        <w:tab w:val="right" w:pos="9345"/>
      </w:tabs>
      <w:bidi/>
      <w:spacing w:line="280" w:lineRule="exact"/>
      <w:ind w:left="-1"/>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rsid w:val="00780749"/>
    <w:pPr>
      <w:spacing w:after="100" w:line="276" w:lineRule="auto"/>
      <w:ind w:left="440"/>
    </w:pPr>
    <w:rPr>
      <w:rFonts w:asciiTheme="minorHAnsi" w:eastAsiaTheme="minorEastAsia" w:hAnsiTheme="minorHAnsi" w:cstheme="minorBidi"/>
      <w:szCs w:val="22"/>
      <w:lang w:eastAsia="ja-JP"/>
    </w:rPr>
  </w:style>
  <w:style w:type="character" w:styleId="Hyperlink">
    <w:name w:val="Hyperlink"/>
    <w:basedOn w:val="DefaultParagraphFont"/>
    <w:uiPriority w:val="99"/>
    <w:unhideWhenUsed/>
    <w:rsid w:val="00780749"/>
    <w:rPr>
      <w:color w:val="0000FF" w:themeColor="hyperlink"/>
      <w:u w:val="single"/>
    </w:rPr>
  </w:style>
  <w:style w:type="character" w:styleId="CommentReference">
    <w:name w:val="annotation reference"/>
    <w:basedOn w:val="DefaultParagraphFont"/>
    <w:rsid w:val="009C1844"/>
    <w:rPr>
      <w:sz w:val="16"/>
      <w:szCs w:val="16"/>
    </w:rPr>
  </w:style>
  <w:style w:type="paragraph" w:styleId="CommentSubject">
    <w:name w:val="annotation subject"/>
    <w:basedOn w:val="CommentText"/>
    <w:next w:val="CommentText"/>
    <w:link w:val="CommentSubjectChar"/>
    <w:rsid w:val="009C1844"/>
    <w:rPr>
      <w:b/>
      <w:bCs/>
      <w:sz w:val="20"/>
    </w:rPr>
  </w:style>
  <w:style w:type="character" w:customStyle="1" w:styleId="CommentSubjectChar">
    <w:name w:val="Comment Subject Char"/>
    <w:basedOn w:val="CommentTextChar"/>
    <w:link w:val="CommentSubject"/>
    <w:rsid w:val="009C1844"/>
    <w:rPr>
      <w:rFonts w:ascii="Arial" w:hAnsi="Arial" w:cs="Arial"/>
      <w:b/>
      <w:bCs/>
      <w:sz w:val="18"/>
    </w:rPr>
  </w:style>
  <w:style w:type="paragraph" w:customStyle="1" w:styleId="Style3">
    <w:name w:val="Style3"/>
    <w:basedOn w:val="Normal"/>
    <w:link w:val="Style3Char"/>
    <w:rsid w:val="00CC1C09"/>
    <w:pPr>
      <w:spacing w:after="120"/>
      <w:jc w:val="both"/>
    </w:pPr>
    <w:rPr>
      <w:rFonts w:cs="Times New Roman"/>
    </w:rPr>
  </w:style>
  <w:style w:type="character" w:customStyle="1" w:styleId="Style3Char">
    <w:name w:val="Style3 Char"/>
    <w:link w:val="Style3"/>
    <w:rsid w:val="00CC1C0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354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image" Target="media/image5.png"/><Relationship Id="rId42" Type="http://schemas.openxmlformats.org/officeDocument/2006/relationships/image" Target="media/image26.emf"/><Relationship Id="rId47" Type="http://schemas.openxmlformats.org/officeDocument/2006/relationships/image" Target="media/image31.png"/><Relationship Id="rId63" Type="http://schemas.openxmlformats.org/officeDocument/2006/relationships/header" Target="header6.xml"/><Relationship Id="rId68" Type="http://schemas.openxmlformats.org/officeDocument/2006/relationships/image" Target="media/image50.emf"/><Relationship Id="rId84" Type="http://schemas.openxmlformats.org/officeDocument/2006/relationships/image" Target="media/image65.emf"/><Relationship Id="rId89" Type="http://schemas.openxmlformats.org/officeDocument/2006/relationships/image" Target="media/image70.emf"/><Relationship Id="rId112" Type="http://schemas.openxmlformats.org/officeDocument/2006/relationships/image" Target="media/image92.emf"/><Relationship Id="rId16" Type="http://schemas.openxmlformats.org/officeDocument/2006/relationships/header" Target="header4.xml"/><Relationship Id="rId107" Type="http://schemas.openxmlformats.org/officeDocument/2006/relationships/image" Target="media/image88.emf"/><Relationship Id="rId11" Type="http://schemas.openxmlformats.org/officeDocument/2006/relationships/header" Target="header2.xml"/><Relationship Id="rId24" Type="http://schemas.openxmlformats.org/officeDocument/2006/relationships/image" Target="media/image8.emf"/><Relationship Id="rId32" Type="http://schemas.openxmlformats.org/officeDocument/2006/relationships/image" Target="media/image16.png"/><Relationship Id="rId37" Type="http://schemas.openxmlformats.org/officeDocument/2006/relationships/image" Target="media/image21.emf"/><Relationship Id="rId40" Type="http://schemas.openxmlformats.org/officeDocument/2006/relationships/image" Target="media/image24.emf"/><Relationship Id="rId45" Type="http://schemas.openxmlformats.org/officeDocument/2006/relationships/image" Target="media/image29.png"/><Relationship Id="rId53" Type="http://schemas.openxmlformats.org/officeDocument/2006/relationships/image" Target="media/image37.emf"/><Relationship Id="rId58" Type="http://schemas.openxmlformats.org/officeDocument/2006/relationships/image" Target="media/image42.emf"/><Relationship Id="rId66" Type="http://schemas.openxmlformats.org/officeDocument/2006/relationships/header" Target="header7.xml"/><Relationship Id="rId74" Type="http://schemas.openxmlformats.org/officeDocument/2006/relationships/image" Target="media/image56.emf"/><Relationship Id="rId79" Type="http://schemas.openxmlformats.org/officeDocument/2006/relationships/image" Target="media/image61.emf"/><Relationship Id="rId87" Type="http://schemas.openxmlformats.org/officeDocument/2006/relationships/image" Target="media/image68.emf"/><Relationship Id="rId102" Type="http://schemas.openxmlformats.org/officeDocument/2006/relationships/image" Target="media/image83.emf"/><Relationship Id="rId110" Type="http://schemas.openxmlformats.org/officeDocument/2006/relationships/image" Target="media/image90.emf"/><Relationship Id="rId115"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45.emf"/><Relationship Id="rId82" Type="http://schemas.openxmlformats.org/officeDocument/2006/relationships/hyperlink" Target="http://www.unjspf.org" TargetMode="External"/><Relationship Id="rId90" Type="http://schemas.openxmlformats.org/officeDocument/2006/relationships/image" Target="media/image71.emf"/><Relationship Id="rId95" Type="http://schemas.openxmlformats.org/officeDocument/2006/relationships/image" Target="media/image76.emf"/><Relationship Id="rId19" Type="http://schemas.openxmlformats.org/officeDocument/2006/relationships/image" Target="media/image3.emf"/><Relationship Id="rId14" Type="http://schemas.openxmlformats.org/officeDocument/2006/relationships/header" Target="header3.xml"/><Relationship Id="rId22" Type="http://schemas.openxmlformats.org/officeDocument/2006/relationships/image" Target="media/image6.emf"/><Relationship Id="rId27" Type="http://schemas.openxmlformats.org/officeDocument/2006/relationships/image" Target="media/image11.png"/><Relationship Id="rId30" Type="http://schemas.openxmlformats.org/officeDocument/2006/relationships/image" Target="media/image14.emf"/><Relationship Id="rId35" Type="http://schemas.openxmlformats.org/officeDocument/2006/relationships/image" Target="media/image19.png"/><Relationship Id="rId43" Type="http://schemas.openxmlformats.org/officeDocument/2006/relationships/image" Target="media/image27.emf"/><Relationship Id="rId48" Type="http://schemas.openxmlformats.org/officeDocument/2006/relationships/image" Target="media/image32.emf"/><Relationship Id="rId56" Type="http://schemas.openxmlformats.org/officeDocument/2006/relationships/image" Target="media/image40.emf"/><Relationship Id="rId64" Type="http://schemas.openxmlformats.org/officeDocument/2006/relationships/image" Target="media/image47.emf"/><Relationship Id="rId69" Type="http://schemas.openxmlformats.org/officeDocument/2006/relationships/image" Target="media/image51.emf"/><Relationship Id="rId77" Type="http://schemas.openxmlformats.org/officeDocument/2006/relationships/image" Target="media/image59.emf"/><Relationship Id="rId100" Type="http://schemas.openxmlformats.org/officeDocument/2006/relationships/image" Target="media/image81.emf"/><Relationship Id="rId105" Type="http://schemas.openxmlformats.org/officeDocument/2006/relationships/image" Target="media/image86.emf"/><Relationship Id="rId113" Type="http://schemas.openxmlformats.org/officeDocument/2006/relationships/header" Target="header9.xml"/><Relationship Id="rId8" Type="http://schemas.openxmlformats.org/officeDocument/2006/relationships/endnotes" Target="endnotes.xml"/><Relationship Id="rId51" Type="http://schemas.openxmlformats.org/officeDocument/2006/relationships/image" Target="media/image35.emf"/><Relationship Id="rId72" Type="http://schemas.openxmlformats.org/officeDocument/2006/relationships/image" Target="media/image54.emf"/><Relationship Id="rId80" Type="http://schemas.openxmlformats.org/officeDocument/2006/relationships/image" Target="media/image62.emf"/><Relationship Id="rId85" Type="http://schemas.openxmlformats.org/officeDocument/2006/relationships/image" Target="media/image66.emf"/><Relationship Id="rId93" Type="http://schemas.openxmlformats.org/officeDocument/2006/relationships/image" Target="media/image74.emf"/><Relationship Id="rId98" Type="http://schemas.openxmlformats.org/officeDocument/2006/relationships/image" Target="media/image79.e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emf"/><Relationship Id="rId46" Type="http://schemas.openxmlformats.org/officeDocument/2006/relationships/image" Target="media/image30.png"/><Relationship Id="rId59" Type="http://schemas.openxmlformats.org/officeDocument/2006/relationships/image" Target="media/image43.emf"/><Relationship Id="rId67" Type="http://schemas.openxmlformats.org/officeDocument/2006/relationships/image" Target="media/image49.emf"/><Relationship Id="rId103" Type="http://schemas.openxmlformats.org/officeDocument/2006/relationships/image" Target="media/image84.emf"/><Relationship Id="rId108" Type="http://schemas.openxmlformats.org/officeDocument/2006/relationships/image" Target="media/image89.emf"/><Relationship Id="rId20" Type="http://schemas.openxmlformats.org/officeDocument/2006/relationships/image" Target="media/image4.emf"/><Relationship Id="rId41" Type="http://schemas.openxmlformats.org/officeDocument/2006/relationships/image" Target="media/image25.emf"/><Relationship Id="rId54" Type="http://schemas.openxmlformats.org/officeDocument/2006/relationships/image" Target="media/image38.emf"/><Relationship Id="rId62" Type="http://schemas.openxmlformats.org/officeDocument/2006/relationships/image" Target="media/image46.emf"/><Relationship Id="rId70" Type="http://schemas.openxmlformats.org/officeDocument/2006/relationships/image" Target="media/image52.emf"/><Relationship Id="rId75" Type="http://schemas.openxmlformats.org/officeDocument/2006/relationships/image" Target="media/image57.emf"/><Relationship Id="rId83" Type="http://schemas.openxmlformats.org/officeDocument/2006/relationships/image" Target="media/image64.emf"/><Relationship Id="rId88" Type="http://schemas.openxmlformats.org/officeDocument/2006/relationships/image" Target="media/image69.emf"/><Relationship Id="rId91" Type="http://schemas.openxmlformats.org/officeDocument/2006/relationships/image" Target="media/image72.emf"/><Relationship Id="rId96" Type="http://schemas.openxmlformats.org/officeDocument/2006/relationships/image" Target="media/image77.emf"/><Relationship Id="rId111" Type="http://schemas.openxmlformats.org/officeDocument/2006/relationships/image" Target="media/image91.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emf"/><Relationship Id="rId49" Type="http://schemas.openxmlformats.org/officeDocument/2006/relationships/image" Target="media/image33.emf"/><Relationship Id="rId57" Type="http://schemas.openxmlformats.org/officeDocument/2006/relationships/image" Target="media/image41.emf"/><Relationship Id="rId106" Type="http://schemas.openxmlformats.org/officeDocument/2006/relationships/image" Target="media/image87.emf"/><Relationship Id="rId114"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image" Target="media/image15.emf"/><Relationship Id="rId44" Type="http://schemas.openxmlformats.org/officeDocument/2006/relationships/image" Target="media/image28.png"/><Relationship Id="rId52" Type="http://schemas.openxmlformats.org/officeDocument/2006/relationships/image" Target="media/image36.emf"/><Relationship Id="rId60" Type="http://schemas.openxmlformats.org/officeDocument/2006/relationships/image" Target="media/image44.emf"/><Relationship Id="rId65" Type="http://schemas.openxmlformats.org/officeDocument/2006/relationships/image" Target="media/image48.emf"/><Relationship Id="rId73" Type="http://schemas.openxmlformats.org/officeDocument/2006/relationships/image" Target="media/image55.emf"/><Relationship Id="rId78" Type="http://schemas.openxmlformats.org/officeDocument/2006/relationships/image" Target="media/image60.emf"/><Relationship Id="rId81" Type="http://schemas.openxmlformats.org/officeDocument/2006/relationships/image" Target="media/image63.emf"/><Relationship Id="rId86" Type="http://schemas.openxmlformats.org/officeDocument/2006/relationships/image" Target="media/image67.emf"/><Relationship Id="rId94" Type="http://schemas.openxmlformats.org/officeDocument/2006/relationships/image" Target="media/image75.emf"/><Relationship Id="rId99" Type="http://schemas.openxmlformats.org/officeDocument/2006/relationships/image" Target="media/image80.emf"/><Relationship Id="rId101" Type="http://schemas.openxmlformats.org/officeDocument/2006/relationships/image" Target="media/image82.emf"/><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2.emf"/><Relationship Id="rId39" Type="http://schemas.openxmlformats.org/officeDocument/2006/relationships/image" Target="media/image23.emf"/><Relationship Id="rId109" Type="http://schemas.openxmlformats.org/officeDocument/2006/relationships/header" Target="header8.xml"/><Relationship Id="rId34" Type="http://schemas.openxmlformats.org/officeDocument/2006/relationships/image" Target="media/image18.emf"/><Relationship Id="rId50" Type="http://schemas.openxmlformats.org/officeDocument/2006/relationships/image" Target="media/image34.emf"/><Relationship Id="rId55" Type="http://schemas.openxmlformats.org/officeDocument/2006/relationships/image" Target="media/image39.emf"/><Relationship Id="rId76" Type="http://schemas.openxmlformats.org/officeDocument/2006/relationships/image" Target="media/image58.emf"/><Relationship Id="rId97" Type="http://schemas.openxmlformats.org/officeDocument/2006/relationships/image" Target="media/image78.emf"/><Relationship Id="rId104" Type="http://schemas.openxmlformats.org/officeDocument/2006/relationships/image" Target="media/image85.emf"/><Relationship Id="rId7" Type="http://schemas.openxmlformats.org/officeDocument/2006/relationships/footnotes" Target="footnotes.xml"/><Relationship Id="rId71" Type="http://schemas.openxmlformats.org/officeDocument/2006/relationships/image" Target="media/image53.emf"/><Relationship Id="rId92" Type="http://schemas.openxmlformats.org/officeDocument/2006/relationships/image" Target="media/image73.emf"/><Relationship Id="rId2" Type="http://schemas.openxmlformats.org/officeDocument/2006/relationships/numbering" Target="numbering.xml"/><Relationship Id="rId29"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351E7-19AD-445C-B8EA-D8A188297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19078</Words>
  <Characters>108748</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WO/PBC/24/8 (Arabic)</vt:lpstr>
    </vt:vector>
  </TitlesOfParts>
  <Company>World Intellectual Property Organization</Company>
  <LinksUpToDate>false</LinksUpToDate>
  <CharactersWithSpaces>127571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WO/PBC/24/8 (Arabic)</dc:title>
  <dc:creator>Ahmed Hassan</dc:creator>
  <cp:lastModifiedBy>MITON GENOUD Anne</cp:lastModifiedBy>
  <cp:revision>2</cp:revision>
  <cp:lastPrinted>2015-08-03T15:18:00Z</cp:lastPrinted>
  <dcterms:created xsi:type="dcterms:W3CDTF">2015-08-10T10:02:00Z</dcterms:created>
  <dcterms:modified xsi:type="dcterms:W3CDTF">2015-08-10T10:02:00Z</dcterms:modified>
</cp:coreProperties>
</file>