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A28BF" w:rsidRPr="001A28BF" w:rsidTr="00AF2751">
        <w:tc>
          <w:tcPr>
            <w:tcW w:w="4843" w:type="dxa"/>
            <w:tcBorders>
              <w:bottom w:val="single" w:sz="4" w:space="0" w:color="auto"/>
            </w:tcBorders>
          </w:tcPr>
          <w:p w:rsidR="001A28BF" w:rsidRPr="001A28BF" w:rsidRDefault="001A28BF" w:rsidP="001A28BF">
            <w:pPr>
              <w:bidi/>
              <w:rPr>
                <w:rFonts w:ascii="Arabic Typesetting" w:hAnsi="Arabic Typesetting" w:cs="Arabic Typesetting"/>
                <w:sz w:val="36"/>
                <w:szCs w:val="36"/>
                <w:rtl/>
              </w:rPr>
            </w:pPr>
          </w:p>
        </w:tc>
        <w:tc>
          <w:tcPr>
            <w:tcW w:w="4223" w:type="dxa"/>
            <w:tcBorders>
              <w:bottom w:val="single" w:sz="4" w:space="0" w:color="auto"/>
            </w:tcBorders>
          </w:tcPr>
          <w:p w:rsidR="001A28BF" w:rsidRPr="001A28BF" w:rsidRDefault="001A28BF" w:rsidP="001A28BF">
            <w:pPr>
              <w:bidi/>
              <w:spacing w:after="20"/>
              <w:rPr>
                <w:rFonts w:ascii="Arabic Typesetting" w:hAnsi="Arabic Typesetting" w:cs="Arabic Typesetting"/>
                <w:sz w:val="36"/>
                <w:szCs w:val="36"/>
                <w:rtl/>
              </w:rPr>
            </w:pPr>
            <w:r w:rsidRPr="001A28BF">
              <w:rPr>
                <w:noProof/>
              </w:rPr>
              <w:drawing>
                <wp:inline distT="0" distB="0" distL="0" distR="0" wp14:anchorId="1B5FD870" wp14:editId="46FF079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28BF" w:rsidRPr="001A28BF" w:rsidRDefault="001A28BF" w:rsidP="001A28BF">
            <w:pPr>
              <w:rPr>
                <w:b/>
                <w:bCs/>
                <w:sz w:val="40"/>
                <w:szCs w:val="40"/>
              </w:rPr>
            </w:pPr>
            <w:r w:rsidRPr="001A28BF">
              <w:rPr>
                <w:b/>
                <w:bCs/>
                <w:sz w:val="40"/>
                <w:szCs w:val="40"/>
              </w:rPr>
              <w:t>A</w:t>
            </w:r>
          </w:p>
        </w:tc>
      </w:tr>
      <w:tr w:rsidR="001A28BF" w:rsidRPr="001A28BF" w:rsidTr="00AF2751">
        <w:trPr>
          <w:trHeight w:val="333"/>
        </w:trPr>
        <w:tc>
          <w:tcPr>
            <w:tcW w:w="9571" w:type="dxa"/>
            <w:gridSpan w:val="3"/>
            <w:tcBorders>
              <w:top w:val="single" w:sz="4" w:space="0" w:color="auto"/>
            </w:tcBorders>
            <w:vAlign w:val="bottom"/>
          </w:tcPr>
          <w:p w:rsidR="001A28BF" w:rsidRPr="001A28BF" w:rsidRDefault="001A28BF" w:rsidP="002437FE">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sidR="002437FE">
              <w:rPr>
                <w:rFonts w:ascii="Arial Black" w:hAnsi="Arial Black" w:cs="Arabic Typesetting"/>
                <w:b/>
                <w:bCs/>
                <w:sz w:val="16"/>
                <w:szCs w:val="16"/>
              </w:rPr>
              <w:t>23</w:t>
            </w:r>
            <w:r w:rsidR="006721D0">
              <w:rPr>
                <w:rFonts w:ascii="Arial Black" w:hAnsi="Arial Black" w:cs="Arabic Typesetting"/>
                <w:b/>
                <w:bCs/>
                <w:sz w:val="16"/>
                <w:szCs w:val="16"/>
              </w:rPr>
              <w:t>/8</w:t>
            </w:r>
          </w:p>
        </w:tc>
      </w:tr>
      <w:tr w:rsidR="001A28BF" w:rsidRPr="001A28BF" w:rsidTr="00AF2751">
        <w:tc>
          <w:tcPr>
            <w:tcW w:w="9571" w:type="dxa"/>
            <w:gridSpan w:val="3"/>
          </w:tcPr>
          <w:p w:rsidR="001A28BF" w:rsidRPr="001A28BF" w:rsidRDefault="001A28BF" w:rsidP="006721D0">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006721D0">
              <w:rPr>
                <w:rFonts w:ascii="Arabic Typesetting" w:hAnsi="Arabic Typesetting" w:cs="Arabic Typesetting" w:hint="cs"/>
                <w:b/>
                <w:bCs/>
                <w:sz w:val="30"/>
                <w:szCs w:val="30"/>
                <w:rtl/>
              </w:rPr>
              <w:t>بالإنكليزية</w:t>
            </w:r>
          </w:p>
        </w:tc>
      </w:tr>
      <w:tr w:rsidR="001A28BF" w:rsidRPr="001A28BF" w:rsidTr="00AF2751">
        <w:tc>
          <w:tcPr>
            <w:tcW w:w="9571" w:type="dxa"/>
            <w:gridSpan w:val="3"/>
          </w:tcPr>
          <w:p w:rsidR="001A28BF" w:rsidRPr="001A28BF" w:rsidRDefault="001A28BF" w:rsidP="006721D0">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sidR="006721D0">
              <w:rPr>
                <w:rFonts w:ascii="Arabic Typesetting" w:hAnsi="Arabic Typesetting" w:cs="Arabic Typesetting" w:hint="cs"/>
                <w:b/>
                <w:bCs/>
                <w:sz w:val="30"/>
                <w:szCs w:val="30"/>
                <w:rtl/>
              </w:rPr>
              <w:t>12</w:t>
            </w:r>
            <w:r w:rsidRPr="001A28BF">
              <w:rPr>
                <w:rFonts w:ascii="Arabic Typesetting" w:hAnsi="Arabic Typesetting" w:cs="Arabic Typesetting" w:hint="cs"/>
                <w:b/>
                <w:bCs/>
                <w:sz w:val="30"/>
                <w:szCs w:val="30"/>
                <w:rtl/>
              </w:rPr>
              <w:t xml:space="preserve"> </w:t>
            </w:r>
            <w:r w:rsidR="006721D0">
              <w:rPr>
                <w:rFonts w:ascii="Arabic Typesetting" w:hAnsi="Arabic Typesetting" w:cs="Arabic Typesetting" w:hint="cs"/>
                <w:b/>
                <w:bCs/>
                <w:sz w:val="30"/>
                <w:szCs w:val="30"/>
                <w:rtl/>
              </w:rPr>
              <w:t>يونيو</w:t>
            </w:r>
            <w:r w:rsidRPr="001A28BF">
              <w:rPr>
                <w:rFonts w:ascii="Arabic Typesetting" w:hAnsi="Arabic Typesetting" w:cs="Arabic Typesetting" w:hint="cs"/>
                <w:b/>
                <w:bCs/>
                <w:sz w:val="30"/>
                <w:szCs w:val="30"/>
                <w:rtl/>
              </w:rPr>
              <w:t xml:space="preserve"> </w:t>
            </w:r>
            <w:r w:rsidR="002437FE">
              <w:rPr>
                <w:rFonts w:ascii="Arabic Typesetting" w:hAnsi="Arabic Typesetting" w:cs="Arabic Typesetting" w:hint="cs"/>
                <w:b/>
                <w:bCs/>
                <w:sz w:val="30"/>
                <w:szCs w:val="30"/>
                <w:rtl/>
              </w:rPr>
              <w:t>2015</w:t>
            </w:r>
          </w:p>
        </w:tc>
      </w:tr>
    </w:tbl>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2437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2437FE">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1A28BF" w:rsidRPr="001A28BF" w:rsidRDefault="001A28BF" w:rsidP="002437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2437FE">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sidR="002437FE">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2015</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6721D0" w:rsidP="008B2444">
      <w:pPr>
        <w:bidi/>
        <w:spacing w:line="360" w:lineRule="exact"/>
        <w:rPr>
          <w:rFonts w:ascii="Arial Black" w:hAnsi="Arial Black" w:cs="PT Bold Heading"/>
          <w:sz w:val="26"/>
          <w:szCs w:val="26"/>
          <w:rtl/>
        </w:rPr>
      </w:pPr>
      <w:r w:rsidRPr="006721D0">
        <w:rPr>
          <w:rFonts w:ascii="Arial Black" w:hAnsi="Arial Black" w:cs="PT Bold Heading"/>
          <w:sz w:val="26"/>
          <w:szCs w:val="26"/>
          <w:rtl/>
        </w:rPr>
        <w:t xml:space="preserve">اقتراح </w:t>
      </w:r>
      <w:r w:rsidR="008B2444">
        <w:rPr>
          <w:rFonts w:ascii="Arial Black" w:hAnsi="Arial Black" w:cs="PT Bold Heading" w:hint="cs"/>
          <w:sz w:val="26"/>
          <w:szCs w:val="26"/>
          <w:rtl/>
        </w:rPr>
        <w:t xml:space="preserve">بشأن </w:t>
      </w:r>
      <w:r w:rsidRPr="006721D0">
        <w:rPr>
          <w:rFonts w:ascii="Arial Black" w:hAnsi="Arial Black" w:cs="PT Bold Heading"/>
          <w:sz w:val="26"/>
          <w:szCs w:val="26"/>
          <w:rtl/>
        </w:rPr>
        <w:t xml:space="preserve">سياسة </w:t>
      </w:r>
      <w:r w:rsidR="008B2444">
        <w:rPr>
          <w:rFonts w:ascii="Arial Black" w:hAnsi="Arial Black" w:cs="PT Bold Heading" w:hint="cs"/>
          <w:sz w:val="26"/>
          <w:szCs w:val="26"/>
          <w:rtl/>
        </w:rPr>
        <w:t>ا</w:t>
      </w:r>
      <w:r w:rsidR="008B2444" w:rsidRPr="006721D0">
        <w:rPr>
          <w:rFonts w:ascii="Arial Black" w:hAnsi="Arial Black" w:cs="PT Bold Heading"/>
          <w:sz w:val="26"/>
          <w:szCs w:val="26"/>
          <w:rtl/>
        </w:rPr>
        <w:t xml:space="preserve">لويبو </w:t>
      </w:r>
      <w:r w:rsidR="008B2444">
        <w:rPr>
          <w:rFonts w:ascii="Arial Black" w:hAnsi="Arial Black" w:cs="PT Bold Heading" w:hint="cs"/>
          <w:sz w:val="26"/>
          <w:szCs w:val="26"/>
          <w:rtl/>
        </w:rPr>
        <w:t>ال</w:t>
      </w:r>
      <w:r w:rsidR="005679D3">
        <w:rPr>
          <w:rFonts w:ascii="Arial Black" w:hAnsi="Arial Black" w:cs="PT Bold Heading" w:hint="cs"/>
          <w:sz w:val="26"/>
          <w:szCs w:val="26"/>
          <w:rtl/>
        </w:rPr>
        <w:t xml:space="preserve">مُراجعة </w:t>
      </w:r>
      <w:r w:rsidR="008B2444">
        <w:rPr>
          <w:rFonts w:ascii="Arial Black" w:hAnsi="Arial Black" w:cs="PT Bold Heading" w:hint="cs"/>
          <w:sz w:val="26"/>
          <w:szCs w:val="26"/>
          <w:rtl/>
        </w:rPr>
        <w:t>المتعلقة</w:t>
      </w:r>
      <w:r w:rsidRPr="006721D0">
        <w:rPr>
          <w:rFonts w:ascii="Arial Black" w:hAnsi="Arial Black" w:cs="PT Bold Heading"/>
          <w:sz w:val="26"/>
          <w:szCs w:val="26"/>
          <w:rtl/>
        </w:rPr>
        <w:t xml:space="preserve"> </w:t>
      </w:r>
      <w:r w:rsidR="008B2444">
        <w:rPr>
          <w:rFonts w:ascii="Arial Black" w:hAnsi="Arial Black" w:cs="PT Bold Heading" w:hint="cs"/>
          <w:sz w:val="26"/>
          <w:szCs w:val="26"/>
          <w:rtl/>
        </w:rPr>
        <w:t>ب</w:t>
      </w:r>
      <w:r w:rsidRPr="006721D0">
        <w:rPr>
          <w:rFonts w:ascii="Arial Black" w:hAnsi="Arial Black" w:cs="PT Bold Heading"/>
          <w:sz w:val="26"/>
          <w:szCs w:val="26"/>
          <w:rtl/>
        </w:rPr>
        <w:t>الأموال الاحتياطية</w:t>
      </w:r>
    </w:p>
    <w:p w:rsidR="001A28BF" w:rsidRPr="001A28BF" w:rsidRDefault="001A28BF" w:rsidP="001A28BF">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6721D0">
        <w:rPr>
          <w:rFonts w:ascii="Arabic Typesetting" w:hAnsi="Arabic Typesetting" w:cs="Arabic Typesetting" w:hint="cs"/>
          <w:i/>
          <w:iCs/>
          <w:sz w:val="36"/>
          <w:szCs w:val="36"/>
          <w:rtl/>
        </w:rPr>
        <w:t xml:space="preserve"> الأمانة</w:t>
      </w:r>
    </w:p>
    <w:p w:rsidR="00932204" w:rsidRDefault="00985AAC" w:rsidP="005679D3">
      <w:pPr>
        <w:pStyle w:val="NumberedParaAR"/>
      </w:pPr>
      <w:r>
        <w:rPr>
          <w:rFonts w:hint="cs"/>
          <w:rtl/>
        </w:rPr>
        <w:t>استعرضت الدول الأعضاء في الدورة الثانية والعشرين للجنة البرنامج والميزانية (لجنة الميزانية) الوثيقة</w:t>
      </w:r>
      <w:r w:rsidR="005679D3">
        <w:rPr>
          <w:rFonts w:hint="eastAsia"/>
          <w:rtl/>
        </w:rPr>
        <w:t> </w:t>
      </w:r>
      <w:r w:rsidRPr="00985AAC">
        <w:t>WO/PBC/22/28</w:t>
      </w:r>
      <w:r w:rsidR="009311CA">
        <w:rPr>
          <w:rtl/>
        </w:rPr>
        <w:t xml:space="preserve"> </w:t>
      </w:r>
      <w:r>
        <w:rPr>
          <w:rFonts w:hint="cs"/>
          <w:rtl/>
        </w:rPr>
        <w:t>المعنونة "</w:t>
      </w:r>
      <w:r w:rsidRPr="00985AAC">
        <w:rPr>
          <w:rtl/>
        </w:rPr>
        <w:t>استعراض وضع الويبو المالي وسياساتها المتعلقة بالأموال الاحتياطية</w:t>
      </w:r>
      <w:r>
        <w:rPr>
          <w:rFonts w:hint="cs"/>
          <w:rtl/>
        </w:rPr>
        <w:t>"، وعقب ذلك قامت لجنة الميزانية بما يلي:</w:t>
      </w:r>
    </w:p>
    <w:p w:rsidR="005679D3" w:rsidRDefault="005679D3" w:rsidP="005679D3">
      <w:pPr>
        <w:pStyle w:val="NumberedParaAR"/>
        <w:numPr>
          <w:ilvl w:val="0"/>
          <w:numId w:val="0"/>
        </w:numPr>
        <w:ind w:left="566"/>
        <w:rPr>
          <w:rtl/>
        </w:rPr>
      </w:pPr>
      <w:r>
        <w:rPr>
          <w:rFonts w:hint="cs"/>
          <w:rtl/>
        </w:rPr>
        <w:t>"</w:t>
      </w:r>
      <w:r>
        <w:rPr>
          <w:rtl/>
        </w:rPr>
        <w:t>"1"</w:t>
      </w:r>
      <w:r>
        <w:rPr>
          <w:rFonts w:hint="cs"/>
          <w:rtl/>
        </w:rPr>
        <w:tab/>
      </w:r>
      <w:r>
        <w:rPr>
          <w:rtl/>
        </w:rPr>
        <w:t>اعترفت بالحاجة إلى إجراء استعراض للسياسات الخاصة بالأموال الاحتياطية وصناديق رؤوس الأموال العاملة؛</w:t>
      </w:r>
    </w:p>
    <w:p w:rsidR="00985AAC" w:rsidRDefault="005679D3" w:rsidP="005679D3">
      <w:pPr>
        <w:pStyle w:val="NumberedParaAR"/>
        <w:numPr>
          <w:ilvl w:val="0"/>
          <w:numId w:val="0"/>
        </w:numPr>
        <w:ind w:left="566"/>
        <w:rPr>
          <w:rtl/>
        </w:rPr>
      </w:pPr>
      <w:r>
        <w:rPr>
          <w:rtl/>
        </w:rPr>
        <w:t>"2"</w:t>
      </w:r>
      <w:r>
        <w:rPr>
          <w:rFonts w:hint="cs"/>
          <w:rtl/>
        </w:rPr>
        <w:tab/>
      </w:r>
      <w:r>
        <w:rPr>
          <w:rtl/>
        </w:rPr>
        <w:t>والتمست من الأمانة تزويد لجنة البرنامج والميزانية باقتراح سياسة شاملة يتضمن تحديد المستوى المستهدف فيما يخص صافي الأصول، والاعتبارات الخاصة بالسيولة، وإدارة الفائض المتاح فوق المستوى المستهدف واستخدامه والإبلاغ عنه، مع مراعاة تعليقات وإرشادات الدول الأعضاء وتوصيات هيئات التدقيق والرقابة في هذا الصدد.</w:t>
      </w:r>
      <w:r>
        <w:rPr>
          <w:rFonts w:hint="cs"/>
          <w:rtl/>
        </w:rPr>
        <w:t>"</w:t>
      </w:r>
    </w:p>
    <w:p w:rsidR="005679D3" w:rsidRDefault="005679D3" w:rsidP="008B2444">
      <w:pPr>
        <w:pStyle w:val="NumberedParaAR"/>
      </w:pPr>
      <w:r>
        <w:rPr>
          <w:rFonts w:hint="cs"/>
          <w:rtl/>
        </w:rPr>
        <w:t xml:space="preserve">ووفقا لتوجيه لجنة الميزانية، تعرض الأمانة في المرفق الأول </w:t>
      </w:r>
      <w:r w:rsidR="008B2444">
        <w:rPr>
          <w:rFonts w:hint="cs"/>
          <w:rtl/>
        </w:rPr>
        <w:t>ل</w:t>
      </w:r>
      <w:r>
        <w:rPr>
          <w:rFonts w:hint="cs"/>
          <w:rtl/>
        </w:rPr>
        <w:t>هذه الوثيقة</w:t>
      </w:r>
      <w:r w:rsidR="008B2444">
        <w:rPr>
          <w:rFonts w:hint="cs"/>
          <w:rtl/>
        </w:rPr>
        <w:t xml:space="preserve"> السياسة المراجعة المقترحة بشأن الأموال الاحتياطية.</w:t>
      </w:r>
    </w:p>
    <w:p w:rsidR="008B2444" w:rsidRDefault="008B2444" w:rsidP="008B2444">
      <w:pPr>
        <w:pStyle w:val="NumberedParaAR"/>
      </w:pPr>
      <w:r>
        <w:rPr>
          <w:rFonts w:hint="cs"/>
          <w:rtl/>
        </w:rPr>
        <w:t>وتهدف السياسة المراجعة إلى ما يلي:</w:t>
      </w:r>
    </w:p>
    <w:p w:rsidR="008B2444" w:rsidRDefault="008B2444" w:rsidP="004C14AA">
      <w:pPr>
        <w:pStyle w:val="NumberedParaAR"/>
        <w:numPr>
          <w:ilvl w:val="0"/>
          <w:numId w:val="0"/>
        </w:numPr>
        <w:ind w:left="1134" w:hanging="567"/>
        <w:rPr>
          <w:rtl/>
        </w:rPr>
      </w:pPr>
      <w:r>
        <w:rPr>
          <w:rFonts w:hint="cs"/>
          <w:rtl/>
        </w:rPr>
        <w:t>"1"</w:t>
      </w:r>
      <w:r>
        <w:rPr>
          <w:rFonts w:hint="cs"/>
          <w:rtl/>
        </w:rPr>
        <w:tab/>
      </w:r>
      <w:r w:rsidR="00633DB3">
        <w:rPr>
          <w:rFonts w:hint="cs"/>
          <w:rtl/>
        </w:rPr>
        <w:t>زيادة تعزيز الإدارة المالية وإدارة المخاطر في المنظمة؛</w:t>
      </w:r>
    </w:p>
    <w:p w:rsidR="00633DB3" w:rsidRDefault="00633DB3" w:rsidP="004C14AA">
      <w:pPr>
        <w:pStyle w:val="NumberedParaAR"/>
        <w:numPr>
          <w:ilvl w:val="0"/>
          <w:numId w:val="0"/>
        </w:numPr>
        <w:ind w:left="1134" w:hanging="567"/>
        <w:rPr>
          <w:rtl/>
        </w:rPr>
      </w:pPr>
      <w:r>
        <w:rPr>
          <w:rFonts w:hint="cs"/>
          <w:rtl/>
        </w:rPr>
        <w:t>"2"</w:t>
      </w:r>
      <w:r>
        <w:rPr>
          <w:rFonts w:hint="cs"/>
          <w:rtl/>
        </w:rPr>
        <w:tab/>
        <w:t>تقديم إرشادات معززة للأمانة بشأن الإدارة الحالية للأموال الاحتياطية بما في ذلك المستويات المستهدفة والسيولة؛</w:t>
      </w:r>
    </w:p>
    <w:p w:rsidR="00633DB3" w:rsidRDefault="00633DB3" w:rsidP="004C14AA">
      <w:pPr>
        <w:pStyle w:val="NumberedParaAR"/>
        <w:numPr>
          <w:ilvl w:val="0"/>
          <w:numId w:val="0"/>
        </w:numPr>
        <w:ind w:left="1134" w:hanging="567"/>
        <w:rPr>
          <w:rtl/>
        </w:rPr>
      </w:pPr>
      <w:r>
        <w:rPr>
          <w:rFonts w:hint="cs"/>
          <w:rtl/>
        </w:rPr>
        <w:lastRenderedPageBreak/>
        <w:t>"3"</w:t>
      </w:r>
      <w:r>
        <w:rPr>
          <w:rFonts w:hint="cs"/>
          <w:rtl/>
        </w:rPr>
        <w:tab/>
        <w:t xml:space="preserve">توضيح وتعزيز الإبلاغ عن الأموال الاحتياطية وفقا </w:t>
      </w:r>
      <w:r w:rsidR="00505CB0">
        <w:rPr>
          <w:rFonts w:hint="cs"/>
          <w:rtl/>
        </w:rPr>
        <w:t>للمعايير</w:t>
      </w:r>
      <w:r>
        <w:rPr>
          <w:rFonts w:hint="cs"/>
          <w:rtl/>
        </w:rPr>
        <w:t xml:space="preserve"> المحاسبية المعمول بها (</w:t>
      </w:r>
      <w:r w:rsidR="00505CB0">
        <w:rPr>
          <w:rFonts w:hint="cs"/>
          <w:rtl/>
        </w:rPr>
        <w:t>المعايير</w:t>
      </w:r>
      <w:r>
        <w:rPr>
          <w:rFonts w:hint="cs"/>
          <w:rtl/>
        </w:rPr>
        <w:t xml:space="preserve"> المحاسبية الدولية للقطاع العام)، والإطار التنظيمي للمنظمة (</w:t>
      </w:r>
      <w:r w:rsidRPr="0015393A">
        <w:rPr>
          <w:rFonts w:hint="cs"/>
          <w:rtl/>
        </w:rPr>
        <w:t>الأحكام المالية لمختلف</w:t>
      </w:r>
      <w:r>
        <w:rPr>
          <w:rFonts w:hint="cs"/>
          <w:rtl/>
        </w:rPr>
        <w:t xml:space="preserve"> اتحادات المنظمة والنظام المالي ولائحته</w:t>
      </w:r>
      <w:r w:rsidR="00341FCC">
        <w:rPr>
          <w:rFonts w:hint="cs"/>
          <w:rtl/>
        </w:rPr>
        <w:t xml:space="preserve"> (النظام المالي)</w:t>
      </w:r>
      <w:r>
        <w:rPr>
          <w:rFonts w:hint="cs"/>
          <w:rtl/>
        </w:rPr>
        <w:t>)</w:t>
      </w:r>
      <w:r w:rsidR="005325BF">
        <w:rPr>
          <w:rFonts w:hint="cs"/>
          <w:rtl/>
        </w:rPr>
        <w:t>، وتوصيات التدقيق والمراقبة؛</w:t>
      </w:r>
    </w:p>
    <w:p w:rsidR="005325BF" w:rsidRDefault="005325BF" w:rsidP="004C14AA">
      <w:pPr>
        <w:pStyle w:val="NumberedParaAR"/>
        <w:numPr>
          <w:ilvl w:val="0"/>
          <w:numId w:val="0"/>
        </w:numPr>
        <w:ind w:left="1134" w:hanging="567"/>
        <w:rPr>
          <w:rtl/>
        </w:rPr>
      </w:pPr>
      <w:r>
        <w:rPr>
          <w:rFonts w:hint="cs"/>
          <w:rtl/>
        </w:rPr>
        <w:t>"4"</w:t>
      </w:r>
      <w:r>
        <w:rPr>
          <w:rFonts w:hint="cs"/>
          <w:rtl/>
        </w:rPr>
        <w:tab/>
        <w:t xml:space="preserve">وضع </w:t>
      </w:r>
      <w:r w:rsidRPr="0015393A">
        <w:rPr>
          <w:rFonts w:hint="cs"/>
          <w:rtl/>
        </w:rPr>
        <w:t>معايير و</w:t>
      </w:r>
      <w:r w:rsidR="00505CB0" w:rsidRPr="0015393A">
        <w:rPr>
          <w:rFonts w:hint="cs"/>
          <w:rtl/>
        </w:rPr>
        <w:t xml:space="preserve">متطلبات </w:t>
      </w:r>
      <w:r w:rsidR="0015393A" w:rsidRPr="0015393A">
        <w:rPr>
          <w:rFonts w:hint="cs"/>
          <w:rtl/>
        </w:rPr>
        <w:t xml:space="preserve">واضحة فيما يخص </w:t>
      </w:r>
      <w:r w:rsidR="00505CB0" w:rsidRPr="0015393A">
        <w:rPr>
          <w:rFonts w:hint="cs"/>
          <w:rtl/>
        </w:rPr>
        <w:t xml:space="preserve">المعلومات </w:t>
      </w:r>
      <w:r w:rsidR="0015393A" w:rsidRPr="0015393A">
        <w:rPr>
          <w:rFonts w:hint="cs"/>
          <w:rtl/>
        </w:rPr>
        <w:t>من أجل</w:t>
      </w:r>
      <w:r w:rsidR="00505CB0" w:rsidRPr="0015393A">
        <w:rPr>
          <w:rFonts w:hint="cs"/>
          <w:rtl/>
        </w:rPr>
        <w:t xml:space="preserve"> تيسير تقييم الدول الأعضاء لاقتراحات استخدام الأموال الاحتياطية المتاحة لتمويل المشروعات واتخاذ قرار</w:t>
      </w:r>
      <w:r w:rsidR="00505CB0">
        <w:rPr>
          <w:rFonts w:hint="cs"/>
          <w:rtl/>
        </w:rPr>
        <w:t xml:space="preserve"> بشأنها؛</w:t>
      </w:r>
    </w:p>
    <w:p w:rsidR="00505CB0" w:rsidRDefault="00505CB0" w:rsidP="004C14AA">
      <w:pPr>
        <w:pStyle w:val="NumberedParaAR"/>
        <w:numPr>
          <w:ilvl w:val="0"/>
          <w:numId w:val="0"/>
        </w:numPr>
        <w:ind w:left="1134" w:hanging="567"/>
        <w:rPr>
          <w:rtl/>
        </w:rPr>
      </w:pPr>
      <w:r>
        <w:rPr>
          <w:rFonts w:hint="cs"/>
          <w:rtl/>
        </w:rPr>
        <w:t>"5"</w:t>
      </w:r>
      <w:r>
        <w:rPr>
          <w:rFonts w:hint="cs"/>
          <w:rtl/>
        </w:rPr>
        <w:tab/>
        <w:t>ضمان امتثال أكبر لتوصيات التدقيق والرقابة المستلمة بخصوص الأموال الاحتياطية.</w:t>
      </w:r>
    </w:p>
    <w:p w:rsidR="008B2444" w:rsidRDefault="00D5138E" w:rsidP="00C2156F">
      <w:pPr>
        <w:pStyle w:val="DecisionParaAR"/>
      </w:pPr>
      <w:r w:rsidRPr="00D5138E">
        <w:rPr>
          <w:rtl/>
        </w:rPr>
        <w:t>إن لجنة ا</w:t>
      </w:r>
      <w:r>
        <w:rPr>
          <w:rtl/>
        </w:rPr>
        <w:t>لبرنامج والميزانية، بعد استعراض</w:t>
      </w:r>
      <w:r>
        <w:rPr>
          <w:rFonts w:hint="cs"/>
          <w:rtl/>
        </w:rPr>
        <w:t xml:space="preserve"> اقتراح ال</w:t>
      </w:r>
      <w:r w:rsidRPr="00D5138E">
        <w:rPr>
          <w:rtl/>
        </w:rPr>
        <w:t xml:space="preserve">سياسة </w:t>
      </w:r>
      <w:r>
        <w:rPr>
          <w:rFonts w:hint="cs"/>
          <w:rtl/>
        </w:rPr>
        <w:t>ال</w:t>
      </w:r>
      <w:r w:rsidRPr="00D5138E">
        <w:rPr>
          <w:rtl/>
        </w:rPr>
        <w:t>شاملة</w:t>
      </w:r>
      <w:r>
        <w:rPr>
          <w:rFonts w:hint="cs"/>
          <w:rtl/>
        </w:rPr>
        <w:t xml:space="preserve"> المراجعة التي</w:t>
      </w:r>
      <w:r w:rsidRPr="00D5138E">
        <w:rPr>
          <w:rtl/>
        </w:rPr>
        <w:t xml:space="preserve"> </w:t>
      </w:r>
      <w:r>
        <w:rPr>
          <w:rFonts w:hint="cs"/>
          <w:rtl/>
        </w:rPr>
        <w:t>ت</w:t>
      </w:r>
      <w:r w:rsidRPr="00D5138E">
        <w:rPr>
          <w:rtl/>
        </w:rPr>
        <w:t>تضمن المستوى المستهدف</w:t>
      </w:r>
      <w:r>
        <w:rPr>
          <w:rFonts w:hint="cs"/>
          <w:rtl/>
        </w:rPr>
        <w:t xml:space="preserve">، </w:t>
      </w:r>
      <w:r w:rsidRPr="00D5138E">
        <w:rPr>
          <w:rtl/>
        </w:rPr>
        <w:t>والاعتبارات الخاصة بالسيولة، وإدارة الفائض المتاح فوق المستوى المستهدف واستخدامه والإبلاغ عنه، مع مراعاة تعليقات وإرشادات الدول الأعضاء وتوصيات هيئا</w:t>
      </w:r>
      <w:r>
        <w:rPr>
          <w:rtl/>
        </w:rPr>
        <w:t>ت التدقيق والرقابة في هذا الصدد</w:t>
      </w:r>
      <w:r>
        <w:rPr>
          <w:rFonts w:hint="cs"/>
          <w:rtl/>
        </w:rPr>
        <w:t>،</w:t>
      </w:r>
      <w:r w:rsidR="00C2156F">
        <w:rPr>
          <w:rFonts w:hint="cs"/>
          <w:rtl/>
        </w:rPr>
        <w:t xml:space="preserve"> توصي </w:t>
      </w:r>
      <w:r w:rsidR="00C2156F" w:rsidRPr="00C2156F">
        <w:rPr>
          <w:rtl/>
        </w:rPr>
        <w:t>جمعيات الدول الأعضاء في الويبو والاتحادات التي تديرها الويبو، كلّ فيما يعنيه</w:t>
      </w:r>
      <w:r w:rsidR="00C2156F">
        <w:rPr>
          <w:rFonts w:hint="cs"/>
          <w:rtl/>
        </w:rPr>
        <w:t>، الموافقة على السياسة المتعلقة بالأموال الاحتياطية الواردة في المرفق الأول من الوثيقة </w:t>
      </w:r>
      <w:r w:rsidR="00C2156F" w:rsidRPr="00C2156F">
        <w:t>WO/PBC/23/8</w:t>
      </w:r>
      <w:r w:rsidR="00C2156F">
        <w:rPr>
          <w:rFonts w:hint="cs"/>
          <w:rtl/>
        </w:rPr>
        <w:t>.</w:t>
      </w:r>
    </w:p>
    <w:p w:rsidR="002B333E" w:rsidRDefault="00B34B82" w:rsidP="00E116AC">
      <w:pPr>
        <w:pStyle w:val="NumberedParaAR"/>
        <w:rPr>
          <w:rtl/>
        </w:rPr>
      </w:pPr>
      <w:r>
        <w:rPr>
          <w:rFonts w:hint="cs"/>
          <w:rtl/>
        </w:rPr>
        <w:t>و</w:t>
      </w:r>
      <w:r w:rsidR="009D0FA7">
        <w:rPr>
          <w:rFonts w:hint="cs"/>
          <w:rtl/>
        </w:rPr>
        <w:t xml:space="preserve">في </w:t>
      </w:r>
      <w:r>
        <w:rPr>
          <w:rFonts w:hint="cs"/>
          <w:rtl/>
        </w:rPr>
        <w:t xml:space="preserve">إطار </w:t>
      </w:r>
      <w:r w:rsidR="002B333E">
        <w:rPr>
          <w:rtl/>
        </w:rPr>
        <w:t>استعراض الوضع المالي والسياس</w:t>
      </w:r>
      <w:r w:rsidR="002B333E">
        <w:rPr>
          <w:rFonts w:hint="cs"/>
          <w:rtl/>
        </w:rPr>
        <w:t>ة</w:t>
      </w:r>
      <w:r w:rsidR="002B333E">
        <w:rPr>
          <w:rtl/>
        </w:rPr>
        <w:t xml:space="preserve"> المتعلقة </w:t>
      </w:r>
      <w:r w:rsidR="002B333E">
        <w:rPr>
          <w:rFonts w:hint="cs"/>
          <w:rtl/>
        </w:rPr>
        <w:t>ب</w:t>
      </w:r>
      <w:r w:rsidR="002B333E">
        <w:rPr>
          <w:rtl/>
        </w:rPr>
        <w:t>الأموال الاحتياطية</w:t>
      </w:r>
      <w:r w:rsidR="002B333E">
        <w:rPr>
          <w:rFonts w:hint="cs"/>
          <w:rtl/>
        </w:rPr>
        <w:t xml:space="preserve"> أ</w:t>
      </w:r>
      <w:r>
        <w:rPr>
          <w:rFonts w:hint="cs"/>
          <w:rtl/>
        </w:rPr>
        <w:t>ثناء</w:t>
      </w:r>
      <w:r w:rsidR="002B333E">
        <w:rPr>
          <w:rtl/>
        </w:rPr>
        <w:t xml:space="preserve"> الدورة </w:t>
      </w:r>
      <w:r>
        <w:rPr>
          <w:rFonts w:hint="cs"/>
          <w:rtl/>
        </w:rPr>
        <w:t>الثانية والعشرين للجنة الميزانية</w:t>
      </w:r>
      <w:r w:rsidR="002B333E">
        <w:rPr>
          <w:rtl/>
        </w:rPr>
        <w:t>،</w:t>
      </w:r>
      <w:r>
        <w:rPr>
          <w:rFonts w:hint="cs"/>
          <w:rtl/>
        </w:rPr>
        <w:t xml:space="preserve"> </w:t>
      </w:r>
      <w:r w:rsidR="002B333E">
        <w:rPr>
          <w:rtl/>
        </w:rPr>
        <w:t xml:space="preserve">لوحظ أن </w:t>
      </w:r>
      <w:r w:rsidR="00E116AC">
        <w:rPr>
          <w:rFonts w:hint="cs"/>
          <w:rtl/>
        </w:rPr>
        <w:t>رصيد</w:t>
      </w:r>
      <w:r>
        <w:rPr>
          <w:rFonts w:hint="cs"/>
          <w:rtl/>
        </w:rPr>
        <w:t xml:space="preserve"> </w:t>
      </w:r>
      <w:r w:rsidRPr="00B34B82">
        <w:rPr>
          <w:rtl/>
        </w:rPr>
        <w:t>صناديق رؤوس الأموال العاملة</w:t>
      </w:r>
      <w:r>
        <w:rPr>
          <w:rFonts w:hint="cs"/>
          <w:rtl/>
        </w:rPr>
        <w:t xml:space="preserve"> </w:t>
      </w:r>
      <w:r w:rsidR="002B333E">
        <w:rPr>
          <w:rtl/>
        </w:rPr>
        <w:t>ال</w:t>
      </w:r>
      <w:r w:rsidR="00E116AC">
        <w:rPr>
          <w:rFonts w:hint="cs"/>
          <w:rtl/>
        </w:rPr>
        <w:t>ذ</w:t>
      </w:r>
      <w:r w:rsidR="002B333E">
        <w:rPr>
          <w:rtl/>
        </w:rPr>
        <w:t xml:space="preserve">ي </w:t>
      </w:r>
      <w:r w:rsidR="00E116AC">
        <w:rPr>
          <w:rFonts w:hint="cs"/>
          <w:rtl/>
        </w:rPr>
        <w:t>ي</w:t>
      </w:r>
      <w:r>
        <w:rPr>
          <w:rFonts w:hint="cs"/>
          <w:rtl/>
        </w:rPr>
        <w:t xml:space="preserve">صل </w:t>
      </w:r>
      <w:r w:rsidR="002B333E">
        <w:rPr>
          <w:rtl/>
        </w:rPr>
        <w:t>حاليا</w:t>
      </w:r>
      <w:r>
        <w:rPr>
          <w:rFonts w:hint="cs"/>
          <w:rtl/>
        </w:rPr>
        <w:t xml:space="preserve"> إلى </w:t>
      </w:r>
      <w:r w:rsidR="002B333E">
        <w:rPr>
          <w:rtl/>
        </w:rPr>
        <w:t>8.3 مليون فرنك سويسري</w:t>
      </w:r>
      <w:r>
        <w:rPr>
          <w:rFonts w:hint="cs"/>
          <w:rtl/>
        </w:rPr>
        <w:t>،</w:t>
      </w:r>
      <w:r w:rsidR="002B333E">
        <w:rPr>
          <w:rtl/>
        </w:rPr>
        <w:t xml:space="preserve"> و</w:t>
      </w:r>
      <w:r>
        <w:rPr>
          <w:rFonts w:hint="cs"/>
          <w:rtl/>
        </w:rPr>
        <w:t xml:space="preserve">التي </w:t>
      </w:r>
      <w:r w:rsidR="002B333E">
        <w:rPr>
          <w:rtl/>
        </w:rPr>
        <w:t xml:space="preserve">أنشئت </w:t>
      </w:r>
      <w:r>
        <w:rPr>
          <w:rFonts w:hint="cs"/>
          <w:rtl/>
        </w:rPr>
        <w:t>با</w:t>
      </w:r>
      <w:r w:rsidR="00A852CD">
        <w:rPr>
          <w:rFonts w:hint="cs"/>
          <w:rtl/>
        </w:rPr>
        <w:t>ستخدام ا</w:t>
      </w:r>
      <w:r>
        <w:rPr>
          <w:rFonts w:hint="cs"/>
          <w:rtl/>
        </w:rPr>
        <w:t xml:space="preserve">شتراكات </w:t>
      </w:r>
      <w:r w:rsidR="002B333E">
        <w:rPr>
          <w:rtl/>
        </w:rPr>
        <w:t>الدول الأعضاء</w:t>
      </w:r>
      <w:r>
        <w:rPr>
          <w:rFonts w:hint="cs"/>
          <w:rtl/>
        </w:rPr>
        <w:t xml:space="preserve">، </w:t>
      </w:r>
      <w:r w:rsidR="002B333E">
        <w:rPr>
          <w:rtl/>
        </w:rPr>
        <w:t>ظل ثابت</w:t>
      </w:r>
      <w:r w:rsidR="00E116AC">
        <w:rPr>
          <w:rFonts w:hint="cs"/>
          <w:rtl/>
        </w:rPr>
        <w:t>ا</w:t>
      </w:r>
      <w:r w:rsidR="002B333E">
        <w:rPr>
          <w:rtl/>
        </w:rPr>
        <w:t xml:space="preserve"> منذ عام 1990. و</w:t>
      </w:r>
      <w:r>
        <w:rPr>
          <w:rFonts w:hint="cs"/>
          <w:rtl/>
        </w:rPr>
        <w:t>يتألف</w:t>
      </w:r>
      <w:r w:rsidR="002B333E">
        <w:rPr>
          <w:rtl/>
        </w:rPr>
        <w:t xml:space="preserve"> المبلغ الحالي </w:t>
      </w:r>
      <w:r>
        <w:rPr>
          <w:rFonts w:hint="cs"/>
          <w:rtl/>
        </w:rPr>
        <w:t>البالغ</w:t>
      </w:r>
      <w:r w:rsidR="002B333E">
        <w:rPr>
          <w:rtl/>
        </w:rPr>
        <w:t xml:space="preserve"> 8.3 مليون فرنك سويسري من مليون</w:t>
      </w:r>
      <w:r>
        <w:rPr>
          <w:rFonts w:hint="cs"/>
          <w:rtl/>
        </w:rPr>
        <w:t>ي</w:t>
      </w:r>
      <w:r w:rsidR="002B333E">
        <w:rPr>
          <w:rtl/>
        </w:rPr>
        <w:t xml:space="preserve"> فرنك سويسري لاتحاد </w:t>
      </w:r>
      <w:r>
        <w:rPr>
          <w:rtl/>
        </w:rPr>
        <w:t>معاهدة التعاون بشأن البراءات</w:t>
      </w:r>
      <w:r w:rsidR="002B333E">
        <w:rPr>
          <w:rtl/>
        </w:rPr>
        <w:t>، و</w:t>
      </w:r>
      <w:r>
        <w:rPr>
          <w:rFonts w:hint="cs"/>
          <w:rtl/>
        </w:rPr>
        <w:t xml:space="preserve">مليوني </w:t>
      </w:r>
      <w:r w:rsidR="002B333E">
        <w:rPr>
          <w:rtl/>
        </w:rPr>
        <w:t xml:space="preserve">فرنك سويسري </w:t>
      </w:r>
      <w:r>
        <w:rPr>
          <w:rFonts w:hint="cs"/>
          <w:rtl/>
        </w:rPr>
        <w:t>ل</w:t>
      </w:r>
      <w:r w:rsidR="002B333E">
        <w:rPr>
          <w:rtl/>
        </w:rPr>
        <w:t>اتحاد مدريد،</w:t>
      </w:r>
      <w:r>
        <w:rPr>
          <w:rFonts w:hint="cs"/>
          <w:rtl/>
        </w:rPr>
        <w:t xml:space="preserve"> و</w:t>
      </w:r>
      <w:r w:rsidRPr="00B34B82">
        <w:rPr>
          <w:rtl/>
        </w:rPr>
        <w:t xml:space="preserve">260,000 </w:t>
      </w:r>
      <w:r w:rsidR="002B333E">
        <w:rPr>
          <w:rtl/>
        </w:rPr>
        <w:t xml:space="preserve">فرنك سويسري </w:t>
      </w:r>
      <w:r>
        <w:rPr>
          <w:rFonts w:hint="cs"/>
          <w:rtl/>
        </w:rPr>
        <w:t>ل</w:t>
      </w:r>
      <w:r w:rsidR="002B333E">
        <w:rPr>
          <w:rtl/>
        </w:rPr>
        <w:t xml:space="preserve">اتحاد لاهاي، </w:t>
      </w:r>
      <w:r>
        <w:rPr>
          <w:rFonts w:hint="cs"/>
          <w:rtl/>
        </w:rPr>
        <w:t xml:space="preserve">ويعود المبلغ المتبقي وقدره </w:t>
      </w:r>
      <w:r w:rsidR="002B333E">
        <w:rPr>
          <w:rtl/>
        </w:rPr>
        <w:t xml:space="preserve">4 ملايين فرنك سويسري </w:t>
      </w:r>
      <w:r>
        <w:rPr>
          <w:rFonts w:hint="cs"/>
          <w:rtl/>
        </w:rPr>
        <w:t xml:space="preserve">إلى </w:t>
      </w:r>
      <w:r w:rsidR="002B333E">
        <w:rPr>
          <w:rtl/>
        </w:rPr>
        <w:t>الاتحادات الممولة من الاشتراكات.</w:t>
      </w:r>
    </w:p>
    <w:p w:rsidR="002B333E" w:rsidRPr="005650A8" w:rsidRDefault="00A852CD" w:rsidP="00553284">
      <w:pPr>
        <w:pStyle w:val="NumberedParaAR"/>
        <w:rPr>
          <w:rtl/>
        </w:rPr>
      </w:pPr>
      <w:r w:rsidRPr="005650A8">
        <w:rPr>
          <w:rFonts w:hint="cs"/>
          <w:rtl/>
        </w:rPr>
        <w:t>ونما</w:t>
      </w:r>
      <w:r w:rsidR="002B333E" w:rsidRPr="005650A8">
        <w:rPr>
          <w:rtl/>
        </w:rPr>
        <w:t xml:space="preserve"> نظام معاهدة التعاون بشأن البراءات</w:t>
      </w:r>
      <w:r w:rsidR="005650A8">
        <w:rPr>
          <w:rFonts w:hint="cs"/>
          <w:rtl/>
        </w:rPr>
        <w:t xml:space="preserve"> (معاهدة البراءات)</w:t>
      </w:r>
      <w:r w:rsidR="002B333E" w:rsidRPr="005650A8">
        <w:rPr>
          <w:rtl/>
        </w:rPr>
        <w:t xml:space="preserve"> </w:t>
      </w:r>
      <w:r w:rsidRPr="005650A8">
        <w:rPr>
          <w:rFonts w:hint="cs"/>
          <w:rtl/>
        </w:rPr>
        <w:t>نموا</w:t>
      </w:r>
      <w:r w:rsidR="002B333E" w:rsidRPr="005650A8">
        <w:rPr>
          <w:rtl/>
        </w:rPr>
        <w:t xml:space="preserve"> كبير</w:t>
      </w:r>
      <w:r w:rsidRPr="005650A8">
        <w:rPr>
          <w:rFonts w:hint="cs"/>
          <w:rtl/>
        </w:rPr>
        <w:t>ا</w:t>
      </w:r>
      <w:r w:rsidR="002B333E" w:rsidRPr="005650A8">
        <w:rPr>
          <w:rtl/>
        </w:rPr>
        <w:t xml:space="preserve"> </w:t>
      </w:r>
      <w:r w:rsidRPr="005650A8">
        <w:rPr>
          <w:rFonts w:hint="cs"/>
          <w:rtl/>
        </w:rPr>
        <w:t>ب</w:t>
      </w:r>
      <w:r w:rsidR="002B333E" w:rsidRPr="005650A8">
        <w:rPr>
          <w:rtl/>
        </w:rPr>
        <w:t xml:space="preserve">مرور الوقت </w:t>
      </w:r>
      <w:r w:rsidR="00D55A8C" w:rsidRPr="005650A8">
        <w:rPr>
          <w:rFonts w:hint="cs"/>
          <w:rtl/>
        </w:rPr>
        <w:t xml:space="preserve">وهو </w:t>
      </w:r>
      <w:r w:rsidRPr="005650A8">
        <w:rPr>
          <w:rFonts w:hint="cs"/>
          <w:rtl/>
        </w:rPr>
        <w:t xml:space="preserve">حاليا </w:t>
      </w:r>
      <w:r w:rsidR="00731472" w:rsidRPr="005650A8">
        <w:rPr>
          <w:rFonts w:hint="cs"/>
          <w:rtl/>
        </w:rPr>
        <w:t xml:space="preserve">مصدر </w:t>
      </w:r>
      <w:r w:rsidR="00731472" w:rsidRPr="005650A8">
        <w:rPr>
          <w:rtl/>
        </w:rPr>
        <w:t xml:space="preserve">76 في المئة </w:t>
      </w:r>
      <w:r w:rsidR="00731472" w:rsidRPr="005650A8">
        <w:rPr>
          <w:rFonts w:hint="cs"/>
          <w:rtl/>
        </w:rPr>
        <w:t xml:space="preserve">تقريبا من </w:t>
      </w:r>
      <w:r w:rsidR="00E116AC" w:rsidRPr="005650A8">
        <w:rPr>
          <w:rtl/>
        </w:rPr>
        <w:t xml:space="preserve">إجمالي </w:t>
      </w:r>
      <w:r w:rsidR="00731472" w:rsidRPr="005650A8">
        <w:rPr>
          <w:rFonts w:hint="cs"/>
          <w:rtl/>
        </w:rPr>
        <w:t xml:space="preserve">إيرادات </w:t>
      </w:r>
      <w:r w:rsidR="00731472" w:rsidRPr="005650A8">
        <w:rPr>
          <w:rtl/>
        </w:rPr>
        <w:t>المنظمة</w:t>
      </w:r>
      <w:r w:rsidR="002B333E" w:rsidRPr="005650A8">
        <w:rPr>
          <w:rtl/>
        </w:rPr>
        <w:t xml:space="preserve">. </w:t>
      </w:r>
      <w:r w:rsidR="00731472" w:rsidRPr="005650A8">
        <w:rPr>
          <w:rFonts w:hint="cs"/>
          <w:rtl/>
        </w:rPr>
        <w:t>و</w:t>
      </w:r>
      <w:r w:rsidR="002B333E" w:rsidRPr="005650A8">
        <w:rPr>
          <w:rtl/>
        </w:rPr>
        <w:t>ي</w:t>
      </w:r>
      <w:r w:rsidR="00731472" w:rsidRPr="005650A8">
        <w:rPr>
          <w:rFonts w:hint="cs"/>
          <w:rtl/>
        </w:rPr>
        <w:t>مثل</w:t>
      </w:r>
      <w:r w:rsidR="002B333E" w:rsidRPr="005650A8">
        <w:rPr>
          <w:rtl/>
        </w:rPr>
        <w:t xml:space="preserve"> </w:t>
      </w:r>
      <w:r w:rsidR="00E116AC" w:rsidRPr="005650A8">
        <w:rPr>
          <w:rFonts w:hint="cs"/>
          <w:rtl/>
        </w:rPr>
        <w:t>رصيد</w:t>
      </w:r>
      <w:r w:rsidR="002B333E" w:rsidRPr="005650A8">
        <w:rPr>
          <w:rtl/>
        </w:rPr>
        <w:t xml:space="preserve"> صندوق رأس المال العامل </w:t>
      </w:r>
      <w:r w:rsidR="00731472" w:rsidRPr="005650A8">
        <w:rPr>
          <w:rFonts w:hint="cs"/>
          <w:rtl/>
        </w:rPr>
        <w:t>ل</w:t>
      </w:r>
      <w:r w:rsidR="002B333E" w:rsidRPr="005650A8">
        <w:rPr>
          <w:rtl/>
        </w:rPr>
        <w:t xml:space="preserve">معاهدة البراءات </w:t>
      </w:r>
      <w:r w:rsidR="00731472" w:rsidRPr="005650A8">
        <w:rPr>
          <w:rFonts w:hint="cs"/>
          <w:rtl/>
        </w:rPr>
        <w:t xml:space="preserve">البالغ </w:t>
      </w:r>
      <w:r w:rsidR="002B333E" w:rsidRPr="005650A8">
        <w:rPr>
          <w:rtl/>
        </w:rPr>
        <w:t>مليون</w:t>
      </w:r>
      <w:r w:rsidR="00731472" w:rsidRPr="005650A8">
        <w:rPr>
          <w:rFonts w:hint="cs"/>
          <w:rtl/>
        </w:rPr>
        <w:t>ي</w:t>
      </w:r>
      <w:r w:rsidR="002B333E" w:rsidRPr="005650A8">
        <w:rPr>
          <w:rtl/>
        </w:rPr>
        <w:t xml:space="preserve"> فرنك سويسري</w:t>
      </w:r>
      <w:r w:rsidR="005650A8">
        <w:rPr>
          <w:rFonts w:hint="cs"/>
          <w:rtl/>
        </w:rPr>
        <w:t> </w:t>
      </w:r>
      <w:r w:rsidR="002B333E" w:rsidRPr="005650A8">
        <w:rPr>
          <w:rtl/>
        </w:rPr>
        <w:t>1.4 في المئة من إجمالي الأموال الاحتياطية وصناديق رؤوس الأموال العاملة</w:t>
      </w:r>
      <w:r w:rsidR="004305B2" w:rsidRPr="005650A8">
        <w:rPr>
          <w:rFonts w:hint="cs"/>
          <w:rtl/>
        </w:rPr>
        <w:t xml:space="preserve"> (الاحتياطي)</w:t>
      </w:r>
      <w:r w:rsidR="00731472" w:rsidRPr="005650A8">
        <w:rPr>
          <w:rFonts w:hint="cs"/>
          <w:rtl/>
        </w:rPr>
        <w:t xml:space="preserve"> </w:t>
      </w:r>
      <w:r w:rsidR="002B333E" w:rsidRPr="005650A8">
        <w:rPr>
          <w:rtl/>
        </w:rPr>
        <w:t>لاتحاد معاهدة</w:t>
      </w:r>
      <w:r w:rsidR="005650A8">
        <w:rPr>
          <w:rFonts w:hint="cs"/>
          <w:rtl/>
        </w:rPr>
        <w:t xml:space="preserve"> </w:t>
      </w:r>
      <w:r w:rsidR="002B333E" w:rsidRPr="005650A8">
        <w:rPr>
          <w:rtl/>
        </w:rPr>
        <w:t xml:space="preserve">البراءات ونحو 1.0 في المئة من </w:t>
      </w:r>
      <w:r w:rsidR="00731472" w:rsidRPr="005650A8">
        <w:rPr>
          <w:rtl/>
        </w:rPr>
        <w:t xml:space="preserve">إجمالي </w:t>
      </w:r>
      <w:r w:rsidR="004305B2" w:rsidRPr="005650A8">
        <w:rPr>
          <w:rFonts w:hint="cs"/>
          <w:rtl/>
        </w:rPr>
        <w:t>احتياطي</w:t>
      </w:r>
      <w:r w:rsidR="00731472" w:rsidRPr="005650A8">
        <w:rPr>
          <w:rFonts w:hint="cs"/>
          <w:rtl/>
        </w:rPr>
        <w:t xml:space="preserve"> </w:t>
      </w:r>
      <w:r w:rsidR="004305B2" w:rsidRPr="005650A8">
        <w:rPr>
          <w:rFonts w:hint="cs"/>
          <w:rtl/>
        </w:rPr>
        <w:t>ا</w:t>
      </w:r>
      <w:r w:rsidR="00731472" w:rsidRPr="005650A8">
        <w:rPr>
          <w:rFonts w:hint="cs"/>
          <w:rtl/>
        </w:rPr>
        <w:t>لمنظمة</w:t>
      </w:r>
      <w:r w:rsidR="002B333E" w:rsidRPr="005650A8">
        <w:rPr>
          <w:rtl/>
        </w:rPr>
        <w:t xml:space="preserve">، ولم يعد يوفر الحماية المادية أو </w:t>
      </w:r>
      <w:r w:rsidR="006C784E" w:rsidRPr="005650A8">
        <w:rPr>
          <w:rFonts w:hint="cs"/>
          <w:rtl/>
        </w:rPr>
        <w:t xml:space="preserve">إمكانيات </w:t>
      </w:r>
      <w:r w:rsidR="002B333E" w:rsidRPr="005650A8">
        <w:rPr>
          <w:rtl/>
        </w:rPr>
        <w:t xml:space="preserve">التخفيف فيما </w:t>
      </w:r>
      <w:r w:rsidR="006C784E" w:rsidRPr="005650A8">
        <w:rPr>
          <w:rFonts w:hint="cs"/>
          <w:rtl/>
        </w:rPr>
        <w:t>يخص</w:t>
      </w:r>
      <w:r w:rsidR="002B333E" w:rsidRPr="005650A8">
        <w:rPr>
          <w:rtl/>
        </w:rPr>
        <w:t xml:space="preserve"> المخاطر المالية المتعلقة </w:t>
      </w:r>
      <w:r w:rsidR="006C784E" w:rsidRPr="005650A8">
        <w:rPr>
          <w:rFonts w:hint="cs"/>
          <w:rtl/>
        </w:rPr>
        <w:t>ب</w:t>
      </w:r>
      <w:r w:rsidR="002B333E" w:rsidRPr="005650A8">
        <w:rPr>
          <w:rtl/>
        </w:rPr>
        <w:t xml:space="preserve">نقص </w:t>
      </w:r>
      <w:r w:rsidR="006C784E" w:rsidRPr="005650A8">
        <w:rPr>
          <w:rFonts w:hint="cs"/>
          <w:rtl/>
        </w:rPr>
        <w:t>إيرادات ال</w:t>
      </w:r>
      <w:r w:rsidR="002B333E" w:rsidRPr="005650A8">
        <w:rPr>
          <w:rtl/>
        </w:rPr>
        <w:t xml:space="preserve">معاهدة. </w:t>
      </w:r>
      <w:r w:rsidR="004305B2" w:rsidRPr="005650A8">
        <w:rPr>
          <w:rFonts w:hint="cs"/>
          <w:rtl/>
        </w:rPr>
        <w:t xml:space="preserve">وفي حال حدوث </w:t>
      </w:r>
      <w:r w:rsidR="00243580" w:rsidRPr="005650A8">
        <w:rPr>
          <w:rFonts w:hint="cs"/>
          <w:rtl/>
        </w:rPr>
        <w:t>تلك</w:t>
      </w:r>
      <w:r w:rsidR="004305B2" w:rsidRPr="005650A8">
        <w:rPr>
          <w:rFonts w:hint="cs"/>
          <w:rtl/>
        </w:rPr>
        <w:t xml:space="preserve"> المخاطر</w:t>
      </w:r>
      <w:r w:rsidR="002B333E" w:rsidRPr="005650A8">
        <w:rPr>
          <w:rtl/>
        </w:rPr>
        <w:t xml:space="preserve">، </w:t>
      </w:r>
      <w:r w:rsidR="005650A8">
        <w:rPr>
          <w:rFonts w:hint="cs"/>
          <w:rtl/>
        </w:rPr>
        <w:t>فستعالج</w:t>
      </w:r>
      <w:r w:rsidR="004305B2" w:rsidRPr="005650A8">
        <w:rPr>
          <w:rFonts w:hint="cs"/>
          <w:rtl/>
        </w:rPr>
        <w:t xml:space="preserve"> </w:t>
      </w:r>
      <w:r w:rsidR="002B333E" w:rsidRPr="005650A8">
        <w:rPr>
          <w:rtl/>
        </w:rPr>
        <w:t>في المقام الأول</w:t>
      </w:r>
      <w:r w:rsidR="004305B2" w:rsidRPr="005650A8">
        <w:rPr>
          <w:rFonts w:hint="cs"/>
          <w:rtl/>
        </w:rPr>
        <w:t xml:space="preserve"> </w:t>
      </w:r>
      <w:r w:rsidR="002B333E" w:rsidRPr="005650A8">
        <w:rPr>
          <w:rtl/>
        </w:rPr>
        <w:t>من خلال عنصر الأموال الاحتياطية</w:t>
      </w:r>
      <w:r w:rsidR="009311CA">
        <w:rPr>
          <w:rtl/>
        </w:rPr>
        <w:t xml:space="preserve"> </w:t>
      </w:r>
      <w:r w:rsidR="004305B2" w:rsidRPr="005650A8">
        <w:rPr>
          <w:rFonts w:hint="cs"/>
          <w:rtl/>
        </w:rPr>
        <w:t>في</w:t>
      </w:r>
      <w:r w:rsidR="002B333E" w:rsidRPr="005650A8">
        <w:rPr>
          <w:rtl/>
        </w:rPr>
        <w:t xml:space="preserve"> </w:t>
      </w:r>
      <w:r w:rsidR="00243580" w:rsidRPr="005650A8">
        <w:rPr>
          <w:rFonts w:hint="cs"/>
          <w:rtl/>
        </w:rPr>
        <w:t>الاحتياطي</w:t>
      </w:r>
      <w:r w:rsidR="002B333E" w:rsidRPr="005650A8">
        <w:rPr>
          <w:rtl/>
        </w:rPr>
        <w:t xml:space="preserve"> والسياسة </w:t>
      </w:r>
      <w:r w:rsidR="00243580" w:rsidRPr="005650A8">
        <w:rPr>
          <w:rFonts w:hint="cs"/>
          <w:rtl/>
        </w:rPr>
        <w:t>المراجعة</w:t>
      </w:r>
      <w:r w:rsidR="002B333E" w:rsidRPr="005650A8">
        <w:rPr>
          <w:rtl/>
        </w:rPr>
        <w:t xml:space="preserve"> المتعلقة </w:t>
      </w:r>
      <w:r w:rsidR="00243580" w:rsidRPr="005650A8">
        <w:rPr>
          <w:rFonts w:hint="cs"/>
          <w:rtl/>
        </w:rPr>
        <w:t>بالأموال الاحتياطية التي</w:t>
      </w:r>
      <w:r w:rsidR="002B333E" w:rsidRPr="005650A8">
        <w:rPr>
          <w:rtl/>
        </w:rPr>
        <w:t xml:space="preserve"> </w:t>
      </w:r>
      <w:r w:rsidR="00243580" w:rsidRPr="005650A8">
        <w:rPr>
          <w:rFonts w:hint="cs"/>
          <w:rtl/>
        </w:rPr>
        <w:t>ت</w:t>
      </w:r>
      <w:r w:rsidR="002B333E" w:rsidRPr="005650A8">
        <w:rPr>
          <w:rtl/>
        </w:rPr>
        <w:t xml:space="preserve">تضمن اقتراحا </w:t>
      </w:r>
      <w:r w:rsidR="00243580" w:rsidRPr="005650A8">
        <w:rPr>
          <w:rFonts w:hint="cs"/>
          <w:rtl/>
        </w:rPr>
        <w:t>بشأن رفع مستوى</w:t>
      </w:r>
      <w:r w:rsidR="002B333E" w:rsidRPr="005650A8">
        <w:rPr>
          <w:rtl/>
        </w:rPr>
        <w:t xml:space="preserve"> الأموال الاحتياطية المستهدف لاتحاد معاهدة البراءات</w:t>
      </w:r>
      <w:r w:rsidR="00243580" w:rsidRPr="005650A8">
        <w:rPr>
          <w:rFonts w:hint="cs"/>
          <w:rtl/>
        </w:rPr>
        <w:t xml:space="preserve"> من 15</w:t>
      </w:r>
      <w:r w:rsidR="002B333E" w:rsidRPr="005650A8">
        <w:rPr>
          <w:rtl/>
        </w:rPr>
        <w:t xml:space="preserve"> في المائة إلى 20 في المائة. </w:t>
      </w:r>
      <w:r w:rsidR="00243580" w:rsidRPr="005650A8">
        <w:rPr>
          <w:rFonts w:hint="cs"/>
          <w:rtl/>
        </w:rPr>
        <w:t>و</w:t>
      </w:r>
      <w:r w:rsidR="002B333E" w:rsidRPr="005650A8">
        <w:rPr>
          <w:rtl/>
        </w:rPr>
        <w:t xml:space="preserve">لذا تقترح الأمانة أن </w:t>
      </w:r>
      <w:r w:rsidR="00E744C8" w:rsidRPr="005650A8">
        <w:rPr>
          <w:rFonts w:hint="cs"/>
          <w:rtl/>
        </w:rPr>
        <w:t>يعاد عنصر</w:t>
      </w:r>
      <w:r w:rsidR="002B333E" w:rsidRPr="005650A8">
        <w:rPr>
          <w:rtl/>
        </w:rPr>
        <w:t xml:space="preserve"> صندوق رأس المال العامل الذي </w:t>
      </w:r>
      <w:r w:rsidR="00E744C8" w:rsidRPr="005650A8">
        <w:rPr>
          <w:rFonts w:hint="cs"/>
          <w:rtl/>
        </w:rPr>
        <w:t>يملكه</w:t>
      </w:r>
      <w:r w:rsidR="002B333E" w:rsidRPr="005650A8">
        <w:rPr>
          <w:rtl/>
        </w:rPr>
        <w:t xml:space="preserve"> اتحاد معاهدة البراءات، </w:t>
      </w:r>
      <w:r w:rsidR="00E744C8" w:rsidRPr="005650A8">
        <w:rPr>
          <w:rFonts w:hint="cs"/>
          <w:rtl/>
        </w:rPr>
        <w:t xml:space="preserve">والذي </w:t>
      </w:r>
      <w:r w:rsidR="00553284">
        <w:rPr>
          <w:rFonts w:hint="cs"/>
          <w:rtl/>
        </w:rPr>
        <w:t>تعهده</w:t>
      </w:r>
      <w:r w:rsidR="00E744C8" w:rsidRPr="005650A8">
        <w:rPr>
          <w:rFonts w:hint="cs"/>
          <w:rtl/>
        </w:rPr>
        <w:t xml:space="preserve"> ا</w:t>
      </w:r>
      <w:r w:rsidR="002B333E" w:rsidRPr="005650A8">
        <w:rPr>
          <w:rtl/>
        </w:rPr>
        <w:t>لدول الأعضاء</w:t>
      </w:r>
      <w:r w:rsidR="008F6240" w:rsidRPr="005650A8">
        <w:rPr>
          <w:rFonts w:hint="cs"/>
          <w:rtl/>
        </w:rPr>
        <w:t xml:space="preserve"> في ذلك </w:t>
      </w:r>
      <w:r w:rsidR="008F6240" w:rsidRPr="005650A8">
        <w:rPr>
          <w:rtl/>
        </w:rPr>
        <w:t>ا</w:t>
      </w:r>
      <w:r w:rsidR="008F6240" w:rsidRPr="005650A8">
        <w:rPr>
          <w:rFonts w:hint="cs"/>
          <w:rtl/>
        </w:rPr>
        <w:t>لا</w:t>
      </w:r>
      <w:r w:rsidR="008F6240" w:rsidRPr="005650A8">
        <w:rPr>
          <w:rtl/>
        </w:rPr>
        <w:t xml:space="preserve">تحاد </w:t>
      </w:r>
      <w:r w:rsidR="00553284">
        <w:rPr>
          <w:rFonts w:hint="cs"/>
          <w:rtl/>
        </w:rPr>
        <w:t>ل</w:t>
      </w:r>
      <w:r w:rsidR="00E744C8" w:rsidRPr="005650A8">
        <w:rPr>
          <w:rFonts w:hint="cs"/>
          <w:rtl/>
        </w:rPr>
        <w:t>لويبو</w:t>
      </w:r>
      <w:r w:rsidR="008F6240" w:rsidRPr="005650A8">
        <w:rPr>
          <w:rFonts w:hint="cs"/>
          <w:rtl/>
        </w:rPr>
        <w:t>،</w:t>
      </w:r>
      <w:r w:rsidR="00E744C8" w:rsidRPr="005650A8">
        <w:rPr>
          <w:rFonts w:hint="cs"/>
          <w:rtl/>
        </w:rPr>
        <w:t xml:space="preserve"> </w:t>
      </w:r>
      <w:r w:rsidR="002B333E" w:rsidRPr="005650A8">
        <w:rPr>
          <w:rtl/>
        </w:rPr>
        <w:t>إلى الدول الأعضاء. و</w:t>
      </w:r>
      <w:r w:rsidR="008F6240" w:rsidRPr="005650A8">
        <w:rPr>
          <w:rFonts w:hint="cs"/>
          <w:rtl/>
        </w:rPr>
        <w:t>يتضمن</w:t>
      </w:r>
      <w:r w:rsidR="002B333E" w:rsidRPr="005650A8">
        <w:rPr>
          <w:rtl/>
        </w:rPr>
        <w:t xml:space="preserve"> المرفق الثاني </w:t>
      </w:r>
      <w:r w:rsidR="008F6240" w:rsidRPr="005650A8">
        <w:rPr>
          <w:rFonts w:hint="cs"/>
          <w:rtl/>
        </w:rPr>
        <w:t>توزيعا</w:t>
      </w:r>
      <w:r w:rsidR="002B333E" w:rsidRPr="005650A8">
        <w:rPr>
          <w:rtl/>
        </w:rPr>
        <w:t xml:space="preserve"> مفصلا </w:t>
      </w:r>
      <w:r w:rsidR="005650A8" w:rsidRPr="005650A8">
        <w:rPr>
          <w:rFonts w:hint="cs"/>
          <w:rtl/>
        </w:rPr>
        <w:t>لرصيد</w:t>
      </w:r>
      <w:r w:rsidR="002B333E" w:rsidRPr="005650A8">
        <w:rPr>
          <w:rtl/>
        </w:rPr>
        <w:t xml:space="preserve"> </w:t>
      </w:r>
      <w:r w:rsidR="005650A8" w:rsidRPr="005650A8">
        <w:rPr>
          <w:rFonts w:hint="cs"/>
          <w:rtl/>
        </w:rPr>
        <w:t xml:space="preserve">عنصر </w:t>
      </w:r>
      <w:r w:rsidR="008F6240" w:rsidRPr="005650A8">
        <w:rPr>
          <w:rtl/>
        </w:rPr>
        <w:t xml:space="preserve">صندوق رأس المال العامل </w:t>
      </w:r>
      <w:r w:rsidR="008F6240" w:rsidRPr="005650A8">
        <w:rPr>
          <w:rFonts w:hint="cs"/>
          <w:rtl/>
        </w:rPr>
        <w:t xml:space="preserve">لاتحاد </w:t>
      </w:r>
      <w:r w:rsidR="00B34B82" w:rsidRPr="005650A8">
        <w:rPr>
          <w:rtl/>
        </w:rPr>
        <w:t>معاهدة البراءات</w:t>
      </w:r>
      <w:r w:rsidR="008F6240" w:rsidRPr="005650A8">
        <w:rPr>
          <w:rFonts w:hint="cs"/>
          <w:rtl/>
        </w:rPr>
        <w:t xml:space="preserve"> البالغ</w:t>
      </w:r>
      <w:r w:rsidR="009311CA">
        <w:rPr>
          <w:rFonts w:hint="cs"/>
          <w:rtl/>
        </w:rPr>
        <w:t xml:space="preserve"> </w:t>
      </w:r>
      <w:r w:rsidR="002B333E" w:rsidRPr="005650A8">
        <w:rPr>
          <w:rtl/>
        </w:rPr>
        <w:t>مليون</w:t>
      </w:r>
      <w:r w:rsidR="005650A8" w:rsidRPr="005650A8">
        <w:rPr>
          <w:rFonts w:hint="cs"/>
          <w:rtl/>
        </w:rPr>
        <w:t>ي</w:t>
      </w:r>
      <w:r w:rsidR="002B333E" w:rsidRPr="005650A8">
        <w:rPr>
          <w:rtl/>
        </w:rPr>
        <w:t xml:space="preserve"> فرنك سويسري </w:t>
      </w:r>
      <w:r w:rsidR="005650A8" w:rsidRPr="005650A8">
        <w:rPr>
          <w:rFonts w:hint="cs"/>
          <w:rtl/>
        </w:rPr>
        <w:t>بحسب</w:t>
      </w:r>
      <w:r w:rsidR="002B333E" w:rsidRPr="005650A8">
        <w:rPr>
          <w:rtl/>
        </w:rPr>
        <w:t xml:space="preserve"> الدول الأعضاء. </w:t>
      </w:r>
      <w:r w:rsidR="0014101F">
        <w:rPr>
          <w:rFonts w:hint="cs"/>
          <w:rtl/>
        </w:rPr>
        <w:t>و</w:t>
      </w:r>
      <w:r w:rsidR="0014101F" w:rsidRPr="005650A8">
        <w:rPr>
          <w:rFonts w:hint="cs"/>
          <w:rtl/>
        </w:rPr>
        <w:t xml:space="preserve">تسهيلا </w:t>
      </w:r>
      <w:r w:rsidR="0014101F">
        <w:rPr>
          <w:rFonts w:hint="cs"/>
          <w:rtl/>
        </w:rPr>
        <w:t>للإجراءات</w:t>
      </w:r>
      <w:r w:rsidR="0014101F" w:rsidRPr="005650A8">
        <w:rPr>
          <w:rFonts w:hint="cs"/>
          <w:rtl/>
        </w:rPr>
        <w:t xml:space="preserve"> </w:t>
      </w:r>
      <w:r w:rsidR="0014101F" w:rsidRPr="005650A8">
        <w:rPr>
          <w:rtl/>
        </w:rPr>
        <w:t>الإدارية</w:t>
      </w:r>
      <w:r w:rsidR="0014101F">
        <w:rPr>
          <w:rFonts w:hint="cs"/>
          <w:rtl/>
        </w:rPr>
        <w:t>، يُ</w:t>
      </w:r>
      <w:r w:rsidR="005650A8" w:rsidRPr="005650A8">
        <w:rPr>
          <w:rtl/>
        </w:rPr>
        <w:t>قترح</w:t>
      </w:r>
      <w:r w:rsidR="0014101F">
        <w:rPr>
          <w:rFonts w:hint="cs"/>
          <w:rtl/>
        </w:rPr>
        <w:t xml:space="preserve"> </w:t>
      </w:r>
      <w:r w:rsidR="005650A8" w:rsidRPr="005650A8">
        <w:rPr>
          <w:rFonts w:hint="cs"/>
          <w:rtl/>
        </w:rPr>
        <w:t xml:space="preserve">تسديد تلك المدفوعات </w:t>
      </w:r>
      <w:r w:rsidR="00EC519B">
        <w:rPr>
          <w:rFonts w:hint="cs"/>
          <w:rtl/>
        </w:rPr>
        <w:t xml:space="preserve">عبر </w:t>
      </w:r>
      <w:r w:rsidR="0014101F">
        <w:rPr>
          <w:rFonts w:hint="cs"/>
          <w:rtl/>
        </w:rPr>
        <w:t>خص</w:t>
      </w:r>
      <w:r w:rsidR="00EC519B">
        <w:rPr>
          <w:rFonts w:hint="cs"/>
          <w:rtl/>
        </w:rPr>
        <w:t>و</w:t>
      </w:r>
      <w:r w:rsidR="0014101F">
        <w:rPr>
          <w:rFonts w:hint="cs"/>
          <w:rtl/>
        </w:rPr>
        <w:t>م</w:t>
      </w:r>
      <w:r w:rsidR="00EC519B">
        <w:rPr>
          <w:rFonts w:hint="cs"/>
          <w:rtl/>
        </w:rPr>
        <w:t>ات</w:t>
      </w:r>
      <w:r w:rsidR="0014101F">
        <w:rPr>
          <w:rFonts w:hint="cs"/>
          <w:rtl/>
        </w:rPr>
        <w:t xml:space="preserve"> </w:t>
      </w:r>
      <w:r w:rsidR="002B333E" w:rsidRPr="005650A8">
        <w:rPr>
          <w:rtl/>
        </w:rPr>
        <w:t xml:space="preserve">من </w:t>
      </w:r>
      <w:r w:rsidR="0014101F">
        <w:rPr>
          <w:rFonts w:hint="cs"/>
          <w:rtl/>
        </w:rPr>
        <w:t xml:space="preserve">مبالغ </w:t>
      </w:r>
      <w:r w:rsidR="002B333E" w:rsidRPr="005650A8">
        <w:rPr>
          <w:rtl/>
        </w:rPr>
        <w:t xml:space="preserve">فواتير </w:t>
      </w:r>
      <w:r w:rsidR="005650A8" w:rsidRPr="005650A8">
        <w:rPr>
          <w:rFonts w:hint="cs"/>
          <w:rtl/>
        </w:rPr>
        <w:t>اشتراكات</w:t>
      </w:r>
      <w:r w:rsidR="002B333E" w:rsidRPr="005650A8">
        <w:rPr>
          <w:rtl/>
        </w:rPr>
        <w:t xml:space="preserve"> </w:t>
      </w:r>
      <w:r w:rsidR="005650A8" w:rsidRPr="005650A8">
        <w:rPr>
          <w:rFonts w:hint="cs"/>
          <w:rtl/>
        </w:rPr>
        <w:t>ا</w:t>
      </w:r>
      <w:r w:rsidR="002B333E" w:rsidRPr="005650A8">
        <w:rPr>
          <w:rtl/>
        </w:rPr>
        <w:t>لدول الأعضاء.</w:t>
      </w:r>
    </w:p>
    <w:p w:rsidR="00EF1296" w:rsidRDefault="00EF1296" w:rsidP="00EC519B">
      <w:pPr>
        <w:pStyle w:val="DecisionParaAR"/>
      </w:pPr>
      <w:r w:rsidRPr="00D5138E">
        <w:rPr>
          <w:rtl/>
        </w:rPr>
        <w:lastRenderedPageBreak/>
        <w:t>إن لجنة ا</w:t>
      </w:r>
      <w:r>
        <w:rPr>
          <w:rtl/>
        </w:rPr>
        <w:t>لبرنامج والميزانية</w:t>
      </w:r>
      <w:r>
        <w:rPr>
          <w:rFonts w:hint="cs"/>
          <w:rtl/>
        </w:rPr>
        <w:t xml:space="preserve"> توصي </w:t>
      </w:r>
      <w:r w:rsidRPr="00C2156F">
        <w:rPr>
          <w:rtl/>
        </w:rPr>
        <w:t>جمعيات الدول الأعضاء في الويبو والاتحادات التي تديرها الويبو، كلّ فيما يعنيه</w:t>
      </w:r>
      <w:r>
        <w:rPr>
          <w:rFonts w:hint="cs"/>
          <w:rtl/>
        </w:rPr>
        <w:t>، ب</w:t>
      </w:r>
      <w:r w:rsidRPr="005650A8">
        <w:rPr>
          <w:rtl/>
        </w:rPr>
        <w:t xml:space="preserve">أن </w:t>
      </w:r>
      <w:r w:rsidRPr="005650A8">
        <w:rPr>
          <w:rFonts w:hint="cs"/>
          <w:rtl/>
        </w:rPr>
        <w:t xml:space="preserve">يعاد </w:t>
      </w:r>
      <w:r>
        <w:rPr>
          <w:rFonts w:hint="cs"/>
          <w:rtl/>
        </w:rPr>
        <w:t xml:space="preserve">رصيد </w:t>
      </w:r>
      <w:r w:rsidRPr="005650A8">
        <w:rPr>
          <w:rFonts w:hint="cs"/>
          <w:rtl/>
        </w:rPr>
        <w:t>عنصر</w:t>
      </w:r>
      <w:r w:rsidRPr="005650A8">
        <w:rPr>
          <w:rtl/>
        </w:rPr>
        <w:t xml:space="preserve"> صندوق رأس المال العامل </w:t>
      </w:r>
      <w:r>
        <w:rPr>
          <w:rFonts w:hint="cs"/>
          <w:rtl/>
        </w:rPr>
        <w:t>ل</w:t>
      </w:r>
      <w:r w:rsidRPr="005650A8">
        <w:rPr>
          <w:rtl/>
        </w:rPr>
        <w:t>اتحاد معاهدة البراءات</w:t>
      </w:r>
      <w:r>
        <w:rPr>
          <w:rFonts w:hint="cs"/>
          <w:rtl/>
        </w:rPr>
        <w:t xml:space="preserve"> البالغ ملوني فرنك سويسري إلى الدول الأعضاء في اتحاد معاهدة البراءات </w:t>
      </w:r>
      <w:r w:rsidR="00EC519B">
        <w:rPr>
          <w:rFonts w:hint="cs"/>
          <w:rtl/>
        </w:rPr>
        <w:t xml:space="preserve">عبر خصومات </w:t>
      </w:r>
      <w:r w:rsidR="00EC519B" w:rsidRPr="005650A8">
        <w:rPr>
          <w:rtl/>
        </w:rPr>
        <w:t xml:space="preserve">من </w:t>
      </w:r>
      <w:r w:rsidR="00EC519B">
        <w:rPr>
          <w:rFonts w:hint="cs"/>
          <w:rtl/>
        </w:rPr>
        <w:t xml:space="preserve">مبالغ </w:t>
      </w:r>
      <w:r w:rsidR="00EC519B" w:rsidRPr="005650A8">
        <w:rPr>
          <w:rtl/>
        </w:rPr>
        <w:t xml:space="preserve">فواتير </w:t>
      </w:r>
      <w:r w:rsidR="00EC519B">
        <w:rPr>
          <w:rFonts w:hint="cs"/>
          <w:rtl/>
        </w:rPr>
        <w:t xml:space="preserve">الاشتراكات </w:t>
      </w:r>
      <w:r>
        <w:rPr>
          <w:rFonts w:hint="cs"/>
          <w:rtl/>
        </w:rPr>
        <w:t>في الثنائية 2016/17.</w:t>
      </w:r>
    </w:p>
    <w:p w:rsidR="00C2156F" w:rsidRDefault="00AF5049" w:rsidP="00AF5049">
      <w:pPr>
        <w:pStyle w:val="EndofDocumentAR"/>
        <w:rPr>
          <w:rFonts w:hint="cs"/>
          <w:rtl/>
        </w:rPr>
      </w:pPr>
      <w:r>
        <w:rPr>
          <w:rtl/>
        </w:rPr>
        <w:t>[</w:t>
      </w:r>
      <w:r>
        <w:rPr>
          <w:rFonts w:hint="cs"/>
          <w:rtl/>
        </w:rPr>
        <w:t>ي</w:t>
      </w:r>
      <w:r w:rsidR="002B333E">
        <w:rPr>
          <w:rtl/>
        </w:rPr>
        <w:t xml:space="preserve">لي ذلك </w:t>
      </w:r>
      <w:r>
        <w:rPr>
          <w:rFonts w:hint="cs"/>
          <w:rtl/>
        </w:rPr>
        <w:t>المرفقان</w:t>
      </w:r>
      <w:r w:rsidR="002B333E">
        <w:rPr>
          <w:rtl/>
        </w:rPr>
        <w:t>]</w:t>
      </w:r>
    </w:p>
    <w:p w:rsidR="00AF5049" w:rsidRPr="00AF5049" w:rsidRDefault="00AF5049" w:rsidP="00AF5049">
      <w:pPr>
        <w:pStyle w:val="NormalParaAR"/>
      </w:pPr>
    </w:p>
    <w:p w:rsidR="001967D4" w:rsidRDefault="001967D4" w:rsidP="001967D4">
      <w:pPr>
        <w:pStyle w:val="NormalParaAR"/>
        <w:rPr>
          <w:rtl/>
          <w:lang w:val="fr-CH"/>
        </w:rPr>
        <w:sectPr w:rsidR="001967D4" w:rsidSect="00EB7752">
          <w:headerReference w:type="default" r:id="rId10"/>
          <w:pgSz w:w="11907" w:h="16840" w:code="9"/>
          <w:pgMar w:top="567" w:right="1418" w:bottom="1418" w:left="1134" w:header="510" w:footer="1021" w:gutter="0"/>
          <w:cols w:space="720"/>
          <w:titlePg/>
          <w:docGrid w:linePitch="299"/>
        </w:sectPr>
      </w:pPr>
    </w:p>
    <w:p w:rsidR="001967D4" w:rsidRPr="00A326F8" w:rsidRDefault="00BC4498" w:rsidP="00A326F8">
      <w:pPr>
        <w:pStyle w:val="NormalParaAR"/>
        <w:keepNext/>
        <w:rPr>
          <w:b/>
          <w:bCs/>
          <w:sz w:val="40"/>
          <w:szCs w:val="40"/>
          <w:lang w:val="fr-CH"/>
        </w:rPr>
      </w:pPr>
      <w:r w:rsidRPr="00A326F8">
        <w:rPr>
          <w:rFonts w:hint="cs"/>
          <w:b/>
          <w:bCs/>
          <w:sz w:val="40"/>
          <w:szCs w:val="40"/>
          <w:rtl/>
          <w:lang w:val="fr-CH"/>
        </w:rPr>
        <w:lastRenderedPageBreak/>
        <w:t>ال</w:t>
      </w:r>
      <w:r w:rsidRPr="00A326F8">
        <w:rPr>
          <w:b/>
          <w:bCs/>
          <w:sz w:val="40"/>
          <w:szCs w:val="40"/>
          <w:rtl/>
          <w:lang w:val="fr-CH"/>
        </w:rPr>
        <w:t>سياسة المُراجعة المتعلقة بالأموال الاحتياطية</w:t>
      </w:r>
    </w:p>
    <w:p w:rsidR="00BC4498" w:rsidRPr="00A326F8" w:rsidRDefault="00BC4498" w:rsidP="000151EC">
      <w:pPr>
        <w:pStyle w:val="NormalParaAR"/>
        <w:keepNext/>
        <w:rPr>
          <w:b/>
          <w:bCs/>
          <w:rtl/>
          <w:lang w:val="fr-CH"/>
        </w:rPr>
      </w:pPr>
      <w:r w:rsidRPr="00A326F8">
        <w:rPr>
          <w:rFonts w:hint="cs"/>
          <w:b/>
          <w:bCs/>
          <w:rtl/>
          <w:lang w:val="fr-CH"/>
        </w:rPr>
        <w:t>أولا.</w:t>
      </w:r>
      <w:r w:rsidR="000151EC">
        <w:rPr>
          <w:rFonts w:hint="cs"/>
          <w:b/>
          <w:bCs/>
          <w:rtl/>
          <w:lang w:val="fr-CH"/>
        </w:rPr>
        <w:tab/>
      </w:r>
      <w:r w:rsidRPr="00A326F8">
        <w:rPr>
          <w:rFonts w:hint="cs"/>
          <w:b/>
          <w:bCs/>
          <w:rtl/>
          <w:lang w:val="fr-CH"/>
        </w:rPr>
        <w:t>مقدمة وتعريفات</w:t>
      </w:r>
    </w:p>
    <w:p w:rsidR="00341FCC" w:rsidRDefault="00341FCC" w:rsidP="00341FCC">
      <w:pPr>
        <w:pStyle w:val="NumberedParaAR"/>
        <w:numPr>
          <w:ilvl w:val="0"/>
          <w:numId w:val="23"/>
        </w:numPr>
        <w:rPr>
          <w:lang w:val="fr-CH"/>
        </w:rPr>
      </w:pPr>
      <w:r>
        <w:rPr>
          <w:rFonts w:hint="cs"/>
          <w:rtl/>
          <w:lang w:val="fr-CH"/>
        </w:rPr>
        <w:t>ي</w:t>
      </w:r>
      <w:r w:rsidR="00A326F8" w:rsidRPr="00341FCC">
        <w:rPr>
          <w:rFonts w:hint="cs"/>
          <w:rtl/>
          <w:lang w:val="fr-CH"/>
        </w:rPr>
        <w:t xml:space="preserve">هدف احتياطي </w:t>
      </w:r>
      <w:r>
        <w:rPr>
          <w:rFonts w:hint="cs"/>
          <w:rtl/>
          <w:lang w:val="fr-CH"/>
        </w:rPr>
        <w:t>ا</w:t>
      </w:r>
      <w:r w:rsidR="00A326F8" w:rsidRPr="00341FCC">
        <w:rPr>
          <w:rFonts w:hint="cs"/>
          <w:rtl/>
          <w:lang w:val="fr-CH"/>
        </w:rPr>
        <w:t xml:space="preserve">لويبو إلى التقليل إلى أدنى حد ممكن من وقع نقص الإيرادات والزيادة إلى أقصى حد من إمكانية احترام المنظمة </w:t>
      </w:r>
      <w:r w:rsidRPr="00341FCC">
        <w:rPr>
          <w:rFonts w:hint="cs"/>
          <w:rtl/>
          <w:lang w:val="fr-CH"/>
        </w:rPr>
        <w:t>لالتزاماتها</w:t>
      </w:r>
      <w:r w:rsidR="00A326F8" w:rsidRPr="00341FCC">
        <w:rPr>
          <w:rFonts w:hint="cs"/>
          <w:rtl/>
          <w:lang w:val="fr-CH"/>
        </w:rPr>
        <w:t xml:space="preserve"> على المد</w:t>
      </w:r>
      <w:r>
        <w:rPr>
          <w:rFonts w:hint="cs"/>
          <w:rtl/>
          <w:lang w:val="fr-CH"/>
        </w:rPr>
        <w:t>ى</w:t>
      </w:r>
      <w:r w:rsidR="00A326F8" w:rsidRPr="00341FCC">
        <w:rPr>
          <w:rFonts w:hint="cs"/>
          <w:rtl/>
          <w:lang w:val="fr-CH"/>
        </w:rPr>
        <w:t xml:space="preserve"> القصير والحفاظ على الاستقرار المالي. والأموال الاحتياطية هي </w:t>
      </w:r>
      <w:r w:rsidR="00A326F8" w:rsidRPr="00341FCC">
        <w:rPr>
          <w:rtl/>
          <w:lang w:val="fr-CH"/>
        </w:rPr>
        <w:t xml:space="preserve">صافي أصول المنظمة، أي الفرق بين مجموع الأصول ومجموع الخصوم. </w:t>
      </w:r>
      <w:r w:rsidR="00A326F8" w:rsidRPr="00341FCC">
        <w:rPr>
          <w:rFonts w:hint="cs"/>
          <w:rtl/>
          <w:lang w:val="fr-CH"/>
        </w:rPr>
        <w:t>و</w:t>
      </w:r>
      <w:r>
        <w:rPr>
          <w:rFonts w:hint="cs"/>
          <w:rtl/>
          <w:lang w:val="fr-CH"/>
        </w:rPr>
        <w:t>ي</w:t>
      </w:r>
      <w:r w:rsidR="00A326F8" w:rsidRPr="00341FCC">
        <w:rPr>
          <w:rFonts w:hint="cs"/>
          <w:rtl/>
          <w:lang w:val="fr-CH"/>
        </w:rPr>
        <w:t xml:space="preserve">تألف </w:t>
      </w:r>
      <w:r>
        <w:rPr>
          <w:rFonts w:hint="cs"/>
          <w:rtl/>
          <w:lang w:val="fr-CH"/>
        </w:rPr>
        <w:t>احتياطي ا</w:t>
      </w:r>
      <w:r w:rsidR="00A326F8" w:rsidRPr="00341FCC">
        <w:rPr>
          <w:rFonts w:hint="cs"/>
          <w:rtl/>
          <w:lang w:val="fr-CH"/>
        </w:rPr>
        <w:t xml:space="preserve">لويبو من أموالها الاحتياطية </w:t>
      </w:r>
      <w:r w:rsidRPr="00341FCC">
        <w:rPr>
          <w:rFonts w:hint="cs"/>
          <w:rtl/>
          <w:lang w:val="fr-CH"/>
        </w:rPr>
        <w:t>ورؤو</w:t>
      </w:r>
      <w:r w:rsidRPr="00341FCC">
        <w:rPr>
          <w:rFonts w:hint="eastAsia"/>
          <w:rtl/>
          <w:lang w:val="fr-CH"/>
        </w:rPr>
        <w:t>س</w:t>
      </w:r>
      <w:r w:rsidR="00A326F8" w:rsidRPr="00341FCC">
        <w:rPr>
          <w:rFonts w:hint="cs"/>
          <w:rtl/>
          <w:lang w:val="fr-CH"/>
        </w:rPr>
        <w:t xml:space="preserve"> الأموال العاملة ويطلق عليهما الأموال الاحتياطية </w:t>
      </w:r>
      <w:r w:rsidRPr="00341FCC">
        <w:rPr>
          <w:rFonts w:hint="cs"/>
          <w:rtl/>
          <w:lang w:val="fr-CH"/>
        </w:rPr>
        <w:t>ورؤو</w:t>
      </w:r>
      <w:r w:rsidRPr="00341FCC">
        <w:rPr>
          <w:rFonts w:hint="eastAsia"/>
          <w:rtl/>
          <w:lang w:val="fr-CH"/>
        </w:rPr>
        <w:t>س</w:t>
      </w:r>
      <w:r w:rsidRPr="00341FCC">
        <w:rPr>
          <w:rFonts w:hint="cs"/>
          <w:rtl/>
          <w:lang w:val="fr-CH"/>
        </w:rPr>
        <w:t xml:space="preserve"> </w:t>
      </w:r>
      <w:r w:rsidR="00A326F8" w:rsidRPr="00341FCC">
        <w:rPr>
          <w:rFonts w:hint="cs"/>
          <w:rtl/>
          <w:lang w:val="fr-CH"/>
        </w:rPr>
        <w:t>الأموال العاملة (الاحتياطي)</w:t>
      </w:r>
      <w:r w:rsidRPr="00341FCC">
        <w:rPr>
          <w:rFonts w:hint="cs"/>
          <w:rtl/>
          <w:lang w:val="fr-CH"/>
        </w:rPr>
        <w:t>.</w:t>
      </w:r>
    </w:p>
    <w:p w:rsidR="00BC4498" w:rsidRPr="00341FCC" w:rsidRDefault="00BC4498" w:rsidP="00341FCC">
      <w:pPr>
        <w:pStyle w:val="NumberedParaAR"/>
        <w:numPr>
          <w:ilvl w:val="0"/>
          <w:numId w:val="23"/>
        </w:numPr>
        <w:rPr>
          <w:rtl/>
          <w:lang w:val="fr-CH"/>
        </w:rPr>
      </w:pPr>
      <w:r w:rsidRPr="00341FCC">
        <w:rPr>
          <w:rtl/>
          <w:lang w:val="fr-CH"/>
        </w:rPr>
        <w:t>ويبيّن نظام الويبو المالي ولائحته العنصرين المحدّدين لاحتياطي المنظمة وهما:</w:t>
      </w:r>
    </w:p>
    <w:p w:rsidR="00BC4498" w:rsidRPr="00BC4498" w:rsidRDefault="00341FCC" w:rsidP="00723BD6">
      <w:pPr>
        <w:pStyle w:val="NormalParaAR"/>
        <w:ind w:left="1133" w:hanging="567"/>
        <w:rPr>
          <w:rtl/>
          <w:lang w:val="fr-CH"/>
        </w:rPr>
      </w:pPr>
      <w:r>
        <w:rPr>
          <w:rFonts w:hint="cs"/>
          <w:rtl/>
          <w:lang w:val="fr-CH"/>
        </w:rPr>
        <w:t>"1"</w:t>
      </w:r>
      <w:r>
        <w:rPr>
          <w:rFonts w:hint="cs"/>
          <w:rtl/>
          <w:lang w:val="fr-CH"/>
        </w:rPr>
        <w:tab/>
        <w:t>"</w:t>
      </w:r>
      <w:r w:rsidR="00723BD6" w:rsidRPr="00723BD6">
        <w:rPr>
          <w:rtl/>
          <w:lang w:val="fr-CH"/>
        </w:rPr>
        <w:t>تعني عبارة "الاحتياطيات" الصناديق التي تنشئها جمعيات الدول الأعضاء والاتحادات، كل فيما يخصه، وينبغي أن يودع فيها فائض إيرادات الرسوم التي تتجاوز المبالغ المطلوبة لتمويل اعتمادات البرنامج والميزانية. وينبغي الانتفاع بالصناديق الاحتياطية بالطريقة التي تقررها جمعيات الدول الأعضاء والاتحادات، كل فيما يخصه</w:t>
      </w:r>
      <w:r w:rsidR="00723BD6">
        <w:rPr>
          <w:rFonts w:hint="cs"/>
          <w:rtl/>
          <w:lang w:val="fr-CH"/>
        </w:rPr>
        <w:t>.</w:t>
      </w:r>
      <w:r w:rsidR="00BC4498" w:rsidRPr="00BC4498">
        <w:rPr>
          <w:rtl/>
          <w:lang w:val="fr-CH"/>
        </w:rPr>
        <w:t xml:space="preserve"> (القاعدة 3.101(ن) من النظام المالي ولائحته)؛</w:t>
      </w:r>
    </w:p>
    <w:p w:rsidR="00BC4498" w:rsidRPr="00BC4498" w:rsidRDefault="00341FCC" w:rsidP="00723BD6">
      <w:pPr>
        <w:pStyle w:val="NormalParaAR"/>
        <w:ind w:left="1133" w:hanging="567"/>
        <w:rPr>
          <w:rtl/>
          <w:lang w:val="fr-CH"/>
        </w:rPr>
      </w:pPr>
      <w:r>
        <w:rPr>
          <w:rFonts w:hint="cs"/>
          <w:rtl/>
          <w:lang w:val="fr-CH"/>
        </w:rPr>
        <w:t>"2"</w:t>
      </w:r>
      <w:r>
        <w:rPr>
          <w:rFonts w:hint="cs"/>
          <w:rtl/>
          <w:lang w:val="fr-CH"/>
        </w:rPr>
        <w:tab/>
      </w:r>
      <w:r w:rsidR="00723BD6" w:rsidRPr="00723BD6">
        <w:rPr>
          <w:rtl/>
          <w:lang w:val="fr-CH"/>
        </w:rPr>
        <w:t xml:space="preserve">وتعني عبارة "صناديق رأس المال العامل" الصناديق المنشأة لتمويل اعتمادات بشكل سلف في حالة وجود عجز مؤقت في السيولة ولأغراض أخرى تقررها جمعيات الدول الأعضاء والاتحادات، كل فيما يخصه. </w:t>
      </w:r>
      <w:r w:rsidR="00BC4498" w:rsidRPr="00BC4498">
        <w:rPr>
          <w:rtl/>
          <w:lang w:val="fr-CH"/>
        </w:rPr>
        <w:t>(القاعدة</w:t>
      </w:r>
      <w:r w:rsidR="00723BD6">
        <w:rPr>
          <w:rFonts w:hint="cs"/>
          <w:rtl/>
          <w:lang w:val="fr-CH"/>
        </w:rPr>
        <w:t> </w:t>
      </w:r>
      <w:r w:rsidR="00BC4498" w:rsidRPr="00BC4498">
        <w:rPr>
          <w:rtl/>
          <w:lang w:val="fr-CH"/>
        </w:rPr>
        <w:t>3.101(</w:t>
      </w:r>
      <w:r w:rsidR="00723BD6">
        <w:rPr>
          <w:rFonts w:hint="cs"/>
          <w:rtl/>
          <w:lang w:val="fr-CH"/>
        </w:rPr>
        <w:t>ف</w:t>
      </w:r>
      <w:r w:rsidR="00BC4498" w:rsidRPr="00BC4498">
        <w:rPr>
          <w:rtl/>
          <w:lang w:val="fr-CH"/>
        </w:rPr>
        <w:t>) والمادة 3.4 من النظام المالي ولائحته).</w:t>
      </w:r>
      <w:r>
        <w:rPr>
          <w:rFonts w:hint="cs"/>
          <w:rtl/>
          <w:lang w:val="fr-CH"/>
        </w:rPr>
        <w:t>"</w:t>
      </w:r>
    </w:p>
    <w:p w:rsidR="00723BD6" w:rsidRDefault="00341FCC" w:rsidP="00D80BAD">
      <w:pPr>
        <w:pStyle w:val="NumberedParaAR"/>
        <w:numPr>
          <w:ilvl w:val="0"/>
          <w:numId w:val="23"/>
        </w:numPr>
        <w:rPr>
          <w:rtl/>
          <w:lang w:val="fr-CH"/>
        </w:rPr>
      </w:pPr>
      <w:r>
        <w:rPr>
          <w:rFonts w:hint="cs"/>
          <w:rtl/>
          <w:lang w:val="fr-CH"/>
        </w:rPr>
        <w:t>وينص أيضا النظام المالي للويبو</w:t>
      </w:r>
      <w:r w:rsidRPr="00341FCC">
        <w:rPr>
          <w:rtl/>
          <w:lang w:val="fr-CH"/>
        </w:rPr>
        <w:t xml:space="preserve"> </w:t>
      </w:r>
      <w:r>
        <w:rPr>
          <w:rFonts w:hint="cs"/>
          <w:rtl/>
          <w:lang w:val="fr-CH"/>
        </w:rPr>
        <w:t xml:space="preserve">على </w:t>
      </w:r>
      <w:r w:rsidR="00D80BAD">
        <w:rPr>
          <w:rFonts w:hint="cs"/>
          <w:rtl/>
          <w:lang w:val="fr-CH"/>
        </w:rPr>
        <w:t>وضع</w:t>
      </w:r>
      <w:r>
        <w:rPr>
          <w:rFonts w:hint="cs"/>
          <w:rtl/>
          <w:lang w:val="fr-CH"/>
        </w:rPr>
        <w:t xml:space="preserve"> </w:t>
      </w:r>
      <w:r w:rsidRPr="00341FCC">
        <w:rPr>
          <w:rtl/>
          <w:lang w:val="fr-CH"/>
        </w:rPr>
        <w:t xml:space="preserve">اتحادات باريس وبرن ومدريد ولاهاي والتصنيف الدولي للبراءات ونيس ومعاهدة التعاون بشأن البراءات ولشبونة </w:t>
      </w:r>
      <w:proofErr w:type="spellStart"/>
      <w:r w:rsidRPr="00341FCC">
        <w:rPr>
          <w:rtl/>
          <w:lang w:val="fr-CH"/>
        </w:rPr>
        <w:t>ولوكارنو</w:t>
      </w:r>
      <w:proofErr w:type="spellEnd"/>
      <w:r w:rsidRPr="00341FCC">
        <w:rPr>
          <w:rtl/>
          <w:lang w:val="fr-CH"/>
        </w:rPr>
        <w:t xml:space="preserve"> وفيينا </w:t>
      </w:r>
      <w:r w:rsidR="00D80BAD">
        <w:rPr>
          <w:rFonts w:hint="cs"/>
          <w:rtl/>
          <w:lang w:val="fr-CH"/>
        </w:rPr>
        <w:t>فيما يخص</w:t>
      </w:r>
      <w:r w:rsidR="00723BD6">
        <w:rPr>
          <w:rFonts w:hint="cs"/>
          <w:rtl/>
          <w:lang w:val="fr-CH"/>
        </w:rPr>
        <w:t xml:space="preserve"> ملكية </w:t>
      </w:r>
      <w:r w:rsidR="00373D21">
        <w:rPr>
          <w:rFonts w:hint="cs"/>
          <w:rtl/>
          <w:lang w:val="fr-CH"/>
        </w:rPr>
        <w:t>احتياطي ا</w:t>
      </w:r>
      <w:r w:rsidRPr="00341FCC">
        <w:rPr>
          <w:rtl/>
          <w:lang w:val="fr-CH"/>
        </w:rPr>
        <w:t>لمنظمة</w:t>
      </w:r>
      <w:r w:rsidR="00373D21">
        <w:rPr>
          <w:rFonts w:hint="cs"/>
          <w:rtl/>
          <w:lang w:val="fr-CH"/>
        </w:rPr>
        <w:t xml:space="preserve"> و</w:t>
      </w:r>
      <w:r w:rsidR="00723BD6">
        <w:rPr>
          <w:rFonts w:hint="cs"/>
          <w:rtl/>
          <w:lang w:val="fr-CH"/>
        </w:rPr>
        <w:t>ال</w:t>
      </w:r>
      <w:r w:rsidR="00373D21">
        <w:rPr>
          <w:rFonts w:hint="cs"/>
          <w:rtl/>
          <w:lang w:val="fr-CH"/>
        </w:rPr>
        <w:t xml:space="preserve">سلطة </w:t>
      </w:r>
      <w:r w:rsidR="00723BD6">
        <w:rPr>
          <w:rFonts w:hint="cs"/>
          <w:rtl/>
          <w:lang w:val="fr-CH"/>
        </w:rPr>
        <w:t>عليه كما يلي:</w:t>
      </w:r>
    </w:p>
    <w:p w:rsidR="00723BD6" w:rsidRDefault="00723BD6" w:rsidP="00D80BAD">
      <w:pPr>
        <w:pStyle w:val="NormalParaAR"/>
        <w:ind w:left="1133" w:hanging="567"/>
        <w:rPr>
          <w:rtl/>
          <w:lang w:val="fr-CH"/>
        </w:rPr>
      </w:pPr>
      <w:r>
        <w:rPr>
          <w:rFonts w:hint="cs"/>
          <w:rtl/>
          <w:lang w:val="fr-CH"/>
        </w:rPr>
        <w:t>"1"</w:t>
      </w:r>
      <w:r>
        <w:rPr>
          <w:rFonts w:hint="cs"/>
          <w:rtl/>
          <w:lang w:val="fr-CH"/>
        </w:rPr>
        <w:tab/>
      </w:r>
      <w:r w:rsidRPr="00BC4498">
        <w:rPr>
          <w:rtl/>
          <w:lang w:val="fr-CH"/>
        </w:rPr>
        <w:t xml:space="preserve">إذا تبين وجود فائض في إيرادات أي اتحاد، بعد إقفال الفترة المالية، فإن ذلك الفائض يقيد في باب </w:t>
      </w:r>
      <w:r w:rsidRPr="00723BD6">
        <w:rPr>
          <w:b/>
          <w:bCs/>
          <w:rtl/>
          <w:lang w:val="fr-CH"/>
        </w:rPr>
        <w:t>الاحتياطيات</w:t>
      </w:r>
      <w:r w:rsidRPr="00BC4498">
        <w:rPr>
          <w:rtl/>
          <w:lang w:val="fr-CH"/>
        </w:rPr>
        <w:t>، ما لم تقرر الجمعية العامة أو جمعية الاتحاد المعني خلاف ذلك.</w:t>
      </w:r>
      <w:r>
        <w:rPr>
          <w:rFonts w:hint="cs"/>
          <w:rtl/>
          <w:lang w:val="fr-CH"/>
        </w:rPr>
        <w:t xml:space="preserve"> (</w:t>
      </w:r>
      <w:r w:rsidR="00D80BAD">
        <w:rPr>
          <w:rFonts w:hint="cs"/>
          <w:rtl/>
          <w:lang w:val="fr-CH"/>
        </w:rPr>
        <w:t>المادة</w:t>
      </w:r>
      <w:r>
        <w:rPr>
          <w:rFonts w:hint="cs"/>
          <w:rtl/>
          <w:lang w:val="fr-CH"/>
        </w:rPr>
        <w:t xml:space="preserve"> 7.4)</w:t>
      </w:r>
    </w:p>
    <w:p w:rsidR="00723BD6" w:rsidRDefault="00723BD6" w:rsidP="00101A30">
      <w:pPr>
        <w:pStyle w:val="NormalParaAR"/>
        <w:ind w:left="1133" w:hanging="567"/>
        <w:rPr>
          <w:rtl/>
          <w:lang w:val="fr-CH"/>
        </w:rPr>
      </w:pPr>
      <w:r>
        <w:rPr>
          <w:rFonts w:hint="cs"/>
          <w:rtl/>
          <w:lang w:val="fr-CH"/>
        </w:rPr>
        <w:t>"2"</w:t>
      </w:r>
      <w:r>
        <w:rPr>
          <w:rFonts w:hint="cs"/>
          <w:rtl/>
          <w:lang w:val="fr-CH"/>
        </w:rPr>
        <w:tab/>
      </w:r>
      <w:r w:rsidR="00101A30">
        <w:rPr>
          <w:rFonts w:hint="cs"/>
          <w:rtl/>
          <w:lang w:val="fr-CH"/>
        </w:rPr>
        <w:t>ووفقا لقرار اتحاد مدريد وللمادة 8(4) من اتفاق مدريد، يوزع فائض إيرادات اتحاد مدريد بعد خصم النفقات على الدول الأعضاء. وتنص الشروط الواردة في المادة 8(4) من اتفاق مدريد وبروتوكوله فيما يخص توزيع فائض اتحاد مدريد على ما يلي بالتحديد: "</w:t>
      </w:r>
      <w:r w:rsidR="00101A30" w:rsidRPr="00101A30">
        <w:rPr>
          <w:rtl/>
          <w:lang w:val="fr-CH"/>
        </w:rPr>
        <w:t xml:space="preserve">على المكتب الدولي أن يوزع الحصيلة السنوية لمختلف إيرادات التسجيل الدولي، عدا الإيرادات الناجمة عن الرسوم المشار إليها في </w:t>
      </w:r>
      <w:hyperlink r:id="rId11" w:anchor="P122_23223" w:history="1">
        <w:r w:rsidR="00101A30" w:rsidRPr="00D80BAD">
          <w:rPr>
            <w:rStyle w:val="Hyperlink"/>
            <w:rtl/>
            <w:lang w:val="fr-CH"/>
          </w:rPr>
          <w:t>الفقرة (2)"2"</w:t>
        </w:r>
      </w:hyperlink>
      <w:r w:rsidR="00101A30" w:rsidRPr="00101A30">
        <w:rPr>
          <w:rtl/>
          <w:lang w:val="fr-CH"/>
        </w:rPr>
        <w:t xml:space="preserve"> و</w:t>
      </w:r>
      <w:hyperlink r:id="rId12" w:anchor="P123_23385" w:history="1">
        <w:r w:rsidR="00101A30" w:rsidRPr="00D80BAD">
          <w:rPr>
            <w:rStyle w:val="Hyperlink"/>
            <w:rtl/>
            <w:lang w:val="fr-CH"/>
          </w:rPr>
          <w:t>"3"</w:t>
        </w:r>
      </w:hyperlink>
      <w:r w:rsidR="00101A30" w:rsidRPr="00101A30">
        <w:rPr>
          <w:rtl/>
          <w:lang w:val="fr-CH"/>
        </w:rPr>
        <w:t>، بالتساوي بين الأطراف المتعاقدة، وذلك بعد خصم المصاريف والنفقات اللازمة لتنفيذ هذا البروتوكول.</w:t>
      </w:r>
      <w:r w:rsidR="00D80BAD">
        <w:rPr>
          <w:rFonts w:hint="cs"/>
          <w:rtl/>
          <w:lang w:val="fr-CH"/>
        </w:rPr>
        <w:t>"</w:t>
      </w:r>
    </w:p>
    <w:p w:rsidR="00D80BAD" w:rsidRDefault="00D80BAD" w:rsidP="00D80BAD">
      <w:pPr>
        <w:pStyle w:val="NormalParaAR"/>
        <w:ind w:left="1133" w:hanging="567"/>
        <w:rPr>
          <w:rtl/>
          <w:lang w:val="fr-CH"/>
        </w:rPr>
      </w:pPr>
      <w:r>
        <w:rPr>
          <w:rFonts w:hint="cs"/>
          <w:rtl/>
          <w:lang w:val="fr-CH"/>
        </w:rPr>
        <w:t>"3"</w:t>
      </w:r>
      <w:r>
        <w:rPr>
          <w:rFonts w:hint="cs"/>
          <w:rtl/>
          <w:lang w:val="fr-CH"/>
        </w:rPr>
        <w:tab/>
        <w:t xml:space="preserve"> وعليه، ففي حين أن فائض جميع الاتحادات الأخرى يحتفظ به تلقائيا كجزء من احتياطي المنظمة، يُدفع فائض اتخاد مدريد على الدول الأعضاء ما لم تقرر خلاف ذلك.</w:t>
      </w:r>
    </w:p>
    <w:p w:rsidR="00D80BAD" w:rsidRDefault="00D80BAD" w:rsidP="00D80BAD">
      <w:pPr>
        <w:pStyle w:val="NormalParaAR"/>
        <w:ind w:left="1133" w:hanging="567"/>
        <w:rPr>
          <w:rtl/>
          <w:lang w:val="fr-CH"/>
        </w:rPr>
      </w:pPr>
      <w:r>
        <w:rPr>
          <w:rFonts w:hint="cs"/>
          <w:rtl/>
          <w:lang w:val="fr-CH"/>
        </w:rPr>
        <w:t>"4"</w:t>
      </w:r>
      <w:r>
        <w:rPr>
          <w:rFonts w:hint="cs"/>
          <w:rtl/>
          <w:lang w:val="fr-CH"/>
        </w:rPr>
        <w:tab/>
        <w:t xml:space="preserve"> </w:t>
      </w:r>
      <w:r w:rsidRPr="00D80BAD">
        <w:rPr>
          <w:rtl/>
          <w:lang w:val="fr-CH"/>
        </w:rPr>
        <w:t>إذا تبين وجود عجز في أي اتحاد بعد إقفال الفترة المالية ولم يكن من الممكن تغطية ذلك العجز من الاحتياطيات، تولت الجمعية العامة للويبو أو جمعيات الاتحادات المعنية، حسب الحال، البت في التدابير الرامية إلى تصحيح الوضع المالي.</w:t>
      </w:r>
      <w:r>
        <w:rPr>
          <w:rFonts w:hint="cs"/>
          <w:rtl/>
          <w:lang w:val="fr-CH"/>
        </w:rPr>
        <w:t xml:space="preserve"> (المادة 8.4).</w:t>
      </w:r>
    </w:p>
    <w:p w:rsidR="000151EC" w:rsidRDefault="00D80BAD" w:rsidP="000151EC">
      <w:pPr>
        <w:pStyle w:val="NormalParaAR"/>
        <w:ind w:left="1133" w:hanging="567"/>
        <w:rPr>
          <w:rtl/>
          <w:lang w:val="fr-CH"/>
        </w:rPr>
      </w:pPr>
      <w:r>
        <w:rPr>
          <w:rFonts w:hint="cs"/>
          <w:rtl/>
          <w:lang w:val="fr-CH"/>
        </w:rPr>
        <w:t>"5"</w:t>
      </w:r>
      <w:r>
        <w:rPr>
          <w:rFonts w:hint="cs"/>
          <w:rtl/>
          <w:lang w:val="fr-CH"/>
        </w:rPr>
        <w:tab/>
      </w:r>
      <w:r w:rsidR="004C7E04" w:rsidRPr="004C7E04">
        <w:rPr>
          <w:rtl/>
          <w:lang w:val="fr-CH"/>
        </w:rPr>
        <w:t xml:space="preserve">تنشأ صناديق رؤوس الأموال العاملة للمنظمة ولاتحادات باريس وبرن ومدريد ولاهاي والتصنيف الدولي للبراءات ونيس ومعاهدة التعاون بشأن البراءات ولشبونة </w:t>
      </w:r>
      <w:proofErr w:type="spellStart"/>
      <w:r w:rsidR="004C7E04" w:rsidRPr="004C7E04">
        <w:rPr>
          <w:rtl/>
          <w:lang w:val="fr-CH"/>
        </w:rPr>
        <w:t>ولوكارنو</w:t>
      </w:r>
      <w:proofErr w:type="spellEnd"/>
      <w:r w:rsidR="004C7E04" w:rsidRPr="004C7E04">
        <w:rPr>
          <w:rtl/>
          <w:lang w:val="fr-CH"/>
        </w:rPr>
        <w:t xml:space="preserve"> وفيينا بالمبالغ التي تحددها جمعيات الدول الأعضاء وجمعيات الاتحادات، كل فيما يخصه.</w:t>
      </w:r>
      <w:r w:rsidR="004C7E04">
        <w:rPr>
          <w:rFonts w:hint="cs"/>
          <w:rtl/>
          <w:lang w:val="fr-CH"/>
        </w:rPr>
        <w:t xml:space="preserve"> (المادة 2.4).</w:t>
      </w:r>
    </w:p>
    <w:p w:rsidR="000151EC" w:rsidRPr="00A326F8" w:rsidRDefault="000151EC" w:rsidP="000151EC">
      <w:pPr>
        <w:pStyle w:val="NormalParaAR"/>
        <w:keepNext/>
        <w:rPr>
          <w:b/>
          <w:bCs/>
          <w:rtl/>
          <w:lang w:val="fr-CH"/>
        </w:rPr>
      </w:pPr>
      <w:r>
        <w:rPr>
          <w:rFonts w:hint="cs"/>
          <w:b/>
          <w:bCs/>
          <w:rtl/>
          <w:lang w:val="fr-CH"/>
        </w:rPr>
        <w:t>ثانيا</w:t>
      </w:r>
      <w:r w:rsidRPr="00A326F8">
        <w:rPr>
          <w:rFonts w:hint="cs"/>
          <w:b/>
          <w:bCs/>
          <w:rtl/>
          <w:lang w:val="fr-CH"/>
        </w:rPr>
        <w:t>.</w:t>
      </w:r>
      <w:r>
        <w:rPr>
          <w:rFonts w:hint="cs"/>
          <w:b/>
          <w:bCs/>
          <w:rtl/>
          <w:lang w:val="fr-CH"/>
        </w:rPr>
        <w:tab/>
        <w:t>سياسة الويبو المتعلقة بالأموال الاحتياطية</w:t>
      </w:r>
    </w:p>
    <w:p w:rsidR="00764139" w:rsidRPr="00E177AD" w:rsidRDefault="00764139" w:rsidP="00764139">
      <w:pPr>
        <w:pStyle w:val="NumberedParaAR"/>
        <w:numPr>
          <w:ilvl w:val="0"/>
          <w:numId w:val="23"/>
        </w:numPr>
      </w:pPr>
      <w:r w:rsidRPr="00E177AD">
        <w:rPr>
          <w:rtl/>
        </w:rPr>
        <w:t>بصرف النظر عن الفقرات السابقة التي تتضمن تعريفاً واضحاً</w:t>
      </w:r>
      <w:r>
        <w:rPr>
          <w:rFonts w:hint="cs"/>
          <w:rtl/>
        </w:rPr>
        <w:t xml:space="preserve"> لاحتياطي </w:t>
      </w:r>
      <w:r>
        <w:rPr>
          <w:rtl/>
        </w:rPr>
        <w:t xml:space="preserve">المنظمة، </w:t>
      </w:r>
      <w:r>
        <w:rPr>
          <w:rFonts w:hint="cs"/>
          <w:rtl/>
        </w:rPr>
        <w:t xml:space="preserve">تتبع </w:t>
      </w:r>
      <w:r>
        <w:rPr>
          <w:rtl/>
        </w:rPr>
        <w:t>الويبو</w:t>
      </w:r>
      <w:r>
        <w:rPr>
          <w:rFonts w:hint="cs"/>
          <w:rtl/>
        </w:rPr>
        <w:t xml:space="preserve"> </w:t>
      </w:r>
      <w:r>
        <w:rPr>
          <w:rtl/>
        </w:rPr>
        <w:t xml:space="preserve">سياسة </w:t>
      </w:r>
      <w:r>
        <w:rPr>
          <w:rFonts w:hint="cs"/>
          <w:rtl/>
        </w:rPr>
        <w:t>واضحة</w:t>
      </w:r>
      <w:r>
        <w:rPr>
          <w:rtl/>
        </w:rPr>
        <w:t xml:space="preserve"> </w:t>
      </w:r>
      <w:r>
        <w:rPr>
          <w:rFonts w:hint="cs"/>
          <w:rtl/>
        </w:rPr>
        <w:t>بشأن</w:t>
      </w:r>
      <w:r>
        <w:rPr>
          <w:rtl/>
        </w:rPr>
        <w:t xml:space="preserve"> الأموال الاحتياطية اعتمدته</w:t>
      </w:r>
      <w:r>
        <w:rPr>
          <w:rFonts w:hint="cs"/>
          <w:rtl/>
        </w:rPr>
        <w:t>ا</w:t>
      </w:r>
      <w:r>
        <w:rPr>
          <w:rtl/>
        </w:rPr>
        <w:t xml:space="preserve"> الدول الأعضاء في</w:t>
      </w:r>
      <w:r>
        <w:rPr>
          <w:rFonts w:hint="cs"/>
          <w:rtl/>
        </w:rPr>
        <w:t xml:space="preserve"> سنة</w:t>
      </w:r>
      <w:r>
        <w:rPr>
          <w:rtl/>
        </w:rPr>
        <w:t xml:space="preserve"> 2000 (يرجى الرجوع إلى الوثيق</w:t>
      </w:r>
      <w:r>
        <w:rPr>
          <w:rFonts w:hint="cs"/>
          <w:rtl/>
        </w:rPr>
        <w:t>تين</w:t>
      </w:r>
      <w:r>
        <w:rPr>
          <w:rtl/>
        </w:rPr>
        <w:t xml:space="preserve"> </w:t>
      </w:r>
      <w:r w:rsidRPr="00A2208F">
        <w:t>A/35/15</w:t>
      </w:r>
      <w:r w:rsidR="009311CA">
        <w:rPr>
          <w:rtl/>
        </w:rPr>
        <w:t xml:space="preserve"> </w:t>
      </w:r>
      <w:r>
        <w:rPr>
          <w:rtl/>
        </w:rPr>
        <w:t>و</w:t>
      </w:r>
      <w:r w:rsidRPr="00A2208F">
        <w:t>A/35/6</w:t>
      </w:r>
      <w:r>
        <w:rPr>
          <w:rtl/>
        </w:rPr>
        <w:t>)</w:t>
      </w:r>
      <w:r>
        <w:rPr>
          <w:rFonts w:hint="cs"/>
          <w:rtl/>
        </w:rPr>
        <w:t>، و</w:t>
      </w:r>
      <w:r>
        <w:rPr>
          <w:rtl/>
        </w:rPr>
        <w:t>تحدد</w:t>
      </w:r>
      <w:r>
        <w:rPr>
          <w:rFonts w:hint="cs"/>
          <w:rtl/>
        </w:rPr>
        <w:t xml:space="preserve"> تلك السياسة</w:t>
      </w:r>
      <w:r>
        <w:rPr>
          <w:rtl/>
        </w:rPr>
        <w:t xml:space="preserve"> مستوى احتياطي </w:t>
      </w:r>
      <w:r>
        <w:rPr>
          <w:rFonts w:hint="cs"/>
          <w:rtl/>
        </w:rPr>
        <w:t>ا</w:t>
      </w:r>
      <w:r>
        <w:rPr>
          <w:rtl/>
        </w:rPr>
        <w:t xml:space="preserve">لمنظمة </w:t>
      </w:r>
      <w:r>
        <w:rPr>
          <w:rFonts w:hint="cs"/>
          <w:rtl/>
        </w:rPr>
        <w:t xml:space="preserve">الضرورية إضافة إلى </w:t>
      </w:r>
      <w:r>
        <w:rPr>
          <w:rtl/>
        </w:rPr>
        <w:t xml:space="preserve">عدد من الاعتبارات السياسة الأساسية الأخرى. </w:t>
      </w:r>
      <w:r>
        <w:rPr>
          <w:rFonts w:hint="cs"/>
          <w:rtl/>
        </w:rPr>
        <w:t xml:space="preserve">ولئن </w:t>
      </w:r>
      <w:r>
        <w:rPr>
          <w:rtl/>
        </w:rPr>
        <w:t xml:space="preserve">ظلت هذه السياسة صالحة </w:t>
      </w:r>
      <w:r>
        <w:rPr>
          <w:rFonts w:hint="cs"/>
          <w:rtl/>
        </w:rPr>
        <w:t xml:space="preserve">وتشكل </w:t>
      </w:r>
      <w:r>
        <w:rPr>
          <w:rtl/>
        </w:rPr>
        <w:t xml:space="preserve">أساسا متينا </w:t>
      </w:r>
      <w:r>
        <w:rPr>
          <w:rFonts w:hint="cs"/>
          <w:rtl/>
        </w:rPr>
        <w:t xml:space="preserve">ومناسبا </w:t>
      </w:r>
      <w:r>
        <w:rPr>
          <w:rtl/>
        </w:rPr>
        <w:t xml:space="preserve">لإدارة مالية فعالة للمنظمة، </w:t>
      </w:r>
      <w:r>
        <w:rPr>
          <w:rFonts w:hint="cs"/>
          <w:rtl/>
        </w:rPr>
        <w:t xml:space="preserve">فقد </w:t>
      </w:r>
      <w:r w:rsidRPr="00AB0F91">
        <w:rPr>
          <w:rtl/>
        </w:rPr>
        <w:t xml:space="preserve">استعرضت </w:t>
      </w:r>
      <w:r>
        <w:rPr>
          <w:rFonts w:hint="cs"/>
          <w:rtl/>
        </w:rPr>
        <w:t>لجنة الميزانية</w:t>
      </w:r>
      <w:r w:rsidRPr="00AB0F91">
        <w:rPr>
          <w:rtl/>
        </w:rPr>
        <w:t xml:space="preserve"> في </w:t>
      </w:r>
      <w:r>
        <w:rPr>
          <w:rtl/>
        </w:rPr>
        <w:t>دور</w:t>
      </w:r>
      <w:r>
        <w:rPr>
          <w:rFonts w:hint="cs"/>
          <w:rtl/>
        </w:rPr>
        <w:t>تها</w:t>
      </w:r>
      <w:r w:rsidRPr="00AB0F91">
        <w:rPr>
          <w:rtl/>
        </w:rPr>
        <w:t xml:space="preserve"> الثانية والعشرين </w:t>
      </w:r>
      <w:r>
        <w:rPr>
          <w:rFonts w:hint="cs"/>
          <w:rtl/>
        </w:rPr>
        <w:t>المنعقدة في سبتمبر 2014</w:t>
      </w:r>
      <w:r w:rsidRPr="00AB0F91">
        <w:rPr>
          <w:rtl/>
        </w:rPr>
        <w:t xml:space="preserve"> </w:t>
      </w:r>
      <w:r>
        <w:rPr>
          <w:rFonts w:hint="cs"/>
          <w:rtl/>
        </w:rPr>
        <w:t>و</w:t>
      </w:r>
      <w:r w:rsidRPr="00AB0F91">
        <w:rPr>
          <w:rtl/>
        </w:rPr>
        <w:t>ضع الويبو المالي وسياساتها المتعلقة بالأموال الاحتياطية</w:t>
      </w:r>
      <w:r>
        <w:rPr>
          <w:rFonts w:hint="cs"/>
          <w:rtl/>
        </w:rPr>
        <w:t xml:space="preserve"> </w:t>
      </w:r>
      <w:r w:rsidRPr="00AB0F91">
        <w:rPr>
          <w:rtl/>
        </w:rPr>
        <w:t>والتمست من الأمانة تزويد</w:t>
      </w:r>
      <w:r>
        <w:rPr>
          <w:rFonts w:hint="cs"/>
          <w:rtl/>
        </w:rPr>
        <w:t xml:space="preserve">ها </w:t>
      </w:r>
      <w:r w:rsidRPr="00AB0F91">
        <w:rPr>
          <w:rtl/>
        </w:rPr>
        <w:t>باقتراح سياسة شاملة يتضمن تحديد المستوى المستهدف فيما يخص صافي الأصول، والاعتبارات الخاصة بالسيولة، وإدارة الفائض المتاح فوق المستوى المستهدف واستخدامه والإبلاغ عنه، مع مراعاة تعليقات وإرشادات الدول الأعضاء وتوصيات هيئات التدقيق والرقابة في هذا الصدد</w:t>
      </w:r>
      <w:r>
        <w:rPr>
          <w:rFonts w:hint="cs"/>
          <w:rtl/>
        </w:rPr>
        <w:t>. وفي إعداد هذه الوثيقة تم الاعتماد على مناقشات الدول الأعضاء أثناء الدورة الثانية والعشرين للجنة الميزانية استنادا إلى الوثيقة </w:t>
      </w:r>
      <w:r w:rsidRPr="00764139">
        <w:rPr>
          <w:bCs/>
          <w:lang w:val="en"/>
        </w:rPr>
        <w:t>WO/PBC/22/28</w:t>
      </w:r>
      <w:r w:rsidRPr="00764139">
        <w:rPr>
          <w:rFonts w:hint="cs"/>
          <w:bCs/>
          <w:rtl/>
          <w:lang w:val="en"/>
        </w:rPr>
        <w:t>.</w:t>
      </w:r>
    </w:p>
    <w:p w:rsidR="00764139" w:rsidRDefault="00764139" w:rsidP="00764139">
      <w:pPr>
        <w:pStyle w:val="NumberedParaAR"/>
        <w:numPr>
          <w:ilvl w:val="0"/>
          <w:numId w:val="23"/>
        </w:numPr>
        <w:rPr>
          <w:rtl/>
        </w:rPr>
      </w:pPr>
      <w:r>
        <w:rPr>
          <w:rtl/>
        </w:rPr>
        <w:t>وتتمثل العناصر الأساسية ل</w:t>
      </w:r>
      <w:r>
        <w:rPr>
          <w:rFonts w:hint="cs"/>
          <w:rtl/>
        </w:rPr>
        <w:t>ل</w:t>
      </w:r>
      <w:r>
        <w:rPr>
          <w:rtl/>
        </w:rPr>
        <w:t xml:space="preserve">سياسة </w:t>
      </w:r>
      <w:r>
        <w:rPr>
          <w:rFonts w:hint="cs"/>
          <w:rtl/>
        </w:rPr>
        <w:t xml:space="preserve">المراجعة المتعلقة بالأموال الاحتياطية، </w:t>
      </w:r>
      <w:r>
        <w:rPr>
          <w:rtl/>
        </w:rPr>
        <w:t xml:space="preserve">التي يرد </w:t>
      </w:r>
      <w:r>
        <w:rPr>
          <w:rFonts w:hint="cs"/>
          <w:rtl/>
        </w:rPr>
        <w:t>مزيد من ال</w:t>
      </w:r>
      <w:r>
        <w:rPr>
          <w:rtl/>
        </w:rPr>
        <w:t>تحليل</w:t>
      </w:r>
      <w:r>
        <w:rPr>
          <w:rFonts w:hint="cs"/>
          <w:rtl/>
        </w:rPr>
        <w:t xml:space="preserve"> لها</w:t>
      </w:r>
      <w:r>
        <w:rPr>
          <w:rtl/>
        </w:rPr>
        <w:t xml:space="preserve"> أدناه</w:t>
      </w:r>
      <w:r>
        <w:rPr>
          <w:rFonts w:hint="cs"/>
          <w:rtl/>
        </w:rPr>
        <w:t>،</w:t>
      </w:r>
      <w:r>
        <w:rPr>
          <w:rtl/>
        </w:rPr>
        <w:t xml:space="preserve"> في ما يلي:</w:t>
      </w:r>
    </w:p>
    <w:p w:rsidR="00764139" w:rsidRDefault="00764139" w:rsidP="00764139">
      <w:pPr>
        <w:pStyle w:val="NormalParaAR"/>
        <w:ind w:left="1133" w:hanging="567"/>
        <w:rPr>
          <w:rtl/>
        </w:rPr>
      </w:pPr>
      <w:r>
        <w:rPr>
          <w:rFonts w:hint="cs"/>
          <w:rtl/>
        </w:rPr>
        <w:t>"1"</w:t>
      </w:r>
      <w:r>
        <w:rPr>
          <w:rFonts w:hint="cs"/>
          <w:rtl/>
        </w:rPr>
        <w:tab/>
      </w:r>
      <w:r>
        <w:rPr>
          <w:rtl/>
        </w:rPr>
        <w:t>تقيم الويبو فصلا واضحاً بين الأموال الاحتياطية وصناديق رؤوس الأموال العاملة من حيث المحاسبة، مع الحفاظ على مستويات وترتيبات الملكية بالنسبة إلى صناديق رؤوس الأموال العاملة؛</w:t>
      </w:r>
    </w:p>
    <w:p w:rsidR="00764139" w:rsidRDefault="00764139" w:rsidP="00764139">
      <w:pPr>
        <w:pStyle w:val="NormalParaAR"/>
        <w:ind w:left="1133" w:hanging="567"/>
        <w:rPr>
          <w:rtl/>
        </w:rPr>
      </w:pPr>
      <w:r>
        <w:rPr>
          <w:rFonts w:hint="cs"/>
          <w:rtl/>
        </w:rPr>
        <w:t>"2"</w:t>
      </w:r>
      <w:r>
        <w:rPr>
          <w:rFonts w:hint="cs"/>
          <w:rtl/>
        </w:rPr>
        <w:tab/>
        <w:t>يحدد</w:t>
      </w:r>
      <w:r>
        <w:rPr>
          <w:rtl/>
        </w:rPr>
        <w:t xml:space="preserve"> مستوى الأموال الاحتياطية</w:t>
      </w:r>
      <w:r>
        <w:rPr>
          <w:rFonts w:hint="cs"/>
          <w:rtl/>
        </w:rPr>
        <w:t xml:space="preserve"> المنشود</w:t>
      </w:r>
      <w:r w:rsidRPr="00B81892">
        <w:rPr>
          <w:rtl/>
        </w:rPr>
        <w:t xml:space="preserve"> </w:t>
      </w:r>
      <w:r>
        <w:rPr>
          <w:rFonts w:hint="cs"/>
          <w:rtl/>
        </w:rPr>
        <w:t xml:space="preserve">على صعيد </w:t>
      </w:r>
      <w:r>
        <w:rPr>
          <w:rtl/>
        </w:rPr>
        <w:t xml:space="preserve">الاتحادات، بما في ذلك صناديق رؤوس الأموال العاملة، على أساس النسبة المئوية للنفقات المقدرة </w:t>
      </w:r>
      <w:r>
        <w:rPr>
          <w:rFonts w:hint="cs"/>
          <w:rtl/>
        </w:rPr>
        <w:t xml:space="preserve">للثنائية </w:t>
      </w:r>
      <w:r>
        <w:rPr>
          <w:rtl/>
        </w:rPr>
        <w:t>(مؤشر النفقات المقدرة) لكل اتحاد، و</w:t>
      </w:r>
      <w:r>
        <w:rPr>
          <w:rFonts w:hint="cs"/>
          <w:rtl/>
        </w:rPr>
        <w:t>ي</w:t>
      </w:r>
      <w:r>
        <w:rPr>
          <w:rtl/>
        </w:rPr>
        <w:t xml:space="preserve">قدم في سياق عملية وضع ميزانية </w:t>
      </w:r>
      <w:r>
        <w:rPr>
          <w:rFonts w:hint="cs"/>
          <w:rtl/>
        </w:rPr>
        <w:t>ا</w:t>
      </w:r>
      <w:r>
        <w:rPr>
          <w:rtl/>
        </w:rPr>
        <w:t>لمنظمة؛</w:t>
      </w:r>
    </w:p>
    <w:p w:rsidR="00764139" w:rsidRDefault="00764139" w:rsidP="00764139">
      <w:pPr>
        <w:pStyle w:val="NormalParaAR"/>
        <w:ind w:left="1133" w:hanging="567"/>
        <w:rPr>
          <w:rtl/>
        </w:rPr>
      </w:pPr>
      <w:r w:rsidRPr="00764139">
        <w:rPr>
          <w:rFonts w:hint="cs"/>
          <w:rtl/>
        </w:rPr>
        <w:t>"3"</w:t>
      </w:r>
      <w:r w:rsidRPr="00764139">
        <w:rPr>
          <w:rFonts w:hint="cs"/>
          <w:rtl/>
        </w:rPr>
        <w:tab/>
        <w:t>سيُحتفظ</w:t>
      </w:r>
      <w:r w:rsidRPr="00764139">
        <w:rPr>
          <w:rtl/>
        </w:rPr>
        <w:t xml:space="preserve"> </w:t>
      </w:r>
      <w:r w:rsidRPr="00764139">
        <w:rPr>
          <w:rFonts w:hint="cs"/>
          <w:rtl/>
        </w:rPr>
        <w:t>ب</w:t>
      </w:r>
      <w:r w:rsidRPr="00764139">
        <w:rPr>
          <w:rtl/>
        </w:rPr>
        <w:t xml:space="preserve">المستوى المستهدف من الأموال الاحتياطية، بما في ذلك </w:t>
      </w:r>
      <w:r w:rsidRPr="00764139">
        <w:rPr>
          <w:rFonts w:hint="cs"/>
          <w:rtl/>
        </w:rPr>
        <w:t xml:space="preserve">رؤوس الأموال </w:t>
      </w:r>
      <w:r w:rsidRPr="00764139">
        <w:rPr>
          <w:rtl/>
        </w:rPr>
        <w:t>العامل</w:t>
      </w:r>
      <w:r w:rsidRPr="00764139">
        <w:rPr>
          <w:rFonts w:hint="cs"/>
          <w:rtl/>
        </w:rPr>
        <w:t xml:space="preserve">ة، </w:t>
      </w:r>
      <w:r w:rsidRPr="00764139">
        <w:rPr>
          <w:rtl/>
        </w:rPr>
        <w:t xml:space="preserve">إلى أقصى حد ممكن نقدا أو في استثمارات يمكن تسييلها </w:t>
      </w:r>
      <w:r w:rsidRPr="00764139">
        <w:rPr>
          <w:rFonts w:hint="cs"/>
          <w:rtl/>
        </w:rPr>
        <w:t>على</w:t>
      </w:r>
      <w:r w:rsidRPr="00764139">
        <w:rPr>
          <w:rtl/>
        </w:rPr>
        <w:t xml:space="preserve"> المدى القصير، بتكلفة منخفضة أو م</w:t>
      </w:r>
      <w:r w:rsidRPr="00764139">
        <w:rPr>
          <w:rFonts w:hint="cs"/>
          <w:rtl/>
        </w:rPr>
        <w:t>ن</w:t>
      </w:r>
      <w:r w:rsidRPr="00764139">
        <w:rPr>
          <w:rtl/>
        </w:rPr>
        <w:t>عدمة، و</w:t>
      </w:r>
      <w:r w:rsidRPr="00764139">
        <w:rPr>
          <w:rFonts w:hint="cs"/>
          <w:rtl/>
        </w:rPr>
        <w:t>تكون</w:t>
      </w:r>
      <w:r w:rsidRPr="00764139">
        <w:rPr>
          <w:rtl/>
        </w:rPr>
        <w:t xml:space="preserve"> </w:t>
      </w:r>
      <w:r w:rsidRPr="00764139">
        <w:rPr>
          <w:rFonts w:hint="cs"/>
          <w:rtl/>
        </w:rPr>
        <w:t xml:space="preserve">متماشية مع </w:t>
      </w:r>
      <w:r w:rsidRPr="00764139">
        <w:rPr>
          <w:rtl/>
        </w:rPr>
        <w:t xml:space="preserve">سياسة الاستثمار </w:t>
      </w:r>
      <w:r w:rsidRPr="00764139">
        <w:rPr>
          <w:rFonts w:hint="cs"/>
          <w:rtl/>
        </w:rPr>
        <w:t>السارية</w:t>
      </w:r>
      <w:r w:rsidRPr="00764139">
        <w:rPr>
          <w:rtl/>
        </w:rPr>
        <w:t>؛</w:t>
      </w:r>
    </w:p>
    <w:p w:rsidR="00764139" w:rsidRDefault="00764139" w:rsidP="00764139">
      <w:pPr>
        <w:pStyle w:val="NormalParaAR"/>
        <w:ind w:left="1133" w:hanging="567"/>
        <w:rPr>
          <w:rtl/>
        </w:rPr>
      </w:pPr>
      <w:r>
        <w:rPr>
          <w:rFonts w:hint="cs"/>
          <w:rtl/>
        </w:rPr>
        <w:t>"4"</w:t>
      </w:r>
      <w:r>
        <w:rPr>
          <w:rFonts w:hint="cs"/>
          <w:rtl/>
        </w:rPr>
        <w:tab/>
      </w:r>
      <w:r>
        <w:rPr>
          <w:rtl/>
        </w:rPr>
        <w:t>يحق</w:t>
      </w:r>
      <w:r>
        <w:rPr>
          <w:rFonts w:hint="cs"/>
          <w:rtl/>
        </w:rPr>
        <w:t xml:space="preserve"> للدول الأعضاء وال</w:t>
      </w:r>
      <w:r>
        <w:rPr>
          <w:rtl/>
        </w:rPr>
        <w:t>مدير العام اقتراح مشاريع تمول من الفوائض المتاحة بغرض الموافقة</w:t>
      </w:r>
      <w:r>
        <w:rPr>
          <w:rFonts w:hint="cs"/>
          <w:rtl/>
        </w:rPr>
        <w:t>.</w:t>
      </w:r>
      <w:r w:rsidRPr="00D45303">
        <w:rPr>
          <w:rtl/>
        </w:rPr>
        <w:t xml:space="preserve"> </w:t>
      </w:r>
      <w:r>
        <w:rPr>
          <w:rFonts w:hint="cs"/>
          <w:rtl/>
        </w:rPr>
        <w:t>ولن ت</w:t>
      </w:r>
      <w:r>
        <w:rPr>
          <w:rtl/>
        </w:rPr>
        <w:t>حس</w:t>
      </w:r>
      <w:r>
        <w:rPr>
          <w:rFonts w:hint="cs"/>
          <w:rtl/>
        </w:rPr>
        <w:t>ب</w:t>
      </w:r>
      <w:r>
        <w:rPr>
          <w:rtl/>
        </w:rPr>
        <w:t xml:space="preserve"> </w:t>
      </w:r>
      <w:r>
        <w:rPr>
          <w:rFonts w:hint="cs"/>
          <w:rtl/>
        </w:rPr>
        <w:t xml:space="preserve">في </w:t>
      </w:r>
      <w:r>
        <w:rPr>
          <w:rtl/>
        </w:rPr>
        <w:t>الفوائض المتاحة مبالغ فائض إعادة تقييم الاحتياطي (ال</w:t>
      </w:r>
      <w:r>
        <w:rPr>
          <w:rFonts w:hint="cs"/>
          <w:rtl/>
        </w:rPr>
        <w:t>ذ</w:t>
      </w:r>
      <w:r>
        <w:rPr>
          <w:rtl/>
        </w:rPr>
        <w:t xml:space="preserve">ي ينتج عن إعادة تقييم الأرض التي </w:t>
      </w:r>
      <w:r>
        <w:rPr>
          <w:rFonts w:hint="cs"/>
          <w:rtl/>
        </w:rPr>
        <w:t>شيّد عليها</w:t>
      </w:r>
      <w:r>
        <w:rPr>
          <w:rtl/>
        </w:rPr>
        <w:t xml:space="preserve"> المبنى الجديد) ور</w:t>
      </w:r>
      <w:r>
        <w:rPr>
          <w:rFonts w:hint="cs"/>
          <w:rtl/>
        </w:rPr>
        <w:t>ؤو</w:t>
      </w:r>
      <w:r>
        <w:rPr>
          <w:rtl/>
        </w:rPr>
        <w:t>س ال</w:t>
      </w:r>
      <w:r>
        <w:rPr>
          <w:rFonts w:hint="cs"/>
          <w:rtl/>
        </w:rPr>
        <w:t xml:space="preserve">أموال العاملة </w:t>
      </w:r>
      <w:r>
        <w:rPr>
          <w:rtl/>
        </w:rPr>
        <w:t xml:space="preserve">(التي أنشئت </w:t>
      </w:r>
      <w:r>
        <w:rPr>
          <w:rFonts w:hint="cs"/>
          <w:rtl/>
        </w:rPr>
        <w:t>باستخدام</w:t>
      </w:r>
      <w:r>
        <w:rPr>
          <w:rtl/>
        </w:rPr>
        <w:t xml:space="preserve"> </w:t>
      </w:r>
      <w:r>
        <w:rPr>
          <w:rFonts w:hint="cs"/>
          <w:rtl/>
        </w:rPr>
        <w:t>اشتراكات</w:t>
      </w:r>
      <w:r>
        <w:rPr>
          <w:rtl/>
        </w:rPr>
        <w:t xml:space="preserve"> الدول الأعضاء </w:t>
      </w:r>
      <w:r>
        <w:rPr>
          <w:rFonts w:hint="cs"/>
          <w:rtl/>
        </w:rPr>
        <w:t>ب</w:t>
      </w:r>
      <w:r>
        <w:rPr>
          <w:rtl/>
        </w:rPr>
        <w:t>قرار</w:t>
      </w:r>
      <w:r>
        <w:rPr>
          <w:rFonts w:hint="cs"/>
          <w:rtl/>
        </w:rPr>
        <w:t xml:space="preserve">ات من </w:t>
      </w:r>
      <w:r>
        <w:rPr>
          <w:rtl/>
        </w:rPr>
        <w:t xml:space="preserve">جمعيات الاتحادات وهي أموال </w:t>
      </w:r>
      <w:r>
        <w:rPr>
          <w:rFonts w:hint="cs"/>
          <w:rtl/>
        </w:rPr>
        <w:t>في عهدة</w:t>
      </w:r>
      <w:r>
        <w:rPr>
          <w:rtl/>
        </w:rPr>
        <w:t xml:space="preserve"> الويبو).</w:t>
      </w:r>
    </w:p>
    <w:p w:rsidR="00764139" w:rsidRDefault="00764139" w:rsidP="00764139">
      <w:pPr>
        <w:pStyle w:val="NumberedParaAR"/>
        <w:numPr>
          <w:ilvl w:val="0"/>
          <w:numId w:val="23"/>
        </w:numPr>
        <w:rPr>
          <w:rtl/>
        </w:rPr>
      </w:pPr>
      <w:r>
        <w:rPr>
          <w:rtl/>
        </w:rPr>
        <w:t>يتناول القسم التالي بالتفصيل جميع العناصر الرئيسية ل</w:t>
      </w:r>
      <w:r>
        <w:rPr>
          <w:rFonts w:hint="cs"/>
          <w:rtl/>
        </w:rPr>
        <w:t>ل</w:t>
      </w:r>
      <w:r>
        <w:rPr>
          <w:rtl/>
        </w:rPr>
        <w:t xml:space="preserve">سياسة </w:t>
      </w:r>
      <w:r>
        <w:rPr>
          <w:rFonts w:hint="cs"/>
          <w:rtl/>
        </w:rPr>
        <w:t>المراجعة المتعلقة بالأموال الاحتياطية</w:t>
      </w:r>
      <w:r>
        <w:rPr>
          <w:rtl/>
        </w:rPr>
        <w:t>.</w:t>
      </w:r>
    </w:p>
    <w:p w:rsidR="00764139" w:rsidRPr="00764139" w:rsidRDefault="00764139" w:rsidP="00764139">
      <w:pPr>
        <w:pStyle w:val="NormalParaAR"/>
        <w:keepNext/>
        <w:rPr>
          <w:b/>
          <w:bCs/>
          <w:rtl/>
          <w:lang w:val="fr-CH"/>
        </w:rPr>
      </w:pPr>
      <w:r w:rsidRPr="00764139">
        <w:rPr>
          <w:b/>
          <w:bCs/>
          <w:rtl/>
          <w:lang w:val="fr-CH"/>
        </w:rPr>
        <w:t>ثانيا</w:t>
      </w:r>
      <w:r w:rsidRPr="00764139">
        <w:rPr>
          <w:rFonts w:hint="cs"/>
          <w:b/>
          <w:bCs/>
          <w:rtl/>
          <w:lang w:val="fr-CH"/>
        </w:rPr>
        <w:t>. (</w:t>
      </w:r>
      <w:r w:rsidRPr="00764139">
        <w:rPr>
          <w:b/>
          <w:bCs/>
          <w:rtl/>
          <w:lang w:val="fr-CH"/>
        </w:rPr>
        <w:t>ألف)</w:t>
      </w:r>
      <w:r w:rsidRPr="00764139">
        <w:rPr>
          <w:rFonts w:hint="cs"/>
          <w:b/>
          <w:bCs/>
          <w:rtl/>
          <w:lang w:val="fr-CH"/>
        </w:rPr>
        <w:tab/>
      </w:r>
      <w:r w:rsidRPr="00764139">
        <w:rPr>
          <w:b/>
          <w:bCs/>
          <w:rtl/>
          <w:lang w:val="fr-CH"/>
        </w:rPr>
        <w:t>الفصل بين صناديق رؤوس الأموال العاملة</w:t>
      </w:r>
    </w:p>
    <w:p w:rsidR="00764139" w:rsidRDefault="00764139" w:rsidP="00715CA3">
      <w:pPr>
        <w:pStyle w:val="NumberedParaAR"/>
        <w:numPr>
          <w:ilvl w:val="0"/>
          <w:numId w:val="23"/>
        </w:numPr>
        <w:rPr>
          <w:rtl/>
        </w:rPr>
      </w:pPr>
      <w:r>
        <w:rPr>
          <w:rtl/>
        </w:rPr>
        <w:t>كما وردت الإشارة إلى ذلك أعلاه، فقد أ</w:t>
      </w:r>
      <w:r>
        <w:rPr>
          <w:rFonts w:hint="cs"/>
          <w:rtl/>
        </w:rPr>
        <w:t>ُ</w:t>
      </w:r>
      <w:r>
        <w:rPr>
          <w:rtl/>
        </w:rPr>
        <w:t xml:space="preserve">دخلت فكرة </w:t>
      </w:r>
      <w:r>
        <w:rPr>
          <w:rFonts w:hint="cs"/>
          <w:rtl/>
        </w:rPr>
        <w:t>الاحتياطي</w:t>
      </w:r>
      <w:r>
        <w:rPr>
          <w:rtl/>
        </w:rPr>
        <w:t xml:space="preserve"> مع الإبقاء على الفصل بين الأموال الاحتياطية وصناديق رؤوس الأموال العاملة</w:t>
      </w:r>
      <w:r>
        <w:rPr>
          <w:rFonts w:hint="cs"/>
          <w:rtl/>
        </w:rPr>
        <w:t xml:space="preserve"> من حيث المحاسبة والإبلاغ</w:t>
      </w:r>
      <w:r>
        <w:rPr>
          <w:rtl/>
        </w:rPr>
        <w:t>. وبناءً على ذلك، تبقى الترتيبات اللازمة لرؤوس الأموال العاملة على حالها، أي أن الاشتراكات التي تمول بموجبها هذه الصناديق تبقى في عهدة الويبو بالنسبة إلى الدول الأعضاء في الاتحادات المعنية. وح</w:t>
      </w:r>
      <w:r>
        <w:rPr>
          <w:rFonts w:hint="cs"/>
          <w:rtl/>
        </w:rPr>
        <w:t>ُ</w:t>
      </w:r>
      <w:r>
        <w:rPr>
          <w:rtl/>
        </w:rPr>
        <w:t xml:space="preserve">دد مستوى صناديق رؤوس الأموال العاملة بموجب الاتفاق الذي يحكم كل الاتحادات المعنية. </w:t>
      </w:r>
      <w:r>
        <w:rPr>
          <w:rFonts w:hint="cs"/>
          <w:rtl/>
        </w:rPr>
        <w:t>و</w:t>
      </w:r>
      <w:r>
        <w:rPr>
          <w:rtl/>
        </w:rPr>
        <w:t>ظل</w:t>
      </w:r>
      <w:r>
        <w:rPr>
          <w:rFonts w:hint="cs"/>
          <w:rtl/>
        </w:rPr>
        <w:t xml:space="preserve"> مبلغ صناديق رؤوس الأموال العاملة </w:t>
      </w:r>
      <w:r>
        <w:rPr>
          <w:rtl/>
        </w:rPr>
        <w:t>ثابت</w:t>
      </w:r>
      <w:r>
        <w:rPr>
          <w:rFonts w:hint="cs"/>
          <w:rtl/>
        </w:rPr>
        <w:t>ا</w:t>
      </w:r>
      <w:r>
        <w:rPr>
          <w:rtl/>
        </w:rPr>
        <w:t xml:space="preserve"> منذ 1990</w:t>
      </w:r>
      <w:r>
        <w:rPr>
          <w:rFonts w:hint="cs"/>
          <w:rtl/>
        </w:rPr>
        <w:t xml:space="preserve">. </w:t>
      </w:r>
      <w:r>
        <w:rPr>
          <w:rtl/>
        </w:rPr>
        <w:t>ويجرى تبعاً لذلك ضبط مستوى</w:t>
      </w:r>
      <w:r w:rsidR="00715CA3">
        <w:rPr>
          <w:rFonts w:hint="cs"/>
          <w:rtl/>
        </w:rPr>
        <w:t xml:space="preserve"> هذه</w:t>
      </w:r>
      <w:r>
        <w:rPr>
          <w:rtl/>
        </w:rPr>
        <w:t xml:space="preserve"> </w:t>
      </w:r>
      <w:r w:rsidR="00715CA3">
        <w:rPr>
          <w:rFonts w:hint="cs"/>
          <w:rtl/>
        </w:rPr>
        <w:t>ال</w:t>
      </w:r>
      <w:r>
        <w:rPr>
          <w:rtl/>
        </w:rPr>
        <w:t xml:space="preserve">صناديق من خلال تعديل مستوى الأموال الاحتياطية فقط دون إدخال أي تعديل على مستوى صناديق رؤوس الأموال العاملة. </w:t>
      </w:r>
      <w:r>
        <w:rPr>
          <w:rFonts w:hint="cs"/>
          <w:rtl/>
        </w:rPr>
        <w:t xml:space="preserve">وعند </w:t>
      </w:r>
      <w:r>
        <w:rPr>
          <w:rtl/>
        </w:rPr>
        <w:t>موافق</w:t>
      </w:r>
      <w:r>
        <w:rPr>
          <w:rFonts w:hint="cs"/>
          <w:rtl/>
        </w:rPr>
        <w:t xml:space="preserve">ة الدول الأعضاء </w:t>
      </w:r>
      <w:r>
        <w:rPr>
          <w:rtl/>
        </w:rPr>
        <w:t xml:space="preserve">على السياسة </w:t>
      </w:r>
      <w:r>
        <w:rPr>
          <w:rFonts w:hint="cs"/>
          <w:rtl/>
        </w:rPr>
        <w:t xml:space="preserve">المتعلقة بالأموال الاحتياطية في 2000، </w:t>
      </w:r>
      <w:r>
        <w:rPr>
          <w:rtl/>
        </w:rPr>
        <w:t>قررت أيضا</w:t>
      </w:r>
      <w:r>
        <w:rPr>
          <w:rFonts w:hint="cs"/>
          <w:rtl/>
        </w:rPr>
        <w:t xml:space="preserve"> </w:t>
      </w:r>
      <w:r>
        <w:rPr>
          <w:rtl/>
        </w:rPr>
        <w:t xml:space="preserve">توحيد صناديق رؤوس الأموال العاملة بالنسبة إلى الاتحادات الممولة </w:t>
      </w:r>
      <w:r>
        <w:rPr>
          <w:rFonts w:hint="cs"/>
          <w:rtl/>
        </w:rPr>
        <w:t>من</w:t>
      </w:r>
      <w:r>
        <w:rPr>
          <w:rtl/>
        </w:rPr>
        <w:t xml:space="preserve"> الاشتراكات</w:t>
      </w:r>
      <w:r>
        <w:rPr>
          <w:rFonts w:hint="cs"/>
          <w:rtl/>
        </w:rPr>
        <w:t xml:space="preserve">. </w:t>
      </w:r>
      <w:r w:rsidR="00715CA3">
        <w:rPr>
          <w:rFonts w:hint="cs"/>
          <w:rtl/>
        </w:rPr>
        <w:t>و</w:t>
      </w:r>
      <w:r>
        <w:rPr>
          <w:rFonts w:hint="cs"/>
          <w:rtl/>
        </w:rPr>
        <w:t xml:space="preserve">ذلك </w:t>
      </w:r>
      <w:r w:rsidR="00715CA3">
        <w:rPr>
          <w:rFonts w:hint="cs"/>
          <w:rtl/>
        </w:rPr>
        <w:t xml:space="preserve">مبيّن </w:t>
      </w:r>
      <w:r>
        <w:rPr>
          <w:rFonts w:hint="cs"/>
          <w:rtl/>
        </w:rPr>
        <w:t>في البيانات المالية و</w:t>
      </w:r>
      <w:r>
        <w:rPr>
          <w:rtl/>
        </w:rPr>
        <w:t>تقرير الإدارة المالية.</w:t>
      </w:r>
    </w:p>
    <w:p w:rsidR="00764139" w:rsidRPr="00715CA3" w:rsidRDefault="00764139" w:rsidP="00715CA3">
      <w:pPr>
        <w:pStyle w:val="NormalParaAR"/>
        <w:keepNext/>
        <w:rPr>
          <w:b/>
          <w:bCs/>
          <w:rtl/>
          <w:lang w:val="fr-CH"/>
        </w:rPr>
      </w:pPr>
      <w:r w:rsidRPr="00715CA3">
        <w:rPr>
          <w:b/>
          <w:bCs/>
          <w:rtl/>
          <w:lang w:val="fr-CH"/>
        </w:rPr>
        <w:t>ثانيا</w:t>
      </w:r>
      <w:r w:rsidR="00715CA3">
        <w:rPr>
          <w:rFonts w:hint="cs"/>
          <w:b/>
          <w:bCs/>
          <w:rtl/>
          <w:lang w:val="fr-CH"/>
        </w:rPr>
        <w:t xml:space="preserve"> (</w:t>
      </w:r>
      <w:r w:rsidRPr="00715CA3">
        <w:rPr>
          <w:b/>
          <w:bCs/>
          <w:rtl/>
          <w:lang w:val="fr-CH"/>
        </w:rPr>
        <w:t>باء)</w:t>
      </w:r>
      <w:r w:rsidR="00715CA3">
        <w:rPr>
          <w:rFonts w:hint="cs"/>
          <w:b/>
          <w:bCs/>
          <w:rtl/>
          <w:lang w:val="fr-CH"/>
        </w:rPr>
        <w:tab/>
      </w:r>
      <w:r w:rsidRPr="00715CA3">
        <w:rPr>
          <w:b/>
          <w:bCs/>
          <w:rtl/>
          <w:lang w:val="fr-CH"/>
        </w:rPr>
        <w:t>تحديد المستوى الضروري (المستوى المستهدف) من</w:t>
      </w:r>
      <w:r w:rsidR="009311CA">
        <w:rPr>
          <w:b/>
          <w:bCs/>
          <w:rtl/>
          <w:lang w:val="fr-CH"/>
        </w:rPr>
        <w:t xml:space="preserve"> </w:t>
      </w:r>
      <w:r w:rsidR="00715CA3">
        <w:rPr>
          <w:b/>
          <w:bCs/>
          <w:rtl/>
          <w:lang w:val="fr-CH"/>
        </w:rPr>
        <w:t>الأموال الاحتياطية</w:t>
      </w:r>
    </w:p>
    <w:p w:rsidR="00715CA3" w:rsidRDefault="00715CA3" w:rsidP="00715CA3">
      <w:pPr>
        <w:pStyle w:val="NumberedParaAR"/>
        <w:numPr>
          <w:ilvl w:val="0"/>
          <w:numId w:val="23"/>
        </w:numPr>
        <w:rPr>
          <w:rtl/>
        </w:rPr>
      </w:pPr>
      <w:r>
        <w:rPr>
          <w:rFonts w:hint="cs"/>
          <w:rtl/>
        </w:rPr>
        <w:t>ي</w:t>
      </w:r>
      <w:r w:rsidR="00764139">
        <w:rPr>
          <w:rtl/>
        </w:rPr>
        <w:t xml:space="preserve">ستخدم </w:t>
      </w:r>
      <w:r>
        <w:rPr>
          <w:rFonts w:hint="cs"/>
          <w:rtl/>
        </w:rPr>
        <w:t>الاحتياطي</w:t>
      </w:r>
      <w:r w:rsidR="00764139">
        <w:rPr>
          <w:rtl/>
        </w:rPr>
        <w:t xml:space="preserve"> للتقليل من مخاطر العجز أو المشاكل المرتبطة بالسيولة التي تؤثر تأثيرا سلبيا على تنفيذ البرامج، وتحقيق أقصى ما يمكن من الفرص بالنسبة إلى المنظمة للوفاء بالتزاماتها وتوفير استقرار مالي.</w:t>
      </w:r>
      <w:r w:rsidR="00BD322D">
        <w:rPr>
          <w:rFonts w:hint="cs"/>
          <w:rtl/>
        </w:rPr>
        <w:t xml:space="preserve"> </w:t>
      </w:r>
      <w:r>
        <w:rPr>
          <w:rFonts w:hint="cs"/>
          <w:rtl/>
        </w:rPr>
        <w:t>و</w:t>
      </w:r>
      <w:r w:rsidR="00764139">
        <w:rPr>
          <w:rtl/>
        </w:rPr>
        <w:t>يمكن التدقيق بإمعان</w:t>
      </w:r>
      <w:r>
        <w:rPr>
          <w:rFonts w:hint="cs"/>
          <w:rtl/>
        </w:rPr>
        <w:t xml:space="preserve"> </w:t>
      </w:r>
      <w:r w:rsidR="00764139">
        <w:rPr>
          <w:rtl/>
        </w:rPr>
        <w:t>في قضية المخاطر المالية من خلال التمييز بين المخاطر المرتبطة بالإيرادات والمخاطر المرتبطة بالمصروفات. وتشمل المخاطر المرتبطة بالإيرادات عدم دفع الاشتراكات، والإيرادات المتأتية من رسوم يقل ارتفاعها عما كان متوقعا وتقلبات أسعار الصرف. وتشمل المخاطر المتعلقة بالمصروفات إفلاس البائع قب</w:t>
      </w:r>
      <w:r>
        <w:rPr>
          <w:rtl/>
        </w:rPr>
        <w:t>ل إتمام التسليم، مثلا.</w:t>
      </w:r>
    </w:p>
    <w:p w:rsidR="00764139" w:rsidRDefault="00715CA3" w:rsidP="00BF4F1A">
      <w:pPr>
        <w:pStyle w:val="NumberedParaAR"/>
        <w:numPr>
          <w:ilvl w:val="0"/>
          <w:numId w:val="23"/>
        </w:numPr>
        <w:rPr>
          <w:rtl/>
        </w:rPr>
      </w:pPr>
      <w:r>
        <w:rPr>
          <w:rFonts w:hint="cs"/>
          <w:rtl/>
        </w:rPr>
        <w:t xml:space="preserve">والويبو منظمة تعتمد بالأساس في تمويلها على الرسوم حيث يتأتى 95 بالمائة من إيراداتها من رسوم الخدمات التي تقدمها. وبالتالي فإن </w:t>
      </w:r>
      <w:r w:rsidR="00764139">
        <w:rPr>
          <w:rtl/>
        </w:rPr>
        <w:t xml:space="preserve">أهم خطر قد تواجهه الويبو هو ذلك الذي يتصل بالإيرادات. ويتمثل هذا الخطر أساسا في أن تكون الإيرادات التي من المتوقع الحصول عليها </w:t>
      </w:r>
      <w:r>
        <w:rPr>
          <w:rFonts w:hint="cs"/>
          <w:rtl/>
        </w:rPr>
        <w:t>للثنائية</w:t>
      </w:r>
      <w:r w:rsidR="00764139">
        <w:rPr>
          <w:rtl/>
        </w:rPr>
        <w:t xml:space="preserve"> المعنية والتي تلزم لتمويل النفقات المقترحة لهذه الفترة أقل من التقديرات. ولذلك، تشكل النفقات المقترحة </w:t>
      </w:r>
      <w:r w:rsidR="00BF4F1A">
        <w:rPr>
          <w:rFonts w:hint="cs"/>
          <w:rtl/>
        </w:rPr>
        <w:t>للثنائية</w:t>
      </w:r>
      <w:r w:rsidR="00764139">
        <w:rPr>
          <w:rtl/>
        </w:rPr>
        <w:t xml:space="preserve"> مؤشرا مباشرا جيدا لتقييم المخاطر. وبالتالي، </w:t>
      </w:r>
      <w:r w:rsidR="00BF4F1A">
        <w:rPr>
          <w:rFonts w:hint="cs"/>
          <w:rtl/>
        </w:rPr>
        <w:t xml:space="preserve">تجسد سياسة الويبو المتعلقة بالأموال الاحتياطية </w:t>
      </w:r>
      <w:r w:rsidR="00764139">
        <w:rPr>
          <w:rtl/>
        </w:rPr>
        <w:t xml:space="preserve">الحماية التي يوفرها المبلغ الإجمالي </w:t>
      </w:r>
      <w:r w:rsidR="00BF4F1A">
        <w:rPr>
          <w:rFonts w:hint="cs"/>
          <w:rtl/>
        </w:rPr>
        <w:t>للاحتياطي</w:t>
      </w:r>
      <w:r w:rsidR="00764139">
        <w:rPr>
          <w:rtl/>
        </w:rPr>
        <w:t xml:space="preserve"> في شكل نسبة مئوية للنفقات المقدرة </w:t>
      </w:r>
      <w:r w:rsidR="00BF4F1A">
        <w:rPr>
          <w:rFonts w:hint="cs"/>
          <w:rtl/>
        </w:rPr>
        <w:t>ل</w:t>
      </w:r>
      <w:r w:rsidR="00BF4F1A">
        <w:rPr>
          <w:rtl/>
        </w:rPr>
        <w:t>لثنائية</w:t>
      </w:r>
      <w:r w:rsidR="00764139">
        <w:rPr>
          <w:rtl/>
        </w:rPr>
        <w:t xml:space="preserve"> (مؤشر النفقات المقدرة): وبقدر ما يكون المؤشر مرتفعا بقدر ما تكون الحماية مرتفعة. ويوفر هذا المؤشر دليلا على المدة التي يمكن أن تستغرقها هذه العملية من خلال استخدام </w:t>
      </w:r>
      <w:r w:rsidR="00BF4F1A">
        <w:rPr>
          <w:rFonts w:hint="cs"/>
          <w:rtl/>
        </w:rPr>
        <w:t>الأموال</w:t>
      </w:r>
      <w:r w:rsidR="009311CA">
        <w:rPr>
          <w:rFonts w:hint="cs"/>
          <w:rtl/>
        </w:rPr>
        <w:t xml:space="preserve"> </w:t>
      </w:r>
      <w:r w:rsidR="00BF4F1A">
        <w:rPr>
          <w:rFonts w:hint="cs"/>
          <w:rtl/>
        </w:rPr>
        <w:t>الاحتياطية</w:t>
      </w:r>
      <w:r w:rsidR="00764139">
        <w:rPr>
          <w:rtl/>
        </w:rPr>
        <w:t>. وعلى سبيل المثال، يشير المؤشر الذي تبلغ نسبته 50 في المائة إلى تمويل ممكن لمدة 12 شهرا، ويشير المؤشر الذي تبلغ نسبته 25 في المائة إلى تمويل ممكن لمدة ستة أشهر.</w:t>
      </w:r>
    </w:p>
    <w:p w:rsidR="00764139" w:rsidRDefault="00764139" w:rsidP="005B1D55">
      <w:pPr>
        <w:pStyle w:val="NumberedParaAR"/>
        <w:numPr>
          <w:ilvl w:val="0"/>
          <w:numId w:val="23"/>
        </w:numPr>
        <w:rPr>
          <w:rtl/>
        </w:rPr>
      </w:pPr>
      <w:r>
        <w:rPr>
          <w:rtl/>
        </w:rPr>
        <w:t xml:space="preserve">ووفقا للنهج المذكور أعلاه، جرى تحديد المستوى المستهدف </w:t>
      </w:r>
      <w:r w:rsidR="00BF4F1A">
        <w:rPr>
          <w:rFonts w:hint="cs"/>
          <w:rtl/>
        </w:rPr>
        <w:t>للاحتياطي</w:t>
      </w:r>
      <w:r>
        <w:rPr>
          <w:rtl/>
        </w:rPr>
        <w:t xml:space="preserve"> في شكل نسبة مئوية من النفقات المقدرة ل</w:t>
      </w:r>
      <w:r w:rsidR="00BF4F1A">
        <w:rPr>
          <w:rtl/>
        </w:rPr>
        <w:t>لثنائية</w:t>
      </w:r>
      <w:r>
        <w:rPr>
          <w:rtl/>
        </w:rPr>
        <w:t xml:space="preserve"> (مؤشر النفقات المقدرة) في ما يتعلق بالاتحادات الممولة من الاشتراكات واتحاد معاهدة التعاون بشأن البراءات، واتحاد مدريد، واتحاد لاهاي. وحُدد المؤشر المناسب من النفقات المقدرة لكل اتحاد لمراعاة المخاطر والمخاوف المرتبطة بنقص السيولة لكل اتحاد معني. ويحسب تبعاً لذلك مستوى </w:t>
      </w:r>
      <w:r w:rsidR="00BF4F1A">
        <w:rPr>
          <w:rFonts w:hint="cs"/>
          <w:rtl/>
        </w:rPr>
        <w:t>الاحتياطي</w:t>
      </w:r>
      <w:r>
        <w:rPr>
          <w:rtl/>
        </w:rPr>
        <w:t xml:space="preserve"> لكل اتحاد انطلاقاً من النفقات المقدرة ل</w:t>
      </w:r>
      <w:r w:rsidR="00BF4F1A">
        <w:rPr>
          <w:rtl/>
        </w:rPr>
        <w:t>لثنائية</w:t>
      </w:r>
      <w:r>
        <w:rPr>
          <w:rtl/>
        </w:rPr>
        <w:t xml:space="preserve"> ضارب مؤشر النفقات المقدرة للاتحاد المعني.</w:t>
      </w:r>
      <w:r w:rsidR="006631B6">
        <w:rPr>
          <w:rFonts w:hint="cs"/>
          <w:rtl/>
        </w:rPr>
        <w:t xml:space="preserve"> </w:t>
      </w:r>
      <w:r>
        <w:rPr>
          <w:rtl/>
        </w:rPr>
        <w:t xml:space="preserve">ويضمن اختيار مؤشر النفقات المقدرة كنقطة مرجعية ارتباط مستوى </w:t>
      </w:r>
      <w:r w:rsidR="00BD322D">
        <w:rPr>
          <w:rFonts w:hint="cs"/>
          <w:rtl/>
        </w:rPr>
        <w:t>الاحتياطي</w:t>
      </w:r>
      <w:r>
        <w:rPr>
          <w:rtl/>
        </w:rPr>
        <w:t xml:space="preserve"> بمستوى مشروع البرنامج والميزانية المقترح. وهكذا، "تؤخذ في الاعتبار على نحو كامل </w:t>
      </w:r>
      <w:proofErr w:type="spellStart"/>
      <w:r>
        <w:rPr>
          <w:rtl/>
        </w:rPr>
        <w:t>ديناميات</w:t>
      </w:r>
      <w:proofErr w:type="spellEnd"/>
      <w:r>
        <w:rPr>
          <w:rtl/>
        </w:rPr>
        <w:t xml:space="preserve"> التغيير والمخاطر ذات الصلة، والاحتياجات من السيولة</w:t>
      </w:r>
      <w:r w:rsidR="006631B6">
        <w:rPr>
          <w:rFonts w:hint="cs"/>
          <w:rtl/>
        </w:rPr>
        <w:t>"</w:t>
      </w:r>
      <w:r w:rsidR="006631B6">
        <w:rPr>
          <w:rStyle w:val="FootnoteReference"/>
          <w:rtl/>
        </w:rPr>
        <w:footnoteReference w:id="1"/>
      </w:r>
      <w:r w:rsidR="00BD322D">
        <w:rPr>
          <w:rFonts w:hint="cs"/>
          <w:rtl/>
        </w:rPr>
        <w:t xml:space="preserve"> </w:t>
      </w:r>
      <w:r>
        <w:rPr>
          <w:rtl/>
        </w:rPr>
        <w:t xml:space="preserve">في مستوى </w:t>
      </w:r>
      <w:r w:rsidR="00BD322D">
        <w:rPr>
          <w:rFonts w:hint="cs"/>
          <w:rtl/>
        </w:rPr>
        <w:t>الاحتياطي</w:t>
      </w:r>
      <w:r>
        <w:rPr>
          <w:rtl/>
        </w:rPr>
        <w:t xml:space="preserve">. </w:t>
      </w:r>
    </w:p>
    <w:p w:rsidR="005B1D55" w:rsidRDefault="00C4370D" w:rsidP="0001550B">
      <w:pPr>
        <w:pStyle w:val="NumberedParaAR"/>
        <w:numPr>
          <w:ilvl w:val="0"/>
          <w:numId w:val="23"/>
        </w:numPr>
        <w:rPr>
          <w:rtl/>
        </w:rPr>
      </w:pPr>
      <w:r>
        <w:rPr>
          <w:rFonts w:hint="cs"/>
          <w:rtl/>
        </w:rPr>
        <w:t>و</w:t>
      </w:r>
      <w:r w:rsidR="005B1D55">
        <w:rPr>
          <w:rtl/>
        </w:rPr>
        <w:t xml:space="preserve">بعد </w:t>
      </w:r>
      <w:r>
        <w:rPr>
          <w:rFonts w:hint="cs"/>
          <w:rtl/>
        </w:rPr>
        <w:t>استعراض</w:t>
      </w:r>
      <w:r w:rsidR="005B1D55">
        <w:rPr>
          <w:rtl/>
        </w:rPr>
        <w:t xml:space="preserve"> لتطور </w:t>
      </w:r>
      <w:r w:rsidR="00014127">
        <w:rPr>
          <w:rFonts w:hint="cs"/>
          <w:rtl/>
        </w:rPr>
        <w:t>ال</w:t>
      </w:r>
      <w:r w:rsidR="005B1D55">
        <w:rPr>
          <w:rtl/>
        </w:rPr>
        <w:t>إيرادات</w:t>
      </w:r>
      <w:r>
        <w:rPr>
          <w:rFonts w:hint="cs"/>
          <w:rtl/>
        </w:rPr>
        <w:t xml:space="preserve"> </w:t>
      </w:r>
      <w:r w:rsidR="005B1D55">
        <w:rPr>
          <w:rtl/>
        </w:rPr>
        <w:t>و</w:t>
      </w:r>
      <w:r w:rsidR="00014127">
        <w:rPr>
          <w:rFonts w:hint="cs"/>
          <w:rtl/>
        </w:rPr>
        <w:t>ال</w:t>
      </w:r>
      <w:r w:rsidR="005B1D55">
        <w:rPr>
          <w:rtl/>
        </w:rPr>
        <w:t>نفقات و</w:t>
      </w:r>
      <w:r w:rsidR="00014127">
        <w:rPr>
          <w:rFonts w:hint="cs"/>
          <w:rtl/>
        </w:rPr>
        <w:t>ال</w:t>
      </w:r>
      <w:r w:rsidR="005B1D55">
        <w:rPr>
          <w:rtl/>
        </w:rPr>
        <w:t>احتياطي</w:t>
      </w:r>
      <w:r w:rsidR="00014127">
        <w:rPr>
          <w:rFonts w:hint="cs"/>
          <w:rtl/>
        </w:rPr>
        <w:t xml:space="preserve"> </w:t>
      </w:r>
      <w:r w:rsidR="005B1D55">
        <w:rPr>
          <w:rtl/>
        </w:rPr>
        <w:t>الفعلي للمنظمة و</w:t>
      </w:r>
      <w:r w:rsidR="00014127">
        <w:rPr>
          <w:rFonts w:hint="cs"/>
          <w:rtl/>
        </w:rPr>
        <w:t>ل</w:t>
      </w:r>
      <w:r w:rsidR="005B1D55">
        <w:rPr>
          <w:rtl/>
        </w:rPr>
        <w:t xml:space="preserve">كل اتحاد، يقترح </w:t>
      </w:r>
      <w:r w:rsidR="00014127">
        <w:rPr>
          <w:rFonts w:hint="cs"/>
          <w:rtl/>
        </w:rPr>
        <w:t xml:space="preserve">رفع </w:t>
      </w:r>
      <w:r w:rsidR="005B1D55">
        <w:rPr>
          <w:rtl/>
        </w:rPr>
        <w:t>مؤشر النفقات</w:t>
      </w:r>
      <w:r w:rsidR="00014127">
        <w:rPr>
          <w:rFonts w:hint="cs"/>
          <w:rtl/>
        </w:rPr>
        <w:t xml:space="preserve"> المقدرة</w:t>
      </w:r>
      <w:r w:rsidR="005B1D55">
        <w:rPr>
          <w:rtl/>
        </w:rPr>
        <w:t xml:space="preserve"> لاتحاد معاهدة البراءات</w:t>
      </w:r>
      <w:r w:rsidR="00014127">
        <w:rPr>
          <w:rFonts w:hint="cs"/>
          <w:rtl/>
        </w:rPr>
        <w:t xml:space="preserve"> لكي</w:t>
      </w:r>
      <w:r w:rsidR="005B1D55">
        <w:rPr>
          <w:rtl/>
        </w:rPr>
        <w:t xml:space="preserve"> </w:t>
      </w:r>
      <w:r w:rsidR="00014127">
        <w:rPr>
          <w:rFonts w:hint="cs"/>
          <w:rtl/>
        </w:rPr>
        <w:t>ي</w:t>
      </w:r>
      <w:r w:rsidR="005B1D55">
        <w:rPr>
          <w:rtl/>
        </w:rPr>
        <w:t xml:space="preserve">أخذ في الاعتبار الزيادة الكبيرة في حجم عمليات </w:t>
      </w:r>
      <w:r w:rsidR="00014127">
        <w:rPr>
          <w:rFonts w:hint="cs"/>
          <w:rtl/>
        </w:rPr>
        <w:t>ال</w:t>
      </w:r>
      <w:r w:rsidR="005B1D55">
        <w:rPr>
          <w:rtl/>
        </w:rPr>
        <w:t>معاهدة</w:t>
      </w:r>
      <w:r w:rsidR="00014127">
        <w:rPr>
          <w:rFonts w:hint="cs"/>
          <w:rtl/>
        </w:rPr>
        <w:t xml:space="preserve"> </w:t>
      </w:r>
      <w:r w:rsidR="005B1D55">
        <w:rPr>
          <w:rtl/>
        </w:rPr>
        <w:t xml:space="preserve">وزيادة اعتماد </w:t>
      </w:r>
      <w:r w:rsidR="00014127">
        <w:rPr>
          <w:rFonts w:hint="cs"/>
          <w:rtl/>
        </w:rPr>
        <w:t>ا</w:t>
      </w:r>
      <w:r w:rsidR="005B1D55">
        <w:rPr>
          <w:rtl/>
        </w:rPr>
        <w:t xml:space="preserve">لمنظمة على </w:t>
      </w:r>
      <w:r w:rsidR="00014127">
        <w:rPr>
          <w:rFonts w:hint="cs"/>
          <w:rtl/>
        </w:rPr>
        <w:t>إيرادات رسوم</w:t>
      </w:r>
      <w:r w:rsidR="0001550B">
        <w:rPr>
          <w:rFonts w:hint="cs"/>
          <w:rtl/>
        </w:rPr>
        <w:t xml:space="preserve">ها </w:t>
      </w:r>
      <w:r w:rsidR="005B1D55">
        <w:rPr>
          <w:rtl/>
        </w:rPr>
        <w:t>منذ 2000. و</w:t>
      </w:r>
      <w:r w:rsidR="00014127">
        <w:rPr>
          <w:rFonts w:hint="cs"/>
          <w:rtl/>
        </w:rPr>
        <w:t xml:space="preserve">ستتيح </w:t>
      </w:r>
      <w:r w:rsidR="005B1D55">
        <w:rPr>
          <w:rtl/>
        </w:rPr>
        <w:t xml:space="preserve">زيادة مستوى احتياطي اتحاد معاهدة </w:t>
      </w:r>
      <w:r w:rsidR="00014127">
        <w:rPr>
          <w:rFonts w:hint="cs"/>
          <w:rtl/>
        </w:rPr>
        <w:t>ال</w:t>
      </w:r>
      <w:r w:rsidR="005B1D55">
        <w:rPr>
          <w:rtl/>
        </w:rPr>
        <w:t>براءات قدر</w:t>
      </w:r>
      <w:r w:rsidR="00014127">
        <w:rPr>
          <w:rFonts w:hint="cs"/>
          <w:rtl/>
        </w:rPr>
        <w:t>ا</w:t>
      </w:r>
      <w:r w:rsidR="005B1D55">
        <w:rPr>
          <w:rtl/>
        </w:rPr>
        <w:t xml:space="preserve"> أكبر من الاستقرار المالي ل</w:t>
      </w:r>
      <w:r w:rsidR="00014127">
        <w:rPr>
          <w:rFonts w:hint="cs"/>
          <w:rtl/>
        </w:rPr>
        <w:t xml:space="preserve">أهم </w:t>
      </w:r>
      <w:r w:rsidR="005B1D55">
        <w:rPr>
          <w:rtl/>
        </w:rPr>
        <w:t xml:space="preserve">نظام </w:t>
      </w:r>
      <w:r w:rsidR="00014127">
        <w:rPr>
          <w:rtl/>
        </w:rPr>
        <w:t xml:space="preserve">عالمي </w:t>
      </w:r>
      <w:r w:rsidR="00014127">
        <w:rPr>
          <w:rFonts w:hint="cs"/>
          <w:rtl/>
        </w:rPr>
        <w:t>لل</w:t>
      </w:r>
      <w:r w:rsidR="005B1D55">
        <w:rPr>
          <w:rtl/>
        </w:rPr>
        <w:t xml:space="preserve">ملكية </w:t>
      </w:r>
      <w:r w:rsidR="00014127">
        <w:rPr>
          <w:rFonts w:hint="cs"/>
          <w:rtl/>
        </w:rPr>
        <w:t>ال</w:t>
      </w:r>
      <w:r w:rsidR="00014127">
        <w:rPr>
          <w:rtl/>
        </w:rPr>
        <w:t>فكرية</w:t>
      </w:r>
      <w:r w:rsidR="005B1D55">
        <w:rPr>
          <w:rtl/>
        </w:rPr>
        <w:t>. وي</w:t>
      </w:r>
      <w:r w:rsidR="0001550B">
        <w:rPr>
          <w:rFonts w:hint="cs"/>
          <w:rtl/>
        </w:rPr>
        <w:t>ُ</w:t>
      </w:r>
      <w:r w:rsidR="005B1D55">
        <w:rPr>
          <w:rtl/>
        </w:rPr>
        <w:t xml:space="preserve">قترح </w:t>
      </w:r>
      <w:r w:rsidR="00014127">
        <w:rPr>
          <w:rFonts w:hint="cs"/>
          <w:rtl/>
        </w:rPr>
        <w:t xml:space="preserve">رفع </w:t>
      </w:r>
      <w:r w:rsidR="00014127">
        <w:rPr>
          <w:rtl/>
        </w:rPr>
        <w:t>مؤشر النفقات</w:t>
      </w:r>
      <w:r w:rsidR="00014127">
        <w:rPr>
          <w:rFonts w:hint="cs"/>
          <w:rtl/>
        </w:rPr>
        <w:t xml:space="preserve"> المقدرة</w:t>
      </w:r>
      <w:r w:rsidR="00014127">
        <w:rPr>
          <w:rtl/>
        </w:rPr>
        <w:t xml:space="preserve"> لاتحاد معاهدة البراءات</w:t>
      </w:r>
      <w:r w:rsidR="00014127">
        <w:rPr>
          <w:rFonts w:hint="cs"/>
          <w:rtl/>
        </w:rPr>
        <w:t xml:space="preserve"> من 15</w:t>
      </w:r>
      <w:r w:rsidR="005B1D55">
        <w:rPr>
          <w:rtl/>
        </w:rPr>
        <w:t xml:space="preserve"> في المائة إلى 20 في المائة. </w:t>
      </w:r>
      <w:r w:rsidR="006001CE">
        <w:rPr>
          <w:rFonts w:hint="cs"/>
          <w:rtl/>
        </w:rPr>
        <w:t xml:space="preserve">ويبقى </w:t>
      </w:r>
      <w:r w:rsidR="006001CE" w:rsidRPr="00521098">
        <w:rPr>
          <w:rFonts w:hint="cs"/>
          <w:rtl/>
        </w:rPr>
        <w:t xml:space="preserve">مؤشر النفقات المقدرة </w:t>
      </w:r>
      <w:r w:rsidR="0001550B">
        <w:rPr>
          <w:rFonts w:hint="cs"/>
          <w:rtl/>
        </w:rPr>
        <w:t>المعتمد</w:t>
      </w:r>
      <w:r w:rsidR="006001CE" w:rsidRPr="00521098">
        <w:rPr>
          <w:rFonts w:hint="cs"/>
          <w:rtl/>
        </w:rPr>
        <w:t xml:space="preserve"> للاتحادات الممولة </w:t>
      </w:r>
      <w:r w:rsidR="006001CE">
        <w:rPr>
          <w:rFonts w:hint="cs"/>
          <w:rtl/>
        </w:rPr>
        <w:t>من</w:t>
      </w:r>
      <w:r w:rsidR="006001CE" w:rsidRPr="00521098">
        <w:rPr>
          <w:rFonts w:hint="cs"/>
          <w:rtl/>
        </w:rPr>
        <w:t xml:space="preserve"> الاشتراكات 50 في المائة، و15 في المائة </w:t>
      </w:r>
      <w:r w:rsidR="006001CE">
        <w:rPr>
          <w:rFonts w:hint="cs"/>
          <w:rtl/>
        </w:rPr>
        <w:t>ل</w:t>
      </w:r>
      <w:r w:rsidR="006001CE" w:rsidRPr="00521098">
        <w:rPr>
          <w:rFonts w:hint="cs"/>
          <w:rtl/>
        </w:rPr>
        <w:t>اتحاد مدريد، و15</w:t>
      </w:r>
      <w:r w:rsidR="006001CE">
        <w:rPr>
          <w:rFonts w:hint="eastAsia"/>
          <w:rtl/>
        </w:rPr>
        <w:t> </w:t>
      </w:r>
      <w:r w:rsidR="006001CE" w:rsidRPr="00521098">
        <w:rPr>
          <w:rFonts w:hint="cs"/>
          <w:rtl/>
        </w:rPr>
        <w:t xml:space="preserve">في المائة </w:t>
      </w:r>
      <w:r w:rsidR="006001CE">
        <w:rPr>
          <w:rFonts w:hint="cs"/>
          <w:rtl/>
        </w:rPr>
        <w:t>لا</w:t>
      </w:r>
      <w:r w:rsidR="006001CE" w:rsidRPr="00521098">
        <w:rPr>
          <w:rFonts w:hint="cs"/>
          <w:rtl/>
        </w:rPr>
        <w:t>تحاد لاهاي</w:t>
      </w:r>
      <w:r w:rsidR="005B1D55">
        <w:rPr>
          <w:rtl/>
        </w:rPr>
        <w:t xml:space="preserve">. </w:t>
      </w:r>
      <w:r w:rsidR="006001CE">
        <w:rPr>
          <w:rFonts w:hint="cs"/>
          <w:rtl/>
        </w:rPr>
        <w:t>ولم يحدد حاليا أي احتياطي مستهدف ل</w:t>
      </w:r>
      <w:r w:rsidR="005B1D55">
        <w:rPr>
          <w:rtl/>
        </w:rPr>
        <w:t>اتحاد لشبونة</w:t>
      </w:r>
      <w:r w:rsidR="006001CE">
        <w:rPr>
          <w:rFonts w:hint="cs"/>
          <w:rtl/>
        </w:rPr>
        <w:t xml:space="preserve">. وينبغي رصد </w:t>
      </w:r>
      <w:r w:rsidR="005B1D55">
        <w:rPr>
          <w:rtl/>
        </w:rPr>
        <w:t xml:space="preserve">تطور نظام لشبونة </w:t>
      </w:r>
      <w:r w:rsidR="006001CE">
        <w:rPr>
          <w:rFonts w:hint="cs"/>
          <w:rtl/>
        </w:rPr>
        <w:t xml:space="preserve">عن كثب </w:t>
      </w:r>
      <w:r w:rsidR="005B1D55">
        <w:rPr>
          <w:rtl/>
        </w:rPr>
        <w:t xml:space="preserve">لتحديد التوقيت المناسب </w:t>
      </w:r>
      <w:r w:rsidR="00FF245B">
        <w:rPr>
          <w:rFonts w:hint="cs"/>
          <w:rtl/>
        </w:rPr>
        <w:t>لوضع</w:t>
      </w:r>
      <w:r w:rsidR="005B1D55">
        <w:rPr>
          <w:rtl/>
        </w:rPr>
        <w:t xml:space="preserve"> احتياطي</w:t>
      </w:r>
      <w:r w:rsidR="00FF245B">
        <w:rPr>
          <w:rFonts w:hint="cs"/>
          <w:rtl/>
        </w:rPr>
        <w:t xml:space="preserve"> مستهدف وتحديد</w:t>
      </w:r>
      <w:r w:rsidR="005B1D55">
        <w:rPr>
          <w:rtl/>
        </w:rPr>
        <w:t xml:space="preserve"> مستو</w:t>
      </w:r>
      <w:r w:rsidR="00FF245B">
        <w:rPr>
          <w:rFonts w:hint="cs"/>
          <w:rtl/>
        </w:rPr>
        <w:t>ا</w:t>
      </w:r>
      <w:r w:rsidR="005B1D55">
        <w:rPr>
          <w:rtl/>
        </w:rPr>
        <w:t>ه.</w:t>
      </w:r>
    </w:p>
    <w:p w:rsidR="005B1D55" w:rsidRDefault="00C5056A" w:rsidP="004A5AB2">
      <w:pPr>
        <w:pStyle w:val="NumberedParaAR"/>
        <w:numPr>
          <w:ilvl w:val="0"/>
          <w:numId w:val="23"/>
        </w:numPr>
        <w:rPr>
          <w:rtl/>
        </w:rPr>
      </w:pPr>
      <w:r>
        <w:rPr>
          <w:rFonts w:hint="cs"/>
          <w:rtl/>
        </w:rPr>
        <w:t>ور</w:t>
      </w:r>
      <w:r w:rsidR="0090014C">
        <w:rPr>
          <w:rFonts w:hint="cs"/>
          <w:rtl/>
        </w:rPr>
        <w:t xml:space="preserve">غم أن الاتحادات هي التي تحدد، من الناحية العملية، </w:t>
      </w:r>
      <w:r w:rsidR="00014127">
        <w:rPr>
          <w:rtl/>
        </w:rPr>
        <w:t>مؤشر</w:t>
      </w:r>
      <w:r w:rsidR="0090014C">
        <w:rPr>
          <w:rFonts w:hint="cs"/>
          <w:rtl/>
        </w:rPr>
        <w:t>ات</w:t>
      </w:r>
      <w:r w:rsidR="00014127">
        <w:rPr>
          <w:rtl/>
        </w:rPr>
        <w:t xml:space="preserve"> النفقات المقدرة</w:t>
      </w:r>
      <w:r w:rsidR="005B1D55">
        <w:rPr>
          <w:rtl/>
        </w:rPr>
        <w:t xml:space="preserve">، تعمل المنظمة على أساس </w:t>
      </w:r>
      <w:r w:rsidR="0090014C">
        <w:rPr>
          <w:rFonts w:hint="cs"/>
          <w:rtl/>
        </w:rPr>
        <w:t xml:space="preserve">وثيقة </w:t>
      </w:r>
      <w:r w:rsidR="005B1D55">
        <w:rPr>
          <w:rtl/>
        </w:rPr>
        <w:t>برنامج وميزانية</w:t>
      </w:r>
      <w:r w:rsidR="0090014C">
        <w:rPr>
          <w:rFonts w:hint="cs"/>
          <w:rtl/>
        </w:rPr>
        <w:t xml:space="preserve"> واحدة بحسب</w:t>
      </w:r>
      <w:r w:rsidR="005B1D55">
        <w:rPr>
          <w:rtl/>
        </w:rPr>
        <w:t xml:space="preserve"> </w:t>
      </w:r>
      <w:r w:rsidR="0090014C">
        <w:rPr>
          <w:rFonts w:hint="cs"/>
          <w:rtl/>
        </w:rPr>
        <w:t>ال</w:t>
      </w:r>
      <w:r w:rsidR="005B1D55">
        <w:rPr>
          <w:rtl/>
        </w:rPr>
        <w:t>بر</w:t>
      </w:r>
      <w:r w:rsidR="0090014C">
        <w:rPr>
          <w:rFonts w:hint="cs"/>
          <w:rtl/>
        </w:rPr>
        <w:t>ا</w:t>
      </w:r>
      <w:r w:rsidR="005B1D55">
        <w:rPr>
          <w:rtl/>
        </w:rPr>
        <w:t xml:space="preserve">مج (منذ أواخر </w:t>
      </w:r>
      <w:r w:rsidR="0090014C">
        <w:rPr>
          <w:rFonts w:hint="cs"/>
          <w:rtl/>
        </w:rPr>
        <w:t>التسعينات</w:t>
      </w:r>
      <w:r w:rsidR="005B1D55">
        <w:rPr>
          <w:rtl/>
        </w:rPr>
        <w:t>) و</w:t>
      </w:r>
      <w:r w:rsidR="0090014C">
        <w:rPr>
          <w:rFonts w:hint="cs"/>
          <w:rtl/>
        </w:rPr>
        <w:t>بحسب النتائج المرتقبة</w:t>
      </w:r>
      <w:r w:rsidR="005B1D55">
        <w:rPr>
          <w:rtl/>
        </w:rPr>
        <w:t xml:space="preserve"> (منذ 2012/13). </w:t>
      </w:r>
      <w:r w:rsidR="0090014C">
        <w:rPr>
          <w:rFonts w:hint="cs"/>
          <w:rtl/>
        </w:rPr>
        <w:t>و</w:t>
      </w:r>
      <w:r w:rsidR="005B1D55">
        <w:rPr>
          <w:rtl/>
        </w:rPr>
        <w:t xml:space="preserve">في سياق ميزانية </w:t>
      </w:r>
      <w:r w:rsidR="0090014C">
        <w:rPr>
          <w:rFonts w:hint="cs"/>
          <w:rtl/>
        </w:rPr>
        <w:t>ا</w:t>
      </w:r>
      <w:r w:rsidR="005B1D55">
        <w:rPr>
          <w:rtl/>
        </w:rPr>
        <w:t xml:space="preserve">لمنظمة، </w:t>
      </w:r>
      <w:r w:rsidR="004A5AB2">
        <w:rPr>
          <w:rFonts w:hint="cs"/>
          <w:rtl/>
        </w:rPr>
        <w:t>تعكس</w:t>
      </w:r>
      <w:r w:rsidR="005B1D55">
        <w:rPr>
          <w:rtl/>
        </w:rPr>
        <w:t xml:space="preserve"> </w:t>
      </w:r>
      <w:r w:rsidR="00014127">
        <w:rPr>
          <w:rtl/>
        </w:rPr>
        <w:t>مؤشر</w:t>
      </w:r>
      <w:r w:rsidR="0090014C">
        <w:rPr>
          <w:rFonts w:hint="cs"/>
          <w:rtl/>
        </w:rPr>
        <w:t xml:space="preserve">ات </w:t>
      </w:r>
      <w:r w:rsidR="00014127">
        <w:rPr>
          <w:rtl/>
        </w:rPr>
        <w:t>النفقات المقدرة</w:t>
      </w:r>
      <w:r w:rsidR="005B1D55">
        <w:rPr>
          <w:rtl/>
        </w:rPr>
        <w:t xml:space="preserve"> المذكورة أعلاه </w:t>
      </w:r>
      <w:r w:rsidR="0090014C">
        <w:rPr>
          <w:rFonts w:hint="cs"/>
          <w:rtl/>
        </w:rPr>
        <w:t>بحسب</w:t>
      </w:r>
      <w:r w:rsidR="005B1D55">
        <w:rPr>
          <w:rtl/>
        </w:rPr>
        <w:t xml:space="preserve"> الاتحاد</w:t>
      </w:r>
      <w:r w:rsidR="0090014C">
        <w:rPr>
          <w:rFonts w:hint="cs"/>
          <w:rtl/>
        </w:rPr>
        <w:t xml:space="preserve">ات </w:t>
      </w:r>
      <w:r w:rsidR="00014127">
        <w:rPr>
          <w:rtl/>
        </w:rPr>
        <w:t xml:space="preserve">مؤشر نفقات </w:t>
      </w:r>
      <w:r w:rsidR="0090014C">
        <w:rPr>
          <w:rFonts w:hint="cs"/>
          <w:rtl/>
        </w:rPr>
        <w:t>م</w:t>
      </w:r>
      <w:r w:rsidR="00014127">
        <w:rPr>
          <w:rtl/>
        </w:rPr>
        <w:t>قدرة</w:t>
      </w:r>
      <w:r w:rsidR="005B1D55">
        <w:rPr>
          <w:rtl/>
        </w:rPr>
        <w:t xml:space="preserve"> </w:t>
      </w:r>
      <w:r w:rsidR="0090014C">
        <w:rPr>
          <w:rFonts w:hint="cs"/>
          <w:rtl/>
        </w:rPr>
        <w:t>للمنظمة</w:t>
      </w:r>
      <w:r w:rsidR="005B1D55">
        <w:rPr>
          <w:rtl/>
        </w:rPr>
        <w:t xml:space="preserve"> </w:t>
      </w:r>
      <w:r w:rsidR="004A5AB2">
        <w:rPr>
          <w:rFonts w:hint="cs"/>
          <w:rtl/>
        </w:rPr>
        <w:t>تبلغ</w:t>
      </w:r>
      <w:r w:rsidR="005B1D55">
        <w:rPr>
          <w:rtl/>
        </w:rPr>
        <w:t xml:space="preserve"> 22 في المائة</w:t>
      </w:r>
      <w:r w:rsidR="0090014C">
        <w:rPr>
          <w:rFonts w:hint="cs"/>
          <w:rtl/>
        </w:rPr>
        <w:t xml:space="preserve"> تقريبا</w:t>
      </w:r>
      <w:r w:rsidR="005B1D55">
        <w:rPr>
          <w:rtl/>
        </w:rPr>
        <w:t>. و</w:t>
      </w:r>
      <w:r w:rsidR="0090014C">
        <w:rPr>
          <w:rFonts w:hint="cs"/>
          <w:rtl/>
        </w:rPr>
        <w:t>هو</w:t>
      </w:r>
      <w:r w:rsidR="005B1D55">
        <w:rPr>
          <w:rtl/>
        </w:rPr>
        <w:t xml:space="preserve"> ما يعادل أكثر من 5 أشهر من </w:t>
      </w:r>
      <w:r w:rsidR="0090014C">
        <w:rPr>
          <w:rFonts w:hint="cs"/>
          <w:rtl/>
        </w:rPr>
        <w:t>ال</w:t>
      </w:r>
      <w:r w:rsidR="005B1D55">
        <w:rPr>
          <w:rtl/>
        </w:rPr>
        <w:t>نفقات المتوقعة</w:t>
      </w:r>
      <w:r w:rsidR="002E79C9">
        <w:rPr>
          <w:rFonts w:hint="cs"/>
          <w:rtl/>
        </w:rPr>
        <w:t xml:space="preserve"> في الثنائية</w:t>
      </w:r>
      <w:r w:rsidR="0090014C">
        <w:rPr>
          <w:rFonts w:hint="cs"/>
          <w:rtl/>
        </w:rPr>
        <w:t xml:space="preserve"> </w:t>
      </w:r>
      <w:r w:rsidR="005B1D55">
        <w:rPr>
          <w:rtl/>
        </w:rPr>
        <w:t xml:space="preserve">وزيادة </w:t>
      </w:r>
      <w:r w:rsidR="002E79C9">
        <w:rPr>
          <w:rFonts w:hint="cs"/>
          <w:rtl/>
        </w:rPr>
        <w:t>مقارنة ب</w:t>
      </w:r>
      <w:r w:rsidR="005B1D55">
        <w:rPr>
          <w:rtl/>
        </w:rPr>
        <w:t>المست</w:t>
      </w:r>
      <w:r w:rsidR="004A5AB2">
        <w:rPr>
          <w:rtl/>
        </w:rPr>
        <w:t>وى الحالي البالغ 18.5 في المائة</w:t>
      </w:r>
      <w:r w:rsidR="004A5AB2">
        <w:rPr>
          <w:rFonts w:hint="cs"/>
          <w:rtl/>
        </w:rPr>
        <w:t xml:space="preserve">، أي </w:t>
      </w:r>
      <w:r w:rsidR="005B1D55">
        <w:rPr>
          <w:rtl/>
        </w:rPr>
        <w:t xml:space="preserve">ما يعادل حوالي أربعة أشهر من </w:t>
      </w:r>
      <w:r w:rsidR="002E79C9" w:rsidRPr="002E79C9">
        <w:rPr>
          <w:rtl/>
        </w:rPr>
        <w:t>النفقات المتوقعة في الثنائية</w:t>
      </w:r>
      <w:r w:rsidR="005B1D55">
        <w:rPr>
          <w:rtl/>
        </w:rPr>
        <w:t xml:space="preserve"> </w:t>
      </w:r>
      <w:r w:rsidR="002E79C9">
        <w:rPr>
          <w:rFonts w:hint="cs"/>
          <w:rtl/>
        </w:rPr>
        <w:t xml:space="preserve">بالنسبة </w:t>
      </w:r>
      <w:r w:rsidR="005B1D55">
        <w:rPr>
          <w:rtl/>
        </w:rPr>
        <w:t xml:space="preserve">للمنظمة. </w:t>
      </w:r>
      <w:r w:rsidR="002E79C9">
        <w:rPr>
          <w:rFonts w:hint="cs"/>
          <w:rtl/>
        </w:rPr>
        <w:t>وسيكون هدف رفع</w:t>
      </w:r>
      <w:r w:rsidR="005B1D55">
        <w:rPr>
          <w:rtl/>
        </w:rPr>
        <w:t xml:space="preserve"> </w:t>
      </w:r>
      <w:r w:rsidR="002E79C9">
        <w:rPr>
          <w:rFonts w:hint="cs"/>
          <w:rtl/>
        </w:rPr>
        <w:t>ال</w:t>
      </w:r>
      <w:r w:rsidR="005B1D55">
        <w:rPr>
          <w:rtl/>
        </w:rPr>
        <w:t xml:space="preserve">مستوى المستهدف </w:t>
      </w:r>
      <w:r w:rsidR="002E79C9">
        <w:rPr>
          <w:rFonts w:hint="cs"/>
          <w:rtl/>
        </w:rPr>
        <w:t>ل</w:t>
      </w:r>
      <w:r w:rsidR="005B1D55">
        <w:rPr>
          <w:rtl/>
        </w:rPr>
        <w:t xml:space="preserve">لأموال الاحتياطية تعزيز إدارة المخاطر المالية. وعلاوة على ذلك، فإن الزيادة المقترحة </w:t>
      </w:r>
      <w:r w:rsidR="002E79C9">
        <w:rPr>
          <w:rFonts w:hint="cs"/>
          <w:rtl/>
        </w:rPr>
        <w:t xml:space="preserve">تتماشى مع ما تفضيل </w:t>
      </w:r>
      <w:r w:rsidR="005B1D55">
        <w:rPr>
          <w:rtl/>
        </w:rPr>
        <w:t xml:space="preserve">الدول الأعضاء </w:t>
      </w:r>
      <w:r w:rsidR="004A5AB2">
        <w:rPr>
          <w:rFonts w:hint="cs"/>
          <w:rtl/>
        </w:rPr>
        <w:t>ل</w:t>
      </w:r>
      <w:r w:rsidR="005B1D55">
        <w:rPr>
          <w:rtl/>
        </w:rPr>
        <w:t>تنف</w:t>
      </w:r>
      <w:r w:rsidR="002E79C9">
        <w:rPr>
          <w:rFonts w:hint="cs"/>
          <w:rtl/>
        </w:rPr>
        <w:t>ي</w:t>
      </w:r>
      <w:r w:rsidR="005B1D55">
        <w:rPr>
          <w:rtl/>
        </w:rPr>
        <w:t>ذ زيادة</w:t>
      </w:r>
      <w:r w:rsidR="002E79C9">
        <w:rPr>
          <w:rFonts w:hint="cs"/>
          <w:rtl/>
        </w:rPr>
        <w:t xml:space="preserve"> المستوى المستهدف ل</w:t>
      </w:r>
      <w:r w:rsidR="005B1D55">
        <w:rPr>
          <w:rtl/>
        </w:rPr>
        <w:t>لأموال الاحتياطية تدريجيا. و</w:t>
      </w:r>
      <w:r w:rsidR="002E79C9">
        <w:rPr>
          <w:rFonts w:hint="cs"/>
          <w:rtl/>
        </w:rPr>
        <w:t xml:space="preserve">تتماشى </w:t>
      </w:r>
      <w:r w:rsidR="005B1D55">
        <w:rPr>
          <w:rtl/>
        </w:rPr>
        <w:t xml:space="preserve">أيضا زيادة مستوى الأموال الاحتياطية </w:t>
      </w:r>
      <w:r w:rsidR="002E79C9">
        <w:rPr>
          <w:rFonts w:hint="cs"/>
          <w:rtl/>
        </w:rPr>
        <w:t>بنسبة</w:t>
      </w:r>
      <w:r w:rsidR="005B1D55">
        <w:rPr>
          <w:rtl/>
        </w:rPr>
        <w:t xml:space="preserve"> 22 في المائة </w:t>
      </w:r>
      <w:r w:rsidR="002E79C9">
        <w:rPr>
          <w:rFonts w:hint="cs"/>
          <w:rtl/>
        </w:rPr>
        <w:t>مع</w:t>
      </w:r>
      <w:r w:rsidR="005B1D55">
        <w:rPr>
          <w:rtl/>
        </w:rPr>
        <w:t xml:space="preserve"> توصية مراجع </w:t>
      </w:r>
      <w:r w:rsidR="002E79C9">
        <w:rPr>
          <w:rFonts w:hint="cs"/>
          <w:rtl/>
        </w:rPr>
        <w:t xml:space="preserve">الحسابات </w:t>
      </w:r>
      <w:r w:rsidR="005B1D55">
        <w:rPr>
          <w:rtl/>
        </w:rPr>
        <w:t>الخارجي السويسري لعام 2006 ال</w:t>
      </w:r>
      <w:r w:rsidR="004A5AB2">
        <w:rPr>
          <w:rFonts w:hint="cs"/>
          <w:rtl/>
        </w:rPr>
        <w:t>ذ</w:t>
      </w:r>
      <w:r w:rsidR="005B1D55">
        <w:rPr>
          <w:rtl/>
        </w:rPr>
        <w:t xml:space="preserve">ي </w:t>
      </w:r>
      <w:r w:rsidR="002E79C9">
        <w:rPr>
          <w:rFonts w:hint="cs"/>
          <w:rtl/>
        </w:rPr>
        <w:t xml:space="preserve">أوصى </w:t>
      </w:r>
      <w:r w:rsidR="005B1D55">
        <w:rPr>
          <w:rtl/>
        </w:rPr>
        <w:t xml:space="preserve">بأن </w:t>
      </w:r>
      <w:r w:rsidR="004A5AB2">
        <w:rPr>
          <w:rFonts w:hint="cs"/>
          <w:rtl/>
        </w:rPr>
        <w:t>ي</w:t>
      </w:r>
      <w:r w:rsidR="002E79C9">
        <w:rPr>
          <w:rFonts w:hint="cs"/>
          <w:rtl/>
        </w:rPr>
        <w:t xml:space="preserve">كون مستوى </w:t>
      </w:r>
      <w:r w:rsidR="005B1D55">
        <w:rPr>
          <w:rtl/>
        </w:rPr>
        <w:t>الأموال الاحتياطية ال</w:t>
      </w:r>
      <w:r w:rsidR="002E79C9">
        <w:rPr>
          <w:rFonts w:hint="cs"/>
          <w:rtl/>
        </w:rPr>
        <w:t xml:space="preserve">مستهدف </w:t>
      </w:r>
      <w:r w:rsidR="005B1D55">
        <w:rPr>
          <w:rtl/>
        </w:rPr>
        <w:t xml:space="preserve">25 في المائة من النفقات المتوقعة </w:t>
      </w:r>
      <w:r w:rsidR="002E79C9">
        <w:rPr>
          <w:rFonts w:hint="cs"/>
          <w:rtl/>
        </w:rPr>
        <w:t>للثنائية</w:t>
      </w:r>
      <w:r w:rsidR="004A5AB2">
        <w:rPr>
          <w:rFonts w:hint="cs"/>
          <w:rtl/>
        </w:rPr>
        <w:t>،</w:t>
      </w:r>
      <w:r w:rsidR="005B1D55">
        <w:rPr>
          <w:rtl/>
        </w:rPr>
        <w:t xml:space="preserve"> أي ما يعادل ستة أشهر من نفقات </w:t>
      </w:r>
      <w:r w:rsidR="002E79C9">
        <w:rPr>
          <w:rFonts w:hint="cs"/>
          <w:rtl/>
        </w:rPr>
        <w:t>الثنائية</w:t>
      </w:r>
      <w:r w:rsidR="005B1D55">
        <w:rPr>
          <w:rtl/>
        </w:rPr>
        <w:t>.</w:t>
      </w:r>
    </w:p>
    <w:p w:rsidR="005B1D55" w:rsidRDefault="00FB3568" w:rsidP="00723DF0">
      <w:pPr>
        <w:pStyle w:val="NumberedParaAR"/>
        <w:numPr>
          <w:ilvl w:val="0"/>
          <w:numId w:val="23"/>
        </w:numPr>
        <w:rPr>
          <w:rtl/>
        </w:rPr>
      </w:pPr>
      <w:r>
        <w:rPr>
          <w:rFonts w:hint="cs"/>
          <w:rtl/>
        </w:rPr>
        <w:t xml:space="preserve">ولا تواجه </w:t>
      </w:r>
      <w:r w:rsidR="005B1D55">
        <w:rPr>
          <w:rtl/>
        </w:rPr>
        <w:t xml:space="preserve">الويبو مخاطر </w:t>
      </w:r>
      <w:r>
        <w:rPr>
          <w:rFonts w:hint="cs"/>
          <w:rtl/>
        </w:rPr>
        <w:t>ال</w:t>
      </w:r>
      <w:r w:rsidR="005B1D55">
        <w:rPr>
          <w:rtl/>
        </w:rPr>
        <w:t>سيولة في الوقت الحاضر لأن لديها موارد نقدية</w:t>
      </w:r>
      <w:r>
        <w:rPr>
          <w:rFonts w:hint="cs"/>
          <w:rtl/>
        </w:rPr>
        <w:t xml:space="preserve"> كبيرة</w:t>
      </w:r>
      <w:r w:rsidR="005B1D55">
        <w:rPr>
          <w:rtl/>
        </w:rPr>
        <w:t xml:space="preserve"> غير مقيدة تتجدد </w:t>
      </w:r>
      <w:r>
        <w:rPr>
          <w:rFonts w:hint="cs"/>
          <w:rtl/>
        </w:rPr>
        <w:t xml:space="preserve">بفضل </w:t>
      </w:r>
      <w:r w:rsidR="005B1D55">
        <w:rPr>
          <w:rtl/>
        </w:rPr>
        <w:t xml:space="preserve">عملياتها. ومع ذلك، </w:t>
      </w:r>
      <w:r>
        <w:rPr>
          <w:rFonts w:hint="cs"/>
          <w:rtl/>
        </w:rPr>
        <w:t xml:space="preserve">فمن بين </w:t>
      </w:r>
      <w:r w:rsidR="005B1D55">
        <w:rPr>
          <w:rtl/>
        </w:rPr>
        <w:t xml:space="preserve">أهداف الحفاظ على </w:t>
      </w:r>
      <w:r>
        <w:rPr>
          <w:rtl/>
        </w:rPr>
        <w:t>الاحتياطي</w:t>
      </w:r>
      <w:r>
        <w:rPr>
          <w:rFonts w:hint="cs"/>
          <w:rtl/>
        </w:rPr>
        <w:t xml:space="preserve"> المستهدف </w:t>
      </w:r>
      <w:r w:rsidR="005B1D55">
        <w:rPr>
          <w:rtl/>
        </w:rPr>
        <w:t xml:space="preserve">هو </w:t>
      </w:r>
      <w:r>
        <w:rPr>
          <w:rFonts w:hint="cs"/>
          <w:rtl/>
        </w:rPr>
        <w:t>ضمان</w:t>
      </w:r>
      <w:r w:rsidR="005B1D55">
        <w:rPr>
          <w:rtl/>
        </w:rPr>
        <w:t xml:space="preserve"> أن </w:t>
      </w:r>
      <w:r w:rsidR="00723DF0">
        <w:rPr>
          <w:rtl/>
        </w:rPr>
        <w:t xml:space="preserve">تحتفظ </w:t>
      </w:r>
      <w:r w:rsidR="005B1D55">
        <w:rPr>
          <w:rtl/>
        </w:rPr>
        <w:t xml:space="preserve">المنظمة بقدرتها على الوفاء بالتزاماتها </w:t>
      </w:r>
      <w:r>
        <w:rPr>
          <w:rFonts w:hint="cs"/>
          <w:rtl/>
        </w:rPr>
        <w:t>على المدى</w:t>
      </w:r>
      <w:r w:rsidR="005B1D55">
        <w:rPr>
          <w:rtl/>
        </w:rPr>
        <w:t xml:space="preserve"> القصير. وعليه، </w:t>
      </w:r>
      <w:r>
        <w:rPr>
          <w:rFonts w:hint="cs"/>
          <w:rtl/>
        </w:rPr>
        <w:t>سيحتفظ</w:t>
      </w:r>
      <w:r w:rsidR="005B1D55">
        <w:rPr>
          <w:rtl/>
        </w:rPr>
        <w:t xml:space="preserve"> </w:t>
      </w:r>
      <w:r>
        <w:rPr>
          <w:rFonts w:hint="cs"/>
          <w:rtl/>
        </w:rPr>
        <w:t>ب</w:t>
      </w:r>
      <w:r w:rsidR="005B1D55">
        <w:rPr>
          <w:rtl/>
        </w:rPr>
        <w:t xml:space="preserve">المستوى المستهدف </w:t>
      </w:r>
      <w:r>
        <w:rPr>
          <w:rFonts w:hint="cs"/>
          <w:rtl/>
        </w:rPr>
        <w:t>ل</w:t>
      </w:r>
      <w:r w:rsidR="005B1D55">
        <w:rPr>
          <w:rtl/>
        </w:rPr>
        <w:t xml:space="preserve">لاحتياطي </w:t>
      </w:r>
      <w:r w:rsidRPr="00764139">
        <w:rPr>
          <w:rtl/>
        </w:rPr>
        <w:t xml:space="preserve">إلى أقصى حد ممكن نقدا أو في استثمارات يمكن تسييلها </w:t>
      </w:r>
      <w:r w:rsidRPr="00764139">
        <w:rPr>
          <w:rFonts w:hint="cs"/>
          <w:rtl/>
        </w:rPr>
        <w:t>على</w:t>
      </w:r>
      <w:r w:rsidRPr="00764139">
        <w:rPr>
          <w:rtl/>
        </w:rPr>
        <w:t xml:space="preserve"> المدى القصير، بتكلفة منخفضة أو م</w:t>
      </w:r>
      <w:r w:rsidRPr="00764139">
        <w:rPr>
          <w:rFonts w:hint="cs"/>
          <w:rtl/>
        </w:rPr>
        <w:t>ن</w:t>
      </w:r>
      <w:r w:rsidRPr="00764139">
        <w:rPr>
          <w:rtl/>
        </w:rPr>
        <w:t>عدمة، و</w:t>
      </w:r>
      <w:r w:rsidRPr="00764139">
        <w:rPr>
          <w:rFonts w:hint="cs"/>
          <w:rtl/>
        </w:rPr>
        <w:t>تكون</w:t>
      </w:r>
      <w:r w:rsidRPr="00764139">
        <w:rPr>
          <w:rtl/>
        </w:rPr>
        <w:t xml:space="preserve"> </w:t>
      </w:r>
      <w:r w:rsidRPr="00764139">
        <w:rPr>
          <w:rFonts w:hint="cs"/>
          <w:rtl/>
        </w:rPr>
        <w:t xml:space="preserve">متماشية مع </w:t>
      </w:r>
      <w:r w:rsidRPr="00764139">
        <w:rPr>
          <w:rtl/>
        </w:rPr>
        <w:t xml:space="preserve">سياسة الاستثمار </w:t>
      </w:r>
      <w:r w:rsidRPr="00764139">
        <w:rPr>
          <w:rFonts w:hint="cs"/>
          <w:rtl/>
        </w:rPr>
        <w:t>السارية</w:t>
      </w:r>
      <w:r w:rsidR="005B1D55">
        <w:rPr>
          <w:rtl/>
        </w:rPr>
        <w:t xml:space="preserve">. وسيتم تحديد </w:t>
      </w:r>
      <w:r>
        <w:rPr>
          <w:rFonts w:hint="cs"/>
          <w:rtl/>
        </w:rPr>
        <w:t xml:space="preserve">إلى أي </w:t>
      </w:r>
      <w:r w:rsidR="005B1D55">
        <w:rPr>
          <w:rtl/>
        </w:rPr>
        <w:t>مدى</w:t>
      </w:r>
      <w:r>
        <w:rPr>
          <w:rFonts w:hint="cs"/>
          <w:rtl/>
        </w:rPr>
        <w:t xml:space="preserve"> يمكن</w:t>
      </w:r>
      <w:r w:rsidR="005B1D55">
        <w:rPr>
          <w:rtl/>
        </w:rPr>
        <w:t xml:space="preserve"> </w:t>
      </w:r>
      <w:r>
        <w:rPr>
          <w:rFonts w:hint="cs"/>
          <w:rtl/>
        </w:rPr>
        <w:t>الاحتفاظ بالمستوى المستهدف</w:t>
      </w:r>
      <w:r w:rsidR="005B1D55">
        <w:rPr>
          <w:rtl/>
        </w:rPr>
        <w:t xml:space="preserve"> </w:t>
      </w:r>
      <w:r>
        <w:rPr>
          <w:rFonts w:hint="cs"/>
          <w:rtl/>
        </w:rPr>
        <w:t>ل</w:t>
      </w:r>
      <w:r w:rsidR="005B1D55">
        <w:rPr>
          <w:rtl/>
        </w:rPr>
        <w:t>لأموال الاحتياطية نقد</w:t>
      </w:r>
      <w:r>
        <w:rPr>
          <w:rFonts w:hint="cs"/>
          <w:rtl/>
        </w:rPr>
        <w:t>ا</w:t>
      </w:r>
      <w:r w:rsidR="005B1D55">
        <w:rPr>
          <w:rtl/>
        </w:rPr>
        <w:t xml:space="preserve"> أو </w:t>
      </w:r>
      <w:r>
        <w:rPr>
          <w:rFonts w:hint="cs"/>
          <w:rtl/>
        </w:rPr>
        <w:t xml:space="preserve">في </w:t>
      </w:r>
      <w:r w:rsidR="005B1D55">
        <w:rPr>
          <w:rtl/>
        </w:rPr>
        <w:t>أصول سائلة أخرى عن طريق أسعار الفائدة السلبية، و</w:t>
      </w:r>
      <w:r>
        <w:rPr>
          <w:rFonts w:hint="cs"/>
          <w:rtl/>
        </w:rPr>
        <w:t>ا</w:t>
      </w:r>
      <w:r w:rsidR="005B1D55">
        <w:rPr>
          <w:rtl/>
        </w:rPr>
        <w:t xml:space="preserve">لعتبات التي </w:t>
      </w:r>
      <w:r>
        <w:rPr>
          <w:rFonts w:hint="cs"/>
          <w:rtl/>
        </w:rPr>
        <w:t>يمكن لل</w:t>
      </w:r>
      <w:r w:rsidR="005B1D55">
        <w:rPr>
          <w:rtl/>
        </w:rPr>
        <w:t xml:space="preserve">مؤسسات </w:t>
      </w:r>
      <w:r>
        <w:rPr>
          <w:rFonts w:hint="cs"/>
          <w:rtl/>
        </w:rPr>
        <w:t>ال</w:t>
      </w:r>
      <w:r w:rsidR="005B1D55">
        <w:rPr>
          <w:rtl/>
        </w:rPr>
        <w:t>مصرفية منح</w:t>
      </w:r>
      <w:r>
        <w:rPr>
          <w:rFonts w:hint="cs"/>
          <w:rtl/>
        </w:rPr>
        <w:t>ها</w:t>
      </w:r>
      <w:r w:rsidR="005B1D55">
        <w:rPr>
          <w:rtl/>
        </w:rPr>
        <w:t xml:space="preserve"> للويبو (إلى</w:t>
      </w:r>
      <w:r>
        <w:rPr>
          <w:rFonts w:hint="cs"/>
          <w:rtl/>
        </w:rPr>
        <w:t xml:space="preserve"> حد العتبات </w:t>
      </w:r>
      <w:r w:rsidR="00723DF0">
        <w:rPr>
          <w:rFonts w:hint="cs"/>
          <w:rtl/>
        </w:rPr>
        <w:t xml:space="preserve">التي تحول دون أن تجذب </w:t>
      </w:r>
      <w:r w:rsidR="005B1D55">
        <w:rPr>
          <w:rtl/>
        </w:rPr>
        <w:t>ودائع</w:t>
      </w:r>
      <w:r w:rsidR="00723DF0">
        <w:rPr>
          <w:rFonts w:hint="cs"/>
          <w:rtl/>
        </w:rPr>
        <w:t>نا م</w:t>
      </w:r>
      <w:r w:rsidR="005B1D55">
        <w:rPr>
          <w:rtl/>
        </w:rPr>
        <w:t xml:space="preserve">عدلات </w:t>
      </w:r>
      <w:r w:rsidR="00723DF0">
        <w:rPr>
          <w:rFonts w:hint="cs"/>
          <w:rtl/>
        </w:rPr>
        <w:t>سلبية</w:t>
      </w:r>
      <w:r w:rsidR="005B1D55">
        <w:rPr>
          <w:rtl/>
        </w:rPr>
        <w:t>) وسياسة الاستثمار.</w:t>
      </w:r>
    </w:p>
    <w:p w:rsidR="005B1D55" w:rsidRPr="00423DD0" w:rsidRDefault="00423DD0" w:rsidP="00423DD0">
      <w:pPr>
        <w:pStyle w:val="NormalParaAR"/>
        <w:keepNext/>
        <w:rPr>
          <w:b/>
          <w:bCs/>
          <w:rtl/>
          <w:lang w:val="fr-CH"/>
        </w:rPr>
      </w:pPr>
      <w:r>
        <w:rPr>
          <w:rFonts w:hint="cs"/>
          <w:b/>
          <w:bCs/>
          <w:rtl/>
          <w:lang w:val="fr-CH"/>
        </w:rPr>
        <w:t>ثانيا (جيم)</w:t>
      </w:r>
      <w:r>
        <w:rPr>
          <w:rFonts w:hint="cs"/>
          <w:b/>
          <w:bCs/>
          <w:rtl/>
          <w:lang w:val="fr-CH"/>
        </w:rPr>
        <w:tab/>
      </w:r>
      <w:r w:rsidR="005B1D55" w:rsidRPr="00423DD0">
        <w:rPr>
          <w:b/>
          <w:bCs/>
          <w:rtl/>
          <w:lang w:val="fr-CH"/>
        </w:rPr>
        <w:t>الإبلاغ عن الأموال الاحتياطية</w:t>
      </w:r>
    </w:p>
    <w:p w:rsidR="005B1D55" w:rsidRDefault="003C020B" w:rsidP="003C020B">
      <w:pPr>
        <w:pStyle w:val="NumberedParaAR"/>
        <w:numPr>
          <w:ilvl w:val="0"/>
          <w:numId w:val="23"/>
        </w:numPr>
        <w:rPr>
          <w:rtl/>
        </w:rPr>
      </w:pPr>
      <w:r>
        <w:rPr>
          <w:rFonts w:hint="cs"/>
          <w:rtl/>
        </w:rPr>
        <w:t xml:space="preserve">يؤدي </w:t>
      </w:r>
      <w:r w:rsidR="005B1D55">
        <w:rPr>
          <w:rtl/>
        </w:rPr>
        <w:t xml:space="preserve">الاحتياطي دورا </w:t>
      </w:r>
      <w:r>
        <w:rPr>
          <w:rFonts w:hint="cs"/>
          <w:rtl/>
        </w:rPr>
        <w:t xml:space="preserve">مركزيا </w:t>
      </w:r>
      <w:r w:rsidR="005B1D55">
        <w:rPr>
          <w:rtl/>
        </w:rPr>
        <w:t>في التخطيط المالي و</w:t>
      </w:r>
      <w:r>
        <w:rPr>
          <w:rFonts w:hint="cs"/>
          <w:rtl/>
        </w:rPr>
        <w:t>ال</w:t>
      </w:r>
      <w:r w:rsidR="005B1D55">
        <w:rPr>
          <w:rtl/>
        </w:rPr>
        <w:t>إدارة</w:t>
      </w:r>
      <w:r>
        <w:rPr>
          <w:rFonts w:hint="cs"/>
          <w:rtl/>
        </w:rPr>
        <w:t xml:space="preserve"> المالية</w:t>
      </w:r>
      <w:r w:rsidR="005B1D55">
        <w:rPr>
          <w:rtl/>
        </w:rPr>
        <w:t xml:space="preserve"> </w:t>
      </w:r>
      <w:r>
        <w:rPr>
          <w:rFonts w:hint="cs"/>
          <w:rtl/>
        </w:rPr>
        <w:t xml:space="preserve">في </w:t>
      </w:r>
      <w:r w:rsidR="005B1D55">
        <w:rPr>
          <w:rtl/>
        </w:rPr>
        <w:t>الويبو و</w:t>
      </w:r>
      <w:r>
        <w:rPr>
          <w:rFonts w:hint="cs"/>
          <w:rtl/>
        </w:rPr>
        <w:t xml:space="preserve">الإبلاغ عنه </w:t>
      </w:r>
      <w:r w:rsidR="005B1D55">
        <w:rPr>
          <w:rtl/>
        </w:rPr>
        <w:t>جزء لا يتجزأ من برنامج وميزانية</w:t>
      </w:r>
      <w:r>
        <w:rPr>
          <w:rFonts w:hint="cs"/>
          <w:rtl/>
        </w:rPr>
        <w:t xml:space="preserve"> الثنائية </w:t>
      </w:r>
      <w:r w:rsidR="005B1D55">
        <w:rPr>
          <w:rtl/>
        </w:rPr>
        <w:t>وال</w:t>
      </w:r>
      <w:r>
        <w:rPr>
          <w:rFonts w:hint="cs"/>
          <w:rtl/>
        </w:rPr>
        <w:t xml:space="preserve">بيانات </w:t>
      </w:r>
      <w:r w:rsidR="005B1D55">
        <w:rPr>
          <w:rtl/>
        </w:rPr>
        <w:t>المالية و</w:t>
      </w:r>
      <w:r>
        <w:rPr>
          <w:rFonts w:hint="cs"/>
          <w:rtl/>
        </w:rPr>
        <w:t>تقرير الإدارة المالية</w:t>
      </w:r>
      <w:r w:rsidR="005B1D55">
        <w:rPr>
          <w:rtl/>
        </w:rPr>
        <w:t>.</w:t>
      </w:r>
    </w:p>
    <w:p w:rsidR="005B1D55" w:rsidRDefault="003C020B" w:rsidP="003C020B">
      <w:pPr>
        <w:pStyle w:val="NumberedParaAR"/>
        <w:numPr>
          <w:ilvl w:val="0"/>
          <w:numId w:val="23"/>
        </w:numPr>
        <w:rPr>
          <w:rtl/>
        </w:rPr>
      </w:pPr>
      <w:r>
        <w:rPr>
          <w:rFonts w:hint="cs"/>
          <w:rtl/>
        </w:rPr>
        <w:t xml:space="preserve">ويقدم </w:t>
      </w:r>
      <w:r w:rsidR="005B1D55">
        <w:rPr>
          <w:rtl/>
        </w:rPr>
        <w:t>برنامج وميزانية</w:t>
      </w:r>
      <w:r>
        <w:rPr>
          <w:rFonts w:hint="cs"/>
          <w:rtl/>
        </w:rPr>
        <w:t xml:space="preserve"> الويبو للثنائية</w:t>
      </w:r>
      <w:r w:rsidR="005B1D55">
        <w:rPr>
          <w:rtl/>
        </w:rPr>
        <w:t xml:space="preserve"> سيناريو الإيرادات والنفقات والنتائج</w:t>
      </w:r>
      <w:r>
        <w:rPr>
          <w:rFonts w:hint="cs"/>
          <w:rtl/>
        </w:rPr>
        <w:t xml:space="preserve"> بحسب كل </w:t>
      </w:r>
      <w:r w:rsidR="005B1D55">
        <w:rPr>
          <w:rtl/>
        </w:rPr>
        <w:t>اتحاد.</w:t>
      </w:r>
    </w:p>
    <w:p w:rsidR="005B1D55" w:rsidRDefault="003C020B" w:rsidP="006768FB">
      <w:pPr>
        <w:pStyle w:val="NumberedParaAR"/>
        <w:numPr>
          <w:ilvl w:val="0"/>
          <w:numId w:val="23"/>
        </w:numPr>
        <w:rPr>
          <w:rtl/>
        </w:rPr>
      </w:pPr>
      <w:r>
        <w:rPr>
          <w:rFonts w:hint="cs"/>
          <w:rtl/>
        </w:rPr>
        <w:t>ويرد تقرير عن الأموال الاحتياطية</w:t>
      </w:r>
      <w:r w:rsidR="005B1D55">
        <w:rPr>
          <w:rtl/>
        </w:rPr>
        <w:t xml:space="preserve"> </w:t>
      </w:r>
      <w:r>
        <w:rPr>
          <w:rFonts w:hint="cs"/>
          <w:rtl/>
        </w:rPr>
        <w:t>ل</w:t>
      </w:r>
      <w:r w:rsidR="005B1D55">
        <w:rPr>
          <w:rtl/>
        </w:rPr>
        <w:t xml:space="preserve">لويبو (صافي الأصول) في </w:t>
      </w:r>
      <w:r>
        <w:rPr>
          <w:rFonts w:hint="cs"/>
          <w:rtl/>
        </w:rPr>
        <w:t xml:space="preserve">البيان الأول من </w:t>
      </w:r>
      <w:r w:rsidR="005B1D55">
        <w:rPr>
          <w:rtl/>
        </w:rPr>
        <w:t>البيان</w:t>
      </w:r>
      <w:r>
        <w:rPr>
          <w:rFonts w:hint="cs"/>
          <w:rtl/>
        </w:rPr>
        <w:t xml:space="preserve">ات المالية </w:t>
      </w:r>
      <w:r w:rsidR="006768FB">
        <w:rPr>
          <w:rFonts w:hint="cs"/>
          <w:rtl/>
        </w:rPr>
        <w:t xml:space="preserve">بشأن </w:t>
      </w:r>
      <w:r>
        <w:rPr>
          <w:rFonts w:hint="cs"/>
          <w:rtl/>
        </w:rPr>
        <w:t>الوضع</w:t>
      </w:r>
      <w:r w:rsidR="005B1D55">
        <w:rPr>
          <w:rtl/>
        </w:rPr>
        <w:t xml:space="preserve"> المالي</w:t>
      </w:r>
      <w:r>
        <w:rPr>
          <w:rFonts w:hint="cs"/>
          <w:rtl/>
        </w:rPr>
        <w:t xml:space="preserve"> </w:t>
      </w:r>
      <w:r w:rsidR="006768FB">
        <w:rPr>
          <w:rFonts w:hint="cs"/>
          <w:rtl/>
        </w:rPr>
        <w:t>و</w:t>
      </w:r>
      <w:r>
        <w:rPr>
          <w:rFonts w:hint="cs"/>
          <w:rtl/>
        </w:rPr>
        <w:t xml:space="preserve">في </w:t>
      </w:r>
      <w:r w:rsidR="005B1D55">
        <w:rPr>
          <w:rtl/>
        </w:rPr>
        <w:t>الملاحظات المرفقة</w:t>
      </w:r>
      <w:r>
        <w:rPr>
          <w:rFonts w:hint="cs"/>
          <w:rtl/>
        </w:rPr>
        <w:t xml:space="preserve"> به</w:t>
      </w:r>
      <w:r w:rsidR="005B1D55">
        <w:rPr>
          <w:rtl/>
        </w:rPr>
        <w:t xml:space="preserve">. </w:t>
      </w:r>
      <w:r>
        <w:rPr>
          <w:rFonts w:hint="cs"/>
          <w:rtl/>
        </w:rPr>
        <w:t xml:space="preserve">ويشمل </w:t>
      </w:r>
      <w:r w:rsidR="005B1D55">
        <w:rPr>
          <w:rtl/>
        </w:rPr>
        <w:t xml:space="preserve">صافي أصول الويبو </w:t>
      </w:r>
      <w:r w:rsidR="006768FB">
        <w:rPr>
          <w:rFonts w:hint="cs"/>
          <w:rtl/>
        </w:rPr>
        <w:t>وفقا</w:t>
      </w:r>
      <w:r w:rsidR="005B1D55">
        <w:rPr>
          <w:rtl/>
        </w:rPr>
        <w:t xml:space="preserve"> </w:t>
      </w:r>
      <w:r w:rsidR="006768FB">
        <w:rPr>
          <w:rFonts w:hint="cs"/>
          <w:rtl/>
        </w:rPr>
        <w:t>ل</w:t>
      </w:r>
      <w:r>
        <w:rPr>
          <w:rFonts w:hint="cs"/>
          <w:rtl/>
        </w:rPr>
        <w:t>لبيانات</w:t>
      </w:r>
      <w:r w:rsidR="005B1D55">
        <w:rPr>
          <w:rtl/>
        </w:rPr>
        <w:t xml:space="preserve"> المالية </w:t>
      </w:r>
      <w:r>
        <w:rPr>
          <w:rFonts w:hint="cs"/>
          <w:rtl/>
        </w:rPr>
        <w:t>أموالها الاحتياطية</w:t>
      </w:r>
      <w:r w:rsidR="005B1D55">
        <w:rPr>
          <w:rtl/>
        </w:rPr>
        <w:t xml:space="preserve"> (الفوائض المتراكمة وفائض إعادة تقييم الاحتياطي</w:t>
      </w:r>
      <w:r>
        <w:rPr>
          <w:rtl/>
        </w:rPr>
        <w:t>) وصناديق رؤوس الأموال العاملة</w:t>
      </w:r>
      <w:r>
        <w:rPr>
          <w:rFonts w:hint="cs"/>
          <w:rtl/>
        </w:rPr>
        <w:t xml:space="preserve">. </w:t>
      </w:r>
      <w:r>
        <w:rPr>
          <w:rtl/>
        </w:rPr>
        <w:t>وصناديق رؤوس الأموال العاملة</w:t>
      </w:r>
      <w:r>
        <w:rPr>
          <w:rFonts w:hint="cs"/>
          <w:rtl/>
        </w:rPr>
        <w:t xml:space="preserve"> </w:t>
      </w:r>
      <w:r>
        <w:rPr>
          <w:rtl/>
        </w:rPr>
        <w:t>التي أنشئت</w:t>
      </w:r>
      <w:r>
        <w:rPr>
          <w:rFonts w:hint="cs"/>
          <w:rtl/>
        </w:rPr>
        <w:t xml:space="preserve"> بموجب اتفاقات معاهدات كل اتحاد </w:t>
      </w:r>
      <w:r>
        <w:rPr>
          <w:rtl/>
        </w:rPr>
        <w:t xml:space="preserve">هي </w:t>
      </w:r>
      <w:r w:rsidR="00066797">
        <w:rPr>
          <w:rFonts w:hint="cs"/>
          <w:rtl/>
        </w:rPr>
        <w:t>صناديق</w:t>
      </w:r>
      <w:r>
        <w:rPr>
          <w:rtl/>
        </w:rPr>
        <w:t xml:space="preserve"> </w:t>
      </w:r>
      <w:r w:rsidR="00066797">
        <w:rPr>
          <w:rFonts w:hint="cs"/>
          <w:rtl/>
        </w:rPr>
        <w:t xml:space="preserve">وضعتها الدول الأعضاء لكل اتحاد </w:t>
      </w:r>
      <w:r>
        <w:rPr>
          <w:rFonts w:hint="cs"/>
          <w:rtl/>
        </w:rPr>
        <w:t>في عهدة</w:t>
      </w:r>
      <w:r>
        <w:rPr>
          <w:rtl/>
        </w:rPr>
        <w:t xml:space="preserve"> الويبو</w:t>
      </w:r>
      <w:r w:rsidR="00066797">
        <w:rPr>
          <w:rFonts w:hint="cs"/>
          <w:rtl/>
        </w:rPr>
        <w:t xml:space="preserve">. وتظل </w:t>
      </w:r>
      <w:r w:rsidR="005B1D55">
        <w:rPr>
          <w:rtl/>
        </w:rPr>
        <w:t xml:space="preserve">متاحة </w:t>
      </w:r>
      <w:r w:rsidR="00066797">
        <w:rPr>
          <w:rFonts w:hint="cs"/>
          <w:rtl/>
        </w:rPr>
        <w:t xml:space="preserve">لأغراض التخصيص </w:t>
      </w:r>
      <w:r w:rsidR="005B1D55">
        <w:rPr>
          <w:rtl/>
        </w:rPr>
        <w:t>بقرار من جمعيات الاتحادات</w:t>
      </w:r>
      <w:r w:rsidR="00066797">
        <w:rPr>
          <w:rFonts w:hint="cs"/>
          <w:rtl/>
        </w:rPr>
        <w:t xml:space="preserve"> في حال وجود </w:t>
      </w:r>
      <w:r w:rsidR="005B1D55">
        <w:rPr>
          <w:rtl/>
        </w:rPr>
        <w:t xml:space="preserve">نقص </w:t>
      </w:r>
      <w:r w:rsidR="00066797">
        <w:rPr>
          <w:rtl/>
        </w:rPr>
        <w:t xml:space="preserve">مؤقت </w:t>
      </w:r>
      <w:r w:rsidR="00066797">
        <w:rPr>
          <w:rFonts w:hint="cs"/>
          <w:rtl/>
        </w:rPr>
        <w:t xml:space="preserve">في </w:t>
      </w:r>
      <w:r w:rsidR="005B1D55">
        <w:rPr>
          <w:rtl/>
        </w:rPr>
        <w:t>السيولة.</w:t>
      </w:r>
    </w:p>
    <w:p w:rsidR="005B1D55" w:rsidRDefault="006768FB" w:rsidP="001D29BA">
      <w:pPr>
        <w:pStyle w:val="NumberedParaAR"/>
        <w:numPr>
          <w:ilvl w:val="0"/>
          <w:numId w:val="23"/>
        </w:numPr>
        <w:rPr>
          <w:rtl/>
        </w:rPr>
      </w:pPr>
      <w:r>
        <w:rPr>
          <w:rFonts w:hint="cs"/>
          <w:rtl/>
        </w:rPr>
        <w:t>و</w:t>
      </w:r>
      <w:r w:rsidR="005B1D55">
        <w:rPr>
          <w:rtl/>
        </w:rPr>
        <w:t>بناء على توصيات مراجع</w:t>
      </w:r>
      <w:r>
        <w:rPr>
          <w:rFonts w:hint="cs"/>
          <w:rtl/>
        </w:rPr>
        <w:t xml:space="preserve"> الحسابات الخارجي</w:t>
      </w:r>
      <w:r w:rsidR="005B1D55">
        <w:rPr>
          <w:rtl/>
        </w:rPr>
        <w:t xml:space="preserve"> بشأن إنشاء </w:t>
      </w:r>
      <w:r w:rsidR="001D7F37">
        <w:rPr>
          <w:rFonts w:hint="cs"/>
          <w:rtl/>
        </w:rPr>
        <w:t>صندوق احتياطي</w:t>
      </w:r>
      <w:r w:rsidR="005B1D55">
        <w:rPr>
          <w:rtl/>
        </w:rPr>
        <w:t xml:space="preserve"> منفصل لتمويل المشاريع، ي</w:t>
      </w:r>
      <w:r>
        <w:rPr>
          <w:rFonts w:hint="cs"/>
          <w:rtl/>
        </w:rPr>
        <w:t>ُ</w:t>
      </w:r>
      <w:r w:rsidR="005B1D55">
        <w:rPr>
          <w:rtl/>
        </w:rPr>
        <w:t>قترح تعزيز الإبلاغ عن</w:t>
      </w:r>
      <w:r>
        <w:rPr>
          <w:rFonts w:hint="cs"/>
          <w:rtl/>
        </w:rPr>
        <w:t xml:space="preserve"> الأموال الاحتياطية</w:t>
      </w:r>
      <w:r w:rsidR="005B1D55">
        <w:rPr>
          <w:rtl/>
        </w:rPr>
        <w:t xml:space="preserve"> </w:t>
      </w:r>
      <w:r>
        <w:rPr>
          <w:rFonts w:hint="cs"/>
          <w:rtl/>
        </w:rPr>
        <w:t>ل</w:t>
      </w:r>
      <w:r w:rsidR="005B1D55">
        <w:rPr>
          <w:rtl/>
        </w:rPr>
        <w:t xml:space="preserve">لويبو. </w:t>
      </w:r>
      <w:r>
        <w:rPr>
          <w:rFonts w:hint="cs"/>
          <w:rtl/>
        </w:rPr>
        <w:t>و</w:t>
      </w:r>
      <w:r w:rsidR="005B1D55">
        <w:rPr>
          <w:rtl/>
        </w:rPr>
        <w:t xml:space="preserve">ستظهر التحسينات </w:t>
      </w:r>
      <w:r>
        <w:rPr>
          <w:rFonts w:hint="cs"/>
          <w:rtl/>
        </w:rPr>
        <w:t>في</w:t>
      </w:r>
      <w:r w:rsidR="005B1D55">
        <w:rPr>
          <w:rtl/>
        </w:rPr>
        <w:t xml:space="preserve"> كل من </w:t>
      </w:r>
      <w:r>
        <w:rPr>
          <w:rFonts w:hint="cs"/>
          <w:rtl/>
        </w:rPr>
        <w:t>البيان المالي بشأن الوضع</w:t>
      </w:r>
      <w:r w:rsidR="005B1D55">
        <w:rPr>
          <w:rtl/>
        </w:rPr>
        <w:t xml:space="preserve"> المالي والملاحظات نفسها، و</w:t>
      </w:r>
      <w:r>
        <w:rPr>
          <w:rFonts w:hint="cs"/>
          <w:rtl/>
        </w:rPr>
        <w:t>سترد بالتحديد</w:t>
      </w:r>
      <w:r w:rsidR="005B1D55">
        <w:rPr>
          <w:rtl/>
        </w:rPr>
        <w:t xml:space="preserve"> </w:t>
      </w:r>
      <w:r>
        <w:rPr>
          <w:rFonts w:hint="cs"/>
          <w:rtl/>
        </w:rPr>
        <w:t xml:space="preserve">في </w:t>
      </w:r>
      <w:r w:rsidR="001D7F37">
        <w:rPr>
          <w:rFonts w:hint="cs"/>
          <w:rtl/>
        </w:rPr>
        <w:t>الملاحظة 21 الحالية</w:t>
      </w:r>
      <w:r w:rsidR="005B1D55">
        <w:rPr>
          <w:rtl/>
        </w:rPr>
        <w:t xml:space="preserve">. </w:t>
      </w:r>
      <w:r w:rsidR="001D7F37">
        <w:rPr>
          <w:rFonts w:hint="cs"/>
          <w:rtl/>
        </w:rPr>
        <w:t>ومن الم</w:t>
      </w:r>
      <w:r w:rsidR="005B1D55">
        <w:rPr>
          <w:rtl/>
        </w:rPr>
        <w:t xml:space="preserve">قترح </w:t>
      </w:r>
      <w:r w:rsidR="001D7F37">
        <w:rPr>
          <w:rFonts w:hint="cs"/>
          <w:rtl/>
        </w:rPr>
        <w:t>إنشاء صندوق احتياطي</w:t>
      </w:r>
      <w:r w:rsidR="001D7F37">
        <w:rPr>
          <w:rtl/>
        </w:rPr>
        <w:t xml:space="preserve"> منفصل </w:t>
      </w:r>
      <w:r w:rsidR="001D7F37">
        <w:rPr>
          <w:rFonts w:hint="cs"/>
          <w:rtl/>
        </w:rPr>
        <w:t>تحت اسم "الصندوق الاحتياطي</w:t>
      </w:r>
      <w:r w:rsidR="001D7F37">
        <w:rPr>
          <w:rtl/>
        </w:rPr>
        <w:t xml:space="preserve"> </w:t>
      </w:r>
      <w:r w:rsidR="001D7F37">
        <w:rPr>
          <w:rFonts w:hint="cs"/>
          <w:rtl/>
        </w:rPr>
        <w:t>ل</w:t>
      </w:r>
      <w:r w:rsidR="005B1D55">
        <w:rPr>
          <w:rtl/>
        </w:rPr>
        <w:t>لمشاريع الخاصة</w:t>
      </w:r>
      <w:r w:rsidR="001D7F37">
        <w:rPr>
          <w:rFonts w:hint="cs"/>
          <w:rtl/>
        </w:rPr>
        <w:t>"</w:t>
      </w:r>
      <w:r w:rsidR="005B1D55">
        <w:rPr>
          <w:rtl/>
        </w:rPr>
        <w:t xml:space="preserve"> الذي سيتضمن اعتمادات </w:t>
      </w:r>
      <w:r w:rsidR="001D7F37">
        <w:rPr>
          <w:rFonts w:hint="cs"/>
          <w:rtl/>
        </w:rPr>
        <w:t>ل</w:t>
      </w:r>
      <w:r w:rsidR="005B1D55">
        <w:rPr>
          <w:rtl/>
        </w:rPr>
        <w:t xml:space="preserve">لمشاريع الممولة من الأموال الاحتياطية </w:t>
      </w:r>
      <w:r w:rsidR="001D7F37">
        <w:rPr>
          <w:rFonts w:hint="cs"/>
          <w:rtl/>
        </w:rPr>
        <w:t xml:space="preserve">بعد خصم </w:t>
      </w:r>
      <w:r w:rsidR="005B1D55">
        <w:rPr>
          <w:rtl/>
        </w:rPr>
        <w:t>النفقات المتراكم</w:t>
      </w:r>
      <w:r w:rsidR="001D7F37">
        <w:rPr>
          <w:rFonts w:hint="cs"/>
          <w:rtl/>
        </w:rPr>
        <w:t>ة</w:t>
      </w:r>
      <w:r w:rsidR="005B1D55">
        <w:rPr>
          <w:rtl/>
        </w:rPr>
        <w:t xml:space="preserve">. </w:t>
      </w:r>
      <w:r w:rsidR="001D7F37">
        <w:rPr>
          <w:rFonts w:hint="cs"/>
          <w:rtl/>
        </w:rPr>
        <w:t xml:space="preserve">وسيعكس </w:t>
      </w:r>
      <w:r w:rsidR="005B1D55">
        <w:rPr>
          <w:rtl/>
        </w:rPr>
        <w:t xml:space="preserve">رصيد </w:t>
      </w:r>
      <w:r w:rsidR="001D7F37">
        <w:rPr>
          <w:rFonts w:hint="cs"/>
          <w:rtl/>
        </w:rPr>
        <w:t xml:space="preserve">الصندوق </w:t>
      </w:r>
      <w:r w:rsidR="005B1D55">
        <w:rPr>
          <w:rtl/>
        </w:rPr>
        <w:t xml:space="preserve">الاحتياطي </w:t>
      </w:r>
      <w:r w:rsidR="001D29BA">
        <w:rPr>
          <w:rFonts w:hint="cs"/>
          <w:rtl/>
        </w:rPr>
        <w:t xml:space="preserve">المبالغ التي يمكن </w:t>
      </w:r>
      <w:r w:rsidR="005B1D55">
        <w:rPr>
          <w:rtl/>
        </w:rPr>
        <w:t xml:space="preserve">استخدامها </w:t>
      </w:r>
      <w:r w:rsidR="001D29BA">
        <w:rPr>
          <w:rFonts w:hint="cs"/>
          <w:rtl/>
        </w:rPr>
        <w:t>لتمويل ال</w:t>
      </w:r>
      <w:r w:rsidR="005B1D55">
        <w:rPr>
          <w:rtl/>
        </w:rPr>
        <w:t xml:space="preserve">مشاريع </w:t>
      </w:r>
      <w:r w:rsidR="001D29BA">
        <w:rPr>
          <w:rFonts w:hint="cs"/>
          <w:rtl/>
        </w:rPr>
        <w:t>المعتمدة</w:t>
      </w:r>
      <w:r w:rsidR="005B1D55">
        <w:rPr>
          <w:rtl/>
        </w:rPr>
        <w:t xml:space="preserve">. </w:t>
      </w:r>
      <w:r w:rsidR="001D29BA">
        <w:rPr>
          <w:rFonts w:hint="cs"/>
          <w:rtl/>
        </w:rPr>
        <w:t>وست</w:t>
      </w:r>
      <w:r w:rsidR="005B1D55">
        <w:rPr>
          <w:rtl/>
        </w:rPr>
        <w:t xml:space="preserve">قيد </w:t>
      </w:r>
      <w:r w:rsidR="001D29BA">
        <w:rPr>
          <w:rFonts w:hint="cs"/>
          <w:rtl/>
        </w:rPr>
        <w:t>المبالغ الم</w:t>
      </w:r>
      <w:r w:rsidR="005B1D55">
        <w:rPr>
          <w:rtl/>
        </w:rPr>
        <w:t xml:space="preserve">رسملة فيما يتعلق </w:t>
      </w:r>
      <w:r w:rsidR="001D29BA">
        <w:rPr>
          <w:rFonts w:hint="cs"/>
          <w:rtl/>
        </w:rPr>
        <w:t>بال</w:t>
      </w:r>
      <w:r w:rsidR="005B1D55">
        <w:rPr>
          <w:rtl/>
        </w:rPr>
        <w:t xml:space="preserve">مشروعات </w:t>
      </w:r>
      <w:r w:rsidR="001D29BA">
        <w:rPr>
          <w:rFonts w:hint="cs"/>
          <w:rtl/>
        </w:rPr>
        <w:t>في الفائض/(العجز)</w:t>
      </w:r>
      <w:r w:rsidR="005B1D55">
        <w:rPr>
          <w:rtl/>
        </w:rPr>
        <w:t xml:space="preserve"> المتراكم</w:t>
      </w:r>
      <w:r w:rsidR="001D29BA">
        <w:rPr>
          <w:rFonts w:hint="cs"/>
          <w:rtl/>
        </w:rPr>
        <w:t>.</w:t>
      </w:r>
    </w:p>
    <w:p w:rsidR="005B1D55" w:rsidRDefault="005B1D55" w:rsidP="00351802">
      <w:pPr>
        <w:pStyle w:val="NumberedParaAR"/>
        <w:numPr>
          <w:ilvl w:val="0"/>
          <w:numId w:val="23"/>
        </w:numPr>
        <w:rPr>
          <w:rtl/>
        </w:rPr>
      </w:pPr>
      <w:r>
        <w:rPr>
          <w:rtl/>
        </w:rPr>
        <w:t xml:space="preserve">ويبين الجدول 1 أدناه </w:t>
      </w:r>
      <w:r w:rsidR="00351802">
        <w:rPr>
          <w:rFonts w:hint="cs"/>
          <w:rtl/>
        </w:rPr>
        <w:t>الشكل الذي كانت ال</w:t>
      </w:r>
      <w:r>
        <w:rPr>
          <w:rtl/>
        </w:rPr>
        <w:t xml:space="preserve">ملاحظة 21 في </w:t>
      </w:r>
      <w:r w:rsidR="00351802">
        <w:rPr>
          <w:rFonts w:hint="cs"/>
          <w:rtl/>
        </w:rPr>
        <w:t>البيانات</w:t>
      </w:r>
      <w:r>
        <w:rPr>
          <w:rtl/>
        </w:rPr>
        <w:t xml:space="preserve"> المالية لعام 2014 </w:t>
      </w:r>
      <w:r w:rsidR="00351802">
        <w:rPr>
          <w:rFonts w:hint="cs"/>
          <w:rtl/>
        </w:rPr>
        <w:t>ستتخذه لو أنشيء</w:t>
      </w:r>
      <w:r>
        <w:rPr>
          <w:rtl/>
        </w:rPr>
        <w:t xml:space="preserve"> </w:t>
      </w:r>
      <w:r w:rsidR="00351802">
        <w:rPr>
          <w:rFonts w:hint="cs"/>
          <w:rtl/>
        </w:rPr>
        <w:t>الصندوق الاحتياطي لل</w:t>
      </w:r>
      <w:r>
        <w:rPr>
          <w:rtl/>
        </w:rPr>
        <w:t>مشاريع</w:t>
      </w:r>
      <w:r w:rsidR="00351802">
        <w:rPr>
          <w:rFonts w:hint="cs"/>
          <w:rtl/>
        </w:rPr>
        <w:t xml:space="preserve"> الخاصة </w:t>
      </w:r>
      <w:r>
        <w:rPr>
          <w:rtl/>
        </w:rPr>
        <w:t>في 2014.</w:t>
      </w:r>
    </w:p>
    <w:p w:rsidR="005B1D55" w:rsidRPr="00AF2751" w:rsidRDefault="005B1D55" w:rsidP="006734CE">
      <w:pPr>
        <w:pStyle w:val="NumberedParaAR"/>
        <w:keepNext/>
        <w:numPr>
          <w:ilvl w:val="0"/>
          <w:numId w:val="0"/>
        </w:numPr>
        <w:jc w:val="center"/>
        <w:rPr>
          <w:b/>
          <w:bCs/>
          <w:rtl/>
        </w:rPr>
      </w:pPr>
      <w:r w:rsidRPr="00AF2751">
        <w:rPr>
          <w:b/>
          <w:bCs/>
          <w:rtl/>
        </w:rPr>
        <w:t>الجدول 1</w:t>
      </w:r>
    </w:p>
    <w:p w:rsidR="000151EC" w:rsidRPr="006734CE" w:rsidRDefault="00AF2751" w:rsidP="006734CE">
      <w:pPr>
        <w:pStyle w:val="NormalParaAR"/>
        <w:keepNext/>
        <w:ind w:left="1133" w:hanging="567"/>
        <w:jc w:val="center"/>
        <w:rPr>
          <w:b/>
          <w:bCs/>
          <w:rtl/>
          <w:lang w:val="fr-CH"/>
        </w:rPr>
      </w:pPr>
      <w:r w:rsidRPr="006734CE">
        <w:rPr>
          <w:rFonts w:hint="cs"/>
          <w:b/>
          <w:bCs/>
          <w:rtl/>
          <w:lang w:val="fr-CH"/>
        </w:rPr>
        <w:t xml:space="preserve">الملاحظة 21: </w:t>
      </w:r>
      <w:r w:rsidRPr="006734CE">
        <w:rPr>
          <w:b/>
          <w:bCs/>
          <w:rtl/>
          <w:lang w:val="fr-CH"/>
        </w:rPr>
        <w:t>الأموال الاحتياطية ورصيد الأموال</w:t>
      </w:r>
    </w:p>
    <w:p w:rsidR="000151EC" w:rsidRDefault="00E521D9" w:rsidP="00C9650A">
      <w:pPr>
        <w:pStyle w:val="NormalParaAR"/>
        <w:spacing w:line="240" w:lineRule="auto"/>
        <w:ind w:left="1134" w:hanging="567"/>
        <w:jc w:val="center"/>
        <w:rPr>
          <w:rtl/>
          <w:lang w:val="fr-CH"/>
        </w:rPr>
      </w:pPr>
      <w:r w:rsidRPr="00E521D9">
        <w:rPr>
          <w:rFonts w:hint="cs"/>
          <w:noProof/>
          <w:rtl/>
        </w:rPr>
        <w:drawing>
          <wp:inline distT="0" distB="0" distL="0" distR="0" wp14:anchorId="0C0D41E1" wp14:editId="73A518FF">
            <wp:extent cx="5940425" cy="226795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267958"/>
                    </a:xfrm>
                    <a:prstGeom prst="rect">
                      <a:avLst/>
                    </a:prstGeom>
                    <a:noFill/>
                    <a:ln>
                      <a:noFill/>
                    </a:ln>
                  </pic:spPr>
                </pic:pic>
              </a:graphicData>
            </a:graphic>
          </wp:inline>
        </w:drawing>
      </w:r>
    </w:p>
    <w:p w:rsidR="00EA630D" w:rsidRDefault="00EA630D" w:rsidP="00EA630D">
      <w:pPr>
        <w:pStyle w:val="NumberedParaAR"/>
        <w:rPr>
          <w:lang w:val="fr-CH"/>
        </w:rPr>
      </w:pPr>
      <w:r>
        <w:rPr>
          <w:rFonts w:hint="cs"/>
          <w:rtl/>
          <w:lang w:val="fr-CH"/>
        </w:rPr>
        <w:t>يبيّن هذا الجدول بوضوح رصيد المبالغ المخصصة للمشروعات في نهاية ديسمبر 2013 وما أنفِق (35.2</w:t>
      </w:r>
      <w:r>
        <w:rPr>
          <w:rFonts w:hint="eastAsia"/>
          <w:rtl/>
          <w:lang w:val="fr-CH"/>
        </w:rPr>
        <w:t> </w:t>
      </w:r>
      <w:r>
        <w:rPr>
          <w:rFonts w:hint="cs"/>
          <w:rtl/>
          <w:lang w:val="fr-CH"/>
        </w:rPr>
        <w:t>مليون فرنك سويسري) على تلك المشروعات خلال عام</w:t>
      </w:r>
      <w:r>
        <w:rPr>
          <w:rFonts w:hint="eastAsia"/>
          <w:rtl/>
          <w:lang w:val="fr-CH"/>
        </w:rPr>
        <w:t> </w:t>
      </w:r>
      <w:r>
        <w:rPr>
          <w:rFonts w:hint="cs"/>
          <w:rtl/>
          <w:lang w:val="fr-CH"/>
        </w:rPr>
        <w:t xml:space="preserve">2014. </w:t>
      </w:r>
      <w:proofErr w:type="spellStart"/>
      <w:r>
        <w:rPr>
          <w:rFonts w:hint="cs"/>
          <w:rtl/>
          <w:lang w:val="fr-CH"/>
        </w:rPr>
        <w:t>ورُسمِل</w:t>
      </w:r>
      <w:proofErr w:type="spellEnd"/>
      <w:r>
        <w:rPr>
          <w:rFonts w:hint="cs"/>
          <w:rtl/>
          <w:lang w:val="fr-CH"/>
        </w:rPr>
        <w:t xml:space="preserve"> جزء من تلك النفقات وفقا للمعايير المحاسبية الدولية للقطاع العام (29.1</w:t>
      </w:r>
      <w:r>
        <w:rPr>
          <w:rFonts w:hint="eastAsia"/>
          <w:rtl/>
          <w:lang w:val="fr-CH"/>
        </w:rPr>
        <w:t> </w:t>
      </w:r>
      <w:r>
        <w:rPr>
          <w:rFonts w:hint="cs"/>
          <w:rtl/>
          <w:lang w:val="fr-CH"/>
        </w:rPr>
        <w:t>مليون فرنك سويسري) وقُيِّد ذلك المبلغ في الفائض المتراكم. ويمثّل الرصيد البالغ 27.2</w:t>
      </w:r>
      <w:r>
        <w:rPr>
          <w:rFonts w:hint="eastAsia"/>
          <w:rtl/>
          <w:lang w:val="fr-CH"/>
        </w:rPr>
        <w:t> </w:t>
      </w:r>
      <w:r>
        <w:rPr>
          <w:rFonts w:hint="cs"/>
          <w:rtl/>
          <w:lang w:val="fr-CH"/>
        </w:rPr>
        <w:t>مليون فرنك سويسري في نهاية عام 2014 المبالغ التي لم تُستخدم بعد لأغراض مشروعات معتمدة فعلا.</w:t>
      </w:r>
    </w:p>
    <w:p w:rsidR="00EA630D" w:rsidRDefault="00EA630D" w:rsidP="00EA630D">
      <w:pPr>
        <w:pStyle w:val="NumberedParaAR"/>
        <w:rPr>
          <w:lang w:val="fr-CH"/>
        </w:rPr>
      </w:pPr>
      <w:r>
        <w:rPr>
          <w:rFonts w:hint="cs"/>
          <w:rtl/>
          <w:lang w:val="fr-CH"/>
        </w:rPr>
        <w:t>وسيُكشف كذلك عن احتياطي المشروعات الخاصة في بيان الوضع المالي، كما هو مبيّن في الجدول</w:t>
      </w:r>
      <w:r>
        <w:rPr>
          <w:rFonts w:hint="eastAsia"/>
          <w:rtl/>
          <w:lang w:val="fr-CH"/>
        </w:rPr>
        <w:t> </w:t>
      </w:r>
      <w:r>
        <w:rPr>
          <w:rFonts w:hint="cs"/>
          <w:rtl/>
          <w:lang w:val="fr-CH"/>
        </w:rPr>
        <w:t>2، الذي يُظهر كيفية الكشف عن الاحتياطي في البيانات المالية لعام</w:t>
      </w:r>
      <w:r>
        <w:rPr>
          <w:rFonts w:hint="eastAsia"/>
          <w:rtl/>
          <w:lang w:val="fr-CH"/>
        </w:rPr>
        <w:t> </w:t>
      </w:r>
      <w:r>
        <w:rPr>
          <w:rFonts w:hint="cs"/>
          <w:rtl/>
          <w:lang w:val="fr-CH"/>
        </w:rPr>
        <w:t>2014.</w:t>
      </w:r>
    </w:p>
    <w:p w:rsidR="006734CE" w:rsidRDefault="00EC077A" w:rsidP="006B524C">
      <w:pPr>
        <w:pStyle w:val="NumberedParaAR"/>
        <w:keepNext/>
        <w:numPr>
          <w:ilvl w:val="0"/>
          <w:numId w:val="0"/>
        </w:numPr>
        <w:jc w:val="center"/>
        <w:rPr>
          <w:b/>
          <w:bCs/>
          <w:rtl/>
        </w:rPr>
      </w:pPr>
      <w:r w:rsidRPr="006B524C">
        <w:rPr>
          <w:rFonts w:hint="cs"/>
          <w:b/>
          <w:bCs/>
          <w:rtl/>
        </w:rPr>
        <w:t>الجدول 2</w:t>
      </w:r>
    </w:p>
    <w:p w:rsidR="006B524C" w:rsidRPr="006B524C" w:rsidRDefault="00EA630D" w:rsidP="006B524C">
      <w:pPr>
        <w:pStyle w:val="NumberedParaAR"/>
        <w:keepNext/>
        <w:numPr>
          <w:ilvl w:val="0"/>
          <w:numId w:val="0"/>
        </w:numPr>
        <w:jc w:val="center"/>
        <w:rPr>
          <w:b/>
          <w:bCs/>
          <w:rtl/>
        </w:rPr>
      </w:pPr>
      <w:r>
        <w:rPr>
          <w:rFonts w:hint="cs"/>
          <w:b/>
          <w:bCs/>
          <w:rtl/>
        </w:rPr>
        <w:t>مقتطف</w:t>
      </w:r>
      <w:r w:rsidR="006B524C">
        <w:rPr>
          <w:rFonts w:hint="cs"/>
          <w:b/>
          <w:bCs/>
          <w:rtl/>
        </w:rPr>
        <w:t xml:space="preserve"> من البيان المالي الأول: بيان الوضع المالي</w:t>
      </w:r>
    </w:p>
    <w:p w:rsidR="00EC077A" w:rsidRDefault="006B524C" w:rsidP="00EC077A">
      <w:pPr>
        <w:pStyle w:val="NormalParaAR"/>
        <w:spacing w:line="240" w:lineRule="auto"/>
        <w:ind w:left="1134" w:hanging="567"/>
        <w:rPr>
          <w:rtl/>
          <w:lang w:val="fr-CH"/>
        </w:rPr>
      </w:pPr>
      <w:r w:rsidRPr="006B524C">
        <w:rPr>
          <w:rFonts w:hint="cs"/>
          <w:noProof/>
          <w:rtl/>
        </w:rPr>
        <w:drawing>
          <wp:inline distT="0" distB="0" distL="0" distR="0" wp14:anchorId="3741921D" wp14:editId="698F213F">
            <wp:extent cx="4646295" cy="2147570"/>
            <wp:effectExtent l="0" t="0" r="190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6295" cy="2147570"/>
                    </a:xfrm>
                    <a:prstGeom prst="rect">
                      <a:avLst/>
                    </a:prstGeom>
                    <a:noFill/>
                    <a:ln>
                      <a:noFill/>
                    </a:ln>
                  </pic:spPr>
                </pic:pic>
              </a:graphicData>
            </a:graphic>
          </wp:inline>
        </w:drawing>
      </w:r>
    </w:p>
    <w:p w:rsidR="00EA630D" w:rsidRDefault="00EA630D" w:rsidP="00EA630D">
      <w:pPr>
        <w:pStyle w:val="NumberedParaAR"/>
        <w:rPr>
          <w:lang w:val="fr-CH"/>
        </w:rPr>
      </w:pPr>
      <w:r>
        <w:rPr>
          <w:rFonts w:hint="cs"/>
          <w:rtl/>
          <w:lang w:val="fr-CH"/>
        </w:rPr>
        <w:t xml:space="preserve">وسيتم الإبلاغ عن التقدم المحرز فيما يخص المشروعات المُموّلة من الأموال الاحتياطية طبقا للقرارات التي تتخذها جمعيات الدول الأعضاء لدى الموافقة على تلك المشروعات. وفيما يخص الإبلاغ المالي، يتمثّل الاقتراح في أن تعكس البيانات المالية، ضمن بيان الوضع المالي وفي الملاحظة المعنونة </w:t>
      </w:r>
      <w:r w:rsidRPr="00851DCD">
        <w:rPr>
          <w:rFonts w:hint="cs"/>
          <w:i/>
          <w:iCs/>
          <w:rtl/>
          <w:lang w:val="fr-CH"/>
        </w:rPr>
        <w:t>الأموال الاحتياطية ورصيد الأموال</w:t>
      </w:r>
      <w:r>
        <w:rPr>
          <w:rFonts w:hint="cs"/>
          <w:rtl/>
          <w:lang w:val="fr-CH"/>
        </w:rPr>
        <w:t xml:space="preserve"> (وهي الملاحظة 21 حاليا)، الرصيد الخاص باحتياطي المشروعات الخاصة والتحركات مقابل الاحتياطي خلال العام، كما هو مبيّن أعلاه، وذلك اعتبارا من 31 ديسمبر 2015. ونوقش هذا الاقتراح بالتفصيل مع مراجعي الحسابات الخارجيين.</w:t>
      </w:r>
    </w:p>
    <w:p w:rsidR="00EA630D" w:rsidRDefault="00EA630D" w:rsidP="00EA630D">
      <w:pPr>
        <w:pStyle w:val="NumberedParaAR"/>
        <w:rPr>
          <w:lang w:val="fr-CH"/>
        </w:rPr>
      </w:pPr>
      <w:r>
        <w:rPr>
          <w:rFonts w:hint="cs"/>
          <w:rtl/>
          <w:lang w:val="fr-CH"/>
        </w:rPr>
        <w:t xml:space="preserve">وتتيح البيانات المالية أيضا تقريرا عن الإيرادات والمصروفات والأموال الاحتياطية بحسب كل قطاع، والقطاعات في حالة الويبو هي اتحاداتها. وأصول الويبو وخصومها هي ملك للمنظمة ككل وليست ملكا لآحاد الاتحادات باستثناء الملكية الاستثمارية لاتحاد مدريد. وبالتالي فإن صافي الأصول الشامل لرؤوس الأموال العاملة والأموال الاحتياطية هو وحده المُبيّن بحسب كل قطاع أو اتحاد. ويتيح تقرير الويبو عن الإدارة المالية ملخصا شاملا بشأن الأداء المالي لكل ثنائية وبحسب كل اتحاد في </w:t>
      </w:r>
      <w:r w:rsidRPr="00A91B20">
        <w:rPr>
          <w:rtl/>
          <w:lang w:val="fr-CH"/>
        </w:rPr>
        <w:t xml:space="preserve">الجزء </w:t>
      </w:r>
      <w:r>
        <w:rPr>
          <w:rFonts w:hint="cs"/>
          <w:rtl/>
          <w:lang w:val="fr-CH"/>
        </w:rPr>
        <w:t xml:space="preserve">المُعنون </w:t>
      </w:r>
      <w:r w:rsidRPr="00A91B20">
        <w:rPr>
          <w:rtl/>
          <w:lang w:val="fr-CH"/>
        </w:rPr>
        <w:t>"ملخص النتائج بحسب كل اتحاد"</w:t>
      </w:r>
      <w:r>
        <w:rPr>
          <w:rFonts w:hint="cs"/>
          <w:rtl/>
          <w:lang w:val="fr-CH"/>
        </w:rPr>
        <w:t>. ويشتمل ذلك الملخص على الأموال الاحتياطية وصناديق رؤوس الأموال العاملة (الاحتياطي) في نهاية الثنائية.</w:t>
      </w:r>
    </w:p>
    <w:p w:rsidR="00EA630D" w:rsidRPr="006A59CA" w:rsidRDefault="00EA630D" w:rsidP="00EA630D">
      <w:pPr>
        <w:pStyle w:val="NumberedParaAR"/>
        <w:numPr>
          <w:ilvl w:val="0"/>
          <w:numId w:val="0"/>
        </w:numPr>
        <w:rPr>
          <w:b/>
          <w:bCs/>
          <w:rtl/>
          <w:lang w:val="fr-CH"/>
        </w:rPr>
      </w:pPr>
      <w:r w:rsidRPr="006A59CA">
        <w:rPr>
          <w:rFonts w:hint="cs"/>
          <w:b/>
          <w:bCs/>
          <w:rtl/>
          <w:lang w:val="fr-CH"/>
        </w:rPr>
        <w:t>ثانيا. (دال)</w:t>
      </w:r>
      <w:r w:rsidRPr="006A59CA">
        <w:rPr>
          <w:b/>
          <w:bCs/>
          <w:rtl/>
          <w:lang w:val="fr-CH"/>
        </w:rPr>
        <w:tab/>
      </w:r>
      <w:r w:rsidRPr="006A59CA">
        <w:rPr>
          <w:rFonts w:hint="cs"/>
          <w:b/>
          <w:bCs/>
          <w:rtl/>
          <w:lang w:val="fr-CH"/>
        </w:rPr>
        <w:t xml:space="preserve">استخدام الأموال الاحتياطية </w:t>
      </w:r>
      <w:r w:rsidRPr="006A59CA">
        <w:rPr>
          <w:b/>
          <w:bCs/>
          <w:rtl/>
          <w:lang w:val="fr-CH"/>
        </w:rPr>
        <w:t>–</w:t>
      </w:r>
      <w:r w:rsidRPr="006A59CA">
        <w:rPr>
          <w:rFonts w:hint="cs"/>
          <w:b/>
          <w:bCs/>
          <w:rtl/>
          <w:lang w:val="fr-CH"/>
        </w:rPr>
        <w:t xml:space="preserve"> المبادئ وآلية الموافقة</w:t>
      </w:r>
    </w:p>
    <w:p w:rsidR="00EA630D" w:rsidRDefault="00EA630D" w:rsidP="00EA630D">
      <w:pPr>
        <w:pStyle w:val="NumberedParaAR"/>
        <w:rPr>
          <w:lang w:val="fr-CH"/>
        </w:rPr>
      </w:pPr>
      <w:r>
        <w:rPr>
          <w:rFonts w:hint="cs"/>
          <w:rtl/>
          <w:lang w:val="fr-CH"/>
        </w:rPr>
        <w:t>يخضع استخدام الأموال الاحتياطية، في المقام الأول، للمبادئ المنصوص عليها في نظام الويبو المالي ولائحته (النظام واللائحة).</w:t>
      </w:r>
    </w:p>
    <w:p w:rsidR="00EA630D" w:rsidRDefault="00EA630D" w:rsidP="00EA630D">
      <w:pPr>
        <w:pStyle w:val="NumberedParaAR"/>
        <w:rPr>
          <w:lang w:val="fr-CH"/>
        </w:rPr>
      </w:pPr>
      <w:r>
        <w:rPr>
          <w:rFonts w:hint="cs"/>
          <w:rtl/>
          <w:lang w:val="fr-CH"/>
        </w:rPr>
        <w:t xml:space="preserve">وطبقا لإطار الويبو التنظيمي، ترد أدناه مجموعة المبادئ المراجعة التي ستُطبّق لأغراض استخدام الأموال الاحتياطية. وما دفع على إجراء تلك المراجعات مبدآ إدارة المخاطر المالية و الاستدامة المالية ونداءات قوية من عدة دول أعضاء بشأن الحاجة إلى حصر استخدام الأموال الاحتياطية، بشكل صارم، في النفقات غير المتكرّرة وغير العادية. وتحدّد المراجعات المقترحة ما يلي: </w:t>
      </w:r>
    </w:p>
    <w:p w:rsidR="00EA630D" w:rsidRDefault="00EA630D" w:rsidP="00EA630D">
      <w:pPr>
        <w:pStyle w:val="NumberedParaAR"/>
        <w:numPr>
          <w:ilvl w:val="0"/>
          <w:numId w:val="0"/>
        </w:numPr>
        <w:ind w:left="1134" w:hanging="567"/>
        <w:rPr>
          <w:rtl/>
          <w:lang w:val="fr-CH"/>
        </w:rPr>
      </w:pPr>
      <w:r>
        <w:rPr>
          <w:rFonts w:hint="cs"/>
          <w:rtl/>
          <w:lang w:val="fr-CH"/>
        </w:rPr>
        <w:t>"1"</w:t>
      </w:r>
      <w:r>
        <w:rPr>
          <w:rtl/>
          <w:lang w:val="fr-CH"/>
        </w:rPr>
        <w:tab/>
      </w:r>
      <w:r>
        <w:rPr>
          <w:rFonts w:hint="cs"/>
          <w:rtl/>
          <w:lang w:val="fr-CH"/>
        </w:rPr>
        <w:t>تعريف أدق للأموال الاحتياطية المتاحة؛</w:t>
      </w:r>
    </w:p>
    <w:p w:rsidR="00EA630D" w:rsidRDefault="00EA630D" w:rsidP="00EA630D">
      <w:pPr>
        <w:pStyle w:val="NumberedParaAR"/>
        <w:numPr>
          <w:ilvl w:val="0"/>
          <w:numId w:val="0"/>
        </w:numPr>
        <w:ind w:left="1134" w:hanging="567"/>
        <w:rPr>
          <w:rtl/>
          <w:lang w:val="fr-CH"/>
        </w:rPr>
      </w:pPr>
      <w:r>
        <w:rPr>
          <w:rFonts w:hint="cs"/>
          <w:rtl/>
          <w:lang w:val="fr-CH"/>
        </w:rPr>
        <w:t>"2"</w:t>
      </w:r>
      <w:r>
        <w:rPr>
          <w:rtl/>
          <w:lang w:val="fr-CH"/>
        </w:rPr>
        <w:tab/>
      </w:r>
      <w:r>
        <w:rPr>
          <w:rFonts w:hint="cs"/>
          <w:rtl/>
          <w:lang w:val="fr-CH"/>
        </w:rPr>
        <w:t>تعريف أدق وأوضح لأنواع فئات المشروعات التي يمكن اقتراح تمويلها من الأموال الاحتياطية؛</w:t>
      </w:r>
    </w:p>
    <w:p w:rsidR="00EA630D" w:rsidRDefault="00EA630D" w:rsidP="00EA630D">
      <w:pPr>
        <w:pStyle w:val="NumberedParaAR"/>
        <w:numPr>
          <w:ilvl w:val="0"/>
          <w:numId w:val="0"/>
        </w:numPr>
        <w:ind w:left="1134" w:hanging="567"/>
        <w:rPr>
          <w:rtl/>
          <w:lang w:val="fr-CH"/>
        </w:rPr>
      </w:pPr>
      <w:r>
        <w:rPr>
          <w:rFonts w:hint="cs"/>
          <w:rtl/>
          <w:lang w:val="fr-CH"/>
        </w:rPr>
        <w:t>"3"</w:t>
      </w:r>
      <w:r>
        <w:rPr>
          <w:rtl/>
          <w:lang w:val="fr-CH"/>
        </w:rPr>
        <w:tab/>
      </w:r>
      <w:r>
        <w:rPr>
          <w:rFonts w:hint="cs"/>
          <w:rtl/>
          <w:lang w:val="fr-CH"/>
        </w:rPr>
        <w:t>إرشادات أوضح بشأن المعايير الأساسية التي ينبغي إدراجها في اقتراحات استخدام الأموال الاحتياطية بما في ذلك مراعاة أشمل لتكاليف المشروعات لا تنطوي على تكاليف كامل دورة حياة المشروع فحسب، بل كذلك على عرض واضح للنفقات المتكرّرة التي ستكون المنظمة ملزمة بها نتيجة إنجاز المشروع. وهذا يتفق أيضا مع ملاحظات وتوصيات مراجعي الحسابات الخارجيين.</w:t>
      </w:r>
    </w:p>
    <w:p w:rsidR="00EA630D" w:rsidRDefault="00EA630D" w:rsidP="00EA630D">
      <w:pPr>
        <w:pStyle w:val="NumberedParaAR"/>
        <w:rPr>
          <w:lang w:val="fr-CH"/>
        </w:rPr>
      </w:pPr>
      <w:r>
        <w:rPr>
          <w:rFonts w:hint="cs"/>
          <w:rtl/>
          <w:lang w:val="fr-CH"/>
        </w:rPr>
        <w:t>ويظلّ الاستخدام الأساسي للمستوى المستهدف من أموال المنظمة الاحتياطية تمويل العجز الذي قد يحدث في ثنائية ما في حال انخفضت الإيرادات بدرجة تؤدي إلى تجاوز النفقات الفعلية الإيرادات الفعلية. وبقيت أموال الويبو الاحتياطية وصناديق رؤوس أموالها العاملة، باستمرار، فوق المستوى المستهدف (انظر أدناه الشكل المعنون "تطور وضع الويبو المالي في الفترة 1998-2014").</w:t>
      </w:r>
    </w:p>
    <w:p w:rsidR="00EA630D" w:rsidRDefault="00EA630D" w:rsidP="00EA630D">
      <w:pPr>
        <w:pStyle w:val="NumberedParaAR"/>
        <w:rPr>
          <w:lang w:val="fr-CH"/>
        </w:rPr>
      </w:pPr>
      <w:r>
        <w:rPr>
          <w:rFonts w:hint="cs"/>
          <w:rtl/>
          <w:lang w:val="fr-CH"/>
        </w:rPr>
        <w:t>وتقرَّر، في عام 2000، أنه يجوز للمدير العام أو الدول الأعضاء اقتراح أنشطة مشروعات تُموَّل من الفائض المتاح لتوافق عليها الجمعية العامة للويبو أو جمعية الاتحاد المعني، حسب الحال. وفي عام 2010، وافقت الدول الأعضاء على مجموعة من المبادئ الخاصة باستخدام الأموال الاحتياطية (انظر الوثيقة</w:t>
      </w:r>
      <w:r>
        <w:rPr>
          <w:rFonts w:hint="eastAsia"/>
          <w:rtl/>
          <w:lang w:val="fr-CH"/>
        </w:rPr>
        <w:t> </w:t>
      </w:r>
      <w:r w:rsidRPr="00B172F2">
        <w:rPr>
          <w:lang w:val="fr-CH"/>
        </w:rPr>
        <w:t>WO/PBC/15/7/REV</w:t>
      </w:r>
      <w:r w:rsidRPr="00B172F2">
        <w:rPr>
          <w:rFonts w:hint="cs"/>
          <w:rtl/>
          <w:lang w:val="fr-CH"/>
        </w:rPr>
        <w:t xml:space="preserve">). </w:t>
      </w:r>
      <w:r>
        <w:rPr>
          <w:rFonts w:hint="cs"/>
          <w:rtl/>
          <w:lang w:val="fr-CH"/>
        </w:rPr>
        <w:t>وتورد الفقرات التالية المبادئ المراجعة التي ستوجّه استخدام الأموال الاحتياطية.</w:t>
      </w:r>
    </w:p>
    <w:p w:rsidR="00EA630D" w:rsidRDefault="00EA630D" w:rsidP="00EA630D">
      <w:pPr>
        <w:pStyle w:val="NumberedParaAR"/>
        <w:rPr>
          <w:lang w:val="fr-CH"/>
        </w:rPr>
      </w:pPr>
      <w:r>
        <w:rPr>
          <w:rFonts w:hint="cs"/>
          <w:rtl/>
          <w:lang w:val="fr-CH"/>
        </w:rPr>
        <w:t>ويجب على المنظمة، لدى تقديم اقتراحات لاستخدام الأموال الاحتياطية، ضمان ألا يسفر ذلك الاستخدام عن انخفاض مستوى الاحتياطي إلى دون المستوى المستهدف. وبناء عليه، يرد المبدأ الأول أدناه.</w:t>
      </w:r>
    </w:p>
    <w:p w:rsidR="00EA630D" w:rsidRPr="000F10CC" w:rsidRDefault="00EA630D" w:rsidP="00EA630D">
      <w:pPr>
        <w:pStyle w:val="NumberedParaAR"/>
        <w:numPr>
          <w:ilvl w:val="0"/>
          <w:numId w:val="0"/>
        </w:numPr>
        <w:ind w:left="566"/>
        <w:rPr>
          <w:b/>
          <w:bCs/>
          <w:i/>
          <w:iCs/>
          <w:rtl/>
          <w:lang w:val="fr-CH"/>
        </w:rPr>
      </w:pPr>
      <w:r w:rsidRPr="000F10CC">
        <w:rPr>
          <w:rFonts w:hint="cs"/>
          <w:b/>
          <w:bCs/>
          <w:i/>
          <w:iCs/>
          <w:rtl/>
          <w:lang w:val="fr-CH"/>
        </w:rPr>
        <w:t>المبدأ 1:</w:t>
      </w:r>
      <w:r>
        <w:rPr>
          <w:rFonts w:hint="cs"/>
          <w:b/>
          <w:bCs/>
          <w:i/>
          <w:iCs/>
          <w:rtl/>
          <w:lang w:val="fr-CH"/>
        </w:rPr>
        <w:t xml:space="preserve"> </w:t>
      </w:r>
      <w:r w:rsidRPr="000F10CC">
        <w:rPr>
          <w:rFonts w:hint="cs"/>
          <w:b/>
          <w:bCs/>
          <w:i/>
          <w:iCs/>
          <w:rtl/>
          <w:lang w:val="fr-CH"/>
        </w:rPr>
        <w:t xml:space="preserve"> ينبغي ألا تتعلق اقتراحات استخدام الاحتياطي سوى بالمبالغ المتاحة في الاحتياطي التي تتجاوز المستوى المستهدف الذي تقتضيه سياسة الويبو بشأن الأموال الاحتياطية. وذلك ينطبق على مستوى آحاد الاتحادات ومستوى المنظمة ككل على السواء.</w:t>
      </w:r>
    </w:p>
    <w:p w:rsidR="00EA630D" w:rsidRDefault="00EA630D" w:rsidP="00EA630D">
      <w:pPr>
        <w:pStyle w:val="NumberedParaAR"/>
        <w:rPr>
          <w:lang w:val="fr-CH"/>
        </w:rPr>
      </w:pPr>
      <w:r>
        <w:rPr>
          <w:rFonts w:hint="cs"/>
          <w:rtl/>
          <w:lang w:val="fr-CH"/>
        </w:rPr>
        <w:t>ويجب أن يكون حساب المبالغ المتاحة التي تتجاوز المستوى المستهدف واضحا وشفافا وحذرا. وبناء عليه، يرد أدناه المبدأ الثاني الخاص باستخدام الأموال الاحتياطية والذي يتيح نهجا واضحا وأكثر حذرا تجاه حساب الأموال الاحتياطية المتاحة.</w:t>
      </w:r>
    </w:p>
    <w:p w:rsidR="00EA630D" w:rsidRPr="00DE237F" w:rsidRDefault="00EA630D" w:rsidP="00EA630D">
      <w:pPr>
        <w:pStyle w:val="NumberedParaAR"/>
        <w:numPr>
          <w:ilvl w:val="0"/>
          <w:numId w:val="0"/>
        </w:numPr>
        <w:ind w:left="566"/>
        <w:rPr>
          <w:b/>
          <w:bCs/>
          <w:i/>
          <w:iCs/>
          <w:rtl/>
          <w:lang w:val="fr-CH"/>
        </w:rPr>
      </w:pPr>
      <w:r w:rsidRPr="00DE237F">
        <w:rPr>
          <w:rFonts w:hint="cs"/>
          <w:b/>
          <w:bCs/>
          <w:i/>
          <w:iCs/>
          <w:rtl/>
          <w:lang w:val="fr-CH"/>
        </w:rPr>
        <w:t xml:space="preserve">المبدأ 2:  سيستند حساب الأموال الاحتياطية المتاحة إلى المعلومات الخاصة بمستويات الاحتياطي والواردة في أحدث </w:t>
      </w:r>
      <w:r>
        <w:rPr>
          <w:rFonts w:hint="cs"/>
          <w:b/>
          <w:bCs/>
          <w:i/>
          <w:iCs/>
          <w:rtl/>
          <w:lang w:val="fr-CH"/>
        </w:rPr>
        <w:t>ال</w:t>
      </w:r>
      <w:r w:rsidRPr="00DE237F">
        <w:rPr>
          <w:rFonts w:hint="cs"/>
          <w:b/>
          <w:bCs/>
          <w:i/>
          <w:iCs/>
          <w:rtl/>
          <w:lang w:val="fr-CH"/>
        </w:rPr>
        <w:t xml:space="preserve">بيانات </w:t>
      </w:r>
      <w:r>
        <w:rPr>
          <w:rFonts w:hint="cs"/>
          <w:b/>
          <w:bCs/>
          <w:i/>
          <w:iCs/>
          <w:rtl/>
          <w:lang w:val="fr-CH"/>
        </w:rPr>
        <w:t>ال</w:t>
      </w:r>
      <w:r w:rsidRPr="00DE237F">
        <w:rPr>
          <w:rFonts w:hint="cs"/>
          <w:b/>
          <w:bCs/>
          <w:i/>
          <w:iCs/>
          <w:rtl/>
          <w:lang w:val="fr-CH"/>
        </w:rPr>
        <w:t xml:space="preserve">مالية ويجب أن يراعي حق المراعاة النفقات الفعلية والنفقات المُتعهّد بها والنفقات المُخطّطة من الأموال الاحتياطية للفترة (الفترات) المالية التي سيُنفذ خلالها المشروع المقترح. وسيتم استثناء فائض إعادة تقييم الاحتياطي (الناشئ عن إعادة تقييم الأرض التي بُني عليها المبنى الجديد) وصناديق رؤوس الأموال العاملة (التي أنشئت </w:t>
      </w:r>
      <w:r>
        <w:rPr>
          <w:rFonts w:hint="cs"/>
          <w:b/>
          <w:bCs/>
          <w:i/>
          <w:iCs/>
          <w:rtl/>
          <w:lang w:val="fr-CH"/>
        </w:rPr>
        <w:t>بواسطة</w:t>
      </w:r>
      <w:r w:rsidRPr="00DE237F">
        <w:rPr>
          <w:rFonts w:hint="cs"/>
          <w:b/>
          <w:bCs/>
          <w:i/>
          <w:iCs/>
          <w:rtl/>
          <w:lang w:val="fr-CH"/>
        </w:rPr>
        <w:t xml:space="preserve"> اشتراكات الدول الأعضاء) من حساب المبالغ المتاحة</w:t>
      </w:r>
      <w:r>
        <w:rPr>
          <w:rFonts w:hint="cs"/>
          <w:b/>
          <w:bCs/>
          <w:i/>
          <w:iCs/>
          <w:rtl/>
          <w:lang w:val="fr-CH"/>
        </w:rPr>
        <w:t xml:space="preserve"> الزائدة على </w:t>
      </w:r>
      <w:r w:rsidRPr="00DE237F">
        <w:rPr>
          <w:rFonts w:hint="cs"/>
          <w:b/>
          <w:bCs/>
          <w:i/>
          <w:iCs/>
          <w:rtl/>
          <w:lang w:val="fr-CH"/>
        </w:rPr>
        <w:t>مستوى الاحتياطي المستهدف.</w:t>
      </w:r>
    </w:p>
    <w:p w:rsidR="00EA630D" w:rsidRDefault="00EA630D" w:rsidP="00EA630D">
      <w:pPr>
        <w:pStyle w:val="NumberedParaAR"/>
        <w:rPr>
          <w:lang w:val="fr-CH"/>
        </w:rPr>
      </w:pPr>
      <w:r>
        <w:rPr>
          <w:rFonts w:hint="cs"/>
          <w:rtl/>
          <w:lang w:val="fr-CH"/>
        </w:rPr>
        <w:t>وقد يتعيّن استخدام أموال المنظمة الاحتياطية لتمويل عجز قد يحدث في ثنائية ما في حال تجاوزت النفقات الفعلية الإيرادات الفعلية، وبالتالي لا ينبغي استخدامها لتضخيم التمويل المتاح للنفقات التشغيلية والنفقات المتكرّرة. ويعطي العجز المخطّط شعورا خاطئا بتوافر الموارد على المدى البعيد، وقد يفضي إلى التعهّد بالتزامات على أجل أطول (مثل موارد الموظفين) بتمويل قصير الأجل أو غير عادي. وإذا ما رُكّز بوجه خاص على تكاليف الموظفين التي تمثّل ثلثي تكاليف الويبو تقريبا، فإن ذلك قد يشكّل خطرا كبيرا على المنظمة. وبناء عليه، يرد أدناه المبدأ الثالث الخاص باقتراحات استخدام الأموال الاحتياطية.</w:t>
      </w:r>
    </w:p>
    <w:p w:rsidR="00EA630D" w:rsidRPr="002928C2" w:rsidRDefault="00EA630D" w:rsidP="00EA630D">
      <w:pPr>
        <w:pStyle w:val="NumberedParaAR"/>
        <w:numPr>
          <w:ilvl w:val="0"/>
          <w:numId w:val="0"/>
        </w:numPr>
        <w:ind w:left="566"/>
        <w:rPr>
          <w:b/>
          <w:bCs/>
          <w:i/>
          <w:iCs/>
          <w:rtl/>
          <w:lang w:val="fr-CH"/>
        </w:rPr>
      </w:pPr>
      <w:r w:rsidRPr="002928C2">
        <w:rPr>
          <w:rFonts w:hint="cs"/>
          <w:b/>
          <w:bCs/>
          <w:i/>
          <w:iCs/>
          <w:rtl/>
          <w:lang w:val="fr-CH"/>
        </w:rPr>
        <w:t>المبدأ 3:  ينبغي أن تتعلق اقتراحات استخدام الأموال الاحتياطية بمشروعات رأسمالية ونفقات غير متكرّرة وغير عادية، وفي ظروف استثنائية، بمبادرات استراتيجية كما تقرّره جمعيات اتحادات الويبو. 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p>
    <w:p w:rsidR="00EA630D" w:rsidRDefault="00EA630D" w:rsidP="00EA630D">
      <w:pPr>
        <w:pStyle w:val="NumberedParaAR"/>
        <w:rPr>
          <w:lang w:val="fr-CH"/>
        </w:rPr>
      </w:pPr>
      <w:r>
        <w:rPr>
          <w:rFonts w:hint="cs"/>
          <w:rtl/>
          <w:lang w:val="fr-CH"/>
        </w:rPr>
        <w:t>وقد تؤثّر المشروعات المُموّلة من الأموال الاحتياطية سلبا في مستويات سيولة الأموال الاحتياطية. وبالإضافة إلى ذلك ستسفر تلك المشروعات، بعدما تُنجز، عن مستوى معيّن ومتواصل من الاحتياجات المتكرّرة من الموارد. ولا بدّ أن تتخذ الدول الأعضاء قرارات بشأن استخدام الأموال الاحتياطية بالاستناد إلى معلومات شاملة وفهم تام لأثر قراراتها على الإدارة المالية للمنظمة. وبناء عليه، يرد أدناه المبدأ الرابع الخاص باقتراحات استخدام الأموال الاحتياطية:</w:t>
      </w:r>
    </w:p>
    <w:p w:rsidR="00EA630D" w:rsidRPr="009C54BF" w:rsidRDefault="00EA630D" w:rsidP="00EA630D">
      <w:pPr>
        <w:pStyle w:val="NumberedParaAR"/>
        <w:numPr>
          <w:ilvl w:val="0"/>
          <w:numId w:val="0"/>
        </w:numPr>
        <w:ind w:left="566"/>
        <w:rPr>
          <w:b/>
          <w:bCs/>
          <w:i/>
          <w:iCs/>
          <w:rtl/>
          <w:lang w:val="fr-CH"/>
        </w:rPr>
      </w:pPr>
      <w:r w:rsidRPr="009C54BF">
        <w:rPr>
          <w:rFonts w:hint="cs"/>
          <w:b/>
          <w:bCs/>
          <w:i/>
          <w:iCs/>
          <w:rtl/>
          <w:lang w:val="fr-CH"/>
        </w:rPr>
        <w:t>المبدأ 4:  ينبغي إعداد اقتراحات استخدام الأموال الاحتياطية بطريقة شاملة وبالاستناد إلى معلومات عن تكاليف كامل دورات حياة المشروعات، والفوائد المقدّرة (التي قد تكون ذات طبيعة مالية ونوعية على حد سواء)، والنفقات المتكرّرة التي ستكون المنظمة ملزمة برصد موارد لها في إطار الميزانية العادية في الثنائيات اللاحقة، والأثر على التدفقات النقدية ومستويات سيولة الأموال الاحتياطية.</w:t>
      </w:r>
    </w:p>
    <w:p w:rsidR="00EA630D" w:rsidRDefault="00EA630D" w:rsidP="00EA630D">
      <w:pPr>
        <w:pStyle w:val="NumberedParaAR"/>
        <w:rPr>
          <w:lang w:val="fr-CH"/>
        </w:rPr>
      </w:pPr>
      <w:r>
        <w:rPr>
          <w:rFonts w:hint="cs"/>
          <w:rtl/>
          <w:lang w:val="fr-CH"/>
        </w:rPr>
        <w:t>وعلى عكس المشروعات والأنشطة المدرجة ضمن الميزانية العادية والتي لا تُخصّص لها موارد سوى طيلة الثنائية التي اعتُمدت لها، قد تمتد المشروعات المُموّلة من أموال المنظمة الاحتياطية، كما ورد شرحه في المبدأ 4 أعلاه، على فترة تتجاوز ثنائية واحدة ويجب التزام الحذر لضمان استمرار توافر التمويل للمشروعات المعتمدة طيلة فترة إنجاز كل من المشروعات/المبادرات التي وافقت عليها الدول الأعضاء، ممّا يكفل إنجازها الفعلي. وبناء عليه، يرد أدناه المبدأ الخامس الخاص باقتراحات استخدام الأموال الاحتياطية.</w:t>
      </w:r>
    </w:p>
    <w:p w:rsidR="00EA630D" w:rsidRPr="00420E4D" w:rsidRDefault="00EA630D" w:rsidP="00EA630D">
      <w:pPr>
        <w:pStyle w:val="NumberedParaAR"/>
        <w:numPr>
          <w:ilvl w:val="0"/>
          <w:numId w:val="0"/>
        </w:numPr>
        <w:ind w:left="566"/>
        <w:rPr>
          <w:b/>
          <w:bCs/>
          <w:i/>
          <w:iCs/>
          <w:rtl/>
          <w:lang w:val="fr-CH"/>
        </w:rPr>
      </w:pPr>
      <w:r w:rsidRPr="00420E4D">
        <w:rPr>
          <w:rFonts w:hint="cs"/>
          <w:b/>
          <w:bCs/>
          <w:i/>
          <w:iCs/>
          <w:rtl/>
          <w:lang w:val="fr-CH"/>
        </w:rPr>
        <w:t>المبدأ 5:  يجوز أن تتعلق اقتراحات استخدام الأموال الاحتياطية بمشروعات ومبادرات تخرج عن نطاق الفترة المالية الثنائية السنتين للمنظمة وتشمل، أو تدوم، فترة إنجازها أكثر من ثنائية واحدة.</w:t>
      </w:r>
    </w:p>
    <w:p w:rsidR="00EA630D" w:rsidRPr="00420E4D" w:rsidRDefault="00EA630D" w:rsidP="00EA630D">
      <w:pPr>
        <w:pStyle w:val="NumberedParaAR"/>
        <w:numPr>
          <w:ilvl w:val="0"/>
          <w:numId w:val="0"/>
        </w:numPr>
        <w:rPr>
          <w:b/>
          <w:bCs/>
          <w:rtl/>
          <w:lang w:val="fr-CH"/>
        </w:rPr>
      </w:pPr>
      <w:r w:rsidRPr="00420E4D">
        <w:rPr>
          <w:rFonts w:hint="cs"/>
          <w:b/>
          <w:bCs/>
          <w:rtl/>
          <w:lang w:val="fr-CH"/>
        </w:rPr>
        <w:t xml:space="preserve">ثالثا. (باء) </w:t>
      </w:r>
      <w:r w:rsidRPr="00420E4D">
        <w:rPr>
          <w:b/>
          <w:bCs/>
          <w:rtl/>
          <w:lang w:val="fr-CH"/>
        </w:rPr>
        <w:tab/>
      </w:r>
      <w:r w:rsidRPr="00420E4D">
        <w:rPr>
          <w:rFonts w:hint="cs"/>
          <w:b/>
          <w:bCs/>
          <w:rtl/>
          <w:lang w:val="fr-CH"/>
        </w:rPr>
        <w:t>آلية الموافقة على اقتراحات استخدام الأموال الاحتياطية</w:t>
      </w:r>
    </w:p>
    <w:p w:rsidR="00EA630D" w:rsidRDefault="00EA630D" w:rsidP="00EA630D">
      <w:pPr>
        <w:pStyle w:val="NumberedParaAR"/>
        <w:rPr>
          <w:lang w:val="fr-CH"/>
        </w:rPr>
      </w:pPr>
      <w:r>
        <w:rPr>
          <w:rFonts w:hint="cs"/>
          <w:rtl/>
          <w:lang w:val="fr-CH"/>
        </w:rPr>
        <w:t>يجوز أن تُقدم اقتراحات استخدام أموال المنظمة الاحتياطية المتاحة من قبل المدير العام أو الدول الأعضاء إلى جمعيات الدول الأعضاء وجمعيات الاتحادات، كل فيما يعنيه.</w:t>
      </w:r>
    </w:p>
    <w:p w:rsidR="00EA630D" w:rsidRPr="00D85BB4" w:rsidRDefault="00EA630D" w:rsidP="00EA630D">
      <w:pPr>
        <w:pStyle w:val="NumberedParaAR"/>
        <w:numPr>
          <w:ilvl w:val="0"/>
          <w:numId w:val="0"/>
        </w:numPr>
        <w:ind w:left="566"/>
        <w:rPr>
          <w:b/>
          <w:bCs/>
          <w:i/>
          <w:iCs/>
          <w:rtl/>
          <w:lang w:val="fr-CH"/>
        </w:rPr>
      </w:pPr>
      <w:r w:rsidRPr="00D85BB4">
        <w:rPr>
          <w:rFonts w:hint="cs"/>
          <w:b/>
          <w:bCs/>
          <w:i/>
          <w:iCs/>
          <w:rtl/>
          <w:lang w:val="fr-CH"/>
        </w:rPr>
        <w:t xml:space="preserve">آلية الموافقة:  </w:t>
      </w:r>
    </w:p>
    <w:p w:rsidR="00EA630D" w:rsidRPr="00D85BB4" w:rsidRDefault="00EA630D" w:rsidP="00EA630D">
      <w:pPr>
        <w:pStyle w:val="NumberedParaAR"/>
        <w:numPr>
          <w:ilvl w:val="0"/>
          <w:numId w:val="0"/>
        </w:numPr>
        <w:ind w:left="566"/>
        <w:rPr>
          <w:b/>
          <w:bCs/>
          <w:i/>
          <w:iCs/>
          <w:rtl/>
          <w:lang w:val="fr-CH"/>
        </w:rPr>
      </w:pPr>
      <w:r w:rsidRPr="00D85BB4">
        <w:rPr>
          <w:rFonts w:hint="cs"/>
          <w:b/>
          <w:bCs/>
          <w:i/>
          <w:iCs/>
          <w:rtl/>
          <w:lang w:val="fr-CH"/>
        </w:rPr>
        <w:t>يجوز أن تُقدم اقتراحات استخدام الأموال الاحتياطية من قبل المدير العام للويبو أو الدول الأعضاء عن طريق لجنة البرنامج والميزانية إلى جمعيات الدول الأعضاء وجمعيات الاتحادات، كل فيما يعنيه. ويجب إعداد الاقتراحات وفقا للمبادئ المنصوص عليها بخصوص استخدام الأموال</w:t>
      </w:r>
      <w:r>
        <w:rPr>
          <w:rFonts w:hint="cs"/>
          <w:b/>
          <w:bCs/>
          <w:i/>
          <w:iCs/>
          <w:rtl/>
          <w:lang w:val="fr-CH"/>
        </w:rPr>
        <w:t xml:space="preserve"> الاحتياطية</w:t>
      </w:r>
      <w:r w:rsidRPr="00D85BB4">
        <w:rPr>
          <w:rFonts w:hint="cs"/>
          <w:b/>
          <w:bCs/>
          <w:i/>
          <w:iCs/>
          <w:rtl/>
          <w:lang w:val="fr-CH"/>
        </w:rPr>
        <w:t>.</w:t>
      </w:r>
    </w:p>
    <w:p w:rsidR="002E2FF5" w:rsidRDefault="00EA630D" w:rsidP="00EA630D">
      <w:pPr>
        <w:pStyle w:val="NumberedParaAR"/>
        <w:numPr>
          <w:ilvl w:val="0"/>
          <w:numId w:val="0"/>
        </w:numPr>
        <w:rPr>
          <w:rtl/>
          <w:lang w:val="fr-CH"/>
        </w:rPr>
      </w:pPr>
      <w:r w:rsidRPr="00D85BB4">
        <w:rPr>
          <w:rFonts w:hint="cs"/>
          <w:b/>
          <w:bCs/>
          <w:i/>
          <w:iCs/>
          <w:rtl/>
          <w:lang w:val="fr-CH"/>
        </w:rPr>
        <w:t>وفي حالة اتحاد مدريد، إذا كان أي استخدام لفائض الثنائية خاضعا لأحكام المادة 8(4) من اتفاق مدريد وبروتوكوله، يُقدم اقتراح استخدام الفائض و/أو الاحتياطي الزائد على المستوى المستهدف الذي تقتضيه السياسة الخاصة بالأموال الاحتياطية من قبل المدير العام إلى جمعية اتحاد مدريد.</w:t>
      </w:r>
    </w:p>
    <w:p w:rsidR="00FF2D17" w:rsidRDefault="00FF2D17" w:rsidP="000151EC">
      <w:pPr>
        <w:pStyle w:val="NormalParaAR"/>
        <w:ind w:left="1133" w:hanging="567"/>
        <w:rPr>
          <w:rtl/>
          <w:lang w:val="fr-CH"/>
        </w:rPr>
        <w:sectPr w:rsidR="00FF2D17" w:rsidSect="002C0ABC">
          <w:headerReference w:type="default" r:id="rId15"/>
          <w:headerReference w:type="first" r:id="rId16"/>
          <w:pgSz w:w="11907" w:h="16840" w:code="9"/>
          <w:pgMar w:top="567" w:right="1418" w:bottom="1418" w:left="1134" w:header="510" w:footer="1021" w:gutter="0"/>
          <w:pgNumType w:start="1"/>
          <w:cols w:space="720"/>
          <w:titlePg/>
          <w:docGrid w:linePitch="299"/>
        </w:sectPr>
      </w:pPr>
      <w:bookmarkStart w:id="2" w:name="_GoBack"/>
      <w:bookmarkEnd w:id="2"/>
    </w:p>
    <w:p w:rsidR="00FF2D17" w:rsidRPr="000B267F" w:rsidRDefault="000B267F" w:rsidP="000B267F">
      <w:pPr>
        <w:pStyle w:val="NormalParaAR"/>
        <w:keepNext/>
        <w:spacing w:line="240" w:lineRule="auto"/>
        <w:ind w:left="1134" w:hanging="567"/>
        <w:jc w:val="center"/>
        <w:rPr>
          <w:rFonts w:hint="cs"/>
          <w:b/>
          <w:bCs/>
          <w:noProof/>
          <w:rtl/>
        </w:rPr>
      </w:pPr>
      <w:r w:rsidRPr="000B267F">
        <w:rPr>
          <w:rFonts w:hint="cs"/>
          <w:b/>
          <w:bCs/>
          <w:noProof/>
          <w:rtl/>
        </w:rPr>
        <w:t>تطور وضع الويبو المالي في الفترة 1998-2014</w:t>
      </w:r>
    </w:p>
    <w:p w:rsidR="002E2FF5" w:rsidRDefault="002E2FF5" w:rsidP="00FF2D17">
      <w:pPr>
        <w:pStyle w:val="NormalParaAR"/>
        <w:spacing w:line="240" w:lineRule="auto"/>
        <w:ind w:left="1134" w:hanging="567"/>
        <w:rPr>
          <w:rtl/>
          <w:lang w:val="fr-CH"/>
        </w:rPr>
      </w:pPr>
      <w:r>
        <w:rPr>
          <w:noProof/>
        </w:rPr>
        <w:drawing>
          <wp:inline distT="0" distB="0" distL="0" distR="0" wp14:anchorId="40E44FF2">
            <wp:extent cx="9427779" cy="480848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31020" cy="4810136"/>
                    </a:xfrm>
                    <a:prstGeom prst="rect">
                      <a:avLst/>
                    </a:prstGeom>
                    <a:noFill/>
                  </pic:spPr>
                </pic:pic>
              </a:graphicData>
            </a:graphic>
          </wp:inline>
        </w:drawing>
      </w:r>
    </w:p>
    <w:p w:rsidR="00FF2D17" w:rsidRDefault="00084BA5" w:rsidP="00084BA5">
      <w:pPr>
        <w:pStyle w:val="EndofDocumentAR"/>
        <w:rPr>
          <w:rtl/>
          <w:lang w:val="fr-CH"/>
        </w:rPr>
      </w:pPr>
      <w:r>
        <w:rPr>
          <w:rFonts w:hint="cs"/>
          <w:rtl/>
          <w:lang w:val="fr-CH"/>
        </w:rPr>
        <w:t>[يلي ذلك المرفق الثاني]</w:t>
      </w:r>
    </w:p>
    <w:p w:rsidR="000151EC" w:rsidRDefault="000151EC" w:rsidP="000151EC">
      <w:pPr>
        <w:pStyle w:val="NormalParaAR"/>
        <w:ind w:left="1133" w:hanging="567"/>
        <w:rPr>
          <w:rtl/>
          <w:lang w:val="fr-CH"/>
        </w:rPr>
        <w:sectPr w:rsidR="000151EC" w:rsidSect="00FF2D17">
          <w:headerReference w:type="first" r:id="rId18"/>
          <w:pgSz w:w="16840" w:h="11907" w:orient="landscape" w:code="9"/>
          <w:pgMar w:top="1134" w:right="567" w:bottom="1418" w:left="1418" w:header="510" w:footer="1021" w:gutter="0"/>
          <w:cols w:space="720"/>
          <w:titlePg/>
          <w:docGrid w:linePitch="299"/>
        </w:sectPr>
      </w:pPr>
    </w:p>
    <w:p w:rsidR="00FF2D17" w:rsidRPr="00FE08DA" w:rsidRDefault="00084BA5" w:rsidP="00FE08DA">
      <w:pPr>
        <w:pStyle w:val="NormalParaAR"/>
        <w:keepNext/>
        <w:rPr>
          <w:b/>
          <w:bCs/>
          <w:sz w:val="40"/>
          <w:szCs w:val="40"/>
          <w:rtl/>
          <w:lang w:val="fr-CH"/>
        </w:rPr>
      </w:pPr>
      <w:r w:rsidRPr="00FE08DA">
        <w:rPr>
          <w:rFonts w:hint="cs"/>
          <w:b/>
          <w:bCs/>
          <w:sz w:val="40"/>
          <w:szCs w:val="40"/>
          <w:rtl/>
          <w:lang w:val="fr-CH"/>
        </w:rPr>
        <w:t xml:space="preserve">توزيع صناديق رؤوس الأموال العاملة لمعاهدة </w:t>
      </w:r>
      <w:r w:rsidRPr="00FE08DA">
        <w:rPr>
          <w:rFonts w:hint="cs"/>
          <w:b/>
          <w:bCs/>
          <w:color w:val="000000"/>
          <w:sz w:val="40"/>
          <w:szCs w:val="40"/>
          <w:rtl/>
          <w:lang w:val="fr-CH"/>
        </w:rPr>
        <w:t>البراءات بحسب الدول الأعضاء</w:t>
      </w:r>
    </w:p>
    <w:tbl>
      <w:tblPr>
        <w:bidiVisual/>
        <w:tblW w:w="5554" w:type="dxa"/>
        <w:jc w:val="center"/>
        <w:tblLook w:val="04A0" w:firstRow="1" w:lastRow="0" w:firstColumn="1" w:lastColumn="0" w:noHBand="0" w:noVBand="1"/>
      </w:tblPr>
      <w:tblGrid>
        <w:gridCol w:w="3129"/>
        <w:gridCol w:w="2425"/>
      </w:tblGrid>
      <w:tr w:rsidR="00084BA5" w:rsidRPr="00084BA5" w:rsidTr="00FE08DA">
        <w:trPr>
          <w:trHeight w:val="321"/>
          <w:jc w:val="center"/>
        </w:trPr>
        <w:tc>
          <w:tcPr>
            <w:tcW w:w="312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084BA5" w:rsidRPr="00084BA5" w:rsidRDefault="00FE08DA" w:rsidP="00984456">
            <w:pPr>
              <w:jc w:val="center"/>
              <w:rPr>
                <w:rFonts w:ascii="Arabic Typesetting" w:hAnsi="Arabic Typesetting" w:cs="Arabic Typesetting"/>
                <w:b/>
                <w:bCs/>
                <w:color w:val="000000"/>
                <w:sz w:val="24"/>
                <w:szCs w:val="24"/>
                <w:u w:val="single"/>
              </w:rPr>
            </w:pPr>
            <w:r w:rsidRPr="00984456">
              <w:rPr>
                <w:rFonts w:ascii="Arabic Typesetting" w:hAnsi="Arabic Typesetting" w:cs="Arabic Typesetting"/>
                <w:b/>
                <w:bCs/>
                <w:color w:val="000000"/>
                <w:sz w:val="24"/>
                <w:szCs w:val="24"/>
                <w:u w:val="single"/>
                <w:rtl/>
              </w:rPr>
              <w:t>الدول الأعضاء</w:t>
            </w:r>
          </w:p>
        </w:tc>
        <w:tc>
          <w:tcPr>
            <w:tcW w:w="242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084BA5" w:rsidRPr="00084BA5" w:rsidRDefault="00FE08DA" w:rsidP="00984456">
            <w:pPr>
              <w:jc w:val="center"/>
              <w:rPr>
                <w:rFonts w:ascii="Arabic Typesetting" w:hAnsi="Arabic Typesetting" w:cs="Arabic Typesetting"/>
                <w:b/>
                <w:bCs/>
                <w:color w:val="000000"/>
                <w:sz w:val="24"/>
                <w:szCs w:val="24"/>
                <w:u w:val="single"/>
              </w:rPr>
            </w:pPr>
            <w:r w:rsidRPr="00984456">
              <w:rPr>
                <w:rFonts w:ascii="Arabic Typesetting" w:hAnsi="Arabic Typesetting" w:cs="Arabic Typesetting"/>
                <w:b/>
                <w:bCs/>
                <w:color w:val="000000"/>
                <w:sz w:val="24"/>
                <w:szCs w:val="24"/>
                <w:u w:val="single"/>
                <w:rtl/>
              </w:rPr>
              <w:t>صناديق رؤوس الأموال العاملة لمعاهدة البراءات</w:t>
            </w:r>
          </w:p>
        </w:tc>
      </w:tr>
      <w:tr w:rsidR="00084BA5" w:rsidRPr="00084BA5" w:rsidTr="00FE08DA">
        <w:trPr>
          <w:trHeight w:val="321"/>
          <w:jc w:val="center"/>
        </w:trPr>
        <w:tc>
          <w:tcPr>
            <w:tcW w:w="3129" w:type="dxa"/>
            <w:vMerge/>
            <w:tcBorders>
              <w:top w:val="single" w:sz="4" w:space="0" w:color="auto"/>
              <w:left w:val="single" w:sz="4" w:space="0" w:color="auto"/>
              <w:bottom w:val="single" w:sz="4" w:space="0" w:color="000000"/>
              <w:right w:val="single" w:sz="4" w:space="0" w:color="auto"/>
            </w:tcBorders>
            <w:vAlign w:val="center"/>
            <w:hideMark/>
          </w:tcPr>
          <w:p w:rsidR="00084BA5" w:rsidRPr="00084BA5" w:rsidRDefault="00084BA5" w:rsidP="00984456">
            <w:pPr>
              <w:rPr>
                <w:rFonts w:ascii="Arabic Typesetting" w:hAnsi="Arabic Typesetting" w:cs="Arabic Typesetting"/>
                <w:b/>
                <w:bCs/>
                <w:color w:val="000000"/>
                <w:sz w:val="24"/>
                <w:szCs w:val="24"/>
                <w:u w:val="single"/>
              </w:rPr>
            </w:pPr>
          </w:p>
        </w:tc>
        <w:tc>
          <w:tcPr>
            <w:tcW w:w="2425" w:type="dxa"/>
            <w:vMerge/>
            <w:tcBorders>
              <w:top w:val="single" w:sz="4" w:space="0" w:color="auto"/>
              <w:left w:val="single" w:sz="4" w:space="0" w:color="auto"/>
              <w:bottom w:val="single" w:sz="4" w:space="0" w:color="000000"/>
              <w:right w:val="single" w:sz="4" w:space="0" w:color="auto"/>
            </w:tcBorders>
            <w:vAlign w:val="center"/>
            <w:hideMark/>
          </w:tcPr>
          <w:p w:rsidR="00084BA5" w:rsidRPr="00084BA5" w:rsidRDefault="00084BA5" w:rsidP="00984456">
            <w:pPr>
              <w:rPr>
                <w:rFonts w:ascii="Arabic Typesetting" w:hAnsi="Arabic Typesetting" w:cs="Arabic Typesetting"/>
                <w:b/>
                <w:bCs/>
                <w:color w:val="000000"/>
                <w:sz w:val="24"/>
                <w:szCs w:val="24"/>
                <w:u w:val="single"/>
              </w:rPr>
            </w:pP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000000" w:fill="FFFFFF"/>
            <w:noWrap/>
            <w:vAlign w:val="bottom"/>
            <w:hideMark/>
          </w:tcPr>
          <w:p w:rsidR="00084BA5" w:rsidRPr="00084BA5" w:rsidRDefault="00084BA5" w:rsidP="001B267E">
            <w:pPr>
              <w:bidi/>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 </w:t>
            </w:r>
          </w:p>
        </w:tc>
        <w:tc>
          <w:tcPr>
            <w:tcW w:w="2425" w:type="dxa"/>
            <w:tcBorders>
              <w:top w:val="nil"/>
              <w:left w:val="nil"/>
              <w:bottom w:val="nil"/>
              <w:right w:val="single" w:sz="4" w:space="0" w:color="auto"/>
            </w:tcBorders>
            <w:shd w:val="clear" w:color="000000" w:fill="FFFFFF"/>
            <w:noWrap/>
            <w:vAlign w:val="bottom"/>
            <w:hideMark/>
          </w:tcPr>
          <w:p w:rsidR="00084BA5" w:rsidRPr="00084BA5" w:rsidRDefault="00084BA5" w:rsidP="00984456">
            <w:pPr>
              <w:bidi/>
              <w:jc w:val="right"/>
              <w:rPr>
                <w:rFonts w:ascii="Arabic Typesetting" w:hAnsi="Arabic Typesetting" w:cs="Arabic Typesetting"/>
                <w:color w:val="000000"/>
                <w:sz w:val="24"/>
                <w:szCs w:val="24"/>
              </w:rPr>
            </w:pP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الجزائر</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الأرجنتين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أستراليا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91,000.00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النمسا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19,250.00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جزر البهاما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بربادوس</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بلجيكا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9,800.00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بنن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البرازيل</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4,200.00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بلغاريا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200.00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بوركينا فاسو</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بوروندي</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الكاميرون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كندا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جمهورية أفريقيا الوسطى</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تشاد</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شيلي</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الصين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الكونغو</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كوستاريكا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كوت ديفوار</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كوبا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قبرص</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الجمهورية التشيكية</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tl/>
              </w:rPr>
              <w:t>جمهورية كوريا الشعبية الديمقراطية</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tl/>
              </w:rPr>
              <w:t>جمهورية الكونغو الديمقراطية</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الدانمرك</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41,000.00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الجمهورية الدومينيكية</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مصر</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فيجي</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فنلندا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34,200.00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فرنسا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110,700.00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غابون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ألمانيا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222,900.00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غانا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اليونان</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غينيا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هايتي</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الكرسي الرسولي</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هنغاريا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22,150.00</w:t>
            </w:r>
          </w:p>
        </w:tc>
      </w:tr>
      <w:tr w:rsidR="00084BA5" w:rsidRPr="00084BA5"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آيسلندا</w:t>
            </w:r>
          </w:p>
        </w:tc>
        <w:tc>
          <w:tcPr>
            <w:tcW w:w="2425" w:type="dxa"/>
            <w:tcBorders>
              <w:top w:val="nil"/>
              <w:left w:val="nil"/>
              <w:bottom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الهند</w:t>
            </w:r>
          </w:p>
        </w:tc>
        <w:tc>
          <w:tcPr>
            <w:tcW w:w="2425" w:type="dxa"/>
            <w:tcBorders>
              <w:top w:val="nil"/>
              <w:left w:val="nil"/>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r w:rsidR="00084BA5" w:rsidRPr="00084BA5" w:rsidTr="00FE08DA">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084BA5" w:rsidRPr="00084BA5"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إندونيسيا</w:t>
            </w:r>
          </w:p>
        </w:tc>
        <w:tc>
          <w:tcPr>
            <w:tcW w:w="2425" w:type="dxa"/>
            <w:tcBorders>
              <w:top w:val="nil"/>
              <w:left w:val="nil"/>
              <w:bottom w:val="single" w:sz="4" w:space="0" w:color="auto"/>
              <w:right w:val="single" w:sz="4" w:space="0" w:color="auto"/>
            </w:tcBorders>
            <w:shd w:val="clear" w:color="auto" w:fill="auto"/>
            <w:noWrap/>
            <w:vAlign w:val="bottom"/>
            <w:hideMark/>
          </w:tcPr>
          <w:p w:rsidR="00084BA5" w:rsidRPr="00084BA5" w:rsidRDefault="00084BA5" w:rsidP="00984456">
            <w:pPr>
              <w:bidi/>
              <w:jc w:val="right"/>
              <w:rPr>
                <w:rFonts w:ascii="Arabic Typesetting" w:hAnsi="Arabic Typesetting" w:cs="Arabic Typesetting"/>
                <w:color w:val="000000"/>
                <w:sz w:val="24"/>
                <w:szCs w:val="24"/>
              </w:rPr>
            </w:pPr>
            <w:r w:rsidRPr="00084BA5">
              <w:rPr>
                <w:rFonts w:ascii="Arabic Typesetting" w:hAnsi="Arabic Typesetting" w:cs="Arabic Typesetting"/>
                <w:color w:val="000000"/>
                <w:sz w:val="24"/>
                <w:szCs w:val="24"/>
              </w:rPr>
              <w:t>-</w:t>
            </w:r>
          </w:p>
        </w:tc>
      </w:tr>
    </w:tbl>
    <w:p w:rsidR="00084BA5" w:rsidRPr="00FE08DA" w:rsidRDefault="00084BA5">
      <w:pPr>
        <w:rPr>
          <w:rFonts w:ascii="Arabic Typesetting" w:hAnsi="Arabic Typesetting" w:cs="Arabic Typesetting"/>
          <w:sz w:val="28"/>
          <w:szCs w:val="28"/>
          <w:rtl/>
          <w:lang w:val="fr-CH"/>
        </w:rPr>
      </w:pPr>
    </w:p>
    <w:tbl>
      <w:tblPr>
        <w:bidiVisual/>
        <w:tblW w:w="5554" w:type="dxa"/>
        <w:jc w:val="center"/>
        <w:tblLook w:val="04A0" w:firstRow="1" w:lastRow="0" w:firstColumn="1" w:lastColumn="0" w:noHBand="0" w:noVBand="1"/>
      </w:tblPr>
      <w:tblGrid>
        <w:gridCol w:w="3129"/>
        <w:gridCol w:w="2425"/>
      </w:tblGrid>
      <w:tr w:rsidR="00FE08DA" w:rsidRPr="00FE08DA" w:rsidTr="00FE08DA">
        <w:trPr>
          <w:trHeight w:val="510"/>
          <w:jc w:val="center"/>
        </w:trPr>
        <w:tc>
          <w:tcPr>
            <w:tcW w:w="31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E08DA" w:rsidRPr="00084BA5" w:rsidRDefault="00FE08DA" w:rsidP="000A3112">
            <w:pPr>
              <w:jc w:val="center"/>
              <w:rPr>
                <w:rFonts w:ascii="Arabic Typesetting" w:hAnsi="Arabic Typesetting" w:cs="Arabic Typesetting"/>
                <w:b/>
                <w:bCs/>
                <w:color w:val="000000"/>
                <w:sz w:val="24"/>
                <w:szCs w:val="24"/>
                <w:u w:val="single"/>
              </w:rPr>
            </w:pPr>
            <w:r w:rsidRPr="00984456">
              <w:rPr>
                <w:rFonts w:ascii="Arabic Typesetting" w:hAnsi="Arabic Typesetting" w:cs="Arabic Typesetting"/>
                <w:b/>
                <w:bCs/>
                <w:color w:val="000000"/>
                <w:sz w:val="24"/>
                <w:szCs w:val="24"/>
                <w:u w:val="single"/>
                <w:rtl/>
              </w:rPr>
              <w:t>الدول الأعضاء</w:t>
            </w:r>
          </w:p>
        </w:tc>
        <w:tc>
          <w:tcPr>
            <w:tcW w:w="242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FE08DA" w:rsidRPr="00084BA5" w:rsidRDefault="00FE08DA" w:rsidP="000A3112">
            <w:pPr>
              <w:jc w:val="center"/>
              <w:rPr>
                <w:rFonts w:ascii="Arabic Typesetting" w:hAnsi="Arabic Typesetting" w:cs="Arabic Typesetting"/>
                <w:b/>
                <w:bCs/>
                <w:color w:val="000000"/>
                <w:sz w:val="24"/>
                <w:szCs w:val="24"/>
                <w:u w:val="single"/>
              </w:rPr>
            </w:pPr>
            <w:r w:rsidRPr="00984456">
              <w:rPr>
                <w:rFonts w:ascii="Arabic Typesetting" w:hAnsi="Arabic Typesetting" w:cs="Arabic Typesetting"/>
                <w:b/>
                <w:bCs/>
                <w:color w:val="000000"/>
                <w:sz w:val="24"/>
                <w:szCs w:val="24"/>
                <w:u w:val="single"/>
                <w:rtl/>
              </w:rPr>
              <w:t>صناديق رؤوس الأموال العاملة لمعاهدة البراءات</w:t>
            </w:r>
          </w:p>
        </w:tc>
      </w:tr>
      <w:tr w:rsidR="00084BA5" w:rsidRPr="00FE08DA" w:rsidTr="00FE08DA">
        <w:trPr>
          <w:trHeight w:val="255"/>
          <w:jc w:val="center"/>
        </w:trPr>
        <w:tc>
          <w:tcPr>
            <w:tcW w:w="3129" w:type="dxa"/>
            <w:tcBorders>
              <w:top w:val="single" w:sz="4" w:space="0" w:color="auto"/>
              <w:left w:val="single" w:sz="4" w:space="0" w:color="auto"/>
              <w:bottom w:val="nil"/>
              <w:right w:val="single" w:sz="4" w:space="0" w:color="auto"/>
            </w:tcBorders>
            <w:shd w:val="clear" w:color="auto" w:fill="auto"/>
            <w:noWrap/>
            <w:vAlign w:val="bottom"/>
          </w:tcPr>
          <w:p w:rsidR="00084BA5" w:rsidRPr="00984456" w:rsidRDefault="00084BA5" w:rsidP="00984456">
            <w:pPr>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 </w:t>
            </w:r>
          </w:p>
        </w:tc>
        <w:tc>
          <w:tcPr>
            <w:tcW w:w="2425" w:type="dxa"/>
            <w:tcBorders>
              <w:top w:val="single" w:sz="4" w:space="0" w:color="auto"/>
              <w:left w:val="nil"/>
              <w:bottom w:val="nil"/>
              <w:right w:val="single" w:sz="4" w:space="0" w:color="auto"/>
            </w:tcBorders>
            <w:shd w:val="clear" w:color="auto" w:fill="auto"/>
            <w:noWrap/>
            <w:vAlign w:val="bottom"/>
          </w:tcPr>
          <w:p w:rsidR="00084BA5" w:rsidRPr="00984456" w:rsidRDefault="00084BA5" w:rsidP="00984456">
            <w:pPr>
              <w:bidi/>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 </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إيران (جمهورية - الإسلامية</w:t>
            </w:r>
            <w:r w:rsidR="001B267E">
              <w:rPr>
                <w:rFonts w:ascii="Arabic Typesetting" w:hAnsi="Arabic Typesetting" w:cs="Arabic Typesetting" w:hint="cs"/>
                <w:sz w:val="24"/>
                <w:szCs w:val="24"/>
                <w:rtl/>
              </w:rPr>
              <w:t>)</w:t>
            </w:r>
          </w:p>
        </w:tc>
        <w:tc>
          <w:tcPr>
            <w:tcW w:w="2425" w:type="dxa"/>
            <w:tcBorders>
              <w:top w:val="nil"/>
              <w:left w:val="nil"/>
              <w:bottom w:val="nil"/>
              <w:right w:val="single" w:sz="4" w:space="0" w:color="auto"/>
            </w:tcBorders>
            <w:shd w:val="clear" w:color="auto" w:fill="auto"/>
            <w:noWrap/>
            <w:vAlign w:val="bottom"/>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العراق</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آيرلندا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إسرائيل</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إيطاليا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16,500.00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اليابان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194,600.00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الأردن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كينيا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لبنان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ليبيا</w:t>
            </w:r>
          </w:p>
        </w:tc>
        <w:tc>
          <w:tcPr>
            <w:tcW w:w="2425" w:type="dxa"/>
            <w:tcBorders>
              <w:top w:val="nil"/>
              <w:left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ليختنشتاين</w:t>
            </w:r>
          </w:p>
        </w:tc>
        <w:tc>
          <w:tcPr>
            <w:tcW w:w="2425" w:type="dxa"/>
            <w:tcBorders>
              <w:top w:val="nil"/>
              <w:left w:val="single" w:sz="4" w:space="0" w:color="auto"/>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1,500.00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لكسمبرغ</w:t>
            </w:r>
          </w:p>
        </w:tc>
        <w:tc>
          <w:tcPr>
            <w:tcW w:w="2425" w:type="dxa"/>
            <w:tcBorders>
              <w:top w:val="nil"/>
              <w:left w:val="single" w:sz="4" w:space="0" w:color="auto"/>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650.00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مدغشقر</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ملاوي</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مالي</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مالطة</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موريتانيا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موريشيوس</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المكسيك</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موناكو</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200.00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منغوليا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المغرب</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هولندا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20,350.00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نيوزيلندا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النيجر</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نيجيريا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النرويج</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21,750.00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باكستان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الفلبين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بولندا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البرتغال</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جمهورية كوريا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3,700.00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رومانيا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550.00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الاتحاد الروسي</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24,750.00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رواندا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سان مارينو</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السنغال</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سلوفاكيا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جنوب أفريقيا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إسبانيا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سري لانكا</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300.00</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السودان</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سورينام</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r w:rsidR="00084BA5" w:rsidRPr="00FE08DA" w:rsidTr="00FE08DA">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السويد</w:t>
            </w:r>
          </w:p>
        </w:tc>
        <w:tc>
          <w:tcPr>
            <w:tcW w:w="2425" w:type="dxa"/>
            <w:tcBorders>
              <w:top w:val="nil"/>
              <w:left w:val="nil"/>
              <w:bottom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162,800.00</w:t>
            </w:r>
          </w:p>
        </w:tc>
      </w:tr>
      <w:tr w:rsidR="00084BA5" w:rsidRPr="00FE08DA" w:rsidTr="00FE08DA">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سويسرا</w:t>
            </w:r>
          </w:p>
        </w:tc>
        <w:tc>
          <w:tcPr>
            <w:tcW w:w="2425" w:type="dxa"/>
            <w:tcBorders>
              <w:top w:val="nil"/>
              <w:left w:val="nil"/>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74,000.00</w:t>
            </w:r>
          </w:p>
        </w:tc>
      </w:tr>
      <w:tr w:rsidR="00084BA5" w:rsidRPr="00FE08DA" w:rsidTr="00FE08DA">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084BA5" w:rsidRPr="00984456" w:rsidRDefault="00FE08DA" w:rsidP="001B267E">
            <w:pPr>
              <w:bidi/>
              <w:rPr>
                <w:rFonts w:ascii="Arabic Typesetting" w:hAnsi="Arabic Typesetting" w:cs="Arabic Typesetting"/>
                <w:color w:val="000000"/>
                <w:sz w:val="24"/>
                <w:szCs w:val="24"/>
              </w:rPr>
            </w:pPr>
            <w:r w:rsidRPr="00984456">
              <w:rPr>
                <w:rFonts w:ascii="Arabic Typesetting" w:hAnsi="Arabic Typesetting" w:cs="Arabic Typesetting"/>
                <w:sz w:val="24"/>
                <w:szCs w:val="24"/>
                <w:rtl/>
              </w:rPr>
              <w:t>الجمهورية العربية السورية</w:t>
            </w:r>
          </w:p>
        </w:tc>
        <w:tc>
          <w:tcPr>
            <w:tcW w:w="2425" w:type="dxa"/>
            <w:tcBorders>
              <w:top w:val="nil"/>
              <w:left w:val="nil"/>
              <w:bottom w:val="single" w:sz="4" w:space="0" w:color="auto"/>
              <w:right w:val="single" w:sz="4" w:space="0" w:color="auto"/>
            </w:tcBorders>
            <w:shd w:val="clear" w:color="auto" w:fill="auto"/>
            <w:noWrap/>
            <w:vAlign w:val="bottom"/>
            <w:hideMark/>
          </w:tcPr>
          <w:p w:rsidR="00084BA5" w:rsidRPr="00984456" w:rsidRDefault="00084BA5" w:rsidP="00984456">
            <w:pPr>
              <w:bidi/>
              <w:jc w:val="right"/>
              <w:rPr>
                <w:rFonts w:ascii="Arabic Typesetting" w:hAnsi="Arabic Typesetting" w:cs="Arabic Typesetting"/>
                <w:color w:val="000000"/>
                <w:sz w:val="24"/>
                <w:szCs w:val="24"/>
              </w:rPr>
            </w:pPr>
            <w:r w:rsidRPr="00984456">
              <w:rPr>
                <w:rFonts w:ascii="Arabic Typesetting" w:hAnsi="Arabic Typesetting" w:cs="Arabic Typesetting"/>
                <w:color w:val="000000"/>
                <w:sz w:val="24"/>
                <w:szCs w:val="24"/>
              </w:rPr>
              <w:t>-</w:t>
            </w:r>
          </w:p>
        </w:tc>
      </w:tr>
    </w:tbl>
    <w:p w:rsidR="00084BA5" w:rsidRPr="00FE08DA" w:rsidRDefault="00084BA5">
      <w:pPr>
        <w:rPr>
          <w:rFonts w:ascii="Arabic Typesetting" w:hAnsi="Arabic Typesetting" w:cs="Arabic Typesetting"/>
          <w:sz w:val="28"/>
          <w:szCs w:val="28"/>
          <w:rtl/>
          <w:lang w:val="fr-CH"/>
        </w:rPr>
      </w:pPr>
    </w:p>
    <w:tbl>
      <w:tblPr>
        <w:bidiVisual/>
        <w:tblW w:w="5604" w:type="dxa"/>
        <w:jc w:val="center"/>
        <w:tblLook w:val="04A0" w:firstRow="1" w:lastRow="0" w:firstColumn="1" w:lastColumn="0" w:noHBand="0" w:noVBand="1"/>
      </w:tblPr>
      <w:tblGrid>
        <w:gridCol w:w="3203"/>
        <w:gridCol w:w="2401"/>
      </w:tblGrid>
      <w:tr w:rsidR="00FE08DA" w:rsidRPr="00FE08DA" w:rsidTr="00FE08DA">
        <w:trPr>
          <w:trHeight w:val="510"/>
          <w:jc w:val="center"/>
        </w:trPr>
        <w:tc>
          <w:tcPr>
            <w:tcW w:w="320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FE08DA" w:rsidRPr="00084BA5" w:rsidRDefault="00FE08DA" w:rsidP="000A3112">
            <w:pPr>
              <w:jc w:val="center"/>
              <w:rPr>
                <w:rFonts w:ascii="Arabic Typesetting" w:hAnsi="Arabic Typesetting" w:cs="Arabic Typesetting"/>
                <w:b/>
                <w:bCs/>
                <w:color w:val="000000"/>
                <w:sz w:val="28"/>
                <w:szCs w:val="28"/>
                <w:u w:val="single"/>
              </w:rPr>
            </w:pPr>
            <w:r w:rsidRPr="00FE08DA">
              <w:rPr>
                <w:rFonts w:ascii="Arabic Typesetting" w:hAnsi="Arabic Typesetting" w:cs="Arabic Typesetting"/>
                <w:b/>
                <w:bCs/>
                <w:color w:val="000000"/>
                <w:sz w:val="28"/>
                <w:szCs w:val="28"/>
                <w:u w:val="single"/>
                <w:rtl/>
              </w:rPr>
              <w:t>الدول الأعضاء</w:t>
            </w:r>
          </w:p>
        </w:tc>
        <w:tc>
          <w:tcPr>
            <w:tcW w:w="240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FE08DA" w:rsidRPr="00084BA5" w:rsidRDefault="00FE08DA" w:rsidP="000A3112">
            <w:pPr>
              <w:jc w:val="center"/>
              <w:rPr>
                <w:rFonts w:ascii="Arabic Typesetting" w:hAnsi="Arabic Typesetting" w:cs="Arabic Typesetting"/>
                <w:b/>
                <w:bCs/>
                <w:color w:val="000000"/>
                <w:sz w:val="28"/>
                <w:szCs w:val="28"/>
                <w:u w:val="single"/>
              </w:rPr>
            </w:pPr>
            <w:r w:rsidRPr="00FE08DA">
              <w:rPr>
                <w:rFonts w:ascii="Arabic Typesetting" w:hAnsi="Arabic Typesetting" w:cs="Arabic Typesetting"/>
                <w:b/>
                <w:bCs/>
                <w:color w:val="000000"/>
                <w:sz w:val="28"/>
                <w:szCs w:val="28"/>
                <w:u w:val="single"/>
                <w:rtl/>
              </w:rPr>
              <w:t>صناديق رؤوس الأموال العاملة لمعاهدة البراءات</w:t>
            </w:r>
          </w:p>
        </w:tc>
      </w:tr>
      <w:tr w:rsidR="00084BA5" w:rsidRPr="00FE08DA" w:rsidTr="00FE08DA">
        <w:trPr>
          <w:trHeight w:val="255"/>
          <w:jc w:val="center"/>
        </w:trPr>
        <w:tc>
          <w:tcPr>
            <w:tcW w:w="3203" w:type="dxa"/>
            <w:tcBorders>
              <w:top w:val="single" w:sz="4" w:space="0" w:color="auto"/>
              <w:left w:val="single" w:sz="4" w:space="0" w:color="auto"/>
              <w:bottom w:val="nil"/>
              <w:right w:val="single" w:sz="4" w:space="0" w:color="auto"/>
            </w:tcBorders>
            <w:shd w:val="clear" w:color="auto" w:fill="auto"/>
            <w:noWrap/>
            <w:vAlign w:val="bottom"/>
          </w:tcPr>
          <w:p w:rsidR="00084BA5" w:rsidRPr="00FE08DA" w:rsidRDefault="00084BA5" w:rsidP="00984456">
            <w:pPr>
              <w:bidi/>
              <w:rPr>
                <w:rFonts w:ascii="Arabic Typesetting" w:hAnsi="Arabic Typesetting" w:cs="Arabic Typesetting"/>
                <w:color w:val="000000"/>
                <w:sz w:val="28"/>
                <w:szCs w:val="28"/>
              </w:rPr>
            </w:pPr>
          </w:p>
        </w:tc>
        <w:tc>
          <w:tcPr>
            <w:tcW w:w="2401" w:type="dxa"/>
            <w:tcBorders>
              <w:top w:val="single" w:sz="4" w:space="0" w:color="auto"/>
              <w:left w:val="nil"/>
              <w:bottom w:val="nil"/>
              <w:right w:val="single" w:sz="4" w:space="0" w:color="auto"/>
            </w:tcBorders>
            <w:shd w:val="clear" w:color="auto" w:fill="auto"/>
            <w:noWrap/>
            <w:vAlign w:val="bottom"/>
          </w:tcPr>
          <w:p w:rsidR="00084BA5" w:rsidRPr="00FE08DA" w:rsidRDefault="00084BA5" w:rsidP="00984456">
            <w:pPr>
              <w:bidi/>
              <w:jc w:val="right"/>
              <w:rPr>
                <w:rFonts w:ascii="Arabic Typesetting" w:hAnsi="Arabic Typesetting" w:cs="Arabic Typesetting"/>
                <w:color w:val="000000"/>
                <w:sz w:val="28"/>
                <w:szCs w:val="28"/>
              </w:rPr>
            </w:pP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تايلند</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توغو</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ترينيداد وتوباغو</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تونس</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تركيا</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أوغندا</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المملكة المتحدة</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168,000.00</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جمهورية تنزانيا المتحدة</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الولايات المتحدة الأمريكية</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754,900.00</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أوروغواي</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1B267E">
            <w:pPr>
              <w:bidi/>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tl/>
              </w:rPr>
              <w:t xml:space="preserve">فنزويلا (جمهورية - </w:t>
            </w:r>
            <w:proofErr w:type="spellStart"/>
            <w:r w:rsidRPr="00FE08DA">
              <w:rPr>
                <w:rFonts w:ascii="Arabic Typesetting" w:hAnsi="Arabic Typesetting" w:cs="Arabic Typesetting"/>
                <w:color w:val="000000"/>
                <w:sz w:val="28"/>
                <w:szCs w:val="28"/>
                <w:rtl/>
              </w:rPr>
              <w:t>البوليفارية</w:t>
            </w:r>
            <w:proofErr w:type="spellEnd"/>
            <w:r w:rsidR="001B267E">
              <w:rPr>
                <w:rFonts w:ascii="Arabic Typesetting" w:hAnsi="Arabic Typesetting" w:cs="Arabic Typesetting" w:hint="cs"/>
                <w:color w:val="000000"/>
                <w:sz w:val="28"/>
                <w:szCs w:val="28"/>
                <w:rtl/>
              </w:rPr>
              <w:t>)</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فييت نام</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زامبيا</w:t>
            </w:r>
          </w:p>
        </w:tc>
        <w:tc>
          <w:tcPr>
            <w:tcW w:w="2401" w:type="dxa"/>
            <w:tcBorders>
              <w:top w:val="nil"/>
              <w:left w:val="nil"/>
              <w:bottom w:val="nil"/>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single" w:sz="4" w:space="0" w:color="auto"/>
              <w:right w:val="single" w:sz="4" w:space="0" w:color="auto"/>
            </w:tcBorders>
            <w:shd w:val="clear" w:color="auto" w:fill="auto"/>
            <w:noWrap/>
            <w:vAlign w:val="bottom"/>
            <w:hideMark/>
          </w:tcPr>
          <w:p w:rsidR="00084BA5" w:rsidRPr="00FE08DA" w:rsidRDefault="00FE08DA" w:rsidP="00984456">
            <w:pPr>
              <w:bidi/>
              <w:rPr>
                <w:rFonts w:ascii="Arabic Typesetting" w:hAnsi="Arabic Typesetting" w:cs="Arabic Typesetting"/>
                <w:color w:val="000000"/>
                <w:sz w:val="28"/>
                <w:szCs w:val="28"/>
              </w:rPr>
            </w:pPr>
            <w:r w:rsidRPr="00FE08DA">
              <w:rPr>
                <w:rFonts w:ascii="Arabic Typesetting" w:hAnsi="Arabic Typesetting" w:cs="Arabic Typesetting"/>
                <w:sz w:val="28"/>
                <w:szCs w:val="28"/>
                <w:rtl/>
              </w:rPr>
              <w:t>زمبابوي</w:t>
            </w:r>
          </w:p>
        </w:tc>
        <w:tc>
          <w:tcPr>
            <w:tcW w:w="2401" w:type="dxa"/>
            <w:tcBorders>
              <w:top w:val="nil"/>
              <w:left w:val="nil"/>
              <w:bottom w:val="single" w:sz="4" w:space="0" w:color="auto"/>
              <w:right w:val="single" w:sz="4" w:space="0" w:color="auto"/>
            </w:tcBorders>
            <w:shd w:val="clear" w:color="auto" w:fill="auto"/>
            <w:noWrap/>
            <w:vAlign w:val="bottom"/>
            <w:hideMark/>
          </w:tcPr>
          <w:p w:rsidR="00084BA5" w:rsidRPr="00FE08DA" w:rsidRDefault="00084BA5" w:rsidP="00984456">
            <w:pPr>
              <w:bidi/>
              <w:jc w:val="right"/>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w:t>
            </w:r>
          </w:p>
        </w:tc>
      </w:tr>
      <w:tr w:rsidR="00084BA5" w:rsidRPr="00FE08DA" w:rsidTr="00FE08DA">
        <w:trPr>
          <w:trHeight w:val="255"/>
          <w:jc w:val="center"/>
        </w:trPr>
        <w:tc>
          <w:tcPr>
            <w:tcW w:w="3203" w:type="dxa"/>
            <w:tcBorders>
              <w:top w:val="nil"/>
              <w:left w:val="single" w:sz="4" w:space="0" w:color="auto"/>
              <w:bottom w:val="nil"/>
              <w:right w:val="single" w:sz="4" w:space="0" w:color="auto"/>
            </w:tcBorders>
            <w:shd w:val="clear" w:color="000000" w:fill="C5D9F1"/>
            <w:noWrap/>
            <w:vAlign w:val="bottom"/>
            <w:hideMark/>
          </w:tcPr>
          <w:p w:rsidR="00084BA5" w:rsidRPr="00FE08DA" w:rsidRDefault="00084BA5" w:rsidP="000A3112">
            <w:pPr>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 </w:t>
            </w:r>
          </w:p>
        </w:tc>
        <w:tc>
          <w:tcPr>
            <w:tcW w:w="2401" w:type="dxa"/>
            <w:tcBorders>
              <w:top w:val="nil"/>
              <w:left w:val="nil"/>
              <w:bottom w:val="nil"/>
              <w:right w:val="single" w:sz="4" w:space="0" w:color="auto"/>
            </w:tcBorders>
            <w:shd w:val="clear" w:color="000000" w:fill="C5D9F1"/>
            <w:noWrap/>
            <w:vAlign w:val="bottom"/>
            <w:hideMark/>
          </w:tcPr>
          <w:p w:rsidR="00084BA5" w:rsidRPr="00FE08DA" w:rsidRDefault="00084BA5" w:rsidP="00984456">
            <w:pPr>
              <w:rPr>
                <w:rFonts w:ascii="Arabic Typesetting" w:hAnsi="Arabic Typesetting" w:cs="Arabic Typesetting"/>
                <w:color w:val="000000"/>
                <w:sz w:val="28"/>
                <w:szCs w:val="28"/>
              </w:rPr>
            </w:pPr>
            <w:r w:rsidRPr="00FE08DA">
              <w:rPr>
                <w:rFonts w:ascii="Arabic Typesetting" w:hAnsi="Arabic Typesetting" w:cs="Arabic Typesetting"/>
                <w:color w:val="000000"/>
                <w:sz w:val="28"/>
                <w:szCs w:val="28"/>
              </w:rPr>
              <w:t> </w:t>
            </w:r>
          </w:p>
        </w:tc>
      </w:tr>
      <w:tr w:rsidR="00084BA5" w:rsidRPr="00FE08DA" w:rsidTr="00FE08DA">
        <w:trPr>
          <w:trHeight w:val="487"/>
          <w:jc w:val="center"/>
        </w:trPr>
        <w:tc>
          <w:tcPr>
            <w:tcW w:w="3203" w:type="dxa"/>
            <w:tcBorders>
              <w:top w:val="nil"/>
              <w:left w:val="single" w:sz="4" w:space="0" w:color="auto"/>
              <w:bottom w:val="single" w:sz="4" w:space="0" w:color="auto"/>
              <w:right w:val="single" w:sz="4" w:space="0" w:color="auto"/>
            </w:tcBorders>
            <w:shd w:val="clear" w:color="000000" w:fill="C5D9F1"/>
            <w:noWrap/>
            <w:hideMark/>
          </w:tcPr>
          <w:p w:rsidR="00084BA5" w:rsidRPr="008B5140" w:rsidRDefault="008B5140" w:rsidP="008B5140">
            <w:pPr>
              <w:bidi/>
              <w:rPr>
                <w:rFonts w:ascii="Arabic Typesetting" w:hAnsi="Arabic Typesetting" w:cs="Arabic Typesetting"/>
                <w:bCs/>
                <w:color w:val="000000"/>
                <w:sz w:val="28"/>
                <w:szCs w:val="28"/>
              </w:rPr>
            </w:pPr>
            <w:r w:rsidRPr="008B5140">
              <w:rPr>
                <w:rFonts w:ascii="Arabic Typesetting" w:hAnsi="Arabic Typesetting" w:cs="Arabic Typesetting" w:hint="cs"/>
                <w:bCs/>
                <w:color w:val="000000"/>
                <w:sz w:val="28"/>
                <w:szCs w:val="28"/>
                <w:rtl/>
              </w:rPr>
              <w:t>المجموع</w:t>
            </w:r>
          </w:p>
        </w:tc>
        <w:tc>
          <w:tcPr>
            <w:tcW w:w="2401" w:type="dxa"/>
            <w:tcBorders>
              <w:top w:val="nil"/>
              <w:left w:val="nil"/>
              <w:bottom w:val="single" w:sz="4" w:space="0" w:color="auto"/>
              <w:right w:val="single" w:sz="4" w:space="0" w:color="auto"/>
            </w:tcBorders>
            <w:shd w:val="clear" w:color="000000" w:fill="C5D9F1"/>
            <w:noWrap/>
            <w:hideMark/>
          </w:tcPr>
          <w:p w:rsidR="00084BA5" w:rsidRPr="00FE08DA" w:rsidRDefault="00084BA5" w:rsidP="00984456">
            <w:pPr>
              <w:rPr>
                <w:rFonts w:ascii="Arabic Typesetting" w:hAnsi="Arabic Typesetting" w:cs="Arabic Typesetting"/>
                <w:b/>
                <w:color w:val="000000"/>
                <w:sz w:val="28"/>
                <w:szCs w:val="28"/>
              </w:rPr>
            </w:pPr>
            <w:r w:rsidRPr="00FE08DA">
              <w:rPr>
                <w:rFonts w:ascii="Arabic Typesetting" w:hAnsi="Arabic Typesetting" w:cs="Arabic Typesetting"/>
                <w:b/>
                <w:color w:val="000000"/>
                <w:sz w:val="28"/>
                <w:szCs w:val="28"/>
              </w:rPr>
              <w:t xml:space="preserve">2,000,000.00 </w:t>
            </w:r>
          </w:p>
        </w:tc>
      </w:tr>
    </w:tbl>
    <w:p w:rsidR="00EA0C85" w:rsidRDefault="00EA0C85" w:rsidP="001967D4">
      <w:pPr>
        <w:pStyle w:val="NormalParaAR"/>
        <w:rPr>
          <w:rtl/>
          <w:lang w:val="fr-CH"/>
        </w:rPr>
      </w:pPr>
    </w:p>
    <w:p w:rsidR="00C9650A" w:rsidRPr="001967D4" w:rsidRDefault="00C9650A" w:rsidP="00C9650A">
      <w:pPr>
        <w:pStyle w:val="EndofDocumentAR"/>
        <w:rPr>
          <w:rtl/>
          <w:lang w:val="fr-CH"/>
        </w:rPr>
      </w:pPr>
      <w:r>
        <w:rPr>
          <w:rFonts w:hint="cs"/>
          <w:rtl/>
          <w:lang w:val="fr-CH"/>
        </w:rPr>
        <w:t>[نهاية المرفق الثاني والوثيقة]</w:t>
      </w:r>
    </w:p>
    <w:sectPr w:rsidR="00C9650A" w:rsidRPr="001967D4" w:rsidSect="00FA2194">
      <w:headerReference w:type="default" r:id="rId19"/>
      <w:headerReference w:type="first" r:id="rId2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51" w:rsidRDefault="00AF2751">
      <w:r>
        <w:separator/>
      </w:r>
    </w:p>
  </w:endnote>
  <w:endnote w:type="continuationSeparator" w:id="0">
    <w:p w:rsidR="00AF2751" w:rsidRDefault="00AF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51" w:rsidRDefault="00AF2751" w:rsidP="009622BF">
      <w:pPr>
        <w:bidi/>
      </w:pPr>
      <w:bookmarkStart w:id="0" w:name="OLE_LINK1"/>
      <w:bookmarkStart w:id="1" w:name="OLE_LINK2"/>
      <w:r>
        <w:separator/>
      </w:r>
      <w:bookmarkEnd w:id="0"/>
      <w:bookmarkEnd w:id="1"/>
    </w:p>
  </w:footnote>
  <w:footnote w:type="continuationSeparator" w:id="0">
    <w:p w:rsidR="00AF2751" w:rsidRDefault="00AF2751" w:rsidP="009622BF">
      <w:pPr>
        <w:bidi/>
      </w:pPr>
      <w:r>
        <w:separator/>
      </w:r>
    </w:p>
  </w:footnote>
  <w:footnote w:id="1">
    <w:p w:rsidR="00AF2751" w:rsidRDefault="00AF2751" w:rsidP="006631B6">
      <w:pPr>
        <w:pStyle w:val="FootnoteText"/>
      </w:pPr>
      <w:r>
        <w:rPr>
          <w:rStyle w:val="FootnoteReference"/>
        </w:rPr>
        <w:footnoteRef/>
      </w:r>
      <w:r>
        <w:rPr>
          <w:rtl/>
        </w:rPr>
        <w:t xml:space="preserve"> </w:t>
      </w:r>
      <w:r>
        <w:rPr>
          <w:rFonts w:hint="cs"/>
          <w:rtl/>
        </w:rPr>
        <w:t xml:space="preserve">الوثيقة </w:t>
      </w:r>
      <w:r w:rsidRPr="006631B6">
        <w:t>A/35/6</w:t>
      </w:r>
      <w:r>
        <w:rPr>
          <w:rFonts w:hint="cs"/>
          <w:rtl/>
        </w:rPr>
        <w:t xml:space="preserve"> لعام 2000 (اقتراح بشأن السياسة المتعلقة بالأموال الاحتياطية).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51" w:rsidRDefault="00AF2751" w:rsidP="00796CF7">
    <w:pPr>
      <w:rPr>
        <w:lang w:val="fr-CH"/>
      </w:rPr>
    </w:pPr>
    <w:r>
      <w:t>WO/PBC/23/8</w:t>
    </w:r>
  </w:p>
  <w:p w:rsidR="00AF2751" w:rsidRDefault="00AF2751" w:rsidP="00D61541">
    <w:r>
      <w:fldChar w:fldCharType="begin"/>
    </w:r>
    <w:r>
      <w:instrText xml:space="preserve"> PAGE  \* MERGEFORMAT </w:instrText>
    </w:r>
    <w:r>
      <w:fldChar w:fldCharType="separate"/>
    </w:r>
    <w:r w:rsidR="00FE37EA">
      <w:rPr>
        <w:noProof/>
      </w:rPr>
      <w:t>3</w:t>
    </w:r>
    <w:r>
      <w:fldChar w:fldCharType="end"/>
    </w:r>
  </w:p>
  <w:p w:rsidR="00AF2751" w:rsidRDefault="00AF275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E6" w:rsidRDefault="001D21E6" w:rsidP="00796CF7">
    <w:pPr>
      <w:rPr>
        <w:rFonts w:hint="cs"/>
        <w:rtl/>
      </w:rPr>
    </w:pPr>
    <w:r>
      <w:t>WO/PBC/23/8</w:t>
    </w:r>
  </w:p>
  <w:p w:rsidR="001D21E6" w:rsidRPr="002C0ABC" w:rsidRDefault="001D21E6" w:rsidP="001D21E6">
    <w:pPr>
      <w:rPr>
        <w:lang w:val="fr-CH"/>
      </w:rPr>
    </w:pPr>
    <w:r w:rsidRPr="002C0ABC">
      <w:t>Annex I</w:t>
    </w:r>
  </w:p>
  <w:p w:rsidR="001D21E6" w:rsidRDefault="001D21E6" w:rsidP="00D61541">
    <w:r>
      <w:fldChar w:fldCharType="begin"/>
    </w:r>
    <w:r>
      <w:instrText xml:space="preserve"> PAGE  \* MERGEFORMAT </w:instrText>
    </w:r>
    <w:r>
      <w:fldChar w:fldCharType="separate"/>
    </w:r>
    <w:r w:rsidR="00FE37EA">
      <w:rPr>
        <w:noProof/>
      </w:rPr>
      <w:t>8</w:t>
    </w:r>
    <w:r>
      <w:fldChar w:fldCharType="end"/>
    </w:r>
  </w:p>
  <w:p w:rsidR="001D21E6" w:rsidRDefault="001D21E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BC" w:rsidRPr="00EC519B" w:rsidRDefault="002C0ABC" w:rsidP="002C0ABC">
    <w:pPr>
      <w:rPr>
        <w:lang w:val="fr-CH"/>
      </w:rPr>
    </w:pPr>
    <w:r>
      <w:t>WO/PBC/23/8</w:t>
    </w:r>
  </w:p>
  <w:p w:rsidR="002C0ABC" w:rsidRDefault="002C0ABC" w:rsidP="002C0ABC">
    <w:pPr>
      <w:pStyle w:val="Header"/>
    </w:pPr>
    <w:r>
      <w:t>ANNEX I</w:t>
    </w:r>
  </w:p>
  <w:p w:rsidR="002C0ABC" w:rsidRPr="00EA0C85" w:rsidRDefault="002C0ABC" w:rsidP="002336EF">
    <w:pPr>
      <w:pStyle w:val="Header"/>
      <w:bidi/>
      <w:jc w:val="right"/>
      <w:rPr>
        <w:rFonts w:ascii="Arabic Typesetting" w:hAnsi="Arabic Typesetting" w:cs="Arabic Typesetting"/>
        <w:sz w:val="36"/>
        <w:szCs w:val="36"/>
        <w:rtl/>
      </w:rPr>
    </w:pPr>
    <w:r w:rsidRPr="00EA0C85">
      <w:rPr>
        <w:rFonts w:ascii="Arabic Typesetting" w:hAnsi="Arabic Typesetting" w:cs="Arabic Typesetting"/>
        <w:sz w:val="36"/>
        <w:szCs w:val="36"/>
        <w:rtl/>
      </w:rPr>
      <w:t>المرفق الأول</w:t>
    </w:r>
  </w:p>
  <w:p w:rsidR="002C0ABC" w:rsidRDefault="002C0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E6" w:rsidRDefault="001D21E6" w:rsidP="001D21E6">
    <w:pPr>
      <w:rPr>
        <w:rFonts w:hint="cs"/>
        <w:rtl/>
      </w:rPr>
    </w:pPr>
    <w:r>
      <w:t>WO/PBC/23/8</w:t>
    </w:r>
  </w:p>
  <w:p w:rsidR="001D21E6" w:rsidRPr="002C0ABC" w:rsidRDefault="001D21E6" w:rsidP="001D21E6">
    <w:pPr>
      <w:rPr>
        <w:lang w:val="fr-CH"/>
      </w:rPr>
    </w:pPr>
    <w:r w:rsidRPr="002C0ABC">
      <w:t>Annex I</w:t>
    </w:r>
  </w:p>
  <w:p w:rsidR="001D21E6" w:rsidRDefault="001D21E6" w:rsidP="001D21E6">
    <w:r>
      <w:fldChar w:fldCharType="begin"/>
    </w:r>
    <w:r>
      <w:instrText xml:space="preserve"> PAGE  \* MERGEFORMAT </w:instrText>
    </w:r>
    <w:r>
      <w:fldChar w:fldCharType="separate"/>
    </w:r>
    <w:r w:rsidR="00FE37EA">
      <w:rPr>
        <w:noProof/>
      </w:rPr>
      <w:t>9</w:t>
    </w:r>
    <w:r>
      <w:fldChar w:fldCharType="end"/>
    </w:r>
  </w:p>
  <w:p w:rsidR="001D21E6" w:rsidRDefault="001D21E6" w:rsidP="001D21E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BC" w:rsidRDefault="002C0ABC" w:rsidP="00796CF7">
    <w:pPr>
      <w:rPr>
        <w:lang w:val="fr-CH"/>
      </w:rPr>
    </w:pPr>
    <w:r>
      <w:t>WO/PBC/23/8</w:t>
    </w:r>
  </w:p>
  <w:p w:rsidR="002C0ABC" w:rsidRPr="00FA2194" w:rsidRDefault="002C0ABC" w:rsidP="002C0ABC">
    <w:pPr>
      <w:rPr>
        <w:lang w:val="fr-CH"/>
      </w:rPr>
    </w:pPr>
    <w:r w:rsidRPr="002C0ABC">
      <w:t>Annex I</w:t>
    </w:r>
    <w:r w:rsidR="00FA2194">
      <w:rPr>
        <w:lang w:val="fr-CH"/>
      </w:rPr>
      <w:t>I</w:t>
    </w:r>
  </w:p>
  <w:p w:rsidR="002C0ABC" w:rsidRDefault="002C0ABC" w:rsidP="002C0ABC">
    <w:pPr>
      <w:pStyle w:val="Header"/>
    </w:pPr>
    <w:r>
      <w:fldChar w:fldCharType="begin"/>
    </w:r>
    <w:r>
      <w:instrText xml:space="preserve"> PAGE   \* MERGEFORMAT </w:instrText>
    </w:r>
    <w:r>
      <w:fldChar w:fldCharType="separate"/>
    </w:r>
    <w:r w:rsidR="00FE37EA">
      <w:rPr>
        <w:noProof/>
      </w:rPr>
      <w:t>3</w:t>
    </w:r>
    <w:r>
      <w:rPr>
        <w:noProof/>
      </w:rPr>
      <w:fldChar w:fldCharType="end"/>
    </w:r>
  </w:p>
  <w:p w:rsidR="007326F0" w:rsidRDefault="007326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751" w:rsidRPr="00EC519B" w:rsidRDefault="00AF2751" w:rsidP="00EA0C85">
    <w:pPr>
      <w:rPr>
        <w:lang w:val="fr-CH"/>
      </w:rPr>
    </w:pPr>
    <w:r>
      <w:t>WO/PBC/23/8</w:t>
    </w:r>
  </w:p>
  <w:p w:rsidR="00AF2751" w:rsidRDefault="00AF2751">
    <w:pPr>
      <w:pStyle w:val="Header"/>
      <w:rPr>
        <w:lang w:val="fr-CH"/>
      </w:rPr>
    </w:pPr>
    <w:r>
      <w:t>Annex I</w:t>
    </w:r>
    <w:r w:rsidR="002C0ABC">
      <w:rPr>
        <w:lang w:val="fr-CH"/>
      </w:rPr>
      <w:t>I</w:t>
    </w:r>
  </w:p>
  <w:p w:rsidR="002C0ABC" w:rsidRPr="002C0ABC" w:rsidRDefault="002C0ABC" w:rsidP="001D21E6">
    <w:pPr>
      <w:pStyle w:val="Header"/>
      <w:bidi/>
      <w:jc w:val="right"/>
      <w:rPr>
        <w:rFonts w:ascii="Arabic Typesetting" w:hAnsi="Arabic Typesetting" w:cs="Arabic Typesetting"/>
        <w:sz w:val="36"/>
        <w:szCs w:val="36"/>
        <w:rtl/>
        <w:lang w:val="fr-CH"/>
      </w:rPr>
    </w:pPr>
    <w:r w:rsidRPr="002C0ABC">
      <w:rPr>
        <w:rFonts w:ascii="Arabic Typesetting" w:hAnsi="Arabic Typesetting" w:cs="Arabic Typesetting"/>
        <w:sz w:val="36"/>
        <w:szCs w:val="36"/>
        <w:rtl/>
        <w:lang w:val="fr-CH"/>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lvlOverride w:ilvl="0">
      <w:startOverride w:val="1"/>
    </w:lvlOverride>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ATS_PreTrans"/>
    <w:docVar w:name="TermBaseURL" w:val="empty"/>
    <w:docVar w:name="TextBases" w:val="transmlp.wipo.int\TextBase TMs\Budget and Finance\Meetings|transmlp.wipo.int\TextBase TMs\WorkspaceATS\Financial\Fin.Narrative|transmlp.wipo.int\TextBase TMs\WorkspaceATS\Financial\Fin.Tables"/>
    <w:docVar w:name="TextBaseURL" w:val="empty"/>
    <w:docVar w:name="UILng" w:val="en"/>
  </w:docVars>
  <w:rsids>
    <w:rsidRoot w:val="00DE3AC0"/>
    <w:rsid w:val="00002CBE"/>
    <w:rsid w:val="00003232"/>
    <w:rsid w:val="000033DA"/>
    <w:rsid w:val="00004AF1"/>
    <w:rsid w:val="0000579F"/>
    <w:rsid w:val="000074D1"/>
    <w:rsid w:val="000076BD"/>
    <w:rsid w:val="00010481"/>
    <w:rsid w:val="00010671"/>
    <w:rsid w:val="000114E2"/>
    <w:rsid w:val="00013347"/>
    <w:rsid w:val="00013D73"/>
    <w:rsid w:val="00014127"/>
    <w:rsid w:val="000142E1"/>
    <w:rsid w:val="000146BD"/>
    <w:rsid w:val="00014B68"/>
    <w:rsid w:val="000151EC"/>
    <w:rsid w:val="0001550B"/>
    <w:rsid w:val="0001645D"/>
    <w:rsid w:val="00017A43"/>
    <w:rsid w:val="0002157B"/>
    <w:rsid w:val="00023101"/>
    <w:rsid w:val="0002407C"/>
    <w:rsid w:val="000243FB"/>
    <w:rsid w:val="0002476F"/>
    <w:rsid w:val="00024E17"/>
    <w:rsid w:val="000258DB"/>
    <w:rsid w:val="000259E5"/>
    <w:rsid w:val="00031B2C"/>
    <w:rsid w:val="00033D2C"/>
    <w:rsid w:val="00035CE8"/>
    <w:rsid w:val="00036015"/>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797"/>
    <w:rsid w:val="00066DC7"/>
    <w:rsid w:val="0006794A"/>
    <w:rsid w:val="00067F31"/>
    <w:rsid w:val="00071138"/>
    <w:rsid w:val="00073402"/>
    <w:rsid w:val="00075745"/>
    <w:rsid w:val="00075A04"/>
    <w:rsid w:val="00075D39"/>
    <w:rsid w:val="000760C3"/>
    <w:rsid w:val="000763A4"/>
    <w:rsid w:val="00076901"/>
    <w:rsid w:val="00076C4C"/>
    <w:rsid w:val="0008237C"/>
    <w:rsid w:val="000833C3"/>
    <w:rsid w:val="0008421F"/>
    <w:rsid w:val="0008451C"/>
    <w:rsid w:val="00084BA5"/>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67F"/>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A30"/>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4B8"/>
    <w:rsid w:val="00136A1A"/>
    <w:rsid w:val="00136A96"/>
    <w:rsid w:val="001376B6"/>
    <w:rsid w:val="00140A35"/>
    <w:rsid w:val="0014101F"/>
    <w:rsid w:val="00142F4D"/>
    <w:rsid w:val="00143428"/>
    <w:rsid w:val="0014412C"/>
    <w:rsid w:val="00144713"/>
    <w:rsid w:val="00144CC3"/>
    <w:rsid w:val="0015009D"/>
    <w:rsid w:val="001519FB"/>
    <w:rsid w:val="00151B18"/>
    <w:rsid w:val="00151BF2"/>
    <w:rsid w:val="00151C68"/>
    <w:rsid w:val="001520DD"/>
    <w:rsid w:val="00152374"/>
    <w:rsid w:val="0015393A"/>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EE"/>
    <w:rsid w:val="00171844"/>
    <w:rsid w:val="0017385A"/>
    <w:rsid w:val="00175448"/>
    <w:rsid w:val="001757AF"/>
    <w:rsid w:val="00175825"/>
    <w:rsid w:val="0017666F"/>
    <w:rsid w:val="00176D64"/>
    <w:rsid w:val="00176E2C"/>
    <w:rsid w:val="00177DBF"/>
    <w:rsid w:val="00182417"/>
    <w:rsid w:val="0018242F"/>
    <w:rsid w:val="00183AB0"/>
    <w:rsid w:val="0018414E"/>
    <w:rsid w:val="00185718"/>
    <w:rsid w:val="001857AF"/>
    <w:rsid w:val="00185BBE"/>
    <w:rsid w:val="00186606"/>
    <w:rsid w:val="00190B6D"/>
    <w:rsid w:val="00191E75"/>
    <w:rsid w:val="00192022"/>
    <w:rsid w:val="0019301D"/>
    <w:rsid w:val="0019454F"/>
    <w:rsid w:val="00194719"/>
    <w:rsid w:val="00194774"/>
    <w:rsid w:val="00195CE0"/>
    <w:rsid w:val="001967D4"/>
    <w:rsid w:val="001A098F"/>
    <w:rsid w:val="001A10CB"/>
    <w:rsid w:val="001A110B"/>
    <w:rsid w:val="001A149A"/>
    <w:rsid w:val="001A28BF"/>
    <w:rsid w:val="001A2AB7"/>
    <w:rsid w:val="001A4A9C"/>
    <w:rsid w:val="001A6B88"/>
    <w:rsid w:val="001A6C33"/>
    <w:rsid w:val="001A6E68"/>
    <w:rsid w:val="001B14F0"/>
    <w:rsid w:val="001B267E"/>
    <w:rsid w:val="001B3131"/>
    <w:rsid w:val="001B4B2F"/>
    <w:rsid w:val="001B7C00"/>
    <w:rsid w:val="001C09D2"/>
    <w:rsid w:val="001C1620"/>
    <w:rsid w:val="001C18B2"/>
    <w:rsid w:val="001C1994"/>
    <w:rsid w:val="001C1FA9"/>
    <w:rsid w:val="001C2933"/>
    <w:rsid w:val="001C5EEE"/>
    <w:rsid w:val="001C6A73"/>
    <w:rsid w:val="001C73C2"/>
    <w:rsid w:val="001D0474"/>
    <w:rsid w:val="001D141D"/>
    <w:rsid w:val="001D1EBD"/>
    <w:rsid w:val="001D2184"/>
    <w:rsid w:val="001D21E6"/>
    <w:rsid w:val="001D24F3"/>
    <w:rsid w:val="001D2678"/>
    <w:rsid w:val="001D29BA"/>
    <w:rsid w:val="001D2DC4"/>
    <w:rsid w:val="001D6A48"/>
    <w:rsid w:val="001D7F37"/>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869"/>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6EF"/>
    <w:rsid w:val="00233D69"/>
    <w:rsid w:val="00234E82"/>
    <w:rsid w:val="00235C9D"/>
    <w:rsid w:val="002378D6"/>
    <w:rsid w:val="002412D4"/>
    <w:rsid w:val="0024220D"/>
    <w:rsid w:val="00242BD3"/>
    <w:rsid w:val="00242C02"/>
    <w:rsid w:val="00243155"/>
    <w:rsid w:val="00243580"/>
    <w:rsid w:val="002437F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33E"/>
    <w:rsid w:val="002B53D3"/>
    <w:rsid w:val="002B6202"/>
    <w:rsid w:val="002C014C"/>
    <w:rsid w:val="002C060C"/>
    <w:rsid w:val="002C0AB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2FF5"/>
    <w:rsid w:val="002E4325"/>
    <w:rsid w:val="002E7615"/>
    <w:rsid w:val="002E79C9"/>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81D"/>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FCC"/>
    <w:rsid w:val="003433E5"/>
    <w:rsid w:val="00344082"/>
    <w:rsid w:val="0034582C"/>
    <w:rsid w:val="00345916"/>
    <w:rsid w:val="00345CAC"/>
    <w:rsid w:val="0034789E"/>
    <w:rsid w:val="003501DA"/>
    <w:rsid w:val="003503E2"/>
    <w:rsid w:val="0035180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7FD"/>
    <w:rsid w:val="00373D21"/>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4B"/>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20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3DD0"/>
    <w:rsid w:val="00424BB4"/>
    <w:rsid w:val="004258CD"/>
    <w:rsid w:val="004261D2"/>
    <w:rsid w:val="004303D1"/>
    <w:rsid w:val="004305B2"/>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7F2"/>
    <w:rsid w:val="00486FFC"/>
    <w:rsid w:val="00490ED4"/>
    <w:rsid w:val="00491B91"/>
    <w:rsid w:val="00491C21"/>
    <w:rsid w:val="00491C66"/>
    <w:rsid w:val="004935D6"/>
    <w:rsid w:val="00494195"/>
    <w:rsid w:val="004945FB"/>
    <w:rsid w:val="00497356"/>
    <w:rsid w:val="004A076F"/>
    <w:rsid w:val="004A1DC1"/>
    <w:rsid w:val="004A31A2"/>
    <w:rsid w:val="004A48A7"/>
    <w:rsid w:val="004A5AB2"/>
    <w:rsid w:val="004A655D"/>
    <w:rsid w:val="004B01B1"/>
    <w:rsid w:val="004B08D1"/>
    <w:rsid w:val="004B10E6"/>
    <w:rsid w:val="004B198F"/>
    <w:rsid w:val="004B46D0"/>
    <w:rsid w:val="004B57B0"/>
    <w:rsid w:val="004B60CE"/>
    <w:rsid w:val="004B61C9"/>
    <w:rsid w:val="004C0B26"/>
    <w:rsid w:val="004C12FE"/>
    <w:rsid w:val="004C14AA"/>
    <w:rsid w:val="004C1D57"/>
    <w:rsid w:val="004C2F7C"/>
    <w:rsid w:val="004C34F8"/>
    <w:rsid w:val="004C375F"/>
    <w:rsid w:val="004C482F"/>
    <w:rsid w:val="004C49C9"/>
    <w:rsid w:val="004C627F"/>
    <w:rsid w:val="004C76C1"/>
    <w:rsid w:val="004C7DDE"/>
    <w:rsid w:val="004C7E04"/>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CB0"/>
    <w:rsid w:val="00505D37"/>
    <w:rsid w:val="00507FD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5BF"/>
    <w:rsid w:val="00534AF0"/>
    <w:rsid w:val="00535060"/>
    <w:rsid w:val="00535738"/>
    <w:rsid w:val="005409EB"/>
    <w:rsid w:val="00540F30"/>
    <w:rsid w:val="00541DD2"/>
    <w:rsid w:val="00543A63"/>
    <w:rsid w:val="00543AB5"/>
    <w:rsid w:val="005457CF"/>
    <w:rsid w:val="00545976"/>
    <w:rsid w:val="0054660F"/>
    <w:rsid w:val="00547628"/>
    <w:rsid w:val="00553284"/>
    <w:rsid w:val="005533C3"/>
    <w:rsid w:val="005536E6"/>
    <w:rsid w:val="00553AC3"/>
    <w:rsid w:val="00553DBA"/>
    <w:rsid w:val="00554335"/>
    <w:rsid w:val="00555631"/>
    <w:rsid w:val="0055621D"/>
    <w:rsid w:val="00556F30"/>
    <w:rsid w:val="00560C6A"/>
    <w:rsid w:val="00560F85"/>
    <w:rsid w:val="005610A0"/>
    <w:rsid w:val="0056248F"/>
    <w:rsid w:val="00564985"/>
    <w:rsid w:val="005650A8"/>
    <w:rsid w:val="00565379"/>
    <w:rsid w:val="005674C3"/>
    <w:rsid w:val="00567990"/>
    <w:rsid w:val="005679D3"/>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6B0B"/>
    <w:rsid w:val="005A7BF3"/>
    <w:rsid w:val="005A7DE0"/>
    <w:rsid w:val="005B084B"/>
    <w:rsid w:val="005B0AEF"/>
    <w:rsid w:val="005B1D55"/>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1CE"/>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3"/>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1B6"/>
    <w:rsid w:val="00664C9F"/>
    <w:rsid w:val="00666548"/>
    <w:rsid w:val="00666A71"/>
    <w:rsid w:val="00667537"/>
    <w:rsid w:val="00670865"/>
    <w:rsid w:val="00671AED"/>
    <w:rsid w:val="006721D0"/>
    <w:rsid w:val="006725B5"/>
    <w:rsid w:val="006734CE"/>
    <w:rsid w:val="00673521"/>
    <w:rsid w:val="00673767"/>
    <w:rsid w:val="00673F39"/>
    <w:rsid w:val="006746AC"/>
    <w:rsid w:val="0067571B"/>
    <w:rsid w:val="00675E37"/>
    <w:rsid w:val="0067663E"/>
    <w:rsid w:val="006768FB"/>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67"/>
    <w:rsid w:val="006A753A"/>
    <w:rsid w:val="006A777C"/>
    <w:rsid w:val="006A7C46"/>
    <w:rsid w:val="006B0F76"/>
    <w:rsid w:val="006B1F20"/>
    <w:rsid w:val="006B398A"/>
    <w:rsid w:val="006B3E04"/>
    <w:rsid w:val="006B4024"/>
    <w:rsid w:val="006B47D7"/>
    <w:rsid w:val="006B499D"/>
    <w:rsid w:val="006B5041"/>
    <w:rsid w:val="006B524C"/>
    <w:rsid w:val="006B643D"/>
    <w:rsid w:val="006B79A4"/>
    <w:rsid w:val="006C1254"/>
    <w:rsid w:val="006C2DC5"/>
    <w:rsid w:val="006C480B"/>
    <w:rsid w:val="006C570B"/>
    <w:rsid w:val="006C572E"/>
    <w:rsid w:val="006C5997"/>
    <w:rsid w:val="006C5CD2"/>
    <w:rsid w:val="006C68D9"/>
    <w:rsid w:val="006C784E"/>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5CA3"/>
    <w:rsid w:val="00716020"/>
    <w:rsid w:val="00720860"/>
    <w:rsid w:val="00721087"/>
    <w:rsid w:val="00721530"/>
    <w:rsid w:val="00723422"/>
    <w:rsid w:val="00723BD6"/>
    <w:rsid w:val="00723DF0"/>
    <w:rsid w:val="007260FE"/>
    <w:rsid w:val="00726DD6"/>
    <w:rsid w:val="0073076E"/>
    <w:rsid w:val="00731472"/>
    <w:rsid w:val="007326F0"/>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139"/>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A9B"/>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A4D"/>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C6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FBC"/>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5BA"/>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444"/>
    <w:rsid w:val="008B4941"/>
    <w:rsid w:val="008B4984"/>
    <w:rsid w:val="008B4F60"/>
    <w:rsid w:val="008B514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240"/>
    <w:rsid w:val="008F791D"/>
    <w:rsid w:val="0090014C"/>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1CA"/>
    <w:rsid w:val="00931859"/>
    <w:rsid w:val="0093205C"/>
    <w:rsid w:val="0093220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456"/>
    <w:rsid w:val="00984E04"/>
    <w:rsid w:val="00985AAC"/>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8C1"/>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FA7"/>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6B1"/>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6F8"/>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2CD"/>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2751"/>
    <w:rsid w:val="00AF3291"/>
    <w:rsid w:val="00AF395E"/>
    <w:rsid w:val="00AF4D6A"/>
    <w:rsid w:val="00AF5049"/>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B82"/>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5D"/>
    <w:rsid w:val="00BB5E2C"/>
    <w:rsid w:val="00BB7D9E"/>
    <w:rsid w:val="00BC16AC"/>
    <w:rsid w:val="00BC2B7B"/>
    <w:rsid w:val="00BC3290"/>
    <w:rsid w:val="00BC3AE8"/>
    <w:rsid w:val="00BC3AF4"/>
    <w:rsid w:val="00BC43A8"/>
    <w:rsid w:val="00BC4498"/>
    <w:rsid w:val="00BC5C6D"/>
    <w:rsid w:val="00BC7120"/>
    <w:rsid w:val="00BC76A3"/>
    <w:rsid w:val="00BD00D1"/>
    <w:rsid w:val="00BD07A2"/>
    <w:rsid w:val="00BD2603"/>
    <w:rsid w:val="00BD322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4F1A"/>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56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70D"/>
    <w:rsid w:val="00C44DDC"/>
    <w:rsid w:val="00C5056A"/>
    <w:rsid w:val="00C50B86"/>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50A"/>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6C4"/>
    <w:rsid w:val="00CD5DBB"/>
    <w:rsid w:val="00CD67E7"/>
    <w:rsid w:val="00CD6CA2"/>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553"/>
    <w:rsid w:val="00D4267F"/>
    <w:rsid w:val="00D441E9"/>
    <w:rsid w:val="00D44425"/>
    <w:rsid w:val="00D44FC8"/>
    <w:rsid w:val="00D45D8F"/>
    <w:rsid w:val="00D50332"/>
    <w:rsid w:val="00D5138E"/>
    <w:rsid w:val="00D52B95"/>
    <w:rsid w:val="00D5362B"/>
    <w:rsid w:val="00D53A09"/>
    <w:rsid w:val="00D54AAB"/>
    <w:rsid w:val="00D552F9"/>
    <w:rsid w:val="00D55A8C"/>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BAD"/>
    <w:rsid w:val="00D80F87"/>
    <w:rsid w:val="00D812A5"/>
    <w:rsid w:val="00D82A5C"/>
    <w:rsid w:val="00D82D11"/>
    <w:rsid w:val="00D83CD3"/>
    <w:rsid w:val="00D83E51"/>
    <w:rsid w:val="00D84719"/>
    <w:rsid w:val="00D856EA"/>
    <w:rsid w:val="00D85ACD"/>
    <w:rsid w:val="00D86460"/>
    <w:rsid w:val="00D8732B"/>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AC0"/>
    <w:rsid w:val="00DE3FEB"/>
    <w:rsid w:val="00DE4905"/>
    <w:rsid w:val="00DE510C"/>
    <w:rsid w:val="00DE7822"/>
    <w:rsid w:val="00DF081A"/>
    <w:rsid w:val="00DF265D"/>
    <w:rsid w:val="00DF2EB0"/>
    <w:rsid w:val="00DF31C1"/>
    <w:rsid w:val="00DF427A"/>
    <w:rsid w:val="00DF45C5"/>
    <w:rsid w:val="00DF5A8C"/>
    <w:rsid w:val="00DF71D8"/>
    <w:rsid w:val="00E00376"/>
    <w:rsid w:val="00E00CCA"/>
    <w:rsid w:val="00E01623"/>
    <w:rsid w:val="00E03FE3"/>
    <w:rsid w:val="00E06316"/>
    <w:rsid w:val="00E06951"/>
    <w:rsid w:val="00E10C94"/>
    <w:rsid w:val="00E10EC4"/>
    <w:rsid w:val="00E116AC"/>
    <w:rsid w:val="00E118D7"/>
    <w:rsid w:val="00E13F46"/>
    <w:rsid w:val="00E15BD4"/>
    <w:rsid w:val="00E16458"/>
    <w:rsid w:val="00E16FB6"/>
    <w:rsid w:val="00E17001"/>
    <w:rsid w:val="00E17814"/>
    <w:rsid w:val="00E178AB"/>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4A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1D9"/>
    <w:rsid w:val="00E52353"/>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4C8"/>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C85"/>
    <w:rsid w:val="00EA17A9"/>
    <w:rsid w:val="00EA311B"/>
    <w:rsid w:val="00EA36CA"/>
    <w:rsid w:val="00EA373A"/>
    <w:rsid w:val="00EA3D9C"/>
    <w:rsid w:val="00EA43C0"/>
    <w:rsid w:val="00EA4CB0"/>
    <w:rsid w:val="00EA566F"/>
    <w:rsid w:val="00EA630D"/>
    <w:rsid w:val="00EB2857"/>
    <w:rsid w:val="00EB30B7"/>
    <w:rsid w:val="00EB3F8A"/>
    <w:rsid w:val="00EB416F"/>
    <w:rsid w:val="00EB43B9"/>
    <w:rsid w:val="00EB4482"/>
    <w:rsid w:val="00EB4C01"/>
    <w:rsid w:val="00EB4D59"/>
    <w:rsid w:val="00EB4E58"/>
    <w:rsid w:val="00EB573D"/>
    <w:rsid w:val="00EB583A"/>
    <w:rsid w:val="00EB7752"/>
    <w:rsid w:val="00EC0725"/>
    <w:rsid w:val="00EC077A"/>
    <w:rsid w:val="00EC0889"/>
    <w:rsid w:val="00EC0C13"/>
    <w:rsid w:val="00EC148C"/>
    <w:rsid w:val="00EC2D7D"/>
    <w:rsid w:val="00EC36AD"/>
    <w:rsid w:val="00EC3BCF"/>
    <w:rsid w:val="00EC519B"/>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29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738"/>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194"/>
    <w:rsid w:val="00FA2C4B"/>
    <w:rsid w:val="00FA5CC6"/>
    <w:rsid w:val="00FA64D5"/>
    <w:rsid w:val="00FA6760"/>
    <w:rsid w:val="00FA70F6"/>
    <w:rsid w:val="00FA7420"/>
    <w:rsid w:val="00FA756C"/>
    <w:rsid w:val="00FA75E4"/>
    <w:rsid w:val="00FA776B"/>
    <w:rsid w:val="00FB0AB1"/>
    <w:rsid w:val="00FB2BEF"/>
    <w:rsid w:val="00FB3568"/>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8DA"/>
    <w:rsid w:val="00FE0BF0"/>
    <w:rsid w:val="00FE15A2"/>
    <w:rsid w:val="00FE37EA"/>
    <w:rsid w:val="00FE3B37"/>
    <w:rsid w:val="00FE4B40"/>
    <w:rsid w:val="00FE5DC4"/>
    <w:rsid w:val="00FE6E94"/>
    <w:rsid w:val="00FE76CB"/>
    <w:rsid w:val="00FE7BD8"/>
    <w:rsid w:val="00FF12EF"/>
    <w:rsid w:val="00FF1D76"/>
    <w:rsid w:val="00FF245B"/>
    <w:rsid w:val="00FF2D17"/>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D80B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rsid w:val="00D80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po.int/madrid/en/legal_texts/trtdocs_wo016.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adrid/en/legal_texts/trtdocs_wo016.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D35F-06E6-47CF-85C5-ED5B6B07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WO_PBC_23_AR.dotx</Template>
  <TotalTime>1</TotalTime>
  <Pages>15</Pages>
  <Words>3958</Words>
  <Characters>22066</Characters>
  <Application>Microsoft Office Word</Application>
  <DocSecurity>0</DocSecurity>
  <Lines>668</Lines>
  <Paragraphs>481</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ABOULHOUCINE Driss</dc:creator>
  <cp:lastModifiedBy>ABOULHOUCINE Driss</cp:lastModifiedBy>
  <cp:revision>3</cp:revision>
  <cp:lastPrinted>2015-06-25T15:09:00Z</cp:lastPrinted>
  <dcterms:created xsi:type="dcterms:W3CDTF">2015-06-25T15:09:00Z</dcterms:created>
  <dcterms:modified xsi:type="dcterms:W3CDTF">2015-06-25T15:10:00Z</dcterms:modified>
</cp:coreProperties>
</file>