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A28BF" w:rsidRPr="001A28BF" w:rsidTr="007572E1">
        <w:tc>
          <w:tcPr>
            <w:tcW w:w="4843" w:type="dxa"/>
            <w:tcBorders>
              <w:bottom w:val="single" w:sz="4" w:space="0" w:color="auto"/>
            </w:tcBorders>
          </w:tcPr>
          <w:p w:rsidR="001A28BF" w:rsidRPr="001A28BF" w:rsidRDefault="001A28BF" w:rsidP="001A28BF">
            <w:pPr>
              <w:bidi/>
              <w:rPr>
                <w:rFonts w:ascii="Arabic Typesetting" w:hAnsi="Arabic Typesetting" w:cs="Arabic Typesetting"/>
                <w:sz w:val="36"/>
                <w:szCs w:val="36"/>
                <w:rtl/>
              </w:rPr>
            </w:pPr>
            <w:bookmarkStart w:id="2" w:name="_GoBack"/>
            <w:bookmarkEnd w:id="2"/>
          </w:p>
        </w:tc>
        <w:tc>
          <w:tcPr>
            <w:tcW w:w="4223" w:type="dxa"/>
            <w:tcBorders>
              <w:bottom w:val="single" w:sz="4" w:space="0" w:color="auto"/>
            </w:tcBorders>
          </w:tcPr>
          <w:p w:rsidR="001A28BF" w:rsidRPr="001A28BF" w:rsidRDefault="001A28BF" w:rsidP="001A28BF">
            <w:pPr>
              <w:bidi/>
              <w:spacing w:after="20"/>
              <w:rPr>
                <w:rFonts w:ascii="Arabic Typesetting" w:hAnsi="Arabic Typesetting" w:cs="Arabic Typesetting"/>
                <w:sz w:val="36"/>
                <w:szCs w:val="36"/>
                <w:rtl/>
              </w:rPr>
            </w:pPr>
            <w:r w:rsidRPr="001A28BF">
              <w:rPr>
                <w:noProof/>
              </w:rPr>
              <w:drawing>
                <wp:inline distT="0" distB="0" distL="0" distR="0" wp14:anchorId="1B5FD870" wp14:editId="46FF079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A28BF" w:rsidRPr="001A28BF" w:rsidRDefault="001A28BF" w:rsidP="001A28BF">
            <w:pPr>
              <w:rPr>
                <w:b/>
                <w:bCs/>
                <w:sz w:val="40"/>
                <w:szCs w:val="40"/>
              </w:rPr>
            </w:pPr>
            <w:r w:rsidRPr="001A28BF">
              <w:rPr>
                <w:b/>
                <w:bCs/>
                <w:sz w:val="40"/>
                <w:szCs w:val="40"/>
              </w:rPr>
              <w:t>A</w:t>
            </w:r>
          </w:p>
        </w:tc>
      </w:tr>
      <w:tr w:rsidR="001A28BF" w:rsidRPr="001A28BF" w:rsidTr="007572E1">
        <w:trPr>
          <w:trHeight w:val="333"/>
        </w:trPr>
        <w:tc>
          <w:tcPr>
            <w:tcW w:w="9571" w:type="dxa"/>
            <w:gridSpan w:val="3"/>
            <w:tcBorders>
              <w:top w:val="single" w:sz="4" w:space="0" w:color="auto"/>
            </w:tcBorders>
            <w:vAlign w:val="bottom"/>
          </w:tcPr>
          <w:p w:rsidR="001A28BF" w:rsidRPr="001A28BF" w:rsidRDefault="001A28BF" w:rsidP="00A82184">
            <w:pPr>
              <w:bidi/>
              <w:jc w:val="right"/>
              <w:rPr>
                <w:rFonts w:ascii="Arial Black" w:hAnsi="Arial Black" w:cs="Arabic Typesetting"/>
                <w:b/>
                <w:bCs/>
                <w:sz w:val="16"/>
                <w:szCs w:val="16"/>
                <w:rtl/>
              </w:rPr>
            </w:pPr>
            <w:r w:rsidRPr="001A28BF">
              <w:rPr>
                <w:rFonts w:ascii="Arial Black" w:hAnsi="Arial Black" w:cs="Arabic Typesetting"/>
                <w:b/>
                <w:bCs/>
                <w:sz w:val="16"/>
                <w:szCs w:val="16"/>
              </w:rPr>
              <w:t>WO/PBC/</w:t>
            </w:r>
            <w:r w:rsidR="002437FE">
              <w:rPr>
                <w:rFonts w:ascii="Arial Black" w:hAnsi="Arial Black" w:cs="Arabic Typesetting"/>
                <w:b/>
                <w:bCs/>
                <w:sz w:val="16"/>
                <w:szCs w:val="16"/>
              </w:rPr>
              <w:t>23</w:t>
            </w:r>
            <w:r w:rsidRPr="001A28BF">
              <w:rPr>
                <w:rFonts w:ascii="Arial Black" w:hAnsi="Arial Black" w:cs="Arabic Typesetting"/>
                <w:b/>
                <w:bCs/>
                <w:sz w:val="16"/>
                <w:szCs w:val="16"/>
              </w:rPr>
              <w:t>/</w:t>
            </w:r>
            <w:r w:rsidR="00A82184">
              <w:rPr>
                <w:rFonts w:ascii="Arial Black" w:hAnsi="Arial Black" w:cs="Arabic Typesetting"/>
                <w:b/>
                <w:bCs/>
                <w:sz w:val="16"/>
                <w:szCs w:val="16"/>
              </w:rPr>
              <w:t>4</w:t>
            </w:r>
          </w:p>
        </w:tc>
      </w:tr>
      <w:tr w:rsidR="001A28BF" w:rsidRPr="001A28BF" w:rsidTr="007572E1">
        <w:tc>
          <w:tcPr>
            <w:tcW w:w="9571" w:type="dxa"/>
            <w:gridSpan w:val="3"/>
          </w:tcPr>
          <w:p w:rsidR="001A28BF" w:rsidRPr="001A28BF" w:rsidRDefault="001A28BF" w:rsidP="00A82184">
            <w:pPr>
              <w:bidi/>
              <w:spacing w:line="240" w:lineRule="exact"/>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الأصل: </w:t>
            </w:r>
            <w:r w:rsidR="00A82184">
              <w:rPr>
                <w:rFonts w:ascii="Arabic Typesetting" w:hAnsi="Arabic Typesetting" w:cs="Arabic Typesetting" w:hint="cs"/>
                <w:b/>
                <w:bCs/>
                <w:sz w:val="30"/>
                <w:szCs w:val="30"/>
                <w:rtl/>
              </w:rPr>
              <w:t>بالإنكليزية</w:t>
            </w:r>
          </w:p>
        </w:tc>
      </w:tr>
      <w:tr w:rsidR="001A28BF" w:rsidRPr="001A28BF" w:rsidTr="007572E1">
        <w:tc>
          <w:tcPr>
            <w:tcW w:w="9571" w:type="dxa"/>
            <w:gridSpan w:val="3"/>
          </w:tcPr>
          <w:p w:rsidR="001A28BF" w:rsidRPr="001A28BF" w:rsidRDefault="001A28BF" w:rsidP="00A82184">
            <w:pPr>
              <w:bidi/>
              <w:jc w:val="right"/>
              <w:rPr>
                <w:rFonts w:ascii="Arabic Typesetting" w:hAnsi="Arabic Typesetting" w:cs="Arabic Typesetting"/>
                <w:b/>
                <w:bCs/>
                <w:sz w:val="30"/>
                <w:szCs w:val="30"/>
                <w:rtl/>
              </w:rPr>
            </w:pPr>
            <w:r w:rsidRPr="001A28BF">
              <w:rPr>
                <w:rFonts w:ascii="Arabic Typesetting" w:hAnsi="Arabic Typesetting" w:cs="Arabic Typesetting" w:hint="cs"/>
                <w:b/>
                <w:bCs/>
                <w:sz w:val="30"/>
                <w:szCs w:val="30"/>
                <w:rtl/>
              </w:rPr>
              <w:t xml:space="preserve">التاريخ: </w:t>
            </w:r>
            <w:r w:rsidR="00A82184">
              <w:rPr>
                <w:rFonts w:ascii="Arabic Typesetting" w:hAnsi="Arabic Typesetting" w:cs="Arabic Typesetting" w:hint="cs"/>
                <w:b/>
                <w:bCs/>
                <w:sz w:val="30"/>
                <w:szCs w:val="30"/>
                <w:rtl/>
              </w:rPr>
              <w:t>11</w:t>
            </w:r>
            <w:r w:rsidRPr="001A28BF">
              <w:rPr>
                <w:rFonts w:ascii="Arabic Typesetting" w:hAnsi="Arabic Typesetting" w:cs="Arabic Typesetting" w:hint="cs"/>
                <w:b/>
                <w:bCs/>
                <w:sz w:val="30"/>
                <w:szCs w:val="30"/>
                <w:rtl/>
              </w:rPr>
              <w:t xml:space="preserve"> </w:t>
            </w:r>
            <w:r w:rsidR="00A82184">
              <w:rPr>
                <w:rFonts w:ascii="Arabic Typesetting" w:hAnsi="Arabic Typesetting" w:cs="Arabic Typesetting" w:hint="cs"/>
                <w:b/>
                <w:bCs/>
                <w:sz w:val="30"/>
                <w:szCs w:val="30"/>
                <w:rtl/>
              </w:rPr>
              <w:t xml:space="preserve">مايو </w:t>
            </w:r>
            <w:r w:rsidR="002437FE">
              <w:rPr>
                <w:rFonts w:ascii="Arabic Typesetting" w:hAnsi="Arabic Typesetting" w:cs="Arabic Typesetting" w:hint="cs"/>
                <w:b/>
                <w:bCs/>
                <w:sz w:val="30"/>
                <w:szCs w:val="30"/>
                <w:rtl/>
              </w:rPr>
              <w:t>2015</w:t>
            </w:r>
          </w:p>
        </w:tc>
      </w:tr>
    </w:tbl>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ind w:right="550"/>
        <w:rPr>
          <w:rFonts w:ascii="Arial Black" w:hAnsi="Arial Black" w:cs="PT Bold Heading"/>
          <w:sz w:val="34"/>
          <w:szCs w:val="34"/>
          <w:rtl/>
          <w:lang w:val="fr-CH"/>
        </w:rPr>
      </w:pPr>
      <w:r w:rsidRPr="001A28BF">
        <w:rPr>
          <w:rFonts w:ascii="Arial Black" w:hAnsi="Arial Black" w:cs="PT Bold Heading"/>
          <w:sz w:val="34"/>
          <w:szCs w:val="34"/>
          <w:rtl/>
        </w:rPr>
        <w:t xml:space="preserve">لجنة </w:t>
      </w:r>
      <w:r w:rsidRPr="001A28BF">
        <w:rPr>
          <w:rFonts w:ascii="Arial Black" w:hAnsi="Arial Black" w:cs="PT Bold Heading" w:hint="cs"/>
          <w:sz w:val="34"/>
          <w:szCs w:val="34"/>
          <w:rtl/>
          <w:lang w:val="fr-CH"/>
        </w:rPr>
        <w:t>البرنامج والميزانية</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2437FE">
      <w:pPr>
        <w:bidi/>
        <w:spacing w:line="360" w:lineRule="exact"/>
        <w:rPr>
          <w:rFonts w:ascii="Cambria Math" w:hAnsi="Cambria Math" w:cs="PT Bold Heading"/>
          <w:sz w:val="30"/>
          <w:szCs w:val="30"/>
          <w:rtl/>
        </w:rPr>
      </w:pPr>
      <w:r w:rsidRPr="001A28BF">
        <w:rPr>
          <w:rFonts w:ascii="Cambria Math" w:hAnsi="Cambria Math" w:cs="PT Bold Heading"/>
          <w:sz w:val="30"/>
          <w:szCs w:val="30"/>
          <w:rtl/>
        </w:rPr>
        <w:t xml:space="preserve">الدورة </w:t>
      </w:r>
      <w:r w:rsidR="002437FE">
        <w:rPr>
          <w:rFonts w:ascii="Cambria Math" w:hAnsi="Cambria Math" w:cs="PT Bold Heading" w:hint="cs"/>
          <w:sz w:val="30"/>
          <w:szCs w:val="30"/>
          <w:rtl/>
        </w:rPr>
        <w:t>الثالثة</w:t>
      </w:r>
      <w:r w:rsidRPr="001A28BF">
        <w:rPr>
          <w:rFonts w:ascii="Cambria Math" w:hAnsi="Cambria Math" w:cs="PT Bold Heading" w:hint="cs"/>
          <w:sz w:val="30"/>
          <w:szCs w:val="30"/>
          <w:rtl/>
        </w:rPr>
        <w:t xml:space="preserve"> والعشرون</w:t>
      </w:r>
    </w:p>
    <w:p w:rsidR="001A28BF" w:rsidRPr="001A28BF" w:rsidRDefault="001A28BF" w:rsidP="002437FE">
      <w:pPr>
        <w:bidi/>
        <w:spacing w:line="360" w:lineRule="exact"/>
        <w:rPr>
          <w:rFonts w:ascii="Arabic Typesetting" w:hAnsi="Arabic Typesetting" w:cs="Arabic Typesetting"/>
          <w:b/>
          <w:bCs/>
          <w:sz w:val="36"/>
          <w:szCs w:val="36"/>
          <w:rtl/>
        </w:rPr>
      </w:pPr>
      <w:r w:rsidRPr="001A28BF">
        <w:rPr>
          <w:rFonts w:ascii="Arabic Typesetting" w:hAnsi="Arabic Typesetting" w:cs="Arabic Typesetting" w:hint="cs"/>
          <w:b/>
          <w:bCs/>
          <w:sz w:val="36"/>
          <w:szCs w:val="36"/>
          <w:rtl/>
        </w:rPr>
        <w:t xml:space="preserve">جنيف، من </w:t>
      </w:r>
      <w:r w:rsidR="002437FE">
        <w:rPr>
          <w:rFonts w:ascii="Arabic Typesetting" w:hAnsi="Arabic Typesetting" w:cs="Arabic Typesetting" w:hint="cs"/>
          <w:b/>
          <w:bCs/>
          <w:sz w:val="36"/>
          <w:szCs w:val="36"/>
          <w:rtl/>
        </w:rPr>
        <w:t>13</w:t>
      </w:r>
      <w:r w:rsidRPr="001A28BF">
        <w:rPr>
          <w:rFonts w:ascii="Arabic Typesetting" w:hAnsi="Arabic Typesetting" w:cs="Arabic Typesetting" w:hint="cs"/>
          <w:b/>
          <w:bCs/>
          <w:sz w:val="36"/>
          <w:szCs w:val="36"/>
          <w:rtl/>
        </w:rPr>
        <w:t xml:space="preserve"> إلى </w:t>
      </w:r>
      <w:r w:rsidR="002437FE">
        <w:rPr>
          <w:rFonts w:ascii="Arabic Typesetting" w:hAnsi="Arabic Typesetting" w:cs="Arabic Typesetting" w:hint="cs"/>
          <w:b/>
          <w:bCs/>
          <w:sz w:val="36"/>
          <w:szCs w:val="36"/>
          <w:rtl/>
        </w:rPr>
        <w:t>17</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يوليو</w:t>
      </w:r>
      <w:r w:rsidRPr="001A28BF">
        <w:rPr>
          <w:rFonts w:ascii="Arabic Typesetting" w:hAnsi="Arabic Typesetting" w:cs="Arabic Typesetting" w:hint="cs"/>
          <w:b/>
          <w:bCs/>
          <w:sz w:val="36"/>
          <w:szCs w:val="36"/>
          <w:rtl/>
        </w:rPr>
        <w:t xml:space="preserve"> </w:t>
      </w:r>
      <w:r w:rsidR="002437FE">
        <w:rPr>
          <w:rFonts w:ascii="Arabic Typesetting" w:hAnsi="Arabic Typesetting" w:cs="Arabic Typesetting" w:hint="cs"/>
          <w:b/>
          <w:bCs/>
          <w:sz w:val="36"/>
          <w:szCs w:val="36"/>
          <w:rtl/>
        </w:rPr>
        <w:t>2015</w:t>
      </w: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1A28BF" w:rsidP="001A28BF">
      <w:pPr>
        <w:bidi/>
        <w:spacing w:line="360" w:lineRule="exact"/>
        <w:rPr>
          <w:rFonts w:ascii="Arabic Typesetting" w:hAnsi="Arabic Typesetting" w:cs="Arabic Typesetting"/>
          <w:sz w:val="36"/>
          <w:szCs w:val="36"/>
          <w:rtl/>
        </w:rPr>
      </w:pPr>
    </w:p>
    <w:p w:rsidR="001A28BF" w:rsidRPr="001A28BF" w:rsidRDefault="00A82184" w:rsidP="00A82184">
      <w:pPr>
        <w:bidi/>
        <w:spacing w:line="360" w:lineRule="exact"/>
        <w:rPr>
          <w:rFonts w:ascii="Arial Black" w:hAnsi="Arial Black" w:cs="PT Bold Heading"/>
          <w:sz w:val="26"/>
          <w:szCs w:val="26"/>
          <w:rtl/>
        </w:rPr>
      </w:pPr>
      <w:r w:rsidRPr="00A82184">
        <w:rPr>
          <w:rFonts w:ascii="Arial Black" w:hAnsi="Arial Black" w:cs="PT Bold Heading"/>
          <w:sz w:val="26"/>
          <w:szCs w:val="26"/>
          <w:rtl/>
        </w:rPr>
        <w:t>تقرير وحدة التفتيش المشتركة "استعراض الإدارة والتسيير في المنظمة العالمية للملكية الفكرية (الويبو)" (</w:t>
      </w:r>
      <w:r w:rsidRPr="00A82184">
        <w:rPr>
          <w:rFonts w:ascii="Arial Black" w:hAnsi="Arial Black" w:cs="PT Bold Heading"/>
          <w:sz w:val="26"/>
          <w:szCs w:val="26"/>
        </w:rPr>
        <w:t>JIU/REP/2014/2</w:t>
      </w:r>
      <w:r w:rsidRPr="00A82184">
        <w:rPr>
          <w:rFonts w:ascii="Arial Black" w:hAnsi="Arial Black" w:cs="PT Bold Heading"/>
          <w:sz w:val="26"/>
          <w:szCs w:val="26"/>
          <w:rtl/>
        </w:rPr>
        <w:t xml:space="preserve">): </w:t>
      </w:r>
      <w:r>
        <w:rPr>
          <w:rFonts w:ascii="Arial Black" w:hAnsi="Arial Black" w:cs="PT Bold Heading" w:hint="cs"/>
          <w:sz w:val="26"/>
          <w:szCs w:val="26"/>
          <w:rtl/>
        </w:rPr>
        <w:t>تقرير مرحلي عن تنفيذ التوصيات</w:t>
      </w:r>
    </w:p>
    <w:p w:rsidR="001A28BF" w:rsidRPr="001A28BF" w:rsidRDefault="00A82184" w:rsidP="001A28BF">
      <w:pPr>
        <w:bidi/>
        <w:spacing w:before="240" w:after="840" w:line="360" w:lineRule="exact"/>
        <w:rPr>
          <w:rFonts w:ascii="Arabic Typesetting" w:hAnsi="Arabic Typesetting" w:cs="Arabic Typesetting"/>
          <w:i/>
          <w:iCs/>
          <w:sz w:val="36"/>
          <w:szCs w:val="36"/>
          <w:rtl/>
        </w:rPr>
      </w:pPr>
      <w:r>
        <w:rPr>
          <w:rFonts w:ascii="Arabic Typesetting" w:hAnsi="Arabic Typesetting" w:cs="Arabic Typesetting" w:hint="cs"/>
          <w:i/>
          <w:iCs/>
          <w:sz w:val="36"/>
          <w:szCs w:val="36"/>
          <w:rtl/>
        </w:rPr>
        <w:t xml:space="preserve">وثيقة </w:t>
      </w:r>
      <w:r w:rsidR="001A28BF" w:rsidRPr="001A28BF">
        <w:rPr>
          <w:rFonts w:ascii="Arabic Typesetting" w:hAnsi="Arabic Typesetting" w:cs="Arabic Typesetting" w:hint="cs"/>
          <w:i/>
          <w:iCs/>
          <w:sz w:val="36"/>
          <w:szCs w:val="36"/>
          <w:rtl/>
        </w:rPr>
        <w:t>من إعداد</w:t>
      </w:r>
      <w:r>
        <w:rPr>
          <w:rFonts w:ascii="Arabic Typesetting" w:hAnsi="Arabic Typesetting" w:cs="Arabic Typesetting" w:hint="cs"/>
          <w:i/>
          <w:iCs/>
          <w:sz w:val="36"/>
          <w:szCs w:val="36"/>
          <w:rtl/>
        </w:rPr>
        <w:t xml:space="preserve"> الأمانة</w:t>
      </w:r>
    </w:p>
    <w:p w:rsidR="00932204" w:rsidRPr="00B03E76" w:rsidRDefault="00A82184" w:rsidP="00B03E76">
      <w:pPr>
        <w:pStyle w:val="NumberedParaAR"/>
      </w:pPr>
      <w:r w:rsidRPr="00E64096">
        <w:rPr>
          <w:rFonts w:hint="cs"/>
          <w:rtl/>
        </w:rPr>
        <w:t>استعرضت وحدة التفتيش المشتركة الإدارة والتيسير في الويبو في عام 201</w:t>
      </w:r>
      <w:r>
        <w:rPr>
          <w:rFonts w:hint="cs"/>
          <w:rtl/>
        </w:rPr>
        <w:t>4</w:t>
      </w:r>
      <w:r w:rsidRPr="00E64096">
        <w:rPr>
          <w:rFonts w:hint="cs"/>
          <w:rtl/>
        </w:rPr>
        <w:t xml:space="preserve"> ضمن مجموعة من عمليات الاستعراض للمنظمات المشاركة. وقُدِّم التقرير </w:t>
      </w:r>
      <w:r>
        <w:rPr>
          <w:rFonts w:hint="cs"/>
          <w:rtl/>
        </w:rPr>
        <w:t xml:space="preserve">إلى الدول الأعضاء في عام 2014 (الوثيقة </w:t>
      </w:r>
      <w:r>
        <w:t>WO/PBC/22/20</w:t>
      </w:r>
      <w:r>
        <w:rPr>
          <w:rFonts w:hint="cs"/>
          <w:rtl/>
        </w:rPr>
        <w:t>)</w:t>
      </w:r>
      <w:r w:rsidRPr="00E64096">
        <w:rPr>
          <w:rFonts w:hint="cs"/>
          <w:rtl/>
        </w:rPr>
        <w:t>.</w:t>
      </w:r>
      <w:r>
        <w:rPr>
          <w:rFonts w:hint="cs"/>
          <w:rtl/>
          <w:lang w:val="fr-CH"/>
        </w:rPr>
        <w:t xml:space="preserve"> وأحاطت لجنة البرنامج والميزانية (اللجنة) علما بما يلي: "1" الإجراءات </w:t>
      </w:r>
      <w:r w:rsidRPr="00A82184">
        <w:rPr>
          <w:rtl/>
          <w:lang w:val="fr-CH"/>
        </w:rPr>
        <w:t xml:space="preserve">التي اتخذها المدير العام بإرسال رسالتين إلى كلّ من رئيسة الجمعية العامة ورئيس لجنة التنسيق لاسترعاء انتباههما إلى التوصيات التي وجهتها وحدة التفتيش المشتركة إلى هيئات </w:t>
      </w:r>
      <w:r w:rsidR="00B03E76">
        <w:rPr>
          <w:rFonts w:hint="cs"/>
          <w:rtl/>
          <w:lang w:val="fr-CH"/>
        </w:rPr>
        <w:t xml:space="preserve">الويبو </w:t>
      </w:r>
      <w:r w:rsidRPr="00A82184">
        <w:rPr>
          <w:rtl/>
          <w:lang w:val="fr-CH"/>
        </w:rPr>
        <w:t>التشريعية</w:t>
      </w:r>
      <w:r w:rsidR="00B03E76">
        <w:rPr>
          <w:rFonts w:hint="cs"/>
          <w:rtl/>
          <w:lang w:val="fr-CH"/>
        </w:rPr>
        <w:t>؛ "2" و</w:t>
      </w:r>
      <w:r w:rsidR="00B03E76" w:rsidRPr="00B03E76">
        <w:rPr>
          <w:rtl/>
          <w:lang w:val="fr-CH"/>
        </w:rPr>
        <w:t>التقدّم المحرز على صعيد تنفيذ التوصيات الموجهة إلى المدير العام</w:t>
      </w:r>
      <w:r w:rsidR="00B03E76">
        <w:rPr>
          <w:rFonts w:hint="cs"/>
          <w:rtl/>
          <w:lang w:val="fr-CH"/>
        </w:rPr>
        <w:t>.</w:t>
      </w:r>
    </w:p>
    <w:p w:rsidR="00B03E76" w:rsidRDefault="006B33A1" w:rsidP="0003389F">
      <w:pPr>
        <w:pStyle w:val="NumberedParaAR"/>
      </w:pPr>
      <w:r>
        <w:rPr>
          <w:rFonts w:hint="cs"/>
          <w:rtl/>
          <w:lang w:val="fr-CH"/>
        </w:rPr>
        <w:t>وبناء على ا</w:t>
      </w:r>
      <w:r w:rsidR="00B03E76">
        <w:rPr>
          <w:rFonts w:hint="cs"/>
          <w:rtl/>
        </w:rPr>
        <w:t>لالتماس الذي تقد</w:t>
      </w:r>
      <w:r>
        <w:rPr>
          <w:rFonts w:hint="cs"/>
          <w:rtl/>
        </w:rPr>
        <w:t>م</w:t>
      </w:r>
      <w:r w:rsidR="00B03E76">
        <w:rPr>
          <w:rFonts w:hint="cs"/>
          <w:rtl/>
        </w:rPr>
        <w:t xml:space="preserve">ت به اللجنة، </w:t>
      </w:r>
      <w:r w:rsidR="0003389F">
        <w:rPr>
          <w:rFonts w:hint="cs"/>
          <w:rtl/>
          <w:lang w:val="fr-CH"/>
        </w:rPr>
        <w:t>تعرض</w:t>
      </w:r>
      <w:r w:rsidR="00B03E76">
        <w:rPr>
          <w:rFonts w:hint="cs"/>
          <w:rtl/>
        </w:rPr>
        <w:t xml:space="preserve"> </w:t>
      </w:r>
      <w:r w:rsidR="00B03E76" w:rsidRPr="00B03E76">
        <w:rPr>
          <w:rtl/>
        </w:rPr>
        <w:t xml:space="preserve">الأمانة </w:t>
      </w:r>
      <w:r w:rsidR="00B03E76">
        <w:rPr>
          <w:rFonts w:hint="cs"/>
          <w:rtl/>
        </w:rPr>
        <w:t>هذا ال</w:t>
      </w:r>
      <w:r w:rsidR="00B03E76" w:rsidRPr="00B03E76">
        <w:rPr>
          <w:rtl/>
        </w:rPr>
        <w:t xml:space="preserve">تقرير </w:t>
      </w:r>
      <w:r w:rsidR="00B03E76">
        <w:rPr>
          <w:rFonts w:hint="cs"/>
          <w:rtl/>
        </w:rPr>
        <w:t>ل</w:t>
      </w:r>
      <w:r w:rsidR="00B03E76" w:rsidRPr="00B03E76">
        <w:rPr>
          <w:rtl/>
        </w:rPr>
        <w:t>متابعة تنفيذ التوصيات الواردة في تقرير وحدة التفتيش المشتركة الخاص باستعراض الإدارة والتسيير</w:t>
      </w:r>
      <w:r w:rsidR="00B03E76">
        <w:rPr>
          <w:rFonts w:hint="cs"/>
          <w:rtl/>
        </w:rPr>
        <w:t xml:space="preserve"> و</w:t>
      </w:r>
      <w:r w:rsidR="00B03E76" w:rsidRPr="00B03E76">
        <w:rPr>
          <w:rtl/>
        </w:rPr>
        <w:t>أية إجراءات أ</w:t>
      </w:r>
      <w:r w:rsidR="00B03E76">
        <w:rPr>
          <w:rtl/>
        </w:rPr>
        <w:t>خرى اتُخذت استجابة للتقرير</w:t>
      </w:r>
      <w:r w:rsidR="00B03E76">
        <w:rPr>
          <w:rFonts w:hint="cs"/>
          <w:rtl/>
        </w:rPr>
        <w:t>.</w:t>
      </w:r>
    </w:p>
    <w:p w:rsidR="006B33A1" w:rsidRDefault="006B33A1" w:rsidP="00F425FB">
      <w:pPr>
        <w:pStyle w:val="NumberedParaAR"/>
      </w:pPr>
      <w:r>
        <w:rPr>
          <w:rFonts w:hint="cs"/>
          <w:rtl/>
        </w:rPr>
        <w:t xml:space="preserve">ويفصّل الجدول التالي مستجدات الإجراءات التي اتخذتها الويبو استجابةً لتوصيات وحدة التفتيش المشتركة، </w:t>
      </w:r>
      <w:r w:rsidR="00F425FB">
        <w:rPr>
          <w:rFonts w:hint="cs"/>
          <w:rtl/>
        </w:rPr>
        <w:t>ويبيّن</w:t>
      </w:r>
      <w:r>
        <w:rPr>
          <w:rFonts w:hint="cs"/>
          <w:rtl/>
        </w:rPr>
        <w:t xml:space="preserve"> ما يلي:</w:t>
      </w:r>
    </w:p>
    <w:p w:rsidR="006B33A1" w:rsidRDefault="006B33A1" w:rsidP="006B33A1">
      <w:pPr>
        <w:pStyle w:val="NumberedParaAR"/>
        <w:numPr>
          <w:ilvl w:val="0"/>
          <w:numId w:val="0"/>
        </w:numPr>
        <w:ind w:left="566"/>
        <w:rPr>
          <w:rtl/>
        </w:rPr>
      </w:pPr>
      <w:r>
        <w:rPr>
          <w:rFonts w:hint="cs"/>
          <w:rtl/>
        </w:rPr>
        <w:t>(أ)</w:t>
      </w:r>
      <w:r>
        <w:rPr>
          <w:rFonts w:hint="cs"/>
          <w:rtl/>
        </w:rPr>
        <w:tab/>
        <w:t xml:space="preserve">من بين ثماني توصيات موجَّهة إلى المدير العام، نفِّذت سبع توصيات تنفيذا كاملا (التوصيات 2 و3 و4 و5 و8 و9 و10)، وتظل توصية واحدة (التوصية 7) في انتظار توصية هيئة تشريعية </w:t>
      </w:r>
      <w:r w:rsidR="00F425FB">
        <w:rPr>
          <w:rFonts w:hint="cs"/>
          <w:rtl/>
        </w:rPr>
        <w:t>(التوصية 6)؛</w:t>
      </w:r>
    </w:p>
    <w:p w:rsidR="00F425FB" w:rsidRDefault="00F425FB" w:rsidP="006B33A1">
      <w:pPr>
        <w:pStyle w:val="NumberedParaAR"/>
        <w:numPr>
          <w:ilvl w:val="0"/>
          <w:numId w:val="0"/>
        </w:numPr>
        <w:ind w:left="566"/>
      </w:pPr>
      <w:r>
        <w:rPr>
          <w:rFonts w:hint="cs"/>
          <w:rtl/>
        </w:rPr>
        <w:t>(ب)</w:t>
      </w:r>
      <w:r>
        <w:rPr>
          <w:rFonts w:hint="cs"/>
          <w:rtl/>
        </w:rPr>
        <w:tab/>
        <w:t>توصيتان موجّهتان إلى هيئات الويبو التشريعية، وهما الجمعية العامة (التوصية 1) ولجنة التنسيق (التوصية) لا تزالان قيد نظر الهيئتين المذكورتين.</w:t>
      </w:r>
    </w:p>
    <w:p w:rsidR="006B33A1" w:rsidRDefault="00F425FB" w:rsidP="0003389F">
      <w:pPr>
        <w:pStyle w:val="NumberedParaAR"/>
      </w:pPr>
      <w:r>
        <w:rPr>
          <w:rFonts w:hint="cs"/>
          <w:rtl/>
        </w:rPr>
        <w:lastRenderedPageBreak/>
        <w:t>وستواصل الويبو تقديم تقاريرها عن التوصيات المتبقية في سياق تقاريرها الدو</w:t>
      </w:r>
      <w:r w:rsidR="0003389F">
        <w:rPr>
          <w:rFonts w:hint="cs"/>
          <w:rtl/>
        </w:rPr>
        <w:t>رية عن التقدم المح</w:t>
      </w:r>
      <w:r>
        <w:rPr>
          <w:rFonts w:hint="cs"/>
          <w:rtl/>
        </w:rPr>
        <w:t>رز في تنفيذ توصيات وحدة التفتيش المشتركة.</w:t>
      </w:r>
    </w:p>
    <w:tbl>
      <w:tblPr>
        <w:tblStyle w:val="TableGrid"/>
        <w:bidiVisual/>
        <w:tblW w:w="0" w:type="auto"/>
        <w:tblLook w:val="04A0" w:firstRow="1" w:lastRow="0" w:firstColumn="1" w:lastColumn="0" w:noHBand="0" w:noVBand="1"/>
      </w:tblPr>
      <w:tblGrid>
        <w:gridCol w:w="1951"/>
        <w:gridCol w:w="1701"/>
        <w:gridCol w:w="1287"/>
        <w:gridCol w:w="1548"/>
        <w:gridCol w:w="3084"/>
      </w:tblGrid>
      <w:tr w:rsidR="00F425FB" w:rsidRPr="00406A21" w:rsidTr="00406A21">
        <w:trPr>
          <w:trHeight w:val="435"/>
          <w:tblHeader/>
        </w:trPr>
        <w:tc>
          <w:tcPr>
            <w:tcW w:w="1951" w:type="dxa"/>
            <w:vMerge w:val="restart"/>
            <w:tcBorders>
              <w:top w:val="single" w:sz="4" w:space="0" w:color="auto"/>
              <w:left w:val="single" w:sz="4" w:space="0" w:color="auto"/>
              <w:right w:val="single" w:sz="4" w:space="0" w:color="auto"/>
            </w:tcBorders>
            <w:shd w:val="clear" w:color="auto" w:fill="B6DDE8" w:themeFill="accent5" w:themeFillTint="66"/>
            <w:tcMar>
              <w:top w:w="113" w:type="dxa"/>
            </w:tcMar>
            <w:vAlign w:val="center"/>
          </w:tcPr>
          <w:p w:rsidR="00F425FB" w:rsidRPr="00406A21" w:rsidRDefault="00F425FB" w:rsidP="00406A21">
            <w:pPr>
              <w:pStyle w:val="ONUME"/>
              <w:numPr>
                <w:ilvl w:val="0"/>
                <w:numId w:val="0"/>
              </w:numPr>
              <w:bidi/>
              <w:spacing w:after="0" w:line="320" w:lineRule="exact"/>
              <w:jc w:val="center"/>
              <w:rPr>
                <w:rFonts w:ascii="Arabic Typesetting" w:hAnsi="Arabic Typesetting" w:cs="Arabic Typesetting"/>
                <w:bCs/>
                <w:sz w:val="32"/>
                <w:szCs w:val="32"/>
              </w:rPr>
            </w:pPr>
            <w:r w:rsidRPr="00406A21">
              <w:rPr>
                <w:rFonts w:ascii="Arabic Typesetting" w:hAnsi="Arabic Typesetting" w:cs="Arabic Typesetting"/>
                <w:bCs/>
                <w:sz w:val="32"/>
                <w:szCs w:val="32"/>
                <w:rtl/>
              </w:rPr>
              <w:t>التوصية</w:t>
            </w:r>
          </w:p>
        </w:tc>
        <w:tc>
          <w:tcPr>
            <w:tcW w:w="1701" w:type="dxa"/>
            <w:vMerge w:val="restart"/>
            <w:tcBorders>
              <w:top w:val="single" w:sz="4" w:space="0" w:color="auto"/>
              <w:left w:val="single" w:sz="4" w:space="0" w:color="auto"/>
              <w:right w:val="single" w:sz="4" w:space="0" w:color="auto"/>
            </w:tcBorders>
            <w:shd w:val="clear" w:color="auto" w:fill="B6DDE8" w:themeFill="accent5" w:themeFillTint="66"/>
            <w:tcMar>
              <w:top w:w="113" w:type="dxa"/>
            </w:tcMar>
            <w:vAlign w:val="center"/>
          </w:tcPr>
          <w:p w:rsidR="00F425FB" w:rsidRPr="00406A21" w:rsidRDefault="00CF431B" w:rsidP="00406A21">
            <w:pPr>
              <w:pStyle w:val="ONUME"/>
              <w:numPr>
                <w:ilvl w:val="0"/>
                <w:numId w:val="0"/>
              </w:numPr>
              <w:bidi/>
              <w:spacing w:after="0" w:line="320" w:lineRule="exact"/>
              <w:jc w:val="center"/>
              <w:rPr>
                <w:rFonts w:ascii="Arabic Typesetting" w:hAnsi="Arabic Typesetting" w:cs="Arabic Typesetting"/>
                <w:bCs/>
                <w:sz w:val="32"/>
                <w:szCs w:val="32"/>
              </w:rPr>
            </w:pPr>
            <w:r w:rsidRPr="00406A21">
              <w:rPr>
                <w:rFonts w:ascii="Arabic Typesetting" w:hAnsi="Arabic Typesetting" w:cs="Arabic Typesetting"/>
                <w:bCs/>
                <w:sz w:val="32"/>
                <w:szCs w:val="32"/>
                <w:rtl/>
              </w:rPr>
              <w:t>الجهة المسؤولة</w:t>
            </w:r>
          </w:p>
        </w:tc>
        <w:tc>
          <w:tcPr>
            <w:tcW w:w="2835" w:type="dxa"/>
            <w:gridSpan w:val="2"/>
            <w:tcBorders>
              <w:left w:val="single" w:sz="4" w:space="0" w:color="auto"/>
              <w:right w:val="single" w:sz="4" w:space="0" w:color="auto"/>
            </w:tcBorders>
            <w:shd w:val="clear" w:color="auto" w:fill="B6DDE8" w:themeFill="accent5" w:themeFillTint="66"/>
            <w:tcMar>
              <w:top w:w="113" w:type="dxa"/>
            </w:tcMar>
            <w:vAlign w:val="center"/>
          </w:tcPr>
          <w:p w:rsidR="00F425FB" w:rsidRPr="00406A21" w:rsidRDefault="0003389F" w:rsidP="00406A21">
            <w:pPr>
              <w:pStyle w:val="ONUME"/>
              <w:numPr>
                <w:ilvl w:val="0"/>
                <w:numId w:val="0"/>
              </w:numPr>
              <w:bidi/>
              <w:spacing w:after="0" w:line="320" w:lineRule="exact"/>
              <w:jc w:val="center"/>
              <w:rPr>
                <w:rFonts w:ascii="Arabic Typesetting" w:hAnsi="Arabic Typesetting" w:cs="Arabic Typesetting"/>
                <w:bCs/>
                <w:sz w:val="32"/>
                <w:szCs w:val="32"/>
              </w:rPr>
            </w:pPr>
            <w:r>
              <w:rPr>
                <w:rFonts w:ascii="Arabic Typesetting" w:hAnsi="Arabic Typesetting" w:cs="Arabic Typesetting" w:hint="cs"/>
                <w:bCs/>
                <w:sz w:val="32"/>
                <w:szCs w:val="32"/>
                <w:rtl/>
              </w:rPr>
              <w:t>حالة القبول</w:t>
            </w:r>
          </w:p>
        </w:tc>
        <w:tc>
          <w:tcPr>
            <w:tcW w:w="3084" w:type="dxa"/>
            <w:vMerge w:val="restart"/>
            <w:tcBorders>
              <w:top w:val="single" w:sz="4" w:space="0" w:color="auto"/>
              <w:left w:val="single" w:sz="4" w:space="0" w:color="auto"/>
              <w:right w:val="single" w:sz="4" w:space="0" w:color="auto"/>
            </w:tcBorders>
            <w:shd w:val="clear" w:color="auto" w:fill="B6DDE8" w:themeFill="accent5" w:themeFillTint="66"/>
            <w:tcMar>
              <w:top w:w="85" w:type="dxa"/>
            </w:tcMar>
            <w:vAlign w:val="center"/>
          </w:tcPr>
          <w:p w:rsidR="00F425FB" w:rsidRPr="00406A21" w:rsidRDefault="00F425FB" w:rsidP="00406A21">
            <w:pPr>
              <w:pStyle w:val="ONUME"/>
              <w:numPr>
                <w:ilvl w:val="0"/>
                <w:numId w:val="0"/>
              </w:numPr>
              <w:bidi/>
              <w:spacing w:after="0" w:line="320" w:lineRule="exact"/>
              <w:jc w:val="center"/>
              <w:rPr>
                <w:rFonts w:ascii="Arabic Typesetting" w:hAnsi="Arabic Typesetting" w:cs="Arabic Typesetting"/>
                <w:bCs/>
                <w:sz w:val="32"/>
                <w:szCs w:val="32"/>
              </w:rPr>
            </w:pPr>
            <w:r w:rsidRPr="00406A21">
              <w:rPr>
                <w:rFonts w:ascii="Arabic Typesetting" w:hAnsi="Arabic Typesetting" w:cs="Arabic Typesetting"/>
                <w:bCs/>
                <w:sz w:val="32"/>
                <w:szCs w:val="32"/>
                <w:rtl/>
              </w:rPr>
              <w:t>تقييم</w:t>
            </w:r>
            <w:r w:rsidRPr="00406A21">
              <w:rPr>
                <w:rFonts w:ascii="Arabic Typesetting" w:hAnsi="Arabic Typesetting" w:cs="Arabic Typesetting"/>
                <w:bCs/>
                <w:sz w:val="32"/>
                <w:szCs w:val="32"/>
                <w:rtl/>
              </w:rPr>
              <w:br/>
              <w:t>الإدارة/</w:t>
            </w:r>
            <w:r w:rsidR="00CF431B" w:rsidRPr="00406A21">
              <w:rPr>
                <w:rFonts w:ascii="Arabic Typesetting" w:hAnsi="Arabic Typesetting" w:cs="Arabic Typesetting"/>
                <w:bCs/>
                <w:sz w:val="32"/>
                <w:szCs w:val="32"/>
                <w:rtl/>
              </w:rPr>
              <w:t>الجهة المنسقة</w:t>
            </w:r>
          </w:p>
        </w:tc>
      </w:tr>
      <w:tr w:rsidR="00F425FB" w:rsidRPr="00406A21" w:rsidTr="00406A21">
        <w:trPr>
          <w:trHeight w:val="20"/>
          <w:tblHeader/>
        </w:trPr>
        <w:tc>
          <w:tcPr>
            <w:tcW w:w="1951" w:type="dxa"/>
            <w:vMerge/>
            <w:tcBorders>
              <w:left w:val="single" w:sz="4" w:space="0" w:color="auto"/>
              <w:right w:val="single" w:sz="4" w:space="0" w:color="auto"/>
            </w:tcBorders>
            <w:shd w:val="clear" w:color="auto" w:fill="B6DDE8" w:themeFill="accent5" w:themeFillTint="66"/>
            <w:tcMar>
              <w:top w:w="113" w:type="dxa"/>
            </w:tcMar>
            <w:vAlign w:val="bottom"/>
          </w:tcPr>
          <w:p w:rsidR="00F425FB" w:rsidRPr="00406A21" w:rsidRDefault="00F425FB" w:rsidP="00406A21">
            <w:pPr>
              <w:pStyle w:val="ONUME"/>
              <w:numPr>
                <w:ilvl w:val="0"/>
                <w:numId w:val="0"/>
              </w:numPr>
              <w:bidi/>
              <w:spacing w:after="0" w:line="320" w:lineRule="exact"/>
              <w:jc w:val="center"/>
              <w:rPr>
                <w:rFonts w:ascii="Arabic Typesetting" w:hAnsi="Arabic Typesetting" w:cs="Arabic Typesetting"/>
                <w:b/>
                <w:sz w:val="32"/>
                <w:szCs w:val="32"/>
              </w:rPr>
            </w:pPr>
          </w:p>
        </w:tc>
        <w:tc>
          <w:tcPr>
            <w:tcW w:w="1701" w:type="dxa"/>
            <w:vMerge/>
            <w:tcBorders>
              <w:left w:val="single" w:sz="4" w:space="0" w:color="auto"/>
              <w:right w:val="single" w:sz="4" w:space="0" w:color="auto"/>
            </w:tcBorders>
            <w:shd w:val="clear" w:color="auto" w:fill="B6DDE8" w:themeFill="accent5" w:themeFillTint="66"/>
            <w:tcMar>
              <w:top w:w="113" w:type="dxa"/>
            </w:tcMar>
            <w:vAlign w:val="bottom"/>
          </w:tcPr>
          <w:p w:rsidR="00F425FB" w:rsidRPr="00406A21" w:rsidRDefault="00F425FB" w:rsidP="00406A21">
            <w:pPr>
              <w:pStyle w:val="ONUME"/>
              <w:numPr>
                <w:ilvl w:val="0"/>
                <w:numId w:val="0"/>
              </w:numPr>
              <w:bidi/>
              <w:spacing w:after="0" w:line="320" w:lineRule="exact"/>
              <w:jc w:val="center"/>
              <w:rPr>
                <w:rFonts w:ascii="Arabic Typesetting" w:hAnsi="Arabic Typesetting" w:cs="Arabic Typesetting"/>
                <w:b/>
                <w:sz w:val="32"/>
                <w:szCs w:val="32"/>
              </w:rPr>
            </w:pPr>
          </w:p>
        </w:tc>
        <w:tc>
          <w:tcPr>
            <w:tcW w:w="1287" w:type="dxa"/>
            <w:tcBorders>
              <w:left w:val="single" w:sz="4" w:space="0" w:color="auto"/>
              <w:right w:val="single" w:sz="4" w:space="0" w:color="auto"/>
            </w:tcBorders>
            <w:shd w:val="clear" w:color="auto" w:fill="B6DDE8" w:themeFill="accent5" w:themeFillTint="66"/>
            <w:tcMar>
              <w:top w:w="113" w:type="dxa"/>
            </w:tcMar>
            <w:vAlign w:val="center"/>
          </w:tcPr>
          <w:p w:rsidR="00F425FB" w:rsidRPr="00406A21" w:rsidRDefault="00F425FB" w:rsidP="00406A21">
            <w:pPr>
              <w:pStyle w:val="ONUME"/>
              <w:numPr>
                <w:ilvl w:val="0"/>
                <w:numId w:val="0"/>
              </w:numPr>
              <w:bidi/>
              <w:spacing w:after="0" w:line="320" w:lineRule="exact"/>
              <w:jc w:val="center"/>
              <w:rPr>
                <w:rFonts w:ascii="Arabic Typesetting" w:hAnsi="Arabic Typesetting" w:cs="Arabic Typesetting"/>
                <w:b/>
                <w:sz w:val="32"/>
                <w:szCs w:val="32"/>
              </w:rPr>
            </w:pPr>
            <w:r w:rsidRPr="00406A21">
              <w:rPr>
                <w:rFonts w:ascii="Arabic Typesetting" w:hAnsi="Arabic Typesetting" w:cs="Arabic Typesetting"/>
                <w:b/>
                <w:sz w:val="32"/>
                <w:szCs w:val="32"/>
                <w:rtl/>
              </w:rPr>
              <w:t>القبول</w:t>
            </w:r>
          </w:p>
        </w:tc>
        <w:tc>
          <w:tcPr>
            <w:tcW w:w="1548" w:type="dxa"/>
            <w:tcBorders>
              <w:left w:val="single" w:sz="4" w:space="0" w:color="auto"/>
              <w:right w:val="single" w:sz="4" w:space="0" w:color="auto"/>
            </w:tcBorders>
            <w:shd w:val="clear" w:color="auto" w:fill="B6DDE8" w:themeFill="accent5" w:themeFillTint="66"/>
            <w:tcMar>
              <w:top w:w="113" w:type="dxa"/>
            </w:tcMar>
            <w:vAlign w:val="center"/>
          </w:tcPr>
          <w:p w:rsidR="00F425FB" w:rsidRPr="00406A21" w:rsidRDefault="00F425FB" w:rsidP="00406A21">
            <w:pPr>
              <w:pStyle w:val="ONUME"/>
              <w:numPr>
                <w:ilvl w:val="0"/>
                <w:numId w:val="0"/>
              </w:numPr>
              <w:bidi/>
              <w:spacing w:after="0" w:line="320" w:lineRule="exact"/>
              <w:jc w:val="center"/>
              <w:rPr>
                <w:rFonts w:ascii="Arabic Typesetting" w:hAnsi="Arabic Typesetting" w:cs="Arabic Typesetting"/>
                <w:b/>
                <w:sz w:val="32"/>
                <w:szCs w:val="32"/>
              </w:rPr>
            </w:pPr>
            <w:r w:rsidRPr="00406A21">
              <w:rPr>
                <w:rFonts w:ascii="Arabic Typesetting" w:hAnsi="Arabic Typesetting" w:cs="Arabic Typesetting"/>
                <w:b/>
                <w:sz w:val="32"/>
                <w:szCs w:val="32"/>
                <w:rtl/>
              </w:rPr>
              <w:t>التنفيذ</w:t>
            </w:r>
          </w:p>
        </w:tc>
        <w:tc>
          <w:tcPr>
            <w:tcW w:w="3084" w:type="dxa"/>
            <w:vMerge/>
            <w:tcBorders>
              <w:left w:val="single" w:sz="4" w:space="0" w:color="auto"/>
              <w:right w:val="single" w:sz="4" w:space="0" w:color="auto"/>
            </w:tcBorders>
            <w:shd w:val="clear" w:color="auto" w:fill="B6DDE8" w:themeFill="accent5" w:themeFillTint="66"/>
            <w:tcMar>
              <w:top w:w="113" w:type="dxa"/>
            </w:tcMar>
            <w:vAlign w:val="bottom"/>
          </w:tcPr>
          <w:p w:rsidR="00F425FB" w:rsidRPr="00406A21" w:rsidRDefault="00F425FB" w:rsidP="00406A21">
            <w:pPr>
              <w:pStyle w:val="ONUME"/>
              <w:numPr>
                <w:ilvl w:val="0"/>
                <w:numId w:val="0"/>
              </w:numPr>
              <w:bidi/>
              <w:spacing w:after="0" w:line="320" w:lineRule="exact"/>
              <w:jc w:val="center"/>
              <w:rPr>
                <w:rFonts w:ascii="Arabic Typesetting" w:hAnsi="Arabic Typesetting" w:cs="Arabic Typesetting"/>
                <w:b/>
                <w:sz w:val="32"/>
                <w:szCs w:val="32"/>
              </w:rPr>
            </w:pPr>
          </w:p>
        </w:tc>
      </w:tr>
      <w:tr w:rsidR="00F425FB" w:rsidRPr="00406A21" w:rsidTr="00F425FB">
        <w:tc>
          <w:tcPr>
            <w:tcW w:w="1951" w:type="dxa"/>
            <w:tcBorders>
              <w:top w:val="single" w:sz="4" w:space="0" w:color="auto"/>
            </w:tcBorders>
            <w:tcMar>
              <w:top w:w="113" w:type="dxa"/>
            </w:tcMar>
          </w:tcPr>
          <w:p w:rsidR="00F425FB" w:rsidRPr="00406A21" w:rsidRDefault="00700E4B"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 xml:space="preserve">ت.1.  </w:t>
            </w:r>
            <w:r w:rsidR="00CF431B" w:rsidRPr="00406A21">
              <w:rPr>
                <w:rFonts w:ascii="Arabic Typesetting" w:hAnsi="Arabic Typesetting" w:cs="Arabic Typesetting"/>
                <w:sz w:val="32"/>
                <w:szCs w:val="32"/>
                <w:rtl/>
              </w:rPr>
              <w:t>ينبغي أن تراجع الجمعية العامة للويبو إطار الحوكمة في الويبو وكذلك الممارسات الحالية بهدف تعزيز قدرة الهيئات الرئاسية على إرشاد عمل المنظمة ورصده. وفي إطار هذه العملية، قد ترغب الدول الأعضاء في أن تنظر خلال مداولاتها في الخيارات المقترحة بهذا التقرير.</w:t>
            </w:r>
          </w:p>
        </w:tc>
        <w:tc>
          <w:tcPr>
            <w:tcW w:w="1701" w:type="dxa"/>
            <w:tcBorders>
              <w:top w:val="single" w:sz="4" w:space="0" w:color="auto"/>
            </w:tcBorders>
            <w:tcMar>
              <w:top w:w="113" w:type="dxa"/>
            </w:tcMar>
          </w:tcPr>
          <w:p w:rsidR="00F425FB" w:rsidRPr="00406A21" w:rsidRDefault="00CF431B"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eastAsia="Calibri" w:hAnsi="Arabic Typesetting" w:cs="Arabic Typesetting"/>
                <w:sz w:val="32"/>
                <w:szCs w:val="32"/>
                <w:rtl/>
              </w:rPr>
              <w:t>مساعد المدير العام ورئيس الموظفين</w:t>
            </w:r>
          </w:p>
        </w:tc>
        <w:tc>
          <w:tcPr>
            <w:tcW w:w="1287" w:type="dxa"/>
            <w:shd w:val="clear" w:color="auto" w:fill="auto"/>
            <w:tcMar>
              <w:top w:w="113" w:type="dxa"/>
            </w:tcMar>
          </w:tcPr>
          <w:p w:rsidR="00F425FB" w:rsidRPr="00406A21" w:rsidRDefault="00CF431B"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قيد النظر</w:t>
            </w:r>
          </w:p>
        </w:tc>
        <w:tc>
          <w:tcPr>
            <w:tcW w:w="1548" w:type="dxa"/>
            <w:shd w:val="clear" w:color="auto" w:fill="auto"/>
            <w:tcMar>
              <w:top w:w="113" w:type="dxa"/>
            </w:tcMar>
          </w:tcPr>
          <w:p w:rsidR="00F425FB" w:rsidRPr="00406A21" w:rsidRDefault="00F425FB" w:rsidP="00406A21">
            <w:pPr>
              <w:pStyle w:val="ONUME"/>
              <w:numPr>
                <w:ilvl w:val="0"/>
                <w:numId w:val="0"/>
              </w:numPr>
              <w:bidi/>
              <w:spacing w:after="0" w:line="320" w:lineRule="exact"/>
              <w:rPr>
                <w:rFonts w:ascii="Arabic Typesetting" w:hAnsi="Arabic Typesetting" w:cs="Arabic Typesetting"/>
                <w:b/>
                <w:sz w:val="32"/>
                <w:szCs w:val="32"/>
              </w:rPr>
            </w:pPr>
          </w:p>
        </w:tc>
        <w:tc>
          <w:tcPr>
            <w:tcW w:w="3084" w:type="dxa"/>
            <w:tcBorders>
              <w:top w:val="single" w:sz="4" w:space="0" w:color="auto"/>
            </w:tcBorders>
            <w:tcMar>
              <w:top w:w="113" w:type="dxa"/>
            </w:tcMar>
          </w:tcPr>
          <w:p w:rsidR="00F425FB" w:rsidRPr="00406A21" w:rsidRDefault="00E72F50"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eastAsia="Calibri" w:hAnsi="Arabic Typesetting" w:cs="Arabic Typesetting"/>
                <w:sz w:val="32"/>
                <w:szCs w:val="32"/>
                <w:rtl/>
              </w:rPr>
              <w:t>أرسل المدير العام للويبو في 30 مايو 2014 رسالة إلى رئيسة الجمعية العامة للويبو لاسترعاء انتباهها إلى هذه التوصية. ونوقش موضوع الحوكمة خلال الدورة 22 للجنة البرنامج والميزانية في سبتمبر 2014 وفي اجتماع الجمعيات في السنة ذاتها. وقررت الدول الأعضاء إدراج هذا البند في جدول أعمال الدورة المقبلة للجنة البرنامج والميزانية (صيف 2015).</w:t>
            </w:r>
          </w:p>
        </w:tc>
      </w:tr>
      <w:tr w:rsidR="00F425FB" w:rsidRPr="00406A21" w:rsidTr="00F425FB">
        <w:trPr>
          <w:trHeight w:val="2953"/>
        </w:trPr>
        <w:tc>
          <w:tcPr>
            <w:tcW w:w="1951" w:type="dxa"/>
            <w:tcMar>
              <w:top w:w="113" w:type="dxa"/>
            </w:tcMar>
          </w:tcPr>
          <w:p w:rsidR="00F425FB" w:rsidRPr="00406A21" w:rsidRDefault="00E72F50"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ت.2.  ينبغي أن يضمن المدير العام توفير اختصاصات واضحة ومحدَّثة لكل وحدات الويبو التنظيمية وإدراجها في التعميمات الإدارية الملائمة، ولا سيما في كل مرة يعاد فيها التنظيم الداخلي.</w:t>
            </w:r>
          </w:p>
        </w:tc>
        <w:tc>
          <w:tcPr>
            <w:tcW w:w="1701" w:type="dxa"/>
            <w:tcMar>
              <w:top w:w="113" w:type="dxa"/>
            </w:tcMar>
          </w:tcPr>
          <w:p w:rsidR="00F425FB" w:rsidRPr="00406A21" w:rsidRDefault="00E72F50"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مدير، إدارة الموارد البشرية</w:t>
            </w:r>
          </w:p>
        </w:tc>
        <w:tc>
          <w:tcPr>
            <w:tcW w:w="1287" w:type="dxa"/>
            <w:tcMar>
              <w:top w:w="113" w:type="dxa"/>
            </w:tcMar>
          </w:tcPr>
          <w:p w:rsidR="00F425FB" w:rsidRPr="00406A21" w:rsidRDefault="00E255D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قُبلت</w:t>
            </w:r>
          </w:p>
        </w:tc>
        <w:tc>
          <w:tcPr>
            <w:tcW w:w="1548" w:type="dxa"/>
            <w:tcMar>
              <w:top w:w="113" w:type="dxa"/>
            </w:tcMar>
          </w:tcPr>
          <w:p w:rsidR="00F425FB" w:rsidRPr="00406A21" w:rsidRDefault="00E255D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نُفّذت</w:t>
            </w:r>
          </w:p>
        </w:tc>
        <w:tc>
          <w:tcPr>
            <w:tcW w:w="3084" w:type="dxa"/>
            <w:tcMar>
              <w:top w:w="113" w:type="dxa"/>
            </w:tcMar>
          </w:tcPr>
          <w:p w:rsidR="00F425FB" w:rsidRPr="00406A21" w:rsidRDefault="005E2C1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بعد تعيين فريق الإدارة العليا الجديد،  نُفّذت هذه التوصية.</w:t>
            </w:r>
          </w:p>
        </w:tc>
      </w:tr>
      <w:tr w:rsidR="00F425FB" w:rsidRPr="00406A21" w:rsidTr="00F425FB">
        <w:tc>
          <w:tcPr>
            <w:tcW w:w="1951" w:type="dxa"/>
            <w:tcMar>
              <w:top w:w="113" w:type="dxa"/>
            </w:tcMar>
          </w:tcPr>
          <w:p w:rsidR="00F425FB" w:rsidRPr="00406A21" w:rsidRDefault="005E2C1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eastAsia="Calibri" w:hAnsi="Arabic Typesetting" w:cs="Arabic Typesetting"/>
                <w:sz w:val="32"/>
                <w:szCs w:val="32"/>
                <w:rtl/>
              </w:rPr>
              <w:t>ت.3.  ينبغي أن يصدر المدير العام اختصاصات شاملة للجان الإدارة قبل نهاية 2014 ويعممها على الهيئات الرئاسية المعنية في الويبو.</w:t>
            </w:r>
          </w:p>
        </w:tc>
        <w:tc>
          <w:tcPr>
            <w:tcW w:w="1701" w:type="dxa"/>
            <w:tcMar>
              <w:top w:w="113" w:type="dxa"/>
            </w:tcMar>
          </w:tcPr>
          <w:p w:rsidR="00F425FB" w:rsidRPr="00406A21" w:rsidRDefault="005E2C1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eastAsia="Calibri" w:hAnsi="Arabic Typesetting" w:cs="Arabic Typesetting"/>
                <w:sz w:val="32"/>
                <w:szCs w:val="32"/>
                <w:rtl/>
              </w:rPr>
              <w:t>مساعد المدير العام ورئيس الموظفين</w:t>
            </w:r>
          </w:p>
        </w:tc>
        <w:tc>
          <w:tcPr>
            <w:tcW w:w="1287" w:type="dxa"/>
            <w:tcMar>
              <w:top w:w="113" w:type="dxa"/>
            </w:tcMar>
          </w:tcPr>
          <w:p w:rsidR="00F425FB" w:rsidRPr="00406A21" w:rsidRDefault="005E2C1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قُبلت</w:t>
            </w:r>
          </w:p>
        </w:tc>
        <w:tc>
          <w:tcPr>
            <w:tcW w:w="1548" w:type="dxa"/>
            <w:tcMar>
              <w:top w:w="113" w:type="dxa"/>
            </w:tcMar>
          </w:tcPr>
          <w:p w:rsidR="00F425FB" w:rsidRPr="00406A21" w:rsidRDefault="005E2C1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نُفّذت</w:t>
            </w:r>
          </w:p>
        </w:tc>
        <w:tc>
          <w:tcPr>
            <w:tcW w:w="3084" w:type="dxa"/>
            <w:tcMar>
              <w:top w:w="113" w:type="dxa"/>
            </w:tcMar>
          </w:tcPr>
          <w:p w:rsidR="00F425FB" w:rsidRPr="00406A21" w:rsidRDefault="005E2C1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eastAsia="Calibri" w:hAnsi="Arabic Typesetting" w:cs="Arabic Typesetting"/>
                <w:sz w:val="32"/>
                <w:szCs w:val="32"/>
                <w:rtl/>
              </w:rPr>
              <w:t>صدر اختصاصات فريق الإدارة العليا واجتماعات الإدارة في تعليمات إدارية بتاريخ 1 ديسمبر 2014. وسبق أن قُدِّمَت الاختصاصات الشاملة للجان الإدارة الداخلية الأخرى إلى وحدة التفتيش المشتركة.</w:t>
            </w:r>
          </w:p>
        </w:tc>
      </w:tr>
      <w:tr w:rsidR="00F425FB" w:rsidRPr="00406A21" w:rsidTr="00F425FB">
        <w:tc>
          <w:tcPr>
            <w:tcW w:w="1951" w:type="dxa"/>
            <w:tcMar>
              <w:top w:w="113" w:type="dxa"/>
            </w:tcMar>
          </w:tcPr>
          <w:p w:rsidR="00F425FB" w:rsidRPr="00406A21" w:rsidRDefault="008B10CC" w:rsidP="00406A21">
            <w:pPr>
              <w:pStyle w:val="ONUME"/>
              <w:keepNext/>
              <w:keepLines/>
              <w:numPr>
                <w:ilvl w:val="0"/>
                <w:numId w:val="0"/>
              </w:numPr>
              <w:bidi/>
              <w:spacing w:after="0" w:line="320" w:lineRule="exact"/>
              <w:rPr>
                <w:rFonts w:ascii="Arabic Typesetting" w:hAnsi="Arabic Typesetting" w:cs="Arabic Typesetting"/>
                <w:b/>
                <w:sz w:val="32"/>
                <w:szCs w:val="32"/>
              </w:rPr>
            </w:pPr>
            <w:r w:rsidRPr="00406A21">
              <w:rPr>
                <w:rFonts w:ascii="Arabic Typesetting" w:hAnsi="Arabic Typesetting" w:cs="Arabic Typesetting"/>
                <w:b/>
                <w:sz w:val="32"/>
                <w:szCs w:val="32"/>
                <w:rtl/>
              </w:rPr>
              <w:lastRenderedPageBreak/>
              <w:t>ت.4.  ينبغي أن يطلب المدير العام من شعبة التدقيق الداخلي والرقابة الإدارية أن تدرج في خطة عملها مجموعة من التقييمات لمبادرات برنامج التقويم الاستراتيجي ونتائجها بغية استخلاص العبر، ومن ثم دعم إدارة الويبو خلال المراحل التالية من عملية إصلاح المنظمة.</w:t>
            </w:r>
          </w:p>
        </w:tc>
        <w:tc>
          <w:tcPr>
            <w:tcW w:w="1701" w:type="dxa"/>
            <w:tcMar>
              <w:top w:w="113" w:type="dxa"/>
            </w:tcMar>
          </w:tcPr>
          <w:p w:rsidR="00F425FB" w:rsidRPr="00406A21" w:rsidRDefault="00227F6D" w:rsidP="00406A21">
            <w:pPr>
              <w:pStyle w:val="ONUME"/>
              <w:keepNext/>
              <w:keepLines/>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مدير، شعبة الرقابة الداخلية</w:t>
            </w:r>
          </w:p>
        </w:tc>
        <w:tc>
          <w:tcPr>
            <w:tcW w:w="1287" w:type="dxa"/>
            <w:tcMar>
              <w:top w:w="113" w:type="dxa"/>
            </w:tcMar>
          </w:tcPr>
          <w:p w:rsidR="00F425FB" w:rsidRPr="00406A21" w:rsidRDefault="00227F6D" w:rsidP="00406A21">
            <w:pPr>
              <w:pStyle w:val="ONUME"/>
              <w:keepNext/>
              <w:keepLines/>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قُبلت</w:t>
            </w:r>
          </w:p>
        </w:tc>
        <w:tc>
          <w:tcPr>
            <w:tcW w:w="1548" w:type="dxa"/>
            <w:tcMar>
              <w:top w:w="113" w:type="dxa"/>
            </w:tcMar>
          </w:tcPr>
          <w:p w:rsidR="00F425FB" w:rsidRPr="00406A21" w:rsidRDefault="00227F6D" w:rsidP="00406A21">
            <w:pPr>
              <w:pStyle w:val="ONUME"/>
              <w:keepNext/>
              <w:keepLines/>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نُفّذت</w:t>
            </w:r>
          </w:p>
        </w:tc>
        <w:tc>
          <w:tcPr>
            <w:tcW w:w="3084" w:type="dxa"/>
            <w:tcMar>
              <w:top w:w="113" w:type="dxa"/>
              <w:bottom w:w="113" w:type="dxa"/>
            </w:tcMar>
          </w:tcPr>
          <w:p w:rsidR="00F425FB" w:rsidRPr="00406A21" w:rsidRDefault="00227F6D" w:rsidP="00406A21">
            <w:pPr>
              <w:pStyle w:val="ONUME"/>
              <w:keepNext/>
              <w:keepLines/>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 xml:space="preserve">في مطلع عام 2014، أتمّت الشعبة التدقيق في الإدارة القائمة على النتائج الذي أنجز تحديدا كاستعراض لمبادرة برنامج التقويم الاستراتيجي في إطار القيمة الأساسية "المساءلة على النتائج". </w:t>
            </w:r>
            <w:r w:rsidR="00356F62" w:rsidRPr="00406A21">
              <w:rPr>
                <w:rFonts w:ascii="Arabic Typesetting" w:hAnsi="Arabic Typesetting" w:cs="Arabic Typesetting"/>
                <w:sz w:val="32"/>
                <w:szCs w:val="32"/>
                <w:rtl/>
              </w:rPr>
              <w:t xml:space="preserve">وأتمّت </w:t>
            </w:r>
            <w:r w:rsidRPr="00406A21">
              <w:rPr>
                <w:rFonts w:ascii="Arabic Typesetting" w:hAnsi="Arabic Typesetting" w:cs="Arabic Typesetting"/>
                <w:sz w:val="32"/>
                <w:szCs w:val="32"/>
                <w:rtl/>
              </w:rPr>
              <w:t xml:space="preserve">شعبة الرقابة </w:t>
            </w:r>
            <w:r w:rsidR="00356F62" w:rsidRPr="00406A21">
              <w:rPr>
                <w:rFonts w:ascii="Arabic Typesetting" w:hAnsi="Arabic Typesetting" w:cs="Arabic Typesetting"/>
                <w:sz w:val="32"/>
                <w:szCs w:val="32"/>
                <w:rtl/>
              </w:rPr>
              <w:t xml:space="preserve">الداخلية </w:t>
            </w:r>
            <w:r w:rsidRPr="00406A21">
              <w:rPr>
                <w:rFonts w:ascii="Arabic Typesetting" w:hAnsi="Arabic Typesetting" w:cs="Arabic Typesetting"/>
                <w:sz w:val="32"/>
                <w:szCs w:val="32"/>
                <w:rtl/>
              </w:rPr>
              <w:t xml:space="preserve">أيضاً تقييم تقاسم المعارف في الويبو </w:t>
            </w:r>
            <w:r w:rsidR="00356F62" w:rsidRPr="00406A21">
              <w:rPr>
                <w:rFonts w:ascii="Arabic Typesetting" w:hAnsi="Arabic Typesetting" w:cs="Arabic Typesetting"/>
                <w:sz w:val="32"/>
                <w:szCs w:val="32"/>
                <w:rtl/>
              </w:rPr>
              <w:t>و</w:t>
            </w:r>
            <w:r w:rsidRPr="00406A21">
              <w:rPr>
                <w:rFonts w:ascii="Arabic Typesetting" w:hAnsi="Arabic Typesetting" w:cs="Arabic Typesetting"/>
                <w:sz w:val="32"/>
                <w:szCs w:val="32"/>
                <w:rtl/>
              </w:rPr>
              <w:t>نظر</w:t>
            </w:r>
            <w:r w:rsidR="00356F62" w:rsidRPr="00406A21">
              <w:rPr>
                <w:rFonts w:ascii="Arabic Typesetting" w:hAnsi="Arabic Typesetting" w:cs="Arabic Typesetting"/>
                <w:sz w:val="32"/>
                <w:szCs w:val="32"/>
                <w:rtl/>
              </w:rPr>
              <w:t>ت</w:t>
            </w:r>
            <w:r w:rsidRPr="00406A21">
              <w:rPr>
                <w:rFonts w:ascii="Arabic Typesetting" w:hAnsi="Arabic Typesetting" w:cs="Arabic Typesetting"/>
                <w:sz w:val="32"/>
                <w:szCs w:val="32"/>
                <w:rtl/>
              </w:rPr>
              <w:t xml:space="preserve"> من خلاله عن كثب في قيمة أساسية أخرى من قيم برنامج التقويم الاستراتيجي وهي "العمل يداً واحدة" وإحدى أنشطتها الهادفة إلى "تعزيز الاتصالات الداخلية". </w:t>
            </w:r>
            <w:r w:rsidR="00891CEE" w:rsidRPr="00406A21">
              <w:rPr>
                <w:rFonts w:ascii="Arabic Typesetting" w:hAnsi="Arabic Typesetting" w:cs="Arabic Typesetting"/>
                <w:sz w:val="32"/>
                <w:szCs w:val="32"/>
                <w:rtl/>
              </w:rPr>
              <w:t xml:space="preserve">وأتمّت الشعبة أيضا تقييم برنامج المكافآت والتقدير المتصل بمبادرتين ضمن برنامج التقويم الاستراتيجي </w:t>
            </w:r>
            <w:r w:rsidR="00AE17CC" w:rsidRPr="00406A21">
              <w:rPr>
                <w:rFonts w:ascii="Arabic Typesetting" w:hAnsi="Arabic Typesetting" w:cs="Arabic Typesetting"/>
                <w:sz w:val="32"/>
                <w:szCs w:val="32"/>
                <w:rtl/>
              </w:rPr>
              <w:t xml:space="preserve">هما "مراجعة الإطار التنظيمي للموارد البشرية" و"تنفيذ نظام إدارة الأداء" (تحت "المساءلة على النتائج"). </w:t>
            </w:r>
            <w:r w:rsidR="00CF3511" w:rsidRPr="00406A21">
              <w:rPr>
                <w:rFonts w:ascii="Arabic Typesetting" w:hAnsi="Arabic Typesetting" w:cs="Arabic Typesetting"/>
                <w:sz w:val="32"/>
                <w:szCs w:val="32"/>
                <w:rtl/>
              </w:rPr>
              <w:t>وتشمل عمليات التدقيق الأخرى التي سبق تنفيذها التدقيق في برنامج الإنهاء الطوعي للخدمة وفي نقل البيانات لأغراض نظام التخطيط للموارد المؤسسية</w:t>
            </w:r>
            <w:r w:rsidR="00F018BC" w:rsidRPr="00406A21">
              <w:rPr>
                <w:rFonts w:ascii="Arabic Typesetting" w:hAnsi="Arabic Typesetting" w:cs="Arabic Typesetting"/>
                <w:sz w:val="32"/>
                <w:szCs w:val="32"/>
                <w:rtl/>
              </w:rPr>
              <w:t xml:space="preserve">. ونفّذ </w:t>
            </w:r>
            <w:r w:rsidR="00891CEE" w:rsidRPr="00406A21">
              <w:rPr>
                <w:rFonts w:ascii="Arabic Typesetting" w:hAnsi="Arabic Typesetting" w:cs="Arabic Typesetting"/>
                <w:sz w:val="32"/>
                <w:szCs w:val="32"/>
                <w:rtl/>
              </w:rPr>
              <w:t xml:space="preserve">المدققون الخارجيون تدقيقاً في أداء </w:t>
            </w:r>
            <w:r w:rsidR="00F018BC" w:rsidRPr="00406A21">
              <w:rPr>
                <w:rFonts w:ascii="Arabic Typesetting" w:hAnsi="Arabic Typesetting" w:cs="Arabic Typesetting"/>
                <w:sz w:val="32"/>
                <w:szCs w:val="32"/>
                <w:rtl/>
              </w:rPr>
              <w:t>نظام التخطيط للموارد البشرية</w:t>
            </w:r>
            <w:r w:rsidR="00891CEE" w:rsidRPr="00406A21">
              <w:rPr>
                <w:rFonts w:ascii="Arabic Typesetting" w:hAnsi="Arabic Typesetting" w:cs="Arabic Typesetting"/>
                <w:sz w:val="32"/>
                <w:szCs w:val="32"/>
                <w:rtl/>
              </w:rPr>
              <w:t>.</w:t>
            </w:r>
          </w:p>
        </w:tc>
      </w:tr>
      <w:tr w:rsidR="00F425FB" w:rsidRPr="00406A21" w:rsidTr="00F425FB">
        <w:trPr>
          <w:trHeight w:val="2277"/>
        </w:trPr>
        <w:tc>
          <w:tcPr>
            <w:tcW w:w="1951" w:type="dxa"/>
            <w:tcMar>
              <w:top w:w="113" w:type="dxa"/>
            </w:tcMar>
          </w:tcPr>
          <w:p w:rsidR="00F425FB" w:rsidRPr="00406A21" w:rsidRDefault="00A37FA9" w:rsidP="00406A21">
            <w:pPr>
              <w:pStyle w:val="ONUME"/>
              <w:numPr>
                <w:ilvl w:val="0"/>
                <w:numId w:val="0"/>
              </w:numPr>
              <w:bidi/>
              <w:spacing w:after="0" w:line="320" w:lineRule="exact"/>
              <w:rPr>
                <w:rFonts w:ascii="Arabic Typesetting" w:hAnsi="Arabic Typesetting" w:cs="Arabic Typesetting"/>
                <w:sz w:val="32"/>
                <w:szCs w:val="32"/>
                <w:rtl/>
                <w:lang w:val="fr-CH"/>
              </w:rPr>
            </w:pPr>
            <w:r w:rsidRPr="00406A21">
              <w:rPr>
                <w:rFonts w:ascii="Arabic Typesetting" w:hAnsi="Arabic Typesetting" w:cs="Arabic Typesetting"/>
                <w:sz w:val="32"/>
                <w:szCs w:val="32"/>
                <w:rtl/>
                <w:lang w:val="fr-CH"/>
              </w:rPr>
              <w:t>ت.5.  ينبغي أن ينتهي المدير العام، قبل نهاية 2015، من إعداد سياسة الويبو المتعلقة بالمخاطر وكل عناصر الإطار الشامل لإدارة المخاطر، وأن يحدثها بانتظام.</w:t>
            </w:r>
          </w:p>
        </w:tc>
        <w:tc>
          <w:tcPr>
            <w:tcW w:w="1701" w:type="dxa"/>
            <w:tcMar>
              <w:top w:w="113" w:type="dxa"/>
            </w:tcMar>
          </w:tcPr>
          <w:p w:rsidR="00F425FB" w:rsidRPr="00406A21" w:rsidRDefault="00935FE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مدير، تخطيط البرامج والشؤون المالية (المراقب المالي)</w:t>
            </w:r>
          </w:p>
        </w:tc>
        <w:tc>
          <w:tcPr>
            <w:tcW w:w="1287" w:type="dxa"/>
            <w:tcMar>
              <w:top w:w="113" w:type="dxa"/>
            </w:tcMar>
          </w:tcPr>
          <w:p w:rsidR="00F425FB" w:rsidRPr="00406A21" w:rsidRDefault="00935FE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قُبلت</w:t>
            </w:r>
          </w:p>
        </w:tc>
        <w:tc>
          <w:tcPr>
            <w:tcW w:w="1548" w:type="dxa"/>
            <w:tcMar>
              <w:top w:w="113" w:type="dxa"/>
            </w:tcMar>
          </w:tcPr>
          <w:p w:rsidR="00F425FB" w:rsidRPr="00406A21" w:rsidRDefault="00935FE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نُفّذت</w:t>
            </w:r>
          </w:p>
        </w:tc>
        <w:tc>
          <w:tcPr>
            <w:tcW w:w="3084" w:type="dxa"/>
            <w:tcMar>
              <w:top w:w="113" w:type="dxa"/>
            </w:tcMar>
          </w:tcPr>
          <w:p w:rsidR="00F425FB" w:rsidRPr="00406A21" w:rsidRDefault="00FF53BC"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 xml:space="preserve">الويبو لها كل العناصر من أجل إطار شامل لإدارة المخاطر: فريق إدارة المخاطر، وقابلية تحمل المخاطر، سياسة بشأن المخاطر، دليل المخاطر والمراقبة الداخلية، </w:t>
            </w:r>
          </w:p>
        </w:tc>
      </w:tr>
      <w:tr w:rsidR="00F425FB" w:rsidRPr="00406A21" w:rsidTr="00F425FB">
        <w:tc>
          <w:tcPr>
            <w:tcW w:w="1951" w:type="dxa"/>
            <w:tcMar>
              <w:top w:w="113" w:type="dxa"/>
            </w:tcMar>
          </w:tcPr>
          <w:p w:rsidR="00F425FB" w:rsidRPr="00406A21" w:rsidRDefault="00427E2E" w:rsidP="00406A21">
            <w:pPr>
              <w:bidi/>
              <w:spacing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ت.6.  ينبغي أن تعيد لجنة التنسيق النظر في المبادئ الحالية المتعلقة بالتوزيع الجغرافي بغية ضمان مزيد من التنوع الجغرافي داخل القوى العاملة المهنية في الويبو.</w:t>
            </w:r>
          </w:p>
        </w:tc>
        <w:tc>
          <w:tcPr>
            <w:tcW w:w="1701" w:type="dxa"/>
            <w:tcMar>
              <w:top w:w="113" w:type="dxa"/>
            </w:tcMar>
          </w:tcPr>
          <w:p w:rsidR="00F425FB" w:rsidRPr="00406A21" w:rsidRDefault="00427E2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مدير، إدارة الموارد البشرية</w:t>
            </w:r>
          </w:p>
        </w:tc>
        <w:tc>
          <w:tcPr>
            <w:tcW w:w="1287" w:type="dxa"/>
            <w:tcMar>
              <w:top w:w="113" w:type="dxa"/>
            </w:tcMar>
          </w:tcPr>
          <w:p w:rsidR="00F425FB" w:rsidRPr="00406A21" w:rsidRDefault="00427E2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قيد النظر</w:t>
            </w:r>
          </w:p>
        </w:tc>
        <w:tc>
          <w:tcPr>
            <w:tcW w:w="1548" w:type="dxa"/>
            <w:tcMar>
              <w:top w:w="113" w:type="dxa"/>
            </w:tcMar>
          </w:tcPr>
          <w:p w:rsidR="00F425FB" w:rsidRPr="00406A21" w:rsidRDefault="00F425FB" w:rsidP="00406A21">
            <w:pPr>
              <w:pStyle w:val="ONUME"/>
              <w:numPr>
                <w:ilvl w:val="0"/>
                <w:numId w:val="0"/>
              </w:numPr>
              <w:bidi/>
              <w:spacing w:after="0" w:line="320" w:lineRule="exact"/>
              <w:rPr>
                <w:rFonts w:ascii="Arabic Typesetting" w:hAnsi="Arabic Typesetting" w:cs="Arabic Typesetting"/>
                <w:sz w:val="32"/>
                <w:szCs w:val="32"/>
              </w:rPr>
            </w:pPr>
          </w:p>
        </w:tc>
        <w:tc>
          <w:tcPr>
            <w:tcW w:w="3084" w:type="dxa"/>
            <w:tcMar>
              <w:top w:w="113" w:type="dxa"/>
              <w:bottom w:w="113" w:type="dxa"/>
            </w:tcMar>
          </w:tcPr>
          <w:p w:rsidR="00F425FB" w:rsidRPr="00406A21" w:rsidRDefault="00427E2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أرسل المدير العام للويبو رسالةً في 30 مايو 2014 إلى رئيس لجنة الويبو للتنسيق لاسترعاء انتباهه إلى هذه التوصية.</w:t>
            </w:r>
          </w:p>
        </w:tc>
      </w:tr>
      <w:tr w:rsidR="00F425FB" w:rsidRPr="00406A21" w:rsidTr="00F425FB">
        <w:tc>
          <w:tcPr>
            <w:tcW w:w="1951" w:type="dxa"/>
            <w:tcMar>
              <w:top w:w="113" w:type="dxa"/>
            </w:tcMar>
          </w:tcPr>
          <w:p w:rsidR="00F425FB" w:rsidRPr="00406A21" w:rsidRDefault="0025407E" w:rsidP="00406A21">
            <w:pPr>
              <w:pStyle w:val="ONUME"/>
              <w:keepNext/>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lastRenderedPageBreak/>
              <w:t>ت.7.  استنادا إلى إرشادات لجنة التنسيق، ينبغي أن ينشئ المدير العام، قبل نهاية 2015، خطة عمل ذات تدابير وأهداف محددة لزيادة التنوع الجغرافي داخل قوة العمل المهنية ويرفع تقريرا سنويا عن تنفيذها.</w:t>
            </w:r>
          </w:p>
        </w:tc>
        <w:tc>
          <w:tcPr>
            <w:tcW w:w="1701" w:type="dxa"/>
            <w:tcMar>
              <w:top w:w="113" w:type="dxa"/>
            </w:tcMar>
          </w:tcPr>
          <w:p w:rsidR="00F425FB" w:rsidRPr="00406A21" w:rsidRDefault="0025407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مدير، إدارة الموارد البشرية</w:t>
            </w:r>
          </w:p>
        </w:tc>
        <w:tc>
          <w:tcPr>
            <w:tcW w:w="1287" w:type="dxa"/>
            <w:tcMar>
              <w:top w:w="113" w:type="dxa"/>
            </w:tcMar>
          </w:tcPr>
          <w:p w:rsidR="00F425FB" w:rsidRPr="00406A21" w:rsidRDefault="0025407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قُبلت</w:t>
            </w:r>
          </w:p>
        </w:tc>
        <w:tc>
          <w:tcPr>
            <w:tcW w:w="1548" w:type="dxa"/>
            <w:tcMar>
              <w:top w:w="113" w:type="dxa"/>
            </w:tcMar>
          </w:tcPr>
          <w:p w:rsidR="00F425FB" w:rsidRPr="00406A21" w:rsidRDefault="0025407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قيد التنفيذ</w:t>
            </w:r>
          </w:p>
        </w:tc>
        <w:tc>
          <w:tcPr>
            <w:tcW w:w="3084" w:type="dxa"/>
            <w:tcMar>
              <w:top w:w="113" w:type="dxa"/>
              <w:bottom w:w="113" w:type="dxa"/>
            </w:tcMar>
          </w:tcPr>
          <w:p w:rsidR="00F425FB" w:rsidRPr="00406A21" w:rsidRDefault="0025407E"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سيوضَع برنامج عمل بالتشاور مع الدول الأعضاء من أجل زيادة التنوع الجغرافي بين القوى العاملة المهنية.  وأطلِقَت حملات توعية وازداد التفاعل مع الدول الأعضاء في أكتوبر 2013 وستستمرّ هذه الجهود على مدى فترة 2014-2015 لزيادة التنوع الجغرافي في المنظمة.  وتقدّم إدارة الموارد البشرية تقارير عن التقدّم المحرز في التنوع الجغرافي داخل الويبو مرتين في السنة للدول الأعضاء كلها ومرة في السنة للجنة الويبو للتنسيق من خلال تقريرها السنوي عن الموارد البشرية.</w:t>
            </w:r>
          </w:p>
        </w:tc>
      </w:tr>
      <w:tr w:rsidR="00F425FB" w:rsidRPr="00406A21" w:rsidTr="00F425FB">
        <w:tc>
          <w:tcPr>
            <w:tcW w:w="1951" w:type="dxa"/>
            <w:tcMar>
              <w:top w:w="113" w:type="dxa"/>
            </w:tcMar>
          </w:tcPr>
          <w:p w:rsidR="00F425FB" w:rsidRPr="00406A21" w:rsidRDefault="00F36E79"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ت.8.  ينبغي أن ينتهي المدير العام من إعداد السياسة الجنسانية للويبو قبل نهاية 2014، بحيث يضمن اشتمالها على تدابير وأهداف محددة لتحسين التوازن بين الجنسين، ولا سيما على مستوى الإدارة العليا، ويرفع تقريرا سنويا عن تنفيذها.</w:t>
            </w:r>
          </w:p>
        </w:tc>
        <w:tc>
          <w:tcPr>
            <w:tcW w:w="1701" w:type="dxa"/>
            <w:tcMar>
              <w:top w:w="113" w:type="dxa"/>
            </w:tcMar>
          </w:tcPr>
          <w:p w:rsidR="00F425FB" w:rsidRPr="00406A21" w:rsidRDefault="00F36E79"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مدير، إدارة الموارد البشرية</w:t>
            </w:r>
          </w:p>
        </w:tc>
        <w:tc>
          <w:tcPr>
            <w:tcW w:w="1287" w:type="dxa"/>
            <w:tcMar>
              <w:top w:w="113" w:type="dxa"/>
            </w:tcMar>
          </w:tcPr>
          <w:p w:rsidR="00F425FB" w:rsidRPr="00406A21" w:rsidRDefault="00F36E79"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قُبلت</w:t>
            </w:r>
          </w:p>
        </w:tc>
        <w:tc>
          <w:tcPr>
            <w:tcW w:w="1548" w:type="dxa"/>
            <w:tcMar>
              <w:top w:w="113" w:type="dxa"/>
            </w:tcMar>
          </w:tcPr>
          <w:p w:rsidR="00F425FB" w:rsidRPr="00406A21" w:rsidRDefault="00F36E79"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نُفّذت</w:t>
            </w:r>
          </w:p>
        </w:tc>
        <w:tc>
          <w:tcPr>
            <w:tcW w:w="3084" w:type="dxa"/>
            <w:tcMar>
              <w:top w:w="113" w:type="dxa"/>
              <w:bottom w:w="142" w:type="dxa"/>
            </w:tcMar>
          </w:tcPr>
          <w:p w:rsidR="00F425FB" w:rsidRPr="00406A21" w:rsidRDefault="00F36E79" w:rsidP="00406A21">
            <w:pPr>
              <w:pStyle w:val="ONUME"/>
              <w:numPr>
                <w:ilvl w:val="0"/>
                <w:numId w:val="0"/>
              </w:numPr>
              <w:bidi/>
              <w:spacing w:after="0" w:line="320" w:lineRule="exact"/>
              <w:rPr>
                <w:rFonts w:ascii="Arabic Typesetting" w:hAnsi="Arabic Typesetting" w:cs="Arabic Typesetting"/>
                <w:b/>
                <w:sz w:val="32"/>
                <w:szCs w:val="32"/>
              </w:rPr>
            </w:pPr>
            <w:r w:rsidRPr="00406A21">
              <w:rPr>
                <w:rFonts w:ascii="Arabic Typesetting" w:hAnsi="Arabic Typesetting" w:cs="Arabic Typesetting"/>
                <w:b/>
                <w:sz w:val="32"/>
                <w:szCs w:val="32"/>
                <w:rtl/>
              </w:rPr>
              <w:t xml:space="preserve">أصدرت الأمانة سياسة عامة حول المساواة بين الجنسين في أغسطس 2014 في شكل تعليمات إدارية، وهي ترمي إلى تعميم مراعاة المنظور الجنساني في عمل برامج الويبو والمساواة بين الجنسين في مكان العمل في الويبو بتدابير وأهداف محددة لتحسين التوازن الجنساني على كل المستويات بحلول عام 2020. </w:t>
            </w:r>
            <w:r w:rsidR="00D73814" w:rsidRPr="00406A21">
              <w:rPr>
                <w:rFonts w:ascii="Arabic Typesetting" w:hAnsi="Arabic Typesetting" w:cs="Arabic Typesetting"/>
                <w:b/>
                <w:sz w:val="32"/>
                <w:szCs w:val="32"/>
                <w:rtl/>
              </w:rPr>
              <w:t>وصدرت أيضا خطة عمل بموازاة مع ذلك، بجداول زمنية وأدوار محدّدة في كلّ منهما.</w:t>
            </w:r>
            <w:r w:rsidRPr="00406A21">
              <w:rPr>
                <w:rFonts w:ascii="Arabic Typesetting" w:hAnsi="Arabic Typesetting" w:cs="Arabic Typesetting"/>
                <w:b/>
                <w:sz w:val="32"/>
                <w:szCs w:val="32"/>
                <w:rtl/>
              </w:rPr>
              <w:t xml:space="preserve"> وتقدّ</w:t>
            </w:r>
            <w:r w:rsidR="00F442BB" w:rsidRPr="00406A21">
              <w:rPr>
                <w:rFonts w:ascii="Arabic Typesetting" w:hAnsi="Arabic Typesetting" w:cs="Arabic Typesetting"/>
                <w:b/>
                <w:sz w:val="32"/>
                <w:szCs w:val="32"/>
                <w:rtl/>
              </w:rPr>
              <w:t>َ</w:t>
            </w:r>
            <w:r w:rsidRPr="00406A21">
              <w:rPr>
                <w:rFonts w:ascii="Arabic Typesetting" w:hAnsi="Arabic Typesetting" w:cs="Arabic Typesetting"/>
                <w:b/>
                <w:sz w:val="32"/>
                <w:szCs w:val="32"/>
                <w:rtl/>
              </w:rPr>
              <w:t xml:space="preserve">م تقارير عن التقدّم المحرز على صعيد التوازن الجنساني مرتين في السنة للدول الأعضاء ومرة في السنة للجنة الويبو للتنسيق من خلال </w:t>
            </w:r>
            <w:r w:rsidR="00F442BB" w:rsidRPr="00406A21">
              <w:rPr>
                <w:rFonts w:ascii="Arabic Typesetting" w:hAnsi="Arabic Typesetting" w:cs="Arabic Typesetting"/>
                <w:b/>
                <w:sz w:val="32"/>
                <w:szCs w:val="32"/>
                <w:rtl/>
              </w:rPr>
              <w:t>التقرير</w:t>
            </w:r>
            <w:r w:rsidRPr="00406A21">
              <w:rPr>
                <w:rFonts w:ascii="Arabic Typesetting" w:hAnsi="Arabic Typesetting" w:cs="Arabic Typesetting"/>
                <w:b/>
                <w:sz w:val="32"/>
                <w:szCs w:val="32"/>
                <w:rtl/>
              </w:rPr>
              <w:t xml:space="preserve"> السنوي عن الموارد البشرية.</w:t>
            </w:r>
          </w:p>
        </w:tc>
      </w:tr>
      <w:tr w:rsidR="00F425FB" w:rsidRPr="00406A21" w:rsidTr="00F425FB">
        <w:tc>
          <w:tcPr>
            <w:tcW w:w="1951" w:type="dxa"/>
            <w:tcMar>
              <w:top w:w="113" w:type="dxa"/>
            </w:tcMar>
          </w:tcPr>
          <w:p w:rsidR="00F425FB" w:rsidRPr="00406A21" w:rsidRDefault="002A1C64" w:rsidP="00406A21">
            <w:pPr>
              <w:bidi/>
              <w:spacing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ت.9.  ينبغي أن يعمل المدير العام على إضفاء مزيد من الطابع الرسمي على استراتيجية الويبو المتعلقة بتكنولوجيا المعلومات والاتصالات ويقدمها إلى الجمعية العامة قبل نهاية 2014.</w:t>
            </w:r>
          </w:p>
        </w:tc>
        <w:tc>
          <w:tcPr>
            <w:tcW w:w="1701" w:type="dxa"/>
            <w:tcMar>
              <w:top w:w="113" w:type="dxa"/>
            </w:tcMar>
          </w:tcPr>
          <w:p w:rsidR="00F425FB" w:rsidRPr="00406A21" w:rsidRDefault="002A1C64" w:rsidP="00406A21">
            <w:pPr>
              <w:bidi/>
              <w:spacing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مدير، إدارة تكنولوجيا المعلومات والاتصالات</w:t>
            </w:r>
          </w:p>
        </w:tc>
        <w:tc>
          <w:tcPr>
            <w:tcW w:w="1287" w:type="dxa"/>
            <w:tcMar>
              <w:top w:w="113" w:type="dxa"/>
            </w:tcMar>
          </w:tcPr>
          <w:p w:rsidR="00F425FB" w:rsidRPr="00406A21" w:rsidRDefault="002A1C64" w:rsidP="00406A21">
            <w:pPr>
              <w:bidi/>
              <w:spacing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قُبلت</w:t>
            </w:r>
          </w:p>
        </w:tc>
        <w:tc>
          <w:tcPr>
            <w:tcW w:w="1548" w:type="dxa"/>
            <w:tcMar>
              <w:top w:w="113" w:type="dxa"/>
            </w:tcMar>
          </w:tcPr>
          <w:p w:rsidR="00F425FB" w:rsidRPr="00406A21" w:rsidRDefault="002A1C64" w:rsidP="00406A21">
            <w:pPr>
              <w:bidi/>
              <w:spacing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نُفّذت</w:t>
            </w:r>
          </w:p>
        </w:tc>
        <w:tc>
          <w:tcPr>
            <w:tcW w:w="3084" w:type="dxa"/>
            <w:tcMar>
              <w:top w:w="113" w:type="dxa"/>
              <w:bottom w:w="142" w:type="dxa"/>
            </w:tcMar>
          </w:tcPr>
          <w:p w:rsidR="00F425FB" w:rsidRPr="00406A21" w:rsidRDefault="002A1C64" w:rsidP="00406A21">
            <w:pPr>
              <w:bidi/>
              <w:spacing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عُرِضَت استراتيجية الويبو لتكنولوجيا المعلومات والاتصالات من بين وثائق الدورة الرابعة والخمسين لجمعيات الدول الأعضاء في الويبو (من 22 إلى 30 سبتمبر 2014).</w:t>
            </w:r>
          </w:p>
        </w:tc>
      </w:tr>
      <w:tr w:rsidR="00F425FB" w:rsidRPr="00406A21" w:rsidTr="00F425FB">
        <w:tc>
          <w:tcPr>
            <w:tcW w:w="1951" w:type="dxa"/>
            <w:tcMar>
              <w:top w:w="113" w:type="dxa"/>
            </w:tcMar>
          </w:tcPr>
          <w:p w:rsidR="00F425FB" w:rsidRPr="00406A21" w:rsidRDefault="002A1C64" w:rsidP="00C90538">
            <w:pPr>
              <w:keepNext/>
              <w:bidi/>
              <w:spacing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lastRenderedPageBreak/>
              <w:t>ت.10.  ينبغي أن ينتهي المدير العام من إعداد استراتيجية شاملة لإدارة المعارف ويقدمها إلى الجمعية العامة قبل نهاية 2015.</w:t>
            </w:r>
          </w:p>
        </w:tc>
        <w:tc>
          <w:tcPr>
            <w:tcW w:w="1701" w:type="dxa"/>
            <w:tcMar>
              <w:top w:w="113" w:type="dxa"/>
            </w:tcMar>
          </w:tcPr>
          <w:p w:rsidR="00F425FB" w:rsidRPr="00406A21" w:rsidRDefault="002A1C64" w:rsidP="00BD21FE">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eastAsia="Calibri" w:hAnsi="Arabic Typesetting" w:cs="Arabic Typesetting"/>
                <w:sz w:val="32"/>
                <w:szCs w:val="32"/>
                <w:rtl/>
              </w:rPr>
              <w:t>مساعد المدير العام، قطاع التنظيم والإدارة</w:t>
            </w:r>
          </w:p>
        </w:tc>
        <w:tc>
          <w:tcPr>
            <w:tcW w:w="1287" w:type="dxa"/>
            <w:tcMar>
              <w:top w:w="113" w:type="dxa"/>
            </w:tcMar>
          </w:tcPr>
          <w:p w:rsidR="00F425FB" w:rsidRPr="00406A21" w:rsidRDefault="002A1C6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قُبلت</w:t>
            </w:r>
          </w:p>
        </w:tc>
        <w:tc>
          <w:tcPr>
            <w:tcW w:w="1548" w:type="dxa"/>
            <w:tcMar>
              <w:top w:w="113" w:type="dxa"/>
            </w:tcMar>
          </w:tcPr>
          <w:p w:rsidR="00F425FB" w:rsidRPr="00406A21" w:rsidRDefault="002A1C64" w:rsidP="00406A21">
            <w:pPr>
              <w:pStyle w:val="ONUME"/>
              <w:numPr>
                <w:ilvl w:val="0"/>
                <w:numId w:val="0"/>
              </w:numPr>
              <w:bidi/>
              <w:spacing w:after="0" w:line="320" w:lineRule="exact"/>
              <w:rPr>
                <w:rFonts w:ascii="Arabic Typesetting" w:hAnsi="Arabic Typesetting" w:cs="Arabic Typesetting"/>
                <w:sz w:val="32"/>
                <w:szCs w:val="32"/>
              </w:rPr>
            </w:pPr>
            <w:r w:rsidRPr="00406A21">
              <w:rPr>
                <w:rFonts w:ascii="Arabic Typesetting" w:hAnsi="Arabic Typesetting" w:cs="Arabic Typesetting"/>
                <w:sz w:val="32"/>
                <w:szCs w:val="32"/>
                <w:rtl/>
              </w:rPr>
              <w:t>نُفّذت</w:t>
            </w:r>
          </w:p>
        </w:tc>
        <w:tc>
          <w:tcPr>
            <w:tcW w:w="3084" w:type="dxa"/>
            <w:tcMar>
              <w:top w:w="113" w:type="dxa"/>
              <w:bottom w:w="142" w:type="dxa"/>
            </w:tcMar>
          </w:tcPr>
          <w:p w:rsidR="00F425FB" w:rsidRPr="00406A21" w:rsidRDefault="002A1C64" w:rsidP="00406A21">
            <w:pPr>
              <w:bidi/>
              <w:spacing w:line="320" w:lineRule="exact"/>
              <w:rPr>
                <w:rFonts w:ascii="Arabic Typesetting" w:hAnsi="Arabic Typesetting" w:cs="Arabic Typesetting"/>
                <w:b/>
                <w:bCs/>
                <w:i/>
                <w:sz w:val="32"/>
                <w:szCs w:val="32"/>
              </w:rPr>
            </w:pPr>
            <w:r w:rsidRPr="00406A21">
              <w:rPr>
                <w:rFonts w:ascii="Arabic Typesetting" w:hAnsi="Arabic Typesetting" w:cs="Arabic Typesetting"/>
                <w:sz w:val="32"/>
                <w:szCs w:val="32"/>
                <w:rtl/>
              </w:rPr>
              <w:t>استراتيجية إدارة المعارف متاحة ضمن وثائق الدورة الرابعة والخمسين لجمعيات الدول الأعضاء في الويبو.</w:t>
            </w:r>
          </w:p>
        </w:tc>
      </w:tr>
    </w:tbl>
    <w:p w:rsidR="00F425FB" w:rsidRPr="00406A21" w:rsidRDefault="00F425FB" w:rsidP="00F425FB">
      <w:pPr>
        <w:pStyle w:val="NumberedParaAR"/>
        <w:numPr>
          <w:ilvl w:val="0"/>
          <w:numId w:val="0"/>
        </w:numPr>
      </w:pPr>
    </w:p>
    <w:p w:rsidR="00F425FB" w:rsidRDefault="00406A21" w:rsidP="00F425FB">
      <w:pPr>
        <w:pStyle w:val="NumberedParaAR"/>
      </w:pPr>
      <w:r>
        <w:rPr>
          <w:rFonts w:hint="cs"/>
          <w:rtl/>
        </w:rPr>
        <w:t>وفيما يلي فقرة القرار المقترحة.</w:t>
      </w:r>
    </w:p>
    <w:p w:rsidR="00406A21" w:rsidRDefault="00406A21" w:rsidP="0003389F">
      <w:pPr>
        <w:pStyle w:val="DecisionParaAR"/>
        <w:keepNext/>
      </w:pPr>
      <w:r>
        <w:rPr>
          <w:rFonts w:hint="cs"/>
          <w:rtl/>
        </w:rPr>
        <w:t>إن لجنة البرنامج والميزانية:</w:t>
      </w:r>
    </w:p>
    <w:p w:rsidR="00406A21" w:rsidRDefault="00406A21" w:rsidP="00C90538">
      <w:pPr>
        <w:pStyle w:val="DecisionParaAR"/>
        <w:numPr>
          <w:ilvl w:val="0"/>
          <w:numId w:val="0"/>
        </w:numPr>
        <w:ind w:left="6236"/>
        <w:rPr>
          <w:rtl/>
          <w:lang w:val="fr-CH"/>
        </w:rPr>
      </w:pPr>
      <w:r>
        <w:rPr>
          <w:rFonts w:hint="cs"/>
          <w:rtl/>
        </w:rPr>
        <w:t>"1"</w:t>
      </w:r>
      <w:r>
        <w:rPr>
          <w:rFonts w:hint="cs"/>
          <w:rtl/>
        </w:rPr>
        <w:tab/>
        <w:t>أحاطت علما بتعليقات الأمانة ال</w:t>
      </w:r>
      <w:r w:rsidR="0052202A">
        <w:rPr>
          <w:rFonts w:hint="cs"/>
          <w:rtl/>
        </w:rPr>
        <w:t xml:space="preserve">مجدَّدة بشأن تقرير وحدة التفتيش المشتركة </w:t>
      </w:r>
      <w:r w:rsidR="0052202A" w:rsidRPr="0052202A">
        <w:rPr>
          <w:rtl/>
        </w:rPr>
        <w:t>"استعراض الإدارة والتسيير في المنظمة العالمية للملكية الفكرية (الويبو)" (</w:t>
      </w:r>
      <w:r w:rsidR="0052202A" w:rsidRPr="0052202A">
        <w:t>JIU/REP/2014/2</w:t>
      </w:r>
      <w:r w:rsidR="0052202A" w:rsidRPr="0052202A">
        <w:rPr>
          <w:rtl/>
        </w:rPr>
        <w:t>)</w:t>
      </w:r>
      <w:r w:rsidR="0052202A">
        <w:rPr>
          <w:rFonts w:hint="cs"/>
          <w:rtl/>
        </w:rPr>
        <w:t xml:space="preserve"> كما وردت في الوثيقة </w:t>
      </w:r>
      <w:r w:rsidR="0052202A">
        <w:t>WO/PBC/23/4</w:t>
      </w:r>
      <w:r w:rsidR="0052202A">
        <w:rPr>
          <w:rFonts w:hint="cs"/>
          <w:rtl/>
          <w:lang w:val="fr-CH"/>
        </w:rPr>
        <w:t>، ولاحظت أن التوصيات 2 و3 و4 و5 و8 و9 و10،الموجهة إلى المدير العام، قد نُفّذت تنفيذا كاملا؛</w:t>
      </w:r>
    </w:p>
    <w:p w:rsidR="0052202A" w:rsidRPr="0052202A" w:rsidRDefault="0052202A" w:rsidP="00C90538">
      <w:pPr>
        <w:pStyle w:val="DecisionParaAR"/>
        <w:numPr>
          <w:ilvl w:val="0"/>
          <w:numId w:val="0"/>
        </w:numPr>
        <w:ind w:left="6236"/>
        <w:rPr>
          <w:rtl/>
          <w:lang w:val="fr-CH"/>
        </w:rPr>
      </w:pPr>
      <w:r>
        <w:rPr>
          <w:rFonts w:hint="cs"/>
          <w:rtl/>
          <w:lang w:val="fr-CH"/>
        </w:rPr>
        <w:t>"2"</w:t>
      </w:r>
      <w:r>
        <w:rPr>
          <w:rFonts w:hint="cs"/>
          <w:rtl/>
          <w:lang w:val="fr-CH"/>
        </w:rPr>
        <w:tab/>
        <w:t>والتمست من الأمانة الاستمرار في التقري</w:t>
      </w:r>
      <w:r w:rsidR="0003389F">
        <w:rPr>
          <w:rFonts w:hint="cs"/>
          <w:rtl/>
          <w:lang w:val="fr-CH"/>
        </w:rPr>
        <w:t>ر</w:t>
      </w:r>
      <w:r>
        <w:rPr>
          <w:rFonts w:hint="cs"/>
          <w:rtl/>
          <w:lang w:val="fr-CH"/>
        </w:rPr>
        <w:t xml:space="preserve"> عن أية توصيات متبقية في المستقبل في إطار تقاريرها الدورية المقبلة إلى الدول الأعضاء بشأن تنفيذ توصيات وحدة التفتيش المشتركة.</w:t>
      </w:r>
    </w:p>
    <w:p w:rsidR="00F425FB" w:rsidRDefault="00C90538" w:rsidP="00C90538">
      <w:pPr>
        <w:pStyle w:val="EndofDocumentAR"/>
        <w:rPr>
          <w:rtl/>
        </w:rPr>
      </w:pPr>
      <w:r>
        <w:rPr>
          <w:rFonts w:hint="cs"/>
          <w:rtl/>
        </w:rPr>
        <w:t>[نهاية الوثيقة]</w:t>
      </w:r>
    </w:p>
    <w:sectPr w:rsidR="00F425FB" w:rsidSect="00EB7752">
      <w:headerReference w:type="default" r:id="rId9"/>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184" w:rsidRDefault="00A82184">
      <w:r>
        <w:separator/>
      </w:r>
    </w:p>
  </w:endnote>
  <w:endnote w:type="continuationSeparator" w:id="0">
    <w:p w:rsidR="00A82184" w:rsidRDefault="00A82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184" w:rsidRDefault="00A82184" w:rsidP="009622BF">
      <w:pPr>
        <w:bidi/>
      </w:pPr>
      <w:bookmarkStart w:id="0" w:name="OLE_LINK1"/>
      <w:bookmarkStart w:id="1" w:name="OLE_LINK2"/>
      <w:r>
        <w:separator/>
      </w:r>
      <w:bookmarkEnd w:id="0"/>
      <w:bookmarkEnd w:id="1"/>
    </w:p>
  </w:footnote>
  <w:footnote w:type="continuationSeparator" w:id="0">
    <w:p w:rsidR="00A82184" w:rsidRDefault="00A82184"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B93" w:rsidRDefault="007F6C62" w:rsidP="00FF3A28">
    <w:r w:rsidRPr="007F6C62">
      <w:t>WO/PBC/23/</w:t>
    </w:r>
    <w:r w:rsidR="00FF3A28">
      <w:t>4</w:t>
    </w:r>
  </w:p>
  <w:p w:rsidR="00276B93" w:rsidRDefault="00276B93" w:rsidP="00D61541">
    <w:r>
      <w:fldChar w:fldCharType="begin"/>
    </w:r>
    <w:r>
      <w:instrText xml:space="preserve"> PAGE  \* MERGEFORMAT </w:instrText>
    </w:r>
    <w:r>
      <w:fldChar w:fldCharType="separate"/>
    </w:r>
    <w:r w:rsidR="00073B01">
      <w:rPr>
        <w:noProof/>
      </w:rPr>
      <w:t>5</w:t>
    </w:r>
    <w:r>
      <w:fldChar w:fldCharType="end"/>
    </w:r>
  </w:p>
  <w:p w:rsidR="00276B93" w:rsidRDefault="00276B93"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6CD29E3"/>
    <w:multiLevelType w:val="multilevel"/>
    <w:tmpl w:val="EEC6AA46"/>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6597"/>
        </w:tabs>
        <w:ind w:left="6030"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9">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18"/>
  </w:num>
  <w:num w:numId="5">
    <w:abstractNumId w:val="8"/>
  </w:num>
  <w:num w:numId="6">
    <w:abstractNumId w:val="19"/>
  </w:num>
  <w:num w:numId="7">
    <w:abstractNumId w:val="14"/>
  </w:num>
  <w:num w:numId="8">
    <w:abstractNumId w:val="17"/>
  </w:num>
  <w:num w:numId="9">
    <w:abstractNumId w:val="16"/>
  </w:num>
  <w:num w:numId="10">
    <w:abstractNumId w:val="20"/>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18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89F"/>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3402"/>
    <w:rsid w:val="00073B01"/>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A7CF7"/>
    <w:rsid w:val="000B08F5"/>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8BF"/>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30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27F6D"/>
    <w:rsid w:val="00230249"/>
    <w:rsid w:val="00230D5F"/>
    <w:rsid w:val="00231BE3"/>
    <w:rsid w:val="00232C51"/>
    <w:rsid w:val="00233414"/>
    <w:rsid w:val="00233D69"/>
    <w:rsid w:val="00234E82"/>
    <w:rsid w:val="00235C9D"/>
    <w:rsid w:val="002412D4"/>
    <w:rsid w:val="0024220D"/>
    <w:rsid w:val="00242BD3"/>
    <w:rsid w:val="00242C02"/>
    <w:rsid w:val="00243155"/>
    <w:rsid w:val="002437FE"/>
    <w:rsid w:val="00247783"/>
    <w:rsid w:val="0025172C"/>
    <w:rsid w:val="00252CF8"/>
    <w:rsid w:val="00252E2E"/>
    <w:rsid w:val="00253210"/>
    <w:rsid w:val="0025353E"/>
    <w:rsid w:val="00253DE1"/>
    <w:rsid w:val="0025407E"/>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6B93"/>
    <w:rsid w:val="002772A5"/>
    <w:rsid w:val="002806F8"/>
    <w:rsid w:val="002810B5"/>
    <w:rsid w:val="00281F4F"/>
    <w:rsid w:val="00286744"/>
    <w:rsid w:val="002909B9"/>
    <w:rsid w:val="00292CEE"/>
    <w:rsid w:val="00292D22"/>
    <w:rsid w:val="0029470D"/>
    <w:rsid w:val="00297B80"/>
    <w:rsid w:val="002A076C"/>
    <w:rsid w:val="002A1059"/>
    <w:rsid w:val="002A1C64"/>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4325"/>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F6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3D44"/>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A21"/>
    <w:rsid w:val="00406CB5"/>
    <w:rsid w:val="00410B8F"/>
    <w:rsid w:val="00412057"/>
    <w:rsid w:val="004126C1"/>
    <w:rsid w:val="00413BA5"/>
    <w:rsid w:val="00414FD0"/>
    <w:rsid w:val="00417E93"/>
    <w:rsid w:val="00422A2A"/>
    <w:rsid w:val="00424BB4"/>
    <w:rsid w:val="004258CD"/>
    <w:rsid w:val="004261D2"/>
    <w:rsid w:val="00427E2E"/>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02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C1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6B67"/>
    <w:rsid w:val="006A753A"/>
    <w:rsid w:val="006A777C"/>
    <w:rsid w:val="006A7C46"/>
    <w:rsid w:val="006B0F76"/>
    <w:rsid w:val="006B1F20"/>
    <w:rsid w:val="006B33A1"/>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0E4B"/>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C62"/>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1CEE"/>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0CC"/>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204"/>
    <w:rsid w:val="009343F5"/>
    <w:rsid w:val="0093456A"/>
    <w:rsid w:val="009345AE"/>
    <w:rsid w:val="00935301"/>
    <w:rsid w:val="00935FE4"/>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532"/>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37FA9"/>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2184"/>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17CC"/>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3E76"/>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3D93"/>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290"/>
    <w:rsid w:val="00BC3AE8"/>
    <w:rsid w:val="00BC3AF4"/>
    <w:rsid w:val="00BC43A8"/>
    <w:rsid w:val="00BC5C6D"/>
    <w:rsid w:val="00BC7120"/>
    <w:rsid w:val="00BC76A3"/>
    <w:rsid w:val="00BD00D1"/>
    <w:rsid w:val="00BD07A2"/>
    <w:rsid w:val="00BD21FE"/>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0538"/>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511"/>
    <w:rsid w:val="00CF3739"/>
    <w:rsid w:val="00CF431B"/>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814"/>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55DE"/>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2F50"/>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18BC"/>
    <w:rsid w:val="00F02663"/>
    <w:rsid w:val="00F03369"/>
    <w:rsid w:val="00F04E62"/>
    <w:rsid w:val="00F050AA"/>
    <w:rsid w:val="00F05E6D"/>
    <w:rsid w:val="00F11800"/>
    <w:rsid w:val="00F11B6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6E79"/>
    <w:rsid w:val="00F37CFD"/>
    <w:rsid w:val="00F37D33"/>
    <w:rsid w:val="00F40178"/>
    <w:rsid w:val="00F40DB9"/>
    <w:rsid w:val="00F40ED1"/>
    <w:rsid w:val="00F415A3"/>
    <w:rsid w:val="00F41778"/>
    <w:rsid w:val="00F41B3E"/>
    <w:rsid w:val="00F421D1"/>
    <w:rsid w:val="00F425FB"/>
    <w:rsid w:val="00F4323B"/>
    <w:rsid w:val="00F43B8E"/>
    <w:rsid w:val="00F442BB"/>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A28"/>
    <w:rsid w:val="00FF3EE6"/>
    <w:rsid w:val="00FF434C"/>
    <w:rsid w:val="00FF53B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customStyle="1" w:styleId="ONUME">
    <w:name w:val="ONUM E"/>
    <w:basedOn w:val="BodyText"/>
    <w:link w:val="ONUMEChar"/>
    <w:rsid w:val="00F425FB"/>
    <w:pPr>
      <w:numPr>
        <w:numId w:val="21"/>
      </w:numPr>
      <w:spacing w:after="220"/>
    </w:pPr>
    <w:rPr>
      <w:rFonts w:eastAsia="SimSun"/>
      <w:lang w:eastAsia="zh-CN"/>
    </w:rPr>
  </w:style>
  <w:style w:type="character" w:customStyle="1" w:styleId="ONUMEChar">
    <w:name w:val="ONUM E Char"/>
    <w:link w:val="ONUME"/>
    <w:rsid w:val="00F425FB"/>
    <w:rPr>
      <w:rFonts w:ascii="Arial" w:eastAsia="SimSun" w:hAnsi="Arial" w:cs="Arial"/>
      <w:sz w:val="22"/>
      <w:lang w:eastAsia="zh-CN"/>
    </w:rPr>
  </w:style>
  <w:style w:type="paragraph" w:styleId="BodyText">
    <w:name w:val="Body Text"/>
    <w:basedOn w:val="Normal"/>
    <w:link w:val="BodyTextChar"/>
    <w:rsid w:val="00F425FB"/>
    <w:pPr>
      <w:spacing w:after="120"/>
    </w:pPr>
  </w:style>
  <w:style w:type="character" w:customStyle="1" w:styleId="BodyTextChar">
    <w:name w:val="Body Text Char"/>
    <w:basedOn w:val="DefaultParagraphFont"/>
    <w:link w:val="BodyText"/>
    <w:rsid w:val="00F425FB"/>
    <w:rPr>
      <w:rFonts w:ascii="Arial" w:hAnsi="Arial" w:cs="Arial"/>
      <w:sz w:val="22"/>
    </w:rPr>
  </w:style>
  <w:style w:type="paragraph" w:styleId="BalloonText">
    <w:name w:val="Balloon Text"/>
    <w:basedOn w:val="Normal"/>
    <w:link w:val="BalloonTextChar"/>
    <w:rsid w:val="00073B01"/>
    <w:rPr>
      <w:rFonts w:ascii="Tahoma" w:hAnsi="Tahoma" w:cs="Tahoma"/>
      <w:sz w:val="16"/>
      <w:szCs w:val="16"/>
    </w:rPr>
  </w:style>
  <w:style w:type="character" w:customStyle="1" w:styleId="BalloonTextChar">
    <w:name w:val="Balloon Text Char"/>
    <w:basedOn w:val="DefaultParagraphFont"/>
    <w:link w:val="BalloonText"/>
    <w:rsid w:val="00073B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customStyle="1" w:styleId="ONUME">
    <w:name w:val="ONUM E"/>
    <w:basedOn w:val="BodyText"/>
    <w:link w:val="ONUMEChar"/>
    <w:rsid w:val="00F425FB"/>
    <w:pPr>
      <w:numPr>
        <w:numId w:val="21"/>
      </w:numPr>
      <w:spacing w:after="220"/>
    </w:pPr>
    <w:rPr>
      <w:rFonts w:eastAsia="SimSun"/>
      <w:lang w:eastAsia="zh-CN"/>
    </w:rPr>
  </w:style>
  <w:style w:type="character" w:customStyle="1" w:styleId="ONUMEChar">
    <w:name w:val="ONUM E Char"/>
    <w:link w:val="ONUME"/>
    <w:rsid w:val="00F425FB"/>
    <w:rPr>
      <w:rFonts w:ascii="Arial" w:eastAsia="SimSun" w:hAnsi="Arial" w:cs="Arial"/>
      <w:sz w:val="22"/>
      <w:lang w:eastAsia="zh-CN"/>
    </w:rPr>
  </w:style>
  <w:style w:type="paragraph" w:styleId="BodyText">
    <w:name w:val="Body Text"/>
    <w:basedOn w:val="Normal"/>
    <w:link w:val="BodyTextChar"/>
    <w:rsid w:val="00F425FB"/>
    <w:pPr>
      <w:spacing w:after="120"/>
    </w:pPr>
  </w:style>
  <w:style w:type="character" w:customStyle="1" w:styleId="BodyTextChar">
    <w:name w:val="Body Text Char"/>
    <w:basedOn w:val="DefaultParagraphFont"/>
    <w:link w:val="BodyText"/>
    <w:rsid w:val="00F425FB"/>
    <w:rPr>
      <w:rFonts w:ascii="Arial" w:hAnsi="Arial" w:cs="Arial"/>
      <w:sz w:val="22"/>
    </w:rPr>
  </w:style>
  <w:style w:type="paragraph" w:styleId="BalloonText">
    <w:name w:val="Balloon Text"/>
    <w:basedOn w:val="Normal"/>
    <w:link w:val="BalloonTextChar"/>
    <w:rsid w:val="00073B01"/>
    <w:rPr>
      <w:rFonts w:ascii="Tahoma" w:hAnsi="Tahoma" w:cs="Tahoma"/>
      <w:sz w:val="16"/>
      <w:szCs w:val="16"/>
    </w:rPr>
  </w:style>
  <w:style w:type="character" w:customStyle="1" w:styleId="BalloonTextChar">
    <w:name w:val="Balloon Text Char"/>
    <w:basedOn w:val="DefaultParagraphFont"/>
    <w:link w:val="BalloonText"/>
    <w:rsid w:val="00073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1146</Words>
  <Characters>6243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(Arabic)</vt:lpstr>
    </vt:vector>
  </TitlesOfParts>
  <Company>World Intellectual Property Organization</Company>
  <LinksUpToDate>false</LinksUpToDate>
  <CharactersWithSpaces>7375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(Arabic)</dc:title>
  <dc:creator>AHMIDOUCH Noureddine</dc:creator>
  <cp:lastModifiedBy>DOYON Geneviève</cp:lastModifiedBy>
  <cp:revision>2</cp:revision>
  <cp:lastPrinted>2015-05-12T15:45:00Z</cp:lastPrinted>
  <dcterms:created xsi:type="dcterms:W3CDTF">2015-05-13T05:50:00Z</dcterms:created>
  <dcterms:modified xsi:type="dcterms:W3CDTF">2015-05-13T05:50:00Z</dcterms:modified>
</cp:coreProperties>
</file>