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2258E"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52258E" w:rsidRDefault="00772E46" w:rsidP="00246E87">
            <w:pPr>
              <w:bidi/>
              <w:spacing w:after="20"/>
              <w:rPr>
                <w:rFonts w:ascii="Arabic Typesetting" w:hAnsi="Arabic Typesetting" w:cs="Arabic Typesetting"/>
                <w:sz w:val="36"/>
                <w:szCs w:val="36"/>
                <w:rtl/>
              </w:rPr>
            </w:pPr>
            <w:r w:rsidRPr="0052258E">
              <w:rPr>
                <w:noProof/>
              </w:rPr>
              <w:drawing>
                <wp:inline distT="0" distB="0" distL="0" distR="0" wp14:anchorId="3D2B9E0F" wp14:editId="4D5B6A2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52258E" w:rsidRDefault="001667B6" w:rsidP="001667B6">
            <w:pPr>
              <w:rPr>
                <w:b/>
                <w:bCs/>
                <w:sz w:val="40"/>
                <w:szCs w:val="40"/>
              </w:rPr>
            </w:pPr>
            <w:r w:rsidRPr="0052258E">
              <w:rPr>
                <w:b/>
                <w:bCs/>
                <w:sz w:val="40"/>
                <w:szCs w:val="40"/>
              </w:rPr>
              <w:t>A</w:t>
            </w:r>
          </w:p>
        </w:tc>
      </w:tr>
      <w:tr w:rsidR="001667B6" w:rsidRPr="0052258E" w:rsidTr="00B6101C">
        <w:trPr>
          <w:trHeight w:val="333"/>
        </w:trPr>
        <w:tc>
          <w:tcPr>
            <w:tcW w:w="9571" w:type="dxa"/>
            <w:gridSpan w:val="3"/>
            <w:tcBorders>
              <w:top w:val="single" w:sz="4" w:space="0" w:color="auto"/>
            </w:tcBorders>
            <w:vAlign w:val="bottom"/>
          </w:tcPr>
          <w:p w:rsidR="00B6101C" w:rsidRPr="0052258E" w:rsidRDefault="00772E46" w:rsidP="00C80717">
            <w:pPr>
              <w:pStyle w:val="DocumentCodeAR"/>
              <w:bidi/>
              <w:rPr>
                <w:rtl/>
              </w:rPr>
            </w:pPr>
            <w:r w:rsidRPr="0052258E">
              <w:t>WO/</w:t>
            </w:r>
            <w:r w:rsidR="00983389" w:rsidRPr="0052258E">
              <w:t>PBC</w:t>
            </w:r>
            <w:r w:rsidR="00100F97" w:rsidRPr="0052258E">
              <w:t>/</w:t>
            </w:r>
            <w:r w:rsidRPr="0052258E">
              <w:t>2</w:t>
            </w:r>
            <w:r w:rsidR="00AA2001" w:rsidRPr="0052258E">
              <w:t>2</w:t>
            </w:r>
            <w:r w:rsidR="00B6101C" w:rsidRPr="0052258E">
              <w:t>/</w:t>
            </w:r>
            <w:r w:rsidR="00C80717" w:rsidRPr="0052258E">
              <w:t>27</w:t>
            </w:r>
          </w:p>
        </w:tc>
      </w:tr>
      <w:tr w:rsidR="001667B6" w:rsidRPr="0052258E" w:rsidTr="00BF164F">
        <w:tc>
          <w:tcPr>
            <w:tcW w:w="9571" w:type="dxa"/>
            <w:gridSpan w:val="3"/>
          </w:tcPr>
          <w:p w:rsidR="001667B6" w:rsidRPr="0052258E" w:rsidRDefault="00B6101C" w:rsidP="00C80717">
            <w:pPr>
              <w:pStyle w:val="DocumentLanguageAR"/>
              <w:bidi/>
              <w:rPr>
                <w:rtl/>
              </w:rPr>
            </w:pPr>
            <w:r w:rsidRPr="0052258E">
              <w:rPr>
                <w:rFonts w:hint="cs"/>
                <w:rtl/>
              </w:rPr>
              <w:t xml:space="preserve">الأصل: </w:t>
            </w:r>
            <w:proofErr w:type="gramStart"/>
            <w:r w:rsidR="00C80717" w:rsidRPr="0052258E">
              <w:rPr>
                <w:rFonts w:hint="cs"/>
                <w:rtl/>
              </w:rPr>
              <w:t>بالإنكليزية</w:t>
            </w:r>
            <w:proofErr w:type="gramEnd"/>
          </w:p>
        </w:tc>
      </w:tr>
      <w:tr w:rsidR="001667B6" w:rsidRPr="0052258E" w:rsidTr="00BF164F">
        <w:tc>
          <w:tcPr>
            <w:tcW w:w="9571" w:type="dxa"/>
            <w:gridSpan w:val="3"/>
          </w:tcPr>
          <w:p w:rsidR="001667B6" w:rsidRPr="0052258E" w:rsidRDefault="00B6101C" w:rsidP="00C80717">
            <w:pPr>
              <w:pStyle w:val="DocumentDateAR"/>
              <w:bidi/>
              <w:rPr>
                <w:rtl/>
              </w:rPr>
            </w:pPr>
            <w:r w:rsidRPr="0052258E">
              <w:rPr>
                <w:rFonts w:hint="cs"/>
                <w:rtl/>
              </w:rPr>
              <w:t xml:space="preserve">التاريخ: </w:t>
            </w:r>
            <w:r w:rsidR="00C80717" w:rsidRPr="0052258E">
              <w:rPr>
                <w:rFonts w:hint="cs"/>
                <w:rtl/>
              </w:rPr>
              <w:t xml:space="preserve">25 </w:t>
            </w:r>
            <w:proofErr w:type="gramStart"/>
            <w:r w:rsidR="00C80717" w:rsidRPr="0052258E">
              <w:rPr>
                <w:rFonts w:hint="cs"/>
                <w:rtl/>
              </w:rPr>
              <w:t>يوليو</w:t>
            </w:r>
            <w:proofErr w:type="gramEnd"/>
            <w:r w:rsidR="00C80717" w:rsidRPr="0052258E">
              <w:rPr>
                <w:rFonts w:hint="cs"/>
                <w:rtl/>
              </w:rPr>
              <w:t xml:space="preserve"> </w:t>
            </w:r>
            <w:r w:rsidR="00190B6D" w:rsidRPr="0052258E">
              <w:rPr>
                <w:rFonts w:hint="cs"/>
                <w:rtl/>
              </w:rPr>
              <w:t>201</w:t>
            </w:r>
            <w:r w:rsidR="00AA2001" w:rsidRPr="0052258E">
              <w:rPr>
                <w:rFonts w:hint="cs"/>
                <w:rtl/>
              </w:rPr>
              <w:t>4</w:t>
            </w:r>
          </w:p>
        </w:tc>
      </w:tr>
    </w:tbl>
    <w:p w:rsidR="000F5E56" w:rsidRPr="0052258E" w:rsidRDefault="000F5E56" w:rsidP="001667B6">
      <w:pPr>
        <w:bidi/>
        <w:spacing w:line="360" w:lineRule="exact"/>
        <w:rPr>
          <w:rFonts w:ascii="Arabic Typesetting" w:hAnsi="Arabic Typesetting" w:cs="Arabic Typesetting"/>
          <w:sz w:val="36"/>
          <w:szCs w:val="36"/>
          <w:rtl/>
        </w:rPr>
      </w:pPr>
    </w:p>
    <w:p w:rsidR="001667B6" w:rsidRPr="0052258E" w:rsidRDefault="001667B6" w:rsidP="001667B6">
      <w:pPr>
        <w:bidi/>
        <w:spacing w:line="360" w:lineRule="exact"/>
        <w:rPr>
          <w:rFonts w:ascii="Arabic Typesetting" w:hAnsi="Arabic Typesetting" w:cs="Arabic Typesetting"/>
          <w:sz w:val="36"/>
          <w:szCs w:val="36"/>
          <w:rtl/>
        </w:rPr>
      </w:pPr>
    </w:p>
    <w:p w:rsidR="00F27305" w:rsidRPr="0052258E" w:rsidRDefault="00F27305" w:rsidP="00F27305">
      <w:pPr>
        <w:bidi/>
        <w:spacing w:line="360" w:lineRule="exact"/>
        <w:rPr>
          <w:rFonts w:ascii="Arabic Typesetting" w:hAnsi="Arabic Typesetting" w:cs="Arabic Typesetting"/>
          <w:sz w:val="36"/>
          <w:szCs w:val="36"/>
          <w:rtl/>
        </w:rPr>
      </w:pPr>
    </w:p>
    <w:p w:rsidR="001667B6" w:rsidRPr="0052258E" w:rsidRDefault="00100F97" w:rsidP="00983389">
      <w:pPr>
        <w:pStyle w:val="MeetingTitleAR"/>
        <w:bidi/>
        <w:ind w:right="550"/>
        <w:rPr>
          <w:rtl/>
          <w:lang w:val="fr-CH"/>
        </w:rPr>
      </w:pPr>
      <w:r w:rsidRPr="0052258E">
        <w:rPr>
          <w:rtl/>
        </w:rPr>
        <w:t xml:space="preserve">لجنة </w:t>
      </w:r>
      <w:r w:rsidR="00983389" w:rsidRPr="0052258E">
        <w:rPr>
          <w:rFonts w:hint="cs"/>
          <w:rtl/>
          <w:lang w:val="fr-CH"/>
        </w:rPr>
        <w:t xml:space="preserve">البرنامج </w:t>
      </w:r>
      <w:proofErr w:type="gramStart"/>
      <w:r w:rsidR="00983389" w:rsidRPr="0052258E">
        <w:rPr>
          <w:rFonts w:hint="cs"/>
          <w:rtl/>
          <w:lang w:val="fr-CH"/>
        </w:rPr>
        <w:t>والميزانية</w:t>
      </w:r>
      <w:proofErr w:type="gramEnd"/>
    </w:p>
    <w:p w:rsidR="001667B6" w:rsidRPr="0052258E" w:rsidRDefault="001667B6" w:rsidP="001667B6">
      <w:pPr>
        <w:bidi/>
        <w:spacing w:line="360" w:lineRule="exact"/>
        <w:rPr>
          <w:rFonts w:ascii="Arabic Typesetting" w:hAnsi="Arabic Typesetting" w:cs="Arabic Typesetting"/>
          <w:sz w:val="36"/>
          <w:szCs w:val="36"/>
          <w:rtl/>
        </w:rPr>
      </w:pPr>
    </w:p>
    <w:p w:rsidR="001667B6" w:rsidRPr="0052258E" w:rsidRDefault="00F27305" w:rsidP="00AA2001">
      <w:pPr>
        <w:pStyle w:val="MeetingSessionAR"/>
        <w:bidi/>
        <w:rPr>
          <w:rFonts w:ascii="Cambria Math" w:hAnsi="Cambria Math"/>
          <w:rtl/>
        </w:rPr>
      </w:pPr>
      <w:r w:rsidRPr="0052258E">
        <w:rPr>
          <w:rFonts w:ascii="Cambria Math" w:hAnsi="Cambria Math"/>
          <w:rtl/>
        </w:rPr>
        <w:t xml:space="preserve">الدورة </w:t>
      </w:r>
      <w:r w:rsidR="00AA2001" w:rsidRPr="0052258E">
        <w:rPr>
          <w:rFonts w:ascii="Cambria Math" w:hAnsi="Cambria Math" w:hint="cs"/>
          <w:rtl/>
        </w:rPr>
        <w:t>الثانية</w:t>
      </w:r>
      <w:r w:rsidR="00274410" w:rsidRPr="0052258E">
        <w:rPr>
          <w:rFonts w:ascii="Cambria Math" w:hAnsi="Cambria Math" w:hint="cs"/>
          <w:rtl/>
        </w:rPr>
        <w:t xml:space="preserve"> </w:t>
      </w:r>
      <w:proofErr w:type="gramStart"/>
      <w:r w:rsidR="00274410" w:rsidRPr="0052258E">
        <w:rPr>
          <w:rFonts w:ascii="Cambria Math" w:hAnsi="Cambria Math" w:hint="cs"/>
          <w:rtl/>
        </w:rPr>
        <w:t>والعشرون</w:t>
      </w:r>
      <w:proofErr w:type="gramEnd"/>
    </w:p>
    <w:p w:rsidR="00D61541" w:rsidRPr="0052258E" w:rsidRDefault="00D61541" w:rsidP="00AA2001">
      <w:pPr>
        <w:pStyle w:val="MeetingDatesAR"/>
        <w:bidi/>
        <w:rPr>
          <w:rtl/>
        </w:rPr>
      </w:pPr>
      <w:r w:rsidRPr="0052258E">
        <w:rPr>
          <w:rFonts w:hint="cs"/>
          <w:rtl/>
        </w:rPr>
        <w:t xml:space="preserve">جنيف، </w:t>
      </w:r>
      <w:proofErr w:type="gramStart"/>
      <w:r w:rsidRPr="0052258E">
        <w:rPr>
          <w:rFonts w:hint="cs"/>
          <w:rtl/>
        </w:rPr>
        <w:t>من</w:t>
      </w:r>
      <w:proofErr w:type="gramEnd"/>
      <w:r w:rsidRPr="0052258E">
        <w:rPr>
          <w:rFonts w:hint="cs"/>
          <w:rtl/>
        </w:rPr>
        <w:t xml:space="preserve"> </w:t>
      </w:r>
      <w:r w:rsidR="00AA2001" w:rsidRPr="0052258E">
        <w:rPr>
          <w:rFonts w:hint="cs"/>
          <w:rtl/>
        </w:rPr>
        <w:t>1</w:t>
      </w:r>
      <w:r w:rsidR="00983389" w:rsidRPr="0052258E">
        <w:rPr>
          <w:rFonts w:hint="cs"/>
          <w:rtl/>
        </w:rPr>
        <w:t xml:space="preserve"> </w:t>
      </w:r>
      <w:r w:rsidR="00100F97" w:rsidRPr="0052258E">
        <w:rPr>
          <w:rFonts w:hint="cs"/>
          <w:rtl/>
        </w:rPr>
        <w:t xml:space="preserve">إلى </w:t>
      </w:r>
      <w:r w:rsidR="00AA2001" w:rsidRPr="0052258E">
        <w:rPr>
          <w:rFonts w:hint="cs"/>
          <w:rtl/>
        </w:rPr>
        <w:t>5</w:t>
      </w:r>
      <w:r w:rsidR="00783D11" w:rsidRPr="0052258E">
        <w:rPr>
          <w:rFonts w:hint="cs"/>
          <w:rtl/>
        </w:rPr>
        <w:t xml:space="preserve"> </w:t>
      </w:r>
      <w:r w:rsidR="00274410" w:rsidRPr="0052258E">
        <w:rPr>
          <w:rFonts w:hint="cs"/>
          <w:rtl/>
        </w:rPr>
        <w:t>سبتمبر</w:t>
      </w:r>
      <w:r w:rsidR="00AE2328" w:rsidRPr="0052258E">
        <w:rPr>
          <w:rFonts w:hint="cs"/>
          <w:rtl/>
        </w:rPr>
        <w:t xml:space="preserve"> </w:t>
      </w:r>
      <w:r w:rsidR="00100F97" w:rsidRPr="0052258E">
        <w:rPr>
          <w:rFonts w:hint="cs"/>
          <w:rtl/>
        </w:rPr>
        <w:t>201</w:t>
      </w:r>
      <w:r w:rsidR="00AA2001" w:rsidRPr="0052258E">
        <w:rPr>
          <w:rFonts w:hint="cs"/>
          <w:rtl/>
        </w:rPr>
        <w:t>4</w:t>
      </w:r>
    </w:p>
    <w:p w:rsidR="00D61541" w:rsidRPr="0052258E" w:rsidRDefault="00D61541" w:rsidP="00D61541">
      <w:pPr>
        <w:bidi/>
        <w:spacing w:line="360" w:lineRule="exact"/>
        <w:rPr>
          <w:rFonts w:ascii="Arabic Typesetting" w:hAnsi="Arabic Typesetting" w:cs="Arabic Typesetting"/>
          <w:sz w:val="36"/>
          <w:szCs w:val="36"/>
          <w:rtl/>
        </w:rPr>
      </w:pPr>
    </w:p>
    <w:p w:rsidR="00D61541" w:rsidRPr="0052258E" w:rsidRDefault="00D61541" w:rsidP="00D61541">
      <w:pPr>
        <w:bidi/>
        <w:spacing w:line="360" w:lineRule="exact"/>
        <w:rPr>
          <w:rFonts w:ascii="Arabic Typesetting" w:hAnsi="Arabic Typesetting" w:cs="Arabic Typesetting"/>
          <w:sz w:val="36"/>
          <w:szCs w:val="36"/>
          <w:rtl/>
        </w:rPr>
      </w:pPr>
    </w:p>
    <w:p w:rsidR="00D61541" w:rsidRPr="0052258E" w:rsidRDefault="00C80717" w:rsidP="00FB7EC9">
      <w:pPr>
        <w:pStyle w:val="DocumentTitleAR"/>
        <w:bidi/>
        <w:rPr>
          <w:rtl/>
        </w:rPr>
      </w:pPr>
      <w:r w:rsidRPr="0052258E">
        <w:rPr>
          <w:rtl/>
        </w:rPr>
        <w:t>‏</w:t>
      </w:r>
      <w:proofErr w:type="gramStart"/>
      <w:r w:rsidRPr="0052258E">
        <w:rPr>
          <w:rtl/>
        </w:rPr>
        <w:t>اقتراح</w:t>
      </w:r>
      <w:proofErr w:type="gramEnd"/>
      <w:r w:rsidRPr="0052258E">
        <w:rPr>
          <w:rtl/>
        </w:rPr>
        <w:t xml:space="preserve"> بشأن إصلاح وتحسين أداء البرنامج والتقارير المالية</w:t>
      </w:r>
    </w:p>
    <w:p w:rsidR="00D61541" w:rsidRPr="0052258E" w:rsidRDefault="008E0B4B" w:rsidP="00931859">
      <w:pPr>
        <w:pStyle w:val="PreparedbyAR"/>
        <w:bidi/>
        <w:rPr>
          <w:rtl/>
        </w:rPr>
      </w:pPr>
      <w:proofErr w:type="gramStart"/>
      <w:r>
        <w:rPr>
          <w:rFonts w:hint="cs"/>
          <w:rtl/>
        </w:rPr>
        <w:t>وثيقة</w:t>
      </w:r>
      <w:proofErr w:type="gramEnd"/>
      <w:r>
        <w:rPr>
          <w:rFonts w:hint="cs"/>
          <w:rtl/>
        </w:rPr>
        <w:t xml:space="preserve"> </w:t>
      </w:r>
      <w:r w:rsidR="00D61541" w:rsidRPr="0052258E">
        <w:rPr>
          <w:rFonts w:hint="cs"/>
          <w:rtl/>
        </w:rPr>
        <w:t>من إعداد</w:t>
      </w:r>
      <w:r w:rsidR="00C80717" w:rsidRPr="0052258E">
        <w:rPr>
          <w:rFonts w:hint="cs"/>
          <w:rtl/>
        </w:rPr>
        <w:t xml:space="preserve"> الأمانة</w:t>
      </w:r>
    </w:p>
    <w:p w:rsidR="00AA2001" w:rsidRPr="0052258E" w:rsidRDefault="00C80717" w:rsidP="00C80717">
      <w:pPr>
        <w:pStyle w:val="NormalParaAR"/>
        <w:keepNext/>
        <w:rPr>
          <w:b/>
          <w:bCs/>
          <w:sz w:val="40"/>
          <w:szCs w:val="40"/>
          <w:rtl/>
        </w:rPr>
      </w:pPr>
      <w:r w:rsidRPr="0052258E">
        <w:rPr>
          <w:rFonts w:hint="cs"/>
          <w:b/>
          <w:bCs/>
          <w:sz w:val="40"/>
          <w:szCs w:val="40"/>
          <w:rtl/>
        </w:rPr>
        <w:t>أولاً.</w:t>
      </w:r>
      <w:r w:rsidRPr="0052258E">
        <w:rPr>
          <w:rFonts w:hint="cs"/>
          <w:b/>
          <w:bCs/>
          <w:sz w:val="40"/>
          <w:szCs w:val="40"/>
          <w:rtl/>
        </w:rPr>
        <w:tab/>
        <w:t>مقدمة</w:t>
      </w:r>
    </w:p>
    <w:p w:rsidR="00C80717" w:rsidRPr="0052258E" w:rsidRDefault="00C80717" w:rsidP="004D3ECA">
      <w:pPr>
        <w:pStyle w:val="NormalParaAR"/>
        <w:numPr>
          <w:ilvl w:val="0"/>
          <w:numId w:val="21"/>
        </w:numPr>
        <w:ind w:left="0" w:firstLine="0"/>
      </w:pPr>
      <w:proofErr w:type="gramStart"/>
      <w:r w:rsidRPr="0052258E">
        <w:rPr>
          <w:rFonts w:hint="cs"/>
          <w:rtl/>
        </w:rPr>
        <w:t>تبحث</w:t>
      </w:r>
      <w:proofErr w:type="gramEnd"/>
      <w:r w:rsidRPr="0052258E">
        <w:rPr>
          <w:rFonts w:hint="cs"/>
          <w:rtl/>
        </w:rPr>
        <w:t xml:space="preserve"> الأمانة دائماً عن فرص للارتقاء </w:t>
      </w:r>
      <w:r w:rsidR="004D3ECA">
        <w:rPr>
          <w:rFonts w:hint="cs"/>
          <w:rtl/>
        </w:rPr>
        <w:t>بالمعلومات والتقارير</w:t>
      </w:r>
      <w:r w:rsidRPr="0052258E">
        <w:rPr>
          <w:rFonts w:hint="cs"/>
          <w:rtl/>
        </w:rPr>
        <w:t xml:space="preserve"> التي تقدمها إلى الجهات المعنية والدول الأعضاء</w:t>
      </w:r>
      <w:r w:rsidR="004D3ECA">
        <w:rPr>
          <w:rFonts w:hint="cs"/>
          <w:rtl/>
        </w:rPr>
        <w:t xml:space="preserve"> من حيث الجودة والشفافية والشمولية وسهولة القراءة</w:t>
      </w:r>
      <w:r w:rsidRPr="0052258E">
        <w:rPr>
          <w:rFonts w:hint="cs"/>
          <w:rtl/>
        </w:rPr>
        <w:t>.</w:t>
      </w:r>
    </w:p>
    <w:p w:rsidR="00C80717" w:rsidRPr="0052258E" w:rsidRDefault="00C80717" w:rsidP="009B4BA0">
      <w:pPr>
        <w:pStyle w:val="NormalParaAR"/>
        <w:numPr>
          <w:ilvl w:val="0"/>
          <w:numId w:val="21"/>
        </w:numPr>
        <w:ind w:left="0" w:firstLine="0"/>
      </w:pPr>
      <w:proofErr w:type="gramStart"/>
      <w:r w:rsidRPr="0052258E">
        <w:rPr>
          <w:rFonts w:hint="cs"/>
          <w:rtl/>
        </w:rPr>
        <w:t>و</w:t>
      </w:r>
      <w:r w:rsidR="009B4BA0">
        <w:rPr>
          <w:rFonts w:hint="cs"/>
          <w:rtl/>
        </w:rPr>
        <w:t>إ</w:t>
      </w:r>
      <w:r w:rsidRPr="0052258E">
        <w:rPr>
          <w:rFonts w:hint="cs"/>
          <w:rtl/>
        </w:rPr>
        <w:t>ن</w:t>
      </w:r>
      <w:proofErr w:type="gramEnd"/>
      <w:r w:rsidRPr="0052258E">
        <w:rPr>
          <w:rFonts w:hint="cs"/>
          <w:rtl/>
        </w:rPr>
        <w:t xml:space="preserve"> تقارير المالية </w:t>
      </w:r>
      <w:r w:rsidR="00C260B5" w:rsidRPr="0052258E">
        <w:rPr>
          <w:rFonts w:hint="cs"/>
          <w:rtl/>
        </w:rPr>
        <w:t>والأداء</w:t>
      </w:r>
      <w:r w:rsidRPr="0052258E">
        <w:rPr>
          <w:rFonts w:hint="cs"/>
          <w:rtl/>
        </w:rPr>
        <w:t xml:space="preserve"> التي تعدها الأمانة </w:t>
      </w:r>
      <w:r w:rsidR="004D3ECA">
        <w:rPr>
          <w:rFonts w:hint="cs"/>
          <w:rtl/>
        </w:rPr>
        <w:t>هي</w:t>
      </w:r>
      <w:r w:rsidRPr="0052258E">
        <w:rPr>
          <w:rFonts w:hint="cs"/>
          <w:rtl/>
        </w:rPr>
        <w:t xml:space="preserve"> عناصر جوهرية </w:t>
      </w:r>
      <w:r w:rsidR="00A36395">
        <w:rPr>
          <w:rFonts w:hint="cs"/>
          <w:rtl/>
        </w:rPr>
        <w:t>في</w:t>
      </w:r>
      <w:r w:rsidR="00E66166" w:rsidRPr="0052258E">
        <w:rPr>
          <w:rFonts w:hint="cs"/>
          <w:rtl/>
        </w:rPr>
        <w:t xml:space="preserve"> </w:t>
      </w:r>
      <w:r w:rsidR="00A36395">
        <w:rPr>
          <w:rFonts w:hint="cs"/>
          <w:rtl/>
        </w:rPr>
        <w:t>كل من</w:t>
      </w:r>
      <w:r w:rsidR="004D3ECA">
        <w:rPr>
          <w:rFonts w:hint="cs"/>
          <w:rtl/>
        </w:rPr>
        <w:t xml:space="preserve"> </w:t>
      </w:r>
      <w:r w:rsidRPr="0052258E">
        <w:rPr>
          <w:rFonts w:hint="cs"/>
          <w:rtl/>
        </w:rPr>
        <w:t>التقارير السنوية و</w:t>
      </w:r>
      <w:r w:rsidR="00E66166" w:rsidRPr="0052258E">
        <w:rPr>
          <w:rFonts w:hint="cs"/>
          <w:rtl/>
        </w:rPr>
        <w:t xml:space="preserve">التقارير </w:t>
      </w:r>
      <w:r w:rsidRPr="0052258E">
        <w:rPr>
          <w:rFonts w:hint="cs"/>
          <w:rtl/>
        </w:rPr>
        <w:t>الصادرة كل</w:t>
      </w:r>
      <w:r w:rsidR="009B4BA0">
        <w:rPr>
          <w:rFonts w:hint="eastAsia"/>
          <w:rtl/>
        </w:rPr>
        <w:t> </w:t>
      </w:r>
      <w:r w:rsidRPr="0052258E">
        <w:rPr>
          <w:rFonts w:hint="cs"/>
          <w:rtl/>
        </w:rPr>
        <w:t>عامين.</w:t>
      </w:r>
      <w:r w:rsidR="00E66166" w:rsidRPr="0052258E">
        <w:rPr>
          <w:rFonts w:hint="cs"/>
          <w:rtl/>
        </w:rPr>
        <w:t xml:space="preserve"> ونُفذ عدد من التحسينات التدر</w:t>
      </w:r>
      <w:r w:rsidR="009B4BA0">
        <w:rPr>
          <w:rFonts w:hint="cs"/>
          <w:rtl/>
        </w:rPr>
        <w:t>يج</w:t>
      </w:r>
      <w:r w:rsidR="00E66166" w:rsidRPr="0052258E">
        <w:rPr>
          <w:rFonts w:hint="cs"/>
          <w:rtl/>
        </w:rPr>
        <w:t>ية على مدار السنوات القليلة الماضية، تلبية</w:t>
      </w:r>
      <w:r w:rsidR="009B4BA0">
        <w:rPr>
          <w:rFonts w:hint="cs"/>
          <w:rtl/>
        </w:rPr>
        <w:t>ً</w:t>
      </w:r>
      <w:r w:rsidR="00E66166" w:rsidRPr="0052258E">
        <w:rPr>
          <w:rFonts w:hint="cs"/>
          <w:rtl/>
        </w:rPr>
        <w:t xml:space="preserve"> لطلبات الدول الأعضاء واستناداً</w:t>
      </w:r>
      <w:r w:rsidR="009B4BA0">
        <w:rPr>
          <w:rFonts w:hint="eastAsia"/>
          <w:rtl/>
        </w:rPr>
        <w:t> </w:t>
      </w:r>
      <w:r w:rsidR="00E66166" w:rsidRPr="0052258E">
        <w:rPr>
          <w:rFonts w:hint="cs"/>
          <w:rtl/>
        </w:rPr>
        <w:t>إلى خبرة الأمانة المستمدة مما أ</w:t>
      </w:r>
      <w:r w:rsidR="00EF45FA">
        <w:rPr>
          <w:rFonts w:hint="cs"/>
          <w:rtl/>
        </w:rPr>
        <w:t>ُ</w:t>
      </w:r>
      <w:r w:rsidR="00E66166" w:rsidRPr="0052258E">
        <w:rPr>
          <w:rFonts w:hint="cs"/>
          <w:rtl/>
        </w:rPr>
        <w:t xml:space="preserve">جري من حوار بشأن الأداء خلال اجتماعات لجنة البرنامج والميزانية. </w:t>
      </w:r>
      <w:proofErr w:type="gramStart"/>
      <w:r w:rsidR="00E66166" w:rsidRPr="0052258E">
        <w:rPr>
          <w:rFonts w:hint="cs"/>
          <w:rtl/>
        </w:rPr>
        <w:t>وتماشياً</w:t>
      </w:r>
      <w:proofErr w:type="gramEnd"/>
      <w:r w:rsidR="00E66166" w:rsidRPr="0052258E">
        <w:rPr>
          <w:rFonts w:hint="cs"/>
          <w:rtl/>
        </w:rPr>
        <w:t xml:space="preserve"> مع نهج</w:t>
      </w:r>
      <w:r w:rsidR="00A36395">
        <w:rPr>
          <w:rFonts w:hint="cs"/>
          <w:rtl/>
        </w:rPr>
        <w:t xml:space="preserve"> الأمانة الرامي إلى التحسين المت</w:t>
      </w:r>
      <w:r w:rsidR="00E66166" w:rsidRPr="0052258E">
        <w:rPr>
          <w:rFonts w:hint="cs"/>
          <w:rtl/>
        </w:rPr>
        <w:t xml:space="preserve">واصل وسعياً إلى الارتقاء بجودة مسار إعداد التقارير وفعاليته دون </w:t>
      </w:r>
      <w:r w:rsidR="00831EE4" w:rsidRPr="0052258E">
        <w:rPr>
          <w:rFonts w:hint="cs"/>
          <w:rtl/>
        </w:rPr>
        <w:t>الإخلال بشفافية</w:t>
      </w:r>
      <w:r w:rsidR="00E66166" w:rsidRPr="0052258E">
        <w:rPr>
          <w:rFonts w:hint="cs"/>
          <w:rtl/>
        </w:rPr>
        <w:t xml:space="preserve"> المعلومات ا</w:t>
      </w:r>
      <w:r w:rsidR="00C260B5" w:rsidRPr="0052258E">
        <w:rPr>
          <w:rFonts w:hint="cs"/>
          <w:rtl/>
        </w:rPr>
        <w:t xml:space="preserve">لمقدمة، استعرضت الأمانة </w:t>
      </w:r>
      <w:r w:rsidR="006203C2">
        <w:rPr>
          <w:rFonts w:hint="cs"/>
          <w:rtl/>
        </w:rPr>
        <w:t>مضمون</w:t>
      </w:r>
      <w:r w:rsidR="00C260B5" w:rsidRPr="0052258E">
        <w:rPr>
          <w:rFonts w:hint="cs"/>
          <w:rtl/>
        </w:rPr>
        <w:t xml:space="preserve"> </w:t>
      </w:r>
      <w:r w:rsidR="00E66166" w:rsidRPr="0052258E">
        <w:rPr>
          <w:rFonts w:hint="cs"/>
          <w:rtl/>
        </w:rPr>
        <w:t xml:space="preserve">تقارير المالية والأداء للثنائية </w:t>
      </w:r>
      <w:r w:rsidR="00A36395">
        <w:rPr>
          <w:rFonts w:hint="cs"/>
          <w:rtl/>
        </w:rPr>
        <w:t>2012/2013</w:t>
      </w:r>
      <w:r w:rsidR="00E66166" w:rsidRPr="0052258E">
        <w:rPr>
          <w:rFonts w:hint="cs"/>
          <w:rtl/>
        </w:rPr>
        <w:t xml:space="preserve"> التي أعدتها لدورة لجنة البرنامج والميزانية هذه، وبحث</w:t>
      </w:r>
      <w:r w:rsidR="00831EE4" w:rsidRPr="0052258E">
        <w:rPr>
          <w:rFonts w:hint="cs"/>
          <w:rtl/>
        </w:rPr>
        <w:t>ت</w:t>
      </w:r>
      <w:r w:rsidR="00E66166" w:rsidRPr="0052258E">
        <w:rPr>
          <w:rFonts w:hint="cs"/>
          <w:rtl/>
        </w:rPr>
        <w:t xml:space="preserve"> سبل</w:t>
      </w:r>
      <w:r w:rsidR="00A36395">
        <w:rPr>
          <w:rFonts w:hint="cs"/>
          <w:rtl/>
        </w:rPr>
        <w:t xml:space="preserve"> توحيدها</w:t>
      </w:r>
      <w:r w:rsidR="00E66166" w:rsidRPr="0052258E">
        <w:rPr>
          <w:rFonts w:hint="cs"/>
          <w:rtl/>
        </w:rPr>
        <w:t>.</w:t>
      </w:r>
    </w:p>
    <w:p w:rsidR="00C708FE" w:rsidRPr="0052258E" w:rsidRDefault="00C708FE" w:rsidP="009B4BA0">
      <w:pPr>
        <w:pStyle w:val="NormalParaAR"/>
        <w:numPr>
          <w:ilvl w:val="0"/>
          <w:numId w:val="21"/>
        </w:numPr>
        <w:ind w:left="0" w:firstLine="0"/>
      </w:pPr>
      <w:r w:rsidRPr="0052258E">
        <w:rPr>
          <w:rFonts w:hint="cs"/>
          <w:rtl/>
        </w:rPr>
        <w:t>وبادرت الأمانة ب</w:t>
      </w:r>
      <w:r w:rsidR="00C260B5" w:rsidRPr="0052258E">
        <w:rPr>
          <w:rFonts w:hint="cs"/>
          <w:rtl/>
        </w:rPr>
        <w:t>ا</w:t>
      </w:r>
      <w:r w:rsidRPr="0052258E">
        <w:rPr>
          <w:rFonts w:hint="cs"/>
          <w:rtl/>
        </w:rPr>
        <w:t xml:space="preserve">طلاع </w:t>
      </w:r>
      <w:r w:rsidRPr="0052258E">
        <w:rPr>
          <w:rtl/>
        </w:rPr>
        <w:t>اللجنة الاستشارية المستقلة للرقابة</w:t>
      </w:r>
      <w:r w:rsidRPr="0052258E">
        <w:rPr>
          <w:rFonts w:hint="cs"/>
          <w:rtl/>
        </w:rPr>
        <w:t xml:space="preserve"> على نتائج الاستعراض من خلال عرض موجز رفيع</w:t>
      </w:r>
      <w:r w:rsidR="009B4BA0">
        <w:rPr>
          <w:rFonts w:hint="eastAsia"/>
          <w:rtl/>
        </w:rPr>
        <w:t> </w:t>
      </w:r>
      <w:r w:rsidRPr="0052258E">
        <w:rPr>
          <w:rFonts w:hint="cs"/>
          <w:rtl/>
        </w:rPr>
        <w:t xml:space="preserve">المستوى. ورحبت اللجنة بمبادرة الأمانة لتحسين التقارير واتفقت مع الإدارة </w:t>
      </w:r>
      <w:proofErr w:type="gramStart"/>
      <w:r w:rsidR="00C260B5" w:rsidRPr="0052258E">
        <w:rPr>
          <w:rFonts w:hint="cs"/>
          <w:rtl/>
        </w:rPr>
        <w:t>على</w:t>
      </w:r>
      <w:proofErr w:type="gramEnd"/>
      <w:r w:rsidR="00C260B5" w:rsidRPr="0052258E">
        <w:rPr>
          <w:rFonts w:hint="cs"/>
          <w:rtl/>
        </w:rPr>
        <w:t xml:space="preserve"> </w:t>
      </w:r>
      <w:r w:rsidRPr="0052258E">
        <w:rPr>
          <w:rFonts w:hint="cs"/>
          <w:rtl/>
        </w:rPr>
        <w:t>أنه ينبغي التعمق في هذا الاقتراح.</w:t>
      </w:r>
    </w:p>
    <w:p w:rsidR="00C708FE" w:rsidRPr="0052258E" w:rsidRDefault="00EF45FA" w:rsidP="002E3F0B">
      <w:pPr>
        <w:pStyle w:val="NormalParaAR"/>
        <w:numPr>
          <w:ilvl w:val="0"/>
          <w:numId w:val="21"/>
        </w:numPr>
        <w:ind w:left="0" w:firstLine="0"/>
      </w:pPr>
      <w:proofErr w:type="gramStart"/>
      <w:r>
        <w:rPr>
          <w:rFonts w:hint="cs"/>
          <w:rtl/>
        </w:rPr>
        <w:t>وأُعدت</w:t>
      </w:r>
      <w:proofErr w:type="gramEnd"/>
      <w:r>
        <w:rPr>
          <w:rFonts w:hint="cs"/>
          <w:rtl/>
        </w:rPr>
        <w:t xml:space="preserve"> هذه الوثيقة بهدف</w:t>
      </w:r>
      <w:r w:rsidR="00C708FE" w:rsidRPr="0052258E">
        <w:rPr>
          <w:rFonts w:hint="cs"/>
          <w:rtl/>
        </w:rPr>
        <w:t xml:space="preserve"> عرض فرص التحسين فيما يتعلق </w:t>
      </w:r>
      <w:r w:rsidR="00C260B5" w:rsidRPr="0052258E">
        <w:rPr>
          <w:rFonts w:hint="cs"/>
          <w:rtl/>
        </w:rPr>
        <w:t>ب</w:t>
      </w:r>
      <w:r w:rsidR="00C260B5" w:rsidRPr="0052258E">
        <w:rPr>
          <w:rtl/>
        </w:rPr>
        <w:t>أداء البرنامج والتقارير المالية</w:t>
      </w:r>
      <w:r w:rsidR="00FD74F0" w:rsidRPr="0052258E">
        <w:rPr>
          <w:rFonts w:hint="cs"/>
          <w:rtl/>
        </w:rPr>
        <w:t xml:space="preserve"> المقدمة إلى لجنة البرنامج والميزاني</w:t>
      </w:r>
      <w:r w:rsidR="002E3F0B" w:rsidRPr="0052258E">
        <w:rPr>
          <w:rFonts w:hint="cs"/>
          <w:rtl/>
        </w:rPr>
        <w:t>ة، وبغية الحصول على آراء اللجنة</w:t>
      </w:r>
      <w:r w:rsidR="00A36395">
        <w:rPr>
          <w:rFonts w:hint="cs"/>
          <w:rtl/>
        </w:rPr>
        <w:t xml:space="preserve"> التي ستوجه</w:t>
      </w:r>
      <w:r w:rsidR="00FD74F0" w:rsidRPr="0052258E">
        <w:rPr>
          <w:rFonts w:hint="cs"/>
          <w:rtl/>
        </w:rPr>
        <w:t xml:space="preserve"> </w:t>
      </w:r>
      <w:r w:rsidR="00A36395">
        <w:rPr>
          <w:rFonts w:hint="cs"/>
          <w:rtl/>
        </w:rPr>
        <w:t xml:space="preserve">مسار </w:t>
      </w:r>
      <w:r w:rsidR="00FD74F0" w:rsidRPr="0052258E">
        <w:rPr>
          <w:rFonts w:hint="cs"/>
          <w:rtl/>
        </w:rPr>
        <w:t>إعداد اقتراح أكثر تفصيلاً.</w:t>
      </w:r>
    </w:p>
    <w:p w:rsidR="002E3F0B" w:rsidRPr="0052258E" w:rsidRDefault="002E3F0B" w:rsidP="00A36395">
      <w:pPr>
        <w:pStyle w:val="NormalParaAR"/>
        <w:keepNext/>
        <w:rPr>
          <w:b/>
          <w:bCs/>
          <w:sz w:val="40"/>
          <w:szCs w:val="40"/>
          <w:rtl/>
        </w:rPr>
      </w:pPr>
      <w:r w:rsidRPr="0052258E">
        <w:rPr>
          <w:rFonts w:hint="cs"/>
          <w:b/>
          <w:bCs/>
          <w:sz w:val="40"/>
          <w:szCs w:val="40"/>
          <w:rtl/>
        </w:rPr>
        <w:lastRenderedPageBreak/>
        <w:t>ثانياً.</w:t>
      </w:r>
      <w:r w:rsidRPr="0052258E">
        <w:rPr>
          <w:rFonts w:hint="cs"/>
          <w:b/>
          <w:bCs/>
          <w:sz w:val="40"/>
          <w:szCs w:val="40"/>
          <w:rtl/>
        </w:rPr>
        <w:tab/>
        <w:t xml:space="preserve">إطار </w:t>
      </w:r>
      <w:r w:rsidR="00A36395">
        <w:rPr>
          <w:rFonts w:hint="cs"/>
          <w:b/>
          <w:bCs/>
          <w:sz w:val="40"/>
          <w:szCs w:val="40"/>
          <w:rtl/>
        </w:rPr>
        <w:t xml:space="preserve">تقارير الأداء </w:t>
      </w:r>
      <w:proofErr w:type="gramStart"/>
      <w:r w:rsidR="00A36395">
        <w:rPr>
          <w:rFonts w:hint="cs"/>
          <w:b/>
          <w:bCs/>
          <w:sz w:val="40"/>
          <w:szCs w:val="40"/>
          <w:rtl/>
        </w:rPr>
        <w:t>والمالية</w:t>
      </w:r>
      <w:proofErr w:type="gramEnd"/>
    </w:p>
    <w:p w:rsidR="00E66166" w:rsidRPr="0052258E" w:rsidRDefault="002E3F0B" w:rsidP="00A36395">
      <w:pPr>
        <w:pStyle w:val="NormalParaAR"/>
        <w:keepNext/>
        <w:numPr>
          <w:ilvl w:val="0"/>
          <w:numId w:val="21"/>
        </w:numPr>
        <w:ind w:left="0" w:firstLine="0"/>
      </w:pPr>
      <w:proofErr w:type="gramStart"/>
      <w:r w:rsidRPr="0052258E">
        <w:rPr>
          <w:rFonts w:hint="cs"/>
          <w:rtl/>
        </w:rPr>
        <w:t>يتألف</w:t>
      </w:r>
      <w:proofErr w:type="gramEnd"/>
      <w:r w:rsidRPr="0052258E">
        <w:rPr>
          <w:rFonts w:hint="cs"/>
          <w:rtl/>
        </w:rPr>
        <w:t xml:space="preserve"> الإطار الحالي للمنظمة والخاص ب</w:t>
      </w:r>
      <w:r w:rsidR="00A36395">
        <w:rPr>
          <w:rFonts w:hint="cs"/>
          <w:rtl/>
        </w:rPr>
        <w:t>تقارير الأداء و</w:t>
      </w:r>
      <w:r w:rsidRPr="0052258E">
        <w:rPr>
          <w:rFonts w:hint="cs"/>
          <w:rtl/>
        </w:rPr>
        <w:t xml:space="preserve">المالية خلال </w:t>
      </w:r>
      <w:r w:rsidR="00EF45FA">
        <w:rPr>
          <w:rFonts w:hint="cs"/>
          <w:rtl/>
        </w:rPr>
        <w:t>ال</w:t>
      </w:r>
      <w:r w:rsidRPr="0052258E">
        <w:rPr>
          <w:rFonts w:hint="cs"/>
          <w:rtl/>
        </w:rPr>
        <w:t>ثنائية من عدد من الوثائق يلي بيانها:</w:t>
      </w:r>
    </w:p>
    <w:p w:rsidR="008E58C3" w:rsidRPr="0052258E" w:rsidRDefault="008E58C3" w:rsidP="008E58C3">
      <w:pPr>
        <w:pStyle w:val="NormalParaAR"/>
        <w:keepNext/>
        <w:ind w:left="567"/>
      </w:pPr>
      <w:r w:rsidRPr="0052258E">
        <w:rPr>
          <w:rFonts w:hint="cs"/>
          <w:i/>
          <w:iCs/>
          <w:rtl/>
        </w:rPr>
        <w:t>التخطيط</w:t>
      </w:r>
    </w:p>
    <w:p w:rsidR="008E58C3" w:rsidRPr="0052258E" w:rsidRDefault="00F7460F" w:rsidP="000472E7">
      <w:pPr>
        <w:pStyle w:val="NormalParaAR"/>
        <w:numPr>
          <w:ilvl w:val="0"/>
          <w:numId w:val="41"/>
        </w:numPr>
        <w:ind w:left="567" w:firstLine="0"/>
      </w:pPr>
      <w:r w:rsidRPr="0052258E">
        <w:rPr>
          <w:rFonts w:hint="cs"/>
          <w:u w:val="single"/>
          <w:rtl/>
        </w:rPr>
        <w:t>البرنامج والميزانية</w:t>
      </w:r>
      <w:r w:rsidRPr="0052258E">
        <w:rPr>
          <w:rFonts w:hint="cs"/>
          <w:rtl/>
        </w:rPr>
        <w:t xml:space="preserve">، تُرفع هذه الوثيقة إلى الدول الأعضاء كي توافق عليها كل فترة عامين، وتقدم الإطار البرنامجي والمالي لتنفيذ أنشطة الويبو وتحقيق </w:t>
      </w:r>
      <w:r w:rsidR="00E8004D">
        <w:rPr>
          <w:rFonts w:hint="cs"/>
          <w:rtl/>
        </w:rPr>
        <w:t>النتائج المرتقبة</w:t>
      </w:r>
      <w:r w:rsidRPr="0052258E">
        <w:rPr>
          <w:rFonts w:hint="cs"/>
          <w:rtl/>
        </w:rPr>
        <w:t>، وفقاً للفصل الثاني من الن</w:t>
      </w:r>
      <w:r w:rsidRPr="0052258E">
        <w:rPr>
          <w:rtl/>
        </w:rPr>
        <w:t>ظام المالي ولائحته</w:t>
      </w:r>
      <w:r w:rsidRPr="0052258E">
        <w:rPr>
          <w:rFonts w:hint="cs"/>
          <w:rtl/>
        </w:rPr>
        <w:t xml:space="preserve">. فهي وثيقة "تخطيط" ترسي أسس جميع التقارير التالية الخاصة بالأداء </w:t>
      </w:r>
      <w:proofErr w:type="gramStart"/>
      <w:r w:rsidRPr="0052258E">
        <w:rPr>
          <w:rFonts w:hint="cs"/>
          <w:rtl/>
        </w:rPr>
        <w:t>والمالية</w:t>
      </w:r>
      <w:proofErr w:type="gramEnd"/>
      <w:r w:rsidRPr="0052258E">
        <w:rPr>
          <w:rFonts w:hint="cs"/>
          <w:rtl/>
        </w:rPr>
        <w:t>.</w:t>
      </w:r>
    </w:p>
    <w:p w:rsidR="00F7460F" w:rsidRPr="0052258E" w:rsidRDefault="00F7460F" w:rsidP="00E5473E">
      <w:pPr>
        <w:pStyle w:val="NormalParaAR"/>
        <w:keepNext/>
        <w:ind w:left="567"/>
        <w:rPr>
          <w:i/>
          <w:iCs/>
          <w:rtl/>
        </w:rPr>
      </w:pPr>
      <w:r w:rsidRPr="0052258E">
        <w:rPr>
          <w:rFonts w:hint="cs"/>
          <w:i/>
          <w:iCs/>
          <w:rtl/>
        </w:rPr>
        <w:t>الإبلاغ</w:t>
      </w:r>
    </w:p>
    <w:p w:rsidR="00F7460F" w:rsidRPr="0052258E" w:rsidRDefault="00F7460F" w:rsidP="00E8004D">
      <w:pPr>
        <w:pStyle w:val="NormalParaAR"/>
        <w:numPr>
          <w:ilvl w:val="0"/>
          <w:numId w:val="41"/>
        </w:numPr>
        <w:ind w:left="567" w:firstLine="0"/>
        <w:rPr>
          <w:u w:val="single"/>
        </w:rPr>
      </w:pPr>
      <w:proofErr w:type="gramStart"/>
      <w:r w:rsidRPr="0052258E">
        <w:rPr>
          <w:rFonts w:hint="cs"/>
          <w:u w:val="single"/>
          <w:rtl/>
        </w:rPr>
        <w:t>تقرير</w:t>
      </w:r>
      <w:proofErr w:type="gramEnd"/>
      <w:r w:rsidRPr="0052258E">
        <w:rPr>
          <w:rFonts w:hint="cs"/>
          <w:u w:val="single"/>
          <w:rtl/>
        </w:rPr>
        <w:t xml:space="preserve"> أداء البرنامج</w:t>
      </w:r>
      <w:r w:rsidR="00E8004D">
        <w:rPr>
          <w:rFonts w:hint="cs"/>
          <w:rtl/>
        </w:rPr>
        <w:t xml:space="preserve">، هو تقرير عن نهاية الثنائية </w:t>
      </w:r>
      <w:r w:rsidR="00E8004D" w:rsidRPr="00E8004D">
        <w:rPr>
          <w:rFonts w:hint="cs"/>
          <w:rtl/>
        </w:rPr>
        <w:t>يقيِّ</w:t>
      </w:r>
      <w:r w:rsidRPr="0052258E">
        <w:rPr>
          <w:rFonts w:hint="cs"/>
          <w:rtl/>
        </w:rPr>
        <w:t xml:space="preserve">م، بواسطة مؤشرات أداء، تحقيق </w:t>
      </w:r>
      <w:r w:rsidR="00E8004D">
        <w:rPr>
          <w:rFonts w:hint="cs"/>
          <w:rtl/>
        </w:rPr>
        <w:t>النتائج المرتقبة</w:t>
      </w:r>
      <w:r w:rsidRPr="0052258E">
        <w:rPr>
          <w:rFonts w:hint="cs"/>
          <w:rtl/>
        </w:rPr>
        <w:t xml:space="preserve"> من خلال الموارد المتاحة في البرنامج والميزانية، وذلك وفقاً للمادة 14.2 من النظام المالي </w:t>
      </w:r>
      <w:proofErr w:type="gramStart"/>
      <w:r w:rsidRPr="0052258E">
        <w:rPr>
          <w:rFonts w:hint="cs"/>
          <w:rtl/>
        </w:rPr>
        <w:t>ولائحته</w:t>
      </w:r>
      <w:proofErr w:type="gramEnd"/>
      <w:r w:rsidRPr="0052258E">
        <w:rPr>
          <w:rFonts w:hint="cs"/>
          <w:rtl/>
        </w:rPr>
        <w:t xml:space="preserve">. </w:t>
      </w:r>
      <w:r w:rsidR="00D920E9" w:rsidRPr="0052258E">
        <w:rPr>
          <w:rFonts w:hint="cs"/>
          <w:rtl/>
        </w:rPr>
        <w:t>و</w:t>
      </w:r>
      <w:r w:rsidR="00E8004D">
        <w:rPr>
          <w:rFonts w:hint="cs"/>
          <w:rtl/>
        </w:rPr>
        <w:t>يقدم</w:t>
      </w:r>
      <w:r w:rsidR="00D920E9" w:rsidRPr="0052258E">
        <w:rPr>
          <w:rFonts w:hint="cs"/>
          <w:rtl/>
        </w:rPr>
        <w:t xml:space="preserve"> </w:t>
      </w:r>
      <w:proofErr w:type="gramStart"/>
      <w:r w:rsidR="00D920E9" w:rsidRPr="0052258E">
        <w:rPr>
          <w:rFonts w:hint="cs"/>
          <w:rtl/>
        </w:rPr>
        <w:t>التقرير</w:t>
      </w:r>
      <w:proofErr w:type="gramEnd"/>
      <w:r w:rsidR="00D920E9" w:rsidRPr="0052258E">
        <w:rPr>
          <w:rFonts w:hint="cs"/>
          <w:rtl/>
        </w:rPr>
        <w:t xml:space="preserve"> السنوي لأداء البرنامج </w:t>
      </w:r>
      <w:r w:rsidR="00E8004D">
        <w:rPr>
          <w:rFonts w:hint="cs"/>
          <w:rtl/>
        </w:rPr>
        <w:t xml:space="preserve">معلومات عن </w:t>
      </w:r>
      <w:r w:rsidR="00D920E9" w:rsidRPr="0052258E">
        <w:rPr>
          <w:rFonts w:hint="cs"/>
          <w:rtl/>
        </w:rPr>
        <w:t xml:space="preserve">التقدم المحرز في تحقيق </w:t>
      </w:r>
      <w:r w:rsidR="00E8004D">
        <w:rPr>
          <w:rFonts w:hint="cs"/>
          <w:rtl/>
        </w:rPr>
        <w:t>النتائج المرتقبة</w:t>
      </w:r>
      <w:r w:rsidR="00D920E9" w:rsidRPr="0052258E">
        <w:rPr>
          <w:rFonts w:hint="cs"/>
          <w:rtl/>
        </w:rPr>
        <w:t xml:space="preserve"> في نهاية أول عامي التنفيذ.</w:t>
      </w:r>
    </w:p>
    <w:p w:rsidR="00D920E9" w:rsidRPr="0052258E" w:rsidRDefault="00D920E9" w:rsidP="00D920E9">
      <w:pPr>
        <w:pStyle w:val="NormalParaAR"/>
        <w:numPr>
          <w:ilvl w:val="0"/>
          <w:numId w:val="41"/>
        </w:numPr>
        <w:ind w:left="567" w:firstLine="0"/>
      </w:pPr>
      <w:proofErr w:type="gramStart"/>
      <w:r w:rsidRPr="0052258E">
        <w:rPr>
          <w:rFonts w:hint="cs"/>
          <w:u w:val="single"/>
          <w:rtl/>
        </w:rPr>
        <w:t>البيانات</w:t>
      </w:r>
      <w:proofErr w:type="gramEnd"/>
      <w:r w:rsidRPr="0052258E">
        <w:rPr>
          <w:rFonts w:hint="cs"/>
          <w:u w:val="single"/>
          <w:rtl/>
        </w:rPr>
        <w:t xml:space="preserve"> المالية</w:t>
      </w:r>
      <w:r w:rsidRPr="0052258E">
        <w:rPr>
          <w:rFonts w:hint="cs"/>
          <w:rtl/>
        </w:rPr>
        <w:t>، تُعد سنوياً و</w:t>
      </w:r>
      <w:r w:rsidRPr="0052258E">
        <w:rPr>
          <w:rtl/>
        </w:rPr>
        <w:t>فقا</w:t>
      </w:r>
      <w:r w:rsidRPr="0052258E">
        <w:rPr>
          <w:rFonts w:hint="cs"/>
          <w:rtl/>
        </w:rPr>
        <w:t>ً</w:t>
      </w:r>
      <w:r w:rsidRPr="0052258E">
        <w:rPr>
          <w:rtl/>
        </w:rPr>
        <w:t xml:space="preserve"> للمعايير المحاسبية المطبقة في منظومة الأمم المتحدة</w:t>
      </w:r>
      <w:r w:rsidRPr="0052258E">
        <w:rPr>
          <w:rFonts w:hint="cs"/>
          <w:rtl/>
        </w:rPr>
        <w:t xml:space="preserve"> (</w:t>
      </w:r>
      <w:r w:rsidRPr="0052258E">
        <w:rPr>
          <w:rtl/>
        </w:rPr>
        <w:t>المعايير المحاسبية الدولية للقطاع العام</w:t>
      </w:r>
      <w:r w:rsidRPr="0052258E">
        <w:rPr>
          <w:rFonts w:hint="cs"/>
          <w:rtl/>
        </w:rPr>
        <w:t xml:space="preserve"> منذ عام 2010) وامتثالاً للقاعدة 3.106 من النظام المالي </w:t>
      </w:r>
      <w:proofErr w:type="gramStart"/>
      <w:r w:rsidRPr="0052258E">
        <w:rPr>
          <w:rFonts w:hint="cs"/>
          <w:rtl/>
        </w:rPr>
        <w:t>ولائحته</w:t>
      </w:r>
      <w:proofErr w:type="gramEnd"/>
      <w:r w:rsidRPr="0052258E">
        <w:rPr>
          <w:rtl/>
        </w:rPr>
        <w:t>.</w:t>
      </w:r>
    </w:p>
    <w:p w:rsidR="00D920E9" w:rsidRPr="0052258E" w:rsidRDefault="00D920E9" w:rsidP="00E8004D">
      <w:pPr>
        <w:pStyle w:val="NormalParaAR"/>
        <w:numPr>
          <w:ilvl w:val="0"/>
          <w:numId w:val="41"/>
        </w:numPr>
        <w:ind w:left="567" w:firstLine="0"/>
      </w:pPr>
      <w:r w:rsidRPr="0052258E">
        <w:rPr>
          <w:rFonts w:hint="cs"/>
          <w:u w:val="single"/>
          <w:rtl/>
        </w:rPr>
        <w:t>تقرير الإدارة المالية</w:t>
      </w:r>
      <w:r w:rsidRPr="0052258E">
        <w:rPr>
          <w:rFonts w:hint="cs"/>
          <w:rtl/>
        </w:rPr>
        <w:t xml:space="preserve">، يُحال إلى لجنة البرنامج والميزانية وفقاً للقاعدة 6.6 من النظام المالي </w:t>
      </w:r>
      <w:proofErr w:type="gramStart"/>
      <w:r w:rsidRPr="0052258E">
        <w:rPr>
          <w:rFonts w:hint="cs"/>
          <w:rtl/>
        </w:rPr>
        <w:t>ولائحته</w:t>
      </w:r>
      <w:proofErr w:type="gramEnd"/>
      <w:r w:rsidRPr="0052258E">
        <w:rPr>
          <w:rFonts w:hint="cs"/>
          <w:rtl/>
        </w:rPr>
        <w:t xml:space="preserve">. </w:t>
      </w:r>
      <w:proofErr w:type="gramStart"/>
      <w:r w:rsidRPr="0052258E">
        <w:rPr>
          <w:rFonts w:hint="cs"/>
          <w:rtl/>
        </w:rPr>
        <w:t>ويقدم</w:t>
      </w:r>
      <w:proofErr w:type="gramEnd"/>
      <w:r w:rsidRPr="0052258E">
        <w:rPr>
          <w:rFonts w:hint="cs"/>
          <w:rtl/>
        </w:rPr>
        <w:t xml:space="preserve"> عرضاً شاملاً لنتائج المنظمة المالية خلال الثنائية مقارنة بميزانية الثنائية (على أساس </w:t>
      </w:r>
      <w:r w:rsidR="00E8004D">
        <w:rPr>
          <w:rFonts w:hint="cs"/>
          <w:rtl/>
        </w:rPr>
        <w:t>الميزانية</w:t>
      </w:r>
      <w:r w:rsidRPr="0052258E">
        <w:rPr>
          <w:rFonts w:hint="cs"/>
          <w:rtl/>
        </w:rPr>
        <w:t xml:space="preserve">). </w:t>
      </w:r>
      <w:proofErr w:type="gramStart"/>
      <w:r w:rsidRPr="0052258E">
        <w:rPr>
          <w:rFonts w:hint="cs"/>
          <w:rtl/>
        </w:rPr>
        <w:t>كما</w:t>
      </w:r>
      <w:proofErr w:type="gramEnd"/>
      <w:r w:rsidRPr="0052258E">
        <w:rPr>
          <w:rFonts w:hint="cs"/>
          <w:rtl/>
        </w:rPr>
        <w:t xml:space="preserve"> يوفر تفاصيل بشأن أداء ا</w:t>
      </w:r>
      <w:r w:rsidR="00E8004D">
        <w:rPr>
          <w:rFonts w:hint="cs"/>
          <w:rtl/>
        </w:rPr>
        <w:t>لمنظمة المالي ووضعها</w:t>
      </w:r>
      <w:r w:rsidRPr="0052258E">
        <w:rPr>
          <w:rFonts w:hint="cs"/>
          <w:rtl/>
        </w:rPr>
        <w:t xml:space="preserve"> المالي في نهاية كل فترة عامين.</w:t>
      </w:r>
    </w:p>
    <w:p w:rsidR="00D920E9" w:rsidRPr="0052258E" w:rsidRDefault="00D920E9" w:rsidP="000472E7">
      <w:pPr>
        <w:pStyle w:val="NormalParaAR"/>
        <w:numPr>
          <w:ilvl w:val="0"/>
          <w:numId w:val="41"/>
        </w:numPr>
        <w:ind w:left="567" w:firstLine="0"/>
      </w:pPr>
      <w:proofErr w:type="gramStart"/>
      <w:r w:rsidRPr="0052258E">
        <w:rPr>
          <w:rFonts w:hint="cs"/>
          <w:u w:val="single"/>
          <w:rtl/>
        </w:rPr>
        <w:t>وثائق</w:t>
      </w:r>
      <w:proofErr w:type="gramEnd"/>
      <w:r w:rsidRPr="0052258E">
        <w:rPr>
          <w:rFonts w:hint="cs"/>
          <w:u w:val="single"/>
          <w:rtl/>
        </w:rPr>
        <w:t xml:space="preserve"> أخرى ذات صلة</w:t>
      </w:r>
      <w:r w:rsidRPr="0052258E">
        <w:rPr>
          <w:rFonts w:hint="cs"/>
          <w:rtl/>
        </w:rPr>
        <w:t>، إضافة إلى ما سبق، يقد</w:t>
      </w:r>
      <w:r w:rsidR="00E8004D">
        <w:rPr>
          <w:rFonts w:hint="cs"/>
          <w:rtl/>
        </w:rPr>
        <w:t>َّ</w:t>
      </w:r>
      <w:r w:rsidRPr="0052258E">
        <w:rPr>
          <w:rFonts w:hint="cs"/>
          <w:rtl/>
        </w:rPr>
        <w:t xml:space="preserve">م عدد من التقارير الأخرى بصورة منتظمة إلى الدول الأعضاء، بما في ذلك تقارير بشأن استخدام </w:t>
      </w:r>
      <w:r w:rsidR="00E8004D">
        <w:rPr>
          <w:rFonts w:hint="cs"/>
          <w:rtl/>
        </w:rPr>
        <w:t>الأموال الاحتياطية</w:t>
      </w:r>
      <w:r w:rsidRPr="0052258E">
        <w:rPr>
          <w:rFonts w:hint="cs"/>
          <w:rtl/>
        </w:rPr>
        <w:t xml:space="preserve"> </w:t>
      </w:r>
      <w:r w:rsidR="005D0603" w:rsidRPr="0052258E">
        <w:rPr>
          <w:rFonts w:hint="cs"/>
          <w:rtl/>
        </w:rPr>
        <w:t>ل</w:t>
      </w:r>
      <w:r w:rsidRPr="0052258E">
        <w:rPr>
          <w:rFonts w:hint="cs"/>
          <w:rtl/>
        </w:rPr>
        <w:t>لمنظمة وأوجه الفعالية من حيث التكلفة. وفيما</w:t>
      </w:r>
      <w:r w:rsidR="000472E7">
        <w:rPr>
          <w:rFonts w:hint="eastAsia"/>
          <w:rtl/>
        </w:rPr>
        <w:t> </w:t>
      </w:r>
      <w:r w:rsidRPr="0052258E">
        <w:rPr>
          <w:rFonts w:hint="cs"/>
          <w:rtl/>
        </w:rPr>
        <w:t>يتعلق بالدورة الحالية للجنة البرنامج والميزانية، أُدرج التقرير الخاص بأوجه الفعالية من حيث التكلفة في تقرير أداء البرنامج للفترة 2012/</w:t>
      </w:r>
      <w:r w:rsidR="00E8004D">
        <w:rPr>
          <w:rFonts w:hint="cs"/>
          <w:rtl/>
        </w:rPr>
        <w:t>2013</w:t>
      </w:r>
      <w:r w:rsidRPr="0052258E">
        <w:rPr>
          <w:rFonts w:hint="cs"/>
          <w:rtl/>
        </w:rPr>
        <w:t xml:space="preserve"> بوصفه جزءاً لا يتجزأ من تنفيذ البرنامج وتقييم الأداء. وبالمثل، أُدرج التقرير الخاص </w:t>
      </w:r>
      <w:r w:rsidR="005D0603" w:rsidRPr="0052258E">
        <w:rPr>
          <w:rFonts w:hint="cs"/>
          <w:rtl/>
        </w:rPr>
        <w:t xml:space="preserve">باستخدام </w:t>
      </w:r>
      <w:r w:rsidR="00E8004D">
        <w:rPr>
          <w:rFonts w:hint="cs"/>
          <w:rtl/>
        </w:rPr>
        <w:t>الأموال الاحتياطية</w:t>
      </w:r>
      <w:r w:rsidR="005D0603" w:rsidRPr="0052258E">
        <w:rPr>
          <w:rFonts w:hint="cs"/>
          <w:rtl/>
        </w:rPr>
        <w:t xml:space="preserve"> في تقرير الإدارة المالية بوصفه جزءاً لا يتجزأ من تقارير الإدارة المالية.</w:t>
      </w:r>
    </w:p>
    <w:p w:rsidR="005D0603" w:rsidRPr="0052258E" w:rsidRDefault="005D0603" w:rsidP="005D0603">
      <w:pPr>
        <w:pStyle w:val="NormalParaAR"/>
        <w:keepNext/>
        <w:rPr>
          <w:b/>
          <w:bCs/>
          <w:sz w:val="40"/>
          <w:szCs w:val="40"/>
          <w:rtl/>
        </w:rPr>
      </w:pPr>
      <w:r w:rsidRPr="0052258E">
        <w:rPr>
          <w:rFonts w:hint="cs"/>
          <w:b/>
          <w:bCs/>
          <w:sz w:val="40"/>
          <w:szCs w:val="40"/>
          <w:rtl/>
        </w:rPr>
        <w:t>ثالثاً.</w:t>
      </w:r>
      <w:r w:rsidRPr="0052258E">
        <w:rPr>
          <w:rFonts w:hint="cs"/>
          <w:b/>
          <w:bCs/>
          <w:sz w:val="40"/>
          <w:szCs w:val="40"/>
          <w:rtl/>
        </w:rPr>
        <w:tab/>
      </w:r>
      <w:proofErr w:type="gramStart"/>
      <w:r w:rsidRPr="0052258E">
        <w:rPr>
          <w:rFonts w:hint="cs"/>
          <w:b/>
          <w:bCs/>
          <w:sz w:val="40"/>
          <w:szCs w:val="40"/>
          <w:rtl/>
        </w:rPr>
        <w:t>القضايا</w:t>
      </w:r>
      <w:proofErr w:type="gramEnd"/>
      <w:r w:rsidRPr="0052258E">
        <w:rPr>
          <w:rFonts w:hint="cs"/>
          <w:b/>
          <w:bCs/>
          <w:sz w:val="40"/>
          <w:szCs w:val="40"/>
          <w:rtl/>
        </w:rPr>
        <w:t xml:space="preserve"> الرئيسية</w:t>
      </w:r>
    </w:p>
    <w:p w:rsidR="005D0603" w:rsidRPr="0052258E" w:rsidRDefault="005D0603" w:rsidP="00E8004D">
      <w:pPr>
        <w:pStyle w:val="NormalParaAR"/>
        <w:numPr>
          <w:ilvl w:val="0"/>
          <w:numId w:val="21"/>
        </w:numPr>
        <w:ind w:left="0" w:firstLine="0"/>
      </w:pPr>
      <w:proofErr w:type="gramStart"/>
      <w:r w:rsidRPr="0052258E">
        <w:rPr>
          <w:rFonts w:hint="cs"/>
          <w:rtl/>
        </w:rPr>
        <w:t>إن</w:t>
      </w:r>
      <w:proofErr w:type="gramEnd"/>
      <w:r w:rsidRPr="0052258E">
        <w:rPr>
          <w:rFonts w:hint="cs"/>
          <w:rtl/>
        </w:rPr>
        <w:t xml:space="preserve"> التحليل الذي أجرته الأمانة ل</w:t>
      </w:r>
      <w:r w:rsidR="006203C2">
        <w:rPr>
          <w:rFonts w:hint="cs"/>
          <w:rtl/>
        </w:rPr>
        <w:t>مضمون</w:t>
      </w:r>
      <w:r w:rsidRPr="0052258E">
        <w:rPr>
          <w:rFonts w:hint="cs"/>
          <w:rtl/>
        </w:rPr>
        <w:t xml:space="preserve"> التقارير المذكورة أعلاه سلط الضوء على بعض </w:t>
      </w:r>
      <w:r w:rsidR="00E8004D">
        <w:rPr>
          <w:rFonts w:hint="cs"/>
          <w:rtl/>
        </w:rPr>
        <w:t xml:space="preserve">أوجه </w:t>
      </w:r>
      <w:r w:rsidRPr="0052258E">
        <w:rPr>
          <w:rFonts w:hint="cs"/>
          <w:rtl/>
        </w:rPr>
        <w:t xml:space="preserve">الازدواجية والتداخل في المعلومات المفصح عنها في تقرير الإدارة المالية وتقرير أداء البرنامج، وكذلك على </w:t>
      </w:r>
      <w:r w:rsidR="00E8004D">
        <w:rPr>
          <w:rFonts w:hint="cs"/>
          <w:rtl/>
        </w:rPr>
        <w:t>قدر كبير من ال</w:t>
      </w:r>
      <w:r w:rsidRPr="0052258E">
        <w:rPr>
          <w:rFonts w:hint="cs"/>
          <w:rtl/>
        </w:rPr>
        <w:t>تداخل و</w:t>
      </w:r>
      <w:r w:rsidR="00E8004D">
        <w:rPr>
          <w:rFonts w:hint="cs"/>
          <w:rtl/>
        </w:rPr>
        <w:t>ال</w:t>
      </w:r>
      <w:r w:rsidRPr="0052258E">
        <w:rPr>
          <w:rFonts w:hint="cs"/>
          <w:rtl/>
        </w:rPr>
        <w:t>ازدواجية بين تقرير الإدارة المالية والبيانات المالية.</w:t>
      </w:r>
    </w:p>
    <w:p w:rsidR="005D0603" w:rsidRPr="0052258E" w:rsidRDefault="005D0603" w:rsidP="000472E7">
      <w:pPr>
        <w:pStyle w:val="NormalParaAR"/>
        <w:numPr>
          <w:ilvl w:val="0"/>
          <w:numId w:val="21"/>
        </w:numPr>
        <w:ind w:left="0" w:firstLine="0"/>
        <w:rPr>
          <w:rtl/>
        </w:rPr>
      </w:pPr>
      <w:proofErr w:type="gramStart"/>
      <w:r w:rsidRPr="0052258E">
        <w:rPr>
          <w:rFonts w:hint="cs"/>
          <w:rtl/>
        </w:rPr>
        <w:t>ويرد</w:t>
      </w:r>
      <w:proofErr w:type="gramEnd"/>
      <w:r w:rsidRPr="0052258E">
        <w:rPr>
          <w:rFonts w:hint="cs"/>
          <w:rtl/>
        </w:rPr>
        <w:t xml:space="preserve"> التحليل المفصل ل</w:t>
      </w:r>
      <w:r w:rsidR="006203C2">
        <w:rPr>
          <w:rFonts w:hint="cs"/>
          <w:rtl/>
        </w:rPr>
        <w:t>مضمون</w:t>
      </w:r>
      <w:r w:rsidRPr="0052258E">
        <w:rPr>
          <w:rFonts w:hint="cs"/>
          <w:rtl/>
        </w:rPr>
        <w:t xml:space="preserve"> تلك الوثائق في المرفق. وتؤدي الازدواجية والتداخل </w:t>
      </w:r>
      <w:r w:rsidR="00E8004D">
        <w:rPr>
          <w:rFonts w:hint="cs"/>
          <w:rtl/>
        </w:rPr>
        <w:t>إلى</w:t>
      </w:r>
      <w:r w:rsidRPr="0052258E">
        <w:rPr>
          <w:rFonts w:hint="cs"/>
          <w:rtl/>
        </w:rPr>
        <w:t xml:space="preserve"> عبء من المعلومات يُلقى على عاتق مستخدمي تلك التقارير</w:t>
      </w:r>
      <w:r w:rsidR="00E30624">
        <w:rPr>
          <w:rFonts w:hint="cs"/>
          <w:rtl/>
        </w:rPr>
        <w:t>، و</w:t>
      </w:r>
      <w:r w:rsidR="000472E7">
        <w:rPr>
          <w:rFonts w:hint="cs"/>
          <w:rtl/>
        </w:rPr>
        <w:t xml:space="preserve">إلى </w:t>
      </w:r>
      <w:r w:rsidR="00E30624">
        <w:rPr>
          <w:rFonts w:hint="cs"/>
          <w:rtl/>
        </w:rPr>
        <w:t>جهود أكبر</w:t>
      </w:r>
      <w:r w:rsidRPr="0052258E">
        <w:rPr>
          <w:rFonts w:hint="cs"/>
          <w:rtl/>
        </w:rPr>
        <w:t xml:space="preserve"> </w:t>
      </w:r>
      <w:r w:rsidR="000472E7">
        <w:rPr>
          <w:rFonts w:hint="cs"/>
          <w:rtl/>
        </w:rPr>
        <w:t xml:space="preserve">في </w:t>
      </w:r>
      <w:r w:rsidRPr="0052258E">
        <w:rPr>
          <w:rFonts w:hint="cs"/>
          <w:rtl/>
        </w:rPr>
        <w:t xml:space="preserve">تنسيق إعداد الوثائق </w:t>
      </w:r>
      <w:r w:rsidR="00E30624">
        <w:rPr>
          <w:rFonts w:hint="cs"/>
          <w:rtl/>
        </w:rPr>
        <w:t>وج</w:t>
      </w:r>
      <w:r w:rsidR="00930F7D">
        <w:rPr>
          <w:rFonts w:hint="cs"/>
          <w:rtl/>
        </w:rPr>
        <w:t>ه</w:t>
      </w:r>
      <w:r w:rsidR="00E30624">
        <w:rPr>
          <w:rFonts w:hint="cs"/>
          <w:rtl/>
        </w:rPr>
        <w:t>ود</w:t>
      </w:r>
      <w:r w:rsidRPr="0052258E">
        <w:rPr>
          <w:rFonts w:hint="cs"/>
          <w:rtl/>
        </w:rPr>
        <w:t xml:space="preserve"> وتكلفة</w:t>
      </w:r>
      <w:r w:rsidR="00E30624">
        <w:rPr>
          <w:rFonts w:hint="cs"/>
          <w:rtl/>
        </w:rPr>
        <w:t xml:space="preserve"> أكبر</w:t>
      </w:r>
      <w:r w:rsidRPr="0052258E">
        <w:rPr>
          <w:rFonts w:hint="cs"/>
          <w:rtl/>
        </w:rPr>
        <w:t xml:space="preserve"> للترجمة والنشر.</w:t>
      </w:r>
    </w:p>
    <w:p w:rsidR="005D0603" w:rsidRPr="0052258E" w:rsidRDefault="00FF4E6F" w:rsidP="00E5473E">
      <w:pPr>
        <w:bidi/>
        <w:spacing w:after="240"/>
        <w:jc w:val="center"/>
        <w:rPr>
          <w:rFonts w:eastAsia="SimSun"/>
          <w:bCs/>
          <w:iCs/>
          <w:lang w:eastAsia="zh-CN"/>
        </w:rPr>
      </w:pPr>
      <w:r>
        <w:rPr>
          <w:rFonts w:eastAsia="SimSun"/>
          <w:bCs/>
          <w:iCs/>
          <w:noProof/>
        </w:rPr>
        <w:lastRenderedPageBreak/>
        <w:drawing>
          <wp:inline distT="0" distB="0" distL="0" distR="0" wp14:anchorId="19E5DD05" wp14:editId="225CC151">
            <wp:extent cx="4858179" cy="241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8179" cy="2415600"/>
                    </a:xfrm>
                    <a:prstGeom prst="rect">
                      <a:avLst/>
                    </a:prstGeom>
                    <a:noFill/>
                  </pic:spPr>
                </pic:pic>
              </a:graphicData>
            </a:graphic>
          </wp:inline>
        </w:drawing>
      </w:r>
    </w:p>
    <w:p w:rsidR="00E5473E" w:rsidRPr="0052258E" w:rsidRDefault="00E5473E" w:rsidP="00E5473E">
      <w:pPr>
        <w:pStyle w:val="NormalParaAR"/>
        <w:keepNext/>
        <w:numPr>
          <w:ilvl w:val="0"/>
          <w:numId w:val="21"/>
        </w:numPr>
        <w:ind w:left="0" w:firstLine="0"/>
      </w:pPr>
      <w:r w:rsidRPr="0052258E">
        <w:rPr>
          <w:rFonts w:hint="cs"/>
          <w:rtl/>
        </w:rPr>
        <w:t>و</w:t>
      </w:r>
      <w:r w:rsidR="00EF45FA">
        <w:rPr>
          <w:rFonts w:hint="cs"/>
          <w:rtl/>
        </w:rPr>
        <w:t xml:space="preserve">فيما </w:t>
      </w:r>
      <w:r w:rsidRPr="0052258E">
        <w:rPr>
          <w:rFonts w:hint="cs"/>
          <w:rtl/>
        </w:rPr>
        <w:t xml:space="preserve">يلي بيان </w:t>
      </w:r>
      <w:proofErr w:type="gramStart"/>
      <w:r w:rsidRPr="0052258E">
        <w:rPr>
          <w:rFonts w:hint="cs"/>
          <w:rtl/>
        </w:rPr>
        <w:t>الأسباب</w:t>
      </w:r>
      <w:proofErr w:type="gramEnd"/>
      <w:r w:rsidRPr="0052258E">
        <w:rPr>
          <w:rFonts w:hint="cs"/>
          <w:rtl/>
        </w:rPr>
        <w:t xml:space="preserve"> الرئيسية لهذا الوضع:</w:t>
      </w:r>
    </w:p>
    <w:p w:rsidR="00E5473E" w:rsidRPr="0052258E" w:rsidRDefault="00E5473E" w:rsidP="000472E7">
      <w:pPr>
        <w:pStyle w:val="NormalParaAR"/>
        <w:numPr>
          <w:ilvl w:val="0"/>
          <w:numId w:val="42"/>
        </w:numPr>
        <w:ind w:left="1134" w:hanging="567"/>
      </w:pPr>
      <w:r w:rsidRPr="0052258E">
        <w:rPr>
          <w:rFonts w:hint="cs"/>
          <w:rtl/>
        </w:rPr>
        <w:t xml:space="preserve">سعياً إلى تقديم تقارير أكثر شمولية إلى الدول الأعضاء </w:t>
      </w:r>
      <w:r w:rsidR="00EF45FA">
        <w:rPr>
          <w:rFonts w:hint="cs"/>
          <w:rtl/>
        </w:rPr>
        <w:t>مما سيتيح لها</w:t>
      </w:r>
      <w:r w:rsidRPr="0052258E">
        <w:rPr>
          <w:rFonts w:hint="cs"/>
          <w:rtl/>
        </w:rPr>
        <w:t xml:space="preserve"> إجراء تقييم مجدٍ لأداء البرنامج، أدرجت الأمانة بصورة متزايدة معلومات برنامجية ومالية في إطار تقرير أداء البرنامج. وأوصت لجنة مراجعة الحسابات السابقة </w:t>
      </w:r>
      <w:r w:rsidR="000472E7" w:rsidRPr="0052258E">
        <w:rPr>
          <w:rFonts w:hint="cs"/>
          <w:rtl/>
        </w:rPr>
        <w:t xml:space="preserve">أيضاً </w:t>
      </w:r>
      <w:r w:rsidRPr="0052258E">
        <w:rPr>
          <w:rFonts w:hint="cs"/>
          <w:rtl/>
        </w:rPr>
        <w:t xml:space="preserve">بذلك في إطار تعزيز الإدارة القائمة على النتائج. وأدى ذلك إلى توسيع تقرير أداء البرنامج الصادر كل عامين بحيث يشمل معلومات ودراسات تحليلية بشأن استخدام </w:t>
      </w:r>
      <w:r w:rsidR="0052258E" w:rsidRPr="0052258E">
        <w:rPr>
          <w:rFonts w:hint="cs"/>
          <w:rtl/>
        </w:rPr>
        <w:t>الميزانية في كل برنامج</w:t>
      </w:r>
      <w:r w:rsidRPr="0052258E">
        <w:rPr>
          <w:rFonts w:hint="cs"/>
          <w:rtl/>
        </w:rPr>
        <w:t xml:space="preserve"> (ونتائجه)</w:t>
      </w:r>
      <w:r w:rsidR="0052258E" w:rsidRPr="0052258E">
        <w:rPr>
          <w:rFonts w:hint="cs"/>
          <w:rtl/>
        </w:rPr>
        <w:t xml:space="preserve"> مما يتداخل مع تقرير الإدارة المالية.</w:t>
      </w:r>
    </w:p>
    <w:p w:rsidR="0052258E" w:rsidRDefault="0052258E" w:rsidP="00FF4E6F">
      <w:pPr>
        <w:pStyle w:val="NormalParaAR"/>
        <w:numPr>
          <w:ilvl w:val="0"/>
          <w:numId w:val="42"/>
        </w:numPr>
        <w:ind w:left="1134" w:hanging="567"/>
      </w:pPr>
      <w:r w:rsidRPr="0052258E">
        <w:rPr>
          <w:rFonts w:hint="cs"/>
          <w:rtl/>
        </w:rPr>
        <w:t xml:space="preserve">وامتثالاً للمعايير المحاسبية الدولية للقطاع العام ولإعلان </w:t>
      </w:r>
      <w:r w:rsidRPr="0052258E">
        <w:rPr>
          <w:rtl/>
        </w:rPr>
        <w:t>مجلس المعايير المحاسبية الدولية للقطاع العام (</w:t>
      </w:r>
      <w:r w:rsidRPr="0052258E">
        <w:t>IPSASB</w:t>
      </w:r>
      <w:r w:rsidRPr="0052258E">
        <w:rPr>
          <w:rtl/>
        </w:rPr>
        <w:t>)</w:t>
      </w:r>
      <w:r w:rsidRPr="0052258E">
        <w:rPr>
          <w:rFonts w:hint="cs"/>
          <w:rtl/>
        </w:rPr>
        <w:t xml:space="preserve"> في يوليو 2013 الذي أوص</w:t>
      </w:r>
      <w:r>
        <w:rPr>
          <w:rFonts w:hint="cs"/>
          <w:rtl/>
        </w:rPr>
        <w:t xml:space="preserve">ى فيه بأن "تستوفي المعلومات المستمدة من </w:t>
      </w:r>
      <w:r w:rsidR="00FF4E6F">
        <w:rPr>
          <w:rFonts w:hint="cs"/>
          <w:rtl/>
        </w:rPr>
        <w:t>مناقشة البيانات المالية وتحليلها</w:t>
      </w:r>
      <w:r>
        <w:rPr>
          <w:rFonts w:hint="cs"/>
          <w:rtl/>
        </w:rPr>
        <w:t xml:space="preserve"> الخصائص النوعية للتقارير المالية بمراعاة القيود المفروضة على المعلومات المدرجة في التقارير المالية ذات</w:t>
      </w:r>
      <w:r w:rsidR="00FF4E6F">
        <w:rPr>
          <w:rFonts w:hint="eastAsia"/>
          <w:rtl/>
        </w:rPr>
        <w:t> </w:t>
      </w:r>
      <w:r>
        <w:rPr>
          <w:rFonts w:hint="cs"/>
          <w:rtl/>
        </w:rPr>
        <w:t>الغرض العام"، وُ</w:t>
      </w:r>
      <w:r w:rsidR="000472E7">
        <w:rPr>
          <w:rFonts w:hint="cs"/>
          <w:rtl/>
        </w:rPr>
        <w:t xml:space="preserve">سع نطاق </w:t>
      </w:r>
      <w:r>
        <w:rPr>
          <w:rFonts w:hint="cs"/>
          <w:rtl/>
        </w:rPr>
        <w:t xml:space="preserve">البيانات المالية، التي كانت تقتصر في إطار </w:t>
      </w:r>
      <w:r w:rsidRPr="0052258E">
        <w:rPr>
          <w:rtl/>
        </w:rPr>
        <w:t>المعايير المحاسبية للأمم المتحدة</w:t>
      </w:r>
      <w:r>
        <w:rPr>
          <w:rFonts w:hint="cs"/>
          <w:rtl/>
        </w:rPr>
        <w:t xml:space="preserve"> على تقارير مالية وجداول، بحيث تضم تحليل للإيرادات والنفقات. </w:t>
      </w:r>
      <w:proofErr w:type="gramStart"/>
      <w:r>
        <w:rPr>
          <w:rFonts w:hint="cs"/>
          <w:rtl/>
        </w:rPr>
        <w:t>ورغم</w:t>
      </w:r>
      <w:proofErr w:type="gramEnd"/>
      <w:r>
        <w:rPr>
          <w:rFonts w:hint="cs"/>
          <w:rtl/>
        </w:rPr>
        <w:t xml:space="preserve"> </w:t>
      </w:r>
      <w:r w:rsidR="00AA2BB0">
        <w:rPr>
          <w:rFonts w:hint="cs"/>
          <w:rtl/>
        </w:rPr>
        <w:t>أن التحليل</w:t>
      </w:r>
      <w:r>
        <w:rPr>
          <w:rFonts w:hint="cs"/>
          <w:rtl/>
        </w:rPr>
        <w:t xml:space="preserve"> الوارد في البيانات المالية يقوم على أساس المعايير المحاسبية الدولية للقطاع العام، والتحليل الوارد في تقرير</w:t>
      </w:r>
      <w:r w:rsidR="00FF4E6F">
        <w:rPr>
          <w:rFonts w:hint="cs"/>
          <w:rtl/>
        </w:rPr>
        <w:t xml:space="preserve"> الإدارة المالية يقوم على أساس الميزانية</w:t>
      </w:r>
      <w:r>
        <w:rPr>
          <w:rFonts w:hint="cs"/>
          <w:rtl/>
        </w:rPr>
        <w:t xml:space="preserve">، فثمة ازدواجية في </w:t>
      </w:r>
      <w:r w:rsidR="006203C2">
        <w:rPr>
          <w:rFonts w:hint="cs"/>
          <w:rtl/>
        </w:rPr>
        <w:t>مضمون</w:t>
      </w:r>
      <w:r>
        <w:rPr>
          <w:rFonts w:hint="cs"/>
          <w:rtl/>
        </w:rPr>
        <w:t xml:space="preserve"> البيانات المالية وتقرير الإدارة المالية من وجهة نظر المستخدم.</w:t>
      </w:r>
    </w:p>
    <w:p w:rsidR="0052258E" w:rsidRDefault="0052258E" w:rsidP="00FF4E6F">
      <w:pPr>
        <w:pStyle w:val="NormalParaAR"/>
        <w:numPr>
          <w:ilvl w:val="0"/>
          <w:numId w:val="21"/>
        </w:numPr>
        <w:ind w:left="0" w:firstLine="0"/>
      </w:pPr>
      <w:r>
        <w:rPr>
          <w:rFonts w:hint="cs"/>
          <w:rtl/>
        </w:rPr>
        <w:t xml:space="preserve">وبلغ إجمالي </w:t>
      </w:r>
      <w:proofErr w:type="gramStart"/>
      <w:r>
        <w:rPr>
          <w:rFonts w:hint="cs"/>
          <w:rtl/>
        </w:rPr>
        <w:t>عدد</w:t>
      </w:r>
      <w:proofErr w:type="gramEnd"/>
      <w:r>
        <w:rPr>
          <w:rFonts w:hint="cs"/>
          <w:rtl/>
        </w:rPr>
        <w:t xml:space="preserve"> صفحات هذه الوثائق و</w:t>
      </w:r>
      <w:r w:rsidR="00FF4E6F">
        <w:rPr>
          <w:rFonts w:hint="cs"/>
          <w:rtl/>
        </w:rPr>
        <w:t>بجميع اللغات</w:t>
      </w:r>
      <w:r>
        <w:rPr>
          <w:rFonts w:hint="cs"/>
          <w:rtl/>
        </w:rPr>
        <w:t xml:space="preserve"> 115 2 صفحة في الثنائية 2010/</w:t>
      </w:r>
      <w:r w:rsidR="00FF4E6F">
        <w:rPr>
          <w:rFonts w:hint="cs"/>
          <w:rtl/>
        </w:rPr>
        <w:t>2011</w:t>
      </w:r>
      <w:r>
        <w:rPr>
          <w:rFonts w:hint="cs"/>
          <w:rtl/>
        </w:rPr>
        <w:t xml:space="preserve"> ونحو 758 2 صفحة في الثنائية 2012/</w:t>
      </w:r>
      <w:r w:rsidR="00FF4E6F">
        <w:rPr>
          <w:rFonts w:hint="cs"/>
          <w:rtl/>
        </w:rPr>
        <w:t>2013</w:t>
      </w:r>
      <w:r>
        <w:rPr>
          <w:rFonts w:hint="cs"/>
          <w:rtl/>
        </w:rPr>
        <w:t>. ويصل التقدير الأولي للمضامين المزدوجة إلى نسبة تتراوح بين 20 و30 بالمئة.</w:t>
      </w:r>
    </w:p>
    <w:p w:rsidR="0052258E" w:rsidRPr="00AA2BB0" w:rsidRDefault="00AA2BB0" w:rsidP="0052258E">
      <w:pPr>
        <w:pStyle w:val="NormalParaAR"/>
        <w:keepNext/>
        <w:rPr>
          <w:b/>
          <w:bCs/>
          <w:rtl/>
        </w:rPr>
      </w:pPr>
      <w:r>
        <w:rPr>
          <w:rFonts w:hint="cs"/>
          <w:b/>
          <w:bCs/>
          <w:rtl/>
        </w:rPr>
        <w:t>رابعاً.</w:t>
      </w:r>
      <w:r>
        <w:rPr>
          <w:rFonts w:hint="cs"/>
          <w:b/>
          <w:bCs/>
          <w:rtl/>
        </w:rPr>
        <w:tab/>
      </w:r>
      <w:proofErr w:type="gramStart"/>
      <w:r>
        <w:rPr>
          <w:rFonts w:hint="cs"/>
          <w:b/>
          <w:bCs/>
          <w:rtl/>
        </w:rPr>
        <w:t>فرصة</w:t>
      </w:r>
      <w:proofErr w:type="gramEnd"/>
      <w:r>
        <w:rPr>
          <w:rFonts w:hint="cs"/>
          <w:b/>
          <w:bCs/>
          <w:rtl/>
        </w:rPr>
        <w:t xml:space="preserve"> تعزيز التقارير</w:t>
      </w:r>
    </w:p>
    <w:p w:rsidR="0052258E" w:rsidRDefault="00AA2BB0" w:rsidP="000472E7">
      <w:pPr>
        <w:pStyle w:val="NormalParaAR"/>
        <w:numPr>
          <w:ilvl w:val="0"/>
          <w:numId w:val="21"/>
        </w:numPr>
        <w:ind w:left="0" w:firstLine="0"/>
      </w:pPr>
      <w:r>
        <w:rPr>
          <w:rFonts w:hint="cs"/>
          <w:rtl/>
        </w:rPr>
        <w:t>يسلط التحليل الوارد أعلاه الضوء على فرصة واضحة لتعزيز التقارير المعدة للثنائية الحالية والمرفوعة إلى الدول الأعضاء، من خلال إصدار تقرير أداء شامل عن فترة العامين يجمع المعلومات المقسمة حالياً على تقرير أداء البرنامج وتقرير</w:t>
      </w:r>
      <w:r w:rsidR="000472E7">
        <w:rPr>
          <w:rFonts w:hint="eastAsia"/>
          <w:rtl/>
        </w:rPr>
        <w:t> </w:t>
      </w:r>
      <w:r>
        <w:rPr>
          <w:rFonts w:hint="cs"/>
          <w:rtl/>
        </w:rPr>
        <w:t xml:space="preserve">الإدارة المالية للثنائية في تقرير واحد بصيغة وعرض أسهل استخداماً ونفاذاً للمستخدمين. وتضم المبادئ الرئيسية التي ستسترشد بها الأمانة </w:t>
      </w:r>
      <w:proofErr w:type="gramStart"/>
      <w:r>
        <w:rPr>
          <w:rFonts w:hint="cs"/>
          <w:rtl/>
        </w:rPr>
        <w:t>في</w:t>
      </w:r>
      <w:proofErr w:type="gramEnd"/>
      <w:r>
        <w:rPr>
          <w:rFonts w:hint="cs"/>
          <w:rtl/>
        </w:rPr>
        <w:t xml:space="preserve"> وضع اقتراح لتقرير كهذا الحفاظ على مستوى الإفصاح أو تعزيزه، والامتثال الكامل للإطار التنظيمي (النظام المالي ولائحته) وتقليص الازدواجية إلى الحد الأدنى.</w:t>
      </w:r>
    </w:p>
    <w:p w:rsidR="00AA2BB0" w:rsidRDefault="00AA2BB0" w:rsidP="00AA2BB0">
      <w:pPr>
        <w:pStyle w:val="NormalParaAR"/>
        <w:numPr>
          <w:ilvl w:val="0"/>
          <w:numId w:val="21"/>
        </w:numPr>
        <w:ind w:left="0" w:firstLine="0"/>
      </w:pPr>
      <w:proofErr w:type="gramStart"/>
      <w:r>
        <w:rPr>
          <w:rFonts w:hint="cs"/>
          <w:rtl/>
        </w:rPr>
        <w:t>ويجب</w:t>
      </w:r>
      <w:proofErr w:type="gramEnd"/>
      <w:r>
        <w:rPr>
          <w:rFonts w:hint="cs"/>
          <w:rtl/>
        </w:rPr>
        <w:t xml:space="preserve"> مواصلة إصدار البيانات المالية السنوية التي تُعد في نهاية كل عام من الثنائية والتي تشكل أساس البيانات المالية لمراجعي الحسابات الخارجيين، وفقاً للمعايير المحاسبية الدولية للقطاع العام. وستُقترح أية تغييرات أو تحسينات في هذه البيانات المالية السنوية، عند الاقتضاء، بالتشاور مع مراجعي الحسابات الخارجيين.</w:t>
      </w:r>
    </w:p>
    <w:p w:rsidR="00AA2BB0" w:rsidRDefault="003665A3" w:rsidP="006203C2">
      <w:pPr>
        <w:pStyle w:val="NormalParaAR"/>
        <w:numPr>
          <w:ilvl w:val="0"/>
          <w:numId w:val="21"/>
        </w:numPr>
        <w:ind w:left="0" w:firstLine="0"/>
      </w:pPr>
      <w:proofErr w:type="gramStart"/>
      <w:r>
        <w:rPr>
          <w:rFonts w:hint="cs"/>
          <w:rtl/>
        </w:rPr>
        <w:lastRenderedPageBreak/>
        <w:t>وسيتواصل</w:t>
      </w:r>
      <w:proofErr w:type="gramEnd"/>
      <w:r>
        <w:rPr>
          <w:rFonts w:hint="cs"/>
          <w:rtl/>
        </w:rPr>
        <w:t xml:space="preserve"> إصدار</w:t>
      </w:r>
      <w:r w:rsidR="00AA2BB0">
        <w:rPr>
          <w:rFonts w:hint="cs"/>
          <w:rtl/>
        </w:rPr>
        <w:t xml:space="preserve"> تقرير أداء البرنامج، الذي يقدَّم في نهاية أول فترة العامين </w:t>
      </w:r>
      <w:r w:rsidR="006203C2">
        <w:rPr>
          <w:rFonts w:hint="cs"/>
          <w:rtl/>
        </w:rPr>
        <w:t xml:space="preserve">ويوفر معلومات عن </w:t>
      </w:r>
      <w:r w:rsidR="00AA2BB0">
        <w:rPr>
          <w:rFonts w:hint="cs"/>
          <w:rtl/>
        </w:rPr>
        <w:t xml:space="preserve">التقدم المحرز في تحقيق </w:t>
      </w:r>
      <w:r w:rsidR="00E8004D">
        <w:rPr>
          <w:rFonts w:hint="cs"/>
          <w:rtl/>
        </w:rPr>
        <w:t>النتائج المرتقبة</w:t>
      </w:r>
      <w:r w:rsidR="00AA2BB0">
        <w:rPr>
          <w:rFonts w:hint="cs"/>
          <w:rtl/>
        </w:rPr>
        <w:t xml:space="preserve">، بإجراء تغييرات تقتصر على </w:t>
      </w:r>
      <w:r w:rsidR="006203C2">
        <w:rPr>
          <w:rFonts w:hint="cs"/>
          <w:rtl/>
        </w:rPr>
        <w:t>ما يلزم</w:t>
      </w:r>
      <w:r w:rsidR="00AA2BB0">
        <w:rPr>
          <w:rFonts w:hint="cs"/>
          <w:rtl/>
        </w:rPr>
        <w:t xml:space="preserve"> لضمان الاتساق والتناسق مع تقرير الأداء </w:t>
      </w:r>
      <w:r w:rsidR="006203C2">
        <w:rPr>
          <w:rFonts w:hint="cs"/>
          <w:rtl/>
        </w:rPr>
        <w:t>المقترح ل</w:t>
      </w:r>
      <w:r w:rsidR="00AA2BB0">
        <w:rPr>
          <w:rFonts w:hint="cs"/>
          <w:rtl/>
        </w:rPr>
        <w:t>لثنائية.</w:t>
      </w:r>
    </w:p>
    <w:p w:rsidR="00FE7DE4" w:rsidRDefault="00AA2BB0" w:rsidP="006203C2">
      <w:pPr>
        <w:pStyle w:val="NormalParaAR"/>
        <w:keepNext/>
        <w:numPr>
          <w:ilvl w:val="0"/>
          <w:numId w:val="21"/>
        </w:numPr>
        <w:ind w:left="0" w:firstLine="0"/>
      </w:pPr>
      <w:r>
        <w:rPr>
          <w:rFonts w:hint="cs"/>
          <w:rtl/>
        </w:rPr>
        <w:t xml:space="preserve">وسيتألف النهج </w:t>
      </w:r>
      <w:r w:rsidR="006203C2">
        <w:rPr>
          <w:rFonts w:hint="cs"/>
          <w:rtl/>
        </w:rPr>
        <w:t xml:space="preserve">الرامي إلى </w:t>
      </w:r>
      <w:r>
        <w:rPr>
          <w:rFonts w:hint="cs"/>
          <w:rtl/>
        </w:rPr>
        <w:t>تحقيق هذا الهدف من الخطوات التالية:</w:t>
      </w:r>
    </w:p>
    <w:p w:rsidR="00AA2BB0" w:rsidRDefault="00FE7DE4" w:rsidP="006203C2">
      <w:pPr>
        <w:pStyle w:val="NormalParaAR"/>
        <w:numPr>
          <w:ilvl w:val="0"/>
          <w:numId w:val="43"/>
        </w:numPr>
        <w:ind w:left="1134" w:hanging="567"/>
      </w:pPr>
      <w:proofErr w:type="gramStart"/>
      <w:r>
        <w:rPr>
          <w:rFonts w:hint="cs"/>
          <w:rtl/>
        </w:rPr>
        <w:t>توزيع</w:t>
      </w:r>
      <w:proofErr w:type="gramEnd"/>
      <w:r>
        <w:rPr>
          <w:rFonts w:hint="cs"/>
          <w:rtl/>
        </w:rPr>
        <w:t xml:space="preserve"> استبيان على الدول الأعضاء لل</w:t>
      </w:r>
      <w:r w:rsidR="006203C2">
        <w:rPr>
          <w:rFonts w:hint="cs"/>
          <w:rtl/>
        </w:rPr>
        <w:t>حصول على ردود أفعالها بشأن مضمون المعلومات الواردة في</w:t>
      </w:r>
      <w:r>
        <w:rPr>
          <w:rFonts w:hint="cs"/>
          <w:rtl/>
        </w:rPr>
        <w:t xml:space="preserve"> التقارير الحالية وقابلية استخدامها وطريقة عرضها؛</w:t>
      </w:r>
    </w:p>
    <w:p w:rsidR="00FE7DE4" w:rsidRDefault="00FE7DE4" w:rsidP="006203C2">
      <w:pPr>
        <w:pStyle w:val="NormalParaAR"/>
        <w:numPr>
          <w:ilvl w:val="0"/>
          <w:numId w:val="43"/>
        </w:numPr>
        <w:ind w:left="1134" w:hanging="567"/>
      </w:pPr>
      <w:r>
        <w:rPr>
          <w:rFonts w:hint="cs"/>
          <w:rtl/>
        </w:rPr>
        <w:t>استكمال الدراسة التحليلية المعمقة ل</w:t>
      </w:r>
      <w:r w:rsidR="006203C2">
        <w:rPr>
          <w:rFonts w:hint="cs"/>
          <w:rtl/>
        </w:rPr>
        <w:t>مضمون</w:t>
      </w:r>
      <w:r>
        <w:rPr>
          <w:rFonts w:hint="cs"/>
          <w:rtl/>
        </w:rPr>
        <w:t xml:space="preserve"> </w:t>
      </w:r>
      <w:proofErr w:type="gramStart"/>
      <w:r>
        <w:rPr>
          <w:rFonts w:hint="cs"/>
          <w:rtl/>
        </w:rPr>
        <w:t>وصيغة</w:t>
      </w:r>
      <w:proofErr w:type="gramEnd"/>
      <w:r>
        <w:rPr>
          <w:rFonts w:hint="cs"/>
          <w:rtl/>
        </w:rPr>
        <w:t xml:space="preserve"> وطريقة عرض المعلومات الخاصة بالأداء والمالية في جميع التقارير المرفوعة إلى الدول الأعضاء؛</w:t>
      </w:r>
    </w:p>
    <w:p w:rsidR="00FE7DE4" w:rsidRDefault="00FE7DE4" w:rsidP="00E30624">
      <w:pPr>
        <w:pStyle w:val="NormalParaAR"/>
        <w:numPr>
          <w:ilvl w:val="0"/>
          <w:numId w:val="43"/>
        </w:numPr>
        <w:ind w:left="1134" w:hanging="567"/>
      </w:pPr>
      <w:r>
        <w:rPr>
          <w:rFonts w:hint="cs"/>
          <w:rtl/>
        </w:rPr>
        <w:t>استناداً إلى ردود الأفعال الواردة من الدول الأعضاء والتحليل الذي أ</w:t>
      </w:r>
      <w:r w:rsidR="006203C2">
        <w:rPr>
          <w:rFonts w:hint="cs"/>
          <w:rtl/>
        </w:rPr>
        <w:t>ُ</w:t>
      </w:r>
      <w:r>
        <w:rPr>
          <w:rFonts w:hint="cs"/>
          <w:rtl/>
        </w:rPr>
        <w:t>جري، وضع اقتراح مفصل بشأن تقرير أداء موحد للثنائية يضم م</w:t>
      </w:r>
      <w:r w:rsidR="00E30624">
        <w:rPr>
          <w:rFonts w:hint="cs"/>
          <w:rtl/>
        </w:rPr>
        <w:t>علومات عن البرامج والميزانية و</w:t>
      </w:r>
      <w:r>
        <w:rPr>
          <w:rFonts w:hint="cs"/>
          <w:rtl/>
        </w:rPr>
        <w:t xml:space="preserve">المالية؛ وسيضم هذا الاقتراح </w:t>
      </w:r>
      <w:r w:rsidR="006203C2">
        <w:rPr>
          <w:rFonts w:hint="cs"/>
          <w:rtl/>
        </w:rPr>
        <w:t>قائمة</w:t>
      </w:r>
      <w:r>
        <w:rPr>
          <w:rFonts w:hint="cs"/>
          <w:rtl/>
        </w:rPr>
        <w:t xml:space="preserve"> محتويات مفصل</w:t>
      </w:r>
      <w:r w:rsidR="006203C2">
        <w:rPr>
          <w:rFonts w:hint="cs"/>
          <w:rtl/>
        </w:rPr>
        <w:t>ة</w:t>
      </w:r>
      <w:r>
        <w:rPr>
          <w:rFonts w:hint="cs"/>
          <w:rtl/>
        </w:rPr>
        <w:t xml:space="preserve"> ونموذج للتقرير الذي سيم</w:t>
      </w:r>
      <w:r w:rsidR="006203C2">
        <w:rPr>
          <w:rFonts w:hint="cs"/>
          <w:rtl/>
        </w:rPr>
        <w:t xml:space="preserve">كن الدول الأعضاء من تقييم شكله وطريقة عرضه </w:t>
      </w:r>
      <w:r>
        <w:rPr>
          <w:rFonts w:hint="cs"/>
          <w:rtl/>
        </w:rPr>
        <w:t xml:space="preserve">فضلاً عن </w:t>
      </w:r>
      <w:r w:rsidR="006203C2">
        <w:rPr>
          <w:rFonts w:hint="cs"/>
          <w:rtl/>
        </w:rPr>
        <w:t>مضمونه</w:t>
      </w:r>
      <w:r w:rsidR="00E30624">
        <w:rPr>
          <w:rFonts w:hint="cs"/>
          <w:rtl/>
        </w:rPr>
        <w:t>؛</w:t>
      </w:r>
    </w:p>
    <w:p w:rsidR="00FE7DE4" w:rsidRDefault="00FE7DE4" w:rsidP="006203C2">
      <w:pPr>
        <w:pStyle w:val="NormalParaAR"/>
        <w:numPr>
          <w:ilvl w:val="0"/>
          <w:numId w:val="43"/>
        </w:numPr>
        <w:ind w:left="1134" w:hanging="567"/>
      </w:pPr>
      <w:r>
        <w:rPr>
          <w:rFonts w:hint="cs"/>
          <w:rtl/>
        </w:rPr>
        <w:t xml:space="preserve">عرض الاقتراح على الدول الأعضاء كي تنظر فيه خلال الدورة المقبلة للجنة البرنامج </w:t>
      </w:r>
      <w:proofErr w:type="gramStart"/>
      <w:r>
        <w:rPr>
          <w:rFonts w:hint="cs"/>
          <w:rtl/>
        </w:rPr>
        <w:t>والميزانية</w:t>
      </w:r>
      <w:proofErr w:type="gramEnd"/>
      <w:r>
        <w:rPr>
          <w:rFonts w:hint="cs"/>
          <w:rtl/>
        </w:rPr>
        <w:t>.</w:t>
      </w:r>
    </w:p>
    <w:p w:rsidR="00FE7DE4" w:rsidRPr="00FE7DE4" w:rsidRDefault="003665A3" w:rsidP="00FE7DE4">
      <w:pPr>
        <w:pStyle w:val="NormalParaAR"/>
        <w:keepNext/>
        <w:tabs>
          <w:tab w:val="left" w:pos="851"/>
          <w:tab w:val="left" w:pos="1134"/>
        </w:tabs>
        <w:rPr>
          <w:b/>
          <w:bCs/>
          <w:sz w:val="40"/>
          <w:szCs w:val="40"/>
        </w:rPr>
      </w:pPr>
      <w:r>
        <w:rPr>
          <w:rFonts w:hint="cs"/>
          <w:b/>
          <w:bCs/>
          <w:sz w:val="40"/>
          <w:szCs w:val="40"/>
          <w:rtl/>
        </w:rPr>
        <w:t>خامساً.</w:t>
      </w:r>
      <w:r>
        <w:rPr>
          <w:rFonts w:hint="cs"/>
          <w:b/>
          <w:bCs/>
          <w:sz w:val="40"/>
          <w:szCs w:val="40"/>
          <w:rtl/>
        </w:rPr>
        <w:tab/>
        <w:t>الفوائد</w:t>
      </w:r>
    </w:p>
    <w:p w:rsidR="00FE7DE4" w:rsidRDefault="00FE7DE4" w:rsidP="00E30624">
      <w:pPr>
        <w:pStyle w:val="NormalParaAR"/>
        <w:numPr>
          <w:ilvl w:val="0"/>
          <w:numId w:val="21"/>
        </w:numPr>
        <w:ind w:left="0" w:firstLine="0"/>
      </w:pPr>
      <w:proofErr w:type="gramStart"/>
      <w:r>
        <w:rPr>
          <w:rFonts w:hint="cs"/>
          <w:rtl/>
        </w:rPr>
        <w:t>إن</w:t>
      </w:r>
      <w:proofErr w:type="gramEnd"/>
      <w:r>
        <w:rPr>
          <w:rFonts w:hint="cs"/>
          <w:rtl/>
        </w:rPr>
        <w:t xml:space="preserve"> إدراج المعلومات </w:t>
      </w:r>
      <w:r w:rsidR="00E30624">
        <w:rPr>
          <w:rFonts w:hint="cs"/>
          <w:rtl/>
        </w:rPr>
        <w:t xml:space="preserve">الهامة بشأن </w:t>
      </w:r>
      <w:r>
        <w:rPr>
          <w:rFonts w:hint="cs"/>
          <w:rtl/>
        </w:rPr>
        <w:t>البرامج والميزانية والمالية في تقرير أداء شامل للثنائية سيمكن الدول الأعضاء من استعراض أداء المنظمة خلال الثنائية بصورة شاملة ومن ثم تعزيز الإدارة القائمة على النتائج والحوار الخاص بالأداء.</w:t>
      </w:r>
    </w:p>
    <w:p w:rsidR="00FE7DE4" w:rsidRDefault="00E30624" w:rsidP="00E30624">
      <w:pPr>
        <w:pStyle w:val="NormalParaAR"/>
        <w:numPr>
          <w:ilvl w:val="0"/>
          <w:numId w:val="21"/>
        </w:numPr>
        <w:ind w:left="0" w:firstLine="0"/>
      </w:pPr>
      <w:r>
        <w:rPr>
          <w:rFonts w:hint="cs"/>
          <w:rtl/>
        </w:rPr>
        <w:t xml:space="preserve">وستعزَّز طريقة </w:t>
      </w:r>
      <w:proofErr w:type="gramStart"/>
      <w:r>
        <w:rPr>
          <w:rFonts w:hint="cs"/>
          <w:rtl/>
        </w:rPr>
        <w:t>عرض</w:t>
      </w:r>
      <w:proofErr w:type="gramEnd"/>
      <w:r>
        <w:rPr>
          <w:rFonts w:hint="cs"/>
          <w:rtl/>
        </w:rPr>
        <w:t xml:space="preserve"> </w:t>
      </w:r>
      <w:r w:rsidR="00FE7DE4">
        <w:rPr>
          <w:rFonts w:hint="cs"/>
          <w:rtl/>
        </w:rPr>
        <w:t>التقارير وصيغتها استناداً إلى ردود أفعال الدول الأعضاء الواردة من خلال الدراسة الاستقصائية.</w:t>
      </w:r>
    </w:p>
    <w:p w:rsidR="00FE7DE4" w:rsidRDefault="00FE7DE4" w:rsidP="00FE7DE4">
      <w:pPr>
        <w:pStyle w:val="NormalParaAR"/>
        <w:numPr>
          <w:ilvl w:val="0"/>
          <w:numId w:val="21"/>
        </w:numPr>
        <w:ind w:left="0" w:firstLine="0"/>
      </w:pPr>
      <w:r>
        <w:rPr>
          <w:rFonts w:hint="cs"/>
          <w:rtl/>
        </w:rPr>
        <w:t>وسيحقق التخلص من الازدواجية وتقليص إجمالي عدد المطبوعات وفورات في تكاليف الترجمة والنشر.</w:t>
      </w:r>
    </w:p>
    <w:p w:rsidR="00FE7DE4" w:rsidRDefault="00FE7DE4" w:rsidP="00FE7DE4">
      <w:pPr>
        <w:pStyle w:val="NormalParaAR"/>
        <w:numPr>
          <w:ilvl w:val="0"/>
          <w:numId w:val="21"/>
        </w:numPr>
        <w:ind w:left="0" w:firstLine="0"/>
      </w:pPr>
      <w:proofErr w:type="gramStart"/>
      <w:r>
        <w:rPr>
          <w:rFonts w:hint="cs"/>
          <w:rtl/>
        </w:rPr>
        <w:t>وقد</w:t>
      </w:r>
      <w:proofErr w:type="gramEnd"/>
      <w:r>
        <w:rPr>
          <w:rFonts w:hint="cs"/>
          <w:rtl/>
        </w:rPr>
        <w:t xml:space="preserve"> تزداد الفوائد المحتملة من خلال وضع جدول أعمال أبسط للجنة البرنامج والميزانية نتيجة الانتقال إلى تقارير أكثر شمولية وتكاملاً.</w:t>
      </w:r>
    </w:p>
    <w:p w:rsidR="00FE7DE4" w:rsidRDefault="00E30624" w:rsidP="00E30624">
      <w:pPr>
        <w:pStyle w:val="NormalParaAR"/>
        <w:numPr>
          <w:ilvl w:val="0"/>
          <w:numId w:val="21"/>
        </w:numPr>
        <w:ind w:left="0" w:firstLine="0"/>
      </w:pPr>
      <w:r>
        <w:rPr>
          <w:rFonts w:hint="cs"/>
          <w:rtl/>
        </w:rPr>
        <w:t xml:space="preserve">وستُخفف الجهود اللازمة كي </w:t>
      </w:r>
      <w:proofErr w:type="gramStart"/>
      <w:r>
        <w:rPr>
          <w:rFonts w:hint="cs"/>
          <w:rtl/>
        </w:rPr>
        <w:t>تضع</w:t>
      </w:r>
      <w:proofErr w:type="gramEnd"/>
      <w:r>
        <w:rPr>
          <w:rFonts w:hint="cs"/>
          <w:rtl/>
        </w:rPr>
        <w:t xml:space="preserve"> الأمانة التقارير.</w:t>
      </w:r>
    </w:p>
    <w:p w:rsidR="00FE7DE4" w:rsidRDefault="00E30624" w:rsidP="008D4049">
      <w:pPr>
        <w:pStyle w:val="NormalParaAR"/>
        <w:keepNext/>
        <w:numPr>
          <w:ilvl w:val="0"/>
          <w:numId w:val="21"/>
        </w:numPr>
        <w:ind w:left="0" w:firstLine="0"/>
      </w:pPr>
      <w:r>
        <w:rPr>
          <w:rFonts w:hint="cs"/>
          <w:rtl/>
        </w:rPr>
        <w:lastRenderedPageBreak/>
        <w:t>و</w:t>
      </w:r>
      <w:r w:rsidR="00FE7DE4">
        <w:rPr>
          <w:rFonts w:hint="cs"/>
          <w:rtl/>
        </w:rPr>
        <w:t xml:space="preserve">فيما يلي </w:t>
      </w:r>
      <w:proofErr w:type="gramStart"/>
      <w:r w:rsidR="00FE7DE4">
        <w:rPr>
          <w:rFonts w:hint="cs"/>
          <w:rtl/>
        </w:rPr>
        <w:t>فقرة</w:t>
      </w:r>
      <w:proofErr w:type="gramEnd"/>
      <w:r w:rsidR="00FE7DE4">
        <w:rPr>
          <w:rFonts w:hint="cs"/>
          <w:rtl/>
        </w:rPr>
        <w:t xml:space="preserve"> القرار المقترح</w:t>
      </w:r>
      <w:r>
        <w:rPr>
          <w:rFonts w:hint="cs"/>
          <w:rtl/>
        </w:rPr>
        <w:t>ة</w:t>
      </w:r>
      <w:r w:rsidR="00FE7DE4">
        <w:rPr>
          <w:rFonts w:hint="cs"/>
          <w:rtl/>
        </w:rPr>
        <w:t>.</w:t>
      </w:r>
    </w:p>
    <w:p w:rsidR="00FE7DE4" w:rsidRPr="00E30624" w:rsidRDefault="00FE7DE4" w:rsidP="008D4049">
      <w:pPr>
        <w:pStyle w:val="NormalParaAR"/>
        <w:keepNext/>
        <w:numPr>
          <w:ilvl w:val="0"/>
          <w:numId w:val="21"/>
        </w:numPr>
        <w:ind w:left="5534" w:firstLine="0"/>
        <w:rPr>
          <w:i/>
          <w:iCs/>
        </w:rPr>
      </w:pPr>
      <w:r w:rsidRPr="00E30624">
        <w:rPr>
          <w:rFonts w:hint="cs"/>
          <w:i/>
          <w:iCs/>
          <w:rtl/>
        </w:rPr>
        <w:t xml:space="preserve">إن </w:t>
      </w:r>
      <w:r w:rsidR="00571EA4" w:rsidRPr="00E30624">
        <w:rPr>
          <w:rFonts w:hint="cs"/>
          <w:i/>
          <w:iCs/>
          <w:rtl/>
        </w:rPr>
        <w:t xml:space="preserve">لجنة البرنامج </w:t>
      </w:r>
      <w:proofErr w:type="gramStart"/>
      <w:r w:rsidR="00571EA4" w:rsidRPr="00E30624">
        <w:rPr>
          <w:rFonts w:hint="cs"/>
          <w:i/>
          <w:iCs/>
          <w:rtl/>
        </w:rPr>
        <w:t>والميزانية</w:t>
      </w:r>
      <w:proofErr w:type="gramEnd"/>
      <w:r w:rsidR="00571EA4" w:rsidRPr="00E30624">
        <w:rPr>
          <w:rFonts w:hint="cs"/>
          <w:i/>
          <w:iCs/>
          <w:rtl/>
        </w:rPr>
        <w:t xml:space="preserve">، بعد أن استعرضت الوثيقة </w:t>
      </w:r>
      <w:r w:rsidR="00571EA4" w:rsidRPr="00E30624">
        <w:rPr>
          <w:i/>
          <w:iCs/>
        </w:rPr>
        <w:t>WO/PBC/22/27</w:t>
      </w:r>
      <w:r w:rsidR="00571EA4" w:rsidRPr="00E30624">
        <w:rPr>
          <w:rFonts w:hint="cs"/>
          <w:i/>
          <w:iCs/>
          <w:rtl/>
        </w:rPr>
        <w:t>:</w:t>
      </w:r>
    </w:p>
    <w:p w:rsidR="00571EA4" w:rsidRPr="00E30624" w:rsidRDefault="00571EA4" w:rsidP="008D4049">
      <w:pPr>
        <w:pStyle w:val="NormalParaAR"/>
        <w:keepNext/>
        <w:numPr>
          <w:ilvl w:val="0"/>
          <w:numId w:val="45"/>
        </w:numPr>
        <w:ind w:left="6101" w:firstLine="0"/>
        <w:rPr>
          <w:i/>
          <w:iCs/>
        </w:rPr>
      </w:pPr>
      <w:r w:rsidRPr="00E30624">
        <w:rPr>
          <w:rFonts w:hint="cs"/>
          <w:i/>
          <w:iCs/>
          <w:rtl/>
        </w:rPr>
        <w:t>أقرت بالفرصة المتاحة لتحس</w:t>
      </w:r>
      <w:r w:rsidR="00E30624">
        <w:rPr>
          <w:rFonts w:hint="cs"/>
          <w:i/>
          <w:iCs/>
          <w:rtl/>
        </w:rPr>
        <w:t>ين</w:t>
      </w:r>
      <w:r w:rsidRPr="00E30624">
        <w:rPr>
          <w:rFonts w:hint="cs"/>
          <w:i/>
          <w:iCs/>
          <w:rtl/>
        </w:rPr>
        <w:t xml:space="preserve"> تقارير</w:t>
      </w:r>
      <w:r w:rsidR="00E30624">
        <w:rPr>
          <w:rFonts w:hint="eastAsia"/>
          <w:i/>
          <w:iCs/>
          <w:rtl/>
        </w:rPr>
        <w:t> </w:t>
      </w:r>
      <w:r w:rsidRPr="00E30624">
        <w:rPr>
          <w:rFonts w:hint="cs"/>
          <w:i/>
          <w:iCs/>
          <w:rtl/>
        </w:rPr>
        <w:t>الأداء والمالية للثنائية؛</w:t>
      </w:r>
    </w:p>
    <w:p w:rsidR="00571EA4" w:rsidRPr="00E30624" w:rsidRDefault="00571EA4" w:rsidP="008D4049">
      <w:pPr>
        <w:pStyle w:val="NormalParaAR"/>
        <w:keepNext/>
        <w:numPr>
          <w:ilvl w:val="0"/>
          <w:numId w:val="45"/>
        </w:numPr>
        <w:ind w:left="6101" w:firstLine="0"/>
        <w:rPr>
          <w:i/>
          <w:iCs/>
        </w:rPr>
      </w:pPr>
      <w:proofErr w:type="gramStart"/>
      <w:r w:rsidRPr="00E30624">
        <w:rPr>
          <w:rFonts w:hint="cs"/>
          <w:i/>
          <w:iCs/>
          <w:rtl/>
        </w:rPr>
        <w:t>ورحبت</w:t>
      </w:r>
      <w:proofErr w:type="gramEnd"/>
      <w:r w:rsidRPr="00E30624">
        <w:rPr>
          <w:rFonts w:hint="cs"/>
          <w:i/>
          <w:iCs/>
          <w:rtl/>
        </w:rPr>
        <w:t xml:space="preserve"> باقتراح الأمانة الانتقال إلى تقرير أداء شامل ومتكامل للثنائية؛</w:t>
      </w:r>
    </w:p>
    <w:p w:rsidR="00571EA4" w:rsidRPr="00E30624" w:rsidRDefault="00571EA4" w:rsidP="008D4049">
      <w:pPr>
        <w:pStyle w:val="NormalParaAR"/>
        <w:keepNext/>
        <w:keepLines/>
        <w:numPr>
          <w:ilvl w:val="0"/>
          <w:numId w:val="45"/>
        </w:numPr>
        <w:ind w:left="6101" w:firstLine="0"/>
        <w:rPr>
          <w:i/>
          <w:iCs/>
        </w:rPr>
      </w:pPr>
      <w:proofErr w:type="gramStart"/>
      <w:r w:rsidRPr="00E30624">
        <w:rPr>
          <w:rFonts w:hint="cs"/>
          <w:i/>
          <w:iCs/>
          <w:rtl/>
        </w:rPr>
        <w:t>وطلبت</w:t>
      </w:r>
      <w:proofErr w:type="gramEnd"/>
      <w:r w:rsidRPr="00E30624">
        <w:rPr>
          <w:rFonts w:hint="cs"/>
          <w:i/>
          <w:iCs/>
          <w:rtl/>
        </w:rPr>
        <w:t xml:space="preserve"> من الأمانة </w:t>
      </w:r>
      <w:r w:rsidR="00E30624">
        <w:rPr>
          <w:rFonts w:hint="cs"/>
          <w:i/>
          <w:iCs/>
          <w:rtl/>
        </w:rPr>
        <w:t>أن توافيها</w:t>
      </w:r>
      <w:r w:rsidRPr="00E30624">
        <w:rPr>
          <w:rFonts w:hint="cs"/>
          <w:i/>
          <w:iCs/>
          <w:rtl/>
        </w:rPr>
        <w:t xml:space="preserve"> </w:t>
      </w:r>
      <w:r w:rsidR="00E30624">
        <w:rPr>
          <w:rFonts w:hint="cs"/>
          <w:i/>
          <w:iCs/>
          <w:rtl/>
        </w:rPr>
        <w:t>ب</w:t>
      </w:r>
      <w:r w:rsidRPr="00E30624">
        <w:rPr>
          <w:rFonts w:hint="cs"/>
          <w:i/>
          <w:iCs/>
          <w:rtl/>
        </w:rPr>
        <w:t>اقتراح مفصل بشأن صيغة و</w:t>
      </w:r>
      <w:r w:rsidR="006203C2" w:rsidRPr="00E30624">
        <w:rPr>
          <w:rFonts w:hint="cs"/>
          <w:i/>
          <w:iCs/>
          <w:rtl/>
        </w:rPr>
        <w:t>مضمون</w:t>
      </w:r>
      <w:r w:rsidRPr="00E30624">
        <w:rPr>
          <w:rFonts w:hint="cs"/>
          <w:i/>
          <w:iCs/>
          <w:rtl/>
        </w:rPr>
        <w:t xml:space="preserve"> هذا التقرير في دورتها المقبلة، مع مراعاة ردود أفعال الدول الأعضاء الواردة من خلال دراسة استقصائية منظمة.</w:t>
      </w:r>
    </w:p>
    <w:p w:rsidR="00571EA4" w:rsidRPr="00FE7DE4" w:rsidRDefault="00571EA4" w:rsidP="00E30624">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C708FE" w:rsidRPr="00C708FE" w:rsidRDefault="00C708FE" w:rsidP="00C708FE">
      <w:pPr>
        <w:spacing w:after="220"/>
        <w:ind w:left="5533"/>
        <w:rPr>
          <w:rFonts w:eastAsia="SimSun"/>
          <w:lang w:eastAsia="zh-CN"/>
        </w:rPr>
      </w:pPr>
    </w:p>
    <w:p w:rsidR="00C708FE" w:rsidRPr="00C708FE" w:rsidRDefault="00C708FE" w:rsidP="00C708FE">
      <w:pPr>
        <w:spacing w:after="220"/>
        <w:ind w:left="5533"/>
        <w:rPr>
          <w:rFonts w:eastAsia="SimSun"/>
          <w:i/>
          <w:lang w:eastAsia="zh-CN"/>
        </w:rPr>
        <w:sectPr w:rsidR="00C708FE" w:rsidRPr="00C708FE" w:rsidSect="00F37106">
          <w:headerReference w:type="default" r:id="rId11"/>
          <w:endnotePr>
            <w:numFmt w:val="decimal"/>
          </w:endnotePr>
          <w:pgSz w:w="11907" w:h="16840" w:code="9"/>
          <w:pgMar w:top="567" w:right="1134" w:bottom="851" w:left="1418" w:header="510" w:footer="1021" w:gutter="0"/>
          <w:cols w:space="720"/>
          <w:titlePg/>
          <w:docGrid w:linePitch="299"/>
        </w:sectPr>
      </w:pPr>
    </w:p>
    <w:p w:rsidR="00675BE9" w:rsidRDefault="0079561D" w:rsidP="00675BE9">
      <w:pPr>
        <w:keepNext/>
        <w:tabs>
          <w:tab w:val="left" w:pos="3085"/>
          <w:tab w:val="left" w:pos="5989"/>
          <w:tab w:val="left" w:pos="7616"/>
        </w:tabs>
        <w:autoSpaceDE w:val="0"/>
        <w:autoSpaceDN w:val="0"/>
        <w:bidi/>
        <w:adjustRightInd w:val="0"/>
        <w:spacing w:line="360" w:lineRule="exact"/>
        <w:jc w:val="center"/>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lastRenderedPageBreak/>
        <w:t>توزيع</w:t>
      </w:r>
      <w:r w:rsidR="00E63420" w:rsidRPr="00E63420">
        <w:rPr>
          <w:rFonts w:ascii="Arabic Typesetting" w:hAnsi="Arabic Typesetting" w:cs="Arabic Typesetting"/>
          <w:b/>
          <w:bCs/>
          <w:color w:val="000000"/>
          <w:sz w:val="36"/>
          <w:szCs w:val="36"/>
          <w:rtl/>
        </w:rPr>
        <w:t xml:space="preserve"> المعلومات الواردة في تقرير الإدارة </w:t>
      </w:r>
      <w:proofErr w:type="gramStart"/>
      <w:r w:rsidR="00E63420" w:rsidRPr="00E63420">
        <w:rPr>
          <w:rFonts w:ascii="Arabic Typesetting" w:hAnsi="Arabic Typesetting" w:cs="Arabic Typesetting"/>
          <w:b/>
          <w:bCs/>
          <w:color w:val="000000"/>
          <w:sz w:val="36"/>
          <w:szCs w:val="36"/>
          <w:rtl/>
        </w:rPr>
        <w:t>المالية</w:t>
      </w:r>
      <w:proofErr w:type="gramEnd"/>
      <w:r w:rsidR="00E63420" w:rsidRPr="00E63420">
        <w:rPr>
          <w:rFonts w:ascii="Arabic Typesetting" w:hAnsi="Arabic Typesetting" w:cs="Arabic Typesetting"/>
          <w:b/>
          <w:bCs/>
          <w:color w:val="000000"/>
          <w:sz w:val="36"/>
          <w:szCs w:val="36"/>
          <w:rtl/>
        </w:rPr>
        <w:t xml:space="preserve"> والبيانات المالية وتقرير أداء البرنامج</w:t>
      </w:r>
    </w:p>
    <w:p w:rsidR="00C708FE" w:rsidRPr="00E63420" w:rsidRDefault="00E63420" w:rsidP="00675BE9">
      <w:pPr>
        <w:keepNext/>
        <w:tabs>
          <w:tab w:val="left" w:pos="3085"/>
          <w:tab w:val="left" w:pos="5989"/>
          <w:tab w:val="left" w:pos="7616"/>
        </w:tabs>
        <w:autoSpaceDE w:val="0"/>
        <w:autoSpaceDN w:val="0"/>
        <w:bidi/>
        <w:adjustRightInd w:val="0"/>
        <w:spacing w:after="240" w:line="360" w:lineRule="exact"/>
        <w:jc w:val="center"/>
        <w:rPr>
          <w:rFonts w:ascii="Arabic Typesetting" w:hAnsi="Arabic Typesetting" w:cs="Arabic Typesetting"/>
          <w:b/>
          <w:bCs/>
          <w:color w:val="000000"/>
          <w:sz w:val="36"/>
          <w:szCs w:val="36"/>
        </w:rPr>
      </w:pPr>
      <w:r w:rsidRPr="00E63420">
        <w:rPr>
          <w:rFonts w:ascii="Arabic Typesetting" w:hAnsi="Arabic Typesetting" w:cs="Arabic Typesetting"/>
          <w:b/>
          <w:bCs/>
          <w:color w:val="000000"/>
          <w:sz w:val="36"/>
          <w:szCs w:val="36"/>
          <w:rtl/>
        </w:rPr>
        <w:t xml:space="preserve">والمعلومات المتداخلة مع تقرير الإدارة </w:t>
      </w:r>
      <w:proofErr w:type="gramStart"/>
      <w:r w:rsidRPr="00E63420">
        <w:rPr>
          <w:rFonts w:ascii="Arabic Typesetting" w:hAnsi="Arabic Typesetting" w:cs="Arabic Typesetting"/>
          <w:b/>
          <w:bCs/>
          <w:color w:val="000000"/>
          <w:sz w:val="36"/>
          <w:szCs w:val="36"/>
          <w:rtl/>
        </w:rPr>
        <w:t>المالية</w:t>
      </w:r>
      <w:proofErr w:type="gramEnd"/>
    </w:p>
    <w:tbl>
      <w:tblPr>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00" w:firstRow="0" w:lastRow="0" w:firstColumn="0" w:lastColumn="0" w:noHBand="0" w:noVBand="0"/>
      </w:tblPr>
      <w:tblGrid>
        <w:gridCol w:w="3381"/>
        <w:gridCol w:w="1824"/>
        <w:gridCol w:w="2466"/>
        <w:gridCol w:w="3686"/>
        <w:gridCol w:w="2068"/>
        <w:gridCol w:w="1646"/>
      </w:tblGrid>
      <w:tr w:rsidR="00C708FE" w:rsidRPr="00D73CFF" w:rsidTr="00313382">
        <w:trPr>
          <w:cantSplit/>
          <w:tblHeader/>
        </w:trPr>
        <w:tc>
          <w:tcPr>
            <w:tcW w:w="1122" w:type="pct"/>
            <w:tcBorders>
              <w:top w:val="single" w:sz="4" w:space="0" w:color="808080" w:themeColor="background1" w:themeShade="80"/>
              <w:left w:val="nil"/>
              <w:bottom w:val="single" w:sz="4" w:space="0" w:color="808080" w:themeColor="background1" w:themeShade="80"/>
            </w:tcBorders>
          </w:tcPr>
          <w:p w:rsidR="00C708FE" w:rsidRPr="00D73CFF" w:rsidRDefault="00DA4FE9" w:rsidP="00313382">
            <w:pPr>
              <w:autoSpaceDE w:val="0"/>
              <w:autoSpaceDN w:val="0"/>
              <w:bidi/>
              <w:adjustRightInd w:val="0"/>
              <w:spacing w:before="120" w:after="12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 xml:space="preserve">معلومات في تقرير الإدارة المالية </w:t>
            </w:r>
            <w:proofErr w:type="gramStart"/>
            <w:r w:rsidRPr="00D73CFF">
              <w:rPr>
                <w:rFonts w:ascii="Arabic Typesetting" w:hAnsi="Arabic Typesetting" w:cs="Arabic Typesetting"/>
                <w:color w:val="000000"/>
                <w:sz w:val="28"/>
                <w:szCs w:val="28"/>
                <w:rtl/>
              </w:rPr>
              <w:t>فقط</w:t>
            </w:r>
            <w:proofErr w:type="gramEnd"/>
          </w:p>
        </w:tc>
        <w:tc>
          <w:tcPr>
            <w:tcW w:w="605" w:type="pct"/>
            <w:tcBorders>
              <w:top w:val="single" w:sz="4" w:space="0" w:color="808080" w:themeColor="background1" w:themeShade="80"/>
              <w:bottom w:val="single" w:sz="4" w:space="0" w:color="808080" w:themeColor="background1" w:themeShade="80"/>
            </w:tcBorders>
            <w:shd w:val="clear" w:color="auto" w:fill="FFFFFF"/>
          </w:tcPr>
          <w:p w:rsidR="002712D1" w:rsidRDefault="00DA4FE9" w:rsidP="002712D1">
            <w:pPr>
              <w:autoSpaceDE w:val="0"/>
              <w:autoSpaceDN w:val="0"/>
              <w:bidi/>
              <w:adjustRightInd w:val="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معلومات</w:t>
            </w:r>
            <w:proofErr w:type="gramEnd"/>
            <w:r w:rsidRPr="00D73CFF">
              <w:rPr>
                <w:rFonts w:ascii="Arabic Typesetting" w:hAnsi="Arabic Typesetting" w:cs="Arabic Typesetting"/>
                <w:color w:val="000000"/>
                <w:sz w:val="28"/>
                <w:szCs w:val="28"/>
                <w:rtl/>
              </w:rPr>
              <w:t xml:space="preserve"> </w:t>
            </w:r>
            <w:r w:rsidR="0079561D">
              <w:rPr>
                <w:rFonts w:ascii="Arabic Typesetting" w:hAnsi="Arabic Typesetting" w:cs="Arabic Typesetting" w:hint="cs"/>
                <w:color w:val="000000"/>
                <w:sz w:val="28"/>
                <w:szCs w:val="28"/>
                <w:rtl/>
              </w:rPr>
              <w:t>في</w:t>
            </w:r>
          </w:p>
          <w:p w:rsidR="00C708FE" w:rsidRPr="00D73CFF" w:rsidRDefault="00DA4FE9" w:rsidP="002712D1">
            <w:pPr>
              <w:autoSpaceDE w:val="0"/>
              <w:autoSpaceDN w:val="0"/>
              <w:bidi/>
              <w:adjustRightInd w:val="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 xml:space="preserve">البيانات المالية </w:t>
            </w:r>
            <w:proofErr w:type="gramStart"/>
            <w:r w:rsidRPr="00D73CFF">
              <w:rPr>
                <w:rFonts w:ascii="Arabic Typesetting" w:hAnsi="Arabic Typesetting" w:cs="Arabic Typesetting"/>
                <w:color w:val="000000"/>
                <w:sz w:val="28"/>
                <w:szCs w:val="28"/>
                <w:rtl/>
              </w:rPr>
              <w:t>فقط</w:t>
            </w:r>
            <w:proofErr w:type="gramEnd"/>
          </w:p>
        </w:tc>
        <w:tc>
          <w:tcPr>
            <w:tcW w:w="818" w:type="pct"/>
            <w:tcBorders>
              <w:top w:val="single" w:sz="4" w:space="0" w:color="808080" w:themeColor="background1" w:themeShade="80"/>
              <w:bottom w:val="single" w:sz="4" w:space="0" w:color="808080" w:themeColor="background1" w:themeShade="80"/>
            </w:tcBorders>
            <w:shd w:val="clear" w:color="auto" w:fill="FFFFFF"/>
          </w:tcPr>
          <w:p w:rsidR="002712D1" w:rsidRDefault="00DA4FE9" w:rsidP="002712D1">
            <w:pPr>
              <w:autoSpaceDE w:val="0"/>
              <w:autoSpaceDN w:val="0"/>
              <w:bidi/>
              <w:adjustRightInd w:val="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معلومات</w:t>
            </w:r>
            <w:proofErr w:type="gramEnd"/>
            <w:r w:rsidRPr="00D73CFF">
              <w:rPr>
                <w:rFonts w:ascii="Arabic Typesetting" w:hAnsi="Arabic Typesetting" w:cs="Arabic Typesetting"/>
                <w:color w:val="000000"/>
                <w:sz w:val="28"/>
                <w:szCs w:val="28"/>
                <w:rtl/>
              </w:rPr>
              <w:t xml:space="preserve"> في</w:t>
            </w:r>
          </w:p>
          <w:p w:rsidR="00C708FE" w:rsidRPr="00D73CFF" w:rsidRDefault="00DA4FE9" w:rsidP="002712D1">
            <w:pPr>
              <w:autoSpaceDE w:val="0"/>
              <w:autoSpaceDN w:val="0"/>
              <w:bidi/>
              <w:adjustRightInd w:val="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تقرير</w:t>
            </w:r>
            <w:proofErr w:type="gramEnd"/>
            <w:r w:rsidRPr="00D73CFF">
              <w:rPr>
                <w:rFonts w:ascii="Arabic Typesetting" w:hAnsi="Arabic Typesetting" w:cs="Arabic Typesetting"/>
                <w:color w:val="000000"/>
                <w:sz w:val="28"/>
                <w:szCs w:val="28"/>
                <w:rtl/>
              </w:rPr>
              <w:t xml:space="preserve"> أداء البرنامج فقط</w:t>
            </w:r>
          </w:p>
        </w:tc>
        <w:tc>
          <w:tcPr>
            <w:tcW w:w="1223" w:type="pct"/>
            <w:tcBorders>
              <w:top w:val="single" w:sz="4" w:space="0" w:color="808080" w:themeColor="background1" w:themeShade="80"/>
              <w:bottom w:val="single" w:sz="4" w:space="0" w:color="808080" w:themeColor="background1" w:themeShade="80"/>
            </w:tcBorders>
            <w:shd w:val="clear" w:color="auto" w:fill="B6DDE8" w:themeFill="accent5" w:themeFillTint="66"/>
          </w:tcPr>
          <w:p w:rsidR="00C708FE" w:rsidRPr="00D73CFF" w:rsidRDefault="00DA4FE9" w:rsidP="00313382">
            <w:pPr>
              <w:autoSpaceDE w:val="0"/>
              <w:autoSpaceDN w:val="0"/>
              <w:bidi/>
              <w:adjustRightInd w:val="0"/>
              <w:spacing w:before="120" w:after="12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تداخل</w:t>
            </w:r>
            <w:proofErr w:type="gramEnd"/>
            <w:r w:rsidRPr="00D73CFF">
              <w:rPr>
                <w:rFonts w:ascii="Arabic Typesetting" w:hAnsi="Arabic Typesetting" w:cs="Arabic Typesetting"/>
                <w:color w:val="000000"/>
                <w:sz w:val="28"/>
                <w:szCs w:val="28"/>
                <w:rtl/>
              </w:rPr>
              <w:t xml:space="preserve"> المعلومات بين تقرير الإدارة المالية والبيانات المالية</w:t>
            </w:r>
            <w:r w:rsidR="00C708FE" w:rsidRPr="00D73CFF">
              <w:rPr>
                <w:rFonts w:ascii="Arabic Typesetting" w:hAnsi="Arabic Typesetting" w:cs="Arabic Typesetting"/>
                <w:color w:val="000000"/>
                <w:sz w:val="28"/>
                <w:szCs w:val="28"/>
                <w:vertAlign w:val="superscript"/>
              </w:rPr>
              <w:footnoteReference w:id="1"/>
            </w:r>
          </w:p>
        </w:tc>
        <w:tc>
          <w:tcPr>
            <w:tcW w:w="686" w:type="pct"/>
            <w:tcBorders>
              <w:top w:val="single" w:sz="4" w:space="0" w:color="808080" w:themeColor="background1" w:themeShade="80"/>
              <w:bottom w:val="single" w:sz="4" w:space="0" w:color="808080" w:themeColor="background1" w:themeShade="80"/>
            </w:tcBorders>
            <w:shd w:val="clear" w:color="auto" w:fill="FDE9D9" w:themeFill="accent6" w:themeFillTint="33"/>
          </w:tcPr>
          <w:p w:rsidR="00C708FE" w:rsidRPr="00D73CFF" w:rsidRDefault="00DA4FE9" w:rsidP="00313382">
            <w:pPr>
              <w:autoSpaceDE w:val="0"/>
              <w:autoSpaceDN w:val="0"/>
              <w:bidi/>
              <w:adjustRightInd w:val="0"/>
              <w:spacing w:before="120" w:after="120"/>
              <w:rPr>
                <w:rFonts w:ascii="Arabic Typesetting" w:hAnsi="Arabic Typesetting" w:cs="Arabic Typesetting"/>
                <w:color w:val="000000"/>
                <w:spacing w:val="-2"/>
                <w:sz w:val="28"/>
                <w:szCs w:val="28"/>
              </w:rPr>
            </w:pPr>
            <w:proofErr w:type="gramStart"/>
            <w:r w:rsidRPr="00D73CFF">
              <w:rPr>
                <w:rFonts w:ascii="Arabic Typesetting" w:hAnsi="Arabic Typesetting" w:cs="Arabic Typesetting"/>
                <w:color w:val="000000"/>
                <w:spacing w:val="-2"/>
                <w:sz w:val="28"/>
                <w:szCs w:val="28"/>
                <w:rtl/>
              </w:rPr>
              <w:t>تداخل</w:t>
            </w:r>
            <w:proofErr w:type="gramEnd"/>
            <w:r w:rsidRPr="00D73CFF">
              <w:rPr>
                <w:rFonts w:ascii="Arabic Typesetting" w:hAnsi="Arabic Typesetting" w:cs="Arabic Typesetting"/>
                <w:color w:val="000000"/>
                <w:spacing w:val="-2"/>
                <w:sz w:val="28"/>
                <w:szCs w:val="28"/>
                <w:rtl/>
              </w:rPr>
              <w:t xml:space="preserve"> المعلومات بين تقرير الإدارة المالية ووثائق أخرى</w:t>
            </w:r>
          </w:p>
        </w:tc>
        <w:tc>
          <w:tcPr>
            <w:tcW w:w="546" w:type="pct"/>
            <w:tcBorders>
              <w:top w:val="single" w:sz="4" w:space="0" w:color="808080" w:themeColor="background1" w:themeShade="80"/>
              <w:bottom w:val="single" w:sz="4" w:space="0" w:color="808080" w:themeColor="background1" w:themeShade="80"/>
              <w:right w:val="nil"/>
            </w:tcBorders>
            <w:shd w:val="clear" w:color="auto" w:fill="FFFFCC"/>
          </w:tcPr>
          <w:p w:rsidR="00C708FE" w:rsidRPr="00D73CFF" w:rsidRDefault="00DA4FE9" w:rsidP="00313382">
            <w:pPr>
              <w:autoSpaceDE w:val="0"/>
              <w:autoSpaceDN w:val="0"/>
              <w:bidi/>
              <w:adjustRightInd w:val="0"/>
              <w:spacing w:before="120" w:after="12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تداخل</w:t>
            </w:r>
            <w:proofErr w:type="gramEnd"/>
            <w:r w:rsidRPr="00D73CFF">
              <w:rPr>
                <w:rFonts w:ascii="Arabic Typesetting" w:hAnsi="Arabic Typesetting" w:cs="Arabic Typesetting"/>
                <w:color w:val="000000"/>
                <w:sz w:val="28"/>
                <w:szCs w:val="28"/>
                <w:rtl/>
              </w:rPr>
              <w:t xml:space="preserve"> المعلومات بين تقرير الإدارة المالية وتقرير أداء البرنامج</w:t>
            </w:r>
          </w:p>
        </w:tc>
      </w:tr>
      <w:tr w:rsidR="00C708FE" w:rsidRPr="00D73CFF" w:rsidTr="00313382">
        <w:trPr>
          <w:cantSplit/>
        </w:trPr>
        <w:tc>
          <w:tcPr>
            <w:tcW w:w="1122" w:type="pct"/>
            <w:tcBorders>
              <w:top w:val="single" w:sz="4" w:space="0" w:color="808080" w:themeColor="background1" w:themeShade="80"/>
              <w:left w:val="nil"/>
            </w:tcBorders>
          </w:tcPr>
          <w:p w:rsidR="00C708FE" w:rsidRPr="00D73CFF" w:rsidRDefault="00D24AB3" w:rsidP="001F23DA">
            <w:pPr>
              <w:autoSpaceDE w:val="0"/>
              <w:autoSpaceDN w:val="0"/>
              <w:bidi/>
              <w:adjustRightInd w:val="0"/>
              <w:spacing w:before="120"/>
              <w:rPr>
                <w:rFonts w:ascii="Arabic Typesetting" w:hAnsi="Arabic Typesetting" w:cs="Arabic Typesetting"/>
                <w:b/>
                <w:bCs/>
                <w:color w:val="000000"/>
                <w:sz w:val="28"/>
                <w:szCs w:val="28"/>
                <w:u w:val="single"/>
              </w:rPr>
            </w:pPr>
            <w:r w:rsidRPr="00D73CFF">
              <w:rPr>
                <w:rFonts w:ascii="Arabic Typesetting" w:hAnsi="Arabic Typesetting" w:cs="Arabic Typesetting"/>
                <w:b/>
                <w:bCs/>
                <w:color w:val="000000"/>
                <w:sz w:val="28"/>
                <w:szCs w:val="28"/>
                <w:u w:val="single"/>
                <w:rtl/>
              </w:rPr>
              <w:t>ملخص النتائج بحسب كل اتحاد</w:t>
            </w:r>
          </w:p>
        </w:tc>
        <w:tc>
          <w:tcPr>
            <w:tcW w:w="605" w:type="pct"/>
            <w:tcBorders>
              <w:top w:val="single" w:sz="4" w:space="0" w:color="808080" w:themeColor="background1" w:themeShade="80"/>
            </w:tcBorders>
            <w:shd w:val="clear" w:color="auto" w:fill="FFFFFF"/>
          </w:tcPr>
          <w:p w:rsidR="00C708FE" w:rsidRPr="00D73CFF" w:rsidRDefault="00C708FE" w:rsidP="001F23DA">
            <w:pPr>
              <w:autoSpaceDE w:val="0"/>
              <w:autoSpaceDN w:val="0"/>
              <w:bidi/>
              <w:adjustRightInd w:val="0"/>
              <w:spacing w:before="120"/>
              <w:rPr>
                <w:rFonts w:ascii="Arabic Typesetting" w:hAnsi="Arabic Typesetting" w:cs="Arabic Typesetting"/>
                <w:color w:val="000000"/>
                <w:sz w:val="28"/>
                <w:szCs w:val="28"/>
              </w:rPr>
            </w:pPr>
          </w:p>
        </w:tc>
        <w:tc>
          <w:tcPr>
            <w:tcW w:w="818" w:type="pct"/>
            <w:tcBorders>
              <w:top w:val="single" w:sz="4" w:space="0" w:color="808080" w:themeColor="background1" w:themeShade="80"/>
            </w:tcBorders>
            <w:shd w:val="clear" w:color="auto" w:fill="FFFFFF"/>
          </w:tcPr>
          <w:p w:rsidR="00C708FE" w:rsidRPr="00D73CFF" w:rsidRDefault="00C708FE" w:rsidP="001F23DA">
            <w:pPr>
              <w:autoSpaceDE w:val="0"/>
              <w:autoSpaceDN w:val="0"/>
              <w:bidi/>
              <w:adjustRightInd w:val="0"/>
              <w:spacing w:before="120"/>
              <w:rPr>
                <w:rFonts w:ascii="Arabic Typesetting" w:hAnsi="Arabic Typesetting" w:cs="Arabic Typesetting"/>
                <w:color w:val="000000"/>
                <w:sz w:val="28"/>
                <w:szCs w:val="28"/>
              </w:rPr>
            </w:pPr>
          </w:p>
        </w:tc>
        <w:tc>
          <w:tcPr>
            <w:tcW w:w="1223" w:type="pct"/>
            <w:tcBorders>
              <w:top w:val="single" w:sz="4" w:space="0" w:color="808080" w:themeColor="background1" w:themeShade="80"/>
            </w:tcBorders>
            <w:shd w:val="clear" w:color="auto" w:fill="B6DDE8" w:themeFill="accent5" w:themeFillTint="66"/>
          </w:tcPr>
          <w:p w:rsidR="00C708FE" w:rsidRPr="00D73CFF" w:rsidRDefault="00D24AB3" w:rsidP="001F23DA">
            <w:pPr>
              <w:autoSpaceDE w:val="0"/>
              <w:autoSpaceDN w:val="0"/>
              <w:bidi/>
              <w:adjustRightInd w:val="0"/>
              <w:spacing w:before="12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النتائج بحسب كل اتحاد</w:t>
            </w:r>
          </w:p>
        </w:tc>
        <w:tc>
          <w:tcPr>
            <w:tcW w:w="686" w:type="pct"/>
            <w:tcBorders>
              <w:top w:val="single" w:sz="4" w:space="0" w:color="808080" w:themeColor="background1" w:themeShade="80"/>
            </w:tcBorders>
            <w:shd w:val="clear" w:color="auto" w:fill="FDE9D9" w:themeFill="accent6" w:themeFillTint="33"/>
          </w:tcPr>
          <w:p w:rsidR="00C708FE" w:rsidRPr="00D73CFF" w:rsidRDefault="00C708FE" w:rsidP="001F23DA">
            <w:pPr>
              <w:autoSpaceDE w:val="0"/>
              <w:autoSpaceDN w:val="0"/>
              <w:bidi/>
              <w:adjustRightInd w:val="0"/>
              <w:spacing w:before="120"/>
              <w:rPr>
                <w:rFonts w:ascii="Arabic Typesetting" w:hAnsi="Arabic Typesetting" w:cs="Arabic Typesetting"/>
                <w:color w:val="000000"/>
                <w:sz w:val="28"/>
                <w:szCs w:val="28"/>
              </w:rPr>
            </w:pPr>
          </w:p>
        </w:tc>
        <w:tc>
          <w:tcPr>
            <w:tcW w:w="546" w:type="pct"/>
            <w:tcBorders>
              <w:top w:val="single" w:sz="4" w:space="0" w:color="808080" w:themeColor="background1" w:themeShade="80"/>
              <w:right w:val="nil"/>
            </w:tcBorders>
            <w:shd w:val="clear" w:color="auto" w:fill="FFFFCC"/>
          </w:tcPr>
          <w:p w:rsidR="00C708FE" w:rsidRPr="00D73CFF" w:rsidRDefault="00C708FE" w:rsidP="001F23DA">
            <w:pPr>
              <w:autoSpaceDE w:val="0"/>
              <w:autoSpaceDN w:val="0"/>
              <w:bidi/>
              <w:adjustRightInd w:val="0"/>
              <w:spacing w:before="12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الاحتياطي</w:t>
            </w:r>
            <w:r w:rsidR="000F5A48" w:rsidRPr="00D73CFF">
              <w:rPr>
                <w:rFonts w:ascii="Arabic Typesetting" w:hAnsi="Arabic Typesetting" w:cs="Arabic Typesetting"/>
                <w:color w:val="000000"/>
                <w:sz w:val="28"/>
                <w:szCs w:val="28"/>
                <w:rtl/>
              </w:rPr>
              <w:t xml:space="preserve"> وصناديق رؤوس الأموال العاملة</w:t>
            </w:r>
            <w:r w:rsidRPr="00D73CFF">
              <w:rPr>
                <w:rFonts w:ascii="Arabic Typesetting" w:hAnsi="Arabic Typesetting" w:cs="Arabic Typesetting"/>
                <w:color w:val="000000"/>
                <w:sz w:val="28"/>
                <w:szCs w:val="28"/>
                <w:rtl/>
              </w:rPr>
              <w:t xml:space="preserve"> بحسب </w:t>
            </w:r>
            <w:r w:rsidR="00E63420" w:rsidRPr="00D73CFF">
              <w:rPr>
                <w:rFonts w:ascii="Arabic Typesetting" w:hAnsi="Arabic Typesetting" w:cs="Arabic Typesetting"/>
                <w:color w:val="000000"/>
                <w:sz w:val="28"/>
                <w:szCs w:val="28"/>
                <w:rtl/>
              </w:rPr>
              <w:t>كل اتحاد في نهاية العام</w:t>
            </w: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A31E3F" w:rsidRDefault="00D24AB3" w:rsidP="00A31E3F">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الإيرادات والنفقات بحسب كل اتحاد – الثنائية</w:t>
            </w:r>
          </w:p>
          <w:p w:rsidR="00C708FE" w:rsidRPr="00D73CFF" w:rsidRDefault="00D24AB3" w:rsidP="00A31E3F">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w:t>
            </w:r>
            <w:proofErr w:type="gramStart"/>
            <w:r w:rsidRPr="00D73CFF">
              <w:rPr>
                <w:rFonts w:ascii="Arabic Typesetting" w:hAnsi="Arabic Typesetting" w:cs="Arabic Typesetting"/>
                <w:color w:val="000000"/>
                <w:sz w:val="28"/>
                <w:szCs w:val="28"/>
                <w:rtl/>
              </w:rPr>
              <w:t>على</w:t>
            </w:r>
            <w:proofErr w:type="gramEnd"/>
            <w:r w:rsidRPr="00D73CFF">
              <w:rPr>
                <w:rFonts w:ascii="Arabic Typesetting" w:hAnsi="Arabic Typesetting" w:cs="Arabic Typesetting"/>
                <w:color w:val="000000"/>
                <w:sz w:val="28"/>
                <w:szCs w:val="28"/>
                <w:rtl/>
              </w:rPr>
              <w:t xml:space="preserve"> أساس الميزانية)</w:t>
            </w:r>
          </w:p>
        </w:tc>
        <w:tc>
          <w:tcPr>
            <w:tcW w:w="686" w:type="pct"/>
            <w:shd w:val="clear" w:color="auto" w:fill="FDE9D9" w:themeFill="accent6" w:themeFillTint="33"/>
          </w:tcPr>
          <w:p w:rsidR="00C708FE"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الاعتمادات المخصَّصة من الأموال الاحتياطية</w:t>
            </w: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E63420" w:rsidP="001F23DA">
            <w:pPr>
              <w:autoSpaceDE w:val="0"/>
              <w:autoSpaceDN w:val="0"/>
              <w:bidi/>
              <w:adjustRightInd w:val="0"/>
              <w:spacing w:before="60"/>
              <w:rPr>
                <w:rFonts w:ascii="Arabic Typesetting" w:hAnsi="Arabic Typesetting" w:cs="Arabic Typesetting"/>
                <w:b/>
                <w:bCs/>
                <w:color w:val="000000"/>
                <w:sz w:val="28"/>
                <w:szCs w:val="28"/>
                <w:u w:val="single"/>
              </w:rPr>
            </w:pPr>
            <w:r w:rsidRPr="00D73CFF">
              <w:rPr>
                <w:rFonts w:ascii="Arabic Typesetting" w:hAnsi="Arabic Typesetting" w:cs="Arabic Typesetting"/>
                <w:b/>
                <w:bCs/>
                <w:color w:val="000000"/>
                <w:sz w:val="28"/>
                <w:szCs w:val="28"/>
                <w:u w:val="single"/>
                <w:rtl/>
              </w:rPr>
              <w:t>الميزانية</w:t>
            </w: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E63420" w:rsidP="0079561D">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تقرير عن الوظائف وعدد العاملين بحسب كل برنامج</w:t>
            </w:r>
            <w:r w:rsidR="0079561D">
              <w:rPr>
                <w:rFonts w:ascii="Arabic Typesetting" w:hAnsi="Arabic Typesetting" w:cs="Arabic Typesetting" w:hint="cs"/>
                <w:color w:val="000000"/>
                <w:sz w:val="28"/>
                <w:szCs w:val="28"/>
                <w:rtl/>
              </w:rPr>
              <w:t> </w:t>
            </w:r>
            <w:r w:rsidRPr="00D73CFF">
              <w:rPr>
                <w:rFonts w:ascii="Arabic Typesetting" w:hAnsi="Arabic Typesetting" w:cs="Arabic Typesetting"/>
                <w:color w:val="000000"/>
                <w:sz w:val="28"/>
                <w:szCs w:val="28"/>
                <w:rtl/>
              </w:rPr>
              <w:t>– الثنائية</w:t>
            </w:r>
          </w:p>
        </w:tc>
        <w:tc>
          <w:tcPr>
            <w:tcW w:w="605" w:type="pct"/>
            <w:shd w:val="clear" w:color="auto" w:fill="FFFFFF"/>
          </w:tcPr>
          <w:p w:rsidR="00C708FE" w:rsidRPr="0079561D"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E63420"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الميزانية المعتمدة والتحويلات بحسب كل برنامج – الثنائية</w:t>
            </w: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E63420"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تقرير عن الوظائف وعدد العاملين بحسب المشروعات المموّلة من الصناديق الاستئمانية ومن الأموال الاحتياطية – الثنائية</w:t>
            </w: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C708FE" w:rsidP="001F23DA">
            <w:pPr>
              <w:autoSpaceDE w:val="0"/>
              <w:autoSpaceDN w:val="0"/>
              <w:bidi/>
              <w:adjustRightInd w:val="0"/>
              <w:spacing w:before="60"/>
              <w:rPr>
                <w:rFonts w:ascii="Arabic Typesetting" w:hAnsi="Arabic Typesetting" w:cs="Arabic Typesetting"/>
                <w:b/>
                <w:bCs/>
                <w:color w:val="000000"/>
                <w:sz w:val="28"/>
                <w:szCs w:val="28"/>
                <w:u w:val="single"/>
              </w:rPr>
            </w:pP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C708FE" w:rsidRPr="00D73CFF" w:rsidTr="00313382">
        <w:trPr>
          <w:cantSplit/>
        </w:trPr>
        <w:tc>
          <w:tcPr>
            <w:tcW w:w="1122" w:type="pct"/>
            <w:tcBorders>
              <w:left w:val="nil"/>
            </w:tcBorders>
          </w:tcPr>
          <w:p w:rsidR="00C708FE" w:rsidRPr="00D73CFF" w:rsidRDefault="00A31E3F"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b/>
                <w:bCs/>
                <w:color w:val="000000"/>
                <w:sz w:val="28"/>
                <w:szCs w:val="28"/>
                <w:u w:val="single"/>
                <w:rtl/>
              </w:rPr>
              <w:t>النفقات</w:t>
            </w: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النفقات بحسب غرض الإنفاق – الثنائية</w:t>
            </w: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تقرير عن الميزانية والنفقات بحسب كل برنامج –الثنائية</w:t>
            </w:r>
          </w:p>
        </w:tc>
      </w:tr>
      <w:tr w:rsidR="00C708FE" w:rsidRPr="00D73CFF" w:rsidTr="00313382">
        <w:trPr>
          <w:cantSplit/>
        </w:trPr>
        <w:tc>
          <w:tcPr>
            <w:tcW w:w="1122" w:type="pct"/>
            <w:tcBorders>
              <w:left w:val="nil"/>
            </w:tcBorders>
          </w:tcPr>
          <w:p w:rsidR="00C708FE" w:rsidRPr="00D73CFF" w:rsidRDefault="00D24AB3" w:rsidP="0079561D">
            <w:pPr>
              <w:keepNext/>
              <w:autoSpaceDE w:val="0"/>
              <w:autoSpaceDN w:val="0"/>
              <w:bidi/>
              <w:adjustRightInd w:val="0"/>
              <w:spacing w:before="60"/>
              <w:rPr>
                <w:rFonts w:ascii="Arabic Typesetting" w:hAnsi="Arabic Typesetting" w:cs="Arabic Typesetting"/>
                <w:color w:val="000000"/>
                <w:sz w:val="28"/>
                <w:szCs w:val="28"/>
                <w:u w:val="single"/>
              </w:rPr>
            </w:pPr>
            <w:proofErr w:type="gramStart"/>
            <w:r w:rsidRPr="00D73CFF">
              <w:rPr>
                <w:rFonts w:ascii="Arabic Typesetting" w:hAnsi="Arabic Typesetting" w:cs="Arabic Typesetting"/>
                <w:color w:val="000000"/>
                <w:sz w:val="28"/>
                <w:szCs w:val="28"/>
                <w:u w:val="single"/>
                <w:rtl/>
              </w:rPr>
              <w:lastRenderedPageBreak/>
              <w:t>الموارد</w:t>
            </w:r>
            <w:proofErr w:type="gramEnd"/>
            <w:r w:rsidRPr="00D73CFF">
              <w:rPr>
                <w:rFonts w:ascii="Arabic Typesetting" w:hAnsi="Arabic Typesetting" w:cs="Arabic Typesetting"/>
                <w:color w:val="000000"/>
                <w:sz w:val="28"/>
                <w:szCs w:val="28"/>
                <w:u w:val="single"/>
                <w:rtl/>
              </w:rPr>
              <w:t xml:space="preserve"> البشرية</w:t>
            </w:r>
          </w:p>
        </w:tc>
        <w:tc>
          <w:tcPr>
            <w:tcW w:w="605"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C708FE" w:rsidRPr="00D73CFF" w:rsidRDefault="00C708FE"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تطور النفقات بحسب السنوات</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النفقات مقابل الميزانية</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u w:val="single"/>
              </w:rPr>
            </w:pPr>
            <w:r w:rsidRPr="00D73CFF">
              <w:rPr>
                <w:rFonts w:ascii="Arabic Typesetting" w:hAnsi="Arabic Typesetting" w:cs="Arabic Typesetting"/>
                <w:color w:val="000000"/>
                <w:sz w:val="28"/>
                <w:szCs w:val="28"/>
                <w:u w:val="single"/>
                <w:rtl/>
              </w:rPr>
              <w:t xml:space="preserve">الأسفار </w:t>
            </w:r>
            <w:proofErr w:type="gramStart"/>
            <w:r w:rsidRPr="00D73CFF">
              <w:rPr>
                <w:rFonts w:ascii="Arabic Typesetting" w:hAnsi="Arabic Typesetting" w:cs="Arabic Typesetting"/>
                <w:color w:val="000000"/>
                <w:sz w:val="28"/>
                <w:szCs w:val="28"/>
                <w:u w:val="single"/>
                <w:rtl/>
              </w:rPr>
              <w:t>والمنح</w:t>
            </w:r>
            <w:proofErr w:type="gramEnd"/>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تطور النفقات بحسب السنوات</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النفقات مقابل الميزانية</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u w:val="single"/>
                <w:rtl/>
              </w:rPr>
            </w:pPr>
            <w:proofErr w:type="gramStart"/>
            <w:r w:rsidRPr="00D73CFF">
              <w:rPr>
                <w:rFonts w:ascii="Arabic Typesetting" w:hAnsi="Arabic Typesetting" w:cs="Arabic Typesetting"/>
                <w:color w:val="000000"/>
                <w:sz w:val="28"/>
                <w:szCs w:val="28"/>
                <w:u w:val="single"/>
                <w:rtl/>
              </w:rPr>
              <w:t>الخدمات</w:t>
            </w:r>
            <w:proofErr w:type="gramEnd"/>
            <w:r w:rsidRPr="00D73CFF">
              <w:rPr>
                <w:rFonts w:ascii="Arabic Typesetting" w:hAnsi="Arabic Typesetting" w:cs="Arabic Typesetting"/>
                <w:color w:val="000000"/>
                <w:sz w:val="28"/>
                <w:szCs w:val="28"/>
                <w:u w:val="single"/>
                <w:rtl/>
              </w:rPr>
              <w:t xml:space="preserve"> التعاقدية</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تطور النفقات بحسب السنوات</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النفقات مقابل الميزانية</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u w:val="single"/>
              </w:rPr>
            </w:pPr>
            <w:proofErr w:type="gramStart"/>
            <w:r w:rsidRPr="00D73CFF">
              <w:rPr>
                <w:rFonts w:ascii="Arabic Typesetting" w:hAnsi="Arabic Typesetting" w:cs="Arabic Typesetting"/>
                <w:color w:val="000000"/>
                <w:sz w:val="28"/>
                <w:szCs w:val="28"/>
                <w:u w:val="single"/>
                <w:rtl/>
              </w:rPr>
              <w:t>مصروفات</w:t>
            </w:r>
            <w:proofErr w:type="gramEnd"/>
            <w:r w:rsidRPr="00D73CFF">
              <w:rPr>
                <w:rFonts w:ascii="Arabic Typesetting" w:hAnsi="Arabic Typesetting" w:cs="Arabic Typesetting"/>
                <w:color w:val="000000"/>
                <w:sz w:val="28"/>
                <w:szCs w:val="28"/>
                <w:u w:val="single"/>
                <w:rtl/>
              </w:rPr>
              <w:t xml:space="preserve"> التشغيل</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تطور النفقات بحسب السنوات</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النفقات مقابل الميزانية</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u w:val="single"/>
              </w:rPr>
            </w:pPr>
            <w:r w:rsidRPr="00D73CFF">
              <w:rPr>
                <w:rFonts w:ascii="Arabic Typesetting" w:hAnsi="Arabic Typesetting" w:cs="Arabic Typesetting"/>
                <w:color w:val="000000"/>
                <w:sz w:val="28"/>
                <w:szCs w:val="28"/>
                <w:u w:val="single"/>
                <w:rtl/>
              </w:rPr>
              <w:t xml:space="preserve">المعدات </w:t>
            </w:r>
            <w:proofErr w:type="gramStart"/>
            <w:r w:rsidRPr="00D73CFF">
              <w:rPr>
                <w:rFonts w:ascii="Arabic Typesetting" w:hAnsi="Arabic Typesetting" w:cs="Arabic Typesetting"/>
                <w:color w:val="000000"/>
                <w:sz w:val="28"/>
                <w:szCs w:val="28"/>
                <w:u w:val="single"/>
                <w:rtl/>
              </w:rPr>
              <w:t>والإمدادات</w:t>
            </w:r>
            <w:proofErr w:type="gramEnd"/>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تطور النفقات بحسب السنوات</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النفقات مقابل الميزانية</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b/>
                <w:bCs/>
                <w:color w:val="000000"/>
                <w:sz w:val="28"/>
                <w:szCs w:val="28"/>
                <w:u w:val="single"/>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B16029"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b/>
                <w:bCs/>
                <w:color w:val="000000"/>
                <w:sz w:val="28"/>
                <w:szCs w:val="28"/>
                <w:u w:val="single"/>
                <w:rtl/>
              </w:rPr>
              <w:t>الإيرادات</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إيرادات</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استخدام</w:t>
            </w:r>
            <w:proofErr w:type="gramEnd"/>
            <w:r w:rsidRPr="00D73CFF">
              <w:rPr>
                <w:rFonts w:ascii="Arabic Typesetting" w:hAnsi="Arabic Typesetting" w:cs="Arabic Typesetting"/>
                <w:color w:val="000000"/>
                <w:sz w:val="28"/>
                <w:szCs w:val="28"/>
                <w:rtl/>
              </w:rPr>
              <w:t xml:space="preserve"> الأموال الاحتياطية</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المخاطر المالية</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p w:rsidR="00D24AB3" w:rsidRPr="00D73CFF" w:rsidRDefault="0079561D" w:rsidP="001F23DA">
            <w:pPr>
              <w:autoSpaceDE w:val="0"/>
              <w:autoSpaceDN w:val="0"/>
              <w:bidi/>
              <w:adjustRightInd w:val="0"/>
              <w:spacing w:before="60"/>
              <w:rPr>
                <w:rFonts w:ascii="Arabic Typesetting" w:hAnsi="Arabic Typesetting" w:cs="Arabic Typesetting"/>
                <w:color w:val="000000"/>
                <w:sz w:val="28"/>
                <w:szCs w:val="28"/>
              </w:rPr>
            </w:pPr>
            <w:proofErr w:type="gramStart"/>
            <w:r>
              <w:rPr>
                <w:rFonts w:ascii="Arabic Typesetting" w:hAnsi="Arabic Typesetting" w:cs="Arabic Typesetting" w:hint="cs"/>
                <w:color w:val="000000"/>
                <w:sz w:val="28"/>
                <w:szCs w:val="28"/>
                <w:rtl/>
              </w:rPr>
              <w:t>استثمارات</w:t>
            </w:r>
            <w:proofErr w:type="gramEnd"/>
            <w:r>
              <w:rPr>
                <w:rFonts w:ascii="Arabic Typesetting" w:hAnsi="Arabic Typesetting" w:cs="Arabic Typesetting" w:hint="cs"/>
                <w:color w:val="000000"/>
                <w:sz w:val="28"/>
                <w:szCs w:val="28"/>
                <w:rtl/>
              </w:rPr>
              <w:t xml:space="preserve"> الثنائية</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الاستثمارات (في كل من عامي الثنائية قيد النظر)</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sz w:val="28"/>
                <w:szCs w:val="28"/>
                <w:rtl/>
              </w:rPr>
              <w:t>بيان</w:t>
            </w:r>
            <w:proofErr w:type="gramEnd"/>
            <w:r w:rsidRPr="00D73CFF">
              <w:rPr>
                <w:rFonts w:ascii="Arabic Typesetting" w:hAnsi="Arabic Typesetting" w:cs="Arabic Typesetting"/>
                <w:sz w:val="28"/>
                <w:szCs w:val="28"/>
                <w:rtl/>
              </w:rPr>
              <w:t xml:space="preserve"> الوضع المالي</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sz w:val="28"/>
                <w:szCs w:val="28"/>
                <w:rtl/>
              </w:rPr>
              <w:t>بيان</w:t>
            </w:r>
            <w:proofErr w:type="gramEnd"/>
            <w:r w:rsidRPr="00D73CFF">
              <w:rPr>
                <w:rFonts w:ascii="Arabic Typesetting" w:hAnsi="Arabic Typesetting" w:cs="Arabic Typesetting"/>
                <w:sz w:val="28"/>
                <w:szCs w:val="28"/>
                <w:rtl/>
              </w:rPr>
              <w:t xml:space="preserve"> الأداء المالي</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بيان التغييرات في صافي الأصول</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بيان</w:t>
            </w:r>
            <w:proofErr w:type="gramEnd"/>
            <w:r w:rsidRPr="00D73CFF">
              <w:rPr>
                <w:rFonts w:ascii="Arabic Typesetting" w:hAnsi="Arabic Typesetting" w:cs="Arabic Typesetting"/>
                <w:color w:val="000000"/>
                <w:sz w:val="28"/>
                <w:szCs w:val="28"/>
                <w:rtl/>
              </w:rPr>
              <w:t xml:space="preserve"> التدفق النقدي</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sz w:val="28"/>
                <w:szCs w:val="28"/>
                <w:rtl/>
              </w:rPr>
              <w:t>بيان</w:t>
            </w:r>
            <w:proofErr w:type="gramEnd"/>
            <w:r w:rsidRPr="00D73CFF">
              <w:rPr>
                <w:rFonts w:ascii="Arabic Typesetting" w:hAnsi="Arabic Typesetting" w:cs="Arabic Typesetting"/>
                <w:sz w:val="28"/>
                <w:szCs w:val="28"/>
                <w:rtl/>
              </w:rPr>
              <w:t xml:space="preserve"> مقارنة المبالغ المدرجة في الميزانية والمبالغ الفعلية- الإيرادات</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sz w:val="28"/>
                <w:szCs w:val="28"/>
                <w:rtl/>
              </w:rPr>
              <w:t>بيان</w:t>
            </w:r>
            <w:proofErr w:type="gramEnd"/>
            <w:r w:rsidRPr="00D73CFF">
              <w:rPr>
                <w:rFonts w:ascii="Arabic Typesetting" w:hAnsi="Arabic Typesetting" w:cs="Arabic Typesetting"/>
                <w:sz w:val="28"/>
                <w:szCs w:val="28"/>
                <w:rtl/>
              </w:rPr>
              <w:t xml:space="preserve"> مقارنة المبالغ المدرجة في الميزانية والمبالغ الفعلية- المصروفات</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sz w:val="28"/>
                <w:szCs w:val="28"/>
                <w:rtl/>
              </w:rPr>
              <w:t>تحليل</w:t>
            </w:r>
            <w:proofErr w:type="gramEnd"/>
            <w:r w:rsidRPr="00D73CFF">
              <w:rPr>
                <w:rFonts w:ascii="Arabic Typesetting" w:hAnsi="Arabic Typesetting" w:cs="Arabic Typesetting"/>
                <w:sz w:val="28"/>
                <w:szCs w:val="28"/>
                <w:rtl/>
              </w:rPr>
              <w:t xml:space="preserve"> بيان الوضع المالي</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bidi/>
              <w:rPr>
                <w:rFonts w:ascii="Arabic Typesetting" w:hAnsi="Arabic Typesetting" w:cs="Arabic Typesetting"/>
                <w:sz w:val="28"/>
                <w:szCs w:val="28"/>
              </w:rPr>
            </w:pPr>
            <w:proofErr w:type="gramStart"/>
            <w:r w:rsidRPr="00D73CFF">
              <w:rPr>
                <w:rFonts w:ascii="Arabic Typesetting" w:hAnsi="Arabic Typesetting" w:cs="Arabic Typesetting"/>
                <w:sz w:val="28"/>
                <w:szCs w:val="28"/>
                <w:rtl/>
              </w:rPr>
              <w:t>تحليل</w:t>
            </w:r>
            <w:proofErr w:type="gramEnd"/>
            <w:r w:rsidRPr="00D73CFF">
              <w:rPr>
                <w:rFonts w:ascii="Arabic Typesetting" w:hAnsi="Arabic Typesetting" w:cs="Arabic Typesetting"/>
                <w:sz w:val="28"/>
                <w:szCs w:val="28"/>
                <w:rtl/>
              </w:rPr>
              <w:t xml:space="preserve"> بيان الأداء المالي</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F2EA5"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بيان الوضع المالي بحسب كل نشاط</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F2EA5" w:rsidRPr="00D73CFF" w:rsidRDefault="00DF2EA5"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بيان الأداء المالي بحسب كل نشاط</w:t>
            </w:r>
          </w:p>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الاشتراكات وصناديق رؤوس الأموال العاملة</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79561D" w:rsidP="0079561D">
            <w:pPr>
              <w:autoSpaceDE w:val="0"/>
              <w:autoSpaceDN w:val="0"/>
              <w:bidi/>
              <w:adjustRightInd w:val="0"/>
              <w:spacing w:before="60"/>
              <w:rPr>
                <w:rFonts w:ascii="Arabic Typesetting" w:hAnsi="Arabic Typesetting" w:cs="Arabic Typesetting"/>
                <w:color w:val="000000"/>
                <w:sz w:val="28"/>
                <w:szCs w:val="28"/>
              </w:rPr>
            </w:pPr>
            <w:r>
              <w:rPr>
                <w:rFonts w:ascii="Arabic Typesetting" w:hAnsi="Arabic Typesetting" w:cs="Arabic Typesetting"/>
                <w:sz w:val="28"/>
                <w:szCs w:val="28"/>
                <w:rtl/>
              </w:rPr>
              <w:t>الاشتراكات وف</w:t>
            </w:r>
            <w:r>
              <w:rPr>
                <w:rFonts w:ascii="Arabic Typesetting" w:hAnsi="Arabic Typesetting" w:cs="Arabic Typesetting" w:hint="cs"/>
                <w:sz w:val="28"/>
                <w:szCs w:val="28"/>
                <w:rtl/>
              </w:rPr>
              <w:t>قاً</w:t>
            </w:r>
            <w:r w:rsidR="000F5A48" w:rsidRPr="00D73CFF">
              <w:rPr>
                <w:rFonts w:ascii="Arabic Typesetting" w:hAnsi="Arabic Typesetting" w:cs="Arabic Typesetting"/>
                <w:sz w:val="28"/>
                <w:szCs w:val="28"/>
                <w:rtl/>
              </w:rPr>
              <w:t xml:space="preserve"> للنظام </w:t>
            </w:r>
            <w:r>
              <w:rPr>
                <w:rFonts w:ascii="Arabic Typesetting" w:hAnsi="Arabic Typesetting" w:cs="Arabic Typesetting" w:hint="cs"/>
                <w:sz w:val="28"/>
                <w:szCs w:val="28"/>
                <w:rtl/>
              </w:rPr>
              <w:t>ال</w:t>
            </w:r>
            <w:r w:rsidR="000F5A48" w:rsidRPr="00D73CFF">
              <w:rPr>
                <w:rFonts w:ascii="Arabic Typesetting" w:hAnsi="Arabic Typesetting" w:cs="Arabic Typesetting"/>
                <w:sz w:val="28"/>
                <w:szCs w:val="28"/>
                <w:rtl/>
              </w:rPr>
              <w:t>أحادي الاشتراكات</w:t>
            </w:r>
          </w:p>
        </w:tc>
        <w:tc>
          <w:tcPr>
            <w:tcW w:w="546" w:type="pct"/>
            <w:tcBorders>
              <w:right w:val="nil"/>
            </w:tcBorders>
            <w:shd w:val="clear" w:color="auto" w:fill="FFFFCC"/>
          </w:tcPr>
          <w:p w:rsidR="00D24AB3" w:rsidRPr="0079561D"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 xml:space="preserve">الاشتراكات غير المسددة في 31 ديسمبر (نهاية الثنائية) والاشتراكات المتأخرة للبلدان </w:t>
            </w:r>
            <w:proofErr w:type="gramStart"/>
            <w:r w:rsidRPr="00D73CFF">
              <w:rPr>
                <w:rFonts w:ascii="Arabic Typesetting" w:hAnsi="Arabic Typesetting" w:cs="Arabic Typesetting"/>
                <w:sz w:val="28"/>
                <w:szCs w:val="28"/>
                <w:rtl/>
              </w:rPr>
              <w:t>الأقل</w:t>
            </w:r>
            <w:proofErr w:type="gramEnd"/>
            <w:r w:rsidRPr="00D73CFF">
              <w:rPr>
                <w:rFonts w:ascii="Arabic Typesetting" w:hAnsi="Arabic Typesetting" w:cs="Arabic Typesetting"/>
                <w:sz w:val="28"/>
                <w:szCs w:val="28"/>
                <w:rtl/>
              </w:rPr>
              <w:t xml:space="preserve"> نمواً التي لديها حساب خاص (مجمّد)</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الاشتراكات المستلمة قبل استحقاقها</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صناديق رؤوس الأموال العاملة في 31 ديسمبر (نهاية الثنائية)</w:t>
            </w: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توزيع رسوم مدريد ولاهاي</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0F5A48" w:rsidRPr="00D73CFF" w:rsidTr="00313382">
        <w:trPr>
          <w:cantSplit/>
        </w:trPr>
        <w:tc>
          <w:tcPr>
            <w:tcW w:w="1122" w:type="pct"/>
            <w:tcBorders>
              <w:left w:val="nil"/>
            </w:tcBorders>
          </w:tcPr>
          <w:p w:rsidR="000F5A48" w:rsidRPr="00D73CFF" w:rsidRDefault="000F5A48"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 الرسوم الإضافية – السنة الأولى من الثنائية</w:t>
            </w:r>
          </w:p>
        </w:tc>
        <w:tc>
          <w:tcPr>
            <w:tcW w:w="605"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r>
      <w:tr w:rsidR="000F5A48" w:rsidRPr="00D73CFF" w:rsidTr="00313382">
        <w:trPr>
          <w:cantSplit/>
        </w:trPr>
        <w:tc>
          <w:tcPr>
            <w:tcW w:w="1122" w:type="pct"/>
            <w:tcBorders>
              <w:left w:val="nil"/>
            </w:tcBorders>
          </w:tcPr>
          <w:p w:rsidR="000F5A48" w:rsidRPr="00D73CFF" w:rsidRDefault="000F5A48"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 الرسوم التكميلية – السنة الأولى من الثنائية</w:t>
            </w:r>
          </w:p>
        </w:tc>
        <w:tc>
          <w:tcPr>
            <w:tcW w:w="605"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r>
      <w:tr w:rsidR="000F5A48" w:rsidRPr="00D73CFF" w:rsidTr="00313382">
        <w:trPr>
          <w:cantSplit/>
        </w:trPr>
        <w:tc>
          <w:tcPr>
            <w:tcW w:w="1122" w:type="pct"/>
            <w:tcBorders>
              <w:left w:val="nil"/>
            </w:tcBorders>
          </w:tcPr>
          <w:p w:rsidR="000F5A48" w:rsidRPr="00D73CFF" w:rsidRDefault="000F5A48"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 إجمالي الرسوم – السنة الأولى من الثنائية</w:t>
            </w:r>
          </w:p>
        </w:tc>
        <w:tc>
          <w:tcPr>
            <w:tcW w:w="605"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r>
      <w:tr w:rsidR="000F5A48" w:rsidRPr="00D73CFF" w:rsidTr="00313382">
        <w:trPr>
          <w:cantSplit/>
        </w:trPr>
        <w:tc>
          <w:tcPr>
            <w:tcW w:w="1122" w:type="pct"/>
            <w:tcBorders>
              <w:left w:val="nil"/>
            </w:tcBorders>
          </w:tcPr>
          <w:p w:rsidR="000F5A48" w:rsidRPr="00D73CFF" w:rsidRDefault="000F5A48"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 الرسوم الإضافية – السنة الثانية</w:t>
            </w:r>
            <w:r w:rsidR="009B4BA0">
              <w:rPr>
                <w:rFonts w:ascii="Arabic Typesetting" w:hAnsi="Arabic Typesetting" w:cs="Arabic Typesetting"/>
                <w:sz w:val="28"/>
                <w:szCs w:val="28"/>
                <w:rtl/>
              </w:rPr>
              <w:t xml:space="preserve"> </w:t>
            </w:r>
            <w:r w:rsidRPr="00D73CFF">
              <w:rPr>
                <w:rFonts w:ascii="Arabic Typesetting" w:hAnsi="Arabic Typesetting" w:cs="Arabic Typesetting"/>
                <w:sz w:val="28"/>
                <w:szCs w:val="28"/>
                <w:rtl/>
              </w:rPr>
              <w:t>من الثنائية</w:t>
            </w:r>
          </w:p>
        </w:tc>
        <w:tc>
          <w:tcPr>
            <w:tcW w:w="605"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r>
      <w:tr w:rsidR="000F5A48" w:rsidRPr="00D73CFF" w:rsidTr="00313382">
        <w:trPr>
          <w:cantSplit/>
        </w:trPr>
        <w:tc>
          <w:tcPr>
            <w:tcW w:w="1122" w:type="pct"/>
            <w:tcBorders>
              <w:left w:val="nil"/>
            </w:tcBorders>
          </w:tcPr>
          <w:p w:rsidR="000F5A48" w:rsidRPr="00D73CFF" w:rsidRDefault="000F5A48"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 الرسوم التكميلية - السنة الثانية</w:t>
            </w:r>
            <w:r w:rsidR="009B4BA0">
              <w:rPr>
                <w:rFonts w:ascii="Arabic Typesetting" w:hAnsi="Arabic Typesetting" w:cs="Arabic Typesetting"/>
                <w:sz w:val="28"/>
                <w:szCs w:val="28"/>
                <w:rtl/>
              </w:rPr>
              <w:t xml:space="preserve"> </w:t>
            </w:r>
            <w:r w:rsidRPr="00D73CFF">
              <w:rPr>
                <w:rFonts w:ascii="Arabic Typesetting" w:hAnsi="Arabic Typesetting" w:cs="Arabic Typesetting"/>
                <w:sz w:val="28"/>
                <w:szCs w:val="28"/>
                <w:rtl/>
              </w:rPr>
              <w:t>من الثنائية</w:t>
            </w:r>
          </w:p>
        </w:tc>
        <w:tc>
          <w:tcPr>
            <w:tcW w:w="605"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r>
      <w:tr w:rsidR="000F5A48" w:rsidRPr="00D73CFF" w:rsidTr="00313382">
        <w:trPr>
          <w:cantSplit/>
        </w:trPr>
        <w:tc>
          <w:tcPr>
            <w:tcW w:w="1122" w:type="pct"/>
            <w:tcBorders>
              <w:left w:val="nil"/>
            </w:tcBorders>
          </w:tcPr>
          <w:p w:rsidR="000F5A48" w:rsidRPr="00D73CFF" w:rsidRDefault="000F5A48"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 إجمالي الرسوم - السنة الثانية</w:t>
            </w:r>
            <w:r w:rsidR="009B4BA0">
              <w:rPr>
                <w:rFonts w:ascii="Arabic Typesetting" w:hAnsi="Arabic Typesetting" w:cs="Arabic Typesetting"/>
                <w:sz w:val="28"/>
                <w:szCs w:val="28"/>
                <w:rtl/>
              </w:rPr>
              <w:t xml:space="preserve"> </w:t>
            </w:r>
            <w:r w:rsidRPr="00D73CFF">
              <w:rPr>
                <w:rFonts w:ascii="Arabic Typesetting" w:hAnsi="Arabic Typesetting" w:cs="Arabic Typesetting"/>
                <w:sz w:val="28"/>
                <w:szCs w:val="28"/>
                <w:rtl/>
              </w:rPr>
              <w:t>من الثنائية</w:t>
            </w:r>
          </w:p>
        </w:tc>
        <w:tc>
          <w:tcPr>
            <w:tcW w:w="605"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0F5A48"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0F5A48"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lastRenderedPageBreak/>
              <w:t>بروتوكول اتفاق مدريد - الرسوم الفردية – السنة الأولى من الثنائية</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بروتوكول اتفاق مدريد - الرسوم الفردية – السنة الثانية</w:t>
            </w:r>
            <w:r w:rsidR="009B4BA0">
              <w:rPr>
                <w:rFonts w:ascii="Arabic Typesetting" w:hAnsi="Arabic Typesetting" w:cs="Arabic Typesetting"/>
                <w:sz w:val="28"/>
                <w:szCs w:val="28"/>
                <w:rtl/>
              </w:rPr>
              <w:t xml:space="preserve"> </w:t>
            </w:r>
            <w:r w:rsidRPr="00D73CFF">
              <w:rPr>
                <w:rFonts w:ascii="Arabic Typesetting" w:hAnsi="Arabic Typesetting" w:cs="Arabic Typesetting"/>
                <w:sz w:val="28"/>
                <w:szCs w:val="28"/>
                <w:rtl/>
              </w:rPr>
              <w:t>من الثنائية</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اتحاد مدريد – المبالغ المسددة وفقاً للقاعدة 39 من اللائحة التنفيذية المشتركة بين اتفاق مدريد وبروتوكوله</w:t>
            </w: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46798B" w:rsidRPr="00D73CFF" w:rsidTr="00313382">
        <w:trPr>
          <w:cantSplit/>
        </w:trPr>
        <w:tc>
          <w:tcPr>
            <w:tcW w:w="1122" w:type="pct"/>
            <w:tcBorders>
              <w:left w:val="nil"/>
            </w:tcBorders>
          </w:tcPr>
          <w:p w:rsidR="0046798B" w:rsidRPr="00D73CFF" w:rsidRDefault="0046798B"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لاهاي - رسوم الدولة ورسوم التعيين - السنة الأولى من الثنائية</w:t>
            </w:r>
          </w:p>
        </w:tc>
        <w:tc>
          <w:tcPr>
            <w:tcW w:w="605"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r>
      <w:tr w:rsidR="0046798B" w:rsidRPr="00D73CFF" w:rsidTr="00313382">
        <w:trPr>
          <w:cantSplit/>
        </w:trPr>
        <w:tc>
          <w:tcPr>
            <w:tcW w:w="1122" w:type="pct"/>
            <w:tcBorders>
              <w:left w:val="nil"/>
            </w:tcBorders>
          </w:tcPr>
          <w:p w:rsidR="0046798B" w:rsidRPr="00D73CFF" w:rsidRDefault="0046798B"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لاهاي - رسوم الدولة ورسوم التعيين - السنة الثانية</w:t>
            </w:r>
            <w:r w:rsidR="009B4BA0">
              <w:rPr>
                <w:rFonts w:ascii="Arabic Typesetting" w:hAnsi="Arabic Typesetting" w:cs="Arabic Typesetting"/>
                <w:sz w:val="28"/>
                <w:szCs w:val="28"/>
                <w:rtl/>
              </w:rPr>
              <w:t xml:space="preserve"> </w:t>
            </w:r>
            <w:r w:rsidRPr="00D73CFF">
              <w:rPr>
                <w:rFonts w:ascii="Arabic Typesetting" w:hAnsi="Arabic Typesetting" w:cs="Arabic Typesetting"/>
                <w:sz w:val="28"/>
                <w:szCs w:val="28"/>
                <w:rtl/>
              </w:rPr>
              <w:t>من الثنائية</w:t>
            </w:r>
          </w:p>
        </w:tc>
        <w:tc>
          <w:tcPr>
            <w:tcW w:w="605"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r>
      <w:tr w:rsidR="0046798B" w:rsidRPr="00D73CFF" w:rsidTr="00313382">
        <w:trPr>
          <w:cantSplit/>
        </w:trPr>
        <w:tc>
          <w:tcPr>
            <w:tcW w:w="1122" w:type="pct"/>
            <w:tcBorders>
              <w:left w:val="nil"/>
            </w:tcBorders>
          </w:tcPr>
          <w:p w:rsidR="0046798B" w:rsidRPr="00D73CFF" w:rsidRDefault="0046798B"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واتحاد لاهاي – توزيع رسوم السنة الأولى من الثنائية</w:t>
            </w:r>
          </w:p>
        </w:tc>
        <w:tc>
          <w:tcPr>
            <w:tcW w:w="605"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r>
      <w:tr w:rsidR="0046798B" w:rsidRPr="00D73CFF" w:rsidTr="00313382">
        <w:trPr>
          <w:cantSplit/>
        </w:trPr>
        <w:tc>
          <w:tcPr>
            <w:tcW w:w="1122" w:type="pct"/>
            <w:tcBorders>
              <w:left w:val="nil"/>
            </w:tcBorders>
          </w:tcPr>
          <w:p w:rsidR="0046798B" w:rsidRPr="00D73CFF" w:rsidRDefault="0046798B"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واتحاد لاهاي – توزيع رسوم السنة الثانية</w:t>
            </w:r>
            <w:r w:rsidR="009B4BA0">
              <w:rPr>
                <w:rFonts w:ascii="Arabic Typesetting" w:hAnsi="Arabic Typesetting" w:cs="Arabic Typesetting"/>
                <w:sz w:val="28"/>
                <w:szCs w:val="28"/>
                <w:rtl/>
              </w:rPr>
              <w:t xml:space="preserve"> </w:t>
            </w:r>
            <w:r w:rsidRPr="00D73CFF">
              <w:rPr>
                <w:rFonts w:ascii="Arabic Typesetting" w:hAnsi="Arabic Typesetting" w:cs="Arabic Typesetting"/>
                <w:sz w:val="28"/>
                <w:szCs w:val="28"/>
                <w:rtl/>
              </w:rPr>
              <w:t>من الثنائية</w:t>
            </w:r>
          </w:p>
        </w:tc>
        <w:tc>
          <w:tcPr>
            <w:tcW w:w="605"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r>
      <w:tr w:rsidR="0046798B" w:rsidRPr="00D73CFF" w:rsidTr="00313382">
        <w:trPr>
          <w:cantSplit/>
        </w:trPr>
        <w:tc>
          <w:tcPr>
            <w:tcW w:w="1122" w:type="pct"/>
            <w:tcBorders>
              <w:left w:val="nil"/>
            </w:tcBorders>
          </w:tcPr>
          <w:p w:rsidR="0046798B" w:rsidRPr="00D73CFF" w:rsidRDefault="0046798B" w:rsidP="001F23DA">
            <w:pPr>
              <w:bidi/>
              <w:rPr>
                <w:rFonts w:ascii="Arabic Typesetting" w:hAnsi="Arabic Typesetting" w:cs="Arabic Typesetting"/>
                <w:sz w:val="28"/>
                <w:szCs w:val="28"/>
                <w:rtl/>
              </w:rPr>
            </w:pPr>
            <w:r w:rsidRPr="00D73CFF">
              <w:rPr>
                <w:rFonts w:ascii="Arabic Typesetting" w:hAnsi="Arabic Typesetting" w:cs="Arabic Typesetting"/>
                <w:sz w:val="28"/>
                <w:szCs w:val="28"/>
                <w:rtl/>
              </w:rPr>
              <w:t>اتحاد مدريد واتحاد لاهاي – حساب إجمالي (الثنائية)</w:t>
            </w:r>
          </w:p>
        </w:tc>
        <w:tc>
          <w:tcPr>
            <w:tcW w:w="605"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46798B"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الصناديق الاستئمانية</w:t>
            </w: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ملخص</w:t>
            </w:r>
            <w:proofErr w:type="gramEnd"/>
            <w:r w:rsidRPr="00D73CFF">
              <w:rPr>
                <w:rFonts w:ascii="Arabic Typesetting" w:hAnsi="Arabic Typesetting" w:cs="Arabic Typesetting"/>
                <w:color w:val="000000"/>
                <w:sz w:val="28"/>
                <w:szCs w:val="28"/>
                <w:rtl/>
              </w:rPr>
              <w:t xml:space="preserve"> الإنجازات المحققة في الثنائية</w:t>
            </w: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46798B"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 xml:space="preserve">أداء البرنامج بحسب كل برنامج </w:t>
            </w:r>
            <w:r w:rsidR="001F23DA" w:rsidRPr="00D73CFF">
              <w:rPr>
                <w:rFonts w:ascii="Arabic Typesetting" w:hAnsi="Arabic Typesetting" w:cs="Arabic Typesetting"/>
                <w:color w:val="000000"/>
                <w:sz w:val="28"/>
                <w:szCs w:val="28"/>
                <w:rtl/>
              </w:rPr>
              <w:t>للثنائية</w:t>
            </w: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تقرير</w:t>
            </w:r>
            <w:proofErr w:type="gramEnd"/>
            <w:r w:rsidRPr="00D73CFF">
              <w:rPr>
                <w:rFonts w:ascii="Arabic Typesetting" w:hAnsi="Arabic Typesetting" w:cs="Arabic Typesetting"/>
                <w:color w:val="000000"/>
                <w:sz w:val="28"/>
                <w:szCs w:val="28"/>
                <w:rtl/>
              </w:rPr>
              <w:t xml:space="preserve"> عن المصروفات الخاصة بأنشطة التنمية</w:t>
            </w: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818" w:type="pct"/>
            <w:shd w:val="clear" w:color="auto" w:fill="FFFFFF"/>
          </w:tcPr>
          <w:p w:rsidR="00D24AB3" w:rsidRPr="00D73CFF" w:rsidRDefault="001F23DA" w:rsidP="002712D1">
            <w:pPr>
              <w:autoSpaceDE w:val="0"/>
              <w:autoSpaceDN w:val="0"/>
              <w:bidi/>
              <w:adjustRightInd w:val="0"/>
              <w:spacing w:before="60"/>
              <w:jc w:val="right"/>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تنفيذ الصناديق الاستئمانية (نهاية</w:t>
            </w:r>
            <w:r w:rsidR="0079561D">
              <w:rPr>
                <w:rFonts w:ascii="Arabic Typesetting" w:hAnsi="Arabic Typesetting" w:cs="Arabic Typesetting" w:hint="cs"/>
                <w:color w:val="000000"/>
                <w:sz w:val="28"/>
                <w:szCs w:val="28"/>
                <w:rtl/>
              </w:rPr>
              <w:t> </w:t>
            </w:r>
            <w:r w:rsidRPr="00D73CFF">
              <w:rPr>
                <w:rFonts w:ascii="Arabic Typesetting" w:hAnsi="Arabic Typesetting" w:cs="Arabic Typesetting"/>
                <w:color w:val="000000"/>
                <w:sz w:val="28"/>
                <w:szCs w:val="28"/>
                <w:rtl/>
              </w:rPr>
              <w:t>الثنائية)</w:t>
            </w: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keepNext/>
              <w:keepLines/>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79561D" w:rsidP="001F23DA">
            <w:pPr>
              <w:keepNext/>
              <w:keepLines/>
              <w:autoSpaceDE w:val="0"/>
              <w:autoSpaceDN w:val="0"/>
              <w:bidi/>
              <w:adjustRightInd w:val="0"/>
              <w:spacing w:before="60"/>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مناقش</w:t>
            </w:r>
            <w:r>
              <w:rPr>
                <w:rFonts w:ascii="Arabic Typesetting" w:hAnsi="Arabic Typesetting" w:cs="Arabic Typesetting" w:hint="cs"/>
                <w:color w:val="000000"/>
                <w:sz w:val="28"/>
                <w:szCs w:val="28"/>
                <w:rtl/>
              </w:rPr>
              <w:t>ة</w:t>
            </w:r>
            <w:r w:rsidR="001F23DA" w:rsidRPr="00D73CFF">
              <w:rPr>
                <w:rFonts w:ascii="Arabic Typesetting" w:hAnsi="Arabic Typesetting" w:cs="Arabic Typesetting"/>
                <w:color w:val="000000"/>
                <w:sz w:val="28"/>
                <w:szCs w:val="28"/>
                <w:rtl/>
              </w:rPr>
              <w:t xml:space="preserve"> البيانات المالية </w:t>
            </w:r>
            <w:proofErr w:type="gramStart"/>
            <w:r w:rsidR="001F23DA" w:rsidRPr="00D73CFF">
              <w:rPr>
                <w:rFonts w:ascii="Arabic Typesetting" w:hAnsi="Arabic Typesetting" w:cs="Arabic Typesetting"/>
                <w:color w:val="000000"/>
                <w:sz w:val="28"/>
                <w:szCs w:val="28"/>
                <w:rtl/>
              </w:rPr>
              <w:t>وتحليلها</w:t>
            </w:r>
            <w:proofErr w:type="gramEnd"/>
          </w:p>
        </w:tc>
        <w:tc>
          <w:tcPr>
            <w:tcW w:w="818" w:type="pct"/>
            <w:shd w:val="clear" w:color="auto" w:fill="FFFFFF"/>
          </w:tcPr>
          <w:p w:rsidR="00D24AB3" w:rsidRPr="00D73CFF" w:rsidRDefault="00D24AB3" w:rsidP="001F23DA">
            <w:pPr>
              <w:keepNext/>
              <w:keepLines/>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keepNext/>
              <w:keepLines/>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keepNext/>
              <w:keepLines/>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keepNext/>
              <w:keepLines/>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بيان</w:t>
            </w:r>
            <w:proofErr w:type="gramEnd"/>
            <w:r w:rsidRPr="00D73CFF">
              <w:rPr>
                <w:rFonts w:ascii="Arabic Typesetting" w:hAnsi="Arabic Typesetting" w:cs="Arabic Typesetting"/>
                <w:color w:val="000000"/>
                <w:sz w:val="28"/>
                <w:szCs w:val="28"/>
                <w:rtl/>
              </w:rPr>
              <w:t xml:space="preserve"> الوضع المالي</w:t>
            </w: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بيان</w:t>
            </w:r>
            <w:proofErr w:type="gramEnd"/>
            <w:r w:rsidRPr="00D73CFF">
              <w:rPr>
                <w:rFonts w:ascii="Arabic Typesetting" w:hAnsi="Arabic Typesetting" w:cs="Arabic Typesetting"/>
                <w:color w:val="000000"/>
                <w:sz w:val="28"/>
                <w:szCs w:val="28"/>
                <w:rtl/>
              </w:rPr>
              <w:t xml:space="preserve"> الأداء المالي</w:t>
            </w: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بيان التغييرات في صافي الأصول</w:t>
            </w: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بيان</w:t>
            </w:r>
            <w:proofErr w:type="gramEnd"/>
            <w:r w:rsidRPr="00D73CFF">
              <w:rPr>
                <w:rFonts w:ascii="Arabic Typesetting" w:hAnsi="Arabic Typesetting" w:cs="Arabic Typesetting"/>
                <w:color w:val="000000"/>
                <w:sz w:val="28"/>
                <w:szCs w:val="28"/>
                <w:rtl/>
              </w:rPr>
              <w:t xml:space="preserve"> التدفق النقدي</w:t>
            </w: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1F23DA" w:rsidRPr="00D73CFF" w:rsidTr="00313382">
        <w:trPr>
          <w:cantSplit/>
        </w:trPr>
        <w:tc>
          <w:tcPr>
            <w:tcW w:w="1122" w:type="pct"/>
            <w:tcBorders>
              <w:left w:val="nil"/>
            </w:tcBorders>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sz w:val="28"/>
                <w:szCs w:val="28"/>
                <w:rtl/>
              </w:rPr>
              <w:t>بيان</w:t>
            </w:r>
            <w:proofErr w:type="gramEnd"/>
            <w:r w:rsidRPr="00D73CFF">
              <w:rPr>
                <w:rFonts w:ascii="Arabic Typesetting" w:hAnsi="Arabic Typesetting" w:cs="Arabic Typesetting"/>
                <w:sz w:val="28"/>
                <w:szCs w:val="28"/>
                <w:rtl/>
              </w:rPr>
              <w:t xml:space="preserve"> مقارنة المبالغ المدرجة في الميزانية والمبالغ الفعلية- الإيرادات</w:t>
            </w:r>
          </w:p>
        </w:tc>
        <w:tc>
          <w:tcPr>
            <w:tcW w:w="818" w:type="pct"/>
            <w:shd w:val="clear" w:color="auto" w:fill="FFFFFF"/>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r>
      <w:tr w:rsidR="001F23DA" w:rsidRPr="00D73CFF" w:rsidTr="00313382">
        <w:trPr>
          <w:cantSplit/>
        </w:trPr>
        <w:tc>
          <w:tcPr>
            <w:tcW w:w="1122" w:type="pct"/>
            <w:tcBorders>
              <w:left w:val="nil"/>
            </w:tcBorders>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sz w:val="28"/>
                <w:szCs w:val="28"/>
                <w:rtl/>
              </w:rPr>
              <w:t>بيان</w:t>
            </w:r>
            <w:proofErr w:type="gramEnd"/>
            <w:r w:rsidRPr="00D73CFF">
              <w:rPr>
                <w:rFonts w:ascii="Arabic Typesetting" w:hAnsi="Arabic Typesetting" w:cs="Arabic Typesetting"/>
                <w:sz w:val="28"/>
                <w:szCs w:val="28"/>
                <w:rtl/>
              </w:rPr>
              <w:t xml:space="preserve"> مقارنة المبالغ المدرجة في الميزانية والمبالغ الفعلية- المصروفات</w:t>
            </w:r>
          </w:p>
        </w:tc>
        <w:tc>
          <w:tcPr>
            <w:tcW w:w="818" w:type="pct"/>
            <w:shd w:val="clear" w:color="auto" w:fill="FFFFFF"/>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r>
      <w:tr w:rsidR="001F23DA" w:rsidRPr="00D73CFF" w:rsidTr="00313382">
        <w:trPr>
          <w:cantSplit/>
        </w:trPr>
        <w:tc>
          <w:tcPr>
            <w:tcW w:w="1122" w:type="pct"/>
            <w:tcBorders>
              <w:left w:val="nil"/>
            </w:tcBorders>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sz w:val="28"/>
                <w:szCs w:val="28"/>
                <w:rtl/>
              </w:rPr>
              <w:t>بيان الوضع المالي بحسب كل نشاط</w:t>
            </w:r>
          </w:p>
        </w:tc>
        <w:tc>
          <w:tcPr>
            <w:tcW w:w="818" w:type="pct"/>
            <w:shd w:val="clear" w:color="auto" w:fill="FFFFFF"/>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r>
      <w:tr w:rsidR="001F23DA" w:rsidRPr="00D73CFF" w:rsidTr="00313382">
        <w:trPr>
          <w:cantSplit/>
        </w:trPr>
        <w:tc>
          <w:tcPr>
            <w:tcW w:w="1122" w:type="pct"/>
            <w:tcBorders>
              <w:left w:val="nil"/>
            </w:tcBorders>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1F23DA" w:rsidRPr="00D73CFF" w:rsidRDefault="001F23DA" w:rsidP="001F23DA">
            <w:pPr>
              <w:bidi/>
              <w:rPr>
                <w:rFonts w:ascii="Arabic Typesetting" w:hAnsi="Arabic Typesetting" w:cs="Arabic Typesetting"/>
                <w:sz w:val="28"/>
                <w:szCs w:val="28"/>
              </w:rPr>
            </w:pPr>
            <w:r w:rsidRPr="00D73CFF">
              <w:rPr>
                <w:rFonts w:ascii="Arabic Typesetting" w:hAnsi="Arabic Typesetting" w:cs="Arabic Typesetting"/>
                <w:sz w:val="28"/>
                <w:szCs w:val="28"/>
                <w:rtl/>
              </w:rPr>
              <w:t>بيان الأداء المالي بحسب كل نشاط</w:t>
            </w:r>
          </w:p>
        </w:tc>
        <w:tc>
          <w:tcPr>
            <w:tcW w:w="818" w:type="pct"/>
            <w:shd w:val="clear" w:color="auto" w:fill="FFFFFF"/>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1F23DA"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shd w:val="clear" w:color="auto" w:fill="FFFFFF"/>
          </w:tcPr>
          <w:p w:rsidR="00D24AB3"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r w:rsidRPr="00D73CFF">
              <w:rPr>
                <w:rFonts w:ascii="Arabic Typesetting" w:hAnsi="Arabic Typesetting" w:cs="Arabic Typesetting"/>
                <w:color w:val="000000"/>
                <w:sz w:val="28"/>
                <w:szCs w:val="28"/>
                <w:rtl/>
              </w:rPr>
              <w:t>حسابات خاصة بحسب مساهمة المانحين</w:t>
            </w:r>
          </w:p>
        </w:tc>
        <w:tc>
          <w:tcPr>
            <w:tcW w:w="818" w:type="pct"/>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r w:rsidR="00D24AB3" w:rsidRPr="00D73CFF" w:rsidTr="00313382">
        <w:trPr>
          <w:cantSplit/>
        </w:trPr>
        <w:tc>
          <w:tcPr>
            <w:tcW w:w="1122" w:type="pct"/>
            <w:tcBorders>
              <w:left w:val="nil"/>
              <w:bottom w:val="single" w:sz="4" w:space="0" w:color="808080" w:themeColor="background1" w:themeShade="80"/>
            </w:tcBorders>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05" w:type="pct"/>
            <w:tcBorders>
              <w:bottom w:val="single" w:sz="4" w:space="0" w:color="808080" w:themeColor="background1" w:themeShade="80"/>
            </w:tcBorders>
            <w:shd w:val="clear" w:color="auto" w:fill="FFFFFF"/>
          </w:tcPr>
          <w:p w:rsidR="00D24AB3" w:rsidRPr="00D73CFF" w:rsidRDefault="001F23DA" w:rsidP="001F23DA">
            <w:pPr>
              <w:autoSpaceDE w:val="0"/>
              <w:autoSpaceDN w:val="0"/>
              <w:bidi/>
              <w:adjustRightInd w:val="0"/>
              <w:spacing w:before="60"/>
              <w:rPr>
                <w:rFonts w:ascii="Arabic Typesetting" w:hAnsi="Arabic Typesetting" w:cs="Arabic Typesetting"/>
                <w:color w:val="000000"/>
                <w:sz w:val="28"/>
                <w:szCs w:val="28"/>
              </w:rPr>
            </w:pPr>
            <w:proofErr w:type="gramStart"/>
            <w:r w:rsidRPr="00D73CFF">
              <w:rPr>
                <w:rFonts w:ascii="Arabic Typesetting" w:hAnsi="Arabic Typesetting" w:cs="Arabic Typesetting"/>
                <w:color w:val="000000"/>
                <w:sz w:val="28"/>
                <w:szCs w:val="28"/>
                <w:rtl/>
              </w:rPr>
              <w:t>ملاحظات</w:t>
            </w:r>
            <w:proofErr w:type="gramEnd"/>
            <w:r w:rsidRPr="00D73CFF">
              <w:rPr>
                <w:rFonts w:ascii="Arabic Typesetting" w:hAnsi="Arabic Typesetting" w:cs="Arabic Typesetting"/>
                <w:color w:val="000000"/>
                <w:sz w:val="28"/>
                <w:szCs w:val="28"/>
                <w:rtl/>
              </w:rPr>
              <w:t xml:space="preserve"> على البيانات المالية</w:t>
            </w:r>
          </w:p>
        </w:tc>
        <w:tc>
          <w:tcPr>
            <w:tcW w:w="818" w:type="pct"/>
            <w:tcBorders>
              <w:bottom w:val="single" w:sz="4" w:space="0" w:color="808080" w:themeColor="background1" w:themeShade="80"/>
            </w:tcBorders>
            <w:shd w:val="clear" w:color="auto" w:fill="FFFFFF"/>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1223" w:type="pct"/>
            <w:tcBorders>
              <w:bottom w:val="single" w:sz="4" w:space="0" w:color="808080" w:themeColor="background1" w:themeShade="80"/>
            </w:tcBorders>
            <w:shd w:val="clear" w:color="auto" w:fill="B6DDE8" w:themeFill="accent5" w:themeFillTint="66"/>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686" w:type="pct"/>
            <w:tcBorders>
              <w:bottom w:val="single" w:sz="4" w:space="0" w:color="808080" w:themeColor="background1" w:themeShade="80"/>
            </w:tcBorders>
            <w:shd w:val="clear" w:color="auto" w:fill="FDE9D9" w:themeFill="accent6" w:themeFillTint="33"/>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c>
          <w:tcPr>
            <w:tcW w:w="546" w:type="pct"/>
            <w:tcBorders>
              <w:bottom w:val="single" w:sz="4" w:space="0" w:color="808080" w:themeColor="background1" w:themeShade="80"/>
              <w:right w:val="nil"/>
            </w:tcBorders>
            <w:shd w:val="clear" w:color="auto" w:fill="FFFFCC"/>
          </w:tcPr>
          <w:p w:rsidR="00D24AB3" w:rsidRPr="00D73CFF" w:rsidRDefault="00D24AB3" w:rsidP="001F23DA">
            <w:pPr>
              <w:autoSpaceDE w:val="0"/>
              <w:autoSpaceDN w:val="0"/>
              <w:bidi/>
              <w:adjustRightInd w:val="0"/>
              <w:spacing w:before="60"/>
              <w:rPr>
                <w:rFonts w:ascii="Arabic Typesetting" w:hAnsi="Arabic Typesetting" w:cs="Arabic Typesetting"/>
                <w:color w:val="000000"/>
                <w:sz w:val="28"/>
                <w:szCs w:val="28"/>
              </w:rPr>
            </w:pPr>
          </w:p>
        </w:tc>
      </w:tr>
    </w:tbl>
    <w:p w:rsidR="00C708FE" w:rsidRPr="00C80717" w:rsidRDefault="001F23DA" w:rsidP="00A31E3F">
      <w:pPr>
        <w:pStyle w:val="EndofDocumentAR"/>
        <w:spacing w:before="240"/>
        <w:ind w:left="10319"/>
        <w:rPr>
          <w:sz w:val="40"/>
          <w:szCs w:val="40"/>
        </w:rPr>
      </w:pPr>
      <w:r>
        <w:rPr>
          <w:rFonts w:eastAsia="SimSun" w:hint="cs"/>
          <w:rtl/>
          <w:lang w:eastAsia="zh-CN"/>
        </w:rPr>
        <w:t xml:space="preserve">[نهاية </w:t>
      </w:r>
      <w:r w:rsidRPr="001F23DA">
        <w:rPr>
          <w:rFonts w:eastAsia="SimSun" w:hint="cs"/>
          <w:rtl/>
        </w:rPr>
        <w:t>المرفق</w:t>
      </w:r>
      <w:r>
        <w:rPr>
          <w:rFonts w:eastAsia="SimSun" w:hint="cs"/>
          <w:rtl/>
          <w:lang w:eastAsia="zh-CN"/>
        </w:rPr>
        <w:t xml:space="preserve"> </w:t>
      </w:r>
      <w:proofErr w:type="gramStart"/>
      <w:r>
        <w:rPr>
          <w:rFonts w:eastAsia="SimSun" w:hint="cs"/>
          <w:rtl/>
          <w:lang w:eastAsia="zh-CN"/>
        </w:rPr>
        <w:t>والو</w:t>
      </w:r>
      <w:bookmarkStart w:id="3" w:name="_GoBack"/>
      <w:bookmarkEnd w:id="3"/>
      <w:r>
        <w:rPr>
          <w:rFonts w:eastAsia="SimSun" w:hint="cs"/>
          <w:rtl/>
          <w:lang w:eastAsia="zh-CN"/>
        </w:rPr>
        <w:t>ثيقة</w:t>
      </w:r>
      <w:proofErr w:type="gramEnd"/>
      <w:r>
        <w:rPr>
          <w:rFonts w:eastAsia="SimSun" w:hint="cs"/>
          <w:rtl/>
          <w:lang w:eastAsia="zh-CN"/>
        </w:rPr>
        <w:t>]</w:t>
      </w:r>
    </w:p>
    <w:sectPr w:rsidR="00C708FE" w:rsidRPr="00C80717" w:rsidSect="000550F1">
      <w:headerReference w:type="default" r:id="rId12"/>
      <w:headerReference w:type="first" r:id="rId13"/>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4E2" w:rsidRDefault="00C034E2">
      <w:r>
        <w:separator/>
      </w:r>
    </w:p>
  </w:endnote>
  <w:endnote w:type="continuationSeparator" w:id="0">
    <w:p w:rsidR="00C034E2" w:rsidRDefault="00C0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4E2" w:rsidRDefault="00C034E2" w:rsidP="009622BF">
      <w:pPr>
        <w:bidi/>
      </w:pPr>
      <w:bookmarkStart w:id="0" w:name="OLE_LINK1"/>
      <w:bookmarkStart w:id="1" w:name="OLE_LINK2"/>
      <w:r>
        <w:separator/>
      </w:r>
      <w:bookmarkEnd w:id="0"/>
      <w:bookmarkEnd w:id="1"/>
    </w:p>
  </w:footnote>
  <w:footnote w:type="continuationSeparator" w:id="0">
    <w:p w:rsidR="00C034E2" w:rsidRDefault="00C034E2" w:rsidP="009622BF">
      <w:pPr>
        <w:bidi/>
      </w:pPr>
      <w:r>
        <w:separator/>
      </w:r>
    </w:p>
  </w:footnote>
  <w:footnote w:id="1">
    <w:p w:rsidR="00C708FE" w:rsidRPr="000C6327" w:rsidRDefault="00E63420" w:rsidP="00E63420">
      <w:pPr>
        <w:pStyle w:val="FootnoteText"/>
        <w:rPr>
          <w:sz w:val="16"/>
          <w:szCs w:val="16"/>
        </w:rPr>
      </w:pPr>
      <w:r>
        <w:rPr>
          <w:rStyle w:val="FootnoteReference"/>
        </w:rPr>
        <w:footnoteRef/>
      </w:r>
      <w:r>
        <w:rPr>
          <w:rFonts w:hint="cs"/>
          <w:rtl/>
        </w:rPr>
        <w:t xml:space="preserve"> المناقشات والدراسات التحليلية في البيانات المالية </w:t>
      </w:r>
      <w:proofErr w:type="gramStart"/>
      <w:r>
        <w:rPr>
          <w:rFonts w:hint="cs"/>
          <w:rtl/>
        </w:rPr>
        <w:t>أجريت</w:t>
      </w:r>
      <w:proofErr w:type="gramEnd"/>
      <w:r>
        <w:rPr>
          <w:rFonts w:hint="cs"/>
          <w:rtl/>
        </w:rPr>
        <w:t xml:space="preserve"> على أساس المعايير المحاسبية الدولية للقطاع العام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FE" w:rsidRPr="002E3F0B" w:rsidRDefault="00C708FE" w:rsidP="002E3F0B">
    <w:bookmarkStart w:id="2" w:name="Code2"/>
    <w:bookmarkEnd w:id="2"/>
    <w:r w:rsidRPr="002E3F0B">
      <w:t>WO/PBC/22/27</w:t>
    </w:r>
  </w:p>
  <w:p w:rsidR="00C708FE" w:rsidRDefault="00C708FE" w:rsidP="002E3F0B">
    <w:r w:rsidRPr="002E3F0B">
      <w:fldChar w:fldCharType="begin"/>
    </w:r>
    <w:r w:rsidRPr="002E3F0B">
      <w:instrText xml:space="preserve"> PAGE</w:instrText>
    </w:r>
    <w:r w:rsidR="009B4BA0">
      <w:instrText xml:space="preserve"> </w:instrText>
    </w:r>
    <w:r w:rsidRPr="002E3F0B">
      <w:instrText xml:space="preserve">\* MERGEFORMAT </w:instrText>
    </w:r>
    <w:r w:rsidRPr="002E3F0B">
      <w:fldChar w:fldCharType="separate"/>
    </w:r>
    <w:r w:rsidR="002924E8">
      <w:rPr>
        <w:noProof/>
      </w:rPr>
      <w:t>5</w:t>
    </w:r>
    <w:r w:rsidRPr="002E3F0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74410">
    <w:r>
      <w:t>W</w:t>
    </w:r>
    <w:r w:rsidR="00772E46">
      <w:t>O/</w:t>
    </w:r>
    <w:r>
      <w:t>PBC</w:t>
    </w:r>
    <w:r w:rsidR="002F77FC">
      <w:t>/</w:t>
    </w:r>
    <w:r w:rsidR="00772E46">
      <w:t>2</w:t>
    </w:r>
    <w:r w:rsidR="00AA2001">
      <w:t>2</w:t>
    </w:r>
    <w:r w:rsidR="00D73CFF">
      <w:t>/27</w:t>
    </w:r>
  </w:p>
  <w:p w:rsidR="00D73CFF" w:rsidRDefault="00D73CFF" w:rsidP="00274410">
    <w:r>
      <w:t>Annex</w:t>
    </w:r>
  </w:p>
  <w:p w:rsidR="002F77FC" w:rsidRDefault="002F77FC" w:rsidP="00D73CFF">
    <w:r>
      <w:fldChar w:fldCharType="begin"/>
    </w:r>
    <w:r>
      <w:instrText xml:space="preserve"> PAGE</w:instrText>
    </w:r>
    <w:r w:rsidR="009B4BA0">
      <w:instrText xml:space="preserve"> </w:instrText>
    </w:r>
    <w:r>
      <w:instrText xml:space="preserve">\* MERGEFORMAT </w:instrText>
    </w:r>
    <w:r>
      <w:fldChar w:fldCharType="separate"/>
    </w:r>
    <w:r w:rsidR="002924E8">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A0" w:rsidRPr="002E3F0B" w:rsidRDefault="009B4BA0" w:rsidP="00D73CFF">
    <w:r w:rsidRPr="002E3F0B">
      <w:t>WO/PBC/22/27</w:t>
    </w:r>
  </w:p>
  <w:p w:rsidR="009B4BA0" w:rsidRDefault="009B4BA0" w:rsidP="000550F1">
    <w:pPr>
      <w:pStyle w:val="Header"/>
    </w:pPr>
    <w:r>
      <w:t>A</w:t>
    </w:r>
    <w:r w:rsidR="000550F1">
      <w:t>NNEX</w:t>
    </w:r>
  </w:p>
  <w:p w:rsidR="009B4BA0" w:rsidRPr="00D73CFF" w:rsidRDefault="009B4BA0" w:rsidP="00D73CFF">
    <w:pPr>
      <w:pStyle w:val="Header"/>
      <w:bidi/>
      <w:jc w:val="right"/>
      <w:rPr>
        <w:rFonts w:ascii="Arabic Typesetting" w:hAnsi="Arabic Typesetting" w:cs="Arabic Typesetting"/>
        <w:sz w:val="44"/>
        <w:szCs w:val="44"/>
        <w:rtl/>
      </w:rPr>
    </w:pPr>
    <w:r w:rsidRPr="00D73CFF">
      <w:rPr>
        <w:rFonts w:ascii="Arabic Typesetting" w:hAnsi="Arabic Typesetting" w:cs="Arabic Typesetting"/>
        <w:sz w:val="44"/>
        <w:szCs w:val="44"/>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820F16"/>
    <w:multiLevelType w:val="hybridMultilevel"/>
    <w:tmpl w:val="F736877E"/>
    <w:lvl w:ilvl="0" w:tplc="A5FC596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CD29E3"/>
    <w:multiLevelType w:val="multilevel"/>
    <w:tmpl w:val="D0C6C4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72B22C3"/>
    <w:multiLevelType w:val="hybridMultilevel"/>
    <w:tmpl w:val="7B6C5B52"/>
    <w:lvl w:ilvl="0" w:tplc="9C027A1C">
      <w:start w:val="1"/>
      <w:numFmt w:val="lowerRoman"/>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8C86636"/>
    <w:multiLevelType w:val="hybridMultilevel"/>
    <w:tmpl w:val="3168BB38"/>
    <w:lvl w:ilvl="0" w:tplc="EAB26EE8">
      <w:start w:val="1"/>
      <w:numFmt w:val="lowerRoman"/>
      <w:lvlText w:val="(%1)"/>
      <w:lvlJc w:val="right"/>
      <w:pPr>
        <w:ind w:left="6253" w:hanging="720"/>
      </w:pPr>
      <w:rPr>
        <w:rFonts w:hint="default"/>
        <w:b w:val="0"/>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nsid w:val="18FD5D07"/>
    <w:multiLevelType w:val="hybridMultilevel"/>
    <w:tmpl w:val="D2546CC4"/>
    <w:lvl w:ilvl="0" w:tplc="FB76730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211963"/>
    <w:multiLevelType w:val="hybridMultilevel"/>
    <w:tmpl w:val="1F16E12A"/>
    <w:lvl w:ilvl="0" w:tplc="9C027A1C">
      <w:start w:val="1"/>
      <w:numFmt w:val="lowerRoman"/>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9">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066E09"/>
    <w:multiLevelType w:val="hybridMultilevel"/>
    <w:tmpl w:val="3F841C4A"/>
    <w:lvl w:ilvl="0" w:tplc="9C027A1C">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E77123"/>
    <w:multiLevelType w:val="hybridMultilevel"/>
    <w:tmpl w:val="11D6C238"/>
    <w:lvl w:ilvl="0" w:tplc="A5FC596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40338"/>
    <w:multiLevelType w:val="hybridMultilevel"/>
    <w:tmpl w:val="4CF6E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592251"/>
    <w:multiLevelType w:val="multilevel"/>
    <w:tmpl w:val="4A5E8396"/>
    <w:lvl w:ilvl="0">
      <w:start w:val="1"/>
      <w:numFmt w:val="lowerRoman"/>
      <w:lvlText w:val="%1)"/>
      <w:lvlJc w:val="left"/>
      <w:pPr>
        <w:ind w:left="720" w:hanging="72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694129"/>
    <w:multiLevelType w:val="hybridMultilevel"/>
    <w:tmpl w:val="E3D4ECD6"/>
    <w:lvl w:ilvl="0" w:tplc="A5FC596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027F0"/>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C25C99"/>
    <w:multiLevelType w:val="hybridMultilevel"/>
    <w:tmpl w:val="A824FA20"/>
    <w:lvl w:ilvl="0" w:tplc="EA544D3A">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AD268CD"/>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2774AD6"/>
    <w:multiLevelType w:val="hybridMultilevel"/>
    <w:tmpl w:val="8C087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524054"/>
    <w:multiLevelType w:val="hybridMultilevel"/>
    <w:tmpl w:val="7A5CB848"/>
    <w:lvl w:ilvl="0" w:tplc="18D4F94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nsid w:val="71CC6BBA"/>
    <w:multiLevelType w:val="hybridMultilevel"/>
    <w:tmpl w:val="070C9CA6"/>
    <w:lvl w:ilvl="0" w:tplc="9C027A1C">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971EB4"/>
    <w:multiLevelType w:val="hybridMultilevel"/>
    <w:tmpl w:val="2F624400"/>
    <w:lvl w:ilvl="0" w:tplc="A5FC596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5"/>
  </w:num>
  <w:num w:numId="3">
    <w:abstractNumId w:val="13"/>
  </w:num>
  <w:num w:numId="4">
    <w:abstractNumId w:val="35"/>
  </w:num>
  <w:num w:numId="5">
    <w:abstractNumId w:val="8"/>
  </w:num>
  <w:num w:numId="6">
    <w:abstractNumId w:val="38"/>
  </w:num>
  <w:num w:numId="7">
    <w:abstractNumId w:val="20"/>
  </w:num>
  <w:num w:numId="8">
    <w:abstractNumId w:val="34"/>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26"/>
  </w:num>
  <w:num w:numId="23">
    <w:abstractNumId w:val="11"/>
  </w:num>
  <w:num w:numId="24">
    <w:abstractNumId w:val="17"/>
  </w:num>
  <w:num w:numId="25">
    <w:abstractNumId w:val="28"/>
  </w:num>
  <w:num w:numId="26">
    <w:abstractNumId w:val="12"/>
  </w:num>
  <w:num w:numId="27">
    <w:abstractNumId w:val="18"/>
  </w:num>
  <w:num w:numId="28">
    <w:abstractNumId w:val="21"/>
  </w:num>
  <w:num w:numId="29">
    <w:abstractNumId w:val="36"/>
  </w:num>
  <w:num w:numId="30">
    <w:abstractNumId w:val="3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8"/>
    </w:lvlOverride>
  </w:num>
  <w:num w:numId="34">
    <w:abstractNumId w:val="15"/>
  </w:num>
  <w:num w:numId="35">
    <w:abstractNumId w:val="24"/>
  </w:num>
  <w:num w:numId="36">
    <w:abstractNumId w:val="11"/>
    <w:lvlOverride w:ilvl="0">
      <w:startOverride w:val="6"/>
    </w:lvlOverride>
  </w:num>
  <w:num w:numId="37">
    <w:abstractNumId w:val="23"/>
  </w:num>
  <w:num w:numId="38">
    <w:abstractNumId w:val="32"/>
  </w:num>
  <w:num w:numId="39">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9"/>
  </w:num>
  <w:num w:numId="42">
    <w:abstractNumId w:val="37"/>
  </w:num>
  <w:num w:numId="43">
    <w:abstractNumId w:val="22"/>
  </w:num>
  <w:num w:numId="44">
    <w:abstractNumId w:val="10"/>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1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2E7"/>
    <w:rsid w:val="00047497"/>
    <w:rsid w:val="000500C9"/>
    <w:rsid w:val="0005014C"/>
    <w:rsid w:val="000508E2"/>
    <w:rsid w:val="00050A69"/>
    <w:rsid w:val="00050C55"/>
    <w:rsid w:val="00050F28"/>
    <w:rsid w:val="00053836"/>
    <w:rsid w:val="00054659"/>
    <w:rsid w:val="000550F1"/>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A48"/>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3D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2D1"/>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4E8"/>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F0B"/>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382"/>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5A3"/>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94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98B"/>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ECA"/>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CC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58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EA4"/>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603"/>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3C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BE9"/>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561D"/>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1EE4"/>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049"/>
    <w:rsid w:val="008D564A"/>
    <w:rsid w:val="008D5E47"/>
    <w:rsid w:val="008D7D8C"/>
    <w:rsid w:val="008E004E"/>
    <w:rsid w:val="008E04FB"/>
    <w:rsid w:val="008E0B4B"/>
    <w:rsid w:val="008E3E79"/>
    <w:rsid w:val="008E5282"/>
    <w:rsid w:val="008E58C3"/>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F7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1E26"/>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BA0"/>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E3F"/>
    <w:rsid w:val="00A320BA"/>
    <w:rsid w:val="00A32283"/>
    <w:rsid w:val="00A32342"/>
    <w:rsid w:val="00A325EC"/>
    <w:rsid w:val="00A32B81"/>
    <w:rsid w:val="00A337E5"/>
    <w:rsid w:val="00A3639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2BB0"/>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29"/>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4E2"/>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0B5"/>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8FE"/>
    <w:rsid w:val="00C720F8"/>
    <w:rsid w:val="00C7294B"/>
    <w:rsid w:val="00C75139"/>
    <w:rsid w:val="00C7525C"/>
    <w:rsid w:val="00C76CF7"/>
    <w:rsid w:val="00C8071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AB3"/>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CFF"/>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0E9"/>
    <w:rsid w:val="00D94564"/>
    <w:rsid w:val="00D9536E"/>
    <w:rsid w:val="00D97426"/>
    <w:rsid w:val="00D97568"/>
    <w:rsid w:val="00DA06B0"/>
    <w:rsid w:val="00DA29BA"/>
    <w:rsid w:val="00DA3249"/>
    <w:rsid w:val="00DA38CE"/>
    <w:rsid w:val="00DA4B01"/>
    <w:rsid w:val="00DA4FE9"/>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045"/>
    <w:rsid w:val="00DE1F29"/>
    <w:rsid w:val="00DE3FEB"/>
    <w:rsid w:val="00DE4905"/>
    <w:rsid w:val="00DE510C"/>
    <w:rsid w:val="00DE7822"/>
    <w:rsid w:val="00DF081A"/>
    <w:rsid w:val="00DF265D"/>
    <w:rsid w:val="00DF2EA5"/>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624"/>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73E"/>
    <w:rsid w:val="00E5480C"/>
    <w:rsid w:val="00E54AB7"/>
    <w:rsid w:val="00E55131"/>
    <w:rsid w:val="00E55F3E"/>
    <w:rsid w:val="00E56392"/>
    <w:rsid w:val="00E5712F"/>
    <w:rsid w:val="00E601DA"/>
    <w:rsid w:val="00E60547"/>
    <w:rsid w:val="00E609FF"/>
    <w:rsid w:val="00E61AA8"/>
    <w:rsid w:val="00E6247F"/>
    <w:rsid w:val="00E62E59"/>
    <w:rsid w:val="00E63420"/>
    <w:rsid w:val="00E63E99"/>
    <w:rsid w:val="00E6454D"/>
    <w:rsid w:val="00E65301"/>
    <w:rsid w:val="00E6598A"/>
    <w:rsid w:val="00E66166"/>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04D"/>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45FA"/>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CA2"/>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60F"/>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4F0"/>
    <w:rsid w:val="00FE01B5"/>
    <w:rsid w:val="00FE03BB"/>
    <w:rsid w:val="00FE0BF0"/>
    <w:rsid w:val="00FE15A2"/>
    <w:rsid w:val="00FE3B37"/>
    <w:rsid w:val="00FE4B40"/>
    <w:rsid w:val="00FE5DC4"/>
    <w:rsid w:val="00FE6E94"/>
    <w:rsid w:val="00FE76CB"/>
    <w:rsid w:val="00FE7BD8"/>
    <w:rsid w:val="00FE7DE4"/>
    <w:rsid w:val="00FF12EF"/>
    <w:rsid w:val="00FF1D76"/>
    <w:rsid w:val="00FF309E"/>
    <w:rsid w:val="00FF3EE6"/>
    <w:rsid w:val="00FF434C"/>
    <w:rsid w:val="00FF4E6F"/>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C708FE"/>
  </w:style>
  <w:style w:type="paragraph" w:customStyle="1" w:styleId="Endofdocument-Annex">
    <w:name w:val="[End of document - Annex]"/>
    <w:basedOn w:val="Normal"/>
    <w:rsid w:val="00C708FE"/>
    <w:pPr>
      <w:ind w:left="5534"/>
    </w:pPr>
    <w:rPr>
      <w:rFonts w:eastAsia="SimSun"/>
      <w:lang w:eastAsia="zh-CN"/>
    </w:rPr>
  </w:style>
  <w:style w:type="paragraph" w:styleId="BodyText">
    <w:name w:val="Body Text"/>
    <w:basedOn w:val="Normal"/>
    <w:link w:val="BodyTextChar"/>
    <w:rsid w:val="00C708FE"/>
    <w:pPr>
      <w:spacing w:after="220"/>
    </w:pPr>
    <w:rPr>
      <w:rFonts w:eastAsia="SimSun"/>
      <w:lang w:eastAsia="zh-CN"/>
    </w:rPr>
  </w:style>
  <w:style w:type="character" w:customStyle="1" w:styleId="BodyTextChar">
    <w:name w:val="Body Text Char"/>
    <w:basedOn w:val="DefaultParagraphFont"/>
    <w:link w:val="BodyText"/>
    <w:rsid w:val="00C708FE"/>
    <w:rPr>
      <w:rFonts w:ascii="Arial" w:eastAsia="SimSun" w:hAnsi="Arial" w:cs="Arial"/>
      <w:sz w:val="22"/>
      <w:lang w:eastAsia="zh-CN"/>
    </w:rPr>
  </w:style>
  <w:style w:type="paragraph" w:customStyle="1" w:styleId="ONUME">
    <w:name w:val="ONUM E"/>
    <w:basedOn w:val="BodyText"/>
    <w:rsid w:val="00C708FE"/>
    <w:pPr>
      <w:numPr>
        <w:numId w:val="23"/>
      </w:numPr>
    </w:pPr>
  </w:style>
  <w:style w:type="paragraph" w:customStyle="1" w:styleId="ONUMFS">
    <w:name w:val="ONUM FS"/>
    <w:basedOn w:val="BodyText"/>
    <w:rsid w:val="00C708FE"/>
    <w:pPr>
      <w:numPr>
        <w:numId w:val="24"/>
      </w:numPr>
    </w:pPr>
  </w:style>
  <w:style w:type="paragraph" w:styleId="ListParagraph">
    <w:name w:val="List Paragraph"/>
    <w:basedOn w:val="Normal"/>
    <w:uiPriority w:val="34"/>
    <w:qFormat/>
    <w:rsid w:val="00C708FE"/>
    <w:pPr>
      <w:ind w:left="720"/>
      <w:contextualSpacing/>
    </w:pPr>
    <w:rPr>
      <w:rFonts w:eastAsia="SimSun"/>
      <w:lang w:eastAsia="zh-CN"/>
    </w:rPr>
  </w:style>
  <w:style w:type="character" w:styleId="CommentReference">
    <w:name w:val="annotation reference"/>
    <w:basedOn w:val="DefaultParagraphFont"/>
    <w:rsid w:val="00C708FE"/>
    <w:rPr>
      <w:sz w:val="16"/>
      <w:szCs w:val="16"/>
    </w:rPr>
  </w:style>
  <w:style w:type="paragraph" w:styleId="CommentSubject">
    <w:name w:val="annotation subject"/>
    <w:basedOn w:val="CommentText"/>
    <w:next w:val="CommentText"/>
    <w:link w:val="CommentSubjectChar"/>
    <w:rsid w:val="00C708FE"/>
    <w:rPr>
      <w:rFonts w:eastAsia="SimSun"/>
      <w:b/>
      <w:bCs/>
      <w:sz w:val="20"/>
      <w:lang w:eastAsia="zh-CN"/>
    </w:rPr>
  </w:style>
  <w:style w:type="character" w:customStyle="1" w:styleId="CommentTextChar">
    <w:name w:val="Comment Text Char"/>
    <w:basedOn w:val="DefaultParagraphFont"/>
    <w:link w:val="CommentText"/>
    <w:semiHidden/>
    <w:rsid w:val="00C708FE"/>
    <w:rPr>
      <w:rFonts w:ascii="Arial" w:hAnsi="Arial" w:cs="Arial"/>
      <w:sz w:val="18"/>
    </w:rPr>
  </w:style>
  <w:style w:type="character" w:customStyle="1" w:styleId="CommentSubjectChar">
    <w:name w:val="Comment Subject Char"/>
    <w:basedOn w:val="CommentTextChar"/>
    <w:link w:val="CommentSubject"/>
    <w:rsid w:val="00C708FE"/>
    <w:rPr>
      <w:rFonts w:ascii="Arial" w:eastAsia="SimSun" w:hAnsi="Arial" w:cs="Arial"/>
      <w:b/>
      <w:bCs/>
      <w:sz w:val="18"/>
      <w:lang w:eastAsia="zh-CN"/>
    </w:rPr>
  </w:style>
  <w:style w:type="paragraph" w:styleId="NormalWeb">
    <w:name w:val="Normal (Web)"/>
    <w:basedOn w:val="Normal"/>
    <w:uiPriority w:val="99"/>
    <w:unhideWhenUsed/>
    <w:rsid w:val="00C708FE"/>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C708FE"/>
  </w:style>
  <w:style w:type="paragraph" w:customStyle="1" w:styleId="Endofdocument-Annex">
    <w:name w:val="[End of document - Annex]"/>
    <w:basedOn w:val="Normal"/>
    <w:rsid w:val="00C708FE"/>
    <w:pPr>
      <w:ind w:left="5534"/>
    </w:pPr>
    <w:rPr>
      <w:rFonts w:eastAsia="SimSun"/>
      <w:lang w:eastAsia="zh-CN"/>
    </w:rPr>
  </w:style>
  <w:style w:type="paragraph" w:styleId="BodyText">
    <w:name w:val="Body Text"/>
    <w:basedOn w:val="Normal"/>
    <w:link w:val="BodyTextChar"/>
    <w:rsid w:val="00C708FE"/>
    <w:pPr>
      <w:spacing w:after="220"/>
    </w:pPr>
    <w:rPr>
      <w:rFonts w:eastAsia="SimSun"/>
      <w:lang w:eastAsia="zh-CN"/>
    </w:rPr>
  </w:style>
  <w:style w:type="character" w:customStyle="1" w:styleId="BodyTextChar">
    <w:name w:val="Body Text Char"/>
    <w:basedOn w:val="DefaultParagraphFont"/>
    <w:link w:val="BodyText"/>
    <w:rsid w:val="00C708FE"/>
    <w:rPr>
      <w:rFonts w:ascii="Arial" w:eastAsia="SimSun" w:hAnsi="Arial" w:cs="Arial"/>
      <w:sz w:val="22"/>
      <w:lang w:eastAsia="zh-CN"/>
    </w:rPr>
  </w:style>
  <w:style w:type="paragraph" w:customStyle="1" w:styleId="ONUME">
    <w:name w:val="ONUM E"/>
    <w:basedOn w:val="BodyText"/>
    <w:rsid w:val="00C708FE"/>
    <w:pPr>
      <w:numPr>
        <w:numId w:val="23"/>
      </w:numPr>
    </w:pPr>
  </w:style>
  <w:style w:type="paragraph" w:customStyle="1" w:styleId="ONUMFS">
    <w:name w:val="ONUM FS"/>
    <w:basedOn w:val="BodyText"/>
    <w:rsid w:val="00C708FE"/>
    <w:pPr>
      <w:numPr>
        <w:numId w:val="24"/>
      </w:numPr>
    </w:pPr>
  </w:style>
  <w:style w:type="paragraph" w:styleId="ListParagraph">
    <w:name w:val="List Paragraph"/>
    <w:basedOn w:val="Normal"/>
    <w:uiPriority w:val="34"/>
    <w:qFormat/>
    <w:rsid w:val="00C708FE"/>
    <w:pPr>
      <w:ind w:left="720"/>
      <w:contextualSpacing/>
    </w:pPr>
    <w:rPr>
      <w:rFonts w:eastAsia="SimSun"/>
      <w:lang w:eastAsia="zh-CN"/>
    </w:rPr>
  </w:style>
  <w:style w:type="character" w:styleId="CommentReference">
    <w:name w:val="annotation reference"/>
    <w:basedOn w:val="DefaultParagraphFont"/>
    <w:rsid w:val="00C708FE"/>
    <w:rPr>
      <w:sz w:val="16"/>
      <w:szCs w:val="16"/>
    </w:rPr>
  </w:style>
  <w:style w:type="paragraph" w:styleId="CommentSubject">
    <w:name w:val="annotation subject"/>
    <w:basedOn w:val="CommentText"/>
    <w:next w:val="CommentText"/>
    <w:link w:val="CommentSubjectChar"/>
    <w:rsid w:val="00C708FE"/>
    <w:rPr>
      <w:rFonts w:eastAsia="SimSun"/>
      <w:b/>
      <w:bCs/>
      <w:sz w:val="20"/>
      <w:lang w:eastAsia="zh-CN"/>
    </w:rPr>
  </w:style>
  <w:style w:type="character" w:customStyle="1" w:styleId="CommentTextChar">
    <w:name w:val="Comment Text Char"/>
    <w:basedOn w:val="DefaultParagraphFont"/>
    <w:link w:val="CommentText"/>
    <w:semiHidden/>
    <w:rsid w:val="00C708FE"/>
    <w:rPr>
      <w:rFonts w:ascii="Arial" w:hAnsi="Arial" w:cs="Arial"/>
      <w:sz w:val="18"/>
    </w:rPr>
  </w:style>
  <w:style w:type="character" w:customStyle="1" w:styleId="CommentSubjectChar">
    <w:name w:val="Comment Subject Char"/>
    <w:basedOn w:val="CommentTextChar"/>
    <w:link w:val="CommentSubject"/>
    <w:rsid w:val="00C708FE"/>
    <w:rPr>
      <w:rFonts w:ascii="Arial" w:eastAsia="SimSun" w:hAnsi="Arial" w:cs="Arial"/>
      <w:b/>
      <w:bCs/>
      <w:sz w:val="18"/>
      <w:lang w:eastAsia="zh-CN"/>
    </w:rPr>
  </w:style>
  <w:style w:type="paragraph" w:styleId="NormalWeb">
    <w:name w:val="Normal (Web)"/>
    <w:basedOn w:val="Normal"/>
    <w:uiPriority w:val="99"/>
    <w:unhideWhenUsed/>
    <w:rsid w:val="00C708FE"/>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B979-E068-40DA-BCAB-CE9A5A88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429</TotalTime>
  <Pages>11</Pages>
  <Words>1797</Words>
  <Characters>10046</Characters>
  <Application>Microsoft Office Word</Application>
  <DocSecurity>0</DocSecurity>
  <Lines>669</Lines>
  <Paragraphs>166</Paragraphs>
  <ScaleCrop>false</ScaleCrop>
  <HeadingPairs>
    <vt:vector size="2" baseType="variant">
      <vt:variant>
        <vt:lpstr>Title</vt:lpstr>
      </vt:variant>
      <vt:variant>
        <vt:i4>1</vt:i4>
      </vt:variant>
    </vt:vector>
  </HeadingPairs>
  <TitlesOfParts>
    <vt:vector size="1" baseType="lpstr">
      <vt:lpstr>WO/PBC/22/27 (Arabic)</vt:lpstr>
    </vt:vector>
  </TitlesOfParts>
  <Company>World Intellectual Property Organization</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WO/PBC/22/27 (Arabic)</dc:title>
  <dc:creator>HASSAN Ahmed</dc:creator>
  <cp:lastModifiedBy>YOUSSEF Randa</cp:lastModifiedBy>
  <cp:revision>17</cp:revision>
  <cp:lastPrinted>2014-08-06T13:29:00Z</cp:lastPrinted>
  <dcterms:created xsi:type="dcterms:W3CDTF">2014-08-04T12:44:00Z</dcterms:created>
  <dcterms:modified xsi:type="dcterms:W3CDTF">2014-08-06T13:30:00Z</dcterms:modified>
</cp:coreProperties>
</file>