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0D654D">
            <w:pPr>
              <w:pStyle w:val="DocumentCodeAR"/>
              <w:bidi/>
              <w:rPr>
                <w:rtl/>
              </w:rPr>
            </w:pPr>
            <w:r>
              <w:t>WO/</w:t>
            </w:r>
            <w:r w:rsidR="00983389">
              <w:t>PBC</w:t>
            </w:r>
            <w:r w:rsidR="00100F97">
              <w:t>/</w:t>
            </w:r>
            <w:r>
              <w:t>2</w:t>
            </w:r>
            <w:r w:rsidR="00AA2001">
              <w:t>2</w:t>
            </w:r>
            <w:r w:rsidR="00B6101C" w:rsidRPr="00B6101C">
              <w:t>/</w:t>
            </w:r>
            <w:r w:rsidR="000D654D">
              <w:t>21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D654D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0D654D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0D654D" w:rsidP="000D654D">
            <w:pPr>
              <w:pStyle w:val="DocumentDateAR"/>
              <w:bidi/>
              <w:rPr>
                <w:rtl/>
              </w:rPr>
            </w:pPr>
            <w:r>
              <w:rPr>
                <w:rFonts w:hint="cs"/>
                <w:rtl/>
              </w:rPr>
              <w:t>التاريخ: 14 يوليو</w:t>
            </w:r>
            <w:r w:rsidR="00B6101C"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AA2001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983389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لجنة </w:t>
      </w:r>
      <w:r w:rsidR="00983389">
        <w:rPr>
          <w:rFonts w:hint="cs"/>
          <w:rtl/>
          <w:lang w:val="fr-CH"/>
        </w:rPr>
        <w:t>البرنامج والميزانية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AA2001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AA2001">
        <w:rPr>
          <w:rFonts w:ascii="Cambria Math" w:hAnsi="Cambria Math" w:hint="cs"/>
          <w:rtl/>
        </w:rPr>
        <w:t>الثانية</w:t>
      </w:r>
      <w:r w:rsidR="00274410">
        <w:rPr>
          <w:rFonts w:ascii="Cambria Math" w:hAnsi="Cambria Math" w:hint="cs"/>
          <w:rtl/>
        </w:rPr>
        <w:t xml:space="preserve"> والعشرون</w:t>
      </w:r>
    </w:p>
    <w:p w:rsidR="00D61541" w:rsidRPr="00D61541" w:rsidRDefault="00D61541" w:rsidP="00AA200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A2001">
        <w:rPr>
          <w:rFonts w:hint="cs"/>
          <w:rtl/>
        </w:rPr>
        <w:t>1</w:t>
      </w:r>
      <w:r w:rsidR="00983389">
        <w:rPr>
          <w:rFonts w:hint="cs"/>
          <w:rtl/>
        </w:rPr>
        <w:t xml:space="preserve"> </w:t>
      </w:r>
      <w:r w:rsidR="00100F97">
        <w:rPr>
          <w:rFonts w:hint="cs"/>
          <w:rtl/>
        </w:rPr>
        <w:t xml:space="preserve">إلى </w:t>
      </w:r>
      <w:r w:rsidR="00AA2001">
        <w:rPr>
          <w:rFonts w:hint="cs"/>
          <w:rtl/>
        </w:rPr>
        <w:t>5</w:t>
      </w:r>
      <w:r w:rsidR="00783D11">
        <w:rPr>
          <w:rFonts w:hint="cs"/>
          <w:rtl/>
        </w:rPr>
        <w:t xml:space="preserve"> </w:t>
      </w:r>
      <w:r w:rsidR="00274410">
        <w:rPr>
          <w:rFonts w:hint="cs"/>
          <w:rtl/>
        </w:rPr>
        <w:t>سبتمبر</w:t>
      </w:r>
      <w:r w:rsidR="00AE2328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AA2001">
        <w:rPr>
          <w:rFonts w:hint="cs"/>
          <w:rtl/>
        </w:rPr>
        <w:t>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D654D" w:rsidP="00FB7EC9">
      <w:pPr>
        <w:pStyle w:val="DocumentTitleAR"/>
        <w:bidi/>
        <w:rPr>
          <w:rtl/>
        </w:rPr>
      </w:pPr>
      <w:r>
        <w:rPr>
          <w:rFonts w:hint="cs"/>
          <w:rtl/>
        </w:rPr>
        <w:t>تقرير مرحلي بشأن الخطة الرأسمالية الرئيسية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0D654D">
        <w:rPr>
          <w:rFonts w:hint="cs"/>
          <w:rtl/>
        </w:rPr>
        <w:t xml:space="preserve"> الأمانة</w:t>
      </w:r>
    </w:p>
    <w:p w:rsidR="00AA2001" w:rsidRPr="000D654D" w:rsidRDefault="000D654D" w:rsidP="00414943">
      <w:pPr>
        <w:pStyle w:val="NormalParaAR"/>
        <w:keepNext/>
        <w:spacing w:after="120"/>
        <w:rPr>
          <w:b/>
          <w:bCs/>
          <w:sz w:val="40"/>
          <w:szCs w:val="40"/>
          <w:rtl/>
        </w:rPr>
      </w:pPr>
      <w:r w:rsidRPr="000D654D">
        <w:rPr>
          <w:rFonts w:hint="cs"/>
          <w:b/>
          <w:bCs/>
          <w:sz w:val="40"/>
          <w:szCs w:val="40"/>
          <w:rtl/>
        </w:rPr>
        <w:t>مقدمة</w:t>
      </w:r>
    </w:p>
    <w:p w:rsidR="000D654D" w:rsidRDefault="000D654D" w:rsidP="00414943">
      <w:pPr>
        <w:pStyle w:val="NormalParaAR"/>
        <w:numPr>
          <w:ilvl w:val="0"/>
          <w:numId w:val="21"/>
        </w:numPr>
        <w:spacing w:after="120"/>
        <w:ind w:left="0" w:firstLine="0"/>
      </w:pPr>
      <w:r>
        <w:rPr>
          <w:rFonts w:hint="cs"/>
          <w:rtl/>
        </w:rPr>
        <w:t xml:space="preserve">صدقت جمعيات الويبو، في سلسلة اجتماعاتها الحادية والخمسين، على المبادئ التي </w:t>
      </w:r>
      <w:r w:rsidR="007069A0">
        <w:rPr>
          <w:rFonts w:hint="cs"/>
          <w:rtl/>
        </w:rPr>
        <w:t>تدرَج</w:t>
      </w:r>
      <w:r>
        <w:rPr>
          <w:rFonts w:hint="cs"/>
          <w:rtl/>
        </w:rPr>
        <w:t xml:space="preserve"> وفقاً لها المشروعات في الخطة الرأسمالية الرئيسية للمنظمة، ووافقت على تمويل المشروعات السبع</w:t>
      </w:r>
      <w:r w:rsidR="007069A0">
        <w:rPr>
          <w:rFonts w:hint="cs"/>
          <w:rtl/>
        </w:rPr>
        <w:t>ة</w:t>
      </w:r>
      <w:r>
        <w:rPr>
          <w:rFonts w:hint="cs"/>
          <w:rtl/>
        </w:rPr>
        <w:t xml:space="preserve"> التالية بمبلغ قدره 11.2 مليون فرنك سويسري من الأموال الاحتياطية المتاحة:</w:t>
      </w:r>
    </w:p>
    <w:p w:rsidR="00C22468" w:rsidRDefault="00EE7F00" w:rsidP="00414943">
      <w:pPr>
        <w:pStyle w:val="NormalParaAR"/>
        <w:numPr>
          <w:ilvl w:val="0"/>
          <w:numId w:val="26"/>
        </w:numPr>
        <w:spacing w:after="120"/>
        <w:ind w:left="567" w:firstLine="0"/>
      </w:pPr>
      <w:r>
        <w:rPr>
          <w:rtl/>
        </w:rPr>
        <w:t>تعزيز الأمن: ت</w:t>
      </w:r>
      <w:r>
        <w:rPr>
          <w:rFonts w:hint="cs"/>
          <w:rtl/>
        </w:rPr>
        <w:t>ش</w:t>
      </w:r>
      <w:r w:rsidR="00C22468" w:rsidRPr="00C22468">
        <w:rPr>
          <w:rtl/>
        </w:rPr>
        <w:t>فير البيانات وإدارة المستخدمين</w:t>
      </w:r>
      <w:r w:rsidR="00C22468">
        <w:rPr>
          <w:rFonts w:hint="cs"/>
          <w:rtl/>
        </w:rPr>
        <w:t>؛</w:t>
      </w:r>
    </w:p>
    <w:p w:rsidR="00C22468" w:rsidRDefault="00C22468" w:rsidP="003766FE">
      <w:pPr>
        <w:pStyle w:val="NormalParaAR"/>
        <w:numPr>
          <w:ilvl w:val="0"/>
          <w:numId w:val="26"/>
        </w:numPr>
        <w:spacing w:after="120"/>
        <w:ind w:left="567" w:firstLine="0"/>
      </w:pPr>
      <w:r>
        <w:rPr>
          <w:rtl/>
        </w:rPr>
        <w:t xml:space="preserve">تنفيذ إدارة </w:t>
      </w:r>
      <w:r w:rsidR="00F15CE3">
        <w:rPr>
          <w:rFonts w:hint="cs"/>
          <w:rtl/>
        </w:rPr>
        <w:t>المعلومات</w:t>
      </w:r>
      <w:r>
        <w:rPr>
          <w:rtl/>
        </w:rPr>
        <w:t xml:space="preserve"> المؤسس</w:t>
      </w:r>
      <w:r w:rsidR="00F15CE3">
        <w:rPr>
          <w:rFonts w:hint="cs"/>
          <w:rtl/>
        </w:rPr>
        <w:t>ي</w:t>
      </w:r>
      <w:r>
        <w:rPr>
          <w:rtl/>
        </w:rPr>
        <w:t xml:space="preserve">ة </w:t>
      </w:r>
      <w:r w:rsidR="00EE7F00">
        <w:rPr>
          <w:rFonts w:hint="cs"/>
          <w:rtl/>
        </w:rPr>
        <w:t>(</w:t>
      </w:r>
      <w:r w:rsidR="00EE7F00">
        <w:t>ECM</w:t>
      </w:r>
      <w:r w:rsidR="00EE7F00">
        <w:rPr>
          <w:rFonts w:hint="cs"/>
          <w:rtl/>
        </w:rPr>
        <w:t>)</w:t>
      </w:r>
      <w:r>
        <w:rPr>
          <w:rFonts w:hint="cs"/>
          <w:rtl/>
        </w:rPr>
        <w:t>؛</w:t>
      </w:r>
    </w:p>
    <w:p w:rsidR="00C22468" w:rsidRDefault="00C22468" w:rsidP="00414943">
      <w:pPr>
        <w:pStyle w:val="NormalParaAR"/>
        <w:numPr>
          <w:ilvl w:val="0"/>
          <w:numId w:val="26"/>
        </w:numPr>
        <w:spacing w:after="120"/>
        <w:ind w:left="567" w:firstLine="0"/>
      </w:pPr>
      <w:r>
        <w:rPr>
          <w:rtl/>
        </w:rPr>
        <w:t>تجديد الواجهات وتجهيزات التبريد/التدفئة في مبنى البراءات</w:t>
      </w:r>
      <w:r>
        <w:rPr>
          <w:rFonts w:hint="cs"/>
          <w:rtl/>
        </w:rPr>
        <w:t>؛</w:t>
      </w:r>
    </w:p>
    <w:p w:rsidR="00C22468" w:rsidRDefault="00C22468" w:rsidP="00F15CE3">
      <w:pPr>
        <w:pStyle w:val="NormalParaAR"/>
        <w:numPr>
          <w:ilvl w:val="0"/>
          <w:numId w:val="26"/>
        </w:numPr>
        <w:spacing w:after="120"/>
        <w:ind w:left="567" w:firstLine="0"/>
      </w:pPr>
      <w:r>
        <w:rPr>
          <w:rtl/>
        </w:rPr>
        <w:t xml:space="preserve">تطبيق نظام التبريد بمياه بحيرة جنيف في مبنى </w:t>
      </w:r>
      <w:proofErr w:type="spellStart"/>
      <w:r>
        <w:rPr>
          <w:rtl/>
        </w:rPr>
        <w:t>أرباد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بوكش</w:t>
      </w:r>
      <w:proofErr w:type="spellEnd"/>
      <w:r>
        <w:rPr>
          <w:rtl/>
        </w:rPr>
        <w:t xml:space="preserve"> ومبنى البراءات</w:t>
      </w:r>
      <w:r>
        <w:rPr>
          <w:rFonts w:hint="cs"/>
          <w:rtl/>
        </w:rPr>
        <w:t>؛</w:t>
      </w:r>
    </w:p>
    <w:p w:rsidR="00C22468" w:rsidRDefault="00C22468" w:rsidP="00414943">
      <w:pPr>
        <w:pStyle w:val="NormalParaAR"/>
        <w:numPr>
          <w:ilvl w:val="0"/>
          <w:numId w:val="26"/>
        </w:numPr>
        <w:spacing w:after="120"/>
        <w:ind w:left="567" w:firstLine="0"/>
      </w:pPr>
      <w:r>
        <w:rPr>
          <w:rtl/>
        </w:rPr>
        <w:t xml:space="preserve">مبنى </w:t>
      </w:r>
      <w:proofErr w:type="spellStart"/>
      <w:r>
        <w:rPr>
          <w:rtl/>
        </w:rPr>
        <w:t>أرباد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بوكش</w:t>
      </w:r>
      <w:proofErr w:type="spellEnd"/>
      <w:r>
        <w:rPr>
          <w:rtl/>
        </w:rPr>
        <w:t xml:space="preserve"> – المرحلة الأولى من تجديد القبو (تغيير حجم مركز البيانات وتجديد المطبعة)</w:t>
      </w:r>
      <w:r>
        <w:rPr>
          <w:rFonts w:hint="cs"/>
          <w:rtl/>
        </w:rPr>
        <w:t>؛</w:t>
      </w:r>
    </w:p>
    <w:p w:rsidR="00C22468" w:rsidRDefault="00C22468" w:rsidP="00414943">
      <w:pPr>
        <w:pStyle w:val="NormalParaAR"/>
        <w:numPr>
          <w:ilvl w:val="0"/>
          <w:numId w:val="26"/>
        </w:numPr>
        <w:spacing w:after="120"/>
        <w:ind w:left="567" w:firstLine="0"/>
      </w:pPr>
      <w:r>
        <w:rPr>
          <w:rtl/>
        </w:rPr>
        <w:t xml:space="preserve">مبنى </w:t>
      </w:r>
      <w:proofErr w:type="spellStart"/>
      <w:r>
        <w:rPr>
          <w:rtl/>
        </w:rPr>
        <w:t>أرباد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بوكش</w:t>
      </w:r>
      <w:proofErr w:type="spellEnd"/>
      <w:r>
        <w:rPr>
          <w:rtl/>
        </w:rPr>
        <w:t xml:space="preserve"> – استبدال بعض النوافذ</w:t>
      </w:r>
      <w:r>
        <w:rPr>
          <w:rFonts w:hint="cs"/>
          <w:rtl/>
        </w:rPr>
        <w:t>؛</w:t>
      </w:r>
    </w:p>
    <w:p w:rsidR="00C22468" w:rsidRDefault="00C22468" w:rsidP="00C22468">
      <w:pPr>
        <w:pStyle w:val="NormalParaAR"/>
        <w:numPr>
          <w:ilvl w:val="0"/>
          <w:numId w:val="26"/>
        </w:numPr>
        <w:ind w:left="567" w:firstLine="0"/>
      </w:pPr>
      <w:r>
        <w:rPr>
          <w:rtl/>
        </w:rPr>
        <w:t>تدابير السلامة والحماية من الحريق</w:t>
      </w:r>
      <w:r>
        <w:rPr>
          <w:rFonts w:hint="cs"/>
          <w:rtl/>
        </w:rPr>
        <w:t>.</w:t>
      </w:r>
    </w:p>
    <w:p w:rsidR="00EE7F00" w:rsidRDefault="00EE7F00" w:rsidP="00EE7F00">
      <w:pPr>
        <w:pStyle w:val="NormalParaAR"/>
        <w:keepNext/>
        <w:rPr>
          <w:b/>
          <w:bCs/>
          <w:sz w:val="40"/>
          <w:szCs w:val="40"/>
          <w:rtl/>
        </w:rPr>
      </w:pPr>
      <w:r w:rsidRPr="00EE7F00">
        <w:rPr>
          <w:rFonts w:hint="cs"/>
          <w:b/>
          <w:bCs/>
          <w:sz w:val="40"/>
          <w:szCs w:val="40"/>
          <w:rtl/>
        </w:rPr>
        <w:t>التقدم المحرز حتى اليوم</w:t>
      </w:r>
    </w:p>
    <w:p w:rsidR="00EE7F00" w:rsidRDefault="00EE7F00" w:rsidP="002A2631">
      <w:pPr>
        <w:pStyle w:val="NormalParaAR"/>
        <w:numPr>
          <w:ilvl w:val="0"/>
          <w:numId w:val="21"/>
        </w:numPr>
        <w:ind w:left="0" w:firstLine="0"/>
      </w:pPr>
      <w:r>
        <w:rPr>
          <w:rFonts w:hint="cs"/>
          <w:rtl/>
        </w:rPr>
        <w:t>يكتسي إطار الإدارة أهمية حاسمة في تنفيذ جمي</w:t>
      </w:r>
      <w:r w:rsidR="009234C0">
        <w:rPr>
          <w:rFonts w:hint="cs"/>
          <w:rtl/>
        </w:rPr>
        <w:t>ع المشروعات بنجاح؛ إذ يحدد الهياكل</w:t>
      </w:r>
      <w:r>
        <w:rPr>
          <w:rFonts w:hint="cs"/>
          <w:rtl/>
        </w:rPr>
        <w:t xml:space="preserve"> والمسارات التي تتولى إدارة ورصد أنشطة المشروع الرامية إلى تحقيق أهدافه، و</w:t>
      </w:r>
      <w:r w:rsidR="002A2631">
        <w:rPr>
          <w:rFonts w:hint="cs"/>
          <w:rtl/>
        </w:rPr>
        <w:t>يضمن</w:t>
      </w:r>
      <w:r>
        <w:rPr>
          <w:rFonts w:hint="cs"/>
          <w:rtl/>
        </w:rPr>
        <w:t xml:space="preserve"> التحديد الواضح للمسؤوليات وأوجه المساءلة وإبلاغها إلى جميع الأطراف المعنية.</w:t>
      </w:r>
    </w:p>
    <w:p w:rsidR="00EE7F00" w:rsidRDefault="00EE7F00" w:rsidP="002A2631">
      <w:pPr>
        <w:pStyle w:val="NormalParaAR"/>
        <w:numPr>
          <w:ilvl w:val="0"/>
          <w:numId w:val="21"/>
        </w:numPr>
        <w:ind w:left="0" w:firstLine="0"/>
      </w:pPr>
      <w:r>
        <w:rPr>
          <w:rFonts w:hint="cs"/>
          <w:rtl/>
        </w:rPr>
        <w:lastRenderedPageBreak/>
        <w:t xml:space="preserve">وكما ورد في </w:t>
      </w:r>
      <w:r w:rsidR="009234C0">
        <w:rPr>
          <w:rFonts w:hint="cs"/>
          <w:rtl/>
        </w:rPr>
        <w:t>ال</w:t>
      </w:r>
      <w:r w:rsidRPr="00EE7F00">
        <w:rPr>
          <w:rtl/>
        </w:rPr>
        <w:t xml:space="preserve">تقرير </w:t>
      </w:r>
      <w:r w:rsidR="002A2631">
        <w:rPr>
          <w:rFonts w:hint="cs"/>
          <w:rtl/>
        </w:rPr>
        <w:t>ال</w:t>
      </w:r>
      <w:r w:rsidRPr="00EE7F00">
        <w:rPr>
          <w:rtl/>
        </w:rPr>
        <w:t xml:space="preserve">مرحلي عن تنفيذ نظام شامل ومتكامل للتخطيط للموارد المؤسسية </w:t>
      </w:r>
      <w:r w:rsidR="009234C0">
        <w:rPr>
          <w:rFonts w:hint="cs"/>
          <w:rtl/>
        </w:rPr>
        <w:t>(</w:t>
      </w:r>
      <w:r w:rsidR="009234C0">
        <w:t>WO/PBC/22/15</w:t>
      </w:r>
      <w:r w:rsidR="009234C0">
        <w:rPr>
          <w:rFonts w:hint="cs"/>
          <w:rtl/>
        </w:rPr>
        <w:t xml:space="preserve">)، استُعين بشركة </w:t>
      </w:r>
      <w:proofErr w:type="spellStart"/>
      <w:r w:rsidR="009234C0">
        <w:rPr>
          <w:rFonts w:hint="cs"/>
          <w:rtl/>
        </w:rPr>
        <w:t>غارتنر</w:t>
      </w:r>
      <w:proofErr w:type="spellEnd"/>
      <w:r w:rsidR="009234C0">
        <w:rPr>
          <w:rFonts w:hint="cs"/>
          <w:rtl/>
        </w:rPr>
        <w:t xml:space="preserve"> للاستشارات (</w:t>
      </w:r>
      <w:r w:rsidR="009234C0">
        <w:t>Gartner</w:t>
      </w:r>
      <w:r w:rsidR="002A2631">
        <w:t> </w:t>
      </w:r>
      <w:r w:rsidR="009234C0">
        <w:t>Consulting</w:t>
      </w:r>
      <w:r w:rsidR="009234C0">
        <w:rPr>
          <w:rFonts w:hint="cs"/>
          <w:rtl/>
        </w:rPr>
        <w:t xml:space="preserve">) </w:t>
      </w:r>
      <w:r w:rsidR="009234C0" w:rsidRPr="009234C0">
        <w:rPr>
          <w:rtl/>
        </w:rPr>
        <w:t>لتضطلع</w:t>
      </w:r>
      <w:r w:rsidR="009234C0">
        <w:rPr>
          <w:rFonts w:hint="cs"/>
          <w:rtl/>
        </w:rPr>
        <w:t>، خلال النصف الثاني من عام 2013،</w:t>
      </w:r>
      <w:r w:rsidR="009234C0" w:rsidRPr="009234C0">
        <w:rPr>
          <w:rtl/>
        </w:rPr>
        <w:t xml:space="preserve"> باستعراض لأغراض </w:t>
      </w:r>
      <w:r w:rsidR="009234C0">
        <w:rPr>
          <w:rFonts w:hint="cs"/>
          <w:rtl/>
        </w:rPr>
        <w:t>التحقق من</w:t>
      </w:r>
      <w:r w:rsidR="009234C0" w:rsidRPr="009234C0">
        <w:rPr>
          <w:rtl/>
        </w:rPr>
        <w:t xml:space="preserve"> </w:t>
      </w:r>
      <w:r w:rsidR="002A2631">
        <w:rPr>
          <w:rFonts w:hint="cs"/>
          <w:rtl/>
        </w:rPr>
        <w:t>حافظة</w:t>
      </w:r>
      <w:r w:rsidR="009234C0" w:rsidRPr="009234C0">
        <w:rPr>
          <w:rtl/>
        </w:rPr>
        <w:t xml:space="preserve"> مشروعات نظام التخطيط للموارد المؤ</w:t>
      </w:r>
      <w:r w:rsidR="009234C0">
        <w:rPr>
          <w:rtl/>
        </w:rPr>
        <w:t>سسية والتصديق عليها</w:t>
      </w:r>
      <w:r w:rsidR="009234C0">
        <w:rPr>
          <w:rFonts w:hint="cs"/>
          <w:rtl/>
        </w:rPr>
        <w:t>. وتعلقت إحدى التوصيات الرئيسية المنبثقة عن الاستعراض بهيكل الإدارة الكلي ل</w:t>
      </w:r>
      <w:r w:rsidR="002A2631">
        <w:rPr>
          <w:rFonts w:hint="cs"/>
          <w:rtl/>
        </w:rPr>
        <w:t>حافظة</w:t>
      </w:r>
      <w:r w:rsidR="009234C0">
        <w:rPr>
          <w:rFonts w:hint="cs"/>
          <w:rtl/>
        </w:rPr>
        <w:t xml:space="preserve"> التخطيط للموارد المؤسسية وسبل تحسين استجابته من حيث الفصل بين الأدوار والمسؤوليات وتوفير مسار تصعيدي واضح لتسوية القضايا.</w:t>
      </w:r>
    </w:p>
    <w:p w:rsidR="009234C0" w:rsidRDefault="009234C0" w:rsidP="00F15CE3">
      <w:pPr>
        <w:pStyle w:val="NormalParaAR"/>
        <w:numPr>
          <w:ilvl w:val="0"/>
          <w:numId w:val="21"/>
        </w:numPr>
        <w:ind w:left="0" w:firstLine="0"/>
      </w:pPr>
      <w:r>
        <w:rPr>
          <w:rFonts w:hint="cs"/>
          <w:rtl/>
        </w:rPr>
        <w:t>ووُضع منذئذ هيكل إدارة مراجع يُعنى ب</w:t>
      </w:r>
      <w:r w:rsidR="002A2631">
        <w:rPr>
          <w:rFonts w:hint="cs"/>
          <w:rtl/>
        </w:rPr>
        <w:t>حافظة</w:t>
      </w:r>
      <w:r>
        <w:rPr>
          <w:rFonts w:hint="cs"/>
          <w:rtl/>
        </w:rPr>
        <w:t xml:space="preserve"> التخطيط للموارد المؤسسية</w:t>
      </w:r>
      <w:r w:rsidR="007C7D8D">
        <w:rPr>
          <w:rFonts w:hint="cs"/>
          <w:rtl/>
        </w:rPr>
        <w:t xml:space="preserve">، وطُبقت مبادئه أيضاً على هيكل الإدارة الذي وُضع لإدارة </w:t>
      </w:r>
      <w:r w:rsidR="002A2631">
        <w:rPr>
          <w:rFonts w:hint="cs"/>
          <w:rtl/>
        </w:rPr>
        <w:t>حافظة</w:t>
      </w:r>
      <w:r w:rsidR="007C7D8D">
        <w:rPr>
          <w:rFonts w:hint="cs"/>
          <w:rtl/>
        </w:rPr>
        <w:t xml:space="preserve"> المشروعات المزمع تنفيذها في إطار الخطة الرأسمالية الرئيسية. ويدعم الهيكل الفعالية من حيث الريادة واتخاذ القرارات مع ضمان اتباع نهج متسق على مستوى جميع المشروعات المندرجة في </w:t>
      </w:r>
      <w:r w:rsidR="002A2631">
        <w:rPr>
          <w:rFonts w:hint="cs"/>
          <w:rtl/>
        </w:rPr>
        <w:t>حافظة</w:t>
      </w:r>
      <w:r w:rsidR="007C7D8D">
        <w:rPr>
          <w:rFonts w:hint="cs"/>
          <w:rtl/>
        </w:rPr>
        <w:t xml:space="preserve"> الخطة الرأسمالية الرئيسية. ويكتسي ذلك أهمية حاسمة نظراً إلى أن "1" الخطة الرأسمالية الرئيسية ستنطوي على التنفيذ المتزامن لمشروعات متعددة مما يتطلب تحقيق الاتساق في المسارات والنهج، "2" </w:t>
      </w:r>
      <w:r w:rsidR="00F15CE3">
        <w:rPr>
          <w:rFonts w:hint="cs"/>
          <w:rtl/>
        </w:rPr>
        <w:t>و</w:t>
      </w:r>
      <w:r w:rsidR="002A2631">
        <w:rPr>
          <w:rFonts w:hint="cs"/>
          <w:rtl/>
        </w:rPr>
        <w:t xml:space="preserve">أن </w:t>
      </w:r>
      <w:r w:rsidR="007C7D8D">
        <w:rPr>
          <w:rFonts w:hint="cs"/>
          <w:rtl/>
        </w:rPr>
        <w:t>الهياكل التي وُضعت لإطار الإدارة يجب أن تكون متينة وصامدة على مر السنين إذ ي</w:t>
      </w:r>
      <w:r w:rsidR="002A2631">
        <w:rPr>
          <w:rFonts w:hint="cs"/>
          <w:rtl/>
        </w:rPr>
        <w:t>ُ</w:t>
      </w:r>
      <w:r w:rsidR="007C7D8D">
        <w:rPr>
          <w:rFonts w:hint="cs"/>
          <w:rtl/>
        </w:rPr>
        <w:t>توقع أن تظل هذه الهياكل قائمة بوصفها سمة دائمة لعمل المنظمة.</w:t>
      </w:r>
    </w:p>
    <w:p w:rsidR="007C7D8D" w:rsidRDefault="00C82F26" w:rsidP="004F5E91">
      <w:pPr>
        <w:pStyle w:val="NormalParaAR"/>
        <w:keepNext/>
        <w:numPr>
          <w:ilvl w:val="0"/>
          <w:numId w:val="21"/>
        </w:numPr>
        <w:ind w:left="0" w:firstLine="0"/>
      </w:pPr>
      <w:r>
        <w:rPr>
          <w:rFonts w:hint="cs"/>
          <w:rtl/>
        </w:rPr>
        <w:t>وبناء على ما سبق، وُضع هيكل الإدارة التالي للخطة الرأسمالية الرئيسية:</w:t>
      </w:r>
    </w:p>
    <w:p w:rsidR="00C82F26" w:rsidRDefault="00861AC0" w:rsidP="00861AC0">
      <w:pPr>
        <w:pStyle w:val="NormalParaAR"/>
        <w:numPr>
          <w:ilvl w:val="0"/>
          <w:numId w:val="27"/>
        </w:numPr>
        <w:ind w:left="567" w:firstLine="0"/>
      </w:pPr>
      <w:r>
        <w:rPr>
          <w:rFonts w:hint="cs"/>
          <w:rtl/>
        </w:rPr>
        <w:t>في أعلى الهيكل</w:t>
      </w:r>
      <w:r w:rsidR="00C82F26">
        <w:rPr>
          <w:rFonts w:hint="cs"/>
          <w:rtl/>
        </w:rPr>
        <w:t xml:space="preserve"> </w:t>
      </w:r>
      <w:r w:rsidR="00C82F26">
        <w:rPr>
          <w:rFonts w:hint="cs"/>
          <w:b/>
          <w:bCs/>
          <w:rtl/>
        </w:rPr>
        <w:t>مجلس حافظة الخطة الرأسمالية الرئيسية</w:t>
      </w:r>
      <w:r w:rsidR="00C82F26">
        <w:rPr>
          <w:rFonts w:hint="cs"/>
          <w:rtl/>
        </w:rPr>
        <w:t xml:space="preserve"> الذي يتولى إدارة تنفيذ جميع المشروعات الواردة في حافظة الخطة الرأسمالية الرئيسية والإشراف عليها وإعداد التقارير بشأنها. </w:t>
      </w:r>
      <w:r>
        <w:rPr>
          <w:rFonts w:hint="cs"/>
          <w:rtl/>
        </w:rPr>
        <w:t>ويراقب</w:t>
      </w:r>
      <w:r w:rsidR="00C82F26">
        <w:rPr>
          <w:rFonts w:hint="cs"/>
          <w:rtl/>
        </w:rPr>
        <w:t xml:space="preserve"> المجلس </w:t>
      </w:r>
      <w:r>
        <w:rPr>
          <w:rFonts w:hint="cs"/>
          <w:rtl/>
        </w:rPr>
        <w:t xml:space="preserve">تطبيق </w:t>
      </w:r>
      <w:r w:rsidR="00C82F26">
        <w:rPr>
          <w:rFonts w:hint="cs"/>
          <w:rtl/>
        </w:rPr>
        <w:t>الخطة الرأسمالية الرئيسية</w:t>
      </w:r>
      <w:r>
        <w:rPr>
          <w:rFonts w:hint="cs"/>
          <w:rtl/>
        </w:rPr>
        <w:t xml:space="preserve"> </w:t>
      </w:r>
      <w:r w:rsidR="001F1B82">
        <w:rPr>
          <w:rFonts w:hint="cs"/>
          <w:rtl/>
        </w:rPr>
        <w:t xml:space="preserve">وتحديثها </w:t>
      </w:r>
      <w:r>
        <w:rPr>
          <w:rFonts w:hint="cs"/>
          <w:rtl/>
        </w:rPr>
        <w:t>بانتظام</w:t>
      </w:r>
      <w:r w:rsidR="00C82F26">
        <w:rPr>
          <w:rFonts w:hint="cs"/>
          <w:rtl/>
        </w:rPr>
        <w:t>، ويعطي الأولوية للمشروعات المنفذة ف</w:t>
      </w:r>
      <w:r w:rsidR="002A2631">
        <w:rPr>
          <w:rFonts w:hint="cs"/>
          <w:rtl/>
        </w:rPr>
        <w:t>ي</w:t>
      </w:r>
      <w:r w:rsidR="00C82F26">
        <w:rPr>
          <w:rFonts w:hint="cs"/>
          <w:rtl/>
        </w:rPr>
        <w:t xml:space="preserve"> إطار الخطة الرأسمالية الرئيسية، ويجيز أي</w:t>
      </w:r>
      <w:r w:rsidR="001F1B82">
        <w:rPr>
          <w:rFonts w:hint="cs"/>
          <w:rtl/>
        </w:rPr>
        <w:t>ة</w:t>
      </w:r>
      <w:r w:rsidR="00C82F26">
        <w:rPr>
          <w:rFonts w:hint="cs"/>
          <w:rtl/>
        </w:rPr>
        <w:t xml:space="preserve"> اقتراحات تمويل في إطار الخطة الرأسمالية الرئيسية كي ترفع إلى لجنة البرنامج والميزانية.</w:t>
      </w:r>
    </w:p>
    <w:p w:rsidR="001308BA" w:rsidRDefault="00C82F26" w:rsidP="004D0C75">
      <w:pPr>
        <w:pStyle w:val="NormalParaAR"/>
        <w:numPr>
          <w:ilvl w:val="0"/>
          <w:numId w:val="27"/>
        </w:numPr>
        <w:ind w:left="567" w:firstLine="0"/>
      </w:pPr>
      <w:r>
        <w:rPr>
          <w:rFonts w:hint="cs"/>
          <w:rtl/>
        </w:rPr>
        <w:t xml:space="preserve">تختلف المشروعات المنفذة في إطار الخطة الرأسمالية الرئيسية من حيث النطاق والطبيعة والبنية. ومن ثم، </w:t>
      </w:r>
      <w:r w:rsidR="003766FE">
        <w:rPr>
          <w:rFonts w:hint="cs"/>
          <w:rtl/>
        </w:rPr>
        <w:t>تأتي في</w:t>
      </w:r>
      <w:r>
        <w:rPr>
          <w:rFonts w:hint="cs"/>
          <w:rtl/>
        </w:rPr>
        <w:t xml:space="preserve"> المستوى الثاني</w:t>
      </w:r>
      <w:r w:rsidR="003766FE">
        <w:rPr>
          <w:rFonts w:hint="cs"/>
          <w:rtl/>
        </w:rPr>
        <w:t xml:space="preserve"> من الهيكل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مجالس المشروعات</w:t>
      </w:r>
      <w:r>
        <w:rPr>
          <w:rFonts w:hint="cs"/>
          <w:rtl/>
        </w:rPr>
        <w:t xml:space="preserve"> المختلفة اللازمة لكل مشروع أو مجموعة مشروعات. وستتولى </w:t>
      </w:r>
      <w:r w:rsidR="003766FE">
        <w:rPr>
          <w:rFonts w:hint="cs"/>
          <w:rtl/>
        </w:rPr>
        <w:t>هذه ال</w:t>
      </w:r>
      <w:r>
        <w:rPr>
          <w:rFonts w:hint="cs"/>
          <w:rtl/>
        </w:rPr>
        <w:t>مجالس مسؤولية إدارة الم</w:t>
      </w:r>
      <w:r w:rsidR="001308BA">
        <w:rPr>
          <w:rFonts w:hint="cs"/>
          <w:rtl/>
        </w:rPr>
        <w:t>شروع (المشروعات) الذي تشرف عليه واتخاذ القرارات بشأنه وإجراء التغييرات فيه</w:t>
      </w:r>
      <w:r>
        <w:rPr>
          <w:rFonts w:hint="cs"/>
          <w:rtl/>
        </w:rPr>
        <w:t xml:space="preserve">. إذ يشرف مجلس المشروع على التنفيذ الفعال </w:t>
      </w:r>
      <w:r w:rsidR="001308BA">
        <w:rPr>
          <w:rFonts w:hint="cs"/>
          <w:rtl/>
        </w:rPr>
        <w:t>للمشروع (المشروعات) و</w:t>
      </w:r>
      <w:r w:rsidR="004D0C75">
        <w:rPr>
          <w:rFonts w:hint="cs"/>
          <w:rtl/>
        </w:rPr>
        <w:t>يضمن تنفيذه في الأجل المحدد له وضمن</w:t>
      </w:r>
      <w:r w:rsidR="001308BA">
        <w:rPr>
          <w:rFonts w:hint="cs"/>
          <w:rtl/>
        </w:rPr>
        <w:t xml:space="preserve"> النطاق والميزانية المحددين له. ويكفل مشاركة ودعم جميع الأطراف المتأثرة</w:t>
      </w:r>
      <w:r w:rsidR="000268AA">
        <w:rPr>
          <w:rFonts w:hint="cs"/>
          <w:rtl/>
        </w:rPr>
        <w:t xml:space="preserve"> بالمشروع</w:t>
      </w:r>
      <w:r w:rsidR="001308BA">
        <w:rPr>
          <w:rFonts w:hint="cs"/>
          <w:rtl/>
        </w:rPr>
        <w:t xml:space="preserve"> من </w:t>
      </w:r>
      <w:r w:rsidR="004D0C75">
        <w:rPr>
          <w:rFonts w:hint="cs"/>
          <w:rtl/>
        </w:rPr>
        <w:t>مختلف قطاعات</w:t>
      </w:r>
      <w:r w:rsidR="001308BA">
        <w:rPr>
          <w:rFonts w:hint="cs"/>
          <w:rtl/>
        </w:rPr>
        <w:t xml:space="preserve"> المنظمة، وتعيين مجموعات أو أفراد </w:t>
      </w:r>
      <w:r w:rsidR="00F71343">
        <w:rPr>
          <w:rFonts w:hint="cs"/>
          <w:rtl/>
        </w:rPr>
        <w:t xml:space="preserve">لتولي </w:t>
      </w:r>
      <w:r w:rsidR="004D0C75">
        <w:rPr>
          <w:rFonts w:hint="cs"/>
          <w:rtl/>
        </w:rPr>
        <w:t>مسؤولية</w:t>
      </w:r>
      <w:r w:rsidR="00F71343">
        <w:rPr>
          <w:rFonts w:hint="cs"/>
          <w:rtl/>
        </w:rPr>
        <w:t xml:space="preserve"> التغييرات</w:t>
      </w:r>
      <w:r w:rsidR="001308BA">
        <w:rPr>
          <w:rFonts w:hint="cs"/>
          <w:rtl/>
        </w:rPr>
        <w:t xml:space="preserve"> و</w:t>
      </w:r>
      <w:r w:rsidR="004D0C75">
        <w:rPr>
          <w:rFonts w:hint="cs"/>
          <w:rtl/>
        </w:rPr>
        <w:t>إ</w:t>
      </w:r>
      <w:r w:rsidR="001308BA">
        <w:rPr>
          <w:rFonts w:hint="cs"/>
          <w:rtl/>
        </w:rPr>
        <w:t xml:space="preserve">دارة المخاطر وضمان الجودة. </w:t>
      </w:r>
      <w:r w:rsidR="004D0C75">
        <w:rPr>
          <w:rFonts w:hint="cs"/>
          <w:rtl/>
        </w:rPr>
        <w:t>وسيصدّق</w:t>
      </w:r>
      <w:r w:rsidR="001308BA">
        <w:rPr>
          <w:rFonts w:hint="cs"/>
          <w:rtl/>
        </w:rPr>
        <w:t xml:space="preserve"> على مسوغات أعمال المشروع (المشروعات)، ويصع</w:t>
      </w:r>
      <w:r w:rsidR="004D0C75">
        <w:rPr>
          <w:rFonts w:hint="cs"/>
          <w:rtl/>
        </w:rPr>
        <w:t>ّ</w:t>
      </w:r>
      <w:r w:rsidR="001308BA">
        <w:rPr>
          <w:rFonts w:hint="cs"/>
          <w:rtl/>
        </w:rPr>
        <w:t xml:space="preserve">د أية قضايا أو اقتراحات إلى مجلس </w:t>
      </w:r>
      <w:r w:rsidR="004F5E91">
        <w:rPr>
          <w:rFonts w:hint="cs"/>
          <w:rtl/>
        </w:rPr>
        <w:t>حافظة الخطة الرأسمالية الرئيسية.</w:t>
      </w:r>
    </w:p>
    <w:p w:rsidR="00C82F26" w:rsidRDefault="004F5E91" w:rsidP="004D0C75">
      <w:pPr>
        <w:pStyle w:val="NormalParaAR"/>
        <w:keepNext/>
        <w:numPr>
          <w:ilvl w:val="0"/>
          <w:numId w:val="21"/>
        </w:numPr>
        <w:ind w:left="0" w:firstLine="0"/>
      </w:pPr>
      <w:r>
        <w:rPr>
          <w:rFonts w:hint="cs"/>
          <w:rtl/>
        </w:rPr>
        <w:t>و</w:t>
      </w:r>
      <w:r w:rsidR="004D0C75">
        <w:rPr>
          <w:rFonts w:hint="cs"/>
          <w:rtl/>
        </w:rPr>
        <w:t xml:space="preserve">قد </w:t>
      </w:r>
      <w:r>
        <w:rPr>
          <w:rFonts w:hint="cs"/>
          <w:rtl/>
        </w:rPr>
        <w:t xml:space="preserve">ناقشت </w:t>
      </w:r>
      <w:r w:rsidRPr="004F5E91">
        <w:rPr>
          <w:rtl/>
        </w:rPr>
        <w:t>اللجنة الاستشارية المستقلة للرقابة</w:t>
      </w:r>
      <w:r>
        <w:rPr>
          <w:rFonts w:hint="cs"/>
          <w:rtl/>
        </w:rPr>
        <w:t xml:space="preserve"> في دورتها الثانية والثلاثين، التي عُقدت في الفترة الممتدة من 17 إلى</w:t>
      </w:r>
      <w:r w:rsidR="004D0C75">
        <w:rPr>
          <w:rFonts w:hint="eastAsia"/>
          <w:rtl/>
        </w:rPr>
        <w:t> </w:t>
      </w:r>
      <w:r>
        <w:rPr>
          <w:rFonts w:hint="cs"/>
          <w:rtl/>
        </w:rPr>
        <w:t xml:space="preserve">21 مارس 2014، الخطة الرأسمالية الرئيسية مع الأمانة على أساس الوثيقة </w:t>
      </w:r>
      <w:r>
        <w:t>A/51/16</w:t>
      </w:r>
      <w:r>
        <w:rPr>
          <w:rFonts w:hint="cs"/>
          <w:rtl/>
        </w:rPr>
        <w:t>. وقدمت اللجنة إلى الأمانة عدداً من الاقتراحات القيمة للتحسين في المجالات التالية:</w:t>
      </w:r>
    </w:p>
    <w:p w:rsidR="00C82F26" w:rsidRDefault="004F5E91" w:rsidP="004D0C75">
      <w:pPr>
        <w:pStyle w:val="NormalParaAR"/>
        <w:numPr>
          <w:ilvl w:val="0"/>
          <w:numId w:val="29"/>
        </w:numPr>
        <w:ind w:left="566" w:firstLine="0"/>
      </w:pPr>
      <w:r>
        <w:rPr>
          <w:rFonts w:hint="cs"/>
          <w:rtl/>
        </w:rPr>
        <w:t xml:space="preserve">تعزيز التخطيط وإعداد التقارير </w:t>
      </w:r>
      <w:r>
        <w:rPr>
          <w:rtl/>
        </w:rPr>
        <w:t>–</w:t>
      </w:r>
      <w:r>
        <w:rPr>
          <w:rFonts w:hint="cs"/>
          <w:rtl/>
        </w:rPr>
        <w:t xml:space="preserve"> أشير إلى ما يلي: "1"</w:t>
      </w:r>
      <w:r>
        <w:rPr>
          <w:rFonts w:hint="eastAsia"/>
          <w:rtl/>
        </w:rPr>
        <w:t xml:space="preserve"> قد يفيد تقديم الافتراضات الرئيسية التي تدفع الخطة الرأسمالية الرئيسية </w:t>
      </w:r>
      <w:r>
        <w:rPr>
          <w:rFonts w:hint="cs"/>
          <w:rtl/>
        </w:rPr>
        <w:t>من الناحية الاستراتيجية والعملية كل</w:t>
      </w:r>
      <w:r w:rsidR="004D0C75">
        <w:rPr>
          <w:rFonts w:hint="cs"/>
          <w:rtl/>
        </w:rPr>
        <w:t>ت</w:t>
      </w:r>
      <w:r>
        <w:rPr>
          <w:rFonts w:hint="cs"/>
          <w:rtl/>
        </w:rPr>
        <w:t>يهما؛ "2" </w:t>
      </w:r>
      <w:r w:rsidR="004D0C75">
        <w:rPr>
          <w:rFonts w:hint="cs"/>
          <w:rtl/>
        </w:rPr>
        <w:t>و</w:t>
      </w:r>
      <w:r w:rsidR="00AC6FA0">
        <w:rPr>
          <w:rFonts w:hint="cs"/>
          <w:rtl/>
        </w:rPr>
        <w:t>قد تكون حالياً خطة عمل لمدة أربعة أعوام أكثر ملاءمة من خطة</w:t>
      </w:r>
      <w:r w:rsidR="000268AA">
        <w:rPr>
          <w:rFonts w:hint="cs"/>
          <w:rtl/>
        </w:rPr>
        <w:t xml:space="preserve"> العمل الراهنة </w:t>
      </w:r>
      <w:r w:rsidR="00AC6FA0">
        <w:rPr>
          <w:rFonts w:hint="cs"/>
          <w:rtl/>
        </w:rPr>
        <w:t>الممتدة لست سنوات؛ "3" </w:t>
      </w:r>
      <w:r w:rsidR="004D0C75">
        <w:rPr>
          <w:rFonts w:hint="cs"/>
          <w:rtl/>
        </w:rPr>
        <w:t>و</w:t>
      </w:r>
      <w:r w:rsidR="00AC6FA0">
        <w:rPr>
          <w:rFonts w:hint="cs"/>
          <w:rtl/>
        </w:rPr>
        <w:t>ينبغي بحث مواءمة دورة إعداد تقارير الخطة الرأسمالية الرئيسية مع دورة البرنامج والميزانية، أي وضع دورة إعداد تقارير كل فترة عامين (</w:t>
      </w:r>
      <w:r w:rsidR="004D0C75">
        <w:rPr>
          <w:rFonts w:hint="cs"/>
          <w:rtl/>
        </w:rPr>
        <w:t>و</w:t>
      </w:r>
      <w:r w:rsidR="00AC6FA0">
        <w:rPr>
          <w:rFonts w:hint="cs"/>
          <w:rtl/>
        </w:rPr>
        <w:t>يتواصل تقديم تقارير مرحلية سنوية بشأن المشروعات الفردية المنفذة في إطار الخطة الرأسمالية الرئيسية).</w:t>
      </w:r>
    </w:p>
    <w:p w:rsidR="00AC6FA0" w:rsidRDefault="00AC6FA0" w:rsidP="004D0C75">
      <w:pPr>
        <w:pStyle w:val="NormalParaAR"/>
        <w:numPr>
          <w:ilvl w:val="0"/>
          <w:numId w:val="29"/>
        </w:numPr>
        <w:spacing w:after="120"/>
        <w:ind w:left="567" w:firstLine="0"/>
      </w:pPr>
      <w:r>
        <w:rPr>
          <w:rFonts w:hint="cs"/>
          <w:rtl/>
        </w:rPr>
        <w:lastRenderedPageBreak/>
        <w:t xml:space="preserve">شفافية تقديرات التكلفة </w:t>
      </w:r>
      <w:r>
        <w:rPr>
          <w:rtl/>
        </w:rPr>
        <w:t>–</w:t>
      </w:r>
      <w:r>
        <w:rPr>
          <w:rFonts w:hint="cs"/>
          <w:rtl/>
        </w:rPr>
        <w:t xml:space="preserve"> اقتُرح ما يلي: "1"</w:t>
      </w:r>
      <w:r>
        <w:rPr>
          <w:rFonts w:hint="eastAsia"/>
          <w:rtl/>
        </w:rPr>
        <w:t> </w:t>
      </w:r>
      <w:r>
        <w:rPr>
          <w:rFonts w:hint="cs"/>
          <w:rtl/>
        </w:rPr>
        <w:t>ينبغي تقديم دراسات تحليلية أكثر تحديداً للتكاليف والفوائد فيما يخص المشروعات المقترحة؛ و"2"</w:t>
      </w:r>
      <w:r>
        <w:rPr>
          <w:rFonts w:hint="eastAsia"/>
          <w:rtl/>
        </w:rPr>
        <w:t> إدراج</w:t>
      </w:r>
      <w:r>
        <w:rPr>
          <w:rFonts w:hint="cs"/>
          <w:rtl/>
        </w:rPr>
        <w:t xml:space="preserve"> قائمة بالمشروعات المقيمة كأولوية باء وجيم</w:t>
      </w:r>
      <w:r>
        <w:rPr>
          <w:rStyle w:val="FootnoteReference"/>
          <w:rtl/>
        </w:rPr>
        <w:footnoteReference w:id="1"/>
      </w:r>
      <w:r>
        <w:rPr>
          <w:rFonts w:hint="cs"/>
          <w:rtl/>
        </w:rPr>
        <w:t xml:space="preserve"> بغية توفير صورة كاملة عن الخطة الرأسمالية الرئيسية.</w:t>
      </w:r>
    </w:p>
    <w:p w:rsidR="00AC6FA0" w:rsidRDefault="00AC6FA0" w:rsidP="004D0C75">
      <w:pPr>
        <w:pStyle w:val="NormalParaAR"/>
        <w:numPr>
          <w:ilvl w:val="0"/>
          <w:numId w:val="29"/>
        </w:numPr>
        <w:spacing w:after="120"/>
        <w:ind w:left="567" w:firstLine="0"/>
      </w:pPr>
      <w:r>
        <w:rPr>
          <w:rFonts w:hint="cs"/>
          <w:rtl/>
        </w:rPr>
        <w:t xml:space="preserve">الربط بالاستراتيجيات التنظيمية </w:t>
      </w:r>
      <w:r>
        <w:rPr>
          <w:rtl/>
        </w:rPr>
        <w:t>–</w:t>
      </w:r>
      <w:r>
        <w:rPr>
          <w:rFonts w:hint="cs"/>
          <w:rtl/>
        </w:rPr>
        <w:t xml:space="preserve"> أشير إلى فائدة وضع روابط صريحة بين المشروعات المقترحة وتنفيذ الأهداف الاستراتيجية للمنظمة (استراتيجية الموارد البشري</w:t>
      </w:r>
      <w:r w:rsidR="000268AA">
        <w:rPr>
          <w:rFonts w:hint="cs"/>
          <w:rtl/>
        </w:rPr>
        <w:t>ة</w:t>
      </w:r>
      <w:r>
        <w:rPr>
          <w:rFonts w:hint="cs"/>
          <w:rtl/>
        </w:rPr>
        <w:t xml:space="preserve"> و</w:t>
      </w:r>
      <w:r w:rsidRPr="00AC6FA0">
        <w:rPr>
          <w:rtl/>
        </w:rPr>
        <w:t>استراتيجية تكنولوجيا المعلومات والاتصالات</w:t>
      </w:r>
      <w:r w:rsidR="00AF6398">
        <w:rPr>
          <w:rFonts w:hint="cs"/>
          <w:rtl/>
        </w:rPr>
        <w:t xml:space="preserve"> وغيرها حسبما كان ذلك مناسباً</w:t>
      </w:r>
      <w:r>
        <w:rPr>
          <w:rFonts w:hint="cs"/>
          <w:rtl/>
        </w:rPr>
        <w:t>) حيثما كان ذلك ملائماً</w:t>
      </w:r>
      <w:r w:rsidR="00AF6398">
        <w:rPr>
          <w:rFonts w:hint="cs"/>
          <w:rtl/>
        </w:rPr>
        <w:t>.</w:t>
      </w:r>
    </w:p>
    <w:p w:rsidR="00AF6398" w:rsidRDefault="00AF6398" w:rsidP="00AF6398">
      <w:pPr>
        <w:pStyle w:val="NormalParaAR"/>
        <w:numPr>
          <w:ilvl w:val="0"/>
          <w:numId w:val="29"/>
        </w:numPr>
        <w:ind w:left="566" w:firstLine="0"/>
      </w:pPr>
      <w:r>
        <w:rPr>
          <w:rFonts w:hint="cs"/>
          <w:rtl/>
        </w:rPr>
        <w:t xml:space="preserve">توضيح </w:t>
      </w:r>
      <w:r w:rsidR="000268AA">
        <w:rPr>
          <w:rFonts w:hint="cs"/>
          <w:rtl/>
        </w:rPr>
        <w:t>الشكل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اقترح أن تكون أسماء المشروعات أكثر وصفاً لها كي تعزز الوضوح وتيسير الفهم.</w:t>
      </w:r>
    </w:p>
    <w:p w:rsidR="00AF6398" w:rsidRDefault="00AF6398" w:rsidP="00AF6398">
      <w:pPr>
        <w:pStyle w:val="NormalParaAR"/>
        <w:numPr>
          <w:ilvl w:val="0"/>
          <w:numId w:val="21"/>
        </w:numPr>
        <w:ind w:left="0" w:firstLine="0"/>
      </w:pPr>
      <w:r>
        <w:rPr>
          <w:rFonts w:hint="cs"/>
          <w:rtl/>
        </w:rPr>
        <w:t xml:space="preserve">ورحبت الأمانة بالحوار البناء الذي أجرته مع </w:t>
      </w:r>
      <w:r w:rsidRPr="004F5E91">
        <w:rPr>
          <w:rtl/>
        </w:rPr>
        <w:t>اللجنة الاستشارية المستقلة للرقابة</w:t>
      </w:r>
      <w:r>
        <w:rPr>
          <w:rFonts w:hint="cs"/>
          <w:rtl/>
        </w:rPr>
        <w:t xml:space="preserve"> والفرصة التي أتيحت لها كي تنظر في مضمون الخطة الرأسمالية الرئيسية </w:t>
      </w:r>
      <w:r w:rsidR="000268AA">
        <w:rPr>
          <w:rFonts w:hint="cs"/>
          <w:rtl/>
        </w:rPr>
        <w:t>وشكلها اللذين ست</w:t>
      </w:r>
      <w:r>
        <w:rPr>
          <w:rFonts w:hint="cs"/>
          <w:rtl/>
        </w:rPr>
        <w:t>تواصل مناقشتهما مع اللجنة قبل تنفيذهما، وكي تُدخل تحسينات عليهما.</w:t>
      </w:r>
    </w:p>
    <w:p w:rsidR="00AF6398" w:rsidRDefault="002B7941" w:rsidP="002B7941">
      <w:pPr>
        <w:pStyle w:val="NormalParaAR"/>
        <w:numPr>
          <w:ilvl w:val="0"/>
          <w:numId w:val="21"/>
        </w:numPr>
        <w:ind w:left="0" w:firstLine="0"/>
      </w:pPr>
      <w:r>
        <w:rPr>
          <w:rFonts w:hint="cs"/>
          <w:rtl/>
          <w:lang w:bidi="ar-EG"/>
        </w:rPr>
        <w:t>ويشار</w:t>
      </w:r>
      <w:r w:rsidR="00AF6398">
        <w:rPr>
          <w:rFonts w:hint="cs"/>
          <w:rtl/>
        </w:rPr>
        <w:t xml:space="preserve"> أيضاً إلى أن الفعالية من حيث التكلفة في تنفيذ المشروعات الموافق عليها في إطار الخطة الرأسمالية الرئيسية تُعتبر مسألة </w:t>
      </w:r>
      <w:r w:rsidR="003E19B9">
        <w:rPr>
          <w:rFonts w:hint="cs"/>
          <w:rtl/>
        </w:rPr>
        <w:t xml:space="preserve">ذات أهمية قصوى، </w:t>
      </w:r>
      <w:r>
        <w:rPr>
          <w:rFonts w:hint="cs"/>
          <w:rtl/>
        </w:rPr>
        <w:t>لذا سيستمر</w:t>
      </w:r>
      <w:r w:rsidR="003E19B9">
        <w:rPr>
          <w:rFonts w:hint="cs"/>
          <w:rtl/>
        </w:rPr>
        <w:t xml:space="preserve"> </w:t>
      </w:r>
      <w:r>
        <w:rPr>
          <w:rFonts w:hint="cs"/>
          <w:rtl/>
        </w:rPr>
        <w:t>ال</w:t>
      </w:r>
      <w:r w:rsidR="003E19B9">
        <w:rPr>
          <w:rFonts w:hint="cs"/>
          <w:rtl/>
        </w:rPr>
        <w:t xml:space="preserve">تركيز </w:t>
      </w:r>
      <w:r>
        <w:rPr>
          <w:rFonts w:hint="cs"/>
          <w:rtl/>
        </w:rPr>
        <w:t xml:space="preserve">على </w:t>
      </w:r>
      <w:r w:rsidR="003E19B9">
        <w:rPr>
          <w:rFonts w:hint="cs"/>
          <w:rtl/>
        </w:rPr>
        <w:t>ضمان تحقق</w:t>
      </w:r>
      <w:r w:rsidR="00AF6398">
        <w:rPr>
          <w:rFonts w:hint="cs"/>
          <w:rtl/>
        </w:rPr>
        <w:t xml:space="preserve"> تنفيذ المشروع</w:t>
      </w:r>
      <w:r>
        <w:rPr>
          <w:rFonts w:hint="cs"/>
          <w:rtl/>
        </w:rPr>
        <w:t>ات</w:t>
      </w:r>
      <w:r w:rsidR="00AF6398">
        <w:rPr>
          <w:rFonts w:hint="cs"/>
          <w:rtl/>
        </w:rPr>
        <w:t xml:space="preserve"> بأكبر قدر ممكن من الفعالية من حيث التكلفة. وإضافة إلى ذلك، سيتواصل تقديم تقارير بشأن أوجه الفعالية من حيث التكلفة التنظيمية في إطار تقارير أداء البرنامج وستوجه</w:t>
      </w:r>
      <w:r w:rsidR="00693CE2">
        <w:rPr>
          <w:rFonts w:hint="cs"/>
          <w:rtl/>
        </w:rPr>
        <w:t xml:space="preserve"> هذه الفعالية</w:t>
      </w:r>
      <w:r w:rsidR="00AF6398">
        <w:rPr>
          <w:rFonts w:hint="cs"/>
          <w:rtl/>
        </w:rPr>
        <w:t xml:space="preserve"> نحو ضمان </w:t>
      </w:r>
      <w:r w:rsidR="00693CE2">
        <w:rPr>
          <w:rFonts w:hint="cs"/>
          <w:rtl/>
        </w:rPr>
        <w:t>تجسد</w:t>
      </w:r>
      <w:r w:rsidR="003E19B9">
        <w:rPr>
          <w:rFonts w:hint="cs"/>
          <w:rtl/>
        </w:rPr>
        <w:t xml:space="preserve"> الوفورات </w:t>
      </w:r>
      <w:r w:rsidR="00693CE2">
        <w:rPr>
          <w:rFonts w:hint="cs"/>
          <w:rtl/>
        </w:rPr>
        <w:t>المحققة خلال</w:t>
      </w:r>
      <w:r w:rsidR="003E19B9">
        <w:rPr>
          <w:rFonts w:hint="cs"/>
          <w:rtl/>
        </w:rPr>
        <w:t xml:space="preserve"> فترة العامين كزيادات في الأموال الاحتياطية المتوفرة لدى المنظمة.</w:t>
      </w:r>
    </w:p>
    <w:p w:rsidR="003E19B9" w:rsidRDefault="003E19B9" w:rsidP="00693CE2">
      <w:pPr>
        <w:pStyle w:val="NormalParaAR"/>
        <w:keepNext/>
        <w:numPr>
          <w:ilvl w:val="0"/>
          <w:numId w:val="21"/>
        </w:numPr>
        <w:ind w:left="0" w:firstLine="0"/>
      </w:pPr>
      <w:r w:rsidRPr="003E19B9">
        <w:rPr>
          <w:rtl/>
        </w:rPr>
        <w:t>وفيما يلي فقرة قرار مقترحة.</w:t>
      </w:r>
    </w:p>
    <w:p w:rsidR="003E19B9" w:rsidRDefault="002B7941" w:rsidP="00515CA9">
      <w:pPr>
        <w:pStyle w:val="NormalParaAR"/>
        <w:keepNext/>
        <w:numPr>
          <w:ilvl w:val="0"/>
          <w:numId w:val="21"/>
        </w:numPr>
        <w:ind w:left="5534" w:firstLine="0"/>
        <w:rPr>
          <w:i/>
          <w:iCs/>
        </w:rPr>
      </w:pPr>
      <w:r>
        <w:rPr>
          <w:rFonts w:hint="cs"/>
          <w:i/>
          <w:iCs/>
          <w:rtl/>
        </w:rPr>
        <w:t>و</w:t>
      </w:r>
      <w:r w:rsidR="003E19B9">
        <w:rPr>
          <w:rFonts w:hint="cs"/>
          <w:i/>
          <w:iCs/>
          <w:rtl/>
        </w:rPr>
        <w:t>أحاطت لجنة البرنامج والميزانية</w:t>
      </w:r>
      <w:r w:rsidR="00693CE2">
        <w:rPr>
          <w:rFonts w:hint="cs"/>
          <w:i/>
          <w:iCs/>
          <w:rtl/>
        </w:rPr>
        <w:t xml:space="preserve"> علماً</w:t>
      </w:r>
      <w:r w:rsidR="003E19B9">
        <w:rPr>
          <w:rFonts w:hint="cs"/>
          <w:i/>
          <w:iCs/>
          <w:rtl/>
        </w:rPr>
        <w:t xml:space="preserve"> بما</w:t>
      </w:r>
      <w:r w:rsidR="00515CA9">
        <w:rPr>
          <w:rFonts w:hint="eastAsia"/>
          <w:i/>
          <w:iCs/>
          <w:rtl/>
        </w:rPr>
        <w:t> </w:t>
      </w:r>
      <w:r w:rsidR="003E19B9">
        <w:rPr>
          <w:rFonts w:hint="cs"/>
          <w:i/>
          <w:iCs/>
          <w:rtl/>
        </w:rPr>
        <w:t>يلي:</w:t>
      </w:r>
    </w:p>
    <w:p w:rsidR="003E19B9" w:rsidRDefault="003E19B9" w:rsidP="002B7941">
      <w:pPr>
        <w:pStyle w:val="NormalParaAR"/>
        <w:numPr>
          <w:ilvl w:val="0"/>
          <w:numId w:val="30"/>
        </w:numPr>
        <w:ind w:left="6101" w:firstLine="0"/>
        <w:rPr>
          <w:i/>
          <w:iCs/>
        </w:rPr>
      </w:pPr>
      <w:r>
        <w:rPr>
          <w:rFonts w:hint="cs"/>
          <w:i/>
          <w:iCs/>
          <w:rtl/>
        </w:rPr>
        <w:t>هيكل الإدارة الذي وُضع لإدارة تنفيذ حافظة مشروعات الخطة الرأسمالية الرئيسية والإشراف عليها وإعداد تقارير</w:t>
      </w:r>
      <w:r w:rsidR="002B7941">
        <w:rPr>
          <w:rFonts w:hint="eastAsia"/>
          <w:i/>
          <w:iCs/>
          <w:rtl/>
        </w:rPr>
        <w:t> </w:t>
      </w:r>
      <w:r>
        <w:rPr>
          <w:rFonts w:hint="cs"/>
          <w:i/>
          <w:iCs/>
          <w:rtl/>
        </w:rPr>
        <w:t>بشأنها.</w:t>
      </w:r>
    </w:p>
    <w:p w:rsidR="003E19B9" w:rsidRDefault="003E19B9" w:rsidP="003E19B9">
      <w:pPr>
        <w:pStyle w:val="NormalParaAR"/>
        <w:numPr>
          <w:ilvl w:val="0"/>
          <w:numId w:val="30"/>
        </w:numPr>
        <w:ind w:left="6101" w:firstLine="0"/>
        <w:rPr>
          <w:i/>
          <w:iCs/>
        </w:rPr>
      </w:pPr>
      <w:r>
        <w:rPr>
          <w:rFonts w:hint="cs"/>
          <w:i/>
          <w:iCs/>
          <w:rtl/>
        </w:rPr>
        <w:t xml:space="preserve">الحوار الجاري مع </w:t>
      </w:r>
      <w:r w:rsidRPr="003E19B9">
        <w:rPr>
          <w:i/>
          <w:iCs/>
          <w:rtl/>
        </w:rPr>
        <w:t>اللجنة الاستشارية المستقلة للرقابة</w:t>
      </w:r>
      <w:r>
        <w:rPr>
          <w:rFonts w:hint="cs"/>
          <w:i/>
          <w:iCs/>
          <w:rtl/>
        </w:rPr>
        <w:t xml:space="preserve"> والتحسينات المزمع إدخالها على شكل الخطة الرأسمالية الرئيسية (الوثيقة </w:t>
      </w:r>
      <w:r>
        <w:rPr>
          <w:i/>
          <w:iCs/>
        </w:rPr>
        <w:t>WO/PBC/22/21</w:t>
      </w:r>
      <w:r>
        <w:rPr>
          <w:rFonts w:hint="cs"/>
          <w:i/>
          <w:iCs/>
          <w:rtl/>
        </w:rPr>
        <w:t>).</w:t>
      </w:r>
    </w:p>
    <w:p w:rsidR="00693CE2" w:rsidRPr="00693CE2" w:rsidRDefault="00693CE2" w:rsidP="00693CE2">
      <w:pPr>
        <w:pStyle w:val="NormalParaAR"/>
        <w:ind w:left="5534"/>
        <w:rPr>
          <w:rtl/>
        </w:rPr>
      </w:pPr>
      <w:r w:rsidRPr="00693CE2">
        <w:rPr>
          <w:rFonts w:hint="cs"/>
          <w:rtl/>
        </w:rPr>
        <w:t>[</w:t>
      </w:r>
      <w:r>
        <w:rPr>
          <w:rFonts w:hint="cs"/>
          <w:rtl/>
        </w:rPr>
        <w:t>نهاية الوثيقة</w:t>
      </w:r>
      <w:r w:rsidRPr="00693CE2">
        <w:rPr>
          <w:rFonts w:hint="cs"/>
          <w:rtl/>
        </w:rPr>
        <w:t>]</w:t>
      </w:r>
    </w:p>
    <w:sectPr w:rsidR="00693CE2" w:rsidRPr="00693CE2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D4" w:rsidRDefault="005206D4">
      <w:r>
        <w:separator/>
      </w:r>
    </w:p>
  </w:endnote>
  <w:endnote w:type="continuationSeparator" w:id="0">
    <w:p w:rsidR="005206D4" w:rsidRDefault="0052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D4" w:rsidRDefault="005206D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206D4" w:rsidRDefault="005206D4" w:rsidP="009622BF">
      <w:pPr>
        <w:bidi/>
      </w:pPr>
      <w:r>
        <w:separator/>
      </w:r>
    </w:p>
  </w:footnote>
  <w:footnote w:id="1">
    <w:p w:rsidR="00AC6FA0" w:rsidRDefault="00AC6FA0" w:rsidP="003E19B9">
      <w:pPr>
        <w:pStyle w:val="FootnoteText"/>
        <w:spacing w:after="120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AF6398" w:rsidRPr="00693CE2">
        <w:rPr>
          <w:b/>
          <w:bCs/>
          <w:rtl/>
        </w:rPr>
        <w:t>الأولوية ألف</w:t>
      </w:r>
      <w:r w:rsidR="00AF6398" w:rsidRPr="00AF6398">
        <w:rPr>
          <w:rtl/>
        </w:rPr>
        <w:t>: تتسم المشروعات في هذه الفئة بحاجتها الملحة إلى التنفيذ الفوري، إما نظرا</w:t>
      </w:r>
      <w:r w:rsidR="00693CE2">
        <w:rPr>
          <w:rFonts w:hint="cs"/>
          <w:rtl/>
        </w:rPr>
        <w:t>ً</w:t>
      </w:r>
      <w:r w:rsidR="00AF6398" w:rsidRPr="00AF6398">
        <w:rPr>
          <w:rtl/>
        </w:rPr>
        <w:t xml:space="preserve"> إلى أهميت</w:t>
      </w:r>
      <w:r w:rsidR="002B7941">
        <w:rPr>
          <w:rtl/>
        </w:rPr>
        <w:t>ها الاستراتيجية بالنسبة للمنظمة</w:t>
      </w:r>
      <w:r w:rsidR="00AF6398" w:rsidRPr="00AF6398">
        <w:rPr>
          <w:rtl/>
        </w:rPr>
        <w:t xml:space="preserve"> أو نتيجة لدرجة الخطورة العالية التي قد تمثلها في عمليات الصيانة أو الأمن أو الصحة أو سلامة الموظفين والممتلكات.</w:t>
      </w:r>
    </w:p>
    <w:p w:rsidR="00AF6398" w:rsidRDefault="00AF6398" w:rsidP="003E19B9">
      <w:pPr>
        <w:pStyle w:val="FootnoteText"/>
        <w:spacing w:after="120"/>
        <w:rPr>
          <w:rtl/>
        </w:rPr>
      </w:pPr>
      <w:r w:rsidRPr="00693CE2">
        <w:rPr>
          <w:b/>
          <w:bCs/>
          <w:rtl/>
        </w:rPr>
        <w:t>الأولوية باء</w:t>
      </w:r>
      <w:r w:rsidRPr="00AF6398">
        <w:rPr>
          <w:rtl/>
        </w:rPr>
        <w:t>: تتسم المشروعات في هذه الفئة بأن لها أهمية نسبية في التنفيذ، لأنها قد تتناول مسائل الكفاءة أو الشواغل البيئية أو تدر مكاسب تتعلق بجدوى التكاليف.</w:t>
      </w:r>
      <w:r>
        <w:rPr>
          <w:rFonts w:hint="cs"/>
          <w:rtl/>
        </w:rPr>
        <w:t xml:space="preserve"> </w:t>
      </w:r>
      <w:r w:rsidRPr="00AF6398">
        <w:rPr>
          <w:rtl/>
        </w:rPr>
        <w:t>ويمثل عدم تنفيذها مخاطرة متوسطة الشدة على الأمن أو الصحة أو السلامة.</w:t>
      </w:r>
      <w:r>
        <w:rPr>
          <w:rFonts w:hint="cs"/>
          <w:rtl/>
        </w:rPr>
        <w:t xml:space="preserve"> </w:t>
      </w:r>
      <w:r w:rsidRPr="00AF6398">
        <w:rPr>
          <w:rtl/>
        </w:rPr>
        <w:t>وقد تزيد التكاليف بسبب تأجيل الأعمال.</w:t>
      </w:r>
    </w:p>
    <w:p w:rsidR="00AF6398" w:rsidRDefault="00AF6398" w:rsidP="00B96F7A">
      <w:pPr>
        <w:pStyle w:val="FootnoteText"/>
        <w:spacing w:after="120"/>
      </w:pPr>
      <w:r w:rsidRPr="00693CE2">
        <w:rPr>
          <w:b/>
          <w:bCs/>
          <w:rtl/>
        </w:rPr>
        <w:t>الأولوية جيم</w:t>
      </w:r>
      <w:r>
        <w:rPr>
          <w:rtl/>
        </w:rPr>
        <w:t xml:space="preserve">: </w:t>
      </w:r>
      <w:r w:rsidR="005B6AD4">
        <w:rPr>
          <w:rFonts w:hint="cs"/>
          <w:rtl/>
        </w:rPr>
        <w:t>تتسم</w:t>
      </w:r>
      <w:r>
        <w:rPr>
          <w:rtl/>
        </w:rPr>
        <w:t xml:space="preserve"> </w:t>
      </w:r>
      <w:r w:rsidR="005B6AD4">
        <w:rPr>
          <w:rFonts w:hint="cs"/>
          <w:rtl/>
        </w:rPr>
        <w:t>ال</w:t>
      </w:r>
      <w:r>
        <w:rPr>
          <w:rtl/>
        </w:rPr>
        <w:t xml:space="preserve">مشروعات </w:t>
      </w:r>
      <w:r w:rsidR="00B96F7A">
        <w:rPr>
          <w:rFonts w:hint="cs"/>
          <w:rtl/>
        </w:rPr>
        <w:t xml:space="preserve">في </w:t>
      </w:r>
      <w:r>
        <w:rPr>
          <w:rtl/>
        </w:rPr>
        <w:t>هذه الف</w:t>
      </w:r>
      <w:bookmarkStart w:id="2" w:name="_GoBack"/>
      <w:bookmarkEnd w:id="2"/>
      <w:r>
        <w:rPr>
          <w:rtl/>
        </w:rPr>
        <w:t xml:space="preserve">ئة </w:t>
      </w:r>
      <w:r w:rsidR="00B96F7A">
        <w:rPr>
          <w:rFonts w:hint="cs"/>
          <w:rtl/>
        </w:rPr>
        <w:t xml:space="preserve">بدرجة منخفضة جدا من </w:t>
      </w:r>
      <w:r>
        <w:rPr>
          <w:rtl/>
        </w:rPr>
        <w:t>على الأمن أو الصحة أو السلامة</w:t>
      </w:r>
      <w:r w:rsidR="00B96F7A">
        <w:rPr>
          <w:rFonts w:hint="cs"/>
          <w:rtl/>
        </w:rPr>
        <w:t xml:space="preserve"> إذا لم تنفَّذ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 w:rsidR="00B96F7A">
        <w:rPr>
          <w:rFonts w:hint="cs"/>
          <w:rtl/>
        </w:rPr>
        <w:t>ويمكن أن تكون مشروعات لتطبيق</w:t>
      </w:r>
      <w:r>
        <w:rPr>
          <w:rtl/>
        </w:rPr>
        <w:t xml:space="preserve"> التكنولوجيا التي ستزيد من جدوى التكاليف في الأجل الطويل.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7069A0">
    <w:r>
      <w:t>W</w:t>
    </w:r>
    <w:r w:rsidR="00772E46">
      <w:t>O/</w:t>
    </w:r>
    <w:r>
      <w:t>PBC</w:t>
    </w:r>
    <w:r w:rsidR="002F77FC">
      <w:t>/</w:t>
    </w:r>
    <w:r w:rsidR="00772E46">
      <w:t>2</w:t>
    </w:r>
    <w:r w:rsidR="00AA2001">
      <w:t>2</w:t>
    </w:r>
    <w:r w:rsidR="002F77FC">
      <w:t>/</w:t>
    </w:r>
    <w:r w:rsidR="007069A0">
      <w:rPr>
        <w:rFonts w:hint="cs"/>
        <w:rtl/>
      </w:rPr>
      <w:t>21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B96F7A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057A547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4B21938"/>
    <w:multiLevelType w:val="hybridMultilevel"/>
    <w:tmpl w:val="3A948E8E"/>
    <w:lvl w:ilvl="0" w:tplc="A5FC596E">
      <w:start w:val="1"/>
      <w:numFmt w:val="decimal"/>
      <w:lvlText w:val="&quot;%1&quo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8551D9"/>
    <w:multiLevelType w:val="hybridMultilevel"/>
    <w:tmpl w:val="CC46363C"/>
    <w:lvl w:ilvl="0" w:tplc="E326AEB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46469A7"/>
    <w:multiLevelType w:val="hybridMultilevel"/>
    <w:tmpl w:val="15C22720"/>
    <w:lvl w:ilvl="0" w:tplc="EA544D3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5159B"/>
    <w:multiLevelType w:val="hybridMultilevel"/>
    <w:tmpl w:val="2ACACAB6"/>
    <w:lvl w:ilvl="0" w:tplc="8AE62D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10772F"/>
    <w:multiLevelType w:val="hybridMultilevel"/>
    <w:tmpl w:val="98F69E62"/>
    <w:lvl w:ilvl="0" w:tplc="3D7AFB14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DC1EBE"/>
    <w:multiLevelType w:val="hybridMultilevel"/>
    <w:tmpl w:val="15C22720"/>
    <w:lvl w:ilvl="0" w:tplc="EA544D3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66D10"/>
    <w:multiLevelType w:val="hybridMultilevel"/>
    <w:tmpl w:val="84D8DBF2"/>
    <w:lvl w:ilvl="0" w:tplc="A5FC596E">
      <w:start w:val="1"/>
      <w:numFmt w:val="decimal"/>
      <w:lvlText w:val="&quot;%1&quot;"/>
      <w:lvlJc w:val="left"/>
      <w:pPr>
        <w:ind w:left="62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26">
    <w:nsid w:val="6EAC1C77"/>
    <w:multiLevelType w:val="hybridMultilevel"/>
    <w:tmpl w:val="15C22720"/>
    <w:lvl w:ilvl="0" w:tplc="EA544D3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27"/>
  </w:num>
  <w:num w:numId="5">
    <w:abstractNumId w:val="8"/>
  </w:num>
  <w:num w:numId="6">
    <w:abstractNumId w:val="28"/>
  </w:num>
  <w:num w:numId="7">
    <w:abstractNumId w:val="17"/>
  </w:num>
  <w:num w:numId="8">
    <w:abstractNumId w:val="23"/>
  </w:num>
  <w:num w:numId="9">
    <w:abstractNumId w:val="22"/>
  </w:num>
  <w:num w:numId="10">
    <w:abstractNumId w:val="29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0"/>
  </w:num>
  <w:num w:numId="23">
    <w:abstractNumId w:val="14"/>
  </w:num>
  <w:num w:numId="24">
    <w:abstractNumId w:val="21"/>
  </w:num>
  <w:num w:numId="25">
    <w:abstractNumId w:val="20"/>
  </w:num>
  <w:num w:numId="26">
    <w:abstractNumId w:val="11"/>
  </w:num>
  <w:num w:numId="27">
    <w:abstractNumId w:val="19"/>
  </w:num>
  <w:num w:numId="28">
    <w:abstractNumId w:val="24"/>
  </w:num>
  <w:num w:numId="29">
    <w:abstractNumId w:val="2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2E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68AA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693B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654D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8BA"/>
    <w:rsid w:val="00130FC9"/>
    <w:rsid w:val="001310EE"/>
    <w:rsid w:val="0013191A"/>
    <w:rsid w:val="00131E8F"/>
    <w:rsid w:val="00133098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5DEE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1B82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2631"/>
    <w:rsid w:val="002A3C9D"/>
    <w:rsid w:val="002A5403"/>
    <w:rsid w:val="002A6C9F"/>
    <w:rsid w:val="002A77F3"/>
    <w:rsid w:val="002B14F0"/>
    <w:rsid w:val="002B1F0F"/>
    <w:rsid w:val="002B53D3"/>
    <w:rsid w:val="002B6202"/>
    <w:rsid w:val="002B7941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6FE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9B9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943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C75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5E91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CA9"/>
    <w:rsid w:val="00516256"/>
    <w:rsid w:val="005162CF"/>
    <w:rsid w:val="00517A63"/>
    <w:rsid w:val="00517C8D"/>
    <w:rsid w:val="00517FD1"/>
    <w:rsid w:val="005206D4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AD4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4113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3CE2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069A0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7D8D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1AC0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4C0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1C2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07E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9F7929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001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C6FA0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39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6F7A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2468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2F26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050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E7F00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CE3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343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ONUME">
    <w:name w:val="ONUM E"/>
    <w:basedOn w:val="BodyText"/>
    <w:rsid w:val="00C22468"/>
    <w:pPr>
      <w:numPr>
        <w:numId w:val="22"/>
      </w:numPr>
      <w:spacing w:after="220"/>
    </w:pPr>
    <w:rPr>
      <w:rFonts w:eastAsia="SimSun"/>
      <w:lang w:eastAsia="zh-CN"/>
    </w:rPr>
  </w:style>
  <w:style w:type="paragraph" w:customStyle="1" w:styleId="ONUMFS">
    <w:name w:val="ONUM FS"/>
    <w:basedOn w:val="BodyText"/>
    <w:rsid w:val="00C22468"/>
    <w:pPr>
      <w:numPr>
        <w:numId w:val="23"/>
      </w:numPr>
      <w:spacing w:after="220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C224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22468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ONUME">
    <w:name w:val="ONUM E"/>
    <w:basedOn w:val="BodyText"/>
    <w:rsid w:val="00C22468"/>
    <w:pPr>
      <w:numPr>
        <w:numId w:val="22"/>
      </w:numPr>
      <w:spacing w:after="220"/>
    </w:pPr>
    <w:rPr>
      <w:rFonts w:eastAsia="SimSun"/>
      <w:lang w:eastAsia="zh-CN"/>
    </w:rPr>
  </w:style>
  <w:style w:type="paragraph" w:customStyle="1" w:styleId="ONUMFS">
    <w:name w:val="ONUM FS"/>
    <w:basedOn w:val="BodyText"/>
    <w:rsid w:val="00C22468"/>
    <w:pPr>
      <w:numPr>
        <w:numId w:val="23"/>
      </w:numPr>
      <w:spacing w:after="220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C224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2246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PBC_2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67D19-D9E8-4F4D-A10F-756E2E29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WO_PBC_22_AR.dotx</Template>
  <TotalTime>0</TotalTime>
  <Pages>3</Pages>
  <Words>887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WO/PBC/22/21 (Arabic)</vt:lpstr>
    </vt:vector>
  </TitlesOfParts>
  <Company>World Intellectual Property Organization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WO/PBC/22/21 (Arabic)</dc:title>
  <dc:creator>HASSAN Ahmed</dc:creator>
  <cp:lastModifiedBy>CHADAREVIAN Diane</cp:lastModifiedBy>
  <cp:revision>2</cp:revision>
  <cp:lastPrinted>2011-07-08T12:30:00Z</cp:lastPrinted>
  <dcterms:created xsi:type="dcterms:W3CDTF">2014-07-28T09:01:00Z</dcterms:created>
  <dcterms:modified xsi:type="dcterms:W3CDTF">2014-07-28T09:01:00Z</dcterms:modified>
</cp:coreProperties>
</file>