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AA2001">
              <w:t>2</w:t>
            </w:r>
            <w:r w:rsidR="00703FA5">
              <w:t>/19</w:t>
            </w:r>
          </w:p>
        </w:tc>
      </w:tr>
      <w:tr w:rsidR="001667B6" w:rsidTr="00BF164F">
        <w:tc>
          <w:tcPr>
            <w:tcW w:w="9571" w:type="dxa"/>
            <w:gridSpan w:val="3"/>
          </w:tcPr>
          <w:p w:rsidR="001667B6" w:rsidRPr="00B6101C" w:rsidRDefault="00B6101C" w:rsidP="00703FA5">
            <w:pPr>
              <w:pStyle w:val="DocumentLanguageAR"/>
              <w:bidi/>
              <w:rPr>
                <w:rtl/>
              </w:rPr>
            </w:pPr>
            <w:r w:rsidRPr="00B6101C">
              <w:rPr>
                <w:rFonts w:hint="cs"/>
                <w:rtl/>
              </w:rPr>
              <w:t xml:space="preserve">الأصل: </w:t>
            </w:r>
            <w:proofErr w:type="gramStart"/>
            <w:r w:rsidR="00703FA5">
              <w:rPr>
                <w:rFonts w:hint="cs"/>
                <w:rtl/>
              </w:rPr>
              <w:t>بالإنكليزية</w:t>
            </w:r>
            <w:proofErr w:type="gramEnd"/>
          </w:p>
        </w:tc>
      </w:tr>
      <w:tr w:rsidR="001667B6" w:rsidTr="00BF164F">
        <w:tc>
          <w:tcPr>
            <w:tcW w:w="9571" w:type="dxa"/>
            <w:gridSpan w:val="3"/>
          </w:tcPr>
          <w:p w:rsidR="001667B6" w:rsidRPr="00B6101C" w:rsidRDefault="00B6101C" w:rsidP="00703FA5">
            <w:pPr>
              <w:pStyle w:val="DocumentDateAR"/>
              <w:bidi/>
              <w:rPr>
                <w:rtl/>
              </w:rPr>
            </w:pPr>
            <w:r w:rsidRPr="00B6101C">
              <w:rPr>
                <w:rFonts w:hint="cs"/>
                <w:rtl/>
              </w:rPr>
              <w:t xml:space="preserve">التاريخ: </w:t>
            </w:r>
            <w:r w:rsidR="00703FA5">
              <w:rPr>
                <w:rFonts w:hint="cs"/>
                <w:rtl/>
              </w:rPr>
              <w:t xml:space="preserve">17 </w:t>
            </w:r>
            <w:proofErr w:type="gramStart"/>
            <w:r w:rsidR="00961955">
              <w:rPr>
                <w:rFonts w:hint="cs"/>
                <w:rtl/>
              </w:rPr>
              <w:t>يوليو</w:t>
            </w:r>
            <w:proofErr w:type="gramEnd"/>
            <w:r w:rsidR="00961955">
              <w:rPr>
                <w:rtl/>
              </w:rPr>
              <w:t>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 xml:space="preserve">البرنامج </w:t>
      </w:r>
      <w:proofErr w:type="gramStart"/>
      <w:r w:rsidR="00983389">
        <w:rPr>
          <w:rFonts w:hint="cs"/>
          <w:rtl/>
          <w:lang w:val="fr-CH"/>
        </w:rPr>
        <w:t>والميزانية</w:t>
      </w:r>
      <w:proofErr w:type="gram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w:t>
      </w:r>
      <w:proofErr w:type="gramStart"/>
      <w:r w:rsidR="00274410">
        <w:rPr>
          <w:rFonts w:ascii="Cambria Math" w:hAnsi="Cambria Math" w:hint="cs"/>
          <w:rtl/>
        </w:rPr>
        <w:t>والعشرون</w:t>
      </w:r>
      <w:proofErr w:type="gramEnd"/>
    </w:p>
    <w:p w:rsidR="00D61541" w:rsidRPr="00D61541" w:rsidRDefault="00D61541" w:rsidP="00AA200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961955">
        <w:rPr>
          <w:rFonts w:hint="cs"/>
          <w:rtl/>
        </w:rPr>
        <w:t>سبتمبر</w:t>
      </w:r>
      <w:r w:rsidR="00961955">
        <w:rPr>
          <w:rtl/>
        </w:rPr>
        <w:t>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03FA5" w:rsidP="00703FA5">
      <w:pPr>
        <w:pStyle w:val="DocumentTitleAR"/>
        <w:bidi/>
        <w:rPr>
          <w:rtl/>
        </w:rPr>
      </w:pPr>
      <w:proofErr w:type="gramStart"/>
      <w:r>
        <w:rPr>
          <w:rFonts w:hint="cs"/>
          <w:rtl/>
        </w:rPr>
        <w:t>اقتراح</w:t>
      </w:r>
      <w:proofErr w:type="gramEnd"/>
      <w:r>
        <w:rPr>
          <w:rFonts w:hint="cs"/>
          <w:rtl/>
        </w:rPr>
        <w:t xml:space="preserve"> تعديل سياسة الاستثمار</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703FA5">
        <w:rPr>
          <w:rFonts w:hint="cs"/>
          <w:rtl/>
        </w:rPr>
        <w:t xml:space="preserve"> الأمانة</w:t>
      </w:r>
    </w:p>
    <w:p w:rsidR="00AA2001" w:rsidRPr="00703FA5" w:rsidRDefault="00703FA5" w:rsidP="00703FA5">
      <w:pPr>
        <w:pStyle w:val="NormalParaAR"/>
        <w:keepNext/>
        <w:rPr>
          <w:b/>
          <w:bCs/>
          <w:sz w:val="40"/>
          <w:szCs w:val="40"/>
          <w:rtl/>
        </w:rPr>
      </w:pPr>
      <w:proofErr w:type="gramStart"/>
      <w:r w:rsidRPr="00703FA5">
        <w:rPr>
          <w:rFonts w:hint="cs"/>
          <w:b/>
          <w:bCs/>
          <w:sz w:val="40"/>
          <w:szCs w:val="40"/>
          <w:rtl/>
        </w:rPr>
        <w:t>معلومات</w:t>
      </w:r>
      <w:proofErr w:type="gramEnd"/>
      <w:r w:rsidRPr="00703FA5">
        <w:rPr>
          <w:rFonts w:hint="cs"/>
          <w:b/>
          <w:bCs/>
          <w:sz w:val="40"/>
          <w:szCs w:val="40"/>
          <w:rtl/>
        </w:rPr>
        <w:t xml:space="preserve"> أساسية</w:t>
      </w:r>
    </w:p>
    <w:p w:rsidR="00703FA5" w:rsidRDefault="00F6349D" w:rsidP="00F12296">
      <w:pPr>
        <w:pStyle w:val="NormalParaAR"/>
        <w:numPr>
          <w:ilvl w:val="0"/>
          <w:numId w:val="39"/>
        </w:numPr>
        <w:ind w:left="0" w:firstLine="0"/>
      </w:pPr>
      <w:r>
        <w:rPr>
          <w:rFonts w:hint="cs"/>
          <w:rtl/>
        </w:rPr>
        <w:t xml:space="preserve">قُدمت </w:t>
      </w:r>
      <w:r w:rsidR="00803D6E">
        <w:rPr>
          <w:rFonts w:hint="cs"/>
          <w:rtl/>
        </w:rPr>
        <w:t xml:space="preserve">أولاً </w:t>
      </w:r>
      <w:proofErr w:type="gramStart"/>
      <w:r>
        <w:rPr>
          <w:rFonts w:hint="cs"/>
          <w:rtl/>
        </w:rPr>
        <w:t>سياسة</w:t>
      </w:r>
      <w:proofErr w:type="gramEnd"/>
      <w:r>
        <w:rPr>
          <w:rFonts w:hint="cs"/>
          <w:rtl/>
        </w:rPr>
        <w:t xml:space="preserve"> استثمار</w:t>
      </w:r>
      <w:r w:rsidR="000D5083">
        <w:rPr>
          <w:rFonts w:hint="cs"/>
          <w:rtl/>
        </w:rPr>
        <w:t>،</w:t>
      </w:r>
      <w:r>
        <w:rPr>
          <w:rFonts w:hint="cs"/>
          <w:rtl/>
        </w:rPr>
        <w:t xml:space="preserve"> وفقاً للمادة 4.10 </w:t>
      </w:r>
      <w:proofErr w:type="gramStart"/>
      <w:r>
        <w:rPr>
          <w:rFonts w:hint="cs"/>
          <w:rtl/>
        </w:rPr>
        <w:t>من</w:t>
      </w:r>
      <w:proofErr w:type="gramEnd"/>
      <w:r>
        <w:rPr>
          <w:rFonts w:hint="cs"/>
          <w:rtl/>
        </w:rPr>
        <w:t xml:space="preserve"> النظام المالي</w:t>
      </w:r>
      <w:r w:rsidR="000D5083">
        <w:rPr>
          <w:rFonts w:hint="cs"/>
          <w:rtl/>
        </w:rPr>
        <w:t>،</w:t>
      </w:r>
      <w:r>
        <w:rPr>
          <w:rFonts w:hint="cs"/>
          <w:rtl/>
        </w:rPr>
        <w:t xml:space="preserve"> إل</w:t>
      </w:r>
      <w:r w:rsidR="00B855EF">
        <w:rPr>
          <w:rFonts w:hint="cs"/>
          <w:rtl/>
        </w:rPr>
        <w:t xml:space="preserve">ى لجنة البرنامج والميزانية في </w:t>
      </w:r>
      <w:r w:rsidR="00961955">
        <w:rPr>
          <w:rFonts w:hint="cs"/>
          <w:rtl/>
        </w:rPr>
        <w:t>سبتمبر</w:t>
      </w:r>
      <w:r w:rsidR="00961955">
        <w:rPr>
          <w:rtl/>
        </w:rPr>
        <w:t> </w:t>
      </w:r>
      <w:r>
        <w:rPr>
          <w:rFonts w:hint="cs"/>
          <w:rtl/>
        </w:rPr>
        <w:t>2010 (</w:t>
      </w:r>
      <w:r w:rsidR="00961955">
        <w:rPr>
          <w:rFonts w:hint="cs"/>
          <w:rtl/>
        </w:rPr>
        <w:t>الوثيقة</w:t>
      </w:r>
      <w:r w:rsidR="00961955">
        <w:rPr>
          <w:rtl/>
        </w:rPr>
        <w:t> </w:t>
      </w:r>
      <w:r>
        <w:t>WO/PBC/15/8</w:t>
      </w:r>
      <w:r>
        <w:rPr>
          <w:rFonts w:hint="cs"/>
          <w:rtl/>
        </w:rPr>
        <w:t>)</w:t>
      </w:r>
      <w:r w:rsidR="00BE2151">
        <w:rPr>
          <w:rFonts w:hint="cs"/>
          <w:rtl/>
        </w:rPr>
        <w:t xml:space="preserve">. </w:t>
      </w:r>
      <w:proofErr w:type="gramStart"/>
      <w:r w:rsidR="00BE2151">
        <w:rPr>
          <w:rFonts w:hint="cs"/>
          <w:rtl/>
        </w:rPr>
        <w:t>ودرست</w:t>
      </w:r>
      <w:proofErr w:type="gramEnd"/>
      <w:r w:rsidR="00BE2151">
        <w:rPr>
          <w:rFonts w:hint="cs"/>
          <w:rtl/>
        </w:rPr>
        <w:t xml:space="preserve"> اللجنة </w:t>
      </w:r>
      <w:r w:rsidR="00961955">
        <w:rPr>
          <w:rFonts w:hint="cs"/>
          <w:rtl/>
        </w:rPr>
        <w:t>الوثيقة</w:t>
      </w:r>
      <w:r w:rsidR="00961955">
        <w:rPr>
          <w:rtl/>
        </w:rPr>
        <w:t> </w:t>
      </w:r>
      <w:r w:rsidR="00BE2151">
        <w:rPr>
          <w:rFonts w:hint="cs"/>
          <w:rtl/>
        </w:rPr>
        <w:t xml:space="preserve">و"التمست من الأمانة أن </w:t>
      </w:r>
      <w:r w:rsidR="00BE2151" w:rsidRPr="00803D6E">
        <w:rPr>
          <w:rFonts w:hint="cs"/>
          <w:caps/>
          <w:rtl/>
        </w:rPr>
        <w:t>تقدّ</w:t>
      </w:r>
      <w:r w:rsidR="00803D6E">
        <w:rPr>
          <w:rFonts w:hint="cs"/>
          <w:caps/>
          <w:rtl/>
        </w:rPr>
        <w:t>ِ</w:t>
      </w:r>
      <w:r w:rsidR="00BE2151" w:rsidRPr="00803D6E">
        <w:rPr>
          <w:rFonts w:hint="cs"/>
          <w:caps/>
          <w:rtl/>
        </w:rPr>
        <w:t>م</w:t>
      </w:r>
      <w:r w:rsidR="00BE2151">
        <w:rPr>
          <w:rFonts w:hint="cs"/>
          <w:rtl/>
        </w:rPr>
        <w:t xml:space="preserve"> صياغة جديدة للاقتراح في دورة مقبلة للجنة البرنامج والميزانية، على أن تراعي فيها ملاحظات الدول الأعضاء وتعليقاتها". وتعلقت هذه الملاحظات والتعليقات أساساً </w:t>
      </w:r>
      <w:r w:rsidR="00F12296">
        <w:rPr>
          <w:rFonts w:hint="cs"/>
          <w:rtl/>
        </w:rPr>
        <w:t>بالتقاعس عن</w:t>
      </w:r>
      <w:r w:rsidR="00BE2151">
        <w:rPr>
          <w:rFonts w:hint="cs"/>
          <w:rtl/>
        </w:rPr>
        <w:t xml:space="preserve"> </w:t>
      </w:r>
      <w:r w:rsidR="00F12296">
        <w:rPr>
          <w:rFonts w:hint="cs"/>
          <w:rtl/>
        </w:rPr>
        <w:t>الاستعانة</w:t>
      </w:r>
      <w:r w:rsidR="00BE2151">
        <w:rPr>
          <w:rFonts w:hint="cs"/>
          <w:rtl/>
        </w:rPr>
        <w:t xml:space="preserve"> </w:t>
      </w:r>
      <w:r w:rsidR="00F12296">
        <w:rPr>
          <w:rFonts w:hint="cs"/>
          <w:rtl/>
        </w:rPr>
        <w:t xml:space="preserve">بمديري استثمار خارجيين أو </w:t>
      </w:r>
      <w:r w:rsidR="000D5083">
        <w:rPr>
          <w:rFonts w:hint="cs"/>
          <w:rtl/>
        </w:rPr>
        <w:t>استثمار موارد نقدية غير محدودة تكون غير لازمة</w:t>
      </w:r>
      <w:r w:rsidR="00B855EF">
        <w:rPr>
          <w:rFonts w:hint="cs"/>
          <w:rtl/>
        </w:rPr>
        <w:t xml:space="preserve"> </w:t>
      </w:r>
      <w:r w:rsidR="00BE2151">
        <w:rPr>
          <w:rFonts w:hint="cs"/>
          <w:rtl/>
        </w:rPr>
        <w:t xml:space="preserve">للعمليات الحالية أو </w:t>
      </w:r>
      <w:r w:rsidR="00F12296">
        <w:rPr>
          <w:rFonts w:hint="cs"/>
          <w:rtl/>
        </w:rPr>
        <w:t xml:space="preserve">تنفيذ </w:t>
      </w:r>
      <w:r w:rsidR="00BE2151">
        <w:rPr>
          <w:rFonts w:hint="cs"/>
          <w:rtl/>
        </w:rPr>
        <w:t xml:space="preserve">مشروعات ممولة من </w:t>
      </w:r>
      <w:r w:rsidR="002A1E30">
        <w:rPr>
          <w:rFonts w:hint="cs"/>
          <w:rtl/>
        </w:rPr>
        <w:t>الأموال</w:t>
      </w:r>
      <w:r w:rsidR="00BE2151">
        <w:rPr>
          <w:rFonts w:hint="cs"/>
          <w:rtl/>
        </w:rPr>
        <w:t xml:space="preserve"> الاحتياطية بأجل استثمار </w:t>
      </w:r>
      <w:r w:rsidR="00803D6E">
        <w:rPr>
          <w:rFonts w:hint="cs"/>
          <w:rtl/>
        </w:rPr>
        <w:t>يصل إلى</w:t>
      </w:r>
      <w:r w:rsidR="00BE2151">
        <w:rPr>
          <w:rFonts w:hint="cs"/>
          <w:rtl/>
        </w:rPr>
        <w:t xml:space="preserve"> عامين، والرغبة في مراعاة </w:t>
      </w:r>
      <w:r w:rsidR="00F12296">
        <w:rPr>
          <w:rFonts w:hint="cs"/>
          <w:rtl/>
        </w:rPr>
        <w:t>ضرورة</w:t>
      </w:r>
      <w:r w:rsidR="00BE2151">
        <w:rPr>
          <w:rFonts w:hint="cs"/>
          <w:rtl/>
        </w:rPr>
        <w:t xml:space="preserve"> تماشي الاستثمارات مع مبادئ الاتفاق العالمي للأمم المتحدة.</w:t>
      </w:r>
    </w:p>
    <w:p w:rsidR="00BE2151" w:rsidRDefault="00BE2151" w:rsidP="00F12296">
      <w:pPr>
        <w:pStyle w:val="NormalParaAR"/>
        <w:keepNext/>
        <w:numPr>
          <w:ilvl w:val="0"/>
          <w:numId w:val="39"/>
        </w:numPr>
        <w:ind w:left="0" w:firstLine="0"/>
        <w:rPr>
          <w:rtl/>
        </w:rPr>
      </w:pPr>
      <w:r>
        <w:rPr>
          <w:rFonts w:hint="cs"/>
          <w:rtl/>
        </w:rPr>
        <w:t>وعُدلت السياسة بعد</w:t>
      </w:r>
      <w:r w:rsidR="000D5083">
        <w:rPr>
          <w:rFonts w:hint="cs"/>
          <w:rtl/>
        </w:rPr>
        <w:t>ئذ</w:t>
      </w:r>
      <w:r>
        <w:rPr>
          <w:rFonts w:hint="cs"/>
          <w:rtl/>
        </w:rPr>
        <w:t xml:space="preserve"> وق</w:t>
      </w:r>
      <w:r w:rsidR="00803D6E">
        <w:rPr>
          <w:rFonts w:hint="cs"/>
          <w:rtl/>
        </w:rPr>
        <w:t>ُ</w:t>
      </w:r>
      <w:r>
        <w:rPr>
          <w:rFonts w:hint="cs"/>
          <w:rtl/>
        </w:rPr>
        <w:t>دمت نسخة منقحة</w:t>
      </w:r>
      <w:r w:rsidR="002A1E30">
        <w:rPr>
          <w:rFonts w:hint="cs"/>
          <w:rtl/>
        </w:rPr>
        <w:t xml:space="preserve"> منها</w:t>
      </w:r>
      <w:r>
        <w:rPr>
          <w:rFonts w:hint="cs"/>
          <w:rtl/>
        </w:rPr>
        <w:t xml:space="preserve"> إلى اللجنة خلال دورتيها في </w:t>
      </w:r>
      <w:r w:rsidR="00961955">
        <w:rPr>
          <w:rFonts w:hint="cs"/>
          <w:rtl/>
        </w:rPr>
        <w:t>عام</w:t>
      </w:r>
      <w:r w:rsidR="00961955">
        <w:rPr>
          <w:rtl/>
        </w:rPr>
        <w:t> </w:t>
      </w:r>
      <w:r>
        <w:rPr>
          <w:rFonts w:hint="cs"/>
          <w:rtl/>
        </w:rPr>
        <w:t>2011 (</w:t>
      </w:r>
      <w:r w:rsidR="00961955">
        <w:rPr>
          <w:rFonts w:hint="cs"/>
          <w:rtl/>
        </w:rPr>
        <w:t>الوثيقة</w:t>
      </w:r>
      <w:r w:rsidR="00961955">
        <w:rPr>
          <w:rtl/>
        </w:rPr>
        <w:t> </w:t>
      </w:r>
      <w:r>
        <w:t>WO/PBC/17/6</w:t>
      </w:r>
      <w:r>
        <w:rPr>
          <w:rFonts w:hint="cs"/>
          <w:rtl/>
        </w:rPr>
        <w:t>)</w:t>
      </w:r>
      <w:r w:rsidR="00803D6E">
        <w:rPr>
          <w:rFonts w:hint="cs"/>
          <w:rtl/>
        </w:rPr>
        <w:t xml:space="preserve"> كي </w:t>
      </w:r>
      <w:r w:rsidR="002A1E30">
        <w:rPr>
          <w:rFonts w:hint="cs"/>
          <w:rtl/>
        </w:rPr>
        <w:t>توافق عليها أخيراً</w:t>
      </w:r>
      <w:r w:rsidR="00803D6E">
        <w:rPr>
          <w:rFonts w:hint="cs"/>
          <w:rtl/>
        </w:rPr>
        <w:t xml:space="preserve"> الجمعيات خلال دورتها التاسعة والأربعين التي عُقدت في خريف </w:t>
      </w:r>
      <w:r w:rsidR="00961955">
        <w:rPr>
          <w:rFonts w:hint="cs"/>
          <w:rtl/>
        </w:rPr>
        <w:t>عام</w:t>
      </w:r>
      <w:r w:rsidR="00961955">
        <w:rPr>
          <w:rtl/>
        </w:rPr>
        <w:t> </w:t>
      </w:r>
      <w:r w:rsidR="00803D6E">
        <w:rPr>
          <w:rFonts w:hint="cs"/>
          <w:rtl/>
        </w:rPr>
        <w:t>2011. و</w:t>
      </w:r>
      <w:r w:rsidR="002A1E30">
        <w:rPr>
          <w:rFonts w:hint="cs"/>
          <w:rtl/>
        </w:rPr>
        <w:t>تضمنت</w:t>
      </w:r>
      <w:r w:rsidR="00803D6E">
        <w:rPr>
          <w:rFonts w:hint="cs"/>
          <w:rtl/>
        </w:rPr>
        <w:t xml:space="preserve"> هذه </w:t>
      </w:r>
      <w:r w:rsidR="00961955">
        <w:rPr>
          <w:rFonts w:hint="cs"/>
          <w:rtl/>
        </w:rPr>
        <w:t>الوثيقة</w:t>
      </w:r>
      <w:r w:rsidR="00961955">
        <w:rPr>
          <w:rtl/>
        </w:rPr>
        <w:t> </w:t>
      </w:r>
      <w:r w:rsidR="00803D6E">
        <w:rPr>
          <w:rFonts w:hint="cs"/>
          <w:rtl/>
        </w:rPr>
        <w:t>الثانية (</w:t>
      </w:r>
      <w:proofErr w:type="gramStart"/>
      <w:r w:rsidR="00961955">
        <w:rPr>
          <w:rFonts w:hint="cs"/>
          <w:rtl/>
        </w:rPr>
        <w:t>المرفق</w:t>
      </w:r>
      <w:proofErr w:type="gramEnd"/>
      <w:r w:rsidR="00961955">
        <w:rPr>
          <w:rtl/>
        </w:rPr>
        <w:t> </w:t>
      </w:r>
      <w:r w:rsidR="00803D6E">
        <w:rPr>
          <w:rFonts w:hint="cs"/>
          <w:rtl/>
        </w:rPr>
        <w:t xml:space="preserve">الأول) </w:t>
      </w:r>
      <w:r w:rsidR="00F12296">
        <w:rPr>
          <w:rFonts w:hint="cs"/>
          <w:rtl/>
        </w:rPr>
        <w:t>ما يلي من تعديلات في ا</w:t>
      </w:r>
      <w:r w:rsidR="00803D6E">
        <w:rPr>
          <w:rFonts w:hint="cs"/>
          <w:rtl/>
        </w:rPr>
        <w:t>لسياسة:</w:t>
      </w:r>
    </w:p>
    <w:p w:rsidR="00703FA5" w:rsidRDefault="00191273" w:rsidP="008E7C6B">
      <w:pPr>
        <w:pStyle w:val="NormalParaAR"/>
        <w:numPr>
          <w:ilvl w:val="0"/>
          <w:numId w:val="40"/>
        </w:numPr>
        <w:ind w:left="567" w:firstLine="0"/>
        <w:rPr>
          <w:rtl/>
        </w:rPr>
      </w:pPr>
      <w:proofErr w:type="gramStart"/>
      <w:r>
        <w:rPr>
          <w:rFonts w:hint="cs"/>
          <w:rtl/>
        </w:rPr>
        <w:t>إدراج</w:t>
      </w:r>
      <w:proofErr w:type="gramEnd"/>
      <w:r>
        <w:rPr>
          <w:rFonts w:hint="cs"/>
          <w:rtl/>
        </w:rPr>
        <w:t xml:space="preserve"> إشارة محددة إلى أن </w:t>
      </w:r>
      <w:r w:rsidR="00724D5E">
        <w:rPr>
          <w:rFonts w:hint="cs"/>
          <w:rtl/>
        </w:rPr>
        <w:t>فائض</w:t>
      </w:r>
      <w:r>
        <w:rPr>
          <w:rFonts w:hint="cs"/>
          <w:rtl/>
        </w:rPr>
        <w:t xml:space="preserve"> الاحتياطي النقدي من الفرنك السويسري غير المطلوب للاستخدام الفوري س</w:t>
      </w:r>
      <w:r w:rsidR="00724D5E">
        <w:rPr>
          <w:rFonts w:hint="cs"/>
          <w:rtl/>
        </w:rPr>
        <w:t>ي</w:t>
      </w:r>
      <w:r>
        <w:rPr>
          <w:rFonts w:hint="cs"/>
          <w:rtl/>
        </w:rPr>
        <w:t>ودع لدى المصرف الوطني السويسري (</w:t>
      </w:r>
      <w:r>
        <w:t>BNS</w:t>
      </w:r>
      <w:r>
        <w:rPr>
          <w:rFonts w:hint="cs"/>
          <w:rtl/>
        </w:rPr>
        <w:t xml:space="preserve">) إلا إذا أمكن تحقيق نسب </w:t>
      </w:r>
      <w:r w:rsidR="00C62C01">
        <w:rPr>
          <w:rFonts w:hint="cs"/>
          <w:rtl/>
        </w:rPr>
        <w:t>عائدات</w:t>
      </w:r>
      <w:r>
        <w:rPr>
          <w:rFonts w:hint="cs"/>
          <w:rtl/>
        </w:rPr>
        <w:t xml:space="preserve"> أعلى في مصارف أخرى تتمتع ب</w:t>
      </w:r>
      <w:r w:rsidR="009E3A3B">
        <w:rPr>
          <w:rFonts w:hint="cs"/>
          <w:rtl/>
        </w:rPr>
        <w:t>التصنيف الائتماني</w:t>
      </w:r>
      <w:r w:rsidR="008E7C6B">
        <w:rPr>
          <w:rFonts w:hint="cs"/>
          <w:rtl/>
        </w:rPr>
        <w:t xml:space="preserve"> المطلوب</w:t>
      </w:r>
      <w:r>
        <w:rPr>
          <w:rFonts w:hint="cs"/>
          <w:rtl/>
        </w:rPr>
        <w:t xml:space="preserve"> (ما يع</w:t>
      </w:r>
      <w:r w:rsidR="00724D5E">
        <w:rPr>
          <w:rFonts w:hint="cs"/>
          <w:rtl/>
        </w:rPr>
        <w:t>ا</w:t>
      </w:r>
      <w:r>
        <w:rPr>
          <w:rFonts w:hint="cs"/>
          <w:rtl/>
        </w:rPr>
        <w:t xml:space="preserve">دل </w:t>
      </w:r>
      <w:r w:rsidR="008E7C6B">
        <w:rPr>
          <w:rFonts w:hint="cs"/>
          <w:rtl/>
        </w:rPr>
        <w:t>التصنيف</w:t>
      </w:r>
      <w:r>
        <w:rPr>
          <w:rFonts w:hint="cs"/>
          <w:rtl/>
        </w:rPr>
        <w:t xml:space="preserve"> </w:t>
      </w:r>
      <w:r>
        <w:t>AA-</w:t>
      </w:r>
      <w:r>
        <w:rPr>
          <w:rFonts w:hint="cs"/>
          <w:rtl/>
        </w:rPr>
        <w:t xml:space="preserve"> لمؤسسة </w:t>
      </w:r>
      <w:r>
        <w:t>Standard and Poor’s</w:t>
      </w:r>
      <w:r>
        <w:rPr>
          <w:rFonts w:hint="cs"/>
          <w:rtl/>
        </w:rPr>
        <w:t xml:space="preserve"> و</w:t>
      </w:r>
      <w:r>
        <w:t>Aa3</w:t>
      </w:r>
      <w:r>
        <w:rPr>
          <w:rFonts w:hint="cs"/>
          <w:rtl/>
        </w:rPr>
        <w:t xml:space="preserve"> لمؤسسة </w:t>
      </w:r>
      <w:r>
        <w:t>Moody’s</w:t>
      </w:r>
      <w:r>
        <w:rPr>
          <w:rFonts w:hint="cs"/>
          <w:rtl/>
        </w:rPr>
        <w:t>)؛</w:t>
      </w:r>
    </w:p>
    <w:p w:rsidR="00191273" w:rsidRDefault="00191273" w:rsidP="000D5083">
      <w:pPr>
        <w:pStyle w:val="NormalParaAR"/>
        <w:numPr>
          <w:ilvl w:val="0"/>
          <w:numId w:val="40"/>
        </w:numPr>
        <w:ind w:left="567" w:firstLine="0"/>
        <w:rPr>
          <w:rtl/>
        </w:rPr>
      </w:pPr>
      <w:r>
        <w:rPr>
          <w:rFonts w:hint="cs"/>
          <w:rtl/>
        </w:rPr>
        <w:t xml:space="preserve">وحذف أي إشارة </w:t>
      </w:r>
      <w:r w:rsidR="000D5083">
        <w:rPr>
          <w:rFonts w:hint="cs"/>
          <w:rtl/>
        </w:rPr>
        <w:t>إلى الاستعانة</w:t>
      </w:r>
      <w:r>
        <w:rPr>
          <w:rFonts w:hint="cs"/>
          <w:rtl/>
        </w:rPr>
        <w:t xml:space="preserve"> </w:t>
      </w:r>
      <w:r w:rsidR="000D5083">
        <w:rPr>
          <w:rFonts w:hint="cs"/>
          <w:rtl/>
        </w:rPr>
        <w:t>ب</w:t>
      </w:r>
      <w:r>
        <w:rPr>
          <w:rFonts w:hint="cs"/>
          <w:rtl/>
        </w:rPr>
        <w:t xml:space="preserve">مديري استثمار </w:t>
      </w:r>
      <w:proofErr w:type="gramStart"/>
      <w:r>
        <w:rPr>
          <w:rFonts w:hint="cs"/>
          <w:rtl/>
        </w:rPr>
        <w:t>خارجيين</w:t>
      </w:r>
      <w:proofErr w:type="gramEnd"/>
      <w:r>
        <w:rPr>
          <w:rFonts w:hint="cs"/>
          <w:rtl/>
        </w:rPr>
        <w:t>؛</w:t>
      </w:r>
    </w:p>
    <w:p w:rsidR="00191273" w:rsidRDefault="00724D5E" w:rsidP="008D786A">
      <w:pPr>
        <w:pStyle w:val="NormalParaAR"/>
        <w:numPr>
          <w:ilvl w:val="0"/>
          <w:numId w:val="40"/>
        </w:numPr>
        <w:ind w:left="567" w:firstLine="0"/>
        <w:rPr>
          <w:rtl/>
        </w:rPr>
      </w:pPr>
      <w:r>
        <w:rPr>
          <w:rFonts w:hint="cs"/>
          <w:rtl/>
        </w:rPr>
        <w:lastRenderedPageBreak/>
        <w:t xml:space="preserve">وإدراج </w:t>
      </w:r>
      <w:r w:rsidR="00F12296">
        <w:rPr>
          <w:rFonts w:hint="cs"/>
          <w:rtl/>
        </w:rPr>
        <w:t>الشرط القاضي بأنه يجب على الجهات</w:t>
      </w:r>
      <w:r>
        <w:rPr>
          <w:rFonts w:hint="cs"/>
          <w:rtl/>
        </w:rPr>
        <w:t xml:space="preserve">، التي توظف فيها الويبو استثماراتها بخلاف الجهات ذات المخاطر السيادية مثل المصرف الوطني السويسري، </w:t>
      </w:r>
      <w:r w:rsidRPr="00724D5E">
        <w:rPr>
          <w:rtl/>
        </w:rPr>
        <w:t>أن توافق على الام</w:t>
      </w:r>
      <w:r w:rsidR="008D786A">
        <w:rPr>
          <w:rFonts w:hint="cs"/>
          <w:rtl/>
        </w:rPr>
        <w:t>ت</w:t>
      </w:r>
      <w:r w:rsidRPr="00724D5E">
        <w:rPr>
          <w:rtl/>
        </w:rPr>
        <w:t>ثال للمبادئ العشرة للاتفاق العالمي للأمم المتحدة.</w:t>
      </w:r>
    </w:p>
    <w:p w:rsidR="00724D5E" w:rsidRDefault="00724D5E" w:rsidP="000D5083">
      <w:pPr>
        <w:pStyle w:val="NormalParaAR"/>
        <w:numPr>
          <w:ilvl w:val="0"/>
          <w:numId w:val="39"/>
        </w:numPr>
        <w:ind w:left="0" w:firstLine="0"/>
      </w:pPr>
      <w:proofErr w:type="gramStart"/>
      <w:r>
        <w:rPr>
          <w:rFonts w:hint="cs"/>
          <w:rtl/>
        </w:rPr>
        <w:t>وإن</w:t>
      </w:r>
      <w:proofErr w:type="gramEnd"/>
      <w:r>
        <w:rPr>
          <w:rFonts w:hint="cs"/>
          <w:rtl/>
        </w:rPr>
        <w:t xml:space="preserve"> السياسة المنقحة، التي </w:t>
      </w:r>
      <w:r w:rsidR="000D5083">
        <w:rPr>
          <w:rFonts w:hint="cs"/>
          <w:rtl/>
        </w:rPr>
        <w:t>تعد أبسط مضموناً</w:t>
      </w:r>
      <w:r>
        <w:rPr>
          <w:rFonts w:hint="cs"/>
          <w:rtl/>
        </w:rPr>
        <w:t xml:space="preserve"> من النسخة المقدمة في </w:t>
      </w:r>
      <w:r w:rsidR="00961955">
        <w:rPr>
          <w:rFonts w:hint="cs"/>
          <w:rtl/>
        </w:rPr>
        <w:t>عام</w:t>
      </w:r>
      <w:r w:rsidR="00961955">
        <w:rPr>
          <w:rtl/>
        </w:rPr>
        <w:t> </w:t>
      </w:r>
      <w:r>
        <w:rPr>
          <w:rFonts w:hint="cs"/>
          <w:rtl/>
        </w:rPr>
        <w:t>2010، تعبر بصدق عن الممارسة الراهنة.</w:t>
      </w:r>
    </w:p>
    <w:p w:rsidR="00724D5E" w:rsidRDefault="00724D5E" w:rsidP="00F12296">
      <w:pPr>
        <w:pStyle w:val="NormalParaAR"/>
        <w:numPr>
          <w:ilvl w:val="0"/>
          <w:numId w:val="39"/>
        </w:numPr>
        <w:ind w:left="0" w:firstLine="0"/>
      </w:pPr>
      <w:proofErr w:type="gramStart"/>
      <w:r>
        <w:rPr>
          <w:rFonts w:hint="cs"/>
          <w:rtl/>
        </w:rPr>
        <w:t>وفي</w:t>
      </w:r>
      <w:proofErr w:type="gramEnd"/>
      <w:r>
        <w:rPr>
          <w:rFonts w:hint="cs"/>
          <w:rtl/>
        </w:rPr>
        <w:t xml:space="preserve"> ضوء </w:t>
      </w:r>
      <w:r w:rsidR="00EC7D01">
        <w:rPr>
          <w:rFonts w:hint="cs"/>
          <w:rtl/>
        </w:rPr>
        <w:t>التطورات الحديثة المبينة أدناه، جم</w:t>
      </w:r>
      <w:r w:rsidR="00F12296">
        <w:rPr>
          <w:rFonts w:hint="cs"/>
          <w:rtl/>
        </w:rPr>
        <w:t>َّ</w:t>
      </w:r>
      <w:r w:rsidR="00EC7D01">
        <w:rPr>
          <w:rFonts w:hint="cs"/>
          <w:rtl/>
        </w:rPr>
        <w:t xml:space="preserve">عت الأمانة </w:t>
      </w:r>
      <w:r w:rsidR="00F12296">
        <w:rPr>
          <w:rFonts w:hint="cs"/>
          <w:rtl/>
        </w:rPr>
        <w:t>سلسلة</w:t>
      </w:r>
      <w:r w:rsidR="00EC7D01">
        <w:rPr>
          <w:rFonts w:hint="cs"/>
          <w:rtl/>
        </w:rPr>
        <w:t xml:space="preserve"> من الاقتراحات </w:t>
      </w:r>
      <w:r w:rsidR="000B73E2">
        <w:rPr>
          <w:rFonts w:hint="cs"/>
          <w:rtl/>
        </w:rPr>
        <w:t xml:space="preserve">لمواصلة التقدم على </w:t>
      </w:r>
      <w:r w:rsidR="00EC7D01">
        <w:rPr>
          <w:rFonts w:hint="cs"/>
          <w:rtl/>
        </w:rPr>
        <w:t>أساس ردود أفعال الدول الأعضاء.</w:t>
      </w:r>
    </w:p>
    <w:p w:rsidR="000B73E2" w:rsidRDefault="000B73E2" w:rsidP="000B73E2">
      <w:pPr>
        <w:pStyle w:val="NormalParaAR"/>
        <w:keepNext/>
        <w:rPr>
          <w:b/>
          <w:bCs/>
          <w:sz w:val="40"/>
          <w:szCs w:val="40"/>
          <w:rtl/>
        </w:rPr>
      </w:pPr>
      <w:proofErr w:type="gramStart"/>
      <w:r w:rsidRPr="000B73E2">
        <w:rPr>
          <w:rFonts w:hint="cs"/>
          <w:b/>
          <w:bCs/>
          <w:sz w:val="40"/>
          <w:szCs w:val="40"/>
          <w:rtl/>
        </w:rPr>
        <w:t>التطورات</w:t>
      </w:r>
      <w:proofErr w:type="gramEnd"/>
      <w:r w:rsidRPr="000B73E2">
        <w:rPr>
          <w:rFonts w:hint="cs"/>
          <w:b/>
          <w:bCs/>
          <w:sz w:val="40"/>
          <w:szCs w:val="40"/>
          <w:rtl/>
        </w:rPr>
        <w:t xml:space="preserve"> الحديثة</w:t>
      </w:r>
    </w:p>
    <w:p w:rsidR="000B73E2" w:rsidRDefault="000B73E2" w:rsidP="000B73E2">
      <w:pPr>
        <w:pStyle w:val="NormalParaAR"/>
        <w:keepNext/>
        <w:rPr>
          <w:sz w:val="40"/>
          <w:szCs w:val="40"/>
          <w:u w:val="single"/>
          <w:rtl/>
        </w:rPr>
      </w:pPr>
      <w:r w:rsidRPr="000B73E2">
        <w:rPr>
          <w:rFonts w:hint="cs"/>
          <w:sz w:val="40"/>
          <w:szCs w:val="40"/>
          <w:u w:val="single"/>
          <w:rtl/>
        </w:rPr>
        <w:t>الحساب المصرفي للويبو</w:t>
      </w:r>
    </w:p>
    <w:p w:rsidR="000B73E2" w:rsidRPr="00EE1147" w:rsidRDefault="000B73E2" w:rsidP="00E72BB2">
      <w:pPr>
        <w:pStyle w:val="NormalParaAR"/>
        <w:numPr>
          <w:ilvl w:val="0"/>
          <w:numId w:val="39"/>
        </w:numPr>
        <w:ind w:left="0" w:firstLine="0"/>
      </w:pPr>
      <w:r w:rsidRPr="00EE1147">
        <w:rPr>
          <w:rFonts w:hint="cs"/>
          <w:rtl/>
        </w:rPr>
        <w:t xml:space="preserve">في رسالة مؤرخة في 9 </w:t>
      </w:r>
      <w:r w:rsidR="00961955" w:rsidRPr="00EE1147">
        <w:rPr>
          <w:rFonts w:hint="cs"/>
          <w:rtl/>
        </w:rPr>
        <w:t>أبريل</w:t>
      </w:r>
      <w:r w:rsidR="00961955" w:rsidRPr="00EE1147">
        <w:rPr>
          <w:rtl/>
        </w:rPr>
        <w:t> </w:t>
      </w:r>
      <w:r w:rsidRPr="00EE1147">
        <w:rPr>
          <w:rFonts w:hint="cs"/>
          <w:rtl/>
        </w:rPr>
        <w:t>2014، أخطر المصرف الوطني السويسري المدير ال</w:t>
      </w:r>
      <w:r w:rsidR="00961955" w:rsidRPr="00EE1147">
        <w:rPr>
          <w:rFonts w:hint="cs"/>
          <w:rtl/>
        </w:rPr>
        <w:t>عام</w:t>
      </w:r>
      <w:r w:rsidR="00961955" w:rsidRPr="00EE1147">
        <w:rPr>
          <w:rtl/>
        </w:rPr>
        <w:t> </w:t>
      </w:r>
      <w:r w:rsidRPr="00EE1147">
        <w:rPr>
          <w:rFonts w:hint="cs"/>
          <w:rtl/>
        </w:rPr>
        <w:t xml:space="preserve">للويبو بأنه </w:t>
      </w:r>
      <w:r w:rsidR="001A42DC" w:rsidRPr="00EE1147">
        <w:rPr>
          <w:rFonts w:hint="cs"/>
          <w:rtl/>
        </w:rPr>
        <w:t>عملاً بالقواعد الجديدة التي أدخلتها</w:t>
      </w:r>
      <w:r w:rsidRPr="00EE1147">
        <w:rPr>
          <w:rFonts w:hint="cs"/>
          <w:rtl/>
        </w:rPr>
        <w:t xml:space="preserve"> الإدارة</w:t>
      </w:r>
      <w:r w:rsidR="001A42DC" w:rsidRPr="00EE1147">
        <w:rPr>
          <w:rFonts w:hint="cs"/>
          <w:rtl/>
        </w:rPr>
        <w:t xml:space="preserve"> الاتحادية للشؤون المالية السويسرية بشأن فتح حسابات الإيداع </w:t>
      </w:r>
      <w:r w:rsidR="00CF76A3" w:rsidRPr="00EE1147">
        <w:rPr>
          <w:rFonts w:hint="cs"/>
          <w:rtl/>
        </w:rPr>
        <w:t>وإبقائها مفتوحة</w:t>
      </w:r>
      <w:r w:rsidR="001A42DC" w:rsidRPr="00EE1147">
        <w:rPr>
          <w:rFonts w:hint="cs"/>
          <w:rtl/>
        </w:rPr>
        <w:t xml:space="preserve">، لم يعد بإمكان الويبو امتلاك حسابات إيداع لدى المصرف الوطني السويسري. وتلقى الاتحاد </w:t>
      </w:r>
      <w:r w:rsidR="001A42DC" w:rsidRPr="00EE1147">
        <w:rPr>
          <w:rFonts w:hint="cs"/>
          <w:sz w:val="32"/>
          <w:szCs w:val="32"/>
          <w:rtl/>
        </w:rPr>
        <w:t>الدولي</w:t>
      </w:r>
      <w:r w:rsidR="001A42DC" w:rsidRPr="00EE1147">
        <w:rPr>
          <w:rFonts w:hint="cs"/>
          <w:rtl/>
        </w:rPr>
        <w:t xml:space="preserve"> للاتصالات والاتحاد البريدي العالمي إخطارات مماثلة</w:t>
      </w:r>
      <w:r w:rsidR="00CF76A3" w:rsidRPr="00EE1147">
        <w:rPr>
          <w:rFonts w:hint="cs"/>
          <w:rtl/>
        </w:rPr>
        <w:t xml:space="preserve">. وتيسيراً للحاجة إلى تحديد مؤسسات بديلة يمكن للويبو أن توظف فيها استثماراتها، أتاح المصرف الوطني السويسري للويبو مهلة انتقالية تنقضي في نهاية </w:t>
      </w:r>
      <w:r w:rsidR="00961955" w:rsidRPr="00EE1147">
        <w:rPr>
          <w:rFonts w:hint="cs"/>
          <w:rtl/>
        </w:rPr>
        <w:t>عام</w:t>
      </w:r>
      <w:r w:rsidR="00961955" w:rsidRPr="00EE1147">
        <w:rPr>
          <w:rtl/>
        </w:rPr>
        <w:t> </w:t>
      </w:r>
      <w:r w:rsidR="00CF76A3" w:rsidRPr="00EE1147">
        <w:rPr>
          <w:rFonts w:hint="cs"/>
          <w:rtl/>
        </w:rPr>
        <w:t>2015. ومن</w:t>
      </w:r>
      <w:r w:rsidR="00E72BB2" w:rsidRPr="00EE1147">
        <w:rPr>
          <w:rFonts w:hint="eastAsia"/>
          <w:rtl/>
        </w:rPr>
        <w:t> </w:t>
      </w:r>
      <w:r w:rsidR="00CF76A3" w:rsidRPr="00EE1147">
        <w:rPr>
          <w:rFonts w:hint="cs"/>
          <w:rtl/>
        </w:rPr>
        <w:t xml:space="preserve">ثم، يُشترط على الويبو إبلاغ تعليماتها إلى المصرف الوطني السويسري بشأن تحويل ودائعها وما يتبع ذلك من إغلاق حساباتها في أجل أقصاه </w:t>
      </w:r>
      <w:r w:rsidR="006A6EE1" w:rsidRPr="00EE1147">
        <w:rPr>
          <w:rFonts w:hint="cs"/>
          <w:rtl/>
        </w:rPr>
        <w:t xml:space="preserve">الأول من </w:t>
      </w:r>
      <w:r w:rsidR="00961955" w:rsidRPr="00EE1147">
        <w:rPr>
          <w:rFonts w:hint="cs"/>
          <w:rtl/>
        </w:rPr>
        <w:t>ديسمبر</w:t>
      </w:r>
      <w:r w:rsidR="00961955" w:rsidRPr="00EE1147">
        <w:rPr>
          <w:rtl/>
        </w:rPr>
        <w:t> </w:t>
      </w:r>
      <w:r w:rsidR="00CF76A3" w:rsidRPr="00EE1147">
        <w:rPr>
          <w:rFonts w:hint="cs"/>
          <w:rtl/>
        </w:rPr>
        <w:t>2015.</w:t>
      </w:r>
    </w:p>
    <w:p w:rsidR="00CF76A3" w:rsidRPr="00EE1147" w:rsidRDefault="006A6EE1" w:rsidP="00D00B97">
      <w:pPr>
        <w:pStyle w:val="NormalParaAR"/>
        <w:numPr>
          <w:ilvl w:val="0"/>
          <w:numId w:val="39"/>
        </w:numPr>
        <w:ind w:left="0" w:firstLine="0"/>
      </w:pPr>
      <w:r w:rsidRPr="00EE1147">
        <w:rPr>
          <w:rFonts w:hint="cs"/>
          <w:rtl/>
        </w:rPr>
        <w:t>ويتشاور المدير ال</w:t>
      </w:r>
      <w:r w:rsidR="00961955" w:rsidRPr="00EE1147">
        <w:rPr>
          <w:rFonts w:hint="cs"/>
          <w:rtl/>
        </w:rPr>
        <w:t>عام</w:t>
      </w:r>
      <w:r w:rsidR="00961955" w:rsidRPr="00EE1147">
        <w:rPr>
          <w:rtl/>
        </w:rPr>
        <w:t> </w:t>
      </w:r>
      <w:r w:rsidRPr="00EE1147">
        <w:rPr>
          <w:rFonts w:hint="cs"/>
          <w:rtl/>
        </w:rPr>
        <w:t>مع الس</w:t>
      </w:r>
      <w:r w:rsidR="00D00B97" w:rsidRPr="00EE1147">
        <w:rPr>
          <w:rFonts w:hint="cs"/>
          <w:rtl/>
        </w:rPr>
        <w:t xml:space="preserve">لطات السويسرية في هذا الشأن. ولهذا التغيير </w:t>
      </w:r>
      <w:r w:rsidR="00264BBC" w:rsidRPr="00EE1147">
        <w:rPr>
          <w:rFonts w:hint="cs"/>
          <w:rtl/>
        </w:rPr>
        <w:t xml:space="preserve">آثار </w:t>
      </w:r>
      <w:r w:rsidR="00D00B97" w:rsidRPr="00EE1147">
        <w:rPr>
          <w:rFonts w:hint="cs"/>
          <w:rtl/>
        </w:rPr>
        <w:t>ملحوظة على</w:t>
      </w:r>
      <w:r w:rsidR="00264BBC" w:rsidRPr="00EE1147">
        <w:rPr>
          <w:rFonts w:hint="cs"/>
          <w:rtl/>
        </w:rPr>
        <w:t xml:space="preserve"> </w:t>
      </w:r>
      <w:r w:rsidR="00264BBC" w:rsidRPr="00EE1147">
        <w:rPr>
          <w:rFonts w:hint="cs"/>
          <w:sz w:val="32"/>
          <w:szCs w:val="32"/>
          <w:rtl/>
        </w:rPr>
        <w:t>المنظمة</w:t>
      </w:r>
      <w:r w:rsidR="00264BBC" w:rsidRPr="00EE1147">
        <w:rPr>
          <w:rFonts w:hint="cs"/>
          <w:rtl/>
        </w:rPr>
        <w:t xml:space="preserve"> يرد بيانها </w:t>
      </w:r>
      <w:proofErr w:type="gramStart"/>
      <w:r w:rsidR="00264BBC" w:rsidRPr="00EE1147">
        <w:rPr>
          <w:rFonts w:hint="cs"/>
          <w:rtl/>
        </w:rPr>
        <w:t>أدناه</w:t>
      </w:r>
      <w:proofErr w:type="gramEnd"/>
      <w:r w:rsidRPr="00EE1147">
        <w:rPr>
          <w:rFonts w:hint="cs"/>
          <w:rtl/>
        </w:rPr>
        <w:t>.</w:t>
      </w:r>
    </w:p>
    <w:p w:rsidR="00264BBC" w:rsidRPr="00264BBC" w:rsidRDefault="001A69DF" w:rsidP="00961955">
      <w:pPr>
        <w:pStyle w:val="NormalParaAR"/>
        <w:keepNext/>
        <w:rPr>
          <w:b/>
          <w:bCs/>
          <w:sz w:val="40"/>
          <w:szCs w:val="40"/>
          <w:rtl/>
        </w:rPr>
      </w:pPr>
      <w:r>
        <w:rPr>
          <w:rFonts w:hint="cs"/>
          <w:b/>
          <w:bCs/>
          <w:sz w:val="40"/>
          <w:szCs w:val="40"/>
          <w:rtl/>
        </w:rPr>
        <w:t xml:space="preserve">سياسة </w:t>
      </w:r>
      <w:r w:rsidR="00961955">
        <w:rPr>
          <w:rFonts w:hint="cs"/>
          <w:b/>
          <w:bCs/>
          <w:sz w:val="40"/>
          <w:szCs w:val="40"/>
          <w:rtl/>
        </w:rPr>
        <w:t>الويبو للاستثمار</w:t>
      </w:r>
    </w:p>
    <w:p w:rsidR="00191273" w:rsidRDefault="009E3A3B" w:rsidP="00264BBC">
      <w:pPr>
        <w:pStyle w:val="NormalParaAR"/>
        <w:rPr>
          <w:u w:val="single"/>
          <w:rtl/>
        </w:rPr>
      </w:pPr>
      <w:proofErr w:type="gramStart"/>
      <w:r>
        <w:rPr>
          <w:rFonts w:hint="cs"/>
          <w:u w:val="single"/>
          <w:rtl/>
        </w:rPr>
        <w:t>التصنيف</w:t>
      </w:r>
      <w:proofErr w:type="gramEnd"/>
      <w:r>
        <w:rPr>
          <w:rFonts w:hint="cs"/>
          <w:u w:val="single"/>
          <w:rtl/>
        </w:rPr>
        <w:t xml:space="preserve"> الائتماني</w:t>
      </w:r>
    </w:p>
    <w:p w:rsidR="00264BBC" w:rsidRPr="00131BCC" w:rsidRDefault="00264BBC" w:rsidP="008D786A">
      <w:pPr>
        <w:pStyle w:val="NormalParaAR"/>
        <w:numPr>
          <w:ilvl w:val="0"/>
          <w:numId w:val="39"/>
        </w:numPr>
        <w:ind w:left="0" w:firstLine="0"/>
        <w:rPr>
          <w:u w:val="single"/>
        </w:rPr>
      </w:pPr>
      <w:proofErr w:type="gramStart"/>
      <w:r>
        <w:rPr>
          <w:rFonts w:hint="cs"/>
          <w:rtl/>
        </w:rPr>
        <w:t>كما</w:t>
      </w:r>
      <w:proofErr w:type="gramEnd"/>
      <w:r>
        <w:rPr>
          <w:rFonts w:hint="cs"/>
          <w:rtl/>
        </w:rPr>
        <w:t xml:space="preserve"> </w:t>
      </w:r>
      <w:r w:rsidR="008D786A">
        <w:rPr>
          <w:rFonts w:hint="cs"/>
          <w:rtl/>
        </w:rPr>
        <w:t>ذُكر</w:t>
      </w:r>
      <w:r>
        <w:rPr>
          <w:rFonts w:hint="cs"/>
          <w:rtl/>
        </w:rPr>
        <w:t xml:space="preserve"> </w:t>
      </w:r>
      <w:r w:rsidR="008D786A">
        <w:rPr>
          <w:rFonts w:hint="cs"/>
          <w:rtl/>
        </w:rPr>
        <w:t xml:space="preserve">تفصيلاً </w:t>
      </w:r>
      <w:r>
        <w:rPr>
          <w:rFonts w:hint="cs"/>
          <w:rtl/>
        </w:rPr>
        <w:t>في الفقرة 2، تقضي هذه السياسة ب</w:t>
      </w:r>
      <w:r w:rsidR="00FE3241">
        <w:rPr>
          <w:rFonts w:hint="cs"/>
          <w:rtl/>
        </w:rPr>
        <w:t xml:space="preserve">أن توظَّف </w:t>
      </w:r>
      <w:r>
        <w:rPr>
          <w:rFonts w:hint="cs"/>
          <w:rtl/>
        </w:rPr>
        <w:t xml:space="preserve">جميع الاستثمارات بالفرنك السويسري "لدى المصرف الوطني السويسري شريطة أن يعرض نسبة أعلى مما تعرضه المصارف التجارية التي تتمتع </w:t>
      </w:r>
      <w:r w:rsidR="00FE3241">
        <w:rPr>
          <w:rFonts w:hint="cs"/>
          <w:rtl/>
        </w:rPr>
        <w:t>ب</w:t>
      </w:r>
      <w:r w:rsidR="009E3A3B">
        <w:rPr>
          <w:rFonts w:hint="cs"/>
          <w:rtl/>
        </w:rPr>
        <w:t>التصنيف الائتماني</w:t>
      </w:r>
      <w:r w:rsidR="00FE3241">
        <w:rPr>
          <w:rFonts w:hint="cs"/>
          <w:rtl/>
        </w:rPr>
        <w:t xml:space="preserve"> المطلوب</w:t>
      </w:r>
      <w:r>
        <w:rPr>
          <w:rFonts w:hint="cs"/>
          <w:rtl/>
        </w:rPr>
        <w:t>".</w:t>
      </w:r>
      <w:r w:rsidR="00FE3241">
        <w:rPr>
          <w:rFonts w:hint="cs"/>
          <w:rtl/>
        </w:rPr>
        <w:t xml:space="preserve"> </w:t>
      </w:r>
      <w:proofErr w:type="gramStart"/>
      <w:r w:rsidR="00FE3241">
        <w:rPr>
          <w:rFonts w:hint="cs"/>
          <w:rtl/>
        </w:rPr>
        <w:t>وإضافة</w:t>
      </w:r>
      <w:proofErr w:type="gramEnd"/>
      <w:r w:rsidR="00FE3241">
        <w:rPr>
          <w:rFonts w:hint="cs"/>
          <w:rtl/>
        </w:rPr>
        <w:t xml:space="preserve"> إلى ذلك، تنص السياسة على أن الاستثمارات عدا تلك التي و</w:t>
      </w:r>
      <w:r w:rsidR="000D345D">
        <w:rPr>
          <w:rFonts w:hint="cs"/>
          <w:rtl/>
        </w:rPr>
        <w:t>ُ</w:t>
      </w:r>
      <w:r w:rsidR="00FE3241">
        <w:rPr>
          <w:rFonts w:hint="cs"/>
          <w:rtl/>
        </w:rPr>
        <w:t xml:space="preserve">ظفت في المصرف الوطني السويسري "ستقتصر [...] </w:t>
      </w:r>
      <w:proofErr w:type="gramStart"/>
      <w:r w:rsidR="00FE3241">
        <w:rPr>
          <w:rFonts w:hint="cs"/>
          <w:rtl/>
        </w:rPr>
        <w:t>على</w:t>
      </w:r>
      <w:proofErr w:type="gramEnd"/>
      <w:r w:rsidR="00FE3241">
        <w:rPr>
          <w:rFonts w:hint="cs"/>
          <w:rtl/>
        </w:rPr>
        <w:t xml:space="preserve"> صناديق السوق النقدية وودائع لأجل لدى مصارف تتمتع </w:t>
      </w:r>
      <w:r w:rsidR="00131BCC">
        <w:rPr>
          <w:rFonts w:hint="cs"/>
          <w:rtl/>
        </w:rPr>
        <w:t>ب</w:t>
      </w:r>
      <w:r w:rsidR="009E3A3B">
        <w:rPr>
          <w:rFonts w:hint="cs"/>
          <w:rtl/>
        </w:rPr>
        <w:t>التصنيف الائتماني</w:t>
      </w:r>
      <w:r w:rsidR="00FE3241">
        <w:rPr>
          <w:rFonts w:hint="cs"/>
          <w:rtl/>
        </w:rPr>
        <w:t xml:space="preserve"> </w:t>
      </w:r>
      <w:r w:rsidR="00FE3241">
        <w:t>AA-/Aa3</w:t>
      </w:r>
      <w:r w:rsidR="00FE3241">
        <w:rPr>
          <w:rFonts w:hint="cs"/>
          <w:rtl/>
        </w:rPr>
        <w:t xml:space="preserve"> أو أعلى</w:t>
      </w:r>
      <w:r w:rsidR="00131BCC" w:rsidRPr="00703FA5">
        <w:rPr>
          <w:rFonts w:eastAsia="SimSun"/>
          <w:lang w:eastAsia="zh-CN"/>
        </w:rPr>
        <w:t>…</w:t>
      </w:r>
      <w:r w:rsidR="00FE3241">
        <w:rPr>
          <w:rFonts w:hint="cs"/>
          <w:rtl/>
        </w:rPr>
        <w:t>"</w:t>
      </w:r>
      <w:r w:rsidR="00131BCC">
        <w:rPr>
          <w:rFonts w:hint="cs"/>
          <w:rtl/>
        </w:rPr>
        <w:t>.</w:t>
      </w:r>
    </w:p>
    <w:p w:rsidR="00131BCC" w:rsidRPr="00131BCC" w:rsidRDefault="00131BCC" w:rsidP="000D345D">
      <w:pPr>
        <w:pStyle w:val="NormalParaAR"/>
        <w:numPr>
          <w:ilvl w:val="0"/>
          <w:numId w:val="39"/>
        </w:numPr>
        <w:ind w:left="0" w:firstLine="0"/>
        <w:rPr>
          <w:u w:val="single"/>
        </w:rPr>
      </w:pPr>
      <w:proofErr w:type="gramStart"/>
      <w:r>
        <w:rPr>
          <w:rFonts w:hint="cs"/>
          <w:rtl/>
        </w:rPr>
        <w:t>ويبين</w:t>
      </w:r>
      <w:proofErr w:type="gramEnd"/>
      <w:r>
        <w:rPr>
          <w:rFonts w:hint="cs"/>
          <w:rtl/>
        </w:rPr>
        <w:t xml:space="preserve"> </w:t>
      </w:r>
      <w:r w:rsidR="00961955">
        <w:rPr>
          <w:rFonts w:hint="cs"/>
          <w:rtl/>
        </w:rPr>
        <w:t>الجدول</w:t>
      </w:r>
      <w:r w:rsidR="00961955">
        <w:rPr>
          <w:rtl/>
        </w:rPr>
        <w:t> </w:t>
      </w:r>
      <w:r>
        <w:rPr>
          <w:rFonts w:hint="cs"/>
          <w:rtl/>
        </w:rPr>
        <w:t xml:space="preserve">1 </w:t>
      </w:r>
      <w:r w:rsidR="000D345D">
        <w:rPr>
          <w:rFonts w:hint="cs"/>
          <w:rtl/>
        </w:rPr>
        <w:t>أدناه معدلات الفائدة التي يعرضها</w:t>
      </w:r>
      <w:r>
        <w:rPr>
          <w:rFonts w:hint="cs"/>
          <w:rtl/>
        </w:rPr>
        <w:t xml:space="preserve"> المصرف الوطني السويسري منذ </w:t>
      </w:r>
      <w:r w:rsidR="00961955">
        <w:rPr>
          <w:rFonts w:hint="cs"/>
          <w:rtl/>
        </w:rPr>
        <w:t>يناير</w:t>
      </w:r>
      <w:r w:rsidR="00961955">
        <w:rPr>
          <w:rtl/>
        </w:rPr>
        <w:t> </w:t>
      </w:r>
      <w:r>
        <w:rPr>
          <w:rFonts w:hint="cs"/>
          <w:rtl/>
        </w:rPr>
        <w:t xml:space="preserve">2009 ويقارنها بمعدلات الفائدة على الودائع لمدة ستة أشهر التي يمكن </w:t>
      </w:r>
      <w:r w:rsidR="000D345D">
        <w:rPr>
          <w:rFonts w:hint="cs"/>
          <w:rtl/>
        </w:rPr>
        <w:t>تحقيقها</w:t>
      </w:r>
      <w:r>
        <w:rPr>
          <w:rFonts w:hint="cs"/>
          <w:rtl/>
        </w:rPr>
        <w:t xml:space="preserve"> في مصرف </w:t>
      </w:r>
      <w:proofErr w:type="spellStart"/>
      <w:r>
        <w:t>Crédit</w:t>
      </w:r>
      <w:proofErr w:type="spellEnd"/>
      <w:r>
        <w:t> Suisse</w:t>
      </w:r>
      <w:r>
        <w:rPr>
          <w:rFonts w:hint="cs"/>
          <w:rtl/>
        </w:rPr>
        <w:t xml:space="preserve"> (تصنيفه</w:t>
      </w:r>
      <w:r>
        <w:rPr>
          <w:rFonts w:hint="eastAsia"/>
          <w:rtl/>
        </w:rPr>
        <w:t> </w:t>
      </w:r>
      <w:r>
        <w:rPr>
          <w:rFonts w:hint="cs"/>
          <w:rtl/>
        </w:rPr>
        <w:t>الائتماني الطويل الأجل هو</w:t>
      </w:r>
      <w:r w:rsidR="000D345D">
        <w:rPr>
          <w:rFonts w:hint="eastAsia"/>
          <w:rtl/>
        </w:rPr>
        <w:t> </w:t>
      </w:r>
      <w:r>
        <w:t>A/A1</w:t>
      </w:r>
      <w:r>
        <w:rPr>
          <w:rFonts w:hint="cs"/>
          <w:rtl/>
        </w:rPr>
        <w:t>). ويمكن م</w:t>
      </w:r>
      <w:r w:rsidR="00B855EF">
        <w:rPr>
          <w:rFonts w:hint="cs"/>
          <w:rtl/>
        </w:rPr>
        <w:t xml:space="preserve">قارنة المعدلات التي يقدمها </w:t>
      </w:r>
      <w:proofErr w:type="gramStart"/>
      <w:r w:rsidR="00B855EF">
        <w:rPr>
          <w:rFonts w:hint="cs"/>
          <w:rtl/>
        </w:rPr>
        <w:t>مصرف</w:t>
      </w:r>
      <w:proofErr w:type="gramEnd"/>
      <w:r w:rsidR="00B855EF">
        <w:rPr>
          <w:rFonts w:hint="cs"/>
          <w:rtl/>
        </w:rPr>
        <w:t xml:space="preserve"> </w:t>
      </w:r>
      <w:proofErr w:type="spellStart"/>
      <w:r w:rsidR="00B855EF">
        <w:t>Crédit</w:t>
      </w:r>
      <w:proofErr w:type="spellEnd"/>
      <w:r w:rsidR="00B855EF">
        <w:t> Suisse</w:t>
      </w:r>
      <w:r w:rsidR="0069472A">
        <w:rPr>
          <w:rFonts w:hint="cs"/>
          <w:rtl/>
        </w:rPr>
        <w:t xml:space="preserve"> (</w:t>
      </w:r>
      <w:r w:rsidR="0069472A">
        <w:t>CS</w:t>
      </w:r>
      <w:r w:rsidR="0069472A">
        <w:rPr>
          <w:rFonts w:hint="cs"/>
          <w:rtl/>
        </w:rPr>
        <w:t>)</w:t>
      </w:r>
      <w:r>
        <w:rPr>
          <w:rFonts w:hint="cs"/>
          <w:rtl/>
        </w:rPr>
        <w:t xml:space="preserve"> بالمعدلات التي تقدمها مصارف أخرى خلال الفترة ذاتها.</w:t>
      </w:r>
    </w:p>
    <w:p w:rsidR="00131BCC" w:rsidRPr="00264BBC" w:rsidRDefault="00961955" w:rsidP="00131BCC">
      <w:pPr>
        <w:pStyle w:val="NormalParaAR"/>
        <w:keepNext/>
        <w:jc w:val="center"/>
        <w:rPr>
          <w:u w:val="single"/>
          <w:rtl/>
        </w:rPr>
      </w:pPr>
      <w:r>
        <w:rPr>
          <w:rFonts w:hint="cs"/>
          <w:rtl/>
        </w:rPr>
        <w:lastRenderedPageBreak/>
        <w:t>الجدول</w:t>
      </w:r>
      <w:r>
        <w:rPr>
          <w:rtl/>
        </w:rPr>
        <w:t> </w:t>
      </w:r>
      <w:r w:rsidR="00131BCC">
        <w:rPr>
          <w:rFonts w:hint="cs"/>
          <w:rtl/>
        </w:rPr>
        <w:t>1</w:t>
      </w:r>
    </w:p>
    <w:p w:rsidR="00441C81" w:rsidRPr="000D345D" w:rsidRDefault="000D345D" w:rsidP="00933E09">
      <w:pPr>
        <w:tabs>
          <w:tab w:val="left" w:pos="2410"/>
        </w:tabs>
        <w:bidi/>
        <w:spacing w:after="240"/>
        <w:jc w:val="center"/>
        <w:rPr>
          <w:rFonts w:eastAsia="SimSun"/>
          <w:sz w:val="16"/>
          <w:lang w:eastAsia="zh-CN"/>
        </w:rPr>
      </w:pPr>
      <w:r w:rsidRPr="000D345D">
        <w:rPr>
          <w:rFonts w:eastAsia="SimSun"/>
          <w:noProof/>
          <w:szCs w:val="22"/>
          <w:rtl/>
        </w:rPr>
        <w:drawing>
          <wp:inline distT="0" distB="0" distL="0" distR="0" wp14:anchorId="17C99466" wp14:editId="2B4EC481">
            <wp:extent cx="5940425" cy="486355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863559"/>
                    </a:xfrm>
                    <a:prstGeom prst="rect">
                      <a:avLst/>
                    </a:prstGeom>
                    <a:noFill/>
                    <a:ln>
                      <a:noFill/>
                    </a:ln>
                  </pic:spPr>
                </pic:pic>
              </a:graphicData>
            </a:graphic>
          </wp:inline>
        </w:drawing>
      </w:r>
    </w:p>
    <w:p w:rsidR="00CF2D9A" w:rsidRDefault="00CF2D9A" w:rsidP="00933E09">
      <w:pPr>
        <w:pStyle w:val="NormalParaAR"/>
        <w:numPr>
          <w:ilvl w:val="0"/>
          <w:numId w:val="39"/>
        </w:numPr>
        <w:ind w:left="0" w:firstLine="0"/>
      </w:pPr>
      <w:r>
        <w:rPr>
          <w:rFonts w:hint="cs"/>
          <w:rtl/>
        </w:rPr>
        <w:t xml:space="preserve">وكما يتبين من </w:t>
      </w:r>
      <w:r w:rsidR="00961955">
        <w:rPr>
          <w:rFonts w:hint="cs"/>
          <w:rtl/>
        </w:rPr>
        <w:t>الجدول، فإن المعدلات التي عرضها</w:t>
      </w:r>
      <w:r>
        <w:rPr>
          <w:rFonts w:hint="cs"/>
          <w:rtl/>
        </w:rPr>
        <w:t xml:space="preserve"> المصرف الوطني السويسري كانت بانتظام أعلى من المعدلات المعروضة في المصارف الأخرى. وإضافة إلى ذلك، لم تعجز المصارف التجارية عن معادلة العائدات التي يوفرها المصرف الوطني السويسري فحسب بل الواقع أن تلك المصارف التي تربطها علاقة بالويبو لا تتمتع ب</w:t>
      </w:r>
      <w:r w:rsidR="009E3A3B">
        <w:rPr>
          <w:rFonts w:hint="cs"/>
          <w:rtl/>
        </w:rPr>
        <w:t>التصنيف الائتماني</w:t>
      </w:r>
      <w:r>
        <w:rPr>
          <w:rFonts w:hint="cs"/>
          <w:rtl/>
        </w:rPr>
        <w:t xml:space="preserve"> المنصوص عليه في سياسة </w:t>
      </w:r>
      <w:r w:rsidR="00961955">
        <w:rPr>
          <w:rFonts w:hint="cs"/>
          <w:rtl/>
        </w:rPr>
        <w:t>الويبو للاستثمار</w:t>
      </w:r>
      <w:r>
        <w:rPr>
          <w:rFonts w:hint="cs"/>
          <w:rtl/>
        </w:rPr>
        <w:t xml:space="preserve"> (</w:t>
      </w:r>
      <w:r w:rsidR="00961955">
        <w:rPr>
          <w:rFonts w:hint="cs"/>
          <w:rtl/>
        </w:rPr>
        <w:t>الجدول</w:t>
      </w:r>
      <w:r w:rsidR="00961955">
        <w:rPr>
          <w:rtl/>
        </w:rPr>
        <w:t> </w:t>
      </w:r>
      <w:r>
        <w:rPr>
          <w:rFonts w:hint="cs"/>
          <w:rtl/>
        </w:rPr>
        <w:t>2).</w:t>
      </w:r>
    </w:p>
    <w:p w:rsidR="00CF2D9A" w:rsidRPr="00CF2D9A" w:rsidRDefault="00961955" w:rsidP="00CF2D9A">
      <w:pPr>
        <w:pStyle w:val="NormalParaAR"/>
        <w:keepNext/>
        <w:jc w:val="center"/>
      </w:pPr>
      <w:r>
        <w:rPr>
          <w:rFonts w:hint="cs"/>
          <w:rtl/>
        </w:rPr>
        <w:lastRenderedPageBreak/>
        <w:t>الجدول</w:t>
      </w:r>
      <w:r>
        <w:rPr>
          <w:rtl/>
        </w:rPr>
        <w:t> </w:t>
      </w:r>
      <w:r w:rsidR="00CF2D9A">
        <w:rPr>
          <w:rFonts w:hint="cs"/>
          <w:rtl/>
        </w:rPr>
        <w:t>2</w:t>
      </w:r>
    </w:p>
    <w:p w:rsidR="00703FA5" w:rsidRPr="00703FA5" w:rsidRDefault="00933E09" w:rsidP="00933E09">
      <w:pPr>
        <w:bidi/>
        <w:spacing w:after="240"/>
        <w:jc w:val="center"/>
        <w:rPr>
          <w:rFonts w:eastAsia="SimSun"/>
          <w:lang w:eastAsia="zh-CN"/>
        </w:rPr>
      </w:pPr>
      <w:r w:rsidRPr="00933E09">
        <w:rPr>
          <w:rFonts w:eastAsia="SimSun"/>
          <w:noProof/>
          <w:szCs w:val="22"/>
          <w:rtl/>
        </w:rPr>
        <w:drawing>
          <wp:inline distT="0" distB="0" distL="0" distR="0" wp14:anchorId="07D54C3A" wp14:editId="1CDA0BDD">
            <wp:extent cx="3403600" cy="4419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0" cy="4419600"/>
                    </a:xfrm>
                    <a:prstGeom prst="rect">
                      <a:avLst/>
                    </a:prstGeom>
                    <a:noFill/>
                    <a:ln>
                      <a:noFill/>
                    </a:ln>
                  </pic:spPr>
                </pic:pic>
              </a:graphicData>
            </a:graphic>
          </wp:inline>
        </w:drawing>
      </w:r>
    </w:p>
    <w:p w:rsidR="00703FA5" w:rsidRDefault="00970E29" w:rsidP="00D0107E">
      <w:pPr>
        <w:pStyle w:val="NormalParaAR"/>
        <w:numPr>
          <w:ilvl w:val="0"/>
          <w:numId w:val="39"/>
        </w:numPr>
        <w:ind w:left="0" w:firstLine="0"/>
        <w:rPr>
          <w:rFonts w:eastAsia="SimSun"/>
          <w:lang w:eastAsia="zh-CN"/>
        </w:rPr>
      </w:pPr>
      <w:r>
        <w:rPr>
          <w:rFonts w:eastAsia="SimSun" w:hint="cs"/>
          <w:rtl/>
          <w:lang w:eastAsia="zh-CN"/>
        </w:rPr>
        <w:t>ومن الحلو</w:t>
      </w:r>
      <w:r w:rsidR="00B855EF">
        <w:rPr>
          <w:rFonts w:eastAsia="SimSun" w:hint="cs"/>
          <w:rtl/>
          <w:lang w:eastAsia="zh-CN"/>
        </w:rPr>
        <w:t>ل</w:t>
      </w:r>
      <w:r>
        <w:rPr>
          <w:rFonts w:eastAsia="SimSun" w:hint="cs"/>
          <w:rtl/>
          <w:lang w:eastAsia="zh-CN"/>
        </w:rPr>
        <w:t xml:space="preserve"> الممكنة</w:t>
      </w:r>
      <w:r w:rsidR="00AC56F8">
        <w:rPr>
          <w:rFonts w:eastAsia="SimSun" w:hint="cs"/>
          <w:rtl/>
          <w:lang w:eastAsia="zh-CN"/>
        </w:rPr>
        <w:t>،</w:t>
      </w:r>
      <w:r>
        <w:rPr>
          <w:rFonts w:eastAsia="SimSun" w:hint="cs"/>
          <w:rtl/>
          <w:lang w:eastAsia="zh-CN"/>
        </w:rPr>
        <w:t xml:space="preserve"> إقامة علاقات مع مصارف أخرى تستوفي </w:t>
      </w:r>
      <w:proofErr w:type="gramStart"/>
      <w:r>
        <w:rPr>
          <w:rFonts w:eastAsia="SimSun" w:hint="cs"/>
          <w:rtl/>
          <w:lang w:eastAsia="zh-CN"/>
        </w:rPr>
        <w:t>شرط</w:t>
      </w:r>
      <w:proofErr w:type="gramEnd"/>
      <w:r>
        <w:rPr>
          <w:rFonts w:eastAsia="SimSun" w:hint="cs"/>
          <w:rtl/>
          <w:lang w:eastAsia="zh-CN"/>
        </w:rPr>
        <w:t xml:space="preserve"> </w:t>
      </w:r>
      <w:r w:rsidR="009E3A3B">
        <w:rPr>
          <w:rFonts w:eastAsia="SimSun" w:hint="cs"/>
          <w:rtl/>
          <w:lang w:eastAsia="zh-CN"/>
        </w:rPr>
        <w:t>التصنيف الائتماني</w:t>
      </w:r>
      <w:r>
        <w:rPr>
          <w:rFonts w:eastAsia="SimSun" w:hint="cs"/>
          <w:rtl/>
          <w:lang w:eastAsia="zh-CN"/>
        </w:rPr>
        <w:t xml:space="preserve"> المطلوب. ويُجدر، </w:t>
      </w:r>
      <w:proofErr w:type="gramStart"/>
      <w:r>
        <w:rPr>
          <w:rFonts w:eastAsia="SimSun" w:hint="cs"/>
          <w:rtl/>
          <w:lang w:eastAsia="zh-CN"/>
        </w:rPr>
        <w:t>في</w:t>
      </w:r>
      <w:proofErr w:type="gramEnd"/>
      <w:r>
        <w:rPr>
          <w:rFonts w:eastAsia="SimSun" w:hint="cs"/>
          <w:rtl/>
          <w:lang w:eastAsia="zh-CN"/>
        </w:rPr>
        <w:t xml:space="preserve"> هذا الصدد، النظر إلى تجربة الوكالات والمنظمات الأخرى. ونظراً إلى أن معظم المن</w:t>
      </w:r>
      <w:r w:rsidR="00AC56F8">
        <w:rPr>
          <w:rFonts w:eastAsia="SimSun" w:hint="cs"/>
          <w:rtl/>
          <w:lang w:eastAsia="zh-CN"/>
        </w:rPr>
        <w:t xml:space="preserve">ظمات تعمل بالدولار الأمريكي أو </w:t>
      </w:r>
      <w:r>
        <w:rPr>
          <w:rFonts w:eastAsia="SimSun" w:hint="cs"/>
          <w:rtl/>
          <w:lang w:eastAsia="zh-CN"/>
        </w:rPr>
        <w:t>اليورو، فلا</w:t>
      </w:r>
      <w:r w:rsidR="00AC56F8">
        <w:rPr>
          <w:rFonts w:eastAsia="SimSun" w:hint="eastAsia"/>
          <w:rtl/>
        </w:rPr>
        <w:t> </w:t>
      </w:r>
      <w:r>
        <w:rPr>
          <w:rFonts w:eastAsia="SimSun" w:hint="cs"/>
          <w:rtl/>
          <w:lang w:eastAsia="zh-CN"/>
        </w:rPr>
        <w:t>تمتلك إلا وكالات قليلة تابعة للأمم المتحدة فائض</w:t>
      </w:r>
      <w:r w:rsidR="00AC56F8">
        <w:rPr>
          <w:rFonts w:eastAsia="SimSun" w:hint="cs"/>
          <w:rtl/>
          <w:lang w:eastAsia="zh-CN"/>
        </w:rPr>
        <w:t>اً</w:t>
      </w:r>
      <w:r>
        <w:rPr>
          <w:rFonts w:eastAsia="SimSun" w:hint="cs"/>
          <w:rtl/>
          <w:lang w:eastAsia="zh-CN"/>
        </w:rPr>
        <w:t xml:space="preserve"> بالفرنك السويسري تستثمره. بيد أن</w:t>
      </w:r>
      <w:r w:rsidR="006C23A1">
        <w:rPr>
          <w:rFonts w:eastAsia="SimSun" w:hint="cs"/>
          <w:rtl/>
          <w:lang w:eastAsia="zh-CN"/>
        </w:rPr>
        <w:t xml:space="preserve"> البحث في وكالتين تعمل</w:t>
      </w:r>
      <w:r w:rsidR="00C62C01">
        <w:rPr>
          <w:rFonts w:eastAsia="SimSun" w:hint="cs"/>
          <w:rtl/>
          <w:lang w:eastAsia="zh-CN"/>
        </w:rPr>
        <w:t>ا</w:t>
      </w:r>
      <w:r w:rsidR="006C23A1">
        <w:rPr>
          <w:rFonts w:eastAsia="SimSun" w:hint="cs"/>
          <w:rtl/>
          <w:lang w:eastAsia="zh-CN"/>
        </w:rPr>
        <w:t>ن بالفرنك السويسري وتستثمرانه</w:t>
      </w:r>
      <w:r w:rsidR="00C62C01">
        <w:rPr>
          <w:rFonts w:eastAsia="SimSun" w:hint="cs"/>
          <w:rtl/>
          <w:lang w:eastAsia="zh-CN"/>
        </w:rPr>
        <w:t>،</w:t>
      </w:r>
      <w:r w:rsidR="006C23A1">
        <w:rPr>
          <w:rFonts w:eastAsia="SimSun" w:hint="cs"/>
          <w:rtl/>
          <w:lang w:eastAsia="zh-CN"/>
        </w:rPr>
        <w:t xml:space="preserve"> وهما المنظمة العالمية للأرصاد الجوية ومنظمة العمل الدولية، قد أظهر وجود عدد ضئيل للغاية من المؤسسات المالية المستعدة حالياً لقبول إيداعات بالفرنك السويسري و</w:t>
      </w:r>
      <w:r w:rsidR="00C62C01">
        <w:rPr>
          <w:rFonts w:eastAsia="SimSun" w:hint="cs"/>
          <w:rtl/>
          <w:lang w:eastAsia="zh-CN"/>
        </w:rPr>
        <w:t>منح فوائد عليها</w:t>
      </w:r>
      <w:r w:rsidR="00F57A6A">
        <w:rPr>
          <w:rFonts w:eastAsia="SimSun" w:hint="cs"/>
          <w:rtl/>
          <w:lang w:eastAsia="zh-CN"/>
        </w:rPr>
        <w:t xml:space="preserve"> و</w:t>
      </w:r>
      <w:r w:rsidR="00C62C01">
        <w:rPr>
          <w:rFonts w:eastAsia="SimSun" w:hint="cs"/>
          <w:rtl/>
          <w:lang w:eastAsia="zh-CN"/>
        </w:rPr>
        <w:t>أن</w:t>
      </w:r>
      <w:r w:rsidR="00F57A6A">
        <w:rPr>
          <w:rFonts w:eastAsia="SimSun" w:hint="cs"/>
          <w:rtl/>
          <w:lang w:eastAsia="zh-CN"/>
        </w:rPr>
        <w:t xml:space="preserve"> مقر </w:t>
      </w:r>
      <w:r w:rsidR="00C62C01">
        <w:rPr>
          <w:rFonts w:eastAsia="SimSun" w:hint="cs"/>
          <w:rtl/>
          <w:lang w:eastAsia="zh-CN"/>
        </w:rPr>
        <w:t xml:space="preserve">تلك </w:t>
      </w:r>
      <w:r w:rsidR="00F57A6A">
        <w:rPr>
          <w:rFonts w:eastAsia="SimSun" w:hint="cs"/>
          <w:rtl/>
          <w:lang w:eastAsia="zh-CN"/>
        </w:rPr>
        <w:t xml:space="preserve">المؤسسات القائمة </w:t>
      </w:r>
      <w:r w:rsidR="00C62C01">
        <w:rPr>
          <w:rFonts w:eastAsia="SimSun" w:hint="cs"/>
          <w:rtl/>
          <w:lang w:eastAsia="zh-CN"/>
        </w:rPr>
        <w:t>يقع في</w:t>
      </w:r>
      <w:r w:rsidR="00F57A6A">
        <w:rPr>
          <w:rFonts w:eastAsia="SimSun" w:hint="cs"/>
          <w:rtl/>
          <w:lang w:eastAsia="zh-CN"/>
        </w:rPr>
        <w:t xml:space="preserve"> سويسرا. ويبين </w:t>
      </w:r>
      <w:r w:rsidR="00961955">
        <w:rPr>
          <w:rFonts w:eastAsia="SimSun" w:hint="cs"/>
          <w:rtl/>
          <w:lang w:eastAsia="zh-CN"/>
        </w:rPr>
        <w:t>المرفق</w:t>
      </w:r>
      <w:r w:rsidR="00961955">
        <w:rPr>
          <w:rFonts w:eastAsia="SimSun"/>
          <w:rtl/>
          <w:lang w:eastAsia="zh-CN"/>
        </w:rPr>
        <w:t> </w:t>
      </w:r>
      <w:r w:rsidR="00F57A6A">
        <w:rPr>
          <w:rFonts w:eastAsia="SimSun" w:hint="cs"/>
          <w:rtl/>
          <w:lang w:eastAsia="zh-CN"/>
        </w:rPr>
        <w:t xml:space="preserve">الثاني تفاصيل </w:t>
      </w:r>
      <w:r w:rsidR="00C62C01">
        <w:rPr>
          <w:rFonts w:eastAsia="SimSun" w:hint="cs"/>
          <w:rtl/>
          <w:lang w:eastAsia="zh-CN"/>
        </w:rPr>
        <w:t>العائدات</w:t>
      </w:r>
      <w:r w:rsidR="00F57A6A">
        <w:rPr>
          <w:rFonts w:eastAsia="SimSun" w:hint="cs"/>
          <w:rtl/>
          <w:lang w:eastAsia="zh-CN"/>
        </w:rPr>
        <w:t xml:space="preserve"> التي </w:t>
      </w:r>
      <w:r w:rsidR="00C62C01">
        <w:rPr>
          <w:rFonts w:eastAsia="SimSun" w:hint="cs"/>
          <w:rtl/>
          <w:lang w:eastAsia="zh-CN"/>
        </w:rPr>
        <w:t>حققتها</w:t>
      </w:r>
      <w:r w:rsidR="00F57A6A">
        <w:rPr>
          <w:rFonts w:eastAsia="SimSun" w:hint="cs"/>
          <w:rtl/>
          <w:lang w:eastAsia="zh-CN"/>
        </w:rPr>
        <w:t xml:space="preserve"> مؤخراً المنظمة العالمية للأرصاد الجوية ومنظمة العمل الدولية إضافة </w:t>
      </w:r>
      <w:r w:rsidR="00C62C01">
        <w:rPr>
          <w:rFonts w:eastAsia="SimSun" w:hint="cs"/>
          <w:rtl/>
          <w:lang w:eastAsia="zh-CN"/>
        </w:rPr>
        <w:t>إلى</w:t>
      </w:r>
      <w:r w:rsidR="00F57A6A">
        <w:rPr>
          <w:rFonts w:eastAsia="SimSun" w:hint="cs"/>
          <w:rtl/>
          <w:lang w:eastAsia="zh-CN"/>
        </w:rPr>
        <w:t xml:space="preserve"> المعدلات التي حققتها منظمتين إضافيتين تستثمران بالفرنك السويسري وهما منظمة التجارة العالمية و</w:t>
      </w:r>
      <w:r w:rsidR="00F57A6A" w:rsidRPr="00C62C01">
        <w:rPr>
          <w:rFonts w:eastAsia="SimSun"/>
          <w:lang w:eastAsia="zh-CN"/>
        </w:rPr>
        <w:t>La </w:t>
      </w:r>
      <w:proofErr w:type="spellStart"/>
      <w:r w:rsidR="00F57A6A" w:rsidRPr="00C62C01">
        <w:rPr>
          <w:rFonts w:eastAsia="SimSun"/>
          <w:lang w:eastAsia="zh-CN"/>
        </w:rPr>
        <w:t>Mutuelle</w:t>
      </w:r>
      <w:proofErr w:type="spellEnd"/>
      <w:r w:rsidR="00F57A6A">
        <w:rPr>
          <w:rFonts w:eastAsia="SimSun" w:hint="cs"/>
          <w:i/>
          <w:iCs/>
          <w:rtl/>
          <w:lang w:eastAsia="zh-CN"/>
        </w:rPr>
        <w:t xml:space="preserve"> </w:t>
      </w:r>
      <w:r w:rsidR="00F57A6A" w:rsidRPr="00F57A6A">
        <w:rPr>
          <w:rFonts w:eastAsia="SimSun" w:hint="cs"/>
          <w:rtl/>
          <w:lang w:eastAsia="zh-CN"/>
        </w:rPr>
        <w:t>(صندوق غير هادف للربح أ</w:t>
      </w:r>
      <w:r w:rsidR="00C62C01">
        <w:rPr>
          <w:rFonts w:eastAsia="SimSun" w:hint="cs"/>
          <w:rtl/>
          <w:lang w:eastAsia="zh-CN"/>
        </w:rPr>
        <w:t>ُ</w:t>
      </w:r>
      <w:r w:rsidR="00F57A6A" w:rsidRPr="00F57A6A">
        <w:rPr>
          <w:rFonts w:eastAsia="SimSun" w:hint="cs"/>
          <w:rtl/>
          <w:lang w:eastAsia="zh-CN"/>
        </w:rPr>
        <w:t>نشئ لتعزيز المساعدة المتبادلة في صفوف موظفي الأمم المتحدة ووكالاتها في جنيف).</w:t>
      </w:r>
      <w:r w:rsidR="00F57A6A">
        <w:rPr>
          <w:rFonts w:eastAsia="SimSun" w:hint="cs"/>
          <w:rtl/>
          <w:lang w:eastAsia="zh-CN"/>
        </w:rPr>
        <w:t xml:space="preserve"> وحُصل على معدلات العائدات على الإيداعات من مصارف تجارية </w:t>
      </w:r>
      <w:proofErr w:type="gramStart"/>
      <w:r w:rsidR="00F57A6A">
        <w:rPr>
          <w:rFonts w:eastAsia="SimSun" w:hint="cs"/>
          <w:rtl/>
          <w:lang w:eastAsia="zh-CN"/>
        </w:rPr>
        <w:t>مثل</w:t>
      </w:r>
      <w:proofErr w:type="gramEnd"/>
      <w:r w:rsidR="00F57A6A">
        <w:rPr>
          <w:rFonts w:eastAsia="SimSun" w:hint="cs"/>
          <w:rtl/>
          <w:lang w:eastAsia="zh-CN"/>
        </w:rPr>
        <w:t xml:space="preserve"> </w:t>
      </w:r>
      <w:r w:rsidR="00F57A6A">
        <w:rPr>
          <w:rFonts w:eastAsia="SimSun"/>
          <w:lang w:eastAsia="zh-CN"/>
        </w:rPr>
        <w:t>UBS</w:t>
      </w:r>
      <w:r w:rsidR="00F57A6A">
        <w:rPr>
          <w:rFonts w:eastAsia="SimSun" w:hint="cs"/>
          <w:rtl/>
          <w:lang w:eastAsia="zh-CN"/>
        </w:rPr>
        <w:t xml:space="preserve"> و</w:t>
      </w:r>
      <w:proofErr w:type="spellStart"/>
      <w:r w:rsidR="00F57A6A">
        <w:rPr>
          <w:rFonts w:eastAsia="SimSun"/>
          <w:lang w:eastAsia="zh-CN"/>
        </w:rPr>
        <w:t>Crédit</w:t>
      </w:r>
      <w:proofErr w:type="spellEnd"/>
      <w:r w:rsidR="00F57A6A">
        <w:rPr>
          <w:rFonts w:eastAsia="SimSun"/>
          <w:lang w:eastAsia="zh-CN"/>
        </w:rPr>
        <w:t> Suisse</w:t>
      </w:r>
      <w:r w:rsidR="00F57A6A">
        <w:rPr>
          <w:rFonts w:eastAsia="SimSun" w:hint="cs"/>
          <w:rtl/>
          <w:lang w:eastAsia="zh-CN"/>
        </w:rPr>
        <w:t xml:space="preserve"> و</w:t>
      </w:r>
      <w:r w:rsidR="00F57A6A">
        <w:rPr>
          <w:rFonts w:eastAsia="SimSun"/>
          <w:lang w:eastAsia="zh-CN"/>
        </w:rPr>
        <w:t>BCGE</w:t>
      </w:r>
      <w:r w:rsidR="00F57A6A">
        <w:rPr>
          <w:rFonts w:eastAsia="SimSun" w:hint="cs"/>
          <w:rtl/>
          <w:lang w:eastAsia="zh-CN"/>
        </w:rPr>
        <w:t xml:space="preserve"> إضافة إلى </w:t>
      </w:r>
      <w:r w:rsidR="00457AEF">
        <w:rPr>
          <w:rFonts w:eastAsia="SimSun" w:hint="cs"/>
          <w:rtl/>
          <w:lang w:eastAsia="zh-CN"/>
        </w:rPr>
        <w:t>ال</w:t>
      </w:r>
      <w:r w:rsidR="00F57A6A">
        <w:rPr>
          <w:rFonts w:eastAsia="SimSun" w:hint="cs"/>
          <w:rtl/>
          <w:lang w:eastAsia="zh-CN"/>
        </w:rPr>
        <w:t>مكتب البريد</w:t>
      </w:r>
      <w:r w:rsidR="00457AEF">
        <w:rPr>
          <w:rFonts w:eastAsia="SimSun" w:hint="cs"/>
          <w:rtl/>
          <w:lang w:eastAsia="zh-CN"/>
        </w:rPr>
        <w:t>ي</w:t>
      </w:r>
      <w:r w:rsidR="00F57A6A">
        <w:rPr>
          <w:rFonts w:eastAsia="SimSun" w:hint="cs"/>
          <w:rtl/>
          <w:lang w:eastAsia="zh-CN"/>
        </w:rPr>
        <w:t xml:space="preserve"> السويسري. وورد عن المنظمة العالمية للأرصاد الجوية ومكتب العمل الدولي أن محاول</w:t>
      </w:r>
      <w:r w:rsidR="00C62C01">
        <w:rPr>
          <w:rFonts w:eastAsia="SimSun" w:hint="cs"/>
          <w:rtl/>
          <w:lang w:eastAsia="zh-CN"/>
        </w:rPr>
        <w:t>ا</w:t>
      </w:r>
      <w:r w:rsidR="00F57A6A">
        <w:rPr>
          <w:rFonts w:eastAsia="SimSun" w:hint="cs"/>
          <w:rtl/>
          <w:lang w:eastAsia="zh-CN"/>
        </w:rPr>
        <w:t>ته</w:t>
      </w:r>
      <w:r w:rsidR="00C62C01">
        <w:rPr>
          <w:rFonts w:eastAsia="SimSun" w:hint="cs"/>
          <w:rtl/>
          <w:lang w:eastAsia="zh-CN"/>
        </w:rPr>
        <w:t>م</w:t>
      </w:r>
      <w:r w:rsidR="00F57A6A">
        <w:rPr>
          <w:rFonts w:eastAsia="SimSun" w:hint="cs"/>
          <w:rtl/>
          <w:lang w:eastAsia="zh-CN"/>
        </w:rPr>
        <w:t xml:space="preserve">ا الاستثمار في مصارف في الخارج باءت بالفشل. </w:t>
      </w:r>
      <w:r w:rsidR="00C62C01">
        <w:rPr>
          <w:rFonts w:eastAsia="SimSun" w:hint="cs"/>
          <w:rtl/>
          <w:lang w:eastAsia="zh-CN"/>
        </w:rPr>
        <w:t>فسعياً إلى تنويع المخاطر،</w:t>
      </w:r>
      <w:r w:rsidR="00F57A6A">
        <w:rPr>
          <w:rFonts w:eastAsia="SimSun" w:hint="cs"/>
          <w:rtl/>
          <w:lang w:eastAsia="zh-CN"/>
        </w:rPr>
        <w:t xml:space="preserve"> استطاعت المنظمة العالمية للأرصاد الجوية </w:t>
      </w:r>
      <w:r w:rsidR="00C62C01">
        <w:rPr>
          <w:rFonts w:eastAsia="SimSun" w:hint="cs"/>
          <w:rtl/>
          <w:lang w:eastAsia="zh-CN"/>
        </w:rPr>
        <w:t xml:space="preserve">مثلاً </w:t>
      </w:r>
      <w:r w:rsidR="00F57A6A">
        <w:rPr>
          <w:rFonts w:eastAsia="SimSun" w:hint="cs"/>
          <w:rtl/>
          <w:lang w:eastAsia="zh-CN"/>
        </w:rPr>
        <w:t xml:space="preserve">أن تودع أموالها في مؤسسة </w:t>
      </w:r>
      <w:r w:rsidR="00F57A6A">
        <w:rPr>
          <w:rFonts w:eastAsia="SimSun"/>
          <w:lang w:eastAsia="zh-CN"/>
        </w:rPr>
        <w:t>Standard Chartered</w:t>
      </w:r>
      <w:r w:rsidR="00F57A6A">
        <w:rPr>
          <w:rFonts w:eastAsia="SimSun" w:hint="cs"/>
          <w:rtl/>
          <w:lang w:eastAsia="zh-CN"/>
        </w:rPr>
        <w:t xml:space="preserve"> بالمملكة المتحدة </w:t>
      </w:r>
      <w:r w:rsidR="00D0107E">
        <w:rPr>
          <w:rFonts w:eastAsia="SimSun" w:hint="cs"/>
          <w:rtl/>
          <w:lang w:eastAsia="zh-CN"/>
        </w:rPr>
        <w:t xml:space="preserve">ولكن دون تحقيق أي </w:t>
      </w:r>
      <w:r w:rsidR="00F57A6A">
        <w:rPr>
          <w:rFonts w:eastAsia="SimSun" w:hint="cs"/>
          <w:rtl/>
          <w:lang w:eastAsia="zh-CN"/>
        </w:rPr>
        <w:t>فائدة.</w:t>
      </w:r>
    </w:p>
    <w:p w:rsidR="00F57A6A" w:rsidRDefault="00F57A6A" w:rsidP="000761AE">
      <w:pPr>
        <w:pStyle w:val="NormalParaAR"/>
        <w:numPr>
          <w:ilvl w:val="0"/>
          <w:numId w:val="39"/>
        </w:numPr>
        <w:ind w:left="0" w:firstLine="0"/>
        <w:rPr>
          <w:rFonts w:eastAsia="SimSun"/>
          <w:lang w:eastAsia="zh-CN"/>
        </w:rPr>
      </w:pPr>
      <w:r>
        <w:rPr>
          <w:rFonts w:eastAsia="SimSun" w:hint="cs"/>
          <w:rtl/>
          <w:lang w:eastAsia="zh-CN"/>
        </w:rPr>
        <w:t>وإذا رغبت الويبو في تحقيق فوائد على إيداعاتها</w:t>
      </w:r>
      <w:r w:rsidR="00D0107E">
        <w:rPr>
          <w:rFonts w:eastAsia="SimSun" w:hint="cs"/>
          <w:rtl/>
          <w:lang w:eastAsia="zh-CN"/>
        </w:rPr>
        <w:t>،</w:t>
      </w:r>
      <w:r>
        <w:rPr>
          <w:rFonts w:eastAsia="SimSun" w:hint="cs"/>
          <w:rtl/>
          <w:lang w:eastAsia="zh-CN"/>
        </w:rPr>
        <w:t xml:space="preserve"> وإن كانت على أساس المعدلات المتدنية المتوفرة حالياً، فيبدو أنه </w:t>
      </w:r>
      <w:r w:rsidR="00D0107E">
        <w:rPr>
          <w:rFonts w:eastAsia="SimSun" w:hint="cs"/>
          <w:rtl/>
          <w:lang w:eastAsia="zh-CN"/>
        </w:rPr>
        <w:t>لا خيار أمامها</w:t>
      </w:r>
      <w:r>
        <w:rPr>
          <w:rFonts w:eastAsia="SimSun" w:hint="cs"/>
          <w:rtl/>
          <w:lang w:eastAsia="zh-CN"/>
        </w:rPr>
        <w:t xml:space="preserve"> إلا إيداع أموالها في المصارف التجارية السويسرية و</w:t>
      </w:r>
      <w:r w:rsidR="008E7C6B">
        <w:rPr>
          <w:rFonts w:eastAsia="SimSun" w:hint="cs"/>
          <w:rtl/>
          <w:lang w:eastAsia="zh-CN"/>
        </w:rPr>
        <w:t>من ثم</w:t>
      </w:r>
      <w:r>
        <w:rPr>
          <w:rFonts w:eastAsia="SimSun" w:hint="cs"/>
          <w:rtl/>
          <w:lang w:eastAsia="zh-CN"/>
        </w:rPr>
        <w:t xml:space="preserve"> خفض </w:t>
      </w:r>
      <w:r w:rsidR="009E3A3B">
        <w:rPr>
          <w:rFonts w:eastAsia="SimSun" w:hint="cs"/>
          <w:rtl/>
          <w:lang w:eastAsia="zh-CN"/>
        </w:rPr>
        <w:t>التصنيف الائتماني</w:t>
      </w:r>
      <w:r>
        <w:rPr>
          <w:rFonts w:eastAsia="SimSun" w:hint="cs"/>
          <w:rtl/>
          <w:lang w:eastAsia="zh-CN"/>
        </w:rPr>
        <w:t xml:space="preserve"> المنصوص عليه في السياسة </w:t>
      </w:r>
      <w:r w:rsidR="009E3A3B">
        <w:rPr>
          <w:rFonts w:eastAsia="SimSun" w:hint="cs"/>
          <w:rtl/>
          <w:lang w:eastAsia="zh-CN"/>
        </w:rPr>
        <w:t>ل</w:t>
      </w:r>
      <w:r>
        <w:rPr>
          <w:rFonts w:eastAsia="SimSun" w:hint="cs"/>
          <w:rtl/>
          <w:lang w:eastAsia="zh-CN"/>
        </w:rPr>
        <w:t xml:space="preserve">لسماح بذلك. ويمكن كذلك </w:t>
      </w:r>
      <w:proofErr w:type="gramStart"/>
      <w:r>
        <w:rPr>
          <w:rFonts w:eastAsia="SimSun" w:hint="cs"/>
          <w:rtl/>
          <w:lang w:eastAsia="zh-CN"/>
        </w:rPr>
        <w:t>إيداع</w:t>
      </w:r>
      <w:proofErr w:type="gramEnd"/>
      <w:r>
        <w:rPr>
          <w:rFonts w:eastAsia="SimSun" w:hint="cs"/>
          <w:rtl/>
          <w:lang w:eastAsia="zh-CN"/>
        </w:rPr>
        <w:t xml:space="preserve"> الأموال لدى </w:t>
      </w:r>
      <w:r w:rsidR="00457AEF">
        <w:rPr>
          <w:rFonts w:eastAsia="SimSun" w:hint="cs"/>
          <w:rtl/>
          <w:lang w:eastAsia="zh-CN"/>
        </w:rPr>
        <w:t>ال</w:t>
      </w:r>
      <w:r>
        <w:rPr>
          <w:rFonts w:eastAsia="SimSun" w:hint="cs"/>
          <w:rtl/>
          <w:lang w:eastAsia="zh-CN"/>
        </w:rPr>
        <w:t>مكتب البريد</w:t>
      </w:r>
      <w:r w:rsidR="00457AEF">
        <w:rPr>
          <w:rFonts w:eastAsia="SimSun" w:hint="cs"/>
          <w:rtl/>
          <w:lang w:eastAsia="zh-CN"/>
        </w:rPr>
        <w:t>ي</w:t>
      </w:r>
      <w:r>
        <w:rPr>
          <w:rFonts w:eastAsia="SimSun" w:hint="cs"/>
          <w:rtl/>
          <w:lang w:eastAsia="zh-CN"/>
        </w:rPr>
        <w:t xml:space="preserve"> السويسري (وحدة </w:t>
      </w:r>
      <w:r>
        <w:rPr>
          <w:rFonts w:eastAsia="SimSun"/>
          <w:lang w:eastAsia="zh-CN"/>
        </w:rPr>
        <w:t>Swiss </w:t>
      </w:r>
      <w:proofErr w:type="spellStart"/>
      <w:r>
        <w:rPr>
          <w:rFonts w:eastAsia="SimSun"/>
          <w:lang w:eastAsia="zh-CN"/>
        </w:rPr>
        <w:t>PostFinance</w:t>
      </w:r>
      <w:proofErr w:type="spellEnd"/>
      <w:r>
        <w:rPr>
          <w:rFonts w:eastAsia="SimSun" w:hint="cs"/>
          <w:rtl/>
          <w:lang w:eastAsia="zh-CN"/>
        </w:rPr>
        <w:t>) المتمتع ب</w:t>
      </w:r>
      <w:r w:rsidR="009E3A3B">
        <w:rPr>
          <w:rFonts w:eastAsia="SimSun" w:hint="cs"/>
          <w:rtl/>
          <w:lang w:eastAsia="zh-CN"/>
        </w:rPr>
        <w:t>التصنيف الائتماني</w:t>
      </w:r>
      <w:r>
        <w:rPr>
          <w:rFonts w:eastAsia="SimSun" w:hint="cs"/>
          <w:rtl/>
          <w:lang w:eastAsia="zh-CN"/>
        </w:rPr>
        <w:t xml:space="preserve"> </w:t>
      </w:r>
      <w:r>
        <w:rPr>
          <w:rFonts w:eastAsia="SimSun"/>
          <w:lang w:eastAsia="zh-CN"/>
        </w:rPr>
        <w:t>A+</w:t>
      </w:r>
      <w:r>
        <w:rPr>
          <w:rFonts w:eastAsia="SimSun" w:hint="cs"/>
          <w:rtl/>
          <w:lang w:eastAsia="zh-CN"/>
        </w:rPr>
        <w:t xml:space="preserve"> (</w:t>
      </w:r>
      <w:r>
        <w:rPr>
          <w:rFonts w:eastAsia="SimSun"/>
          <w:lang w:eastAsia="zh-CN"/>
        </w:rPr>
        <w:t>Standard and Poor’s</w:t>
      </w:r>
      <w:r>
        <w:rPr>
          <w:rFonts w:eastAsia="SimSun" w:hint="cs"/>
          <w:rtl/>
          <w:lang w:eastAsia="zh-CN"/>
        </w:rPr>
        <w:t xml:space="preserve">) ويدعمه الاتحاد السويسري. </w:t>
      </w:r>
      <w:proofErr w:type="gramStart"/>
      <w:r>
        <w:rPr>
          <w:rFonts w:eastAsia="SimSun" w:hint="cs"/>
          <w:rtl/>
          <w:lang w:eastAsia="zh-CN"/>
        </w:rPr>
        <w:t>بيد</w:t>
      </w:r>
      <w:proofErr w:type="gramEnd"/>
      <w:r>
        <w:rPr>
          <w:rFonts w:eastAsia="SimSun" w:hint="cs"/>
          <w:rtl/>
          <w:lang w:eastAsia="zh-CN"/>
        </w:rPr>
        <w:t xml:space="preserve"> أن هذه المؤسسة تضع سقفاً لمبالغ </w:t>
      </w:r>
      <w:r>
        <w:rPr>
          <w:rFonts w:eastAsia="SimSun" w:hint="cs"/>
          <w:rtl/>
          <w:lang w:eastAsia="zh-CN"/>
        </w:rPr>
        <w:lastRenderedPageBreak/>
        <w:t>الإيداع التي ستقبلها (</w:t>
      </w:r>
      <w:r w:rsidR="008E7C6B">
        <w:rPr>
          <w:rFonts w:eastAsia="SimSun" w:hint="cs"/>
          <w:rtl/>
          <w:lang w:eastAsia="zh-CN"/>
        </w:rPr>
        <w:t>ت</w:t>
      </w:r>
      <w:r>
        <w:rPr>
          <w:rFonts w:eastAsia="SimSun" w:hint="cs"/>
          <w:rtl/>
          <w:lang w:eastAsia="zh-CN"/>
        </w:rPr>
        <w:t xml:space="preserve">رد في </w:t>
      </w:r>
      <w:r w:rsidR="00961955">
        <w:rPr>
          <w:rFonts w:eastAsia="SimSun" w:hint="cs"/>
          <w:rtl/>
          <w:lang w:eastAsia="zh-CN"/>
        </w:rPr>
        <w:t>المرفق</w:t>
      </w:r>
      <w:r w:rsidR="00961955">
        <w:rPr>
          <w:rFonts w:eastAsia="SimSun"/>
          <w:rtl/>
          <w:lang w:eastAsia="zh-CN"/>
        </w:rPr>
        <w:t> </w:t>
      </w:r>
      <w:r>
        <w:rPr>
          <w:rFonts w:eastAsia="SimSun" w:hint="cs"/>
          <w:rtl/>
          <w:lang w:eastAsia="zh-CN"/>
        </w:rPr>
        <w:t xml:space="preserve">الأول تفاصيل الحدود المفروضة على منظمة العمل الدولية والمنظمة العالمية للأرصاد الجوية). </w:t>
      </w:r>
      <w:r w:rsidR="008E7C6B">
        <w:rPr>
          <w:rFonts w:eastAsia="SimSun" w:hint="cs"/>
          <w:rtl/>
          <w:lang w:eastAsia="zh-CN"/>
        </w:rPr>
        <w:t xml:space="preserve">وسيتطلب ذلك خفض </w:t>
      </w:r>
      <w:r w:rsidR="009E3A3B">
        <w:rPr>
          <w:rFonts w:eastAsia="SimSun" w:hint="cs"/>
          <w:rtl/>
          <w:lang w:eastAsia="zh-CN"/>
        </w:rPr>
        <w:t>التصنيف</w:t>
      </w:r>
      <w:r w:rsidR="008E7C6B">
        <w:rPr>
          <w:rFonts w:eastAsia="SimSun" w:hint="cs"/>
          <w:rtl/>
          <w:lang w:eastAsia="zh-CN"/>
        </w:rPr>
        <w:t>ات</w:t>
      </w:r>
      <w:r w:rsidR="009E3A3B">
        <w:rPr>
          <w:rFonts w:eastAsia="SimSun" w:hint="cs"/>
          <w:rtl/>
          <w:lang w:eastAsia="zh-CN"/>
        </w:rPr>
        <w:t xml:space="preserve"> الائتماني</w:t>
      </w:r>
      <w:r w:rsidR="00763862">
        <w:rPr>
          <w:rFonts w:eastAsia="SimSun" w:hint="cs"/>
          <w:rtl/>
          <w:lang w:eastAsia="zh-CN"/>
        </w:rPr>
        <w:t>ة</w:t>
      </w:r>
      <w:r>
        <w:rPr>
          <w:rFonts w:eastAsia="SimSun" w:hint="cs"/>
          <w:rtl/>
          <w:lang w:eastAsia="zh-CN"/>
        </w:rPr>
        <w:t xml:space="preserve"> إذ</w:t>
      </w:r>
      <w:r w:rsidR="00A752B1">
        <w:rPr>
          <w:rFonts w:eastAsia="SimSun" w:hint="cs"/>
          <w:rtl/>
          <w:lang w:eastAsia="zh-CN"/>
        </w:rPr>
        <w:t>ا اعتزم</w:t>
      </w:r>
      <w:r>
        <w:rPr>
          <w:rFonts w:eastAsia="SimSun" w:hint="cs"/>
          <w:rtl/>
          <w:lang w:eastAsia="zh-CN"/>
        </w:rPr>
        <w:t xml:space="preserve"> إيداع </w:t>
      </w:r>
      <w:r w:rsidR="000761AE">
        <w:rPr>
          <w:rFonts w:eastAsia="SimSun" w:hint="cs"/>
          <w:rtl/>
          <w:lang w:eastAsia="zh-CN"/>
        </w:rPr>
        <w:t>أموال</w:t>
      </w:r>
      <w:r w:rsidR="00A752B1">
        <w:rPr>
          <w:rFonts w:eastAsia="SimSun" w:hint="cs"/>
          <w:rtl/>
          <w:lang w:eastAsia="zh-CN"/>
        </w:rPr>
        <w:t xml:space="preserve"> </w:t>
      </w:r>
      <w:r w:rsidR="000761AE">
        <w:rPr>
          <w:rFonts w:eastAsia="SimSun" w:hint="cs"/>
          <w:rtl/>
          <w:lang w:eastAsia="zh-CN"/>
        </w:rPr>
        <w:t>ال</w:t>
      </w:r>
      <w:r w:rsidR="00A752B1">
        <w:rPr>
          <w:rFonts w:eastAsia="SimSun" w:hint="cs"/>
          <w:rtl/>
          <w:lang w:eastAsia="zh-CN"/>
        </w:rPr>
        <w:t xml:space="preserve">صناديق </w:t>
      </w:r>
      <w:r w:rsidR="000761AE">
        <w:rPr>
          <w:rFonts w:eastAsia="SimSun" w:hint="cs"/>
          <w:rtl/>
          <w:lang w:eastAsia="zh-CN"/>
        </w:rPr>
        <w:t>ال</w:t>
      </w:r>
      <w:r w:rsidR="00A752B1">
        <w:rPr>
          <w:rFonts w:eastAsia="SimSun" w:hint="cs"/>
          <w:rtl/>
          <w:lang w:eastAsia="zh-CN"/>
        </w:rPr>
        <w:t>استئمانية و</w:t>
      </w:r>
      <w:r w:rsidR="00763862">
        <w:rPr>
          <w:rFonts w:eastAsia="SimSun" w:hint="cs"/>
          <w:rtl/>
          <w:lang w:eastAsia="zh-CN"/>
        </w:rPr>
        <w:t>تحقيق</w:t>
      </w:r>
      <w:r w:rsidR="00A752B1">
        <w:rPr>
          <w:rFonts w:eastAsia="SimSun" w:hint="cs"/>
          <w:rtl/>
          <w:lang w:eastAsia="zh-CN"/>
        </w:rPr>
        <w:t xml:space="preserve"> عائد</w:t>
      </w:r>
      <w:r w:rsidR="000761AE">
        <w:rPr>
          <w:rFonts w:eastAsia="SimSun" w:hint="cs"/>
          <w:rtl/>
          <w:lang w:eastAsia="zh-CN"/>
        </w:rPr>
        <w:t xml:space="preserve"> عليها</w:t>
      </w:r>
      <w:r w:rsidR="00A752B1">
        <w:rPr>
          <w:rFonts w:eastAsia="SimSun" w:hint="cs"/>
          <w:rtl/>
          <w:lang w:eastAsia="zh-CN"/>
        </w:rPr>
        <w:t>.</w:t>
      </w:r>
    </w:p>
    <w:p w:rsidR="00A752B1" w:rsidRDefault="00A752B1" w:rsidP="000761AE">
      <w:pPr>
        <w:pStyle w:val="NormalParaAR"/>
        <w:numPr>
          <w:ilvl w:val="0"/>
          <w:numId w:val="39"/>
        </w:numPr>
        <w:ind w:left="0" w:firstLine="0"/>
        <w:rPr>
          <w:rFonts w:eastAsia="SimSun"/>
          <w:lang w:eastAsia="zh-CN"/>
        </w:rPr>
      </w:pPr>
      <w:proofErr w:type="gramStart"/>
      <w:r>
        <w:rPr>
          <w:rFonts w:eastAsia="SimSun" w:hint="cs"/>
          <w:rtl/>
          <w:lang w:eastAsia="zh-CN"/>
        </w:rPr>
        <w:t>ومن</w:t>
      </w:r>
      <w:proofErr w:type="gramEnd"/>
      <w:r>
        <w:rPr>
          <w:rFonts w:eastAsia="SimSun" w:hint="cs"/>
          <w:rtl/>
          <w:lang w:eastAsia="zh-CN"/>
        </w:rPr>
        <w:t xml:space="preserve"> ثم يُقترح خفض </w:t>
      </w:r>
      <w:r w:rsidR="000761AE">
        <w:rPr>
          <w:rFonts w:eastAsia="SimSun" w:hint="cs"/>
          <w:rtl/>
          <w:lang w:eastAsia="zh-CN"/>
        </w:rPr>
        <w:t xml:space="preserve">ما يقبل من </w:t>
      </w:r>
      <w:r w:rsidR="009E3A3B">
        <w:rPr>
          <w:rFonts w:eastAsia="SimSun" w:hint="cs"/>
          <w:rtl/>
          <w:lang w:eastAsia="zh-CN"/>
        </w:rPr>
        <w:t>تصنيف</w:t>
      </w:r>
      <w:r w:rsidR="008E7C6B">
        <w:rPr>
          <w:rFonts w:eastAsia="SimSun" w:hint="cs"/>
          <w:rtl/>
          <w:lang w:eastAsia="zh-CN"/>
        </w:rPr>
        <w:t>ات</w:t>
      </w:r>
      <w:r w:rsidR="009E3A3B">
        <w:rPr>
          <w:rFonts w:eastAsia="SimSun" w:hint="cs"/>
          <w:rtl/>
          <w:lang w:eastAsia="zh-CN"/>
        </w:rPr>
        <w:t xml:space="preserve"> ائتماني</w:t>
      </w:r>
      <w:r w:rsidR="008E7C6B">
        <w:rPr>
          <w:rFonts w:eastAsia="SimSun" w:hint="cs"/>
          <w:rtl/>
          <w:lang w:eastAsia="zh-CN"/>
        </w:rPr>
        <w:t>ة</w:t>
      </w:r>
      <w:r>
        <w:rPr>
          <w:rFonts w:eastAsia="SimSun" w:hint="cs"/>
          <w:rtl/>
          <w:lang w:eastAsia="zh-CN"/>
        </w:rPr>
        <w:t xml:space="preserve"> </w:t>
      </w:r>
      <w:r w:rsidR="000761AE">
        <w:rPr>
          <w:rFonts w:eastAsia="SimSun" w:hint="cs"/>
          <w:rtl/>
          <w:lang w:eastAsia="zh-CN"/>
        </w:rPr>
        <w:t>طويلة الأجل</w:t>
      </w:r>
      <w:r>
        <w:rPr>
          <w:rFonts w:eastAsia="SimSun" w:hint="cs"/>
          <w:rtl/>
          <w:lang w:eastAsia="zh-CN"/>
        </w:rPr>
        <w:t xml:space="preserve"> و</w:t>
      </w:r>
      <w:r w:rsidR="000761AE">
        <w:rPr>
          <w:rFonts w:eastAsia="SimSun" w:hint="cs"/>
          <w:rtl/>
          <w:lang w:eastAsia="zh-CN"/>
        </w:rPr>
        <w:t>إ</w:t>
      </w:r>
      <w:r>
        <w:rPr>
          <w:rFonts w:eastAsia="SimSun" w:hint="cs"/>
          <w:rtl/>
          <w:lang w:eastAsia="zh-CN"/>
        </w:rPr>
        <w:t xml:space="preserve">دراج ما يقابلها من </w:t>
      </w:r>
      <w:r w:rsidR="008E7C6B">
        <w:rPr>
          <w:rFonts w:eastAsia="SimSun" w:hint="cs"/>
          <w:rtl/>
          <w:lang w:eastAsia="zh-CN"/>
        </w:rPr>
        <w:t>تصنيفات</w:t>
      </w:r>
      <w:r>
        <w:rPr>
          <w:rFonts w:eastAsia="SimSun" w:hint="cs"/>
          <w:rtl/>
          <w:lang w:eastAsia="zh-CN"/>
        </w:rPr>
        <w:t xml:space="preserve"> </w:t>
      </w:r>
      <w:r w:rsidR="000761AE">
        <w:rPr>
          <w:rFonts w:eastAsia="SimSun" w:hint="cs"/>
          <w:rtl/>
          <w:lang w:eastAsia="zh-CN"/>
        </w:rPr>
        <w:t>قصيرة الأجل</w:t>
      </w:r>
      <w:r>
        <w:rPr>
          <w:rFonts w:eastAsia="SimSun" w:hint="cs"/>
          <w:rtl/>
          <w:lang w:eastAsia="zh-CN"/>
        </w:rPr>
        <w:t>، وذلك على النحو التالي:</w:t>
      </w:r>
    </w:p>
    <w:p w:rsidR="00A752B1" w:rsidRPr="00703FA5" w:rsidRDefault="00961955" w:rsidP="00A752B1">
      <w:pPr>
        <w:pStyle w:val="NormalParaAR"/>
        <w:keepNext/>
        <w:jc w:val="center"/>
        <w:rPr>
          <w:rFonts w:eastAsia="SimSun"/>
          <w:lang w:eastAsia="zh-CN"/>
        </w:rPr>
      </w:pPr>
      <w:r>
        <w:rPr>
          <w:rFonts w:eastAsia="SimSun" w:hint="cs"/>
          <w:rtl/>
          <w:lang w:eastAsia="zh-CN"/>
        </w:rPr>
        <w:t>الجدول</w:t>
      </w:r>
      <w:r>
        <w:rPr>
          <w:rFonts w:eastAsia="SimSun"/>
          <w:rtl/>
          <w:lang w:eastAsia="zh-CN"/>
        </w:rPr>
        <w:t> </w:t>
      </w:r>
      <w:r w:rsidR="00A752B1">
        <w:rPr>
          <w:rFonts w:eastAsia="SimSun" w:hint="cs"/>
          <w:rtl/>
          <w:lang w:eastAsia="zh-CN"/>
        </w:rPr>
        <w:t>3</w:t>
      </w:r>
    </w:p>
    <w:p w:rsidR="00703FA5" w:rsidRPr="00703FA5" w:rsidRDefault="000761AE" w:rsidP="000761AE">
      <w:pPr>
        <w:bidi/>
        <w:spacing w:after="240"/>
        <w:jc w:val="center"/>
        <w:rPr>
          <w:rFonts w:eastAsia="SimSun"/>
          <w:u w:val="single"/>
          <w:lang w:eastAsia="zh-CN"/>
        </w:rPr>
      </w:pPr>
      <w:r w:rsidRPr="000761AE">
        <w:rPr>
          <w:rFonts w:eastAsia="SimSun"/>
          <w:noProof/>
        </w:rPr>
        <w:drawing>
          <wp:inline distT="0" distB="0" distL="0" distR="0">
            <wp:extent cx="3594100" cy="11620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100" cy="1162050"/>
                    </a:xfrm>
                    <a:prstGeom prst="rect">
                      <a:avLst/>
                    </a:prstGeom>
                    <a:noFill/>
                    <a:ln>
                      <a:noFill/>
                    </a:ln>
                  </pic:spPr>
                </pic:pic>
              </a:graphicData>
            </a:graphic>
          </wp:inline>
        </w:drawing>
      </w:r>
    </w:p>
    <w:p w:rsidR="00A752B1" w:rsidRDefault="000761AE" w:rsidP="000761AE">
      <w:pPr>
        <w:pStyle w:val="NormalParaAR"/>
        <w:numPr>
          <w:ilvl w:val="0"/>
          <w:numId w:val="39"/>
        </w:numPr>
        <w:ind w:left="0" w:firstLine="0"/>
        <w:rPr>
          <w:rFonts w:eastAsia="SimSun"/>
          <w:lang w:eastAsia="zh-CN"/>
        </w:rPr>
      </w:pPr>
      <w:r>
        <w:rPr>
          <w:rFonts w:eastAsia="SimSun" w:hint="cs"/>
          <w:rtl/>
          <w:lang w:eastAsia="zh-CN"/>
        </w:rPr>
        <w:t>ولتحظى المؤسسات المالية بالقبول</w:t>
      </w:r>
      <w:r w:rsidR="00A752B1">
        <w:rPr>
          <w:rFonts w:eastAsia="SimSun" w:hint="cs"/>
          <w:rtl/>
          <w:lang w:eastAsia="zh-CN"/>
        </w:rPr>
        <w:t xml:space="preserve">، يتعين عليها استيفاء </w:t>
      </w:r>
      <w:r w:rsidR="00DC07F8">
        <w:rPr>
          <w:rFonts w:eastAsia="SimSun" w:hint="cs"/>
          <w:rtl/>
          <w:lang w:eastAsia="zh-CN"/>
        </w:rPr>
        <w:t xml:space="preserve">كلا </w:t>
      </w:r>
      <w:r w:rsidR="008E7C6B">
        <w:rPr>
          <w:rFonts w:eastAsia="SimSun" w:hint="cs"/>
          <w:rtl/>
          <w:lang w:eastAsia="zh-CN"/>
        </w:rPr>
        <w:t>التصنيفين الائتمانيين</w:t>
      </w:r>
      <w:r>
        <w:rPr>
          <w:rFonts w:eastAsia="SimSun" w:hint="cs"/>
          <w:rtl/>
          <w:lang w:eastAsia="zh-CN"/>
        </w:rPr>
        <w:t xml:space="preserve"> المنصوص عليهما (</w:t>
      </w:r>
      <w:r w:rsidR="00DC07F8">
        <w:rPr>
          <w:rFonts w:eastAsia="SimSun" w:hint="cs"/>
          <w:rtl/>
          <w:lang w:eastAsia="zh-CN"/>
        </w:rPr>
        <w:t xml:space="preserve">إما </w:t>
      </w:r>
      <w:r>
        <w:rPr>
          <w:rFonts w:eastAsia="SimSun" w:hint="cs"/>
          <w:rtl/>
          <w:lang w:eastAsia="zh-CN"/>
        </w:rPr>
        <w:t>القصير</w:t>
      </w:r>
      <w:r w:rsidR="00A752B1">
        <w:rPr>
          <w:rFonts w:eastAsia="SimSun" w:hint="cs"/>
          <w:rtl/>
          <w:lang w:eastAsia="zh-CN"/>
        </w:rPr>
        <w:t xml:space="preserve"> </w:t>
      </w:r>
      <w:r w:rsidR="00DC07F8">
        <w:rPr>
          <w:rFonts w:eastAsia="SimSun" w:hint="cs"/>
          <w:rtl/>
          <w:lang w:eastAsia="zh-CN"/>
        </w:rPr>
        <w:t xml:space="preserve">الأجل </w:t>
      </w:r>
      <w:r w:rsidR="00A752B1">
        <w:rPr>
          <w:rFonts w:eastAsia="SimSun" w:hint="cs"/>
          <w:rtl/>
          <w:lang w:eastAsia="zh-CN"/>
        </w:rPr>
        <w:t>أو الطويل</w:t>
      </w:r>
      <w:r>
        <w:rPr>
          <w:rFonts w:eastAsia="SimSun" w:hint="cs"/>
          <w:rtl/>
          <w:lang w:eastAsia="zh-CN"/>
        </w:rPr>
        <w:t xml:space="preserve"> الأجل</w:t>
      </w:r>
      <w:r w:rsidR="00A752B1">
        <w:rPr>
          <w:rFonts w:eastAsia="SimSun" w:hint="cs"/>
          <w:rtl/>
          <w:lang w:eastAsia="zh-CN"/>
        </w:rPr>
        <w:t>) مما يعني أنه لا يمكن توظيف استثمار</w:t>
      </w:r>
      <w:r>
        <w:rPr>
          <w:rFonts w:eastAsia="SimSun" w:hint="cs"/>
          <w:rtl/>
          <w:lang w:eastAsia="zh-CN"/>
        </w:rPr>
        <w:t xml:space="preserve"> طويل الأجل إلا في مؤسسة تتمتع بكلا </w:t>
      </w:r>
      <w:r w:rsidR="008E7C6B">
        <w:rPr>
          <w:rFonts w:eastAsia="SimSun" w:hint="cs"/>
          <w:rtl/>
          <w:lang w:eastAsia="zh-CN"/>
        </w:rPr>
        <w:t>التصنيفين الائتمانيين</w:t>
      </w:r>
      <w:r w:rsidR="00A752B1">
        <w:rPr>
          <w:rFonts w:eastAsia="SimSun" w:hint="cs"/>
          <w:rtl/>
          <w:lang w:eastAsia="zh-CN"/>
        </w:rPr>
        <w:t xml:space="preserve"> </w:t>
      </w:r>
      <w:r w:rsidR="00A752B1">
        <w:rPr>
          <w:rFonts w:eastAsia="SimSun"/>
          <w:lang w:eastAsia="zh-CN"/>
        </w:rPr>
        <w:t>A</w:t>
      </w:r>
      <w:r w:rsidR="00A752B1">
        <w:rPr>
          <w:rFonts w:eastAsia="SimSun" w:hint="cs"/>
          <w:rtl/>
          <w:lang w:eastAsia="zh-CN"/>
        </w:rPr>
        <w:t xml:space="preserve"> و</w:t>
      </w:r>
      <w:r w:rsidR="00A752B1">
        <w:rPr>
          <w:rFonts w:eastAsia="SimSun"/>
          <w:lang w:eastAsia="zh-CN"/>
        </w:rPr>
        <w:t>A2</w:t>
      </w:r>
      <w:r w:rsidR="00A752B1">
        <w:rPr>
          <w:rFonts w:eastAsia="SimSun" w:hint="cs"/>
          <w:rtl/>
          <w:lang w:eastAsia="zh-CN"/>
        </w:rPr>
        <w:t>.</w:t>
      </w:r>
    </w:p>
    <w:p w:rsidR="00A752B1" w:rsidRDefault="00A752B1" w:rsidP="00DC07F8">
      <w:pPr>
        <w:pStyle w:val="NormalParaAR"/>
        <w:numPr>
          <w:ilvl w:val="0"/>
          <w:numId w:val="39"/>
        </w:numPr>
        <w:ind w:left="0" w:firstLine="0"/>
        <w:rPr>
          <w:rFonts w:eastAsia="SimSun"/>
          <w:lang w:eastAsia="zh-CN"/>
        </w:rPr>
      </w:pPr>
      <w:r>
        <w:rPr>
          <w:rFonts w:eastAsia="SimSun" w:hint="cs"/>
          <w:rtl/>
          <w:lang w:eastAsia="zh-CN"/>
        </w:rPr>
        <w:t xml:space="preserve">ويُقترح إدراج </w:t>
      </w:r>
      <w:r w:rsidR="008E7C6B">
        <w:rPr>
          <w:rFonts w:eastAsia="SimSun" w:hint="cs"/>
          <w:rtl/>
          <w:lang w:eastAsia="zh-CN"/>
        </w:rPr>
        <w:t>التصنيفات الائتمانية</w:t>
      </w:r>
      <w:r>
        <w:rPr>
          <w:rFonts w:eastAsia="SimSun" w:hint="cs"/>
          <w:rtl/>
          <w:lang w:eastAsia="zh-CN"/>
        </w:rPr>
        <w:t xml:space="preserve"> القصيرة الأجل للسببي</w:t>
      </w:r>
      <w:r w:rsidR="000761AE">
        <w:rPr>
          <w:rFonts w:eastAsia="SimSun" w:hint="cs"/>
          <w:rtl/>
          <w:lang w:eastAsia="zh-CN"/>
        </w:rPr>
        <w:t>ن التاليين: "1" تشير هذه التصنيفات</w:t>
      </w:r>
      <w:r>
        <w:rPr>
          <w:rFonts w:eastAsia="SimSun" w:hint="cs"/>
          <w:rtl/>
          <w:lang w:eastAsia="zh-CN"/>
        </w:rPr>
        <w:t xml:space="preserve"> إلى احتمال التعثر المالي خلال سنة ونظراً إلى أن جميع إيداعات الويبو تكون </w:t>
      </w:r>
      <w:r w:rsidR="000761AE">
        <w:rPr>
          <w:rFonts w:eastAsia="SimSun" w:hint="cs"/>
          <w:rtl/>
          <w:lang w:eastAsia="zh-CN"/>
        </w:rPr>
        <w:t xml:space="preserve">مدتها </w:t>
      </w:r>
      <w:r>
        <w:rPr>
          <w:rFonts w:eastAsia="SimSun" w:hint="cs"/>
          <w:rtl/>
          <w:lang w:eastAsia="zh-CN"/>
        </w:rPr>
        <w:t xml:space="preserve">أقل من اثني عشر شهراً، فيبدو استخدام </w:t>
      </w:r>
      <w:r w:rsidR="008E7C6B">
        <w:rPr>
          <w:rFonts w:eastAsia="SimSun" w:hint="cs"/>
          <w:rtl/>
          <w:lang w:eastAsia="zh-CN"/>
        </w:rPr>
        <w:t>التصنيفات الائتمانية</w:t>
      </w:r>
      <w:r>
        <w:rPr>
          <w:rFonts w:eastAsia="SimSun" w:hint="cs"/>
          <w:rtl/>
          <w:lang w:eastAsia="zh-CN"/>
        </w:rPr>
        <w:t xml:space="preserve"> القصيرة الأجل</w:t>
      </w:r>
      <w:r w:rsidR="000761AE">
        <w:rPr>
          <w:rFonts w:eastAsia="SimSun" w:hint="cs"/>
          <w:rtl/>
          <w:lang w:eastAsia="zh-CN"/>
        </w:rPr>
        <w:t xml:space="preserve"> ملائماً</w:t>
      </w:r>
      <w:r>
        <w:rPr>
          <w:rFonts w:eastAsia="SimSun" w:hint="cs"/>
          <w:rtl/>
          <w:lang w:eastAsia="zh-CN"/>
        </w:rPr>
        <w:t>؛ "2"</w:t>
      </w:r>
      <w:r w:rsidR="00DC07F8">
        <w:rPr>
          <w:rFonts w:eastAsia="SimSun" w:hint="eastAsia"/>
          <w:rtl/>
          <w:lang w:eastAsia="zh-CN"/>
        </w:rPr>
        <w:t> </w:t>
      </w:r>
      <w:r>
        <w:rPr>
          <w:rFonts w:eastAsia="SimSun" w:hint="cs"/>
          <w:rtl/>
          <w:lang w:eastAsia="zh-CN"/>
        </w:rPr>
        <w:t xml:space="preserve">تتلقى المؤسسات المالية أحياناً </w:t>
      </w:r>
      <w:r w:rsidR="000761AE">
        <w:rPr>
          <w:rFonts w:eastAsia="SimSun" w:hint="cs"/>
          <w:rtl/>
          <w:lang w:eastAsia="zh-CN"/>
        </w:rPr>
        <w:t>تصنيفات</w:t>
      </w:r>
      <w:r>
        <w:rPr>
          <w:rFonts w:eastAsia="SimSun" w:hint="cs"/>
          <w:rtl/>
          <w:lang w:eastAsia="zh-CN"/>
        </w:rPr>
        <w:t xml:space="preserve"> ائتمانية قصيرة </w:t>
      </w:r>
      <w:r w:rsidR="000761AE">
        <w:rPr>
          <w:rFonts w:eastAsia="SimSun" w:hint="cs"/>
          <w:rtl/>
          <w:lang w:eastAsia="zh-CN"/>
        </w:rPr>
        <w:t>الأجل</w:t>
      </w:r>
      <w:r>
        <w:rPr>
          <w:rFonts w:eastAsia="SimSun" w:hint="cs"/>
          <w:rtl/>
          <w:lang w:eastAsia="zh-CN"/>
        </w:rPr>
        <w:t xml:space="preserve"> تكون أعلى نسبياً من </w:t>
      </w:r>
      <w:r w:rsidR="000761AE">
        <w:rPr>
          <w:rFonts w:eastAsia="SimSun" w:hint="cs"/>
          <w:rtl/>
          <w:lang w:eastAsia="zh-CN"/>
        </w:rPr>
        <w:t>تصنيفات</w:t>
      </w:r>
      <w:r>
        <w:rPr>
          <w:rFonts w:eastAsia="SimSun" w:hint="cs"/>
          <w:rtl/>
          <w:lang w:eastAsia="zh-CN"/>
        </w:rPr>
        <w:t xml:space="preserve">ها </w:t>
      </w:r>
      <w:r w:rsidR="000761AE">
        <w:rPr>
          <w:rFonts w:eastAsia="SimSun" w:hint="cs"/>
          <w:rtl/>
          <w:lang w:eastAsia="zh-CN"/>
        </w:rPr>
        <w:t>الطويلة الأجل</w:t>
      </w:r>
      <w:r>
        <w:rPr>
          <w:rFonts w:eastAsia="SimSun" w:hint="cs"/>
          <w:rtl/>
          <w:lang w:eastAsia="zh-CN"/>
        </w:rPr>
        <w:t xml:space="preserve">. وهذا هو حال مصرف </w:t>
      </w:r>
      <w:proofErr w:type="spellStart"/>
      <w:r>
        <w:rPr>
          <w:rFonts w:eastAsia="SimSun"/>
          <w:lang w:eastAsia="zh-CN"/>
        </w:rPr>
        <w:t>Société</w:t>
      </w:r>
      <w:proofErr w:type="spellEnd"/>
      <w:r>
        <w:rPr>
          <w:rFonts w:eastAsia="SimSun"/>
          <w:lang w:eastAsia="zh-CN"/>
        </w:rPr>
        <w:t> </w:t>
      </w:r>
      <w:proofErr w:type="spellStart"/>
      <w:r>
        <w:rPr>
          <w:rFonts w:eastAsia="SimSun"/>
          <w:lang w:eastAsia="zh-CN"/>
        </w:rPr>
        <w:t>Générale</w:t>
      </w:r>
      <w:proofErr w:type="spellEnd"/>
      <w:r>
        <w:rPr>
          <w:rFonts w:eastAsia="SimSun" w:hint="cs"/>
          <w:rtl/>
          <w:lang w:eastAsia="zh-CN"/>
        </w:rPr>
        <w:t xml:space="preserve"> الذي يتمتع ب</w:t>
      </w:r>
      <w:r w:rsidR="000761AE">
        <w:rPr>
          <w:rFonts w:eastAsia="SimSun" w:hint="cs"/>
          <w:rtl/>
          <w:lang w:eastAsia="zh-CN"/>
        </w:rPr>
        <w:t>تصنيف</w:t>
      </w:r>
      <w:r>
        <w:rPr>
          <w:rFonts w:eastAsia="SimSun" w:hint="cs"/>
          <w:rtl/>
          <w:lang w:eastAsia="zh-CN"/>
        </w:rPr>
        <w:t xml:space="preserve"> قصير </w:t>
      </w:r>
      <w:r w:rsidR="000761AE">
        <w:rPr>
          <w:rFonts w:eastAsia="SimSun" w:hint="cs"/>
          <w:rtl/>
          <w:lang w:eastAsia="zh-CN"/>
        </w:rPr>
        <w:t>الأجل</w:t>
      </w:r>
      <w:r>
        <w:rPr>
          <w:rFonts w:eastAsia="SimSun" w:hint="cs"/>
          <w:rtl/>
          <w:lang w:eastAsia="zh-CN"/>
        </w:rPr>
        <w:t xml:space="preserve"> (</w:t>
      </w:r>
      <w:r>
        <w:rPr>
          <w:rFonts w:eastAsia="SimSun"/>
          <w:lang w:eastAsia="zh-CN"/>
        </w:rPr>
        <w:t>P1</w:t>
      </w:r>
      <w:r>
        <w:rPr>
          <w:rFonts w:eastAsia="SimSun" w:hint="cs"/>
          <w:rtl/>
          <w:lang w:eastAsia="zh-CN"/>
        </w:rPr>
        <w:t xml:space="preserve">) </w:t>
      </w:r>
      <w:proofErr w:type="gramStart"/>
      <w:r>
        <w:rPr>
          <w:rFonts w:eastAsia="SimSun" w:hint="cs"/>
          <w:rtl/>
          <w:lang w:eastAsia="zh-CN"/>
        </w:rPr>
        <w:t>يمكن</w:t>
      </w:r>
      <w:proofErr w:type="gramEnd"/>
      <w:r>
        <w:rPr>
          <w:rFonts w:eastAsia="SimSun" w:hint="cs"/>
          <w:rtl/>
          <w:lang w:eastAsia="zh-CN"/>
        </w:rPr>
        <w:t xml:space="preserve"> اعتباره معادل</w:t>
      </w:r>
      <w:r w:rsidR="00DC07F8">
        <w:rPr>
          <w:rFonts w:eastAsia="SimSun" w:hint="cs"/>
          <w:rtl/>
          <w:lang w:eastAsia="zh-CN"/>
        </w:rPr>
        <w:t>اً</w:t>
      </w:r>
      <w:r>
        <w:rPr>
          <w:rFonts w:eastAsia="SimSun" w:hint="cs"/>
          <w:rtl/>
          <w:lang w:eastAsia="zh-CN"/>
        </w:rPr>
        <w:t xml:space="preserve"> لل</w:t>
      </w:r>
      <w:r w:rsidR="00DC07F8">
        <w:rPr>
          <w:rFonts w:eastAsia="SimSun" w:hint="cs"/>
          <w:rtl/>
          <w:lang w:eastAsia="zh-CN"/>
        </w:rPr>
        <w:t>تصنيف</w:t>
      </w:r>
      <w:r>
        <w:rPr>
          <w:rFonts w:eastAsia="SimSun" w:hint="cs"/>
          <w:rtl/>
          <w:lang w:eastAsia="zh-CN"/>
        </w:rPr>
        <w:t xml:space="preserve"> الطويل الأجل المطلوب في السياسة وه</w:t>
      </w:r>
      <w:r w:rsidR="00DC07F8">
        <w:rPr>
          <w:rFonts w:eastAsia="SimSun" w:hint="cs"/>
          <w:rtl/>
          <w:lang w:eastAsia="zh-CN"/>
        </w:rPr>
        <w:t>و</w:t>
      </w:r>
      <w:r>
        <w:rPr>
          <w:rFonts w:eastAsia="SimSun" w:hint="cs"/>
          <w:rtl/>
          <w:lang w:eastAsia="zh-CN"/>
        </w:rPr>
        <w:t xml:space="preserve"> </w:t>
      </w:r>
      <w:r>
        <w:rPr>
          <w:rFonts w:eastAsia="SimSun"/>
          <w:lang w:eastAsia="zh-CN"/>
        </w:rPr>
        <w:t>Aa3</w:t>
      </w:r>
      <w:r>
        <w:rPr>
          <w:rFonts w:eastAsia="SimSun" w:hint="cs"/>
          <w:rtl/>
          <w:lang w:eastAsia="zh-CN"/>
        </w:rPr>
        <w:t>.</w:t>
      </w:r>
    </w:p>
    <w:p w:rsidR="00A752B1" w:rsidRDefault="00A752B1" w:rsidP="00457AEF">
      <w:pPr>
        <w:pStyle w:val="NormalParaAR"/>
        <w:numPr>
          <w:ilvl w:val="0"/>
          <w:numId w:val="39"/>
        </w:numPr>
        <w:ind w:left="0" w:firstLine="0"/>
        <w:rPr>
          <w:rFonts w:eastAsia="SimSun"/>
          <w:lang w:eastAsia="zh-CN"/>
        </w:rPr>
      </w:pPr>
      <w:proofErr w:type="gramStart"/>
      <w:r>
        <w:rPr>
          <w:rFonts w:eastAsia="SimSun" w:hint="cs"/>
          <w:rtl/>
          <w:lang w:eastAsia="zh-CN"/>
        </w:rPr>
        <w:t>وبي</w:t>
      </w:r>
      <w:r w:rsidR="00DC07F8">
        <w:rPr>
          <w:rFonts w:eastAsia="SimSun" w:hint="cs"/>
          <w:rtl/>
          <w:lang w:eastAsia="zh-CN"/>
        </w:rPr>
        <w:t>َّ</w:t>
      </w:r>
      <w:r>
        <w:rPr>
          <w:rFonts w:eastAsia="SimSun" w:hint="cs"/>
          <w:rtl/>
          <w:lang w:eastAsia="zh-CN"/>
        </w:rPr>
        <w:t>ن</w:t>
      </w:r>
      <w:proofErr w:type="gramEnd"/>
      <w:r>
        <w:rPr>
          <w:rFonts w:eastAsia="SimSun" w:hint="cs"/>
          <w:rtl/>
          <w:lang w:eastAsia="zh-CN"/>
        </w:rPr>
        <w:t xml:space="preserve"> استعراض لسياسات الاستثمار في وكالات أخرى أن العديد منها </w:t>
      </w:r>
      <w:r w:rsidR="00DC07F8">
        <w:rPr>
          <w:rFonts w:eastAsia="SimSun" w:hint="cs"/>
          <w:rtl/>
          <w:lang w:eastAsia="zh-CN"/>
        </w:rPr>
        <w:t>تميز</w:t>
      </w:r>
      <w:r>
        <w:rPr>
          <w:rFonts w:eastAsia="SimSun" w:hint="cs"/>
          <w:rtl/>
          <w:lang w:eastAsia="zh-CN"/>
        </w:rPr>
        <w:t xml:space="preserve"> بين الاستثمارات القصيرة والطويلة الأجل رغم أنه لا وجود لتعريف موحد بشأن الأجل القصير. </w:t>
      </w:r>
      <w:proofErr w:type="gramStart"/>
      <w:r>
        <w:rPr>
          <w:rFonts w:eastAsia="SimSun" w:hint="cs"/>
          <w:rtl/>
          <w:lang w:eastAsia="zh-CN"/>
        </w:rPr>
        <w:t>فبالنسبة</w:t>
      </w:r>
      <w:proofErr w:type="gramEnd"/>
      <w:r>
        <w:rPr>
          <w:rFonts w:eastAsia="SimSun" w:hint="cs"/>
          <w:rtl/>
          <w:lang w:eastAsia="zh-CN"/>
        </w:rPr>
        <w:t xml:space="preserve"> إلى بعض الوكالات، </w:t>
      </w:r>
      <w:r w:rsidR="00DC07F8">
        <w:rPr>
          <w:rFonts w:eastAsia="SimSun" w:hint="cs"/>
          <w:rtl/>
          <w:lang w:eastAsia="zh-CN"/>
        </w:rPr>
        <w:t>قد يكون</w:t>
      </w:r>
      <w:r w:rsidR="00457AEF">
        <w:rPr>
          <w:rFonts w:eastAsia="SimSun" w:hint="cs"/>
          <w:rtl/>
          <w:lang w:eastAsia="zh-CN"/>
        </w:rPr>
        <w:t xml:space="preserve"> الأجل</w:t>
      </w:r>
      <w:r>
        <w:rPr>
          <w:rFonts w:eastAsia="SimSun" w:hint="cs"/>
          <w:rtl/>
          <w:lang w:eastAsia="zh-CN"/>
        </w:rPr>
        <w:t xml:space="preserve"> قصيراً قصر ثلاثة أشهر أو طويلاً طول سنة واحدة. </w:t>
      </w:r>
      <w:r w:rsidR="00DC07F8">
        <w:rPr>
          <w:rFonts w:eastAsia="SimSun" w:hint="cs"/>
          <w:rtl/>
          <w:lang w:eastAsia="zh-CN"/>
        </w:rPr>
        <w:t>أما ب</w:t>
      </w:r>
      <w:r>
        <w:rPr>
          <w:rFonts w:eastAsia="SimSun" w:hint="cs"/>
          <w:rtl/>
          <w:lang w:eastAsia="zh-CN"/>
        </w:rPr>
        <w:t xml:space="preserve">النسبة إلى الويبو، </w:t>
      </w:r>
      <w:r w:rsidR="00DC07F8">
        <w:rPr>
          <w:rFonts w:eastAsia="SimSun" w:hint="cs"/>
          <w:rtl/>
          <w:lang w:eastAsia="zh-CN"/>
        </w:rPr>
        <w:t>ف</w:t>
      </w:r>
      <w:r>
        <w:rPr>
          <w:rFonts w:eastAsia="SimSun" w:hint="cs"/>
          <w:rtl/>
          <w:lang w:eastAsia="zh-CN"/>
        </w:rPr>
        <w:t>ي</w:t>
      </w:r>
      <w:r w:rsidR="00DC07F8">
        <w:rPr>
          <w:rFonts w:eastAsia="SimSun" w:hint="cs"/>
          <w:rtl/>
          <w:lang w:eastAsia="zh-CN"/>
        </w:rPr>
        <w:t>ُ</w:t>
      </w:r>
      <w:r>
        <w:rPr>
          <w:rFonts w:eastAsia="SimSun" w:hint="cs"/>
          <w:rtl/>
          <w:lang w:eastAsia="zh-CN"/>
        </w:rPr>
        <w:t>قترح اعتبار استثمار مدته ستة أشهر استثمار</w:t>
      </w:r>
      <w:r w:rsidR="00457AEF">
        <w:rPr>
          <w:rFonts w:eastAsia="SimSun" w:hint="cs"/>
          <w:rtl/>
          <w:lang w:eastAsia="zh-CN"/>
        </w:rPr>
        <w:t>اً</w:t>
      </w:r>
      <w:r>
        <w:rPr>
          <w:rFonts w:eastAsia="SimSun" w:hint="cs"/>
          <w:rtl/>
          <w:lang w:eastAsia="zh-CN"/>
        </w:rPr>
        <w:t xml:space="preserve"> قصير الأجل.</w:t>
      </w:r>
    </w:p>
    <w:p w:rsidR="00A752B1" w:rsidRDefault="00A752B1" w:rsidP="00A752B1">
      <w:pPr>
        <w:pStyle w:val="NormalParaAR"/>
        <w:keepNext/>
        <w:rPr>
          <w:rFonts w:eastAsia="SimSun"/>
          <w:u w:val="single"/>
          <w:lang w:eastAsia="zh-CN"/>
        </w:rPr>
      </w:pPr>
      <w:r>
        <w:rPr>
          <w:rFonts w:eastAsia="SimSun" w:hint="cs"/>
          <w:u w:val="single"/>
          <w:rtl/>
          <w:lang w:eastAsia="zh-CN"/>
        </w:rPr>
        <w:t>تنويع المؤسسات المالية</w:t>
      </w:r>
    </w:p>
    <w:p w:rsidR="003100F6" w:rsidRPr="008A0012" w:rsidRDefault="003100F6" w:rsidP="00457AEF">
      <w:pPr>
        <w:pStyle w:val="NormalParaAR"/>
        <w:numPr>
          <w:ilvl w:val="0"/>
          <w:numId w:val="39"/>
        </w:numPr>
        <w:ind w:left="0" w:firstLine="0"/>
        <w:rPr>
          <w:rFonts w:eastAsia="SimSun"/>
          <w:u w:val="single"/>
          <w:lang w:eastAsia="zh-CN"/>
        </w:rPr>
      </w:pPr>
      <w:r>
        <w:rPr>
          <w:rFonts w:eastAsia="SimSun" w:hint="cs"/>
          <w:rtl/>
          <w:lang w:eastAsia="zh-CN"/>
        </w:rPr>
        <w:t>تتطلب سياسة الاستثمار تنويعاً ملائماً للمؤسسات المالية، "</w:t>
      </w:r>
      <w:r w:rsidRPr="003100F6">
        <w:rPr>
          <w:rFonts w:eastAsia="SimSun"/>
          <w:rtl/>
          <w:lang w:eastAsia="zh-CN"/>
        </w:rPr>
        <w:t>بحيث لا يكون أكثر من عشرة بالمائة من الاستثمار عرضة لمؤسسة واحدة في الوقت نفسه، باستثناء المؤسسات ذات المخاطر السيادية ومعدلات الثقة المرتفعة (</w:t>
      </w:r>
      <w:r w:rsidRPr="003100F6">
        <w:rPr>
          <w:rFonts w:eastAsia="SimSun"/>
          <w:lang w:eastAsia="zh-CN"/>
        </w:rPr>
        <w:t>AAA/</w:t>
      </w:r>
      <w:proofErr w:type="spellStart"/>
      <w:r w:rsidRPr="003100F6">
        <w:rPr>
          <w:rFonts w:eastAsia="SimSun"/>
          <w:lang w:eastAsia="zh-CN"/>
        </w:rPr>
        <w:t>Aa</w:t>
      </w:r>
      <w:r>
        <w:rPr>
          <w:rFonts w:eastAsia="SimSun"/>
          <w:lang w:eastAsia="zh-CN"/>
        </w:rPr>
        <w:t>a</w:t>
      </w:r>
      <w:proofErr w:type="spellEnd"/>
      <w:r>
        <w:rPr>
          <w:rFonts w:eastAsia="SimSun"/>
          <w:rtl/>
          <w:lang w:eastAsia="zh-CN"/>
        </w:rPr>
        <w:t>) التي لا قيد عليها أو حد</w:t>
      </w:r>
      <w:r>
        <w:rPr>
          <w:rFonts w:eastAsia="SimSun" w:hint="cs"/>
          <w:rtl/>
          <w:lang w:eastAsia="zh-CN"/>
        </w:rPr>
        <w:t xml:space="preserve">". </w:t>
      </w:r>
      <w:proofErr w:type="gramStart"/>
      <w:r>
        <w:rPr>
          <w:rFonts w:eastAsia="SimSun" w:hint="cs"/>
          <w:rtl/>
          <w:lang w:eastAsia="zh-CN"/>
        </w:rPr>
        <w:t>وكما</w:t>
      </w:r>
      <w:proofErr w:type="gramEnd"/>
      <w:r>
        <w:rPr>
          <w:rFonts w:eastAsia="SimSun" w:hint="cs"/>
          <w:rtl/>
          <w:lang w:eastAsia="zh-CN"/>
        </w:rPr>
        <w:t xml:space="preserve"> وُضح في الفقرة 10 أعلاه، وُجد أنه يستحال حالياً إيداع فرنكات سويسرية في مصرف خارجي وتحقيق فائدة</w:t>
      </w:r>
      <w:r w:rsidR="00254AF2">
        <w:rPr>
          <w:rFonts w:eastAsia="SimSun" w:hint="cs"/>
          <w:rtl/>
          <w:lang w:eastAsia="zh-CN"/>
        </w:rPr>
        <w:t xml:space="preserve"> عليها</w:t>
      </w:r>
      <w:r>
        <w:rPr>
          <w:rFonts w:eastAsia="SimSun" w:hint="cs"/>
          <w:rtl/>
          <w:lang w:eastAsia="zh-CN"/>
        </w:rPr>
        <w:t xml:space="preserve">. وإضافة إلى ذلك، أظهرت تجربة منظمة العمل الدولية والمنظمة العالمية للأرصاد الجوية صعوبة </w:t>
      </w:r>
      <w:r w:rsidR="008A0012">
        <w:rPr>
          <w:rFonts w:eastAsia="SimSun" w:hint="cs"/>
          <w:rtl/>
          <w:lang w:eastAsia="zh-CN"/>
        </w:rPr>
        <w:t>العثور على عدد كافٍ من المؤسسات في سويسرا بغية تنويع المخاطر تنو</w:t>
      </w:r>
      <w:r w:rsidR="00254AF2">
        <w:rPr>
          <w:rFonts w:eastAsia="SimSun" w:hint="cs"/>
          <w:rtl/>
          <w:lang w:eastAsia="zh-CN"/>
        </w:rPr>
        <w:t>ي</w:t>
      </w:r>
      <w:r w:rsidR="008A0012">
        <w:rPr>
          <w:rFonts w:eastAsia="SimSun" w:hint="cs"/>
          <w:rtl/>
          <w:lang w:eastAsia="zh-CN"/>
        </w:rPr>
        <w:t>عاً ملائماً. وعلى غرار سياسة</w:t>
      </w:r>
      <w:r w:rsidR="00457AEF">
        <w:rPr>
          <w:rFonts w:eastAsia="SimSun" w:hint="cs"/>
          <w:rtl/>
          <w:lang w:eastAsia="zh-CN"/>
        </w:rPr>
        <w:t xml:space="preserve"> الويبو، تنص سياسة الاستثمار الخاصة ب</w:t>
      </w:r>
      <w:r w:rsidR="008A0012">
        <w:rPr>
          <w:rFonts w:eastAsia="SimSun" w:hint="cs"/>
          <w:rtl/>
          <w:lang w:eastAsia="zh-CN"/>
        </w:rPr>
        <w:t xml:space="preserve">منظمة العمل الدولية على </w:t>
      </w:r>
      <w:r w:rsidR="00254AF2">
        <w:rPr>
          <w:rFonts w:eastAsia="SimSun" w:hint="cs"/>
          <w:rtl/>
          <w:lang w:eastAsia="zh-CN"/>
        </w:rPr>
        <w:t>ضرورة</w:t>
      </w:r>
      <w:r w:rsidR="008A0012">
        <w:rPr>
          <w:rFonts w:eastAsia="SimSun" w:hint="cs"/>
          <w:rtl/>
          <w:lang w:eastAsia="zh-CN"/>
        </w:rPr>
        <w:t xml:space="preserve"> توزيع مخاطر الاستثمار على ما لا يقل عن عشر مؤسسات</w:t>
      </w:r>
      <w:r w:rsidR="00254AF2">
        <w:rPr>
          <w:rFonts w:eastAsia="SimSun" w:hint="cs"/>
          <w:rtl/>
          <w:lang w:eastAsia="zh-CN"/>
        </w:rPr>
        <w:t>،</w:t>
      </w:r>
      <w:r w:rsidR="008A0012">
        <w:rPr>
          <w:rFonts w:eastAsia="SimSun" w:hint="cs"/>
          <w:rtl/>
          <w:lang w:eastAsia="zh-CN"/>
        </w:rPr>
        <w:t xml:space="preserve"> ولكن تحقيقاً للفائدة على إيداعاتها، أصدر المراقب المالي قراراً </w:t>
      </w:r>
      <w:r w:rsidR="00254AF2">
        <w:rPr>
          <w:rFonts w:eastAsia="SimSun" w:hint="cs"/>
          <w:rtl/>
          <w:lang w:eastAsia="zh-CN"/>
        </w:rPr>
        <w:t>غالباً في الأسبقية</w:t>
      </w:r>
      <w:r w:rsidR="008A0012">
        <w:rPr>
          <w:rFonts w:eastAsia="SimSun" w:hint="cs"/>
          <w:rtl/>
          <w:lang w:eastAsia="zh-CN"/>
        </w:rPr>
        <w:t xml:space="preserve"> لتمكين قسم الخزانة في منظمة العمل الدولية من تقسيم إيداعاته النقدية بين ثلاث مؤسسات فقط.</w:t>
      </w:r>
    </w:p>
    <w:p w:rsidR="008A0012" w:rsidRPr="00254AF2" w:rsidRDefault="008A0012" w:rsidP="005A795C">
      <w:pPr>
        <w:pStyle w:val="NormalParaAR"/>
        <w:numPr>
          <w:ilvl w:val="0"/>
          <w:numId w:val="39"/>
        </w:numPr>
        <w:ind w:left="0" w:firstLine="0"/>
        <w:rPr>
          <w:rFonts w:eastAsia="SimSun"/>
          <w:u w:val="single"/>
          <w:lang w:eastAsia="zh-CN"/>
        </w:rPr>
      </w:pPr>
      <w:r>
        <w:rPr>
          <w:rFonts w:eastAsia="SimSun" w:hint="cs"/>
          <w:rtl/>
          <w:lang w:eastAsia="zh-CN"/>
        </w:rPr>
        <w:t xml:space="preserve">ومعالجة لهذه المسألة، يمكن للويبو أن تسعى إلى زيادة عدد شركائها من المصارف </w:t>
      </w:r>
      <w:r w:rsidR="005A795C">
        <w:rPr>
          <w:rFonts w:eastAsia="SimSun" w:hint="cs"/>
          <w:rtl/>
          <w:lang w:eastAsia="zh-CN"/>
        </w:rPr>
        <w:t>ب</w:t>
      </w:r>
      <w:r w:rsidR="0069472A">
        <w:rPr>
          <w:rFonts w:eastAsia="SimSun" w:hint="cs"/>
          <w:rtl/>
          <w:lang w:eastAsia="zh-CN"/>
        </w:rPr>
        <w:t>ضم</w:t>
      </w:r>
      <w:r>
        <w:rPr>
          <w:rFonts w:eastAsia="SimSun" w:hint="cs"/>
          <w:rtl/>
          <w:lang w:eastAsia="zh-CN"/>
        </w:rPr>
        <w:t xml:space="preserve"> مصارف لا تعرض حالياً أي</w:t>
      </w:r>
      <w:r w:rsidR="005A795C">
        <w:rPr>
          <w:rFonts w:eastAsia="SimSun" w:hint="cs"/>
          <w:rtl/>
          <w:lang w:eastAsia="zh-CN"/>
        </w:rPr>
        <w:t>ة</w:t>
      </w:r>
      <w:r>
        <w:rPr>
          <w:rFonts w:eastAsia="SimSun" w:hint="cs"/>
          <w:rtl/>
          <w:lang w:eastAsia="zh-CN"/>
        </w:rPr>
        <w:t xml:space="preserve"> فائدة على الإيداعات بالفرنك السويسري، </w:t>
      </w:r>
      <w:r w:rsidR="0069472A">
        <w:rPr>
          <w:rFonts w:eastAsia="SimSun" w:hint="cs"/>
          <w:rtl/>
          <w:lang w:eastAsia="zh-CN"/>
        </w:rPr>
        <w:t>أي قبول عدم تحقيق أي فائدة، ويمكن كذلك إقامة علاقة مع المكتب البريدي السويسري كما اقترح آنفاً. وإضافة إلى ذلك، يمكن تخويل المراقب المالي سلطة تجاوز هذا القسم من السياسة بحسب الظروف السائدة</w:t>
      </w:r>
      <w:r w:rsidR="00254AF2">
        <w:rPr>
          <w:rFonts w:eastAsia="SimSun" w:hint="cs"/>
          <w:rtl/>
          <w:lang w:eastAsia="zh-CN"/>
        </w:rPr>
        <w:t xml:space="preserve"> في السوق النقدية المسعرة بالفرنك السويسري.</w:t>
      </w:r>
    </w:p>
    <w:p w:rsidR="00254AF2" w:rsidRPr="00254AF2" w:rsidRDefault="00254AF2" w:rsidP="00254AF2">
      <w:pPr>
        <w:pStyle w:val="NormalParaAR"/>
        <w:keepNext/>
        <w:rPr>
          <w:rFonts w:eastAsia="SimSun"/>
          <w:u w:val="single"/>
          <w:lang w:eastAsia="zh-CN"/>
        </w:rPr>
      </w:pPr>
      <w:r>
        <w:rPr>
          <w:rFonts w:eastAsia="SimSun" w:hint="cs"/>
          <w:u w:val="single"/>
          <w:rtl/>
          <w:lang w:eastAsia="zh-CN"/>
        </w:rPr>
        <w:lastRenderedPageBreak/>
        <w:t>المؤشرات المرجعية</w:t>
      </w:r>
      <w:r w:rsidRPr="00254AF2">
        <w:rPr>
          <w:rFonts w:eastAsia="SimSun" w:hint="cs"/>
          <w:u w:val="single"/>
          <w:rtl/>
          <w:lang w:eastAsia="zh-CN"/>
        </w:rPr>
        <w:t xml:space="preserve"> </w:t>
      </w:r>
      <w:r>
        <w:rPr>
          <w:rFonts w:eastAsia="SimSun" w:hint="cs"/>
          <w:u w:val="single"/>
          <w:rtl/>
          <w:lang w:eastAsia="zh-CN"/>
        </w:rPr>
        <w:t>ل</w:t>
      </w:r>
      <w:r w:rsidRPr="00254AF2">
        <w:rPr>
          <w:rFonts w:eastAsia="SimSun" w:hint="cs"/>
          <w:u w:val="single"/>
          <w:rtl/>
          <w:lang w:eastAsia="zh-CN"/>
        </w:rPr>
        <w:t>لعائدات</w:t>
      </w:r>
    </w:p>
    <w:p w:rsidR="00254AF2" w:rsidRDefault="00254AF2" w:rsidP="005A795C">
      <w:pPr>
        <w:pStyle w:val="NormalParaAR"/>
        <w:numPr>
          <w:ilvl w:val="0"/>
          <w:numId w:val="39"/>
        </w:numPr>
        <w:ind w:left="0" w:firstLine="0"/>
        <w:rPr>
          <w:rFonts w:eastAsia="SimSun"/>
          <w:rtl/>
          <w:lang w:eastAsia="zh-CN"/>
        </w:rPr>
      </w:pPr>
      <w:r w:rsidRPr="00254AF2">
        <w:rPr>
          <w:rFonts w:eastAsia="SimSun" w:hint="cs"/>
          <w:rtl/>
          <w:lang w:eastAsia="zh-CN"/>
        </w:rPr>
        <w:t>وضعت السياسة</w:t>
      </w:r>
      <w:r>
        <w:rPr>
          <w:rFonts w:eastAsia="SimSun" w:hint="cs"/>
          <w:rtl/>
          <w:lang w:eastAsia="zh-CN"/>
        </w:rPr>
        <w:t xml:space="preserve"> مؤشراً مرجعياً </w:t>
      </w:r>
      <w:r w:rsidR="005A795C">
        <w:rPr>
          <w:rFonts w:eastAsia="SimSun" w:hint="cs"/>
          <w:rtl/>
          <w:lang w:eastAsia="zh-CN"/>
        </w:rPr>
        <w:t>مساوياً</w:t>
      </w:r>
      <w:r>
        <w:rPr>
          <w:rFonts w:eastAsia="SimSun" w:hint="cs"/>
          <w:rtl/>
          <w:lang w:eastAsia="zh-CN"/>
        </w:rPr>
        <w:t xml:space="preserve"> لمعدل العائد المحقق </w:t>
      </w:r>
      <w:r w:rsidR="005A795C">
        <w:rPr>
          <w:rFonts w:eastAsia="SimSun" w:hint="cs"/>
          <w:rtl/>
          <w:lang w:eastAsia="zh-CN"/>
        </w:rPr>
        <w:t>من</w:t>
      </w:r>
      <w:r>
        <w:rPr>
          <w:rFonts w:eastAsia="SimSun" w:hint="cs"/>
          <w:rtl/>
          <w:lang w:eastAsia="zh-CN"/>
        </w:rPr>
        <w:t xml:space="preserve"> الإيداعات في المصرف الوطني السويسري. ومن الآن فصاعداً، لن يكون هذا المؤشر المرجعي واقعياً إذ تبين أن عائدات المصرف الوطني السويسري كانت أعلى من المعدلات السائدة في السوق بانتظام، غير أن هذه المعلومة لن تتوافر بعد ذلك للويبو. </w:t>
      </w:r>
      <w:proofErr w:type="gramStart"/>
      <w:r>
        <w:rPr>
          <w:rFonts w:eastAsia="SimSun" w:hint="cs"/>
          <w:rtl/>
          <w:lang w:eastAsia="zh-CN"/>
        </w:rPr>
        <w:t>وعجز</w:t>
      </w:r>
      <w:proofErr w:type="gramEnd"/>
      <w:r>
        <w:rPr>
          <w:rFonts w:eastAsia="SimSun" w:hint="cs"/>
          <w:rtl/>
          <w:lang w:eastAsia="zh-CN"/>
        </w:rPr>
        <w:t xml:space="preserve"> البحث في الوكالات الأخرى حتى الآ</w:t>
      </w:r>
      <w:r w:rsidR="005A795C">
        <w:rPr>
          <w:rFonts w:eastAsia="SimSun" w:hint="cs"/>
          <w:rtl/>
          <w:lang w:eastAsia="zh-CN"/>
        </w:rPr>
        <w:t>ن عن كشف استخدام أي مؤشر مرجعي للإيداعات بالفرنك السويسري ولكن يُقترح مواصلة هذا البحث بغية اقتراح مؤشر مرجعي مناسب.</w:t>
      </w:r>
    </w:p>
    <w:p w:rsidR="005A795C" w:rsidRDefault="005A795C" w:rsidP="005A795C">
      <w:pPr>
        <w:pStyle w:val="NormalParaAR"/>
        <w:keepNext/>
        <w:rPr>
          <w:rFonts w:eastAsia="SimSun"/>
          <w:b/>
          <w:bCs/>
          <w:rtl/>
          <w:lang w:eastAsia="zh-CN"/>
        </w:rPr>
      </w:pPr>
      <w:r w:rsidRPr="00EE1147">
        <w:rPr>
          <w:rFonts w:hint="cs"/>
          <w:b/>
          <w:bCs/>
          <w:sz w:val="40"/>
          <w:szCs w:val="40"/>
          <w:rtl/>
        </w:rPr>
        <w:t xml:space="preserve">سياسة الخزانة بشأن خطر </w:t>
      </w:r>
      <w:proofErr w:type="gramStart"/>
      <w:r w:rsidRPr="00EE1147">
        <w:rPr>
          <w:rFonts w:hint="cs"/>
          <w:b/>
          <w:bCs/>
          <w:sz w:val="40"/>
          <w:szCs w:val="40"/>
          <w:rtl/>
        </w:rPr>
        <w:t>تخلف</w:t>
      </w:r>
      <w:proofErr w:type="gramEnd"/>
      <w:r w:rsidRPr="00EE1147">
        <w:rPr>
          <w:rFonts w:hint="cs"/>
          <w:b/>
          <w:bCs/>
          <w:sz w:val="40"/>
          <w:szCs w:val="40"/>
          <w:rtl/>
        </w:rPr>
        <w:t xml:space="preserve"> الجهة المقابلة</w:t>
      </w:r>
    </w:p>
    <w:p w:rsidR="005A795C" w:rsidRDefault="00AF7014" w:rsidP="00F91F55">
      <w:pPr>
        <w:pStyle w:val="NormalParaAR"/>
        <w:numPr>
          <w:ilvl w:val="0"/>
          <w:numId w:val="39"/>
        </w:numPr>
        <w:ind w:left="0" w:firstLine="0"/>
        <w:rPr>
          <w:rFonts w:eastAsia="SimSun"/>
          <w:lang w:eastAsia="zh-CN"/>
        </w:rPr>
      </w:pPr>
      <w:r>
        <w:rPr>
          <w:rFonts w:eastAsia="SimSun" w:hint="cs"/>
          <w:rtl/>
          <w:lang w:eastAsia="zh-CN"/>
        </w:rPr>
        <w:t>طلبت</w:t>
      </w:r>
      <w:r w:rsidR="005A795C">
        <w:rPr>
          <w:rFonts w:eastAsia="SimSun" w:hint="cs"/>
          <w:rtl/>
          <w:lang w:eastAsia="zh-CN"/>
        </w:rPr>
        <w:t xml:space="preserve"> المنظمة، </w:t>
      </w:r>
      <w:proofErr w:type="gramStart"/>
      <w:r w:rsidR="005A795C">
        <w:rPr>
          <w:rFonts w:eastAsia="SimSun" w:hint="cs"/>
          <w:rtl/>
          <w:lang w:eastAsia="zh-CN"/>
        </w:rPr>
        <w:t>في</w:t>
      </w:r>
      <w:proofErr w:type="gramEnd"/>
      <w:r w:rsidR="005A795C">
        <w:rPr>
          <w:rFonts w:eastAsia="SimSun" w:hint="cs"/>
          <w:rtl/>
          <w:lang w:eastAsia="zh-CN"/>
        </w:rPr>
        <w:t xml:space="preserve"> </w:t>
      </w:r>
      <w:r w:rsidR="00961955">
        <w:rPr>
          <w:rFonts w:eastAsia="SimSun" w:hint="cs"/>
          <w:rtl/>
          <w:lang w:eastAsia="zh-CN"/>
        </w:rPr>
        <w:t>عام</w:t>
      </w:r>
      <w:r w:rsidR="00961955">
        <w:rPr>
          <w:rFonts w:eastAsia="SimSun"/>
          <w:rtl/>
          <w:lang w:eastAsia="zh-CN"/>
        </w:rPr>
        <w:t> </w:t>
      </w:r>
      <w:r w:rsidR="005A795C">
        <w:rPr>
          <w:rFonts w:eastAsia="SimSun" w:hint="cs"/>
          <w:rtl/>
          <w:lang w:eastAsia="zh-CN"/>
        </w:rPr>
        <w:t xml:space="preserve">2013، </w:t>
      </w:r>
      <w:r>
        <w:rPr>
          <w:rFonts w:eastAsia="SimSun" w:hint="cs"/>
          <w:rtl/>
          <w:lang w:eastAsia="zh-CN"/>
        </w:rPr>
        <w:t xml:space="preserve">إعداد دراسة بشأن الممارسات المتبعة في إدارة خزانتها ومواردها النقدية بهدف </w:t>
      </w:r>
      <w:r w:rsidR="002B311F">
        <w:rPr>
          <w:rFonts w:eastAsia="SimSun" w:hint="cs"/>
          <w:rtl/>
          <w:lang w:eastAsia="zh-CN"/>
        </w:rPr>
        <w:t>إدراج سياسة للخزانة فيها. ونُظم</w:t>
      </w:r>
      <w:r>
        <w:rPr>
          <w:rFonts w:eastAsia="SimSun" w:hint="cs"/>
          <w:rtl/>
          <w:lang w:eastAsia="zh-CN"/>
        </w:rPr>
        <w:t xml:space="preserve"> </w:t>
      </w:r>
      <w:r w:rsidR="00D679EC">
        <w:rPr>
          <w:rFonts w:eastAsia="SimSun" w:hint="cs"/>
          <w:rtl/>
          <w:lang w:eastAsia="zh-CN"/>
        </w:rPr>
        <w:t>طلب</w:t>
      </w:r>
      <w:r>
        <w:rPr>
          <w:rFonts w:eastAsia="SimSun" w:hint="cs"/>
          <w:rtl/>
          <w:lang w:eastAsia="zh-CN"/>
        </w:rPr>
        <w:t xml:space="preserve"> العطاءات (063/13)، و</w:t>
      </w:r>
      <w:r w:rsidR="00D679EC">
        <w:rPr>
          <w:rFonts w:eastAsia="SimSun" w:hint="cs"/>
          <w:rtl/>
          <w:lang w:eastAsia="zh-CN"/>
        </w:rPr>
        <w:t>رسا العطاء على</w:t>
      </w:r>
      <w:r>
        <w:rPr>
          <w:rFonts w:eastAsia="SimSun" w:hint="cs"/>
          <w:rtl/>
          <w:lang w:eastAsia="zh-CN"/>
        </w:rPr>
        <w:t xml:space="preserve"> المكتب الاستشاري </w:t>
      </w:r>
      <w:r>
        <w:rPr>
          <w:rFonts w:eastAsia="SimSun"/>
          <w:lang w:eastAsia="zh-CN"/>
        </w:rPr>
        <w:t>FTI Treasury</w:t>
      </w:r>
      <w:r>
        <w:rPr>
          <w:rFonts w:eastAsia="SimSun" w:hint="cs"/>
          <w:rtl/>
          <w:lang w:eastAsia="zh-CN"/>
        </w:rPr>
        <w:t xml:space="preserve"> </w:t>
      </w:r>
      <w:r w:rsidR="00D679EC">
        <w:rPr>
          <w:rFonts w:eastAsia="SimSun" w:hint="cs"/>
          <w:rtl/>
          <w:lang w:eastAsia="zh-CN"/>
        </w:rPr>
        <w:t xml:space="preserve">الذي اضطلع بعمله في الفترة الممتدة بين </w:t>
      </w:r>
      <w:r w:rsidR="00961955">
        <w:rPr>
          <w:rFonts w:eastAsia="SimSun" w:hint="cs"/>
          <w:rtl/>
          <w:lang w:eastAsia="zh-CN"/>
        </w:rPr>
        <w:t>نوفمبر</w:t>
      </w:r>
      <w:r w:rsidR="00961955">
        <w:rPr>
          <w:rFonts w:eastAsia="SimSun"/>
          <w:rtl/>
          <w:lang w:eastAsia="zh-CN"/>
        </w:rPr>
        <w:t> </w:t>
      </w:r>
      <w:r w:rsidR="00D679EC">
        <w:rPr>
          <w:rFonts w:eastAsia="SimSun" w:hint="cs"/>
          <w:rtl/>
          <w:lang w:eastAsia="zh-CN"/>
        </w:rPr>
        <w:t>2013 و</w:t>
      </w:r>
      <w:r w:rsidR="00961955">
        <w:rPr>
          <w:rFonts w:eastAsia="SimSun" w:hint="cs"/>
          <w:rtl/>
          <w:lang w:eastAsia="zh-CN"/>
        </w:rPr>
        <w:t>مارس</w:t>
      </w:r>
      <w:r w:rsidR="00961955">
        <w:rPr>
          <w:rFonts w:eastAsia="SimSun"/>
          <w:rtl/>
          <w:lang w:eastAsia="zh-CN"/>
        </w:rPr>
        <w:t> </w:t>
      </w:r>
      <w:r w:rsidR="00D679EC">
        <w:rPr>
          <w:rFonts w:eastAsia="SimSun" w:hint="cs"/>
          <w:rtl/>
          <w:lang w:eastAsia="zh-CN"/>
        </w:rPr>
        <w:t xml:space="preserve">2014. </w:t>
      </w:r>
      <w:proofErr w:type="gramStart"/>
      <w:r w:rsidR="00D679EC">
        <w:rPr>
          <w:rFonts w:eastAsia="SimSun" w:hint="cs"/>
          <w:rtl/>
          <w:lang w:eastAsia="zh-CN"/>
        </w:rPr>
        <w:t>وتتضمن</w:t>
      </w:r>
      <w:proofErr w:type="gramEnd"/>
      <w:r w:rsidR="00D679EC">
        <w:rPr>
          <w:rFonts w:eastAsia="SimSun" w:hint="cs"/>
          <w:rtl/>
          <w:lang w:eastAsia="zh-CN"/>
        </w:rPr>
        <w:t xml:space="preserve"> سياسة الخز</w:t>
      </w:r>
      <w:r w:rsidR="00F91F55">
        <w:rPr>
          <w:rFonts w:eastAsia="SimSun" w:hint="cs"/>
          <w:rtl/>
          <w:lang w:eastAsia="zh-CN"/>
        </w:rPr>
        <w:t>انة التي وُضعت</w:t>
      </w:r>
      <w:r w:rsidR="00D679EC">
        <w:rPr>
          <w:rFonts w:eastAsia="SimSun" w:hint="cs"/>
          <w:rtl/>
          <w:lang w:eastAsia="zh-CN"/>
        </w:rPr>
        <w:t xml:space="preserve"> سلسلة من البيانات بشأن السياسة لا تتطلب العديد منها موافقة الدول الأعضاء إذ تستند إلى سياسات وممارسات حظيت بالموافقة سابقاً كجزء من وثائق أخرى مثل النظام المالي ولائحته. </w:t>
      </w:r>
      <w:proofErr w:type="gramStart"/>
      <w:r w:rsidR="00D679EC">
        <w:rPr>
          <w:rFonts w:eastAsia="SimSun" w:hint="cs"/>
          <w:rtl/>
          <w:lang w:eastAsia="zh-CN"/>
        </w:rPr>
        <w:t>بيد</w:t>
      </w:r>
      <w:proofErr w:type="gramEnd"/>
      <w:r w:rsidR="00D679EC">
        <w:rPr>
          <w:rFonts w:eastAsia="SimSun" w:hint="cs"/>
          <w:rtl/>
          <w:lang w:eastAsia="zh-CN"/>
        </w:rPr>
        <w:t xml:space="preserve"> أن إحدى السياسات التي تتطلب الموافقة هي سياسة الخزانة بشأن خطر تخلف الجهة المقابلة (</w:t>
      </w:r>
      <w:r w:rsidR="00961955">
        <w:rPr>
          <w:rFonts w:eastAsia="SimSun" w:hint="cs"/>
          <w:rtl/>
          <w:lang w:eastAsia="zh-CN"/>
        </w:rPr>
        <w:t>المرفق</w:t>
      </w:r>
      <w:r w:rsidR="00961955">
        <w:rPr>
          <w:rFonts w:eastAsia="SimSun"/>
          <w:rtl/>
          <w:lang w:eastAsia="zh-CN"/>
        </w:rPr>
        <w:t> </w:t>
      </w:r>
      <w:r w:rsidR="00F91F55">
        <w:rPr>
          <w:rFonts w:eastAsia="SimSun" w:hint="cs"/>
          <w:rtl/>
          <w:lang w:eastAsia="zh-CN"/>
        </w:rPr>
        <w:t>الثاني</w:t>
      </w:r>
      <w:r w:rsidR="00D679EC">
        <w:rPr>
          <w:rFonts w:eastAsia="SimSun" w:hint="cs"/>
          <w:rtl/>
          <w:lang w:eastAsia="zh-CN"/>
        </w:rPr>
        <w:t>).</w:t>
      </w:r>
    </w:p>
    <w:p w:rsidR="00D679EC" w:rsidRDefault="00F91F55" w:rsidP="00F91F55">
      <w:pPr>
        <w:pStyle w:val="NormalParaAR"/>
        <w:numPr>
          <w:ilvl w:val="0"/>
          <w:numId w:val="39"/>
        </w:numPr>
        <w:ind w:left="0" w:firstLine="0"/>
        <w:rPr>
          <w:rFonts w:eastAsia="SimSun"/>
          <w:lang w:eastAsia="zh-CN"/>
        </w:rPr>
      </w:pPr>
      <w:proofErr w:type="gramStart"/>
      <w:r>
        <w:rPr>
          <w:rFonts w:eastAsia="SimSun" w:hint="cs"/>
          <w:rtl/>
          <w:lang w:eastAsia="zh-CN"/>
        </w:rPr>
        <w:t>وثمة</w:t>
      </w:r>
      <w:proofErr w:type="gramEnd"/>
      <w:r>
        <w:rPr>
          <w:rFonts w:eastAsia="SimSun" w:hint="cs"/>
          <w:rtl/>
          <w:lang w:eastAsia="zh-CN"/>
        </w:rPr>
        <w:t xml:space="preserve"> صلة وثيقة </w:t>
      </w:r>
      <w:r w:rsidR="00D679EC">
        <w:rPr>
          <w:rFonts w:eastAsia="SimSun" w:hint="cs"/>
          <w:rtl/>
          <w:lang w:eastAsia="zh-CN"/>
        </w:rPr>
        <w:t xml:space="preserve">بين هذه السياسة وسياسة الاستثمار إذ تشير سياسة الخزانة بشأن خطر تخلف الجهة المقابلة إلى </w:t>
      </w:r>
      <w:r w:rsidR="008E7C6B">
        <w:rPr>
          <w:rFonts w:eastAsia="SimSun" w:hint="cs"/>
          <w:rtl/>
          <w:lang w:eastAsia="zh-CN"/>
        </w:rPr>
        <w:t>التصنيفات الائتمانية</w:t>
      </w:r>
      <w:r w:rsidR="00D679EC">
        <w:rPr>
          <w:rFonts w:eastAsia="SimSun" w:hint="cs"/>
          <w:rtl/>
          <w:lang w:eastAsia="zh-CN"/>
        </w:rPr>
        <w:t xml:space="preserve"> المقبولة ل</w:t>
      </w:r>
      <w:r w:rsidR="00DC5D19">
        <w:rPr>
          <w:rFonts w:eastAsia="SimSun" w:hint="cs"/>
          <w:rtl/>
          <w:lang w:eastAsia="zh-CN"/>
        </w:rPr>
        <w:t xml:space="preserve">جهات الاستثمار المقابلة والجهات المقابلة التي تقدم عمليات مصرفية (مثل </w:t>
      </w:r>
      <w:r>
        <w:rPr>
          <w:rFonts w:eastAsia="SimSun" w:hint="cs"/>
          <w:rtl/>
          <w:lang w:eastAsia="zh-CN"/>
        </w:rPr>
        <w:t>إبقاء</w:t>
      </w:r>
      <w:r w:rsidR="00DC5D19">
        <w:rPr>
          <w:rFonts w:eastAsia="SimSun" w:hint="cs"/>
          <w:rtl/>
          <w:lang w:eastAsia="zh-CN"/>
        </w:rPr>
        <w:t xml:space="preserve"> الحسابات الجارية</w:t>
      </w:r>
      <w:r>
        <w:rPr>
          <w:rFonts w:eastAsia="SimSun" w:hint="cs"/>
          <w:rtl/>
          <w:lang w:eastAsia="zh-CN"/>
        </w:rPr>
        <w:t xml:space="preserve"> مفتوحة</w:t>
      </w:r>
      <w:r w:rsidR="00DC5D19">
        <w:rPr>
          <w:rFonts w:eastAsia="SimSun" w:hint="cs"/>
          <w:rtl/>
          <w:lang w:eastAsia="zh-CN"/>
        </w:rPr>
        <w:t xml:space="preserve"> وتولي المعاملات الجارية فيها).</w:t>
      </w:r>
      <w:r w:rsidR="00060D3B">
        <w:rPr>
          <w:rFonts w:eastAsia="SimSun" w:hint="cs"/>
          <w:rtl/>
          <w:lang w:eastAsia="zh-CN"/>
        </w:rPr>
        <w:t xml:space="preserve"> </w:t>
      </w:r>
      <w:proofErr w:type="gramStart"/>
      <w:r w:rsidR="00060D3B">
        <w:rPr>
          <w:rFonts w:eastAsia="SimSun" w:hint="cs"/>
          <w:rtl/>
          <w:lang w:eastAsia="zh-CN"/>
        </w:rPr>
        <w:t>وإن</w:t>
      </w:r>
      <w:proofErr w:type="gramEnd"/>
      <w:r w:rsidR="00060D3B">
        <w:rPr>
          <w:rFonts w:eastAsia="SimSun" w:hint="cs"/>
          <w:rtl/>
          <w:lang w:eastAsia="zh-CN"/>
        </w:rPr>
        <w:t xml:space="preserve"> </w:t>
      </w:r>
      <w:r w:rsidR="008E7C6B">
        <w:rPr>
          <w:rFonts w:eastAsia="SimSun" w:hint="cs"/>
          <w:rtl/>
          <w:lang w:eastAsia="zh-CN"/>
        </w:rPr>
        <w:t>التصنيفات الائتمانية</w:t>
      </w:r>
      <w:r w:rsidR="00060D3B">
        <w:rPr>
          <w:rFonts w:eastAsia="SimSun" w:hint="cs"/>
          <w:rtl/>
          <w:lang w:eastAsia="zh-CN"/>
        </w:rPr>
        <w:t xml:space="preserve"> اللازمة لجهات الاستثمار المقابلة أعلى بالضرورة من </w:t>
      </w:r>
      <w:r w:rsidR="000761AE">
        <w:rPr>
          <w:rFonts w:eastAsia="SimSun" w:hint="cs"/>
          <w:rtl/>
          <w:lang w:eastAsia="zh-CN"/>
        </w:rPr>
        <w:t>التصنيفات</w:t>
      </w:r>
      <w:r w:rsidR="00060D3B">
        <w:rPr>
          <w:rFonts w:eastAsia="SimSun" w:hint="cs"/>
          <w:rtl/>
          <w:lang w:eastAsia="zh-CN"/>
        </w:rPr>
        <w:t xml:space="preserve"> اللازمة للمصارف الت</w:t>
      </w:r>
      <w:r>
        <w:rPr>
          <w:rFonts w:eastAsia="SimSun" w:hint="cs"/>
          <w:rtl/>
          <w:lang w:eastAsia="zh-CN"/>
        </w:rPr>
        <w:t>جارية</w:t>
      </w:r>
      <w:r w:rsidR="00060D3B">
        <w:rPr>
          <w:rFonts w:eastAsia="SimSun" w:hint="cs"/>
          <w:rtl/>
          <w:lang w:eastAsia="zh-CN"/>
        </w:rPr>
        <w:t xml:space="preserve"> </w:t>
      </w:r>
      <w:r w:rsidR="00D9010E">
        <w:rPr>
          <w:rFonts w:eastAsia="SimSun" w:hint="cs"/>
          <w:rtl/>
          <w:lang w:eastAsia="zh-CN"/>
        </w:rPr>
        <w:t xml:space="preserve">نظراً إلى أن حسابات الاستثمار تكون عادة أكبر حجماً وتودع لمدد أطول لدى مؤسسة مالية مقارنة بالحسابات النقدية </w:t>
      </w:r>
      <w:r>
        <w:rPr>
          <w:rFonts w:eastAsia="SimSun" w:hint="cs"/>
          <w:rtl/>
          <w:lang w:eastAsia="zh-CN"/>
        </w:rPr>
        <w:t>الجارية</w:t>
      </w:r>
      <w:r w:rsidR="00D9010E">
        <w:rPr>
          <w:rFonts w:eastAsia="SimSun" w:hint="cs"/>
          <w:rtl/>
          <w:lang w:eastAsia="zh-CN"/>
        </w:rPr>
        <w:t xml:space="preserve">. وسيتعين الآن تعديل </w:t>
      </w:r>
      <w:r w:rsidR="008E7C6B">
        <w:rPr>
          <w:rFonts w:eastAsia="SimSun" w:hint="cs"/>
          <w:rtl/>
          <w:lang w:eastAsia="zh-CN"/>
        </w:rPr>
        <w:t>التصنيفات الائتمانية</w:t>
      </w:r>
      <w:r w:rsidR="00D9010E">
        <w:rPr>
          <w:rFonts w:eastAsia="SimSun" w:hint="cs"/>
          <w:rtl/>
          <w:lang w:eastAsia="zh-CN"/>
        </w:rPr>
        <w:t xml:space="preserve"> المذكورة بشأن نوعي الجهات المقابلة بغية الإ</w:t>
      </w:r>
      <w:r>
        <w:rPr>
          <w:rFonts w:eastAsia="SimSun" w:hint="cs"/>
          <w:rtl/>
          <w:lang w:eastAsia="zh-CN"/>
        </w:rPr>
        <w:t xml:space="preserve">شارة إلى التعديل المقترح بشأن </w:t>
      </w:r>
      <w:proofErr w:type="gramStart"/>
      <w:r>
        <w:rPr>
          <w:rFonts w:eastAsia="SimSun" w:hint="cs"/>
          <w:rtl/>
          <w:lang w:eastAsia="zh-CN"/>
        </w:rPr>
        <w:t>أدنى</w:t>
      </w:r>
      <w:proofErr w:type="gramEnd"/>
      <w:r>
        <w:rPr>
          <w:rFonts w:eastAsia="SimSun" w:hint="cs"/>
          <w:rtl/>
          <w:lang w:eastAsia="zh-CN"/>
        </w:rPr>
        <w:t xml:space="preserve"> </w:t>
      </w:r>
      <w:r w:rsidR="009E3A3B">
        <w:rPr>
          <w:rFonts w:eastAsia="SimSun" w:hint="cs"/>
          <w:rtl/>
          <w:lang w:eastAsia="zh-CN"/>
        </w:rPr>
        <w:t>تصنيف ائتماني</w:t>
      </w:r>
      <w:r w:rsidR="00D9010E">
        <w:rPr>
          <w:rFonts w:eastAsia="SimSun" w:hint="cs"/>
          <w:rtl/>
          <w:lang w:eastAsia="zh-CN"/>
        </w:rPr>
        <w:t xml:space="preserve"> مطلوب لجهات الاستثمار المقابلة.</w:t>
      </w:r>
    </w:p>
    <w:p w:rsidR="00D9010E" w:rsidRDefault="00D9010E" w:rsidP="00F91F55">
      <w:pPr>
        <w:pStyle w:val="NormalParaAR"/>
        <w:numPr>
          <w:ilvl w:val="0"/>
          <w:numId w:val="39"/>
        </w:numPr>
        <w:ind w:left="0" w:firstLine="0"/>
        <w:rPr>
          <w:rFonts w:eastAsia="SimSun"/>
          <w:lang w:eastAsia="zh-CN"/>
        </w:rPr>
      </w:pPr>
      <w:proofErr w:type="gramStart"/>
      <w:r>
        <w:rPr>
          <w:rFonts w:eastAsia="SimSun" w:hint="cs"/>
          <w:rtl/>
          <w:lang w:eastAsia="zh-CN"/>
        </w:rPr>
        <w:t>ومن</w:t>
      </w:r>
      <w:proofErr w:type="gramEnd"/>
      <w:r>
        <w:rPr>
          <w:rFonts w:eastAsia="SimSun" w:hint="cs"/>
          <w:rtl/>
          <w:lang w:eastAsia="zh-CN"/>
        </w:rPr>
        <w:t xml:space="preserve"> ثم، يُقترح إدراج </w:t>
      </w:r>
      <w:r w:rsidR="008E7C6B">
        <w:rPr>
          <w:rFonts w:eastAsia="SimSun" w:hint="cs"/>
          <w:rtl/>
          <w:lang w:eastAsia="zh-CN"/>
        </w:rPr>
        <w:t>التصنيفات الائتمانية</w:t>
      </w:r>
      <w:r>
        <w:rPr>
          <w:rFonts w:eastAsia="SimSun" w:hint="cs"/>
          <w:rtl/>
          <w:lang w:eastAsia="zh-CN"/>
        </w:rPr>
        <w:t xml:space="preserve"> المقترحة لجهات الاستثمار المقابلة (</w:t>
      </w:r>
      <w:r w:rsidR="00961955">
        <w:rPr>
          <w:rFonts w:eastAsia="SimSun" w:hint="cs"/>
          <w:rtl/>
          <w:lang w:eastAsia="zh-CN"/>
        </w:rPr>
        <w:t>الجدول</w:t>
      </w:r>
      <w:r w:rsidR="00961955">
        <w:rPr>
          <w:rFonts w:eastAsia="SimSun"/>
          <w:rtl/>
          <w:lang w:eastAsia="zh-CN"/>
        </w:rPr>
        <w:t> </w:t>
      </w:r>
      <w:r>
        <w:rPr>
          <w:rFonts w:eastAsia="SimSun" w:hint="cs"/>
          <w:rtl/>
          <w:lang w:eastAsia="zh-CN"/>
        </w:rPr>
        <w:t>2) وترسيخ درجتي</w:t>
      </w:r>
      <w:r w:rsidR="00F91F55">
        <w:rPr>
          <w:rFonts w:eastAsia="SimSun"/>
          <w:lang w:eastAsia="zh-CN"/>
        </w:rPr>
        <w:br/>
        <w:t>BBB-/BAA3</w:t>
      </w:r>
      <w:r>
        <w:rPr>
          <w:rFonts w:eastAsia="SimSun" w:hint="cs"/>
          <w:rtl/>
          <w:lang w:eastAsia="zh-CN"/>
        </w:rPr>
        <w:t xml:space="preserve"> (</w:t>
      </w:r>
      <w:r w:rsidR="004F68AC">
        <w:rPr>
          <w:rFonts w:eastAsia="SimSun" w:hint="cs"/>
          <w:rtl/>
          <w:lang w:eastAsia="zh-CN"/>
        </w:rPr>
        <w:t>في الأجل</w:t>
      </w:r>
      <w:r>
        <w:rPr>
          <w:rFonts w:eastAsia="SimSun" w:hint="cs"/>
          <w:rtl/>
          <w:lang w:eastAsia="zh-CN"/>
        </w:rPr>
        <w:t xml:space="preserve"> الطويل) كالحد الأدنى من </w:t>
      </w:r>
      <w:r w:rsidR="008E7C6B">
        <w:rPr>
          <w:rFonts w:eastAsia="SimSun" w:hint="cs"/>
          <w:rtl/>
          <w:lang w:eastAsia="zh-CN"/>
        </w:rPr>
        <w:t>التصنيفات الائتمانية</w:t>
      </w:r>
      <w:r>
        <w:rPr>
          <w:rFonts w:eastAsia="SimSun" w:hint="cs"/>
          <w:rtl/>
          <w:lang w:eastAsia="zh-CN"/>
        </w:rPr>
        <w:t xml:space="preserve"> للمصارف </w:t>
      </w:r>
      <w:r w:rsidR="00F91F55">
        <w:rPr>
          <w:rFonts w:eastAsia="SimSun" w:hint="cs"/>
          <w:rtl/>
          <w:lang w:eastAsia="zh-CN"/>
        </w:rPr>
        <w:t>التجارية</w:t>
      </w:r>
      <w:r>
        <w:rPr>
          <w:rFonts w:eastAsia="SimSun" w:hint="cs"/>
          <w:rtl/>
          <w:lang w:eastAsia="zh-CN"/>
        </w:rPr>
        <w:t xml:space="preserve">. </w:t>
      </w:r>
      <w:proofErr w:type="gramStart"/>
      <w:r>
        <w:rPr>
          <w:rFonts w:eastAsia="SimSun" w:hint="cs"/>
          <w:rtl/>
          <w:lang w:eastAsia="zh-CN"/>
        </w:rPr>
        <w:t>وإضافة</w:t>
      </w:r>
      <w:proofErr w:type="gramEnd"/>
      <w:r>
        <w:rPr>
          <w:rFonts w:eastAsia="SimSun" w:hint="cs"/>
          <w:rtl/>
          <w:lang w:eastAsia="zh-CN"/>
        </w:rPr>
        <w:t xml:space="preserve"> إلى ذلك، سيلزم تحديث النص المدرج في السياسة وهو "إن المعايير الائتمانية الخاصة بالجهات المقابلة المعنية بالاستثمارات جزء من سياسة الاستثمار التي وافقت عليها جمعيات الدول الأعضاء في 5 </w:t>
      </w:r>
      <w:r w:rsidR="00961955">
        <w:rPr>
          <w:rFonts w:eastAsia="SimSun" w:hint="cs"/>
          <w:rtl/>
          <w:lang w:eastAsia="zh-CN"/>
        </w:rPr>
        <w:t>أكتوبر</w:t>
      </w:r>
      <w:r w:rsidR="00961955">
        <w:rPr>
          <w:rFonts w:eastAsia="SimSun"/>
          <w:rtl/>
          <w:lang w:eastAsia="zh-CN"/>
        </w:rPr>
        <w:t> </w:t>
      </w:r>
      <w:r>
        <w:rPr>
          <w:rFonts w:eastAsia="SimSun" w:hint="cs"/>
          <w:rtl/>
          <w:lang w:eastAsia="zh-CN"/>
        </w:rPr>
        <w:t>2011".</w:t>
      </w:r>
    </w:p>
    <w:p w:rsidR="00D41616" w:rsidRPr="00EE1147" w:rsidRDefault="00F91F55" w:rsidP="00D41616">
      <w:pPr>
        <w:pStyle w:val="NormalParaAR"/>
        <w:keepNext/>
        <w:rPr>
          <w:b/>
          <w:bCs/>
          <w:sz w:val="40"/>
          <w:szCs w:val="40"/>
          <w:rtl/>
        </w:rPr>
      </w:pPr>
      <w:proofErr w:type="gramStart"/>
      <w:r w:rsidRPr="00EE1147">
        <w:rPr>
          <w:rFonts w:hint="cs"/>
          <w:b/>
          <w:bCs/>
          <w:sz w:val="40"/>
          <w:szCs w:val="40"/>
          <w:rtl/>
        </w:rPr>
        <w:t>معدلات</w:t>
      </w:r>
      <w:proofErr w:type="gramEnd"/>
      <w:r w:rsidRPr="00EE1147">
        <w:rPr>
          <w:rFonts w:hint="cs"/>
          <w:b/>
          <w:bCs/>
          <w:sz w:val="40"/>
          <w:szCs w:val="40"/>
          <w:rtl/>
        </w:rPr>
        <w:t xml:space="preserve"> العائد</w:t>
      </w:r>
    </w:p>
    <w:p w:rsidR="00D41616" w:rsidRDefault="00D41616" w:rsidP="00D41616">
      <w:pPr>
        <w:pStyle w:val="NormalParaAR"/>
        <w:numPr>
          <w:ilvl w:val="0"/>
          <w:numId w:val="39"/>
        </w:numPr>
        <w:ind w:left="0" w:firstLine="0"/>
        <w:rPr>
          <w:rFonts w:eastAsia="SimSun"/>
          <w:lang w:eastAsia="zh-CN"/>
        </w:rPr>
      </w:pPr>
      <w:r>
        <w:rPr>
          <w:rFonts w:eastAsia="SimSun" w:hint="cs"/>
          <w:rtl/>
          <w:lang w:eastAsia="zh-CN"/>
        </w:rPr>
        <w:t>تنص سياسة الويبو للاستثمار أن</w:t>
      </w:r>
      <w:r>
        <w:rPr>
          <w:rFonts w:eastAsia="SimSun"/>
          <w:lang w:eastAsia="zh-CN"/>
        </w:rPr>
        <w:t>’’</w:t>
      </w:r>
      <w:r w:rsidRPr="00D41616">
        <w:rPr>
          <w:rFonts w:eastAsia="SimSun"/>
          <w:rtl/>
          <w:lang w:eastAsia="zh-CN"/>
        </w:rPr>
        <w:t xml:space="preserve">الأهداف الرئيسية من إدارة المنظمة لاستثماراتها </w:t>
      </w:r>
      <w:r>
        <w:rPr>
          <w:rFonts w:eastAsia="SimSun" w:hint="cs"/>
          <w:rtl/>
          <w:lang w:eastAsia="zh-CN"/>
        </w:rPr>
        <w:t>[...]</w:t>
      </w:r>
      <w:r w:rsidRPr="00D41616">
        <w:rPr>
          <w:rFonts w:eastAsia="SimSun"/>
          <w:rtl/>
          <w:lang w:eastAsia="zh-CN"/>
        </w:rPr>
        <w:t xml:space="preserve"> مرتبة فيما يلي حسب أهميتها: "1" صون رأس المال؛ "2" والسيولة؛ "3" ومعدل العائد مع مراعا</w:t>
      </w:r>
      <w:r>
        <w:rPr>
          <w:rFonts w:eastAsia="SimSun"/>
          <w:rtl/>
          <w:lang w:eastAsia="zh-CN"/>
        </w:rPr>
        <w:t>ة التقييدات الناجمة عن "1" و"2</w:t>
      </w:r>
      <w:r>
        <w:rPr>
          <w:rFonts w:eastAsia="SimSun" w:hint="cs"/>
          <w:rtl/>
          <w:lang w:eastAsia="zh-CN"/>
        </w:rPr>
        <w:t>"</w:t>
      </w:r>
      <w:r>
        <w:rPr>
          <w:rFonts w:eastAsia="SimSun"/>
          <w:lang w:eastAsia="zh-CN"/>
        </w:rPr>
        <w:t>‘‘</w:t>
      </w:r>
      <w:r>
        <w:rPr>
          <w:rFonts w:eastAsia="SimSun" w:hint="cs"/>
          <w:rtl/>
          <w:lang w:eastAsia="zh-CN"/>
        </w:rPr>
        <w:t>.</w:t>
      </w:r>
    </w:p>
    <w:p w:rsidR="00D41616" w:rsidRDefault="00D41616" w:rsidP="009D2D8A">
      <w:pPr>
        <w:pStyle w:val="NormalParaAR"/>
        <w:numPr>
          <w:ilvl w:val="0"/>
          <w:numId w:val="39"/>
        </w:numPr>
        <w:ind w:left="0" w:firstLine="0"/>
        <w:rPr>
          <w:rFonts w:eastAsia="SimSun"/>
          <w:lang w:eastAsia="zh-CN"/>
        </w:rPr>
      </w:pPr>
      <w:r>
        <w:rPr>
          <w:rFonts w:eastAsia="SimSun" w:hint="cs"/>
          <w:rtl/>
          <w:lang w:eastAsia="zh-CN"/>
        </w:rPr>
        <w:t xml:space="preserve">وكما ذُكر في </w:t>
      </w:r>
      <w:r w:rsidR="00961955">
        <w:rPr>
          <w:rFonts w:eastAsia="SimSun" w:hint="cs"/>
          <w:rtl/>
          <w:lang w:eastAsia="zh-CN"/>
        </w:rPr>
        <w:t>الجدول</w:t>
      </w:r>
      <w:r w:rsidR="00961955">
        <w:rPr>
          <w:rFonts w:eastAsia="SimSun"/>
          <w:rtl/>
          <w:lang w:eastAsia="zh-CN"/>
        </w:rPr>
        <w:t> </w:t>
      </w:r>
      <w:r>
        <w:rPr>
          <w:rFonts w:eastAsia="SimSun" w:hint="cs"/>
          <w:rtl/>
          <w:lang w:eastAsia="zh-CN"/>
        </w:rPr>
        <w:t xml:space="preserve">1 أعلاه، </w:t>
      </w:r>
      <w:r w:rsidR="00F91F55">
        <w:rPr>
          <w:rFonts w:eastAsia="SimSun" w:hint="cs"/>
          <w:rtl/>
          <w:lang w:eastAsia="zh-CN"/>
        </w:rPr>
        <w:t>ف</w:t>
      </w:r>
      <w:r w:rsidR="009D2D8A">
        <w:rPr>
          <w:rFonts w:eastAsia="SimSun" w:hint="cs"/>
          <w:rtl/>
          <w:lang w:eastAsia="zh-CN"/>
        </w:rPr>
        <w:t xml:space="preserve">منذ ما يزيد على السنوات الست السابقة، قدم </w:t>
      </w:r>
      <w:r>
        <w:rPr>
          <w:rFonts w:eastAsia="SimSun" w:hint="cs"/>
          <w:rtl/>
          <w:lang w:eastAsia="zh-CN"/>
        </w:rPr>
        <w:t xml:space="preserve">المصرف الوطني السويسري </w:t>
      </w:r>
      <w:r w:rsidR="009D2D8A">
        <w:rPr>
          <w:rFonts w:eastAsia="SimSun" w:hint="cs"/>
          <w:rtl/>
          <w:lang w:eastAsia="zh-CN"/>
        </w:rPr>
        <w:t>بانتظام إلى الويبو</w:t>
      </w:r>
      <w:r>
        <w:rPr>
          <w:rFonts w:eastAsia="SimSun" w:hint="cs"/>
          <w:rtl/>
          <w:lang w:eastAsia="zh-CN"/>
        </w:rPr>
        <w:t xml:space="preserve"> معدلات فائدة أعلى من المعدلات المتاحة في المصارف التجارية، ومن ثم فإنه من الواضح أن عائدات الاستثمار ستنخفض </w:t>
      </w:r>
      <w:r w:rsidR="009D2D8A">
        <w:rPr>
          <w:rFonts w:eastAsia="SimSun" w:hint="cs"/>
          <w:rtl/>
          <w:lang w:eastAsia="zh-CN"/>
        </w:rPr>
        <w:t>عندما تصبح</w:t>
      </w:r>
      <w:r w:rsidR="00D81D4E">
        <w:rPr>
          <w:rFonts w:eastAsia="SimSun" w:hint="cs"/>
          <w:rtl/>
          <w:lang w:eastAsia="zh-CN"/>
        </w:rPr>
        <w:t xml:space="preserve"> المنظمة غير قادرة على إيداع </w:t>
      </w:r>
      <w:r>
        <w:rPr>
          <w:rFonts w:eastAsia="SimSun" w:hint="cs"/>
          <w:rtl/>
          <w:lang w:eastAsia="zh-CN"/>
        </w:rPr>
        <w:t>أموالها في المصرف الوطني السويسري</w:t>
      </w:r>
      <w:r w:rsidR="00D81D4E">
        <w:rPr>
          <w:rFonts w:eastAsia="SimSun" w:hint="cs"/>
          <w:rtl/>
          <w:lang w:eastAsia="zh-CN"/>
        </w:rPr>
        <w:t xml:space="preserve"> و</w:t>
      </w:r>
      <w:r w:rsidR="009D2D8A">
        <w:rPr>
          <w:rFonts w:eastAsia="SimSun" w:hint="cs"/>
          <w:rtl/>
          <w:lang w:eastAsia="zh-CN"/>
        </w:rPr>
        <w:t>تودعها</w:t>
      </w:r>
      <w:r w:rsidR="00D81D4E">
        <w:rPr>
          <w:rFonts w:eastAsia="SimSun" w:hint="cs"/>
          <w:rtl/>
          <w:lang w:eastAsia="zh-CN"/>
        </w:rPr>
        <w:t xml:space="preserve"> في مصارف تجارية. وعلى سبيل المثال، حققت الويبو فائدة قدرها 1.89 </w:t>
      </w:r>
      <w:proofErr w:type="gramStart"/>
      <w:r w:rsidR="00D81D4E">
        <w:rPr>
          <w:rFonts w:eastAsia="SimSun" w:hint="cs"/>
          <w:rtl/>
          <w:lang w:eastAsia="zh-CN"/>
        </w:rPr>
        <w:t>مليون</w:t>
      </w:r>
      <w:proofErr w:type="gramEnd"/>
      <w:r w:rsidR="00D81D4E">
        <w:rPr>
          <w:rFonts w:eastAsia="SimSun" w:hint="cs"/>
          <w:rtl/>
          <w:lang w:eastAsia="zh-CN"/>
        </w:rPr>
        <w:t xml:space="preserve"> فرنك سويسري على إيداعاتها لدى المصرف الوطني السويسري. وإذا كانت الويبو قد استثمرت في مصرف </w:t>
      </w:r>
      <w:proofErr w:type="spellStart"/>
      <w:r w:rsidR="00D81D4E">
        <w:rPr>
          <w:rFonts w:eastAsia="SimSun"/>
          <w:lang w:eastAsia="zh-CN"/>
        </w:rPr>
        <w:t>Crédit</w:t>
      </w:r>
      <w:proofErr w:type="spellEnd"/>
      <w:r w:rsidR="00D81D4E">
        <w:rPr>
          <w:rFonts w:eastAsia="SimSun"/>
          <w:lang w:eastAsia="zh-CN"/>
        </w:rPr>
        <w:t> Suisse</w:t>
      </w:r>
      <w:r w:rsidR="00D81D4E">
        <w:rPr>
          <w:rFonts w:eastAsia="SimSun" w:hint="cs"/>
          <w:rtl/>
          <w:lang w:eastAsia="zh-CN"/>
        </w:rPr>
        <w:t xml:space="preserve"> بالمعدلات المبينة في </w:t>
      </w:r>
      <w:r w:rsidR="00961955">
        <w:rPr>
          <w:rFonts w:eastAsia="SimSun" w:hint="cs"/>
          <w:rtl/>
          <w:lang w:eastAsia="zh-CN"/>
        </w:rPr>
        <w:t>الجدول</w:t>
      </w:r>
      <w:r w:rsidR="00961955">
        <w:rPr>
          <w:rFonts w:eastAsia="SimSun"/>
          <w:rtl/>
          <w:lang w:eastAsia="zh-CN"/>
        </w:rPr>
        <w:t> </w:t>
      </w:r>
      <w:r w:rsidR="00D81D4E">
        <w:rPr>
          <w:rFonts w:eastAsia="SimSun" w:hint="cs"/>
          <w:rtl/>
          <w:lang w:eastAsia="zh-CN"/>
        </w:rPr>
        <w:t>1 وخلال الفترة ذاتها، لكانت حققت 060 265 فرنكاً سويسرياً.</w:t>
      </w:r>
      <w:r w:rsidR="000F0733">
        <w:rPr>
          <w:rFonts w:eastAsia="SimSun" w:hint="cs"/>
          <w:rtl/>
          <w:lang w:eastAsia="zh-CN"/>
        </w:rPr>
        <w:t xml:space="preserve"> وبالمثل، إذا كانت الويبو قد أودعت استثماراتها </w:t>
      </w:r>
      <w:r w:rsidR="009D2D8A">
        <w:rPr>
          <w:rFonts w:eastAsia="SimSun" w:hint="cs"/>
          <w:rtl/>
          <w:lang w:eastAsia="zh-CN"/>
        </w:rPr>
        <w:t>ك</w:t>
      </w:r>
      <w:r w:rsidR="000F0733">
        <w:rPr>
          <w:rFonts w:eastAsia="SimSun" w:hint="cs"/>
          <w:rtl/>
          <w:lang w:eastAsia="zh-CN"/>
        </w:rPr>
        <w:t>منظمة العمل الدولية بمبلغ أقصاه 38</w:t>
      </w:r>
      <w:r w:rsidR="009D2D8A">
        <w:rPr>
          <w:rFonts w:eastAsia="SimSun" w:hint="eastAsia"/>
          <w:rtl/>
          <w:lang w:eastAsia="zh-CN"/>
        </w:rPr>
        <w:t> </w:t>
      </w:r>
      <w:r w:rsidR="000F0733">
        <w:rPr>
          <w:rFonts w:eastAsia="SimSun" w:hint="cs"/>
          <w:rtl/>
          <w:lang w:eastAsia="zh-CN"/>
        </w:rPr>
        <w:t xml:space="preserve">مليون فرنك سويسري لدى المكتب البريدي السويسري والمبلغ المتبقي كوديعة لمدة 13 شهراً في </w:t>
      </w:r>
      <w:proofErr w:type="spellStart"/>
      <w:r w:rsidR="000F0733">
        <w:rPr>
          <w:rFonts w:eastAsia="SimSun"/>
          <w:lang w:eastAsia="zh-CN"/>
        </w:rPr>
        <w:t>Crédit</w:t>
      </w:r>
      <w:proofErr w:type="spellEnd"/>
      <w:r w:rsidR="000F0733">
        <w:rPr>
          <w:rFonts w:eastAsia="SimSun"/>
          <w:lang w:eastAsia="zh-CN"/>
        </w:rPr>
        <w:t> Suisse</w:t>
      </w:r>
      <w:r w:rsidR="000F0733">
        <w:rPr>
          <w:rFonts w:eastAsia="SimSun" w:hint="cs"/>
          <w:rtl/>
          <w:lang w:eastAsia="zh-CN"/>
        </w:rPr>
        <w:t xml:space="preserve">، لكانت المنظمة قد حققت 748 847 فرنك سويسري، أي </w:t>
      </w:r>
      <w:r w:rsidR="009D2D8A">
        <w:rPr>
          <w:rFonts w:eastAsia="SimSun" w:hint="cs"/>
          <w:rtl/>
          <w:lang w:eastAsia="zh-CN"/>
        </w:rPr>
        <w:t xml:space="preserve">بتسجيل </w:t>
      </w:r>
      <w:r w:rsidR="000F0733">
        <w:rPr>
          <w:rFonts w:eastAsia="SimSun" w:hint="cs"/>
          <w:rtl/>
          <w:lang w:eastAsia="zh-CN"/>
        </w:rPr>
        <w:t>انخفاض أيضاً في عائدات الاستثمار.</w:t>
      </w:r>
    </w:p>
    <w:p w:rsidR="000F0733" w:rsidRDefault="000F0733" w:rsidP="009D2D8A">
      <w:pPr>
        <w:pStyle w:val="NormalParaAR"/>
        <w:numPr>
          <w:ilvl w:val="0"/>
          <w:numId w:val="39"/>
        </w:numPr>
        <w:ind w:left="0" w:firstLine="0"/>
        <w:rPr>
          <w:rFonts w:eastAsia="SimSun"/>
          <w:lang w:eastAsia="zh-CN"/>
        </w:rPr>
      </w:pPr>
      <w:proofErr w:type="gramStart"/>
      <w:r>
        <w:rPr>
          <w:rFonts w:eastAsia="SimSun" w:hint="cs"/>
          <w:rtl/>
          <w:lang w:eastAsia="zh-CN"/>
        </w:rPr>
        <w:lastRenderedPageBreak/>
        <w:t>وسعياً</w:t>
      </w:r>
      <w:proofErr w:type="gramEnd"/>
      <w:r>
        <w:rPr>
          <w:rFonts w:eastAsia="SimSun" w:hint="cs"/>
          <w:rtl/>
          <w:lang w:eastAsia="zh-CN"/>
        </w:rPr>
        <w:t xml:space="preserve"> إلى المحافظة على مستوى عائدات الاستثمار المحققة (أو تحسينها)، سيلزم تغيير نهج المنظمة الخاص بالاستثمار. وقد ينطوي ذلك على ما يلي: "1"</w:t>
      </w:r>
      <w:r w:rsidR="009D2D8A">
        <w:rPr>
          <w:rFonts w:eastAsia="SimSun" w:hint="eastAsia"/>
          <w:rtl/>
          <w:lang w:eastAsia="zh-CN"/>
        </w:rPr>
        <w:t> </w:t>
      </w:r>
      <w:r>
        <w:rPr>
          <w:rFonts w:eastAsia="SimSun" w:hint="cs"/>
          <w:rtl/>
          <w:lang w:eastAsia="zh-CN"/>
        </w:rPr>
        <w:t>الاستثمار في منتجات لا تأذن بها السياسة حالياً (والتي قد تنطوي على مزيد من المخاطر) أو "2"</w:t>
      </w:r>
      <w:r w:rsidR="009D2D8A">
        <w:rPr>
          <w:rFonts w:eastAsia="SimSun" w:hint="eastAsia"/>
          <w:rtl/>
          <w:lang w:eastAsia="zh-CN"/>
        </w:rPr>
        <w:t> </w:t>
      </w:r>
      <w:r>
        <w:rPr>
          <w:rFonts w:eastAsia="SimSun" w:hint="cs"/>
          <w:rtl/>
          <w:lang w:eastAsia="zh-CN"/>
        </w:rPr>
        <w:t xml:space="preserve">إيداع الأموال النقدية لمدد أطول (ومن ثم تقليص السيولة </w:t>
      </w:r>
      <w:r w:rsidR="004F68AC">
        <w:rPr>
          <w:rFonts w:eastAsia="SimSun" w:hint="cs"/>
          <w:rtl/>
          <w:lang w:eastAsia="zh-CN"/>
        </w:rPr>
        <w:t>في الأجل</w:t>
      </w:r>
      <w:r>
        <w:rPr>
          <w:rFonts w:eastAsia="SimSun" w:hint="cs"/>
          <w:rtl/>
          <w:lang w:eastAsia="zh-CN"/>
        </w:rPr>
        <w:t xml:space="preserve"> القصير) أو "3"</w:t>
      </w:r>
      <w:r w:rsidR="009D2D8A">
        <w:rPr>
          <w:rFonts w:eastAsia="SimSun" w:hint="eastAsia"/>
          <w:rtl/>
        </w:rPr>
        <w:t> </w:t>
      </w:r>
      <w:r>
        <w:rPr>
          <w:rFonts w:eastAsia="SimSun" w:hint="cs"/>
          <w:rtl/>
          <w:lang w:eastAsia="zh-CN"/>
        </w:rPr>
        <w:t>تنفيذ كلتا النقطتين.</w:t>
      </w:r>
    </w:p>
    <w:p w:rsidR="000F0733" w:rsidRDefault="000F0733" w:rsidP="00F94738">
      <w:pPr>
        <w:pStyle w:val="NormalParaAR"/>
        <w:numPr>
          <w:ilvl w:val="0"/>
          <w:numId w:val="39"/>
        </w:numPr>
        <w:ind w:left="0" w:firstLine="0"/>
        <w:rPr>
          <w:rFonts w:eastAsia="SimSun"/>
          <w:lang w:eastAsia="zh-CN"/>
        </w:rPr>
      </w:pPr>
      <w:r>
        <w:rPr>
          <w:rFonts w:eastAsia="SimSun" w:hint="cs"/>
          <w:rtl/>
          <w:lang w:eastAsia="zh-CN"/>
        </w:rPr>
        <w:t>و</w:t>
      </w:r>
      <w:r w:rsidR="009D2D8A">
        <w:rPr>
          <w:rFonts w:eastAsia="SimSun" w:hint="cs"/>
          <w:rtl/>
          <w:lang w:eastAsia="zh-CN"/>
        </w:rPr>
        <w:t>إ</w:t>
      </w:r>
      <w:r>
        <w:rPr>
          <w:rFonts w:eastAsia="SimSun" w:hint="cs"/>
          <w:rtl/>
          <w:lang w:eastAsia="zh-CN"/>
        </w:rPr>
        <w:t xml:space="preserve">ن إجراء هذه التغييرات في استراتيجية المنظمة سيتطلب إما مهارات داخلية في إدارة الاستثمارات (غير متوفرة حالياً) أو الاستعانة بمديري صناديق خارجيين، إضافة إلى مراقبة التدفق النقدي عن كثب </w:t>
      </w:r>
      <w:r w:rsidR="00F94738">
        <w:rPr>
          <w:rFonts w:eastAsia="SimSun" w:hint="cs"/>
          <w:rtl/>
          <w:lang w:eastAsia="zh-CN"/>
        </w:rPr>
        <w:t>ضماناً</w:t>
      </w:r>
      <w:r>
        <w:rPr>
          <w:rFonts w:eastAsia="SimSun" w:hint="cs"/>
          <w:rtl/>
          <w:lang w:eastAsia="zh-CN"/>
        </w:rPr>
        <w:t xml:space="preserve"> </w:t>
      </w:r>
      <w:r w:rsidR="00F94738">
        <w:rPr>
          <w:rFonts w:eastAsia="SimSun" w:hint="cs"/>
          <w:rtl/>
          <w:lang w:eastAsia="zh-CN"/>
        </w:rPr>
        <w:t>ل</w:t>
      </w:r>
      <w:r>
        <w:rPr>
          <w:rFonts w:eastAsia="SimSun" w:hint="cs"/>
          <w:rtl/>
          <w:lang w:eastAsia="zh-CN"/>
        </w:rPr>
        <w:t xml:space="preserve">عدم مواجهة المنظمة </w:t>
      </w:r>
      <w:r w:rsidR="00F94738">
        <w:rPr>
          <w:rFonts w:eastAsia="SimSun" w:hint="cs"/>
          <w:rtl/>
          <w:lang w:eastAsia="zh-CN"/>
        </w:rPr>
        <w:t>نقصاً في النقود</w:t>
      </w:r>
      <w:r>
        <w:rPr>
          <w:rFonts w:eastAsia="SimSun" w:hint="cs"/>
          <w:rtl/>
          <w:lang w:eastAsia="zh-CN"/>
        </w:rPr>
        <w:t>.</w:t>
      </w:r>
    </w:p>
    <w:p w:rsidR="000F0733" w:rsidRDefault="000F0733" w:rsidP="00F94738">
      <w:pPr>
        <w:pStyle w:val="NormalParaAR"/>
        <w:numPr>
          <w:ilvl w:val="0"/>
          <w:numId w:val="39"/>
        </w:numPr>
        <w:ind w:left="0" w:firstLine="0"/>
        <w:rPr>
          <w:rFonts w:eastAsia="SimSun"/>
          <w:lang w:eastAsia="zh-CN"/>
        </w:rPr>
      </w:pPr>
      <w:proofErr w:type="gramStart"/>
      <w:r>
        <w:rPr>
          <w:rFonts w:eastAsia="SimSun" w:hint="cs"/>
          <w:rtl/>
          <w:lang w:eastAsia="zh-CN"/>
        </w:rPr>
        <w:t>وبي</w:t>
      </w:r>
      <w:r w:rsidR="00F94738">
        <w:rPr>
          <w:rFonts w:eastAsia="SimSun" w:hint="cs"/>
          <w:rtl/>
          <w:lang w:eastAsia="zh-CN"/>
        </w:rPr>
        <w:t>َّ</w:t>
      </w:r>
      <w:r>
        <w:rPr>
          <w:rFonts w:eastAsia="SimSun" w:hint="cs"/>
          <w:rtl/>
          <w:lang w:eastAsia="zh-CN"/>
        </w:rPr>
        <w:t>ن</w:t>
      </w:r>
      <w:proofErr w:type="gramEnd"/>
      <w:r>
        <w:rPr>
          <w:rFonts w:eastAsia="SimSun" w:hint="cs"/>
          <w:rtl/>
          <w:lang w:eastAsia="zh-CN"/>
        </w:rPr>
        <w:t xml:space="preserve"> استعراض لسياسات الاستثمار التي تتبعها وكالات أخرى تابعة للأمم المتحدة (وليس فقط الوكالات التي تستثمر بالفرنك السويسري) أن الوكالات </w:t>
      </w:r>
      <w:r w:rsidR="00C13C4D">
        <w:rPr>
          <w:rFonts w:eastAsia="SimSun" w:hint="cs"/>
          <w:rtl/>
          <w:lang w:eastAsia="zh-CN"/>
        </w:rPr>
        <w:t>تستثمر بصورة رئيسية في المنتجات الثابتة العائد كالودائع المحددة الأجل أو السندات. ولكن رغم القيود المفروضة على استخدام المنتجات الثابتة العائد حصراً، تتمكن العديد من الوكالات من الاستثمار في مجموعة أوسع من المنتجات مقارنة بالو</w:t>
      </w:r>
      <w:r w:rsidR="00F94738">
        <w:rPr>
          <w:rFonts w:eastAsia="SimSun" w:hint="cs"/>
          <w:rtl/>
          <w:lang w:eastAsia="zh-CN"/>
        </w:rPr>
        <w:t>يبو</w:t>
      </w:r>
      <w:r w:rsidR="00C13C4D">
        <w:rPr>
          <w:rFonts w:eastAsia="SimSun" w:hint="cs"/>
          <w:rtl/>
          <w:lang w:eastAsia="zh-CN"/>
        </w:rPr>
        <w:t>.</w:t>
      </w:r>
    </w:p>
    <w:p w:rsidR="00C13C4D" w:rsidRDefault="00F94738" w:rsidP="004F68AC">
      <w:pPr>
        <w:pStyle w:val="NormalParaAR"/>
        <w:numPr>
          <w:ilvl w:val="0"/>
          <w:numId w:val="39"/>
        </w:numPr>
        <w:ind w:left="0" w:firstLine="0"/>
        <w:rPr>
          <w:rFonts w:eastAsia="SimSun"/>
          <w:lang w:eastAsia="zh-CN"/>
        </w:rPr>
      </w:pPr>
      <w:proofErr w:type="gramStart"/>
      <w:r>
        <w:rPr>
          <w:rFonts w:eastAsia="SimSun" w:hint="cs"/>
          <w:rtl/>
          <w:lang w:eastAsia="zh-CN"/>
        </w:rPr>
        <w:t>و</w:t>
      </w:r>
      <w:r w:rsidR="00C13C4D">
        <w:rPr>
          <w:rFonts w:eastAsia="SimSun" w:hint="cs"/>
          <w:rtl/>
          <w:lang w:eastAsia="zh-CN"/>
        </w:rPr>
        <w:t>من</w:t>
      </w:r>
      <w:proofErr w:type="gramEnd"/>
      <w:r w:rsidR="00C13C4D">
        <w:rPr>
          <w:rFonts w:eastAsia="SimSun" w:hint="cs"/>
          <w:rtl/>
          <w:lang w:eastAsia="zh-CN"/>
        </w:rPr>
        <w:t xml:space="preserve"> ثم، يُقترح توسيع نطاق الاستثمارات المقبولة بحيث </w:t>
      </w:r>
      <w:r w:rsidR="004F68AC">
        <w:rPr>
          <w:rFonts w:eastAsia="SimSun" w:hint="cs"/>
          <w:rtl/>
          <w:lang w:eastAsia="zh-CN"/>
        </w:rPr>
        <w:t>ي</w:t>
      </w:r>
      <w:r w:rsidR="00C13C4D">
        <w:rPr>
          <w:rFonts w:eastAsia="SimSun" w:hint="cs"/>
          <w:rtl/>
          <w:lang w:eastAsia="zh-CN"/>
        </w:rPr>
        <w:t>ضم هذا النوع من المنتجات مثل السندات التي تصدرها جهات غير قومية، والسندات بدون عائد والإيداعات المضمونة رأسمالها. وسي</w:t>
      </w:r>
      <w:r w:rsidR="004F68AC">
        <w:rPr>
          <w:rFonts w:eastAsia="SimSun" w:hint="cs"/>
          <w:rtl/>
          <w:lang w:eastAsia="zh-CN"/>
        </w:rPr>
        <w:t>تعين</w:t>
      </w:r>
      <w:r w:rsidR="00C13C4D">
        <w:rPr>
          <w:rFonts w:eastAsia="SimSun" w:hint="cs"/>
          <w:rtl/>
          <w:lang w:eastAsia="zh-CN"/>
        </w:rPr>
        <w:t xml:space="preserve"> التعمق </w:t>
      </w:r>
      <w:proofErr w:type="gramStart"/>
      <w:r w:rsidR="00C13C4D">
        <w:rPr>
          <w:rFonts w:eastAsia="SimSun" w:hint="cs"/>
          <w:rtl/>
          <w:lang w:eastAsia="zh-CN"/>
        </w:rPr>
        <w:t>في</w:t>
      </w:r>
      <w:proofErr w:type="gramEnd"/>
      <w:r w:rsidR="00C13C4D">
        <w:rPr>
          <w:rFonts w:eastAsia="SimSun" w:hint="cs"/>
          <w:rtl/>
          <w:lang w:eastAsia="zh-CN"/>
        </w:rPr>
        <w:t xml:space="preserve"> بحث المنتجات التي قد تكون مناسبة.</w:t>
      </w:r>
    </w:p>
    <w:p w:rsidR="00BE2151" w:rsidRDefault="00C13C4D" w:rsidP="006C1A0F">
      <w:pPr>
        <w:pStyle w:val="NormalParaAR"/>
        <w:rPr>
          <w:rFonts w:eastAsia="SimSun"/>
          <w:rtl/>
          <w:lang w:eastAsia="zh-CN"/>
        </w:rPr>
      </w:pPr>
      <w:r>
        <w:rPr>
          <w:rFonts w:eastAsia="SimSun" w:hint="cs"/>
          <w:rtl/>
          <w:lang w:eastAsia="zh-CN"/>
        </w:rPr>
        <w:t xml:space="preserve">ويتعلق اقتراح إضافي بقروض الويبو. </w:t>
      </w:r>
      <w:r w:rsidR="004F68AC">
        <w:rPr>
          <w:rFonts w:eastAsia="SimSun" w:hint="cs"/>
          <w:rtl/>
          <w:lang w:eastAsia="zh-CN"/>
        </w:rPr>
        <w:t>ف</w:t>
      </w:r>
      <w:r>
        <w:rPr>
          <w:rFonts w:eastAsia="SimSun" w:hint="cs"/>
          <w:rtl/>
          <w:lang w:eastAsia="zh-CN"/>
        </w:rPr>
        <w:t xml:space="preserve">نظراً إلى التفاوت </w:t>
      </w:r>
      <w:r w:rsidR="00F1206A">
        <w:rPr>
          <w:rFonts w:eastAsia="SimSun" w:hint="cs"/>
          <w:rtl/>
          <w:lang w:eastAsia="zh-CN"/>
        </w:rPr>
        <w:t xml:space="preserve">القائم بين معدل فائدة القروض (تدفع الويبو حالياً نسبة تتراوح بين 1.705 بالمئة و3.0725 بالمئة لأقساط القرض الممول للمبنى الجديد) ومعدل الفائدة المحقق على الاستثمارات وواقع أن هذا التفاوت سيزداد لدى انتهاء ترتيب الويبو مع المصرف الوطني السويسري، فإن إحدى طرق تعزيز مركز الفائدة الصافي (الفائدة المدفوعة مقابل الفائدة المحققة) هي استخدام أموال الاستثمار لتقليص القروض. وإذا حظي هذا الاقتراح بالموافقة، سترمي الويبو إلى تسديد أقساط القرض المستحقة في </w:t>
      </w:r>
      <w:r w:rsidR="00961955">
        <w:rPr>
          <w:rFonts w:eastAsia="SimSun" w:hint="cs"/>
          <w:rtl/>
          <w:lang w:eastAsia="zh-CN"/>
        </w:rPr>
        <w:t>نوفمبر</w:t>
      </w:r>
      <w:r w:rsidR="00961955">
        <w:rPr>
          <w:rFonts w:eastAsia="SimSun"/>
          <w:rtl/>
          <w:lang w:eastAsia="zh-CN"/>
        </w:rPr>
        <w:t> </w:t>
      </w:r>
      <w:r w:rsidR="00F1206A">
        <w:rPr>
          <w:rFonts w:eastAsia="SimSun" w:hint="cs"/>
          <w:rtl/>
          <w:lang w:eastAsia="zh-CN"/>
        </w:rPr>
        <w:t>2015 (24 مليون فرنك سويسري) و</w:t>
      </w:r>
      <w:r w:rsidR="00961955">
        <w:rPr>
          <w:rFonts w:eastAsia="SimSun" w:hint="cs"/>
          <w:rtl/>
          <w:lang w:eastAsia="zh-CN"/>
        </w:rPr>
        <w:t>يناير</w:t>
      </w:r>
      <w:r w:rsidR="00961955">
        <w:rPr>
          <w:rFonts w:eastAsia="SimSun"/>
          <w:rtl/>
          <w:lang w:eastAsia="zh-CN"/>
        </w:rPr>
        <w:t> </w:t>
      </w:r>
      <w:r w:rsidR="00F1206A">
        <w:rPr>
          <w:rFonts w:eastAsia="SimSun" w:hint="cs"/>
          <w:rtl/>
          <w:lang w:eastAsia="zh-CN"/>
        </w:rPr>
        <w:t>2016 (16 مليون فرنك سويسري) عوضاً عن مد أجلهما وستهدف أيضاً إلى تمويل قاعة المؤتمرات من خلال الأموال المتوفر</w:t>
      </w:r>
      <w:r w:rsidR="00A270D0">
        <w:rPr>
          <w:rFonts w:eastAsia="SimSun" w:hint="cs"/>
          <w:rtl/>
          <w:lang w:eastAsia="zh-CN"/>
        </w:rPr>
        <w:t xml:space="preserve">ة للاستثمار بدلاً من سحب أقساط القرض الذي </w:t>
      </w:r>
      <w:r w:rsidR="006C1A0F">
        <w:rPr>
          <w:rFonts w:eastAsia="SimSun" w:hint="cs"/>
          <w:rtl/>
          <w:lang w:eastAsia="zh-CN"/>
        </w:rPr>
        <w:t>مُنح</w:t>
      </w:r>
      <w:r w:rsidR="00A270D0">
        <w:rPr>
          <w:rFonts w:eastAsia="SimSun" w:hint="cs"/>
          <w:rtl/>
          <w:lang w:eastAsia="zh-CN"/>
        </w:rPr>
        <w:t xml:space="preserve"> لهذا الغرض. ولا ريب في أنه لا يمكن مواصلة هذه الاستراتيجية، جزئياً أو كلياً، إذا واجهت الويبو مشكلات في السيولة نتيجة ذلك. وللتحقق من ذلك، ستواصل شعبة الشؤون المالية مراقبة التدفقات النقدية للمنظمة في المستقبل وإصدار بيانات مالية تقديرية للمركز المالي (الميزانية العامة). وسيتسنى لشعبة الشؤون المالية، بفضل هذه المعلومات، البت في الحفاظ على نسب سيولة نقدية ملائمة (النسب الجارية ونسب السيولة)</w:t>
      </w:r>
      <w:r w:rsidR="000A72F7">
        <w:rPr>
          <w:rStyle w:val="FootnoteReference"/>
          <w:rFonts w:eastAsia="SimSun"/>
          <w:rtl/>
          <w:lang w:eastAsia="zh-CN"/>
        </w:rPr>
        <w:footnoteReference w:id="1"/>
      </w:r>
      <w:r w:rsidR="00A270D0">
        <w:rPr>
          <w:rFonts w:eastAsia="SimSun" w:hint="cs"/>
          <w:rtl/>
          <w:lang w:eastAsia="zh-CN"/>
        </w:rPr>
        <w:t xml:space="preserve"> إذا اتبعت هذه الاستراتيجية. وبحسب التقديرات الحالية (الخاصة بالف</w:t>
      </w:r>
      <w:r w:rsidR="000A72F7">
        <w:rPr>
          <w:rFonts w:eastAsia="SimSun" w:hint="cs"/>
          <w:rtl/>
          <w:lang w:eastAsia="zh-CN"/>
        </w:rPr>
        <w:t xml:space="preserve">ترة الممتدة إلى 31 </w:t>
      </w:r>
      <w:r w:rsidR="00961955">
        <w:rPr>
          <w:rFonts w:eastAsia="SimSun" w:hint="cs"/>
          <w:rtl/>
          <w:lang w:eastAsia="zh-CN"/>
        </w:rPr>
        <w:t>ديسمبر</w:t>
      </w:r>
      <w:r w:rsidR="00961955">
        <w:rPr>
          <w:rFonts w:eastAsia="SimSun"/>
          <w:rtl/>
          <w:lang w:eastAsia="zh-CN"/>
        </w:rPr>
        <w:t> </w:t>
      </w:r>
      <w:r w:rsidR="004F68AC">
        <w:rPr>
          <w:rFonts w:eastAsia="SimSun" w:hint="cs"/>
          <w:rtl/>
          <w:lang w:eastAsia="zh-CN"/>
        </w:rPr>
        <w:t xml:space="preserve">2015)، سيتسنى </w:t>
      </w:r>
      <w:r w:rsidR="000A72F7">
        <w:rPr>
          <w:rFonts w:eastAsia="SimSun" w:hint="cs"/>
          <w:rtl/>
          <w:lang w:eastAsia="zh-CN"/>
        </w:rPr>
        <w:t>الحفاظ عليها.</w:t>
      </w:r>
    </w:p>
    <w:p w:rsidR="000A72F7" w:rsidRPr="00EE1147" w:rsidRDefault="00DB2BF5" w:rsidP="00DB2BF5">
      <w:pPr>
        <w:pStyle w:val="NormalParaAR"/>
        <w:keepNext/>
        <w:rPr>
          <w:b/>
          <w:bCs/>
          <w:sz w:val="40"/>
          <w:szCs w:val="40"/>
          <w:rtl/>
        </w:rPr>
      </w:pPr>
      <w:r w:rsidRPr="00EE1147">
        <w:rPr>
          <w:rFonts w:hint="cs"/>
          <w:b/>
          <w:bCs/>
          <w:sz w:val="40"/>
          <w:szCs w:val="40"/>
          <w:rtl/>
        </w:rPr>
        <w:t xml:space="preserve">سياسة الاستثمار الخاصة بتمويل </w:t>
      </w:r>
      <w:r w:rsidR="0000121A" w:rsidRPr="00EE1147">
        <w:rPr>
          <w:b/>
          <w:bCs/>
          <w:sz w:val="40"/>
          <w:szCs w:val="40"/>
          <w:rtl/>
        </w:rPr>
        <w:t>التأمين الصحي</w:t>
      </w:r>
      <w:r w:rsidRPr="00EE1147">
        <w:rPr>
          <w:b/>
          <w:bCs/>
          <w:sz w:val="40"/>
          <w:szCs w:val="40"/>
          <w:rtl/>
        </w:rPr>
        <w:t xml:space="preserve"> </w:t>
      </w:r>
      <w:proofErr w:type="gramStart"/>
      <w:r w:rsidRPr="00EE1147">
        <w:rPr>
          <w:b/>
          <w:bCs/>
          <w:sz w:val="40"/>
          <w:szCs w:val="40"/>
          <w:rtl/>
        </w:rPr>
        <w:t>بعد</w:t>
      </w:r>
      <w:proofErr w:type="gramEnd"/>
      <w:r w:rsidRPr="00EE1147">
        <w:rPr>
          <w:b/>
          <w:bCs/>
          <w:sz w:val="40"/>
          <w:szCs w:val="40"/>
          <w:rtl/>
        </w:rPr>
        <w:t xml:space="preserve"> انتهاء الخدمة</w:t>
      </w:r>
    </w:p>
    <w:p w:rsidR="000A72F7" w:rsidRDefault="004248AB" w:rsidP="004F68AC">
      <w:pPr>
        <w:pStyle w:val="NormalParaAR"/>
        <w:numPr>
          <w:ilvl w:val="0"/>
          <w:numId w:val="39"/>
        </w:numPr>
        <w:ind w:left="0" w:firstLine="0"/>
        <w:rPr>
          <w:rFonts w:eastAsia="SimSun"/>
          <w:lang w:eastAsia="zh-CN"/>
        </w:rPr>
      </w:pPr>
      <w:r>
        <w:rPr>
          <w:rFonts w:eastAsia="SimSun" w:hint="cs"/>
          <w:rtl/>
          <w:lang w:eastAsia="zh-CN"/>
        </w:rPr>
        <w:t xml:space="preserve">أقر مكتب </w:t>
      </w:r>
      <w:r>
        <w:rPr>
          <w:rFonts w:eastAsia="SimSun"/>
          <w:lang w:eastAsia="zh-CN"/>
        </w:rPr>
        <w:t>FTI Treasury</w:t>
      </w:r>
      <w:r>
        <w:rPr>
          <w:rFonts w:eastAsia="SimSun" w:hint="cs"/>
          <w:rtl/>
          <w:lang w:eastAsia="zh-CN"/>
        </w:rPr>
        <w:t xml:space="preserve"> في دراسة الخزانة التي أجراها أن صندوق </w:t>
      </w:r>
      <w:r w:rsidR="0000121A">
        <w:rPr>
          <w:rFonts w:eastAsia="SimSun" w:hint="cs"/>
          <w:rtl/>
          <w:lang w:eastAsia="zh-CN"/>
        </w:rPr>
        <w:t>التأمين الصحي</w:t>
      </w:r>
      <w:r>
        <w:rPr>
          <w:rFonts w:eastAsia="SimSun" w:hint="cs"/>
          <w:rtl/>
          <w:lang w:eastAsia="zh-CN"/>
        </w:rPr>
        <w:t xml:space="preserve"> بعد انتهاء الخدمة هو صندوق طويل الأجل وضع جانباً للوفاء بمستحقات الموظفين </w:t>
      </w:r>
      <w:r w:rsidR="004F68AC">
        <w:rPr>
          <w:rFonts w:eastAsia="SimSun" w:hint="cs"/>
          <w:rtl/>
          <w:lang w:eastAsia="zh-CN"/>
        </w:rPr>
        <w:t>في الأجل الطويل</w:t>
      </w:r>
      <w:r>
        <w:rPr>
          <w:rFonts w:eastAsia="SimSun" w:hint="cs"/>
          <w:rtl/>
          <w:lang w:eastAsia="zh-CN"/>
        </w:rPr>
        <w:t xml:space="preserve"> التي تطرأ على أساس منتظم ويتفق بذلك مع "سمات صناديق المعاشات التقاعدية". وقررت الدول الأعضاء في </w:t>
      </w:r>
      <w:r w:rsidR="00961955">
        <w:rPr>
          <w:rFonts w:eastAsia="SimSun" w:hint="cs"/>
          <w:rtl/>
          <w:lang w:eastAsia="zh-CN"/>
        </w:rPr>
        <w:t>عام</w:t>
      </w:r>
      <w:r w:rsidR="00961955">
        <w:rPr>
          <w:rFonts w:eastAsia="SimSun"/>
          <w:rtl/>
          <w:lang w:eastAsia="zh-CN"/>
        </w:rPr>
        <w:t> </w:t>
      </w:r>
      <w:r>
        <w:rPr>
          <w:rFonts w:eastAsia="SimSun" w:hint="cs"/>
          <w:rtl/>
          <w:lang w:eastAsia="zh-CN"/>
        </w:rPr>
        <w:t xml:space="preserve">2013 أن تضع بعض الأموال جانباً في حساب مصرفي منفصل لتغطية 50 بالمئة من إجمالي الخصوم </w:t>
      </w:r>
      <w:r w:rsidR="004F68AC">
        <w:rPr>
          <w:rFonts w:eastAsia="SimSun" w:hint="cs"/>
          <w:rtl/>
          <w:lang w:eastAsia="zh-CN"/>
        </w:rPr>
        <w:t>في الأجل الطويل</w:t>
      </w:r>
      <w:r>
        <w:rPr>
          <w:rFonts w:eastAsia="SimSun" w:hint="cs"/>
          <w:rtl/>
          <w:lang w:eastAsia="zh-CN"/>
        </w:rPr>
        <w:t xml:space="preserve"> الخاصة بمستحقات الموظفين في 31 </w:t>
      </w:r>
      <w:r w:rsidR="00961955">
        <w:rPr>
          <w:rFonts w:eastAsia="SimSun" w:hint="cs"/>
          <w:rtl/>
          <w:lang w:eastAsia="zh-CN"/>
        </w:rPr>
        <w:t>ديسمبر</w:t>
      </w:r>
      <w:r w:rsidR="00961955">
        <w:rPr>
          <w:rFonts w:eastAsia="SimSun"/>
          <w:rtl/>
          <w:lang w:eastAsia="zh-CN"/>
        </w:rPr>
        <w:t> </w:t>
      </w:r>
      <w:r>
        <w:rPr>
          <w:rFonts w:eastAsia="SimSun" w:hint="cs"/>
          <w:rtl/>
          <w:lang w:eastAsia="zh-CN"/>
        </w:rPr>
        <w:t>2013 و</w:t>
      </w:r>
      <w:r>
        <w:rPr>
          <w:rFonts w:hint="cs"/>
          <w:rtl/>
        </w:rPr>
        <w:t>يكم</w:t>
      </w:r>
      <w:r w:rsidR="004F68AC">
        <w:rPr>
          <w:rFonts w:hint="cs"/>
          <w:rtl/>
        </w:rPr>
        <w:t>َّ</w:t>
      </w:r>
      <w:r>
        <w:rPr>
          <w:rFonts w:hint="cs"/>
          <w:rtl/>
        </w:rPr>
        <w:t xml:space="preserve">ل هذا المبلغ كل </w:t>
      </w:r>
      <w:r w:rsidR="00961955">
        <w:rPr>
          <w:rFonts w:hint="cs"/>
          <w:rtl/>
        </w:rPr>
        <w:t>عام</w:t>
      </w:r>
      <w:r w:rsidR="00961955">
        <w:rPr>
          <w:rtl/>
        </w:rPr>
        <w:t> </w:t>
      </w:r>
      <w:r>
        <w:rPr>
          <w:rFonts w:hint="cs"/>
          <w:rtl/>
        </w:rPr>
        <w:t xml:space="preserve">من </w:t>
      </w:r>
      <w:r w:rsidRPr="004248AB">
        <w:rPr>
          <w:rFonts w:eastAsia="SimSun"/>
          <w:rtl/>
          <w:lang w:eastAsia="zh-CN"/>
        </w:rPr>
        <w:t>الرصيد المتاح من التكاليف المحسوبة في الميزانية ب</w:t>
      </w:r>
      <w:r>
        <w:rPr>
          <w:rFonts w:eastAsia="SimSun"/>
          <w:rtl/>
          <w:lang w:eastAsia="zh-CN"/>
        </w:rPr>
        <w:t>نسبة 6 بالمائة من تكاليف الأجور</w:t>
      </w:r>
      <w:r>
        <w:rPr>
          <w:rFonts w:eastAsia="SimSun" w:hint="cs"/>
          <w:rtl/>
          <w:lang w:eastAsia="zh-CN"/>
        </w:rPr>
        <w:t xml:space="preserve"> بعد خصم ما يسدد من مستحقات الموظفين </w:t>
      </w:r>
      <w:r w:rsidR="004F68AC">
        <w:rPr>
          <w:rFonts w:eastAsia="SimSun" w:hint="cs"/>
          <w:rtl/>
          <w:lang w:eastAsia="zh-CN"/>
        </w:rPr>
        <w:t>في الأجل</w:t>
      </w:r>
      <w:r>
        <w:rPr>
          <w:rFonts w:eastAsia="SimSun" w:hint="cs"/>
          <w:rtl/>
          <w:lang w:eastAsia="zh-CN"/>
        </w:rPr>
        <w:t xml:space="preserve"> الطويل (</w:t>
      </w:r>
      <w:r w:rsidR="00961955">
        <w:rPr>
          <w:rFonts w:eastAsia="SimSun" w:hint="cs"/>
          <w:rtl/>
          <w:lang w:eastAsia="zh-CN"/>
        </w:rPr>
        <w:t>الوثيقة</w:t>
      </w:r>
      <w:r w:rsidR="00961955">
        <w:rPr>
          <w:rFonts w:eastAsia="SimSun"/>
          <w:rtl/>
          <w:lang w:eastAsia="zh-CN"/>
        </w:rPr>
        <w:t> </w:t>
      </w:r>
      <w:r>
        <w:rPr>
          <w:rFonts w:eastAsia="SimSun"/>
          <w:lang w:eastAsia="zh-CN"/>
        </w:rPr>
        <w:t>WO/PBC/20/6</w:t>
      </w:r>
      <w:r>
        <w:rPr>
          <w:rFonts w:eastAsia="SimSun" w:hint="cs"/>
          <w:rtl/>
          <w:lang w:eastAsia="zh-CN"/>
        </w:rPr>
        <w:t>). وإن رصيد هذا الصندوق في 30</w:t>
      </w:r>
      <w:r w:rsidR="004F68AC">
        <w:rPr>
          <w:rFonts w:eastAsia="SimSun" w:hint="eastAsia"/>
          <w:rtl/>
        </w:rPr>
        <w:t> </w:t>
      </w:r>
      <w:r w:rsidR="00961955">
        <w:rPr>
          <w:rFonts w:eastAsia="SimSun" w:hint="cs"/>
          <w:rtl/>
          <w:lang w:eastAsia="zh-CN"/>
        </w:rPr>
        <w:t>يونيو</w:t>
      </w:r>
      <w:r w:rsidR="00961955">
        <w:rPr>
          <w:rFonts w:eastAsia="SimSun"/>
          <w:rtl/>
          <w:lang w:eastAsia="zh-CN"/>
        </w:rPr>
        <w:t> </w:t>
      </w:r>
      <w:r>
        <w:rPr>
          <w:rFonts w:eastAsia="SimSun" w:hint="cs"/>
          <w:rtl/>
          <w:lang w:eastAsia="zh-CN"/>
        </w:rPr>
        <w:t xml:space="preserve">2014 يبلغ 84.4 </w:t>
      </w:r>
      <w:proofErr w:type="gramStart"/>
      <w:r>
        <w:rPr>
          <w:rFonts w:eastAsia="SimSun" w:hint="cs"/>
          <w:rtl/>
          <w:lang w:eastAsia="zh-CN"/>
        </w:rPr>
        <w:t>مليون</w:t>
      </w:r>
      <w:proofErr w:type="gramEnd"/>
      <w:r>
        <w:rPr>
          <w:rFonts w:eastAsia="SimSun" w:hint="cs"/>
          <w:rtl/>
          <w:lang w:eastAsia="zh-CN"/>
        </w:rPr>
        <w:t xml:space="preserve"> فرنك سويسري وهو مودع الآن في المصرف الوطني السويسري.</w:t>
      </w:r>
    </w:p>
    <w:p w:rsidR="004248AB" w:rsidRDefault="004248AB" w:rsidP="00D54182">
      <w:pPr>
        <w:pStyle w:val="NormalParaAR"/>
        <w:numPr>
          <w:ilvl w:val="0"/>
          <w:numId w:val="39"/>
        </w:numPr>
        <w:ind w:left="0" w:firstLine="0"/>
        <w:rPr>
          <w:rFonts w:eastAsia="SimSun"/>
          <w:lang w:eastAsia="zh-CN"/>
        </w:rPr>
      </w:pPr>
      <w:proofErr w:type="gramStart"/>
      <w:r>
        <w:rPr>
          <w:rFonts w:eastAsia="SimSun" w:hint="cs"/>
          <w:rtl/>
          <w:lang w:eastAsia="zh-CN"/>
        </w:rPr>
        <w:lastRenderedPageBreak/>
        <w:t>ووفقاً</w:t>
      </w:r>
      <w:proofErr w:type="gramEnd"/>
      <w:r>
        <w:rPr>
          <w:rFonts w:eastAsia="SimSun" w:hint="cs"/>
          <w:rtl/>
          <w:lang w:eastAsia="zh-CN"/>
        </w:rPr>
        <w:t xml:space="preserve"> للاستشاريين</w:t>
      </w:r>
      <w:r w:rsidR="004F68AC">
        <w:rPr>
          <w:rFonts w:eastAsia="SimSun" w:hint="cs"/>
          <w:rtl/>
          <w:lang w:eastAsia="zh-CN"/>
        </w:rPr>
        <w:t xml:space="preserve">، </w:t>
      </w:r>
      <w:r w:rsidR="00F523CB">
        <w:rPr>
          <w:rFonts w:eastAsia="SimSun" w:hint="cs"/>
          <w:rtl/>
          <w:lang w:eastAsia="zh-CN"/>
        </w:rPr>
        <w:t xml:space="preserve">إذا استوت جميع المعايير الأخرى، ينبغي للمبلغ المودع أصلاً (80.5 </w:t>
      </w:r>
      <w:proofErr w:type="gramStart"/>
      <w:r w:rsidR="00F523CB">
        <w:rPr>
          <w:rFonts w:eastAsia="SimSun" w:hint="cs"/>
          <w:rtl/>
          <w:lang w:eastAsia="zh-CN"/>
        </w:rPr>
        <w:t>مليون</w:t>
      </w:r>
      <w:proofErr w:type="gramEnd"/>
      <w:r w:rsidR="00F523CB">
        <w:rPr>
          <w:rFonts w:eastAsia="SimSun" w:hint="cs"/>
          <w:rtl/>
          <w:lang w:eastAsia="zh-CN"/>
        </w:rPr>
        <w:t xml:space="preserve"> فرنك سويسري) أن يدر فائدة قدرها 2.3 بالمئة سنوياً للحفاظ على حجمه النسبي (أي 50 بالمئة من الخصوم). ومن المؤكد أن تحقيق عائد أعلى سيزيد هذه النسبة البالغة 50 بالمئة وأن تحقيق عائد أدنى سيقلصها. ولا يمكن حالياً تحقيق عائد قدره 2.3 بالمئة من إيداعات المصارف (سواء كانت الودائع لدى المصرف الوطني السويسري أو غيره) أو بالاستثمار في سندات عالية الجودة. وأظهرت التنبؤات الواردة عن المصرف الوطني السويسري </w:t>
      </w:r>
      <w:proofErr w:type="gramStart"/>
      <w:r w:rsidR="00F523CB">
        <w:rPr>
          <w:rFonts w:eastAsia="SimSun" w:hint="cs"/>
          <w:rtl/>
          <w:lang w:eastAsia="zh-CN"/>
        </w:rPr>
        <w:t>أنه</w:t>
      </w:r>
      <w:proofErr w:type="gramEnd"/>
      <w:r w:rsidR="00F523CB">
        <w:rPr>
          <w:rFonts w:eastAsia="SimSun" w:hint="cs"/>
          <w:rtl/>
          <w:lang w:eastAsia="zh-CN"/>
        </w:rPr>
        <w:t xml:space="preserve"> يتوقع هيمنة بيئة معدلات فائدة ضئيلة في المستقبل القريب في سويسرا. </w:t>
      </w:r>
      <w:proofErr w:type="gramStart"/>
      <w:r w:rsidR="00F523CB">
        <w:rPr>
          <w:rFonts w:eastAsia="SimSun" w:hint="cs"/>
          <w:rtl/>
          <w:lang w:eastAsia="zh-CN"/>
        </w:rPr>
        <w:t>و</w:t>
      </w:r>
      <w:r w:rsidR="00D54182">
        <w:rPr>
          <w:rFonts w:eastAsia="SimSun" w:hint="cs"/>
          <w:rtl/>
          <w:lang w:eastAsia="zh-CN"/>
        </w:rPr>
        <w:t>توضيحاً</w:t>
      </w:r>
      <w:proofErr w:type="gramEnd"/>
      <w:r w:rsidR="00D54182">
        <w:rPr>
          <w:rFonts w:eastAsia="SimSun" w:hint="cs"/>
          <w:rtl/>
          <w:lang w:eastAsia="zh-CN"/>
        </w:rPr>
        <w:t xml:space="preserve"> لما سبق، فإن السندات المسعرة بالفرنك السويسري والصادرة عن الاتحاد</w:t>
      </w:r>
      <w:r w:rsidR="004F68AC">
        <w:rPr>
          <w:rFonts w:eastAsia="SimSun" w:hint="cs"/>
          <w:rtl/>
          <w:lang w:eastAsia="zh-CN"/>
        </w:rPr>
        <w:t xml:space="preserve"> السويسري</w:t>
      </w:r>
      <w:r w:rsidR="00D54182">
        <w:rPr>
          <w:rFonts w:eastAsia="SimSun" w:hint="cs"/>
          <w:rtl/>
          <w:lang w:eastAsia="zh-CN"/>
        </w:rPr>
        <w:t xml:space="preserve"> في </w:t>
      </w:r>
      <w:r w:rsidR="00961955">
        <w:rPr>
          <w:rFonts w:eastAsia="SimSun" w:hint="cs"/>
          <w:rtl/>
          <w:lang w:eastAsia="zh-CN"/>
        </w:rPr>
        <w:t>مايو</w:t>
      </w:r>
      <w:r w:rsidR="00961955">
        <w:rPr>
          <w:rFonts w:eastAsia="SimSun"/>
          <w:rtl/>
          <w:lang w:eastAsia="zh-CN"/>
        </w:rPr>
        <w:t> </w:t>
      </w:r>
      <w:r w:rsidR="00D54182">
        <w:rPr>
          <w:rFonts w:eastAsia="SimSun" w:hint="cs"/>
          <w:rtl/>
          <w:lang w:eastAsia="zh-CN"/>
        </w:rPr>
        <w:t>2014 بأجل يبلغ 30 عاماً ستدر فائدة قدرها 1.59 بالمئة فقط.</w:t>
      </w:r>
    </w:p>
    <w:p w:rsidR="00D54182" w:rsidRDefault="00D54182" w:rsidP="004F68AC">
      <w:pPr>
        <w:pStyle w:val="NormalParaAR"/>
        <w:keepNext/>
        <w:numPr>
          <w:ilvl w:val="0"/>
          <w:numId w:val="39"/>
        </w:numPr>
        <w:ind w:left="0" w:firstLine="0"/>
        <w:rPr>
          <w:rFonts w:eastAsia="SimSun"/>
          <w:lang w:eastAsia="zh-CN"/>
        </w:rPr>
      </w:pPr>
      <w:r>
        <w:rPr>
          <w:rFonts w:eastAsia="SimSun" w:hint="cs"/>
          <w:rtl/>
          <w:lang w:eastAsia="zh-CN"/>
        </w:rPr>
        <w:t xml:space="preserve">وثمة طائفة من الاختيارات التي يمكن النظر فيها بشأن تمويل </w:t>
      </w:r>
      <w:r w:rsidR="0000121A">
        <w:rPr>
          <w:rFonts w:eastAsia="SimSun" w:hint="cs"/>
          <w:rtl/>
          <w:lang w:eastAsia="zh-CN"/>
        </w:rPr>
        <w:t>التأمين الصحي</w:t>
      </w:r>
      <w:r w:rsidR="004F68AC">
        <w:rPr>
          <w:rFonts w:eastAsia="SimSun" w:hint="cs"/>
          <w:rtl/>
          <w:lang w:eastAsia="zh-CN"/>
        </w:rPr>
        <w:t xml:space="preserve"> بعد انتهاء الخدمة:</w:t>
      </w:r>
    </w:p>
    <w:p w:rsidR="00D54182" w:rsidRDefault="00D54182" w:rsidP="00E91186">
      <w:pPr>
        <w:pStyle w:val="NormalParaAR"/>
        <w:numPr>
          <w:ilvl w:val="0"/>
          <w:numId w:val="41"/>
        </w:numPr>
        <w:ind w:left="567" w:firstLine="0"/>
        <w:rPr>
          <w:rFonts w:eastAsia="SimSun"/>
          <w:lang w:eastAsia="zh-CN"/>
        </w:rPr>
      </w:pPr>
      <w:r>
        <w:rPr>
          <w:rFonts w:eastAsia="SimSun" w:hint="cs"/>
          <w:rtl/>
          <w:lang w:eastAsia="zh-CN"/>
        </w:rPr>
        <w:t>ضمان تأمين رأس المال كاملاً من خلال الاستثمار فقط في الأصول المنخفضة المخاطر مثل الودائع في المصارف والسندات السيادية، وت</w:t>
      </w:r>
      <w:r w:rsidR="004F68AC">
        <w:rPr>
          <w:rFonts w:eastAsia="SimSun" w:hint="cs"/>
          <w:rtl/>
          <w:lang w:eastAsia="zh-CN"/>
        </w:rPr>
        <w:t>َ</w:t>
      </w:r>
      <w:r>
        <w:rPr>
          <w:rFonts w:eastAsia="SimSun" w:hint="cs"/>
          <w:rtl/>
          <w:lang w:eastAsia="zh-CN"/>
        </w:rPr>
        <w:t>ق</w:t>
      </w:r>
      <w:r w:rsidR="004F68AC">
        <w:rPr>
          <w:rFonts w:eastAsia="SimSun" w:hint="cs"/>
          <w:rtl/>
          <w:lang w:eastAsia="zh-CN"/>
        </w:rPr>
        <w:t>َ</w:t>
      </w:r>
      <w:r>
        <w:rPr>
          <w:rFonts w:eastAsia="SimSun" w:hint="cs"/>
          <w:rtl/>
          <w:lang w:eastAsia="zh-CN"/>
        </w:rPr>
        <w:t>ب</w:t>
      </w:r>
      <w:r w:rsidR="004F68AC">
        <w:rPr>
          <w:rFonts w:eastAsia="SimSun" w:hint="cs"/>
          <w:rtl/>
          <w:lang w:eastAsia="zh-CN"/>
        </w:rPr>
        <w:t>ُّ</w:t>
      </w:r>
      <w:r>
        <w:rPr>
          <w:rFonts w:eastAsia="SimSun" w:hint="cs"/>
          <w:rtl/>
          <w:lang w:eastAsia="zh-CN"/>
        </w:rPr>
        <w:t xml:space="preserve">ل أن ذلك سيؤدي إلى عائدات ضئيلة وما يتبع ذلك من مخاطرة فقدان رأس المال قيمته مع مرور الزمن. وقد يقضي هذا الخيار بأن تقوم الويبو بزيادة إسهامها السنوي بمبلغ يفوق نسبة الستة بالمئة من التكاليف الصافية بعد خصم المستحقات بغية </w:t>
      </w:r>
      <w:r w:rsidR="00790DE9">
        <w:rPr>
          <w:rFonts w:eastAsia="SimSun" w:hint="cs"/>
          <w:rtl/>
          <w:lang w:eastAsia="zh-CN"/>
        </w:rPr>
        <w:t>تغطية احتمال عجز رأس المال عن مواكبة الخصوم المتنامية وعجزه كذلك عن الحفاظ على نسبته إلى الخصوم.</w:t>
      </w:r>
    </w:p>
    <w:p w:rsidR="004567D9" w:rsidRDefault="00790DE9" w:rsidP="00E91186">
      <w:pPr>
        <w:pStyle w:val="NormalParaAR"/>
        <w:numPr>
          <w:ilvl w:val="0"/>
          <w:numId w:val="41"/>
        </w:numPr>
        <w:ind w:left="567" w:firstLine="0"/>
        <w:rPr>
          <w:rFonts w:eastAsia="SimSun"/>
          <w:lang w:eastAsia="zh-CN"/>
        </w:rPr>
      </w:pPr>
      <w:r>
        <w:rPr>
          <w:rFonts w:eastAsia="SimSun" w:hint="cs"/>
          <w:rtl/>
          <w:lang w:eastAsia="zh-CN"/>
        </w:rPr>
        <w:t>ا</w:t>
      </w:r>
      <w:r w:rsidR="004567D9">
        <w:rPr>
          <w:rFonts w:eastAsia="SimSun" w:hint="cs"/>
          <w:rtl/>
          <w:lang w:eastAsia="zh-CN"/>
        </w:rPr>
        <w:t xml:space="preserve">ستهداف تحقيق معدل عائد قدره 2.3 بالمئة للحفاظ على </w:t>
      </w:r>
      <w:r w:rsidR="004F68AC">
        <w:rPr>
          <w:rFonts w:eastAsia="SimSun" w:hint="cs"/>
          <w:rtl/>
          <w:lang w:eastAsia="zh-CN"/>
        </w:rPr>
        <w:t>نسبة الإسهامات</w:t>
      </w:r>
      <w:r w:rsidR="004567D9">
        <w:rPr>
          <w:rFonts w:eastAsia="SimSun" w:hint="cs"/>
          <w:rtl/>
          <w:lang w:eastAsia="zh-CN"/>
        </w:rPr>
        <w:t xml:space="preserve"> </w:t>
      </w:r>
      <w:r w:rsidR="004F68AC">
        <w:rPr>
          <w:rFonts w:eastAsia="SimSun" w:hint="cs"/>
          <w:rtl/>
          <w:lang w:eastAsia="zh-CN"/>
        </w:rPr>
        <w:t>إلى</w:t>
      </w:r>
      <w:r w:rsidR="004567D9">
        <w:rPr>
          <w:rFonts w:eastAsia="SimSun" w:hint="cs"/>
          <w:rtl/>
          <w:lang w:eastAsia="zh-CN"/>
        </w:rPr>
        <w:t xml:space="preserve"> الخصوم. ويشير مكتب </w:t>
      </w:r>
      <w:r w:rsidR="004567D9">
        <w:rPr>
          <w:rFonts w:eastAsia="SimSun"/>
          <w:lang w:eastAsia="zh-CN"/>
        </w:rPr>
        <w:t>FTI Treasury</w:t>
      </w:r>
      <w:r w:rsidR="004567D9">
        <w:rPr>
          <w:rFonts w:eastAsia="SimSun" w:hint="cs"/>
          <w:rtl/>
          <w:lang w:eastAsia="zh-CN"/>
        </w:rPr>
        <w:t xml:space="preserve"> بأن هذا الهد</w:t>
      </w:r>
      <w:r w:rsidR="000803CC">
        <w:rPr>
          <w:rFonts w:eastAsia="SimSun" w:hint="cs"/>
          <w:rtl/>
          <w:lang w:eastAsia="zh-CN"/>
        </w:rPr>
        <w:t xml:space="preserve">ف قد ينطوي على الاستثمار في هياكل مثل صناديق العائد المطلق التي </w:t>
      </w:r>
      <w:r w:rsidR="001E297F">
        <w:rPr>
          <w:rFonts w:eastAsia="SimSun" w:hint="cs"/>
          <w:rtl/>
          <w:lang w:eastAsia="zh-CN"/>
        </w:rPr>
        <w:t>تكفل أمان رأس المال على النحو الأمثل مع</w:t>
      </w:r>
      <w:r w:rsidR="004F68AC">
        <w:rPr>
          <w:rFonts w:eastAsia="SimSun" w:hint="cs"/>
          <w:rtl/>
          <w:lang w:eastAsia="zh-CN"/>
        </w:rPr>
        <w:t xml:space="preserve"> استهداف معدلات عائد محددة. وستك</w:t>
      </w:r>
      <w:r w:rsidR="001E297F">
        <w:rPr>
          <w:rFonts w:eastAsia="SimSun" w:hint="cs"/>
          <w:rtl/>
          <w:lang w:eastAsia="zh-CN"/>
        </w:rPr>
        <w:t>م</w:t>
      </w:r>
      <w:r w:rsidR="004F68AC">
        <w:rPr>
          <w:rFonts w:eastAsia="SimSun" w:hint="cs"/>
          <w:rtl/>
          <w:lang w:eastAsia="zh-CN"/>
        </w:rPr>
        <w:t>َّ</w:t>
      </w:r>
      <w:r w:rsidR="001E297F">
        <w:rPr>
          <w:rFonts w:eastAsia="SimSun" w:hint="cs"/>
          <w:rtl/>
          <w:lang w:eastAsia="zh-CN"/>
        </w:rPr>
        <w:t xml:space="preserve">ل هذه </w:t>
      </w:r>
      <w:proofErr w:type="gramStart"/>
      <w:r w:rsidR="001E297F">
        <w:rPr>
          <w:rFonts w:eastAsia="SimSun" w:hint="cs"/>
          <w:rtl/>
          <w:lang w:eastAsia="zh-CN"/>
        </w:rPr>
        <w:t>العائدات</w:t>
      </w:r>
      <w:proofErr w:type="gramEnd"/>
      <w:r w:rsidR="001E297F">
        <w:rPr>
          <w:rFonts w:eastAsia="SimSun" w:hint="cs"/>
          <w:rtl/>
          <w:lang w:eastAsia="zh-CN"/>
        </w:rPr>
        <w:t xml:space="preserve"> بإسهام سنوي ويمكن زيادة نسبة الخصوم التي يغطيها الصندوق مع الوقت.</w:t>
      </w:r>
    </w:p>
    <w:p w:rsidR="001E297F" w:rsidRDefault="001E297F" w:rsidP="000B37B8">
      <w:pPr>
        <w:pStyle w:val="NormalParaAR"/>
        <w:numPr>
          <w:ilvl w:val="0"/>
          <w:numId w:val="41"/>
        </w:numPr>
        <w:ind w:left="567" w:firstLine="0"/>
        <w:rPr>
          <w:rFonts w:eastAsia="SimSun"/>
          <w:lang w:eastAsia="zh-CN"/>
        </w:rPr>
      </w:pPr>
      <w:proofErr w:type="gramStart"/>
      <w:r>
        <w:rPr>
          <w:rFonts w:eastAsia="SimSun" w:hint="cs"/>
          <w:rtl/>
          <w:lang w:eastAsia="zh-CN"/>
        </w:rPr>
        <w:t>السعي</w:t>
      </w:r>
      <w:proofErr w:type="gramEnd"/>
      <w:r>
        <w:rPr>
          <w:rFonts w:eastAsia="SimSun" w:hint="cs"/>
          <w:rtl/>
          <w:lang w:eastAsia="zh-CN"/>
        </w:rPr>
        <w:t xml:space="preserve"> إلى تحقيق عائدات أعلى مع التسليم بأن ذلك سيتطلب قبول مستويات أعلى من المخاطر. </w:t>
      </w:r>
      <w:proofErr w:type="gramStart"/>
      <w:r>
        <w:rPr>
          <w:rFonts w:eastAsia="SimSun" w:hint="cs"/>
          <w:rtl/>
          <w:lang w:eastAsia="zh-CN"/>
        </w:rPr>
        <w:t>ويميل</w:t>
      </w:r>
      <w:proofErr w:type="gramEnd"/>
      <w:r>
        <w:rPr>
          <w:rFonts w:eastAsia="SimSun" w:hint="cs"/>
          <w:rtl/>
          <w:lang w:eastAsia="zh-CN"/>
        </w:rPr>
        <w:t xml:space="preserve"> هذا النهج إلى الاستثمار في فئات من الأصول أعلى مخاطرة مثل ال</w:t>
      </w:r>
      <w:r w:rsidR="0068335C">
        <w:rPr>
          <w:rFonts w:eastAsia="SimSun" w:hint="cs"/>
          <w:rtl/>
          <w:lang w:eastAsia="zh-CN"/>
        </w:rPr>
        <w:t xml:space="preserve">أسهم أو العقار أو بدائل كالسلع الأساسية </w:t>
      </w:r>
      <w:r w:rsidR="0068335C">
        <w:rPr>
          <w:rFonts w:eastAsia="SimSun"/>
          <w:rtl/>
          <w:lang w:eastAsia="zh-CN"/>
        </w:rPr>
        <w:t>–</w:t>
      </w:r>
      <w:r w:rsidR="0068335C">
        <w:rPr>
          <w:rFonts w:eastAsia="SimSun" w:hint="cs"/>
          <w:rtl/>
          <w:lang w:eastAsia="zh-CN"/>
        </w:rPr>
        <w:t xml:space="preserve"> أي في الصناديق عامة عوضاً عن الأصول الثابتة. وإن تحقيق عائد أعلى على الاستثمارات في </w:t>
      </w:r>
      <w:r w:rsidR="0000121A">
        <w:rPr>
          <w:rFonts w:eastAsia="SimSun" w:hint="cs"/>
          <w:rtl/>
          <w:lang w:eastAsia="zh-CN"/>
        </w:rPr>
        <w:t>التأمين الصحي</w:t>
      </w:r>
      <w:r w:rsidR="0068335C">
        <w:rPr>
          <w:rFonts w:eastAsia="SimSun" w:hint="cs"/>
          <w:rtl/>
          <w:lang w:eastAsia="zh-CN"/>
        </w:rPr>
        <w:t xml:space="preserve"> بعد انتهاء الخدمة قد يمكن المنظمة من تقليص </w:t>
      </w:r>
      <w:r w:rsidR="00696AF7">
        <w:rPr>
          <w:rFonts w:eastAsia="SimSun" w:hint="cs"/>
          <w:rtl/>
          <w:lang w:eastAsia="zh-CN"/>
        </w:rPr>
        <w:t xml:space="preserve">أو تفادي </w:t>
      </w:r>
      <w:r w:rsidR="000B37B8">
        <w:rPr>
          <w:rFonts w:eastAsia="SimSun" w:hint="cs"/>
          <w:rtl/>
          <w:lang w:eastAsia="zh-CN"/>
        </w:rPr>
        <w:t>ضرورة</w:t>
      </w:r>
      <w:r w:rsidR="00696AF7">
        <w:rPr>
          <w:rFonts w:eastAsia="SimSun" w:hint="cs"/>
          <w:rtl/>
          <w:lang w:eastAsia="zh-CN"/>
        </w:rPr>
        <w:t xml:space="preserve"> إضافة الجزء المتبقي من تكاليف الموظفين البالغة 6 بالمئة إلى الصندوق.</w:t>
      </w:r>
    </w:p>
    <w:p w:rsidR="00696AF7" w:rsidRPr="0068335C" w:rsidRDefault="000B37B8" w:rsidP="000B37B8">
      <w:pPr>
        <w:pStyle w:val="NormalParaAR"/>
        <w:numPr>
          <w:ilvl w:val="0"/>
          <w:numId w:val="39"/>
        </w:numPr>
        <w:ind w:left="0" w:firstLine="0"/>
        <w:rPr>
          <w:rFonts w:eastAsia="SimSun"/>
          <w:lang w:eastAsia="zh-CN"/>
        </w:rPr>
      </w:pPr>
      <w:proofErr w:type="gramStart"/>
      <w:r>
        <w:rPr>
          <w:rFonts w:eastAsia="SimSun" w:hint="cs"/>
          <w:rtl/>
          <w:lang w:eastAsia="zh-CN"/>
        </w:rPr>
        <w:t>و</w:t>
      </w:r>
      <w:r w:rsidR="002A0BCE">
        <w:rPr>
          <w:rFonts w:eastAsia="SimSun" w:hint="cs"/>
          <w:rtl/>
          <w:lang w:eastAsia="zh-CN"/>
        </w:rPr>
        <w:t>بدأت</w:t>
      </w:r>
      <w:proofErr w:type="gramEnd"/>
      <w:r w:rsidR="002A0BCE">
        <w:rPr>
          <w:rFonts w:eastAsia="SimSun" w:hint="cs"/>
          <w:rtl/>
          <w:lang w:eastAsia="zh-CN"/>
        </w:rPr>
        <w:t xml:space="preserve"> عدة وكالات تابعة للأمم المتحدة تمويل </w:t>
      </w:r>
      <w:r>
        <w:rPr>
          <w:rFonts w:eastAsia="SimSun" w:hint="cs"/>
          <w:rtl/>
          <w:lang w:eastAsia="zh-CN"/>
        </w:rPr>
        <w:t>الخصوم</w:t>
      </w:r>
      <w:r w:rsidR="002A0BCE">
        <w:rPr>
          <w:rFonts w:eastAsia="SimSun" w:hint="cs"/>
          <w:rtl/>
          <w:lang w:eastAsia="zh-CN"/>
        </w:rPr>
        <w:t xml:space="preserve"> الخاصة ب</w:t>
      </w:r>
      <w:r w:rsidR="0000121A">
        <w:rPr>
          <w:rFonts w:eastAsia="SimSun" w:hint="cs"/>
          <w:rtl/>
          <w:lang w:eastAsia="zh-CN"/>
        </w:rPr>
        <w:t>التأمين الصحي</w:t>
      </w:r>
      <w:r w:rsidR="002A0BCE">
        <w:rPr>
          <w:rFonts w:eastAsia="SimSun" w:hint="cs"/>
          <w:rtl/>
          <w:lang w:eastAsia="zh-CN"/>
        </w:rPr>
        <w:t xml:space="preserve"> بعد انتهاء الخدمة، وترد في </w:t>
      </w:r>
      <w:r w:rsidR="00961955">
        <w:rPr>
          <w:rFonts w:eastAsia="SimSun" w:hint="cs"/>
          <w:rtl/>
          <w:lang w:eastAsia="zh-CN"/>
        </w:rPr>
        <w:t>الجدول</w:t>
      </w:r>
      <w:r w:rsidR="00961955">
        <w:rPr>
          <w:rFonts w:eastAsia="SimSun"/>
          <w:rtl/>
          <w:lang w:eastAsia="zh-CN"/>
        </w:rPr>
        <w:t> </w:t>
      </w:r>
      <w:r w:rsidR="002A0BCE">
        <w:rPr>
          <w:rFonts w:eastAsia="SimSun" w:hint="cs"/>
          <w:rtl/>
          <w:lang w:eastAsia="zh-CN"/>
        </w:rPr>
        <w:t>أدناه تفاصيل استثمار هذه الأموال.</w:t>
      </w:r>
    </w:p>
    <w:p w:rsidR="002A0BCE" w:rsidRPr="002A0BCE" w:rsidRDefault="00961955" w:rsidP="002A0BCE">
      <w:pPr>
        <w:pStyle w:val="NormalParaAR"/>
        <w:keepNext/>
        <w:jc w:val="center"/>
        <w:rPr>
          <w:rFonts w:eastAsia="SimSun"/>
          <w:lang w:eastAsia="zh-CN"/>
        </w:rPr>
      </w:pPr>
      <w:r>
        <w:rPr>
          <w:rFonts w:eastAsia="SimSun" w:hint="cs"/>
          <w:rtl/>
          <w:lang w:eastAsia="zh-CN"/>
        </w:rPr>
        <w:lastRenderedPageBreak/>
        <w:t>الجدول</w:t>
      </w:r>
      <w:r>
        <w:rPr>
          <w:rFonts w:eastAsia="SimSun"/>
          <w:rtl/>
          <w:lang w:eastAsia="zh-CN"/>
        </w:rPr>
        <w:t> </w:t>
      </w:r>
      <w:r w:rsidR="002A0BCE">
        <w:rPr>
          <w:rFonts w:eastAsia="SimSun" w:hint="cs"/>
          <w:rtl/>
          <w:lang w:eastAsia="zh-CN"/>
        </w:rPr>
        <w:t>4</w:t>
      </w:r>
    </w:p>
    <w:p w:rsidR="00703FA5" w:rsidRPr="00703FA5" w:rsidRDefault="000B37B8" w:rsidP="006C1A0F">
      <w:pPr>
        <w:bidi/>
        <w:spacing w:after="240"/>
        <w:jc w:val="center"/>
        <w:rPr>
          <w:rFonts w:eastAsia="SimSun"/>
          <w:i/>
          <w:lang w:eastAsia="zh-CN"/>
        </w:rPr>
      </w:pPr>
      <w:r w:rsidRPr="000B37B8">
        <w:rPr>
          <w:rFonts w:eastAsia="SimSun"/>
          <w:noProof/>
          <w:szCs w:val="22"/>
          <w:rtl/>
        </w:rPr>
        <w:drawing>
          <wp:inline distT="0" distB="0" distL="0" distR="0" wp14:anchorId="59281F1E" wp14:editId="733EAD0B">
            <wp:extent cx="5940425" cy="4993636"/>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993636"/>
                    </a:xfrm>
                    <a:prstGeom prst="rect">
                      <a:avLst/>
                    </a:prstGeom>
                    <a:noFill/>
                    <a:ln>
                      <a:noFill/>
                    </a:ln>
                  </pic:spPr>
                </pic:pic>
              </a:graphicData>
            </a:graphic>
          </wp:inline>
        </w:drawing>
      </w:r>
    </w:p>
    <w:p w:rsidR="006F3915" w:rsidRDefault="006C1A0F" w:rsidP="006C1A0F">
      <w:pPr>
        <w:pStyle w:val="NormalParaAR"/>
        <w:numPr>
          <w:ilvl w:val="0"/>
          <w:numId w:val="39"/>
        </w:numPr>
        <w:ind w:left="0" w:firstLine="0"/>
        <w:rPr>
          <w:rFonts w:eastAsia="SimSun"/>
          <w:lang w:eastAsia="zh-CN"/>
        </w:rPr>
      </w:pPr>
      <w:r>
        <w:rPr>
          <w:rFonts w:eastAsia="SimSun" w:hint="cs"/>
          <w:rtl/>
          <w:lang w:eastAsia="zh-CN"/>
        </w:rPr>
        <w:t>و</w:t>
      </w:r>
      <w:r w:rsidR="0000121A">
        <w:rPr>
          <w:rFonts w:eastAsia="SimSun" w:hint="cs"/>
          <w:rtl/>
          <w:lang w:eastAsia="zh-CN"/>
        </w:rPr>
        <w:t xml:space="preserve">إن عنصراً جوهرياً في تحديد الاستراتيجية الخاصة بتمويل التأمين الصحي بعد انتهاء الخدمة هو إجراء تحليل لإدارة الأصول والخصوم فيما يتعلق بالتمويل بغية </w:t>
      </w:r>
      <w:r w:rsidR="00432B7C">
        <w:rPr>
          <w:rFonts w:eastAsia="SimSun" w:hint="cs"/>
          <w:rtl/>
          <w:lang w:eastAsia="zh-CN"/>
        </w:rPr>
        <w:t xml:space="preserve">مساواة الاستحقاقات المندرجة في إجمالي الخصوم بالأصول التي سيوظف فيها التمويل. </w:t>
      </w:r>
      <w:r>
        <w:rPr>
          <w:rFonts w:eastAsia="SimSun" w:hint="cs"/>
          <w:rtl/>
          <w:lang w:eastAsia="zh-CN"/>
        </w:rPr>
        <w:t>و</w:t>
      </w:r>
      <w:r w:rsidR="00432B7C">
        <w:rPr>
          <w:rFonts w:eastAsia="SimSun" w:hint="cs"/>
          <w:rtl/>
          <w:lang w:eastAsia="zh-CN"/>
        </w:rPr>
        <w:t>يوصي</w:t>
      </w:r>
      <w:r>
        <w:rPr>
          <w:rFonts w:eastAsia="SimSun" w:hint="cs"/>
          <w:rtl/>
          <w:lang w:eastAsia="zh-CN"/>
        </w:rPr>
        <w:t xml:space="preserve"> بعدئذ محلل إدارة الأصول والخصوم</w:t>
      </w:r>
      <w:r w:rsidR="00432B7C">
        <w:rPr>
          <w:rFonts w:eastAsia="SimSun" w:hint="cs"/>
          <w:rtl/>
          <w:lang w:eastAsia="zh-CN"/>
        </w:rPr>
        <w:t xml:space="preserve"> بفئات الأصول الاستثمارية التي ينبغي استخدامها. وتبلغ تكلفة هذا التحليل ما </w:t>
      </w:r>
      <w:proofErr w:type="gramStart"/>
      <w:r w:rsidR="00432B7C">
        <w:rPr>
          <w:rFonts w:eastAsia="SimSun" w:hint="cs"/>
          <w:rtl/>
          <w:lang w:eastAsia="zh-CN"/>
        </w:rPr>
        <w:t>بين</w:t>
      </w:r>
      <w:proofErr w:type="gramEnd"/>
      <w:r w:rsidR="00432B7C">
        <w:rPr>
          <w:rFonts w:eastAsia="SimSun" w:hint="cs"/>
          <w:rtl/>
          <w:lang w:eastAsia="zh-CN"/>
        </w:rPr>
        <w:t xml:space="preserve"> 20 و40 ألف فرنك سويسري.</w:t>
      </w:r>
    </w:p>
    <w:p w:rsidR="00432B7C" w:rsidRDefault="00432B7C" w:rsidP="006C1A0F">
      <w:pPr>
        <w:pStyle w:val="NormalParaAR"/>
        <w:numPr>
          <w:ilvl w:val="0"/>
          <w:numId w:val="39"/>
        </w:numPr>
        <w:ind w:left="0" w:firstLine="0"/>
        <w:rPr>
          <w:rFonts w:eastAsia="SimSun"/>
          <w:lang w:eastAsia="zh-CN"/>
        </w:rPr>
      </w:pPr>
      <w:proofErr w:type="gramStart"/>
      <w:r>
        <w:rPr>
          <w:rFonts w:eastAsia="SimSun" w:hint="cs"/>
          <w:rtl/>
          <w:lang w:eastAsia="zh-CN"/>
        </w:rPr>
        <w:t>ومن</w:t>
      </w:r>
      <w:proofErr w:type="gramEnd"/>
      <w:r>
        <w:rPr>
          <w:rFonts w:eastAsia="SimSun" w:hint="cs"/>
          <w:rtl/>
          <w:lang w:eastAsia="zh-CN"/>
        </w:rPr>
        <w:t xml:space="preserve"> ثم، يُقترح إجراء دراسة بشأن إدارة الأصول والخصوم ثم إعداد سياسة استثمار مستقلة للتأمين الصحي بعد انتهاء الخدمة </w:t>
      </w:r>
      <w:r w:rsidR="006C1A0F">
        <w:rPr>
          <w:rFonts w:eastAsia="SimSun" w:hint="cs"/>
          <w:rtl/>
          <w:lang w:eastAsia="zh-CN"/>
        </w:rPr>
        <w:t>تس</w:t>
      </w:r>
      <w:r>
        <w:rPr>
          <w:rFonts w:eastAsia="SimSun" w:hint="cs"/>
          <w:rtl/>
          <w:lang w:eastAsia="zh-CN"/>
        </w:rPr>
        <w:t xml:space="preserve">تند إلى ممارسات وكالات الأمم المتحدة الأخرى التي </w:t>
      </w:r>
      <w:r w:rsidR="006C1A0F">
        <w:rPr>
          <w:rFonts w:eastAsia="SimSun" w:hint="cs"/>
          <w:rtl/>
          <w:lang w:eastAsia="zh-CN"/>
        </w:rPr>
        <w:t>تتبع</w:t>
      </w:r>
      <w:r>
        <w:rPr>
          <w:rFonts w:eastAsia="SimSun" w:hint="cs"/>
          <w:rtl/>
          <w:lang w:eastAsia="zh-CN"/>
        </w:rPr>
        <w:t xml:space="preserve"> سياسة تجيز </w:t>
      </w:r>
      <w:r w:rsidR="006C1A0F">
        <w:rPr>
          <w:rFonts w:eastAsia="SimSun" w:hint="cs"/>
          <w:rtl/>
          <w:lang w:eastAsia="zh-CN"/>
        </w:rPr>
        <w:t xml:space="preserve">منتجات </w:t>
      </w:r>
      <w:r>
        <w:rPr>
          <w:rFonts w:eastAsia="SimSun" w:hint="cs"/>
          <w:rtl/>
          <w:lang w:eastAsia="zh-CN"/>
        </w:rPr>
        <w:t>استثمارية مثل الأصول التي تعد ملائمة لصندوق طويل الأجل.</w:t>
      </w:r>
      <w:r w:rsidR="00B41E28">
        <w:rPr>
          <w:rFonts w:eastAsia="SimSun" w:hint="cs"/>
          <w:rtl/>
          <w:lang w:eastAsia="zh-CN"/>
        </w:rPr>
        <w:t xml:space="preserve"> ومن المنتجات التي يمكن النظر فيها</w:t>
      </w:r>
      <w:r w:rsidR="006C1A0F">
        <w:rPr>
          <w:rFonts w:eastAsia="SimSun" w:hint="cs"/>
          <w:rtl/>
          <w:lang w:eastAsia="zh-CN"/>
        </w:rPr>
        <w:t>،</w:t>
      </w:r>
      <w:r w:rsidR="00B41E28">
        <w:rPr>
          <w:rFonts w:eastAsia="SimSun" w:hint="cs"/>
          <w:rtl/>
          <w:lang w:eastAsia="zh-CN"/>
        </w:rPr>
        <w:t xml:space="preserve"> خطة منح قروض عقارية للموظفين لتمكينهم من شراء بي</w:t>
      </w:r>
      <w:r w:rsidR="006C1A0F">
        <w:rPr>
          <w:rFonts w:eastAsia="SimSun" w:hint="cs"/>
          <w:rtl/>
          <w:lang w:eastAsia="zh-CN"/>
        </w:rPr>
        <w:t>و</w:t>
      </w:r>
      <w:r w:rsidR="00B41E28">
        <w:rPr>
          <w:rFonts w:eastAsia="SimSun" w:hint="cs"/>
          <w:rtl/>
          <w:lang w:eastAsia="zh-CN"/>
        </w:rPr>
        <w:t xml:space="preserve">ت بشروط أفضل قليلاً من الشروط المعروضة في المصارف التجارية. </w:t>
      </w:r>
      <w:proofErr w:type="gramStart"/>
      <w:r w:rsidR="00B41E28">
        <w:rPr>
          <w:rFonts w:eastAsia="SimSun" w:hint="cs"/>
          <w:rtl/>
          <w:lang w:eastAsia="zh-CN"/>
        </w:rPr>
        <w:t>وستستفيد</w:t>
      </w:r>
      <w:proofErr w:type="gramEnd"/>
      <w:r w:rsidR="00B41E28">
        <w:rPr>
          <w:rFonts w:eastAsia="SimSun" w:hint="cs"/>
          <w:rtl/>
          <w:lang w:eastAsia="zh-CN"/>
        </w:rPr>
        <w:t xml:space="preserve"> الصناديق الخاصة بالتأمين الصحي بعد فترة الخدمة من تحقيق فوائد من الأموال التي ت</w:t>
      </w:r>
      <w:r w:rsidR="006C1A0F">
        <w:rPr>
          <w:rFonts w:eastAsia="SimSun" w:hint="cs"/>
          <w:rtl/>
          <w:lang w:eastAsia="zh-CN"/>
        </w:rPr>
        <w:t>ُ</w:t>
      </w:r>
      <w:r w:rsidR="00B41E28">
        <w:rPr>
          <w:rFonts w:eastAsia="SimSun" w:hint="cs"/>
          <w:rtl/>
          <w:lang w:eastAsia="zh-CN"/>
        </w:rPr>
        <w:t>قرض إلى الموظفين بمعدلات تكون أعلى بكثير من المعدلات المحققة في إيداعات المصارف. ويعرض المكتب الأوروبي للبراءات خطة قرض عقاري مماثلة ويمكن دراستها لتقييم عرض الويبو لخطة كهذه.</w:t>
      </w:r>
    </w:p>
    <w:p w:rsidR="00B41E28" w:rsidRDefault="00B41E28" w:rsidP="00CF05A9">
      <w:pPr>
        <w:pStyle w:val="NormalParaAR"/>
        <w:keepNext/>
        <w:numPr>
          <w:ilvl w:val="0"/>
          <w:numId w:val="39"/>
        </w:numPr>
        <w:ind w:left="0" w:firstLine="0"/>
        <w:rPr>
          <w:rFonts w:eastAsia="SimSun"/>
          <w:lang w:eastAsia="zh-CN"/>
        </w:rPr>
      </w:pPr>
      <w:r>
        <w:rPr>
          <w:rFonts w:eastAsia="SimSun" w:hint="cs"/>
          <w:rtl/>
          <w:lang w:eastAsia="zh-CN"/>
        </w:rPr>
        <w:lastRenderedPageBreak/>
        <w:t>وفيما يلي فقرة القرار المقترح.</w:t>
      </w:r>
    </w:p>
    <w:p w:rsidR="00B41E28" w:rsidRPr="006C1A0F" w:rsidRDefault="00B41E28" w:rsidP="006C1A0F">
      <w:pPr>
        <w:pStyle w:val="NormalParaAR"/>
        <w:keepNext/>
        <w:numPr>
          <w:ilvl w:val="0"/>
          <w:numId w:val="39"/>
        </w:numPr>
        <w:spacing w:before="240"/>
        <w:ind w:left="5534" w:firstLine="0"/>
        <w:rPr>
          <w:rFonts w:eastAsia="SimSun"/>
          <w:i/>
          <w:iCs/>
          <w:lang w:eastAsia="zh-CN"/>
        </w:rPr>
      </w:pPr>
      <w:r w:rsidRPr="006C1A0F">
        <w:rPr>
          <w:rFonts w:eastAsia="SimSun" w:hint="cs"/>
          <w:i/>
          <w:iCs/>
          <w:rtl/>
          <w:lang w:eastAsia="zh-CN"/>
        </w:rPr>
        <w:t xml:space="preserve">إن لجنة البرنامج </w:t>
      </w:r>
      <w:proofErr w:type="gramStart"/>
      <w:r w:rsidRPr="006C1A0F">
        <w:rPr>
          <w:rFonts w:eastAsia="SimSun" w:hint="cs"/>
          <w:i/>
          <w:iCs/>
          <w:rtl/>
          <w:lang w:eastAsia="zh-CN"/>
        </w:rPr>
        <w:t>والميزانية</w:t>
      </w:r>
      <w:proofErr w:type="gramEnd"/>
      <w:r w:rsidRPr="006C1A0F">
        <w:rPr>
          <w:rFonts w:eastAsia="SimSun" w:hint="cs"/>
          <w:i/>
          <w:iCs/>
          <w:rtl/>
          <w:lang w:eastAsia="zh-CN"/>
        </w:rPr>
        <w:t>:</w:t>
      </w:r>
    </w:p>
    <w:p w:rsidR="00B41E28" w:rsidRPr="006C1A0F" w:rsidRDefault="00B41E28" w:rsidP="006C1A0F">
      <w:pPr>
        <w:pStyle w:val="NormalParaAR"/>
        <w:numPr>
          <w:ilvl w:val="0"/>
          <w:numId w:val="43"/>
        </w:numPr>
        <w:spacing w:before="240"/>
        <w:ind w:left="6101" w:firstLine="0"/>
        <w:rPr>
          <w:rFonts w:eastAsia="SimSun"/>
          <w:i/>
          <w:iCs/>
          <w:rtl/>
          <w:lang w:eastAsia="zh-CN"/>
        </w:rPr>
      </w:pPr>
      <w:r w:rsidRPr="006C1A0F">
        <w:rPr>
          <w:rFonts w:eastAsia="SimSun" w:hint="cs"/>
          <w:i/>
          <w:iCs/>
          <w:rtl/>
          <w:lang w:eastAsia="zh-CN"/>
        </w:rPr>
        <w:t>أقرت بالحاجة إلى تعديل سياسة الاستثمار؛</w:t>
      </w:r>
    </w:p>
    <w:p w:rsidR="00B41E28" w:rsidRPr="006C1A0F" w:rsidRDefault="00B41E28" w:rsidP="006C1A0F">
      <w:pPr>
        <w:pStyle w:val="NormalParaAR"/>
        <w:numPr>
          <w:ilvl w:val="0"/>
          <w:numId w:val="43"/>
        </w:numPr>
        <w:spacing w:before="240"/>
        <w:ind w:left="6101" w:firstLine="0"/>
        <w:rPr>
          <w:rFonts w:eastAsia="SimSun"/>
          <w:i/>
          <w:iCs/>
          <w:rtl/>
          <w:lang w:eastAsia="zh-CN"/>
        </w:rPr>
      </w:pPr>
      <w:r w:rsidRPr="006C1A0F">
        <w:rPr>
          <w:rFonts w:eastAsia="SimSun" w:hint="cs"/>
          <w:i/>
          <w:iCs/>
          <w:rtl/>
          <w:lang w:eastAsia="zh-CN"/>
        </w:rPr>
        <w:t>وطلبت من الأمانة ما يلي:</w:t>
      </w:r>
    </w:p>
    <w:p w:rsidR="00B41E28" w:rsidRPr="006C1A0F" w:rsidRDefault="00B41E28" w:rsidP="006C1A0F">
      <w:pPr>
        <w:pStyle w:val="NormalParaAR"/>
        <w:numPr>
          <w:ilvl w:val="0"/>
          <w:numId w:val="42"/>
        </w:numPr>
        <w:ind w:left="6668" w:firstLine="0"/>
        <w:rPr>
          <w:rFonts w:eastAsia="SimSun"/>
          <w:i/>
          <w:iCs/>
          <w:lang w:eastAsia="zh-CN"/>
        </w:rPr>
      </w:pPr>
      <w:proofErr w:type="gramStart"/>
      <w:r w:rsidRPr="006C1A0F">
        <w:rPr>
          <w:rFonts w:eastAsia="SimSun" w:hint="cs"/>
          <w:i/>
          <w:iCs/>
          <w:rtl/>
          <w:lang w:eastAsia="zh-CN"/>
        </w:rPr>
        <w:t>تقديم</w:t>
      </w:r>
      <w:proofErr w:type="gramEnd"/>
      <w:r w:rsidRPr="006C1A0F">
        <w:rPr>
          <w:rFonts w:eastAsia="SimSun" w:hint="cs"/>
          <w:i/>
          <w:iCs/>
          <w:rtl/>
          <w:lang w:eastAsia="zh-CN"/>
        </w:rPr>
        <w:t xml:space="preserve"> اقتراح مفصل بشأن نسخة منقحة من السياسة في دورتها المقبلة بعد أن تستعرضها اللجنة الاستشارية المعنية بالاستثمار وتجيزها؛</w:t>
      </w:r>
    </w:p>
    <w:p w:rsidR="00B41E28" w:rsidRPr="006C1A0F" w:rsidRDefault="00B41E28" w:rsidP="0097666D">
      <w:pPr>
        <w:pStyle w:val="NormalParaAR"/>
        <w:numPr>
          <w:ilvl w:val="0"/>
          <w:numId w:val="42"/>
        </w:numPr>
        <w:ind w:left="6668" w:firstLine="0"/>
        <w:rPr>
          <w:rFonts w:eastAsia="SimSun"/>
          <w:i/>
          <w:iCs/>
          <w:lang w:eastAsia="zh-CN"/>
        </w:rPr>
      </w:pPr>
      <w:proofErr w:type="gramStart"/>
      <w:r w:rsidRPr="006C1A0F">
        <w:rPr>
          <w:rFonts w:eastAsia="SimSun" w:hint="cs"/>
          <w:i/>
          <w:iCs/>
          <w:rtl/>
          <w:lang w:eastAsia="zh-CN"/>
        </w:rPr>
        <w:t>إجراء</w:t>
      </w:r>
      <w:proofErr w:type="gramEnd"/>
      <w:r w:rsidRPr="006C1A0F">
        <w:rPr>
          <w:rFonts w:eastAsia="SimSun" w:hint="cs"/>
          <w:i/>
          <w:iCs/>
          <w:rtl/>
          <w:lang w:eastAsia="zh-CN"/>
        </w:rPr>
        <w:t xml:space="preserve"> دراسة بشأن إدارة الأصول والخصوم وتقديم سياسة استثمار منفصلة بشأن تمويل التأمين الصحة بعد فترة الخدمة</w:t>
      </w:r>
      <w:r w:rsidR="00EE6A92" w:rsidRPr="006C1A0F">
        <w:rPr>
          <w:rFonts w:eastAsia="SimSun" w:hint="cs"/>
          <w:i/>
          <w:iCs/>
          <w:rtl/>
          <w:lang w:eastAsia="zh-CN"/>
        </w:rPr>
        <w:t xml:space="preserve"> وتقديمها إليها بعد أن تستعرضها اللجنة الاستشارية المعنية بالاستثمار وتجيزها؛</w:t>
      </w:r>
    </w:p>
    <w:p w:rsidR="00EE6A92" w:rsidRPr="006C1A0F" w:rsidRDefault="00EE6A92" w:rsidP="00CF05A9">
      <w:pPr>
        <w:pStyle w:val="NormalParaAR"/>
        <w:numPr>
          <w:ilvl w:val="0"/>
          <w:numId w:val="42"/>
        </w:numPr>
        <w:spacing w:after="1080"/>
        <w:ind w:left="6668" w:firstLine="0"/>
        <w:rPr>
          <w:rFonts w:eastAsia="SimSun"/>
          <w:i/>
          <w:iCs/>
          <w:rtl/>
          <w:lang w:eastAsia="zh-CN"/>
        </w:rPr>
      </w:pPr>
      <w:proofErr w:type="gramStart"/>
      <w:r w:rsidRPr="006C1A0F">
        <w:rPr>
          <w:rFonts w:eastAsia="SimSun" w:hint="cs"/>
          <w:i/>
          <w:iCs/>
          <w:rtl/>
          <w:lang w:eastAsia="zh-CN"/>
        </w:rPr>
        <w:t>وبشرط</w:t>
      </w:r>
      <w:proofErr w:type="gramEnd"/>
      <w:r w:rsidRPr="006C1A0F">
        <w:rPr>
          <w:rFonts w:eastAsia="SimSun" w:hint="cs"/>
          <w:i/>
          <w:iCs/>
          <w:rtl/>
          <w:lang w:eastAsia="zh-CN"/>
        </w:rPr>
        <w:t xml:space="preserve"> توافر مستويات كافية من السيولة، تمويل قاعدة المؤتمرات من الأموال المتاحة للاستثمار بدلاً من سحب أقساط القرض الذي </w:t>
      </w:r>
      <w:r w:rsidR="006C1A0F">
        <w:rPr>
          <w:rFonts w:eastAsia="SimSun" w:hint="cs"/>
          <w:i/>
          <w:iCs/>
          <w:rtl/>
          <w:lang w:eastAsia="zh-CN"/>
        </w:rPr>
        <w:t>مُنح</w:t>
      </w:r>
      <w:r w:rsidRPr="006C1A0F">
        <w:rPr>
          <w:rFonts w:eastAsia="SimSun" w:hint="cs"/>
          <w:i/>
          <w:iCs/>
          <w:rtl/>
          <w:lang w:eastAsia="zh-CN"/>
        </w:rPr>
        <w:t xml:space="preserve"> لهذا الغرض و/أو</w:t>
      </w:r>
      <w:r w:rsidR="006C1A0F">
        <w:rPr>
          <w:rFonts w:eastAsia="SimSun" w:hint="eastAsia"/>
          <w:i/>
          <w:iCs/>
          <w:rtl/>
          <w:lang w:eastAsia="zh-CN"/>
        </w:rPr>
        <w:t> </w:t>
      </w:r>
      <w:r w:rsidRPr="006C1A0F">
        <w:rPr>
          <w:rFonts w:eastAsia="SimSun" w:hint="cs"/>
          <w:i/>
          <w:iCs/>
          <w:rtl/>
          <w:lang w:eastAsia="zh-CN"/>
        </w:rPr>
        <w:t>تسديد أحد أقساط القرض أو</w:t>
      </w:r>
      <w:r w:rsidR="006C1A0F">
        <w:rPr>
          <w:rFonts w:eastAsia="SimSun" w:hint="eastAsia"/>
          <w:i/>
          <w:iCs/>
          <w:rtl/>
          <w:lang w:eastAsia="zh-CN"/>
        </w:rPr>
        <w:t> </w:t>
      </w:r>
      <w:r w:rsidRPr="006C1A0F">
        <w:rPr>
          <w:rFonts w:eastAsia="SimSun" w:hint="cs"/>
          <w:i/>
          <w:iCs/>
          <w:rtl/>
          <w:lang w:eastAsia="zh-CN"/>
        </w:rPr>
        <w:t xml:space="preserve">كليهما المتعلقين بمشروع البناء الجديد والمستحقين في </w:t>
      </w:r>
      <w:r w:rsidR="00961955" w:rsidRPr="006C1A0F">
        <w:rPr>
          <w:rFonts w:eastAsia="SimSun" w:hint="cs"/>
          <w:i/>
          <w:iCs/>
          <w:rtl/>
          <w:lang w:eastAsia="zh-CN"/>
        </w:rPr>
        <w:t>نوفمبر</w:t>
      </w:r>
      <w:r w:rsidR="00961955" w:rsidRPr="006C1A0F">
        <w:rPr>
          <w:rFonts w:eastAsia="SimSun"/>
          <w:i/>
          <w:iCs/>
          <w:rtl/>
          <w:lang w:eastAsia="zh-CN"/>
        </w:rPr>
        <w:t> </w:t>
      </w:r>
      <w:r w:rsidRPr="006C1A0F">
        <w:rPr>
          <w:rFonts w:eastAsia="SimSun" w:hint="cs"/>
          <w:i/>
          <w:iCs/>
          <w:rtl/>
          <w:lang w:eastAsia="zh-CN"/>
        </w:rPr>
        <w:t>2015 و</w:t>
      </w:r>
      <w:r w:rsidR="00961955" w:rsidRPr="006C1A0F">
        <w:rPr>
          <w:rFonts w:eastAsia="SimSun" w:hint="cs"/>
          <w:i/>
          <w:iCs/>
          <w:rtl/>
          <w:lang w:eastAsia="zh-CN"/>
        </w:rPr>
        <w:t>يناير</w:t>
      </w:r>
      <w:r w:rsidR="00961955" w:rsidRPr="006C1A0F">
        <w:rPr>
          <w:rFonts w:eastAsia="SimSun"/>
          <w:i/>
          <w:iCs/>
          <w:rtl/>
          <w:lang w:eastAsia="zh-CN"/>
        </w:rPr>
        <w:t> </w:t>
      </w:r>
      <w:r w:rsidRPr="006C1A0F">
        <w:rPr>
          <w:rFonts w:eastAsia="SimSun" w:hint="cs"/>
          <w:i/>
          <w:iCs/>
          <w:rtl/>
          <w:lang w:eastAsia="zh-CN"/>
        </w:rPr>
        <w:t>2016.</w:t>
      </w:r>
    </w:p>
    <w:p w:rsidR="00703FA5" w:rsidRPr="00EE6A92" w:rsidRDefault="0017495F" w:rsidP="0097666D">
      <w:pPr>
        <w:pStyle w:val="NormalParaAR"/>
        <w:ind w:left="5533"/>
        <w:rPr>
          <w:rFonts w:eastAsia="SimSun"/>
          <w:lang w:eastAsia="zh-CN"/>
        </w:rPr>
      </w:pPr>
      <w:r>
        <w:rPr>
          <w:rFonts w:eastAsia="SimSun" w:hint="cs"/>
          <w:rtl/>
          <w:lang w:eastAsia="zh-CN"/>
        </w:rPr>
        <w:t xml:space="preserve">[يلي ذلك </w:t>
      </w:r>
      <w:proofErr w:type="gramStart"/>
      <w:r>
        <w:rPr>
          <w:rFonts w:eastAsia="SimSun" w:hint="cs"/>
          <w:rtl/>
          <w:lang w:eastAsia="zh-CN"/>
        </w:rPr>
        <w:t>المرفقات</w:t>
      </w:r>
      <w:proofErr w:type="gramEnd"/>
      <w:r w:rsidR="00EE6A92">
        <w:rPr>
          <w:rFonts w:eastAsia="SimSun" w:hint="cs"/>
          <w:rtl/>
          <w:lang w:eastAsia="zh-CN"/>
        </w:rPr>
        <w:t>]</w:t>
      </w:r>
    </w:p>
    <w:p w:rsidR="00703FA5" w:rsidRPr="00703FA5" w:rsidRDefault="00703FA5" w:rsidP="00EE6A92">
      <w:pPr>
        <w:spacing w:line="276" w:lineRule="auto"/>
        <w:ind w:left="5533"/>
        <w:rPr>
          <w:rFonts w:eastAsia="SimSun"/>
          <w:lang w:eastAsia="zh-CN"/>
        </w:rPr>
      </w:pPr>
    </w:p>
    <w:p w:rsidR="00703FA5" w:rsidRPr="00703FA5" w:rsidRDefault="00703FA5" w:rsidP="00703FA5">
      <w:pPr>
        <w:spacing w:line="276" w:lineRule="auto"/>
        <w:ind w:left="5533"/>
        <w:rPr>
          <w:rFonts w:eastAsia="SimSun"/>
          <w:lang w:eastAsia="zh-CN"/>
        </w:rPr>
        <w:sectPr w:rsidR="00703FA5" w:rsidRPr="00703FA5" w:rsidSect="004B76C4">
          <w:headerReference w:type="default" r:id="rId14"/>
          <w:headerReference w:type="first" r:id="rId15"/>
          <w:endnotePr>
            <w:numFmt w:val="decimal"/>
          </w:endnotePr>
          <w:pgSz w:w="11907" w:h="16840" w:code="9"/>
          <w:pgMar w:top="567" w:right="1134" w:bottom="1134" w:left="1418" w:header="510" w:footer="1021" w:gutter="0"/>
          <w:cols w:space="720"/>
          <w:titlePg/>
          <w:docGrid w:linePitch="299"/>
        </w:sectPr>
      </w:pPr>
    </w:p>
    <w:p w:rsidR="00FF31A2" w:rsidRPr="0097666D" w:rsidRDefault="00FF31A2" w:rsidP="0097666D">
      <w:pPr>
        <w:keepNext/>
        <w:autoSpaceDE w:val="0"/>
        <w:autoSpaceDN w:val="0"/>
        <w:bidi/>
        <w:adjustRightInd w:val="0"/>
        <w:spacing w:after="240"/>
        <w:rPr>
          <w:rFonts w:ascii="Arabic Typesetting" w:hAnsi="Arabic Typesetting" w:cs="Arabic Typesetting"/>
          <w:b/>
          <w:color w:val="000000"/>
          <w:sz w:val="40"/>
          <w:szCs w:val="40"/>
        </w:rPr>
      </w:pPr>
      <w:proofErr w:type="gramStart"/>
      <w:r w:rsidRPr="0097666D">
        <w:rPr>
          <w:rFonts w:ascii="Arabic Typesetting" w:hAnsi="Arabic Typesetting" w:cs="Arabic Typesetting"/>
          <w:b/>
          <w:bCs/>
          <w:color w:val="000000"/>
          <w:sz w:val="40"/>
          <w:szCs w:val="40"/>
          <w:rtl/>
        </w:rPr>
        <w:lastRenderedPageBreak/>
        <w:t>سياسة</w:t>
      </w:r>
      <w:proofErr w:type="gramEnd"/>
      <w:r w:rsidRPr="0097666D">
        <w:rPr>
          <w:rFonts w:ascii="Arabic Typesetting" w:hAnsi="Arabic Typesetting" w:cs="Arabic Typesetting"/>
          <w:b/>
          <w:bCs/>
          <w:color w:val="000000"/>
          <w:sz w:val="40"/>
          <w:szCs w:val="40"/>
          <w:rtl/>
        </w:rPr>
        <w:t xml:space="preserve"> الاستثما</w:t>
      </w:r>
      <w:r w:rsidR="002465CB" w:rsidRPr="0097666D">
        <w:rPr>
          <w:rFonts w:ascii="Arabic Typesetting" w:hAnsi="Arabic Typesetting" w:cs="Arabic Typesetting"/>
          <w:b/>
          <w:bCs/>
          <w:color w:val="000000"/>
          <w:sz w:val="40"/>
          <w:szCs w:val="40"/>
          <w:rtl/>
        </w:rPr>
        <w:t>ر</w:t>
      </w:r>
    </w:p>
    <w:p w:rsidR="002465CB" w:rsidRPr="002465CB" w:rsidRDefault="002465CB" w:rsidP="0097666D">
      <w:pPr>
        <w:autoSpaceDE w:val="0"/>
        <w:autoSpaceDN w:val="0"/>
        <w:bidi/>
        <w:adjustRightInd w:val="0"/>
        <w:spacing w:after="240"/>
        <w:rPr>
          <w:rFonts w:ascii="Arabic Typesetting" w:hAnsi="Arabic Typesetting" w:cs="Arabic Typesetting"/>
          <w:i/>
          <w:iCs/>
          <w:color w:val="000000"/>
          <w:sz w:val="36"/>
          <w:szCs w:val="36"/>
          <w:rtl/>
        </w:rPr>
      </w:pPr>
      <w:r w:rsidRPr="002465CB">
        <w:rPr>
          <w:rFonts w:ascii="Arabic Typesetting" w:hAnsi="Arabic Typesetting" w:cs="Arabic Typesetting"/>
          <w:i/>
          <w:iCs/>
          <w:color w:val="000000"/>
          <w:sz w:val="36"/>
          <w:szCs w:val="36"/>
          <w:rtl/>
        </w:rPr>
        <w:t>وافقت عليها جمعيات الدول الأعضاء في الويبو في سلسلة اجتماعاتها</w:t>
      </w:r>
      <w:r w:rsidR="0097666D">
        <w:rPr>
          <w:rFonts w:ascii="Arabic Typesetting" w:hAnsi="Arabic Typesetting" w:cs="Arabic Typesetting" w:hint="cs"/>
          <w:i/>
          <w:iCs/>
          <w:color w:val="000000"/>
          <w:sz w:val="36"/>
          <w:szCs w:val="36"/>
          <w:rtl/>
        </w:rPr>
        <w:t xml:space="preserve"> التاسعة والأربعين</w:t>
      </w:r>
      <w:r w:rsidRPr="002465CB">
        <w:rPr>
          <w:rFonts w:ascii="Arabic Typesetting" w:hAnsi="Arabic Typesetting" w:cs="Arabic Typesetting"/>
          <w:i/>
          <w:iCs/>
          <w:color w:val="000000"/>
          <w:sz w:val="36"/>
          <w:szCs w:val="36"/>
          <w:rtl/>
        </w:rPr>
        <w:t xml:space="preserve"> التي عُقدت </w:t>
      </w:r>
      <w:r w:rsidR="0097666D">
        <w:rPr>
          <w:rFonts w:ascii="Arabic Typesetting" w:hAnsi="Arabic Typesetting" w:cs="Arabic Typesetting" w:hint="cs"/>
          <w:i/>
          <w:iCs/>
          <w:color w:val="000000"/>
          <w:sz w:val="36"/>
          <w:szCs w:val="36"/>
          <w:rtl/>
        </w:rPr>
        <w:t xml:space="preserve">في الفترة </w:t>
      </w:r>
      <w:r w:rsidRPr="002465CB">
        <w:rPr>
          <w:rFonts w:ascii="Arabic Typesetting" w:hAnsi="Arabic Typesetting" w:cs="Arabic Typesetting"/>
          <w:i/>
          <w:iCs/>
          <w:color w:val="000000"/>
          <w:sz w:val="36"/>
          <w:szCs w:val="36"/>
          <w:rtl/>
        </w:rPr>
        <w:t>من 26</w:t>
      </w:r>
      <w:r w:rsidR="0097666D">
        <w:rPr>
          <w:rFonts w:ascii="Arabic Typesetting" w:hAnsi="Arabic Typesetting" w:cs="Arabic Typesetting" w:hint="cs"/>
          <w:i/>
          <w:iCs/>
          <w:color w:val="000000"/>
          <w:sz w:val="36"/>
          <w:szCs w:val="36"/>
          <w:rtl/>
        </w:rPr>
        <w:t> </w:t>
      </w:r>
      <w:r w:rsidR="00961955">
        <w:rPr>
          <w:rFonts w:ascii="Arabic Typesetting" w:hAnsi="Arabic Typesetting" w:cs="Arabic Typesetting"/>
          <w:i/>
          <w:iCs/>
          <w:color w:val="000000"/>
          <w:sz w:val="36"/>
          <w:szCs w:val="36"/>
          <w:rtl/>
        </w:rPr>
        <w:t>سبتمبر </w:t>
      </w:r>
      <w:r w:rsidRPr="002465CB">
        <w:rPr>
          <w:rFonts w:ascii="Arabic Typesetting" w:hAnsi="Arabic Typesetting" w:cs="Arabic Typesetting"/>
          <w:i/>
          <w:iCs/>
          <w:color w:val="000000"/>
          <w:sz w:val="36"/>
          <w:szCs w:val="36"/>
          <w:rtl/>
        </w:rPr>
        <w:t xml:space="preserve">إلى 5 </w:t>
      </w:r>
      <w:r w:rsidR="00961955">
        <w:rPr>
          <w:rFonts w:ascii="Arabic Typesetting" w:hAnsi="Arabic Typesetting" w:cs="Arabic Typesetting"/>
          <w:i/>
          <w:iCs/>
          <w:color w:val="000000"/>
          <w:sz w:val="36"/>
          <w:szCs w:val="36"/>
          <w:rtl/>
        </w:rPr>
        <w:t>أكتوبر </w:t>
      </w:r>
      <w:r w:rsidRPr="002465CB">
        <w:rPr>
          <w:rFonts w:ascii="Arabic Typesetting" w:hAnsi="Arabic Typesetting" w:cs="Arabic Typesetting"/>
          <w:i/>
          <w:iCs/>
          <w:color w:val="000000"/>
          <w:sz w:val="36"/>
          <w:szCs w:val="36"/>
          <w:rtl/>
        </w:rPr>
        <w:t>2011</w:t>
      </w:r>
    </w:p>
    <w:p w:rsidR="00FF31A2" w:rsidRPr="002465CB" w:rsidRDefault="00FF31A2" w:rsidP="002514E4">
      <w:pPr>
        <w:keepNext/>
        <w:autoSpaceDE w:val="0"/>
        <w:autoSpaceDN w:val="0"/>
        <w:bidi/>
        <w:adjustRightInd w:val="0"/>
        <w:spacing w:after="240"/>
        <w:rPr>
          <w:rFonts w:ascii="Arabic Typesetting" w:hAnsi="Arabic Typesetting" w:cs="Arabic Typesetting"/>
          <w:color w:val="000000"/>
          <w:sz w:val="36"/>
          <w:szCs w:val="36"/>
        </w:rPr>
      </w:pPr>
      <w:r w:rsidRPr="002465CB">
        <w:rPr>
          <w:rFonts w:ascii="Arabic Typesetting" w:hAnsi="Arabic Typesetting" w:cs="Arabic Typesetting"/>
          <w:color w:val="000000"/>
          <w:sz w:val="36"/>
          <w:szCs w:val="36"/>
          <w:u w:val="single"/>
          <w:rtl/>
        </w:rPr>
        <w:t>الصلاحية</w:t>
      </w:r>
    </w:p>
    <w:p w:rsidR="00FF31A2" w:rsidRPr="0097666D" w:rsidRDefault="00FF31A2" w:rsidP="0097666D">
      <w:pPr>
        <w:numPr>
          <w:ilvl w:val="0"/>
          <w:numId w:val="37"/>
        </w:numPr>
        <w:autoSpaceDE w:val="0"/>
        <w:autoSpaceDN w:val="0"/>
        <w:bidi/>
        <w:adjustRightInd w:val="0"/>
        <w:spacing w:after="240"/>
        <w:rPr>
          <w:rFonts w:ascii="Arabic Typesetting" w:hAnsi="Arabic Typesetting" w:cs="Arabic Typesetting"/>
          <w:color w:val="000000"/>
          <w:sz w:val="36"/>
          <w:szCs w:val="36"/>
        </w:rPr>
      </w:pPr>
      <w:r w:rsidRPr="002465CB">
        <w:rPr>
          <w:rFonts w:ascii="Arabic Typesetting" w:hAnsi="Arabic Typesetting" w:cs="Arabic Typesetting"/>
          <w:color w:val="000000"/>
          <w:sz w:val="36"/>
          <w:szCs w:val="36"/>
          <w:rtl/>
        </w:rPr>
        <w:t>ر</w:t>
      </w:r>
      <w:r w:rsidR="0097666D">
        <w:rPr>
          <w:rFonts w:ascii="Arabic Typesetting" w:hAnsi="Arabic Typesetting" w:cs="Arabic Typesetting" w:hint="cs"/>
          <w:color w:val="000000"/>
          <w:sz w:val="36"/>
          <w:szCs w:val="36"/>
          <w:rtl/>
        </w:rPr>
        <w:t>ُ</w:t>
      </w:r>
      <w:r w:rsidRPr="002465CB">
        <w:rPr>
          <w:rFonts w:ascii="Arabic Typesetting" w:hAnsi="Arabic Typesetting" w:cs="Arabic Typesetting"/>
          <w:color w:val="000000"/>
          <w:sz w:val="36"/>
          <w:szCs w:val="36"/>
          <w:rtl/>
        </w:rPr>
        <w:t>سم</w:t>
      </w:r>
      <w:r w:rsidR="0097666D">
        <w:rPr>
          <w:rFonts w:ascii="Arabic Typesetting" w:hAnsi="Arabic Typesetting" w:cs="Arabic Typesetting" w:hint="cs"/>
          <w:color w:val="000000"/>
          <w:sz w:val="36"/>
          <w:szCs w:val="36"/>
          <w:rtl/>
        </w:rPr>
        <w:t>ت</w:t>
      </w:r>
      <w:r w:rsidRPr="002465CB">
        <w:rPr>
          <w:rFonts w:ascii="Arabic Typesetting" w:hAnsi="Arabic Typesetting" w:cs="Arabic Typesetting"/>
          <w:color w:val="000000"/>
          <w:sz w:val="36"/>
          <w:szCs w:val="36"/>
          <w:rtl/>
        </w:rPr>
        <w:t xml:space="preserve"> هذه السياسة بشأن الاستثمار وفقا</w:t>
      </w:r>
      <w:r w:rsidR="0097666D">
        <w:rPr>
          <w:rFonts w:ascii="Arabic Typesetting" w:hAnsi="Arabic Typesetting" w:cs="Arabic Typesetting" w:hint="cs"/>
          <w:color w:val="000000"/>
          <w:sz w:val="36"/>
          <w:szCs w:val="36"/>
          <w:rtl/>
        </w:rPr>
        <w:t>ً</w:t>
      </w:r>
      <w:r w:rsidRPr="002465CB">
        <w:rPr>
          <w:rFonts w:ascii="Arabic Typesetting" w:hAnsi="Arabic Typesetting" w:cs="Arabic Typesetting"/>
          <w:color w:val="000000"/>
          <w:sz w:val="36"/>
          <w:szCs w:val="36"/>
          <w:rtl/>
        </w:rPr>
        <w:t xml:space="preserve"> للمادة </w:t>
      </w:r>
      <w:r w:rsidR="00F94738">
        <w:rPr>
          <w:rFonts w:ascii="Arabic Typesetting" w:hAnsi="Arabic Typesetting" w:cs="Arabic Typesetting" w:hint="cs"/>
          <w:color w:val="000000"/>
          <w:sz w:val="36"/>
          <w:szCs w:val="36"/>
          <w:rtl/>
        </w:rPr>
        <w:t xml:space="preserve">4.10 </w:t>
      </w:r>
      <w:proofErr w:type="gramStart"/>
      <w:r w:rsidRPr="002465CB">
        <w:rPr>
          <w:rFonts w:ascii="Arabic Typesetting" w:hAnsi="Arabic Typesetting" w:cs="Arabic Typesetting"/>
          <w:color w:val="000000"/>
          <w:sz w:val="36"/>
          <w:szCs w:val="36"/>
          <w:rtl/>
        </w:rPr>
        <w:t>من</w:t>
      </w:r>
      <w:proofErr w:type="gramEnd"/>
      <w:r w:rsidRPr="002465CB">
        <w:rPr>
          <w:rFonts w:ascii="Arabic Typesetting" w:hAnsi="Arabic Typesetting" w:cs="Arabic Typesetting"/>
          <w:color w:val="000000"/>
          <w:sz w:val="36"/>
          <w:szCs w:val="36"/>
          <w:rtl/>
        </w:rPr>
        <w:t xml:space="preserve"> النظام المالي التي تعطي المدير ال</w:t>
      </w:r>
      <w:r w:rsidR="00961955">
        <w:rPr>
          <w:rFonts w:ascii="Arabic Typesetting" w:hAnsi="Arabic Typesetting" w:cs="Arabic Typesetting"/>
          <w:color w:val="000000"/>
          <w:sz w:val="36"/>
          <w:szCs w:val="36"/>
          <w:rtl/>
        </w:rPr>
        <w:t>عام</w:t>
      </w:r>
      <w:r w:rsidR="0097666D">
        <w:rPr>
          <w:rFonts w:ascii="Arabic Typesetting" w:hAnsi="Arabic Typesetting" w:cs="Arabic Typesetting" w:hint="cs"/>
          <w:color w:val="000000"/>
          <w:sz w:val="36"/>
          <w:szCs w:val="36"/>
          <w:rtl/>
        </w:rPr>
        <w:t xml:space="preserve"> </w:t>
      </w:r>
      <w:r w:rsidRPr="002465CB">
        <w:rPr>
          <w:rFonts w:ascii="Arabic Typesetting" w:hAnsi="Arabic Typesetting" w:cs="Arabic Typesetting"/>
          <w:color w:val="000000"/>
          <w:sz w:val="36"/>
          <w:szCs w:val="36"/>
          <w:rtl/>
        </w:rPr>
        <w:t>صلاحية أن يستثمر الأموال التي لا تكون لازمة لتلبية الاحتياجات الفورية، في استثمارات قصيرة الأجل، وفقاً لسياسة المنظمة بشأن الاستثمارات كما توافق عليها الدول الأعضاء، و</w:t>
      </w:r>
      <w:r w:rsidR="00961955">
        <w:rPr>
          <w:rFonts w:ascii="Arabic Typesetting" w:hAnsi="Arabic Typesetting" w:cs="Arabic Typesetting"/>
          <w:color w:val="000000"/>
          <w:sz w:val="36"/>
          <w:szCs w:val="36"/>
          <w:rtl/>
        </w:rPr>
        <w:t>المادة</w:t>
      </w:r>
      <w:r w:rsidR="0097666D">
        <w:rPr>
          <w:rFonts w:ascii="Arabic Typesetting" w:hAnsi="Arabic Typesetting" w:cs="Arabic Typesetting" w:hint="cs"/>
          <w:color w:val="000000"/>
          <w:sz w:val="36"/>
          <w:szCs w:val="36"/>
          <w:rtl/>
        </w:rPr>
        <w:t xml:space="preserve"> 4.11 </w:t>
      </w:r>
      <w:proofErr w:type="gramStart"/>
      <w:r w:rsidRPr="002465CB">
        <w:rPr>
          <w:rFonts w:ascii="Arabic Typesetting" w:hAnsi="Arabic Typesetting" w:cs="Arabic Typesetting"/>
          <w:color w:val="000000"/>
          <w:sz w:val="36"/>
          <w:szCs w:val="36"/>
          <w:rtl/>
        </w:rPr>
        <w:t>التي</w:t>
      </w:r>
      <w:proofErr w:type="gramEnd"/>
      <w:r w:rsidRPr="002465CB">
        <w:rPr>
          <w:rFonts w:ascii="Arabic Typesetting" w:hAnsi="Arabic Typesetting" w:cs="Arabic Typesetting"/>
          <w:color w:val="000000"/>
          <w:sz w:val="36"/>
          <w:szCs w:val="36"/>
          <w:rtl/>
        </w:rPr>
        <w:t xml:space="preserve"> تعطي المدير ال</w:t>
      </w:r>
      <w:r w:rsidR="00961955">
        <w:rPr>
          <w:rFonts w:ascii="Arabic Typesetting" w:hAnsi="Arabic Typesetting" w:cs="Arabic Typesetting"/>
          <w:color w:val="000000"/>
          <w:sz w:val="36"/>
          <w:szCs w:val="36"/>
          <w:rtl/>
        </w:rPr>
        <w:t>عام</w:t>
      </w:r>
      <w:r w:rsidR="0097666D">
        <w:rPr>
          <w:rFonts w:ascii="Arabic Typesetting" w:hAnsi="Arabic Typesetting" w:cs="Arabic Typesetting" w:hint="cs"/>
          <w:color w:val="000000"/>
          <w:sz w:val="36"/>
          <w:szCs w:val="36"/>
          <w:rtl/>
        </w:rPr>
        <w:t xml:space="preserve"> </w:t>
      </w:r>
      <w:r w:rsidRPr="002465CB">
        <w:rPr>
          <w:rFonts w:ascii="Arabic Typesetting" w:hAnsi="Arabic Typesetting" w:cs="Arabic Typesetting"/>
          <w:color w:val="000000"/>
          <w:sz w:val="36"/>
          <w:szCs w:val="36"/>
          <w:rtl/>
        </w:rPr>
        <w:t>صلاحية أن يستثمر في استثمارات طويلة الأجل الأموال التي تظهر كأرصدة دائنة للمنظمة، وفقاً لسياسة المنظمة بشأن الاستثمارات، كما توافق عليها الدول الأعضاء</w:t>
      </w:r>
      <w:r w:rsidRPr="002465CB">
        <w:rPr>
          <w:rFonts w:ascii="Arabic Typesetting" w:hAnsi="Arabic Typesetting" w:cs="Arabic Typesetting"/>
          <w:color w:val="000000"/>
          <w:sz w:val="36"/>
          <w:szCs w:val="36"/>
        </w:rPr>
        <w:t>.</w:t>
      </w:r>
      <w:r w:rsidR="000D5083">
        <w:rPr>
          <w:rFonts w:ascii="Arabic Typesetting" w:hAnsi="Arabic Typesetting" w:cs="Arabic Typesetting"/>
          <w:color w:val="000000"/>
          <w:sz w:val="36"/>
          <w:szCs w:val="36"/>
          <w:rtl/>
        </w:rPr>
        <w:t xml:space="preserve"> </w:t>
      </w:r>
      <w:r w:rsidRPr="002465CB">
        <w:rPr>
          <w:rFonts w:ascii="Arabic Typesetting" w:hAnsi="Arabic Typesetting" w:cs="Arabic Typesetting"/>
          <w:color w:val="000000"/>
          <w:sz w:val="36"/>
          <w:szCs w:val="36"/>
          <w:rtl/>
        </w:rPr>
        <w:t>وتأخذ سياسة الاستثمار في الحسبان أيضا</w:t>
      </w:r>
      <w:r w:rsidR="0097666D">
        <w:rPr>
          <w:rFonts w:ascii="Arabic Typesetting" w:hAnsi="Arabic Typesetting" w:cs="Arabic Typesetting" w:hint="cs"/>
          <w:color w:val="000000"/>
          <w:sz w:val="36"/>
          <w:szCs w:val="36"/>
          <w:rtl/>
        </w:rPr>
        <w:t>ً</w:t>
      </w:r>
      <w:r w:rsidR="0097666D">
        <w:rPr>
          <w:rFonts w:ascii="Arabic Typesetting" w:hAnsi="Arabic Typesetting" w:cs="Arabic Typesetting"/>
          <w:color w:val="000000"/>
          <w:sz w:val="36"/>
          <w:szCs w:val="36"/>
          <w:rtl/>
        </w:rPr>
        <w:t xml:space="preserve"> القاعد</w:t>
      </w:r>
      <w:r w:rsidR="0097666D">
        <w:rPr>
          <w:rFonts w:ascii="Arabic Typesetting" w:hAnsi="Arabic Typesetting" w:cs="Arabic Typesetting" w:hint="cs"/>
          <w:color w:val="000000"/>
          <w:sz w:val="36"/>
          <w:szCs w:val="36"/>
          <w:rtl/>
        </w:rPr>
        <w:t>ة 104.10 (أ)</w:t>
      </w:r>
      <w:r w:rsidRPr="002465CB">
        <w:rPr>
          <w:rFonts w:ascii="Arabic Typesetting" w:hAnsi="Arabic Typesetting" w:cs="Arabic Typesetting"/>
          <w:color w:val="000000"/>
          <w:sz w:val="36"/>
          <w:szCs w:val="36"/>
        </w:rPr>
        <w:t xml:space="preserve"> </w:t>
      </w:r>
      <w:proofErr w:type="gramStart"/>
      <w:r w:rsidRPr="002465CB">
        <w:rPr>
          <w:rFonts w:ascii="Arabic Typesetting" w:hAnsi="Arabic Typesetting" w:cs="Arabic Typesetting"/>
          <w:color w:val="000000"/>
          <w:sz w:val="36"/>
          <w:szCs w:val="36"/>
          <w:rtl/>
        </w:rPr>
        <w:t>من</w:t>
      </w:r>
      <w:proofErr w:type="gramEnd"/>
      <w:r w:rsidRPr="002465CB">
        <w:rPr>
          <w:rFonts w:ascii="Arabic Typesetting" w:hAnsi="Arabic Typesetting" w:cs="Arabic Typesetting"/>
          <w:color w:val="000000"/>
          <w:sz w:val="36"/>
          <w:szCs w:val="36"/>
          <w:rtl/>
        </w:rPr>
        <w:t xml:space="preserve"> اللائحة المالية التي تحيل للمراقب المالي صلاحية استثمار الأموال وإدارتها بحصافة وفقاً لسياسة المنظمة بشأن الاستثمارات، كما توافق عليها الدول الأعضاء</w:t>
      </w:r>
      <w:r w:rsidR="0097666D">
        <w:rPr>
          <w:rFonts w:ascii="Arabic Typesetting" w:hAnsi="Arabic Typesetting" w:cs="Arabic Typesetting" w:hint="cs"/>
          <w:color w:val="000000"/>
          <w:sz w:val="36"/>
          <w:szCs w:val="36"/>
          <w:rtl/>
        </w:rPr>
        <w:t>.</w:t>
      </w:r>
    </w:p>
    <w:p w:rsidR="00FF31A2" w:rsidRPr="002465CB" w:rsidRDefault="00FF31A2" w:rsidP="002514E4">
      <w:pPr>
        <w:keepNext/>
        <w:autoSpaceDE w:val="0"/>
        <w:autoSpaceDN w:val="0"/>
        <w:bidi/>
        <w:adjustRightInd w:val="0"/>
        <w:spacing w:after="240"/>
        <w:rPr>
          <w:rFonts w:ascii="Arabic Typesetting" w:hAnsi="Arabic Typesetting" w:cs="Arabic Typesetting"/>
          <w:color w:val="000000"/>
          <w:sz w:val="36"/>
          <w:szCs w:val="36"/>
        </w:rPr>
      </w:pPr>
      <w:r w:rsidRPr="002465CB">
        <w:rPr>
          <w:rFonts w:ascii="Arabic Typesetting" w:hAnsi="Arabic Typesetting" w:cs="Arabic Typesetting"/>
          <w:color w:val="000000"/>
          <w:sz w:val="36"/>
          <w:szCs w:val="36"/>
          <w:u w:val="single"/>
          <w:rtl/>
        </w:rPr>
        <w:t>الأ</w:t>
      </w:r>
      <w:r w:rsidR="0097666D">
        <w:rPr>
          <w:rFonts w:ascii="Arabic Typesetting" w:hAnsi="Arabic Typesetting" w:cs="Arabic Typesetting"/>
          <w:color w:val="000000"/>
          <w:sz w:val="36"/>
          <w:szCs w:val="36"/>
          <w:u w:val="single"/>
          <w:rtl/>
        </w:rPr>
        <w:t>هداف</w:t>
      </w:r>
    </w:p>
    <w:p w:rsidR="00FF31A2" w:rsidRPr="002465CB" w:rsidRDefault="00FF31A2" w:rsidP="0097666D">
      <w:pPr>
        <w:numPr>
          <w:ilvl w:val="0"/>
          <w:numId w:val="37"/>
        </w:numPr>
        <w:autoSpaceDE w:val="0"/>
        <w:autoSpaceDN w:val="0"/>
        <w:bidi/>
        <w:adjustRightInd w:val="0"/>
        <w:spacing w:after="240"/>
        <w:rPr>
          <w:rFonts w:ascii="Arabic Typesetting" w:hAnsi="Arabic Typesetting" w:cs="Arabic Typesetting"/>
          <w:color w:val="000000"/>
          <w:sz w:val="36"/>
          <w:szCs w:val="36"/>
        </w:rPr>
      </w:pPr>
      <w:r w:rsidRPr="002465CB">
        <w:rPr>
          <w:rFonts w:ascii="Arabic Typesetting" w:hAnsi="Arabic Typesetting" w:cs="Arabic Typesetting"/>
          <w:color w:val="000000"/>
          <w:sz w:val="36"/>
          <w:szCs w:val="36"/>
          <w:rtl/>
        </w:rPr>
        <w:t xml:space="preserve">ترد </w:t>
      </w:r>
      <w:proofErr w:type="gramStart"/>
      <w:r w:rsidRPr="002465CB">
        <w:rPr>
          <w:rFonts w:ascii="Arabic Typesetting" w:hAnsi="Arabic Typesetting" w:cs="Arabic Typesetting"/>
          <w:color w:val="000000"/>
          <w:sz w:val="36"/>
          <w:szCs w:val="36"/>
          <w:rtl/>
        </w:rPr>
        <w:t>الأهداف</w:t>
      </w:r>
      <w:proofErr w:type="gramEnd"/>
      <w:r w:rsidRPr="002465CB">
        <w:rPr>
          <w:rFonts w:ascii="Arabic Typesetting" w:hAnsi="Arabic Typesetting" w:cs="Arabic Typesetting"/>
          <w:color w:val="000000"/>
          <w:sz w:val="36"/>
          <w:szCs w:val="36"/>
          <w:rtl/>
        </w:rPr>
        <w:t xml:space="preserve"> المنشود</w:t>
      </w:r>
      <w:r w:rsidR="0097666D">
        <w:rPr>
          <w:rFonts w:ascii="Arabic Typesetting" w:hAnsi="Arabic Typesetting" w:cs="Arabic Typesetting"/>
          <w:color w:val="000000"/>
          <w:sz w:val="36"/>
          <w:szCs w:val="36"/>
          <w:rtl/>
        </w:rPr>
        <w:t>ة من سياسة الاستثمار في القاعد</w:t>
      </w:r>
      <w:r w:rsidR="0097666D">
        <w:rPr>
          <w:rFonts w:ascii="Arabic Typesetting" w:hAnsi="Arabic Typesetting" w:cs="Arabic Typesetting" w:hint="cs"/>
          <w:color w:val="000000"/>
          <w:sz w:val="36"/>
          <w:szCs w:val="36"/>
          <w:rtl/>
        </w:rPr>
        <w:t xml:space="preserve">ة 104.10 (ب) </w:t>
      </w:r>
      <w:proofErr w:type="gramStart"/>
      <w:r w:rsidRPr="002465CB">
        <w:rPr>
          <w:rFonts w:ascii="Arabic Typesetting" w:hAnsi="Arabic Typesetting" w:cs="Arabic Typesetting"/>
          <w:color w:val="000000"/>
          <w:sz w:val="36"/>
          <w:szCs w:val="36"/>
          <w:rtl/>
        </w:rPr>
        <w:t>من</w:t>
      </w:r>
      <w:proofErr w:type="gramEnd"/>
      <w:r w:rsidRPr="002465CB">
        <w:rPr>
          <w:rFonts w:ascii="Arabic Typesetting" w:hAnsi="Arabic Typesetting" w:cs="Arabic Typesetting"/>
          <w:color w:val="000000"/>
          <w:sz w:val="36"/>
          <w:szCs w:val="36"/>
          <w:rtl/>
        </w:rPr>
        <w:t xml:space="preserve"> اللائحة المالية التي تنص على أن </w:t>
      </w:r>
      <w:r w:rsidRPr="002465CB">
        <w:rPr>
          <w:rFonts w:ascii="Arabic Typesetting" w:hAnsi="Arabic Typesetting" w:cs="Arabic Typesetting"/>
          <w:color w:val="000000"/>
          <w:sz w:val="36"/>
          <w:szCs w:val="36"/>
        </w:rPr>
        <w:t>"</w:t>
      </w:r>
      <w:r w:rsidRPr="002465CB">
        <w:rPr>
          <w:rFonts w:ascii="Arabic Typesetting" w:hAnsi="Arabic Typesetting" w:cs="Arabic Typesetting"/>
          <w:color w:val="000000"/>
          <w:sz w:val="36"/>
          <w:szCs w:val="36"/>
          <w:rtl/>
        </w:rPr>
        <w:t>يكفل المراقب المالي حيازة الأموال بالعملات اللازمة واستثمارها بحيث يجري التركيز في المقام الأول على استبعاد تعرض الأموال الأصلية للخطر في حين يكفل توفر السيولة اللازمة لتلبية متطلبات التدفق النقدي للمنظمة</w:t>
      </w:r>
      <w:r w:rsidRPr="002465CB">
        <w:rPr>
          <w:rFonts w:ascii="Arabic Typesetting" w:hAnsi="Arabic Typesetting" w:cs="Arabic Typesetting"/>
          <w:color w:val="000000"/>
          <w:sz w:val="36"/>
          <w:szCs w:val="36"/>
        </w:rPr>
        <w:t>.</w:t>
      </w:r>
      <w:proofErr w:type="gramStart"/>
      <w:r w:rsidRPr="002465CB">
        <w:rPr>
          <w:rFonts w:ascii="Arabic Typesetting" w:hAnsi="Arabic Typesetting" w:cs="Arabic Typesetting"/>
          <w:color w:val="000000"/>
          <w:sz w:val="36"/>
          <w:szCs w:val="36"/>
        </w:rPr>
        <w:t xml:space="preserve">" </w:t>
      </w:r>
      <w:r w:rsidRPr="002465CB">
        <w:rPr>
          <w:rFonts w:ascii="Arabic Typesetting" w:hAnsi="Arabic Typesetting" w:cs="Arabic Typesetting"/>
          <w:color w:val="000000"/>
          <w:sz w:val="36"/>
          <w:szCs w:val="36"/>
          <w:rtl/>
        </w:rPr>
        <w:t>وأما</w:t>
      </w:r>
      <w:proofErr w:type="gramEnd"/>
      <w:r w:rsidRPr="002465CB">
        <w:rPr>
          <w:rFonts w:ascii="Arabic Typesetting" w:hAnsi="Arabic Typesetting" w:cs="Arabic Typesetting"/>
          <w:color w:val="000000"/>
          <w:sz w:val="36"/>
          <w:szCs w:val="36"/>
          <w:rtl/>
        </w:rPr>
        <w:t xml:space="preserve"> الأهداف الرئيسية من إدارة المنظمة لاستثماراتها فهي مرتبة فيما يلي حسب أهميته</w:t>
      </w:r>
      <w:r w:rsidR="0097666D">
        <w:rPr>
          <w:rFonts w:ascii="Arabic Typesetting" w:hAnsi="Arabic Typesetting" w:cs="Arabic Typesetting" w:hint="cs"/>
          <w:color w:val="000000"/>
          <w:sz w:val="36"/>
          <w:szCs w:val="36"/>
          <w:rtl/>
        </w:rPr>
        <w:t>ا: "1"</w:t>
      </w:r>
      <w:r w:rsidR="0097666D">
        <w:rPr>
          <w:rFonts w:ascii="Arabic Typesetting" w:hAnsi="Arabic Typesetting" w:cs="Arabic Typesetting" w:hint="eastAsia"/>
          <w:color w:val="000000"/>
          <w:sz w:val="36"/>
          <w:szCs w:val="36"/>
          <w:rtl/>
        </w:rPr>
        <w:t> </w:t>
      </w:r>
      <w:r w:rsidRPr="002465CB">
        <w:rPr>
          <w:rFonts w:ascii="Arabic Typesetting" w:hAnsi="Arabic Typesetting" w:cs="Arabic Typesetting"/>
          <w:color w:val="000000"/>
          <w:sz w:val="36"/>
          <w:szCs w:val="36"/>
          <w:rtl/>
        </w:rPr>
        <w:t>صون رأس المال؛</w:t>
      </w:r>
      <w:r w:rsidR="0097666D">
        <w:rPr>
          <w:rFonts w:ascii="Arabic Typesetting" w:hAnsi="Arabic Typesetting" w:cs="Arabic Typesetting" w:hint="cs"/>
          <w:color w:val="000000"/>
          <w:sz w:val="36"/>
          <w:szCs w:val="36"/>
          <w:rtl/>
        </w:rPr>
        <w:t xml:space="preserve"> "2" </w:t>
      </w:r>
      <w:r w:rsidRPr="002465CB">
        <w:rPr>
          <w:rFonts w:ascii="Arabic Typesetting" w:hAnsi="Arabic Typesetting" w:cs="Arabic Typesetting"/>
          <w:color w:val="000000"/>
          <w:sz w:val="36"/>
          <w:szCs w:val="36"/>
          <w:rtl/>
        </w:rPr>
        <w:t>والسيولة؛</w:t>
      </w:r>
      <w:r w:rsidR="0097666D">
        <w:rPr>
          <w:rFonts w:ascii="Arabic Typesetting" w:hAnsi="Arabic Typesetting" w:cs="Arabic Typesetting" w:hint="cs"/>
          <w:color w:val="000000"/>
          <w:sz w:val="36"/>
          <w:szCs w:val="36"/>
          <w:rtl/>
        </w:rPr>
        <w:t xml:space="preserve"> "3" </w:t>
      </w:r>
      <w:r w:rsidRPr="002465CB">
        <w:rPr>
          <w:rFonts w:ascii="Arabic Typesetting" w:hAnsi="Arabic Typesetting" w:cs="Arabic Typesetting"/>
          <w:color w:val="000000"/>
          <w:sz w:val="36"/>
          <w:szCs w:val="36"/>
          <w:rtl/>
        </w:rPr>
        <w:t>ومعدل العائد مع مراعاة التقييدات الناجمة عن</w:t>
      </w:r>
      <w:r w:rsidR="0097666D">
        <w:rPr>
          <w:rFonts w:ascii="Arabic Typesetting" w:hAnsi="Arabic Typesetting" w:cs="Arabic Typesetting" w:hint="cs"/>
          <w:color w:val="000000"/>
          <w:sz w:val="36"/>
          <w:szCs w:val="36"/>
          <w:rtl/>
        </w:rPr>
        <w:t xml:space="preserve"> "1" و"2".</w:t>
      </w:r>
    </w:p>
    <w:p w:rsidR="00FF31A2" w:rsidRPr="002465CB" w:rsidRDefault="0097666D" w:rsidP="002514E4">
      <w:pPr>
        <w:keepNext/>
        <w:autoSpaceDE w:val="0"/>
        <w:autoSpaceDN w:val="0"/>
        <w:bidi/>
        <w:adjustRightInd w:val="0"/>
        <w:spacing w:after="240"/>
        <w:rPr>
          <w:rFonts w:ascii="Arabic Typesetting" w:hAnsi="Arabic Typesetting" w:cs="Arabic Typesetting"/>
          <w:color w:val="000000"/>
          <w:sz w:val="36"/>
          <w:szCs w:val="36"/>
        </w:rPr>
      </w:pPr>
      <w:r>
        <w:rPr>
          <w:rFonts w:ascii="Arabic Typesetting" w:hAnsi="Arabic Typesetting" w:cs="Arabic Typesetting"/>
          <w:color w:val="000000"/>
          <w:sz w:val="36"/>
          <w:szCs w:val="36"/>
          <w:u w:val="single"/>
          <w:rtl/>
        </w:rPr>
        <w:t>تنويع المؤسسات المالية</w:t>
      </w:r>
    </w:p>
    <w:p w:rsidR="00FF31A2" w:rsidRPr="002465CB" w:rsidRDefault="00FF31A2" w:rsidP="0097666D">
      <w:pPr>
        <w:numPr>
          <w:ilvl w:val="0"/>
          <w:numId w:val="37"/>
        </w:numPr>
        <w:autoSpaceDE w:val="0"/>
        <w:autoSpaceDN w:val="0"/>
        <w:bidi/>
        <w:adjustRightInd w:val="0"/>
        <w:spacing w:after="240"/>
        <w:rPr>
          <w:rFonts w:ascii="Arabic Typesetting" w:hAnsi="Arabic Typesetting" w:cs="Arabic Typesetting"/>
          <w:color w:val="000000"/>
          <w:sz w:val="36"/>
          <w:szCs w:val="36"/>
        </w:rPr>
      </w:pPr>
      <w:r w:rsidRPr="002465CB">
        <w:rPr>
          <w:rFonts w:ascii="Arabic Typesetting" w:hAnsi="Arabic Typesetting" w:cs="Arabic Typesetting"/>
          <w:color w:val="000000"/>
          <w:sz w:val="36"/>
          <w:szCs w:val="36"/>
          <w:rtl/>
        </w:rPr>
        <w:t>تنص القاعدة</w:t>
      </w:r>
      <w:r w:rsidR="0097666D">
        <w:rPr>
          <w:rFonts w:ascii="Arabic Typesetting" w:hAnsi="Arabic Typesetting" w:cs="Arabic Typesetting" w:hint="cs"/>
          <w:color w:val="000000"/>
          <w:sz w:val="36"/>
          <w:szCs w:val="36"/>
          <w:rtl/>
        </w:rPr>
        <w:t xml:space="preserve"> 104.12 (أ) </w:t>
      </w:r>
      <w:proofErr w:type="gramStart"/>
      <w:r w:rsidRPr="002465CB">
        <w:rPr>
          <w:rFonts w:ascii="Arabic Typesetting" w:hAnsi="Arabic Typesetting" w:cs="Arabic Typesetting"/>
          <w:color w:val="000000"/>
          <w:sz w:val="36"/>
          <w:szCs w:val="36"/>
          <w:rtl/>
        </w:rPr>
        <w:t>من</w:t>
      </w:r>
      <w:proofErr w:type="gramEnd"/>
      <w:r w:rsidRPr="002465CB">
        <w:rPr>
          <w:rFonts w:ascii="Arabic Typesetting" w:hAnsi="Arabic Typesetting" w:cs="Arabic Typesetting"/>
          <w:color w:val="000000"/>
          <w:sz w:val="36"/>
          <w:szCs w:val="36"/>
          <w:rtl/>
        </w:rPr>
        <w:t xml:space="preserve"> اللائحة المالية على أن </w:t>
      </w:r>
      <w:r w:rsidRPr="002465CB">
        <w:rPr>
          <w:rFonts w:ascii="Arabic Typesetting" w:hAnsi="Arabic Typesetting" w:cs="Arabic Typesetting"/>
          <w:color w:val="000000"/>
          <w:sz w:val="36"/>
          <w:szCs w:val="36"/>
        </w:rPr>
        <w:t>"</w:t>
      </w:r>
      <w:r w:rsidRPr="002465CB">
        <w:rPr>
          <w:rFonts w:ascii="Arabic Typesetting" w:hAnsi="Arabic Typesetting" w:cs="Arabic Typesetting"/>
          <w:color w:val="000000"/>
          <w:sz w:val="36"/>
          <w:szCs w:val="36"/>
          <w:rtl/>
        </w:rPr>
        <w:t>تجُرى جميع الاستثمارات عن طريق مؤسسات مالية معترف بها يعينها المراقب المالي، وتتعهد تلك الاستثمارات</w:t>
      </w:r>
      <w:r w:rsidRPr="002465CB">
        <w:rPr>
          <w:rFonts w:ascii="Arabic Typesetting" w:hAnsi="Arabic Typesetting" w:cs="Arabic Typesetting"/>
          <w:color w:val="000000"/>
          <w:sz w:val="36"/>
          <w:szCs w:val="36"/>
        </w:rPr>
        <w:t>.</w:t>
      </w:r>
      <w:proofErr w:type="gramStart"/>
      <w:r w:rsidRPr="002465CB">
        <w:rPr>
          <w:rFonts w:ascii="Arabic Typesetting" w:hAnsi="Arabic Typesetting" w:cs="Arabic Typesetting"/>
          <w:color w:val="000000"/>
          <w:sz w:val="36"/>
          <w:szCs w:val="36"/>
        </w:rPr>
        <w:t xml:space="preserve">" </w:t>
      </w:r>
      <w:r w:rsidRPr="002465CB">
        <w:rPr>
          <w:rFonts w:ascii="Arabic Typesetting" w:hAnsi="Arabic Typesetting" w:cs="Arabic Typesetting"/>
          <w:color w:val="000000"/>
          <w:sz w:val="36"/>
          <w:szCs w:val="36"/>
          <w:rtl/>
        </w:rPr>
        <w:t>وتو</w:t>
      </w:r>
      <w:proofErr w:type="gramEnd"/>
      <w:r w:rsidRPr="002465CB">
        <w:rPr>
          <w:rFonts w:ascii="Arabic Typesetting" w:hAnsi="Arabic Typesetting" w:cs="Arabic Typesetting"/>
          <w:color w:val="000000"/>
          <w:sz w:val="36"/>
          <w:szCs w:val="36"/>
          <w:rtl/>
        </w:rPr>
        <w:t>َّزع استثمارات المنظمة على مؤسسات عدة، بحيث لا يكون أكثر من عشرة بالمائة من الاستثمار عرضة لمؤسسة واحدة في الوقت نفسه، باستثناء المؤسسات ذات المخاطر السيادية ومعدلات الثقة المرتفع</w:t>
      </w:r>
      <w:r w:rsidR="0097666D">
        <w:rPr>
          <w:rFonts w:ascii="Arabic Typesetting" w:hAnsi="Arabic Typesetting" w:cs="Arabic Typesetting" w:hint="cs"/>
          <w:color w:val="000000"/>
          <w:sz w:val="36"/>
          <w:szCs w:val="36"/>
          <w:rtl/>
        </w:rPr>
        <w:t>ة (</w:t>
      </w:r>
      <w:r w:rsidR="0097666D" w:rsidRPr="002465CB">
        <w:rPr>
          <w:rFonts w:ascii="Arabic Typesetting" w:hAnsi="Arabic Typesetting" w:cs="Arabic Typesetting"/>
          <w:color w:val="000000"/>
          <w:sz w:val="36"/>
          <w:szCs w:val="36"/>
        </w:rPr>
        <w:t>AAA/Aaa1</w:t>
      </w:r>
      <w:r w:rsidR="0097666D">
        <w:rPr>
          <w:rFonts w:ascii="Arabic Typesetting" w:hAnsi="Arabic Typesetting" w:cs="Arabic Typesetting" w:hint="cs"/>
          <w:color w:val="000000"/>
          <w:sz w:val="36"/>
          <w:szCs w:val="36"/>
          <w:rtl/>
        </w:rPr>
        <w:t xml:space="preserve">) </w:t>
      </w:r>
      <w:r w:rsidR="0097666D">
        <w:rPr>
          <w:rFonts w:ascii="Arabic Typesetting" w:hAnsi="Arabic Typesetting" w:cs="Arabic Typesetting"/>
          <w:color w:val="000000"/>
          <w:sz w:val="36"/>
          <w:szCs w:val="36"/>
          <w:rtl/>
        </w:rPr>
        <w:t>التي لا قيد عليها أو ح</w:t>
      </w:r>
      <w:r w:rsidR="0097666D">
        <w:rPr>
          <w:rFonts w:ascii="Arabic Typesetting" w:hAnsi="Arabic Typesetting" w:cs="Arabic Typesetting" w:hint="cs"/>
          <w:color w:val="000000"/>
          <w:sz w:val="36"/>
          <w:szCs w:val="36"/>
          <w:rtl/>
        </w:rPr>
        <w:t>د</w:t>
      </w:r>
      <w:r w:rsidR="0097666D" w:rsidRPr="002465CB">
        <w:rPr>
          <w:rStyle w:val="FootnoteReference"/>
          <w:color w:val="000000"/>
          <w:sz w:val="36"/>
          <w:szCs w:val="36"/>
        </w:rPr>
        <w:footnoteReference w:id="2"/>
      </w:r>
      <w:r w:rsidR="0097666D">
        <w:rPr>
          <w:rFonts w:ascii="Arabic Typesetting" w:hAnsi="Arabic Typesetting" w:cs="Arabic Typesetting" w:hint="cs"/>
          <w:color w:val="000000"/>
          <w:sz w:val="36"/>
          <w:szCs w:val="36"/>
          <w:rtl/>
        </w:rPr>
        <w:t>.</w:t>
      </w:r>
    </w:p>
    <w:p w:rsidR="00FF31A2" w:rsidRPr="002465CB" w:rsidRDefault="00FF31A2" w:rsidP="002514E4">
      <w:pPr>
        <w:keepNext/>
        <w:autoSpaceDE w:val="0"/>
        <w:autoSpaceDN w:val="0"/>
        <w:bidi/>
        <w:adjustRightInd w:val="0"/>
        <w:spacing w:after="240"/>
        <w:rPr>
          <w:rFonts w:ascii="Arabic Typesetting" w:hAnsi="Arabic Typesetting" w:cs="Arabic Typesetting"/>
          <w:sz w:val="36"/>
          <w:szCs w:val="36"/>
        </w:rPr>
      </w:pPr>
      <w:proofErr w:type="gramStart"/>
      <w:r w:rsidRPr="002465CB">
        <w:rPr>
          <w:rFonts w:ascii="Arabic Typesetting" w:hAnsi="Arabic Typesetting" w:cs="Arabic Typesetting"/>
          <w:sz w:val="36"/>
          <w:szCs w:val="36"/>
          <w:u w:val="single"/>
          <w:rtl/>
        </w:rPr>
        <w:t>عملة</w:t>
      </w:r>
      <w:proofErr w:type="gramEnd"/>
      <w:r w:rsidRPr="002465CB">
        <w:rPr>
          <w:rFonts w:ascii="Arabic Typesetting" w:hAnsi="Arabic Typesetting" w:cs="Arabic Typesetting"/>
          <w:sz w:val="36"/>
          <w:szCs w:val="36"/>
          <w:u w:val="single"/>
        </w:rPr>
        <w:t xml:space="preserve"> </w:t>
      </w:r>
      <w:r w:rsidRPr="002514E4">
        <w:rPr>
          <w:rFonts w:ascii="Arabic Typesetting" w:hAnsi="Arabic Typesetting" w:cs="Arabic Typesetting"/>
          <w:color w:val="000000"/>
          <w:sz w:val="36"/>
          <w:szCs w:val="36"/>
          <w:u w:val="single"/>
          <w:rtl/>
        </w:rPr>
        <w:t>الاستثمار</w:t>
      </w:r>
    </w:p>
    <w:p w:rsidR="00FF31A2" w:rsidRPr="002465CB" w:rsidRDefault="00FF31A2" w:rsidP="002465CB">
      <w:pPr>
        <w:numPr>
          <w:ilvl w:val="0"/>
          <w:numId w:val="37"/>
        </w:numPr>
        <w:autoSpaceDE w:val="0"/>
        <w:autoSpaceDN w:val="0"/>
        <w:bidi/>
        <w:adjustRightInd w:val="0"/>
        <w:spacing w:after="240"/>
        <w:rPr>
          <w:rFonts w:ascii="Arabic Typesetting" w:hAnsi="Arabic Typesetting" w:cs="Arabic Typesetting"/>
          <w:sz w:val="36"/>
          <w:szCs w:val="36"/>
        </w:rPr>
      </w:pPr>
      <w:proofErr w:type="gramStart"/>
      <w:r w:rsidRPr="002465CB">
        <w:rPr>
          <w:rFonts w:ascii="Arabic Typesetting" w:hAnsi="Arabic Typesetting" w:cs="Arabic Typesetting"/>
          <w:color w:val="000000"/>
          <w:sz w:val="36"/>
          <w:szCs w:val="36"/>
          <w:rtl/>
        </w:rPr>
        <w:t>ينبغي</w:t>
      </w:r>
      <w:proofErr w:type="gramEnd"/>
      <w:r w:rsidRPr="002465CB">
        <w:rPr>
          <w:rFonts w:ascii="Arabic Typesetting" w:hAnsi="Arabic Typesetting" w:cs="Arabic Typesetting"/>
          <w:color w:val="000000"/>
          <w:sz w:val="36"/>
          <w:szCs w:val="36"/>
          <w:rtl/>
        </w:rPr>
        <w:t xml:space="preserve"> معالجة المخاطر والعرضة لتقلبات أسعار الصرف بطريقة تحد من المخاطر إلى أقصى الحدود وتحافظ على قيمة الأصول المحددة بالفرنك السويسري وهي العملة التي تُعتمد بها ميزانية المنظمة وتبلَّغ بها الحسابات</w:t>
      </w:r>
      <w:r w:rsidRPr="002465CB">
        <w:rPr>
          <w:rFonts w:ascii="Arabic Typesetting" w:hAnsi="Arabic Typesetting" w:cs="Arabic Typesetting"/>
          <w:color w:val="000000"/>
          <w:sz w:val="36"/>
          <w:szCs w:val="36"/>
        </w:rPr>
        <w:t>.</w:t>
      </w:r>
      <w:r w:rsidR="000D5083">
        <w:rPr>
          <w:rFonts w:ascii="Arabic Typesetting" w:hAnsi="Arabic Typesetting" w:cs="Arabic Typesetting"/>
          <w:color w:val="000000"/>
          <w:sz w:val="36"/>
          <w:szCs w:val="36"/>
          <w:rtl/>
        </w:rPr>
        <w:t xml:space="preserve"> </w:t>
      </w:r>
      <w:r w:rsidRPr="002465CB">
        <w:rPr>
          <w:rFonts w:ascii="Arabic Typesetting" w:hAnsi="Arabic Typesetting" w:cs="Arabic Typesetting"/>
          <w:color w:val="000000"/>
          <w:sz w:val="36"/>
          <w:szCs w:val="36"/>
          <w:rtl/>
        </w:rPr>
        <w:t xml:space="preserve">وتدار الاستثمارات </w:t>
      </w:r>
      <w:r w:rsidR="0097666D">
        <w:rPr>
          <w:rFonts w:ascii="Arabic Typesetting" w:hAnsi="Arabic Typesetting" w:cs="Arabic Typesetting" w:hint="cs"/>
          <w:color w:val="000000"/>
          <w:sz w:val="36"/>
          <w:szCs w:val="36"/>
          <w:rtl/>
        </w:rPr>
        <w:t>ال</w:t>
      </w:r>
      <w:r w:rsidRPr="002465CB">
        <w:rPr>
          <w:rFonts w:ascii="Arabic Typesetting" w:hAnsi="Arabic Typesetting" w:cs="Arabic Typesetting"/>
          <w:color w:val="000000"/>
          <w:sz w:val="36"/>
          <w:szCs w:val="36"/>
          <w:rtl/>
        </w:rPr>
        <w:t>قصيرة و</w:t>
      </w:r>
      <w:r w:rsidR="0097666D">
        <w:rPr>
          <w:rFonts w:ascii="Arabic Typesetting" w:hAnsi="Arabic Typesetting" w:cs="Arabic Typesetting" w:hint="cs"/>
          <w:color w:val="000000"/>
          <w:sz w:val="36"/>
          <w:szCs w:val="36"/>
          <w:rtl/>
        </w:rPr>
        <w:t>ال</w:t>
      </w:r>
      <w:r w:rsidRPr="002465CB">
        <w:rPr>
          <w:rFonts w:ascii="Arabic Typesetting" w:hAnsi="Arabic Typesetting" w:cs="Arabic Typesetting"/>
          <w:color w:val="000000"/>
          <w:sz w:val="36"/>
          <w:szCs w:val="36"/>
          <w:rtl/>
        </w:rPr>
        <w:t>متوسطة و</w:t>
      </w:r>
      <w:r w:rsidR="0097666D">
        <w:rPr>
          <w:rFonts w:ascii="Arabic Typesetting" w:hAnsi="Arabic Typesetting" w:cs="Arabic Typesetting" w:hint="cs"/>
          <w:color w:val="000000"/>
          <w:sz w:val="36"/>
          <w:szCs w:val="36"/>
          <w:rtl/>
        </w:rPr>
        <w:t>ال</w:t>
      </w:r>
      <w:r w:rsidRPr="002465CB">
        <w:rPr>
          <w:rFonts w:ascii="Arabic Typesetting" w:hAnsi="Arabic Typesetting" w:cs="Arabic Typesetting"/>
          <w:color w:val="000000"/>
          <w:sz w:val="36"/>
          <w:szCs w:val="36"/>
          <w:rtl/>
        </w:rPr>
        <w:t>طويلة الأجل بالتوفيق، قدر الإمكان، بين العملات الموجودة والتدفقات النقدية المتوقعة والمصروفات المتوقعة حسب العملة والفترة الزمنية</w:t>
      </w:r>
      <w:r w:rsidR="0097666D">
        <w:rPr>
          <w:rFonts w:ascii="Arabic Typesetting" w:hAnsi="Arabic Typesetting" w:cs="Arabic Typesetting" w:hint="cs"/>
          <w:color w:val="000000"/>
          <w:sz w:val="36"/>
          <w:szCs w:val="36"/>
          <w:rtl/>
        </w:rPr>
        <w:t>.</w:t>
      </w:r>
    </w:p>
    <w:p w:rsidR="00FF31A2" w:rsidRPr="002465CB" w:rsidRDefault="00FF31A2" w:rsidP="002514E4">
      <w:pPr>
        <w:keepNext/>
        <w:autoSpaceDE w:val="0"/>
        <w:autoSpaceDN w:val="0"/>
        <w:bidi/>
        <w:adjustRightInd w:val="0"/>
        <w:spacing w:after="240"/>
        <w:rPr>
          <w:rFonts w:ascii="Arabic Typesetting" w:hAnsi="Arabic Typesetting" w:cs="Arabic Typesetting"/>
          <w:sz w:val="36"/>
          <w:szCs w:val="36"/>
        </w:rPr>
      </w:pPr>
      <w:r w:rsidRPr="002465CB">
        <w:rPr>
          <w:rFonts w:ascii="Arabic Typesetting" w:hAnsi="Arabic Typesetting" w:cs="Arabic Typesetting"/>
          <w:sz w:val="36"/>
          <w:szCs w:val="36"/>
          <w:u w:val="single"/>
          <w:rtl/>
        </w:rPr>
        <w:lastRenderedPageBreak/>
        <w:t>المرج</w:t>
      </w:r>
      <w:r w:rsidR="004B76C4">
        <w:rPr>
          <w:rFonts w:ascii="Arabic Typesetting" w:hAnsi="Arabic Typesetting" w:cs="Arabic Typesetting" w:hint="cs"/>
          <w:sz w:val="36"/>
          <w:szCs w:val="36"/>
          <w:u w:val="single"/>
          <w:rtl/>
        </w:rPr>
        <w:t>ع</w:t>
      </w:r>
    </w:p>
    <w:p w:rsidR="00FF31A2" w:rsidRPr="002514E4" w:rsidRDefault="00FF31A2" w:rsidP="002514E4">
      <w:pPr>
        <w:numPr>
          <w:ilvl w:val="0"/>
          <w:numId w:val="37"/>
        </w:numPr>
        <w:autoSpaceDE w:val="0"/>
        <w:autoSpaceDN w:val="0"/>
        <w:bidi/>
        <w:adjustRightInd w:val="0"/>
        <w:spacing w:after="240"/>
        <w:rPr>
          <w:rFonts w:ascii="Arabic Typesetting" w:hAnsi="Arabic Typesetting" w:cs="Arabic Typesetting"/>
          <w:color w:val="000000"/>
          <w:sz w:val="36"/>
          <w:szCs w:val="36"/>
          <w:u w:val="single"/>
        </w:rPr>
      </w:pPr>
      <w:r w:rsidRPr="002514E4">
        <w:rPr>
          <w:rFonts w:ascii="Arabic Typesetting" w:hAnsi="Arabic Typesetting" w:cs="Arabic Typesetting"/>
          <w:sz w:val="36"/>
          <w:szCs w:val="36"/>
          <w:rtl/>
        </w:rPr>
        <w:t>ستدار</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جميع</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موارد</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المنظمة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النقدية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على</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الصعيد</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الداخلي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بالرجوع</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إلى</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معدل</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العائد</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الذي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تَحصل</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عليه</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المنظمة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من</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ودائعها</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لدى</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المصرف</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الوطني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السويسري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على</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الفرنك</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السويسري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وسعر</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فائدة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اليورو</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الذي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يحدده</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اتحاد</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البنوك</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الأوروبية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للودائع</w:t>
      </w:r>
      <w:r w:rsidRPr="002514E4">
        <w:rPr>
          <w:rFonts w:ascii="Arabic Typesetting" w:hAnsi="Arabic Typesetting" w:cs="Arabic Typesetting"/>
          <w:sz w:val="36"/>
          <w:szCs w:val="36"/>
        </w:rPr>
        <w:t xml:space="preserve"> </w:t>
      </w:r>
      <w:r w:rsidR="002514E4" w:rsidRPr="002514E4">
        <w:rPr>
          <w:rFonts w:ascii="Arabic Typesetting" w:hAnsi="Arabic Typesetting" w:cs="Arabic Typesetting" w:hint="cs"/>
          <w:sz w:val="36"/>
          <w:szCs w:val="36"/>
          <w:rtl/>
        </w:rPr>
        <w:t>البالغ أجلها ثلاثة أشهر</w:t>
      </w:r>
      <w:r w:rsidRPr="002514E4">
        <w:rPr>
          <w:rFonts w:ascii="Arabic Typesetting" w:hAnsi="Arabic Typesetting" w:cs="Arabic Typesetting"/>
          <w:sz w:val="36"/>
          <w:szCs w:val="36"/>
        </w:rPr>
        <w:t xml:space="preserve"> (</w:t>
      </w:r>
      <w:proofErr w:type="spellStart"/>
      <w:r w:rsidRPr="002514E4">
        <w:rPr>
          <w:rFonts w:ascii="Arabic Typesetting" w:hAnsi="Arabic Typesetting" w:cs="Arabic Typesetting"/>
          <w:sz w:val="36"/>
          <w:szCs w:val="36"/>
        </w:rPr>
        <w:t>Euribor</w:t>
      </w:r>
      <w:proofErr w:type="spellEnd"/>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وسعر</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أذون</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الخزانة</w:t>
      </w:r>
      <w:r w:rsidRPr="002514E4">
        <w:rPr>
          <w:rFonts w:ascii="Arabic Typesetting" w:hAnsi="Arabic Typesetting" w:cs="Arabic Typesetting"/>
          <w:sz w:val="36"/>
          <w:szCs w:val="36"/>
        </w:rPr>
        <w:t xml:space="preserve"> </w:t>
      </w:r>
      <w:r w:rsidR="002514E4" w:rsidRPr="002514E4">
        <w:rPr>
          <w:rFonts w:ascii="Arabic Typesetting" w:hAnsi="Arabic Typesetting" w:cs="Arabic Typesetting" w:hint="cs"/>
          <w:sz w:val="36"/>
          <w:szCs w:val="36"/>
          <w:rtl/>
        </w:rPr>
        <w:t>البالغ أجلها ثلاثة أشهر</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للدولار</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الأمريكي</w:t>
      </w:r>
      <w:r w:rsidR="002514E4" w:rsidRPr="002514E4">
        <w:rPr>
          <w:rFonts w:ascii="Arabic Typesetting" w:hAnsi="Arabic Typesetting" w:cs="Arabic Typesetting" w:hint="cs"/>
          <w:sz w:val="36"/>
          <w:szCs w:val="36"/>
          <w:rtl/>
        </w:rPr>
        <w:t>.</w:t>
      </w:r>
    </w:p>
    <w:p w:rsidR="00FF31A2" w:rsidRPr="002514E4" w:rsidRDefault="00FF31A2" w:rsidP="002514E4">
      <w:pPr>
        <w:keepNext/>
        <w:autoSpaceDE w:val="0"/>
        <w:autoSpaceDN w:val="0"/>
        <w:bidi/>
        <w:adjustRightInd w:val="0"/>
        <w:spacing w:after="240"/>
        <w:rPr>
          <w:rFonts w:ascii="Arabic Typesetting" w:hAnsi="Arabic Typesetting" w:cs="Arabic Typesetting"/>
          <w:color w:val="000000"/>
          <w:sz w:val="36"/>
          <w:szCs w:val="36"/>
          <w:u w:val="single"/>
        </w:rPr>
      </w:pPr>
      <w:proofErr w:type="gramStart"/>
      <w:r w:rsidRPr="002514E4">
        <w:rPr>
          <w:rFonts w:ascii="Arabic Typesetting" w:hAnsi="Arabic Typesetting" w:cs="Arabic Typesetting"/>
          <w:color w:val="000000"/>
          <w:sz w:val="36"/>
          <w:szCs w:val="36"/>
          <w:u w:val="single"/>
          <w:rtl/>
        </w:rPr>
        <w:t>فئات</w:t>
      </w:r>
      <w:proofErr w:type="gramEnd"/>
      <w:r w:rsidRPr="002514E4">
        <w:rPr>
          <w:rFonts w:ascii="Arabic Typesetting" w:hAnsi="Arabic Typesetting" w:cs="Arabic Typesetting"/>
          <w:color w:val="000000"/>
          <w:sz w:val="36"/>
          <w:szCs w:val="36"/>
          <w:u w:val="single"/>
        </w:rPr>
        <w:t xml:space="preserve"> </w:t>
      </w:r>
      <w:r w:rsidRPr="002514E4">
        <w:rPr>
          <w:rFonts w:ascii="Arabic Typesetting" w:hAnsi="Arabic Typesetting" w:cs="Arabic Typesetting"/>
          <w:color w:val="000000"/>
          <w:sz w:val="36"/>
          <w:szCs w:val="36"/>
          <w:u w:val="single"/>
          <w:rtl/>
        </w:rPr>
        <w:t>الاستثمارات</w:t>
      </w:r>
    </w:p>
    <w:p w:rsidR="00FF31A2" w:rsidRPr="002465CB" w:rsidRDefault="00FF31A2" w:rsidP="002514E4">
      <w:pPr>
        <w:keepNext/>
        <w:numPr>
          <w:ilvl w:val="0"/>
          <w:numId w:val="37"/>
        </w:numPr>
        <w:autoSpaceDE w:val="0"/>
        <w:autoSpaceDN w:val="0"/>
        <w:bidi/>
        <w:adjustRightInd w:val="0"/>
        <w:spacing w:after="240"/>
        <w:rPr>
          <w:rFonts w:ascii="Arabic Typesetting" w:hAnsi="Arabic Typesetting" w:cs="Arabic Typesetting"/>
          <w:sz w:val="36"/>
          <w:szCs w:val="36"/>
        </w:rPr>
      </w:pPr>
      <w:r w:rsidRPr="002465CB">
        <w:rPr>
          <w:rFonts w:ascii="Arabic Typesetting" w:hAnsi="Arabic Typesetting" w:cs="Arabic Typesetting"/>
          <w:color w:val="000000"/>
          <w:sz w:val="36"/>
          <w:szCs w:val="36"/>
          <w:rtl/>
        </w:rPr>
        <w:t>ستنفذ الاستثمارات على النحو التالي</w:t>
      </w:r>
      <w:r w:rsidR="002514E4">
        <w:rPr>
          <w:rFonts w:ascii="Arabic Typesetting" w:hAnsi="Arabic Typesetting" w:cs="Arabic Typesetting" w:hint="cs"/>
          <w:color w:val="000000"/>
          <w:sz w:val="36"/>
          <w:szCs w:val="36"/>
          <w:rtl/>
        </w:rPr>
        <w:t>:</w:t>
      </w:r>
    </w:p>
    <w:p w:rsidR="00FF31A2" w:rsidRPr="002514E4" w:rsidRDefault="00FF31A2" w:rsidP="002514E4">
      <w:pPr>
        <w:pStyle w:val="ListParagraph"/>
        <w:numPr>
          <w:ilvl w:val="1"/>
          <w:numId w:val="37"/>
        </w:numPr>
        <w:autoSpaceDE w:val="0"/>
        <w:autoSpaceDN w:val="0"/>
        <w:bidi/>
        <w:adjustRightInd w:val="0"/>
        <w:spacing w:before="0" w:after="240"/>
        <w:ind w:left="567" w:firstLine="0"/>
        <w:rPr>
          <w:rFonts w:ascii="Arabic Typesetting" w:hAnsi="Arabic Typesetting" w:cs="Arabic Typesetting"/>
          <w:sz w:val="36"/>
          <w:szCs w:val="36"/>
        </w:rPr>
      </w:pPr>
      <w:r w:rsidRPr="002514E4">
        <w:rPr>
          <w:rFonts w:ascii="Arabic Typesetting" w:hAnsi="Arabic Typesetting" w:cs="Arabic Typesetting"/>
          <w:sz w:val="36"/>
          <w:szCs w:val="36"/>
          <w:rtl/>
        </w:rPr>
        <w:t>ستنفذ</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جميع</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الاستثمارات</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بالفرنك</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السويسري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لفائدة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الويبو</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لدى</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المصرف</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الوطني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السويسري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شريطة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أن</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يعرض</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نسبة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أعلى</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مما</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تعرضه</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المصارف</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التجارية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التي</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تتمتع</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بدرجات</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الثقة</w:t>
      </w:r>
      <w:r w:rsidRPr="002514E4">
        <w:rPr>
          <w:rFonts w:ascii="Arabic Typesetting" w:hAnsi="Arabic Typesetting" w:cs="Arabic Typesetting"/>
          <w:sz w:val="36"/>
          <w:szCs w:val="36"/>
        </w:rPr>
        <w:t xml:space="preserve"> </w:t>
      </w:r>
      <w:r w:rsidRPr="002514E4">
        <w:rPr>
          <w:rFonts w:ascii="Arabic Typesetting" w:hAnsi="Arabic Typesetting" w:cs="Arabic Typesetting"/>
          <w:sz w:val="36"/>
          <w:szCs w:val="36"/>
          <w:rtl/>
        </w:rPr>
        <w:t>المطلوبة</w:t>
      </w:r>
      <w:r w:rsidR="002514E4">
        <w:rPr>
          <w:rFonts w:ascii="Arabic Typesetting" w:hAnsi="Arabic Typesetting" w:cs="Arabic Typesetting" w:hint="cs"/>
          <w:sz w:val="36"/>
          <w:szCs w:val="36"/>
          <w:rtl/>
        </w:rPr>
        <w:t>.</w:t>
      </w:r>
    </w:p>
    <w:p w:rsidR="00FF31A2" w:rsidRPr="002465CB" w:rsidRDefault="00FF31A2" w:rsidP="002514E4">
      <w:pPr>
        <w:pStyle w:val="ListParagraph"/>
        <w:numPr>
          <w:ilvl w:val="1"/>
          <w:numId w:val="37"/>
        </w:numPr>
        <w:autoSpaceDE w:val="0"/>
        <w:autoSpaceDN w:val="0"/>
        <w:bidi/>
        <w:adjustRightInd w:val="0"/>
        <w:spacing w:before="0" w:after="240"/>
        <w:ind w:left="567" w:firstLine="0"/>
        <w:rPr>
          <w:rFonts w:ascii="Arabic Typesetting" w:hAnsi="Arabic Typesetting" w:cs="Arabic Typesetting"/>
          <w:sz w:val="36"/>
          <w:szCs w:val="36"/>
        </w:rPr>
      </w:pPr>
      <w:proofErr w:type="gramStart"/>
      <w:r w:rsidRPr="002465CB">
        <w:rPr>
          <w:rFonts w:ascii="Arabic Typesetting" w:hAnsi="Arabic Typesetting" w:cs="Arabic Typesetting"/>
          <w:sz w:val="36"/>
          <w:szCs w:val="36"/>
          <w:rtl/>
        </w:rPr>
        <w:t>وستقتصر</w:t>
      </w:r>
      <w:proofErr w:type="gramEnd"/>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الاستثمارات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الأخرى</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عدا</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تلك</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التي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نفذت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لدى</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المصرف</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الوطني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السويسري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على</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صناديق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السوق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النقدية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وودائع</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لأجل</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لدى</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مصارف</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تتمتع</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بدرجات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ثقة</w:t>
      </w:r>
      <w:r w:rsidRPr="002465CB">
        <w:rPr>
          <w:rFonts w:ascii="Arabic Typesetting" w:hAnsi="Arabic Typesetting" w:cs="Arabic Typesetting"/>
          <w:sz w:val="36"/>
          <w:szCs w:val="36"/>
        </w:rPr>
        <w:t xml:space="preserve"> AA-/Aa3 </w:t>
      </w:r>
      <w:r w:rsidRPr="002465CB">
        <w:rPr>
          <w:rFonts w:ascii="Arabic Typesetting" w:hAnsi="Arabic Typesetting" w:cs="Arabic Typesetting"/>
          <w:sz w:val="36"/>
          <w:szCs w:val="36"/>
          <w:rtl/>
        </w:rPr>
        <w:t>أو</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أعلى</w:t>
      </w:r>
      <w:r w:rsidR="002514E4">
        <w:rPr>
          <w:rFonts w:ascii="Arabic Typesetting" w:hAnsi="Arabic Typesetting" w:cs="Arabic Typesetting" w:hint="cs"/>
          <w:sz w:val="36"/>
          <w:szCs w:val="36"/>
          <w:rtl/>
        </w:rPr>
        <w:t>.</w:t>
      </w:r>
    </w:p>
    <w:p w:rsidR="00FF31A2" w:rsidRPr="002514E4" w:rsidRDefault="00FF31A2" w:rsidP="002514E4">
      <w:pPr>
        <w:numPr>
          <w:ilvl w:val="1"/>
          <w:numId w:val="37"/>
        </w:numPr>
        <w:tabs>
          <w:tab w:val="left" w:pos="1134"/>
        </w:tabs>
        <w:autoSpaceDE w:val="0"/>
        <w:autoSpaceDN w:val="0"/>
        <w:bidi/>
        <w:adjustRightInd w:val="0"/>
        <w:spacing w:after="240"/>
        <w:ind w:left="567" w:hanging="567"/>
        <w:rPr>
          <w:rFonts w:ascii="Arabic Typesetting" w:hAnsi="Arabic Typesetting" w:cs="Arabic Typesetting"/>
          <w:sz w:val="36"/>
          <w:szCs w:val="36"/>
        </w:rPr>
      </w:pPr>
      <w:r w:rsidRPr="002465CB">
        <w:rPr>
          <w:rFonts w:ascii="Arabic Typesetting" w:hAnsi="Arabic Typesetting" w:cs="Arabic Typesetting"/>
          <w:sz w:val="36"/>
          <w:szCs w:val="36"/>
          <w:rtl/>
        </w:rPr>
        <w:t>وستوظف</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المبالغ</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المودعة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في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الصناديق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الاستئمانية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في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صناديق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السوق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النقدية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وفي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ودائع</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لأجل</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لدى</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بنوك</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تتمتع</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بدرجات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الثقة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المطلوبة</w:t>
      </w:r>
      <w:r w:rsidR="002514E4">
        <w:rPr>
          <w:rFonts w:ascii="Arabic Typesetting" w:hAnsi="Arabic Typesetting" w:cs="Arabic Typesetting" w:hint="cs"/>
          <w:sz w:val="36"/>
          <w:szCs w:val="36"/>
          <w:rtl/>
        </w:rPr>
        <w:t>.</w:t>
      </w:r>
    </w:p>
    <w:p w:rsidR="00FF31A2" w:rsidRPr="002514E4" w:rsidRDefault="00FF31A2" w:rsidP="002514E4">
      <w:pPr>
        <w:numPr>
          <w:ilvl w:val="0"/>
          <w:numId w:val="37"/>
        </w:numPr>
        <w:autoSpaceDE w:val="0"/>
        <w:autoSpaceDN w:val="0"/>
        <w:bidi/>
        <w:adjustRightInd w:val="0"/>
        <w:spacing w:after="240"/>
        <w:rPr>
          <w:rFonts w:ascii="Arabic Typesetting" w:hAnsi="Arabic Typesetting" w:cs="Arabic Typesetting"/>
          <w:sz w:val="36"/>
          <w:szCs w:val="36"/>
        </w:rPr>
      </w:pPr>
      <w:r w:rsidRPr="002465CB">
        <w:rPr>
          <w:rFonts w:ascii="Arabic Typesetting" w:hAnsi="Arabic Typesetting" w:cs="Arabic Typesetting"/>
          <w:color w:val="000000"/>
          <w:sz w:val="36"/>
          <w:szCs w:val="36"/>
          <w:rtl/>
        </w:rPr>
        <w:t>ولا يسمح بالاستثمار في المشتقات لأغراض المضاربة</w:t>
      </w:r>
      <w:r w:rsidRPr="002465CB">
        <w:rPr>
          <w:rFonts w:ascii="Arabic Typesetting" w:hAnsi="Arabic Typesetting" w:cs="Arabic Typesetting"/>
          <w:color w:val="000000"/>
          <w:sz w:val="36"/>
          <w:szCs w:val="36"/>
        </w:rPr>
        <w:t>.</w:t>
      </w:r>
      <w:r w:rsidR="000D5083">
        <w:rPr>
          <w:rFonts w:ascii="Arabic Typesetting" w:hAnsi="Arabic Typesetting" w:cs="Arabic Typesetting"/>
          <w:color w:val="000000"/>
          <w:sz w:val="36"/>
          <w:szCs w:val="36"/>
          <w:rtl/>
        </w:rPr>
        <w:t xml:space="preserve"> </w:t>
      </w:r>
      <w:r w:rsidRPr="002465CB">
        <w:rPr>
          <w:rFonts w:ascii="Arabic Typesetting" w:hAnsi="Arabic Typesetting" w:cs="Arabic Typesetting"/>
          <w:color w:val="000000"/>
          <w:sz w:val="36"/>
          <w:szCs w:val="36"/>
          <w:rtl/>
        </w:rPr>
        <w:t>لكن، عندما تكون الاستثمارات ممسوكة بعملات غير الفرنك السويسري، فقد يأذن المسؤول المالي</w:t>
      </w:r>
      <w:r w:rsidRPr="002465CB">
        <w:rPr>
          <w:rFonts w:ascii="Arabic Typesetting" w:hAnsi="Arabic Typesetting" w:cs="Arabic Typesetting"/>
          <w:color w:val="000000"/>
          <w:sz w:val="36"/>
          <w:szCs w:val="36"/>
        </w:rPr>
        <w:t>/</w:t>
      </w:r>
      <w:r w:rsidRPr="002465CB">
        <w:rPr>
          <w:rFonts w:ascii="Arabic Typesetting" w:hAnsi="Arabic Typesetting" w:cs="Arabic Typesetting"/>
          <w:color w:val="000000"/>
          <w:sz w:val="36"/>
          <w:szCs w:val="36"/>
          <w:rtl/>
        </w:rPr>
        <w:t>المراقب المالي، بعد مشاورة اللجنة الاستشارية المعنية بالاستثمارات التي يُنشئها المدير ال</w:t>
      </w:r>
      <w:r w:rsidR="00961955">
        <w:rPr>
          <w:rFonts w:ascii="Arabic Typesetting" w:hAnsi="Arabic Typesetting" w:cs="Arabic Typesetting"/>
          <w:color w:val="000000"/>
          <w:sz w:val="36"/>
          <w:szCs w:val="36"/>
          <w:rtl/>
        </w:rPr>
        <w:t>عام </w:t>
      </w:r>
      <w:r w:rsidRPr="002465CB">
        <w:rPr>
          <w:rFonts w:ascii="Arabic Typesetting" w:hAnsi="Arabic Typesetting" w:cs="Arabic Typesetting"/>
          <w:color w:val="000000"/>
          <w:sz w:val="36"/>
          <w:szCs w:val="36"/>
          <w:rtl/>
        </w:rPr>
        <w:t>على المستوى الداخلي، باستخدام أدوات التحوّط للحد من المخاطر الناجمة عن تقلب سعر صرف عملة الاستثمار على أساس الفرنك السويسري تفاديا</w:t>
      </w:r>
      <w:r w:rsidR="002514E4">
        <w:rPr>
          <w:rFonts w:ascii="Arabic Typesetting" w:hAnsi="Arabic Typesetting" w:cs="Arabic Typesetting" w:hint="cs"/>
          <w:color w:val="000000"/>
          <w:sz w:val="36"/>
          <w:szCs w:val="36"/>
          <w:rtl/>
        </w:rPr>
        <w:t>ً</w:t>
      </w:r>
      <w:r w:rsidRPr="002465CB">
        <w:rPr>
          <w:rFonts w:ascii="Arabic Typesetting" w:hAnsi="Arabic Typesetting" w:cs="Arabic Typesetting"/>
          <w:color w:val="000000"/>
          <w:sz w:val="36"/>
          <w:szCs w:val="36"/>
          <w:rtl/>
        </w:rPr>
        <w:t xml:space="preserve"> لأية عائدات سلبية للاستثمار</w:t>
      </w:r>
      <w:r w:rsidR="002514E4">
        <w:rPr>
          <w:rFonts w:ascii="Arabic Typesetting" w:hAnsi="Arabic Typesetting" w:cs="Arabic Typesetting" w:hint="cs"/>
          <w:color w:val="000000"/>
          <w:sz w:val="36"/>
          <w:szCs w:val="36"/>
          <w:rtl/>
        </w:rPr>
        <w:t>.</w:t>
      </w:r>
    </w:p>
    <w:p w:rsidR="00FF31A2" w:rsidRPr="002514E4" w:rsidRDefault="00FF31A2" w:rsidP="002514E4">
      <w:pPr>
        <w:numPr>
          <w:ilvl w:val="0"/>
          <w:numId w:val="37"/>
        </w:numPr>
        <w:autoSpaceDE w:val="0"/>
        <w:autoSpaceDN w:val="0"/>
        <w:bidi/>
        <w:adjustRightInd w:val="0"/>
        <w:spacing w:after="240"/>
        <w:rPr>
          <w:rFonts w:ascii="Arabic Typesetting" w:hAnsi="Arabic Typesetting" w:cs="Arabic Typesetting"/>
          <w:sz w:val="36"/>
          <w:szCs w:val="36"/>
        </w:rPr>
      </w:pPr>
      <w:r w:rsidRPr="002465CB">
        <w:rPr>
          <w:rFonts w:ascii="Arabic Typesetting" w:hAnsi="Arabic Typesetting" w:cs="Arabic Typesetting"/>
          <w:color w:val="000000"/>
          <w:sz w:val="36"/>
          <w:szCs w:val="36"/>
          <w:rtl/>
        </w:rPr>
        <w:t>وتتولى إدارة الاستثمارات على الصعيد الداخلي الدوائر المالية في المنظمة بموافقة المسؤول المالي</w:t>
      </w:r>
      <w:r w:rsidRPr="002465CB">
        <w:rPr>
          <w:rFonts w:ascii="Arabic Typesetting" w:hAnsi="Arabic Typesetting" w:cs="Arabic Typesetting"/>
          <w:color w:val="000000"/>
          <w:sz w:val="36"/>
          <w:szCs w:val="36"/>
        </w:rPr>
        <w:t>/</w:t>
      </w:r>
      <w:r w:rsidRPr="002465CB">
        <w:rPr>
          <w:rFonts w:ascii="Arabic Typesetting" w:hAnsi="Arabic Typesetting" w:cs="Arabic Typesetting"/>
          <w:color w:val="000000"/>
          <w:sz w:val="36"/>
          <w:szCs w:val="36"/>
          <w:rtl/>
        </w:rPr>
        <w:t>المراقب المالي</w:t>
      </w:r>
      <w:r w:rsidRPr="002465CB">
        <w:rPr>
          <w:rFonts w:ascii="Arabic Typesetting" w:hAnsi="Arabic Typesetting" w:cs="Arabic Typesetting"/>
          <w:color w:val="000000"/>
          <w:sz w:val="36"/>
          <w:szCs w:val="36"/>
        </w:rPr>
        <w:t>.</w:t>
      </w:r>
      <w:r w:rsidR="000D5083">
        <w:rPr>
          <w:rFonts w:ascii="Arabic Typesetting" w:hAnsi="Arabic Typesetting" w:cs="Arabic Typesetting"/>
          <w:color w:val="000000"/>
          <w:sz w:val="36"/>
          <w:szCs w:val="36"/>
          <w:rtl/>
        </w:rPr>
        <w:t xml:space="preserve"> </w:t>
      </w:r>
      <w:proofErr w:type="gramStart"/>
      <w:r w:rsidRPr="002465CB">
        <w:rPr>
          <w:rFonts w:ascii="Arabic Typesetting" w:hAnsi="Arabic Typesetting" w:cs="Arabic Typesetting"/>
          <w:color w:val="000000"/>
          <w:sz w:val="36"/>
          <w:szCs w:val="36"/>
          <w:rtl/>
        </w:rPr>
        <w:t>وتحدّث</w:t>
      </w:r>
      <w:proofErr w:type="gramEnd"/>
      <w:r w:rsidRPr="002465CB">
        <w:rPr>
          <w:rFonts w:ascii="Arabic Typesetting" w:hAnsi="Arabic Typesetting" w:cs="Arabic Typesetting"/>
          <w:color w:val="000000"/>
          <w:sz w:val="36"/>
          <w:szCs w:val="36"/>
          <w:rtl/>
        </w:rPr>
        <w:t xml:space="preserve"> إسقاطات التدفق النقدي لكل فئة دوريا</w:t>
      </w:r>
      <w:r w:rsidR="002514E4">
        <w:rPr>
          <w:rFonts w:ascii="Arabic Typesetting" w:hAnsi="Arabic Typesetting" w:cs="Arabic Typesetting" w:hint="cs"/>
          <w:color w:val="000000"/>
          <w:sz w:val="36"/>
          <w:szCs w:val="36"/>
          <w:rtl/>
        </w:rPr>
        <w:t>ً</w:t>
      </w:r>
      <w:r w:rsidRPr="002465CB">
        <w:rPr>
          <w:rFonts w:ascii="Arabic Typesetting" w:hAnsi="Arabic Typesetting" w:cs="Arabic Typesetting"/>
          <w:color w:val="000000"/>
          <w:sz w:val="36"/>
          <w:szCs w:val="36"/>
          <w:rtl/>
        </w:rPr>
        <w:t xml:space="preserve"> بغية التحقق من توفر الأموال الكافية في كل فئة للوفاء بمتطلبات السيولة</w:t>
      </w:r>
      <w:r w:rsidR="002514E4">
        <w:rPr>
          <w:rFonts w:ascii="Arabic Typesetting" w:hAnsi="Arabic Typesetting" w:cs="Arabic Typesetting" w:hint="cs"/>
          <w:color w:val="000000"/>
          <w:sz w:val="36"/>
          <w:szCs w:val="36"/>
          <w:rtl/>
        </w:rPr>
        <w:t>.</w:t>
      </w:r>
    </w:p>
    <w:p w:rsidR="00FF31A2" w:rsidRPr="004B76C4" w:rsidRDefault="00FF31A2" w:rsidP="004B76C4">
      <w:pPr>
        <w:numPr>
          <w:ilvl w:val="0"/>
          <w:numId w:val="37"/>
        </w:numPr>
        <w:autoSpaceDE w:val="0"/>
        <w:autoSpaceDN w:val="0"/>
        <w:bidi/>
        <w:adjustRightInd w:val="0"/>
        <w:spacing w:after="240"/>
        <w:rPr>
          <w:rFonts w:ascii="Arabic Typesetting" w:hAnsi="Arabic Typesetting" w:cs="Arabic Typesetting"/>
          <w:sz w:val="36"/>
          <w:szCs w:val="36"/>
        </w:rPr>
      </w:pPr>
      <w:r w:rsidRPr="002465CB">
        <w:rPr>
          <w:rFonts w:ascii="Arabic Typesetting" w:hAnsi="Arabic Typesetting" w:cs="Arabic Typesetting"/>
          <w:color w:val="000000"/>
          <w:sz w:val="36"/>
          <w:szCs w:val="36"/>
          <w:rtl/>
        </w:rPr>
        <w:t>وتتولى اللجنة الاستشارية المعنية بالاستثمارات مراجعة الاستثمارات سنويا</w:t>
      </w:r>
      <w:r w:rsidR="002514E4">
        <w:rPr>
          <w:rFonts w:ascii="Arabic Typesetting" w:hAnsi="Arabic Typesetting" w:cs="Arabic Typesetting" w:hint="cs"/>
          <w:color w:val="000000"/>
          <w:sz w:val="36"/>
          <w:szCs w:val="36"/>
          <w:rtl/>
        </w:rPr>
        <w:t>ً</w:t>
      </w:r>
      <w:r w:rsidRPr="002465CB">
        <w:rPr>
          <w:rFonts w:ascii="Arabic Typesetting" w:hAnsi="Arabic Typesetting" w:cs="Arabic Typesetting"/>
          <w:color w:val="000000"/>
          <w:sz w:val="36"/>
          <w:szCs w:val="36"/>
          <w:rtl/>
        </w:rPr>
        <w:t xml:space="preserve"> على الأقل بما يضمن مراعاة أية تغييرات تطرأ على نموذج الأعمال في المنظمة ووضعها المالي</w:t>
      </w:r>
      <w:r w:rsidR="002514E4">
        <w:rPr>
          <w:rFonts w:ascii="Arabic Typesetting" w:hAnsi="Arabic Typesetting" w:cs="Arabic Typesetting" w:hint="cs"/>
          <w:color w:val="000000"/>
          <w:sz w:val="36"/>
          <w:szCs w:val="36"/>
          <w:rtl/>
        </w:rPr>
        <w:t>.</w:t>
      </w:r>
    </w:p>
    <w:p w:rsidR="00FF31A2" w:rsidRPr="002465CB" w:rsidRDefault="00FF31A2" w:rsidP="002514E4">
      <w:pPr>
        <w:keepNext/>
        <w:autoSpaceDE w:val="0"/>
        <w:autoSpaceDN w:val="0"/>
        <w:bidi/>
        <w:adjustRightInd w:val="0"/>
        <w:spacing w:after="240"/>
        <w:rPr>
          <w:rFonts w:ascii="Arabic Typesetting" w:hAnsi="Arabic Typesetting" w:cs="Arabic Typesetting"/>
          <w:sz w:val="36"/>
          <w:szCs w:val="36"/>
        </w:rPr>
      </w:pPr>
      <w:proofErr w:type="gramStart"/>
      <w:r w:rsidRPr="002465CB">
        <w:rPr>
          <w:rFonts w:ascii="Arabic Typesetting" w:hAnsi="Arabic Typesetting" w:cs="Arabic Typesetting"/>
          <w:sz w:val="36"/>
          <w:szCs w:val="36"/>
          <w:u w:val="single"/>
          <w:rtl/>
        </w:rPr>
        <w:t>الاعتبارات</w:t>
      </w:r>
      <w:proofErr w:type="gramEnd"/>
      <w:r w:rsidRPr="002465CB">
        <w:rPr>
          <w:rFonts w:ascii="Arabic Typesetting" w:hAnsi="Arabic Typesetting" w:cs="Arabic Typesetting"/>
          <w:sz w:val="36"/>
          <w:szCs w:val="36"/>
          <w:u w:val="single"/>
        </w:rPr>
        <w:t xml:space="preserve"> </w:t>
      </w:r>
      <w:r w:rsidRPr="002465CB">
        <w:rPr>
          <w:rFonts w:ascii="Arabic Typesetting" w:hAnsi="Arabic Typesetting" w:cs="Arabic Typesetting"/>
          <w:sz w:val="36"/>
          <w:szCs w:val="36"/>
          <w:u w:val="single"/>
          <w:rtl/>
        </w:rPr>
        <w:t>الأخلاقية</w:t>
      </w:r>
    </w:p>
    <w:p w:rsidR="00FF31A2" w:rsidRPr="004B5F8B" w:rsidRDefault="00FF31A2" w:rsidP="002514E4">
      <w:pPr>
        <w:numPr>
          <w:ilvl w:val="0"/>
          <w:numId w:val="37"/>
        </w:numPr>
        <w:autoSpaceDE w:val="0"/>
        <w:autoSpaceDN w:val="0"/>
        <w:bidi/>
        <w:adjustRightInd w:val="0"/>
        <w:spacing w:after="240"/>
        <w:rPr>
          <w:rFonts w:ascii="Arabic Typesetting" w:hAnsi="Arabic Typesetting" w:cs="Arabic Typesetting"/>
          <w:sz w:val="36"/>
          <w:szCs w:val="36"/>
        </w:rPr>
      </w:pPr>
      <w:proofErr w:type="gramStart"/>
      <w:r w:rsidRPr="002465CB">
        <w:rPr>
          <w:rFonts w:ascii="Arabic Typesetting" w:hAnsi="Arabic Typesetting" w:cs="Arabic Typesetting"/>
          <w:sz w:val="36"/>
          <w:szCs w:val="36"/>
          <w:rtl/>
        </w:rPr>
        <w:t>ستراعي</w:t>
      </w:r>
      <w:proofErr w:type="gramEnd"/>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الاستثمارات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في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سندات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الدين</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الصادرة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عن</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الشركات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والودائع</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لأجل</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وصناديق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السوق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النقدية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مدى</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امتثال</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هذه</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الجهات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التي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تصدر</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الاستثمارات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للمبادئ</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العشرة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للاتفاق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العالمي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للأمم</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المتحدة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في</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مجالات</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حقوق</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الإنسان</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ومعايير</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العمل</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والبيئة</w:t>
      </w:r>
      <w:r w:rsidRPr="002465CB">
        <w:rPr>
          <w:rFonts w:ascii="Arabic Typesetting" w:hAnsi="Arabic Typesetting" w:cs="Arabic Typesetting"/>
          <w:sz w:val="36"/>
          <w:szCs w:val="36"/>
        </w:rPr>
        <w:t xml:space="preserve"> </w:t>
      </w:r>
      <w:r w:rsidRPr="002465CB">
        <w:rPr>
          <w:rFonts w:ascii="Arabic Typesetting" w:hAnsi="Arabic Typesetting" w:cs="Arabic Typesetting"/>
          <w:sz w:val="36"/>
          <w:szCs w:val="36"/>
          <w:rtl/>
        </w:rPr>
        <w:t>ومكافحة</w:t>
      </w:r>
      <w:r w:rsidRPr="002465CB">
        <w:rPr>
          <w:rFonts w:ascii="Arabic Typesetting" w:hAnsi="Arabic Typesetting" w:cs="Arabic Typesetting"/>
          <w:sz w:val="36"/>
          <w:szCs w:val="36"/>
        </w:rPr>
        <w:t xml:space="preserve"> </w:t>
      </w:r>
      <w:r w:rsidR="002514E4">
        <w:rPr>
          <w:rFonts w:ascii="Arabic Typesetting" w:hAnsi="Arabic Typesetting" w:cs="Arabic Typesetting"/>
          <w:sz w:val="36"/>
          <w:szCs w:val="36"/>
          <w:rtl/>
        </w:rPr>
        <w:t>الفسا</w:t>
      </w:r>
      <w:r w:rsidR="002514E4">
        <w:rPr>
          <w:rFonts w:ascii="Arabic Typesetting" w:hAnsi="Arabic Typesetting" w:cs="Arabic Typesetting" w:hint="cs"/>
          <w:sz w:val="36"/>
          <w:szCs w:val="36"/>
          <w:rtl/>
        </w:rPr>
        <w:t>د. (</w:t>
      </w:r>
      <w:r w:rsidR="002514E4" w:rsidRPr="002465CB">
        <w:rPr>
          <w:rFonts w:ascii="Arabic Typesetting" w:hAnsi="Arabic Typesetting" w:cs="Arabic Typesetting"/>
          <w:sz w:val="36"/>
          <w:szCs w:val="36"/>
        </w:rPr>
        <w:t>www.unglobalcompact.org</w:t>
      </w:r>
      <w:r w:rsidR="002514E4">
        <w:rPr>
          <w:rFonts w:ascii="Arabic Typesetting" w:hAnsi="Arabic Typesetting" w:cs="Arabic Typesetting" w:hint="cs"/>
          <w:sz w:val="36"/>
          <w:szCs w:val="36"/>
          <w:rtl/>
        </w:rPr>
        <w:t>)</w:t>
      </w:r>
    </w:p>
    <w:p w:rsidR="00703FA5" w:rsidRPr="00703FA5" w:rsidRDefault="00703FA5" w:rsidP="00703FA5">
      <w:pPr>
        <w:spacing w:line="276" w:lineRule="auto"/>
        <w:jc w:val="center"/>
        <w:rPr>
          <w:color w:val="000000"/>
          <w:szCs w:val="22"/>
        </w:rPr>
      </w:pPr>
    </w:p>
    <w:p w:rsidR="00703FA5" w:rsidRPr="00703FA5" w:rsidRDefault="00703FA5" w:rsidP="00703FA5">
      <w:pPr>
        <w:spacing w:line="276" w:lineRule="auto"/>
        <w:rPr>
          <w:color w:val="000000"/>
          <w:szCs w:val="22"/>
        </w:rPr>
        <w:sectPr w:rsidR="00703FA5" w:rsidRPr="00703FA5" w:rsidSect="004B76C4">
          <w:headerReference w:type="default" r:id="rId16"/>
          <w:headerReference w:type="first" r:id="rId17"/>
          <w:footerReference w:type="first" r:id="rId18"/>
          <w:footnotePr>
            <w:numRestart w:val="eachSect"/>
          </w:footnotePr>
          <w:endnotePr>
            <w:numFmt w:val="decimal"/>
          </w:endnotePr>
          <w:pgSz w:w="11907" w:h="16840" w:code="9"/>
          <w:pgMar w:top="1440" w:right="1191" w:bottom="1418" w:left="1440" w:header="510" w:footer="1021" w:gutter="0"/>
          <w:pgNumType w:start="1"/>
          <w:cols w:space="720"/>
          <w:titlePg/>
          <w:docGrid w:linePitch="299"/>
        </w:sectPr>
      </w:pPr>
    </w:p>
    <w:p w:rsidR="00B637F4" w:rsidRDefault="007B032F" w:rsidP="00B637F4">
      <w:pPr>
        <w:bidi/>
        <w:spacing w:after="240" w:line="276" w:lineRule="auto"/>
        <w:jc w:val="right"/>
        <w:rPr>
          <w:color w:val="000000"/>
          <w:szCs w:val="22"/>
        </w:rPr>
      </w:pPr>
      <w:r w:rsidRPr="007B032F">
        <w:rPr>
          <w:noProof/>
          <w:szCs w:val="22"/>
          <w:rtl/>
        </w:rPr>
        <w:lastRenderedPageBreak/>
        <w:drawing>
          <wp:inline distT="0" distB="0" distL="0" distR="0" wp14:anchorId="3F5094FA" wp14:editId="11701304">
            <wp:extent cx="8864600" cy="5260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64600" cy="5260119"/>
                    </a:xfrm>
                    <a:prstGeom prst="rect">
                      <a:avLst/>
                    </a:prstGeom>
                    <a:noFill/>
                    <a:ln>
                      <a:noFill/>
                    </a:ln>
                  </pic:spPr>
                </pic:pic>
              </a:graphicData>
            </a:graphic>
          </wp:inline>
        </w:drawing>
      </w:r>
    </w:p>
    <w:p w:rsidR="00B637F4" w:rsidRPr="00B637F4" w:rsidRDefault="00B637F4" w:rsidP="00B637F4">
      <w:pPr>
        <w:pStyle w:val="NormalParaAR"/>
        <w:ind w:left="5533"/>
        <w:rPr>
          <w:rFonts w:eastAsia="SimSun"/>
          <w:rtl/>
          <w:lang w:eastAsia="zh-CN"/>
        </w:rPr>
        <w:sectPr w:rsidR="00B637F4" w:rsidRPr="00B637F4" w:rsidSect="004B76C4">
          <w:headerReference w:type="first" r:id="rId20"/>
          <w:endnotePr>
            <w:numFmt w:val="decimal"/>
          </w:endnotePr>
          <w:pgSz w:w="16840" w:h="11907" w:orient="landscape" w:code="9"/>
          <w:pgMar w:top="1440" w:right="1440" w:bottom="1440" w:left="1440" w:header="510" w:footer="1021" w:gutter="0"/>
          <w:cols w:space="720"/>
          <w:titlePg/>
          <w:docGrid w:linePitch="299"/>
        </w:sectPr>
      </w:pPr>
      <w:r>
        <w:rPr>
          <w:rFonts w:eastAsia="SimSun" w:hint="cs"/>
          <w:rtl/>
          <w:lang w:eastAsia="zh-CN"/>
        </w:rPr>
        <w:t>[</w:t>
      </w:r>
      <w:r w:rsidR="004B76C4" w:rsidRPr="00B637F4">
        <w:rPr>
          <w:rFonts w:eastAsia="SimSun" w:hint="cs"/>
          <w:rtl/>
          <w:lang w:eastAsia="zh-CN"/>
        </w:rPr>
        <w:t xml:space="preserve">يلي ذلك </w:t>
      </w:r>
      <w:proofErr w:type="gramStart"/>
      <w:r w:rsidR="00961955" w:rsidRPr="00B637F4">
        <w:rPr>
          <w:rFonts w:eastAsia="SimSun" w:hint="cs"/>
          <w:rtl/>
          <w:lang w:eastAsia="zh-CN"/>
        </w:rPr>
        <w:t>المرفق</w:t>
      </w:r>
      <w:proofErr w:type="gramEnd"/>
      <w:r w:rsidR="00961955" w:rsidRPr="00B637F4">
        <w:rPr>
          <w:rFonts w:eastAsia="SimSun"/>
          <w:rtl/>
          <w:lang w:eastAsia="zh-CN"/>
        </w:rPr>
        <w:t> </w:t>
      </w:r>
      <w:r w:rsidR="004B76C4" w:rsidRPr="00B637F4">
        <w:rPr>
          <w:rFonts w:eastAsia="SimSun" w:hint="cs"/>
          <w:rtl/>
          <w:lang w:eastAsia="zh-CN"/>
        </w:rPr>
        <w:t>الثاني</w:t>
      </w:r>
      <w:r>
        <w:rPr>
          <w:rFonts w:eastAsia="SimSun" w:hint="cs"/>
          <w:rtl/>
          <w:lang w:eastAsia="zh-CN"/>
        </w:rPr>
        <w:t>]</w:t>
      </w:r>
    </w:p>
    <w:p w:rsidR="00EE1147" w:rsidRPr="00EE1147" w:rsidRDefault="00EE1147" w:rsidP="00EE1147">
      <w:pPr>
        <w:pStyle w:val="NormalParaAR"/>
        <w:keepNext/>
        <w:rPr>
          <w:b/>
          <w:bCs/>
          <w:sz w:val="40"/>
          <w:szCs w:val="40"/>
          <w:rtl/>
        </w:rPr>
      </w:pPr>
      <w:r w:rsidRPr="00EE1147">
        <w:rPr>
          <w:b/>
          <w:bCs/>
          <w:sz w:val="40"/>
          <w:szCs w:val="40"/>
          <w:rtl/>
        </w:rPr>
        <w:lastRenderedPageBreak/>
        <w:t xml:space="preserve">المنتجات </w:t>
      </w:r>
      <w:proofErr w:type="gramStart"/>
      <w:r w:rsidRPr="00EE1147">
        <w:rPr>
          <w:b/>
          <w:bCs/>
          <w:sz w:val="40"/>
          <w:szCs w:val="40"/>
          <w:rtl/>
        </w:rPr>
        <w:t>الاستثمارية</w:t>
      </w:r>
      <w:proofErr w:type="gramEnd"/>
      <w:r w:rsidRPr="00EE1147">
        <w:rPr>
          <w:b/>
          <w:bCs/>
          <w:sz w:val="40"/>
          <w:szCs w:val="40"/>
          <w:rtl/>
        </w:rPr>
        <w:t xml:space="preserve"> المسموح بها والعائدات الحديثة التي حققتها منظمات تستثمر بالفرنك السويسري</w:t>
      </w:r>
    </w:p>
    <w:p w:rsidR="00703FA5" w:rsidRPr="00703FA5" w:rsidRDefault="00EE1147" w:rsidP="00EE1147">
      <w:pPr>
        <w:bidi/>
        <w:spacing w:after="1200" w:line="276" w:lineRule="auto"/>
        <w:jc w:val="center"/>
        <w:rPr>
          <w:rFonts w:eastAsia="SimSun"/>
          <w:lang w:eastAsia="zh-CN"/>
        </w:rPr>
      </w:pPr>
      <w:r w:rsidRPr="00EE1147">
        <w:rPr>
          <w:rFonts w:eastAsia="SimSun"/>
          <w:noProof/>
        </w:rPr>
        <w:drawing>
          <wp:inline distT="0" distB="0" distL="0" distR="0" wp14:anchorId="57FEA561" wp14:editId="5F1B7173">
            <wp:extent cx="6732905" cy="568911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2905" cy="5689115"/>
                    </a:xfrm>
                    <a:prstGeom prst="rect">
                      <a:avLst/>
                    </a:prstGeom>
                    <a:noFill/>
                    <a:ln>
                      <a:noFill/>
                    </a:ln>
                  </pic:spPr>
                </pic:pic>
              </a:graphicData>
            </a:graphic>
          </wp:inline>
        </w:drawing>
      </w:r>
    </w:p>
    <w:p w:rsidR="00703FA5" w:rsidRPr="00703FA5" w:rsidRDefault="00E11A89" w:rsidP="00EE1147">
      <w:pPr>
        <w:pStyle w:val="NormalParaAR"/>
        <w:ind w:left="5534"/>
        <w:rPr>
          <w:rFonts w:eastAsia="SimSun"/>
          <w:lang w:eastAsia="zh-CN"/>
        </w:rPr>
        <w:sectPr w:rsidR="00703FA5" w:rsidRPr="00703FA5" w:rsidSect="004B76C4">
          <w:headerReference w:type="first" r:id="rId22"/>
          <w:footerReference w:type="first" r:id="rId23"/>
          <w:endnotePr>
            <w:numFmt w:val="decimal"/>
          </w:endnotePr>
          <w:pgSz w:w="11907" w:h="16840" w:code="9"/>
          <w:pgMar w:top="907" w:right="567" w:bottom="1021" w:left="737" w:header="510" w:footer="1021" w:gutter="0"/>
          <w:cols w:space="720"/>
          <w:titlePg/>
          <w:docGrid w:linePitch="299"/>
        </w:sectPr>
      </w:pPr>
      <w:r>
        <w:rPr>
          <w:rFonts w:eastAsia="SimSun" w:hint="cs"/>
          <w:rtl/>
          <w:lang w:eastAsia="zh-CN"/>
        </w:rPr>
        <w:t>[</w:t>
      </w:r>
      <w:r w:rsidRPr="00B637F4">
        <w:rPr>
          <w:rFonts w:eastAsia="SimSun" w:hint="cs"/>
          <w:rtl/>
          <w:lang w:eastAsia="zh-CN"/>
        </w:rPr>
        <w:t xml:space="preserve">يلي ذلك </w:t>
      </w:r>
      <w:proofErr w:type="gramStart"/>
      <w:r w:rsidRPr="00B637F4">
        <w:rPr>
          <w:rFonts w:eastAsia="SimSun" w:hint="cs"/>
          <w:rtl/>
          <w:lang w:eastAsia="zh-CN"/>
        </w:rPr>
        <w:t>المرفق</w:t>
      </w:r>
      <w:proofErr w:type="gramEnd"/>
      <w:r w:rsidRPr="00B637F4">
        <w:rPr>
          <w:rFonts w:eastAsia="SimSun"/>
          <w:rtl/>
          <w:lang w:eastAsia="zh-CN"/>
        </w:rPr>
        <w:t> </w:t>
      </w:r>
      <w:r w:rsidRPr="00B637F4">
        <w:rPr>
          <w:rFonts w:eastAsia="SimSun" w:hint="cs"/>
          <w:rtl/>
          <w:lang w:eastAsia="zh-CN"/>
        </w:rPr>
        <w:t>الثا</w:t>
      </w:r>
      <w:r w:rsidR="00EE1147">
        <w:rPr>
          <w:rFonts w:eastAsia="SimSun" w:hint="cs"/>
          <w:rtl/>
          <w:lang w:eastAsia="zh-CN"/>
        </w:rPr>
        <w:t>لث</w:t>
      </w:r>
      <w:r>
        <w:rPr>
          <w:rFonts w:eastAsia="SimSun" w:hint="cs"/>
          <w:rtl/>
          <w:lang w:eastAsia="zh-CN"/>
        </w:rPr>
        <w:t>]</w:t>
      </w:r>
    </w:p>
    <w:p w:rsidR="00703FA5" w:rsidRDefault="00EE1147" w:rsidP="00EE1147">
      <w:pPr>
        <w:pStyle w:val="NormalParaAR"/>
        <w:keepNext/>
        <w:rPr>
          <w:b/>
          <w:bCs/>
          <w:sz w:val="40"/>
          <w:szCs w:val="40"/>
          <w:rtl/>
        </w:rPr>
      </w:pPr>
      <w:proofErr w:type="gramStart"/>
      <w:r w:rsidRPr="00EE1147">
        <w:rPr>
          <w:rFonts w:hint="cs"/>
          <w:b/>
          <w:bCs/>
          <w:sz w:val="40"/>
          <w:szCs w:val="40"/>
          <w:rtl/>
        </w:rPr>
        <w:lastRenderedPageBreak/>
        <w:t>مخاطر</w:t>
      </w:r>
      <w:proofErr w:type="gramEnd"/>
      <w:r w:rsidRPr="00EE1147">
        <w:rPr>
          <w:rFonts w:hint="cs"/>
          <w:b/>
          <w:bCs/>
          <w:sz w:val="40"/>
          <w:szCs w:val="40"/>
          <w:rtl/>
        </w:rPr>
        <w:t xml:space="preserve"> تخلف الجهة المقابلة</w:t>
      </w:r>
      <w:r w:rsidR="00060A61">
        <w:rPr>
          <w:rFonts w:hint="cs"/>
          <w:b/>
          <w:bCs/>
          <w:sz w:val="40"/>
          <w:szCs w:val="40"/>
          <w:rtl/>
        </w:rPr>
        <w:t xml:space="preserve"> عن</w:t>
      </w:r>
      <w:r>
        <w:rPr>
          <w:rFonts w:hint="cs"/>
          <w:b/>
          <w:bCs/>
          <w:sz w:val="40"/>
          <w:szCs w:val="40"/>
          <w:rtl/>
        </w:rPr>
        <w:t xml:space="preserve"> الخزانة</w:t>
      </w:r>
    </w:p>
    <w:p w:rsidR="00EE1147" w:rsidRDefault="00EE1147" w:rsidP="00060A61">
      <w:pPr>
        <w:pStyle w:val="NormalParaAR"/>
        <w:rPr>
          <w:rtl/>
        </w:rPr>
      </w:pPr>
      <w:proofErr w:type="gramStart"/>
      <w:r>
        <w:rPr>
          <w:rFonts w:hint="cs"/>
          <w:rtl/>
        </w:rPr>
        <w:t>إن</w:t>
      </w:r>
      <w:proofErr w:type="gramEnd"/>
      <w:r>
        <w:rPr>
          <w:rFonts w:hint="cs"/>
          <w:rtl/>
        </w:rPr>
        <w:t xml:space="preserve"> مخاطر تخلف الجهة المقابلة ع</w:t>
      </w:r>
      <w:r w:rsidR="00060A61">
        <w:rPr>
          <w:rFonts w:hint="cs"/>
          <w:rtl/>
        </w:rPr>
        <w:t>ن</w:t>
      </w:r>
      <w:r>
        <w:rPr>
          <w:rFonts w:hint="cs"/>
          <w:rtl/>
        </w:rPr>
        <w:t xml:space="preserve"> الخزانة فيما يخص الأصول المتعلقة بالخزانة تنجم نتيجة امتلاك استثمارات نقدية، إما بإيداع نقود في </w:t>
      </w:r>
      <w:r w:rsidR="00060A61">
        <w:rPr>
          <w:rFonts w:hint="cs"/>
          <w:rtl/>
        </w:rPr>
        <w:t>المصارف أو إجراء تداولات بالعملات</w:t>
      </w:r>
      <w:r>
        <w:rPr>
          <w:rFonts w:hint="cs"/>
          <w:rtl/>
        </w:rPr>
        <w:t xml:space="preserve"> الأجنبية</w:t>
      </w:r>
      <w:r w:rsidR="00060A61">
        <w:rPr>
          <w:rFonts w:hint="cs"/>
          <w:rtl/>
        </w:rPr>
        <w:t>. وإن تخلف الجهات المقابلة عن الخزانة يشكل خطراً جسيماً للويبو. وتقضي سياسة الويبو بإدارة هذه المخاطرة من خلال تنويع المخاطر، وتقييم الجدارة الائتمانية للجهات المقابلة، وفرض حدود على إقراض الجهات المقابلة.</w:t>
      </w:r>
    </w:p>
    <w:p w:rsidR="00060A61" w:rsidRDefault="00060A61" w:rsidP="00060A61">
      <w:pPr>
        <w:pStyle w:val="NormalParaAR"/>
        <w:keepNext/>
        <w:rPr>
          <w:rtl/>
        </w:rPr>
      </w:pPr>
      <w:r>
        <w:rPr>
          <w:rFonts w:hint="cs"/>
          <w:rtl/>
        </w:rPr>
        <w:t xml:space="preserve">وتميز إدارة مخاطر </w:t>
      </w:r>
      <w:proofErr w:type="gramStart"/>
      <w:r>
        <w:rPr>
          <w:rFonts w:hint="cs"/>
          <w:rtl/>
        </w:rPr>
        <w:t>تخلف</w:t>
      </w:r>
      <w:proofErr w:type="gramEnd"/>
      <w:r>
        <w:rPr>
          <w:rFonts w:hint="cs"/>
          <w:rtl/>
        </w:rPr>
        <w:t xml:space="preserve"> الجهة المقابلة عن الخزانة بين ما يلي:</w:t>
      </w:r>
    </w:p>
    <w:p w:rsidR="00060A61" w:rsidRDefault="00060A61" w:rsidP="0098232E">
      <w:pPr>
        <w:pStyle w:val="NormalParaAR"/>
        <w:numPr>
          <w:ilvl w:val="0"/>
          <w:numId w:val="46"/>
        </w:numPr>
        <w:ind w:left="927"/>
      </w:pPr>
      <w:r>
        <w:rPr>
          <w:rFonts w:hint="cs"/>
          <w:rtl/>
        </w:rPr>
        <w:t xml:space="preserve">الجهات </w:t>
      </w:r>
      <w:proofErr w:type="gramStart"/>
      <w:r>
        <w:rPr>
          <w:rFonts w:hint="cs"/>
          <w:rtl/>
        </w:rPr>
        <w:t>الاستثمارية</w:t>
      </w:r>
      <w:proofErr w:type="gramEnd"/>
      <w:r>
        <w:rPr>
          <w:rFonts w:hint="cs"/>
          <w:rtl/>
        </w:rPr>
        <w:t xml:space="preserve"> المقابلة </w:t>
      </w:r>
      <w:r>
        <w:rPr>
          <w:rtl/>
        </w:rPr>
        <w:t>–</w:t>
      </w:r>
      <w:r>
        <w:rPr>
          <w:rFonts w:hint="cs"/>
          <w:rtl/>
        </w:rPr>
        <w:t xml:space="preserve"> فائض النقد والأموال الاحتياطية</w:t>
      </w:r>
      <w:r w:rsidR="0098232E">
        <w:rPr>
          <w:rFonts w:hint="cs"/>
          <w:rtl/>
        </w:rPr>
        <w:t xml:space="preserve"> غير الموزعة</w:t>
      </w:r>
      <w:r>
        <w:rPr>
          <w:rFonts w:hint="cs"/>
          <w:rtl/>
        </w:rPr>
        <w:t xml:space="preserve"> </w:t>
      </w:r>
      <w:r w:rsidR="0098232E">
        <w:rPr>
          <w:rFonts w:hint="cs"/>
          <w:rtl/>
        </w:rPr>
        <w:t>التي تخضع</w:t>
      </w:r>
      <w:r>
        <w:rPr>
          <w:rFonts w:hint="cs"/>
          <w:rtl/>
        </w:rPr>
        <w:t xml:space="preserve"> لمعايير سياسة الاستثمار النقدي الموافق عليها.</w:t>
      </w:r>
    </w:p>
    <w:p w:rsidR="00060A61" w:rsidRDefault="00060A61" w:rsidP="00060A61">
      <w:pPr>
        <w:pStyle w:val="NormalParaAR"/>
        <w:numPr>
          <w:ilvl w:val="0"/>
          <w:numId w:val="46"/>
        </w:numPr>
        <w:ind w:left="927"/>
      </w:pPr>
      <w:proofErr w:type="gramStart"/>
      <w:r>
        <w:rPr>
          <w:rFonts w:hint="cs"/>
          <w:rtl/>
        </w:rPr>
        <w:t>الجهات</w:t>
      </w:r>
      <w:proofErr w:type="gramEnd"/>
      <w:r>
        <w:rPr>
          <w:rFonts w:hint="cs"/>
          <w:rtl/>
        </w:rPr>
        <w:t xml:space="preserve"> المصرفية المقابلة</w:t>
      </w:r>
      <w:r w:rsidR="0098232E">
        <w:rPr>
          <w:rFonts w:hint="cs"/>
          <w:rtl/>
        </w:rPr>
        <w:t>:</w:t>
      </w:r>
    </w:p>
    <w:p w:rsidR="00060A61" w:rsidRDefault="0098232E" w:rsidP="0098232E">
      <w:pPr>
        <w:pStyle w:val="NormalParaAR"/>
        <w:numPr>
          <w:ilvl w:val="1"/>
          <w:numId w:val="46"/>
        </w:numPr>
        <w:ind w:left="1494"/>
      </w:pPr>
      <w:r>
        <w:rPr>
          <w:rFonts w:hint="cs"/>
          <w:rtl/>
        </w:rPr>
        <w:t xml:space="preserve">المبالغ </w:t>
      </w:r>
      <w:proofErr w:type="gramStart"/>
      <w:r>
        <w:rPr>
          <w:rFonts w:hint="cs"/>
          <w:rtl/>
        </w:rPr>
        <w:t>النقدية</w:t>
      </w:r>
      <w:proofErr w:type="gramEnd"/>
      <w:r>
        <w:rPr>
          <w:rFonts w:hint="cs"/>
          <w:rtl/>
        </w:rPr>
        <w:t xml:space="preserve"> المودعة في</w:t>
      </w:r>
      <w:r w:rsidR="00060A61">
        <w:rPr>
          <w:rFonts w:hint="cs"/>
          <w:rtl/>
        </w:rPr>
        <w:t xml:space="preserve"> المصارف </w:t>
      </w:r>
      <w:r w:rsidR="00060A61">
        <w:rPr>
          <w:rtl/>
        </w:rPr>
        <w:t>–</w:t>
      </w:r>
      <w:r w:rsidR="00060A61">
        <w:rPr>
          <w:rFonts w:hint="cs"/>
          <w:rtl/>
        </w:rPr>
        <w:t xml:space="preserve"> </w:t>
      </w:r>
      <w:r>
        <w:rPr>
          <w:rFonts w:hint="cs"/>
          <w:rtl/>
        </w:rPr>
        <w:t>مبالغ نقدية مستخدمة كسيولة لتسديد الالتزامات لدى استحقاقها؛</w:t>
      </w:r>
    </w:p>
    <w:p w:rsidR="00060A61" w:rsidRDefault="00060A61" w:rsidP="0098232E">
      <w:pPr>
        <w:pStyle w:val="NormalParaAR"/>
        <w:numPr>
          <w:ilvl w:val="1"/>
          <w:numId w:val="46"/>
        </w:numPr>
        <w:ind w:left="1494"/>
      </w:pPr>
      <w:r>
        <w:rPr>
          <w:rFonts w:hint="cs"/>
          <w:rtl/>
        </w:rPr>
        <w:t xml:space="preserve">التداولات بالعملات الأجنبية </w:t>
      </w:r>
      <w:r>
        <w:rPr>
          <w:rtl/>
        </w:rPr>
        <w:t>–</w:t>
      </w:r>
      <w:r>
        <w:rPr>
          <w:rFonts w:hint="cs"/>
          <w:rtl/>
        </w:rPr>
        <w:t xml:space="preserve"> </w:t>
      </w:r>
      <w:r w:rsidR="0098232E">
        <w:rPr>
          <w:rFonts w:hint="cs"/>
          <w:rtl/>
        </w:rPr>
        <w:t>القيمة الافتراضية العادلة لصكوك التحوط الموافق عليها.</w:t>
      </w:r>
    </w:p>
    <w:p w:rsidR="0098232E" w:rsidRPr="0078288E" w:rsidRDefault="0078288E" w:rsidP="0098232E">
      <w:pPr>
        <w:pStyle w:val="NormalParaAR"/>
        <w:rPr>
          <w:b/>
          <w:bCs/>
          <w:i/>
          <w:iCs/>
          <w:rtl/>
        </w:rPr>
      </w:pPr>
      <w:r w:rsidRPr="0078288E">
        <w:rPr>
          <w:rFonts w:hint="cs"/>
          <w:b/>
          <w:bCs/>
          <w:i/>
          <w:iCs/>
          <w:rtl/>
        </w:rPr>
        <w:t xml:space="preserve">وإن معايير إقراض الجهات المقابلة للاستثمارات هي </w:t>
      </w:r>
      <w:proofErr w:type="gramStart"/>
      <w:r w:rsidRPr="0078288E">
        <w:rPr>
          <w:rFonts w:hint="cs"/>
          <w:b/>
          <w:bCs/>
          <w:i/>
          <w:iCs/>
          <w:rtl/>
        </w:rPr>
        <w:t>جزء</w:t>
      </w:r>
      <w:proofErr w:type="gramEnd"/>
      <w:r w:rsidRPr="0078288E">
        <w:rPr>
          <w:rFonts w:hint="cs"/>
          <w:b/>
          <w:bCs/>
          <w:i/>
          <w:iCs/>
          <w:rtl/>
        </w:rPr>
        <w:t xml:space="preserve"> من سياسة الاستثمار التي وافقت عليها جمعيات الدول الأعضاء في 5 أكتوبر 2011.</w:t>
      </w:r>
    </w:p>
    <w:p w:rsidR="0078288E" w:rsidRPr="0078288E" w:rsidRDefault="0078288E" w:rsidP="0078288E">
      <w:pPr>
        <w:pStyle w:val="NormalParaAR"/>
        <w:spacing w:after="720"/>
        <w:rPr>
          <w:b/>
          <w:bCs/>
          <w:i/>
          <w:iCs/>
        </w:rPr>
      </w:pPr>
      <w:r>
        <w:rPr>
          <w:rFonts w:hint="cs"/>
          <w:b/>
          <w:bCs/>
          <w:i/>
          <w:iCs/>
          <w:rtl/>
        </w:rPr>
        <w:t>تخول</w:t>
      </w:r>
      <w:r w:rsidRPr="0078288E">
        <w:rPr>
          <w:rFonts w:hint="cs"/>
          <w:b/>
          <w:bCs/>
          <w:i/>
          <w:iCs/>
          <w:rtl/>
        </w:rPr>
        <w:t xml:space="preserve"> القاعدة 104.2 </w:t>
      </w:r>
      <w:proofErr w:type="gramStart"/>
      <w:r w:rsidRPr="0078288E">
        <w:rPr>
          <w:rFonts w:hint="cs"/>
          <w:b/>
          <w:bCs/>
          <w:i/>
          <w:iCs/>
          <w:rtl/>
        </w:rPr>
        <w:t>من</w:t>
      </w:r>
      <w:proofErr w:type="gramEnd"/>
      <w:r w:rsidRPr="0078288E">
        <w:rPr>
          <w:rFonts w:hint="cs"/>
          <w:b/>
          <w:bCs/>
          <w:i/>
          <w:iCs/>
          <w:rtl/>
        </w:rPr>
        <w:t xml:space="preserve"> النظام المالي ولائحته المراقب المالي سلطة تحديد المصارف التي تودع فيها أموال المنظمة. </w:t>
      </w:r>
      <w:r>
        <w:rPr>
          <w:rFonts w:hint="cs"/>
          <w:b/>
          <w:bCs/>
          <w:i/>
          <w:iCs/>
          <w:rtl/>
        </w:rPr>
        <w:t xml:space="preserve">وتعتبر مرجع معايير مخاطرة </w:t>
      </w:r>
      <w:proofErr w:type="gramStart"/>
      <w:r>
        <w:rPr>
          <w:rFonts w:hint="cs"/>
          <w:b/>
          <w:bCs/>
          <w:i/>
          <w:iCs/>
          <w:rtl/>
        </w:rPr>
        <w:t>تخلف</w:t>
      </w:r>
      <w:proofErr w:type="gramEnd"/>
      <w:r>
        <w:rPr>
          <w:rFonts w:hint="cs"/>
          <w:b/>
          <w:bCs/>
          <w:i/>
          <w:iCs/>
          <w:rtl/>
        </w:rPr>
        <w:t xml:space="preserve"> الجهات المقابلة فيما يتعلق بالمبالغ النقدية المودعة في المصارف والتداولات بالعملات الأجنبية.</w:t>
      </w:r>
    </w:p>
    <w:p w:rsidR="00703FA5" w:rsidRPr="0078288E" w:rsidRDefault="0078288E" w:rsidP="0078288E">
      <w:pPr>
        <w:pStyle w:val="NormalParaAR"/>
        <w:keepNext/>
        <w:rPr>
          <w:b/>
          <w:bCs/>
        </w:rPr>
      </w:pPr>
      <w:r w:rsidRPr="0078288E">
        <w:rPr>
          <w:rFonts w:hint="cs"/>
          <w:b/>
          <w:bCs/>
          <w:rtl/>
        </w:rPr>
        <w:t xml:space="preserve">بيانات السياسة </w:t>
      </w:r>
      <w:proofErr w:type="gramStart"/>
      <w:r w:rsidRPr="0078288E">
        <w:rPr>
          <w:rFonts w:hint="cs"/>
          <w:b/>
          <w:bCs/>
          <w:rtl/>
        </w:rPr>
        <w:t>وأحكامها</w:t>
      </w:r>
      <w:proofErr w:type="gramEnd"/>
    </w:p>
    <w:p w:rsidR="00703FA5" w:rsidRPr="00703FA5" w:rsidRDefault="00703FA5" w:rsidP="00703FA5">
      <w:pPr>
        <w:tabs>
          <w:tab w:val="left" w:pos="-1440"/>
          <w:tab w:val="left" w:pos="-720"/>
        </w:tabs>
        <w:suppressAutoHyphens/>
        <w:spacing w:line="240" w:lineRule="atLeast"/>
        <w:jc w:val="both"/>
        <w:rPr>
          <w:rFonts w:eastAsia="SimSun"/>
          <w:szCs w:val="22"/>
          <w:lang w:eastAsia="zh-CN"/>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84"/>
        <w:gridCol w:w="11"/>
        <w:gridCol w:w="6544"/>
      </w:tblGrid>
      <w:tr w:rsidR="00703FA5" w:rsidRPr="007045D1" w:rsidTr="007045D1">
        <w:trPr>
          <w:cantSplit/>
          <w:tblHeader/>
        </w:trPr>
        <w:tc>
          <w:tcPr>
            <w:tcW w:w="2484" w:type="dxa"/>
            <w:shd w:val="clear" w:color="auto" w:fill="000000"/>
          </w:tcPr>
          <w:p w:rsidR="00703FA5" w:rsidRPr="007045D1" w:rsidRDefault="0078288E" w:rsidP="007045D1">
            <w:pPr>
              <w:tabs>
                <w:tab w:val="left" w:pos="-1440"/>
                <w:tab w:val="left" w:pos="-720"/>
              </w:tabs>
              <w:suppressAutoHyphens/>
              <w:bidi/>
              <w:spacing w:after="240" w:line="240" w:lineRule="atLeast"/>
              <w:contextualSpacing/>
              <w:jc w:val="both"/>
              <w:rPr>
                <w:rFonts w:ascii="Arabic Typesetting" w:eastAsia="SimSun" w:hAnsi="Arabic Typesetting" w:cs="Arabic Typesetting"/>
                <w:b/>
                <w:bCs/>
                <w:color w:val="FFFFFF"/>
                <w:sz w:val="32"/>
                <w:szCs w:val="32"/>
                <w:lang w:eastAsia="zh-CN"/>
              </w:rPr>
            </w:pPr>
            <w:proofErr w:type="gramStart"/>
            <w:r w:rsidRPr="007045D1">
              <w:rPr>
                <w:rFonts w:ascii="Arabic Typesetting" w:eastAsia="SimSun" w:hAnsi="Arabic Typesetting" w:cs="Arabic Typesetting"/>
                <w:b/>
                <w:bCs/>
                <w:color w:val="FFFFFF"/>
                <w:sz w:val="32"/>
                <w:szCs w:val="32"/>
                <w:rtl/>
                <w:lang w:eastAsia="zh-CN"/>
              </w:rPr>
              <w:t>القضية</w:t>
            </w:r>
            <w:proofErr w:type="gramEnd"/>
            <w:r w:rsidRPr="007045D1">
              <w:rPr>
                <w:rFonts w:ascii="Arabic Typesetting" w:eastAsia="SimSun" w:hAnsi="Arabic Typesetting" w:cs="Arabic Typesetting"/>
                <w:b/>
                <w:bCs/>
                <w:color w:val="FFFFFF"/>
                <w:sz w:val="32"/>
                <w:szCs w:val="32"/>
                <w:rtl/>
                <w:lang w:eastAsia="zh-CN"/>
              </w:rPr>
              <w:t xml:space="preserve"> السياسية</w:t>
            </w:r>
          </w:p>
        </w:tc>
        <w:tc>
          <w:tcPr>
            <w:tcW w:w="6555" w:type="dxa"/>
            <w:gridSpan w:val="2"/>
            <w:shd w:val="clear" w:color="auto" w:fill="000000"/>
          </w:tcPr>
          <w:p w:rsidR="00703FA5" w:rsidRPr="007045D1" w:rsidRDefault="0078288E" w:rsidP="007045D1">
            <w:pPr>
              <w:tabs>
                <w:tab w:val="left" w:pos="-1440"/>
                <w:tab w:val="left" w:pos="-720"/>
              </w:tabs>
              <w:suppressAutoHyphens/>
              <w:bidi/>
              <w:spacing w:after="240" w:line="240" w:lineRule="atLeast"/>
              <w:contextualSpacing/>
              <w:jc w:val="both"/>
              <w:rPr>
                <w:rFonts w:ascii="Arabic Typesetting" w:eastAsia="SimSun" w:hAnsi="Arabic Typesetting" w:cs="Arabic Typesetting"/>
                <w:b/>
                <w:bCs/>
                <w:color w:val="FFFFFF"/>
                <w:sz w:val="32"/>
                <w:szCs w:val="32"/>
                <w:lang w:eastAsia="zh-CN"/>
              </w:rPr>
            </w:pPr>
            <w:r w:rsidRPr="007045D1">
              <w:rPr>
                <w:rFonts w:ascii="Arabic Typesetting" w:eastAsia="SimSun" w:hAnsi="Arabic Typesetting" w:cs="Arabic Typesetting"/>
                <w:b/>
                <w:bCs/>
                <w:color w:val="FFFFFF"/>
                <w:sz w:val="32"/>
                <w:szCs w:val="32"/>
                <w:rtl/>
                <w:lang w:eastAsia="zh-CN"/>
              </w:rPr>
              <w:t xml:space="preserve">بيان السياسة </w:t>
            </w:r>
            <w:proofErr w:type="gramStart"/>
            <w:r w:rsidRPr="007045D1">
              <w:rPr>
                <w:rFonts w:ascii="Arabic Typesetting" w:eastAsia="SimSun" w:hAnsi="Arabic Typesetting" w:cs="Arabic Typesetting"/>
                <w:b/>
                <w:bCs/>
                <w:color w:val="FFFFFF"/>
                <w:sz w:val="32"/>
                <w:szCs w:val="32"/>
                <w:rtl/>
                <w:lang w:eastAsia="zh-CN"/>
              </w:rPr>
              <w:t>وأحكامها</w:t>
            </w:r>
            <w:proofErr w:type="gramEnd"/>
          </w:p>
        </w:tc>
      </w:tr>
      <w:tr w:rsidR="00703FA5" w:rsidRPr="007045D1" w:rsidTr="007045D1">
        <w:trPr>
          <w:cantSplit/>
        </w:trPr>
        <w:tc>
          <w:tcPr>
            <w:tcW w:w="2495" w:type="dxa"/>
            <w:gridSpan w:val="2"/>
            <w:shd w:val="clear" w:color="auto" w:fill="auto"/>
          </w:tcPr>
          <w:p w:rsidR="00703FA5" w:rsidRPr="007045D1" w:rsidRDefault="0078288E" w:rsidP="007045D1">
            <w:pPr>
              <w:tabs>
                <w:tab w:val="left" w:pos="-1440"/>
                <w:tab w:val="left" w:pos="-720"/>
              </w:tabs>
              <w:suppressAutoHyphens/>
              <w:bidi/>
              <w:spacing w:after="240" w:line="240" w:lineRule="atLeast"/>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التصنيف الائتماني للجهات المقابلة</w:t>
            </w:r>
          </w:p>
        </w:tc>
        <w:tc>
          <w:tcPr>
            <w:tcW w:w="6544" w:type="dxa"/>
            <w:shd w:val="clear" w:color="auto" w:fill="auto"/>
          </w:tcPr>
          <w:p w:rsidR="0078288E" w:rsidRPr="007045D1" w:rsidRDefault="0078288E" w:rsidP="007045D1">
            <w:pPr>
              <w:numPr>
                <w:ilvl w:val="0"/>
                <w:numId w:val="29"/>
              </w:numPr>
              <w:tabs>
                <w:tab w:val="left" w:pos="-1440"/>
                <w:tab w:val="left" w:pos="-720"/>
              </w:tabs>
              <w:suppressAutoHyphens/>
              <w:bidi/>
              <w:spacing w:after="240" w:line="240" w:lineRule="atLeast"/>
              <w:ind w:left="714" w:hanging="357"/>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لن تجري الويبو أية تداولات إلا مع الجهات المقابلة الموافق عليها والجهات المقابلة التي تحافظ على التصنيفات الاستثمارية التالية الطويلة الأجل:</w:t>
            </w:r>
          </w:p>
          <w:p w:rsidR="00703FA5" w:rsidRPr="007045D1" w:rsidRDefault="0078288E" w:rsidP="007045D1">
            <w:pPr>
              <w:numPr>
                <w:ilvl w:val="1"/>
                <w:numId w:val="29"/>
              </w:numPr>
              <w:tabs>
                <w:tab w:val="left" w:pos="-1440"/>
                <w:tab w:val="left" w:pos="-720"/>
              </w:tabs>
              <w:suppressAutoHyphens/>
              <w:bidi/>
              <w:spacing w:after="240" w:line="240" w:lineRule="atLeast"/>
              <w:ind w:hanging="357"/>
              <w:contextualSpacing/>
              <w:jc w:val="both"/>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الجهات</w:t>
            </w:r>
            <w:proofErr w:type="gramEnd"/>
            <w:r w:rsidRPr="007045D1">
              <w:rPr>
                <w:rFonts w:ascii="Arabic Typesetting" w:eastAsia="SimSun" w:hAnsi="Arabic Typesetting" w:cs="Arabic Typesetting"/>
                <w:sz w:val="32"/>
                <w:szCs w:val="32"/>
                <w:rtl/>
                <w:lang w:eastAsia="zh-CN"/>
              </w:rPr>
              <w:t xml:space="preserve"> الاستثمارية المقابلة:</w:t>
            </w:r>
          </w:p>
          <w:p w:rsidR="00703FA5" w:rsidRPr="007045D1" w:rsidRDefault="0078288E" w:rsidP="007045D1">
            <w:pPr>
              <w:numPr>
                <w:ilvl w:val="2"/>
                <w:numId w:val="29"/>
              </w:numPr>
              <w:tabs>
                <w:tab w:val="left" w:pos="-1440"/>
                <w:tab w:val="left" w:pos="-720"/>
              </w:tabs>
              <w:suppressAutoHyphens/>
              <w:bidi/>
              <w:spacing w:after="240" w:line="240" w:lineRule="atLeast"/>
              <w:ind w:hanging="357"/>
              <w:contextualSpacing/>
              <w:jc w:val="both"/>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 xml:space="preserve">التصنيف الائتماني </w:t>
            </w:r>
            <w:r w:rsidRPr="007045D1">
              <w:rPr>
                <w:rFonts w:ascii="Arabic Typesetting" w:eastAsia="SimSun" w:hAnsi="Arabic Typesetting" w:cs="Arabic Typesetting"/>
                <w:sz w:val="32"/>
                <w:szCs w:val="32"/>
                <w:lang w:eastAsia="zh-CN"/>
              </w:rPr>
              <w:t>AA-/Aa3</w:t>
            </w:r>
            <w:r w:rsidRPr="007045D1">
              <w:rPr>
                <w:rFonts w:ascii="Arabic Typesetting" w:eastAsia="SimSun" w:hAnsi="Arabic Typesetting" w:cs="Arabic Typesetting"/>
                <w:sz w:val="32"/>
                <w:szCs w:val="32"/>
                <w:rtl/>
                <w:lang w:eastAsia="zh-CN"/>
              </w:rPr>
              <w:t xml:space="preserve"> كحد أدنى</w:t>
            </w:r>
          </w:p>
          <w:p w:rsidR="0078288E" w:rsidRPr="007045D1" w:rsidRDefault="0078288E" w:rsidP="007045D1">
            <w:pPr>
              <w:numPr>
                <w:ilvl w:val="1"/>
                <w:numId w:val="29"/>
              </w:numPr>
              <w:tabs>
                <w:tab w:val="left" w:pos="-1440"/>
                <w:tab w:val="left" w:pos="-720"/>
              </w:tabs>
              <w:suppressAutoHyphens/>
              <w:bidi/>
              <w:spacing w:after="240" w:line="240" w:lineRule="atLeast"/>
              <w:ind w:hanging="357"/>
              <w:contextualSpacing/>
              <w:jc w:val="both"/>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الجهات</w:t>
            </w:r>
            <w:proofErr w:type="gramEnd"/>
            <w:r w:rsidRPr="007045D1">
              <w:rPr>
                <w:rFonts w:ascii="Arabic Typesetting" w:eastAsia="SimSun" w:hAnsi="Arabic Typesetting" w:cs="Arabic Typesetting"/>
                <w:sz w:val="32"/>
                <w:szCs w:val="32"/>
                <w:rtl/>
                <w:lang w:eastAsia="zh-CN"/>
              </w:rPr>
              <w:t xml:space="preserve"> المصرفية المقابلة:</w:t>
            </w:r>
          </w:p>
          <w:p w:rsidR="00703FA5" w:rsidRPr="007045D1" w:rsidRDefault="00B96377" w:rsidP="007045D1">
            <w:pPr>
              <w:numPr>
                <w:ilvl w:val="2"/>
                <w:numId w:val="29"/>
              </w:numPr>
              <w:bidi/>
              <w:spacing w:after="240"/>
              <w:ind w:hanging="357"/>
              <w:contextualSpacing/>
              <w:jc w:val="both"/>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 xml:space="preserve">ينطبق التصنيف الائتماني </w:t>
            </w:r>
            <w:r w:rsidRPr="007045D1">
              <w:rPr>
                <w:rFonts w:ascii="Arabic Typesetting" w:eastAsia="SimSun" w:hAnsi="Arabic Typesetting" w:cs="Arabic Typesetting"/>
                <w:sz w:val="32"/>
                <w:szCs w:val="32"/>
                <w:lang w:eastAsia="zh-CN"/>
              </w:rPr>
              <w:t>A-/A3</w:t>
            </w:r>
            <w:r w:rsidRPr="007045D1">
              <w:rPr>
                <w:rFonts w:ascii="Arabic Typesetting" w:eastAsia="SimSun" w:hAnsi="Arabic Typesetting" w:cs="Arabic Typesetting"/>
                <w:sz w:val="32"/>
                <w:szCs w:val="32"/>
                <w:rtl/>
                <w:lang w:eastAsia="zh-CN"/>
              </w:rPr>
              <w:t xml:space="preserve"> كحد </w:t>
            </w:r>
            <w:proofErr w:type="gramStart"/>
            <w:r w:rsidRPr="007045D1">
              <w:rPr>
                <w:rFonts w:ascii="Arabic Typesetting" w:eastAsia="SimSun" w:hAnsi="Arabic Typesetting" w:cs="Arabic Typesetting"/>
                <w:sz w:val="32"/>
                <w:szCs w:val="32"/>
                <w:rtl/>
                <w:lang w:eastAsia="zh-CN"/>
              </w:rPr>
              <w:t>أدنى</w:t>
            </w:r>
            <w:proofErr w:type="gramEnd"/>
          </w:p>
          <w:p w:rsidR="00703FA5" w:rsidRPr="007045D1" w:rsidRDefault="00B96377" w:rsidP="007045D1">
            <w:pPr>
              <w:numPr>
                <w:ilvl w:val="2"/>
                <w:numId w:val="29"/>
              </w:numPr>
              <w:bidi/>
              <w:spacing w:after="240"/>
              <w:contextualSpacing/>
              <w:jc w:val="both"/>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 xml:space="preserve">أو </w:t>
            </w:r>
            <w:proofErr w:type="gramStart"/>
            <w:r w:rsidRPr="007045D1">
              <w:rPr>
                <w:rFonts w:ascii="Arabic Typesetting" w:eastAsia="SimSun" w:hAnsi="Arabic Typesetting" w:cs="Arabic Typesetting"/>
                <w:sz w:val="32"/>
                <w:szCs w:val="32"/>
                <w:rtl/>
                <w:lang w:eastAsia="zh-CN"/>
              </w:rPr>
              <w:t>استثناءً</w:t>
            </w:r>
            <w:proofErr w:type="gramEnd"/>
            <w:r w:rsidRPr="007045D1">
              <w:rPr>
                <w:rFonts w:ascii="Arabic Typesetting" w:eastAsia="SimSun" w:hAnsi="Arabic Typesetting" w:cs="Arabic Typesetting"/>
                <w:sz w:val="32"/>
                <w:szCs w:val="32"/>
                <w:rtl/>
                <w:lang w:eastAsia="zh-CN"/>
              </w:rPr>
              <w:t xml:space="preserve"> إذا وافقت عليها تحديداً</w:t>
            </w:r>
            <w:r w:rsidRPr="007045D1">
              <w:rPr>
                <w:rFonts w:ascii="Arabic Typesetting" w:hAnsi="Arabic Typesetting" w:cs="Arabic Typesetting"/>
                <w:sz w:val="32"/>
                <w:szCs w:val="32"/>
                <w:rtl/>
              </w:rPr>
              <w:t xml:space="preserve"> </w:t>
            </w:r>
            <w:r w:rsidRPr="007045D1">
              <w:rPr>
                <w:rFonts w:ascii="Arabic Typesetting" w:eastAsia="SimSun" w:hAnsi="Arabic Typesetting" w:cs="Arabic Typesetting"/>
                <w:sz w:val="32"/>
                <w:szCs w:val="32"/>
                <w:rtl/>
                <w:lang w:eastAsia="zh-CN"/>
              </w:rPr>
              <w:t>اللجنة الاستشارية المعنية بالاستثمار</w:t>
            </w:r>
          </w:p>
          <w:p w:rsidR="00703FA5" w:rsidRPr="007045D1" w:rsidRDefault="00B96377" w:rsidP="007045D1">
            <w:pPr>
              <w:numPr>
                <w:ilvl w:val="0"/>
                <w:numId w:val="29"/>
              </w:numPr>
              <w:tabs>
                <w:tab w:val="left" w:pos="-1440"/>
                <w:tab w:val="left" w:pos="-720"/>
              </w:tabs>
              <w:suppressAutoHyphens/>
              <w:bidi/>
              <w:spacing w:after="240" w:line="240" w:lineRule="atLeast"/>
              <w:contextualSpacing/>
              <w:jc w:val="both"/>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 xml:space="preserve">يرد بيان الأطراف المقابلة الموافق </w:t>
            </w:r>
            <w:proofErr w:type="gramStart"/>
            <w:r w:rsidRPr="007045D1">
              <w:rPr>
                <w:rFonts w:ascii="Arabic Typesetting" w:eastAsia="SimSun" w:hAnsi="Arabic Typesetting" w:cs="Arabic Typesetting"/>
                <w:sz w:val="32"/>
                <w:szCs w:val="32"/>
                <w:rtl/>
                <w:lang w:eastAsia="zh-CN"/>
              </w:rPr>
              <w:t>عليها</w:t>
            </w:r>
            <w:proofErr w:type="gramEnd"/>
            <w:r w:rsidRPr="007045D1">
              <w:rPr>
                <w:rFonts w:ascii="Arabic Typesetting" w:eastAsia="SimSun" w:hAnsi="Arabic Typesetting" w:cs="Arabic Typesetting"/>
                <w:sz w:val="32"/>
                <w:szCs w:val="32"/>
                <w:rtl/>
                <w:lang w:eastAsia="zh-CN"/>
              </w:rPr>
              <w:t xml:space="preserve"> في </w:t>
            </w:r>
            <w:r w:rsidRPr="007045D1">
              <w:rPr>
                <w:rFonts w:ascii="Arabic Typesetting" w:eastAsia="SimSun" w:hAnsi="Arabic Typesetting" w:cs="Arabic Typesetting"/>
                <w:b/>
                <w:bCs/>
                <w:sz w:val="32"/>
                <w:szCs w:val="32"/>
                <w:rtl/>
                <w:lang w:eastAsia="zh-CN"/>
              </w:rPr>
              <w:t>القائمة 5</w:t>
            </w:r>
            <w:r w:rsidRPr="007045D1">
              <w:rPr>
                <w:rFonts w:ascii="Arabic Typesetting" w:eastAsia="SimSun" w:hAnsi="Arabic Typesetting" w:cs="Arabic Typesetting"/>
                <w:sz w:val="32"/>
                <w:szCs w:val="32"/>
                <w:rtl/>
                <w:lang w:eastAsia="zh-CN"/>
              </w:rPr>
              <w:t>.</w:t>
            </w:r>
          </w:p>
        </w:tc>
      </w:tr>
      <w:tr w:rsidR="00703FA5" w:rsidRPr="007045D1" w:rsidTr="007045D1">
        <w:trPr>
          <w:cantSplit/>
        </w:trPr>
        <w:tc>
          <w:tcPr>
            <w:tcW w:w="2495" w:type="dxa"/>
            <w:gridSpan w:val="2"/>
            <w:shd w:val="clear" w:color="auto" w:fill="auto"/>
          </w:tcPr>
          <w:p w:rsidR="00703FA5" w:rsidRPr="007045D1" w:rsidRDefault="00B96377" w:rsidP="007045D1">
            <w:pPr>
              <w:tabs>
                <w:tab w:val="left" w:pos="-1440"/>
                <w:tab w:val="left" w:pos="-720"/>
              </w:tabs>
              <w:suppressAutoHyphens/>
              <w:bidi/>
              <w:spacing w:after="240" w:line="240" w:lineRule="atLeast"/>
              <w:contextualSpacing/>
              <w:jc w:val="both"/>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lastRenderedPageBreak/>
              <w:t>الموافقة على الجهات المقابلة</w:t>
            </w:r>
          </w:p>
        </w:tc>
        <w:tc>
          <w:tcPr>
            <w:tcW w:w="6544" w:type="dxa"/>
            <w:shd w:val="clear" w:color="auto" w:fill="auto"/>
          </w:tcPr>
          <w:p w:rsidR="00703FA5" w:rsidRPr="007045D1" w:rsidRDefault="00B96377" w:rsidP="007045D1">
            <w:pPr>
              <w:numPr>
                <w:ilvl w:val="0"/>
                <w:numId w:val="31"/>
              </w:numPr>
              <w:bidi/>
              <w:spacing w:after="240"/>
              <w:ind w:left="714" w:hanging="357"/>
              <w:contextualSpacing/>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لن</w:t>
            </w:r>
            <w:proofErr w:type="gramEnd"/>
            <w:r w:rsidRPr="007045D1">
              <w:rPr>
                <w:rFonts w:ascii="Arabic Typesetting" w:eastAsia="SimSun" w:hAnsi="Arabic Typesetting" w:cs="Arabic Typesetting"/>
                <w:sz w:val="32"/>
                <w:szCs w:val="32"/>
                <w:rtl/>
                <w:lang w:eastAsia="zh-CN"/>
              </w:rPr>
              <w:t xml:space="preserve"> تجرى أي تداولات متصلة بالخزانة إلا مع جهات مقابلة موافق عليها وتستوفي المعايير الائتمانية الدنيا على النحو المحدد في هذه السياسة.</w:t>
            </w:r>
          </w:p>
          <w:p w:rsidR="00703FA5" w:rsidRPr="007045D1" w:rsidRDefault="00B96377" w:rsidP="007045D1">
            <w:pPr>
              <w:numPr>
                <w:ilvl w:val="0"/>
                <w:numId w:val="31"/>
              </w:numPr>
              <w:bidi/>
              <w:spacing w:after="240"/>
              <w:ind w:left="714" w:hanging="357"/>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يجب أن تحصل جميع الجهات المقابلة من مصارف ومكاتب صرف وجهات استثمارية على موافقة مسبقة من اللجنة الاستشارية المعنية بالاستثمار.</w:t>
            </w:r>
          </w:p>
        </w:tc>
      </w:tr>
      <w:tr w:rsidR="00703FA5" w:rsidRPr="007045D1" w:rsidTr="007045D1">
        <w:trPr>
          <w:cantSplit/>
        </w:trPr>
        <w:tc>
          <w:tcPr>
            <w:tcW w:w="2495" w:type="dxa"/>
            <w:gridSpan w:val="2"/>
            <w:shd w:val="clear" w:color="auto" w:fill="auto"/>
          </w:tcPr>
          <w:p w:rsidR="00703FA5" w:rsidRPr="007045D1" w:rsidRDefault="00B96377" w:rsidP="007045D1">
            <w:pPr>
              <w:keepNext/>
              <w:keepLines/>
              <w:tabs>
                <w:tab w:val="left" w:pos="-1440"/>
                <w:tab w:val="left" w:pos="-720"/>
              </w:tabs>
              <w:suppressAutoHyphens/>
              <w:bidi/>
              <w:spacing w:after="240" w:line="240" w:lineRule="atLeast"/>
              <w:contextualSpacing/>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مبادلة</w:t>
            </w:r>
            <w:proofErr w:type="gramEnd"/>
            <w:r w:rsidRPr="007045D1">
              <w:rPr>
                <w:rFonts w:ascii="Arabic Typesetting" w:eastAsia="SimSun" w:hAnsi="Arabic Typesetting" w:cs="Arabic Typesetting"/>
                <w:sz w:val="32"/>
                <w:szCs w:val="32"/>
                <w:rtl/>
                <w:lang w:eastAsia="zh-CN"/>
              </w:rPr>
              <w:t xml:space="preserve"> مخاطر الائتمان</w:t>
            </w:r>
          </w:p>
        </w:tc>
        <w:tc>
          <w:tcPr>
            <w:tcW w:w="6544" w:type="dxa"/>
            <w:shd w:val="clear" w:color="auto" w:fill="auto"/>
          </w:tcPr>
          <w:p w:rsidR="00B96377" w:rsidRPr="007045D1" w:rsidRDefault="00B96377" w:rsidP="007045D1">
            <w:pPr>
              <w:keepNext/>
              <w:keepLines/>
              <w:tabs>
                <w:tab w:val="left" w:pos="-1440"/>
                <w:tab w:val="left" w:pos="-720"/>
              </w:tabs>
              <w:suppressAutoHyphens/>
              <w:bidi/>
              <w:spacing w:after="240" w:line="240" w:lineRule="atLeast"/>
              <w:ind w:left="252"/>
              <w:contextualSpacing/>
              <w:rPr>
                <w:rFonts w:ascii="Arabic Typesetting" w:eastAsia="SimSun" w:hAnsi="Arabic Typesetting" w:cs="Arabic Typesetting"/>
                <w:sz w:val="32"/>
                <w:szCs w:val="32"/>
                <w:rtl/>
                <w:lang w:eastAsia="zh-CN"/>
              </w:rPr>
            </w:pPr>
            <w:r w:rsidRPr="007045D1">
              <w:rPr>
                <w:rFonts w:ascii="Arabic Typesetting" w:eastAsia="SimSun" w:hAnsi="Arabic Typesetting" w:cs="Arabic Typesetting"/>
                <w:sz w:val="32"/>
                <w:szCs w:val="32"/>
                <w:rtl/>
                <w:lang w:eastAsia="zh-CN"/>
              </w:rPr>
              <w:t xml:space="preserve">عندما تصدر وتتوافر معدلات بشأن مبادلة مخاطر الائتمان (على </w:t>
            </w:r>
            <w:proofErr w:type="spellStart"/>
            <w:r w:rsidRPr="007045D1">
              <w:rPr>
                <w:rFonts w:ascii="Arabic Typesetting" w:eastAsia="SimSun" w:hAnsi="Arabic Typesetting" w:cs="Arabic Typesetting"/>
                <w:sz w:val="32"/>
                <w:szCs w:val="32"/>
                <w:rtl/>
                <w:lang w:eastAsia="zh-CN"/>
              </w:rPr>
              <w:t>بلومبرغ</w:t>
            </w:r>
            <w:proofErr w:type="spellEnd"/>
            <w:r w:rsidRPr="007045D1">
              <w:rPr>
                <w:rFonts w:ascii="Arabic Typesetting" w:eastAsia="SimSun" w:hAnsi="Arabic Typesetting" w:cs="Arabic Typesetting"/>
                <w:sz w:val="32"/>
                <w:szCs w:val="32"/>
                <w:rtl/>
                <w:lang w:eastAsia="zh-CN"/>
              </w:rPr>
              <w:t xml:space="preserve"> أو رويترز) للجهات المقابلة، سترصد الويبو هذه المعدلات كإشارة لمخاطرة تخلف الجهة المقابلة.</w:t>
            </w:r>
          </w:p>
          <w:p w:rsidR="00703FA5" w:rsidRPr="007045D1" w:rsidRDefault="00B96377" w:rsidP="007045D1">
            <w:pPr>
              <w:keepNext/>
              <w:keepLines/>
              <w:numPr>
                <w:ilvl w:val="0"/>
                <w:numId w:val="31"/>
              </w:numPr>
              <w:bidi/>
              <w:spacing w:after="240"/>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ستراقب الويبو عن كثب وبوجه خاص أي جهات مقابلة ذات مستو</w:t>
            </w:r>
            <w:r w:rsidR="00874A92" w:rsidRPr="007045D1">
              <w:rPr>
                <w:rFonts w:ascii="Arabic Typesetting" w:eastAsia="SimSun" w:hAnsi="Arabic Typesetting" w:cs="Arabic Typesetting"/>
                <w:sz w:val="32"/>
                <w:szCs w:val="32"/>
                <w:rtl/>
                <w:lang w:eastAsia="zh-CN"/>
              </w:rPr>
              <w:t>ى مبادلة مخاطر الائتمان يتجاوز 300 نقطة أساس وقد تقلص/تلغي تعرضها المالي لتلك الجهات المقابلة</w:t>
            </w:r>
          </w:p>
        </w:tc>
      </w:tr>
      <w:tr w:rsidR="00703FA5" w:rsidRPr="007045D1" w:rsidTr="007045D1">
        <w:trPr>
          <w:cantSplit/>
        </w:trPr>
        <w:tc>
          <w:tcPr>
            <w:tcW w:w="2484" w:type="dxa"/>
            <w:shd w:val="clear" w:color="auto" w:fill="auto"/>
          </w:tcPr>
          <w:p w:rsidR="00703FA5" w:rsidRPr="007045D1" w:rsidRDefault="00874A92" w:rsidP="007045D1">
            <w:pPr>
              <w:tabs>
                <w:tab w:val="left" w:pos="-1440"/>
                <w:tab w:val="left" w:pos="-720"/>
              </w:tabs>
              <w:suppressAutoHyphens/>
              <w:bidi/>
              <w:spacing w:after="240" w:line="240" w:lineRule="atLeast"/>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إطار وحدود المخاطر الائتمانية للجهات المقابلة</w:t>
            </w:r>
          </w:p>
        </w:tc>
        <w:tc>
          <w:tcPr>
            <w:tcW w:w="6555" w:type="dxa"/>
            <w:gridSpan w:val="2"/>
            <w:shd w:val="clear" w:color="auto" w:fill="auto"/>
          </w:tcPr>
          <w:p w:rsidR="00874A92" w:rsidRPr="007045D1" w:rsidRDefault="00874A92" w:rsidP="007045D1">
            <w:pPr>
              <w:numPr>
                <w:ilvl w:val="0"/>
                <w:numId w:val="31"/>
              </w:numPr>
              <w:bidi/>
              <w:spacing w:after="240"/>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 xml:space="preserve">ستُطبق حدود الائتمان على الجهات المقابلة من الأفراد. وستراعي حدود التعرض المالي ما </w:t>
            </w:r>
            <w:proofErr w:type="gramStart"/>
            <w:r w:rsidRPr="007045D1">
              <w:rPr>
                <w:rFonts w:ascii="Arabic Typesetting" w:eastAsia="SimSun" w:hAnsi="Arabic Typesetting" w:cs="Arabic Typesetting"/>
                <w:sz w:val="32"/>
                <w:szCs w:val="32"/>
                <w:rtl/>
                <w:lang w:eastAsia="zh-CN"/>
              </w:rPr>
              <w:t>يلي</w:t>
            </w:r>
            <w:proofErr w:type="gramEnd"/>
            <w:r w:rsidRPr="007045D1">
              <w:rPr>
                <w:rFonts w:ascii="Arabic Typesetting" w:eastAsia="SimSun" w:hAnsi="Arabic Typesetting" w:cs="Arabic Typesetting"/>
                <w:sz w:val="32"/>
                <w:szCs w:val="32"/>
                <w:rtl/>
                <w:lang w:eastAsia="zh-CN"/>
              </w:rPr>
              <w:t>:</w:t>
            </w:r>
          </w:p>
          <w:p w:rsidR="00703FA5" w:rsidRPr="007045D1" w:rsidRDefault="00874A92" w:rsidP="007045D1">
            <w:pPr>
              <w:numPr>
                <w:ilvl w:val="1"/>
                <w:numId w:val="31"/>
              </w:numPr>
              <w:bidi/>
              <w:spacing w:after="240"/>
              <w:ind w:left="1434" w:hanging="357"/>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القيمة الاسمية للنقود والاستثمارات لدى جهة مقابلة</w:t>
            </w:r>
          </w:p>
          <w:p w:rsidR="00703FA5" w:rsidRPr="007045D1" w:rsidRDefault="00874A92" w:rsidP="007045D1">
            <w:pPr>
              <w:numPr>
                <w:ilvl w:val="1"/>
                <w:numId w:val="31"/>
              </w:numPr>
              <w:bidi/>
              <w:spacing w:after="240"/>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القيمة عند الإقفال للتداولات بالعملات الأجنبية الجارية مع جهة مقابلة</w:t>
            </w:r>
          </w:p>
          <w:p w:rsidR="00703FA5" w:rsidRPr="007045D1" w:rsidRDefault="00874A92" w:rsidP="007045D1">
            <w:pPr>
              <w:numPr>
                <w:ilvl w:val="0"/>
                <w:numId w:val="31"/>
              </w:numPr>
              <w:tabs>
                <w:tab w:val="left" w:pos="-1440"/>
                <w:tab w:val="left" w:pos="-720"/>
              </w:tabs>
              <w:suppressAutoHyphens/>
              <w:bidi/>
              <w:spacing w:after="240" w:line="240" w:lineRule="atLeast"/>
              <w:ind w:left="714" w:hanging="357"/>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 xml:space="preserve">تنطبق حدود التعرض المالي للأفراد أو </w:t>
            </w:r>
            <w:proofErr w:type="gramStart"/>
            <w:r w:rsidRPr="007045D1">
              <w:rPr>
                <w:rFonts w:ascii="Arabic Typesetting" w:eastAsia="SimSun" w:hAnsi="Arabic Typesetting" w:cs="Arabic Typesetting"/>
                <w:sz w:val="32"/>
                <w:szCs w:val="32"/>
                <w:rtl/>
                <w:lang w:eastAsia="zh-CN"/>
              </w:rPr>
              <w:t>الفئات</w:t>
            </w:r>
            <w:proofErr w:type="gramEnd"/>
            <w:r w:rsidRPr="007045D1">
              <w:rPr>
                <w:rFonts w:ascii="Arabic Typesetting" w:eastAsia="SimSun" w:hAnsi="Arabic Typesetting" w:cs="Arabic Typesetting"/>
                <w:sz w:val="32"/>
                <w:szCs w:val="32"/>
                <w:rtl/>
                <w:lang w:eastAsia="zh-CN"/>
              </w:rPr>
              <w:t xml:space="preserve"> من الجهات المقابلة الموافق عليها كالآتي:</w:t>
            </w:r>
          </w:p>
          <w:p w:rsidR="00874A92" w:rsidRPr="007045D1" w:rsidRDefault="00874A92" w:rsidP="007045D1">
            <w:pPr>
              <w:numPr>
                <w:ilvl w:val="1"/>
                <w:numId w:val="31"/>
              </w:numPr>
              <w:bidi/>
              <w:spacing w:after="240"/>
              <w:contextualSpacing/>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يُطبق</w:t>
            </w:r>
            <w:proofErr w:type="gramEnd"/>
            <w:r w:rsidRPr="007045D1">
              <w:rPr>
                <w:rFonts w:ascii="Arabic Typesetting" w:eastAsia="SimSun" w:hAnsi="Arabic Typesetting" w:cs="Arabic Typesetting"/>
                <w:sz w:val="32"/>
                <w:szCs w:val="32"/>
                <w:rtl/>
                <w:lang w:eastAsia="zh-CN"/>
              </w:rPr>
              <w:t xml:space="preserve"> حد يومي أقصى قدره 20 مليون فرنك سويسري على الجهات المصرفية المقابلة التي تتمتع بتصنيف ائتماني أقل من </w:t>
            </w:r>
            <w:r w:rsidRPr="007045D1">
              <w:rPr>
                <w:rFonts w:ascii="Arabic Typesetting" w:eastAsia="SimSun" w:hAnsi="Arabic Typesetting" w:cs="Arabic Typesetting"/>
                <w:sz w:val="32"/>
                <w:szCs w:val="32"/>
                <w:lang w:eastAsia="zh-CN"/>
              </w:rPr>
              <w:t>AA/</w:t>
            </w:r>
            <w:proofErr w:type="spellStart"/>
            <w:r w:rsidRPr="007045D1">
              <w:rPr>
                <w:rFonts w:ascii="Arabic Typesetting" w:eastAsia="SimSun" w:hAnsi="Arabic Typesetting" w:cs="Arabic Typesetting"/>
                <w:sz w:val="32"/>
                <w:szCs w:val="32"/>
                <w:lang w:eastAsia="zh-CN"/>
              </w:rPr>
              <w:t>Aa</w:t>
            </w:r>
            <w:proofErr w:type="spellEnd"/>
          </w:p>
          <w:p w:rsidR="00703FA5" w:rsidRPr="007045D1" w:rsidRDefault="00874A92" w:rsidP="007045D1">
            <w:pPr>
              <w:numPr>
                <w:ilvl w:val="1"/>
                <w:numId w:val="31"/>
              </w:numPr>
              <w:bidi/>
              <w:spacing w:after="240"/>
              <w:contextualSpacing/>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لا</w:t>
            </w:r>
            <w:proofErr w:type="gramEnd"/>
            <w:r w:rsidRPr="007045D1">
              <w:rPr>
                <w:rFonts w:ascii="Arabic Typesetting" w:eastAsia="SimSun" w:hAnsi="Arabic Typesetting" w:cs="Arabic Typesetting"/>
                <w:sz w:val="32"/>
                <w:szCs w:val="32"/>
                <w:rtl/>
                <w:lang w:eastAsia="zh-CN"/>
              </w:rPr>
              <w:t xml:space="preserve"> يمكن إيداع مبلغ يزيد عن 10% من إجمالي المبالغ النقدية والمشتقات والاستثمارات الموظفة لدى جهة مقابلة واحدة إلا إذا تمتعت بالتصنيف الائتماني </w:t>
            </w:r>
            <w:r w:rsidRPr="007045D1">
              <w:rPr>
                <w:rFonts w:ascii="Arabic Typesetting" w:eastAsia="SimSun" w:hAnsi="Arabic Typesetting" w:cs="Arabic Typesetting"/>
                <w:sz w:val="32"/>
                <w:szCs w:val="32"/>
                <w:lang w:eastAsia="zh-CN"/>
              </w:rPr>
              <w:t>AAA</w:t>
            </w:r>
          </w:p>
        </w:tc>
      </w:tr>
      <w:tr w:rsidR="00703FA5" w:rsidRPr="007045D1" w:rsidTr="007045D1">
        <w:trPr>
          <w:cantSplit/>
        </w:trPr>
        <w:tc>
          <w:tcPr>
            <w:tcW w:w="2484" w:type="dxa"/>
            <w:shd w:val="clear" w:color="auto" w:fill="auto"/>
          </w:tcPr>
          <w:p w:rsidR="00703FA5" w:rsidRPr="007045D1" w:rsidRDefault="00874A92" w:rsidP="007045D1">
            <w:pPr>
              <w:tabs>
                <w:tab w:val="left" w:pos="-1440"/>
                <w:tab w:val="left" w:pos="-720"/>
              </w:tabs>
              <w:suppressAutoHyphens/>
              <w:bidi/>
              <w:spacing w:after="240" w:line="240" w:lineRule="atLeast"/>
              <w:contextualSpacing/>
              <w:jc w:val="both"/>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الموافقة على الحدود</w:t>
            </w:r>
          </w:p>
        </w:tc>
        <w:tc>
          <w:tcPr>
            <w:tcW w:w="6555" w:type="dxa"/>
            <w:gridSpan w:val="2"/>
            <w:shd w:val="clear" w:color="auto" w:fill="auto"/>
          </w:tcPr>
          <w:p w:rsidR="00703FA5" w:rsidRPr="007045D1" w:rsidRDefault="00874A92" w:rsidP="007045D1">
            <w:pPr>
              <w:numPr>
                <w:ilvl w:val="0"/>
                <w:numId w:val="32"/>
              </w:numPr>
              <w:bidi/>
              <w:spacing w:after="240"/>
              <w:ind w:left="777" w:hanging="426"/>
              <w:contextualSpacing/>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يمكن</w:t>
            </w:r>
            <w:proofErr w:type="gramEnd"/>
            <w:r w:rsidRPr="007045D1">
              <w:rPr>
                <w:rFonts w:ascii="Arabic Typesetting" w:eastAsia="SimSun" w:hAnsi="Arabic Typesetting" w:cs="Arabic Typesetting"/>
                <w:sz w:val="32"/>
                <w:szCs w:val="32"/>
                <w:rtl/>
                <w:lang w:eastAsia="zh-CN"/>
              </w:rPr>
              <w:t xml:space="preserve"> للمدير العام والمراقب المالي أن يراجعا معاً الحدود ومستويات التعرض المالي المفروضة على الجهات المقابلة.</w:t>
            </w:r>
          </w:p>
        </w:tc>
      </w:tr>
      <w:tr w:rsidR="00703FA5" w:rsidRPr="007045D1" w:rsidTr="007045D1">
        <w:trPr>
          <w:cantSplit/>
        </w:trPr>
        <w:tc>
          <w:tcPr>
            <w:tcW w:w="2484" w:type="dxa"/>
            <w:shd w:val="clear" w:color="auto" w:fill="auto"/>
          </w:tcPr>
          <w:p w:rsidR="00703FA5" w:rsidRPr="007045D1" w:rsidRDefault="00874A92" w:rsidP="007045D1">
            <w:pPr>
              <w:tabs>
                <w:tab w:val="left" w:pos="-1440"/>
                <w:tab w:val="left" w:pos="-720"/>
              </w:tabs>
              <w:suppressAutoHyphens/>
              <w:bidi/>
              <w:spacing w:after="240" w:line="240" w:lineRule="atLeast"/>
              <w:contextualSpacing/>
              <w:jc w:val="both"/>
              <w:rPr>
                <w:rFonts w:ascii="Arabic Typesetting" w:eastAsia="SimSun" w:hAnsi="Arabic Typesetting" w:cs="Arabic Typesetting"/>
                <w:sz w:val="32"/>
                <w:szCs w:val="32"/>
                <w:lang w:eastAsia="zh-CN"/>
              </w:rPr>
            </w:pPr>
            <w:proofErr w:type="gramStart"/>
            <w:r w:rsidRPr="007045D1">
              <w:rPr>
                <w:rFonts w:ascii="Arabic Typesetting" w:eastAsia="SimSun" w:hAnsi="Arabic Typesetting" w:cs="Arabic Typesetting"/>
                <w:sz w:val="32"/>
                <w:szCs w:val="32"/>
                <w:rtl/>
                <w:lang w:eastAsia="zh-CN"/>
              </w:rPr>
              <w:t>مراقبة</w:t>
            </w:r>
            <w:proofErr w:type="gramEnd"/>
            <w:r w:rsidRPr="007045D1">
              <w:rPr>
                <w:rFonts w:ascii="Arabic Typesetting" w:eastAsia="SimSun" w:hAnsi="Arabic Typesetting" w:cs="Arabic Typesetting"/>
                <w:sz w:val="32"/>
                <w:szCs w:val="32"/>
                <w:rtl/>
                <w:lang w:eastAsia="zh-CN"/>
              </w:rPr>
              <w:t xml:space="preserve"> مستويات التعرض المالي</w:t>
            </w:r>
          </w:p>
        </w:tc>
        <w:tc>
          <w:tcPr>
            <w:tcW w:w="6555" w:type="dxa"/>
            <w:gridSpan w:val="2"/>
            <w:shd w:val="clear" w:color="auto" w:fill="auto"/>
          </w:tcPr>
          <w:p w:rsidR="00703FA5" w:rsidRPr="007045D1" w:rsidRDefault="00874A92" w:rsidP="007045D1">
            <w:pPr>
              <w:numPr>
                <w:ilvl w:val="0"/>
                <w:numId w:val="33"/>
              </w:numPr>
              <w:bidi/>
              <w:spacing w:after="240"/>
              <w:ind w:left="777" w:hanging="426"/>
              <w:contextualSpacing/>
              <w:rPr>
                <w:rFonts w:ascii="Arabic Typesetting" w:eastAsia="SimSun" w:hAnsi="Arabic Typesetting" w:cs="Arabic Typesetting"/>
                <w:sz w:val="32"/>
                <w:szCs w:val="32"/>
                <w:lang w:eastAsia="zh-CN"/>
              </w:rPr>
            </w:pPr>
            <w:r w:rsidRPr="007045D1">
              <w:rPr>
                <w:rFonts w:ascii="Arabic Typesetting" w:eastAsia="SimSun" w:hAnsi="Arabic Typesetting" w:cs="Arabic Typesetting"/>
                <w:sz w:val="32"/>
                <w:szCs w:val="32"/>
                <w:rtl/>
                <w:lang w:eastAsia="zh-CN"/>
              </w:rPr>
              <w:t>يجب على الويبو أن تواظب على تقييم مستوى تعرض الخزانة مالياً للجهات المقابلة وقياسه ورفع تقارير بشأنه.</w:t>
            </w:r>
          </w:p>
        </w:tc>
      </w:tr>
    </w:tbl>
    <w:p w:rsidR="00703FA5" w:rsidRPr="00874A92" w:rsidRDefault="00874A92" w:rsidP="00874A92">
      <w:pPr>
        <w:pStyle w:val="NormalParaAR"/>
        <w:spacing w:before="1680"/>
        <w:ind w:left="5534"/>
        <w:rPr>
          <w:rFonts w:eastAsia="SimSun"/>
          <w:rtl/>
          <w:lang w:eastAsia="zh-CN"/>
        </w:rPr>
      </w:pPr>
      <w:r w:rsidRPr="00874A92">
        <w:rPr>
          <w:rFonts w:eastAsia="SimSun" w:hint="cs"/>
          <w:rtl/>
          <w:lang w:eastAsia="zh-CN"/>
        </w:rPr>
        <w:t xml:space="preserve">[نهاية المرفق الثالث </w:t>
      </w:r>
      <w:proofErr w:type="gramStart"/>
      <w:r w:rsidRPr="00874A92">
        <w:rPr>
          <w:rFonts w:eastAsia="SimSun" w:hint="cs"/>
          <w:rtl/>
          <w:lang w:eastAsia="zh-CN"/>
        </w:rPr>
        <w:t>والوثيقة</w:t>
      </w:r>
      <w:proofErr w:type="gramEnd"/>
      <w:r w:rsidRPr="00874A92">
        <w:rPr>
          <w:rFonts w:eastAsia="SimSun" w:hint="cs"/>
          <w:rtl/>
          <w:lang w:eastAsia="zh-CN"/>
        </w:rPr>
        <w:t>]</w:t>
      </w:r>
    </w:p>
    <w:sectPr w:rsidR="00703FA5" w:rsidRPr="00874A92" w:rsidSect="00EB7752">
      <w:headerReference w:type="default" r:id="rId24"/>
      <w:headerReference w:type="first" r:id="rId2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A3" w:rsidRDefault="00F613A3">
      <w:r>
        <w:separator/>
      </w:r>
    </w:p>
  </w:endnote>
  <w:endnote w:type="continuationSeparator" w:id="0">
    <w:p w:rsidR="00F613A3" w:rsidRDefault="00F6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Pr="00EF3EBB" w:rsidRDefault="004F6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4B76C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A3" w:rsidRDefault="00F613A3" w:rsidP="009622BF">
      <w:pPr>
        <w:bidi/>
      </w:pPr>
      <w:bookmarkStart w:id="0" w:name="OLE_LINK1"/>
      <w:bookmarkStart w:id="1" w:name="OLE_LINK2"/>
      <w:r>
        <w:separator/>
      </w:r>
      <w:bookmarkEnd w:id="0"/>
      <w:bookmarkEnd w:id="1"/>
    </w:p>
  </w:footnote>
  <w:footnote w:type="continuationSeparator" w:id="0">
    <w:p w:rsidR="00F613A3" w:rsidRDefault="00F613A3" w:rsidP="009622BF">
      <w:pPr>
        <w:bidi/>
      </w:pPr>
      <w:r>
        <w:separator/>
      </w:r>
    </w:p>
  </w:footnote>
  <w:footnote w:id="1">
    <w:p w:rsidR="004F68AC" w:rsidRPr="002465CB" w:rsidRDefault="004F68AC" w:rsidP="004F68AC">
      <w:pPr>
        <w:pStyle w:val="FootnoteText"/>
      </w:pPr>
      <w:r w:rsidRPr="002465CB">
        <w:rPr>
          <w:rStyle w:val="FootnoteReference"/>
        </w:rPr>
        <w:footnoteRef/>
      </w:r>
      <w:r w:rsidRPr="002465CB">
        <w:rPr>
          <w:rtl/>
        </w:rPr>
        <w:t xml:space="preserve"> </w:t>
      </w:r>
      <w:proofErr w:type="gramStart"/>
      <w:r w:rsidRPr="002465CB">
        <w:rPr>
          <w:rFonts w:hint="cs"/>
          <w:rtl/>
        </w:rPr>
        <w:t>تُحسب</w:t>
      </w:r>
      <w:proofErr w:type="gramEnd"/>
      <w:r w:rsidRPr="002465CB">
        <w:rPr>
          <w:rFonts w:hint="cs"/>
          <w:rtl/>
        </w:rPr>
        <w:t xml:space="preserve"> النسبة الحالية بوصفها أصولاً جارية تُقسم على الخصوم الجارية بينما تُحسب نسبة السيولة بوصفها أصولاً </w:t>
      </w:r>
      <w:r>
        <w:rPr>
          <w:rFonts w:hint="cs"/>
          <w:rtl/>
        </w:rPr>
        <w:t>من السيولة</w:t>
      </w:r>
      <w:r w:rsidRPr="002465CB">
        <w:rPr>
          <w:rFonts w:hint="cs"/>
          <w:rtl/>
        </w:rPr>
        <w:t xml:space="preserve"> تُقسم على الخصوم الجارية.</w:t>
      </w:r>
    </w:p>
  </w:footnote>
  <w:footnote w:id="2">
    <w:p w:rsidR="0097666D" w:rsidRPr="002465CB" w:rsidRDefault="0097666D" w:rsidP="0097666D">
      <w:pPr>
        <w:pStyle w:val="FootnoteText"/>
      </w:pPr>
      <w:r w:rsidRPr="002465CB">
        <w:rPr>
          <w:rStyle w:val="FootnoteReference"/>
        </w:rPr>
        <w:footnoteRef/>
      </w:r>
      <w:r w:rsidRPr="002465CB">
        <w:rPr>
          <w:rtl/>
        </w:rPr>
        <w:t>يرد</w:t>
      </w:r>
      <w:r w:rsidRPr="002465CB">
        <w:t xml:space="preserve"> </w:t>
      </w:r>
      <w:r w:rsidRPr="002465CB">
        <w:rPr>
          <w:rtl/>
        </w:rPr>
        <w:t>مزيد</w:t>
      </w:r>
      <w:r w:rsidRPr="002465CB">
        <w:t xml:space="preserve"> </w:t>
      </w:r>
      <w:r w:rsidRPr="002465CB">
        <w:rPr>
          <w:rtl/>
        </w:rPr>
        <w:t>من</w:t>
      </w:r>
      <w:r w:rsidRPr="002465CB">
        <w:t xml:space="preserve"> </w:t>
      </w:r>
      <w:r w:rsidRPr="002465CB">
        <w:rPr>
          <w:rtl/>
        </w:rPr>
        <w:t>التفاصيل</w:t>
      </w:r>
      <w:r w:rsidRPr="002465CB">
        <w:t xml:space="preserve"> </w:t>
      </w:r>
      <w:r w:rsidRPr="002465CB">
        <w:rPr>
          <w:rtl/>
        </w:rPr>
        <w:t>عن</w:t>
      </w:r>
      <w:r w:rsidRPr="002465CB">
        <w:t xml:space="preserve"> </w:t>
      </w:r>
      <w:r w:rsidRPr="002465CB">
        <w:rPr>
          <w:rtl/>
        </w:rPr>
        <w:t>الترتيب</w:t>
      </w:r>
      <w:r w:rsidRPr="002465CB">
        <w:t xml:space="preserve"> </w:t>
      </w:r>
      <w:proofErr w:type="gramStart"/>
      <w:r w:rsidRPr="002465CB">
        <w:rPr>
          <w:rtl/>
        </w:rPr>
        <w:t>حسب</w:t>
      </w:r>
      <w:proofErr w:type="gramEnd"/>
      <w:r w:rsidRPr="002465CB">
        <w:t xml:space="preserve"> </w:t>
      </w:r>
      <w:r>
        <w:rPr>
          <w:rFonts w:hint="cs"/>
          <w:rtl/>
        </w:rPr>
        <w:t>التصنيفات الائتمانية</w:t>
      </w:r>
      <w:r w:rsidRPr="002465CB">
        <w:t xml:space="preserve"> </w:t>
      </w:r>
      <w:r w:rsidRPr="002465CB">
        <w:rPr>
          <w:rtl/>
        </w:rPr>
        <w:t>في</w:t>
      </w:r>
      <w:r w:rsidRPr="002465CB">
        <w:t xml:space="preserve"> </w:t>
      </w:r>
      <w:r>
        <w:rPr>
          <w:rtl/>
        </w:rPr>
        <w:t>المرفق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724D5E">
    <w:pPr>
      <w:pStyle w:val="Header"/>
    </w:pPr>
    <w:r w:rsidRPr="00724D5E">
      <w:t>WO/PBC/22/19</w:t>
    </w:r>
  </w:p>
  <w:p w:rsidR="004F68AC" w:rsidRDefault="00805D42" w:rsidP="00EE1147">
    <w:pPr>
      <w:pStyle w:val="Header"/>
      <w:spacing w:after="240"/>
      <w:rPr>
        <w:noProof/>
      </w:rPr>
    </w:pPr>
    <w:sdt>
      <w:sdtPr>
        <w:id w:val="-1498257049"/>
        <w:docPartObj>
          <w:docPartGallery w:val="Page Numbers (Top of Page)"/>
          <w:docPartUnique/>
        </w:docPartObj>
      </w:sdtPr>
      <w:sdtEndPr>
        <w:rPr>
          <w:noProof/>
        </w:rPr>
      </w:sdtEndPr>
      <w:sdtContent>
        <w:r w:rsidR="004F68AC">
          <w:fldChar w:fldCharType="begin"/>
        </w:r>
        <w:r w:rsidR="004F68AC">
          <w:instrText xml:space="preserve"> PAGE \* MERGEFORMAT </w:instrText>
        </w:r>
        <w:r w:rsidR="004F68AC">
          <w:fldChar w:fldCharType="separate"/>
        </w:r>
        <w:r>
          <w:rPr>
            <w:noProof/>
          </w:rPr>
          <w:t>10</w:t>
        </w:r>
        <w:r w:rsidR="004F68AC">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4B76C4">
    <w:pPr>
      <w:pStyle w:val="Header"/>
      <w:tabs>
        <w:tab w:val="clear" w:pos="4536"/>
        <w:tab w:val="clear" w:pos="9072"/>
        <w:tab w:val="left" w:pos="108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BF1216">
    <w:pPr>
      <w:pStyle w:val="Header"/>
    </w:pPr>
    <w:r>
      <w:t>WO/PBC/22/19</w:t>
    </w:r>
  </w:p>
  <w:p w:rsidR="00BF1216" w:rsidRDefault="004F68AC" w:rsidP="00BF1216">
    <w:pPr>
      <w:pStyle w:val="Header"/>
      <w:rPr>
        <w:rtl/>
      </w:rPr>
    </w:pPr>
    <w:r>
      <w:t>Annex I</w:t>
    </w:r>
  </w:p>
  <w:p w:rsidR="004F68AC" w:rsidRDefault="00805D42" w:rsidP="00EE1147">
    <w:pPr>
      <w:pStyle w:val="Header"/>
    </w:pPr>
    <w:sdt>
      <w:sdtPr>
        <w:id w:val="758104854"/>
        <w:docPartObj>
          <w:docPartGallery w:val="Page Numbers (Top of Page)"/>
          <w:docPartUnique/>
        </w:docPartObj>
      </w:sdtPr>
      <w:sdtEndPr>
        <w:rPr>
          <w:noProof/>
        </w:rPr>
      </w:sdtEndPr>
      <w:sdtContent>
        <w:r w:rsidR="004F68AC">
          <w:fldChar w:fldCharType="begin"/>
        </w:r>
        <w:r w:rsidR="004F68AC">
          <w:instrText xml:space="preserve"> PAGE \* MERGEFORMAT </w:instrText>
        </w:r>
        <w:r w:rsidR="004F68AC">
          <w:fldChar w:fldCharType="separate"/>
        </w:r>
        <w:r>
          <w:rPr>
            <w:noProof/>
          </w:rPr>
          <w:t>2</w:t>
        </w:r>
        <w:r w:rsidR="004F68AC">
          <w:rPr>
            <w:noProof/>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BF1216">
    <w:pPr>
      <w:pStyle w:val="Header"/>
    </w:pPr>
    <w:r>
      <w:t>WO/PBC/22/19</w:t>
    </w:r>
  </w:p>
  <w:p w:rsidR="004F68AC" w:rsidRDefault="004F68AC" w:rsidP="00BF1216">
    <w:pPr>
      <w:pStyle w:val="Header"/>
      <w:rPr>
        <w:rtl/>
      </w:rPr>
    </w:pPr>
    <w:r>
      <w:t>ANNEX I</w:t>
    </w:r>
  </w:p>
  <w:p w:rsidR="004F68AC" w:rsidRPr="00BF1216" w:rsidRDefault="00BF1216" w:rsidP="00EE1147">
    <w:pPr>
      <w:pStyle w:val="Header"/>
      <w:bidi/>
      <w:spacing w:after="240"/>
      <w:jc w:val="right"/>
      <w:rPr>
        <w:rFonts w:ascii="Arabic Typesetting" w:hAnsi="Arabic Typesetting" w:cs="Arabic Typesetting"/>
        <w:sz w:val="44"/>
        <w:szCs w:val="44"/>
      </w:rPr>
    </w:pPr>
    <w:proofErr w:type="gramStart"/>
    <w:r w:rsidRPr="00BF1216">
      <w:rPr>
        <w:rFonts w:ascii="Arabic Typesetting" w:hAnsi="Arabic Typesetting" w:cs="Arabic Typesetting"/>
        <w:sz w:val="44"/>
        <w:szCs w:val="44"/>
        <w:rtl/>
      </w:rPr>
      <w:t>المرفق</w:t>
    </w:r>
    <w:proofErr w:type="gramEnd"/>
    <w:r w:rsidRPr="00BF1216">
      <w:rPr>
        <w:rFonts w:ascii="Arabic Typesetting" w:hAnsi="Arabic Typesetting" w:cs="Arabic Typesetting"/>
        <w:sz w:val="44"/>
        <w:szCs w:val="44"/>
        <w:rtl/>
      </w:rPr>
      <w:t xml:space="preserve"> الأول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BF1216">
    <w:pPr>
      <w:pStyle w:val="Header"/>
    </w:pPr>
    <w:r>
      <w:t>WO/PBC/22/19</w:t>
    </w:r>
  </w:p>
  <w:p w:rsidR="00BF1216" w:rsidRDefault="00BF1216" w:rsidP="00BF1216">
    <w:pPr>
      <w:pStyle w:val="Header"/>
      <w:rPr>
        <w:rtl/>
      </w:rPr>
    </w:pPr>
    <w:r>
      <w:t>Annex I</w:t>
    </w:r>
  </w:p>
  <w:p w:rsidR="004F68AC" w:rsidRDefault="00805D42" w:rsidP="00BF1216">
    <w:pPr>
      <w:pStyle w:val="Header"/>
    </w:pPr>
    <w:sdt>
      <w:sdtPr>
        <w:id w:val="1323078917"/>
        <w:docPartObj>
          <w:docPartGallery w:val="Page Numbers (Top of Page)"/>
          <w:docPartUnique/>
        </w:docPartObj>
      </w:sdtPr>
      <w:sdtEndPr>
        <w:rPr>
          <w:noProof/>
        </w:rPr>
      </w:sdtEndPr>
      <w:sdtContent>
        <w:r w:rsidR="004F68AC">
          <w:fldChar w:fldCharType="begin"/>
        </w:r>
        <w:r w:rsidR="004F68AC">
          <w:instrText xml:space="preserve"> PAGE \* MERGEFORMAT </w:instrText>
        </w:r>
        <w:r w:rsidR="004F68AC">
          <w:fldChar w:fldCharType="separate"/>
        </w:r>
        <w:r>
          <w:rPr>
            <w:noProof/>
          </w:rPr>
          <w:t>3</w:t>
        </w:r>
        <w:r w:rsidR="004F68AC">
          <w:rPr>
            <w:noProof/>
          </w:rPr>
          <w:fldChar w:fldCharType="end"/>
        </w:r>
      </w:sdtContent>
    </w:sdt>
  </w:p>
  <w:p w:rsidR="004F68AC" w:rsidRDefault="004F68AC" w:rsidP="004B76C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BF1216">
    <w:pPr>
      <w:pStyle w:val="Header"/>
    </w:pPr>
    <w:r>
      <w:t>WO/PBC/22/19</w:t>
    </w:r>
  </w:p>
  <w:p w:rsidR="004F68AC" w:rsidRDefault="004F68AC" w:rsidP="00BF1216">
    <w:pPr>
      <w:pStyle w:val="Header"/>
    </w:pPr>
    <w:r>
      <w:t>ANNEX II</w:t>
    </w:r>
  </w:p>
  <w:p w:rsidR="004F68AC" w:rsidRPr="00BF1216" w:rsidRDefault="00BF1216" w:rsidP="00EE1147">
    <w:pPr>
      <w:pStyle w:val="Header"/>
      <w:bidi/>
      <w:spacing w:after="240"/>
      <w:jc w:val="right"/>
      <w:rPr>
        <w:rFonts w:ascii="Arabic Typesetting" w:hAnsi="Arabic Typesetting" w:cs="Arabic Typesetting"/>
        <w:sz w:val="44"/>
        <w:szCs w:val="44"/>
      </w:rPr>
    </w:pPr>
    <w:proofErr w:type="gramStart"/>
    <w:r w:rsidRPr="00BF1216">
      <w:rPr>
        <w:rFonts w:ascii="Arabic Typesetting" w:hAnsi="Arabic Typesetting" w:cs="Arabic Typesetting"/>
        <w:sz w:val="44"/>
        <w:szCs w:val="44"/>
        <w:rtl/>
      </w:rPr>
      <w:t>المرفق</w:t>
    </w:r>
    <w:proofErr w:type="gramEnd"/>
    <w:r w:rsidRPr="00BF1216">
      <w:rPr>
        <w:rFonts w:ascii="Arabic Typesetting" w:hAnsi="Arabic Typesetting" w:cs="Arabic Typesetting"/>
        <w:sz w:val="44"/>
        <w:szCs w:val="44"/>
        <w:rtl/>
      </w:rPr>
      <w:t xml:space="preserve"> الثاني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AC" w:rsidRDefault="004F68AC" w:rsidP="00274410">
    <w:r>
      <w:t>WO/PBC/22/19</w:t>
    </w:r>
  </w:p>
  <w:p w:rsidR="00E11A89" w:rsidRDefault="00E11A89" w:rsidP="00274410">
    <w:r>
      <w:t>Annex III</w:t>
    </w:r>
  </w:p>
  <w:p w:rsidR="004F68AC" w:rsidRDefault="004F68AC" w:rsidP="00EE1147">
    <w:pPr>
      <w:spacing w:after="240"/>
    </w:pPr>
    <w:r>
      <w:fldChar w:fldCharType="begin"/>
    </w:r>
    <w:r>
      <w:instrText xml:space="preserve"> PAGE \* MERGEFORMAT </w:instrText>
    </w:r>
    <w:r>
      <w:fldChar w:fldCharType="separate"/>
    </w:r>
    <w:r w:rsidR="00805D42">
      <w:rPr>
        <w:noProof/>
      </w:rPr>
      <w:t>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89" w:rsidRDefault="00E11A89" w:rsidP="00BF1216">
    <w:pPr>
      <w:pStyle w:val="Header"/>
    </w:pPr>
    <w:r>
      <w:t>WO/PBC/22/19</w:t>
    </w:r>
  </w:p>
  <w:p w:rsidR="00E11A89" w:rsidRDefault="00E11A89" w:rsidP="00BF1216">
    <w:pPr>
      <w:pStyle w:val="Header"/>
    </w:pPr>
    <w:r>
      <w:t>ANNEX III</w:t>
    </w:r>
  </w:p>
  <w:p w:rsidR="00E11A89" w:rsidRPr="00BF1216" w:rsidRDefault="00E11A89" w:rsidP="00EE1147">
    <w:pPr>
      <w:pStyle w:val="Header"/>
      <w:bidi/>
      <w:spacing w:after="240"/>
      <w:jc w:val="right"/>
      <w:rPr>
        <w:rFonts w:ascii="Arabic Typesetting" w:hAnsi="Arabic Typesetting" w:cs="Arabic Typesetting"/>
        <w:sz w:val="44"/>
        <w:szCs w:val="44"/>
        <w:rtl/>
      </w:rPr>
    </w:pPr>
    <w:proofErr w:type="gramStart"/>
    <w:r w:rsidRPr="00BF1216">
      <w:rPr>
        <w:rFonts w:ascii="Arabic Typesetting" w:hAnsi="Arabic Typesetting" w:cs="Arabic Typesetting"/>
        <w:sz w:val="44"/>
        <w:szCs w:val="44"/>
        <w:rtl/>
      </w:rPr>
      <w:t>المرفق</w:t>
    </w:r>
    <w:proofErr w:type="gramEnd"/>
    <w:r w:rsidRPr="00BF1216">
      <w:rPr>
        <w:rFonts w:ascii="Arabic Typesetting" w:hAnsi="Arabic Typesetting" w:cs="Arabic Typesetting"/>
        <w:sz w:val="44"/>
        <w:szCs w:val="44"/>
        <w:rtl/>
      </w:rPr>
      <w:t xml:space="preserve"> الثا</w:t>
    </w:r>
    <w:r>
      <w:rPr>
        <w:rFonts w:ascii="Arabic Typesetting" w:hAnsi="Arabic Typesetting" w:cs="Arabic Typesetting" w:hint="cs"/>
        <w:sz w:val="44"/>
        <w:szCs w:val="44"/>
        <w:rtl/>
      </w:rPr>
      <w:t>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CB77F04"/>
    <w:multiLevelType w:val="hybridMultilevel"/>
    <w:tmpl w:val="25A8E37E"/>
    <w:lvl w:ilvl="0" w:tplc="DD40665C">
      <w:start w:val="1"/>
      <w:numFmt w:val="bullet"/>
      <w:lvlText w:val=""/>
      <w:lvlJc w:val="left"/>
      <w:pPr>
        <w:tabs>
          <w:tab w:val="num" w:pos="720"/>
        </w:tabs>
        <w:ind w:left="720" w:hanging="360"/>
      </w:pPr>
      <w:rPr>
        <w:rFonts w:ascii="Wingdings" w:hAnsi="Wingdings" w:hint="default"/>
        <w:sz w:val="24"/>
        <w:szCs w:val="24"/>
      </w:rPr>
    </w:lvl>
    <w:lvl w:ilvl="1" w:tplc="7A28DEB4">
      <w:start w:val="1"/>
      <w:numFmt w:val="bullet"/>
      <w:lvlText w:val="o"/>
      <w:lvlJc w:val="left"/>
      <w:pPr>
        <w:tabs>
          <w:tab w:val="num" w:pos="1440"/>
        </w:tabs>
        <w:ind w:left="1440" w:hanging="360"/>
      </w:pPr>
      <w:rPr>
        <w:rFonts w:ascii="Courier New" w:hAnsi="Courier New" w:cs="Courier New" w:hint="default"/>
        <w:sz w:val="24"/>
        <w:szCs w:val="24"/>
      </w:rPr>
    </w:lvl>
    <w:lvl w:ilvl="2" w:tplc="4456F4C2">
      <w:start w:val="1"/>
      <w:numFmt w:val="bullet"/>
      <w:lvlText w:val=""/>
      <w:lvlJc w:val="left"/>
      <w:pPr>
        <w:tabs>
          <w:tab w:val="num" w:pos="2160"/>
        </w:tabs>
        <w:ind w:left="2160" w:hanging="360"/>
      </w:pPr>
      <w:rPr>
        <w:rFonts w:ascii="Wingdings" w:hAnsi="Wingdings"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017BC1"/>
    <w:multiLevelType w:val="hybridMultilevel"/>
    <w:tmpl w:val="CF58EDB0"/>
    <w:lvl w:ilvl="0" w:tplc="20CE055C">
      <w:start w:val="1"/>
      <w:numFmt w:val="bullet"/>
      <w:lvlText w:val=""/>
      <w:lvlJc w:val="left"/>
      <w:pPr>
        <w:ind w:left="720" w:hanging="360"/>
      </w:pPr>
      <w:rPr>
        <w:rFonts w:ascii="Wingdings" w:hAnsi="Wingdings" w:hint="default"/>
        <w:sz w:val="24"/>
        <w:szCs w:val="24"/>
        <w:lang w:bidi="ar-SA"/>
      </w:rPr>
    </w:lvl>
    <w:lvl w:ilvl="1" w:tplc="B6767A22">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8F42C1"/>
    <w:multiLevelType w:val="hybridMultilevel"/>
    <w:tmpl w:val="17AC9C80"/>
    <w:lvl w:ilvl="0" w:tplc="4F1E9440">
      <w:start w:val="1"/>
      <w:numFmt w:val="bullet"/>
      <w:lvlText w:val=""/>
      <w:lvlJc w:val="left"/>
      <w:pPr>
        <w:ind w:left="720" w:hanging="360"/>
      </w:pPr>
      <w:rPr>
        <w:rFonts w:ascii="Symbol" w:hAnsi="Symbol" w:hint="default"/>
        <w:sz w:val="24"/>
        <w:szCs w:val="24"/>
      </w:rPr>
    </w:lvl>
    <w:lvl w:ilvl="1" w:tplc="1A06B704">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A41281"/>
    <w:multiLevelType w:val="hybridMultilevel"/>
    <w:tmpl w:val="62027ACC"/>
    <w:lvl w:ilvl="0" w:tplc="8BB29E3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561DDD9"/>
    <w:multiLevelType w:val="hybridMultilevel"/>
    <w:tmpl w:val="2BF26916"/>
    <w:lvl w:ilvl="0" w:tplc="0409000F">
      <w:start w:val="1"/>
      <w:numFmt w:val="decimal"/>
      <w:lvlText w:val="%1."/>
      <w:lvlJc w:val="left"/>
    </w:lvl>
    <w:lvl w:ilvl="1" w:tplc="FB6260B4">
      <w:start w:val="1"/>
      <w:numFmt w:val="arabicAbjad"/>
      <w:lvlText w:val="(%2)"/>
      <w:lvlJc w:val="left"/>
      <w:rPr>
        <w:rFonts w:hint="default"/>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177D5000"/>
    <w:multiLevelType w:val="singleLevel"/>
    <w:tmpl w:val="0409000F"/>
    <w:lvl w:ilvl="0">
      <w:start w:val="1"/>
      <w:numFmt w:val="decimal"/>
      <w:lvlText w:val="%1."/>
      <w:lvlJc w:val="left"/>
      <w:pPr>
        <w:tabs>
          <w:tab w:val="num" w:pos="360"/>
        </w:tabs>
        <w:ind w:left="360" w:hanging="360"/>
      </w:p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15D198D"/>
    <w:multiLevelType w:val="hybridMultilevel"/>
    <w:tmpl w:val="DE342DC8"/>
    <w:lvl w:ilvl="0" w:tplc="A5FC596E">
      <w:start w:val="1"/>
      <w:numFmt w:val="decimal"/>
      <w:lvlText w:val="&quot;%1&quot;"/>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1">
    <w:nsid w:val="21834749"/>
    <w:multiLevelType w:val="hybridMultilevel"/>
    <w:tmpl w:val="EDD49822"/>
    <w:lvl w:ilvl="0" w:tplc="B2087C9A">
      <w:start w:val="1"/>
      <w:numFmt w:val="lowerLetter"/>
      <w:pStyle w:val="ListParagraph"/>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A8621E"/>
    <w:multiLevelType w:val="hybridMultilevel"/>
    <w:tmpl w:val="29E80170"/>
    <w:lvl w:ilvl="0" w:tplc="EA544D3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26">
    <w:nsid w:val="35AE1B6C"/>
    <w:multiLevelType w:val="hybridMultilevel"/>
    <w:tmpl w:val="B0BCA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2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4DA2083E"/>
    <w:multiLevelType w:val="hybridMultilevel"/>
    <w:tmpl w:val="D01432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585573A0"/>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A80D9C"/>
    <w:multiLevelType w:val="hybridMultilevel"/>
    <w:tmpl w:val="8C5E5E7A"/>
    <w:lvl w:ilvl="0" w:tplc="EA544D3A">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6F170A5F"/>
    <w:multiLevelType w:val="hybridMultilevel"/>
    <w:tmpl w:val="C7465292"/>
    <w:lvl w:ilvl="0" w:tplc="24AE9200">
      <w:start w:val="1"/>
      <w:numFmt w:val="arabicAbjad"/>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1E10D1"/>
    <w:multiLevelType w:val="hybridMultilevel"/>
    <w:tmpl w:val="DF125C88"/>
    <w:lvl w:ilvl="0" w:tplc="2D78AA4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8"/>
  </w:num>
  <w:num w:numId="3">
    <w:abstractNumId w:val="17"/>
  </w:num>
  <w:num w:numId="4">
    <w:abstractNumId w:val="40"/>
  </w:num>
  <w:num w:numId="5">
    <w:abstractNumId w:val="8"/>
  </w:num>
  <w:num w:numId="6">
    <w:abstractNumId w:val="41"/>
  </w:num>
  <w:num w:numId="7">
    <w:abstractNumId w:val="24"/>
  </w:num>
  <w:num w:numId="8">
    <w:abstractNumId w:val="37"/>
  </w:num>
  <w:num w:numId="9">
    <w:abstractNumId w:val="33"/>
  </w:num>
  <w:num w:numId="10">
    <w:abstractNumId w:val="43"/>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9"/>
  </w:num>
  <w:num w:numId="22">
    <w:abstractNumId w:val="10"/>
  </w:num>
  <w:num w:numId="23">
    <w:abstractNumId w:val="19"/>
  </w:num>
  <w:num w:numId="24">
    <w:abstractNumId w:val="21"/>
  </w:num>
  <w:num w:numId="25">
    <w:abstractNumId w:val="36"/>
  </w:num>
  <w:num w:numId="26">
    <w:abstractNumId w:val="35"/>
  </w:num>
  <w:num w:numId="27">
    <w:abstractNumId w:val="15"/>
  </w:num>
  <w:num w:numId="28">
    <w:abstractNumId w:val="34"/>
  </w:num>
  <w:num w:numId="29">
    <w:abstractNumId w:val="11"/>
  </w:num>
  <w:num w:numId="30">
    <w:abstractNumId w:val="30"/>
  </w:num>
  <w:num w:numId="31">
    <w:abstractNumId w:val="12"/>
  </w:num>
  <w:num w:numId="32">
    <w:abstractNumId w:val="14"/>
  </w:num>
  <w:num w:numId="33">
    <w:abstractNumId w:val="42"/>
  </w:num>
  <w:num w:numId="34">
    <w:abstractNumId w:val="31"/>
  </w:num>
  <w:num w:numId="35">
    <w:abstractNumId w:val="32"/>
  </w:num>
  <w:num w:numId="36">
    <w:abstractNumId w:val="25"/>
  </w:num>
  <w:num w:numId="37">
    <w:abstractNumId w:val="16"/>
  </w:num>
  <w:num w:numId="38">
    <w:abstractNumId w:val="27"/>
  </w:num>
  <w:num w:numId="39">
    <w:abstractNumId w:val="26"/>
  </w:num>
  <w:num w:numId="40">
    <w:abstractNumId w:val="38"/>
  </w:num>
  <w:num w:numId="41">
    <w:abstractNumId w:val="39"/>
  </w:num>
  <w:num w:numId="42">
    <w:abstractNumId w:val="23"/>
  </w:num>
  <w:num w:numId="43">
    <w:abstractNumId w:val="20"/>
  </w:num>
  <w:num w:numId="44">
    <w:abstractNumId w:val="21"/>
  </w:num>
  <w:num w:numId="45">
    <w:abstractNumId w:val="2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1F"/>
    <w:rsid w:val="000012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A61"/>
    <w:rsid w:val="00060D3B"/>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1AE"/>
    <w:rsid w:val="000763A4"/>
    <w:rsid w:val="00076901"/>
    <w:rsid w:val="000803CC"/>
    <w:rsid w:val="0008237C"/>
    <w:rsid w:val="00082A8D"/>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2F7"/>
    <w:rsid w:val="000B0BB4"/>
    <w:rsid w:val="000B1045"/>
    <w:rsid w:val="000B1BAE"/>
    <w:rsid w:val="000B29B3"/>
    <w:rsid w:val="000B37B8"/>
    <w:rsid w:val="000B3889"/>
    <w:rsid w:val="000B3B3B"/>
    <w:rsid w:val="000B42E7"/>
    <w:rsid w:val="000B70B7"/>
    <w:rsid w:val="000B73E2"/>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45D"/>
    <w:rsid w:val="000D5083"/>
    <w:rsid w:val="000D5FB7"/>
    <w:rsid w:val="000E06A5"/>
    <w:rsid w:val="000E16EB"/>
    <w:rsid w:val="000E591F"/>
    <w:rsid w:val="000E5A23"/>
    <w:rsid w:val="000E6045"/>
    <w:rsid w:val="000E7872"/>
    <w:rsid w:val="000F0733"/>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3F2"/>
    <w:rsid w:val="00126897"/>
    <w:rsid w:val="0012696D"/>
    <w:rsid w:val="00130FC9"/>
    <w:rsid w:val="001310EE"/>
    <w:rsid w:val="0013191A"/>
    <w:rsid w:val="00131BCC"/>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95F"/>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273"/>
    <w:rsid w:val="00191E75"/>
    <w:rsid w:val="00192022"/>
    <w:rsid w:val="0019301D"/>
    <w:rsid w:val="0019454F"/>
    <w:rsid w:val="00194719"/>
    <w:rsid w:val="00194774"/>
    <w:rsid w:val="00195CE0"/>
    <w:rsid w:val="001A098F"/>
    <w:rsid w:val="001A10CB"/>
    <w:rsid w:val="001A110B"/>
    <w:rsid w:val="001A149A"/>
    <w:rsid w:val="001A2AB7"/>
    <w:rsid w:val="001A42DC"/>
    <w:rsid w:val="001A4A9C"/>
    <w:rsid w:val="001A69DF"/>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079"/>
    <w:rsid w:val="001D141D"/>
    <w:rsid w:val="001D1EBD"/>
    <w:rsid w:val="001D2184"/>
    <w:rsid w:val="001D24F3"/>
    <w:rsid w:val="001D2678"/>
    <w:rsid w:val="001D2DC4"/>
    <w:rsid w:val="001D6A48"/>
    <w:rsid w:val="001E1043"/>
    <w:rsid w:val="001E10E1"/>
    <w:rsid w:val="001E175F"/>
    <w:rsid w:val="001E19F7"/>
    <w:rsid w:val="001E2669"/>
    <w:rsid w:val="001E297F"/>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5CB"/>
    <w:rsid w:val="00246E87"/>
    <w:rsid w:val="00247783"/>
    <w:rsid w:val="002514E4"/>
    <w:rsid w:val="0025172C"/>
    <w:rsid w:val="00252CF8"/>
    <w:rsid w:val="00252E2E"/>
    <w:rsid w:val="00253210"/>
    <w:rsid w:val="0025353E"/>
    <w:rsid w:val="00253DE1"/>
    <w:rsid w:val="0025425F"/>
    <w:rsid w:val="00254468"/>
    <w:rsid w:val="00254AF2"/>
    <w:rsid w:val="00254DE4"/>
    <w:rsid w:val="002559DA"/>
    <w:rsid w:val="00256955"/>
    <w:rsid w:val="0026071A"/>
    <w:rsid w:val="00261B27"/>
    <w:rsid w:val="00262B5A"/>
    <w:rsid w:val="00264BBC"/>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0BCE"/>
    <w:rsid w:val="002A1059"/>
    <w:rsid w:val="002A1E30"/>
    <w:rsid w:val="002A3C9D"/>
    <w:rsid w:val="002A5403"/>
    <w:rsid w:val="002A6C9F"/>
    <w:rsid w:val="002A77F3"/>
    <w:rsid w:val="002B14F0"/>
    <w:rsid w:val="002B1F0F"/>
    <w:rsid w:val="002B311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0F6"/>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CDC"/>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12"/>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8AB"/>
    <w:rsid w:val="00424BB4"/>
    <w:rsid w:val="004258CD"/>
    <w:rsid w:val="004261D2"/>
    <w:rsid w:val="004303D1"/>
    <w:rsid w:val="00432B7C"/>
    <w:rsid w:val="00433C0A"/>
    <w:rsid w:val="004349FA"/>
    <w:rsid w:val="004406BD"/>
    <w:rsid w:val="00441C81"/>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7D9"/>
    <w:rsid w:val="004569C6"/>
    <w:rsid w:val="00456ADC"/>
    <w:rsid w:val="0045768F"/>
    <w:rsid w:val="00457769"/>
    <w:rsid w:val="00457AEF"/>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5F8B"/>
    <w:rsid w:val="004B60CE"/>
    <w:rsid w:val="004B61C9"/>
    <w:rsid w:val="004B76C4"/>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8A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95C"/>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1A7B"/>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35C"/>
    <w:rsid w:val="006868CA"/>
    <w:rsid w:val="00686E32"/>
    <w:rsid w:val="0069087A"/>
    <w:rsid w:val="00690B4B"/>
    <w:rsid w:val="00690BE4"/>
    <w:rsid w:val="00691077"/>
    <w:rsid w:val="00691982"/>
    <w:rsid w:val="00691BB0"/>
    <w:rsid w:val="00692777"/>
    <w:rsid w:val="00692BE0"/>
    <w:rsid w:val="00692C98"/>
    <w:rsid w:val="0069324E"/>
    <w:rsid w:val="00694487"/>
    <w:rsid w:val="0069472A"/>
    <w:rsid w:val="00695815"/>
    <w:rsid w:val="0069581B"/>
    <w:rsid w:val="00696601"/>
    <w:rsid w:val="00696AF7"/>
    <w:rsid w:val="006977FA"/>
    <w:rsid w:val="006A20FB"/>
    <w:rsid w:val="006A339D"/>
    <w:rsid w:val="006A4462"/>
    <w:rsid w:val="006A5B59"/>
    <w:rsid w:val="006A6A14"/>
    <w:rsid w:val="006A6EE1"/>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A0F"/>
    <w:rsid w:val="006C23A1"/>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915"/>
    <w:rsid w:val="006F434A"/>
    <w:rsid w:val="006F7974"/>
    <w:rsid w:val="00700A60"/>
    <w:rsid w:val="00703FA5"/>
    <w:rsid w:val="007045D1"/>
    <w:rsid w:val="00705027"/>
    <w:rsid w:val="00710494"/>
    <w:rsid w:val="007117BD"/>
    <w:rsid w:val="00715129"/>
    <w:rsid w:val="007154CE"/>
    <w:rsid w:val="00715B25"/>
    <w:rsid w:val="00716020"/>
    <w:rsid w:val="00720860"/>
    <w:rsid w:val="00721087"/>
    <w:rsid w:val="00721530"/>
    <w:rsid w:val="007225D3"/>
    <w:rsid w:val="00723422"/>
    <w:rsid w:val="00724D5E"/>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862"/>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88E"/>
    <w:rsid w:val="00783D11"/>
    <w:rsid w:val="00785E46"/>
    <w:rsid w:val="00787917"/>
    <w:rsid w:val="00790DE9"/>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32F"/>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071"/>
    <w:rsid w:val="007F04EF"/>
    <w:rsid w:val="007F342F"/>
    <w:rsid w:val="007F38D1"/>
    <w:rsid w:val="007F56BB"/>
    <w:rsid w:val="007F63CE"/>
    <w:rsid w:val="007F6EA4"/>
    <w:rsid w:val="008002A5"/>
    <w:rsid w:val="0080050E"/>
    <w:rsid w:val="00801329"/>
    <w:rsid w:val="00801424"/>
    <w:rsid w:val="00801AA4"/>
    <w:rsid w:val="00801B7E"/>
    <w:rsid w:val="008021B9"/>
    <w:rsid w:val="00803D6E"/>
    <w:rsid w:val="00805D42"/>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60"/>
    <w:rsid w:val="0087049C"/>
    <w:rsid w:val="00870AAD"/>
    <w:rsid w:val="00870EDE"/>
    <w:rsid w:val="00871DA0"/>
    <w:rsid w:val="00872030"/>
    <w:rsid w:val="00873973"/>
    <w:rsid w:val="00874A92"/>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384"/>
    <w:rsid w:val="008920C2"/>
    <w:rsid w:val="00895702"/>
    <w:rsid w:val="00897566"/>
    <w:rsid w:val="0089757B"/>
    <w:rsid w:val="008A0012"/>
    <w:rsid w:val="008A1594"/>
    <w:rsid w:val="008A1757"/>
    <w:rsid w:val="008A1CE6"/>
    <w:rsid w:val="008A1F25"/>
    <w:rsid w:val="008A47FB"/>
    <w:rsid w:val="008A5234"/>
    <w:rsid w:val="008A5397"/>
    <w:rsid w:val="008A6861"/>
    <w:rsid w:val="008A7522"/>
    <w:rsid w:val="008A7B55"/>
    <w:rsid w:val="008B0578"/>
    <w:rsid w:val="008B05F9"/>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86A"/>
    <w:rsid w:val="008D7D8C"/>
    <w:rsid w:val="008E004E"/>
    <w:rsid w:val="008E04FB"/>
    <w:rsid w:val="008E3E79"/>
    <w:rsid w:val="008E5282"/>
    <w:rsid w:val="008E5E2C"/>
    <w:rsid w:val="008E78F1"/>
    <w:rsid w:val="008E7C6B"/>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834"/>
    <w:rsid w:val="00921BB8"/>
    <w:rsid w:val="00921D28"/>
    <w:rsid w:val="00922034"/>
    <w:rsid w:val="0092266C"/>
    <w:rsid w:val="009241E8"/>
    <w:rsid w:val="00925956"/>
    <w:rsid w:val="00925DD2"/>
    <w:rsid w:val="00926344"/>
    <w:rsid w:val="00926929"/>
    <w:rsid w:val="00927301"/>
    <w:rsid w:val="00927E9D"/>
    <w:rsid w:val="00931859"/>
    <w:rsid w:val="0093205C"/>
    <w:rsid w:val="00933E09"/>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955"/>
    <w:rsid w:val="009621CE"/>
    <w:rsid w:val="009622BF"/>
    <w:rsid w:val="009651B8"/>
    <w:rsid w:val="009653F3"/>
    <w:rsid w:val="0096587A"/>
    <w:rsid w:val="009666E7"/>
    <w:rsid w:val="00967278"/>
    <w:rsid w:val="00970E29"/>
    <w:rsid w:val="00971568"/>
    <w:rsid w:val="009728F2"/>
    <w:rsid w:val="00972BEF"/>
    <w:rsid w:val="00973BCF"/>
    <w:rsid w:val="009744BC"/>
    <w:rsid w:val="00974E60"/>
    <w:rsid w:val="00975896"/>
    <w:rsid w:val="00975DF1"/>
    <w:rsid w:val="0097666D"/>
    <w:rsid w:val="00976AFE"/>
    <w:rsid w:val="0098232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2D8A"/>
    <w:rsid w:val="009D3103"/>
    <w:rsid w:val="009D4409"/>
    <w:rsid w:val="009D4724"/>
    <w:rsid w:val="009D4B2F"/>
    <w:rsid w:val="009D4C1B"/>
    <w:rsid w:val="009D500A"/>
    <w:rsid w:val="009D5159"/>
    <w:rsid w:val="009D5EA5"/>
    <w:rsid w:val="009D64DA"/>
    <w:rsid w:val="009D6BEA"/>
    <w:rsid w:val="009D6CD5"/>
    <w:rsid w:val="009D76A3"/>
    <w:rsid w:val="009E09F5"/>
    <w:rsid w:val="009E0DBC"/>
    <w:rsid w:val="009E11BD"/>
    <w:rsid w:val="009E1DF8"/>
    <w:rsid w:val="009E2C1A"/>
    <w:rsid w:val="009E2C4B"/>
    <w:rsid w:val="009E2E0C"/>
    <w:rsid w:val="009E3218"/>
    <w:rsid w:val="009E3248"/>
    <w:rsid w:val="009E3A3B"/>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0D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2B1"/>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6F8"/>
    <w:rsid w:val="00AC5E85"/>
    <w:rsid w:val="00AC661F"/>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014"/>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E28"/>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7F4"/>
    <w:rsid w:val="00B63A9D"/>
    <w:rsid w:val="00B64888"/>
    <w:rsid w:val="00B672E3"/>
    <w:rsid w:val="00B675F9"/>
    <w:rsid w:val="00B70849"/>
    <w:rsid w:val="00B72C1C"/>
    <w:rsid w:val="00B73BB7"/>
    <w:rsid w:val="00B751C3"/>
    <w:rsid w:val="00B75EA2"/>
    <w:rsid w:val="00B76C0D"/>
    <w:rsid w:val="00B77D0D"/>
    <w:rsid w:val="00B80817"/>
    <w:rsid w:val="00B827E6"/>
    <w:rsid w:val="00B82A28"/>
    <w:rsid w:val="00B82B8D"/>
    <w:rsid w:val="00B82C97"/>
    <w:rsid w:val="00B851D5"/>
    <w:rsid w:val="00B855EF"/>
    <w:rsid w:val="00B85B06"/>
    <w:rsid w:val="00B90558"/>
    <w:rsid w:val="00B92958"/>
    <w:rsid w:val="00B93957"/>
    <w:rsid w:val="00B9404A"/>
    <w:rsid w:val="00B94877"/>
    <w:rsid w:val="00B9491F"/>
    <w:rsid w:val="00B96043"/>
    <w:rsid w:val="00B96377"/>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2151"/>
    <w:rsid w:val="00BE350E"/>
    <w:rsid w:val="00BE3801"/>
    <w:rsid w:val="00BE38CF"/>
    <w:rsid w:val="00BE394B"/>
    <w:rsid w:val="00BE48A8"/>
    <w:rsid w:val="00BE528F"/>
    <w:rsid w:val="00BE5850"/>
    <w:rsid w:val="00BE58D6"/>
    <w:rsid w:val="00BE5CA6"/>
    <w:rsid w:val="00BE707F"/>
    <w:rsid w:val="00BE7F5D"/>
    <w:rsid w:val="00BF0707"/>
    <w:rsid w:val="00BF1216"/>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C4D"/>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C01"/>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5A9"/>
    <w:rsid w:val="00CF0B9B"/>
    <w:rsid w:val="00CF0F7C"/>
    <w:rsid w:val="00CF13B8"/>
    <w:rsid w:val="00CF285E"/>
    <w:rsid w:val="00CF2D9A"/>
    <w:rsid w:val="00CF3739"/>
    <w:rsid w:val="00CF5597"/>
    <w:rsid w:val="00CF57B4"/>
    <w:rsid w:val="00CF5CA5"/>
    <w:rsid w:val="00CF658A"/>
    <w:rsid w:val="00CF66B6"/>
    <w:rsid w:val="00CF76A3"/>
    <w:rsid w:val="00D007D6"/>
    <w:rsid w:val="00D00B97"/>
    <w:rsid w:val="00D0107E"/>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616"/>
    <w:rsid w:val="00D4200A"/>
    <w:rsid w:val="00D4267F"/>
    <w:rsid w:val="00D441E9"/>
    <w:rsid w:val="00D44425"/>
    <w:rsid w:val="00D44FC8"/>
    <w:rsid w:val="00D45D8F"/>
    <w:rsid w:val="00D50332"/>
    <w:rsid w:val="00D52B95"/>
    <w:rsid w:val="00D5362B"/>
    <w:rsid w:val="00D53A09"/>
    <w:rsid w:val="00D54182"/>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9EC"/>
    <w:rsid w:val="00D70544"/>
    <w:rsid w:val="00D71463"/>
    <w:rsid w:val="00D7194A"/>
    <w:rsid w:val="00D72AE4"/>
    <w:rsid w:val="00D73026"/>
    <w:rsid w:val="00D73FA1"/>
    <w:rsid w:val="00D7469D"/>
    <w:rsid w:val="00D7550B"/>
    <w:rsid w:val="00D75EEB"/>
    <w:rsid w:val="00D75F1E"/>
    <w:rsid w:val="00D80F87"/>
    <w:rsid w:val="00D812A5"/>
    <w:rsid w:val="00D81D4E"/>
    <w:rsid w:val="00D82A5C"/>
    <w:rsid w:val="00D82D11"/>
    <w:rsid w:val="00D83CD3"/>
    <w:rsid w:val="00D83E51"/>
    <w:rsid w:val="00D84719"/>
    <w:rsid w:val="00D856EA"/>
    <w:rsid w:val="00D85ACD"/>
    <w:rsid w:val="00D86460"/>
    <w:rsid w:val="00D9010E"/>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2BF5"/>
    <w:rsid w:val="00DB364F"/>
    <w:rsid w:val="00DB39E7"/>
    <w:rsid w:val="00DB3B3E"/>
    <w:rsid w:val="00DB71DB"/>
    <w:rsid w:val="00DB71E1"/>
    <w:rsid w:val="00DB7B0F"/>
    <w:rsid w:val="00DB7CB3"/>
    <w:rsid w:val="00DC07F8"/>
    <w:rsid w:val="00DC0D57"/>
    <w:rsid w:val="00DC16F7"/>
    <w:rsid w:val="00DC1CA3"/>
    <w:rsid w:val="00DC2641"/>
    <w:rsid w:val="00DC2B1E"/>
    <w:rsid w:val="00DC5D19"/>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A89"/>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9B6"/>
    <w:rsid w:val="00E7190A"/>
    <w:rsid w:val="00E71CAD"/>
    <w:rsid w:val="00E71E5C"/>
    <w:rsid w:val="00E7245E"/>
    <w:rsid w:val="00E72BB2"/>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186"/>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D01"/>
    <w:rsid w:val="00ED1877"/>
    <w:rsid w:val="00ED247F"/>
    <w:rsid w:val="00ED27E4"/>
    <w:rsid w:val="00ED2F27"/>
    <w:rsid w:val="00ED3370"/>
    <w:rsid w:val="00ED4D96"/>
    <w:rsid w:val="00ED5A40"/>
    <w:rsid w:val="00ED5F21"/>
    <w:rsid w:val="00ED602C"/>
    <w:rsid w:val="00ED62B5"/>
    <w:rsid w:val="00ED6DDB"/>
    <w:rsid w:val="00ED7985"/>
    <w:rsid w:val="00EE1147"/>
    <w:rsid w:val="00EE270D"/>
    <w:rsid w:val="00EE6989"/>
    <w:rsid w:val="00EE6A92"/>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06A"/>
    <w:rsid w:val="00F12296"/>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3CB"/>
    <w:rsid w:val="00F53775"/>
    <w:rsid w:val="00F539A6"/>
    <w:rsid w:val="00F55E0E"/>
    <w:rsid w:val="00F5611D"/>
    <w:rsid w:val="00F56E3E"/>
    <w:rsid w:val="00F578A8"/>
    <w:rsid w:val="00F57A6A"/>
    <w:rsid w:val="00F57EEB"/>
    <w:rsid w:val="00F57F67"/>
    <w:rsid w:val="00F60996"/>
    <w:rsid w:val="00F60B5D"/>
    <w:rsid w:val="00F611E4"/>
    <w:rsid w:val="00F613A3"/>
    <w:rsid w:val="00F613D4"/>
    <w:rsid w:val="00F61FE7"/>
    <w:rsid w:val="00F62AFE"/>
    <w:rsid w:val="00F633E5"/>
    <w:rsid w:val="00F6349D"/>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1F55"/>
    <w:rsid w:val="00F92728"/>
    <w:rsid w:val="00F937AF"/>
    <w:rsid w:val="00F94494"/>
    <w:rsid w:val="00F94738"/>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241"/>
    <w:rsid w:val="00FE3B37"/>
    <w:rsid w:val="00FE4B40"/>
    <w:rsid w:val="00FE5DC4"/>
    <w:rsid w:val="00FE6E94"/>
    <w:rsid w:val="00FE76CB"/>
    <w:rsid w:val="00FE7BD8"/>
    <w:rsid w:val="00FF12EF"/>
    <w:rsid w:val="00FF1D76"/>
    <w:rsid w:val="00FF309E"/>
    <w:rsid w:val="00FF31A2"/>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A89"/>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703FA5"/>
  </w:style>
  <w:style w:type="paragraph" w:customStyle="1" w:styleId="Endofdocument-Annex">
    <w:name w:val="[End of document - Annex]"/>
    <w:basedOn w:val="Normal"/>
    <w:rsid w:val="00703FA5"/>
    <w:pPr>
      <w:ind w:left="5534"/>
    </w:pPr>
    <w:rPr>
      <w:rFonts w:eastAsia="SimSun"/>
      <w:lang w:eastAsia="zh-CN"/>
    </w:rPr>
  </w:style>
  <w:style w:type="paragraph" w:styleId="BodyText">
    <w:name w:val="Body Text"/>
    <w:basedOn w:val="Normal"/>
    <w:link w:val="BodyTextChar"/>
    <w:qFormat/>
    <w:rsid w:val="00703FA5"/>
    <w:pPr>
      <w:spacing w:after="220"/>
    </w:pPr>
    <w:rPr>
      <w:rFonts w:eastAsia="SimSun"/>
      <w:lang w:eastAsia="zh-CN"/>
    </w:rPr>
  </w:style>
  <w:style w:type="character" w:customStyle="1" w:styleId="BodyTextChar">
    <w:name w:val="Body Text Char"/>
    <w:basedOn w:val="DefaultParagraphFont"/>
    <w:link w:val="BodyText"/>
    <w:rsid w:val="00703FA5"/>
    <w:rPr>
      <w:rFonts w:ascii="Arial" w:eastAsia="SimSun" w:hAnsi="Arial" w:cs="Arial"/>
      <w:sz w:val="22"/>
      <w:lang w:eastAsia="zh-CN"/>
    </w:rPr>
  </w:style>
  <w:style w:type="paragraph" w:customStyle="1" w:styleId="ONUME">
    <w:name w:val="ONUM E"/>
    <w:basedOn w:val="BodyText"/>
    <w:rsid w:val="00703FA5"/>
    <w:pPr>
      <w:numPr>
        <w:numId w:val="22"/>
      </w:numPr>
    </w:pPr>
  </w:style>
  <w:style w:type="paragraph" w:customStyle="1" w:styleId="ONUMFS">
    <w:name w:val="ONUM FS"/>
    <w:basedOn w:val="BodyText"/>
    <w:rsid w:val="00703FA5"/>
    <w:pPr>
      <w:numPr>
        <w:numId w:val="23"/>
      </w:numPr>
    </w:pPr>
  </w:style>
  <w:style w:type="paragraph" w:styleId="ListParagraph">
    <w:name w:val="List Paragraph"/>
    <w:basedOn w:val="Normal"/>
    <w:link w:val="ListParagraphChar"/>
    <w:uiPriority w:val="34"/>
    <w:qFormat/>
    <w:rsid w:val="00703FA5"/>
    <w:pPr>
      <w:numPr>
        <w:numId w:val="24"/>
      </w:numPr>
      <w:tabs>
        <w:tab w:val="left" w:pos="851"/>
        <w:tab w:val="left" w:pos="1134"/>
      </w:tabs>
      <w:spacing w:before="120" w:after="120"/>
    </w:pPr>
    <w:rPr>
      <w:rFonts w:eastAsia="SimSun"/>
      <w:lang w:eastAsia="zh-CN"/>
    </w:rPr>
  </w:style>
  <w:style w:type="paragraph" w:customStyle="1" w:styleId="ListparagraphII">
    <w:name w:val="List paragraph II"/>
    <w:basedOn w:val="ListParagraph"/>
    <w:qFormat/>
    <w:rsid w:val="00703FA5"/>
    <w:pPr>
      <w:numPr>
        <w:numId w:val="25"/>
      </w:numPr>
      <w:tabs>
        <w:tab w:val="num" w:pos="567"/>
      </w:tabs>
      <w:ind w:left="0" w:firstLine="0"/>
    </w:pPr>
  </w:style>
  <w:style w:type="character" w:styleId="CommentReference">
    <w:name w:val="annotation reference"/>
    <w:basedOn w:val="DefaultParagraphFont"/>
    <w:rsid w:val="00703FA5"/>
    <w:rPr>
      <w:sz w:val="16"/>
      <w:szCs w:val="16"/>
    </w:rPr>
  </w:style>
  <w:style w:type="paragraph" w:styleId="CommentSubject">
    <w:name w:val="annotation subject"/>
    <w:basedOn w:val="CommentText"/>
    <w:next w:val="CommentText"/>
    <w:link w:val="CommentSubjectChar"/>
    <w:rsid w:val="00703FA5"/>
    <w:rPr>
      <w:rFonts w:eastAsia="SimSun"/>
      <w:b/>
      <w:bCs/>
      <w:sz w:val="20"/>
      <w:lang w:eastAsia="zh-CN"/>
    </w:rPr>
  </w:style>
  <w:style w:type="character" w:customStyle="1" w:styleId="CommentTextChar">
    <w:name w:val="Comment Text Char"/>
    <w:basedOn w:val="DefaultParagraphFont"/>
    <w:link w:val="CommentText"/>
    <w:rsid w:val="00703FA5"/>
    <w:rPr>
      <w:rFonts w:ascii="Arial" w:hAnsi="Arial" w:cs="Arial"/>
      <w:sz w:val="18"/>
    </w:rPr>
  </w:style>
  <w:style w:type="character" w:customStyle="1" w:styleId="CommentSubjectChar">
    <w:name w:val="Comment Subject Char"/>
    <w:basedOn w:val="CommentTextChar"/>
    <w:link w:val="CommentSubject"/>
    <w:rsid w:val="00703FA5"/>
    <w:rPr>
      <w:rFonts w:ascii="Arial" w:eastAsia="SimSun" w:hAnsi="Arial" w:cs="Arial"/>
      <w:b/>
      <w:bCs/>
      <w:sz w:val="18"/>
      <w:lang w:eastAsia="zh-CN"/>
    </w:rPr>
  </w:style>
  <w:style w:type="paragraph" w:customStyle="1" w:styleId="Stylenotes">
    <w:name w:val="Style notes"/>
    <w:basedOn w:val="Normal"/>
    <w:qFormat/>
    <w:rsid w:val="00703FA5"/>
    <w:rPr>
      <w:rFonts w:eastAsia="SimSun"/>
      <w:i/>
      <w:color w:val="FF0000"/>
      <w:lang w:eastAsia="zh-CN"/>
    </w:rPr>
  </w:style>
  <w:style w:type="numbering" w:customStyle="1" w:styleId="Styleletter">
    <w:name w:val="Style letter"/>
    <w:uiPriority w:val="99"/>
    <w:rsid w:val="00703FA5"/>
    <w:pPr>
      <w:numPr>
        <w:numId w:val="27"/>
      </w:numPr>
    </w:pPr>
  </w:style>
  <w:style w:type="paragraph" w:customStyle="1" w:styleId="NumerotationLETTRES">
    <w:name w:val="Numerotation LETTRES"/>
    <w:basedOn w:val="ListParagraph"/>
    <w:link w:val="NumerotationLETTRESChar"/>
    <w:qFormat/>
    <w:rsid w:val="00703FA5"/>
    <w:pPr>
      <w:numPr>
        <w:ilvl w:val="1"/>
        <w:numId w:val="2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703FA5"/>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703FA5"/>
    <w:rPr>
      <w:rFonts w:ascii="Arial" w:eastAsia="SimSun" w:hAnsi="Arial" w:cs="Arial"/>
      <w:sz w:val="22"/>
      <w:u w:val="single"/>
      <w:lang w:eastAsia="zh-CN"/>
    </w:rPr>
  </w:style>
  <w:style w:type="paragraph" w:customStyle="1" w:styleId="TOC1">
    <w:name w:val="TOC1"/>
    <w:basedOn w:val="Title"/>
    <w:rsid w:val="00703FA5"/>
    <w:pPr>
      <w:numPr>
        <w:numId w:val="3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703F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rsid w:val="00703FA5"/>
    <w:rPr>
      <w:rFonts w:asciiTheme="majorHAnsi" w:eastAsiaTheme="majorEastAsia" w:hAnsiTheme="majorHAnsi" w:cstheme="majorBidi"/>
      <w:color w:val="17365D" w:themeColor="text2" w:themeShade="BF"/>
      <w:spacing w:val="5"/>
      <w:kern w:val="28"/>
      <w:sz w:val="52"/>
      <w:szCs w:val="52"/>
      <w:lang w:eastAsia="zh-CN"/>
    </w:rPr>
  </w:style>
  <w:style w:type="character" w:styleId="PageNumber">
    <w:name w:val="page number"/>
    <w:basedOn w:val="DefaultParagraphFont"/>
    <w:rsid w:val="00703FA5"/>
  </w:style>
  <w:style w:type="character" w:customStyle="1" w:styleId="HeaderChar">
    <w:name w:val="Header Char"/>
    <w:basedOn w:val="DefaultParagraphFont"/>
    <w:link w:val="Header"/>
    <w:uiPriority w:val="99"/>
    <w:rsid w:val="00703FA5"/>
    <w:rPr>
      <w:rFonts w:ascii="Arial" w:hAnsi="Arial" w:cs="Arial"/>
      <w:sz w:val="22"/>
    </w:rPr>
  </w:style>
  <w:style w:type="paragraph" w:customStyle="1" w:styleId="Style2">
    <w:name w:val="Style2"/>
    <w:basedOn w:val="Normal"/>
    <w:rsid w:val="00703FA5"/>
    <w:pPr>
      <w:numPr>
        <w:numId w:val="36"/>
      </w:numPr>
    </w:pPr>
    <w:rPr>
      <w:rFonts w:eastAsia="SimSun"/>
      <w:lang w:eastAsia="zh-CN"/>
    </w:rPr>
  </w:style>
  <w:style w:type="paragraph" w:customStyle="1" w:styleId="Default">
    <w:name w:val="Default"/>
    <w:rsid w:val="00703FA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03FA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A89"/>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703FA5"/>
  </w:style>
  <w:style w:type="paragraph" w:customStyle="1" w:styleId="Endofdocument-Annex">
    <w:name w:val="[End of document - Annex]"/>
    <w:basedOn w:val="Normal"/>
    <w:rsid w:val="00703FA5"/>
    <w:pPr>
      <w:ind w:left="5534"/>
    </w:pPr>
    <w:rPr>
      <w:rFonts w:eastAsia="SimSun"/>
      <w:lang w:eastAsia="zh-CN"/>
    </w:rPr>
  </w:style>
  <w:style w:type="paragraph" w:styleId="BodyText">
    <w:name w:val="Body Text"/>
    <w:basedOn w:val="Normal"/>
    <w:link w:val="BodyTextChar"/>
    <w:qFormat/>
    <w:rsid w:val="00703FA5"/>
    <w:pPr>
      <w:spacing w:after="220"/>
    </w:pPr>
    <w:rPr>
      <w:rFonts w:eastAsia="SimSun"/>
      <w:lang w:eastAsia="zh-CN"/>
    </w:rPr>
  </w:style>
  <w:style w:type="character" w:customStyle="1" w:styleId="BodyTextChar">
    <w:name w:val="Body Text Char"/>
    <w:basedOn w:val="DefaultParagraphFont"/>
    <w:link w:val="BodyText"/>
    <w:rsid w:val="00703FA5"/>
    <w:rPr>
      <w:rFonts w:ascii="Arial" w:eastAsia="SimSun" w:hAnsi="Arial" w:cs="Arial"/>
      <w:sz w:val="22"/>
      <w:lang w:eastAsia="zh-CN"/>
    </w:rPr>
  </w:style>
  <w:style w:type="paragraph" w:customStyle="1" w:styleId="ONUME">
    <w:name w:val="ONUM E"/>
    <w:basedOn w:val="BodyText"/>
    <w:rsid w:val="00703FA5"/>
    <w:pPr>
      <w:numPr>
        <w:numId w:val="22"/>
      </w:numPr>
    </w:pPr>
  </w:style>
  <w:style w:type="paragraph" w:customStyle="1" w:styleId="ONUMFS">
    <w:name w:val="ONUM FS"/>
    <w:basedOn w:val="BodyText"/>
    <w:rsid w:val="00703FA5"/>
    <w:pPr>
      <w:numPr>
        <w:numId w:val="23"/>
      </w:numPr>
    </w:pPr>
  </w:style>
  <w:style w:type="paragraph" w:styleId="ListParagraph">
    <w:name w:val="List Paragraph"/>
    <w:basedOn w:val="Normal"/>
    <w:link w:val="ListParagraphChar"/>
    <w:uiPriority w:val="34"/>
    <w:qFormat/>
    <w:rsid w:val="00703FA5"/>
    <w:pPr>
      <w:numPr>
        <w:numId w:val="24"/>
      </w:numPr>
      <w:tabs>
        <w:tab w:val="left" w:pos="851"/>
        <w:tab w:val="left" w:pos="1134"/>
      </w:tabs>
      <w:spacing w:before="120" w:after="120"/>
    </w:pPr>
    <w:rPr>
      <w:rFonts w:eastAsia="SimSun"/>
      <w:lang w:eastAsia="zh-CN"/>
    </w:rPr>
  </w:style>
  <w:style w:type="paragraph" w:customStyle="1" w:styleId="ListparagraphII">
    <w:name w:val="List paragraph II"/>
    <w:basedOn w:val="ListParagraph"/>
    <w:qFormat/>
    <w:rsid w:val="00703FA5"/>
    <w:pPr>
      <w:numPr>
        <w:numId w:val="25"/>
      </w:numPr>
      <w:tabs>
        <w:tab w:val="num" w:pos="567"/>
      </w:tabs>
      <w:ind w:left="0" w:firstLine="0"/>
    </w:pPr>
  </w:style>
  <w:style w:type="character" w:styleId="CommentReference">
    <w:name w:val="annotation reference"/>
    <w:basedOn w:val="DefaultParagraphFont"/>
    <w:rsid w:val="00703FA5"/>
    <w:rPr>
      <w:sz w:val="16"/>
      <w:szCs w:val="16"/>
    </w:rPr>
  </w:style>
  <w:style w:type="paragraph" w:styleId="CommentSubject">
    <w:name w:val="annotation subject"/>
    <w:basedOn w:val="CommentText"/>
    <w:next w:val="CommentText"/>
    <w:link w:val="CommentSubjectChar"/>
    <w:rsid w:val="00703FA5"/>
    <w:rPr>
      <w:rFonts w:eastAsia="SimSun"/>
      <w:b/>
      <w:bCs/>
      <w:sz w:val="20"/>
      <w:lang w:eastAsia="zh-CN"/>
    </w:rPr>
  </w:style>
  <w:style w:type="character" w:customStyle="1" w:styleId="CommentTextChar">
    <w:name w:val="Comment Text Char"/>
    <w:basedOn w:val="DefaultParagraphFont"/>
    <w:link w:val="CommentText"/>
    <w:rsid w:val="00703FA5"/>
    <w:rPr>
      <w:rFonts w:ascii="Arial" w:hAnsi="Arial" w:cs="Arial"/>
      <w:sz w:val="18"/>
    </w:rPr>
  </w:style>
  <w:style w:type="character" w:customStyle="1" w:styleId="CommentSubjectChar">
    <w:name w:val="Comment Subject Char"/>
    <w:basedOn w:val="CommentTextChar"/>
    <w:link w:val="CommentSubject"/>
    <w:rsid w:val="00703FA5"/>
    <w:rPr>
      <w:rFonts w:ascii="Arial" w:eastAsia="SimSun" w:hAnsi="Arial" w:cs="Arial"/>
      <w:b/>
      <w:bCs/>
      <w:sz w:val="18"/>
      <w:lang w:eastAsia="zh-CN"/>
    </w:rPr>
  </w:style>
  <w:style w:type="paragraph" w:customStyle="1" w:styleId="Stylenotes">
    <w:name w:val="Style notes"/>
    <w:basedOn w:val="Normal"/>
    <w:qFormat/>
    <w:rsid w:val="00703FA5"/>
    <w:rPr>
      <w:rFonts w:eastAsia="SimSun"/>
      <w:i/>
      <w:color w:val="FF0000"/>
      <w:lang w:eastAsia="zh-CN"/>
    </w:rPr>
  </w:style>
  <w:style w:type="numbering" w:customStyle="1" w:styleId="Styleletter">
    <w:name w:val="Style letter"/>
    <w:uiPriority w:val="99"/>
    <w:rsid w:val="00703FA5"/>
    <w:pPr>
      <w:numPr>
        <w:numId w:val="27"/>
      </w:numPr>
    </w:pPr>
  </w:style>
  <w:style w:type="paragraph" w:customStyle="1" w:styleId="NumerotationLETTRES">
    <w:name w:val="Numerotation LETTRES"/>
    <w:basedOn w:val="ListParagraph"/>
    <w:link w:val="NumerotationLETTRESChar"/>
    <w:qFormat/>
    <w:rsid w:val="00703FA5"/>
    <w:pPr>
      <w:numPr>
        <w:ilvl w:val="1"/>
        <w:numId w:val="2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703FA5"/>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703FA5"/>
    <w:rPr>
      <w:rFonts w:ascii="Arial" w:eastAsia="SimSun" w:hAnsi="Arial" w:cs="Arial"/>
      <w:sz w:val="22"/>
      <w:u w:val="single"/>
      <w:lang w:eastAsia="zh-CN"/>
    </w:rPr>
  </w:style>
  <w:style w:type="paragraph" w:customStyle="1" w:styleId="TOC1">
    <w:name w:val="TOC1"/>
    <w:basedOn w:val="Title"/>
    <w:rsid w:val="00703FA5"/>
    <w:pPr>
      <w:numPr>
        <w:numId w:val="3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703F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rsid w:val="00703FA5"/>
    <w:rPr>
      <w:rFonts w:asciiTheme="majorHAnsi" w:eastAsiaTheme="majorEastAsia" w:hAnsiTheme="majorHAnsi" w:cstheme="majorBidi"/>
      <w:color w:val="17365D" w:themeColor="text2" w:themeShade="BF"/>
      <w:spacing w:val="5"/>
      <w:kern w:val="28"/>
      <w:sz w:val="52"/>
      <w:szCs w:val="52"/>
      <w:lang w:eastAsia="zh-CN"/>
    </w:rPr>
  </w:style>
  <w:style w:type="character" w:styleId="PageNumber">
    <w:name w:val="page number"/>
    <w:basedOn w:val="DefaultParagraphFont"/>
    <w:rsid w:val="00703FA5"/>
  </w:style>
  <w:style w:type="character" w:customStyle="1" w:styleId="HeaderChar">
    <w:name w:val="Header Char"/>
    <w:basedOn w:val="DefaultParagraphFont"/>
    <w:link w:val="Header"/>
    <w:uiPriority w:val="99"/>
    <w:rsid w:val="00703FA5"/>
    <w:rPr>
      <w:rFonts w:ascii="Arial" w:hAnsi="Arial" w:cs="Arial"/>
      <w:sz w:val="22"/>
    </w:rPr>
  </w:style>
  <w:style w:type="paragraph" w:customStyle="1" w:styleId="Style2">
    <w:name w:val="Style2"/>
    <w:basedOn w:val="Normal"/>
    <w:rsid w:val="00703FA5"/>
    <w:pPr>
      <w:numPr>
        <w:numId w:val="36"/>
      </w:numPr>
    </w:pPr>
    <w:rPr>
      <w:rFonts w:eastAsia="SimSun"/>
      <w:lang w:eastAsia="zh-CN"/>
    </w:rPr>
  </w:style>
  <w:style w:type="paragraph" w:customStyle="1" w:styleId="Default">
    <w:name w:val="Default"/>
    <w:rsid w:val="00703FA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03FA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496">
      <w:bodyDiv w:val="1"/>
      <w:marLeft w:val="0"/>
      <w:marRight w:val="0"/>
      <w:marTop w:val="0"/>
      <w:marBottom w:val="0"/>
      <w:divBdr>
        <w:top w:val="none" w:sz="0" w:space="0" w:color="auto"/>
        <w:left w:val="none" w:sz="0" w:space="0" w:color="auto"/>
        <w:bottom w:val="none" w:sz="0" w:space="0" w:color="auto"/>
        <w:right w:val="none" w:sz="0" w:space="0" w:color="auto"/>
      </w:divBdr>
    </w:div>
    <w:div w:id="969823581">
      <w:bodyDiv w:val="1"/>
      <w:marLeft w:val="0"/>
      <w:marRight w:val="0"/>
      <w:marTop w:val="0"/>
      <w:marBottom w:val="0"/>
      <w:divBdr>
        <w:top w:val="none" w:sz="0" w:space="0" w:color="auto"/>
        <w:left w:val="none" w:sz="0" w:space="0" w:color="auto"/>
        <w:bottom w:val="none" w:sz="0" w:space="0" w:color="auto"/>
        <w:right w:val="none" w:sz="0" w:space="0" w:color="auto"/>
      </w:divBdr>
    </w:div>
    <w:div w:id="159601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3216-8ABC-4702-AFF7-970ED800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1266</TotalTime>
  <Pages>16</Pages>
  <Words>4088</Words>
  <Characters>21482</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WO/PBC/22/19 (Arabic)</vt:lpstr>
    </vt:vector>
  </TitlesOfParts>
  <Company>World Intellectual Property Organization</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WO/PBC/22/19 (Arabic)</dc:title>
  <dc:creator>HASSAN Ahmed</dc:creator>
  <cp:lastModifiedBy>YOUSSEF Randa</cp:lastModifiedBy>
  <cp:revision>33</cp:revision>
  <cp:lastPrinted>2014-08-01T08:18:00Z</cp:lastPrinted>
  <dcterms:created xsi:type="dcterms:W3CDTF">2014-07-29T08:01:00Z</dcterms:created>
  <dcterms:modified xsi:type="dcterms:W3CDTF">2014-08-01T08:18:00Z</dcterms:modified>
</cp:coreProperties>
</file>