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37E42">
            <w:pPr>
              <w:pStyle w:val="DocumentCodeAR"/>
              <w:bidi/>
              <w:rPr>
                <w:rtl/>
              </w:rPr>
            </w:pPr>
            <w:r>
              <w:t>WO/</w:t>
            </w:r>
            <w:r w:rsidR="00983389">
              <w:t>PBC</w:t>
            </w:r>
            <w:r w:rsidR="00100F97">
              <w:t>/</w:t>
            </w:r>
            <w:r>
              <w:t>2</w:t>
            </w:r>
            <w:r w:rsidR="00AA2001">
              <w:t>2</w:t>
            </w:r>
            <w:r w:rsidR="00B6101C" w:rsidRPr="00B6101C">
              <w:t>/</w:t>
            </w:r>
            <w:r w:rsidR="00237E42">
              <w:t>16</w:t>
            </w:r>
          </w:p>
        </w:tc>
      </w:tr>
      <w:tr w:rsidR="001667B6" w:rsidTr="00BF164F">
        <w:tc>
          <w:tcPr>
            <w:tcW w:w="9571" w:type="dxa"/>
            <w:gridSpan w:val="3"/>
          </w:tcPr>
          <w:p w:rsidR="001667B6" w:rsidRPr="00B6101C" w:rsidRDefault="00B6101C" w:rsidP="00237E42">
            <w:pPr>
              <w:pStyle w:val="DocumentLanguageAR"/>
              <w:bidi/>
              <w:rPr>
                <w:rtl/>
              </w:rPr>
            </w:pPr>
            <w:r w:rsidRPr="00B6101C">
              <w:rPr>
                <w:rFonts w:hint="cs"/>
                <w:rtl/>
              </w:rPr>
              <w:t xml:space="preserve">الأصل: </w:t>
            </w:r>
            <w:r w:rsidR="00237E42">
              <w:rPr>
                <w:rFonts w:hint="cs"/>
                <w:rtl/>
              </w:rPr>
              <w:t>بالإنكليزية</w:t>
            </w:r>
          </w:p>
        </w:tc>
      </w:tr>
      <w:tr w:rsidR="001667B6" w:rsidTr="00BF164F">
        <w:tc>
          <w:tcPr>
            <w:tcW w:w="9571" w:type="dxa"/>
            <w:gridSpan w:val="3"/>
          </w:tcPr>
          <w:p w:rsidR="001667B6" w:rsidRPr="00B6101C" w:rsidRDefault="00B6101C" w:rsidP="00237E42">
            <w:pPr>
              <w:pStyle w:val="DocumentDateAR"/>
              <w:bidi/>
              <w:rPr>
                <w:rtl/>
              </w:rPr>
            </w:pPr>
            <w:r w:rsidRPr="00B6101C">
              <w:rPr>
                <w:rFonts w:hint="cs"/>
                <w:rtl/>
              </w:rPr>
              <w:t xml:space="preserve">التاريخ: </w:t>
            </w:r>
            <w:r w:rsidR="00237E42">
              <w:rPr>
                <w:rFonts w:hint="cs"/>
                <w:rtl/>
              </w:rPr>
              <w:t>10 يوليو</w:t>
            </w:r>
            <w:r w:rsidRPr="00B6101C">
              <w:rPr>
                <w:rFonts w:hint="cs"/>
                <w:rtl/>
              </w:rPr>
              <w:t xml:space="preserve"> </w:t>
            </w:r>
            <w:r w:rsidR="00190B6D">
              <w:rPr>
                <w:rFonts w:hint="cs"/>
                <w:rtl/>
              </w:rPr>
              <w:t>201</w:t>
            </w:r>
            <w:r w:rsidR="00AA2001">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A2001">
      <w:pPr>
        <w:pStyle w:val="MeetingSessionAR"/>
        <w:bidi/>
        <w:rPr>
          <w:rFonts w:ascii="Cambria Math" w:hAnsi="Cambria Math"/>
          <w:rtl/>
        </w:rPr>
      </w:pPr>
      <w:r w:rsidRPr="00783D11">
        <w:rPr>
          <w:rFonts w:ascii="Cambria Math" w:hAnsi="Cambria Math"/>
          <w:rtl/>
        </w:rPr>
        <w:t xml:space="preserve">الدورة </w:t>
      </w:r>
      <w:r w:rsidR="00AA2001">
        <w:rPr>
          <w:rFonts w:ascii="Cambria Math" w:hAnsi="Cambria Math" w:hint="cs"/>
          <w:rtl/>
        </w:rPr>
        <w:t>الثانية</w:t>
      </w:r>
      <w:r w:rsidR="00274410">
        <w:rPr>
          <w:rFonts w:ascii="Cambria Math" w:hAnsi="Cambria Math" w:hint="cs"/>
          <w:rtl/>
        </w:rPr>
        <w:t xml:space="preserve"> والعشرون</w:t>
      </w:r>
    </w:p>
    <w:p w:rsidR="00D61541" w:rsidRPr="00D61541" w:rsidRDefault="00D61541" w:rsidP="00AA2001">
      <w:pPr>
        <w:pStyle w:val="MeetingDatesAR"/>
        <w:bidi/>
        <w:rPr>
          <w:rtl/>
        </w:rPr>
      </w:pPr>
      <w:r w:rsidRPr="00D61541">
        <w:rPr>
          <w:rFonts w:hint="cs"/>
          <w:rtl/>
        </w:rPr>
        <w:t xml:space="preserve">جنيف، من </w:t>
      </w:r>
      <w:r w:rsidR="00AA2001">
        <w:rPr>
          <w:rFonts w:hint="cs"/>
          <w:rtl/>
        </w:rPr>
        <w:t>1</w:t>
      </w:r>
      <w:r w:rsidR="00983389">
        <w:rPr>
          <w:rFonts w:hint="cs"/>
          <w:rtl/>
        </w:rPr>
        <w:t xml:space="preserve"> </w:t>
      </w:r>
      <w:r w:rsidR="00100F97">
        <w:rPr>
          <w:rFonts w:hint="cs"/>
          <w:rtl/>
        </w:rPr>
        <w:t xml:space="preserve">إلى </w:t>
      </w:r>
      <w:r w:rsidR="00AA2001">
        <w:rPr>
          <w:rFonts w:hint="cs"/>
          <w:rtl/>
        </w:rPr>
        <w:t>5</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AA2001">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37E42" w:rsidP="00FB7EC9">
      <w:pPr>
        <w:pStyle w:val="DocumentTitleAR"/>
        <w:bidi/>
        <w:rPr>
          <w:rtl/>
        </w:rPr>
      </w:pPr>
      <w:r w:rsidRPr="00237E42">
        <w:rPr>
          <w:rtl/>
        </w:rPr>
        <w:t>تقرير مرحلي بشأن تنفيذ سياسة اللغات في الويبو</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237E42">
        <w:rPr>
          <w:rFonts w:hint="cs"/>
          <w:rtl/>
        </w:rPr>
        <w:t xml:space="preserve"> الأمانة</w:t>
      </w:r>
    </w:p>
    <w:p w:rsidR="00AA2001" w:rsidRDefault="00237E42" w:rsidP="00237E42">
      <w:pPr>
        <w:pStyle w:val="NormalParaAR"/>
        <w:keepNext/>
        <w:rPr>
          <w:b/>
          <w:bCs/>
          <w:sz w:val="40"/>
          <w:szCs w:val="40"/>
          <w:rtl/>
        </w:rPr>
      </w:pPr>
      <w:r w:rsidRPr="00237E42">
        <w:rPr>
          <w:rFonts w:hint="cs"/>
          <w:b/>
          <w:bCs/>
          <w:sz w:val="40"/>
          <w:szCs w:val="40"/>
          <w:rtl/>
        </w:rPr>
        <w:t>مقدمة</w:t>
      </w:r>
    </w:p>
    <w:p w:rsidR="00237E42" w:rsidRDefault="00237E42" w:rsidP="008F4001">
      <w:pPr>
        <w:pStyle w:val="NormalParaAR"/>
        <w:numPr>
          <w:ilvl w:val="0"/>
          <w:numId w:val="21"/>
        </w:numPr>
        <w:ind w:left="0" w:firstLine="0"/>
      </w:pPr>
      <w:r>
        <w:rPr>
          <w:rFonts w:hint="cs"/>
          <w:rtl/>
        </w:rPr>
        <w:t xml:space="preserve">في سلسلة الاجتماعات التاسعة والأربعين لجمعيات الدول الأعضاء في الويبو التي عُقدت في عام 2011، قررت الدول الأعضاء في الويبو أن </w:t>
      </w:r>
      <w:r w:rsidRPr="00237E42">
        <w:rPr>
          <w:rtl/>
        </w:rPr>
        <w:t>تمدد التغطية اللغوية باللغات الرسمية الست للأمم المتحدة (العربية والصينية والإنكليزية والفرنسية والروسية والإسبانية) إلى وثائق اجتماعات هيئات الويبو الرئيسية ولجانها والأفرقة العاملة لديها، فضلا</w:t>
      </w:r>
      <w:r w:rsidR="007F494D">
        <w:rPr>
          <w:rFonts w:hint="cs"/>
          <w:rtl/>
        </w:rPr>
        <w:t>ً</w:t>
      </w:r>
      <w:r w:rsidRPr="00237E42">
        <w:rPr>
          <w:rtl/>
        </w:rPr>
        <w:t xml:space="preserve"> عن المنشورات الرئيسية والجديدة بطريقة تدريجية </w:t>
      </w:r>
      <w:r w:rsidR="008F4001">
        <w:rPr>
          <w:rFonts w:hint="cs"/>
          <w:rtl/>
        </w:rPr>
        <w:t>بدأت</w:t>
      </w:r>
      <w:r w:rsidRPr="00237E42">
        <w:rPr>
          <w:rtl/>
        </w:rPr>
        <w:t xml:space="preserve"> من سن</w:t>
      </w:r>
      <w:r>
        <w:rPr>
          <w:rFonts w:hint="cs"/>
          <w:rtl/>
        </w:rPr>
        <w:t xml:space="preserve">ة 2011. </w:t>
      </w:r>
      <w:r w:rsidRPr="00237E42">
        <w:rPr>
          <w:rtl/>
        </w:rPr>
        <w:t>و</w:t>
      </w:r>
      <w:r>
        <w:rPr>
          <w:rFonts w:hint="cs"/>
          <w:rtl/>
        </w:rPr>
        <w:t>قُرر كذلك أن تخضع</w:t>
      </w:r>
      <w:r w:rsidRPr="00237E42">
        <w:rPr>
          <w:rtl/>
        </w:rPr>
        <w:t xml:space="preserve"> تكلفة التغطية اللغوية لوثائق الأفرقة العاملة إلى تقييم في ضوء التجارب المكتسبة في الفترة 2012-2013 وفي سياق البرن</w:t>
      </w:r>
      <w:r>
        <w:rPr>
          <w:rtl/>
        </w:rPr>
        <w:t>امج والميزانية للفترة 2014-2015</w:t>
      </w:r>
      <w:r>
        <w:rPr>
          <w:rFonts w:hint="cs"/>
          <w:rtl/>
        </w:rPr>
        <w:t xml:space="preserve">؛ </w:t>
      </w:r>
      <w:r w:rsidRPr="00237E42">
        <w:rPr>
          <w:rtl/>
        </w:rPr>
        <w:t>وأن تبحث متطلبات ترجمة موقع الويبو الإلكتروني بمزيد من التفصيل في آن واحد مع إعادة هيكلة هذا الموقع</w:t>
      </w:r>
      <w:r>
        <w:rPr>
          <w:rFonts w:hint="cs"/>
          <w:rtl/>
        </w:rPr>
        <w:t>.</w:t>
      </w:r>
    </w:p>
    <w:p w:rsidR="00237E42" w:rsidRDefault="00237E42" w:rsidP="005B5151">
      <w:pPr>
        <w:pStyle w:val="NormalParaAR"/>
        <w:numPr>
          <w:ilvl w:val="0"/>
          <w:numId w:val="21"/>
        </w:numPr>
        <w:ind w:left="0" w:firstLine="0"/>
      </w:pPr>
      <w:r>
        <w:rPr>
          <w:rFonts w:hint="cs"/>
          <w:rtl/>
        </w:rPr>
        <w:t>وتناول التقرير المرحلي بشأن تنفيذ سياسة اللغات في الويبو</w:t>
      </w:r>
      <w:r w:rsidR="003361ED">
        <w:rPr>
          <w:rStyle w:val="FootnoteReference"/>
          <w:rtl/>
        </w:rPr>
        <w:footnoteReference w:id="1"/>
      </w:r>
      <w:r>
        <w:rPr>
          <w:rFonts w:hint="cs"/>
          <w:rtl/>
        </w:rPr>
        <w:t xml:space="preserve"> مسألة تمديد التغطية اللغوية الشاملة إلى وثائق الأفرقة العاملة خلال سلسة الاجتماعات الحادية والخمسين للجمعيات </w:t>
      </w:r>
      <w:r w:rsidR="003361ED">
        <w:rPr>
          <w:rFonts w:hint="cs"/>
          <w:rtl/>
        </w:rPr>
        <w:t>التي عُقدت في عام 2013 و</w:t>
      </w:r>
      <w:r>
        <w:rPr>
          <w:rFonts w:hint="cs"/>
          <w:rtl/>
        </w:rPr>
        <w:t xml:space="preserve">التي وافقت فيها الدول الأعضاء على توصية لجنة البرنامج والميزانية، </w:t>
      </w:r>
      <w:r w:rsidR="003361ED">
        <w:rPr>
          <w:rFonts w:hint="cs"/>
          <w:rtl/>
        </w:rPr>
        <w:t>وذلك على النحو التالي:</w:t>
      </w:r>
      <w:r w:rsidR="003361ED">
        <w:rPr>
          <w:rStyle w:val="FootnoteReference"/>
          <w:rtl/>
        </w:rPr>
        <w:footnoteReference w:id="2"/>
      </w:r>
    </w:p>
    <w:p w:rsidR="003361ED" w:rsidRPr="003361ED" w:rsidRDefault="003361ED" w:rsidP="003361ED">
      <w:pPr>
        <w:pStyle w:val="NormalParaAR"/>
        <w:ind w:left="567"/>
        <w:rPr>
          <w:i/>
          <w:iCs/>
          <w:rtl/>
        </w:rPr>
      </w:pPr>
      <w:r w:rsidRPr="003361ED">
        <w:rPr>
          <w:rFonts w:hint="cs"/>
          <w:i/>
          <w:iCs/>
          <w:rtl/>
        </w:rPr>
        <w:t>"</w:t>
      </w:r>
      <w:r w:rsidRPr="003361ED">
        <w:rPr>
          <w:i/>
          <w:iCs/>
          <w:rtl/>
        </w:rPr>
        <w:t>استنادا إلى المعلومات الواردة في هذه الوثيقة وإلى أهمية ضمان إتاحة الوثائق للأفرقة العاملة باللغات الست، تعرض الاقتراحات التالية على الدول الأعضاء لتنظر فيها:</w:t>
      </w:r>
    </w:p>
    <w:p w:rsidR="003361ED" w:rsidRPr="003361ED" w:rsidRDefault="003361ED" w:rsidP="003361ED">
      <w:pPr>
        <w:pStyle w:val="NormalParaAR"/>
        <w:ind w:left="567"/>
        <w:rPr>
          <w:i/>
          <w:iCs/>
          <w:rtl/>
        </w:rPr>
      </w:pPr>
      <w:r w:rsidRPr="003361ED">
        <w:rPr>
          <w:i/>
          <w:iCs/>
          <w:rtl/>
        </w:rPr>
        <w:t>(أ)</w:t>
      </w:r>
      <w:r w:rsidRPr="003361ED">
        <w:rPr>
          <w:i/>
          <w:iCs/>
          <w:rtl/>
        </w:rPr>
        <w:tab/>
        <w:t>ستستمر الأمانة في تطبيق تدابير الترشيد والمراقبة لمواصلة تقليص عدد وثائق العمل ومتوسط حجمها؛</w:t>
      </w:r>
    </w:p>
    <w:p w:rsidR="003361ED" w:rsidRPr="003361ED" w:rsidRDefault="003361ED" w:rsidP="003361ED">
      <w:pPr>
        <w:pStyle w:val="NormalParaAR"/>
        <w:ind w:left="567"/>
        <w:rPr>
          <w:i/>
          <w:iCs/>
          <w:rtl/>
        </w:rPr>
      </w:pPr>
      <w:r w:rsidRPr="003361ED">
        <w:rPr>
          <w:i/>
          <w:iCs/>
          <w:rtl/>
        </w:rPr>
        <w:lastRenderedPageBreak/>
        <w:t>(ب)</w:t>
      </w:r>
      <w:r w:rsidRPr="003361ED">
        <w:rPr>
          <w:i/>
          <w:iCs/>
          <w:rtl/>
        </w:rPr>
        <w:tab/>
        <w:t>وفي الوقت ذاته، ستبدأ تغطية وثائق الأفرقة العاملة باللغات الست بطريقة تدريجية وفعالة من حيث التكاليف، خلال الثنائية 2014/15، وستُبين التكاليف الإضافية المترتبة على هذه التغطية في وثيقة البرنامج والميزانية؛</w:t>
      </w:r>
    </w:p>
    <w:p w:rsidR="003361ED" w:rsidRDefault="003361ED" w:rsidP="003361ED">
      <w:pPr>
        <w:pStyle w:val="NormalParaAR"/>
        <w:ind w:left="567"/>
        <w:rPr>
          <w:i/>
          <w:iCs/>
          <w:rtl/>
        </w:rPr>
      </w:pPr>
      <w:r w:rsidRPr="003361ED">
        <w:rPr>
          <w:i/>
          <w:iCs/>
          <w:rtl/>
        </w:rPr>
        <w:t>(ج)</w:t>
      </w:r>
      <w:r w:rsidRPr="003361ED">
        <w:rPr>
          <w:i/>
          <w:iCs/>
          <w:rtl/>
        </w:rPr>
        <w:tab/>
        <w:t>وستقدم الأمانة تقريرا إلى لجنة البرنامج والميزانية في دورتها المقبلة عن التقدم المحرز ف</w:t>
      </w:r>
      <w:r>
        <w:rPr>
          <w:rFonts w:hint="cs"/>
          <w:i/>
          <w:iCs/>
          <w:rtl/>
        </w:rPr>
        <w:t>ي</w:t>
      </w:r>
      <w:r w:rsidRPr="003361ED">
        <w:rPr>
          <w:i/>
          <w:iCs/>
          <w:rtl/>
        </w:rPr>
        <w:t xml:space="preserve"> </w:t>
      </w:r>
      <w:r>
        <w:rPr>
          <w:rFonts w:hint="cs"/>
          <w:i/>
          <w:iCs/>
          <w:rtl/>
        </w:rPr>
        <w:t>[هذا الإطار]</w:t>
      </w:r>
      <w:r w:rsidRPr="003361ED">
        <w:rPr>
          <w:i/>
          <w:iCs/>
          <w:rtl/>
        </w:rPr>
        <w:t>.</w:t>
      </w:r>
      <w:r w:rsidR="007F494D">
        <w:rPr>
          <w:rFonts w:hint="cs"/>
          <w:i/>
          <w:iCs/>
          <w:rtl/>
        </w:rPr>
        <w:t>"</w:t>
      </w:r>
    </w:p>
    <w:p w:rsidR="009D1325" w:rsidRPr="009D1325" w:rsidRDefault="009D1325" w:rsidP="007F494D">
      <w:pPr>
        <w:pStyle w:val="NormalParaAR"/>
        <w:numPr>
          <w:ilvl w:val="0"/>
          <w:numId w:val="21"/>
        </w:numPr>
        <w:spacing w:after="480"/>
        <w:ind w:left="0" w:firstLine="0"/>
      </w:pPr>
      <w:r w:rsidRPr="009D1325">
        <w:rPr>
          <w:rFonts w:hint="cs"/>
          <w:rtl/>
        </w:rPr>
        <w:t xml:space="preserve">وإن هذه الوثيقة </w:t>
      </w:r>
      <w:r w:rsidR="008F4001">
        <w:rPr>
          <w:rFonts w:hint="cs"/>
          <w:rtl/>
        </w:rPr>
        <w:t xml:space="preserve">هي </w:t>
      </w:r>
      <w:r w:rsidRPr="009D1325">
        <w:rPr>
          <w:rFonts w:hint="cs"/>
          <w:rtl/>
        </w:rPr>
        <w:t>تقرير مرحلي بشأن تنفيذ سياسة اللغات، وتضم التقدم المحرز بشأن القرار الوراد أعلاه.</w:t>
      </w:r>
    </w:p>
    <w:p w:rsidR="009D1325" w:rsidRDefault="009D1325" w:rsidP="009D1325">
      <w:pPr>
        <w:pStyle w:val="NormalParaAR"/>
        <w:keepNext/>
        <w:rPr>
          <w:b/>
          <w:bCs/>
          <w:sz w:val="40"/>
          <w:szCs w:val="40"/>
          <w:rtl/>
        </w:rPr>
      </w:pPr>
      <w:r w:rsidRPr="009D1325">
        <w:rPr>
          <w:rFonts w:hint="cs"/>
          <w:b/>
          <w:bCs/>
          <w:sz w:val="40"/>
          <w:szCs w:val="40"/>
          <w:rtl/>
        </w:rPr>
        <w:t>التنفيذ</w:t>
      </w:r>
      <w:r>
        <w:rPr>
          <w:rFonts w:hint="cs"/>
          <w:b/>
          <w:bCs/>
          <w:sz w:val="40"/>
          <w:szCs w:val="40"/>
          <w:rtl/>
        </w:rPr>
        <w:t xml:space="preserve"> منذ عام 2011</w:t>
      </w:r>
    </w:p>
    <w:p w:rsidR="009D1325" w:rsidRPr="00E01B9B" w:rsidRDefault="009D1325" w:rsidP="00E01B9B">
      <w:pPr>
        <w:pStyle w:val="NormalParaAR"/>
        <w:keepNext/>
        <w:rPr>
          <w:u w:val="single"/>
          <w:rtl/>
        </w:rPr>
      </w:pPr>
      <w:r w:rsidRPr="00E01B9B">
        <w:rPr>
          <w:u w:val="single"/>
          <w:rtl/>
        </w:rPr>
        <w:t>حالة التنفيذ</w:t>
      </w:r>
    </w:p>
    <w:p w:rsidR="00E01B9B" w:rsidRPr="00E01B9B" w:rsidRDefault="00E01B9B" w:rsidP="005B5151">
      <w:pPr>
        <w:pStyle w:val="NormalParaAR"/>
        <w:numPr>
          <w:ilvl w:val="0"/>
          <w:numId w:val="21"/>
        </w:numPr>
        <w:ind w:left="0" w:firstLine="0"/>
        <w:rPr>
          <w:rtl/>
        </w:rPr>
      </w:pPr>
      <w:r w:rsidRPr="00E01B9B">
        <w:rPr>
          <w:rFonts w:hint="cs"/>
          <w:rtl/>
        </w:rPr>
        <w:t>تولت الأمانة تنفيذ السياسة، أي تمديد التغطية ب</w:t>
      </w:r>
      <w:r>
        <w:rPr>
          <w:rFonts w:hint="cs"/>
          <w:rtl/>
        </w:rPr>
        <w:t>اللغات الست</w:t>
      </w:r>
      <w:r w:rsidRPr="00E01B9B">
        <w:rPr>
          <w:rFonts w:hint="cs"/>
          <w:rtl/>
        </w:rPr>
        <w:t>، على المراحل التالية:</w:t>
      </w:r>
    </w:p>
    <w:p w:rsidR="00E01B9B" w:rsidRDefault="00E01B9B" w:rsidP="00E01B9B">
      <w:pPr>
        <w:pStyle w:val="NormalParaAR"/>
        <w:ind w:left="567"/>
        <w:rPr>
          <w:rtl/>
        </w:rPr>
      </w:pPr>
      <w:r>
        <w:rPr>
          <w:rFonts w:hint="cs"/>
          <w:rtl/>
        </w:rPr>
        <w:t>(أ)</w:t>
      </w:r>
      <w:r>
        <w:rPr>
          <w:rFonts w:hint="cs"/>
          <w:rtl/>
        </w:rPr>
        <w:tab/>
        <w:t>وثائق الاجتماعات لجميع اللجان الدائمة بحلول نهاية عام 2012.</w:t>
      </w:r>
    </w:p>
    <w:p w:rsidR="00E01B9B" w:rsidRDefault="00E01B9B" w:rsidP="00E01B9B">
      <w:pPr>
        <w:pStyle w:val="NormalParaAR"/>
        <w:ind w:left="567"/>
        <w:rPr>
          <w:rtl/>
        </w:rPr>
      </w:pPr>
      <w:r>
        <w:rPr>
          <w:rFonts w:hint="cs"/>
          <w:rtl/>
        </w:rPr>
        <w:t>(ب)</w:t>
      </w:r>
      <w:r>
        <w:rPr>
          <w:rFonts w:hint="cs"/>
          <w:rtl/>
        </w:rPr>
        <w:tab/>
        <w:t>وثائق الاجتماعات لجميع الهيئات الرئيسية بحلول نهاية عام 2013.</w:t>
      </w:r>
    </w:p>
    <w:p w:rsidR="00E01B9B" w:rsidRDefault="00E01B9B" w:rsidP="00766DA0">
      <w:pPr>
        <w:pStyle w:val="NormalParaAR"/>
        <w:ind w:left="567"/>
        <w:rPr>
          <w:rtl/>
        </w:rPr>
      </w:pPr>
      <w:r>
        <w:rPr>
          <w:rFonts w:hint="cs"/>
          <w:rtl/>
        </w:rPr>
        <w:t>(ج)</w:t>
      </w:r>
      <w:r>
        <w:rPr>
          <w:rFonts w:hint="cs"/>
          <w:rtl/>
        </w:rPr>
        <w:tab/>
        <w:t xml:space="preserve">وثائق الاجتماعات </w:t>
      </w:r>
      <w:r w:rsidR="00766DA0">
        <w:rPr>
          <w:rFonts w:hint="cs"/>
          <w:rtl/>
        </w:rPr>
        <w:t>ل</w:t>
      </w:r>
      <w:r w:rsidR="00766DA0" w:rsidRPr="00766DA0">
        <w:rPr>
          <w:rtl/>
        </w:rPr>
        <w:t>لفريق العامل المعني بمعاهدة التعاون بشأن البراءات</w:t>
      </w:r>
      <w:r w:rsidRPr="00E01B9B">
        <w:rPr>
          <w:rtl/>
        </w:rPr>
        <w:t>، والفريق العامل المعني بالتطوير القانوني لنظام لاهاي للتسجيل الدولي للتصاميم الصناعية</w:t>
      </w:r>
      <w:r w:rsidR="00C36632">
        <w:rPr>
          <w:rFonts w:hint="cs"/>
          <w:rtl/>
        </w:rPr>
        <w:t xml:space="preserve"> في عام 2014. وستمدد التغطية ذاتها إلى الفريق العامل المعني </w:t>
      </w:r>
      <w:r w:rsidR="00C36632" w:rsidRPr="00C36632">
        <w:rPr>
          <w:rtl/>
        </w:rPr>
        <w:t>بالتطوير القانوني لنظام مدريد للتسجيل الدولي للعلامات</w:t>
      </w:r>
      <w:r w:rsidR="00C36632">
        <w:rPr>
          <w:rFonts w:hint="cs"/>
          <w:rtl/>
        </w:rPr>
        <w:t xml:space="preserve">؛ </w:t>
      </w:r>
      <w:r w:rsidR="00E67E58" w:rsidRPr="00E67E58">
        <w:rPr>
          <w:rtl/>
        </w:rPr>
        <w:t>والفريق العامل المعني بمراجعة التصنيف الدولي للبراءات، والفريق العامل المعني بخدمات الويبو للنفاذ الرقمي إلى وثائق الأولوية</w:t>
      </w:r>
      <w:r w:rsidR="00E67E58">
        <w:rPr>
          <w:rFonts w:hint="cs"/>
          <w:rtl/>
        </w:rPr>
        <w:t xml:space="preserve">، بحلول نهاية عام 2015. أما بالنسبة إلى باقي الأفرقة العاملة، </w:t>
      </w:r>
      <w:r w:rsidR="00E17A82">
        <w:rPr>
          <w:rFonts w:hint="cs"/>
          <w:rtl/>
        </w:rPr>
        <w:t>ف</w:t>
      </w:r>
      <w:r w:rsidR="00E67E58">
        <w:rPr>
          <w:rFonts w:hint="cs"/>
          <w:rtl/>
        </w:rPr>
        <w:t>سيشملها التمديد خلال الثنائية المقبلة.</w:t>
      </w:r>
    </w:p>
    <w:p w:rsidR="00E67E58" w:rsidRPr="00E67E58" w:rsidRDefault="00E67E58" w:rsidP="009F13ED">
      <w:pPr>
        <w:pStyle w:val="NormalParaAR"/>
        <w:keepNext/>
        <w:rPr>
          <w:u w:val="single"/>
          <w:rtl/>
        </w:rPr>
      </w:pPr>
      <w:r w:rsidRPr="00E67E58">
        <w:rPr>
          <w:rFonts w:hint="cs"/>
          <w:u w:val="single"/>
          <w:rtl/>
        </w:rPr>
        <w:t>تدابير</w:t>
      </w:r>
      <w:r>
        <w:rPr>
          <w:rFonts w:hint="cs"/>
          <w:u w:val="single"/>
          <w:rtl/>
        </w:rPr>
        <w:t xml:space="preserve"> الترشيد و</w:t>
      </w:r>
      <w:r w:rsidR="009F13ED">
        <w:rPr>
          <w:rFonts w:hint="cs"/>
          <w:u w:val="single"/>
          <w:rtl/>
        </w:rPr>
        <w:t>المراقبة</w:t>
      </w:r>
    </w:p>
    <w:p w:rsidR="0044494E" w:rsidRDefault="00E67E58" w:rsidP="007D72B4">
      <w:pPr>
        <w:pStyle w:val="NormalParaAR"/>
        <w:numPr>
          <w:ilvl w:val="0"/>
          <w:numId w:val="21"/>
        </w:numPr>
        <w:ind w:left="0" w:firstLine="0"/>
        <w:rPr>
          <w:u w:color="000000"/>
        </w:rPr>
      </w:pPr>
      <w:r>
        <w:rPr>
          <w:rFonts w:hint="cs"/>
          <w:rtl/>
        </w:rPr>
        <w:t>استيعاباً لزيادة عبء العمل الناجمة عن توسع التغطية اللغوية</w:t>
      </w:r>
      <w:r w:rsidR="008F4001">
        <w:rPr>
          <w:rFonts w:hint="cs"/>
          <w:rtl/>
        </w:rPr>
        <w:t>، وضعت الأمانة تدابير ترشيد ومراقبة</w:t>
      </w:r>
      <w:r>
        <w:rPr>
          <w:rFonts w:hint="cs"/>
          <w:rtl/>
        </w:rPr>
        <w:t xml:space="preserve"> </w:t>
      </w:r>
      <w:r w:rsidR="008F4001">
        <w:rPr>
          <w:rFonts w:hint="cs"/>
          <w:rtl/>
        </w:rPr>
        <w:t>تخص</w:t>
      </w:r>
      <w:r>
        <w:rPr>
          <w:rFonts w:hint="cs"/>
          <w:rtl/>
        </w:rPr>
        <w:t xml:space="preserve"> حجم النصوص الأصلية المستخدمة في وثائق الاجتماعات</w:t>
      </w:r>
      <w:r w:rsidR="0044494E">
        <w:rPr>
          <w:rFonts w:hint="cs"/>
          <w:rtl/>
        </w:rPr>
        <w:t xml:space="preserve">، </w:t>
      </w:r>
      <w:r w:rsidR="007D72B4">
        <w:rPr>
          <w:rFonts w:hint="cs"/>
          <w:rtl/>
        </w:rPr>
        <w:t>أي أنه</w:t>
      </w:r>
      <w:r w:rsidR="0044494E">
        <w:rPr>
          <w:rFonts w:hint="cs"/>
          <w:rtl/>
        </w:rPr>
        <w:t xml:space="preserve"> </w:t>
      </w:r>
      <w:r w:rsidR="007D72B4">
        <w:rPr>
          <w:rFonts w:hint="cs"/>
          <w:rtl/>
        </w:rPr>
        <w:t xml:space="preserve">لا </w:t>
      </w:r>
      <w:r w:rsidR="0044494E">
        <w:rPr>
          <w:rFonts w:hint="cs"/>
          <w:rtl/>
        </w:rPr>
        <w:t xml:space="preserve">ينبغي لوثائق العمل، مثلاً، أن </w:t>
      </w:r>
      <w:r w:rsidR="008F4001">
        <w:rPr>
          <w:rFonts w:hint="cs"/>
          <w:rtl/>
        </w:rPr>
        <w:t>ي</w:t>
      </w:r>
      <w:r w:rsidR="0044494E">
        <w:rPr>
          <w:rFonts w:hint="cs"/>
          <w:rtl/>
        </w:rPr>
        <w:t>تجاوز</w:t>
      </w:r>
      <w:r w:rsidR="008F4001">
        <w:rPr>
          <w:rFonts w:hint="cs"/>
          <w:rtl/>
        </w:rPr>
        <w:t xml:space="preserve"> طولها</w:t>
      </w:r>
      <w:r w:rsidR="0044494E">
        <w:rPr>
          <w:rFonts w:hint="cs"/>
          <w:rtl/>
        </w:rPr>
        <w:t xml:space="preserve"> 300 3 كلمة أو</w:t>
      </w:r>
      <w:r w:rsidR="00766DA0">
        <w:rPr>
          <w:rFonts w:hint="eastAsia"/>
          <w:rtl/>
        </w:rPr>
        <w:t> </w:t>
      </w:r>
      <w:r w:rsidR="0044494E">
        <w:rPr>
          <w:rFonts w:hint="cs"/>
          <w:rtl/>
        </w:rPr>
        <w:t>10</w:t>
      </w:r>
      <w:r w:rsidR="008F4001">
        <w:rPr>
          <w:rFonts w:hint="eastAsia"/>
          <w:rtl/>
        </w:rPr>
        <w:t> </w:t>
      </w:r>
      <w:r w:rsidR="0044494E" w:rsidRPr="0044494E">
        <w:rPr>
          <w:rtl/>
        </w:rPr>
        <w:t>صفحات قياسية وفقا</w:t>
      </w:r>
      <w:r w:rsidR="0044494E">
        <w:rPr>
          <w:rFonts w:hint="cs"/>
          <w:rtl/>
        </w:rPr>
        <w:t>ً</w:t>
      </w:r>
      <w:r w:rsidR="0044494E" w:rsidRPr="0044494E">
        <w:rPr>
          <w:rtl/>
        </w:rPr>
        <w:t xml:space="preserve"> لمعايير الأمم المتحدة</w:t>
      </w:r>
      <w:r w:rsidR="0044494E">
        <w:rPr>
          <w:rFonts w:hint="cs"/>
          <w:rtl/>
        </w:rPr>
        <w:t>؛ وفيما يخص وثائق ال</w:t>
      </w:r>
      <w:r w:rsidR="0044494E" w:rsidRPr="0044494E">
        <w:rPr>
          <w:rtl/>
        </w:rPr>
        <w:t xml:space="preserve">دعم </w:t>
      </w:r>
      <w:r w:rsidR="0044494E">
        <w:rPr>
          <w:rFonts w:hint="cs"/>
          <w:rtl/>
        </w:rPr>
        <w:t>ال</w:t>
      </w:r>
      <w:r w:rsidR="0044494E" w:rsidRPr="0044494E">
        <w:rPr>
          <w:rtl/>
        </w:rPr>
        <w:t>طويلة مثل الدراسات والاستقصاءات</w:t>
      </w:r>
      <w:r w:rsidR="0044494E">
        <w:rPr>
          <w:rFonts w:hint="cs"/>
          <w:rtl/>
        </w:rPr>
        <w:t>، ينبغي إعداد ملخصات عملية</w:t>
      </w:r>
      <w:r w:rsidR="00E17A82">
        <w:rPr>
          <w:rFonts w:hint="cs"/>
          <w:rtl/>
        </w:rPr>
        <w:t xml:space="preserve"> </w:t>
      </w:r>
      <w:r w:rsidR="0044494E">
        <w:rPr>
          <w:rFonts w:hint="cs"/>
          <w:rtl/>
        </w:rPr>
        <w:t>لا تتجاوز 300 3 كلمة ولا تُترجم إلا تلك الملخصات إلى جميع اللغات الرسمية الأخرى للأمم المتحدة إلا إذا طلبت دولة عضو صراحة ترجمة الوثيقة بأكملها إلى لغة رسمية أخرى</w:t>
      </w:r>
      <w:r w:rsidR="0044494E">
        <w:rPr>
          <w:rFonts w:hint="cs"/>
          <w:u w:color="000000"/>
          <w:rtl/>
        </w:rPr>
        <w:t>.</w:t>
      </w:r>
    </w:p>
    <w:p w:rsidR="0044494E" w:rsidRDefault="0044494E" w:rsidP="008F4001">
      <w:pPr>
        <w:pStyle w:val="NormalParaAR"/>
        <w:numPr>
          <w:ilvl w:val="0"/>
          <w:numId w:val="21"/>
        </w:numPr>
        <w:ind w:left="0" w:firstLine="0"/>
        <w:rPr>
          <w:u w:color="000000"/>
        </w:rPr>
      </w:pPr>
      <w:r>
        <w:rPr>
          <w:rFonts w:hint="cs"/>
          <w:u w:color="000000"/>
          <w:rtl/>
        </w:rPr>
        <w:t xml:space="preserve">وكما ورد في التقرير المرحلي بشأن تنفيذ سياسة </w:t>
      </w:r>
      <w:r w:rsidR="008F4001">
        <w:rPr>
          <w:rFonts w:hint="cs"/>
          <w:u w:color="000000"/>
          <w:rtl/>
        </w:rPr>
        <w:t>اللغات في الويبو</w:t>
      </w:r>
      <w:r>
        <w:rPr>
          <w:rStyle w:val="FootnoteReference"/>
          <w:u w:color="000000"/>
          <w:rtl/>
        </w:rPr>
        <w:footnoteReference w:id="3"/>
      </w:r>
      <w:r>
        <w:rPr>
          <w:rFonts w:hint="cs"/>
          <w:u w:color="000000"/>
          <w:rtl/>
        </w:rPr>
        <w:t xml:space="preserve">، </w:t>
      </w:r>
      <w:r w:rsidRPr="0044494E">
        <w:rPr>
          <w:u w:color="000000"/>
          <w:rtl/>
        </w:rPr>
        <w:t>أدى اعتماد سياسة اللغات إلى زيادة عدد طلبات الترجمة بنسبة 53 بال</w:t>
      </w:r>
      <w:r w:rsidR="00E17A82">
        <w:rPr>
          <w:rFonts w:hint="cs"/>
          <w:u w:color="000000"/>
          <w:rtl/>
        </w:rPr>
        <w:t>مئة</w:t>
      </w:r>
      <w:r w:rsidRPr="0044494E">
        <w:rPr>
          <w:u w:color="000000"/>
          <w:rtl/>
        </w:rPr>
        <w:t xml:space="preserve"> </w:t>
      </w:r>
      <w:r>
        <w:rPr>
          <w:rFonts w:hint="cs"/>
          <w:u w:color="000000"/>
          <w:rtl/>
        </w:rPr>
        <w:t>في عام</w:t>
      </w:r>
      <w:r w:rsidRPr="0044494E">
        <w:rPr>
          <w:u w:color="000000"/>
          <w:rtl/>
        </w:rPr>
        <w:t xml:space="preserve"> 2012 مقارنة </w:t>
      </w:r>
      <w:r>
        <w:rPr>
          <w:rFonts w:hint="cs"/>
          <w:u w:color="000000"/>
          <w:rtl/>
        </w:rPr>
        <w:t>بعام</w:t>
      </w:r>
      <w:r w:rsidRPr="0044494E">
        <w:rPr>
          <w:u w:color="000000"/>
          <w:rtl/>
        </w:rPr>
        <w:t xml:space="preserve"> 2011.</w:t>
      </w:r>
      <w:r>
        <w:rPr>
          <w:rFonts w:hint="cs"/>
          <w:u w:color="000000"/>
          <w:rtl/>
        </w:rPr>
        <w:t xml:space="preserve">، مما تطلب زيادة الموارد المخصصة للأنشطة </w:t>
      </w:r>
      <w:r w:rsidR="00E17A82">
        <w:rPr>
          <w:rFonts w:hint="cs"/>
          <w:u w:color="000000"/>
          <w:rtl/>
        </w:rPr>
        <w:t>المسندة إلى الخارج</w:t>
      </w:r>
      <w:r>
        <w:rPr>
          <w:rFonts w:hint="cs"/>
          <w:u w:color="000000"/>
          <w:rtl/>
        </w:rPr>
        <w:t>.</w:t>
      </w:r>
    </w:p>
    <w:p w:rsidR="005B5151" w:rsidRDefault="0044494E" w:rsidP="00E17A82">
      <w:pPr>
        <w:pStyle w:val="NormalParaAR"/>
        <w:numPr>
          <w:ilvl w:val="0"/>
          <w:numId w:val="21"/>
        </w:numPr>
        <w:ind w:left="0" w:firstLine="0"/>
        <w:rPr>
          <w:u w:color="000000"/>
        </w:rPr>
      </w:pPr>
      <w:r>
        <w:rPr>
          <w:rFonts w:hint="cs"/>
          <w:u w:color="000000"/>
          <w:rtl/>
        </w:rPr>
        <w:t>وساعد تطبيق أ</w:t>
      </w:r>
      <w:r w:rsidR="008F4001">
        <w:rPr>
          <w:rFonts w:hint="cs"/>
          <w:u w:color="000000"/>
          <w:rtl/>
        </w:rPr>
        <w:t>كثر صرامة لتدابير الترشيد والمراقبة</w:t>
      </w:r>
      <w:r>
        <w:rPr>
          <w:rFonts w:hint="cs"/>
          <w:u w:color="000000"/>
          <w:rtl/>
        </w:rPr>
        <w:t xml:space="preserve"> على الحد من الزيادة المطردة في عبء العمل خلال</w:t>
      </w:r>
      <w:r w:rsidR="00E17A82">
        <w:rPr>
          <w:rFonts w:hint="cs"/>
          <w:u w:color="000000"/>
          <w:rtl/>
        </w:rPr>
        <w:t xml:space="preserve"> عام</w:t>
      </w:r>
      <w:r>
        <w:rPr>
          <w:rFonts w:hint="cs"/>
          <w:u w:color="000000"/>
          <w:rtl/>
        </w:rPr>
        <w:t xml:space="preserve"> 2013. </w:t>
      </w:r>
      <w:r w:rsidR="005B5151">
        <w:rPr>
          <w:rFonts w:hint="cs"/>
          <w:u w:color="000000"/>
          <w:rtl/>
        </w:rPr>
        <w:t xml:space="preserve">ورغم ترجمة ما مجموعه 18.24 مليون كلمة (أي 282 55 صفحة قياسية وفقاً لمعايير الأمم المتحدة) في عام 2012، فقد انخفض ذلك المجموع في عام 2013 ليصل إلى 14.93 مليون كلمة (242 45 </w:t>
      </w:r>
      <w:r w:rsidR="005B5151" w:rsidRPr="005B5151">
        <w:rPr>
          <w:u w:color="000000"/>
          <w:rtl/>
        </w:rPr>
        <w:t>صفحة قياسية وفقاً لمعايير الأمم المتحدة</w:t>
      </w:r>
      <w:r w:rsidR="005B5151">
        <w:rPr>
          <w:rFonts w:hint="cs"/>
          <w:u w:color="000000"/>
          <w:rtl/>
        </w:rPr>
        <w:t xml:space="preserve">). ونظراً إلى انخفاض عدد الكلمات المترجمة، انخفضت النفقات الخاصة </w:t>
      </w:r>
      <w:r w:rsidR="00314613">
        <w:rPr>
          <w:rFonts w:hint="cs"/>
          <w:u w:color="000000"/>
          <w:rtl/>
        </w:rPr>
        <w:t>بالترجمة الخارجية</w:t>
      </w:r>
      <w:r w:rsidR="005B5151">
        <w:rPr>
          <w:rFonts w:hint="cs"/>
          <w:u w:color="000000"/>
          <w:rtl/>
        </w:rPr>
        <w:t xml:space="preserve"> على النحو المبين في الجدول 2.</w:t>
      </w:r>
    </w:p>
    <w:p w:rsidR="005B5151" w:rsidRDefault="005B5151" w:rsidP="00314613">
      <w:pPr>
        <w:pStyle w:val="NormalParaAR"/>
        <w:numPr>
          <w:ilvl w:val="0"/>
          <w:numId w:val="21"/>
        </w:numPr>
        <w:ind w:left="0" w:firstLine="0"/>
        <w:rPr>
          <w:u w:color="000000"/>
        </w:rPr>
      </w:pPr>
      <w:r>
        <w:rPr>
          <w:rFonts w:hint="cs"/>
          <w:u w:color="000000"/>
          <w:rtl/>
        </w:rPr>
        <w:lastRenderedPageBreak/>
        <w:t>ويُقترح مواصلة تلك التدابير بغية توفير "وثائق عمل أكثر إيجازاً" تلبية لرغبة الدول الأعضاء</w:t>
      </w:r>
      <w:r>
        <w:rPr>
          <w:rStyle w:val="FootnoteReference"/>
          <w:u w:color="000000"/>
          <w:rtl/>
        </w:rPr>
        <w:footnoteReference w:id="4"/>
      </w:r>
      <w:r>
        <w:rPr>
          <w:rFonts w:hint="cs"/>
          <w:u w:color="000000"/>
          <w:rtl/>
        </w:rPr>
        <w:t xml:space="preserve">، </w:t>
      </w:r>
      <w:r w:rsidR="00314613">
        <w:rPr>
          <w:rFonts w:hint="cs"/>
          <w:u w:color="000000"/>
          <w:rtl/>
        </w:rPr>
        <w:t>فضلاً عن تقليص</w:t>
      </w:r>
      <w:r>
        <w:rPr>
          <w:rFonts w:hint="cs"/>
          <w:u w:color="000000"/>
          <w:rtl/>
        </w:rPr>
        <w:t xml:space="preserve"> تكاليف </w:t>
      </w:r>
      <w:r w:rsidRPr="005B5151">
        <w:rPr>
          <w:rFonts w:hint="cs"/>
          <w:rtl/>
        </w:rPr>
        <w:t>الترجمة</w:t>
      </w:r>
      <w:r>
        <w:rPr>
          <w:rFonts w:hint="cs"/>
          <w:u w:color="000000"/>
          <w:rtl/>
        </w:rPr>
        <w:t>.</w:t>
      </w:r>
    </w:p>
    <w:p w:rsidR="005B5151" w:rsidRDefault="00314613" w:rsidP="005B5151">
      <w:pPr>
        <w:pStyle w:val="NormalParaAR"/>
        <w:keepNext/>
        <w:rPr>
          <w:u w:val="single" w:color="000000"/>
          <w:rtl/>
        </w:rPr>
      </w:pPr>
      <w:r>
        <w:rPr>
          <w:rFonts w:hint="cs"/>
          <w:u w:val="single" w:color="000000"/>
          <w:rtl/>
        </w:rPr>
        <w:t>الترجمة الخارجية</w:t>
      </w:r>
    </w:p>
    <w:p w:rsidR="005B5151" w:rsidRDefault="005B5151" w:rsidP="00F32508">
      <w:pPr>
        <w:pStyle w:val="NormalParaAR"/>
        <w:numPr>
          <w:ilvl w:val="0"/>
          <w:numId w:val="21"/>
        </w:numPr>
        <w:ind w:left="0" w:firstLine="0"/>
        <w:rPr>
          <w:u w:color="000000"/>
        </w:rPr>
      </w:pPr>
      <w:r w:rsidRPr="005B5151">
        <w:rPr>
          <w:rFonts w:hint="cs"/>
          <w:u w:color="000000"/>
          <w:rtl/>
        </w:rPr>
        <w:t>تلبية</w:t>
      </w:r>
      <w:r>
        <w:rPr>
          <w:rFonts w:hint="cs"/>
          <w:u w:color="000000"/>
          <w:rtl/>
        </w:rPr>
        <w:t xml:space="preserve"> لطلبات الدول الأعضاء، ازدادت نسبة </w:t>
      </w:r>
      <w:r w:rsidR="00314613">
        <w:rPr>
          <w:rFonts w:hint="cs"/>
          <w:u w:color="000000"/>
          <w:rtl/>
        </w:rPr>
        <w:t>الترجمة الخارجية من إجمالي أعمال الترجمة</w:t>
      </w:r>
      <w:r>
        <w:rPr>
          <w:rFonts w:hint="cs"/>
          <w:u w:color="000000"/>
          <w:rtl/>
        </w:rPr>
        <w:t xml:space="preserve"> ازدياداً شديداً.</w:t>
      </w:r>
      <w:r w:rsidR="00F32508">
        <w:rPr>
          <w:rFonts w:hint="cs"/>
          <w:u w:color="000000"/>
          <w:rtl/>
        </w:rPr>
        <w:t xml:space="preserve"> فمقارنة بأساسي </w:t>
      </w:r>
      <w:r w:rsidR="00314613">
        <w:rPr>
          <w:rFonts w:hint="cs"/>
          <w:u w:color="000000"/>
          <w:rtl/>
        </w:rPr>
        <w:t xml:space="preserve">المقارنة البالغ 30 بالمئة </w:t>
      </w:r>
      <w:r w:rsidR="00F32508">
        <w:rPr>
          <w:rFonts w:hint="cs"/>
          <w:u w:color="000000"/>
          <w:rtl/>
        </w:rPr>
        <w:t xml:space="preserve">في عام 2010 و45 بالمئة في </w:t>
      </w:r>
      <w:r w:rsidR="00314613">
        <w:rPr>
          <w:rFonts w:hint="cs"/>
          <w:u w:color="000000"/>
          <w:rtl/>
        </w:rPr>
        <w:t xml:space="preserve">عام 2011، ازداد مستوى الترجمة الخارجية ليصل إلى 56 بالمئة في الثنائية 2012/13. وإضافة إلى إسناد أعمال إلى مترجمين خارجيين من الأفراد، </w:t>
      </w:r>
      <w:r w:rsidR="00766DA0">
        <w:rPr>
          <w:rFonts w:hint="cs"/>
          <w:u w:color="000000"/>
          <w:rtl/>
        </w:rPr>
        <w:t>يُ</w:t>
      </w:r>
      <w:r w:rsidR="00314613">
        <w:rPr>
          <w:rFonts w:hint="cs"/>
          <w:u w:color="000000"/>
          <w:rtl/>
        </w:rPr>
        <w:t xml:space="preserve">عهد كذلك </w:t>
      </w:r>
      <w:r w:rsidR="00766DA0">
        <w:rPr>
          <w:rFonts w:hint="cs"/>
          <w:u w:color="000000"/>
          <w:rtl/>
        </w:rPr>
        <w:t>ب</w:t>
      </w:r>
      <w:r w:rsidR="00314613">
        <w:rPr>
          <w:rFonts w:hint="cs"/>
          <w:u w:color="000000"/>
          <w:rtl/>
        </w:rPr>
        <w:t xml:space="preserve">الوثائق </w:t>
      </w:r>
      <w:r w:rsidR="00E17A82">
        <w:rPr>
          <w:rFonts w:hint="cs"/>
          <w:u w:color="000000"/>
          <w:rtl/>
        </w:rPr>
        <w:t xml:space="preserve">المزمع ترجمتها إلى </w:t>
      </w:r>
      <w:r w:rsidR="00314613">
        <w:rPr>
          <w:rFonts w:hint="cs"/>
          <w:u w:color="000000"/>
          <w:rtl/>
        </w:rPr>
        <w:t xml:space="preserve">الفرنسية والإسبانية إلى شركات </w:t>
      </w:r>
      <w:r w:rsidR="00E17A82">
        <w:rPr>
          <w:rFonts w:hint="cs"/>
          <w:u w:color="000000"/>
          <w:rtl/>
        </w:rPr>
        <w:t xml:space="preserve">ترجمة حُددت </w:t>
      </w:r>
      <w:r w:rsidR="00314613">
        <w:rPr>
          <w:rFonts w:hint="cs"/>
          <w:u w:color="000000"/>
          <w:rtl/>
        </w:rPr>
        <w:t>من خلال مناقصتين دوليتين أ</w:t>
      </w:r>
      <w:r w:rsidR="00766DA0">
        <w:rPr>
          <w:rFonts w:hint="cs"/>
          <w:u w:color="000000"/>
          <w:rtl/>
        </w:rPr>
        <w:t>طلقتا</w:t>
      </w:r>
      <w:r w:rsidR="00314613">
        <w:rPr>
          <w:rFonts w:hint="cs"/>
          <w:u w:color="000000"/>
          <w:rtl/>
        </w:rPr>
        <w:t xml:space="preserve"> في عامي 2011 و2012 على التوالي. واستناداً إلى الخبرة المكتسبة فيما </w:t>
      </w:r>
      <w:r w:rsidR="00766DA0">
        <w:rPr>
          <w:rFonts w:hint="cs"/>
          <w:u w:color="000000"/>
          <w:rtl/>
        </w:rPr>
        <w:t>يخص هاتين اللغتين، استُهلت ثلاث</w:t>
      </w:r>
      <w:r w:rsidR="00314613">
        <w:rPr>
          <w:rFonts w:hint="cs"/>
          <w:u w:color="000000"/>
          <w:rtl/>
        </w:rPr>
        <w:t xml:space="preserve"> مناقصات دولية أخرى في آن واحد للعربية والصينية والروسية. </w:t>
      </w:r>
      <w:r w:rsidR="00B85FF6">
        <w:rPr>
          <w:rFonts w:hint="cs"/>
          <w:u w:color="000000"/>
          <w:rtl/>
        </w:rPr>
        <w:t>وبحلول نهاية عام 2014، سيُتعاقد مع المزيد من شركات الترجمة كي تتولى أعمال ترجمة خارجية ل</w:t>
      </w:r>
      <w:r w:rsidR="00766DA0">
        <w:rPr>
          <w:rFonts w:hint="cs"/>
          <w:u w:color="000000"/>
          <w:rtl/>
        </w:rPr>
        <w:t>صالح</w:t>
      </w:r>
      <w:r w:rsidR="00B85FF6">
        <w:rPr>
          <w:rFonts w:hint="cs"/>
          <w:u w:color="000000"/>
          <w:rtl/>
        </w:rPr>
        <w:t xml:space="preserve"> الأمانة.</w:t>
      </w:r>
    </w:p>
    <w:p w:rsidR="00B85FF6" w:rsidRDefault="00B85FF6" w:rsidP="00B85FF6">
      <w:pPr>
        <w:pStyle w:val="NormalParaAR"/>
        <w:numPr>
          <w:ilvl w:val="0"/>
          <w:numId w:val="21"/>
        </w:numPr>
        <w:ind w:left="0" w:firstLine="0"/>
        <w:rPr>
          <w:u w:color="000000"/>
        </w:rPr>
      </w:pPr>
      <w:r>
        <w:rPr>
          <w:rFonts w:hint="cs"/>
          <w:u w:color="000000"/>
          <w:rtl/>
        </w:rPr>
        <w:t xml:space="preserve">ولكن يجب، في الوقت ذاته، إيلاء العناية لجودة الترجمة. فخلال المناقشات بشأن </w:t>
      </w:r>
      <w:r w:rsidR="00CE61DC">
        <w:rPr>
          <w:rFonts w:hint="cs"/>
          <w:u w:color="000000"/>
          <w:rtl/>
        </w:rPr>
        <w:t>سياسة اللغات</w:t>
      </w:r>
      <w:r>
        <w:rPr>
          <w:rFonts w:hint="cs"/>
          <w:u w:color="000000"/>
          <w:rtl/>
        </w:rPr>
        <w:t>، وبخاصة فيما يتعلق بالترجمة الخارجية، أعربت دول أعضاء عن بعض الشواغل إزاء جودة أعمال الترجمة الخارجية، وشددت على الحاجة إلى وضع تدابير لمراقبة الجودة. وإدراكاً من الأمانة لهذه الحاجة، وضعت مفهوم "الجودة في المصدر"، الذي يضمن</w:t>
      </w:r>
      <w:r w:rsidRPr="00B85FF6">
        <w:rPr>
          <w:u w:color="000000"/>
          <w:rtl/>
        </w:rPr>
        <w:t xml:space="preserve"> وجود الجودة في أبكر مراحل المسار، ابتداء من ضم المترجمين الكفء</w:t>
      </w:r>
      <w:r>
        <w:rPr>
          <w:rFonts w:hint="cs"/>
          <w:u w:color="000000"/>
          <w:rtl/>
        </w:rPr>
        <w:t>. وطُبق إجراء جديد ومبسط لاعتماد مزودي الترجمة الخارجية يشمل العديد من الخطوات مثل تقييم المؤهلات، والاختبار في الموقع أو من على الإنترنت، وإجراء مقابلات.</w:t>
      </w:r>
    </w:p>
    <w:p w:rsidR="00211970" w:rsidRDefault="00B85FF6" w:rsidP="00016355">
      <w:pPr>
        <w:pStyle w:val="NormalParaAR"/>
        <w:numPr>
          <w:ilvl w:val="0"/>
          <w:numId w:val="21"/>
        </w:numPr>
        <w:ind w:left="0" w:firstLine="0"/>
        <w:rPr>
          <w:u w:color="000000"/>
        </w:rPr>
      </w:pPr>
      <w:r>
        <w:rPr>
          <w:rFonts w:hint="cs"/>
          <w:u w:color="000000"/>
          <w:rtl/>
        </w:rPr>
        <w:t>وإضافة إلى ذلك، يدقق الفريق</w:t>
      </w:r>
      <w:r w:rsidR="00211970">
        <w:rPr>
          <w:rFonts w:hint="cs"/>
          <w:u w:color="000000"/>
          <w:rtl/>
        </w:rPr>
        <w:t xml:space="preserve"> الأساسي الداخلي </w:t>
      </w:r>
      <w:r w:rsidRPr="00B85FF6">
        <w:rPr>
          <w:u w:color="000000"/>
          <w:rtl/>
        </w:rPr>
        <w:t>في أعمال الترجمة</w:t>
      </w:r>
      <w:r w:rsidR="00DE7201">
        <w:rPr>
          <w:rFonts w:hint="cs"/>
          <w:u w:color="000000"/>
          <w:rtl/>
        </w:rPr>
        <w:t xml:space="preserve"> الخارجية</w:t>
      </w:r>
      <w:r w:rsidRPr="00B85FF6">
        <w:rPr>
          <w:u w:color="000000"/>
          <w:rtl/>
        </w:rPr>
        <w:t xml:space="preserve"> </w:t>
      </w:r>
      <w:r w:rsidR="00016355">
        <w:rPr>
          <w:rFonts w:hint="cs"/>
          <w:u w:color="000000"/>
          <w:rtl/>
        </w:rPr>
        <w:t>باعتماد عدد</w:t>
      </w:r>
      <w:r w:rsidRPr="00B85FF6">
        <w:rPr>
          <w:u w:color="000000"/>
          <w:rtl/>
        </w:rPr>
        <w:t xml:space="preserve"> من معايير الجودة مثل الدقة </w:t>
      </w:r>
      <w:r w:rsidR="00DE7201">
        <w:rPr>
          <w:rFonts w:hint="cs"/>
          <w:u w:color="000000"/>
          <w:rtl/>
        </w:rPr>
        <w:t xml:space="preserve">والفهم </w:t>
      </w:r>
      <w:r w:rsidRPr="00B85FF6">
        <w:rPr>
          <w:u w:color="000000"/>
          <w:rtl/>
        </w:rPr>
        <w:t>واكتمال</w:t>
      </w:r>
      <w:r w:rsidR="00211970">
        <w:rPr>
          <w:u w:color="000000"/>
          <w:rtl/>
        </w:rPr>
        <w:t xml:space="preserve"> النص والاصطلاح وسلاسة الأسلوب </w:t>
      </w:r>
      <w:r w:rsidR="00211970">
        <w:rPr>
          <w:rFonts w:hint="cs"/>
          <w:u w:color="000000"/>
          <w:rtl/>
        </w:rPr>
        <w:t xml:space="preserve">والاستخدام. كما استُحدث مسار لمراقبة الجودة بالاستناد إلى معايير قياس مختلفة </w:t>
      </w:r>
      <w:r w:rsidR="00016355">
        <w:rPr>
          <w:rFonts w:hint="cs"/>
          <w:u w:color="000000"/>
          <w:rtl/>
        </w:rPr>
        <w:t>بدءاً</w:t>
      </w:r>
      <w:r w:rsidR="00211970">
        <w:rPr>
          <w:rFonts w:hint="cs"/>
          <w:u w:color="000000"/>
          <w:rtl/>
        </w:rPr>
        <w:t xml:space="preserve"> من تنسيق الوثائق وتنقيحها والتدقيق فيها </w:t>
      </w:r>
      <w:r w:rsidR="00016355">
        <w:rPr>
          <w:rFonts w:hint="cs"/>
          <w:u w:color="000000"/>
          <w:rtl/>
        </w:rPr>
        <w:t>و</w:t>
      </w:r>
      <w:r w:rsidR="00211970">
        <w:rPr>
          <w:rFonts w:hint="cs"/>
          <w:u w:color="000000"/>
          <w:rtl/>
        </w:rPr>
        <w:t>وصولاً إلى المراجعة الجزئية</w:t>
      </w:r>
      <w:r w:rsidR="00DE7201">
        <w:rPr>
          <w:rFonts w:hint="cs"/>
          <w:u w:color="000000"/>
          <w:rtl/>
        </w:rPr>
        <w:t xml:space="preserve"> والكلية. وتُربط جودة الترجمة بمستوى ا</w:t>
      </w:r>
      <w:r w:rsidR="00211970">
        <w:rPr>
          <w:rFonts w:hint="cs"/>
          <w:u w:color="000000"/>
          <w:rtl/>
        </w:rPr>
        <w:t>لأجور المدفوعة.</w:t>
      </w:r>
    </w:p>
    <w:p w:rsidR="00211970" w:rsidRDefault="00211970" w:rsidP="00F32508">
      <w:pPr>
        <w:pStyle w:val="NormalParaAR"/>
        <w:rPr>
          <w:u w:val="single" w:color="000000"/>
          <w:rtl/>
        </w:rPr>
      </w:pPr>
      <w:r>
        <w:rPr>
          <w:rFonts w:hint="cs"/>
          <w:u w:val="single" w:color="000000"/>
          <w:rtl/>
        </w:rPr>
        <w:t xml:space="preserve">تكاليف الترجمة، </w:t>
      </w:r>
      <w:r w:rsidR="00F32508">
        <w:rPr>
          <w:rFonts w:hint="cs"/>
          <w:u w:val="single" w:color="000000"/>
          <w:rtl/>
        </w:rPr>
        <w:t>أوجه الفعالية</w:t>
      </w:r>
      <w:r w:rsidR="00E17A82">
        <w:rPr>
          <w:rFonts w:hint="cs"/>
          <w:u w:val="single" w:color="000000"/>
          <w:rtl/>
        </w:rPr>
        <w:t xml:space="preserve"> </w:t>
      </w:r>
      <w:r>
        <w:rPr>
          <w:rFonts w:hint="cs"/>
          <w:u w:val="single" w:color="000000"/>
          <w:rtl/>
        </w:rPr>
        <w:t>والوفورات</w:t>
      </w:r>
    </w:p>
    <w:p w:rsidR="00B85FF6" w:rsidRDefault="00DE7201" w:rsidP="00DE7201">
      <w:pPr>
        <w:pStyle w:val="NormalParaAR"/>
        <w:numPr>
          <w:ilvl w:val="0"/>
          <w:numId w:val="21"/>
        </w:numPr>
        <w:ind w:left="0" w:firstLine="0"/>
        <w:rPr>
          <w:u w:color="000000"/>
        </w:rPr>
      </w:pPr>
      <w:r>
        <w:rPr>
          <w:rFonts w:hint="cs"/>
          <w:u w:color="000000"/>
          <w:rtl/>
        </w:rPr>
        <w:t>رغم تدابير الترشيد والمراقبة</w:t>
      </w:r>
      <w:r w:rsidR="00211970">
        <w:rPr>
          <w:rFonts w:hint="cs"/>
          <w:u w:color="000000"/>
          <w:rtl/>
        </w:rPr>
        <w:t xml:space="preserve">، </w:t>
      </w:r>
      <w:r w:rsidR="009F13ED">
        <w:rPr>
          <w:rFonts w:hint="cs"/>
          <w:u w:color="000000"/>
          <w:rtl/>
        </w:rPr>
        <w:t>فإن</w:t>
      </w:r>
      <w:r w:rsidR="00211970">
        <w:rPr>
          <w:rFonts w:hint="cs"/>
          <w:u w:color="000000"/>
          <w:rtl/>
        </w:rPr>
        <w:t xml:space="preserve"> تمديد التغطية اللغوية من لغتين (</w:t>
      </w:r>
      <w:r>
        <w:rPr>
          <w:rFonts w:hint="cs"/>
          <w:u w:color="000000"/>
          <w:rtl/>
        </w:rPr>
        <w:t>ال</w:t>
      </w:r>
      <w:r w:rsidR="00211970">
        <w:rPr>
          <w:rFonts w:hint="cs"/>
          <w:u w:color="000000"/>
          <w:rtl/>
        </w:rPr>
        <w:t>إنكليزي</w:t>
      </w:r>
      <w:r>
        <w:rPr>
          <w:rFonts w:hint="cs"/>
          <w:u w:color="000000"/>
          <w:rtl/>
        </w:rPr>
        <w:t>ة</w:t>
      </w:r>
      <w:r w:rsidR="00211970">
        <w:rPr>
          <w:rFonts w:hint="cs"/>
          <w:u w:color="000000"/>
          <w:rtl/>
        </w:rPr>
        <w:t>/</w:t>
      </w:r>
      <w:r>
        <w:rPr>
          <w:rFonts w:hint="cs"/>
          <w:u w:color="000000"/>
          <w:rtl/>
        </w:rPr>
        <w:t>ال</w:t>
      </w:r>
      <w:r w:rsidR="00211970">
        <w:rPr>
          <w:rFonts w:hint="cs"/>
          <w:u w:color="000000"/>
          <w:rtl/>
        </w:rPr>
        <w:t>فرنسي</w:t>
      </w:r>
      <w:r>
        <w:rPr>
          <w:rFonts w:hint="cs"/>
          <w:u w:color="000000"/>
          <w:rtl/>
        </w:rPr>
        <w:t>ة</w:t>
      </w:r>
      <w:r w:rsidR="00211970">
        <w:rPr>
          <w:rFonts w:hint="cs"/>
          <w:u w:color="000000"/>
          <w:rtl/>
        </w:rPr>
        <w:t>)</w:t>
      </w:r>
      <w:r w:rsidR="009F13ED">
        <w:rPr>
          <w:rFonts w:hint="cs"/>
          <w:u w:color="000000"/>
          <w:rtl/>
        </w:rPr>
        <w:t xml:space="preserve"> أو ثلاثة (</w:t>
      </w:r>
      <w:r>
        <w:rPr>
          <w:rFonts w:hint="cs"/>
          <w:u w:color="000000"/>
          <w:rtl/>
        </w:rPr>
        <w:t>ال</w:t>
      </w:r>
      <w:r w:rsidR="009F13ED">
        <w:rPr>
          <w:rFonts w:hint="cs"/>
          <w:u w:color="000000"/>
          <w:rtl/>
        </w:rPr>
        <w:t>إنكليزي/</w:t>
      </w:r>
      <w:r>
        <w:rPr>
          <w:rFonts w:hint="cs"/>
          <w:u w:color="000000"/>
          <w:rtl/>
        </w:rPr>
        <w:t>ال</w:t>
      </w:r>
      <w:r w:rsidR="009F13ED">
        <w:rPr>
          <w:rFonts w:hint="cs"/>
          <w:u w:color="000000"/>
          <w:rtl/>
        </w:rPr>
        <w:t>فرنسي</w:t>
      </w:r>
      <w:r>
        <w:rPr>
          <w:rFonts w:hint="cs"/>
          <w:u w:color="000000"/>
          <w:rtl/>
        </w:rPr>
        <w:t>ة</w:t>
      </w:r>
      <w:r w:rsidR="009F13ED">
        <w:rPr>
          <w:rFonts w:hint="cs"/>
          <w:u w:color="000000"/>
          <w:rtl/>
        </w:rPr>
        <w:t>/</w:t>
      </w:r>
      <w:r>
        <w:rPr>
          <w:rFonts w:hint="cs"/>
          <w:u w:color="000000"/>
          <w:rtl/>
        </w:rPr>
        <w:t>ال</w:t>
      </w:r>
      <w:r w:rsidR="009F13ED">
        <w:rPr>
          <w:rFonts w:hint="cs"/>
          <w:u w:color="000000"/>
          <w:rtl/>
        </w:rPr>
        <w:t>إسباني</w:t>
      </w:r>
      <w:r>
        <w:rPr>
          <w:rFonts w:hint="cs"/>
          <w:u w:color="000000"/>
          <w:rtl/>
        </w:rPr>
        <w:t>ة</w:t>
      </w:r>
      <w:r w:rsidR="009F13ED">
        <w:rPr>
          <w:rFonts w:hint="cs"/>
          <w:u w:color="000000"/>
          <w:rtl/>
        </w:rPr>
        <w:t>) إلى اللغات الست للأمم المتحدة (</w:t>
      </w:r>
      <w:r>
        <w:rPr>
          <w:rFonts w:hint="cs"/>
          <w:u w:color="000000"/>
          <w:rtl/>
        </w:rPr>
        <w:t xml:space="preserve">بإضافة </w:t>
      </w:r>
      <w:r w:rsidR="009F13ED">
        <w:rPr>
          <w:rFonts w:hint="cs"/>
          <w:u w:color="000000"/>
          <w:rtl/>
        </w:rPr>
        <w:t>العربي</w:t>
      </w:r>
      <w:r>
        <w:rPr>
          <w:rFonts w:hint="cs"/>
          <w:u w:color="000000"/>
          <w:rtl/>
        </w:rPr>
        <w:t>ة</w:t>
      </w:r>
      <w:r w:rsidR="009F13ED">
        <w:rPr>
          <w:rFonts w:hint="cs"/>
          <w:u w:color="000000"/>
          <w:rtl/>
        </w:rPr>
        <w:t>/الصيني</w:t>
      </w:r>
      <w:r>
        <w:rPr>
          <w:rFonts w:hint="cs"/>
          <w:u w:color="000000"/>
          <w:rtl/>
        </w:rPr>
        <w:t>ة</w:t>
      </w:r>
      <w:r w:rsidR="009F13ED">
        <w:rPr>
          <w:rFonts w:hint="cs"/>
          <w:u w:color="000000"/>
          <w:rtl/>
        </w:rPr>
        <w:t>/الروسي</w:t>
      </w:r>
      <w:r>
        <w:rPr>
          <w:rFonts w:hint="cs"/>
          <w:u w:color="000000"/>
          <w:rtl/>
        </w:rPr>
        <w:t>ة</w:t>
      </w:r>
      <w:r w:rsidR="009F13ED">
        <w:rPr>
          <w:rFonts w:hint="cs"/>
          <w:u w:color="000000"/>
          <w:rtl/>
        </w:rPr>
        <w:t xml:space="preserve">) أدى إلى زيادة عبء أعمال الترجمة في الفترة 2012/13 بنسبة تتجاوز 35 بالمئة مقارنة بالنسبة المسجلة في </w:t>
      </w:r>
      <w:r>
        <w:rPr>
          <w:rFonts w:hint="cs"/>
          <w:u w:color="000000"/>
          <w:rtl/>
        </w:rPr>
        <w:t>الثنائية</w:t>
      </w:r>
      <w:r w:rsidR="009F13ED">
        <w:rPr>
          <w:rFonts w:hint="cs"/>
          <w:u w:color="000000"/>
          <w:rtl/>
        </w:rPr>
        <w:t xml:space="preserve"> 2010/11. وتُجدر الإشارة إلى أن الزيادة التي شهدها عبء العمل هذا قبل تنفيذ </w:t>
      </w:r>
      <w:r w:rsidR="00CE61DC">
        <w:rPr>
          <w:rFonts w:hint="cs"/>
          <w:u w:color="000000"/>
          <w:rtl/>
        </w:rPr>
        <w:t>سياسة اللغات</w:t>
      </w:r>
      <w:r w:rsidR="009F13ED">
        <w:rPr>
          <w:rFonts w:hint="cs"/>
          <w:u w:color="000000"/>
          <w:rtl/>
        </w:rPr>
        <w:t xml:space="preserve"> كانت هامشية، على النحو المبين في الجدول التالي.</w:t>
      </w:r>
    </w:p>
    <w:p w:rsidR="009F13ED" w:rsidRDefault="009F13ED" w:rsidP="005B0573">
      <w:pPr>
        <w:pStyle w:val="NormalParaAR"/>
        <w:spacing w:after="120"/>
        <w:jc w:val="center"/>
        <w:rPr>
          <w:u w:color="000000"/>
          <w:rtl/>
        </w:rPr>
      </w:pPr>
      <w:r>
        <w:rPr>
          <w:rFonts w:hint="cs"/>
          <w:u w:color="000000"/>
          <w:rtl/>
        </w:rPr>
        <w:t>الجدول 1</w:t>
      </w:r>
    </w:p>
    <w:p w:rsidR="009F13ED" w:rsidRPr="005B5151" w:rsidRDefault="009F13ED" w:rsidP="005B0573">
      <w:pPr>
        <w:pStyle w:val="NormalParaAR"/>
        <w:keepNext/>
        <w:spacing w:after="120"/>
        <w:jc w:val="center"/>
        <w:rPr>
          <w:u w:color="000000"/>
        </w:rPr>
      </w:pPr>
      <w:r>
        <w:rPr>
          <w:rFonts w:hint="cs"/>
          <w:u w:color="000000"/>
          <w:rtl/>
        </w:rPr>
        <w:t xml:space="preserve">أحجام الترجمة </w:t>
      </w:r>
      <w:r w:rsidR="00016355">
        <w:rPr>
          <w:rFonts w:hint="cs"/>
          <w:u w:color="000000"/>
          <w:rtl/>
        </w:rPr>
        <w:t>وتكلفة الصفحة الواحدة</w:t>
      </w:r>
    </w:p>
    <w:tbl>
      <w:tblPr>
        <w:bidiVisual/>
        <w:tblW w:w="8906" w:type="dxa"/>
        <w:tblInd w:w="392" w:type="dxa"/>
        <w:tblLook w:val="04A0" w:firstRow="1" w:lastRow="0" w:firstColumn="1" w:lastColumn="0" w:noHBand="0" w:noVBand="1"/>
      </w:tblPr>
      <w:tblGrid>
        <w:gridCol w:w="1711"/>
        <w:gridCol w:w="1560"/>
        <w:gridCol w:w="1701"/>
        <w:gridCol w:w="1017"/>
        <w:gridCol w:w="1701"/>
        <w:gridCol w:w="1216"/>
      </w:tblGrid>
      <w:tr w:rsidR="00237E42" w:rsidRPr="00A12C04" w:rsidTr="000D103F">
        <w:trPr>
          <w:cantSplit/>
          <w:trHeight w:val="301"/>
        </w:trPr>
        <w:tc>
          <w:tcPr>
            <w:tcW w:w="171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237E42" w:rsidRPr="000D103F" w:rsidRDefault="009F13ED" w:rsidP="005B0573">
            <w:pPr>
              <w:bidi/>
              <w:spacing w:line="280" w:lineRule="exact"/>
              <w:rPr>
                <w:rFonts w:ascii="Arabic Typesetting" w:hAnsi="Arabic Typesetting" w:cs="Arabic Typesetting"/>
                <w:b/>
                <w:bCs/>
                <w:sz w:val="28"/>
                <w:szCs w:val="28"/>
              </w:rPr>
            </w:pPr>
            <w:r w:rsidRPr="000D103F">
              <w:rPr>
                <w:rFonts w:ascii="Arabic Typesetting" w:hAnsi="Arabic Typesetting" w:cs="Arabic Typesetting"/>
                <w:b/>
                <w:bCs/>
                <w:sz w:val="28"/>
                <w:szCs w:val="28"/>
                <w:rtl/>
              </w:rPr>
              <w:t>الثنائية</w:t>
            </w:r>
          </w:p>
        </w:tc>
        <w:tc>
          <w:tcPr>
            <w:tcW w:w="3261" w:type="dxa"/>
            <w:gridSpan w:val="2"/>
            <w:tcBorders>
              <w:top w:val="single" w:sz="4" w:space="0" w:color="auto"/>
              <w:left w:val="nil"/>
              <w:bottom w:val="single" w:sz="4" w:space="0" w:color="auto"/>
              <w:right w:val="single" w:sz="4" w:space="0" w:color="auto"/>
            </w:tcBorders>
            <w:shd w:val="clear" w:color="000000" w:fill="C0C0C0"/>
            <w:vAlign w:val="center"/>
            <w:hideMark/>
          </w:tcPr>
          <w:p w:rsidR="00237E42" w:rsidRPr="000D103F" w:rsidRDefault="009F13ED" w:rsidP="005B0573">
            <w:pPr>
              <w:keepNext/>
              <w:bidi/>
              <w:spacing w:line="280" w:lineRule="exact"/>
              <w:jc w:val="center"/>
              <w:rPr>
                <w:rFonts w:ascii="Arabic Typesetting" w:hAnsi="Arabic Typesetting" w:cs="Arabic Typesetting"/>
                <w:b/>
                <w:bCs/>
                <w:sz w:val="28"/>
                <w:szCs w:val="28"/>
              </w:rPr>
            </w:pPr>
            <w:r w:rsidRPr="000D103F">
              <w:rPr>
                <w:rFonts w:ascii="Arabic Typesetting" w:hAnsi="Arabic Typesetting" w:cs="Arabic Typesetting"/>
                <w:b/>
                <w:bCs/>
                <w:sz w:val="28"/>
                <w:szCs w:val="28"/>
                <w:rtl/>
              </w:rPr>
              <w:t>المجموع</w:t>
            </w:r>
          </w:p>
        </w:tc>
        <w:tc>
          <w:tcPr>
            <w:tcW w:w="1017" w:type="dxa"/>
            <w:vMerge w:val="restart"/>
            <w:tcBorders>
              <w:top w:val="single" w:sz="4" w:space="0" w:color="auto"/>
              <w:left w:val="single" w:sz="4" w:space="0" w:color="auto"/>
              <w:right w:val="single" w:sz="4" w:space="0" w:color="auto"/>
            </w:tcBorders>
            <w:shd w:val="clear" w:color="000000" w:fill="C0C0C0"/>
            <w:vAlign w:val="center"/>
          </w:tcPr>
          <w:p w:rsidR="00237E42" w:rsidRPr="000D103F" w:rsidRDefault="009F13ED" w:rsidP="005B0573">
            <w:pPr>
              <w:keepNext/>
              <w:bidi/>
              <w:spacing w:line="280" w:lineRule="exact"/>
              <w:jc w:val="center"/>
              <w:rPr>
                <w:rFonts w:ascii="Arabic Typesetting" w:hAnsi="Arabic Typesetting" w:cs="Arabic Typesetting"/>
                <w:b/>
                <w:bCs/>
                <w:sz w:val="28"/>
                <w:szCs w:val="28"/>
              </w:rPr>
            </w:pPr>
            <w:r w:rsidRPr="000D103F">
              <w:rPr>
                <w:rFonts w:ascii="Arabic Typesetting" w:hAnsi="Arabic Typesetting" w:cs="Arabic Typesetting"/>
                <w:b/>
                <w:bCs/>
                <w:sz w:val="28"/>
                <w:szCs w:val="28"/>
                <w:rtl/>
              </w:rPr>
              <w:t>التفاوت مقارنة بالثنائية السابقة</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237E42" w:rsidRPr="000D103F" w:rsidRDefault="009F13ED" w:rsidP="005B0573">
            <w:pPr>
              <w:keepNext/>
              <w:bidi/>
              <w:spacing w:line="280" w:lineRule="exact"/>
              <w:jc w:val="center"/>
              <w:rPr>
                <w:rFonts w:ascii="Arabic Typesetting" w:hAnsi="Arabic Typesetting" w:cs="Arabic Typesetting"/>
                <w:b/>
                <w:bCs/>
                <w:sz w:val="28"/>
                <w:szCs w:val="28"/>
              </w:rPr>
            </w:pPr>
            <w:r w:rsidRPr="000D103F">
              <w:rPr>
                <w:rFonts w:ascii="Arabic Typesetting" w:hAnsi="Arabic Typesetting" w:cs="Arabic Typesetting"/>
                <w:b/>
                <w:bCs/>
                <w:sz w:val="28"/>
                <w:szCs w:val="28"/>
                <w:rtl/>
              </w:rPr>
              <w:t>النسبة المئوية للترجمة الخارجية</w:t>
            </w:r>
          </w:p>
        </w:tc>
        <w:tc>
          <w:tcPr>
            <w:tcW w:w="1216" w:type="dxa"/>
            <w:vMerge w:val="restart"/>
            <w:tcBorders>
              <w:top w:val="single" w:sz="4" w:space="0" w:color="auto"/>
              <w:left w:val="single" w:sz="4" w:space="0" w:color="auto"/>
              <w:right w:val="single" w:sz="4" w:space="0" w:color="auto"/>
            </w:tcBorders>
            <w:shd w:val="clear" w:color="000000" w:fill="C0C0C0"/>
          </w:tcPr>
          <w:p w:rsidR="00237E42" w:rsidRPr="000D103F" w:rsidRDefault="009F13ED" w:rsidP="005B0573">
            <w:pPr>
              <w:keepNext/>
              <w:bidi/>
              <w:spacing w:line="280" w:lineRule="exact"/>
              <w:jc w:val="center"/>
              <w:rPr>
                <w:rFonts w:ascii="Arabic Typesetting" w:hAnsi="Arabic Typesetting" w:cs="Arabic Typesetting"/>
                <w:b/>
                <w:bCs/>
                <w:sz w:val="28"/>
                <w:szCs w:val="28"/>
              </w:rPr>
            </w:pPr>
            <w:r w:rsidRPr="000D103F">
              <w:rPr>
                <w:rFonts w:ascii="Arabic Typesetting" w:hAnsi="Arabic Typesetting" w:cs="Arabic Typesetting"/>
                <w:b/>
                <w:bCs/>
                <w:sz w:val="28"/>
                <w:szCs w:val="28"/>
                <w:rtl/>
              </w:rPr>
              <w:t>تكلفة الصفحة (بالفرنك السويسري)</w:t>
            </w:r>
          </w:p>
        </w:tc>
      </w:tr>
      <w:tr w:rsidR="00237E42" w:rsidRPr="00A12C04" w:rsidTr="000D103F">
        <w:trPr>
          <w:cantSplit/>
          <w:trHeight w:val="251"/>
        </w:trPr>
        <w:tc>
          <w:tcPr>
            <w:tcW w:w="1711" w:type="dxa"/>
            <w:vMerge/>
            <w:tcBorders>
              <w:top w:val="double" w:sz="6" w:space="0" w:color="auto"/>
              <w:left w:val="single" w:sz="4" w:space="0" w:color="auto"/>
              <w:bottom w:val="single" w:sz="4" w:space="0" w:color="auto"/>
              <w:right w:val="single" w:sz="4" w:space="0" w:color="auto"/>
            </w:tcBorders>
            <w:vAlign w:val="center"/>
            <w:hideMark/>
          </w:tcPr>
          <w:p w:rsidR="00237E42" w:rsidRPr="000D103F" w:rsidRDefault="00237E42" w:rsidP="005B0573">
            <w:pPr>
              <w:keepNext/>
              <w:bidi/>
              <w:spacing w:line="280" w:lineRule="exact"/>
              <w:rPr>
                <w:rFonts w:ascii="Arabic Typesetting" w:hAnsi="Arabic Typesetting" w:cs="Arabic Typesetting"/>
                <w:b/>
                <w:bCs/>
                <w:sz w:val="28"/>
                <w:szCs w:val="28"/>
              </w:rPr>
            </w:pPr>
          </w:p>
        </w:tc>
        <w:tc>
          <w:tcPr>
            <w:tcW w:w="1560" w:type="dxa"/>
            <w:tcBorders>
              <w:top w:val="nil"/>
              <w:left w:val="nil"/>
              <w:bottom w:val="single" w:sz="4" w:space="0" w:color="auto"/>
              <w:right w:val="single" w:sz="4" w:space="0" w:color="auto"/>
            </w:tcBorders>
            <w:shd w:val="clear" w:color="000000" w:fill="C0C0C0"/>
            <w:noWrap/>
            <w:vAlign w:val="center"/>
            <w:hideMark/>
          </w:tcPr>
          <w:p w:rsidR="00237E42" w:rsidRPr="000D103F" w:rsidRDefault="007264BF" w:rsidP="005B0573">
            <w:pPr>
              <w:keepNext/>
              <w:bidi/>
              <w:spacing w:line="280" w:lineRule="exact"/>
              <w:jc w:val="center"/>
              <w:rPr>
                <w:rFonts w:ascii="Arabic Typesetting" w:hAnsi="Arabic Typesetting" w:cs="Arabic Typesetting"/>
                <w:b/>
                <w:bCs/>
                <w:sz w:val="28"/>
                <w:szCs w:val="28"/>
                <w:lang w:val="fr-CH"/>
              </w:rPr>
            </w:pPr>
            <w:r>
              <w:rPr>
                <w:rFonts w:ascii="Arabic Typesetting" w:hAnsi="Arabic Typesetting" w:cs="Arabic Typesetting" w:hint="cs"/>
                <w:b/>
                <w:bCs/>
                <w:sz w:val="28"/>
                <w:szCs w:val="28"/>
                <w:rtl/>
                <w:lang w:val="fr-CH"/>
              </w:rPr>
              <w:t xml:space="preserve">عدد </w:t>
            </w:r>
            <w:r w:rsidR="009F13ED" w:rsidRPr="000D103F">
              <w:rPr>
                <w:rFonts w:ascii="Arabic Typesetting" w:hAnsi="Arabic Typesetting" w:cs="Arabic Typesetting"/>
                <w:b/>
                <w:bCs/>
                <w:sz w:val="28"/>
                <w:szCs w:val="28"/>
                <w:rtl/>
                <w:lang w:val="fr-CH"/>
              </w:rPr>
              <w:t>الكلمات</w:t>
            </w:r>
          </w:p>
        </w:tc>
        <w:tc>
          <w:tcPr>
            <w:tcW w:w="1701" w:type="dxa"/>
            <w:tcBorders>
              <w:top w:val="nil"/>
              <w:left w:val="nil"/>
              <w:bottom w:val="single" w:sz="4" w:space="0" w:color="auto"/>
              <w:right w:val="single" w:sz="4" w:space="0" w:color="auto"/>
            </w:tcBorders>
            <w:shd w:val="clear" w:color="000000" w:fill="C0C0C0"/>
            <w:vAlign w:val="center"/>
            <w:hideMark/>
          </w:tcPr>
          <w:p w:rsidR="009F13ED" w:rsidRPr="000D103F" w:rsidRDefault="009F13ED" w:rsidP="005B0573">
            <w:pPr>
              <w:keepNext/>
              <w:bidi/>
              <w:spacing w:line="280" w:lineRule="exact"/>
              <w:jc w:val="center"/>
              <w:rPr>
                <w:rFonts w:ascii="Arabic Typesetting" w:hAnsi="Arabic Typesetting" w:cs="Arabic Typesetting"/>
                <w:b/>
                <w:bCs/>
                <w:sz w:val="28"/>
                <w:szCs w:val="28"/>
                <w:rtl/>
                <w:lang w:val="fr-CH"/>
              </w:rPr>
            </w:pPr>
            <w:r w:rsidRPr="000D103F">
              <w:rPr>
                <w:rFonts w:ascii="Arabic Typesetting" w:hAnsi="Arabic Typesetting" w:cs="Arabic Typesetting"/>
                <w:b/>
                <w:bCs/>
                <w:sz w:val="28"/>
                <w:szCs w:val="28"/>
                <w:rtl/>
                <w:lang w:val="fr-CH"/>
              </w:rPr>
              <w:t>الصفحات</w:t>
            </w:r>
          </w:p>
          <w:p w:rsidR="00237E42" w:rsidRPr="000D103F" w:rsidRDefault="009F13ED" w:rsidP="005B0573">
            <w:pPr>
              <w:keepNext/>
              <w:bidi/>
              <w:spacing w:line="280" w:lineRule="exact"/>
              <w:jc w:val="center"/>
              <w:rPr>
                <w:rFonts w:ascii="Arabic Typesetting" w:hAnsi="Arabic Typesetting" w:cs="Arabic Typesetting"/>
                <w:b/>
                <w:bCs/>
                <w:sz w:val="28"/>
                <w:szCs w:val="28"/>
                <w:lang w:val="fr-CH"/>
              </w:rPr>
            </w:pPr>
            <w:r w:rsidRPr="000D103F">
              <w:rPr>
                <w:rFonts w:ascii="Arabic Typesetting" w:hAnsi="Arabic Typesetting" w:cs="Arabic Typesetting"/>
                <w:b/>
                <w:bCs/>
                <w:sz w:val="28"/>
                <w:szCs w:val="28"/>
                <w:rtl/>
                <w:lang w:val="fr-CH"/>
              </w:rPr>
              <w:t>(وفقاً لمعايير الأمم المتحدة)</w:t>
            </w:r>
          </w:p>
        </w:tc>
        <w:tc>
          <w:tcPr>
            <w:tcW w:w="1017" w:type="dxa"/>
            <w:vMerge/>
            <w:tcBorders>
              <w:left w:val="single" w:sz="4" w:space="0" w:color="auto"/>
              <w:bottom w:val="single" w:sz="4" w:space="0" w:color="000000"/>
              <w:right w:val="single" w:sz="4" w:space="0" w:color="auto"/>
            </w:tcBorders>
          </w:tcPr>
          <w:p w:rsidR="00237E42" w:rsidRPr="000D103F" w:rsidRDefault="00237E42" w:rsidP="005B0573">
            <w:pPr>
              <w:keepNext/>
              <w:bidi/>
              <w:spacing w:line="280" w:lineRule="exact"/>
              <w:rPr>
                <w:rFonts w:ascii="Arabic Typesetting" w:hAnsi="Arabic Typesetting" w:cs="Arabic Typesetting"/>
                <w:b/>
                <w:bCs/>
                <w:sz w:val="28"/>
                <w:szCs w:val="28"/>
                <w:lang w:val="fr-CH"/>
              </w:rPr>
            </w:pPr>
          </w:p>
        </w:tc>
        <w:tc>
          <w:tcPr>
            <w:tcW w:w="1701" w:type="dxa"/>
            <w:vMerge/>
            <w:tcBorders>
              <w:top w:val="double" w:sz="6" w:space="0" w:color="auto"/>
              <w:left w:val="single" w:sz="4" w:space="0" w:color="auto"/>
              <w:bottom w:val="single" w:sz="4" w:space="0" w:color="000000"/>
              <w:right w:val="single" w:sz="4" w:space="0" w:color="auto"/>
            </w:tcBorders>
            <w:vAlign w:val="center"/>
            <w:hideMark/>
          </w:tcPr>
          <w:p w:rsidR="00237E42" w:rsidRPr="000D103F" w:rsidRDefault="00237E42" w:rsidP="005B0573">
            <w:pPr>
              <w:keepNext/>
              <w:bidi/>
              <w:spacing w:line="280" w:lineRule="exact"/>
              <w:rPr>
                <w:rFonts w:ascii="Arabic Typesetting" w:hAnsi="Arabic Typesetting" w:cs="Arabic Typesetting"/>
                <w:b/>
                <w:bCs/>
                <w:sz w:val="28"/>
                <w:szCs w:val="28"/>
                <w:lang w:val="fr-CH"/>
              </w:rPr>
            </w:pPr>
          </w:p>
        </w:tc>
        <w:tc>
          <w:tcPr>
            <w:tcW w:w="1216" w:type="dxa"/>
            <w:vMerge/>
            <w:tcBorders>
              <w:left w:val="single" w:sz="4" w:space="0" w:color="auto"/>
              <w:bottom w:val="single" w:sz="4" w:space="0" w:color="000000"/>
              <w:right w:val="single" w:sz="4" w:space="0" w:color="auto"/>
            </w:tcBorders>
          </w:tcPr>
          <w:p w:rsidR="00237E42" w:rsidRPr="000D103F" w:rsidRDefault="00237E42" w:rsidP="005B0573">
            <w:pPr>
              <w:keepNext/>
              <w:bidi/>
              <w:spacing w:line="280" w:lineRule="exact"/>
              <w:rPr>
                <w:rFonts w:ascii="Arabic Typesetting" w:hAnsi="Arabic Typesetting" w:cs="Arabic Typesetting"/>
                <w:b/>
                <w:bCs/>
                <w:sz w:val="28"/>
                <w:szCs w:val="28"/>
                <w:lang w:val="fr-CH"/>
              </w:rPr>
            </w:pPr>
          </w:p>
        </w:tc>
      </w:tr>
      <w:tr w:rsidR="00237E42" w:rsidRPr="00A12C04" w:rsidTr="000D103F">
        <w:trPr>
          <w:cantSplit/>
          <w:trHeight w:val="257"/>
        </w:trPr>
        <w:tc>
          <w:tcPr>
            <w:tcW w:w="1711" w:type="dxa"/>
            <w:tcBorders>
              <w:top w:val="nil"/>
              <w:left w:val="single" w:sz="4" w:space="0" w:color="auto"/>
              <w:bottom w:val="single" w:sz="4" w:space="0" w:color="auto"/>
              <w:right w:val="single" w:sz="4" w:space="0" w:color="auto"/>
            </w:tcBorders>
            <w:shd w:val="clear" w:color="auto" w:fill="auto"/>
            <w:noWrap/>
            <w:vAlign w:val="center"/>
          </w:tcPr>
          <w:p w:rsidR="00237E42" w:rsidRPr="000D103F" w:rsidRDefault="009F13ED" w:rsidP="005B0573">
            <w:pPr>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rtl/>
                <w:lang w:val="fr-CH"/>
              </w:rPr>
              <w:t>2008/2009</w:t>
            </w:r>
          </w:p>
        </w:tc>
        <w:tc>
          <w:tcPr>
            <w:tcW w:w="1560" w:type="dxa"/>
            <w:tcBorders>
              <w:top w:val="nil"/>
              <w:left w:val="nil"/>
              <w:bottom w:val="single" w:sz="4" w:space="0" w:color="auto"/>
              <w:right w:val="single" w:sz="4" w:space="0" w:color="auto"/>
            </w:tcBorders>
            <w:shd w:val="clear" w:color="auto" w:fill="auto"/>
            <w:noWrap/>
            <w:vAlign w:val="center"/>
          </w:tcPr>
          <w:p w:rsidR="00237E42" w:rsidRPr="000D103F" w:rsidRDefault="009F13ED" w:rsidP="005B0573">
            <w:pPr>
              <w:keepNext/>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rtl/>
                <w:lang w:val="fr-CH"/>
              </w:rPr>
              <w:t>560 704 23</w:t>
            </w:r>
          </w:p>
        </w:tc>
        <w:tc>
          <w:tcPr>
            <w:tcW w:w="1701" w:type="dxa"/>
            <w:tcBorders>
              <w:top w:val="nil"/>
              <w:left w:val="nil"/>
              <w:bottom w:val="single" w:sz="4" w:space="0" w:color="auto"/>
              <w:right w:val="single" w:sz="4" w:space="0" w:color="auto"/>
            </w:tcBorders>
            <w:shd w:val="clear" w:color="auto" w:fill="auto"/>
            <w:noWrap/>
            <w:vAlign w:val="center"/>
          </w:tcPr>
          <w:p w:rsidR="00237E42" w:rsidRPr="000D103F" w:rsidRDefault="009F13ED" w:rsidP="005B0573">
            <w:pPr>
              <w:keepNext/>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rtl/>
                <w:lang w:val="fr-CH"/>
              </w:rPr>
              <w:t>832 71</w:t>
            </w:r>
          </w:p>
        </w:tc>
        <w:tc>
          <w:tcPr>
            <w:tcW w:w="1017" w:type="dxa"/>
            <w:tcBorders>
              <w:top w:val="single" w:sz="4" w:space="0" w:color="000000"/>
              <w:left w:val="nil"/>
              <w:bottom w:val="single" w:sz="4" w:space="0" w:color="auto"/>
              <w:right w:val="single" w:sz="4" w:space="0" w:color="auto"/>
            </w:tcBorders>
            <w:shd w:val="clear" w:color="auto" w:fill="auto"/>
            <w:vAlign w:val="center"/>
          </w:tcPr>
          <w:p w:rsidR="00237E42" w:rsidRPr="000D103F" w:rsidRDefault="00237E42" w:rsidP="005B0573">
            <w:pPr>
              <w:keepNext/>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lang w:val="fr-CH"/>
              </w:rPr>
              <w:t>--</w:t>
            </w:r>
          </w:p>
        </w:tc>
        <w:tc>
          <w:tcPr>
            <w:tcW w:w="1701" w:type="dxa"/>
            <w:tcBorders>
              <w:top w:val="nil"/>
              <w:left w:val="single" w:sz="4" w:space="0" w:color="auto"/>
              <w:bottom w:val="single" w:sz="4" w:space="0" w:color="auto"/>
              <w:right w:val="single" w:sz="4" w:space="0" w:color="auto"/>
            </w:tcBorders>
            <w:noWrap/>
            <w:vAlign w:val="center"/>
          </w:tcPr>
          <w:p w:rsidR="00237E42" w:rsidRPr="000D103F" w:rsidRDefault="00237E42" w:rsidP="005B0573">
            <w:pPr>
              <w:keepNext/>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lang w:val="fr-CH"/>
              </w:rPr>
              <w:t>28</w:t>
            </w:r>
          </w:p>
        </w:tc>
        <w:tc>
          <w:tcPr>
            <w:tcW w:w="1216" w:type="dxa"/>
            <w:tcBorders>
              <w:top w:val="nil"/>
              <w:left w:val="nil"/>
              <w:bottom w:val="single" w:sz="4" w:space="0" w:color="auto"/>
              <w:right w:val="single" w:sz="4" w:space="0" w:color="auto"/>
            </w:tcBorders>
            <w:vAlign w:val="center"/>
          </w:tcPr>
          <w:p w:rsidR="00237E42" w:rsidRPr="000D103F" w:rsidRDefault="00237E42" w:rsidP="005B0573">
            <w:pPr>
              <w:keepNext/>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lang w:val="fr-CH"/>
              </w:rPr>
              <w:t>227</w:t>
            </w:r>
          </w:p>
        </w:tc>
      </w:tr>
      <w:tr w:rsidR="00237E42" w:rsidRPr="00A12C04" w:rsidTr="000D103F">
        <w:trPr>
          <w:cantSplit/>
          <w:trHeight w:val="257"/>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237E42" w:rsidRPr="000D103F" w:rsidRDefault="009F13ED" w:rsidP="005B0573">
            <w:pPr>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rtl/>
                <w:lang w:val="fr-CH"/>
              </w:rPr>
              <w:t>2010/2011</w:t>
            </w:r>
          </w:p>
        </w:tc>
        <w:tc>
          <w:tcPr>
            <w:tcW w:w="1560" w:type="dxa"/>
            <w:tcBorders>
              <w:top w:val="nil"/>
              <w:left w:val="nil"/>
              <w:bottom w:val="single" w:sz="4" w:space="0" w:color="auto"/>
              <w:right w:val="single" w:sz="4" w:space="0" w:color="auto"/>
            </w:tcBorders>
            <w:shd w:val="clear" w:color="auto" w:fill="auto"/>
            <w:noWrap/>
            <w:vAlign w:val="center"/>
            <w:hideMark/>
          </w:tcPr>
          <w:p w:rsidR="00237E42" w:rsidRPr="000D103F" w:rsidRDefault="009F13ED" w:rsidP="005B0573">
            <w:pPr>
              <w:keepNext/>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rtl/>
                <w:lang w:val="fr-CH"/>
              </w:rPr>
              <w:t>287 529 24</w:t>
            </w:r>
            <w:r w:rsidRPr="000D103F">
              <w:rPr>
                <w:rStyle w:val="FootnoteReference"/>
                <w:rtl/>
                <w:lang w:val="fr-CH"/>
              </w:rPr>
              <w:footnoteReference w:id="5"/>
            </w:r>
          </w:p>
        </w:tc>
        <w:tc>
          <w:tcPr>
            <w:tcW w:w="1701" w:type="dxa"/>
            <w:tcBorders>
              <w:top w:val="nil"/>
              <w:left w:val="nil"/>
              <w:bottom w:val="single" w:sz="4" w:space="0" w:color="auto"/>
              <w:right w:val="single" w:sz="4" w:space="0" w:color="auto"/>
            </w:tcBorders>
            <w:shd w:val="clear" w:color="auto" w:fill="auto"/>
            <w:noWrap/>
            <w:vAlign w:val="center"/>
            <w:hideMark/>
          </w:tcPr>
          <w:p w:rsidR="00237E42" w:rsidRPr="000D103F" w:rsidRDefault="000D103F" w:rsidP="005B0573">
            <w:pPr>
              <w:keepNext/>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rtl/>
                <w:lang w:val="fr-CH"/>
              </w:rPr>
              <w:t>331 74</w:t>
            </w:r>
          </w:p>
        </w:tc>
        <w:tc>
          <w:tcPr>
            <w:tcW w:w="1017" w:type="dxa"/>
            <w:tcBorders>
              <w:top w:val="single" w:sz="4" w:space="0" w:color="000000"/>
              <w:left w:val="nil"/>
              <w:bottom w:val="single" w:sz="4" w:space="0" w:color="auto"/>
              <w:right w:val="single" w:sz="4" w:space="0" w:color="auto"/>
            </w:tcBorders>
            <w:shd w:val="clear" w:color="auto" w:fill="auto"/>
            <w:vAlign w:val="center"/>
          </w:tcPr>
          <w:p w:rsidR="00237E42" w:rsidRPr="000D103F" w:rsidDel="00040AAB" w:rsidRDefault="000D103F" w:rsidP="005B0573">
            <w:pPr>
              <w:keepNext/>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rtl/>
                <w:lang w:val="fr-CH"/>
              </w:rPr>
              <w:t>+3.5%</w:t>
            </w:r>
          </w:p>
        </w:tc>
        <w:tc>
          <w:tcPr>
            <w:tcW w:w="1701" w:type="dxa"/>
            <w:tcBorders>
              <w:top w:val="nil"/>
              <w:left w:val="single" w:sz="4" w:space="0" w:color="auto"/>
              <w:bottom w:val="single" w:sz="4" w:space="0" w:color="auto"/>
              <w:right w:val="single" w:sz="4" w:space="0" w:color="auto"/>
            </w:tcBorders>
            <w:noWrap/>
            <w:vAlign w:val="center"/>
            <w:hideMark/>
          </w:tcPr>
          <w:p w:rsidR="00237E42" w:rsidRPr="000D103F" w:rsidRDefault="000D103F" w:rsidP="005B0573">
            <w:pPr>
              <w:keepNext/>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rtl/>
                <w:lang w:val="fr-CH"/>
              </w:rPr>
              <w:t>38</w:t>
            </w:r>
          </w:p>
        </w:tc>
        <w:tc>
          <w:tcPr>
            <w:tcW w:w="1216" w:type="dxa"/>
            <w:tcBorders>
              <w:top w:val="nil"/>
              <w:left w:val="nil"/>
              <w:bottom w:val="single" w:sz="4" w:space="0" w:color="auto"/>
              <w:right w:val="single" w:sz="4" w:space="0" w:color="auto"/>
            </w:tcBorders>
            <w:vAlign w:val="center"/>
          </w:tcPr>
          <w:p w:rsidR="00237E42" w:rsidRPr="000D103F" w:rsidDel="00040AAB" w:rsidRDefault="000D103F" w:rsidP="005B0573">
            <w:pPr>
              <w:keepNext/>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rtl/>
                <w:lang w:val="fr-CH"/>
              </w:rPr>
              <w:t>213</w:t>
            </w:r>
          </w:p>
        </w:tc>
      </w:tr>
      <w:tr w:rsidR="00237E42" w:rsidRPr="00A12C04" w:rsidTr="000D103F">
        <w:trPr>
          <w:cantSplit/>
          <w:trHeight w:val="257"/>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237E42" w:rsidRPr="000D103F" w:rsidRDefault="000D103F" w:rsidP="005B0573">
            <w:pPr>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rtl/>
                <w:lang w:val="fr-CH"/>
              </w:rPr>
              <w:t>2012/2013</w:t>
            </w:r>
          </w:p>
        </w:tc>
        <w:tc>
          <w:tcPr>
            <w:tcW w:w="1560" w:type="dxa"/>
            <w:tcBorders>
              <w:top w:val="nil"/>
              <w:left w:val="nil"/>
              <w:bottom w:val="single" w:sz="4" w:space="0" w:color="auto"/>
              <w:right w:val="single" w:sz="4" w:space="0" w:color="auto"/>
            </w:tcBorders>
            <w:shd w:val="clear" w:color="auto" w:fill="auto"/>
            <w:noWrap/>
            <w:vAlign w:val="center"/>
            <w:hideMark/>
          </w:tcPr>
          <w:p w:rsidR="00237E42" w:rsidRPr="000D103F" w:rsidRDefault="000D103F" w:rsidP="005B0573">
            <w:pPr>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rtl/>
                <w:lang w:val="fr-CH"/>
              </w:rPr>
              <w:t>126 173 33</w:t>
            </w:r>
          </w:p>
        </w:tc>
        <w:tc>
          <w:tcPr>
            <w:tcW w:w="1701" w:type="dxa"/>
            <w:tcBorders>
              <w:top w:val="nil"/>
              <w:left w:val="nil"/>
              <w:bottom w:val="single" w:sz="4" w:space="0" w:color="auto"/>
              <w:right w:val="single" w:sz="4" w:space="0" w:color="auto"/>
            </w:tcBorders>
            <w:shd w:val="clear" w:color="auto" w:fill="auto"/>
            <w:noWrap/>
            <w:vAlign w:val="center"/>
            <w:hideMark/>
          </w:tcPr>
          <w:p w:rsidR="00237E42" w:rsidRPr="000D103F" w:rsidRDefault="000D103F" w:rsidP="005B0573">
            <w:pPr>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rtl/>
                <w:lang w:val="fr-CH"/>
              </w:rPr>
              <w:t>524 100</w:t>
            </w:r>
          </w:p>
        </w:tc>
        <w:tc>
          <w:tcPr>
            <w:tcW w:w="1017" w:type="dxa"/>
            <w:tcBorders>
              <w:top w:val="single" w:sz="4" w:space="0" w:color="auto"/>
              <w:left w:val="nil"/>
              <w:bottom w:val="single" w:sz="4" w:space="0" w:color="auto"/>
              <w:right w:val="single" w:sz="4" w:space="0" w:color="auto"/>
            </w:tcBorders>
            <w:shd w:val="clear" w:color="auto" w:fill="auto"/>
            <w:vAlign w:val="center"/>
          </w:tcPr>
          <w:p w:rsidR="00237E42" w:rsidRPr="000D103F" w:rsidRDefault="000D103F" w:rsidP="005B0573">
            <w:pPr>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rtl/>
                <w:lang w:val="fr-CH"/>
              </w:rPr>
              <w:t>+35.2%</w:t>
            </w:r>
          </w:p>
        </w:tc>
        <w:tc>
          <w:tcPr>
            <w:tcW w:w="1701" w:type="dxa"/>
            <w:tcBorders>
              <w:top w:val="nil"/>
              <w:left w:val="single" w:sz="4" w:space="0" w:color="auto"/>
              <w:bottom w:val="single" w:sz="4" w:space="0" w:color="auto"/>
              <w:right w:val="single" w:sz="4" w:space="0" w:color="auto"/>
            </w:tcBorders>
            <w:noWrap/>
            <w:vAlign w:val="center"/>
            <w:hideMark/>
          </w:tcPr>
          <w:p w:rsidR="00237E42" w:rsidRPr="000D103F" w:rsidRDefault="000D103F" w:rsidP="005B0573">
            <w:pPr>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rtl/>
                <w:lang w:val="fr-CH"/>
              </w:rPr>
              <w:t>56</w:t>
            </w:r>
          </w:p>
        </w:tc>
        <w:tc>
          <w:tcPr>
            <w:tcW w:w="1216" w:type="dxa"/>
            <w:tcBorders>
              <w:top w:val="nil"/>
              <w:left w:val="nil"/>
              <w:bottom w:val="single" w:sz="4" w:space="0" w:color="auto"/>
              <w:right w:val="single" w:sz="4" w:space="0" w:color="auto"/>
            </w:tcBorders>
            <w:vAlign w:val="center"/>
          </w:tcPr>
          <w:p w:rsidR="00237E42" w:rsidRPr="000D103F" w:rsidRDefault="000D103F" w:rsidP="005B0573">
            <w:pPr>
              <w:bidi/>
              <w:spacing w:line="280" w:lineRule="exact"/>
              <w:rPr>
                <w:rFonts w:ascii="Arabic Typesetting" w:hAnsi="Arabic Typesetting" w:cs="Arabic Typesetting"/>
                <w:sz w:val="28"/>
                <w:szCs w:val="28"/>
                <w:lang w:val="fr-CH"/>
              </w:rPr>
            </w:pPr>
            <w:r w:rsidRPr="000D103F">
              <w:rPr>
                <w:rFonts w:ascii="Arabic Typesetting" w:hAnsi="Arabic Typesetting" w:cs="Arabic Typesetting"/>
                <w:sz w:val="28"/>
                <w:szCs w:val="28"/>
                <w:rtl/>
                <w:lang w:val="fr-CH"/>
              </w:rPr>
              <w:t>191</w:t>
            </w:r>
          </w:p>
        </w:tc>
      </w:tr>
    </w:tbl>
    <w:p w:rsidR="000D103F" w:rsidRDefault="000D103F" w:rsidP="00EE6872">
      <w:pPr>
        <w:pStyle w:val="NormalParaAR"/>
        <w:numPr>
          <w:ilvl w:val="0"/>
          <w:numId w:val="21"/>
        </w:numPr>
        <w:spacing w:before="120"/>
        <w:ind w:left="0" w:firstLine="0"/>
        <w:rPr>
          <w:u w:color="000000"/>
        </w:rPr>
      </w:pPr>
      <w:r>
        <w:rPr>
          <w:rFonts w:hint="cs"/>
          <w:u w:color="000000"/>
          <w:rtl/>
        </w:rPr>
        <w:lastRenderedPageBreak/>
        <w:t xml:space="preserve">ولكن رغم </w:t>
      </w:r>
      <w:r w:rsidR="00EE6872">
        <w:rPr>
          <w:rFonts w:hint="cs"/>
          <w:u w:color="000000"/>
          <w:rtl/>
        </w:rPr>
        <w:t>ازدياد</w:t>
      </w:r>
      <w:r>
        <w:rPr>
          <w:rFonts w:hint="cs"/>
          <w:u w:color="000000"/>
          <w:rtl/>
        </w:rPr>
        <w:t xml:space="preserve"> عبء أعمال الترجمة بنسبة 35 بالمئة في الفترة 2012/13، فإن إجمالي الموارد المخصصة للخدمات اللغوية لم تزدد إلا بنسبة 15 بالمئة في الفترة ذاتها. وتظهر هذه الزيادة أساساً في تكاليف غير الموظفين، أي التكاليف الخاصة بإسناد أعمال الترجمة إلى الخارج وتحديث أدوات تكنولوجيا المعلومات لتيسير الترجمة ومسارات مراقبة الجودة.</w:t>
      </w:r>
    </w:p>
    <w:p w:rsidR="005748C7" w:rsidRDefault="005748C7" w:rsidP="005920A6">
      <w:pPr>
        <w:pStyle w:val="NormalParaAR"/>
        <w:numPr>
          <w:ilvl w:val="0"/>
          <w:numId w:val="21"/>
        </w:numPr>
        <w:ind w:left="0" w:firstLine="0"/>
        <w:rPr>
          <w:u w:color="000000"/>
        </w:rPr>
      </w:pPr>
      <w:r>
        <w:rPr>
          <w:rFonts w:hint="cs"/>
          <w:u w:color="000000"/>
          <w:rtl/>
        </w:rPr>
        <w:t>و</w:t>
      </w:r>
      <w:r w:rsidR="00EE6872">
        <w:rPr>
          <w:rFonts w:hint="cs"/>
          <w:u w:color="000000"/>
          <w:rtl/>
        </w:rPr>
        <w:t>يرد</w:t>
      </w:r>
      <w:r>
        <w:rPr>
          <w:rFonts w:hint="cs"/>
          <w:u w:color="000000"/>
          <w:rtl/>
        </w:rPr>
        <w:t xml:space="preserve"> إجمالي التكلفة السنوية لخدمات الترجمة (منذ تنفيذ </w:t>
      </w:r>
      <w:r w:rsidR="00CE61DC">
        <w:rPr>
          <w:rFonts w:hint="cs"/>
          <w:u w:color="000000"/>
          <w:rtl/>
        </w:rPr>
        <w:t>سياسة اللغات</w:t>
      </w:r>
      <w:r>
        <w:rPr>
          <w:rFonts w:hint="cs"/>
          <w:u w:color="000000"/>
          <w:rtl/>
        </w:rPr>
        <w:t xml:space="preserve"> في 2010/11) في الجدول 2. ويتبين من ذلك أن تكاليف الموظفين الداخلي</w:t>
      </w:r>
      <w:r w:rsidR="00016355">
        <w:rPr>
          <w:rFonts w:hint="cs"/>
          <w:u w:color="000000"/>
          <w:rtl/>
        </w:rPr>
        <w:t>ي</w:t>
      </w:r>
      <w:r>
        <w:rPr>
          <w:rFonts w:hint="cs"/>
          <w:u w:color="000000"/>
          <w:rtl/>
        </w:rPr>
        <w:t>ن ظلت، بوجه عام، مستقرة عند المستوى ذاته بينما تقلب</w:t>
      </w:r>
      <w:r w:rsidR="00016355">
        <w:rPr>
          <w:rFonts w:hint="cs"/>
          <w:u w:color="000000"/>
          <w:rtl/>
        </w:rPr>
        <w:t xml:space="preserve">ت تكاليف الأعمال الخارجية وفق </w:t>
      </w:r>
      <w:r>
        <w:rPr>
          <w:rFonts w:hint="cs"/>
          <w:u w:color="000000"/>
          <w:rtl/>
        </w:rPr>
        <w:t>عبء العمل.</w:t>
      </w:r>
    </w:p>
    <w:p w:rsidR="005748C7" w:rsidRDefault="005748C7" w:rsidP="00016355">
      <w:pPr>
        <w:pStyle w:val="NormalParaAR"/>
        <w:keepNext/>
        <w:spacing w:after="120"/>
        <w:jc w:val="center"/>
        <w:rPr>
          <w:u w:color="000000"/>
        </w:rPr>
      </w:pPr>
      <w:r>
        <w:rPr>
          <w:rFonts w:hint="cs"/>
          <w:u w:color="000000"/>
          <w:rtl/>
        </w:rPr>
        <w:t>الجدول 2</w:t>
      </w:r>
    </w:p>
    <w:p w:rsidR="005748C7" w:rsidRDefault="005748C7" w:rsidP="00016355">
      <w:pPr>
        <w:pStyle w:val="NormalParaAR"/>
        <w:keepNext/>
        <w:spacing w:after="120"/>
        <w:jc w:val="center"/>
        <w:rPr>
          <w:u w:color="000000"/>
          <w:rtl/>
        </w:rPr>
      </w:pPr>
      <w:r>
        <w:rPr>
          <w:rFonts w:hint="cs"/>
          <w:u w:color="000000"/>
          <w:rtl/>
        </w:rPr>
        <w:t>إجمالي تكاليف الترجمة</w:t>
      </w:r>
    </w:p>
    <w:p w:rsidR="005748C7" w:rsidRPr="000D103F" w:rsidRDefault="005748C7" w:rsidP="005748C7">
      <w:pPr>
        <w:pStyle w:val="NormalParaAR"/>
        <w:keepNext/>
        <w:jc w:val="center"/>
        <w:rPr>
          <w:u w:color="000000"/>
        </w:rPr>
      </w:pPr>
      <w:r>
        <w:rPr>
          <w:rFonts w:hint="cs"/>
          <w:u w:color="000000"/>
          <w:rtl/>
        </w:rPr>
        <w:t>(بآلاف الفرنكات السويسرية</w:t>
      </w:r>
    </w:p>
    <w:tbl>
      <w:tblPr>
        <w:bidiVisual/>
        <w:tblW w:w="7920" w:type="dxa"/>
        <w:tblInd w:w="817" w:type="dxa"/>
        <w:tblLook w:val="04A0" w:firstRow="1" w:lastRow="0" w:firstColumn="1" w:lastColumn="0" w:noHBand="0" w:noVBand="1"/>
      </w:tblPr>
      <w:tblGrid>
        <w:gridCol w:w="2560"/>
        <w:gridCol w:w="1340"/>
        <w:gridCol w:w="1340"/>
        <w:gridCol w:w="1340"/>
        <w:gridCol w:w="1340"/>
      </w:tblGrid>
      <w:tr w:rsidR="00237E42" w:rsidRPr="00FD183F" w:rsidTr="005748C7">
        <w:trPr>
          <w:cantSplit/>
          <w:trHeight w:val="375"/>
        </w:trPr>
        <w:tc>
          <w:tcPr>
            <w:tcW w:w="25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37E42" w:rsidRPr="005748C7" w:rsidRDefault="005748C7" w:rsidP="005748C7">
            <w:pPr>
              <w:bidi/>
              <w:rPr>
                <w:rFonts w:ascii="Arabic Typesetting" w:hAnsi="Arabic Typesetting" w:cs="Arabic Typesetting"/>
                <w:b/>
                <w:bCs/>
                <w:color w:val="000000"/>
                <w:sz w:val="28"/>
                <w:szCs w:val="28"/>
              </w:rPr>
            </w:pPr>
            <w:r w:rsidRPr="005748C7">
              <w:rPr>
                <w:rFonts w:ascii="Arabic Typesetting" w:hAnsi="Arabic Typesetting" w:cs="Arabic Typesetting"/>
                <w:b/>
                <w:bCs/>
                <w:color w:val="000000"/>
                <w:sz w:val="28"/>
                <w:szCs w:val="28"/>
                <w:rtl/>
              </w:rPr>
              <w:t>التكاليف</w:t>
            </w:r>
          </w:p>
        </w:tc>
        <w:tc>
          <w:tcPr>
            <w:tcW w:w="1340" w:type="dxa"/>
            <w:tcBorders>
              <w:top w:val="single" w:sz="4" w:space="0" w:color="auto"/>
              <w:left w:val="nil"/>
              <w:bottom w:val="single" w:sz="4" w:space="0" w:color="auto"/>
              <w:right w:val="single" w:sz="4" w:space="0" w:color="auto"/>
            </w:tcBorders>
            <w:shd w:val="clear" w:color="000000" w:fill="BFBFBF"/>
            <w:noWrap/>
            <w:vAlign w:val="center"/>
            <w:hideMark/>
          </w:tcPr>
          <w:p w:rsidR="00237E42" w:rsidRPr="005748C7" w:rsidRDefault="005748C7" w:rsidP="005748C7">
            <w:pPr>
              <w:bidi/>
              <w:jc w:val="center"/>
              <w:rPr>
                <w:rFonts w:ascii="Arabic Typesetting" w:hAnsi="Arabic Typesetting" w:cs="Arabic Typesetting"/>
                <w:b/>
                <w:bCs/>
                <w:color w:val="000000"/>
                <w:sz w:val="28"/>
                <w:szCs w:val="28"/>
              </w:rPr>
            </w:pPr>
            <w:r w:rsidRPr="005748C7">
              <w:rPr>
                <w:rFonts w:ascii="Arabic Typesetting" w:hAnsi="Arabic Typesetting" w:cs="Arabic Typesetting"/>
                <w:b/>
                <w:bCs/>
                <w:color w:val="000000"/>
                <w:sz w:val="28"/>
                <w:szCs w:val="28"/>
                <w:rtl/>
              </w:rPr>
              <w:t>2010</w:t>
            </w:r>
          </w:p>
        </w:tc>
        <w:tc>
          <w:tcPr>
            <w:tcW w:w="1340" w:type="dxa"/>
            <w:tcBorders>
              <w:top w:val="single" w:sz="4" w:space="0" w:color="auto"/>
              <w:left w:val="nil"/>
              <w:bottom w:val="single" w:sz="4" w:space="0" w:color="auto"/>
              <w:right w:val="single" w:sz="4" w:space="0" w:color="auto"/>
            </w:tcBorders>
            <w:shd w:val="clear" w:color="000000" w:fill="BFBFBF"/>
            <w:noWrap/>
            <w:vAlign w:val="center"/>
            <w:hideMark/>
          </w:tcPr>
          <w:p w:rsidR="00237E42" w:rsidRPr="005748C7" w:rsidRDefault="005748C7" w:rsidP="005748C7">
            <w:pPr>
              <w:bidi/>
              <w:jc w:val="center"/>
              <w:rPr>
                <w:rFonts w:ascii="Arabic Typesetting" w:hAnsi="Arabic Typesetting" w:cs="Arabic Typesetting"/>
                <w:b/>
                <w:bCs/>
                <w:color w:val="000000"/>
                <w:sz w:val="28"/>
                <w:szCs w:val="28"/>
              </w:rPr>
            </w:pPr>
            <w:r w:rsidRPr="005748C7">
              <w:rPr>
                <w:rFonts w:ascii="Arabic Typesetting" w:hAnsi="Arabic Typesetting" w:cs="Arabic Typesetting"/>
                <w:b/>
                <w:bCs/>
                <w:color w:val="000000"/>
                <w:sz w:val="28"/>
                <w:szCs w:val="28"/>
                <w:rtl/>
              </w:rPr>
              <w:t>2011</w:t>
            </w:r>
          </w:p>
        </w:tc>
        <w:tc>
          <w:tcPr>
            <w:tcW w:w="1340" w:type="dxa"/>
            <w:tcBorders>
              <w:top w:val="single" w:sz="4" w:space="0" w:color="auto"/>
              <w:left w:val="nil"/>
              <w:bottom w:val="single" w:sz="4" w:space="0" w:color="auto"/>
              <w:right w:val="single" w:sz="4" w:space="0" w:color="auto"/>
            </w:tcBorders>
            <w:shd w:val="clear" w:color="000000" w:fill="BFBFBF"/>
            <w:noWrap/>
            <w:vAlign w:val="center"/>
            <w:hideMark/>
          </w:tcPr>
          <w:p w:rsidR="00237E42" w:rsidRPr="005748C7" w:rsidRDefault="005748C7" w:rsidP="005748C7">
            <w:pPr>
              <w:bidi/>
              <w:jc w:val="center"/>
              <w:rPr>
                <w:rFonts w:ascii="Arabic Typesetting" w:hAnsi="Arabic Typesetting" w:cs="Arabic Typesetting"/>
                <w:b/>
                <w:bCs/>
                <w:color w:val="000000"/>
                <w:sz w:val="28"/>
                <w:szCs w:val="28"/>
              </w:rPr>
            </w:pPr>
            <w:r w:rsidRPr="005748C7">
              <w:rPr>
                <w:rFonts w:ascii="Arabic Typesetting" w:hAnsi="Arabic Typesetting" w:cs="Arabic Typesetting"/>
                <w:b/>
                <w:bCs/>
                <w:color w:val="000000"/>
                <w:sz w:val="28"/>
                <w:szCs w:val="28"/>
                <w:rtl/>
              </w:rPr>
              <w:t>2012</w:t>
            </w:r>
          </w:p>
        </w:tc>
        <w:tc>
          <w:tcPr>
            <w:tcW w:w="1340" w:type="dxa"/>
            <w:tcBorders>
              <w:top w:val="single" w:sz="4" w:space="0" w:color="auto"/>
              <w:left w:val="nil"/>
              <w:bottom w:val="single" w:sz="4" w:space="0" w:color="auto"/>
              <w:right w:val="single" w:sz="4" w:space="0" w:color="auto"/>
            </w:tcBorders>
            <w:shd w:val="clear" w:color="000000" w:fill="BFBFBF"/>
            <w:noWrap/>
            <w:vAlign w:val="center"/>
            <w:hideMark/>
          </w:tcPr>
          <w:p w:rsidR="00237E42" w:rsidRPr="005748C7" w:rsidRDefault="005748C7" w:rsidP="005748C7">
            <w:pPr>
              <w:bidi/>
              <w:jc w:val="center"/>
              <w:rPr>
                <w:rFonts w:ascii="Arabic Typesetting" w:hAnsi="Arabic Typesetting" w:cs="Arabic Typesetting"/>
                <w:b/>
                <w:bCs/>
                <w:color w:val="000000"/>
                <w:sz w:val="28"/>
                <w:szCs w:val="28"/>
              </w:rPr>
            </w:pPr>
            <w:r w:rsidRPr="005748C7">
              <w:rPr>
                <w:rFonts w:ascii="Arabic Typesetting" w:hAnsi="Arabic Typesetting" w:cs="Arabic Typesetting"/>
                <w:b/>
                <w:bCs/>
                <w:color w:val="000000"/>
                <w:sz w:val="28"/>
                <w:szCs w:val="28"/>
                <w:rtl/>
              </w:rPr>
              <w:t>2013</w:t>
            </w:r>
          </w:p>
        </w:tc>
      </w:tr>
      <w:tr w:rsidR="00237E42" w:rsidRPr="00FD183F" w:rsidTr="005748C7">
        <w:trPr>
          <w:cantSplit/>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237E42" w:rsidRPr="005748C7" w:rsidRDefault="005748C7" w:rsidP="005748C7">
            <w:pPr>
              <w:bidi/>
              <w:rPr>
                <w:rFonts w:ascii="Arabic Typesetting" w:hAnsi="Arabic Typesetting" w:cs="Arabic Typesetting"/>
                <w:color w:val="000000"/>
                <w:sz w:val="28"/>
                <w:szCs w:val="28"/>
                <w:highlight w:val="red"/>
              </w:rPr>
            </w:pPr>
            <w:r w:rsidRPr="005748C7">
              <w:rPr>
                <w:rFonts w:ascii="Arabic Typesetting" w:hAnsi="Arabic Typesetting" w:cs="Arabic Typesetting"/>
                <w:color w:val="000000"/>
                <w:sz w:val="28"/>
                <w:szCs w:val="28"/>
                <w:rtl/>
              </w:rPr>
              <w:t>موارد الموظفين</w:t>
            </w:r>
          </w:p>
        </w:tc>
        <w:tc>
          <w:tcPr>
            <w:tcW w:w="1340" w:type="dxa"/>
            <w:tcBorders>
              <w:top w:val="nil"/>
              <w:left w:val="nil"/>
              <w:bottom w:val="single" w:sz="4" w:space="0" w:color="auto"/>
              <w:right w:val="single" w:sz="4" w:space="0" w:color="auto"/>
            </w:tcBorders>
            <w:shd w:val="clear" w:color="auto" w:fill="auto"/>
            <w:noWrap/>
            <w:vAlign w:val="bottom"/>
            <w:hideMark/>
          </w:tcPr>
          <w:p w:rsidR="00237E42" w:rsidRPr="005748C7" w:rsidRDefault="005748C7" w:rsidP="007264BF">
            <w:pPr>
              <w:bidi/>
              <w:rPr>
                <w:rFonts w:ascii="Arabic Typesetting" w:hAnsi="Arabic Typesetting" w:cs="Arabic Typesetting"/>
                <w:color w:val="000000"/>
                <w:sz w:val="28"/>
                <w:szCs w:val="28"/>
              </w:rPr>
            </w:pPr>
            <w:r w:rsidRPr="005748C7">
              <w:rPr>
                <w:rFonts w:ascii="Arabic Typesetting" w:hAnsi="Arabic Typesetting" w:cs="Arabic Typesetting"/>
                <w:color w:val="000000"/>
                <w:sz w:val="28"/>
                <w:szCs w:val="28"/>
                <w:rtl/>
              </w:rPr>
              <w:t>627 7</w:t>
            </w:r>
          </w:p>
        </w:tc>
        <w:tc>
          <w:tcPr>
            <w:tcW w:w="1340" w:type="dxa"/>
            <w:tcBorders>
              <w:top w:val="nil"/>
              <w:left w:val="nil"/>
              <w:bottom w:val="single" w:sz="4" w:space="0" w:color="auto"/>
              <w:right w:val="single" w:sz="4" w:space="0" w:color="auto"/>
            </w:tcBorders>
            <w:shd w:val="clear" w:color="auto" w:fill="auto"/>
            <w:noWrap/>
            <w:vAlign w:val="bottom"/>
            <w:hideMark/>
          </w:tcPr>
          <w:p w:rsidR="00237E42" w:rsidRPr="005748C7" w:rsidRDefault="005748C7" w:rsidP="007264BF">
            <w:pPr>
              <w:bidi/>
              <w:rPr>
                <w:rFonts w:ascii="Arabic Typesetting" w:hAnsi="Arabic Typesetting" w:cs="Arabic Typesetting"/>
                <w:color w:val="000000"/>
                <w:sz w:val="28"/>
                <w:szCs w:val="28"/>
              </w:rPr>
            </w:pPr>
            <w:r w:rsidRPr="005748C7">
              <w:rPr>
                <w:rFonts w:ascii="Arabic Typesetting" w:hAnsi="Arabic Typesetting" w:cs="Arabic Typesetting"/>
                <w:color w:val="000000"/>
                <w:sz w:val="28"/>
                <w:szCs w:val="28"/>
                <w:rtl/>
              </w:rPr>
              <w:t>430 7</w:t>
            </w:r>
          </w:p>
        </w:tc>
        <w:tc>
          <w:tcPr>
            <w:tcW w:w="1340" w:type="dxa"/>
            <w:tcBorders>
              <w:top w:val="nil"/>
              <w:left w:val="nil"/>
              <w:bottom w:val="single" w:sz="4" w:space="0" w:color="auto"/>
              <w:right w:val="single" w:sz="4" w:space="0" w:color="auto"/>
            </w:tcBorders>
            <w:shd w:val="clear" w:color="auto" w:fill="auto"/>
            <w:noWrap/>
            <w:vAlign w:val="bottom"/>
            <w:hideMark/>
          </w:tcPr>
          <w:p w:rsidR="00237E42" w:rsidRPr="005748C7" w:rsidRDefault="005748C7" w:rsidP="007264BF">
            <w:pPr>
              <w:bidi/>
              <w:rPr>
                <w:rFonts w:ascii="Arabic Typesetting" w:hAnsi="Arabic Typesetting" w:cs="Arabic Typesetting"/>
                <w:color w:val="000000"/>
                <w:sz w:val="28"/>
                <w:szCs w:val="28"/>
              </w:rPr>
            </w:pPr>
            <w:r w:rsidRPr="005748C7">
              <w:rPr>
                <w:rFonts w:ascii="Arabic Typesetting" w:hAnsi="Arabic Typesetting" w:cs="Arabic Typesetting"/>
                <w:color w:val="000000"/>
                <w:sz w:val="28"/>
                <w:szCs w:val="28"/>
                <w:rtl/>
              </w:rPr>
              <w:t>116 7</w:t>
            </w:r>
          </w:p>
        </w:tc>
        <w:tc>
          <w:tcPr>
            <w:tcW w:w="1340" w:type="dxa"/>
            <w:tcBorders>
              <w:top w:val="nil"/>
              <w:left w:val="nil"/>
              <w:bottom w:val="single" w:sz="4" w:space="0" w:color="auto"/>
              <w:right w:val="single" w:sz="4" w:space="0" w:color="auto"/>
            </w:tcBorders>
            <w:shd w:val="clear" w:color="auto" w:fill="auto"/>
            <w:noWrap/>
            <w:vAlign w:val="bottom"/>
            <w:hideMark/>
          </w:tcPr>
          <w:p w:rsidR="00237E42" w:rsidRPr="005748C7" w:rsidRDefault="005748C7" w:rsidP="007264BF">
            <w:pPr>
              <w:bidi/>
              <w:rPr>
                <w:rFonts w:ascii="Arabic Typesetting" w:hAnsi="Arabic Typesetting" w:cs="Arabic Typesetting"/>
                <w:color w:val="000000"/>
                <w:sz w:val="28"/>
                <w:szCs w:val="28"/>
              </w:rPr>
            </w:pPr>
            <w:r w:rsidRPr="005748C7">
              <w:rPr>
                <w:rFonts w:ascii="Arabic Typesetting" w:hAnsi="Arabic Typesetting" w:cs="Arabic Typesetting"/>
                <w:color w:val="000000"/>
                <w:sz w:val="28"/>
                <w:szCs w:val="28"/>
                <w:rtl/>
              </w:rPr>
              <w:t>348 7</w:t>
            </w:r>
          </w:p>
        </w:tc>
      </w:tr>
      <w:tr w:rsidR="00237E42" w:rsidRPr="00FD183F" w:rsidTr="005748C7">
        <w:trPr>
          <w:cantSplit/>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237E42" w:rsidRPr="005748C7" w:rsidRDefault="005748C7" w:rsidP="005748C7">
            <w:pPr>
              <w:bidi/>
              <w:rPr>
                <w:rFonts w:ascii="Arabic Typesetting" w:hAnsi="Arabic Typesetting" w:cs="Arabic Typesetting"/>
                <w:color w:val="000000"/>
                <w:sz w:val="28"/>
                <w:szCs w:val="28"/>
              </w:rPr>
            </w:pPr>
            <w:r w:rsidRPr="005748C7">
              <w:rPr>
                <w:rFonts w:ascii="Arabic Typesetting" w:hAnsi="Arabic Typesetting" w:cs="Arabic Typesetting"/>
                <w:color w:val="000000"/>
                <w:sz w:val="28"/>
                <w:szCs w:val="28"/>
                <w:rtl/>
              </w:rPr>
              <w:t>الأعمال الخارجية</w:t>
            </w:r>
          </w:p>
        </w:tc>
        <w:tc>
          <w:tcPr>
            <w:tcW w:w="1340" w:type="dxa"/>
            <w:tcBorders>
              <w:top w:val="nil"/>
              <w:left w:val="nil"/>
              <w:bottom w:val="single" w:sz="4" w:space="0" w:color="auto"/>
              <w:right w:val="single" w:sz="4" w:space="0" w:color="auto"/>
            </w:tcBorders>
            <w:shd w:val="clear" w:color="auto" w:fill="auto"/>
            <w:noWrap/>
            <w:vAlign w:val="bottom"/>
            <w:hideMark/>
          </w:tcPr>
          <w:p w:rsidR="00237E42" w:rsidRPr="005748C7" w:rsidRDefault="005748C7" w:rsidP="007264BF">
            <w:pPr>
              <w:bidi/>
              <w:rPr>
                <w:rFonts w:ascii="Arabic Typesetting" w:hAnsi="Arabic Typesetting" w:cs="Arabic Typesetting"/>
                <w:color w:val="000000"/>
                <w:sz w:val="28"/>
                <w:szCs w:val="28"/>
              </w:rPr>
            </w:pPr>
            <w:r w:rsidRPr="005748C7">
              <w:rPr>
                <w:rFonts w:ascii="Arabic Typesetting" w:hAnsi="Arabic Typesetting" w:cs="Arabic Typesetting"/>
                <w:color w:val="000000"/>
                <w:sz w:val="28"/>
                <w:szCs w:val="28"/>
                <w:rtl/>
              </w:rPr>
              <w:t>027 1</w:t>
            </w:r>
          </w:p>
        </w:tc>
        <w:tc>
          <w:tcPr>
            <w:tcW w:w="1340" w:type="dxa"/>
            <w:tcBorders>
              <w:top w:val="nil"/>
              <w:left w:val="nil"/>
              <w:bottom w:val="single" w:sz="4" w:space="0" w:color="auto"/>
              <w:right w:val="single" w:sz="4" w:space="0" w:color="auto"/>
            </w:tcBorders>
            <w:shd w:val="clear" w:color="auto" w:fill="auto"/>
            <w:noWrap/>
            <w:vAlign w:val="bottom"/>
            <w:hideMark/>
          </w:tcPr>
          <w:p w:rsidR="00237E42" w:rsidRPr="005748C7" w:rsidRDefault="005748C7" w:rsidP="007264BF">
            <w:pPr>
              <w:bidi/>
              <w:rPr>
                <w:rFonts w:ascii="Arabic Typesetting" w:hAnsi="Arabic Typesetting" w:cs="Arabic Typesetting"/>
                <w:color w:val="000000"/>
                <w:sz w:val="28"/>
                <w:szCs w:val="28"/>
              </w:rPr>
            </w:pPr>
            <w:r w:rsidRPr="005748C7">
              <w:rPr>
                <w:rFonts w:ascii="Arabic Typesetting" w:hAnsi="Arabic Typesetting" w:cs="Arabic Typesetting"/>
                <w:color w:val="000000"/>
                <w:sz w:val="28"/>
                <w:szCs w:val="28"/>
                <w:rtl/>
              </w:rPr>
              <w:t>562 1</w:t>
            </w:r>
          </w:p>
        </w:tc>
        <w:tc>
          <w:tcPr>
            <w:tcW w:w="1340" w:type="dxa"/>
            <w:tcBorders>
              <w:top w:val="nil"/>
              <w:left w:val="nil"/>
              <w:bottom w:val="single" w:sz="4" w:space="0" w:color="auto"/>
              <w:right w:val="single" w:sz="4" w:space="0" w:color="auto"/>
            </w:tcBorders>
            <w:shd w:val="clear" w:color="auto" w:fill="auto"/>
            <w:noWrap/>
            <w:vAlign w:val="bottom"/>
            <w:hideMark/>
          </w:tcPr>
          <w:p w:rsidR="00237E42" w:rsidRPr="005748C7" w:rsidRDefault="005748C7" w:rsidP="007264BF">
            <w:pPr>
              <w:bidi/>
              <w:rPr>
                <w:rFonts w:ascii="Arabic Typesetting" w:hAnsi="Arabic Typesetting" w:cs="Arabic Typesetting"/>
                <w:color w:val="000000"/>
                <w:sz w:val="28"/>
                <w:szCs w:val="28"/>
              </w:rPr>
            </w:pPr>
            <w:r w:rsidRPr="005748C7">
              <w:rPr>
                <w:rFonts w:ascii="Arabic Typesetting" w:hAnsi="Arabic Typesetting" w:cs="Arabic Typesetting"/>
                <w:color w:val="000000"/>
                <w:sz w:val="28"/>
                <w:szCs w:val="28"/>
                <w:rtl/>
              </w:rPr>
              <w:t>702 2</w:t>
            </w:r>
          </w:p>
        </w:tc>
        <w:tc>
          <w:tcPr>
            <w:tcW w:w="1340" w:type="dxa"/>
            <w:tcBorders>
              <w:top w:val="nil"/>
              <w:left w:val="nil"/>
              <w:bottom w:val="single" w:sz="4" w:space="0" w:color="auto"/>
              <w:right w:val="single" w:sz="4" w:space="0" w:color="auto"/>
            </w:tcBorders>
            <w:shd w:val="clear" w:color="auto" w:fill="auto"/>
            <w:noWrap/>
            <w:vAlign w:val="bottom"/>
            <w:hideMark/>
          </w:tcPr>
          <w:p w:rsidR="00237E42" w:rsidRPr="005748C7" w:rsidRDefault="005748C7" w:rsidP="007264BF">
            <w:pPr>
              <w:bidi/>
              <w:rPr>
                <w:rFonts w:ascii="Arabic Typesetting" w:hAnsi="Arabic Typesetting" w:cs="Arabic Typesetting"/>
                <w:color w:val="000000"/>
                <w:sz w:val="28"/>
                <w:szCs w:val="28"/>
              </w:rPr>
            </w:pPr>
            <w:r w:rsidRPr="005748C7">
              <w:rPr>
                <w:rFonts w:ascii="Arabic Typesetting" w:hAnsi="Arabic Typesetting" w:cs="Arabic Typesetting"/>
                <w:color w:val="000000"/>
                <w:sz w:val="28"/>
                <w:szCs w:val="28"/>
                <w:rtl/>
              </w:rPr>
              <w:t>103 2</w:t>
            </w:r>
          </w:p>
        </w:tc>
      </w:tr>
      <w:tr w:rsidR="00237E42" w:rsidRPr="00FD183F" w:rsidTr="005748C7">
        <w:trPr>
          <w:cantSplit/>
          <w:trHeight w:val="360"/>
        </w:trPr>
        <w:tc>
          <w:tcPr>
            <w:tcW w:w="2560" w:type="dxa"/>
            <w:tcBorders>
              <w:top w:val="nil"/>
              <w:left w:val="single" w:sz="4" w:space="0" w:color="auto"/>
              <w:bottom w:val="single" w:sz="4" w:space="0" w:color="auto"/>
              <w:right w:val="single" w:sz="4" w:space="0" w:color="auto"/>
            </w:tcBorders>
            <w:shd w:val="clear" w:color="000000" w:fill="BFBFBF"/>
            <w:noWrap/>
            <w:vAlign w:val="bottom"/>
            <w:hideMark/>
          </w:tcPr>
          <w:p w:rsidR="00237E42" w:rsidRPr="005748C7" w:rsidRDefault="005748C7" w:rsidP="005748C7">
            <w:pPr>
              <w:bidi/>
              <w:jc w:val="right"/>
              <w:rPr>
                <w:rFonts w:ascii="Arabic Typesetting" w:hAnsi="Arabic Typesetting" w:cs="Arabic Typesetting"/>
                <w:b/>
                <w:bCs/>
                <w:color w:val="000000"/>
                <w:sz w:val="28"/>
                <w:szCs w:val="28"/>
              </w:rPr>
            </w:pPr>
            <w:r w:rsidRPr="005748C7">
              <w:rPr>
                <w:rFonts w:ascii="Arabic Typesetting" w:hAnsi="Arabic Typesetting" w:cs="Arabic Typesetting"/>
                <w:b/>
                <w:bCs/>
                <w:color w:val="000000"/>
                <w:sz w:val="28"/>
                <w:szCs w:val="28"/>
                <w:rtl/>
              </w:rPr>
              <w:t>المجموع</w:t>
            </w:r>
          </w:p>
        </w:tc>
        <w:tc>
          <w:tcPr>
            <w:tcW w:w="1340" w:type="dxa"/>
            <w:tcBorders>
              <w:top w:val="nil"/>
              <w:left w:val="nil"/>
              <w:bottom w:val="single" w:sz="4" w:space="0" w:color="auto"/>
              <w:right w:val="single" w:sz="4" w:space="0" w:color="auto"/>
            </w:tcBorders>
            <w:shd w:val="clear" w:color="000000" w:fill="BFBFBF"/>
            <w:noWrap/>
            <w:vAlign w:val="bottom"/>
            <w:hideMark/>
          </w:tcPr>
          <w:p w:rsidR="00237E42" w:rsidRPr="005748C7" w:rsidRDefault="005748C7" w:rsidP="007264BF">
            <w:pPr>
              <w:bidi/>
              <w:rPr>
                <w:rFonts w:ascii="Arabic Typesetting" w:hAnsi="Arabic Typesetting" w:cs="Arabic Typesetting"/>
                <w:b/>
                <w:bCs/>
                <w:color w:val="000000"/>
                <w:sz w:val="28"/>
                <w:szCs w:val="28"/>
              </w:rPr>
            </w:pPr>
            <w:r w:rsidRPr="005748C7">
              <w:rPr>
                <w:rFonts w:ascii="Arabic Typesetting" w:hAnsi="Arabic Typesetting" w:cs="Arabic Typesetting"/>
                <w:b/>
                <w:bCs/>
                <w:color w:val="000000"/>
                <w:sz w:val="28"/>
                <w:szCs w:val="28"/>
                <w:rtl/>
              </w:rPr>
              <w:t>654 8</w:t>
            </w:r>
          </w:p>
        </w:tc>
        <w:tc>
          <w:tcPr>
            <w:tcW w:w="1340" w:type="dxa"/>
            <w:tcBorders>
              <w:top w:val="nil"/>
              <w:left w:val="nil"/>
              <w:bottom w:val="single" w:sz="4" w:space="0" w:color="auto"/>
              <w:right w:val="single" w:sz="4" w:space="0" w:color="auto"/>
            </w:tcBorders>
            <w:shd w:val="clear" w:color="000000" w:fill="BFBFBF"/>
            <w:noWrap/>
            <w:vAlign w:val="bottom"/>
            <w:hideMark/>
          </w:tcPr>
          <w:p w:rsidR="00237E42" w:rsidRPr="005748C7" w:rsidRDefault="005748C7" w:rsidP="007264BF">
            <w:pPr>
              <w:bidi/>
              <w:rPr>
                <w:rFonts w:ascii="Arabic Typesetting" w:hAnsi="Arabic Typesetting" w:cs="Arabic Typesetting"/>
                <w:b/>
                <w:bCs/>
                <w:color w:val="000000"/>
                <w:sz w:val="28"/>
                <w:szCs w:val="28"/>
              </w:rPr>
            </w:pPr>
            <w:r w:rsidRPr="005748C7">
              <w:rPr>
                <w:rFonts w:ascii="Arabic Typesetting" w:hAnsi="Arabic Typesetting" w:cs="Arabic Typesetting"/>
                <w:b/>
                <w:bCs/>
                <w:color w:val="000000"/>
                <w:sz w:val="28"/>
                <w:szCs w:val="28"/>
                <w:rtl/>
              </w:rPr>
              <w:t>992 8</w:t>
            </w:r>
          </w:p>
        </w:tc>
        <w:tc>
          <w:tcPr>
            <w:tcW w:w="1340" w:type="dxa"/>
            <w:tcBorders>
              <w:top w:val="nil"/>
              <w:left w:val="nil"/>
              <w:bottom w:val="single" w:sz="4" w:space="0" w:color="auto"/>
              <w:right w:val="single" w:sz="4" w:space="0" w:color="auto"/>
            </w:tcBorders>
            <w:shd w:val="clear" w:color="000000" w:fill="BFBFBF"/>
            <w:noWrap/>
            <w:vAlign w:val="bottom"/>
            <w:hideMark/>
          </w:tcPr>
          <w:p w:rsidR="00237E42" w:rsidRPr="005748C7" w:rsidRDefault="005748C7" w:rsidP="007264BF">
            <w:pPr>
              <w:bidi/>
              <w:rPr>
                <w:rFonts w:ascii="Arabic Typesetting" w:hAnsi="Arabic Typesetting" w:cs="Arabic Typesetting"/>
                <w:b/>
                <w:bCs/>
                <w:color w:val="000000"/>
                <w:sz w:val="28"/>
                <w:szCs w:val="28"/>
              </w:rPr>
            </w:pPr>
            <w:r w:rsidRPr="005748C7">
              <w:rPr>
                <w:rFonts w:ascii="Arabic Typesetting" w:hAnsi="Arabic Typesetting" w:cs="Arabic Typesetting"/>
                <w:b/>
                <w:bCs/>
                <w:color w:val="000000"/>
                <w:sz w:val="28"/>
                <w:szCs w:val="28"/>
                <w:rtl/>
              </w:rPr>
              <w:t>818 9</w:t>
            </w:r>
          </w:p>
        </w:tc>
        <w:tc>
          <w:tcPr>
            <w:tcW w:w="1340" w:type="dxa"/>
            <w:tcBorders>
              <w:top w:val="nil"/>
              <w:left w:val="nil"/>
              <w:bottom w:val="single" w:sz="4" w:space="0" w:color="auto"/>
              <w:right w:val="single" w:sz="4" w:space="0" w:color="auto"/>
            </w:tcBorders>
            <w:shd w:val="clear" w:color="000000" w:fill="BFBFBF"/>
            <w:noWrap/>
            <w:vAlign w:val="bottom"/>
            <w:hideMark/>
          </w:tcPr>
          <w:p w:rsidR="00237E42" w:rsidRPr="005748C7" w:rsidRDefault="005748C7" w:rsidP="007264BF">
            <w:pPr>
              <w:bidi/>
              <w:rPr>
                <w:rFonts w:ascii="Arabic Typesetting" w:hAnsi="Arabic Typesetting" w:cs="Arabic Typesetting"/>
                <w:b/>
                <w:bCs/>
                <w:color w:val="000000"/>
                <w:sz w:val="28"/>
                <w:szCs w:val="28"/>
              </w:rPr>
            </w:pPr>
            <w:r w:rsidRPr="005748C7">
              <w:rPr>
                <w:rFonts w:ascii="Arabic Typesetting" w:hAnsi="Arabic Typesetting" w:cs="Arabic Typesetting"/>
                <w:b/>
                <w:bCs/>
                <w:color w:val="000000"/>
                <w:sz w:val="28"/>
                <w:szCs w:val="28"/>
                <w:rtl/>
              </w:rPr>
              <w:t>451 9</w:t>
            </w:r>
          </w:p>
        </w:tc>
      </w:tr>
    </w:tbl>
    <w:p w:rsidR="00237E42" w:rsidRDefault="005920A6" w:rsidP="007264BF">
      <w:pPr>
        <w:pStyle w:val="NormalParaAR"/>
        <w:numPr>
          <w:ilvl w:val="0"/>
          <w:numId w:val="21"/>
        </w:numPr>
        <w:spacing w:before="360"/>
        <w:ind w:left="0" w:firstLine="0"/>
      </w:pPr>
      <w:r>
        <w:rPr>
          <w:rFonts w:hint="cs"/>
          <w:rtl/>
        </w:rPr>
        <w:t>و</w:t>
      </w:r>
      <w:r w:rsidR="005748C7">
        <w:rPr>
          <w:rFonts w:hint="cs"/>
          <w:rtl/>
        </w:rPr>
        <w:t xml:space="preserve">نظراً إلى ارتفاع مستوى الأعمال المسندة إلى الخارج؛ </w:t>
      </w:r>
      <w:r w:rsidR="0033368C">
        <w:rPr>
          <w:rFonts w:hint="cs"/>
          <w:rtl/>
        </w:rPr>
        <w:t xml:space="preserve">ومزج </w:t>
      </w:r>
      <w:r w:rsidR="005748C7">
        <w:rPr>
          <w:rFonts w:hint="cs"/>
          <w:rtl/>
        </w:rPr>
        <w:t xml:space="preserve">العقود الراهنة بين المترجمين الداخليين والخارجيين؛ والجهود المعززة لترشيد </w:t>
      </w:r>
      <w:r w:rsidR="0033368C">
        <w:rPr>
          <w:rFonts w:hint="cs"/>
          <w:rtl/>
        </w:rPr>
        <w:t>الأعمال سواء أكان ذلك في المرحلة التمهيدية أم خلال مرحلة الترجمة؛ فضلاً عن الاستخدام الفعال لأدوات تكنولوجيا المعلومات المتعلقة بالترجمة، سُجل</w:t>
      </w:r>
      <w:r w:rsidR="00016355">
        <w:rPr>
          <w:rFonts w:hint="cs"/>
          <w:rtl/>
        </w:rPr>
        <w:t>ت</w:t>
      </w:r>
      <w:r w:rsidR="0033368C">
        <w:rPr>
          <w:rFonts w:hint="cs"/>
          <w:rtl/>
        </w:rPr>
        <w:t xml:space="preserve"> بعض الوفورات في التكاليف إذ انخفض متوسط تكلفة الترجمة للصفحة</w:t>
      </w:r>
      <w:r w:rsidR="00C70317">
        <w:rPr>
          <w:rFonts w:hint="cs"/>
          <w:rtl/>
        </w:rPr>
        <w:t xml:space="preserve"> الواحدة</w:t>
      </w:r>
      <w:r w:rsidR="0033368C">
        <w:rPr>
          <w:rFonts w:hint="cs"/>
          <w:rtl/>
        </w:rPr>
        <w:t xml:space="preserve"> من 213 فرنك سويسري في 2010/11 إلى 191 فرنك سويسري في 2012/13. </w:t>
      </w:r>
      <w:r w:rsidR="00C70317">
        <w:rPr>
          <w:rFonts w:hint="cs"/>
          <w:rtl/>
        </w:rPr>
        <w:t>وبلغت أوجه الفعالية من حيث التكاليف الناجمة عن ذلك 2.2 مليون فرنك سويسري. كما يتفق تقليص التكاليف للصفحة الواحدة مع مؤشر الأداء (10%) الذي حُدد للثنائية 2012/13.</w:t>
      </w:r>
    </w:p>
    <w:p w:rsidR="00C70317" w:rsidRDefault="00C70317" w:rsidP="005920A6">
      <w:pPr>
        <w:pStyle w:val="NormalParaAR"/>
        <w:numPr>
          <w:ilvl w:val="0"/>
          <w:numId w:val="21"/>
        </w:numPr>
        <w:ind w:left="0" w:firstLine="0"/>
      </w:pPr>
      <w:r>
        <w:rPr>
          <w:rFonts w:hint="cs"/>
          <w:rtl/>
        </w:rPr>
        <w:t xml:space="preserve">ونجمت أوجه الفعالية من حيث التكاليف كذلك عما أسند من أعمال ترجمة إلى الفرنسية والإسبانية لوكالات خارجية، إذ كان متوسط تكلفة الوحدة أقل بنسبة 38 بالمئة من تكلفة المترجمين الأفراد. ورغم أن العمل المسند خارجياً إلى </w:t>
      </w:r>
      <w:r w:rsidR="00016355">
        <w:rPr>
          <w:rFonts w:hint="cs"/>
          <w:rtl/>
        </w:rPr>
        <w:t>ال</w:t>
      </w:r>
      <w:r>
        <w:rPr>
          <w:rFonts w:hint="cs"/>
          <w:rtl/>
        </w:rPr>
        <w:t>وكالات، والذي بدأ في الثنائية الماضية، تطلب مستوى أعلى من التدقيق الداخلي كجزء من مسار مراقبة الجودة (مما</w:t>
      </w:r>
      <w:r w:rsidR="00016355">
        <w:rPr>
          <w:rFonts w:hint="eastAsia"/>
          <w:rtl/>
        </w:rPr>
        <w:t> </w:t>
      </w:r>
      <w:r>
        <w:rPr>
          <w:rFonts w:hint="cs"/>
          <w:rtl/>
        </w:rPr>
        <w:t>استهلك المزيد من وقت الموظفي</w:t>
      </w:r>
      <w:r w:rsidR="005920A6">
        <w:rPr>
          <w:rFonts w:hint="cs"/>
          <w:rtl/>
        </w:rPr>
        <w:t xml:space="preserve">ن الداخليين)، فقد أدى إلى تحقيق توفير </w:t>
      </w:r>
      <w:r>
        <w:rPr>
          <w:rFonts w:hint="cs"/>
          <w:rtl/>
        </w:rPr>
        <w:t>صافي في التكلفة يبلغ نحو 000 99 فرنك</w:t>
      </w:r>
      <w:r w:rsidR="005920A6">
        <w:rPr>
          <w:rFonts w:hint="eastAsia"/>
          <w:rtl/>
        </w:rPr>
        <w:t> </w:t>
      </w:r>
      <w:r>
        <w:rPr>
          <w:rFonts w:hint="cs"/>
          <w:rtl/>
        </w:rPr>
        <w:t xml:space="preserve">سويسري في 2013. ويتوقع أن يؤدي إسناد أعمال الترجمة إلى وكالات مشابهة في اللغات الأخرى، دون </w:t>
      </w:r>
      <w:r w:rsidR="005920A6">
        <w:rPr>
          <w:rFonts w:hint="cs"/>
          <w:rtl/>
        </w:rPr>
        <w:t>الإخلال</w:t>
      </w:r>
      <w:r>
        <w:rPr>
          <w:rFonts w:hint="cs"/>
          <w:rtl/>
        </w:rPr>
        <w:t xml:space="preserve"> </w:t>
      </w:r>
      <w:r w:rsidR="005920A6">
        <w:rPr>
          <w:rFonts w:hint="cs"/>
          <w:rtl/>
        </w:rPr>
        <w:t>ب</w:t>
      </w:r>
      <w:r>
        <w:rPr>
          <w:rFonts w:hint="cs"/>
          <w:rtl/>
        </w:rPr>
        <w:t>الجودة، إلى زيادة تلك الوفورات في المستقبل.</w:t>
      </w:r>
    </w:p>
    <w:p w:rsidR="00C70317" w:rsidRDefault="002A15CE" w:rsidP="00C03A25">
      <w:pPr>
        <w:pStyle w:val="NormalParaAR"/>
        <w:keepNext/>
        <w:rPr>
          <w:u w:val="single"/>
          <w:rtl/>
        </w:rPr>
      </w:pPr>
      <w:r w:rsidRPr="002A15CE">
        <w:rPr>
          <w:u w:val="single"/>
          <w:rtl/>
        </w:rPr>
        <w:t xml:space="preserve">أدوات الترجمة </w:t>
      </w:r>
      <w:r w:rsidRPr="002A15CE">
        <w:rPr>
          <w:rFonts w:hint="cs"/>
          <w:u w:val="single"/>
          <w:rtl/>
        </w:rPr>
        <w:t xml:space="preserve">وحفظ المصطلحات </w:t>
      </w:r>
      <w:r w:rsidRPr="002A15CE">
        <w:rPr>
          <w:u w:val="single"/>
          <w:rtl/>
        </w:rPr>
        <w:t>بمساعدة الحاسوب</w:t>
      </w:r>
    </w:p>
    <w:p w:rsidR="002A15CE" w:rsidRDefault="005920A6" w:rsidP="005920A6">
      <w:pPr>
        <w:pStyle w:val="NormalParaAR"/>
        <w:numPr>
          <w:ilvl w:val="0"/>
          <w:numId w:val="21"/>
        </w:numPr>
        <w:ind w:left="0" w:firstLine="0"/>
      </w:pPr>
      <w:r>
        <w:rPr>
          <w:rFonts w:hint="cs"/>
          <w:rtl/>
        </w:rPr>
        <w:t xml:space="preserve">في إطار التدابير الأخرى الرامية إلى </w:t>
      </w:r>
      <w:r w:rsidR="002A15CE">
        <w:rPr>
          <w:rFonts w:hint="cs"/>
          <w:rtl/>
        </w:rPr>
        <w:t>تعزيز الفعالية والارتقاء بالجودة وزيادة الانتاجية، عززت الأمانة استخدامها لأدوات الترجمة وحفظ المصطلحات بمساعدة الحاسوب</w:t>
      </w:r>
      <w:r>
        <w:rPr>
          <w:rFonts w:hint="cs"/>
          <w:rtl/>
        </w:rPr>
        <w:t xml:space="preserve"> (</w:t>
      </w:r>
      <w:r>
        <w:t>CATT</w:t>
      </w:r>
      <w:r>
        <w:rPr>
          <w:rFonts w:hint="cs"/>
          <w:rtl/>
        </w:rPr>
        <w:t>)</w:t>
      </w:r>
      <w:r w:rsidR="002A15CE">
        <w:rPr>
          <w:rFonts w:hint="cs"/>
          <w:rtl/>
        </w:rPr>
        <w:t xml:space="preserve"> خلال الثنائية 2012/13. وعقب</w:t>
      </w:r>
      <w:r w:rsidR="002A15CE" w:rsidRPr="002A15CE">
        <w:rPr>
          <w:rtl/>
        </w:rPr>
        <w:t xml:space="preserve"> عملية صارمة من التحديد والاختيار</w:t>
      </w:r>
      <w:r w:rsidR="002A15CE">
        <w:rPr>
          <w:rFonts w:hint="cs"/>
          <w:rtl/>
        </w:rPr>
        <w:t>،</w:t>
      </w:r>
      <w:r w:rsidR="002A15CE" w:rsidRPr="002A15CE">
        <w:rPr>
          <w:rtl/>
        </w:rPr>
        <w:t xml:space="preserve"> </w:t>
      </w:r>
      <w:r>
        <w:rPr>
          <w:rFonts w:hint="cs"/>
          <w:rtl/>
        </w:rPr>
        <w:t>اشترت المنظمة</w:t>
      </w:r>
      <w:r w:rsidR="002A15CE">
        <w:rPr>
          <w:rFonts w:hint="cs"/>
          <w:rtl/>
        </w:rPr>
        <w:t xml:space="preserve"> عدد</w:t>
      </w:r>
      <w:r w:rsidR="00C03A25">
        <w:rPr>
          <w:rFonts w:hint="cs"/>
          <w:rtl/>
        </w:rPr>
        <w:t>ا</w:t>
      </w:r>
      <w:r w:rsidR="002A15CE">
        <w:rPr>
          <w:rFonts w:hint="cs"/>
          <w:rtl/>
        </w:rPr>
        <w:t xml:space="preserve"> من الأدوات الجديدة للترجمة وحفظ المصطلحات بمساعدة الحاسوب ووزعت</w:t>
      </w:r>
      <w:r>
        <w:rPr>
          <w:rFonts w:hint="cs"/>
          <w:rtl/>
        </w:rPr>
        <w:t>ها</w:t>
      </w:r>
      <w:r w:rsidR="002A15CE">
        <w:rPr>
          <w:rFonts w:hint="cs"/>
          <w:rtl/>
        </w:rPr>
        <w:t xml:space="preserve"> في عام 2013. وأظهرت التجربة الأولية بعد مرور عام من الاستخدام بعض الفوائد مثل توحيد المصطلحات؛ والتعرف التلقائي على النصوص التي تُرجمت سابقاً؛ والاتساق؛ والإنتاجية؛ ومراقبة الجودة.</w:t>
      </w:r>
    </w:p>
    <w:p w:rsidR="002A15CE" w:rsidRDefault="002A15CE" w:rsidP="0011122B">
      <w:pPr>
        <w:pStyle w:val="NormalParaAR"/>
        <w:keepNext/>
        <w:rPr>
          <w:u w:val="single"/>
          <w:rtl/>
        </w:rPr>
      </w:pPr>
      <w:r w:rsidRPr="002A15CE">
        <w:rPr>
          <w:rFonts w:hint="cs"/>
          <w:u w:val="single"/>
          <w:rtl/>
        </w:rPr>
        <w:lastRenderedPageBreak/>
        <w:t>تمديد</w:t>
      </w:r>
      <w:r>
        <w:rPr>
          <w:rFonts w:hint="cs"/>
          <w:u w:val="single"/>
          <w:rtl/>
        </w:rPr>
        <w:t xml:space="preserve"> التغطية باللغات الست إلى الموقع الإلكتروني</w:t>
      </w:r>
    </w:p>
    <w:p w:rsidR="002A15CE" w:rsidRDefault="00016355" w:rsidP="007D72B4">
      <w:pPr>
        <w:pStyle w:val="NormalParaAR"/>
        <w:numPr>
          <w:ilvl w:val="0"/>
          <w:numId w:val="21"/>
        </w:numPr>
        <w:ind w:left="0" w:firstLine="0"/>
      </w:pPr>
      <w:r>
        <w:rPr>
          <w:rFonts w:hint="cs"/>
          <w:rtl/>
        </w:rPr>
        <w:t>أُطلق</w:t>
      </w:r>
      <w:r w:rsidR="002A15CE">
        <w:rPr>
          <w:rFonts w:hint="cs"/>
          <w:rtl/>
        </w:rPr>
        <w:t xml:space="preserve"> موقع الويبو الإلكتروني المعادة هيكلته وتصميمه (المرحلة 1) في نوفمبر 2013. وقبل </w:t>
      </w:r>
      <w:r w:rsidR="007D72B4">
        <w:rPr>
          <w:rFonts w:hint="cs"/>
          <w:rtl/>
        </w:rPr>
        <w:t>إطلاع الموقع</w:t>
      </w:r>
      <w:r w:rsidR="002A15CE">
        <w:rPr>
          <w:rFonts w:hint="cs"/>
          <w:rtl/>
        </w:rPr>
        <w:t xml:space="preserve"> وكجزء من إعادة </w:t>
      </w:r>
      <w:r w:rsidR="007D72B4">
        <w:rPr>
          <w:rFonts w:hint="cs"/>
          <w:rtl/>
        </w:rPr>
        <w:t>هيكلته</w:t>
      </w:r>
      <w:r w:rsidR="002A15CE">
        <w:rPr>
          <w:rFonts w:hint="cs"/>
          <w:rtl/>
        </w:rPr>
        <w:t xml:space="preserve">، ألغيت العديد من الصفحات القديمة أو غير الضرورية بينما نُشرت نصوص وصفحات جديدة، بما في ذلك </w:t>
      </w:r>
      <w:r w:rsidR="005920A6">
        <w:rPr>
          <w:rFonts w:hint="cs"/>
          <w:rtl/>
        </w:rPr>
        <w:t>تجديد شامل</w:t>
      </w:r>
      <w:r w:rsidR="002A15CE">
        <w:rPr>
          <w:rFonts w:hint="cs"/>
          <w:rtl/>
        </w:rPr>
        <w:t xml:space="preserve"> للبوابة وجميع صفحات الاستقبال (خدمات الملكية الف</w:t>
      </w:r>
      <w:r w:rsidR="0011122B">
        <w:rPr>
          <w:rFonts w:hint="cs"/>
          <w:rtl/>
        </w:rPr>
        <w:t xml:space="preserve">كرية، السياسة العامة، التعاون، </w:t>
      </w:r>
      <w:r w:rsidR="002A15CE">
        <w:rPr>
          <w:rFonts w:hint="cs"/>
          <w:rtl/>
        </w:rPr>
        <w:t xml:space="preserve">مراجع، </w:t>
      </w:r>
      <w:r w:rsidR="0011122B">
        <w:rPr>
          <w:rFonts w:hint="cs"/>
          <w:rtl/>
        </w:rPr>
        <w:t xml:space="preserve">عن الملكية الفكرية، </w:t>
      </w:r>
      <w:r w:rsidR="002A15CE">
        <w:rPr>
          <w:rFonts w:hint="cs"/>
          <w:rtl/>
        </w:rPr>
        <w:t>داخل الويبو)</w:t>
      </w:r>
      <w:r w:rsidR="0011122B">
        <w:rPr>
          <w:rFonts w:hint="cs"/>
          <w:rtl/>
        </w:rPr>
        <w:t>. وأ</w:t>
      </w:r>
      <w:r w:rsidR="005920A6">
        <w:rPr>
          <w:rFonts w:hint="cs"/>
          <w:rtl/>
        </w:rPr>
        <w:t>ُ</w:t>
      </w:r>
      <w:r w:rsidR="0011122B">
        <w:rPr>
          <w:rFonts w:hint="cs"/>
          <w:rtl/>
        </w:rPr>
        <w:t>طلقت البوابة وجميع الصفحات العليا باللغات الرسمية الست. ويجري ترجمة الموقع إلى اللغات الست و</w:t>
      </w:r>
      <w:r w:rsidR="005920A6">
        <w:rPr>
          <w:rFonts w:hint="cs"/>
          <w:rtl/>
        </w:rPr>
        <w:t>رفعه</w:t>
      </w:r>
      <w:r w:rsidR="0011122B">
        <w:rPr>
          <w:rFonts w:hint="cs"/>
          <w:rtl/>
        </w:rPr>
        <w:t xml:space="preserve"> استناداً إلى خطط العمل والموارد المتاحة. وستتضمن المرحلة 2 من إعادة تصميم الموقع الإلكتروني إلغاء أو تنظيف الصفحات </w:t>
      </w:r>
      <w:r w:rsidR="005920A6">
        <w:rPr>
          <w:rFonts w:hint="cs"/>
          <w:rtl/>
        </w:rPr>
        <w:t>الدنيا فضلاً عن الترجمة والرفع</w:t>
      </w:r>
      <w:r w:rsidR="0011122B">
        <w:rPr>
          <w:rFonts w:hint="cs"/>
          <w:rtl/>
        </w:rPr>
        <w:t xml:space="preserve"> الجاريين للنسخ المترجمة.</w:t>
      </w:r>
    </w:p>
    <w:p w:rsidR="0011122B" w:rsidRDefault="0011122B" w:rsidP="0011122B">
      <w:pPr>
        <w:pStyle w:val="NormalParaAR"/>
        <w:keepNext/>
        <w:rPr>
          <w:b/>
          <w:bCs/>
          <w:sz w:val="40"/>
          <w:szCs w:val="40"/>
          <w:rtl/>
        </w:rPr>
      </w:pPr>
      <w:r w:rsidRPr="0011122B">
        <w:rPr>
          <w:rFonts w:hint="cs"/>
          <w:b/>
          <w:bCs/>
          <w:sz w:val="40"/>
          <w:szCs w:val="40"/>
          <w:rtl/>
        </w:rPr>
        <w:t>الاستنتاجات</w:t>
      </w:r>
    </w:p>
    <w:p w:rsidR="0011122B" w:rsidRPr="00C03A25" w:rsidRDefault="0011122B" w:rsidP="0011122B">
      <w:pPr>
        <w:pStyle w:val="NormalParaAR"/>
        <w:numPr>
          <w:ilvl w:val="0"/>
          <w:numId w:val="21"/>
        </w:numPr>
        <w:ind w:left="0" w:firstLine="0"/>
      </w:pPr>
      <w:r w:rsidRPr="00C03A25">
        <w:rPr>
          <w:rFonts w:hint="cs"/>
          <w:rtl/>
        </w:rPr>
        <w:t xml:space="preserve">أعدت الأمانة هذه الوثيقة للإبلاغ بالتقدم المحرز في تنفيذ </w:t>
      </w:r>
      <w:r w:rsidR="00CE61DC" w:rsidRPr="00C03A25">
        <w:rPr>
          <w:rFonts w:hint="cs"/>
          <w:rtl/>
        </w:rPr>
        <w:t>سياسة اللغات</w:t>
      </w:r>
      <w:r w:rsidRPr="00C03A25">
        <w:rPr>
          <w:rFonts w:hint="cs"/>
          <w:rtl/>
        </w:rPr>
        <w:t xml:space="preserve"> وبالخطوات المتخذة في سبيل تقليص التكاليف وتحديث النظم والارتقاء بجودة الوثائق.</w:t>
      </w:r>
    </w:p>
    <w:p w:rsidR="0011122B" w:rsidRPr="00C03A25" w:rsidRDefault="0011122B" w:rsidP="00C03A25">
      <w:pPr>
        <w:pStyle w:val="NormalParaAR"/>
        <w:numPr>
          <w:ilvl w:val="0"/>
          <w:numId w:val="21"/>
        </w:numPr>
        <w:ind w:left="0" w:firstLine="0"/>
      </w:pPr>
      <w:r w:rsidRPr="00C03A25">
        <w:rPr>
          <w:rtl/>
        </w:rPr>
        <w:t xml:space="preserve">‏وفيما يلي فقرة </w:t>
      </w:r>
      <w:r w:rsidRPr="00C03A25">
        <w:rPr>
          <w:rFonts w:hint="cs"/>
          <w:rtl/>
        </w:rPr>
        <w:t>ال</w:t>
      </w:r>
      <w:r w:rsidRPr="00C03A25">
        <w:rPr>
          <w:rtl/>
        </w:rPr>
        <w:t xml:space="preserve">قرار </w:t>
      </w:r>
      <w:r w:rsidRPr="00C03A25">
        <w:rPr>
          <w:rFonts w:hint="cs"/>
          <w:rtl/>
        </w:rPr>
        <w:t>ال</w:t>
      </w:r>
      <w:r w:rsidRPr="00C03A25">
        <w:rPr>
          <w:rtl/>
        </w:rPr>
        <w:t>مقترح</w:t>
      </w:r>
      <w:r w:rsidRPr="00C03A25">
        <w:rPr>
          <w:rFonts w:hint="cs"/>
          <w:rtl/>
        </w:rPr>
        <w:t>ة</w:t>
      </w:r>
      <w:r w:rsidRPr="00C03A25">
        <w:rPr>
          <w:rtl/>
        </w:rPr>
        <w:t>.</w:t>
      </w:r>
    </w:p>
    <w:p w:rsidR="0011122B" w:rsidRDefault="0011122B" w:rsidP="00CE61DC">
      <w:pPr>
        <w:pStyle w:val="NormalParaAR"/>
        <w:numPr>
          <w:ilvl w:val="0"/>
          <w:numId w:val="21"/>
        </w:numPr>
        <w:ind w:left="5533" w:firstLine="0"/>
        <w:rPr>
          <w:i/>
          <w:iCs/>
          <w:sz w:val="40"/>
          <w:szCs w:val="40"/>
        </w:rPr>
      </w:pPr>
      <w:r w:rsidRPr="0011122B">
        <w:rPr>
          <w:rFonts w:hint="cs"/>
          <w:i/>
          <w:iCs/>
          <w:sz w:val="40"/>
          <w:szCs w:val="40"/>
          <w:rtl/>
        </w:rPr>
        <w:t xml:space="preserve">أحاطت لجنة البرنامج والميزانية علماً بالتقرير المرحلي بشأن تنفيذ </w:t>
      </w:r>
      <w:r w:rsidR="00CE61DC">
        <w:rPr>
          <w:rFonts w:hint="cs"/>
          <w:i/>
          <w:iCs/>
          <w:sz w:val="40"/>
          <w:szCs w:val="40"/>
          <w:rtl/>
        </w:rPr>
        <w:t xml:space="preserve">سياسة اللغات في الويبو </w:t>
      </w:r>
      <w:r w:rsidRPr="0011122B">
        <w:rPr>
          <w:rFonts w:hint="cs"/>
          <w:i/>
          <w:iCs/>
          <w:sz w:val="40"/>
          <w:szCs w:val="40"/>
          <w:rtl/>
        </w:rPr>
        <w:t xml:space="preserve">(الوثيقة </w:t>
      </w:r>
      <w:r w:rsidRPr="0011122B">
        <w:rPr>
          <w:i/>
          <w:iCs/>
          <w:sz w:val="40"/>
          <w:szCs w:val="40"/>
        </w:rPr>
        <w:t>WO/PBC/22/16</w:t>
      </w:r>
      <w:r>
        <w:rPr>
          <w:rFonts w:hint="cs"/>
          <w:i/>
          <w:iCs/>
          <w:sz w:val="40"/>
          <w:szCs w:val="40"/>
          <w:rtl/>
        </w:rPr>
        <w:t>):</w:t>
      </w:r>
    </w:p>
    <w:p w:rsidR="0011122B" w:rsidRDefault="0011122B" w:rsidP="00CE61DC">
      <w:pPr>
        <w:pStyle w:val="NormalParaAR"/>
        <w:keepNext/>
        <w:ind w:left="6101"/>
        <w:rPr>
          <w:i/>
          <w:iCs/>
          <w:sz w:val="40"/>
          <w:szCs w:val="40"/>
          <w:rtl/>
        </w:rPr>
      </w:pPr>
      <w:r>
        <w:rPr>
          <w:rFonts w:hint="cs"/>
          <w:i/>
          <w:iCs/>
          <w:sz w:val="40"/>
          <w:szCs w:val="40"/>
          <w:rtl/>
        </w:rPr>
        <w:t>"1"</w:t>
      </w:r>
      <w:r>
        <w:rPr>
          <w:rFonts w:hint="cs"/>
          <w:i/>
          <w:iCs/>
          <w:sz w:val="40"/>
          <w:szCs w:val="40"/>
          <w:rtl/>
        </w:rPr>
        <w:tab/>
        <w:t>وأقرت بما يلي:</w:t>
      </w:r>
    </w:p>
    <w:p w:rsidR="0011122B" w:rsidRDefault="0011122B" w:rsidP="0011122B">
      <w:pPr>
        <w:pStyle w:val="NormalParaAR"/>
        <w:ind w:left="6667"/>
        <w:rPr>
          <w:i/>
          <w:iCs/>
          <w:sz w:val="40"/>
          <w:szCs w:val="40"/>
          <w:rtl/>
        </w:rPr>
      </w:pPr>
      <w:r>
        <w:rPr>
          <w:rFonts w:hint="cs"/>
          <w:i/>
          <w:iCs/>
          <w:sz w:val="40"/>
          <w:szCs w:val="40"/>
          <w:rtl/>
        </w:rPr>
        <w:t>(أ)</w:t>
      </w:r>
      <w:r>
        <w:rPr>
          <w:rFonts w:hint="cs"/>
          <w:i/>
          <w:iCs/>
          <w:sz w:val="40"/>
          <w:szCs w:val="40"/>
          <w:rtl/>
        </w:rPr>
        <w:tab/>
        <w:t>تدابير الترشيد والمراقبة المعززة التي نُفذت للحد من زيادة عبء أعمال الترجمة؛</w:t>
      </w:r>
    </w:p>
    <w:p w:rsidR="0011122B" w:rsidRDefault="0011122B" w:rsidP="0011122B">
      <w:pPr>
        <w:pStyle w:val="NormalParaAR"/>
        <w:ind w:left="6667"/>
        <w:rPr>
          <w:i/>
          <w:iCs/>
          <w:sz w:val="40"/>
          <w:szCs w:val="40"/>
          <w:rtl/>
        </w:rPr>
      </w:pPr>
      <w:r>
        <w:rPr>
          <w:rFonts w:hint="cs"/>
          <w:i/>
          <w:iCs/>
          <w:sz w:val="40"/>
          <w:szCs w:val="40"/>
          <w:rtl/>
        </w:rPr>
        <w:t>(ب)</w:t>
      </w:r>
      <w:r>
        <w:rPr>
          <w:rFonts w:hint="cs"/>
          <w:i/>
          <w:iCs/>
          <w:sz w:val="40"/>
          <w:szCs w:val="40"/>
          <w:rtl/>
        </w:rPr>
        <w:tab/>
        <w:t>أوجه الفعالية المحققة؛</w:t>
      </w:r>
    </w:p>
    <w:p w:rsidR="0011122B" w:rsidRDefault="0011122B" w:rsidP="0011122B">
      <w:pPr>
        <w:pStyle w:val="NormalParaAR"/>
        <w:ind w:left="6667"/>
        <w:rPr>
          <w:i/>
          <w:iCs/>
          <w:sz w:val="40"/>
          <w:szCs w:val="40"/>
          <w:rtl/>
        </w:rPr>
      </w:pPr>
      <w:r>
        <w:rPr>
          <w:rFonts w:hint="cs"/>
          <w:i/>
          <w:iCs/>
          <w:sz w:val="40"/>
          <w:szCs w:val="40"/>
          <w:rtl/>
        </w:rPr>
        <w:t>(ج)</w:t>
      </w:r>
      <w:r>
        <w:rPr>
          <w:rFonts w:hint="cs"/>
          <w:i/>
          <w:iCs/>
          <w:sz w:val="40"/>
          <w:szCs w:val="40"/>
          <w:rtl/>
        </w:rPr>
        <w:tab/>
        <w:t>النسبة المتزايدة للأعمال الخارجية مع ضمان جودة الترجمة؛</w:t>
      </w:r>
    </w:p>
    <w:p w:rsidR="0011122B" w:rsidRDefault="0011122B" w:rsidP="00CE61DC">
      <w:pPr>
        <w:pStyle w:val="NormalParaAR"/>
        <w:spacing w:after="720"/>
        <w:ind w:left="6100"/>
        <w:rPr>
          <w:i/>
          <w:iCs/>
          <w:sz w:val="40"/>
          <w:szCs w:val="40"/>
          <w:rtl/>
        </w:rPr>
      </w:pPr>
      <w:r>
        <w:rPr>
          <w:rFonts w:hint="cs"/>
          <w:i/>
          <w:iCs/>
          <w:sz w:val="40"/>
          <w:szCs w:val="40"/>
          <w:rtl/>
        </w:rPr>
        <w:t>"2"</w:t>
      </w:r>
      <w:r>
        <w:rPr>
          <w:rFonts w:hint="cs"/>
          <w:i/>
          <w:iCs/>
          <w:sz w:val="40"/>
          <w:szCs w:val="40"/>
          <w:rtl/>
        </w:rPr>
        <w:tab/>
        <w:t>وحثت الأمانة على مواصلة جهودها</w:t>
      </w:r>
      <w:r w:rsidR="00CE61DC">
        <w:rPr>
          <w:rFonts w:hint="cs"/>
          <w:i/>
          <w:iCs/>
          <w:sz w:val="40"/>
          <w:szCs w:val="40"/>
          <w:rtl/>
        </w:rPr>
        <w:t xml:space="preserve"> في هذا الإطار</w:t>
      </w:r>
      <w:r>
        <w:rPr>
          <w:rFonts w:hint="cs"/>
          <w:i/>
          <w:iCs/>
          <w:sz w:val="40"/>
          <w:szCs w:val="40"/>
          <w:rtl/>
        </w:rPr>
        <w:t xml:space="preserve"> وموافاة لجنة البرنامج وال</w:t>
      </w:r>
      <w:bookmarkStart w:id="2" w:name="_GoBack"/>
      <w:bookmarkEnd w:id="2"/>
      <w:r>
        <w:rPr>
          <w:rFonts w:hint="cs"/>
          <w:i/>
          <w:iCs/>
          <w:sz w:val="40"/>
          <w:szCs w:val="40"/>
          <w:rtl/>
        </w:rPr>
        <w:t>ميزانية بتقرير</w:t>
      </w:r>
      <w:r w:rsidR="00CE61DC">
        <w:rPr>
          <w:rFonts w:hint="cs"/>
          <w:i/>
          <w:iCs/>
          <w:sz w:val="40"/>
          <w:szCs w:val="40"/>
          <w:rtl/>
        </w:rPr>
        <w:t xml:space="preserve"> عن ذلك في سياق تقرير أداء البرنامج لعام 2014.</w:t>
      </w:r>
    </w:p>
    <w:p w:rsidR="00237E42" w:rsidRPr="00CE61DC" w:rsidRDefault="00CE61DC" w:rsidP="00CE61DC">
      <w:pPr>
        <w:pStyle w:val="NormalParaAR"/>
        <w:ind w:left="6100"/>
        <w:rPr>
          <w:sz w:val="40"/>
          <w:szCs w:val="40"/>
        </w:rPr>
      </w:pPr>
      <w:r w:rsidRPr="00CE61DC">
        <w:rPr>
          <w:rFonts w:hint="cs"/>
          <w:sz w:val="40"/>
          <w:szCs w:val="40"/>
          <w:rtl/>
        </w:rPr>
        <w:t>[</w:t>
      </w:r>
      <w:r>
        <w:rPr>
          <w:rFonts w:hint="cs"/>
          <w:sz w:val="40"/>
          <w:szCs w:val="40"/>
          <w:rtl/>
        </w:rPr>
        <w:t>نهاية الوثيقة</w:t>
      </w:r>
      <w:r w:rsidRPr="00CE61DC">
        <w:rPr>
          <w:rFonts w:hint="cs"/>
          <w:sz w:val="40"/>
          <w:szCs w:val="40"/>
          <w:rtl/>
        </w:rPr>
        <w:t>]</w:t>
      </w:r>
    </w:p>
    <w:sectPr w:rsidR="00237E42" w:rsidRPr="00CE61DC"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3C9" w:rsidRDefault="000833C9">
      <w:r>
        <w:separator/>
      </w:r>
    </w:p>
  </w:endnote>
  <w:endnote w:type="continuationSeparator" w:id="0">
    <w:p w:rsidR="000833C9" w:rsidRDefault="0008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3C9" w:rsidRDefault="000833C9" w:rsidP="009622BF">
      <w:pPr>
        <w:bidi/>
      </w:pPr>
      <w:bookmarkStart w:id="0" w:name="OLE_LINK1"/>
      <w:bookmarkStart w:id="1" w:name="OLE_LINK2"/>
      <w:r>
        <w:separator/>
      </w:r>
      <w:bookmarkEnd w:id="0"/>
      <w:bookmarkEnd w:id="1"/>
    </w:p>
  </w:footnote>
  <w:footnote w:type="continuationSeparator" w:id="0">
    <w:p w:rsidR="000833C9" w:rsidRDefault="000833C9" w:rsidP="009622BF">
      <w:pPr>
        <w:bidi/>
      </w:pPr>
      <w:r>
        <w:separator/>
      </w:r>
    </w:p>
  </w:footnote>
  <w:footnote w:id="1">
    <w:p w:rsidR="003361ED" w:rsidRPr="003361ED" w:rsidRDefault="003361ED" w:rsidP="003361ED">
      <w:pPr>
        <w:pStyle w:val="FootnoteText"/>
      </w:pPr>
      <w:r>
        <w:rPr>
          <w:rStyle w:val="FootnoteReference"/>
        </w:rPr>
        <w:footnoteRef/>
      </w:r>
      <w:r>
        <w:rPr>
          <w:rFonts w:hint="cs"/>
          <w:rtl/>
        </w:rPr>
        <w:t xml:space="preserve"> الوثيقتان </w:t>
      </w:r>
      <w:r w:rsidRPr="003361ED">
        <w:t>WO/PBC/21/15</w:t>
      </w:r>
      <w:r>
        <w:rPr>
          <w:rFonts w:hint="cs"/>
          <w:rtl/>
        </w:rPr>
        <w:t xml:space="preserve"> و</w:t>
      </w:r>
      <w:r>
        <w:t>A/51/1</w:t>
      </w:r>
      <w:r>
        <w:rPr>
          <w:rFonts w:hint="cs"/>
          <w:rtl/>
        </w:rPr>
        <w:t>.</w:t>
      </w:r>
    </w:p>
  </w:footnote>
  <w:footnote w:id="2">
    <w:p w:rsidR="003361ED" w:rsidRDefault="003361ED" w:rsidP="003361ED">
      <w:pPr>
        <w:pStyle w:val="FootnoteText"/>
      </w:pPr>
      <w:r>
        <w:rPr>
          <w:rStyle w:val="FootnoteReference"/>
        </w:rPr>
        <w:footnoteRef/>
      </w:r>
      <w:r>
        <w:rPr>
          <w:rtl/>
        </w:rPr>
        <w:t xml:space="preserve"> </w:t>
      </w:r>
      <w:r>
        <w:rPr>
          <w:rFonts w:hint="cs"/>
          <w:rtl/>
        </w:rPr>
        <w:t xml:space="preserve">الوثائق </w:t>
      </w:r>
      <w:r w:rsidRPr="003361ED">
        <w:t>WO/PBC/21/21</w:t>
      </w:r>
      <w:r>
        <w:rPr>
          <w:rFonts w:hint="cs"/>
          <w:rtl/>
        </w:rPr>
        <w:t xml:space="preserve"> و</w:t>
      </w:r>
      <w:r w:rsidRPr="003361ED">
        <w:t>WO/PBC/21/22</w:t>
      </w:r>
      <w:r>
        <w:rPr>
          <w:rFonts w:hint="cs"/>
          <w:rtl/>
        </w:rPr>
        <w:t xml:space="preserve"> و</w:t>
      </w:r>
      <w:r w:rsidRPr="00D20811">
        <w:rPr>
          <w:u w:color="000000"/>
        </w:rPr>
        <w:t>A/51/14</w:t>
      </w:r>
    </w:p>
  </w:footnote>
  <w:footnote w:id="3">
    <w:p w:rsidR="0044494E" w:rsidRDefault="0044494E">
      <w:pPr>
        <w:pStyle w:val="FootnoteText"/>
        <w:rPr>
          <w:rtl/>
        </w:rPr>
      </w:pPr>
      <w:r>
        <w:rPr>
          <w:rStyle w:val="FootnoteReference"/>
        </w:rPr>
        <w:footnoteRef/>
      </w:r>
      <w:r>
        <w:rPr>
          <w:rtl/>
        </w:rPr>
        <w:t xml:space="preserve"> </w:t>
      </w:r>
      <w:r>
        <w:rPr>
          <w:rFonts w:hint="cs"/>
          <w:rtl/>
        </w:rPr>
        <w:t xml:space="preserve">الوثيقتان </w:t>
      </w:r>
      <w:r>
        <w:t>WO/PBC/21/15</w:t>
      </w:r>
      <w:r>
        <w:rPr>
          <w:rFonts w:hint="cs"/>
          <w:rtl/>
        </w:rPr>
        <w:t xml:space="preserve"> و</w:t>
      </w:r>
      <w:r>
        <w:t>A/51/12</w:t>
      </w:r>
    </w:p>
  </w:footnote>
  <w:footnote w:id="4">
    <w:p w:rsidR="005B5151" w:rsidRDefault="005B5151">
      <w:pPr>
        <w:pStyle w:val="FootnoteText"/>
        <w:rPr>
          <w:rtl/>
        </w:rPr>
      </w:pPr>
      <w:r>
        <w:rPr>
          <w:rStyle w:val="FootnoteReference"/>
        </w:rPr>
        <w:footnoteRef/>
      </w:r>
      <w:r>
        <w:rPr>
          <w:rtl/>
        </w:rPr>
        <w:t xml:space="preserve"> </w:t>
      </w:r>
      <w:r>
        <w:rPr>
          <w:rFonts w:hint="cs"/>
          <w:rtl/>
        </w:rPr>
        <w:t xml:space="preserve">الفقرة 2 "5" من الوثيقة </w:t>
      </w:r>
      <w:r>
        <w:t>A/48/11 ADD</w:t>
      </w:r>
    </w:p>
  </w:footnote>
  <w:footnote w:id="5">
    <w:p w:rsidR="009F13ED" w:rsidRDefault="009F13ED" w:rsidP="005B0573">
      <w:pPr>
        <w:pStyle w:val="FootnoteText"/>
      </w:pPr>
      <w:r>
        <w:rPr>
          <w:rStyle w:val="FootnoteReference"/>
        </w:rPr>
        <w:footnoteRef/>
      </w:r>
      <w:r>
        <w:rPr>
          <w:rtl/>
        </w:rPr>
        <w:t xml:space="preserve"> </w:t>
      </w:r>
      <w:r>
        <w:rPr>
          <w:rFonts w:hint="cs"/>
          <w:rtl/>
        </w:rPr>
        <w:t>باستثناء الكلمات المراجعة كجزء من مسار مراقبة الجودة (من مراجعة و</w:t>
      </w:r>
      <w:r w:rsidR="000D103F">
        <w:rPr>
          <w:rFonts w:hint="cs"/>
          <w:rtl/>
        </w:rPr>
        <w:t>استعراض</w:t>
      </w:r>
      <w:r>
        <w:rPr>
          <w:rFonts w:hint="cs"/>
          <w:rtl/>
        </w:rPr>
        <w:t xml:space="preserve"> وتدقيق لغوي) ل</w:t>
      </w:r>
      <w:r w:rsidR="000D103F">
        <w:rPr>
          <w:rFonts w:hint="cs"/>
          <w:rtl/>
        </w:rPr>
        <w:t xml:space="preserve">لوثائق المترجمة، والتي أضيفت </w:t>
      </w:r>
      <w:r w:rsidR="005B0573">
        <w:rPr>
          <w:rFonts w:hint="cs"/>
          <w:rtl/>
        </w:rPr>
        <w:t xml:space="preserve">في حساب </w:t>
      </w:r>
      <w:r w:rsidR="000D103F">
        <w:rPr>
          <w:rFonts w:hint="cs"/>
          <w:rtl/>
        </w:rPr>
        <w:t>تكاليف.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211970">
    <w:r>
      <w:t>W</w:t>
    </w:r>
    <w:r w:rsidR="00772E46">
      <w:t>O/</w:t>
    </w:r>
    <w:r>
      <w:t>PBC</w:t>
    </w:r>
    <w:r w:rsidR="002F77FC">
      <w:t>/</w:t>
    </w:r>
    <w:r w:rsidR="00772E46">
      <w:t>2</w:t>
    </w:r>
    <w:r w:rsidR="00AA2001">
      <w:t>2</w:t>
    </w:r>
    <w:r w:rsidR="002F77FC">
      <w:t>/</w:t>
    </w:r>
    <w:r w:rsidR="00211970">
      <w:t>16</w:t>
    </w:r>
  </w:p>
  <w:p w:rsidR="002F77FC" w:rsidRDefault="002F77FC" w:rsidP="00D61541">
    <w:r>
      <w:fldChar w:fldCharType="begin"/>
    </w:r>
    <w:r>
      <w:instrText xml:space="preserve"> PAGE  \* MERGEFORMAT </w:instrText>
    </w:r>
    <w:r>
      <w:fldChar w:fldCharType="separate"/>
    </w:r>
    <w:r w:rsidR="00883925">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DFE18A0"/>
    <w:lvl w:ilvl="0">
      <w:start w:val="1"/>
      <w:numFmt w:val="lowerLetter"/>
      <w:lvlText w:val="(%1)"/>
      <w:lvlJc w:val="left"/>
      <w:pPr>
        <w:tabs>
          <w:tab w:val="num" w:pos="619"/>
        </w:tabs>
        <w:ind w:left="619" w:firstLine="110"/>
      </w:pPr>
      <w:rPr>
        <w:rFonts w:eastAsia="Times New Roman"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decimal"/>
      <w:suff w:val="nothing"/>
      <w:lvlText w:val="%9."/>
      <w:lvlJc w:val="left"/>
      <w:pPr>
        <w:ind w:left="0" w:firstLine="45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11">
    <w:nsid w:val="06CD29E3"/>
    <w:multiLevelType w:val="multilevel"/>
    <w:tmpl w:val="8D380FF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024"/>
        </w:tabs>
        <w:ind w:left="457" w:firstLine="0"/>
      </w:pPr>
      <w:rPr>
        <w:rFonts w:hint="default"/>
      </w:rPr>
    </w:lvl>
    <w:lvl w:ilvl="2">
      <w:start w:val="1"/>
      <w:numFmt w:val="lowerRoman"/>
      <w:lvlText w:val="(%3)"/>
      <w:lvlJc w:val="left"/>
      <w:pPr>
        <w:tabs>
          <w:tab w:val="num" w:pos="1591"/>
        </w:tabs>
        <w:ind w:left="1024" w:firstLine="0"/>
      </w:pPr>
      <w:rPr>
        <w:rFonts w:hint="default"/>
      </w:rPr>
    </w:lvl>
    <w:lvl w:ilvl="3">
      <w:start w:val="1"/>
      <w:numFmt w:val="bullet"/>
      <w:lvlText w:val=""/>
      <w:lvlJc w:val="left"/>
      <w:pPr>
        <w:tabs>
          <w:tab w:val="num" w:pos="2158"/>
        </w:tabs>
        <w:ind w:left="1591" w:firstLine="0"/>
      </w:pPr>
      <w:rPr>
        <w:rFonts w:hint="default"/>
      </w:rPr>
    </w:lvl>
    <w:lvl w:ilvl="4">
      <w:start w:val="1"/>
      <w:numFmt w:val="bullet"/>
      <w:lvlText w:val=""/>
      <w:lvlJc w:val="left"/>
      <w:pPr>
        <w:tabs>
          <w:tab w:val="num" w:pos="2725"/>
        </w:tabs>
        <w:ind w:left="2158" w:firstLine="0"/>
      </w:pPr>
      <w:rPr>
        <w:rFonts w:hint="default"/>
      </w:rPr>
    </w:lvl>
    <w:lvl w:ilvl="5">
      <w:start w:val="1"/>
      <w:numFmt w:val="bullet"/>
      <w:lvlText w:val=""/>
      <w:lvlJc w:val="left"/>
      <w:pPr>
        <w:tabs>
          <w:tab w:val="num" w:pos="3292"/>
        </w:tabs>
        <w:ind w:left="2725" w:firstLine="0"/>
      </w:pPr>
      <w:rPr>
        <w:rFonts w:hint="default"/>
      </w:rPr>
    </w:lvl>
    <w:lvl w:ilvl="6">
      <w:start w:val="1"/>
      <w:numFmt w:val="bullet"/>
      <w:lvlText w:val=""/>
      <w:lvlJc w:val="left"/>
      <w:pPr>
        <w:tabs>
          <w:tab w:val="num" w:pos="3859"/>
        </w:tabs>
        <w:ind w:left="3292" w:firstLine="0"/>
      </w:pPr>
      <w:rPr>
        <w:rFonts w:hint="default"/>
      </w:rPr>
    </w:lvl>
    <w:lvl w:ilvl="7">
      <w:start w:val="1"/>
      <w:numFmt w:val="lowerRoman"/>
      <w:lvlText w:val="(%8)"/>
      <w:lvlJc w:val="left"/>
      <w:pPr>
        <w:tabs>
          <w:tab w:val="num" w:pos="4425"/>
        </w:tabs>
        <w:ind w:left="3859" w:firstLine="0"/>
      </w:pPr>
      <w:rPr>
        <w:rFonts w:ascii="Arial" w:eastAsia="SimSun" w:hAnsi="Arial" w:cs="Arial"/>
      </w:rPr>
    </w:lvl>
    <w:lvl w:ilvl="8">
      <w:start w:val="1"/>
      <w:numFmt w:val="bullet"/>
      <w:lvlText w:val=""/>
      <w:lvlJc w:val="left"/>
      <w:pPr>
        <w:tabs>
          <w:tab w:val="num" w:pos="4992"/>
        </w:tabs>
        <w:ind w:left="4425" w:firstLine="0"/>
      </w:pPr>
      <w:rPr>
        <w:rFonts w:hint="default"/>
      </w:r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AB0993"/>
    <w:multiLevelType w:val="multilevel"/>
    <w:tmpl w:val="1ED2DD3C"/>
    <w:lvl w:ilvl="0">
      <w:start w:val="1"/>
      <w:numFmt w:val="lowerLetter"/>
      <w:lvlText w:val="(%1)"/>
      <w:lvlJc w:val="left"/>
      <w:pPr>
        <w:tabs>
          <w:tab w:val="num" w:pos="619"/>
        </w:tabs>
        <w:ind w:left="619" w:firstLine="110"/>
      </w:pPr>
      <w:rPr>
        <w:rFonts w:eastAsia="Times New Roman"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Letter"/>
      <w:lvlText w:val="(%9)"/>
      <w:lvlJc w:val="left"/>
      <w:pPr>
        <w:ind w:left="0" w:firstLine="4535"/>
      </w:pPr>
      <w:rPr>
        <w:rFonts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B1409A5"/>
    <w:multiLevelType w:val="hybridMultilevel"/>
    <w:tmpl w:val="B1E42584"/>
    <w:lvl w:ilvl="0" w:tplc="96B63678">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41C5CF8"/>
    <w:multiLevelType w:val="multilevel"/>
    <w:tmpl w:val="FCAC1A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7"/>
  </w:num>
  <w:num w:numId="3">
    <w:abstractNumId w:val="12"/>
  </w:num>
  <w:num w:numId="4">
    <w:abstractNumId w:val="22"/>
  </w:num>
  <w:num w:numId="5">
    <w:abstractNumId w:val="8"/>
  </w:num>
  <w:num w:numId="6">
    <w:abstractNumId w:val="23"/>
  </w:num>
  <w:num w:numId="7">
    <w:abstractNumId w:val="15"/>
  </w:num>
  <w:num w:numId="8">
    <w:abstractNumId w:val="21"/>
  </w:num>
  <w:num w:numId="9">
    <w:abstractNumId w:val="19"/>
  </w:num>
  <w:num w:numId="10">
    <w:abstractNumId w:val="24"/>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1"/>
  </w:num>
  <w:num w:numId="23">
    <w:abstractNumId w:val="10"/>
  </w:num>
  <w:num w:numId="24">
    <w:abstractNumId w:val="2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3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355"/>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33C9"/>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03F"/>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122B"/>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A66"/>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1970"/>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E42"/>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15CE"/>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613"/>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68C"/>
    <w:rsid w:val="00334127"/>
    <w:rsid w:val="00335CA6"/>
    <w:rsid w:val="003361ED"/>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494E"/>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8C7"/>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0A6"/>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573"/>
    <w:rsid w:val="005B0AEF"/>
    <w:rsid w:val="005B37D9"/>
    <w:rsid w:val="005B445B"/>
    <w:rsid w:val="005B474E"/>
    <w:rsid w:val="005B489A"/>
    <w:rsid w:val="005B5151"/>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4BF"/>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6DA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72B4"/>
    <w:rsid w:val="007E09E2"/>
    <w:rsid w:val="007E0FF5"/>
    <w:rsid w:val="007E1012"/>
    <w:rsid w:val="007E17CD"/>
    <w:rsid w:val="007E24ED"/>
    <w:rsid w:val="007E374B"/>
    <w:rsid w:val="007E39DE"/>
    <w:rsid w:val="007E3F53"/>
    <w:rsid w:val="007E7997"/>
    <w:rsid w:val="007E7B47"/>
    <w:rsid w:val="007F04EF"/>
    <w:rsid w:val="007F342F"/>
    <w:rsid w:val="007F38D1"/>
    <w:rsid w:val="007F494D"/>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3925"/>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001"/>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6B30"/>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1325"/>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3ED"/>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001"/>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5FF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3A25"/>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632"/>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317"/>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1DC"/>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201"/>
    <w:rsid w:val="00DE7822"/>
    <w:rsid w:val="00DF081A"/>
    <w:rsid w:val="00DF265D"/>
    <w:rsid w:val="00DF2EB0"/>
    <w:rsid w:val="00DF31C1"/>
    <w:rsid w:val="00DF427A"/>
    <w:rsid w:val="00DF45C5"/>
    <w:rsid w:val="00DF5A8C"/>
    <w:rsid w:val="00DF71D8"/>
    <w:rsid w:val="00E00CCA"/>
    <w:rsid w:val="00E01623"/>
    <w:rsid w:val="00E01B9B"/>
    <w:rsid w:val="00E03FE3"/>
    <w:rsid w:val="00E06951"/>
    <w:rsid w:val="00E10C94"/>
    <w:rsid w:val="00E10EC4"/>
    <w:rsid w:val="00E118D7"/>
    <w:rsid w:val="00E13F46"/>
    <w:rsid w:val="00E15BD4"/>
    <w:rsid w:val="00E16458"/>
    <w:rsid w:val="00E16FB6"/>
    <w:rsid w:val="00E17001"/>
    <w:rsid w:val="00E17814"/>
    <w:rsid w:val="00E17A82"/>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67E58"/>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872"/>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908"/>
    <w:rsid w:val="00F26D7F"/>
    <w:rsid w:val="00F27305"/>
    <w:rsid w:val="00F30790"/>
    <w:rsid w:val="00F31570"/>
    <w:rsid w:val="00F32508"/>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ONUME">
    <w:name w:val="ONUM E"/>
    <w:basedOn w:val="BodyText"/>
    <w:link w:val="ONUMEChar"/>
    <w:rsid w:val="00237E42"/>
    <w:pPr>
      <w:numPr>
        <w:numId w:val="22"/>
      </w:numPr>
      <w:spacing w:after="220"/>
    </w:pPr>
    <w:rPr>
      <w:rFonts w:eastAsia="SimSun"/>
      <w:lang w:eastAsia="zh-CN"/>
    </w:rPr>
  </w:style>
  <w:style w:type="paragraph" w:customStyle="1" w:styleId="Styletexte">
    <w:name w:val="Style texte"/>
    <w:basedOn w:val="Normal"/>
    <w:link w:val="StyletexteChar"/>
    <w:rsid w:val="00237E42"/>
    <w:pPr>
      <w:spacing w:after="120"/>
      <w:jc w:val="both"/>
    </w:pPr>
    <w:rPr>
      <w:rFonts w:cs="Times New Roman"/>
    </w:rPr>
  </w:style>
  <w:style w:type="character" w:customStyle="1" w:styleId="StyletexteChar">
    <w:name w:val="Style texte Char"/>
    <w:basedOn w:val="DefaultParagraphFont"/>
    <w:link w:val="Styletexte"/>
    <w:rsid w:val="00237E42"/>
    <w:rPr>
      <w:rFonts w:ascii="Arial" w:hAnsi="Arial"/>
      <w:sz w:val="22"/>
    </w:rPr>
  </w:style>
  <w:style w:type="character" w:customStyle="1" w:styleId="ONUMEChar">
    <w:name w:val="ONUM E Char"/>
    <w:link w:val="ONUME"/>
    <w:rsid w:val="00237E42"/>
    <w:rPr>
      <w:rFonts w:ascii="Arial" w:eastAsia="SimSun" w:hAnsi="Arial" w:cs="Arial"/>
      <w:sz w:val="22"/>
      <w:lang w:eastAsia="zh-CN"/>
    </w:rPr>
  </w:style>
  <w:style w:type="paragraph" w:styleId="BodyText">
    <w:name w:val="Body Text"/>
    <w:basedOn w:val="Normal"/>
    <w:link w:val="BodyTextChar"/>
    <w:rsid w:val="00237E42"/>
    <w:pPr>
      <w:spacing w:after="120"/>
    </w:pPr>
  </w:style>
  <w:style w:type="character" w:customStyle="1" w:styleId="BodyTextChar">
    <w:name w:val="Body Text Char"/>
    <w:basedOn w:val="DefaultParagraphFont"/>
    <w:link w:val="BodyText"/>
    <w:rsid w:val="00237E4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ONUME">
    <w:name w:val="ONUM E"/>
    <w:basedOn w:val="BodyText"/>
    <w:link w:val="ONUMEChar"/>
    <w:rsid w:val="00237E42"/>
    <w:pPr>
      <w:numPr>
        <w:numId w:val="22"/>
      </w:numPr>
      <w:spacing w:after="220"/>
    </w:pPr>
    <w:rPr>
      <w:rFonts w:eastAsia="SimSun"/>
      <w:lang w:eastAsia="zh-CN"/>
    </w:rPr>
  </w:style>
  <w:style w:type="paragraph" w:customStyle="1" w:styleId="Styletexte">
    <w:name w:val="Style texte"/>
    <w:basedOn w:val="Normal"/>
    <w:link w:val="StyletexteChar"/>
    <w:rsid w:val="00237E42"/>
    <w:pPr>
      <w:spacing w:after="120"/>
      <w:jc w:val="both"/>
    </w:pPr>
    <w:rPr>
      <w:rFonts w:cs="Times New Roman"/>
    </w:rPr>
  </w:style>
  <w:style w:type="character" w:customStyle="1" w:styleId="StyletexteChar">
    <w:name w:val="Style texte Char"/>
    <w:basedOn w:val="DefaultParagraphFont"/>
    <w:link w:val="Styletexte"/>
    <w:rsid w:val="00237E42"/>
    <w:rPr>
      <w:rFonts w:ascii="Arial" w:hAnsi="Arial"/>
      <w:sz w:val="22"/>
    </w:rPr>
  </w:style>
  <w:style w:type="character" w:customStyle="1" w:styleId="ONUMEChar">
    <w:name w:val="ONUM E Char"/>
    <w:link w:val="ONUME"/>
    <w:rsid w:val="00237E42"/>
    <w:rPr>
      <w:rFonts w:ascii="Arial" w:eastAsia="SimSun" w:hAnsi="Arial" w:cs="Arial"/>
      <w:sz w:val="22"/>
      <w:lang w:eastAsia="zh-CN"/>
    </w:rPr>
  </w:style>
  <w:style w:type="paragraph" w:styleId="BodyText">
    <w:name w:val="Body Text"/>
    <w:basedOn w:val="Normal"/>
    <w:link w:val="BodyTextChar"/>
    <w:rsid w:val="00237E42"/>
    <w:pPr>
      <w:spacing w:after="120"/>
    </w:pPr>
  </w:style>
  <w:style w:type="character" w:customStyle="1" w:styleId="BodyTextChar">
    <w:name w:val="Body Text Char"/>
    <w:basedOn w:val="DefaultParagraphFont"/>
    <w:link w:val="BodyText"/>
    <w:rsid w:val="00237E4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E16A0-C092-48F3-A1CC-7B0ACACB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WO_PBC_22_AR.dotx</Template>
  <TotalTime>288</TotalTime>
  <Pages>5</Pages>
  <Words>1590</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WO/PBC/22/16 (Arabic)</vt:lpstr>
    </vt:vector>
  </TitlesOfParts>
  <Company>World Intellectual Property Organization</Company>
  <LinksUpToDate>false</LinksUpToDate>
  <CharactersWithSpaces>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WO/PBC/22/16 (Arabic)</dc:title>
  <dc:creator>AHMIDOUCH Noureddine</dc:creator>
  <cp:lastModifiedBy>AHMIDOUCH Noureddine</cp:lastModifiedBy>
  <cp:revision>12</cp:revision>
  <cp:lastPrinted>2014-07-25T08:59:00Z</cp:lastPrinted>
  <dcterms:created xsi:type="dcterms:W3CDTF">2014-07-23T12:10:00Z</dcterms:created>
  <dcterms:modified xsi:type="dcterms:W3CDTF">2014-07-25T08:59:00Z</dcterms:modified>
</cp:coreProperties>
</file>