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A176A"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64A3078F" wp14:editId="5D65DB67">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3CFFF746"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0E2130FA" w14:textId="3DECC745" w:rsidR="008B2CC1" w:rsidRPr="002326AB" w:rsidRDefault="009A5ED7" w:rsidP="000F58B7">
      <w:pPr>
        <w:bidi w:val="0"/>
        <w:rPr>
          <w:rFonts w:ascii="Arial Black" w:hAnsi="Arial Black"/>
          <w:caps/>
          <w:sz w:val="15"/>
          <w:szCs w:val="15"/>
        </w:rPr>
      </w:pPr>
      <w:r w:rsidRPr="009A5ED7">
        <w:rPr>
          <w:rFonts w:ascii="Arial Black" w:hAnsi="Arial Black"/>
          <w:caps/>
          <w:sz w:val="15"/>
          <w:szCs w:val="15"/>
        </w:rPr>
        <w:t>WO/GA</w:t>
      </w:r>
      <w:r w:rsidR="00D90B96">
        <w:rPr>
          <w:rFonts w:ascii="Arial Black" w:hAnsi="Arial Black"/>
          <w:caps/>
          <w:sz w:val="15"/>
          <w:szCs w:val="15"/>
        </w:rPr>
        <w:t>/</w:t>
      </w:r>
      <w:r>
        <w:rPr>
          <w:rFonts w:ascii="Arial Black" w:hAnsi="Arial Black"/>
          <w:caps/>
          <w:sz w:val="15"/>
          <w:szCs w:val="15"/>
        </w:rPr>
        <w:t>5</w:t>
      </w:r>
      <w:r w:rsidR="003B6A4B">
        <w:rPr>
          <w:rFonts w:ascii="Arial Black" w:hAnsi="Arial Black"/>
          <w:caps/>
          <w:sz w:val="15"/>
          <w:szCs w:val="15"/>
        </w:rPr>
        <w:t>8</w:t>
      </w:r>
      <w:r w:rsidR="00D90B96">
        <w:rPr>
          <w:rFonts w:ascii="Arial Black" w:hAnsi="Arial Black"/>
          <w:caps/>
          <w:sz w:val="15"/>
          <w:szCs w:val="15"/>
        </w:rPr>
        <w:t>/</w:t>
      </w:r>
      <w:bookmarkStart w:id="0" w:name="Code"/>
      <w:bookmarkEnd w:id="0"/>
      <w:r w:rsidR="00C82839">
        <w:rPr>
          <w:rFonts w:ascii="Arial Black" w:hAnsi="Arial Black"/>
          <w:caps/>
          <w:sz w:val="15"/>
          <w:szCs w:val="15"/>
        </w:rPr>
        <w:t>5</w:t>
      </w:r>
    </w:p>
    <w:p w14:paraId="2A6096C7" w14:textId="54325A25" w:rsidR="008B2CC1" w:rsidRPr="004B3EAC" w:rsidRDefault="00CC3E2D" w:rsidP="004B3EAC">
      <w:pPr>
        <w:jc w:val="right"/>
        <w:rPr>
          <w:rFonts w:asciiTheme="minorHAnsi" w:hAnsiTheme="minorHAnsi" w:cstheme="minorHAnsi"/>
          <w:b/>
          <w:bCs/>
          <w:caps/>
          <w:sz w:val="15"/>
          <w:szCs w:val="15"/>
        </w:rPr>
      </w:pPr>
      <w:bookmarkStart w:id="1" w:name="Original"/>
      <w:r w:rsidRPr="004B3EAC">
        <w:rPr>
          <w:rFonts w:asciiTheme="minorHAnsi" w:hAnsiTheme="minorHAnsi" w:cstheme="minorHAnsi" w:hint="cs"/>
          <w:b/>
          <w:bCs/>
          <w:caps/>
          <w:sz w:val="15"/>
          <w:szCs w:val="15"/>
          <w:rtl/>
        </w:rPr>
        <w:t xml:space="preserve">الأصل: </w:t>
      </w:r>
      <w:r w:rsidR="00C82839">
        <w:rPr>
          <w:rFonts w:asciiTheme="minorHAnsi" w:hAnsiTheme="minorHAnsi" w:cstheme="minorHAnsi" w:hint="cs"/>
          <w:b/>
          <w:bCs/>
          <w:caps/>
          <w:sz w:val="15"/>
          <w:szCs w:val="15"/>
          <w:rtl/>
        </w:rPr>
        <w:t>بالإنكليزية</w:t>
      </w:r>
    </w:p>
    <w:p w14:paraId="56850D5C" w14:textId="64921DEC" w:rsidR="008B2CC1" w:rsidRPr="00CC3E2D" w:rsidRDefault="00CC3E2D" w:rsidP="004B3EAC">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C82839">
        <w:rPr>
          <w:rFonts w:asciiTheme="minorHAnsi" w:hAnsiTheme="minorHAnsi" w:cstheme="minorHAnsi" w:hint="cs"/>
          <w:b/>
          <w:bCs/>
          <w:caps/>
          <w:sz w:val="15"/>
          <w:szCs w:val="15"/>
          <w:rtl/>
        </w:rPr>
        <w:t>7 أبريل 2025</w:t>
      </w:r>
    </w:p>
    <w:bookmarkEnd w:id="2"/>
    <w:p w14:paraId="495E5DAF" w14:textId="77777777" w:rsidR="008B2CC1" w:rsidRPr="00D67EAE" w:rsidRDefault="009A5ED7" w:rsidP="0019592A">
      <w:pPr>
        <w:pStyle w:val="Heading1"/>
      </w:pPr>
      <w:r>
        <w:rPr>
          <w:rFonts w:hint="cs"/>
          <w:rtl/>
        </w:rPr>
        <w:t>الجمعية العامة للويبو</w:t>
      </w:r>
    </w:p>
    <w:p w14:paraId="443CE58E" w14:textId="77777777" w:rsidR="00C42670" w:rsidRPr="00A8357F" w:rsidRDefault="00C42670" w:rsidP="00C42670">
      <w:pPr>
        <w:outlineLvl w:val="1"/>
        <w:rPr>
          <w:rFonts w:ascii="Calibri" w:hAnsi="Calibri"/>
          <w:bCs/>
          <w:sz w:val="24"/>
          <w:szCs w:val="24"/>
        </w:rPr>
      </w:pPr>
      <w:bookmarkStart w:id="3" w:name="TitleOfDoc"/>
      <w:r w:rsidRPr="00A8357F">
        <w:rPr>
          <w:rFonts w:hint="cs"/>
          <w:b/>
          <w:bCs/>
          <w:sz w:val="24"/>
          <w:szCs w:val="24"/>
          <w:rtl/>
        </w:rPr>
        <w:t xml:space="preserve">الدورة </w:t>
      </w:r>
      <w:r w:rsidR="003B6A4B">
        <w:rPr>
          <w:rFonts w:hint="cs"/>
          <w:b/>
          <w:bCs/>
          <w:sz w:val="24"/>
          <w:szCs w:val="24"/>
          <w:rtl/>
        </w:rPr>
        <w:t>الثامنة</w:t>
      </w:r>
      <w:r w:rsidRPr="00A8357F">
        <w:rPr>
          <w:rFonts w:hint="cs"/>
          <w:b/>
          <w:bCs/>
          <w:sz w:val="24"/>
          <w:szCs w:val="24"/>
          <w:rtl/>
        </w:rPr>
        <w:t xml:space="preserve"> والخمسون (الدورة </w:t>
      </w:r>
      <w:r w:rsidR="003B6A4B">
        <w:rPr>
          <w:rFonts w:hint="cs"/>
          <w:b/>
          <w:bCs/>
          <w:sz w:val="24"/>
          <w:szCs w:val="24"/>
          <w:rtl/>
        </w:rPr>
        <w:t>العادية</w:t>
      </w:r>
      <w:r w:rsidRPr="00A8357F">
        <w:rPr>
          <w:rFonts w:hint="cs"/>
          <w:b/>
          <w:bCs/>
          <w:sz w:val="24"/>
          <w:szCs w:val="24"/>
          <w:rtl/>
        </w:rPr>
        <w:t xml:space="preserve"> </w:t>
      </w:r>
      <w:r w:rsidR="003B6A4B">
        <w:rPr>
          <w:rFonts w:hint="cs"/>
          <w:b/>
          <w:bCs/>
          <w:sz w:val="24"/>
          <w:szCs w:val="24"/>
          <w:rtl/>
        </w:rPr>
        <w:t>السابعة</w:t>
      </w:r>
      <w:r>
        <w:rPr>
          <w:rFonts w:hint="cs"/>
          <w:b/>
          <w:bCs/>
          <w:sz w:val="24"/>
          <w:szCs w:val="24"/>
          <w:rtl/>
        </w:rPr>
        <w:t xml:space="preserve"> وا</w:t>
      </w:r>
      <w:r w:rsidR="003B6A4B">
        <w:rPr>
          <w:rFonts w:hint="cs"/>
          <w:b/>
          <w:bCs/>
          <w:sz w:val="24"/>
          <w:szCs w:val="24"/>
          <w:rtl/>
        </w:rPr>
        <w:t>لعشرون</w:t>
      </w:r>
      <w:r w:rsidRPr="00A8357F">
        <w:rPr>
          <w:rFonts w:hint="cs"/>
          <w:b/>
          <w:bCs/>
          <w:sz w:val="24"/>
          <w:szCs w:val="24"/>
          <w:rtl/>
        </w:rPr>
        <w:t>)</w:t>
      </w:r>
    </w:p>
    <w:p w14:paraId="6F3F5066" w14:textId="77777777" w:rsidR="00C42670" w:rsidRPr="00A8357F" w:rsidRDefault="00C42670" w:rsidP="00C42670">
      <w:pPr>
        <w:spacing w:after="720"/>
        <w:outlineLvl w:val="1"/>
        <w:rPr>
          <w:rFonts w:ascii="Calibri" w:hAnsi="Calibri"/>
          <w:bCs/>
          <w:sz w:val="24"/>
          <w:szCs w:val="24"/>
        </w:rPr>
      </w:pPr>
      <w:r w:rsidRPr="00A8357F">
        <w:rPr>
          <w:rFonts w:hint="cs"/>
          <w:b/>
          <w:bCs/>
          <w:sz w:val="24"/>
          <w:szCs w:val="24"/>
          <w:rtl/>
        </w:rPr>
        <w:t xml:space="preserve">جنيف، من </w:t>
      </w:r>
      <w:r w:rsidR="003B6A4B">
        <w:rPr>
          <w:rFonts w:hint="cs"/>
          <w:b/>
          <w:bCs/>
          <w:sz w:val="24"/>
          <w:szCs w:val="24"/>
          <w:rtl/>
        </w:rPr>
        <w:t>8</w:t>
      </w:r>
      <w:r w:rsidRPr="00A8357F">
        <w:rPr>
          <w:rFonts w:hint="cs"/>
          <w:b/>
          <w:bCs/>
          <w:sz w:val="24"/>
          <w:szCs w:val="24"/>
          <w:rtl/>
        </w:rPr>
        <w:t xml:space="preserve"> إلى </w:t>
      </w:r>
      <w:r w:rsidR="00F4679D">
        <w:rPr>
          <w:rFonts w:hint="cs"/>
          <w:b/>
          <w:bCs/>
          <w:sz w:val="24"/>
          <w:szCs w:val="24"/>
          <w:rtl/>
        </w:rPr>
        <w:t>17</w:t>
      </w:r>
      <w:r w:rsidRPr="00A8357F">
        <w:rPr>
          <w:rFonts w:hint="cs"/>
          <w:b/>
          <w:bCs/>
          <w:sz w:val="24"/>
          <w:szCs w:val="24"/>
          <w:rtl/>
        </w:rPr>
        <w:t xml:space="preserve"> يوليو </w:t>
      </w:r>
      <w:r w:rsidR="003B6A4B">
        <w:rPr>
          <w:rFonts w:hint="cs"/>
          <w:b/>
          <w:bCs/>
          <w:sz w:val="24"/>
          <w:szCs w:val="24"/>
          <w:rtl/>
        </w:rPr>
        <w:t>2025</w:t>
      </w:r>
    </w:p>
    <w:p w14:paraId="6AFC54C2" w14:textId="6B463AF5" w:rsidR="008B2CC1" w:rsidRPr="00D67EAE" w:rsidRDefault="00693D7F" w:rsidP="00693D7F">
      <w:pPr>
        <w:spacing w:after="360"/>
        <w:outlineLvl w:val="0"/>
        <w:rPr>
          <w:rFonts w:asciiTheme="minorHAnsi" w:hAnsiTheme="minorHAnsi" w:cstheme="minorHAnsi"/>
          <w:caps/>
          <w:sz w:val="24"/>
          <w:rtl/>
          <w:lang w:bidi="ar-SY"/>
        </w:rPr>
      </w:pPr>
      <w:r w:rsidRPr="00693D7F">
        <w:rPr>
          <w:rFonts w:asciiTheme="minorHAnsi" w:hAnsiTheme="minorHAnsi" w:cstheme="minorHAnsi" w:hint="cs"/>
          <w:caps/>
          <w:sz w:val="28"/>
          <w:szCs w:val="24"/>
          <w:rtl/>
        </w:rPr>
        <w:t>تقرير عن اللجنة الدائمة المعنية بقانون البراءات</w:t>
      </w:r>
    </w:p>
    <w:p w14:paraId="6D4C927B" w14:textId="610E8B2E" w:rsidR="002928D3" w:rsidRDefault="00D67EAE" w:rsidP="004B3EAC">
      <w:pPr>
        <w:spacing w:after="1040"/>
        <w:rPr>
          <w:rFonts w:asciiTheme="minorHAnsi" w:hAnsiTheme="minorHAnsi" w:cstheme="minorHAnsi"/>
          <w:iCs/>
          <w:rtl/>
        </w:rPr>
      </w:pPr>
      <w:bookmarkStart w:id="4" w:name="Prepared"/>
      <w:bookmarkEnd w:id="4"/>
      <w:bookmarkEnd w:id="3"/>
      <w:r w:rsidRPr="00D67EAE">
        <w:rPr>
          <w:rFonts w:asciiTheme="minorHAnsi" w:hAnsiTheme="minorHAnsi" w:cstheme="minorHAnsi" w:hint="cs"/>
          <w:iCs/>
          <w:rtl/>
        </w:rPr>
        <w:t>من إعداد</w:t>
      </w:r>
      <w:r w:rsidR="00693D7F">
        <w:rPr>
          <w:rFonts w:asciiTheme="minorHAnsi" w:hAnsiTheme="minorHAnsi" w:cstheme="minorHAnsi" w:hint="cs"/>
          <w:iCs/>
          <w:rtl/>
        </w:rPr>
        <w:t xml:space="preserve"> الأمانة</w:t>
      </w:r>
    </w:p>
    <w:p w14:paraId="2D9C6A34" w14:textId="4C1AAF9A" w:rsidR="003B6A4B" w:rsidRDefault="00693D7F" w:rsidP="00693D7F">
      <w:pPr>
        <w:pStyle w:val="ONUMA"/>
      </w:pPr>
      <w:r w:rsidRPr="00693D7F">
        <w:rPr>
          <w:rFonts w:hint="cs"/>
          <w:rtl/>
        </w:rPr>
        <w:t xml:space="preserve">خلال الفترة المشمولة بالتقرير، عقدت اللجنة الدائمة المعنية بقانون البراءات (لجنة البراءات أو اللجنة) </w:t>
      </w:r>
      <w:hyperlink r:id="rId12" w:history="1">
        <w:r w:rsidRPr="00D322B4">
          <w:rPr>
            <w:rStyle w:val="Hyperlink"/>
            <w:rFonts w:hint="cs"/>
            <w:rtl/>
          </w:rPr>
          <w:t>دورتها السادسة والثلاثين</w:t>
        </w:r>
      </w:hyperlink>
      <w:r w:rsidRPr="00693D7F">
        <w:rPr>
          <w:rFonts w:hint="cs"/>
          <w:rtl/>
        </w:rPr>
        <w:t xml:space="preserve"> في الفترة من </w:t>
      </w:r>
      <w:r w:rsidR="009C3D1A">
        <w:rPr>
          <w:rFonts w:hint="cs"/>
          <w:rtl/>
        </w:rPr>
        <w:t>14</w:t>
      </w:r>
      <w:r w:rsidRPr="00693D7F">
        <w:rPr>
          <w:rFonts w:hint="cs"/>
          <w:rtl/>
        </w:rPr>
        <w:t xml:space="preserve"> إلى </w:t>
      </w:r>
      <w:r w:rsidR="009C3D1A">
        <w:rPr>
          <w:rFonts w:hint="cs"/>
          <w:rtl/>
        </w:rPr>
        <w:t>18</w:t>
      </w:r>
      <w:r w:rsidRPr="00693D7F">
        <w:rPr>
          <w:rFonts w:hint="cs"/>
          <w:rtl/>
        </w:rPr>
        <w:t xml:space="preserve"> أكتوبر </w:t>
      </w:r>
      <w:r w:rsidR="009C3D1A">
        <w:rPr>
          <w:rFonts w:hint="cs"/>
          <w:rtl/>
        </w:rPr>
        <w:t>2024</w:t>
      </w:r>
      <w:r w:rsidRPr="00693D7F">
        <w:rPr>
          <w:rFonts w:hint="cs"/>
          <w:rtl/>
        </w:rPr>
        <w:t>، بنسق هجين. وترأس</w:t>
      </w:r>
      <w:r w:rsidR="009C3D1A">
        <w:rPr>
          <w:rFonts w:hint="cs"/>
          <w:rtl/>
        </w:rPr>
        <w:t>ت</w:t>
      </w:r>
      <w:r w:rsidRPr="00693D7F">
        <w:rPr>
          <w:rFonts w:hint="cs"/>
          <w:rtl/>
        </w:rPr>
        <w:t xml:space="preserve"> الدورة </w:t>
      </w:r>
      <w:r w:rsidR="009C3D1A">
        <w:rPr>
          <w:rFonts w:hint="cs"/>
          <w:rtl/>
        </w:rPr>
        <w:t xml:space="preserve">السيدة </w:t>
      </w:r>
      <w:r w:rsidR="009C3D1A" w:rsidRPr="009C3D1A">
        <w:rPr>
          <w:rtl/>
        </w:rPr>
        <w:t>فيتا كاسيني</w:t>
      </w:r>
      <w:r w:rsidR="009C3D1A" w:rsidRPr="009C3D1A">
        <w:rPr>
          <w:rFonts w:hint="cs"/>
          <w:rtl/>
        </w:rPr>
        <w:t xml:space="preserve"> </w:t>
      </w:r>
      <w:r w:rsidRPr="00693D7F">
        <w:rPr>
          <w:rFonts w:hint="cs"/>
          <w:rtl/>
        </w:rPr>
        <w:t>(</w:t>
      </w:r>
      <w:r w:rsidR="009C3D1A" w:rsidRPr="009C3D1A">
        <w:rPr>
          <w:rtl/>
        </w:rPr>
        <w:t>ليتوانيا</w:t>
      </w:r>
      <w:r w:rsidRPr="00693D7F">
        <w:rPr>
          <w:rFonts w:hint="cs"/>
          <w:rtl/>
        </w:rPr>
        <w:t>).</w:t>
      </w:r>
    </w:p>
    <w:p w14:paraId="0A048F53" w14:textId="2387EFDF" w:rsidR="00693D7F" w:rsidRDefault="00693D7F" w:rsidP="00693D7F">
      <w:pPr>
        <w:pStyle w:val="ONUMA"/>
      </w:pPr>
      <w:r w:rsidRPr="00693D7F">
        <w:rPr>
          <w:rFonts w:hint="cs"/>
          <w:rtl/>
        </w:rPr>
        <w:t>و</w:t>
      </w:r>
      <w:r w:rsidR="009C3D1A">
        <w:rPr>
          <w:rFonts w:hint="cs"/>
          <w:rtl/>
        </w:rPr>
        <w:t xml:space="preserve">خلال الدورة، </w:t>
      </w:r>
      <w:r w:rsidRPr="00693D7F">
        <w:rPr>
          <w:rFonts w:hint="cs"/>
          <w:rtl/>
        </w:rPr>
        <w:t>واصلت لجنة البراءات تناول المواضيع الخمسة التالية: "1" الاستثناءات والتقييدات على حقوق البراءات؛ "2"</w:t>
      </w:r>
      <w:r w:rsidR="001533E4">
        <w:rPr>
          <w:rFonts w:hint="eastAsia"/>
          <w:rtl/>
        </w:rPr>
        <w:t> </w:t>
      </w:r>
      <w:r w:rsidRPr="00693D7F">
        <w:rPr>
          <w:rFonts w:hint="cs"/>
          <w:rtl/>
        </w:rPr>
        <w:t>وجودة البراءات، بما في ذلك أنظمة الاعتراض؛ "3" والبراءات والصحة؛ "4" وسرية الاتصالات بين مستشاري البراءات وموكِّليهم؛ "5" ونقل التكنولوجيا.</w:t>
      </w:r>
    </w:p>
    <w:p w14:paraId="160A43E8" w14:textId="7B151D8A" w:rsidR="00693D7F" w:rsidRDefault="00693D7F" w:rsidP="00693D7F">
      <w:pPr>
        <w:pStyle w:val="ONUMA"/>
      </w:pPr>
      <w:r w:rsidRPr="00693D7F">
        <w:rPr>
          <w:rFonts w:hint="cs"/>
          <w:rtl/>
        </w:rPr>
        <w:t xml:space="preserve">واستندت المناقشات إلى عدد من الاقتراحات التي قدمتها الوفود المختلفة والوثائق التي أعدتها الأمانة، </w:t>
      </w:r>
      <w:r w:rsidR="001533E4">
        <w:rPr>
          <w:rFonts w:hint="cs"/>
          <w:rtl/>
        </w:rPr>
        <w:t>مما شكّل أساساً</w:t>
      </w:r>
      <w:r w:rsidRPr="00693D7F">
        <w:rPr>
          <w:rFonts w:hint="cs"/>
          <w:rtl/>
        </w:rPr>
        <w:t xml:space="preserve"> </w:t>
      </w:r>
      <w:r w:rsidR="001533E4">
        <w:rPr>
          <w:rFonts w:hint="cs"/>
          <w:rtl/>
        </w:rPr>
        <w:t>ل</w:t>
      </w:r>
      <w:r w:rsidRPr="00693D7F">
        <w:rPr>
          <w:rFonts w:hint="cs"/>
          <w:rtl/>
        </w:rPr>
        <w:t xml:space="preserve">تبادل الآراء والتجارب </w:t>
      </w:r>
      <w:r w:rsidR="001533E4">
        <w:rPr>
          <w:rFonts w:hint="cs"/>
          <w:rtl/>
        </w:rPr>
        <w:t>وأسهم في تعميق</w:t>
      </w:r>
      <w:r w:rsidRPr="00693D7F">
        <w:rPr>
          <w:rFonts w:hint="cs"/>
          <w:rtl/>
        </w:rPr>
        <w:t xml:space="preserve"> فهم كل موضوع. وفضلاً عن ذلك، أتاحت الجلسات التشاركية التي عُقدت خلال الدورة فرصة </w:t>
      </w:r>
      <w:r w:rsidR="001533E4">
        <w:rPr>
          <w:rFonts w:hint="cs"/>
          <w:rtl/>
        </w:rPr>
        <w:t>قيّمة</w:t>
      </w:r>
      <w:r w:rsidRPr="00693D7F">
        <w:rPr>
          <w:rFonts w:hint="cs"/>
          <w:rtl/>
        </w:rPr>
        <w:t xml:space="preserve"> </w:t>
      </w:r>
      <w:r w:rsidR="001533E4">
        <w:rPr>
          <w:rFonts w:hint="cs"/>
          <w:rtl/>
        </w:rPr>
        <w:t>ل</w:t>
      </w:r>
      <w:r w:rsidRPr="00693D7F">
        <w:rPr>
          <w:rFonts w:hint="cs"/>
          <w:rtl/>
        </w:rPr>
        <w:t xml:space="preserve">لدول الأعضاء </w:t>
      </w:r>
      <w:r w:rsidR="001533E4" w:rsidRPr="00693D7F">
        <w:rPr>
          <w:rFonts w:hint="cs"/>
          <w:rtl/>
        </w:rPr>
        <w:t xml:space="preserve">كي تتبادل </w:t>
      </w:r>
      <w:r w:rsidRPr="00693D7F">
        <w:rPr>
          <w:rFonts w:hint="cs"/>
          <w:rtl/>
        </w:rPr>
        <w:t>آراءها وتجاربها وتتبادل معلومات عن التحديات المطروحة والحلول الممكنة بشأن مواضيع محدّدة.</w:t>
      </w:r>
    </w:p>
    <w:p w14:paraId="52FB91DA" w14:textId="150E4E89" w:rsidR="001533E4" w:rsidRDefault="001533E4" w:rsidP="00693D7F">
      <w:pPr>
        <w:pStyle w:val="ONUMA"/>
      </w:pPr>
      <w:r w:rsidRPr="001533E4">
        <w:rPr>
          <w:rtl/>
        </w:rPr>
        <w:t xml:space="preserve">وعلى وجه التحديد، أجرت لجنة البراءات مناقشات بشأن الوثائق التالية التي أعدتها الأمانة: مشروع وثيقة مرجعية بشأن الاستثناء </w:t>
      </w:r>
      <w:r>
        <w:rPr>
          <w:rFonts w:hint="cs"/>
          <w:rtl/>
        </w:rPr>
        <w:t xml:space="preserve">من حقوق البراءات فيما يتعلق </w:t>
      </w:r>
      <w:r w:rsidRPr="001533E4">
        <w:rPr>
          <w:rtl/>
        </w:rPr>
        <w:t>بالتحضير الارتجالي للأدوية، ودراسة عن وحدة الاختراع، و</w:t>
      </w:r>
      <w:r w:rsidR="00D84153" w:rsidRPr="00D84153">
        <w:rPr>
          <w:rtl/>
        </w:rPr>
        <w:t>دراسة عن مسائل جدارة البراءات وملكيتها الناشئة عن البحوث التعاونية والتعاون عبر الحدود</w:t>
      </w:r>
      <w:r w:rsidRPr="001533E4">
        <w:rPr>
          <w:rtl/>
        </w:rPr>
        <w:t>.</w:t>
      </w:r>
    </w:p>
    <w:p w14:paraId="32D2407C" w14:textId="2B65C4DC" w:rsidR="00D84153" w:rsidRDefault="00D84153">
      <w:pPr>
        <w:bidi w:val="0"/>
        <w:rPr>
          <w:rtl/>
        </w:rPr>
      </w:pPr>
      <w:r>
        <w:rPr>
          <w:rtl/>
        </w:rPr>
        <w:br w:type="page"/>
      </w:r>
    </w:p>
    <w:p w14:paraId="7A3DE517" w14:textId="4A3AD400" w:rsidR="00D84153" w:rsidRDefault="00CF18A0" w:rsidP="00D84153">
      <w:pPr>
        <w:pStyle w:val="ONUMA"/>
      </w:pPr>
      <w:r w:rsidRPr="00CF18A0">
        <w:rPr>
          <w:rtl/>
        </w:rPr>
        <w:lastRenderedPageBreak/>
        <w:t xml:space="preserve">وعلاوة على ذلك، ناقشت اللجنة أيضاً الوثائق الأربع المحدّثة التالية التي أعدتها الأمانة، بناء على طلب الدول الأعضاء. والوثيقة الأولى هي وثيقة معلومات أساسية </w:t>
      </w:r>
      <w:r>
        <w:rPr>
          <w:rFonts w:hint="cs"/>
          <w:rtl/>
        </w:rPr>
        <w:t>بشأن</w:t>
      </w:r>
      <w:r w:rsidRPr="00CF18A0">
        <w:rPr>
          <w:rtl/>
        </w:rPr>
        <w:t xml:space="preserve"> البراءات والتكنولوجيات الناشئة. وتتناول الوثيقة الثانية القيود التي تواجهها البلدان النامية والبلدان الأقل نمواً في </w:t>
      </w:r>
      <w:r>
        <w:rPr>
          <w:rFonts w:hint="cs"/>
          <w:rtl/>
        </w:rPr>
        <w:t>الانتفاع</w:t>
      </w:r>
      <w:r w:rsidRPr="00CF18A0">
        <w:rPr>
          <w:rtl/>
        </w:rPr>
        <w:t xml:space="preserve"> الكامل من </w:t>
      </w:r>
      <w:r>
        <w:rPr>
          <w:rFonts w:hint="cs"/>
          <w:rtl/>
        </w:rPr>
        <w:t>مواطن</w:t>
      </w:r>
      <w:r w:rsidRPr="00CF18A0">
        <w:rPr>
          <w:rtl/>
        </w:rPr>
        <w:t xml:space="preserve"> المرونة في البراءات. والوثيقة الثالثة عبارة عن مجموعة محدّثة من قضايا المحاكم حول حصانة العلاقة بين مستشار البراءات وموكّلِه. والوثيقة الرابعة هي تحديث يركّز على أحكام قانون البراءات التي </w:t>
      </w:r>
      <w:r>
        <w:rPr>
          <w:rFonts w:hint="cs"/>
          <w:rtl/>
        </w:rPr>
        <w:t>تسهم</w:t>
      </w:r>
      <w:r w:rsidRPr="00CF18A0">
        <w:rPr>
          <w:rtl/>
        </w:rPr>
        <w:t xml:space="preserve"> في النقل الفعال للتكنولوجيا، بما في ذلك كفاية الكشف.</w:t>
      </w:r>
    </w:p>
    <w:p w14:paraId="3CA7F169" w14:textId="6DEE66F5" w:rsidR="00CF18A0" w:rsidRDefault="00D76D9D" w:rsidP="00D84153">
      <w:pPr>
        <w:pStyle w:val="ONUMA"/>
      </w:pPr>
      <w:r>
        <w:rPr>
          <w:rFonts w:hint="cs"/>
          <w:rtl/>
        </w:rPr>
        <w:t>وفضلاً عن</w:t>
      </w:r>
      <w:r w:rsidRPr="00D76D9D">
        <w:rPr>
          <w:rtl/>
        </w:rPr>
        <w:t xml:space="preserve"> ذلك، عُقدت جلستان تشاركيتان: (1) جلسة تشاركية بشأن استخدام مختلف الأدوات، بما في ذلك الذكاء الاصطناعي، لضمان فعالية الإجراءات الخاصة بفحص البراءات والتحديات التي تواجهها مكاتب الملكية الفكرية في تطوير تلك الأدوات ونشرها واستخدامها؛ (2) </w:t>
      </w:r>
      <w:r>
        <w:rPr>
          <w:rFonts w:hint="cs"/>
          <w:rtl/>
        </w:rPr>
        <w:t>و</w:t>
      </w:r>
      <w:r w:rsidRPr="00D76D9D">
        <w:rPr>
          <w:rtl/>
        </w:rPr>
        <w:t>جلسة لتبادل المعلومات بين الدول الأعضاء بشأن تجاربها مع السياسات الخاصة بالبراءات الأساسية المعيارية والقضايا المرتبطة بالترخيص القائم على شروط عادلة ومعقولة وغير تمييزية. وواصلت اللجنة تلقي تحديثات بشأن المبادرات المتعلقة بقواعد البيانات المتاحة للجمهور بشأن معلومات وضع البراءات المرتبطة بالأدوية واللقاحات.  كما تبادل أعضاء اللجنة الفرعية ومراقبوها تجاربهم في تشغيل قواعد البيانات المذكورة أو استخدامها أو تزويدها بالبيانات.  وبالإضافة إلى ذلك، قدم خبراء تقنيون عروضاً بشأن استخدام تكنولوجيا الذكاء الاصطناعي لاستحداث حلول تقنية جديدة أو في عمليات البحث والتطوير.</w:t>
      </w:r>
    </w:p>
    <w:p w14:paraId="181783C6" w14:textId="749207E8" w:rsidR="00D76D9D" w:rsidRDefault="00F838C2" w:rsidP="00D84153">
      <w:pPr>
        <w:pStyle w:val="ONUMA"/>
      </w:pPr>
      <w:r w:rsidRPr="00F838C2">
        <w:rPr>
          <w:rtl/>
        </w:rPr>
        <w:t xml:space="preserve">وفيما يتعلق بالأنشطة المقبلة، ستمضي لجنة البراءات قدماً في عملها استناداً إلى الاتفاق الذي تم التوصل إليه في دورتها السادسة والثلاثين. واتُفق على أن تظل </w:t>
      </w:r>
      <w:r>
        <w:rPr>
          <w:rFonts w:hint="cs"/>
          <w:rtl/>
        </w:rPr>
        <w:t>ال</w:t>
      </w:r>
      <w:r w:rsidRPr="00F838C2">
        <w:rPr>
          <w:rtl/>
        </w:rPr>
        <w:t xml:space="preserve">قائمة غير الحصرية </w:t>
      </w:r>
      <w:r>
        <w:rPr>
          <w:rFonts w:hint="cs"/>
          <w:rtl/>
        </w:rPr>
        <w:t>ل</w:t>
      </w:r>
      <w:r w:rsidRPr="00F838C2">
        <w:rPr>
          <w:rtl/>
        </w:rPr>
        <w:t xml:space="preserve">لقضايا مفتوحة لمزيد من </w:t>
      </w:r>
      <w:r>
        <w:rPr>
          <w:rFonts w:hint="cs"/>
          <w:rtl/>
        </w:rPr>
        <w:t>التطوير</w:t>
      </w:r>
      <w:r w:rsidRPr="00F838C2">
        <w:rPr>
          <w:rtl/>
        </w:rPr>
        <w:t xml:space="preserve"> والنقاش </w:t>
      </w:r>
      <w:r>
        <w:rPr>
          <w:rFonts w:hint="cs"/>
          <w:rtl/>
        </w:rPr>
        <w:t>في</w:t>
      </w:r>
      <w:r w:rsidRPr="00F838C2">
        <w:rPr>
          <w:rtl/>
        </w:rPr>
        <w:t xml:space="preserve"> الدورة السابعة والثلاثين. وبالإضافة إلى ذلك، </w:t>
      </w:r>
      <w:r>
        <w:rPr>
          <w:rFonts w:hint="cs"/>
          <w:rtl/>
        </w:rPr>
        <w:t>ودون الإخلال بولاية</w:t>
      </w:r>
      <w:r w:rsidRPr="00F838C2">
        <w:rPr>
          <w:rtl/>
        </w:rPr>
        <w:t xml:space="preserve"> لجنة البراءات، </w:t>
      </w:r>
      <w:r>
        <w:rPr>
          <w:rFonts w:hint="cs"/>
          <w:rtl/>
        </w:rPr>
        <w:t>وافقت اللجنة</w:t>
      </w:r>
      <w:r w:rsidRPr="00F838C2">
        <w:rPr>
          <w:rtl/>
        </w:rPr>
        <w:t xml:space="preserve"> على أن يقتصر عملها </w:t>
      </w:r>
      <w:r>
        <w:rPr>
          <w:rFonts w:hint="cs"/>
          <w:rtl/>
        </w:rPr>
        <w:t>بشأن</w:t>
      </w:r>
      <w:r w:rsidRPr="00F838C2">
        <w:rPr>
          <w:rtl/>
        </w:rPr>
        <w:t xml:space="preserve"> الدورة التالية على تقصي الحقائق</w:t>
      </w:r>
      <w:r>
        <w:rPr>
          <w:rFonts w:hint="cs"/>
          <w:rtl/>
        </w:rPr>
        <w:t>،</w:t>
      </w:r>
      <w:r w:rsidRPr="00F838C2">
        <w:rPr>
          <w:rtl/>
        </w:rPr>
        <w:t xml:space="preserve"> و</w:t>
      </w:r>
      <w:r>
        <w:rPr>
          <w:rFonts w:hint="cs"/>
          <w:rtl/>
        </w:rPr>
        <w:t xml:space="preserve">لن </w:t>
      </w:r>
      <w:r w:rsidRPr="00F838C2">
        <w:rPr>
          <w:rtl/>
        </w:rPr>
        <w:t>يؤدي إلى المواءمة في هذه المرحلة. و</w:t>
      </w:r>
      <w:r>
        <w:rPr>
          <w:rFonts w:hint="cs"/>
          <w:rtl/>
        </w:rPr>
        <w:t>وافقت</w:t>
      </w:r>
      <w:r w:rsidRPr="00F838C2">
        <w:rPr>
          <w:rtl/>
        </w:rPr>
        <w:t xml:space="preserve"> اللجنة أيضاً على أن يكون العمل المقبل فيما يتعلق بالمواضيع الخمسة المدرجة في جدول أعمالها على النحو التالي:</w:t>
      </w:r>
    </w:p>
    <w:p w14:paraId="043219D3" w14:textId="59F2AD0F" w:rsidR="00E7531D" w:rsidRDefault="00E7531D" w:rsidP="00E7531D">
      <w:pPr>
        <w:pStyle w:val="ONUMA"/>
        <w:numPr>
          <w:ilvl w:val="1"/>
          <w:numId w:val="7"/>
        </w:numPr>
      </w:pPr>
      <w:r>
        <w:rPr>
          <w:rFonts w:hint="cs"/>
          <w:rtl/>
        </w:rPr>
        <w:t xml:space="preserve">فيما يخص موضوع "الاستثناءات والتقييدات على حقوق البراءات"، </w:t>
      </w:r>
      <w:r w:rsidRPr="00E7531D">
        <w:rPr>
          <w:rFonts w:hint="cs"/>
          <w:rtl/>
          <w:lang w:bidi="ar-EG"/>
        </w:rPr>
        <w:t xml:space="preserve">ستعدّ الأمانة </w:t>
      </w:r>
      <w:r>
        <w:rPr>
          <w:rFonts w:hint="cs"/>
          <w:rtl/>
          <w:lang w:bidi="ar-EG"/>
        </w:rPr>
        <w:t>مسودة</w:t>
      </w:r>
      <w:r w:rsidRPr="00E7531D">
        <w:rPr>
          <w:rtl/>
          <w:lang w:bidi="ar-EG"/>
        </w:rPr>
        <w:t xml:space="preserve"> وثيقة مرجعية بشأن الاستثناء المتعلق باستخدام المزارعين و/أو مستولدي النباتات للاختراعات المحمية بموجب براءة، وتقدمها إلى </w:t>
      </w:r>
      <w:r w:rsidRPr="00E7531D">
        <w:rPr>
          <w:rFonts w:hint="cs"/>
          <w:rtl/>
          <w:lang w:bidi="ar-EG"/>
        </w:rPr>
        <w:t>الل</w:t>
      </w:r>
      <w:r w:rsidRPr="00E7531D">
        <w:rPr>
          <w:rtl/>
          <w:lang w:bidi="ar-EG"/>
        </w:rPr>
        <w:t>جنة في دورتها السابعة والثلاثين</w:t>
      </w:r>
      <w:r>
        <w:rPr>
          <w:rFonts w:hint="cs"/>
          <w:rtl/>
          <w:lang w:bidi="ar-EG"/>
        </w:rPr>
        <w:t>، و</w:t>
      </w:r>
      <w:r w:rsidRPr="00E7531D">
        <w:rPr>
          <w:rtl/>
          <w:lang w:bidi="ar-EG"/>
        </w:rPr>
        <w:t xml:space="preserve">مسودة وثيقة مرجعية بشأن الاستثناء المتعلق بالاستخدام الخاص و/أو غير التجاري، وتقدمها إلى </w:t>
      </w:r>
      <w:r>
        <w:rPr>
          <w:rFonts w:hint="cs"/>
          <w:rtl/>
          <w:lang w:bidi="ar-EG"/>
        </w:rPr>
        <w:t xml:space="preserve">اللجنة في دورتها </w:t>
      </w:r>
      <w:r w:rsidRPr="00E7531D">
        <w:rPr>
          <w:rtl/>
          <w:lang w:bidi="ar-EG"/>
        </w:rPr>
        <w:t>الثامنة والثلاثين.</w:t>
      </w:r>
    </w:p>
    <w:p w14:paraId="09BDB05C" w14:textId="6F39791D" w:rsidR="00E7531D" w:rsidRDefault="00EC04F2" w:rsidP="00DC1E19">
      <w:pPr>
        <w:pStyle w:val="ONUMA"/>
        <w:numPr>
          <w:ilvl w:val="1"/>
          <w:numId w:val="7"/>
        </w:numPr>
      </w:pPr>
      <w:r>
        <w:rPr>
          <w:rFonts w:hint="cs"/>
          <w:rtl/>
        </w:rPr>
        <w:t xml:space="preserve">وفيما </w:t>
      </w:r>
      <w:r w:rsidR="001877A7">
        <w:rPr>
          <w:rFonts w:hint="cs"/>
          <w:rtl/>
        </w:rPr>
        <w:t>يتعلق</w:t>
      </w:r>
      <w:r>
        <w:rPr>
          <w:rFonts w:hint="cs"/>
          <w:rtl/>
        </w:rPr>
        <w:t xml:space="preserve"> </w:t>
      </w:r>
      <w:r w:rsidR="001877A7">
        <w:rPr>
          <w:rFonts w:hint="cs"/>
          <w:rtl/>
        </w:rPr>
        <w:t>ب</w:t>
      </w:r>
      <w:r>
        <w:rPr>
          <w:rFonts w:hint="cs"/>
          <w:rtl/>
        </w:rPr>
        <w:t xml:space="preserve">موضوع "جودة البراءات، بما في ذلك أنظمة الاعتراض"، </w:t>
      </w:r>
      <w:r w:rsidR="00DC1E19">
        <w:rPr>
          <w:rFonts w:hint="cs"/>
          <w:rtl/>
          <w:lang w:bidi="ar-EG"/>
        </w:rPr>
        <w:t>ستقدم</w:t>
      </w:r>
      <w:r w:rsidRPr="00EC04F2">
        <w:rPr>
          <w:rFonts w:hint="cs"/>
          <w:rtl/>
          <w:lang w:bidi="ar-EG"/>
        </w:rPr>
        <w:t xml:space="preserve"> الأمانة </w:t>
      </w:r>
      <w:r w:rsidR="00DC1E19" w:rsidRPr="00EC04F2">
        <w:rPr>
          <w:rFonts w:hint="cs"/>
          <w:rtl/>
          <w:lang w:bidi="ar-EG"/>
        </w:rPr>
        <w:t xml:space="preserve">إلى الدورة السابعة والثلاثين للجنة </w:t>
      </w:r>
      <w:r w:rsidR="00DC1E19">
        <w:rPr>
          <w:rFonts w:hint="cs"/>
          <w:rtl/>
          <w:lang w:bidi="ar-EG"/>
        </w:rPr>
        <w:t xml:space="preserve">تحديثاً بشأن </w:t>
      </w:r>
      <w:r w:rsidRPr="00EC04F2">
        <w:rPr>
          <w:rFonts w:hint="cs"/>
          <w:rtl/>
          <w:lang w:bidi="ar-EG"/>
        </w:rPr>
        <w:t xml:space="preserve">القسم الخامس (الأطر القانونية الوطنية/الإقليمية المتعلقة بأبوة الاختراع) والقسم السادس (حالة نظام </w:t>
      </w:r>
      <w:r w:rsidRPr="00EC04F2">
        <w:t>DABUS</w:t>
      </w:r>
      <w:r w:rsidRPr="00EC04F2">
        <w:rPr>
          <w:rFonts w:hint="cs"/>
          <w:rtl/>
          <w:lang w:bidi="ar-EG"/>
        </w:rPr>
        <w:t>)</w:t>
      </w:r>
      <w:r w:rsidR="00DC1E19">
        <w:rPr>
          <w:rFonts w:hint="cs"/>
          <w:rtl/>
          <w:lang w:bidi="ar-EG"/>
        </w:rPr>
        <w:t xml:space="preserve"> </w:t>
      </w:r>
      <w:r w:rsidR="00DC1E19" w:rsidRPr="00EC04F2">
        <w:rPr>
          <w:rFonts w:hint="cs"/>
          <w:rtl/>
          <w:lang w:bidi="ar-EG"/>
        </w:rPr>
        <w:t xml:space="preserve">من الوثيقة </w:t>
      </w:r>
      <w:r w:rsidR="00DC1E19" w:rsidRPr="00EC04F2">
        <w:t>SCP/35/7</w:t>
      </w:r>
      <w:r w:rsidRPr="00EC04F2">
        <w:rPr>
          <w:rFonts w:hint="cs"/>
          <w:rtl/>
          <w:lang w:bidi="ar-EG"/>
        </w:rPr>
        <w:t xml:space="preserve">، استناداً إلى المعلومات الواردة من الدول الأعضاء ومكاتب البراءات الإقليمية، </w:t>
      </w:r>
      <w:r w:rsidR="00DC1E19">
        <w:rPr>
          <w:rFonts w:hint="cs"/>
          <w:rtl/>
          <w:lang w:bidi="ar-EG"/>
        </w:rPr>
        <w:t xml:space="preserve">بما في ذلك </w:t>
      </w:r>
      <w:r w:rsidR="00DC1E19" w:rsidRPr="00DC1E19">
        <w:rPr>
          <w:rFonts w:hint="cs"/>
          <w:rtl/>
          <w:lang w:bidi="ar-EG"/>
        </w:rPr>
        <w:t>معلومات عن قضايا وقرارات جديدة بشأن الذكاء الاصطناعي باعتباره مخترعاً</w:t>
      </w:r>
      <w:r w:rsidRPr="00EC04F2">
        <w:rPr>
          <w:rFonts w:hint="cs"/>
          <w:rtl/>
          <w:lang w:bidi="ar-EG"/>
        </w:rPr>
        <w:t>.</w:t>
      </w:r>
      <w:r w:rsidR="00DC1E19">
        <w:rPr>
          <w:rFonts w:hint="cs"/>
          <w:rtl/>
          <w:lang w:bidi="ar-EG"/>
        </w:rPr>
        <w:t xml:space="preserve"> وستقدم كذلك</w:t>
      </w:r>
      <w:r w:rsidR="00DC1E19" w:rsidRPr="00DC1E19">
        <w:rPr>
          <w:rtl/>
          <w:lang w:bidi="ar-EG"/>
        </w:rPr>
        <w:t xml:space="preserve"> تقريراً عن </w:t>
      </w:r>
      <w:r w:rsidR="00DC1E19">
        <w:rPr>
          <w:rFonts w:hint="cs"/>
          <w:rtl/>
          <w:lang w:bidi="ar-EG"/>
        </w:rPr>
        <w:t>جلستي</w:t>
      </w:r>
      <w:r w:rsidR="00DC1E19" w:rsidRPr="00DC1E19">
        <w:rPr>
          <w:rtl/>
          <w:lang w:bidi="ar-EG"/>
        </w:rPr>
        <w:t xml:space="preserve"> تبادل المعلومات المعقود</w:t>
      </w:r>
      <w:r w:rsidR="00DC1E19">
        <w:rPr>
          <w:rFonts w:hint="cs"/>
          <w:rtl/>
          <w:lang w:bidi="ar-EG"/>
        </w:rPr>
        <w:t>تين</w:t>
      </w:r>
      <w:r w:rsidR="00DC1E19" w:rsidRPr="00DC1E19">
        <w:rPr>
          <w:rtl/>
          <w:lang w:bidi="ar-EG"/>
        </w:rPr>
        <w:t xml:space="preserve"> خلال الدور</w:t>
      </w:r>
      <w:r w:rsidR="00DC1E19">
        <w:rPr>
          <w:rFonts w:hint="cs"/>
          <w:rtl/>
          <w:lang w:bidi="ar-EG"/>
        </w:rPr>
        <w:t>تين</w:t>
      </w:r>
      <w:r w:rsidR="00DC1E19" w:rsidRPr="00DC1E19">
        <w:rPr>
          <w:rtl/>
          <w:lang w:bidi="ar-EG"/>
        </w:rPr>
        <w:t xml:space="preserve"> الخامسة والثلاثين </w:t>
      </w:r>
      <w:r w:rsidR="00DC1E19">
        <w:rPr>
          <w:rFonts w:hint="cs"/>
          <w:rtl/>
          <w:lang w:bidi="ar-EG"/>
        </w:rPr>
        <w:t>والسادسة والثلاثين للجنة، على التوالي،</w:t>
      </w:r>
      <w:r w:rsidR="00DC1E19" w:rsidRPr="00DC1E19">
        <w:rPr>
          <w:rtl/>
          <w:lang w:bidi="ar-EG"/>
        </w:rPr>
        <w:t xml:space="preserve"> بشأن استخدام الذكاء الاصطناعي لأغراض إجراءات فحص البراءات </w:t>
      </w:r>
      <w:r w:rsidR="00DC1E19">
        <w:rPr>
          <w:rFonts w:hint="cs"/>
          <w:rtl/>
          <w:lang w:bidi="ar-EG"/>
        </w:rPr>
        <w:t xml:space="preserve">وبشأن </w:t>
      </w:r>
      <w:r w:rsidR="00DC1E19" w:rsidRPr="00DC1E19">
        <w:rPr>
          <w:rtl/>
          <w:lang w:bidi="ar-EG"/>
        </w:rPr>
        <w:t>استخدام مختلف الأدوات، منها الذكاء الاصطناعي، من أجل وضع إجراءات فعالة لفحص البراءات</w:t>
      </w:r>
      <w:r w:rsidR="00DC1E19">
        <w:rPr>
          <w:rFonts w:hint="cs"/>
          <w:rtl/>
          <w:lang w:bidi="ar-EG"/>
        </w:rPr>
        <w:t xml:space="preserve">. وإضافة إلى ذلك، </w:t>
      </w:r>
      <w:r w:rsidR="00DC1E19" w:rsidRPr="00DC1E19">
        <w:rPr>
          <w:rtl/>
          <w:lang w:bidi="ar-EG"/>
        </w:rPr>
        <w:t>‌ستنظّم الأمانة</w:t>
      </w:r>
      <w:r w:rsidR="00DC1E19">
        <w:rPr>
          <w:rFonts w:hint="cs"/>
          <w:rtl/>
          <w:lang w:bidi="ar-EG"/>
        </w:rPr>
        <w:t xml:space="preserve">، خلال </w:t>
      </w:r>
      <w:r w:rsidR="00DC1E19" w:rsidRPr="00DC1E19">
        <w:rPr>
          <w:rtl/>
          <w:lang w:bidi="ar-EG"/>
        </w:rPr>
        <w:t>الدورة السابعة والثلاثين للجنة</w:t>
      </w:r>
      <w:r w:rsidR="00DC1E19">
        <w:rPr>
          <w:rFonts w:hint="cs"/>
          <w:rtl/>
          <w:lang w:bidi="ar-EG"/>
        </w:rPr>
        <w:t>،</w:t>
      </w:r>
      <w:r w:rsidR="00DC1E19" w:rsidRPr="00DC1E19">
        <w:rPr>
          <w:rtl/>
          <w:lang w:bidi="ar-EG"/>
        </w:rPr>
        <w:t xml:space="preserve"> تبادلاً للخبراء بشأن الخيارات القانونية والسياساتية في مجالي معايير الأهلية للحماية بموجب براءة، وأبوة اختراع الذكاء الاصطناعي، استناداً إلى </w:t>
      </w:r>
      <w:r w:rsidR="00DC1E19">
        <w:rPr>
          <w:rFonts w:hint="cs"/>
          <w:rtl/>
          <w:lang w:bidi="ar-EG"/>
        </w:rPr>
        <w:t>الوثيقتين</w:t>
      </w:r>
      <w:r w:rsidR="00DC1E19" w:rsidRPr="00DC1E19">
        <w:rPr>
          <w:rtl/>
          <w:lang w:bidi="ar-EG"/>
        </w:rPr>
        <w:t xml:space="preserve"> </w:t>
      </w:r>
      <w:hyperlink r:id="rId13" w:history="1">
        <w:r w:rsidR="00DC1E19" w:rsidRPr="00DC1E19">
          <w:rPr>
            <w:rStyle w:val="Hyperlink"/>
            <w:lang w:bidi="ar-EG"/>
          </w:rPr>
          <w:t>SCP/36/5</w:t>
        </w:r>
      </w:hyperlink>
      <w:r w:rsidR="00DC1E19" w:rsidRPr="00DC1E19">
        <w:rPr>
          <w:rtl/>
          <w:lang w:bidi="ar-EG"/>
        </w:rPr>
        <w:t xml:space="preserve"> و</w:t>
      </w:r>
      <w:hyperlink r:id="rId14" w:history="1">
        <w:r w:rsidR="00DC1E19" w:rsidRPr="00DC1E19">
          <w:rPr>
            <w:rStyle w:val="Hyperlink"/>
            <w:lang w:bidi="ar-EG"/>
          </w:rPr>
          <w:t>SCP/35/7</w:t>
        </w:r>
      </w:hyperlink>
      <w:r w:rsidR="00DC1E19" w:rsidRPr="00DC1E19">
        <w:rPr>
          <w:rtl/>
          <w:lang w:bidi="ar-EG"/>
        </w:rPr>
        <w:t xml:space="preserve"> و</w:t>
      </w:r>
      <w:hyperlink r:id="rId15" w:history="1">
        <w:r w:rsidR="00DC1E19" w:rsidRPr="00EB64F7">
          <w:rPr>
            <w:rStyle w:val="Hyperlink"/>
            <w:rtl/>
            <w:lang w:bidi="ar-EG"/>
          </w:rPr>
          <w:t>مجموعة أدوات الويبو بشأن سياسة الملكية الفكرية المعنونة "تهيئة النظام الإيكولوجي للابتكار لتضمين الذكاء الاصطناعي".</w:t>
        </w:r>
      </w:hyperlink>
      <w:r w:rsidR="00EB64F7">
        <w:rPr>
          <w:rFonts w:hint="cs"/>
          <w:rtl/>
          <w:lang w:bidi="ar-EG"/>
        </w:rPr>
        <w:t xml:space="preserve"> وفضلاً عن ذلك، </w:t>
      </w:r>
      <w:r w:rsidR="00EB64F7" w:rsidRPr="00EB64F7">
        <w:rPr>
          <w:rtl/>
          <w:lang w:bidi="ar-EG"/>
        </w:rPr>
        <w:t>ستنظم الأمانة</w:t>
      </w:r>
      <w:r w:rsidR="00EB64F7">
        <w:rPr>
          <w:rFonts w:hint="cs"/>
          <w:rtl/>
          <w:lang w:bidi="ar-EG"/>
        </w:rPr>
        <w:t xml:space="preserve">، في الدورة الثامنة والثلاثين للجنة، </w:t>
      </w:r>
      <w:r w:rsidR="00EB64F7" w:rsidRPr="00EB64F7">
        <w:rPr>
          <w:rtl/>
          <w:lang w:bidi="ar-EG"/>
        </w:rPr>
        <w:t>جلسة تشاركية بشأن استخدام مختلف الأدوات، بما في ذلك الذكاء الاصطناعي، لضمان فعالية الإجراءات الخاصة بفحص البراءات والتحديات التي تواجهها مكاتب الملكية الفكرية في تطوير تلك الأدوات ونشرها واستخدامها.</w:t>
      </w:r>
      <w:r w:rsidR="00EB64F7">
        <w:rPr>
          <w:rFonts w:hint="cs"/>
          <w:rtl/>
          <w:lang w:bidi="ar-EG"/>
        </w:rPr>
        <w:t xml:space="preserve"> وأخيراً، </w:t>
      </w:r>
      <w:r w:rsidR="00EB64F7" w:rsidRPr="00EB64F7">
        <w:rPr>
          <w:rtl/>
          <w:lang w:bidi="ar-EG"/>
        </w:rPr>
        <w:t xml:space="preserve">‌ستعدّ الأمانة دراسة حول المتطلبات </w:t>
      </w:r>
      <w:r w:rsidR="00EB64F7">
        <w:rPr>
          <w:rFonts w:hint="cs"/>
          <w:rtl/>
          <w:lang w:bidi="ar-EG"/>
        </w:rPr>
        <w:t>الموضوعية</w:t>
      </w:r>
      <w:r w:rsidR="00EB64F7" w:rsidRPr="00EB64F7">
        <w:rPr>
          <w:rtl/>
          <w:lang w:bidi="ar-EG"/>
        </w:rPr>
        <w:t xml:space="preserve"> والإجرائية المتعلقة بالتقسيم الطوعي لطلبات البراءات من قبل مودعي الطلبات، بما في ذلك حظر البراءات المزدوجة، وتقدمها إلى اللجنة في دورتها السابعة والثلاثين</w:t>
      </w:r>
      <w:r w:rsidR="00EB64F7">
        <w:rPr>
          <w:rFonts w:hint="cs"/>
          <w:rtl/>
          <w:lang w:bidi="ar-EG"/>
        </w:rPr>
        <w:t>.</w:t>
      </w:r>
    </w:p>
    <w:p w14:paraId="11068F2A" w14:textId="75E6FBD9" w:rsidR="00EB64F7" w:rsidRDefault="001877A7" w:rsidP="00E6565F">
      <w:pPr>
        <w:pStyle w:val="ONUMA"/>
        <w:numPr>
          <w:ilvl w:val="1"/>
          <w:numId w:val="7"/>
        </w:numPr>
      </w:pPr>
      <w:r>
        <w:rPr>
          <w:rFonts w:hint="cs"/>
          <w:rtl/>
        </w:rPr>
        <w:t xml:space="preserve">وفيما يخص موضوع "البراءات والصحة"، </w:t>
      </w:r>
      <w:r w:rsidR="00E6565F" w:rsidRPr="00E6565F">
        <w:rPr>
          <w:rtl/>
        </w:rPr>
        <w:t xml:space="preserve">ستواصل </w:t>
      </w:r>
      <w:r w:rsidR="00E6565F">
        <w:rPr>
          <w:rFonts w:hint="cs"/>
          <w:rtl/>
        </w:rPr>
        <w:t>الأمانة،</w:t>
      </w:r>
      <w:r w:rsidR="00E6565F" w:rsidRPr="00E6565F">
        <w:rPr>
          <w:rFonts w:eastAsia="SimSun"/>
          <w:rtl/>
          <w:lang w:eastAsia="zh-CN"/>
        </w:rPr>
        <w:t xml:space="preserve"> </w:t>
      </w:r>
      <w:r w:rsidR="00E6565F" w:rsidRPr="00E6565F">
        <w:rPr>
          <w:rtl/>
        </w:rPr>
        <w:t xml:space="preserve">خلال الدورة السابعة والثلاثين </w:t>
      </w:r>
      <w:r w:rsidR="00E6565F">
        <w:rPr>
          <w:rFonts w:hint="cs"/>
          <w:rtl/>
        </w:rPr>
        <w:t>للجنة، توفير</w:t>
      </w:r>
      <w:r w:rsidR="00E6565F" w:rsidRPr="00E6565F">
        <w:rPr>
          <w:rtl/>
        </w:rPr>
        <w:t xml:space="preserve"> تحديثات عن المبادرات الخاصة بقواعد البيانات المتاحة للجمهور بشأن معلومات وضع البراءات المتعلقة بالأدوية واللقاحات.</w:t>
      </w:r>
      <w:r w:rsidR="00E6565F">
        <w:rPr>
          <w:rFonts w:hint="cs"/>
          <w:rtl/>
        </w:rPr>
        <w:t xml:space="preserve"> وبالإضافة إلى ذلك، </w:t>
      </w:r>
      <w:r w:rsidR="00E6565F" w:rsidRPr="00E6565F">
        <w:rPr>
          <w:rtl/>
        </w:rPr>
        <w:t xml:space="preserve">ستقدم الأمانة معلومات محدثة عن حالة تنفيذ التوصية 14 من أجندة </w:t>
      </w:r>
      <w:r w:rsidR="00E6565F">
        <w:rPr>
          <w:rFonts w:hint="cs"/>
          <w:rtl/>
        </w:rPr>
        <w:t>الويبو ل</w:t>
      </w:r>
      <w:r w:rsidR="00E6565F" w:rsidRPr="00E6565F">
        <w:rPr>
          <w:rtl/>
        </w:rPr>
        <w:t>لتنمية فيما يتعلق بتقديم الويبو للمساعدة التقنية إلى البلدان النامية.</w:t>
      </w:r>
    </w:p>
    <w:p w14:paraId="1B4A4BA8" w14:textId="648FC3BF" w:rsidR="00E6565F" w:rsidRDefault="002076C2" w:rsidP="00E6565F">
      <w:pPr>
        <w:pStyle w:val="ONUMA"/>
        <w:numPr>
          <w:ilvl w:val="1"/>
          <w:numId w:val="7"/>
        </w:numPr>
      </w:pPr>
      <w:r>
        <w:rPr>
          <w:rFonts w:hint="cs"/>
          <w:rtl/>
        </w:rPr>
        <w:t xml:space="preserve">وفيما </w:t>
      </w:r>
      <w:r w:rsidR="002C3481">
        <w:rPr>
          <w:rFonts w:hint="cs"/>
          <w:rtl/>
        </w:rPr>
        <w:t>يتصل</w:t>
      </w:r>
      <w:r>
        <w:rPr>
          <w:rFonts w:hint="cs"/>
          <w:rtl/>
        </w:rPr>
        <w:t xml:space="preserve"> بموضوع "</w:t>
      </w:r>
      <w:r w:rsidRPr="002076C2">
        <w:rPr>
          <w:rtl/>
        </w:rPr>
        <w:t xml:space="preserve">سرية </w:t>
      </w:r>
      <w:r>
        <w:rPr>
          <w:rFonts w:hint="cs"/>
          <w:rtl/>
        </w:rPr>
        <w:t>الاتصالات</w:t>
      </w:r>
      <w:r w:rsidRPr="002076C2">
        <w:rPr>
          <w:rtl/>
        </w:rPr>
        <w:t xml:space="preserve"> بين مستشاري البراءات وموكِّليهم</w:t>
      </w:r>
      <w:r>
        <w:rPr>
          <w:rFonts w:hint="cs"/>
          <w:rtl/>
        </w:rPr>
        <w:t xml:space="preserve">"، </w:t>
      </w:r>
      <w:r w:rsidRPr="002076C2">
        <w:rPr>
          <w:rtl/>
        </w:rPr>
        <w:t xml:space="preserve">ستعدّ الأمانة دراسة عن فئات المهنيين الذين يتمتعون بالحماية من الكشف الإجباري عن سرية </w:t>
      </w:r>
      <w:r>
        <w:rPr>
          <w:rFonts w:hint="cs"/>
          <w:rtl/>
        </w:rPr>
        <w:t>الاتصالات</w:t>
      </w:r>
      <w:r w:rsidRPr="002076C2">
        <w:rPr>
          <w:rtl/>
        </w:rPr>
        <w:t xml:space="preserve"> بين مستشاري البراءات وموك</w:t>
      </w:r>
      <w:r>
        <w:rPr>
          <w:rFonts w:hint="cs"/>
          <w:rtl/>
        </w:rPr>
        <w:t>َّ</w:t>
      </w:r>
      <w:r w:rsidRPr="002076C2">
        <w:rPr>
          <w:rtl/>
        </w:rPr>
        <w:t>ليهم في إجراءات المحاكم بموجب القوانين الوطنية/الإقليمية، وتقدمها إلى اللجنة في دورتها الثامنة والثلاثين.</w:t>
      </w:r>
      <w:r>
        <w:rPr>
          <w:rFonts w:hint="cs"/>
          <w:rtl/>
        </w:rPr>
        <w:t xml:space="preserve"> إضافة إلى ذلك، ستواصل الأمانة </w:t>
      </w:r>
      <w:r w:rsidRPr="002076C2">
        <w:rPr>
          <w:rtl/>
        </w:rPr>
        <w:t xml:space="preserve">تحديث صفحة إلكترونية مخصصة بشأن القوانين والممارسات المتعلقة </w:t>
      </w:r>
      <w:r>
        <w:rPr>
          <w:rFonts w:hint="cs"/>
          <w:rtl/>
        </w:rPr>
        <w:t>ب</w:t>
      </w:r>
      <w:r w:rsidRPr="002076C2">
        <w:rPr>
          <w:rtl/>
        </w:rPr>
        <w:t xml:space="preserve">سرية </w:t>
      </w:r>
      <w:r>
        <w:rPr>
          <w:rFonts w:hint="cs"/>
          <w:rtl/>
        </w:rPr>
        <w:t>الاتصالات</w:t>
      </w:r>
      <w:r w:rsidRPr="002076C2">
        <w:rPr>
          <w:rtl/>
        </w:rPr>
        <w:t xml:space="preserve"> بين مستشاري البراءات وموكِّليهم</w:t>
      </w:r>
      <w:r w:rsidR="0033051F">
        <w:rPr>
          <w:rFonts w:hint="cs"/>
          <w:rtl/>
        </w:rPr>
        <w:t>.</w:t>
      </w:r>
    </w:p>
    <w:p w14:paraId="219AB57C" w14:textId="1E0B36C3" w:rsidR="0033051F" w:rsidRDefault="002C3481" w:rsidP="00105F17">
      <w:pPr>
        <w:pStyle w:val="ONUMA"/>
        <w:numPr>
          <w:ilvl w:val="1"/>
          <w:numId w:val="7"/>
        </w:numPr>
      </w:pPr>
      <w:r>
        <w:rPr>
          <w:rFonts w:hint="cs"/>
          <w:rtl/>
        </w:rPr>
        <w:t xml:space="preserve">وبخصوص موضوع "نقل التكنولوجيا"، </w:t>
      </w:r>
      <w:r w:rsidRPr="002C3481">
        <w:rPr>
          <w:rtl/>
        </w:rPr>
        <w:t>‌ستعدّ الأمانة</w:t>
      </w:r>
      <w:r>
        <w:rPr>
          <w:rFonts w:hint="cs"/>
          <w:rtl/>
        </w:rPr>
        <w:t xml:space="preserve"> تقريرين: "1" تقرير </w:t>
      </w:r>
      <w:r w:rsidRPr="002C3481">
        <w:rPr>
          <w:rFonts w:hint="cs"/>
          <w:rtl/>
          <w:lang w:bidi="ar-EG"/>
        </w:rPr>
        <w:t xml:space="preserve">عن المائدة المستديرة التي عُقدت خلال الدورة السادسة والثلاثين للجنة بشأن القضايا المتعلقة بأهلية البراءات وملكيتها فيما يخص الاختراعات الجامعية وآثارها على نقل التكنولوجيا، </w:t>
      </w:r>
      <w:r>
        <w:rPr>
          <w:rFonts w:hint="cs"/>
          <w:rtl/>
          <w:lang w:bidi="ar-EG"/>
        </w:rPr>
        <w:t>س</w:t>
      </w:r>
      <w:r w:rsidRPr="002C3481">
        <w:rPr>
          <w:rFonts w:hint="cs"/>
          <w:rtl/>
          <w:lang w:bidi="ar-EG"/>
        </w:rPr>
        <w:t>تقدمه إلى اللجنة في دورتها السابعة والثلاثين</w:t>
      </w:r>
      <w:r>
        <w:rPr>
          <w:rFonts w:hint="cs"/>
          <w:rtl/>
          <w:lang w:bidi="ar-EG"/>
        </w:rPr>
        <w:t xml:space="preserve">؛ "2" وتقرير عن </w:t>
      </w:r>
      <w:r w:rsidRPr="002C3481">
        <w:rPr>
          <w:rFonts w:hint="cs"/>
          <w:rtl/>
          <w:lang w:bidi="ar-EG"/>
        </w:rPr>
        <w:t xml:space="preserve">الجلسات التشاركية بشأن البراءات الأساسية </w:t>
      </w:r>
      <w:r w:rsidRPr="002C3481">
        <w:rPr>
          <w:rFonts w:hint="cs"/>
          <w:rtl/>
          <w:lang w:bidi="ar-EG"/>
        </w:rPr>
        <w:lastRenderedPageBreak/>
        <w:t>المعيارية والقضايا المتعلقة بالترخيص القائم على شروط عادلة ومعقولة وغير تمييزية، التي عُقدت خلال الدورتين الخامسة والثلاثين والسادسة والثلاثين للجنة.</w:t>
      </w:r>
      <w:r>
        <w:rPr>
          <w:rFonts w:hint="cs"/>
          <w:rtl/>
          <w:lang w:bidi="ar-EG"/>
        </w:rPr>
        <w:t xml:space="preserve"> و</w:t>
      </w:r>
      <w:r w:rsidRPr="002C3481">
        <w:rPr>
          <w:rFonts w:hint="cs"/>
          <w:rtl/>
          <w:lang w:bidi="ar-EG"/>
        </w:rPr>
        <w:t xml:space="preserve">ستعدّ الأمانة مجموعة من التدابير التشريعية والسياساتية المتعلقة بالبراءات الأساسية المعيارية التي اعتمدتها الدول الأعضاء، </w:t>
      </w:r>
      <w:r>
        <w:rPr>
          <w:rFonts w:hint="cs"/>
          <w:rtl/>
          <w:lang w:bidi="ar-EG"/>
        </w:rPr>
        <w:t xml:space="preserve">استناداً إلى المعلومات المقدمة منها، </w:t>
      </w:r>
      <w:r w:rsidRPr="002C3481">
        <w:rPr>
          <w:rFonts w:hint="cs"/>
          <w:rtl/>
          <w:lang w:bidi="ar-EG"/>
        </w:rPr>
        <w:t>والتي يمكن أن تشمل أيضاً، حسب الاقتضاء، إشارات إلى الأحكام القضائية البارزة</w:t>
      </w:r>
      <w:r w:rsidR="00EB5F21">
        <w:rPr>
          <w:rFonts w:hint="cs"/>
          <w:rtl/>
          <w:lang w:bidi="ar-EG"/>
        </w:rPr>
        <w:t>. وستُ</w:t>
      </w:r>
      <w:r w:rsidRPr="002C3481">
        <w:rPr>
          <w:rFonts w:hint="cs"/>
          <w:rtl/>
          <w:lang w:bidi="ar-EG"/>
        </w:rPr>
        <w:t xml:space="preserve">عرض </w:t>
      </w:r>
      <w:r w:rsidR="00EB5F21">
        <w:rPr>
          <w:rFonts w:hint="cs"/>
          <w:rtl/>
          <w:lang w:bidi="ar-EG"/>
        </w:rPr>
        <w:t xml:space="preserve">مجموعة التدابير المذكورة </w:t>
      </w:r>
      <w:r w:rsidRPr="002C3481">
        <w:rPr>
          <w:rFonts w:hint="cs"/>
          <w:rtl/>
          <w:lang w:bidi="ar-EG"/>
        </w:rPr>
        <w:t>على صفحة مخصصة على موقع اللجنة الإلكتروني</w:t>
      </w:r>
      <w:r w:rsidR="00EB5F21">
        <w:rPr>
          <w:rFonts w:hint="cs"/>
          <w:rtl/>
          <w:lang w:bidi="ar-EG"/>
        </w:rPr>
        <w:t xml:space="preserve">. </w:t>
      </w:r>
      <w:r w:rsidR="00EB5F21" w:rsidRPr="00EB5F21">
        <w:rPr>
          <w:rFonts w:hint="cs"/>
          <w:rtl/>
          <w:lang w:bidi="ar-EG"/>
        </w:rPr>
        <w:t xml:space="preserve">وإضافة إلى الدراسة عن مسائل جدارة البراءات وملكيتها الناشئة عن البحوث التعاونية والتعاون عبر الحدود، </w:t>
      </w:r>
      <w:r w:rsidR="00EB5F21">
        <w:rPr>
          <w:rFonts w:hint="cs"/>
          <w:rtl/>
          <w:lang w:bidi="ar-EG"/>
        </w:rPr>
        <w:t>ستقدم</w:t>
      </w:r>
      <w:r w:rsidR="00EB5F21" w:rsidRPr="00EB5F21">
        <w:rPr>
          <w:rFonts w:hint="cs"/>
          <w:rtl/>
          <w:lang w:bidi="ar-EG"/>
        </w:rPr>
        <w:t xml:space="preserve"> الأمانة </w:t>
      </w:r>
      <w:r w:rsidR="00EB5F21">
        <w:rPr>
          <w:rFonts w:hint="cs"/>
          <w:rtl/>
          <w:lang w:bidi="ar-EG"/>
        </w:rPr>
        <w:t xml:space="preserve">إلى اللجنة في دورتها الثامنة والثلاثين </w:t>
      </w:r>
      <w:r w:rsidR="00EB5F21" w:rsidRPr="00EB5F21">
        <w:rPr>
          <w:rFonts w:hint="cs"/>
          <w:rtl/>
          <w:lang w:bidi="ar-EG"/>
        </w:rPr>
        <w:t>دراسة أخرى عن تحديد أبوة الاختراع وشروط الإيداع الأجنبي، بهدف تحديد التحديات المحتملة أمام المبتكرين في البيئة التعاونية عبر الحدود.</w:t>
      </w:r>
      <w:r w:rsidR="00EB5F21">
        <w:rPr>
          <w:rFonts w:hint="cs"/>
          <w:rtl/>
          <w:lang w:bidi="ar-EG"/>
        </w:rPr>
        <w:t xml:space="preserve"> وأخيراً، ستقدم الأمانة إلى اللجنة في دورتها الثامنة والثلاثين دراسة </w:t>
      </w:r>
      <w:r w:rsidR="00EB5F21" w:rsidRPr="00EB5F21">
        <w:rPr>
          <w:rFonts w:hint="cs"/>
          <w:rtl/>
          <w:lang w:bidi="ar-EG"/>
        </w:rPr>
        <w:t xml:space="preserve">عن التحديات وأفضل الممارسات في مجال نقل التكنولوجيا في قطاعي </w:t>
      </w:r>
      <w:r w:rsidR="00EB5F21">
        <w:rPr>
          <w:rFonts w:hint="cs"/>
          <w:rtl/>
          <w:lang w:bidi="ar-EG"/>
        </w:rPr>
        <w:t xml:space="preserve">تكنولوجيا </w:t>
      </w:r>
      <w:r w:rsidR="00EB5F21" w:rsidRPr="00EB5F21">
        <w:rPr>
          <w:rFonts w:hint="cs"/>
          <w:rtl/>
          <w:lang w:bidi="ar-EG"/>
        </w:rPr>
        <w:t>الصحة والتكنولوجيا الخضراء، مع التركيز على التعاون بين الصناعة والأوساط الأكاديمية، ومع مراعاة الأُطر التنظيمية الوطنية والدولية</w:t>
      </w:r>
      <w:r w:rsidR="00105F17">
        <w:rPr>
          <w:rFonts w:hint="cs"/>
          <w:rtl/>
          <w:lang w:bidi="ar-EG"/>
        </w:rPr>
        <w:t xml:space="preserve">. </w:t>
      </w:r>
      <w:r w:rsidR="00105F17" w:rsidRPr="00105F17">
        <w:rPr>
          <w:rFonts w:hint="cs"/>
          <w:rtl/>
          <w:lang w:bidi="ar-EG"/>
        </w:rPr>
        <w:t xml:space="preserve">وينبغي أن تحدّد </w:t>
      </w:r>
      <w:r w:rsidR="00105F17">
        <w:rPr>
          <w:rFonts w:hint="cs"/>
          <w:rtl/>
          <w:lang w:bidi="ar-EG"/>
        </w:rPr>
        <w:t xml:space="preserve">تلك </w:t>
      </w:r>
      <w:r w:rsidR="00105F17" w:rsidRPr="00105F17">
        <w:rPr>
          <w:rFonts w:hint="cs"/>
          <w:rtl/>
          <w:lang w:bidi="ar-EG"/>
        </w:rPr>
        <w:t>الدراسة نماذج الترخيص وهياكل العقود، بما في ذلك البنود الفعالة لخطط المكافآت وإدارة الملكية الفكرية</w:t>
      </w:r>
      <w:r w:rsidR="00105F17">
        <w:rPr>
          <w:rFonts w:hint="cs"/>
          <w:rtl/>
          <w:lang w:bidi="ar-EG"/>
        </w:rPr>
        <w:t>،</w:t>
      </w:r>
      <w:r w:rsidR="00105F17" w:rsidRPr="00105F17">
        <w:rPr>
          <w:rFonts w:hint="cs"/>
          <w:rtl/>
          <w:lang w:bidi="ar-EG"/>
        </w:rPr>
        <w:t xml:space="preserve"> وينبغي أن تشتمل على دراسات حالة وأمثلة عملية لتوضيح الاستراتيجيات الناجحة. وفي إطار إعداد </w:t>
      </w:r>
      <w:r w:rsidR="00105F17">
        <w:rPr>
          <w:rFonts w:hint="cs"/>
          <w:rtl/>
          <w:lang w:bidi="ar-EG"/>
        </w:rPr>
        <w:t>تلك</w:t>
      </w:r>
      <w:r w:rsidR="00105F17" w:rsidRPr="00105F17">
        <w:rPr>
          <w:rFonts w:hint="cs"/>
          <w:rtl/>
          <w:lang w:bidi="ar-EG"/>
        </w:rPr>
        <w:t xml:space="preserve"> الدراسة، سيُنظم تبادل للخبراء </w:t>
      </w:r>
      <w:r w:rsidR="00105F17">
        <w:rPr>
          <w:rFonts w:hint="cs"/>
          <w:rtl/>
          <w:lang w:bidi="ar-EG"/>
        </w:rPr>
        <w:t>في هذا الشأن خلال</w:t>
      </w:r>
      <w:r w:rsidR="00105F17" w:rsidRPr="00105F17">
        <w:rPr>
          <w:rFonts w:hint="cs"/>
          <w:rtl/>
          <w:lang w:bidi="ar-EG"/>
        </w:rPr>
        <w:t xml:space="preserve"> الدورة السابعة والثلاثين للجنة</w:t>
      </w:r>
      <w:r w:rsidR="00105F17">
        <w:rPr>
          <w:rFonts w:hint="cs"/>
          <w:rtl/>
          <w:lang w:bidi="ar-EG"/>
        </w:rPr>
        <w:t>.</w:t>
      </w:r>
    </w:p>
    <w:p w14:paraId="5E3746DC" w14:textId="0372A58E" w:rsidR="00105F17" w:rsidRDefault="00105F17" w:rsidP="00105F17">
      <w:pPr>
        <w:pStyle w:val="ONUMA"/>
      </w:pPr>
      <w:r w:rsidRPr="00105F17">
        <w:rPr>
          <w:rFonts w:hint="cs"/>
          <w:rtl/>
        </w:rPr>
        <w:t>ووافقت اللجنة أيضاً على تحديث المعلومات المتعلقة ببعض جوانب قوانين البراءات الوطنية/الإقليمية بناءً على الإسهامات الواردة من الدول الأعضاء.</w:t>
      </w:r>
    </w:p>
    <w:p w14:paraId="385E8AAB" w14:textId="7F394E6F" w:rsidR="00105F17" w:rsidRPr="00105F17" w:rsidRDefault="00105F17" w:rsidP="00105F17">
      <w:pPr>
        <w:pStyle w:val="ONUMA"/>
        <w:ind w:left="5534"/>
      </w:pPr>
      <w:r w:rsidRPr="00105F17">
        <w:rPr>
          <w:rFonts w:hint="cs"/>
          <w:i/>
          <w:iCs/>
          <w:rtl/>
        </w:rPr>
        <w:t xml:space="preserve">إن الجمعية العامة للويبو مدعوة إلى الإحاطة علماً بمضمون "تقرير عن اللجنة الدائمة المعنية بقانون البراءات" (الوثيقة </w:t>
      </w:r>
      <w:r w:rsidRPr="00105F17">
        <w:rPr>
          <w:i/>
          <w:iCs/>
        </w:rPr>
        <w:t>WO/GA/5</w:t>
      </w:r>
      <w:r>
        <w:rPr>
          <w:i/>
          <w:iCs/>
        </w:rPr>
        <w:t>8</w:t>
      </w:r>
      <w:r w:rsidRPr="00105F17">
        <w:rPr>
          <w:i/>
          <w:iCs/>
        </w:rPr>
        <w:t>/</w:t>
      </w:r>
      <w:r>
        <w:rPr>
          <w:i/>
          <w:iCs/>
        </w:rPr>
        <w:t>5</w:t>
      </w:r>
      <w:r w:rsidRPr="00105F17">
        <w:rPr>
          <w:rFonts w:hint="cs"/>
          <w:i/>
          <w:iCs/>
          <w:rtl/>
        </w:rPr>
        <w:t>).</w:t>
      </w:r>
    </w:p>
    <w:p w14:paraId="3E65B1B9" w14:textId="01DAC186" w:rsidR="00105F17" w:rsidRPr="004B3EAC" w:rsidRDefault="00105F17" w:rsidP="00105F17">
      <w:pPr>
        <w:pStyle w:val="Endofdocument-Annex"/>
        <w:spacing w:before="480"/>
      </w:pPr>
      <w:r>
        <w:rPr>
          <w:rFonts w:hint="cs"/>
          <w:rtl/>
        </w:rPr>
        <w:t>[نهاية الوثيقة]</w:t>
      </w:r>
    </w:p>
    <w:sectPr w:rsidR="00105F17" w:rsidRPr="004B3EAC" w:rsidSect="00C05675">
      <w:headerReference w:type="default" r:id="rId16"/>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2FA23" w14:textId="77777777" w:rsidR="00C82839" w:rsidRDefault="00C82839">
      <w:r>
        <w:separator/>
      </w:r>
    </w:p>
  </w:endnote>
  <w:endnote w:type="continuationSeparator" w:id="0">
    <w:p w14:paraId="2FBE3B47" w14:textId="77777777" w:rsidR="00C82839" w:rsidRDefault="00C82839" w:rsidP="003B38C1">
      <w:r>
        <w:separator/>
      </w:r>
    </w:p>
    <w:p w14:paraId="2FF4CC90" w14:textId="77777777" w:rsidR="00C82839" w:rsidRPr="003B38C1" w:rsidRDefault="00C82839" w:rsidP="003B38C1">
      <w:pPr>
        <w:spacing w:after="60"/>
        <w:rPr>
          <w:sz w:val="17"/>
        </w:rPr>
      </w:pPr>
      <w:r>
        <w:rPr>
          <w:sz w:val="17"/>
        </w:rPr>
        <w:t>[Endnote continued from previous page]</w:t>
      </w:r>
    </w:p>
  </w:endnote>
  <w:endnote w:type="continuationNotice" w:id="1">
    <w:p w14:paraId="28FAE8DE" w14:textId="77777777" w:rsidR="00C82839" w:rsidRPr="003B38C1" w:rsidRDefault="00C82839"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DC0E8" w14:textId="77777777" w:rsidR="00C82839" w:rsidRDefault="00C82839">
      <w:r>
        <w:separator/>
      </w:r>
    </w:p>
  </w:footnote>
  <w:footnote w:type="continuationSeparator" w:id="0">
    <w:p w14:paraId="00C56B0D" w14:textId="77777777" w:rsidR="00C82839" w:rsidRDefault="00C82839" w:rsidP="008B60B2">
      <w:r>
        <w:separator/>
      </w:r>
    </w:p>
    <w:p w14:paraId="30A88041" w14:textId="77777777" w:rsidR="00C82839" w:rsidRPr="00ED77FB" w:rsidRDefault="00C82839" w:rsidP="008B60B2">
      <w:pPr>
        <w:spacing w:after="60"/>
        <w:rPr>
          <w:sz w:val="17"/>
          <w:szCs w:val="17"/>
        </w:rPr>
      </w:pPr>
      <w:r w:rsidRPr="00ED77FB">
        <w:rPr>
          <w:sz w:val="17"/>
          <w:szCs w:val="17"/>
        </w:rPr>
        <w:t>[Footnote continued from previous page]</w:t>
      </w:r>
    </w:p>
  </w:footnote>
  <w:footnote w:type="continuationNotice" w:id="1">
    <w:p w14:paraId="666187A2" w14:textId="77777777" w:rsidR="00C82839" w:rsidRPr="00ED77FB" w:rsidRDefault="00C82839"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69B06" w14:textId="3189CC50" w:rsidR="00CC4F6F" w:rsidRPr="00D84153" w:rsidRDefault="004B3EAC" w:rsidP="00CC4F6F">
    <w:pPr>
      <w:bidi w:val="0"/>
    </w:pPr>
    <w:r>
      <w:rPr>
        <w:rFonts w:cs="Arial"/>
      </w:rPr>
      <w:t>WO/GA/5</w:t>
    </w:r>
    <w:r w:rsidR="003B6A4B">
      <w:rPr>
        <w:rFonts w:cs="Arial"/>
      </w:rPr>
      <w:t>8</w:t>
    </w:r>
    <w:r>
      <w:rPr>
        <w:rFonts w:cs="Arial"/>
      </w:rPr>
      <w:t>/</w:t>
    </w:r>
    <w:r w:rsidR="00D84153" w:rsidRPr="00D84153">
      <w:t>5</w:t>
    </w:r>
  </w:p>
  <w:p w14:paraId="0E062307" w14:textId="77777777" w:rsidR="00CC4F6F" w:rsidRPr="00C50A61" w:rsidRDefault="00CC4F6F" w:rsidP="00CC4F6F">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4B3EAC">
      <w:rPr>
        <w:rFonts w:cs="Arial"/>
        <w:noProof/>
        <w:lang w:bidi="ar-EG"/>
      </w:rPr>
      <w:t>2</w:t>
    </w:r>
    <w:r w:rsidRPr="00C50A61">
      <w:rPr>
        <w:rFonts w:cs="Arial"/>
      </w:rPr>
      <w:fldChar w:fldCharType="end"/>
    </w:r>
  </w:p>
  <w:p w14:paraId="1C7A81F6" w14:textId="77777777" w:rsidR="00CC4F6F" w:rsidRDefault="00CC4F6F" w:rsidP="00CC4F6F">
    <w:pPr>
      <w:bidi w:val="0"/>
      <w:rPr>
        <w:rFonts w:cs="Arial"/>
      </w:rPr>
    </w:pPr>
  </w:p>
  <w:p w14:paraId="22D8799C" w14:textId="77777777" w:rsidR="005B46AF" w:rsidRPr="00C50A61" w:rsidRDefault="005B46AF" w:rsidP="005B46AF">
    <w:pPr>
      <w:bidi w:val="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3C1F69"/>
    <w:multiLevelType w:val="hybridMultilevel"/>
    <w:tmpl w:val="6138381A"/>
    <w:lvl w:ilvl="0" w:tplc="DD801246">
      <w:start w:val="1"/>
      <w:numFmt w:val="arabicAlpha"/>
      <w:lvlText w:val="(%1)"/>
      <w:lvlJc w:val="left"/>
      <w:pPr>
        <w:ind w:left="1127" w:hanging="5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23294F"/>
    <w:multiLevelType w:val="hybridMultilevel"/>
    <w:tmpl w:val="E5A8F47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B08F8"/>
    <w:multiLevelType w:val="hybridMultilevel"/>
    <w:tmpl w:val="27D8D3FA"/>
    <w:lvl w:ilvl="0" w:tplc="50FE7C04">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1F62B54"/>
    <w:multiLevelType w:val="hybridMultilevel"/>
    <w:tmpl w:val="C8342020"/>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B2E35"/>
    <w:multiLevelType w:val="hybridMultilevel"/>
    <w:tmpl w:val="91980F3A"/>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45D56AC"/>
    <w:multiLevelType w:val="hybridMultilevel"/>
    <w:tmpl w:val="79703354"/>
    <w:lvl w:ilvl="0" w:tplc="3D82285A">
      <w:start w:val="1"/>
      <w:numFmt w:val="bullet"/>
      <w:lvlText w:val="-"/>
      <w:lvlJc w:val="left"/>
      <w:pPr>
        <w:ind w:left="1287" w:hanging="360"/>
      </w:pPr>
      <w:rPr>
        <w:rFonts w:ascii="Arial" w:eastAsia="Malgun Gothic"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15F80820"/>
    <w:multiLevelType w:val="hybridMultilevel"/>
    <w:tmpl w:val="CAB05A98"/>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0B43F9F"/>
    <w:multiLevelType w:val="hybridMultilevel"/>
    <w:tmpl w:val="E2FA27E6"/>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F1FB1"/>
    <w:multiLevelType w:val="hybridMultilevel"/>
    <w:tmpl w:val="DFBCE206"/>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48C1A74"/>
    <w:multiLevelType w:val="hybridMultilevel"/>
    <w:tmpl w:val="12082E2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47D34"/>
    <w:multiLevelType w:val="hybridMultilevel"/>
    <w:tmpl w:val="2A488520"/>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6" w15:restartNumberingAfterBreak="0">
    <w:nsid w:val="396E7FA3"/>
    <w:multiLevelType w:val="hybridMultilevel"/>
    <w:tmpl w:val="A334878C"/>
    <w:lvl w:ilvl="0" w:tplc="C3DED010">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46D47E2"/>
    <w:multiLevelType w:val="hybridMultilevel"/>
    <w:tmpl w:val="DEF8612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45D2E"/>
    <w:multiLevelType w:val="hybridMultilevel"/>
    <w:tmpl w:val="9E6066D6"/>
    <w:lvl w:ilvl="0" w:tplc="D49E6E9A">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7136D89"/>
    <w:multiLevelType w:val="hybridMultilevel"/>
    <w:tmpl w:val="F1C83CE6"/>
    <w:lvl w:ilvl="0" w:tplc="763ECBB8">
      <w:start w:val="2"/>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80123C9"/>
    <w:multiLevelType w:val="hybridMultilevel"/>
    <w:tmpl w:val="8D22C3BA"/>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20061B"/>
    <w:multiLevelType w:val="multilevel"/>
    <w:tmpl w:val="D48A2BB8"/>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595F5EBA"/>
    <w:multiLevelType w:val="hybridMultilevel"/>
    <w:tmpl w:val="176E3FA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B12AD7"/>
    <w:multiLevelType w:val="hybridMultilevel"/>
    <w:tmpl w:val="8136611A"/>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4236EE"/>
    <w:multiLevelType w:val="hybridMultilevel"/>
    <w:tmpl w:val="C5223AA2"/>
    <w:lvl w:ilvl="0" w:tplc="3E547D20">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38B1ED0"/>
    <w:multiLevelType w:val="hybridMultilevel"/>
    <w:tmpl w:val="85DE2B6A"/>
    <w:lvl w:ilvl="0" w:tplc="51603708">
      <w:start w:val="1"/>
      <w:numFmt w:val="bullet"/>
      <w:lvlText w:val=""/>
      <w:lvlJc w:val="left"/>
      <w:pPr>
        <w:ind w:left="4170" w:hanging="360"/>
      </w:pPr>
      <w:rPr>
        <w:rFonts w:ascii="Symbol" w:hAnsi="Symbol" w:hint="default"/>
      </w:rPr>
    </w:lvl>
    <w:lvl w:ilvl="1" w:tplc="04090003" w:tentative="1">
      <w:start w:val="1"/>
      <w:numFmt w:val="bullet"/>
      <w:lvlText w:val="o"/>
      <w:lvlJc w:val="left"/>
      <w:pPr>
        <w:ind w:left="4890" w:hanging="360"/>
      </w:pPr>
      <w:rPr>
        <w:rFonts w:ascii="Courier New" w:hAnsi="Courier New" w:cs="Courier New" w:hint="default"/>
      </w:rPr>
    </w:lvl>
    <w:lvl w:ilvl="2" w:tplc="04090005" w:tentative="1">
      <w:start w:val="1"/>
      <w:numFmt w:val="bullet"/>
      <w:lvlText w:val=""/>
      <w:lvlJc w:val="left"/>
      <w:pPr>
        <w:ind w:left="5610" w:hanging="360"/>
      </w:pPr>
      <w:rPr>
        <w:rFonts w:ascii="Wingdings" w:hAnsi="Wingdings" w:hint="default"/>
      </w:rPr>
    </w:lvl>
    <w:lvl w:ilvl="3" w:tplc="04090001" w:tentative="1">
      <w:start w:val="1"/>
      <w:numFmt w:val="bullet"/>
      <w:lvlText w:val=""/>
      <w:lvlJc w:val="left"/>
      <w:pPr>
        <w:ind w:left="6330" w:hanging="360"/>
      </w:pPr>
      <w:rPr>
        <w:rFonts w:ascii="Symbol" w:hAnsi="Symbol" w:hint="default"/>
      </w:rPr>
    </w:lvl>
    <w:lvl w:ilvl="4" w:tplc="04090003" w:tentative="1">
      <w:start w:val="1"/>
      <w:numFmt w:val="bullet"/>
      <w:lvlText w:val="o"/>
      <w:lvlJc w:val="left"/>
      <w:pPr>
        <w:ind w:left="7050" w:hanging="360"/>
      </w:pPr>
      <w:rPr>
        <w:rFonts w:ascii="Courier New" w:hAnsi="Courier New" w:cs="Courier New" w:hint="default"/>
      </w:rPr>
    </w:lvl>
    <w:lvl w:ilvl="5" w:tplc="04090005" w:tentative="1">
      <w:start w:val="1"/>
      <w:numFmt w:val="bullet"/>
      <w:lvlText w:val=""/>
      <w:lvlJc w:val="left"/>
      <w:pPr>
        <w:ind w:left="7770" w:hanging="360"/>
      </w:pPr>
      <w:rPr>
        <w:rFonts w:ascii="Wingdings" w:hAnsi="Wingdings" w:hint="default"/>
      </w:rPr>
    </w:lvl>
    <w:lvl w:ilvl="6" w:tplc="04090001" w:tentative="1">
      <w:start w:val="1"/>
      <w:numFmt w:val="bullet"/>
      <w:lvlText w:val=""/>
      <w:lvlJc w:val="left"/>
      <w:pPr>
        <w:ind w:left="8490" w:hanging="360"/>
      </w:pPr>
      <w:rPr>
        <w:rFonts w:ascii="Symbol" w:hAnsi="Symbol" w:hint="default"/>
      </w:rPr>
    </w:lvl>
    <w:lvl w:ilvl="7" w:tplc="04090003" w:tentative="1">
      <w:start w:val="1"/>
      <w:numFmt w:val="bullet"/>
      <w:lvlText w:val="o"/>
      <w:lvlJc w:val="left"/>
      <w:pPr>
        <w:ind w:left="9210" w:hanging="360"/>
      </w:pPr>
      <w:rPr>
        <w:rFonts w:ascii="Courier New" w:hAnsi="Courier New" w:cs="Courier New" w:hint="default"/>
      </w:rPr>
    </w:lvl>
    <w:lvl w:ilvl="8" w:tplc="04090005" w:tentative="1">
      <w:start w:val="1"/>
      <w:numFmt w:val="bullet"/>
      <w:lvlText w:val=""/>
      <w:lvlJc w:val="left"/>
      <w:pPr>
        <w:ind w:left="9930" w:hanging="360"/>
      </w:pPr>
      <w:rPr>
        <w:rFonts w:ascii="Wingdings" w:hAnsi="Wingdings" w:hint="default"/>
      </w:rPr>
    </w:lvl>
  </w:abstractNum>
  <w:abstractNum w:abstractNumId="28" w15:restartNumberingAfterBreak="0">
    <w:nsid w:val="78C501C9"/>
    <w:multiLevelType w:val="hybridMultilevel"/>
    <w:tmpl w:val="1F9CF320"/>
    <w:lvl w:ilvl="0" w:tplc="36A22CF6">
      <w:start w:val="1"/>
      <w:numFmt w:val="arabicAlpha"/>
      <w:lvlText w:val="(%1)"/>
      <w:lvlJc w:val="left"/>
      <w:pPr>
        <w:ind w:left="1127" w:hanging="5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F745E17"/>
    <w:multiLevelType w:val="hybridMultilevel"/>
    <w:tmpl w:val="EBB28EA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714625">
    <w:abstractNumId w:val="9"/>
  </w:num>
  <w:num w:numId="2" w16cid:durableId="1872453131">
    <w:abstractNumId w:val="17"/>
  </w:num>
  <w:num w:numId="3" w16cid:durableId="1401059941">
    <w:abstractNumId w:val="0"/>
  </w:num>
  <w:num w:numId="4" w16cid:durableId="1869249372">
    <w:abstractNumId w:val="22"/>
  </w:num>
  <w:num w:numId="5" w16cid:durableId="1771965758">
    <w:abstractNumId w:val="2"/>
  </w:num>
  <w:num w:numId="6" w16cid:durableId="518280024">
    <w:abstractNumId w:val="10"/>
  </w:num>
  <w:num w:numId="7" w16cid:durableId="1827896682">
    <w:abstractNumId w:val="23"/>
  </w:num>
  <w:num w:numId="8" w16cid:durableId="47269168">
    <w:abstractNumId w:val="15"/>
  </w:num>
  <w:num w:numId="9" w16cid:durableId="1971398205">
    <w:abstractNumId w:val="23"/>
  </w:num>
  <w:num w:numId="10" w16cid:durableId="1243371383">
    <w:abstractNumId w:val="23"/>
  </w:num>
  <w:num w:numId="11" w16cid:durableId="432828138">
    <w:abstractNumId w:val="4"/>
  </w:num>
  <w:num w:numId="12" w16cid:durableId="561061644">
    <w:abstractNumId w:val="1"/>
  </w:num>
  <w:num w:numId="13" w16cid:durableId="305354995">
    <w:abstractNumId w:val="3"/>
  </w:num>
  <w:num w:numId="14" w16cid:durableId="408888733">
    <w:abstractNumId w:val="13"/>
  </w:num>
  <w:num w:numId="15" w16cid:durableId="467624566">
    <w:abstractNumId w:val="24"/>
  </w:num>
  <w:num w:numId="16" w16cid:durableId="1832600839">
    <w:abstractNumId w:val="18"/>
  </w:num>
  <w:num w:numId="17" w16cid:durableId="1968969527">
    <w:abstractNumId w:val="25"/>
  </w:num>
  <w:num w:numId="18" w16cid:durableId="24523556">
    <w:abstractNumId w:val="27"/>
  </w:num>
  <w:num w:numId="19" w16cid:durableId="1441102450">
    <w:abstractNumId w:val="12"/>
  </w:num>
  <w:num w:numId="20" w16cid:durableId="1864527">
    <w:abstractNumId w:val="11"/>
  </w:num>
  <w:num w:numId="21" w16cid:durableId="1797336238">
    <w:abstractNumId w:val="5"/>
  </w:num>
  <w:num w:numId="22" w16cid:durableId="2131586725">
    <w:abstractNumId w:val="21"/>
  </w:num>
  <w:num w:numId="23" w16cid:durableId="432553963">
    <w:abstractNumId w:val="8"/>
  </w:num>
  <w:num w:numId="24" w16cid:durableId="1859849060">
    <w:abstractNumId w:val="7"/>
  </w:num>
  <w:num w:numId="25" w16cid:durableId="18666768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2606896">
    <w:abstractNumId w:val="29"/>
  </w:num>
  <w:num w:numId="27" w16cid:durableId="1532917766">
    <w:abstractNumId w:val="6"/>
  </w:num>
  <w:num w:numId="28" w16cid:durableId="689722608">
    <w:abstractNumId w:val="26"/>
  </w:num>
  <w:num w:numId="29" w16cid:durableId="1495224921">
    <w:abstractNumId w:val="28"/>
  </w:num>
  <w:num w:numId="30" w16cid:durableId="772823010">
    <w:abstractNumId w:val="14"/>
  </w:num>
  <w:num w:numId="31" w16cid:durableId="938607888">
    <w:abstractNumId w:val="19"/>
  </w:num>
  <w:num w:numId="32" w16cid:durableId="1030646002">
    <w:abstractNumId w:val="20"/>
  </w:num>
  <w:num w:numId="33" w16cid:durableId="656611503">
    <w:abstractNumId w:val="16"/>
  </w:num>
  <w:num w:numId="34" w16cid:durableId="204173736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39"/>
    <w:rsid w:val="00000F0B"/>
    <w:rsid w:val="00020B1D"/>
    <w:rsid w:val="0002628E"/>
    <w:rsid w:val="00043CAA"/>
    <w:rsid w:val="000518D0"/>
    <w:rsid w:val="0005640A"/>
    <w:rsid w:val="00056816"/>
    <w:rsid w:val="00075432"/>
    <w:rsid w:val="000968ED"/>
    <w:rsid w:val="000A3D97"/>
    <w:rsid w:val="000C311C"/>
    <w:rsid w:val="000F58B7"/>
    <w:rsid w:val="000F5E56"/>
    <w:rsid w:val="00105F17"/>
    <w:rsid w:val="00120227"/>
    <w:rsid w:val="001362EE"/>
    <w:rsid w:val="001406E1"/>
    <w:rsid w:val="001533E4"/>
    <w:rsid w:val="00155D8A"/>
    <w:rsid w:val="00164664"/>
    <w:rsid w:val="001647D5"/>
    <w:rsid w:val="0017373B"/>
    <w:rsid w:val="00182230"/>
    <w:rsid w:val="001832A6"/>
    <w:rsid w:val="00185EA7"/>
    <w:rsid w:val="001877A7"/>
    <w:rsid w:val="00192033"/>
    <w:rsid w:val="0019592A"/>
    <w:rsid w:val="00196AF7"/>
    <w:rsid w:val="001A3FBD"/>
    <w:rsid w:val="001B0ADB"/>
    <w:rsid w:val="001D4107"/>
    <w:rsid w:val="001F456B"/>
    <w:rsid w:val="00203D24"/>
    <w:rsid w:val="002076C2"/>
    <w:rsid w:val="00210D5F"/>
    <w:rsid w:val="00212051"/>
    <w:rsid w:val="0021217E"/>
    <w:rsid w:val="002326AB"/>
    <w:rsid w:val="00233D91"/>
    <w:rsid w:val="00236477"/>
    <w:rsid w:val="002379E8"/>
    <w:rsid w:val="00243430"/>
    <w:rsid w:val="002634C4"/>
    <w:rsid w:val="002760FD"/>
    <w:rsid w:val="002928D3"/>
    <w:rsid w:val="002A70CF"/>
    <w:rsid w:val="002B73F0"/>
    <w:rsid w:val="002C3481"/>
    <w:rsid w:val="002F1FE6"/>
    <w:rsid w:val="002F4E68"/>
    <w:rsid w:val="003122A9"/>
    <w:rsid w:val="00312F7F"/>
    <w:rsid w:val="0033051F"/>
    <w:rsid w:val="00361450"/>
    <w:rsid w:val="003673CF"/>
    <w:rsid w:val="003845C1"/>
    <w:rsid w:val="00384716"/>
    <w:rsid w:val="003A6F89"/>
    <w:rsid w:val="003B355C"/>
    <w:rsid w:val="003B38C1"/>
    <w:rsid w:val="003B58A4"/>
    <w:rsid w:val="003B6A4B"/>
    <w:rsid w:val="003C34E9"/>
    <w:rsid w:val="003D1472"/>
    <w:rsid w:val="003D6E72"/>
    <w:rsid w:val="003E6C93"/>
    <w:rsid w:val="0041099F"/>
    <w:rsid w:val="00423E3E"/>
    <w:rsid w:val="00427AF4"/>
    <w:rsid w:val="00456015"/>
    <w:rsid w:val="004647DA"/>
    <w:rsid w:val="00474062"/>
    <w:rsid w:val="00477D6B"/>
    <w:rsid w:val="00484B0E"/>
    <w:rsid w:val="004B0691"/>
    <w:rsid w:val="004B3EAC"/>
    <w:rsid w:val="004B7AA2"/>
    <w:rsid w:val="004E6970"/>
    <w:rsid w:val="005019FF"/>
    <w:rsid w:val="00514A71"/>
    <w:rsid w:val="0053057A"/>
    <w:rsid w:val="00556076"/>
    <w:rsid w:val="00560A29"/>
    <w:rsid w:val="0058361B"/>
    <w:rsid w:val="00593BCD"/>
    <w:rsid w:val="005B46AF"/>
    <w:rsid w:val="005C6649"/>
    <w:rsid w:val="005E7B89"/>
    <w:rsid w:val="005F023E"/>
    <w:rsid w:val="00600A40"/>
    <w:rsid w:val="006017E3"/>
    <w:rsid w:val="00605827"/>
    <w:rsid w:val="00606BD2"/>
    <w:rsid w:val="006144EE"/>
    <w:rsid w:val="00646050"/>
    <w:rsid w:val="00663887"/>
    <w:rsid w:val="006713CA"/>
    <w:rsid w:val="00676C5C"/>
    <w:rsid w:val="00677766"/>
    <w:rsid w:val="00690E4A"/>
    <w:rsid w:val="00693D7F"/>
    <w:rsid w:val="00695DBB"/>
    <w:rsid w:val="006B5C12"/>
    <w:rsid w:val="00720EFD"/>
    <w:rsid w:val="00740999"/>
    <w:rsid w:val="00756DDD"/>
    <w:rsid w:val="007854AF"/>
    <w:rsid w:val="00793A7C"/>
    <w:rsid w:val="007A398A"/>
    <w:rsid w:val="007C4902"/>
    <w:rsid w:val="007D1613"/>
    <w:rsid w:val="007E4C0E"/>
    <w:rsid w:val="007F2029"/>
    <w:rsid w:val="00835B3D"/>
    <w:rsid w:val="00851032"/>
    <w:rsid w:val="0086498B"/>
    <w:rsid w:val="00880816"/>
    <w:rsid w:val="008854AB"/>
    <w:rsid w:val="008A134B"/>
    <w:rsid w:val="008B2CC1"/>
    <w:rsid w:val="008B60B2"/>
    <w:rsid w:val="008C1023"/>
    <w:rsid w:val="008F2CCB"/>
    <w:rsid w:val="0090731E"/>
    <w:rsid w:val="00916267"/>
    <w:rsid w:val="00916EE2"/>
    <w:rsid w:val="00966A22"/>
    <w:rsid w:val="0096722F"/>
    <w:rsid w:val="00980843"/>
    <w:rsid w:val="009941CE"/>
    <w:rsid w:val="009A5ED7"/>
    <w:rsid w:val="009B0855"/>
    <w:rsid w:val="009C3D1A"/>
    <w:rsid w:val="009E2791"/>
    <w:rsid w:val="009E3F6F"/>
    <w:rsid w:val="009F499F"/>
    <w:rsid w:val="00A06641"/>
    <w:rsid w:val="00A3553F"/>
    <w:rsid w:val="00A37342"/>
    <w:rsid w:val="00A42DAF"/>
    <w:rsid w:val="00A45BD8"/>
    <w:rsid w:val="00A869B7"/>
    <w:rsid w:val="00A90F0A"/>
    <w:rsid w:val="00A92137"/>
    <w:rsid w:val="00AA3486"/>
    <w:rsid w:val="00AC205C"/>
    <w:rsid w:val="00AD130F"/>
    <w:rsid w:val="00AF0A6B"/>
    <w:rsid w:val="00AF1843"/>
    <w:rsid w:val="00B051F1"/>
    <w:rsid w:val="00B05A69"/>
    <w:rsid w:val="00B20F76"/>
    <w:rsid w:val="00B42CA9"/>
    <w:rsid w:val="00B51FF7"/>
    <w:rsid w:val="00B642B6"/>
    <w:rsid w:val="00B75281"/>
    <w:rsid w:val="00B757B3"/>
    <w:rsid w:val="00B92F1F"/>
    <w:rsid w:val="00B9734B"/>
    <w:rsid w:val="00BA30E2"/>
    <w:rsid w:val="00C05675"/>
    <w:rsid w:val="00C11BFE"/>
    <w:rsid w:val="00C42670"/>
    <w:rsid w:val="00C5068F"/>
    <w:rsid w:val="00C57EE7"/>
    <w:rsid w:val="00C82839"/>
    <w:rsid w:val="00C86D74"/>
    <w:rsid w:val="00CA547C"/>
    <w:rsid w:val="00CA7FCC"/>
    <w:rsid w:val="00CB3DBA"/>
    <w:rsid w:val="00CC3E2D"/>
    <w:rsid w:val="00CC4F6F"/>
    <w:rsid w:val="00CD04F1"/>
    <w:rsid w:val="00CD3D4A"/>
    <w:rsid w:val="00CE19F8"/>
    <w:rsid w:val="00CE6E73"/>
    <w:rsid w:val="00CF18A0"/>
    <w:rsid w:val="00CF681A"/>
    <w:rsid w:val="00D07C78"/>
    <w:rsid w:val="00D322B4"/>
    <w:rsid w:val="00D37F86"/>
    <w:rsid w:val="00D45252"/>
    <w:rsid w:val="00D509EC"/>
    <w:rsid w:val="00D52D18"/>
    <w:rsid w:val="00D60B2C"/>
    <w:rsid w:val="00D67EAE"/>
    <w:rsid w:val="00D71B4D"/>
    <w:rsid w:val="00D7317A"/>
    <w:rsid w:val="00D76D9D"/>
    <w:rsid w:val="00D84153"/>
    <w:rsid w:val="00D90B96"/>
    <w:rsid w:val="00D93D55"/>
    <w:rsid w:val="00DC1E19"/>
    <w:rsid w:val="00DD7B7F"/>
    <w:rsid w:val="00E01909"/>
    <w:rsid w:val="00E14ECC"/>
    <w:rsid w:val="00E15015"/>
    <w:rsid w:val="00E319DF"/>
    <w:rsid w:val="00E335FE"/>
    <w:rsid w:val="00E41128"/>
    <w:rsid w:val="00E44583"/>
    <w:rsid w:val="00E6565F"/>
    <w:rsid w:val="00E66CC5"/>
    <w:rsid w:val="00E7374D"/>
    <w:rsid w:val="00E7531D"/>
    <w:rsid w:val="00E802F0"/>
    <w:rsid w:val="00EA7D6E"/>
    <w:rsid w:val="00EB2F76"/>
    <w:rsid w:val="00EB5F21"/>
    <w:rsid w:val="00EB64F7"/>
    <w:rsid w:val="00EC04F2"/>
    <w:rsid w:val="00EC4E49"/>
    <w:rsid w:val="00ED77FB"/>
    <w:rsid w:val="00EE066C"/>
    <w:rsid w:val="00EE45FA"/>
    <w:rsid w:val="00F043DE"/>
    <w:rsid w:val="00F15097"/>
    <w:rsid w:val="00F278E6"/>
    <w:rsid w:val="00F4679D"/>
    <w:rsid w:val="00F66152"/>
    <w:rsid w:val="00F838C2"/>
    <w:rsid w:val="00F9165B"/>
    <w:rsid w:val="00F9168A"/>
    <w:rsid w:val="00FA6A52"/>
    <w:rsid w:val="00FC482F"/>
    <w:rsid w:val="00FC7FE4"/>
    <w:rsid w:val="00FF689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BF8FA"/>
  <w15:docId w15:val="{3BABD2EE-38C2-47E2-A63A-66A29A4A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link w:val="ONUMAChar"/>
    <w:rsid w:val="00D60B2C"/>
    <w:pPr>
      <w:numPr>
        <w:numId w:val="7"/>
      </w:numPr>
    </w:pPr>
    <w:rPr>
      <w:rFonts w:eastAsia="Times New Roman"/>
      <w:lang w:eastAsia="en-US"/>
    </w:rPr>
  </w:style>
  <w:style w:type="character" w:styleId="Hyperlink">
    <w:name w:val="Hyperlink"/>
    <w:basedOn w:val="DefaultParagraphFont"/>
    <w:unhideWhenUsed/>
    <w:rsid w:val="00020B1D"/>
    <w:rPr>
      <w:color w:val="0000FF" w:themeColor="hyperlink"/>
      <w:u w:val="single"/>
    </w:rPr>
  </w:style>
  <w:style w:type="character" w:styleId="FootnoteReference">
    <w:name w:val="footnote reference"/>
    <w:basedOn w:val="DefaultParagraphFont"/>
    <w:unhideWhenUsed/>
    <w:rsid w:val="0086498B"/>
    <w:rPr>
      <w:vertAlign w:val="superscript"/>
    </w:rPr>
  </w:style>
  <w:style w:type="character" w:customStyle="1" w:styleId="FootnoteTextChar">
    <w:name w:val="Footnote Text Char"/>
    <w:basedOn w:val="DefaultParagraphFont"/>
    <w:link w:val="FootnoteText"/>
    <w:semiHidden/>
    <w:rsid w:val="0086498B"/>
    <w:rPr>
      <w:rFonts w:ascii="Arial" w:eastAsia="SimSun" w:hAnsi="Arial" w:cs="Calibri"/>
      <w:sz w:val="18"/>
      <w:szCs w:val="18"/>
      <w:lang w:val="en-US" w:eastAsia="zh-CN"/>
    </w:rPr>
  </w:style>
  <w:style w:type="character" w:styleId="FollowedHyperlink">
    <w:name w:val="FollowedHyperlink"/>
    <w:basedOn w:val="DefaultParagraphFont"/>
    <w:semiHidden/>
    <w:unhideWhenUsed/>
    <w:rsid w:val="0086498B"/>
    <w:rPr>
      <w:color w:val="800080" w:themeColor="followedHyperlink"/>
      <w:u w:val="single"/>
    </w:rPr>
  </w:style>
  <w:style w:type="paragraph" w:customStyle="1" w:styleId="bodyindent">
    <w:name w:val="body indent"/>
    <w:basedOn w:val="ONUMA"/>
    <w:link w:val="bodyindentChar"/>
    <w:qFormat/>
    <w:rsid w:val="00E44583"/>
    <w:pPr>
      <w:numPr>
        <w:numId w:val="0"/>
      </w:numPr>
      <w:ind w:left="567"/>
    </w:pPr>
  </w:style>
  <w:style w:type="paragraph" w:styleId="ListParagraph">
    <w:name w:val="List Paragraph"/>
    <w:basedOn w:val="Normal"/>
    <w:uiPriority w:val="34"/>
    <w:qFormat/>
    <w:rsid w:val="00600A40"/>
    <w:pPr>
      <w:ind w:left="720"/>
      <w:contextualSpacing/>
    </w:pPr>
  </w:style>
  <w:style w:type="character" w:customStyle="1" w:styleId="BodyTextChar">
    <w:name w:val="Body Text Char"/>
    <w:basedOn w:val="DefaultParagraphFont"/>
    <w:link w:val="BodyText"/>
    <w:rsid w:val="00E44583"/>
    <w:rPr>
      <w:rFonts w:ascii="Arial" w:eastAsia="SimSun" w:hAnsi="Arial" w:cs="Calibri"/>
      <w:sz w:val="22"/>
      <w:szCs w:val="22"/>
      <w:lang w:val="en-US" w:eastAsia="zh-CN"/>
    </w:rPr>
  </w:style>
  <w:style w:type="character" w:customStyle="1" w:styleId="ONUMAChar">
    <w:name w:val="ONUM A Char"/>
    <w:basedOn w:val="BodyTextChar"/>
    <w:link w:val="ONUMA"/>
    <w:rsid w:val="00E44583"/>
    <w:rPr>
      <w:rFonts w:ascii="Arial" w:eastAsia="SimSun" w:hAnsi="Arial" w:cs="Calibri"/>
      <w:sz w:val="22"/>
      <w:szCs w:val="22"/>
      <w:lang w:val="en-US" w:eastAsia="en-US"/>
    </w:rPr>
  </w:style>
  <w:style w:type="character" w:customStyle="1" w:styleId="bodyindentChar">
    <w:name w:val="body indent Char"/>
    <w:basedOn w:val="ONUMAChar"/>
    <w:link w:val="bodyindent"/>
    <w:rsid w:val="00E44583"/>
    <w:rPr>
      <w:rFonts w:ascii="Arial" w:eastAsia="SimSun" w:hAnsi="Arial" w:cs="Calibri"/>
      <w:sz w:val="22"/>
      <w:szCs w:val="22"/>
      <w:lang w:val="en-US" w:eastAsia="en-US"/>
    </w:rPr>
  </w:style>
  <w:style w:type="paragraph" w:styleId="BodyTextFirstIndent">
    <w:name w:val="Body Text First Indent"/>
    <w:basedOn w:val="BodyText"/>
    <w:link w:val="BodyTextFirstIndentChar"/>
    <w:rsid w:val="00916267"/>
    <w:pPr>
      <w:spacing w:after="0"/>
      <w:ind w:firstLine="360"/>
    </w:pPr>
  </w:style>
  <w:style w:type="character" w:customStyle="1" w:styleId="BodyTextFirstIndentChar">
    <w:name w:val="Body Text First Indent Char"/>
    <w:basedOn w:val="BodyTextChar"/>
    <w:link w:val="BodyTextFirstIndent"/>
    <w:rsid w:val="00916267"/>
    <w:rPr>
      <w:rFonts w:ascii="Arial" w:eastAsia="SimSun" w:hAnsi="Arial" w:cs="Calibri"/>
      <w:sz w:val="22"/>
      <w:szCs w:val="22"/>
      <w:lang w:val="en-US" w:eastAsia="zh-CN"/>
    </w:rPr>
  </w:style>
  <w:style w:type="character" w:styleId="UnresolvedMention">
    <w:name w:val="Unresolved Mention"/>
    <w:basedOn w:val="DefaultParagraphFont"/>
    <w:uiPriority w:val="99"/>
    <w:semiHidden/>
    <w:unhideWhenUsed/>
    <w:rsid w:val="00DC1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meetings/ar/doc_details.jsp?doc_id=63630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meetings/ar/details.jsp?meeting_id=809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wipo.int/publications/ar/details.jsp?id=4711"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po.int/meetings/ar/doc_details.jsp?doc_id=6205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AE1A-B8BC-4036-831E-370EF53C4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1151</Words>
  <Characters>7003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WO/GA/58/5 (Arabic)</vt:lpstr>
    </vt:vector>
  </TitlesOfParts>
  <Company>WIPO</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WO/GA/58/5 (Arabic)</dc:title>
  <dc:creator>FM</dc:creator>
  <cp:keywords>FOR OFFICIAL USE ONLY</cp:keywords>
  <cp:lastModifiedBy>RUSSO Antonella</cp:lastModifiedBy>
  <cp:revision>2</cp:revision>
  <cp:lastPrinted>2025-04-04T09:02:00Z</cp:lastPrinted>
  <dcterms:created xsi:type="dcterms:W3CDTF">2025-04-04T09:50:00Z</dcterms:created>
  <dcterms:modified xsi:type="dcterms:W3CDTF">2025-04-04T09:50:00Z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2023-05-17T15:55:37Z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6ac180e7-4f0b-4d7f-ba9f-9bc26c02cb8f</vt:lpwstr>
  </property>
  <property fmtid="{D5CDD505-2E9C-101B-9397-08002B2CF9AE}" pid="13" name="MSIP_Label_20773ee6-353b-4fb9-a59d-0b94c8c67bea_ContentBits">
    <vt:lpwstr>0</vt:lpwstr>
  </property>
</Properties>
</file>