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73BE" w14:textId="3037C1E7" w:rsidR="008B2CC1" w:rsidRPr="003B7AF4" w:rsidRDefault="007D0C16" w:rsidP="00F11D94">
      <w:pPr>
        <w:spacing w:after="120"/>
        <w:jc w:val="right"/>
        <w:rPr>
          <w:rFonts w:ascii="Calibri" w:hAnsi="Calibri" w:cs="Calibri"/>
          <w:szCs w:val="22"/>
        </w:rPr>
      </w:pPr>
      <w:r w:rsidRPr="003B7AF4">
        <w:rPr>
          <w:rFonts w:cs="Calibri"/>
          <w:b/>
          <w:noProof/>
          <w:sz w:val="32"/>
          <w:szCs w:val="40"/>
          <w:lang w:eastAsia="en-US"/>
        </w:rPr>
        <mc:AlternateContent>
          <mc:Choice Requires="wpg">
            <w:drawing>
              <wp:inline distT="0" distB="0" distL="0" distR="0" wp14:anchorId="339C92C8" wp14:editId="18B7DAC6">
                <wp:extent cx="2777259" cy="1333500"/>
                <wp:effectExtent l="0" t="0" r="4445" b="0"/>
                <wp:docPr id="915475448"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667729173" name="Picture 2" descr="شعار المنظمة العالمية للملكية الفكرية (الويبو)" title="شعار الويبو"/>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70935315" name="Picture 3" descr="عربية" title="عربية"/>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13782781"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">
                  <v:imagedata r:id="rId13"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">
                  <v:imagedata r:id="rId14" o:title="عربية"/>
                </v:shape>
                <w10:anchorlock/>
              </v:group>
            </w:pict>
          </mc:Fallback>
        </mc:AlternateContent>
      </w:r>
      <w:r w:rsidR="00461632" w:rsidRPr="003B7AF4">
        <w:rPr>
          <w:rFonts w:ascii="Calibri" w:hAnsi="Calibri" w:cs="Calibri"/>
          <w:caps/>
          <w:noProof/>
          <w:szCs w:val="22"/>
          <w:rtl/>
          <w:lang w:val="fr-CH" w:eastAsia="fr-CH"/>
        </w:rPr>
        <mc:AlternateContent>
          <mc:Choice Requires="wps">
            <w:drawing>
              <wp:inline distT="0" distB="0" distL="0" distR="0" wp14:anchorId="2969E197" wp14:editId="661685C5">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5EB1A43"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91D0AD7" w14:textId="325B9914" w:rsidR="007D0C16" w:rsidRPr="003B7AF4" w:rsidRDefault="007D0C16" w:rsidP="007D0C16">
      <w:pPr>
        <w:jc w:val="right"/>
        <w:rPr>
          <w:rFonts w:ascii="Arial Black" w:hAnsi="Arial Black" w:cs="Calibri"/>
          <w:b/>
          <w:bCs/>
          <w:caps/>
          <w:sz w:val="15"/>
          <w:szCs w:val="15"/>
          <w:rtl/>
        </w:rPr>
      </w:pPr>
      <w:r w:rsidRPr="003B7AF4">
        <w:rPr>
          <w:rFonts w:ascii="Arial Black" w:hAnsi="Arial Black" w:cs="Calibri"/>
          <w:caps/>
          <w:sz w:val="15"/>
          <w:szCs w:val="15"/>
        </w:rPr>
        <w:t>WO/GA/58/11</w:t>
      </w:r>
    </w:p>
    <w:p w14:paraId="5EC13438" w14:textId="77777777" w:rsidR="007D0C16" w:rsidRPr="003B7AF4" w:rsidRDefault="007D0C16" w:rsidP="007D0C16">
      <w:pPr>
        <w:jc w:val="right"/>
        <w:rPr>
          <w:rFonts w:ascii="Times New Roman" w:hAnsi="Times New Roman" w:cs="Calibri"/>
          <w:bCs/>
          <w:caps/>
          <w:sz w:val="15"/>
          <w:szCs w:val="15"/>
          <w:rtl/>
        </w:rPr>
      </w:pPr>
      <w:r w:rsidRPr="003B7AF4">
        <w:rPr>
          <w:rFonts w:ascii="Times New Roman" w:hAnsi="Times New Roman" w:cs="Calibri"/>
          <w:bCs/>
          <w:caps/>
          <w:sz w:val="15"/>
          <w:szCs w:val="15"/>
          <w:rtl/>
        </w:rPr>
        <w:t xml:space="preserve">الأصل: </w:t>
      </w:r>
      <w:bookmarkStart w:id="0" w:name="Original"/>
      <w:bookmarkEnd w:id="0"/>
      <w:r w:rsidRPr="003B7AF4">
        <w:rPr>
          <w:rFonts w:ascii="Times New Roman" w:hAnsi="Times New Roman" w:cs="Calibri"/>
          <w:bCs/>
          <w:caps/>
          <w:sz w:val="15"/>
          <w:szCs w:val="15"/>
          <w:rtl/>
        </w:rPr>
        <w:t>بالإنكليزية</w:t>
      </w:r>
    </w:p>
    <w:p w14:paraId="71E3CBBE" w14:textId="225ED292" w:rsidR="007D0C16" w:rsidRPr="003B7AF4" w:rsidRDefault="007D0C16" w:rsidP="007D0C16">
      <w:pPr>
        <w:spacing w:after="1200"/>
        <w:jc w:val="right"/>
        <w:rPr>
          <w:rFonts w:ascii="Times New Roman" w:hAnsi="Times New Roman" w:cs="Calibri"/>
          <w:b/>
          <w:bCs/>
          <w:caps/>
          <w:sz w:val="15"/>
          <w:szCs w:val="15"/>
          <w:rtl/>
        </w:rPr>
      </w:pPr>
      <w:r w:rsidRPr="003B7AF4">
        <w:rPr>
          <w:rFonts w:ascii="Times New Roman" w:hAnsi="Times New Roman" w:cs="Calibri"/>
          <w:b/>
          <w:bCs/>
          <w:caps/>
          <w:sz w:val="15"/>
          <w:szCs w:val="15"/>
          <w:rtl/>
        </w:rPr>
        <w:t>التاريخ:</w:t>
      </w:r>
      <w:bookmarkStart w:id="1" w:name="Date"/>
      <w:r w:rsidRPr="003B7AF4">
        <w:rPr>
          <w:rFonts w:ascii="Times New Roman" w:hAnsi="Times New Roman" w:cs="Calibri"/>
          <w:b/>
          <w:bCs/>
          <w:caps/>
          <w:sz w:val="15"/>
          <w:szCs w:val="15"/>
          <w:rtl/>
        </w:rPr>
        <w:t xml:space="preserve"> </w:t>
      </w:r>
      <w:r w:rsidRPr="003B7AF4">
        <w:rPr>
          <w:rFonts w:ascii="Times New Roman" w:hAnsi="Times New Roman" w:cs="Calibri" w:hint="cs"/>
          <w:b/>
          <w:bCs/>
          <w:caps/>
          <w:sz w:val="15"/>
          <w:szCs w:val="15"/>
          <w:rtl/>
        </w:rPr>
        <w:t>7</w:t>
      </w:r>
      <w:r w:rsidRPr="003B7AF4">
        <w:rPr>
          <w:rFonts w:ascii="Times New Roman" w:hAnsi="Times New Roman" w:cs="Calibri"/>
          <w:b/>
          <w:bCs/>
          <w:caps/>
          <w:sz w:val="15"/>
          <w:szCs w:val="15"/>
          <w:rtl/>
        </w:rPr>
        <w:t xml:space="preserve"> مايو </w:t>
      </w:r>
      <w:r w:rsidRPr="003B7AF4">
        <w:rPr>
          <w:rFonts w:ascii="Times New Roman" w:hAnsi="Times New Roman" w:cs="Calibri" w:hint="cs"/>
          <w:b/>
          <w:bCs/>
          <w:caps/>
          <w:sz w:val="15"/>
          <w:szCs w:val="15"/>
          <w:rtl/>
        </w:rPr>
        <w:t>2025</w:t>
      </w:r>
    </w:p>
    <w:bookmarkEnd w:id="1"/>
    <w:p w14:paraId="61EFAA8E" w14:textId="7C071A67" w:rsidR="008B2CC1" w:rsidRPr="003B7AF4" w:rsidRDefault="00A9118D" w:rsidP="00CE65D4">
      <w:pPr>
        <w:spacing w:after="600"/>
        <w:rPr>
          <w:rFonts w:ascii="Calibri" w:hAnsi="Calibri" w:cs="Calibri"/>
          <w:b/>
          <w:sz w:val="28"/>
          <w:szCs w:val="28"/>
        </w:rPr>
      </w:pPr>
      <w:r w:rsidRPr="003B7AF4">
        <w:rPr>
          <w:rFonts w:ascii="Calibri" w:hAnsi="Calibri" w:cs="Calibri"/>
          <w:b/>
          <w:sz w:val="28"/>
          <w:szCs w:val="28"/>
          <w:rtl/>
        </w:rPr>
        <w:t xml:space="preserve">الجمعية العامة </w:t>
      </w:r>
      <w:r w:rsidR="00484448" w:rsidRPr="003B7AF4">
        <w:rPr>
          <w:rFonts w:ascii="Calibri" w:hAnsi="Calibri" w:cs="Calibri" w:hint="cs"/>
          <w:b/>
          <w:sz w:val="28"/>
          <w:szCs w:val="28"/>
          <w:rtl/>
        </w:rPr>
        <w:t>للويبو</w:t>
      </w:r>
    </w:p>
    <w:p w14:paraId="426F006C" w14:textId="05595603" w:rsidR="008B2CC1" w:rsidRPr="003B7AF4" w:rsidRDefault="00A9118D" w:rsidP="008B2CC1">
      <w:pPr>
        <w:rPr>
          <w:rFonts w:ascii="Calibri" w:hAnsi="Calibri" w:cs="Calibri"/>
          <w:b/>
          <w:sz w:val="24"/>
          <w:szCs w:val="24"/>
        </w:rPr>
      </w:pPr>
      <w:r w:rsidRPr="003B7AF4">
        <w:rPr>
          <w:rFonts w:ascii="Calibri" w:hAnsi="Calibri" w:cs="Calibri"/>
          <w:b/>
          <w:sz w:val="24"/>
          <w:szCs w:val="24"/>
          <w:rtl/>
        </w:rPr>
        <w:t xml:space="preserve">الدورة </w:t>
      </w:r>
      <w:r w:rsidR="00A77470" w:rsidRPr="003B7AF4">
        <w:rPr>
          <w:rFonts w:ascii="Calibri" w:hAnsi="Calibri" w:cs="Calibri"/>
          <w:b/>
          <w:sz w:val="24"/>
          <w:szCs w:val="24"/>
          <w:rtl/>
        </w:rPr>
        <w:t>الثامنة</w:t>
      </w:r>
      <w:r w:rsidR="00801759" w:rsidRPr="003B7AF4">
        <w:rPr>
          <w:rFonts w:ascii="Calibri" w:hAnsi="Calibri" w:cs="Calibri"/>
          <w:b/>
          <w:sz w:val="24"/>
          <w:szCs w:val="24"/>
          <w:rtl/>
        </w:rPr>
        <w:t xml:space="preserve"> والخمسون (العادية</w:t>
      </w:r>
      <w:r w:rsidR="00484448" w:rsidRPr="003B7AF4">
        <w:rPr>
          <w:rFonts w:ascii="Calibri" w:hAnsi="Calibri" w:cs="Calibri" w:hint="cs"/>
          <w:b/>
          <w:sz w:val="24"/>
          <w:szCs w:val="24"/>
          <w:rtl/>
        </w:rPr>
        <w:t xml:space="preserve"> 27</w:t>
      </w:r>
      <w:r w:rsidRPr="003B7AF4">
        <w:rPr>
          <w:rFonts w:ascii="Calibri" w:hAnsi="Calibri" w:cs="Calibri"/>
          <w:b/>
          <w:sz w:val="24"/>
          <w:szCs w:val="24"/>
          <w:rtl/>
        </w:rPr>
        <w:t>)</w:t>
      </w:r>
    </w:p>
    <w:p w14:paraId="37700C39" w14:textId="77777777" w:rsidR="008B2CC1" w:rsidRPr="003B7AF4" w:rsidRDefault="00A9118D" w:rsidP="00CE65D4">
      <w:pPr>
        <w:spacing w:after="720"/>
        <w:rPr>
          <w:rFonts w:ascii="Calibri" w:hAnsi="Calibri" w:cs="Calibri"/>
          <w:sz w:val="24"/>
          <w:szCs w:val="24"/>
        </w:rPr>
      </w:pPr>
      <w:r w:rsidRPr="003B7AF4">
        <w:rPr>
          <w:rFonts w:ascii="Calibri" w:hAnsi="Calibri" w:cs="Calibri"/>
          <w:b/>
          <w:sz w:val="24"/>
          <w:szCs w:val="24"/>
          <w:rtl/>
        </w:rPr>
        <w:t xml:space="preserve">جنيف، </w:t>
      </w:r>
      <w:r w:rsidR="00CC5400" w:rsidRPr="003B7AF4">
        <w:rPr>
          <w:rFonts w:ascii="Calibri" w:hAnsi="Calibri" w:cs="Calibri"/>
          <w:b/>
          <w:sz w:val="24"/>
          <w:szCs w:val="24"/>
          <w:rtl/>
        </w:rPr>
        <w:t xml:space="preserve">من 8 </w:t>
      </w:r>
      <w:r w:rsidR="00801759" w:rsidRPr="003B7AF4">
        <w:rPr>
          <w:rFonts w:ascii="Calibri" w:hAnsi="Calibri" w:cs="Calibri"/>
          <w:b/>
          <w:sz w:val="24"/>
          <w:szCs w:val="24"/>
          <w:rtl/>
        </w:rPr>
        <w:t xml:space="preserve">إلى 17 </w:t>
      </w:r>
      <w:r w:rsidRPr="003B7AF4">
        <w:rPr>
          <w:rFonts w:ascii="Calibri" w:hAnsi="Calibri" w:cs="Calibri"/>
          <w:b/>
          <w:sz w:val="24"/>
          <w:szCs w:val="24"/>
          <w:rtl/>
        </w:rPr>
        <w:t xml:space="preserve">يوليو </w:t>
      </w:r>
      <w:r w:rsidR="00CC5400" w:rsidRPr="003B7AF4">
        <w:rPr>
          <w:rFonts w:ascii="Calibri" w:hAnsi="Calibri" w:cs="Calibri"/>
          <w:b/>
          <w:sz w:val="24"/>
          <w:szCs w:val="24"/>
          <w:rtl/>
        </w:rPr>
        <w:t>2025</w:t>
      </w:r>
    </w:p>
    <w:p w14:paraId="6091AA24" w14:textId="1C5CD6EA" w:rsidR="008B2CC1" w:rsidRPr="003B7AF4" w:rsidRDefault="00C54079" w:rsidP="00CE65D4">
      <w:pPr>
        <w:spacing w:after="360"/>
        <w:rPr>
          <w:rFonts w:ascii="Calibri" w:hAnsi="Calibri" w:cs="Calibri"/>
          <w:caps/>
          <w:sz w:val="28"/>
          <w:szCs w:val="28"/>
        </w:rPr>
      </w:pPr>
      <w:bookmarkStart w:id="2" w:name="TitleOfDoc"/>
      <w:r w:rsidRPr="003B7AF4">
        <w:rPr>
          <w:rFonts w:ascii="Calibri" w:hAnsi="Calibri" w:cs="Calibri"/>
          <w:caps/>
          <w:sz w:val="28"/>
          <w:szCs w:val="28"/>
          <w:rtl/>
        </w:rPr>
        <w:t xml:space="preserve">مركز </w:t>
      </w:r>
      <w:r w:rsidR="00484448" w:rsidRPr="003B7AF4">
        <w:rPr>
          <w:rFonts w:ascii="Calibri" w:hAnsi="Calibri" w:cs="Calibri" w:hint="cs"/>
          <w:caps/>
          <w:sz w:val="28"/>
          <w:szCs w:val="28"/>
          <w:rtl/>
        </w:rPr>
        <w:t>الويبو</w:t>
      </w:r>
      <w:r w:rsidRPr="003B7AF4">
        <w:rPr>
          <w:rFonts w:ascii="Calibri" w:hAnsi="Calibri" w:cs="Calibri"/>
          <w:caps/>
          <w:sz w:val="28"/>
          <w:szCs w:val="28"/>
          <w:rtl/>
        </w:rPr>
        <w:t xml:space="preserve"> للتحكيم والوساطة، بما في ذلك أسماء </w:t>
      </w:r>
      <w:r w:rsidR="00484448" w:rsidRPr="003B7AF4">
        <w:rPr>
          <w:rFonts w:ascii="Calibri" w:hAnsi="Calibri" w:cs="Calibri" w:hint="cs"/>
          <w:caps/>
          <w:sz w:val="28"/>
          <w:szCs w:val="28"/>
          <w:rtl/>
        </w:rPr>
        <w:t>الحقول على الإنترنت</w:t>
      </w:r>
    </w:p>
    <w:bookmarkEnd w:id="2"/>
    <w:p w14:paraId="244376E7" w14:textId="77777777" w:rsidR="007D0C16" w:rsidRPr="003B7AF4" w:rsidRDefault="007D0C16" w:rsidP="007D0C16">
      <w:pPr>
        <w:spacing w:after="960"/>
        <w:rPr>
          <w:rFonts w:ascii="Times New Roman" w:hAnsi="Times New Roman" w:cs="Calibri"/>
          <w:iCs/>
          <w:szCs w:val="22"/>
          <w:rtl/>
        </w:rPr>
      </w:pPr>
      <w:r w:rsidRPr="003B7AF4">
        <w:rPr>
          <w:rFonts w:ascii="Times New Roman" w:hAnsi="Times New Roman" w:cs="Calibri"/>
          <w:iCs/>
          <w:szCs w:val="22"/>
          <w:rtl/>
        </w:rPr>
        <w:t>وثيقة من إعداد الأمانة</w:t>
      </w:r>
    </w:p>
    <w:p w14:paraId="05D4F7DD" w14:textId="21C8ED74" w:rsidR="00C54079" w:rsidRPr="003B7AF4" w:rsidRDefault="00C54079" w:rsidP="00C54079">
      <w:pPr>
        <w:pStyle w:val="ListParagraph"/>
        <w:spacing w:after="240"/>
        <w:ind w:left="0"/>
        <w:rPr>
          <w:rFonts w:ascii="Calibri" w:eastAsia="SimSun" w:hAnsi="Calibri" w:cs="Calibri"/>
          <w:szCs w:val="22"/>
        </w:rPr>
      </w:pPr>
      <w:r w:rsidRPr="003B7AF4">
        <w:rPr>
          <w:rFonts w:ascii="Calibri" w:hAnsi="Calibri" w:cs="Calibri"/>
          <w:snapToGrid w:val="0"/>
          <w:szCs w:val="22"/>
          <w:rtl/>
        </w:rPr>
        <w:t>1.</w:t>
      </w:r>
      <w:r w:rsidRPr="003B7AF4">
        <w:rPr>
          <w:rFonts w:ascii="Calibri" w:hAnsi="Calibri" w:cs="Calibri"/>
          <w:snapToGrid w:val="0"/>
          <w:szCs w:val="22"/>
          <w:rtl/>
        </w:rPr>
        <w:tab/>
        <w:t xml:space="preserve">يشكّل مركز الويبو للتحكيم والوساطة (المركز) جزءاً من قطاع الملكية الفكرية والنظم الإيكولوجية للابتكار.  وبالتنسيق مع قطاعات </w:t>
      </w:r>
      <w:r w:rsidR="00C40B90" w:rsidRPr="003B7AF4">
        <w:rPr>
          <w:rFonts w:ascii="Calibri" w:hAnsi="Calibri" w:cs="Calibri" w:hint="cs"/>
          <w:snapToGrid w:val="0"/>
          <w:szCs w:val="22"/>
          <w:rtl/>
        </w:rPr>
        <w:t>الويبو</w:t>
      </w:r>
      <w:r w:rsidRPr="003B7AF4">
        <w:rPr>
          <w:rFonts w:ascii="Calibri" w:hAnsi="Calibri" w:cs="Calibri"/>
          <w:snapToGrid w:val="0"/>
          <w:szCs w:val="22"/>
          <w:rtl/>
        </w:rPr>
        <w:t xml:space="preserve"> الأخرى، يتولى مركز الويبو للتحكيم والوساطة مسؤولية مساعدة الدول الأعضاء على تطوير نظمها الإيكولوجية للملكية الفكرية والابتكار لدفع عجلة المشاريع والنمو الاقتصادي. </w:t>
      </w:r>
    </w:p>
    <w:p w14:paraId="5635991F" w14:textId="1FBB84BF" w:rsidR="00C54079" w:rsidRPr="003B7AF4" w:rsidRDefault="00C54079" w:rsidP="00C40B90">
      <w:pPr>
        <w:spacing w:after="240"/>
        <w:rPr>
          <w:rFonts w:ascii="Times New Roman" w:hAnsi="Times New Roman" w:cs="Calibri"/>
          <w:snapToGrid w:val="0"/>
          <w:szCs w:val="22"/>
        </w:rPr>
      </w:pPr>
      <w:r w:rsidRPr="003B7AF4">
        <w:rPr>
          <w:rFonts w:ascii="Calibri" w:hAnsi="Calibri" w:cs="Calibri"/>
          <w:snapToGrid w:val="0"/>
          <w:szCs w:val="22"/>
          <w:rtl/>
        </w:rPr>
        <w:t>2.</w:t>
      </w:r>
      <w:r w:rsidRPr="003B7AF4">
        <w:rPr>
          <w:rFonts w:ascii="Calibri" w:hAnsi="Calibri" w:cs="Calibri"/>
          <w:snapToGrid w:val="0"/>
          <w:szCs w:val="22"/>
          <w:rtl/>
        </w:rPr>
        <w:tab/>
      </w:r>
      <w:r w:rsidR="00C40B90" w:rsidRPr="003B7AF4">
        <w:rPr>
          <w:rFonts w:ascii="Times New Roman" w:hAnsi="Times New Roman" w:cs="Calibri"/>
          <w:snapToGrid w:val="0"/>
          <w:szCs w:val="22"/>
          <w:rtl/>
        </w:rPr>
        <w:t>وفي هذا الإطار، ت</w:t>
      </w:r>
      <w:r w:rsidR="00C40B90" w:rsidRPr="003B7AF4">
        <w:rPr>
          <w:rFonts w:ascii="Times New Roman" w:hAnsi="Times New Roman" w:cs="Calibri" w:hint="cs"/>
          <w:snapToGrid w:val="0"/>
          <w:szCs w:val="22"/>
          <w:rtl/>
        </w:rPr>
        <w:t>عرض</w:t>
      </w:r>
      <w:r w:rsidR="00C40B90" w:rsidRPr="003B7AF4">
        <w:rPr>
          <w:rFonts w:ascii="Times New Roman" w:hAnsi="Times New Roman" w:cs="Calibri"/>
          <w:snapToGrid w:val="0"/>
          <w:szCs w:val="22"/>
          <w:rtl/>
        </w:rPr>
        <w:t xml:space="preserve"> هذه الوثيقة آخر المستجدات فيما يتعلق بأنشطة المركز بوصفه جهة دولية تقدم حلولاً بديلةً أسرع وأوفر من التقاضي أمام المحاكم بشأن المنازعات المتعلقة بالملكية الفكرية والتكنولوجيا. ويشمل عمله إدارة القضايا فضلاً عن تقديم الخبرة القانونية والتكنولوجية فيما يتعلق بالسبل البديلة لتسوية المنازعات.</w:t>
      </w:r>
    </w:p>
    <w:p w14:paraId="6140312C" w14:textId="62AA2062" w:rsidR="00C54079" w:rsidRPr="003B7AF4" w:rsidRDefault="00C54079" w:rsidP="00C54079">
      <w:pPr>
        <w:spacing w:after="240"/>
        <w:rPr>
          <w:rFonts w:ascii="Calibri" w:hAnsi="Calibri" w:cs="Calibri"/>
          <w:b/>
          <w:bCs/>
          <w:caps/>
          <w:szCs w:val="22"/>
        </w:rPr>
      </w:pPr>
      <w:r w:rsidRPr="003B7AF4">
        <w:rPr>
          <w:rFonts w:ascii="Calibri" w:hAnsi="Calibri" w:cs="Calibri"/>
          <w:snapToGrid w:val="0"/>
          <w:szCs w:val="22"/>
          <w:rtl/>
        </w:rPr>
        <w:t>3.</w:t>
      </w:r>
      <w:r w:rsidRPr="003B7AF4">
        <w:rPr>
          <w:rFonts w:ascii="Calibri" w:hAnsi="Calibri" w:cs="Calibri"/>
          <w:snapToGrid w:val="0"/>
          <w:szCs w:val="22"/>
          <w:rtl/>
        </w:rPr>
        <w:tab/>
      </w:r>
      <w:r w:rsidR="00C40B90" w:rsidRPr="003B7AF4">
        <w:rPr>
          <w:rFonts w:ascii="Times New Roman" w:hAnsi="Times New Roman" w:cs="Calibri"/>
          <w:snapToGrid w:val="0"/>
          <w:szCs w:val="22"/>
          <w:rtl/>
        </w:rPr>
        <w:t>وتعرض هذه الوثيقة أيضاً آخر المستجدات فيما يتعلق بأنشطة الويبو ذات الصلة بأسماء الحقول، على النحو الوارد سابقاً في الوثيقة</w:t>
      </w:r>
      <w:hyperlink r:id="rId15" w:history="1">
        <w:r w:rsidR="00C40B90" w:rsidRPr="009608CC">
          <w:rPr>
            <w:rStyle w:val="Hyperlink"/>
            <w:rFonts w:ascii="Times New Roman" w:hAnsi="Times New Roman" w:cs="Calibri"/>
            <w:snapToGrid w:val="0"/>
            <w:szCs w:val="22"/>
            <w:rtl/>
          </w:rPr>
          <w:t xml:space="preserve"> </w:t>
        </w:r>
        <w:r w:rsidR="00C40B90" w:rsidRPr="009608CC">
          <w:rPr>
            <w:rStyle w:val="Hyperlink"/>
            <w:snapToGrid w:val="0"/>
          </w:rPr>
          <w:t>WO/GA/57/10</w:t>
        </w:r>
      </w:hyperlink>
      <w:r w:rsidR="00C40B90" w:rsidRPr="003B7AF4">
        <w:rPr>
          <w:rFonts w:hint="cs"/>
          <w:rtl/>
        </w:rPr>
        <w:t xml:space="preserve">. </w:t>
      </w:r>
      <w:r w:rsidR="00C40B90" w:rsidRPr="003B7AF4">
        <w:rPr>
          <w:rFonts w:ascii="Times New Roman" w:hAnsi="Times New Roman" w:cs="Calibri"/>
          <w:snapToGrid w:val="0"/>
          <w:szCs w:val="22"/>
          <w:rtl/>
        </w:rPr>
        <w:t xml:space="preserve">وتتناول الوثيقة إدارة مركز الويبو للمنازعات المتعلقة بأسماء الحقول بموجب السياسات العامة المختلفة والجوانب المتنوعة ذات الصلة بنظام أسماء الحقول على الإنترنت، فضلاً عن مختارات من المستجدات </w:t>
      </w:r>
      <w:r w:rsidR="00C40B90" w:rsidRPr="003B7AF4">
        <w:rPr>
          <w:rFonts w:ascii="Times New Roman" w:hAnsi="Times New Roman" w:cs="Calibri" w:hint="cs"/>
          <w:snapToGrid w:val="0"/>
          <w:szCs w:val="22"/>
          <w:rtl/>
        </w:rPr>
        <w:t>في مجال السياسات</w:t>
      </w:r>
      <w:r w:rsidR="00C40B90" w:rsidRPr="003B7AF4">
        <w:rPr>
          <w:rFonts w:ascii="Times New Roman" w:hAnsi="Times New Roman" w:cs="Calibri"/>
          <w:snapToGrid w:val="0"/>
          <w:szCs w:val="22"/>
          <w:rtl/>
        </w:rPr>
        <w:t xml:space="preserve">، بما في ذلك آليات حماية الحقوق من أجل استحداث حقول عليا جديدة مكوَّنة من أسماء عامة </w:t>
      </w:r>
      <w:r w:rsidR="00C40B90" w:rsidRPr="003B7AF4">
        <w:rPr>
          <w:rFonts w:asciiTheme="minorBidi" w:hAnsiTheme="minorBidi" w:cs="Calibri"/>
          <w:snapToGrid w:val="0"/>
          <w:szCs w:val="22"/>
        </w:rPr>
        <w:t>gTLDs</w:t>
      </w:r>
      <w:r w:rsidR="00C40B90" w:rsidRPr="003B7AF4">
        <w:rPr>
          <w:rFonts w:ascii="Times New Roman" w:hAnsi="Times New Roman" w:cs="Calibri"/>
          <w:snapToGrid w:val="0"/>
          <w:szCs w:val="22"/>
        </w:rPr>
        <w:t>)</w:t>
      </w:r>
      <w:r w:rsidR="00C40B90" w:rsidRPr="003B7AF4">
        <w:rPr>
          <w:rFonts w:ascii="Times New Roman" w:hAnsi="Times New Roman" w:cs="Calibri" w:hint="cs"/>
          <w:snapToGrid w:val="0"/>
          <w:szCs w:val="22"/>
          <w:rtl/>
        </w:rPr>
        <w:t>)</w:t>
      </w:r>
      <w:r w:rsidR="00C40B90" w:rsidRPr="003B7AF4">
        <w:rPr>
          <w:rFonts w:ascii="Times New Roman" w:hAnsi="Times New Roman" w:cs="Calibri"/>
          <w:snapToGrid w:val="0"/>
          <w:szCs w:val="22"/>
          <w:rtl/>
        </w:rPr>
        <w:t>، ومسألة تولي هيئة الإنترنت المعنية بالأسماء والأرقام المعيّنة (الآيكان) المراجعة المرتقبة للسياسة الموحدة لتسوية المنازعات المتعلقة بأسماء الحقول (</w:t>
      </w:r>
      <w:r w:rsidR="0017648D" w:rsidRPr="003B7AF4">
        <w:rPr>
          <w:rFonts w:asciiTheme="minorBidi" w:hAnsiTheme="minorBidi" w:cs="Calibri"/>
          <w:snapToGrid w:val="0"/>
          <w:szCs w:val="22"/>
          <w:rtl/>
        </w:rPr>
        <w:t xml:space="preserve">السياسة الموحدة </w:t>
      </w:r>
      <w:r w:rsidR="00C40B90" w:rsidRPr="003B7AF4">
        <w:rPr>
          <w:rFonts w:ascii="Times New Roman" w:hAnsi="Times New Roman" w:cs="Calibri"/>
          <w:snapToGrid w:val="0"/>
          <w:szCs w:val="22"/>
          <w:rtl/>
        </w:rPr>
        <w:t>) والآليات الأخرى لحماية الحقوق، وحالة التوصيات التي قدمتها الدول الأعضاء في المنظمة في سياق عملية الويبو الثانية بشأن أسماء الحقول على الإنترنت</w:t>
      </w:r>
      <w:r w:rsidRPr="003B7AF4">
        <w:rPr>
          <w:rFonts w:ascii="Calibri" w:hAnsi="Calibri" w:cs="Calibri"/>
          <w:snapToGrid w:val="0"/>
          <w:szCs w:val="22"/>
          <w:rtl/>
        </w:rPr>
        <w:t>.</w:t>
      </w:r>
      <w:r w:rsidRPr="003B7AF4">
        <w:rPr>
          <w:rFonts w:ascii="Calibri" w:hAnsi="Calibri" w:cs="Calibri"/>
          <w:szCs w:val="22"/>
          <w:rtl/>
        </w:rPr>
        <w:br w:type="page"/>
      </w:r>
    </w:p>
    <w:p w14:paraId="76AB48F0" w14:textId="7EB16E28" w:rsidR="00C54079" w:rsidRPr="003B7AF4" w:rsidRDefault="00F00882" w:rsidP="00C54079">
      <w:pPr>
        <w:pStyle w:val="Heading2"/>
        <w:keepNext w:val="0"/>
        <w:widowControl w:val="0"/>
        <w:spacing w:after="220"/>
        <w:rPr>
          <w:rFonts w:ascii="Calibri" w:hAnsi="Calibri" w:cs="Calibri"/>
          <w:b/>
          <w:bCs w:val="0"/>
          <w:i/>
          <w:iCs w:val="0"/>
          <w:szCs w:val="22"/>
        </w:rPr>
      </w:pPr>
      <w:r w:rsidRPr="003B7AF4">
        <w:rPr>
          <w:rFonts w:ascii="Calibri" w:hAnsi="Calibri" w:cs="Calibri" w:hint="cs"/>
          <w:b/>
          <w:bCs w:val="0"/>
          <w:i/>
          <w:iCs w:val="0"/>
          <w:szCs w:val="22"/>
          <w:rtl/>
        </w:rPr>
        <w:lastRenderedPageBreak/>
        <w:t>أولا</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 xml:space="preserve">الوساطة والتحكيم في </w:t>
      </w:r>
      <w:r w:rsidR="00DD5065" w:rsidRPr="003B7AF4">
        <w:rPr>
          <w:rFonts w:ascii="Calibri" w:hAnsi="Calibri" w:cs="Calibri"/>
          <w:b/>
          <w:bCs w:val="0"/>
          <w:i/>
          <w:iCs w:val="0"/>
          <w:szCs w:val="22"/>
          <w:rtl/>
        </w:rPr>
        <w:t xml:space="preserve">منازعات </w:t>
      </w:r>
      <w:r w:rsidR="00C54079" w:rsidRPr="003B7AF4">
        <w:rPr>
          <w:rFonts w:ascii="Calibri" w:hAnsi="Calibri" w:cs="Calibri"/>
          <w:b/>
          <w:bCs w:val="0"/>
          <w:i/>
          <w:iCs w:val="0"/>
          <w:szCs w:val="22"/>
          <w:rtl/>
        </w:rPr>
        <w:t>الملكية الفكرية</w:t>
      </w:r>
    </w:p>
    <w:p w14:paraId="241A04DE" w14:textId="3DE27B2E" w:rsidR="00C54079" w:rsidRPr="003B7AF4" w:rsidRDefault="00163CFE" w:rsidP="00C54079">
      <w:pPr>
        <w:pStyle w:val="Heading2"/>
        <w:spacing w:after="220"/>
        <w:ind w:left="547"/>
        <w:rPr>
          <w:rFonts w:ascii="Calibri" w:hAnsi="Calibri" w:cs="Calibri"/>
          <w:b/>
          <w:bCs w:val="0"/>
          <w:i/>
          <w:iCs w:val="0"/>
          <w:szCs w:val="22"/>
        </w:rPr>
      </w:pPr>
      <w:r w:rsidRPr="003B7AF4">
        <w:rPr>
          <w:rFonts w:ascii="Calibri" w:hAnsi="Calibri" w:cs="Calibri" w:hint="cs"/>
          <w:b/>
          <w:bCs w:val="0"/>
          <w:i/>
          <w:iCs w:val="0"/>
          <w:szCs w:val="22"/>
          <w:rtl/>
        </w:rPr>
        <w:t>ألف</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 xml:space="preserve">إدارة </w:t>
      </w:r>
      <w:r w:rsidR="00EB7981" w:rsidRPr="003B7AF4">
        <w:rPr>
          <w:rFonts w:ascii="Calibri" w:hAnsi="Calibri" w:cs="Calibri" w:hint="cs"/>
          <w:b/>
          <w:bCs w:val="0"/>
          <w:i/>
          <w:iCs w:val="0"/>
          <w:szCs w:val="22"/>
          <w:rtl/>
        </w:rPr>
        <w:t>القضايا</w:t>
      </w:r>
    </w:p>
    <w:p w14:paraId="15397EDC" w14:textId="59A4F09B" w:rsidR="00C54079" w:rsidRPr="003B7AF4" w:rsidRDefault="00C54079" w:rsidP="00C54079">
      <w:pPr>
        <w:spacing w:after="240"/>
        <w:rPr>
          <w:rFonts w:ascii="Calibri" w:hAnsi="Calibri" w:cs="Calibri"/>
          <w:szCs w:val="22"/>
        </w:rPr>
      </w:pPr>
      <w:r w:rsidRPr="003B7AF4">
        <w:rPr>
          <w:rFonts w:ascii="Calibri" w:hAnsi="Calibri" w:cs="Calibri"/>
          <w:snapToGrid w:val="0"/>
          <w:szCs w:val="22"/>
          <w:rtl/>
        </w:rPr>
        <w:t>4.</w:t>
      </w:r>
      <w:r w:rsidRPr="003B7AF4">
        <w:rPr>
          <w:rFonts w:ascii="Calibri" w:hAnsi="Calibri" w:cs="Calibri"/>
          <w:snapToGrid w:val="0"/>
          <w:szCs w:val="22"/>
          <w:rtl/>
        </w:rPr>
        <w:tab/>
        <w:t xml:space="preserve">في عام 2024، شارك المركز في تسوية 858 </w:t>
      </w:r>
      <w:r w:rsidR="00610E7C" w:rsidRPr="003B7AF4">
        <w:rPr>
          <w:rFonts w:ascii="Calibri" w:hAnsi="Calibri" w:cs="Calibri"/>
          <w:snapToGrid w:val="0"/>
          <w:szCs w:val="22"/>
          <w:rtl/>
        </w:rPr>
        <w:t xml:space="preserve">منازعة </w:t>
      </w:r>
      <w:r w:rsidRPr="003B7AF4">
        <w:rPr>
          <w:rFonts w:ascii="Calibri" w:hAnsi="Calibri" w:cs="Calibri"/>
          <w:snapToGrid w:val="0"/>
          <w:szCs w:val="22"/>
          <w:rtl/>
        </w:rPr>
        <w:t xml:space="preserve">ا في مجال الملكية الفكرية والابتكار والتكنولوجيا.  ويمثل </w:t>
      </w:r>
      <w:r w:rsidR="00FE0D2F" w:rsidRPr="003B7AF4">
        <w:rPr>
          <w:rFonts w:ascii="Calibri" w:hAnsi="Calibri" w:cs="Calibri" w:hint="cs"/>
          <w:snapToGrid w:val="0"/>
          <w:szCs w:val="22"/>
          <w:rtl/>
        </w:rPr>
        <w:t xml:space="preserve">هذا الرقم </w:t>
      </w:r>
      <w:r w:rsidRPr="003B7AF4">
        <w:rPr>
          <w:rFonts w:ascii="Calibri" w:hAnsi="Calibri" w:cs="Calibri"/>
          <w:snapToGrid w:val="0"/>
          <w:szCs w:val="22"/>
          <w:rtl/>
        </w:rPr>
        <w:t xml:space="preserve">زيادة بنسبة 25 في المائة عن عام 2023 </w:t>
      </w:r>
      <w:r w:rsidR="00ED4900" w:rsidRPr="003B7AF4">
        <w:rPr>
          <w:rFonts w:ascii="Calibri" w:hAnsi="Calibri" w:cs="Calibri"/>
          <w:szCs w:val="22"/>
          <w:rtl/>
        </w:rPr>
        <w:t xml:space="preserve">وزيادة </w:t>
      </w:r>
      <w:r w:rsidRPr="003B7AF4" w:rsidDel="001F1F47">
        <w:rPr>
          <w:rFonts w:ascii="Calibri" w:hAnsi="Calibri" w:cs="Calibri"/>
          <w:szCs w:val="22"/>
          <w:rtl/>
        </w:rPr>
        <w:t xml:space="preserve">بنسبة </w:t>
      </w:r>
      <w:r w:rsidRPr="003B7AF4">
        <w:rPr>
          <w:rFonts w:ascii="Calibri" w:hAnsi="Calibri" w:cs="Calibri"/>
          <w:snapToGrid w:val="0"/>
          <w:szCs w:val="22"/>
          <w:rtl/>
        </w:rPr>
        <w:t xml:space="preserve">370 </w:t>
      </w:r>
      <w:r w:rsidRPr="003B7AF4" w:rsidDel="001F1F47">
        <w:rPr>
          <w:rFonts w:ascii="Calibri" w:hAnsi="Calibri" w:cs="Calibri"/>
          <w:szCs w:val="22"/>
          <w:rtl/>
        </w:rPr>
        <w:t xml:space="preserve">في المائة </w:t>
      </w:r>
      <w:r w:rsidRPr="003B7AF4">
        <w:rPr>
          <w:rFonts w:ascii="Calibri" w:hAnsi="Calibri" w:cs="Calibri"/>
          <w:szCs w:val="22"/>
          <w:rtl/>
        </w:rPr>
        <w:t xml:space="preserve">على مدى </w:t>
      </w:r>
      <w:r w:rsidRPr="003B7AF4" w:rsidDel="00C742B2">
        <w:rPr>
          <w:rFonts w:ascii="Calibri" w:hAnsi="Calibri" w:cs="Calibri"/>
          <w:szCs w:val="22"/>
          <w:rtl/>
        </w:rPr>
        <w:t xml:space="preserve">السنوات </w:t>
      </w:r>
      <w:r w:rsidRPr="003B7AF4" w:rsidDel="002E326E">
        <w:rPr>
          <w:rFonts w:ascii="Calibri" w:hAnsi="Calibri" w:cs="Calibri"/>
          <w:szCs w:val="22"/>
          <w:rtl/>
        </w:rPr>
        <w:t xml:space="preserve">الخمس </w:t>
      </w:r>
      <w:r w:rsidRPr="003B7AF4" w:rsidDel="00C742B2">
        <w:rPr>
          <w:rFonts w:ascii="Calibri" w:hAnsi="Calibri" w:cs="Calibri"/>
          <w:szCs w:val="22"/>
          <w:rtl/>
        </w:rPr>
        <w:t>الماضية</w:t>
      </w:r>
      <w:r w:rsidRPr="003B7AF4">
        <w:rPr>
          <w:rFonts w:ascii="Calibri" w:hAnsi="Calibri" w:cs="Calibri"/>
          <w:snapToGrid w:val="0"/>
          <w:szCs w:val="22"/>
          <w:rtl/>
        </w:rPr>
        <w:t>. وقد أُحيلت هذه المنازعات إلى المركز بموجب قواعد الويبو للوساطة والتحكيم والتحكيم المعجل أو قواعد</w:t>
      </w:r>
      <w:r w:rsidR="00FE0D2F" w:rsidRPr="003B7AF4">
        <w:rPr>
          <w:rFonts w:ascii="Calibri" w:hAnsi="Calibri" w:cs="Calibri" w:hint="cs"/>
          <w:snapToGrid w:val="0"/>
          <w:szCs w:val="22"/>
          <w:rtl/>
        </w:rPr>
        <w:t>ها لقرارات</w:t>
      </w:r>
      <w:r w:rsidRPr="003B7AF4">
        <w:rPr>
          <w:rFonts w:ascii="Calibri" w:hAnsi="Calibri" w:cs="Calibri"/>
          <w:snapToGrid w:val="0"/>
          <w:szCs w:val="22"/>
          <w:rtl/>
        </w:rPr>
        <w:t xml:space="preserve"> الخبراء والمساعي الحميدة </w:t>
      </w:r>
      <w:r w:rsidRPr="003B7AF4">
        <w:rPr>
          <w:rFonts w:ascii="Calibri" w:hAnsi="Calibri" w:cs="Calibri"/>
          <w:szCs w:val="22"/>
          <w:rtl/>
        </w:rPr>
        <w:t>(قواعد الويبو للتسوية البديلة للمنازعات</w:t>
      </w:r>
      <w:r w:rsidRPr="003B7AF4">
        <w:rPr>
          <w:rFonts w:ascii="Calibri" w:hAnsi="Calibri" w:cs="Calibri"/>
          <w:snapToGrid w:val="0"/>
          <w:szCs w:val="22"/>
          <w:rtl/>
        </w:rPr>
        <w:t xml:space="preserve">)، فضلاً عن </w:t>
      </w:r>
      <w:r w:rsidR="00FE0D2F" w:rsidRPr="003B7AF4">
        <w:rPr>
          <w:rFonts w:ascii="Calibri" w:hAnsi="Calibri" w:cs="Calibri" w:hint="cs"/>
          <w:snapToGrid w:val="0"/>
          <w:szCs w:val="22"/>
          <w:rtl/>
        </w:rPr>
        <w:t>برامج</w:t>
      </w:r>
      <w:r w:rsidRPr="003B7AF4">
        <w:rPr>
          <w:rFonts w:ascii="Calibri" w:hAnsi="Calibri" w:cs="Calibri"/>
          <w:snapToGrid w:val="0"/>
          <w:szCs w:val="22"/>
          <w:rtl/>
        </w:rPr>
        <w:t xml:space="preserve"> الإدارة المشتركة مع المحاكم </w:t>
      </w:r>
      <w:r w:rsidR="00FE0D2F" w:rsidRPr="003B7AF4">
        <w:rPr>
          <w:rFonts w:ascii="Calibri" w:hAnsi="Calibri" w:cs="Calibri" w:hint="cs"/>
          <w:snapToGrid w:val="0"/>
          <w:szCs w:val="22"/>
          <w:rtl/>
        </w:rPr>
        <w:t xml:space="preserve">والمكاتب </w:t>
      </w:r>
      <w:r w:rsidRPr="003B7AF4">
        <w:rPr>
          <w:rFonts w:ascii="Calibri" w:hAnsi="Calibri" w:cs="Calibri"/>
          <w:snapToGrid w:val="0"/>
          <w:szCs w:val="22"/>
          <w:rtl/>
        </w:rPr>
        <w:t xml:space="preserve">الوطنية </w:t>
      </w:r>
      <w:r w:rsidR="00FE0D2F" w:rsidRPr="003B7AF4">
        <w:rPr>
          <w:rFonts w:ascii="Calibri" w:hAnsi="Calibri" w:cs="Calibri" w:hint="cs"/>
          <w:snapToGrid w:val="0"/>
          <w:szCs w:val="22"/>
          <w:rtl/>
        </w:rPr>
        <w:t>المعنية با</w:t>
      </w:r>
      <w:r w:rsidRPr="003B7AF4">
        <w:rPr>
          <w:rFonts w:ascii="Calibri" w:hAnsi="Calibri" w:cs="Calibri"/>
          <w:snapToGrid w:val="0"/>
          <w:szCs w:val="22"/>
          <w:rtl/>
        </w:rPr>
        <w:t xml:space="preserve">لملكية الفكرية </w:t>
      </w:r>
      <w:r w:rsidR="00FE0D2F" w:rsidRPr="003B7AF4">
        <w:rPr>
          <w:rFonts w:ascii="Calibri" w:hAnsi="Calibri" w:cs="Calibri" w:hint="cs"/>
          <w:snapToGrid w:val="0"/>
          <w:szCs w:val="22"/>
          <w:rtl/>
        </w:rPr>
        <w:t>وحق المؤلف</w:t>
      </w:r>
      <w:r w:rsidRPr="003B7AF4">
        <w:rPr>
          <w:rFonts w:ascii="Calibri" w:hAnsi="Calibri" w:cs="Calibri"/>
          <w:snapToGrid w:val="0"/>
          <w:szCs w:val="22"/>
          <w:rtl/>
        </w:rPr>
        <w:t>.</w:t>
      </w:r>
    </w:p>
    <w:p w14:paraId="59C478F7" w14:textId="06C608E2" w:rsidR="00C54079" w:rsidRPr="003B7AF4" w:rsidRDefault="00C54079" w:rsidP="00C54079">
      <w:pPr>
        <w:pStyle w:val="Heading3"/>
        <w:spacing w:after="220"/>
        <w:ind w:left="1166"/>
        <w:rPr>
          <w:rStyle w:val="FootnoteReference"/>
          <w:rFonts w:ascii="Calibri" w:hAnsi="Calibri" w:cs="Calibri"/>
          <w:b/>
          <w:bCs w:val="0"/>
          <w:szCs w:val="22"/>
          <w:u w:val="none"/>
        </w:rPr>
      </w:pPr>
      <w:r w:rsidRPr="003B7AF4">
        <w:rPr>
          <w:rFonts w:ascii="Calibri" w:hAnsi="Calibri" w:cs="Calibri"/>
          <w:b/>
          <w:bCs w:val="0"/>
          <w:szCs w:val="22"/>
          <w:u w:val="none"/>
          <w:rtl/>
        </w:rPr>
        <w:t>(</w:t>
      </w:r>
      <w:r w:rsidR="00207360" w:rsidRPr="003B7AF4">
        <w:rPr>
          <w:rFonts w:ascii="Calibri" w:hAnsi="Calibri" w:cs="Calibri" w:hint="cs"/>
          <w:b/>
          <w:bCs w:val="0"/>
          <w:szCs w:val="22"/>
          <w:u w:val="none"/>
          <w:rtl/>
        </w:rPr>
        <w:t>أ</w:t>
      </w:r>
      <w:r w:rsidRPr="003B7AF4">
        <w:rPr>
          <w:rFonts w:ascii="Calibri" w:hAnsi="Calibri" w:cs="Calibri"/>
          <w:b/>
          <w:bCs w:val="0"/>
          <w:szCs w:val="22"/>
          <w:u w:val="none"/>
          <w:rtl/>
        </w:rPr>
        <w:t>)</w:t>
      </w:r>
      <w:r w:rsidRPr="003B7AF4">
        <w:rPr>
          <w:rFonts w:ascii="Calibri" w:hAnsi="Calibri" w:cs="Calibri"/>
          <w:b/>
          <w:bCs w:val="0"/>
          <w:szCs w:val="22"/>
          <w:u w:val="none"/>
          <w:rtl/>
        </w:rPr>
        <w:tab/>
      </w:r>
      <w:bookmarkStart w:id="3" w:name="_Hlk190866936"/>
      <w:r w:rsidR="00207360" w:rsidRPr="003B7AF4">
        <w:rPr>
          <w:rFonts w:ascii="Calibri" w:hAnsi="Calibri" w:cs="Calibri" w:hint="cs"/>
          <w:b/>
          <w:bCs w:val="0"/>
          <w:szCs w:val="22"/>
          <w:u w:val="none"/>
          <w:rtl/>
        </w:rPr>
        <w:t xml:space="preserve">قواعد </w:t>
      </w:r>
      <w:r w:rsidRPr="003B7AF4">
        <w:rPr>
          <w:rFonts w:ascii="Calibri" w:hAnsi="Calibri" w:cs="Calibri"/>
          <w:b/>
          <w:bCs w:val="0"/>
          <w:szCs w:val="22"/>
          <w:u w:val="none"/>
          <w:rtl/>
        </w:rPr>
        <w:t xml:space="preserve">الويبو </w:t>
      </w:r>
      <w:r w:rsidR="00207360" w:rsidRPr="003B7AF4">
        <w:rPr>
          <w:rFonts w:ascii="Calibri" w:hAnsi="Calibri" w:cs="Calibri" w:hint="cs"/>
          <w:b/>
          <w:bCs w:val="0"/>
          <w:szCs w:val="22"/>
          <w:u w:val="none"/>
          <w:rtl/>
        </w:rPr>
        <w:t>لل</w:t>
      </w:r>
      <w:r w:rsidR="00207360" w:rsidRPr="003B7AF4">
        <w:rPr>
          <w:rFonts w:ascii="Calibri" w:hAnsi="Calibri" w:cs="Calibri"/>
          <w:b/>
          <w:bCs w:val="0"/>
          <w:szCs w:val="22"/>
          <w:u w:val="none"/>
          <w:rtl/>
        </w:rPr>
        <w:t xml:space="preserve">وساطة </w:t>
      </w:r>
      <w:r w:rsidRPr="003B7AF4">
        <w:rPr>
          <w:rFonts w:ascii="Calibri" w:hAnsi="Calibri" w:cs="Calibri"/>
          <w:b/>
          <w:bCs w:val="0"/>
          <w:szCs w:val="22"/>
          <w:u w:val="none"/>
          <w:rtl/>
        </w:rPr>
        <w:t xml:space="preserve">والتحكيم </w:t>
      </w:r>
      <w:r w:rsidR="00207360" w:rsidRPr="003B7AF4">
        <w:rPr>
          <w:rFonts w:ascii="Calibri" w:hAnsi="Calibri" w:cs="Calibri" w:hint="cs"/>
          <w:b/>
          <w:bCs w:val="0"/>
          <w:szCs w:val="22"/>
          <w:u w:val="none"/>
          <w:rtl/>
        </w:rPr>
        <w:t>وقرارات</w:t>
      </w:r>
      <w:r w:rsidRPr="003B7AF4">
        <w:rPr>
          <w:rFonts w:ascii="Calibri" w:hAnsi="Calibri" w:cs="Calibri"/>
          <w:b/>
          <w:bCs w:val="0"/>
          <w:szCs w:val="22"/>
          <w:u w:val="none"/>
          <w:rtl/>
        </w:rPr>
        <w:t xml:space="preserve"> الخبراء والمساعي الحميدة</w:t>
      </w:r>
      <w:bookmarkEnd w:id="3"/>
    </w:p>
    <w:p w14:paraId="61617AAA" w14:textId="604EF30A" w:rsidR="00C54079" w:rsidRPr="003B7AF4" w:rsidRDefault="00C54079" w:rsidP="00C54079">
      <w:pPr>
        <w:pStyle w:val="ListParagraph"/>
        <w:widowControl w:val="0"/>
        <w:shd w:val="clear" w:color="auto" w:fill="FFFFFF" w:themeFill="background1"/>
        <w:spacing w:after="240"/>
        <w:ind w:left="0"/>
        <w:rPr>
          <w:rFonts w:ascii="Calibri" w:hAnsi="Calibri" w:cs="Calibri"/>
          <w:szCs w:val="22"/>
          <w:shd w:val="clear" w:color="auto" w:fill="FFFFFF" w:themeFill="background1"/>
        </w:rPr>
      </w:pPr>
      <w:r w:rsidRPr="003B7AF4">
        <w:rPr>
          <w:rFonts w:ascii="Calibri" w:hAnsi="Calibri" w:cs="Calibri"/>
          <w:szCs w:val="22"/>
          <w:rtl/>
        </w:rPr>
        <w:t>5.</w:t>
      </w:r>
      <w:r w:rsidRPr="003B7AF4">
        <w:rPr>
          <w:rFonts w:ascii="Calibri" w:hAnsi="Calibri" w:cs="Calibri"/>
          <w:szCs w:val="22"/>
          <w:rtl/>
        </w:rPr>
        <w:tab/>
        <w:t xml:space="preserve">تهدف إجراءات الوساطة والتحكيم </w:t>
      </w:r>
      <w:r w:rsidR="00720644" w:rsidRPr="003B7AF4">
        <w:rPr>
          <w:rFonts w:ascii="Calibri" w:hAnsi="Calibri" w:cs="Calibri" w:hint="cs"/>
          <w:szCs w:val="22"/>
          <w:rtl/>
        </w:rPr>
        <w:t>وقرارات الخبراء</w:t>
      </w:r>
      <w:r w:rsidRPr="003B7AF4">
        <w:rPr>
          <w:rFonts w:ascii="Calibri" w:hAnsi="Calibri" w:cs="Calibri"/>
          <w:szCs w:val="22"/>
          <w:rtl/>
        </w:rPr>
        <w:t xml:space="preserve"> التي يقدمها المركز إلى تلبية احتياجات الأطراف من </w:t>
      </w:r>
      <w:r w:rsidR="00904600" w:rsidRPr="003B7AF4">
        <w:rPr>
          <w:rFonts w:ascii="Calibri" w:hAnsi="Calibri" w:cs="Calibri" w:hint="cs"/>
          <w:szCs w:val="22"/>
          <w:rtl/>
        </w:rPr>
        <w:t xml:space="preserve">أجل </w:t>
      </w:r>
      <w:r w:rsidR="00904600" w:rsidRPr="003B7AF4">
        <w:rPr>
          <w:rFonts w:ascii="Calibri" w:hAnsi="Calibri" w:cs="Calibri"/>
          <w:szCs w:val="22"/>
          <w:rtl/>
        </w:rPr>
        <w:t xml:space="preserve">تسوية المنازعات المتعلقة بالملكية الفكرية والتكنولوجيا </w:t>
      </w:r>
      <w:r w:rsidR="00904600" w:rsidRPr="003B7AF4">
        <w:rPr>
          <w:rFonts w:ascii="Calibri" w:hAnsi="Calibri" w:cs="Calibri" w:hint="cs"/>
          <w:szCs w:val="22"/>
          <w:rtl/>
        </w:rPr>
        <w:t>علي نحو أوفر وأسرع</w:t>
      </w:r>
      <w:r w:rsidRPr="003B7AF4">
        <w:rPr>
          <w:rFonts w:ascii="Calibri" w:hAnsi="Calibri" w:cs="Calibri"/>
          <w:szCs w:val="22"/>
          <w:rtl/>
        </w:rPr>
        <w:t>. ويشارك المركز في إدارة القضايا في إطار تلك الإجراءات، والتي تشمل التوجيه الإجرائي، وتدريب</w:t>
      </w:r>
      <w:r w:rsidRPr="003B7AF4">
        <w:rPr>
          <w:rStyle w:val="FootnoteReference"/>
          <w:rFonts w:ascii="Calibri" w:hAnsi="Calibri" w:cs="Calibri"/>
          <w:szCs w:val="22"/>
          <w:rtl/>
        </w:rPr>
        <w:footnoteReference w:id="2"/>
      </w:r>
      <w:r w:rsidRPr="003B7AF4">
        <w:rPr>
          <w:rFonts w:ascii="Calibri" w:hAnsi="Calibri" w:cs="Calibri"/>
          <w:szCs w:val="22"/>
          <w:rtl/>
        </w:rPr>
        <w:t xml:space="preserve"> ،</w:t>
      </w:r>
      <w:r w:rsidRPr="003B7AF4">
        <w:rPr>
          <w:rStyle w:val="FootnoteReference"/>
          <w:rFonts w:ascii="Calibri" w:eastAsia="Simplified Arabic" w:hAnsi="Calibri" w:cs="Calibri"/>
          <w:szCs w:val="22"/>
          <w:rtl/>
        </w:rPr>
        <w:footnoteReference w:id="3"/>
      </w:r>
      <w:r w:rsidRPr="003B7AF4">
        <w:rPr>
          <w:rFonts w:ascii="Calibri" w:hAnsi="Calibri" w:cs="Calibri"/>
          <w:szCs w:val="22"/>
          <w:rtl/>
        </w:rPr>
        <w:t xml:space="preserve"> </w:t>
      </w:r>
      <w:r w:rsidR="00DE1DE0" w:rsidRPr="003B7AF4">
        <w:rPr>
          <w:rFonts w:ascii="Calibri" w:hAnsi="Calibri" w:cs="Calibri" w:hint="cs"/>
          <w:szCs w:val="22"/>
          <w:rtl/>
        </w:rPr>
        <w:t>و</w:t>
      </w:r>
      <w:r w:rsidRPr="003B7AF4">
        <w:rPr>
          <w:rFonts w:ascii="Calibri" w:hAnsi="Calibri" w:cs="Calibri"/>
          <w:szCs w:val="22"/>
          <w:rtl/>
        </w:rPr>
        <w:t xml:space="preserve">تعيين ودعم الوسطاء والمحكمين والخبراء المؤهلين، والحفاظ على بنية </w:t>
      </w:r>
      <w:r w:rsidR="00DE1DE0" w:rsidRPr="003B7AF4">
        <w:rPr>
          <w:rFonts w:ascii="Calibri" w:hAnsi="Calibri" w:cs="Calibri" w:hint="cs"/>
          <w:szCs w:val="22"/>
          <w:rtl/>
        </w:rPr>
        <w:t>إدارة ا</w:t>
      </w:r>
      <w:r w:rsidR="00DE1DE0" w:rsidRPr="003B7AF4">
        <w:rPr>
          <w:rFonts w:ascii="Calibri" w:hAnsi="Calibri" w:cs="Calibri"/>
          <w:szCs w:val="22"/>
          <w:rtl/>
        </w:rPr>
        <w:t xml:space="preserve">لقضايا </w:t>
      </w:r>
      <w:r w:rsidRPr="003B7AF4">
        <w:rPr>
          <w:rFonts w:ascii="Calibri" w:hAnsi="Calibri" w:cs="Calibri"/>
          <w:szCs w:val="22"/>
          <w:rtl/>
        </w:rPr>
        <w:t>محدثة. و</w:t>
      </w:r>
      <w:r w:rsidR="00163CFE" w:rsidRPr="003B7AF4">
        <w:rPr>
          <w:rFonts w:ascii="Calibri" w:hAnsi="Calibri" w:cs="Calibri" w:hint="cs"/>
          <w:szCs w:val="22"/>
          <w:rtl/>
        </w:rPr>
        <w:t>تحال</w:t>
      </w:r>
      <w:r w:rsidRPr="003B7AF4">
        <w:rPr>
          <w:rFonts w:ascii="Calibri" w:hAnsi="Calibri" w:cs="Calibri"/>
          <w:szCs w:val="22"/>
          <w:rtl/>
        </w:rPr>
        <w:t xml:space="preserve"> القضايا إلى المركز بناء على </w:t>
      </w:r>
      <w:r w:rsidR="00163CFE" w:rsidRPr="003B7AF4">
        <w:rPr>
          <w:rFonts w:ascii="Calibri" w:hAnsi="Calibri" w:cs="Calibri" w:hint="cs"/>
          <w:szCs w:val="22"/>
          <w:rtl/>
        </w:rPr>
        <w:t>بند</w:t>
      </w:r>
      <w:r w:rsidRPr="003B7AF4">
        <w:rPr>
          <w:rFonts w:ascii="Calibri" w:hAnsi="Calibri" w:cs="Calibri"/>
          <w:szCs w:val="22"/>
          <w:rtl/>
        </w:rPr>
        <w:t xml:space="preserve"> تعاقدي مسبق أو، على نحو متزايد، اتفاق </w:t>
      </w:r>
      <w:r w:rsidR="00163CFE" w:rsidRPr="003B7AF4">
        <w:rPr>
          <w:rFonts w:ascii="Calibri" w:hAnsi="Calibri" w:cs="Calibri" w:hint="cs"/>
          <w:szCs w:val="22"/>
          <w:rtl/>
        </w:rPr>
        <w:t>الإيداع</w:t>
      </w:r>
      <w:r w:rsidRPr="003B7AF4">
        <w:rPr>
          <w:rFonts w:ascii="Calibri" w:hAnsi="Calibri" w:cs="Calibri"/>
          <w:szCs w:val="22"/>
          <w:rtl/>
        </w:rPr>
        <w:t xml:space="preserve"> </w:t>
      </w:r>
      <w:r w:rsidR="00163CFE" w:rsidRPr="003B7AF4">
        <w:rPr>
          <w:rFonts w:ascii="Calibri" w:hAnsi="Calibri" w:cs="Calibri" w:hint="cs"/>
          <w:szCs w:val="22"/>
          <w:rtl/>
        </w:rPr>
        <w:t>اللاحق</w:t>
      </w:r>
      <w:r w:rsidRPr="003B7AF4">
        <w:rPr>
          <w:rFonts w:ascii="Calibri" w:hAnsi="Calibri" w:cs="Calibri"/>
          <w:szCs w:val="22"/>
          <w:rtl/>
        </w:rPr>
        <w:t xml:space="preserve"> </w:t>
      </w:r>
      <w:r w:rsidR="00163CFE" w:rsidRPr="003B7AF4">
        <w:rPr>
          <w:rFonts w:ascii="Calibri" w:hAnsi="Calibri" w:cs="Calibri" w:hint="cs"/>
          <w:szCs w:val="22"/>
          <w:rtl/>
        </w:rPr>
        <w:t>للمنازعة</w:t>
      </w:r>
      <w:r w:rsidRPr="003B7AF4">
        <w:rPr>
          <w:rFonts w:ascii="Calibri" w:hAnsi="Calibri" w:cs="Calibri"/>
          <w:szCs w:val="22"/>
          <w:rtl/>
        </w:rPr>
        <w:t xml:space="preserve"> (بما في ذلك الإحالات إلى المحاكم)، وكذلك بطلب من جانب واحد بموجب</w:t>
      </w:r>
      <w:hyperlink r:id="rId16" w:history="1">
        <w:r w:rsidRPr="009608CC">
          <w:rPr>
            <w:rStyle w:val="Hyperlink"/>
            <w:rFonts w:ascii="Calibri" w:hAnsi="Calibri" w:cs="Calibri"/>
            <w:szCs w:val="22"/>
            <w:rtl/>
          </w:rPr>
          <w:t xml:space="preserve"> المادة 4 من قواعد الويبو للوساطة</w:t>
        </w:r>
      </w:hyperlink>
      <w:r w:rsidRPr="003B7AF4">
        <w:rPr>
          <w:rFonts w:ascii="Calibri" w:hAnsi="Calibri" w:cs="Calibri"/>
          <w:szCs w:val="22"/>
          <w:rtl/>
        </w:rPr>
        <w:t xml:space="preserve">. </w:t>
      </w:r>
      <w:r w:rsidRPr="003B7AF4">
        <w:rPr>
          <w:rStyle w:val="FootnoteReference"/>
          <w:rFonts w:ascii="Calibri" w:hAnsi="Calibri" w:cs="Calibri"/>
          <w:szCs w:val="22"/>
          <w:rtl/>
        </w:rPr>
        <w:footnoteReference w:id="4"/>
      </w:r>
      <w:r w:rsidR="00904600" w:rsidRPr="003B7AF4">
        <w:rPr>
          <w:rFonts w:ascii="Calibri" w:hAnsi="Calibri" w:cs="Calibri" w:hint="cs"/>
          <w:szCs w:val="22"/>
          <w:rtl/>
        </w:rPr>
        <w:t xml:space="preserve"> </w:t>
      </w:r>
    </w:p>
    <w:p w14:paraId="73ABAAEA" w14:textId="77777777" w:rsidR="00C54079" w:rsidRPr="003B7AF4" w:rsidRDefault="00C54079" w:rsidP="00C54079">
      <w:pPr>
        <w:pStyle w:val="ListParagraph"/>
        <w:widowControl w:val="0"/>
        <w:shd w:val="clear" w:color="auto" w:fill="FFFFFF" w:themeFill="background1"/>
        <w:spacing w:after="240"/>
        <w:ind w:left="0"/>
        <w:rPr>
          <w:rFonts w:ascii="Calibri" w:hAnsi="Calibri" w:cs="Calibri"/>
          <w:szCs w:val="22"/>
          <w:shd w:val="clear" w:color="auto" w:fill="FFFFFF" w:themeFill="background1"/>
        </w:rPr>
      </w:pPr>
    </w:p>
    <w:p w14:paraId="1BC8C713" w14:textId="74677AB3" w:rsidR="00C54079" w:rsidRPr="003B7AF4" w:rsidRDefault="00C54079" w:rsidP="008264FB">
      <w:pPr>
        <w:pStyle w:val="ListParagraph"/>
        <w:numPr>
          <w:ilvl w:val="0"/>
          <w:numId w:val="7"/>
        </w:numPr>
        <w:spacing w:after="160"/>
        <w:ind w:left="0" w:firstLine="0"/>
        <w:rPr>
          <w:rFonts w:ascii="Calibri" w:hAnsi="Calibri" w:cs="Calibri"/>
          <w:szCs w:val="22"/>
        </w:rPr>
      </w:pPr>
      <w:r w:rsidRPr="003B7AF4">
        <w:rPr>
          <w:rFonts w:ascii="Calibri" w:hAnsi="Calibri" w:cs="Calibri"/>
          <w:szCs w:val="22"/>
          <w:rtl/>
        </w:rPr>
        <w:t xml:space="preserve">وفي عام 2024، أحيلت 287 منازعة إلى الإجراءات بموجب قواعد </w:t>
      </w:r>
      <w:r w:rsidR="00163CFE" w:rsidRPr="003B7AF4">
        <w:rPr>
          <w:rFonts w:ascii="Calibri" w:hAnsi="Calibri" w:cs="Calibri" w:hint="cs"/>
          <w:szCs w:val="22"/>
          <w:rtl/>
        </w:rPr>
        <w:t>الويبو</w:t>
      </w:r>
      <w:r w:rsidRPr="003B7AF4">
        <w:rPr>
          <w:rFonts w:ascii="Calibri" w:hAnsi="Calibri" w:cs="Calibri"/>
          <w:szCs w:val="22"/>
          <w:rtl/>
        </w:rPr>
        <w:t xml:space="preserve"> لتسوية المنازعات التي تغطي مجموعة واسعة من مجالات الملكية الفكرية، بما في ذلك حق المؤلف والمحتوى الرقمي (48 في المائة) والعلامات التجارية (29 في المائة) والبراءات (10 في المائة). وشكلت الشركات الصغيرة والمتوسطة الحجم،</w:t>
      </w:r>
      <w:r w:rsidRPr="003B7AF4">
        <w:rPr>
          <w:rFonts w:ascii="Calibri" w:hAnsi="Calibri" w:cs="Calibri"/>
          <w:szCs w:val="22"/>
          <w:vertAlign w:val="superscript"/>
          <w:rtl/>
        </w:rPr>
        <w:footnoteReference w:id="5"/>
      </w:r>
      <w:r w:rsidRPr="003B7AF4">
        <w:rPr>
          <w:rFonts w:ascii="Calibri" w:hAnsi="Calibri" w:cs="Calibri"/>
          <w:szCs w:val="22"/>
          <w:rtl/>
        </w:rPr>
        <w:t xml:space="preserve"> بما في ذلك الشركات الناشئة والمبدعين والمبتكرين، 50 في المائة من الأطراف المتنازعة. </w:t>
      </w:r>
      <w:r w:rsidR="00163CFE" w:rsidRPr="003B7AF4">
        <w:rPr>
          <w:rFonts w:ascii="Calibri" w:hAnsi="Calibri" w:cs="Calibri" w:hint="cs"/>
          <w:szCs w:val="22"/>
          <w:rtl/>
        </w:rPr>
        <w:t>و</w:t>
      </w:r>
      <w:r w:rsidRPr="003B7AF4">
        <w:rPr>
          <w:rFonts w:ascii="Calibri" w:hAnsi="Calibri" w:cs="Calibri"/>
          <w:szCs w:val="22"/>
          <w:rtl/>
        </w:rPr>
        <w:t>تلتها الشركات الكبيرة الحجم (37 في المائة)، وكيانات أخرى مثل منظمات الإدارة الجماعية والجامعات ومراكز البحث والتطوير. و</w:t>
      </w:r>
      <w:r w:rsidR="00F46739" w:rsidRPr="003B7AF4">
        <w:rPr>
          <w:rFonts w:ascii="Calibri" w:hAnsi="Calibri" w:cs="Calibri" w:hint="cs"/>
          <w:szCs w:val="22"/>
          <w:rtl/>
        </w:rPr>
        <w:t>استقطبت الإجراءات</w:t>
      </w:r>
      <w:r w:rsidRPr="003B7AF4">
        <w:rPr>
          <w:rFonts w:ascii="Calibri" w:hAnsi="Calibri" w:cs="Calibri"/>
          <w:szCs w:val="22"/>
          <w:rtl/>
        </w:rPr>
        <w:t xml:space="preserve"> أطراف</w:t>
      </w:r>
      <w:r w:rsidR="00F46739" w:rsidRPr="003B7AF4">
        <w:rPr>
          <w:rFonts w:ascii="Calibri" w:hAnsi="Calibri" w:cs="Calibri" w:hint="cs"/>
          <w:szCs w:val="22"/>
          <w:rtl/>
        </w:rPr>
        <w:t>ا</w:t>
      </w:r>
      <w:r w:rsidRPr="003B7AF4">
        <w:rPr>
          <w:rFonts w:ascii="Calibri" w:hAnsi="Calibri" w:cs="Calibri"/>
          <w:szCs w:val="22"/>
          <w:rtl/>
        </w:rPr>
        <w:t xml:space="preserve"> متنازعة من 62 </w:t>
      </w:r>
      <w:r w:rsidR="00F46739" w:rsidRPr="003B7AF4">
        <w:rPr>
          <w:rFonts w:ascii="Calibri" w:hAnsi="Calibri" w:cs="Calibri" w:hint="cs"/>
          <w:szCs w:val="22"/>
          <w:rtl/>
        </w:rPr>
        <w:t>بلدا</w:t>
      </w:r>
      <w:r w:rsidRPr="003B7AF4">
        <w:rPr>
          <w:rFonts w:ascii="Calibri" w:hAnsi="Calibri" w:cs="Calibri"/>
          <w:szCs w:val="22"/>
          <w:rtl/>
        </w:rPr>
        <w:t xml:space="preserve"> من </w:t>
      </w:r>
      <w:r w:rsidR="009E1257" w:rsidRPr="003B7AF4">
        <w:rPr>
          <w:rFonts w:ascii="Calibri" w:hAnsi="Calibri" w:cs="Calibri"/>
          <w:szCs w:val="22"/>
          <w:rtl/>
        </w:rPr>
        <w:t>جميع أنحاء العالم.</w:t>
      </w:r>
      <w:r w:rsidRPr="003B7AF4">
        <w:rPr>
          <w:rFonts w:ascii="Calibri" w:hAnsi="Calibri" w:cs="Calibri"/>
          <w:szCs w:val="22"/>
          <w:rtl/>
        </w:rPr>
        <w:t xml:space="preserve">  </w:t>
      </w:r>
    </w:p>
    <w:p w14:paraId="0089E552" w14:textId="77777777" w:rsidR="00C54079" w:rsidRPr="003B7AF4" w:rsidRDefault="00C54079" w:rsidP="00C54079">
      <w:pPr>
        <w:pStyle w:val="ListParagraph"/>
        <w:rPr>
          <w:rFonts w:ascii="Calibri" w:hAnsi="Calibri" w:cs="Calibri"/>
          <w:szCs w:val="22"/>
        </w:rPr>
      </w:pPr>
    </w:p>
    <w:p w14:paraId="5AB1DECE" w14:textId="0658C84A" w:rsidR="00914D44" w:rsidRPr="003B7AF4" w:rsidRDefault="00914D44" w:rsidP="00914D44">
      <w:pPr>
        <w:pStyle w:val="ListParagraph"/>
        <w:numPr>
          <w:ilvl w:val="0"/>
          <w:numId w:val="7"/>
        </w:numPr>
        <w:spacing w:after="160"/>
        <w:ind w:left="0" w:firstLine="0"/>
        <w:rPr>
          <w:rFonts w:ascii="Calibri" w:hAnsi="Calibri" w:cs="Calibri"/>
          <w:szCs w:val="22"/>
        </w:rPr>
      </w:pPr>
      <w:r w:rsidRPr="003B7AF4">
        <w:rPr>
          <w:rFonts w:ascii="Calibri" w:hAnsi="Calibri" w:cs="Calibri"/>
          <w:szCs w:val="22"/>
          <w:rtl/>
        </w:rPr>
        <w:t>وشملت قطاعات الأعمال الرئيسية المعنية ب</w:t>
      </w:r>
      <w:r w:rsidR="00B17F05" w:rsidRPr="003B7AF4">
        <w:rPr>
          <w:rFonts w:ascii="Calibri" w:hAnsi="Calibri" w:cs="Calibri"/>
          <w:szCs w:val="22"/>
          <w:rtl/>
        </w:rPr>
        <w:t xml:space="preserve">المنازعات </w:t>
      </w:r>
      <w:r w:rsidRPr="003B7AF4">
        <w:rPr>
          <w:rFonts w:ascii="Calibri" w:hAnsi="Calibri" w:cs="Calibri"/>
          <w:szCs w:val="22"/>
          <w:rtl/>
        </w:rPr>
        <w:t xml:space="preserve"> في إطار قواعد </w:t>
      </w:r>
      <w:r w:rsidR="00D33124" w:rsidRPr="003B7AF4">
        <w:rPr>
          <w:rFonts w:ascii="Calibri" w:hAnsi="Calibri" w:cs="Calibri" w:hint="cs"/>
          <w:szCs w:val="22"/>
          <w:rtl/>
        </w:rPr>
        <w:t>الويبو</w:t>
      </w:r>
      <w:r w:rsidRPr="003B7AF4">
        <w:rPr>
          <w:rFonts w:ascii="Calibri" w:hAnsi="Calibri" w:cs="Calibri"/>
          <w:szCs w:val="22"/>
          <w:rtl/>
        </w:rPr>
        <w:t xml:space="preserve"> لتسوية المنازعات الصناعات الإبداعية (الإدارة الجماعية وألعاب الفيديو والرياضات الإلكترونية والترفيه والبرمجيات).  وكانت القطاعات الأخرى المعنية هي تكنولوجيا المعلومات والاتصالات (</w:t>
      </w:r>
      <w:r w:rsidR="00D33124" w:rsidRPr="003B7AF4">
        <w:rPr>
          <w:rFonts w:ascii="Calibri" w:hAnsi="Calibri" w:cs="Calibri" w:hint="cs"/>
          <w:szCs w:val="22"/>
          <w:rtl/>
        </w:rPr>
        <w:t>ال</w:t>
      </w:r>
      <w:r w:rsidRPr="003B7AF4">
        <w:rPr>
          <w:rFonts w:ascii="Calibri" w:hAnsi="Calibri" w:cs="Calibri"/>
          <w:szCs w:val="22"/>
          <w:rtl/>
        </w:rPr>
        <w:t xml:space="preserve">براءات الأساسية المعيارية (SEP)/ قرارات عادلة ومعقولة وغير تمييزية (FRAND)، والاتصالات)، وعلوم الحياة (التكنولوجيا الحيوية والمستحضرات الصيدلانية)، والأزياء (السلع الكمالية)، </w:t>
      </w:r>
      <w:r w:rsidR="00ED4900" w:rsidRPr="003B7AF4">
        <w:rPr>
          <w:rFonts w:ascii="Calibri" w:hAnsi="Calibri" w:cs="Calibri"/>
          <w:szCs w:val="22"/>
          <w:rtl/>
        </w:rPr>
        <w:t>والبحث والتطوير (</w:t>
      </w:r>
      <w:r w:rsidRPr="003B7AF4">
        <w:rPr>
          <w:rFonts w:ascii="Calibri" w:hAnsi="Calibri" w:cs="Calibri"/>
          <w:szCs w:val="22"/>
          <w:rtl/>
        </w:rPr>
        <w:t>R&amp;D</w:t>
      </w:r>
      <w:r w:rsidR="00ED4900" w:rsidRPr="003B7AF4">
        <w:rPr>
          <w:rFonts w:ascii="Calibri" w:hAnsi="Calibri" w:cs="Calibri"/>
          <w:szCs w:val="22"/>
          <w:rtl/>
        </w:rPr>
        <w:t>)</w:t>
      </w:r>
      <w:r w:rsidRPr="003B7AF4">
        <w:rPr>
          <w:rFonts w:ascii="Calibri" w:hAnsi="Calibri" w:cs="Calibri"/>
          <w:szCs w:val="22"/>
          <w:rtl/>
        </w:rPr>
        <w:t>/ التكنولوجيا الخضراء. وشملت هذه القضايا التعدي على حق</w:t>
      </w:r>
      <w:r w:rsidR="001D3DF2" w:rsidRPr="003B7AF4">
        <w:rPr>
          <w:rFonts w:ascii="Calibri" w:hAnsi="Calibri" w:cs="Calibri" w:hint="cs"/>
          <w:szCs w:val="22"/>
          <w:rtl/>
        </w:rPr>
        <w:t xml:space="preserve"> المؤلف</w:t>
      </w:r>
      <w:r w:rsidRPr="003B7AF4">
        <w:rPr>
          <w:rFonts w:ascii="Calibri" w:hAnsi="Calibri" w:cs="Calibri"/>
          <w:szCs w:val="22"/>
          <w:rtl/>
        </w:rPr>
        <w:t xml:space="preserve"> و</w:t>
      </w:r>
      <w:r w:rsidR="001D3DF2" w:rsidRPr="003B7AF4">
        <w:rPr>
          <w:rFonts w:ascii="Calibri" w:hAnsi="Calibri" w:cs="Calibri" w:hint="cs"/>
          <w:szCs w:val="22"/>
          <w:rtl/>
        </w:rPr>
        <w:t>ال</w:t>
      </w:r>
      <w:r w:rsidRPr="003B7AF4">
        <w:rPr>
          <w:rFonts w:ascii="Calibri" w:hAnsi="Calibri" w:cs="Calibri"/>
          <w:szCs w:val="22"/>
          <w:rtl/>
        </w:rPr>
        <w:t xml:space="preserve">براءات والعلامات التجارية، واتفاقات البحث والتطوير، </w:t>
      </w:r>
      <w:r w:rsidRPr="003B7AF4">
        <w:rPr>
          <w:rFonts w:ascii="Calibri" w:hAnsi="Calibri" w:cs="Calibri"/>
          <w:szCs w:val="22"/>
          <w:shd w:val="clear" w:color="auto" w:fill="FFFFFF" w:themeFill="background1"/>
          <w:rtl/>
        </w:rPr>
        <w:t xml:space="preserve">والإخلال بالعقد، وتعديلات الإتاوات والمدفوعات، واتفاقات التعايش المشترك للعلامات التجارية، </w:t>
      </w:r>
      <w:r w:rsidRPr="003B7AF4">
        <w:rPr>
          <w:rFonts w:ascii="Calibri" w:hAnsi="Calibri" w:cs="Calibri"/>
          <w:szCs w:val="22"/>
          <w:rtl/>
        </w:rPr>
        <w:t xml:space="preserve">واتفاقات ترخيص </w:t>
      </w:r>
      <w:r w:rsidR="001D3DF2" w:rsidRPr="003B7AF4">
        <w:rPr>
          <w:rFonts w:ascii="Calibri" w:hAnsi="Calibri" w:cs="Calibri" w:hint="cs"/>
          <w:szCs w:val="22"/>
          <w:rtl/>
        </w:rPr>
        <w:t>ال</w:t>
      </w:r>
      <w:r w:rsidRPr="003B7AF4">
        <w:rPr>
          <w:rFonts w:ascii="Calibri" w:hAnsi="Calibri" w:cs="Calibri"/>
          <w:szCs w:val="22"/>
          <w:rtl/>
        </w:rPr>
        <w:t xml:space="preserve">براءات بما في ذلك تحديدات SEP/FRAND، واتفاقات تطوير علوم الحياة واتفاقات التوزيع، </w:t>
      </w:r>
      <w:r w:rsidRPr="003B7AF4">
        <w:rPr>
          <w:rFonts w:ascii="Calibri" w:hAnsi="Calibri" w:cs="Calibri"/>
          <w:szCs w:val="22"/>
          <w:shd w:val="clear" w:color="auto" w:fill="FFFFFF" w:themeFill="background1"/>
          <w:rtl/>
        </w:rPr>
        <w:t xml:space="preserve">وإزالة المحتوى من المنصات الإلكترونية، </w:t>
      </w:r>
      <w:r w:rsidR="000B20D3" w:rsidRPr="003B7AF4">
        <w:rPr>
          <w:rFonts w:ascii="Calibri" w:hAnsi="Calibri" w:cs="Calibri"/>
          <w:szCs w:val="22"/>
          <w:shd w:val="clear" w:color="auto" w:fill="FFFFFF" w:themeFill="background1"/>
          <w:rtl/>
        </w:rPr>
        <w:t xml:space="preserve">وطلبات </w:t>
      </w:r>
      <w:r w:rsidRPr="003B7AF4">
        <w:rPr>
          <w:rFonts w:ascii="Calibri" w:hAnsi="Calibri" w:cs="Calibri"/>
          <w:szCs w:val="22"/>
          <w:shd w:val="clear" w:color="auto" w:fill="FFFFFF" w:themeFill="background1"/>
          <w:rtl/>
        </w:rPr>
        <w:t>الأداء المحدد، والمطالبات بالتعويض عن الأضرار، و</w:t>
      </w:r>
      <w:r w:rsidR="001D3DF2" w:rsidRPr="003B7AF4">
        <w:rPr>
          <w:rFonts w:ascii="Calibri" w:hAnsi="Calibri" w:cs="Calibri" w:hint="cs"/>
          <w:szCs w:val="22"/>
          <w:shd w:val="clear" w:color="auto" w:fill="FFFFFF" w:themeFill="background1"/>
          <w:rtl/>
        </w:rPr>
        <w:t>الاعتراض على</w:t>
      </w:r>
      <w:r w:rsidRPr="003B7AF4">
        <w:rPr>
          <w:rFonts w:ascii="Calibri" w:hAnsi="Calibri" w:cs="Calibri"/>
          <w:szCs w:val="22"/>
          <w:shd w:val="clear" w:color="auto" w:fill="FFFFFF" w:themeFill="background1"/>
          <w:rtl/>
        </w:rPr>
        <w:t xml:space="preserve"> العلامات التجارية المعلقة أمام مكاتب الملكية </w:t>
      </w:r>
      <w:r w:rsidRPr="003B7AF4">
        <w:rPr>
          <w:rFonts w:ascii="Calibri" w:hAnsi="Calibri" w:cs="Calibri"/>
          <w:szCs w:val="22"/>
          <w:rtl/>
        </w:rPr>
        <w:t>الفكرية، والمؤشرات الجغرافية، وتطوير البرمجيات وترخيصها، وتقييم الملكية الفكرية.</w:t>
      </w:r>
    </w:p>
    <w:p w14:paraId="3B9934B3" w14:textId="77777777" w:rsidR="00C54079" w:rsidRPr="003B7AF4" w:rsidRDefault="00C54079" w:rsidP="00C54079">
      <w:pPr>
        <w:pStyle w:val="ListParagraph"/>
        <w:spacing w:after="160"/>
        <w:ind w:left="0"/>
        <w:rPr>
          <w:rFonts w:ascii="Calibri" w:hAnsi="Calibri" w:cs="Calibri"/>
          <w:szCs w:val="22"/>
        </w:rPr>
      </w:pPr>
    </w:p>
    <w:p w14:paraId="7F8789AB" w14:textId="1563F2F2" w:rsidR="00C54079" w:rsidRPr="003B7AF4" w:rsidRDefault="001D3DF2" w:rsidP="00C54079">
      <w:pPr>
        <w:pStyle w:val="ListParagraph"/>
        <w:numPr>
          <w:ilvl w:val="0"/>
          <w:numId w:val="7"/>
        </w:numPr>
        <w:spacing w:after="160"/>
        <w:ind w:left="0" w:firstLine="0"/>
        <w:rPr>
          <w:rFonts w:ascii="Calibri" w:hAnsi="Calibri" w:cs="Calibri"/>
          <w:szCs w:val="22"/>
          <w:shd w:val="clear" w:color="auto" w:fill="FFFFFF" w:themeFill="background1"/>
        </w:rPr>
      </w:pPr>
      <w:r w:rsidRPr="003B7AF4">
        <w:rPr>
          <w:rFonts w:ascii="Calibri" w:hAnsi="Calibri" w:cs="Calibri" w:hint="cs"/>
          <w:szCs w:val="22"/>
          <w:rtl/>
        </w:rPr>
        <w:t>و</w:t>
      </w:r>
      <w:r w:rsidR="00C54079" w:rsidRPr="003B7AF4">
        <w:rPr>
          <w:rFonts w:ascii="Calibri" w:hAnsi="Calibri" w:cs="Calibri"/>
          <w:szCs w:val="22"/>
          <w:rtl/>
        </w:rPr>
        <w:t xml:space="preserve">اضطلع المركز بمبادرات لزيادة تبسيط سير إجراءات تسوية المنازعات في الويبو. ولتعزيز كفاءة إجراءات التحكيم، استخدم العديد من الأطراف مرفق </w:t>
      </w:r>
      <w:hyperlink r:id="rId17" w:history="1">
        <w:r w:rsidR="00BD25EB" w:rsidRPr="00E06294">
          <w:rPr>
            <w:rStyle w:val="Hyperlink"/>
            <w:rFonts w:ascii="Calibri" w:hAnsi="Calibri" w:cs="Calibri"/>
            <w:color w:val="0000FF"/>
            <w:szCs w:val="22"/>
            <w:u w:color="0000FF"/>
            <w:rtl/>
          </w:rPr>
          <w:t xml:space="preserve">الويبو </w:t>
        </w:r>
        <w:r w:rsidR="0040351B" w:rsidRPr="00E06294">
          <w:rPr>
            <w:rStyle w:val="Hyperlink"/>
            <w:rFonts w:ascii="Calibri" w:hAnsi="Calibri" w:cs="Calibri" w:hint="cs"/>
            <w:color w:val="0000FF"/>
            <w:szCs w:val="22"/>
            <w:u w:color="0000FF"/>
            <w:rtl/>
          </w:rPr>
          <w:t xml:space="preserve">المحسن لتسوية القضايا إلكترونيا </w:t>
        </w:r>
        <w:r w:rsidR="00BD25EB" w:rsidRPr="00E06294">
          <w:rPr>
            <w:rStyle w:val="Hyperlink"/>
            <w:rFonts w:ascii="Calibri" w:hAnsi="Calibri" w:cs="Calibri"/>
            <w:color w:val="0000FF"/>
            <w:szCs w:val="22"/>
            <w:u w:color="0000FF"/>
            <w:rtl/>
          </w:rPr>
          <w:t>الإلكتروني</w:t>
        </w:r>
        <w:r w:rsidR="00BD25EB" w:rsidRPr="003B7AF4">
          <w:rPr>
            <w:rStyle w:val="Hyperlink"/>
            <w:rFonts w:ascii="Calibri" w:hAnsi="Calibri" w:cs="Calibri"/>
            <w:color w:val="auto"/>
            <w:szCs w:val="22"/>
            <w:u w:val="none"/>
            <w:rtl/>
          </w:rPr>
          <w:t xml:space="preserve"> </w:t>
        </w:r>
      </w:hyperlink>
      <w:r w:rsidR="009A7E73" w:rsidRPr="003B7AF4">
        <w:rPr>
          <w:rFonts w:ascii="Calibri" w:hAnsi="Calibri" w:cs="Calibri" w:hint="cs"/>
          <w:szCs w:val="22"/>
          <w:rtl/>
        </w:rPr>
        <w:t>التالع للمركز</w:t>
      </w:r>
      <w:r w:rsidR="00C54079" w:rsidRPr="003B7AF4">
        <w:rPr>
          <w:rFonts w:ascii="Calibri" w:hAnsi="Calibri" w:cs="Calibri"/>
          <w:szCs w:val="22"/>
          <w:rtl/>
        </w:rPr>
        <w:t>.</w:t>
      </w:r>
      <w:r w:rsidR="00C54079" w:rsidRPr="003B7AF4">
        <w:rPr>
          <w:rFonts w:ascii="Calibri" w:hAnsi="Calibri" w:cs="Calibri"/>
          <w:szCs w:val="22"/>
          <w:vertAlign w:val="superscript"/>
          <w:rtl/>
        </w:rPr>
        <w:footnoteReference w:id="6"/>
      </w:r>
      <w:r w:rsidR="00C54079" w:rsidRPr="003B7AF4">
        <w:rPr>
          <w:rFonts w:ascii="Calibri" w:hAnsi="Calibri" w:cs="Calibri"/>
          <w:szCs w:val="22"/>
          <w:rtl/>
        </w:rPr>
        <w:t xml:space="preserve"> وبالإضافة إلى ذلك، استمر عقد معظم جلسات التحكيم واجتماعات الوساطة عن بُعد أو في شكل مختلط باستخدام المرافق والدعم الذي تستضيفه الويبو. ولمساعدة الأطراف والمحايدين في التحضير لهذه الاجتماعات وجلسات الاستماع عن بُعد، واصل المركز تحديث </w:t>
      </w:r>
      <w:hyperlink r:id="rId18" w:history="1">
        <w:r w:rsidR="00C54079" w:rsidRPr="00E06294">
          <w:rPr>
            <w:rStyle w:val="Hyperlink"/>
            <w:rFonts w:ascii="Calibri" w:hAnsi="Calibri" w:cs="Calibri"/>
            <w:color w:val="0000FF"/>
            <w:szCs w:val="22"/>
            <w:u w:color="0000FF"/>
            <w:rtl/>
          </w:rPr>
          <w:t>قائمة الويبو المرجعية لتسيير إجراءات الويبو للوساطة والتحكيم عبر الإنترنت</w:t>
        </w:r>
      </w:hyperlink>
      <w:r w:rsidR="00C54079" w:rsidRPr="003B7AF4">
        <w:rPr>
          <w:rFonts w:ascii="Calibri" w:hAnsi="Calibri" w:cs="Calibri"/>
          <w:szCs w:val="22"/>
          <w:rtl/>
        </w:rPr>
        <w:t>.</w:t>
      </w:r>
    </w:p>
    <w:p w14:paraId="0DB972BD" w14:textId="77777777" w:rsidR="00C54079" w:rsidRPr="00C87DEB" w:rsidRDefault="00C54079" w:rsidP="00C54079">
      <w:pPr>
        <w:pStyle w:val="ListParagraph"/>
        <w:spacing w:after="160"/>
        <w:ind w:left="0"/>
        <w:rPr>
          <w:rFonts w:ascii="Calibri" w:hAnsi="Calibri" w:cs="Calibri"/>
          <w:szCs w:val="22"/>
          <w:shd w:val="clear" w:color="auto" w:fill="FFFFFF" w:themeFill="background1"/>
        </w:rPr>
      </w:pPr>
    </w:p>
    <w:p w14:paraId="1E737BD4" w14:textId="624E1B09" w:rsidR="00C54079" w:rsidRPr="003B7AF4" w:rsidRDefault="00C54079" w:rsidP="00C54079">
      <w:pPr>
        <w:pStyle w:val="ListParagraph"/>
        <w:widowControl w:val="0"/>
        <w:numPr>
          <w:ilvl w:val="0"/>
          <w:numId w:val="7"/>
        </w:numPr>
        <w:spacing w:after="160"/>
        <w:ind w:left="0" w:firstLine="0"/>
        <w:rPr>
          <w:rFonts w:ascii="Calibri" w:hAnsi="Calibri" w:cs="Calibri"/>
          <w:szCs w:val="22"/>
        </w:rPr>
      </w:pPr>
      <w:r w:rsidRPr="003B7AF4">
        <w:rPr>
          <w:rFonts w:ascii="Calibri" w:hAnsi="Calibri" w:cs="Calibri"/>
          <w:szCs w:val="22"/>
          <w:rtl/>
        </w:rPr>
        <w:t xml:space="preserve">ومنذ انعقاد الجمعيات الأخيرة، لاحظ المركز زيادة في القضايا التي أحالتها المحاكم الوطنية إلى </w:t>
      </w:r>
      <w:r w:rsidR="00F171FC" w:rsidRPr="003B7AF4">
        <w:rPr>
          <w:rFonts w:ascii="Calibri" w:hAnsi="Calibri" w:cs="Calibri" w:hint="cs"/>
          <w:szCs w:val="22"/>
          <w:rtl/>
        </w:rPr>
        <w:t xml:space="preserve">خدمة </w:t>
      </w:r>
      <w:r w:rsidRPr="003B7AF4">
        <w:rPr>
          <w:rFonts w:ascii="Calibri" w:hAnsi="Calibri" w:cs="Calibri"/>
          <w:szCs w:val="22"/>
          <w:rtl/>
        </w:rPr>
        <w:t>وساطة الويبو.  فعلى سبيل المثال، في إطار التعاون بين محكمة الشعب العليا في الصين و</w:t>
      </w:r>
      <w:r w:rsidR="00F171FC" w:rsidRPr="003B7AF4">
        <w:rPr>
          <w:rFonts w:ascii="Calibri" w:hAnsi="Calibri" w:cs="Calibri" w:hint="cs"/>
          <w:szCs w:val="22"/>
          <w:rtl/>
        </w:rPr>
        <w:t>الويبو</w:t>
      </w:r>
      <w:r w:rsidRPr="003B7AF4">
        <w:rPr>
          <w:rFonts w:ascii="Calibri" w:hAnsi="Calibri" w:cs="Calibri"/>
          <w:szCs w:val="22"/>
          <w:rtl/>
        </w:rPr>
        <w:t xml:space="preserve">، يتعاون المركز ومحكمة الشعب العليا في الصين، بالتنسيق </w:t>
      </w:r>
      <w:r w:rsidRPr="003B7AF4">
        <w:rPr>
          <w:rFonts w:ascii="Calibri" w:hAnsi="Calibri" w:cs="Calibri"/>
          <w:szCs w:val="22"/>
          <w:rtl/>
        </w:rPr>
        <w:lastRenderedPageBreak/>
        <w:t xml:space="preserve">مع مكتب </w:t>
      </w:r>
      <w:r w:rsidR="00F171FC" w:rsidRPr="003B7AF4">
        <w:rPr>
          <w:rFonts w:ascii="Calibri" w:hAnsi="Calibri" w:cs="Calibri" w:hint="cs"/>
          <w:szCs w:val="22"/>
          <w:rtl/>
        </w:rPr>
        <w:t>الويبو</w:t>
      </w:r>
      <w:r w:rsidRPr="003B7AF4">
        <w:rPr>
          <w:rFonts w:ascii="Calibri" w:hAnsi="Calibri" w:cs="Calibri"/>
          <w:szCs w:val="22"/>
          <w:rtl/>
        </w:rPr>
        <w:t xml:space="preserve"> في الصين، في مجال الوساطة للمساعدة في حل </w:t>
      </w:r>
      <w:r w:rsidR="00F171FC" w:rsidRPr="003B7AF4">
        <w:rPr>
          <w:rFonts w:ascii="Calibri" w:hAnsi="Calibri" w:cs="Calibri" w:hint="cs"/>
          <w:szCs w:val="22"/>
          <w:rtl/>
        </w:rPr>
        <w:t>المنازعات</w:t>
      </w:r>
      <w:r w:rsidRPr="003B7AF4">
        <w:rPr>
          <w:rFonts w:ascii="Calibri" w:hAnsi="Calibri" w:cs="Calibri"/>
          <w:szCs w:val="22"/>
          <w:rtl/>
        </w:rPr>
        <w:t xml:space="preserve"> الدولية المتعلقة بالملكية الفكرية والتكنولوجيا في الصين.</w:t>
      </w:r>
      <w:r w:rsidR="00FC2BAA" w:rsidRPr="003B7AF4">
        <w:rPr>
          <w:rStyle w:val="FootnoteReference"/>
          <w:rFonts w:ascii="Calibri" w:hAnsi="Calibri" w:cs="Calibri"/>
          <w:szCs w:val="22"/>
          <w:rtl/>
        </w:rPr>
        <w:footnoteReference w:id="7"/>
      </w:r>
      <w:r w:rsidR="00FC2BAA" w:rsidRPr="003B7AF4">
        <w:rPr>
          <w:rFonts w:ascii="Calibri" w:hAnsi="Calibri" w:cs="Calibri"/>
          <w:szCs w:val="22"/>
          <w:rtl/>
        </w:rPr>
        <w:t xml:space="preserve">  </w:t>
      </w:r>
      <w:r w:rsidRPr="003B7AF4">
        <w:rPr>
          <w:rFonts w:ascii="Calibri" w:hAnsi="Calibri" w:cs="Calibri"/>
          <w:szCs w:val="22"/>
          <w:rtl/>
        </w:rPr>
        <w:t xml:space="preserve">وفي فرنسا، يتعاون المركز منذ عام 2023 مع </w:t>
      </w:r>
      <w:r w:rsidRPr="003B7AF4">
        <w:rPr>
          <w:rFonts w:ascii="Calibri" w:hAnsi="Calibri" w:cs="Calibri"/>
          <w:i/>
          <w:iCs/>
          <w:szCs w:val="22"/>
          <w:rtl/>
        </w:rPr>
        <w:t xml:space="preserve">محكمة باريس القضائية </w:t>
      </w:r>
      <w:r w:rsidRPr="003B7AF4">
        <w:rPr>
          <w:rFonts w:ascii="Calibri" w:hAnsi="Calibri" w:cs="Calibri"/>
          <w:szCs w:val="22"/>
          <w:rtl/>
        </w:rPr>
        <w:t xml:space="preserve">لتيسير إحالة قضايا الملكية الفكرية المناسبة العالقة أمام المحكمة إلى </w:t>
      </w:r>
      <w:r w:rsidR="00F171FC" w:rsidRPr="003B7AF4">
        <w:rPr>
          <w:rFonts w:ascii="Calibri" w:hAnsi="Calibri" w:cs="Calibri" w:hint="cs"/>
          <w:szCs w:val="22"/>
          <w:rtl/>
        </w:rPr>
        <w:t>خدمة</w:t>
      </w:r>
      <w:r w:rsidRPr="003B7AF4">
        <w:rPr>
          <w:rFonts w:ascii="Calibri" w:hAnsi="Calibri" w:cs="Calibri"/>
          <w:szCs w:val="22"/>
          <w:rtl/>
        </w:rPr>
        <w:t>وساطة الويبو.</w:t>
      </w:r>
      <w:r w:rsidR="00FC2BAA" w:rsidRPr="003B7AF4">
        <w:rPr>
          <w:rStyle w:val="FootnoteReference"/>
          <w:rFonts w:ascii="Calibri" w:hAnsi="Calibri" w:cs="Calibri"/>
          <w:szCs w:val="22"/>
          <w:rtl/>
        </w:rPr>
        <w:footnoteReference w:id="8"/>
      </w:r>
      <w:r w:rsidR="00FC2BAA" w:rsidRPr="003B7AF4">
        <w:rPr>
          <w:rFonts w:ascii="Calibri" w:hAnsi="Calibri" w:cs="Calibri"/>
          <w:szCs w:val="22"/>
          <w:rtl/>
        </w:rPr>
        <w:t xml:space="preserve"> </w:t>
      </w:r>
      <w:r w:rsidRPr="003B7AF4">
        <w:rPr>
          <w:rFonts w:ascii="Calibri" w:hAnsi="Calibri" w:cs="Calibri"/>
          <w:szCs w:val="22"/>
          <w:rtl/>
        </w:rPr>
        <w:t xml:space="preserve"> </w:t>
      </w:r>
      <w:hyperlink r:id="rId19" w:history="1">
        <w:r w:rsidRPr="00D44147">
          <w:rPr>
            <w:rStyle w:val="Hyperlink"/>
            <w:rFonts w:ascii="Calibri" w:hAnsi="Calibri" w:cs="Calibri"/>
            <w:szCs w:val="22"/>
            <w:rtl/>
          </w:rPr>
          <w:t xml:space="preserve">كما يتعاون </w:t>
        </w:r>
        <w:r w:rsidR="00F171FC" w:rsidRPr="00D44147">
          <w:rPr>
            <w:rStyle w:val="Hyperlink"/>
            <w:rFonts w:ascii="Calibri" w:hAnsi="Calibri" w:cs="Calibri"/>
            <w:szCs w:val="22"/>
            <w:rtl/>
          </w:rPr>
          <w:t xml:space="preserve">المركز </w:t>
        </w:r>
        <w:r w:rsidRPr="00D44147">
          <w:rPr>
            <w:rStyle w:val="Hyperlink"/>
            <w:rFonts w:ascii="Calibri" w:hAnsi="Calibri" w:cs="Calibri"/>
            <w:szCs w:val="22"/>
            <w:rtl/>
          </w:rPr>
          <w:t>مع السلطة القضائية في جمهورية تنزانيا</w:t>
        </w:r>
      </w:hyperlink>
      <w:r w:rsidRPr="00D44147">
        <w:rPr>
          <w:rFonts w:ascii="Calibri" w:hAnsi="Calibri" w:cs="Calibri"/>
          <w:szCs w:val="22"/>
          <w:rtl/>
        </w:rPr>
        <w:t xml:space="preserve"> </w:t>
      </w:r>
      <w:r w:rsidRPr="003B7AF4">
        <w:rPr>
          <w:rFonts w:ascii="Calibri" w:hAnsi="Calibri" w:cs="Calibri"/>
          <w:szCs w:val="22"/>
          <w:rtl/>
        </w:rPr>
        <w:t xml:space="preserve"> المتحدة، حيث يتيح المركز أدوات الويبو للاجتماعات عبر الإنترنت ويقدم الدعم في قضايا الوساطة المعروضة أمام السلطة القضائية في جمهورية تنزانيا المتحدة.</w:t>
      </w:r>
      <w:r w:rsidR="00FC2BAA" w:rsidRPr="003B7AF4">
        <w:rPr>
          <w:rStyle w:val="FootnoteReference"/>
          <w:rFonts w:ascii="Calibri" w:hAnsi="Calibri" w:cs="Calibri"/>
          <w:szCs w:val="22"/>
          <w:rtl/>
        </w:rPr>
        <w:footnoteReference w:id="9"/>
      </w:r>
      <w:r w:rsidRPr="003B7AF4">
        <w:rPr>
          <w:rFonts w:ascii="Calibri" w:hAnsi="Calibri" w:cs="Calibri"/>
          <w:szCs w:val="22"/>
          <w:rtl/>
        </w:rPr>
        <w:t xml:space="preserve">  </w:t>
      </w:r>
    </w:p>
    <w:p w14:paraId="7031E7A7" w14:textId="77777777" w:rsidR="00FC2BAA" w:rsidRPr="003B7AF4" w:rsidRDefault="00FC2BAA" w:rsidP="00FC2BAA">
      <w:pPr>
        <w:pStyle w:val="ListParagraph"/>
        <w:widowControl w:val="0"/>
        <w:spacing w:after="160"/>
        <w:ind w:left="0"/>
        <w:rPr>
          <w:rFonts w:ascii="Calibri" w:hAnsi="Calibri" w:cs="Calibri"/>
          <w:szCs w:val="22"/>
        </w:rPr>
      </w:pPr>
    </w:p>
    <w:p w14:paraId="4501E399" w14:textId="7D30A62E" w:rsidR="00FC2BAA" w:rsidRPr="003B7AF4" w:rsidRDefault="00F171FC" w:rsidP="00FC2BAA">
      <w:pPr>
        <w:pStyle w:val="ListParagraph"/>
        <w:widowControl w:val="0"/>
        <w:numPr>
          <w:ilvl w:val="0"/>
          <w:numId w:val="7"/>
        </w:numPr>
        <w:spacing w:after="240"/>
        <w:ind w:left="0" w:firstLine="0"/>
        <w:rPr>
          <w:rFonts w:ascii="Calibri" w:hAnsi="Calibri" w:cs="Calibri"/>
          <w:szCs w:val="22"/>
        </w:rPr>
      </w:pPr>
      <w:r w:rsidRPr="003B7AF4">
        <w:rPr>
          <w:rFonts w:ascii="Calibri" w:hAnsi="Calibri" w:cs="Calibri" w:hint="cs"/>
          <w:szCs w:val="22"/>
          <w:rtl/>
        </w:rPr>
        <w:t>و</w:t>
      </w:r>
      <w:r w:rsidR="00FC2BAA" w:rsidRPr="003B7AF4">
        <w:rPr>
          <w:rFonts w:ascii="Calibri" w:hAnsi="Calibri" w:cs="Calibri"/>
          <w:szCs w:val="22"/>
          <w:rtl/>
        </w:rPr>
        <w:t xml:space="preserve">يهدف المركز إلى تعزيز الكفاءة والفعالية </w:t>
      </w:r>
      <w:hyperlink r:id="rId20" w:history="1">
        <w:r w:rsidR="00FC2BAA" w:rsidRPr="00D44147">
          <w:rPr>
            <w:rStyle w:val="Hyperlink"/>
            <w:rFonts w:ascii="Calibri" w:hAnsi="Calibri" w:cs="Calibri"/>
            <w:color w:val="0000FF"/>
            <w:szCs w:val="22"/>
            <w:u w:color="0000FF"/>
            <w:rtl/>
          </w:rPr>
          <w:t>في تسوية المنازعات في البيئة</w:t>
        </w:r>
        <w:r w:rsidR="00FC2BAA" w:rsidRPr="003B7AF4">
          <w:rPr>
            <w:rStyle w:val="Hyperlink"/>
            <w:rFonts w:ascii="Calibri" w:hAnsi="Calibri" w:cs="Calibri"/>
            <w:color w:val="auto"/>
            <w:szCs w:val="22"/>
            <w:u w:val="none"/>
            <w:rtl/>
          </w:rPr>
          <w:t xml:space="preserve"> </w:t>
        </w:r>
      </w:hyperlink>
      <w:r w:rsidR="00FC2BAA" w:rsidRPr="003B7AF4">
        <w:rPr>
          <w:rFonts w:ascii="Calibri" w:hAnsi="Calibri" w:cs="Calibri"/>
          <w:szCs w:val="22"/>
          <w:rtl/>
        </w:rPr>
        <w:t>الرقمية، وهو أمر بالغ الأهمية للحفاظ على سلامة خدمات مشاركة المحتوى عبر الإنترنت وحماية حقوق منشئي المحتوى والمستخدمين على حد سواء.  وعلى وجه الخصوص، لاحظ المركز ارتفاعًا في المنازعات التي رفعها المستخدمون وأصحاب الحقوق ضد منصات الإنترنت ومحركات البحث.</w:t>
      </w:r>
      <w:r w:rsidR="00FC2BAA" w:rsidRPr="003B7AF4">
        <w:rPr>
          <w:rStyle w:val="FootnoteReference"/>
          <w:rFonts w:ascii="Calibri" w:hAnsi="Calibri" w:cs="Calibri"/>
          <w:szCs w:val="22"/>
          <w:rtl/>
        </w:rPr>
        <w:footnoteReference w:id="10"/>
      </w:r>
      <w:r w:rsidR="00FC2BAA" w:rsidRPr="003B7AF4">
        <w:rPr>
          <w:rFonts w:ascii="Calibri" w:hAnsi="Calibri" w:cs="Calibri"/>
          <w:szCs w:val="22"/>
          <w:rtl/>
        </w:rPr>
        <w:t xml:space="preserve"> وخلال هذه الفترة، أُحيل عدد من المنازعات أيضاً </w:t>
      </w:r>
      <w:r w:rsidR="00FC2BAA" w:rsidRPr="003B7AF4">
        <w:rPr>
          <w:rStyle w:val="Hyperlink"/>
          <w:rFonts w:asciiTheme="minorHAnsi" w:hAnsiTheme="minorHAnsi" w:cstheme="minorHAnsi"/>
          <w:color w:val="auto"/>
          <w:szCs w:val="22"/>
          <w:u w:val="none"/>
          <w:rtl/>
        </w:rPr>
        <w:t>إلى</w:t>
      </w:r>
      <w:r w:rsidR="00FC2BAA" w:rsidRPr="003B7AF4">
        <w:rPr>
          <w:rStyle w:val="Hyperlink"/>
          <w:rFonts w:ascii="Calibri" w:hAnsi="Calibri" w:cs="Calibri"/>
          <w:color w:val="auto"/>
          <w:szCs w:val="22"/>
          <w:u w:val="none"/>
          <w:rtl/>
        </w:rPr>
        <w:t xml:space="preserve"> </w:t>
      </w:r>
      <w:r w:rsidRPr="003B7AF4">
        <w:rPr>
          <w:rStyle w:val="Hyperlink"/>
          <w:rFonts w:ascii="Calibri" w:hAnsi="Calibri" w:cs="Calibri" w:hint="cs"/>
          <w:color w:val="auto"/>
          <w:szCs w:val="22"/>
          <w:u w:val="none"/>
          <w:rtl/>
        </w:rPr>
        <w:t>برنامج</w:t>
      </w:r>
      <w:r w:rsidR="00FC2BAA" w:rsidRPr="003B7AF4">
        <w:rPr>
          <w:rStyle w:val="Hyperlink"/>
          <w:rFonts w:ascii="Calibri" w:hAnsi="Calibri" w:cs="Calibri"/>
          <w:color w:val="auto"/>
          <w:szCs w:val="22"/>
          <w:u w:val="none"/>
          <w:rtl/>
        </w:rPr>
        <w:t xml:space="preserve"> تعزيز الوساطة المشترك بين </w:t>
      </w:r>
      <w:r w:rsidRPr="003B7AF4">
        <w:rPr>
          <w:rStyle w:val="Hyperlink"/>
          <w:rFonts w:ascii="Calibri" w:hAnsi="Calibri" w:cs="Calibri" w:hint="cs"/>
          <w:color w:val="auto"/>
          <w:szCs w:val="22"/>
          <w:u w:val="none"/>
          <w:rtl/>
        </w:rPr>
        <w:t>الويبو</w:t>
      </w:r>
      <w:r w:rsidR="00FC2BAA" w:rsidRPr="003B7AF4">
        <w:rPr>
          <w:rStyle w:val="Hyperlink"/>
          <w:rFonts w:ascii="Calibri" w:hAnsi="Calibri" w:cs="Calibri"/>
          <w:color w:val="auto"/>
          <w:szCs w:val="22"/>
          <w:u w:val="none"/>
          <w:rtl/>
        </w:rPr>
        <w:t xml:space="preserve"> و</w:t>
      </w:r>
      <w:hyperlink r:id="rId21" w:history="1">
        <w:r w:rsidRPr="003B7AF4">
          <w:rPr>
            <w:rStyle w:val="Hyperlink"/>
            <w:rFonts w:ascii="Calibri" w:hAnsi="Calibri" w:cs="Calibri" w:hint="cs"/>
            <w:color w:val="auto"/>
            <w:szCs w:val="22"/>
            <w:u w:val="none"/>
            <w:rtl/>
          </w:rPr>
          <w:t xml:space="preserve"> </w:t>
        </w:r>
        <w:r w:rsidR="00FC2BAA" w:rsidRPr="0004799A">
          <w:rPr>
            <w:rStyle w:val="Hyperlink"/>
            <w:rFonts w:ascii="Calibri" w:hAnsi="Calibri" w:cs="Calibri"/>
            <w:color w:val="0000FF"/>
            <w:szCs w:val="22"/>
            <w:u w:color="0000FF"/>
            <w:rtl/>
          </w:rPr>
          <w:t>وزارة الثقافة والرياضة والسياحة في جمهورية كوريا</w:t>
        </w:r>
        <w:r w:rsidR="00FC2BAA" w:rsidRPr="003B7AF4">
          <w:rPr>
            <w:rStyle w:val="Hyperlink"/>
            <w:rFonts w:ascii="Calibri" w:hAnsi="Calibri" w:cs="Calibri"/>
            <w:color w:val="auto"/>
            <w:szCs w:val="22"/>
            <w:u w:val="none"/>
            <w:rtl/>
          </w:rPr>
          <w:t xml:space="preserve"> </w:t>
        </w:r>
      </w:hyperlink>
      <w:r w:rsidR="00FC2BAA" w:rsidRPr="003B7AF4">
        <w:rPr>
          <w:rFonts w:ascii="Calibri" w:hAnsi="Calibri" w:cs="Calibri"/>
          <w:szCs w:val="22"/>
          <w:rtl/>
        </w:rPr>
        <w:t xml:space="preserve"> </w:t>
      </w:r>
      <w:r w:rsidR="00C76F50" w:rsidRPr="003B7AF4">
        <w:rPr>
          <w:rFonts w:hint="cs"/>
          <w:rtl/>
        </w:rPr>
        <w:t>(</w:t>
      </w:r>
      <w:r w:rsidR="00C76F50" w:rsidRPr="003B7AF4">
        <w:t>WIPO-MCST</w:t>
      </w:r>
      <w:r w:rsidR="00C76F50" w:rsidRPr="003B7AF4">
        <w:rPr>
          <w:rFonts w:hint="cs"/>
          <w:rtl/>
        </w:rPr>
        <w:t xml:space="preserve">) </w:t>
      </w:r>
      <w:r w:rsidR="00FC2BAA" w:rsidRPr="003B7AF4">
        <w:rPr>
          <w:rFonts w:ascii="Calibri" w:hAnsi="Calibri" w:cs="Calibri"/>
          <w:szCs w:val="22"/>
          <w:rtl/>
        </w:rPr>
        <w:t xml:space="preserve">في إطار </w:t>
      </w:r>
      <w:r w:rsidR="008278B8" w:rsidRPr="003B7AF4">
        <w:rPr>
          <w:rFonts w:ascii="Times New Roman" w:hAnsi="Times New Roman" w:cs="Calibri"/>
          <w:szCs w:val="22"/>
          <w:rtl/>
        </w:rPr>
        <w:t xml:space="preserve">الصناديق الاستئمانية لوزارة الثقافة والرياضة والسياحة في جمهورية كوريا لتعزيز السبل البديلة لتسوية المنازعات </w:t>
      </w:r>
      <w:r w:rsidR="00C76F50" w:rsidRPr="003B7AF4">
        <w:t>(FIT-ROK/ADR)</w:t>
      </w:r>
      <w:r w:rsidR="00FC2BAA" w:rsidRPr="003B7AF4">
        <w:rPr>
          <w:rFonts w:ascii="Calibri" w:hAnsi="Calibri" w:cs="Calibri"/>
          <w:szCs w:val="22"/>
          <w:rtl/>
        </w:rPr>
        <w:t xml:space="preserve">، الذي أنشئ </w:t>
      </w:r>
      <w:r w:rsidR="00FC2BAA" w:rsidRPr="003B7AF4">
        <w:rPr>
          <w:rStyle w:val="Hyperlink"/>
          <w:rFonts w:asciiTheme="minorHAnsi" w:hAnsiTheme="minorHAnsi" w:cstheme="minorHAnsi"/>
          <w:color w:val="auto"/>
          <w:u w:val="none"/>
          <w:rtl/>
        </w:rPr>
        <w:t xml:space="preserve">في </w:t>
      </w:r>
      <w:r w:rsidR="00C76F50" w:rsidRPr="003B7AF4">
        <w:rPr>
          <w:rStyle w:val="Hyperlink"/>
          <w:rFonts w:asciiTheme="minorHAnsi" w:hAnsiTheme="minorHAnsi" w:cstheme="minorHAnsi" w:hint="cs"/>
          <w:color w:val="auto"/>
          <w:u w:val="none"/>
          <w:rtl/>
        </w:rPr>
        <w:t>سياق</w:t>
      </w:r>
      <w:r w:rsidR="00FC2BAA" w:rsidRPr="003B7AF4">
        <w:rPr>
          <w:rStyle w:val="Hyperlink"/>
          <w:rFonts w:ascii="Calibri" w:hAnsi="Calibri" w:cs="Calibri"/>
          <w:color w:val="auto"/>
          <w:szCs w:val="22"/>
          <w:u w:val="none"/>
          <w:rtl/>
        </w:rPr>
        <w:t xml:space="preserve"> </w:t>
      </w:r>
      <w:r w:rsidR="00B776A1" w:rsidRPr="003B7AF4">
        <w:rPr>
          <w:rStyle w:val="Hyperlink"/>
          <w:rFonts w:ascii="Calibri" w:hAnsi="Calibri" w:cs="Calibri" w:hint="cs"/>
          <w:color w:val="auto"/>
          <w:szCs w:val="22"/>
          <w:u w:val="none"/>
          <w:rtl/>
        </w:rPr>
        <w:t xml:space="preserve">التعاون بين </w:t>
      </w:r>
      <w:r w:rsidR="00B776A1" w:rsidRPr="003B7AF4">
        <w:rPr>
          <w:rStyle w:val="Hyperlink"/>
          <w:rFonts w:ascii="Calibri" w:hAnsi="Calibri" w:cs="Calibri"/>
          <w:color w:val="auto"/>
          <w:szCs w:val="22"/>
          <w:u w:val="none"/>
          <w:rtl/>
        </w:rPr>
        <w:t>وزارة الثقافة والرياضة والسياحة في جمهورية كوريا</w:t>
      </w:r>
      <w:r w:rsidR="00B776A1" w:rsidRPr="003B7AF4">
        <w:rPr>
          <w:rStyle w:val="Hyperlink"/>
          <w:rFonts w:ascii="Calibri" w:hAnsi="Calibri" w:cs="Calibri" w:hint="cs"/>
          <w:color w:val="auto"/>
          <w:szCs w:val="22"/>
          <w:u w:val="none"/>
          <w:rtl/>
        </w:rPr>
        <w:t xml:space="preserve"> والمركز</w:t>
      </w:r>
      <w:r w:rsidR="00FC2BAA" w:rsidRPr="003B7AF4">
        <w:rPr>
          <w:rFonts w:ascii="Calibri" w:hAnsi="Calibri" w:cs="Calibri"/>
          <w:szCs w:val="22"/>
          <w:rtl/>
        </w:rPr>
        <w:t xml:space="preserve">. ومن خلال هذا </w:t>
      </w:r>
      <w:r w:rsidRPr="003B7AF4">
        <w:rPr>
          <w:rFonts w:ascii="Calibri" w:hAnsi="Calibri" w:cs="Calibri" w:hint="cs"/>
          <w:szCs w:val="22"/>
          <w:rtl/>
        </w:rPr>
        <w:t>البرنامج</w:t>
      </w:r>
      <w:r w:rsidR="00FC2BAA" w:rsidRPr="003B7AF4">
        <w:rPr>
          <w:rFonts w:ascii="Calibri" w:hAnsi="Calibri" w:cs="Calibri"/>
          <w:szCs w:val="22"/>
          <w:rtl/>
        </w:rPr>
        <w:t>، تتلقى الأطراف المعنية في مثل هذه المنازعات مساعدة مالية لتغطية تكاليف الوساطة، مما يعزز إمكانية الوصول إلى الآليات البديلة لتسوية المنازعات.</w:t>
      </w:r>
      <w:r w:rsidR="003D139F" w:rsidRPr="003B7AF4">
        <w:rPr>
          <w:rFonts w:ascii="Calibri" w:hAnsi="Calibri" w:cs="Calibri" w:hint="cs"/>
          <w:szCs w:val="22"/>
          <w:rtl/>
        </w:rPr>
        <w:t xml:space="preserve"> </w:t>
      </w:r>
      <w:r w:rsidR="00066524" w:rsidRPr="003B7AF4">
        <w:rPr>
          <w:rFonts w:ascii="Calibri" w:hAnsi="Calibri" w:cs="Calibri" w:hint="cs"/>
          <w:szCs w:val="22"/>
          <w:rtl/>
        </w:rPr>
        <w:t xml:space="preserve"> </w:t>
      </w:r>
    </w:p>
    <w:p w14:paraId="77E91CC7" w14:textId="77777777" w:rsidR="00FC2BAA" w:rsidRPr="003B7AF4" w:rsidRDefault="00FC2BAA" w:rsidP="00FC2BAA">
      <w:pPr>
        <w:pStyle w:val="ListParagraph"/>
        <w:widowControl w:val="0"/>
        <w:spacing w:after="160"/>
        <w:ind w:left="0"/>
        <w:rPr>
          <w:rFonts w:ascii="Calibri" w:hAnsi="Calibri" w:cs="Calibri"/>
          <w:szCs w:val="22"/>
        </w:rPr>
      </w:pPr>
    </w:p>
    <w:p w14:paraId="0446F64D" w14:textId="2DC8B8E6" w:rsidR="00C54079" w:rsidRPr="003B7AF4" w:rsidRDefault="00C54079" w:rsidP="00C54079">
      <w:pPr>
        <w:pStyle w:val="ListParagraph"/>
        <w:widowControl w:val="0"/>
        <w:numPr>
          <w:ilvl w:val="0"/>
          <w:numId w:val="7"/>
        </w:numPr>
        <w:spacing w:after="160"/>
        <w:ind w:left="0" w:firstLine="0"/>
        <w:rPr>
          <w:rFonts w:ascii="Calibri" w:hAnsi="Calibri" w:cs="Calibri"/>
          <w:szCs w:val="22"/>
        </w:rPr>
      </w:pPr>
      <w:r w:rsidRPr="003B7AF4">
        <w:rPr>
          <w:rFonts w:ascii="Calibri" w:hAnsi="Calibri" w:cs="Calibri"/>
          <w:szCs w:val="22"/>
          <w:rtl/>
        </w:rPr>
        <w:t xml:space="preserve">خلال الفترة </w:t>
      </w:r>
      <w:r w:rsidR="00B5123D" w:rsidRPr="003B7AF4">
        <w:rPr>
          <w:rFonts w:ascii="Calibri" w:hAnsi="Calibri" w:cs="Calibri"/>
          <w:szCs w:val="22"/>
          <w:rtl/>
        </w:rPr>
        <w:t xml:space="preserve">المشمولة </w:t>
      </w:r>
      <w:r w:rsidRPr="003B7AF4">
        <w:rPr>
          <w:rFonts w:ascii="Calibri" w:hAnsi="Calibri" w:cs="Calibri"/>
          <w:szCs w:val="22"/>
          <w:rtl/>
        </w:rPr>
        <w:t xml:space="preserve">بالتقرير، واصل المركز إدارة القضايا المحالة من الأطراف إلى </w:t>
      </w:r>
      <w:r w:rsidR="009D5C79" w:rsidRPr="003B7AF4">
        <w:rPr>
          <w:rFonts w:ascii="Calibri" w:hAnsi="Calibri" w:cs="Calibri" w:hint="cs"/>
          <w:szCs w:val="22"/>
          <w:rtl/>
        </w:rPr>
        <w:t xml:space="preserve">خدمة </w:t>
      </w:r>
      <w:r w:rsidRPr="003B7AF4">
        <w:rPr>
          <w:rFonts w:ascii="Calibri" w:hAnsi="Calibri" w:cs="Calibri"/>
          <w:szCs w:val="22"/>
          <w:rtl/>
        </w:rPr>
        <w:t xml:space="preserve">وساطة الويبو في إطار برامج التعاون مع مكاتب الملكية الفكرية.  فعلى سبيل المثال، قام المركز، في إطار تعاونه مع مكتب </w:t>
      </w:r>
      <w:r w:rsidR="009D5C79" w:rsidRPr="003B7AF4">
        <w:rPr>
          <w:rFonts w:ascii="Calibri" w:hAnsi="Calibri" w:cs="Calibri"/>
          <w:szCs w:val="22"/>
          <w:rtl/>
        </w:rPr>
        <w:t xml:space="preserve">سنغافورة </w:t>
      </w:r>
      <w:r w:rsidR="009D5C79" w:rsidRPr="003B7AF4">
        <w:rPr>
          <w:rFonts w:ascii="Calibri" w:hAnsi="Calibri" w:cs="Calibri" w:hint="cs"/>
          <w:szCs w:val="22"/>
          <w:rtl/>
        </w:rPr>
        <w:t>ل</w:t>
      </w:r>
      <w:r w:rsidRPr="003B7AF4">
        <w:rPr>
          <w:rFonts w:ascii="Calibri" w:hAnsi="Calibri" w:cs="Calibri"/>
          <w:szCs w:val="22"/>
          <w:rtl/>
        </w:rPr>
        <w:t xml:space="preserve">لملكية الفكرية، بإدارة منازعات العلامات التجارية المحالة إلى </w:t>
      </w:r>
      <w:r w:rsidR="009D5C79" w:rsidRPr="003B7AF4">
        <w:rPr>
          <w:rFonts w:ascii="Calibri" w:hAnsi="Calibri" w:cs="Calibri" w:hint="cs"/>
          <w:szCs w:val="22"/>
          <w:rtl/>
        </w:rPr>
        <w:t xml:space="preserve">خدمة </w:t>
      </w:r>
      <w:r w:rsidRPr="003B7AF4">
        <w:rPr>
          <w:rFonts w:ascii="Calibri" w:hAnsi="Calibri" w:cs="Calibri"/>
          <w:szCs w:val="22"/>
          <w:rtl/>
        </w:rPr>
        <w:t>وساطة الويبو</w:t>
      </w:r>
      <w:r w:rsidRPr="003B7AF4">
        <w:rPr>
          <w:rFonts w:ascii="Calibri" w:eastAsia="Simplified Arabic" w:hAnsi="Calibri" w:cs="Calibri"/>
          <w:szCs w:val="22"/>
          <w:rtl/>
        </w:rPr>
        <w:t xml:space="preserve">.  وفي عام 2024، تعاونت </w:t>
      </w:r>
      <w:r w:rsidR="009D5C79" w:rsidRPr="003B7AF4">
        <w:rPr>
          <w:rFonts w:ascii="Calibri" w:eastAsia="Simplified Arabic" w:hAnsi="Calibri" w:cs="Calibri" w:hint="cs"/>
          <w:szCs w:val="22"/>
          <w:rtl/>
        </w:rPr>
        <w:t>الويبو</w:t>
      </w:r>
      <w:r w:rsidRPr="003B7AF4">
        <w:rPr>
          <w:rFonts w:ascii="Calibri" w:eastAsia="Simplified Arabic" w:hAnsi="Calibri" w:cs="Calibri"/>
          <w:szCs w:val="22"/>
          <w:rtl/>
        </w:rPr>
        <w:t xml:space="preserve"> ومكتب </w:t>
      </w:r>
      <w:r w:rsidR="009D5C79" w:rsidRPr="003B7AF4">
        <w:rPr>
          <w:rFonts w:ascii="Calibri" w:eastAsia="Simplified Arabic" w:hAnsi="Calibri" w:cs="Calibri"/>
          <w:szCs w:val="22"/>
          <w:rtl/>
        </w:rPr>
        <w:t>سنغافور</w:t>
      </w:r>
      <w:r w:rsidR="009D5C79" w:rsidRPr="003B7AF4">
        <w:rPr>
          <w:rFonts w:ascii="Calibri" w:eastAsia="Simplified Arabic" w:hAnsi="Calibri" w:cs="Calibri" w:hint="cs"/>
          <w:szCs w:val="22"/>
          <w:rtl/>
        </w:rPr>
        <w:t>ة</w:t>
      </w:r>
      <w:r w:rsidR="009D5C79" w:rsidRPr="003B7AF4">
        <w:rPr>
          <w:rFonts w:ascii="Calibri" w:eastAsia="Simplified Arabic" w:hAnsi="Calibri" w:cs="Calibri"/>
          <w:szCs w:val="22"/>
          <w:rtl/>
        </w:rPr>
        <w:t xml:space="preserve"> </w:t>
      </w:r>
      <w:r w:rsidR="009D5C79" w:rsidRPr="003B7AF4">
        <w:rPr>
          <w:rFonts w:ascii="Calibri" w:eastAsia="Simplified Arabic" w:hAnsi="Calibri" w:cs="Calibri" w:hint="cs"/>
          <w:szCs w:val="22"/>
          <w:rtl/>
        </w:rPr>
        <w:t>ل</w:t>
      </w:r>
      <w:r w:rsidRPr="003B7AF4">
        <w:rPr>
          <w:rFonts w:ascii="Calibri" w:eastAsia="Simplified Arabic" w:hAnsi="Calibri" w:cs="Calibri"/>
          <w:szCs w:val="22"/>
          <w:rtl/>
        </w:rPr>
        <w:t>لملكية الفكرية أيضا</w:t>
      </w:r>
      <w:r w:rsidR="009D5C79" w:rsidRPr="003B7AF4">
        <w:rPr>
          <w:rFonts w:ascii="Calibri" w:eastAsia="Simplified Arabic" w:hAnsi="Calibri" w:cs="Calibri" w:hint="cs"/>
          <w:szCs w:val="22"/>
          <w:rtl/>
        </w:rPr>
        <w:t xml:space="preserve"> في إطار</w:t>
      </w:r>
      <w:r w:rsidRPr="003B7AF4">
        <w:rPr>
          <w:rFonts w:ascii="Calibri" w:eastAsia="Simplified Arabic" w:hAnsi="Calibri" w:cs="Calibri"/>
          <w:szCs w:val="22"/>
          <w:rtl/>
        </w:rPr>
        <w:t xml:space="preserve"> </w:t>
      </w:r>
      <w:r w:rsidR="009D5C79" w:rsidRPr="003B7AF4">
        <w:rPr>
          <w:rFonts w:ascii="Times New Roman" w:hAnsi="Times New Roman" w:cs="Calibri"/>
          <w:szCs w:val="22"/>
          <w:rtl/>
        </w:rPr>
        <w:t xml:space="preserve">برنامج الوساطة بين الويبو وسنغافورة لرابطة أمم جنوب شرقي آسيا </w:t>
      </w:r>
      <w:r w:rsidRPr="003B7AF4">
        <w:rPr>
          <w:rFonts w:ascii="Calibri" w:eastAsia="Simplified Arabic" w:hAnsi="Calibri" w:cs="Calibri"/>
          <w:szCs w:val="22"/>
          <w:rtl/>
        </w:rPr>
        <w:t xml:space="preserve">الذي تم تجديده في عام 2025 في </w:t>
      </w:r>
      <w:r w:rsidRPr="003B7AF4">
        <w:rPr>
          <w:rFonts w:ascii="Calibri" w:hAnsi="Calibri" w:cs="Calibri"/>
          <w:szCs w:val="22"/>
          <w:rtl/>
        </w:rPr>
        <w:t xml:space="preserve">شكل موسع (AMP+) لتشجيع </w:t>
      </w:r>
      <w:r w:rsidR="000F26F8" w:rsidRPr="003B7AF4">
        <w:rPr>
          <w:rFonts w:ascii="Calibri" w:hAnsi="Calibri" w:cs="Calibri"/>
          <w:szCs w:val="22"/>
          <w:rtl/>
        </w:rPr>
        <w:t xml:space="preserve">المزيد من </w:t>
      </w:r>
      <w:r w:rsidRPr="003B7AF4">
        <w:rPr>
          <w:rFonts w:ascii="Calibri" w:hAnsi="Calibri" w:cs="Calibri"/>
          <w:szCs w:val="22"/>
          <w:rtl/>
        </w:rPr>
        <w:t>الإقبال من منطقة رابطة أمم جنوب شرق آسيا.</w:t>
      </w:r>
      <w:r w:rsidRPr="003B7AF4">
        <w:rPr>
          <w:rFonts w:ascii="Calibri" w:hAnsi="Calibri" w:cs="Calibri"/>
          <w:szCs w:val="22"/>
          <w:vertAlign w:val="superscript"/>
          <w:rtl/>
        </w:rPr>
        <w:footnoteReference w:id="11"/>
      </w:r>
      <w:r w:rsidR="00FC2BAA" w:rsidRPr="003B7AF4">
        <w:rPr>
          <w:rFonts w:ascii="Calibri" w:hAnsi="Calibri" w:cs="Calibri"/>
          <w:szCs w:val="22"/>
          <w:rtl/>
        </w:rPr>
        <w:t xml:space="preserve">  </w:t>
      </w:r>
      <w:r w:rsidRPr="003B7AF4">
        <w:rPr>
          <w:rFonts w:ascii="Calibri" w:eastAsia="Simplified Arabic" w:hAnsi="Calibri" w:cs="Calibri"/>
          <w:szCs w:val="22"/>
          <w:rtl/>
        </w:rPr>
        <w:t xml:space="preserve">ويتعاون المركز أيضا مع مكتب الملكية الفكرية في الفلبين (IPOPHL) فيما يتعلق بإدارة إجراءات الوساطة المتعلقة بحقوق الملكية الفكرية في الفلبين، بما في ذلك في إطار برنامج الوساطة خارج نطاق </w:t>
      </w:r>
      <w:r w:rsidR="009D5C79" w:rsidRPr="003B7AF4">
        <w:rPr>
          <w:rFonts w:ascii="Calibri" w:eastAsia="Simplified Arabic" w:hAnsi="Calibri" w:cs="Calibri" w:hint="cs"/>
          <w:szCs w:val="22"/>
          <w:rtl/>
        </w:rPr>
        <w:t>القضاء</w:t>
      </w:r>
      <w:r w:rsidRPr="003B7AF4">
        <w:rPr>
          <w:rFonts w:ascii="Calibri" w:eastAsia="Simplified Arabic" w:hAnsi="Calibri" w:cs="Calibri"/>
          <w:szCs w:val="22"/>
          <w:rtl/>
        </w:rPr>
        <w:t xml:space="preserve"> التابع لمكتب الملكية الفكرية في الفلبين، وقد أدار المركز القضايا المحالة إلى الويبو للوساطة في إطار هذا البرنامج. وفي إطار التعاون بين المركز والمكتب المغربي للملكية الصناعية والتجارية (OMPIC)، وضع المركز والمكتب المغربي للملكية الصناعية والتجارية خيار الوساطة في قضايا الملكية الفكرية والتكنولوجيا، ويشتركان في إدارة القضايا في إطار هذا البرنامج.</w:t>
      </w:r>
      <w:r w:rsidR="009D5C79" w:rsidRPr="003B7AF4">
        <w:rPr>
          <w:rFonts w:ascii="Calibri" w:eastAsia="Simplified Arabic" w:hAnsi="Calibri" w:cs="Calibri" w:hint="cs"/>
          <w:szCs w:val="22"/>
          <w:rtl/>
        </w:rPr>
        <w:t xml:space="preserve"> </w:t>
      </w:r>
    </w:p>
    <w:p w14:paraId="3163A3EB" w14:textId="77777777" w:rsidR="00C54079" w:rsidRPr="003B7AF4" w:rsidRDefault="00C54079" w:rsidP="00A8669E">
      <w:pPr>
        <w:pStyle w:val="ListParagraph"/>
        <w:widowControl w:val="0"/>
        <w:spacing w:after="240" w:line="259" w:lineRule="auto"/>
        <w:ind w:left="0"/>
        <w:rPr>
          <w:rFonts w:ascii="Calibri" w:hAnsi="Calibri" w:cs="Calibri"/>
          <w:szCs w:val="22"/>
        </w:rPr>
      </w:pPr>
    </w:p>
    <w:p w14:paraId="56942DD6" w14:textId="75C583F5" w:rsidR="00C54079" w:rsidRPr="003B7AF4" w:rsidRDefault="00C54079" w:rsidP="00A8669E">
      <w:pPr>
        <w:pStyle w:val="ListParagraph"/>
        <w:widowControl w:val="0"/>
        <w:numPr>
          <w:ilvl w:val="0"/>
          <w:numId w:val="7"/>
        </w:numPr>
        <w:spacing w:after="240"/>
        <w:ind w:left="0" w:firstLine="0"/>
        <w:rPr>
          <w:rFonts w:ascii="Calibri" w:eastAsia="Arial" w:hAnsi="Calibri" w:cs="Calibri"/>
          <w:szCs w:val="22"/>
        </w:rPr>
      </w:pPr>
      <w:r w:rsidRPr="003B7AF4">
        <w:rPr>
          <w:rFonts w:ascii="Calibri" w:eastAsia="Simplified Arabic" w:hAnsi="Calibri" w:cs="Calibri"/>
          <w:szCs w:val="22"/>
          <w:rtl/>
        </w:rPr>
        <w:t>ولاحظ المركز اهتمامًا خاصًا من جانب المستخدمين و</w:t>
      </w:r>
      <w:r w:rsidR="007D468C" w:rsidRPr="003B7AF4">
        <w:rPr>
          <w:rFonts w:ascii="Calibri" w:eastAsia="Simplified Arabic" w:hAnsi="Calibri" w:cs="Calibri" w:hint="cs"/>
          <w:szCs w:val="22"/>
          <w:rtl/>
        </w:rPr>
        <w:t>سلطات</w:t>
      </w:r>
      <w:r w:rsidRPr="003B7AF4">
        <w:rPr>
          <w:rFonts w:ascii="Calibri" w:eastAsia="Simplified Arabic" w:hAnsi="Calibri" w:cs="Calibri"/>
          <w:szCs w:val="22"/>
          <w:rtl/>
        </w:rPr>
        <w:t xml:space="preserve"> الملكية الفكرية </w:t>
      </w:r>
      <w:hyperlink r:id="rId22" w:history="1">
        <w:r w:rsidRPr="00322634">
          <w:rPr>
            <w:rStyle w:val="Hyperlink"/>
            <w:rFonts w:ascii="Calibri" w:hAnsi="Calibri" w:cs="Calibri"/>
            <w:color w:val="0000FF"/>
            <w:szCs w:val="22"/>
            <w:u w:color="0000FF"/>
            <w:rtl/>
          </w:rPr>
          <w:t xml:space="preserve">بخدماته في المنازعات المتعلقة بشروط الترخيص القائمة على </w:t>
        </w:r>
        <w:r w:rsidR="007D468C" w:rsidRPr="00322634">
          <w:rPr>
            <w:rStyle w:val="Hyperlink"/>
            <w:rFonts w:ascii="Calibri" w:hAnsi="Calibri" w:cs="Calibri"/>
            <w:color w:val="0000FF"/>
            <w:szCs w:val="22"/>
            <w:u w:color="0000FF"/>
            <w:rtl/>
          </w:rPr>
          <w:t>القرارات العادلة والمعقولة وغير التمييز</w:t>
        </w:r>
        <w:r w:rsidR="007D468C" w:rsidRPr="00322634">
          <w:rPr>
            <w:rStyle w:val="Hyperlink"/>
            <w:rFonts w:ascii="Calibri" w:hAnsi="Calibri"/>
            <w:color w:val="0000FF"/>
            <w:u w:color="0000FF"/>
            <w:rtl/>
          </w:rPr>
          <w:t>ية</w:t>
        </w:r>
        <w:r w:rsidRPr="00322634">
          <w:rPr>
            <w:rStyle w:val="Hyperlink"/>
            <w:rFonts w:ascii="Calibri" w:hAnsi="Calibri" w:cs="Calibri"/>
            <w:color w:val="0000FF"/>
            <w:szCs w:val="22"/>
            <w:u w:color="0000FF"/>
            <w:rtl/>
          </w:rPr>
          <w:t xml:space="preserve"> (FRAND) </w:t>
        </w:r>
      </w:hyperlink>
      <w:r w:rsidR="007D468C" w:rsidRPr="003B7AF4">
        <w:rPr>
          <w:rFonts w:ascii="Calibri" w:hAnsi="Calibri" w:cs="Calibri" w:hint="cs"/>
          <w:szCs w:val="22"/>
          <w:rtl/>
        </w:rPr>
        <w:t>ال</w:t>
      </w:r>
      <w:r w:rsidR="007D468C" w:rsidRPr="003B7AF4">
        <w:rPr>
          <w:rFonts w:ascii="Calibri" w:hAnsi="Calibri" w:cs="Calibri"/>
          <w:szCs w:val="22"/>
          <w:rtl/>
        </w:rPr>
        <w:t>براءات الأساسية المعيارية</w:t>
      </w:r>
      <w:r w:rsidRPr="003B7AF4">
        <w:rPr>
          <w:rFonts w:ascii="Calibri" w:hAnsi="Calibri" w:cs="Calibri"/>
          <w:szCs w:val="22"/>
          <w:rtl/>
        </w:rPr>
        <w:t xml:space="preserve">. </w:t>
      </w:r>
      <w:r w:rsidRPr="003B7AF4">
        <w:rPr>
          <w:rFonts w:ascii="Calibri" w:eastAsia="Simplified Arabic" w:hAnsi="Calibri" w:cs="Calibri"/>
          <w:szCs w:val="22"/>
          <w:rtl/>
        </w:rPr>
        <w:t>وقد أدار المركز حتى الآن أكثر من 85 وساطة تتعلق ب</w:t>
      </w:r>
      <w:r w:rsidR="007D468C" w:rsidRPr="003B7AF4">
        <w:rPr>
          <w:rFonts w:ascii="Calibri" w:eastAsia="Simplified Arabic" w:hAnsi="Calibri" w:cs="Calibri" w:hint="cs"/>
          <w:szCs w:val="22"/>
          <w:rtl/>
        </w:rPr>
        <w:t>ال</w:t>
      </w:r>
      <w:r w:rsidRPr="003B7AF4">
        <w:rPr>
          <w:rFonts w:ascii="Calibri" w:eastAsia="Simplified Arabic" w:hAnsi="Calibri" w:cs="Calibri"/>
          <w:szCs w:val="22"/>
          <w:rtl/>
        </w:rPr>
        <w:t xml:space="preserve">براءات </w:t>
      </w:r>
      <w:r w:rsidR="007D468C" w:rsidRPr="003B7AF4">
        <w:rPr>
          <w:rFonts w:ascii="Calibri" w:hAnsi="Calibri" w:cs="Calibri" w:hint="cs"/>
          <w:szCs w:val="22"/>
          <w:rtl/>
        </w:rPr>
        <w:t>ال</w:t>
      </w:r>
      <w:r w:rsidR="007D468C" w:rsidRPr="003B7AF4">
        <w:rPr>
          <w:rFonts w:ascii="Calibri" w:hAnsi="Calibri" w:cs="Calibri"/>
          <w:szCs w:val="22"/>
          <w:rtl/>
        </w:rPr>
        <w:t xml:space="preserve">براءات الأساسية المعيارية </w:t>
      </w:r>
      <w:r w:rsidRPr="003B7AF4">
        <w:rPr>
          <w:rFonts w:ascii="Calibri" w:eastAsia="Simplified Arabic" w:hAnsi="Calibri" w:cs="Calibri"/>
          <w:szCs w:val="22"/>
          <w:rtl/>
        </w:rPr>
        <w:t xml:space="preserve">، شملت شركات صغيرة ومتوسطة الحجم ومجمعات براءات وشركات كبيرة، مع أطراف من أكثر من 20 ولاية قضائية.  في عام 2024، شمل ذلك استخدام وساطة الويبو لتيسير ترخيص حافظات </w:t>
      </w:r>
      <w:r w:rsidR="007D468C" w:rsidRPr="003B7AF4">
        <w:rPr>
          <w:rFonts w:ascii="Calibri" w:eastAsia="Simplified Arabic" w:hAnsi="Calibri" w:cs="Calibri" w:hint="cs"/>
          <w:szCs w:val="22"/>
          <w:rtl/>
        </w:rPr>
        <w:t>ال</w:t>
      </w:r>
      <w:r w:rsidRPr="003B7AF4">
        <w:rPr>
          <w:rFonts w:ascii="Calibri" w:eastAsia="Simplified Arabic" w:hAnsi="Calibri" w:cs="Calibri"/>
          <w:szCs w:val="22"/>
          <w:rtl/>
        </w:rPr>
        <w:t xml:space="preserve">براءات الكبيرة في مجال الاتصالات التي تشمل أصحاب </w:t>
      </w:r>
      <w:r w:rsidR="007D468C" w:rsidRPr="003B7AF4">
        <w:rPr>
          <w:rFonts w:ascii="Calibri" w:hAnsi="Calibri" w:cs="Calibri" w:hint="cs"/>
          <w:szCs w:val="22"/>
          <w:rtl/>
        </w:rPr>
        <w:t>ال</w:t>
      </w:r>
      <w:r w:rsidR="007D468C" w:rsidRPr="003B7AF4">
        <w:rPr>
          <w:rFonts w:ascii="Calibri" w:hAnsi="Calibri" w:cs="Calibri"/>
          <w:szCs w:val="22"/>
          <w:rtl/>
        </w:rPr>
        <w:t>براءات الأساسية المعيارية</w:t>
      </w:r>
      <w:r w:rsidRPr="003B7AF4">
        <w:rPr>
          <w:rFonts w:ascii="Calibri" w:eastAsia="Simplified Arabic" w:hAnsi="Calibri" w:cs="Calibri"/>
          <w:szCs w:val="22"/>
          <w:rtl/>
        </w:rPr>
        <w:t xml:space="preserve">، ومنفذيها من آسيا وأوروبا. وانعكاسًا لهذه الخبرة المتزايدة في هذه القضايا، بما في ذلك القضايا </w:t>
      </w:r>
      <w:r w:rsidR="007D468C" w:rsidRPr="003B7AF4">
        <w:rPr>
          <w:rFonts w:ascii="Calibri" w:eastAsia="Simplified Arabic" w:hAnsi="Calibri" w:cs="Calibri" w:hint="cs"/>
          <w:szCs w:val="22"/>
          <w:rtl/>
        </w:rPr>
        <w:t>المعروضة على</w:t>
      </w:r>
      <w:r w:rsidRPr="003B7AF4">
        <w:rPr>
          <w:rFonts w:ascii="Calibri" w:eastAsia="Simplified Arabic" w:hAnsi="Calibri" w:cs="Calibri"/>
          <w:szCs w:val="22"/>
          <w:rtl/>
        </w:rPr>
        <w:t xml:space="preserve"> محاكم متعددة، يتيح المركز إرشادات لتيسير إحالة مثل هذه القضايا إلى الويبو للوساطة والتحكيم والبت فيها من قبل الخبراء</w:t>
      </w:r>
      <w:r w:rsidRPr="003B7AF4">
        <w:rPr>
          <w:rFonts w:ascii="Calibri" w:hAnsi="Calibri" w:cs="Calibri"/>
          <w:szCs w:val="22"/>
          <w:rtl/>
        </w:rPr>
        <w:t>.</w:t>
      </w:r>
      <w:r w:rsidRPr="003B7AF4">
        <w:rPr>
          <w:rStyle w:val="FootnoteReference"/>
          <w:rFonts w:ascii="Calibri" w:eastAsia="Simplified Arabic" w:hAnsi="Calibri" w:cs="Calibri"/>
          <w:szCs w:val="22"/>
          <w:rtl/>
        </w:rPr>
        <w:footnoteReference w:id="12"/>
      </w:r>
      <w:r w:rsidRPr="003B7AF4">
        <w:rPr>
          <w:rFonts w:ascii="Calibri" w:hAnsi="Calibri" w:cs="Calibri"/>
          <w:szCs w:val="22"/>
          <w:rtl/>
        </w:rPr>
        <w:t xml:space="preserve">  </w:t>
      </w:r>
      <w:r w:rsidR="00B5123D" w:rsidRPr="003B7AF4">
        <w:rPr>
          <w:rFonts w:ascii="Calibri" w:eastAsia="Simplified Arabic" w:hAnsi="Calibri" w:cs="Calibri"/>
          <w:szCs w:val="22"/>
          <w:rtl/>
        </w:rPr>
        <w:t xml:space="preserve">وفي </w:t>
      </w:r>
      <w:r w:rsidRPr="003B7AF4">
        <w:rPr>
          <w:rFonts w:ascii="Calibri" w:eastAsia="Simplified Arabic" w:hAnsi="Calibri" w:cs="Calibri"/>
          <w:szCs w:val="22"/>
          <w:rtl/>
        </w:rPr>
        <w:t>الفترة نفسها، واصلت الويبو ومكتب الولايات المتحدة الأمريكية للبراءات والعلامات التجارية (USPTO) شراكتهما في مجال التواصل مع أصحاب المصلحة لزيادة الوعي بخدمات الويبو لتسوية المنازعات البديلة المتعلقة بنفاذ الحقوق الفكرية، بما في ذلك الشركات الصغيرة والمتوسطة.</w:t>
      </w:r>
      <w:r w:rsidR="00A8669E" w:rsidRPr="003B7AF4">
        <w:rPr>
          <w:rFonts w:ascii="Calibri" w:eastAsia="Simplified Arabic" w:hAnsi="Calibri" w:cs="Calibri"/>
          <w:szCs w:val="22"/>
          <w:rtl/>
        </w:rPr>
        <w:t xml:space="preserve">  </w:t>
      </w:r>
      <w:r w:rsidRPr="003B7AF4">
        <w:rPr>
          <w:rFonts w:ascii="Calibri" w:eastAsia="Simplified Arabic" w:hAnsi="Calibri" w:cs="Calibri"/>
          <w:szCs w:val="22"/>
          <w:rtl/>
        </w:rPr>
        <w:t xml:space="preserve">وبالإضافة إلى ذلك، دخل المركز والمكتب الكندي </w:t>
      </w:r>
      <w:r w:rsidRPr="003B7AF4">
        <w:rPr>
          <w:rFonts w:ascii="Calibri" w:eastAsia="Simplified Arabic" w:hAnsi="Calibri" w:cs="Calibri"/>
          <w:szCs w:val="22"/>
          <w:rtl/>
        </w:rPr>
        <w:lastRenderedPageBreak/>
        <w:t xml:space="preserve">للملكية الفكرية (CIPO) في تعاون في عام 2024 لتعزيز </w:t>
      </w:r>
      <w:r w:rsidR="006C7353" w:rsidRPr="003B7AF4">
        <w:rPr>
          <w:rFonts w:ascii="Times New Roman" w:hAnsi="Times New Roman" w:cs="Calibri"/>
          <w:szCs w:val="22"/>
          <w:rtl/>
        </w:rPr>
        <w:t>السبل البديلة لتسوية المنازعات</w:t>
      </w:r>
      <w:r w:rsidR="006C7353" w:rsidRPr="003B7AF4">
        <w:rPr>
          <w:rFonts w:ascii="Calibri" w:eastAsia="Simplified Arabic" w:hAnsi="Calibri" w:cs="Calibri"/>
          <w:szCs w:val="22"/>
          <w:rtl/>
        </w:rPr>
        <w:t xml:space="preserve"> </w:t>
      </w:r>
      <w:r w:rsidRPr="003B7AF4">
        <w:rPr>
          <w:rFonts w:ascii="Calibri" w:eastAsia="Simplified Arabic" w:hAnsi="Calibri" w:cs="Calibri"/>
          <w:szCs w:val="22"/>
          <w:rtl/>
        </w:rPr>
        <w:t xml:space="preserve">في مجال النفاذ إلى الأسواق في مجال </w:t>
      </w:r>
      <w:r w:rsidR="006C7353" w:rsidRPr="003B7AF4">
        <w:rPr>
          <w:rFonts w:ascii="Calibri" w:hAnsi="Calibri" w:cs="Calibri" w:hint="cs"/>
          <w:szCs w:val="22"/>
          <w:rtl/>
        </w:rPr>
        <w:t>ال</w:t>
      </w:r>
      <w:r w:rsidR="006C7353" w:rsidRPr="003B7AF4">
        <w:rPr>
          <w:rFonts w:ascii="Calibri" w:hAnsi="Calibri" w:cs="Calibri"/>
          <w:szCs w:val="22"/>
          <w:rtl/>
        </w:rPr>
        <w:t>براءات الأساسية المعيارية</w:t>
      </w:r>
      <w:r w:rsidRPr="003B7AF4">
        <w:rPr>
          <w:rFonts w:ascii="Calibri" w:eastAsia="Simplified Arabic" w:hAnsi="Calibri" w:cs="Calibri"/>
          <w:szCs w:val="22"/>
          <w:rtl/>
        </w:rPr>
        <w:t>.</w:t>
      </w:r>
    </w:p>
    <w:p w14:paraId="0DAF3ED1" w14:textId="77777777" w:rsidR="00C54079" w:rsidRPr="003B7AF4" w:rsidRDefault="00C54079" w:rsidP="00C54079">
      <w:pPr>
        <w:pStyle w:val="ListParagraph"/>
        <w:widowControl w:val="0"/>
        <w:spacing w:after="240"/>
        <w:ind w:left="0"/>
        <w:rPr>
          <w:rFonts w:ascii="Calibri" w:eastAsia="Arial" w:hAnsi="Calibri" w:cs="Calibri"/>
          <w:szCs w:val="22"/>
        </w:rPr>
      </w:pPr>
    </w:p>
    <w:p w14:paraId="0D08DAE7" w14:textId="28E6606D" w:rsidR="00C54079" w:rsidRPr="003B7AF4" w:rsidRDefault="00C54079" w:rsidP="00C54079">
      <w:pPr>
        <w:pStyle w:val="ListParagraph"/>
        <w:widowControl w:val="0"/>
        <w:numPr>
          <w:ilvl w:val="0"/>
          <w:numId w:val="7"/>
        </w:numPr>
        <w:spacing w:after="240"/>
        <w:ind w:left="0" w:firstLine="0"/>
        <w:rPr>
          <w:rFonts w:ascii="Calibri" w:eastAsia="Arial" w:hAnsi="Calibri" w:cs="Calibri"/>
          <w:szCs w:val="22"/>
        </w:rPr>
      </w:pPr>
      <w:r w:rsidRPr="003B7AF4">
        <w:rPr>
          <w:rFonts w:ascii="Calibri" w:eastAsia="Simplified Arabic" w:hAnsi="Calibri" w:cs="Calibri"/>
          <w:szCs w:val="22"/>
          <w:rtl/>
        </w:rPr>
        <w:t xml:space="preserve">يدير المركز بانتظام </w:t>
      </w:r>
      <w:hyperlink r:id="rId23" w:history="1">
        <w:r w:rsidRPr="00322634">
          <w:rPr>
            <w:rStyle w:val="Hyperlink"/>
            <w:rFonts w:ascii="Calibri" w:hAnsi="Calibri" w:cs="Calibri"/>
            <w:color w:val="0000FF"/>
            <w:szCs w:val="22"/>
            <w:u w:color="0000FF"/>
            <w:rtl/>
          </w:rPr>
          <w:t xml:space="preserve">قضايا الوساطة والتحكيم في مجال علوم </w:t>
        </w:r>
      </w:hyperlink>
      <w:r w:rsidRPr="003B7AF4">
        <w:rPr>
          <w:rFonts w:ascii="Calibri" w:eastAsia="Simplified Arabic" w:hAnsi="Calibri" w:cs="Calibri"/>
          <w:szCs w:val="22"/>
          <w:rtl/>
        </w:rPr>
        <w:t xml:space="preserve">الحياة، مع أطراف في هذا القطاع بما في ذلك شركات الأدوية والتكنولوجيا الحيوية والتشخيص والأجهزة الطبية ومؤسسات البحث والتطوير. ويشمل عبء القضايا المتزايد للمركز في هذا المجال قضايا </w:t>
      </w:r>
      <w:r w:rsidR="00D44ABD" w:rsidRPr="003B7AF4">
        <w:rPr>
          <w:rFonts w:ascii="Calibri" w:eastAsia="Simplified Arabic" w:hAnsi="Calibri" w:cs="Calibri" w:hint="cs"/>
          <w:szCs w:val="22"/>
          <w:rtl/>
        </w:rPr>
        <w:t>ال</w:t>
      </w:r>
      <w:r w:rsidRPr="003B7AF4">
        <w:rPr>
          <w:rFonts w:ascii="Calibri" w:eastAsia="Simplified Arabic" w:hAnsi="Calibri" w:cs="Calibri"/>
          <w:szCs w:val="22"/>
          <w:rtl/>
        </w:rPr>
        <w:t>براءات والترخيص والتوزيع ذات القيمة العالية في مجال الأدوية</w:t>
      </w:r>
      <w:r w:rsidRPr="003B7AF4">
        <w:rPr>
          <w:rFonts w:ascii="Calibri" w:hAnsi="Calibri" w:cs="Calibri"/>
          <w:szCs w:val="22"/>
          <w:rtl/>
        </w:rPr>
        <w:t xml:space="preserve">. </w:t>
      </w:r>
      <w:r w:rsidR="00B5123D" w:rsidRPr="003B7AF4">
        <w:rPr>
          <w:rFonts w:ascii="Calibri" w:eastAsia="Simplified Arabic" w:hAnsi="Calibri" w:cs="Calibri"/>
          <w:szCs w:val="22"/>
          <w:rtl/>
        </w:rPr>
        <w:t xml:space="preserve">وخلال هذه </w:t>
      </w:r>
      <w:r w:rsidRPr="003B7AF4">
        <w:rPr>
          <w:rFonts w:ascii="Calibri" w:eastAsia="Simplified Arabic" w:hAnsi="Calibri" w:cs="Calibri"/>
          <w:szCs w:val="22"/>
          <w:rtl/>
        </w:rPr>
        <w:t xml:space="preserve">الفترة، واصل المركز الترويج لاستخدام وساطة </w:t>
      </w:r>
      <w:r w:rsidR="00D44ABD" w:rsidRPr="003B7AF4">
        <w:rPr>
          <w:rFonts w:ascii="Calibri" w:eastAsia="Simplified Arabic" w:hAnsi="Calibri" w:cs="Calibri" w:hint="cs"/>
          <w:szCs w:val="22"/>
          <w:rtl/>
        </w:rPr>
        <w:t>الويبو</w:t>
      </w:r>
      <w:r w:rsidRPr="003B7AF4">
        <w:rPr>
          <w:rFonts w:ascii="Calibri" w:eastAsia="Simplified Arabic" w:hAnsi="Calibri" w:cs="Calibri"/>
          <w:szCs w:val="22"/>
          <w:rtl/>
        </w:rPr>
        <w:t xml:space="preserve"> لتسهيل الترخيص الدولي لعلوم الحياة والمعاملات الأخرى في مجال علوم الحياة (وساطة الصفقات)، بالتعاون مع أصحاب المصلحة في أفريقيا وآسيا وأوروبا وأمريكا الشمالية.</w:t>
      </w:r>
      <w:r w:rsidRPr="003B7AF4">
        <w:rPr>
          <w:rStyle w:val="FootnoteReference"/>
          <w:rFonts w:ascii="Calibri" w:eastAsia="Simplified Arabic" w:hAnsi="Calibri" w:cs="Calibri"/>
          <w:szCs w:val="22"/>
          <w:rtl/>
        </w:rPr>
        <w:footnoteReference w:id="13"/>
      </w:r>
      <w:r w:rsidRPr="003B7AF4">
        <w:rPr>
          <w:rFonts w:ascii="Calibri" w:eastAsia="Simplified Arabic" w:hAnsi="Calibri" w:cs="Calibri"/>
          <w:szCs w:val="22"/>
          <w:rtl/>
        </w:rPr>
        <w:t xml:space="preserve">  وأتاح المركز منشور </w:t>
      </w:r>
      <w:hyperlink r:id="rId24" w:history="1">
        <w:r w:rsidR="00540C89" w:rsidRPr="00322634">
          <w:rPr>
            <w:rStyle w:val="Hyperlink"/>
            <w:rFonts w:ascii="Calibri" w:hAnsi="Calibri" w:cs="Calibri" w:hint="cs"/>
            <w:color w:val="0000FF"/>
            <w:szCs w:val="22"/>
            <w:u w:color="0000FF"/>
            <w:rtl/>
          </w:rPr>
          <w:t xml:space="preserve">السبل البديلة للويبو </w:t>
        </w:r>
        <w:r w:rsidRPr="00322634">
          <w:rPr>
            <w:rStyle w:val="Hyperlink"/>
            <w:rFonts w:ascii="Calibri" w:hAnsi="Calibri" w:cs="Calibri"/>
            <w:color w:val="0000FF"/>
            <w:szCs w:val="22"/>
            <w:u w:color="0000FF"/>
            <w:rtl/>
          </w:rPr>
          <w:t xml:space="preserve">لتسوية المنازعات في مجال علوم الحياة </w:t>
        </w:r>
      </w:hyperlink>
      <w:r w:rsidRPr="003B7AF4">
        <w:rPr>
          <w:rFonts w:ascii="Calibri" w:eastAsia="Simplified Arabic" w:hAnsi="Calibri" w:cs="Calibri"/>
          <w:szCs w:val="22"/>
          <w:rtl/>
        </w:rPr>
        <w:t xml:space="preserve">الذي يعرض خيارات </w:t>
      </w:r>
      <w:r w:rsidR="00540C89" w:rsidRPr="003B7AF4">
        <w:rPr>
          <w:rFonts w:ascii="Calibri" w:eastAsia="Simplified Arabic" w:hAnsi="Calibri" w:cs="Calibri"/>
          <w:szCs w:val="22"/>
          <w:rtl/>
        </w:rPr>
        <w:t xml:space="preserve">البديلة </w:t>
      </w:r>
      <w:r w:rsidR="00540C89" w:rsidRPr="003B7AF4">
        <w:rPr>
          <w:rFonts w:ascii="Calibri" w:eastAsia="Simplified Arabic" w:hAnsi="Calibri" w:cs="Calibri" w:hint="cs"/>
          <w:szCs w:val="22"/>
          <w:rtl/>
        </w:rPr>
        <w:t>ل</w:t>
      </w:r>
      <w:r w:rsidRPr="003B7AF4">
        <w:rPr>
          <w:rFonts w:ascii="Calibri" w:eastAsia="Simplified Arabic" w:hAnsi="Calibri" w:cs="Calibri"/>
          <w:szCs w:val="22"/>
          <w:rtl/>
        </w:rPr>
        <w:t>لويبو لتسوية المنازعات في مجال علوم الحياة المصممة خصيصاً لعلوم الحياة</w:t>
      </w:r>
      <w:r w:rsidR="00540C89" w:rsidRPr="003B7AF4">
        <w:rPr>
          <w:rFonts w:ascii="Calibri" w:eastAsia="Simplified Arabic" w:hAnsi="Calibri" w:cs="Calibri" w:hint="cs"/>
          <w:szCs w:val="22"/>
          <w:rtl/>
        </w:rPr>
        <w:t>.</w:t>
      </w:r>
    </w:p>
    <w:p w14:paraId="27C277EE" w14:textId="77777777" w:rsidR="00C54079" w:rsidRPr="003B7AF4" w:rsidRDefault="00C54079" w:rsidP="00C54079">
      <w:pPr>
        <w:pStyle w:val="ListParagraph"/>
        <w:widowControl w:val="0"/>
        <w:spacing w:after="240"/>
        <w:ind w:left="0"/>
        <w:rPr>
          <w:rFonts w:ascii="Calibri" w:hAnsi="Calibri" w:cs="Calibri"/>
          <w:szCs w:val="22"/>
        </w:rPr>
      </w:pPr>
    </w:p>
    <w:p w14:paraId="6A7FBF26" w14:textId="05092793"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وقد لاحظ المركز زيادة في طلبات الحصول على </w:t>
      </w:r>
      <w:hyperlink r:id="rId25" w:history="1">
        <w:r w:rsidR="00115F25" w:rsidRPr="00C44C0E">
          <w:rPr>
            <w:rStyle w:val="Hyperlink"/>
            <w:rFonts w:ascii="Calibri" w:hAnsi="Calibri" w:cs="Calibri"/>
            <w:color w:val="0000FF"/>
            <w:szCs w:val="22"/>
            <w:u w:color="0000FF"/>
            <w:rtl/>
          </w:rPr>
          <w:t xml:space="preserve">خدمات </w:t>
        </w:r>
        <w:r w:rsidR="00540C89" w:rsidRPr="00C44C0E">
          <w:rPr>
            <w:rStyle w:val="Hyperlink"/>
            <w:rFonts w:ascii="Calibri" w:hAnsi="Calibri" w:cs="Calibri" w:hint="cs"/>
            <w:color w:val="0000FF"/>
            <w:szCs w:val="22"/>
            <w:u w:color="0000FF"/>
            <w:rtl/>
          </w:rPr>
          <w:t>السبل البديلة ل</w:t>
        </w:r>
        <w:r w:rsidR="00115F25" w:rsidRPr="00C44C0E">
          <w:rPr>
            <w:rStyle w:val="Hyperlink"/>
            <w:rFonts w:ascii="Calibri" w:hAnsi="Calibri" w:cs="Calibri"/>
            <w:color w:val="0000FF"/>
            <w:szCs w:val="22"/>
            <w:u w:color="0000FF"/>
            <w:rtl/>
          </w:rPr>
          <w:t xml:space="preserve">تسوية المنازعات في مجالات ألعاب الفيديو والرياضات </w:t>
        </w:r>
      </w:hyperlink>
      <w:r w:rsidRPr="003B7AF4">
        <w:rPr>
          <w:rFonts w:ascii="Calibri" w:hAnsi="Calibri" w:cs="Calibri"/>
          <w:szCs w:val="22"/>
          <w:rtl/>
        </w:rPr>
        <w:t xml:space="preserve">الإلكترونية، مما يعكس الطبيعة الديناميكية </w:t>
      </w:r>
      <w:r w:rsidR="00115F25" w:rsidRPr="003B7AF4">
        <w:rPr>
          <w:rFonts w:ascii="Calibri" w:hAnsi="Calibri" w:cs="Calibri"/>
          <w:szCs w:val="22"/>
          <w:rtl/>
        </w:rPr>
        <w:t>لهذه المجالات</w:t>
      </w:r>
      <w:r w:rsidRPr="003B7AF4">
        <w:rPr>
          <w:rFonts w:ascii="Calibri" w:hAnsi="Calibri" w:cs="Calibri"/>
          <w:szCs w:val="22"/>
          <w:rtl/>
        </w:rPr>
        <w:t xml:space="preserve"> الآخذة في التوسع.  </w:t>
      </w:r>
      <w:r w:rsidR="00540C89" w:rsidRPr="003B7AF4">
        <w:rPr>
          <w:rFonts w:ascii="Calibri" w:hAnsi="Calibri" w:cs="Calibri" w:hint="cs"/>
          <w:szCs w:val="22"/>
          <w:rtl/>
        </w:rPr>
        <w:t>و</w:t>
      </w:r>
      <w:r w:rsidRPr="003B7AF4">
        <w:rPr>
          <w:rFonts w:ascii="Calibri" w:hAnsi="Calibri" w:cs="Calibri"/>
          <w:szCs w:val="22"/>
          <w:rtl/>
        </w:rPr>
        <w:t>تشمل المنازعات في هذا القطاع قضايا حق</w:t>
      </w:r>
      <w:r w:rsidR="00540C89" w:rsidRPr="003B7AF4">
        <w:rPr>
          <w:rFonts w:ascii="Calibri" w:hAnsi="Calibri" w:cs="Calibri" w:hint="cs"/>
          <w:szCs w:val="22"/>
          <w:rtl/>
        </w:rPr>
        <w:t xml:space="preserve"> المؤلف </w:t>
      </w:r>
      <w:r w:rsidRPr="003B7AF4">
        <w:rPr>
          <w:rFonts w:ascii="Calibri" w:hAnsi="Calibri" w:cs="Calibri"/>
          <w:szCs w:val="22"/>
          <w:rtl/>
        </w:rPr>
        <w:t>المتعلقة بقصص الألعاب والتصاميم و</w:t>
      </w:r>
      <w:r w:rsidR="00B17F05" w:rsidRPr="003B7AF4">
        <w:rPr>
          <w:rFonts w:ascii="Calibri" w:hAnsi="Calibri" w:cs="Calibri" w:hint="cs"/>
          <w:szCs w:val="22"/>
          <w:rtl/>
        </w:rPr>
        <w:t>التعدي على</w:t>
      </w:r>
      <w:r w:rsidRPr="003B7AF4">
        <w:rPr>
          <w:rFonts w:ascii="Calibri" w:hAnsi="Calibri" w:cs="Calibri"/>
          <w:szCs w:val="22"/>
          <w:rtl/>
        </w:rPr>
        <w:t xml:space="preserve"> الملكية الفكرية و</w:t>
      </w:r>
      <w:r w:rsidR="00B17F05" w:rsidRPr="003B7AF4">
        <w:rPr>
          <w:rFonts w:ascii="Calibri" w:hAnsi="Calibri" w:cs="Calibri"/>
          <w:szCs w:val="22"/>
          <w:rtl/>
        </w:rPr>
        <w:t xml:space="preserve">المنازعات </w:t>
      </w:r>
      <w:r w:rsidRPr="003B7AF4">
        <w:rPr>
          <w:rFonts w:ascii="Calibri" w:hAnsi="Calibri" w:cs="Calibri"/>
          <w:szCs w:val="22"/>
          <w:rtl/>
        </w:rPr>
        <w:t>المتعلقة بالملكية الفكرية وترخيص البرمجيات والمصنفات الموسيقية و</w:t>
      </w:r>
      <w:r w:rsidR="00B17F05" w:rsidRPr="003B7AF4">
        <w:rPr>
          <w:rFonts w:ascii="Calibri" w:hAnsi="Calibri" w:cs="Calibri"/>
          <w:szCs w:val="22"/>
          <w:rtl/>
        </w:rPr>
        <w:t xml:space="preserve">المنازعات </w:t>
      </w:r>
      <w:r w:rsidRPr="003B7AF4">
        <w:rPr>
          <w:rFonts w:ascii="Calibri" w:hAnsi="Calibri" w:cs="Calibri"/>
          <w:szCs w:val="22"/>
          <w:rtl/>
        </w:rPr>
        <w:t xml:space="preserve">المتعلقة بالعلامات التجارية. واستجابةً لهذه الحاجة المتزايدة، يتعاون المركز مع أصحاب المصلحة في هذا القطاع وأقسام </w:t>
      </w:r>
      <w:r w:rsidR="00540C89" w:rsidRPr="003B7AF4">
        <w:rPr>
          <w:rFonts w:ascii="Calibri" w:hAnsi="Calibri" w:cs="Calibri" w:hint="cs"/>
          <w:szCs w:val="22"/>
          <w:rtl/>
        </w:rPr>
        <w:t>الويبو</w:t>
      </w:r>
      <w:r w:rsidRPr="003B7AF4">
        <w:rPr>
          <w:rFonts w:ascii="Calibri" w:hAnsi="Calibri" w:cs="Calibri"/>
          <w:szCs w:val="22"/>
          <w:rtl/>
        </w:rPr>
        <w:t xml:space="preserve"> الأخرى لتطوير وتنفيذ خيارات متخصصة في مجال </w:t>
      </w:r>
      <w:r w:rsidR="00540C89" w:rsidRPr="003B7AF4">
        <w:rPr>
          <w:rFonts w:ascii="Calibri" w:hAnsi="Calibri" w:cs="Calibri" w:hint="cs"/>
          <w:szCs w:val="22"/>
          <w:rtl/>
        </w:rPr>
        <w:t>السبل البديلة ل</w:t>
      </w:r>
      <w:r w:rsidRPr="003B7AF4">
        <w:rPr>
          <w:rFonts w:ascii="Calibri" w:hAnsi="Calibri" w:cs="Calibri"/>
          <w:szCs w:val="22"/>
          <w:rtl/>
        </w:rPr>
        <w:t xml:space="preserve">تسوية المنازعات مصممة خصيصًا لمواجهة تحديات قطاعي ألعاب الفيديو والرياضات الإلكترونية. وفي عام 2024، أقام المركز تعاونًا مع لجنة نزاهة الرياضات الإلكترونية (ESIC)، مما أدى إلى تطوير وإطلاق </w:t>
      </w:r>
      <w:hyperlink r:id="rId26" w:history="1">
        <w:r w:rsidRPr="00C44C0E">
          <w:rPr>
            <w:rStyle w:val="Hyperlink"/>
            <w:rFonts w:ascii="Calibri" w:hAnsi="Calibri" w:cs="Calibri"/>
            <w:color w:val="0000FF"/>
            <w:szCs w:val="22"/>
            <w:u w:color="0000FF"/>
            <w:rtl/>
          </w:rPr>
          <w:t>المحكمة الدولية للألعاب والرياضات الإلكترونية (IGET</w:t>
        </w:r>
      </w:hyperlink>
      <w:r w:rsidRPr="00C44C0E">
        <w:rPr>
          <w:rFonts w:ascii="Calibri" w:hAnsi="Calibri" w:cs="Calibri"/>
          <w:color w:val="0000FF"/>
          <w:szCs w:val="22"/>
          <w:u w:val="single" w:color="0000FF"/>
          <w:rtl/>
        </w:rPr>
        <w:t>)</w:t>
      </w:r>
      <w:r w:rsidRPr="003B7AF4">
        <w:rPr>
          <w:rFonts w:ascii="Calibri" w:hAnsi="Calibri" w:cs="Calibri"/>
          <w:szCs w:val="22"/>
          <w:rtl/>
        </w:rPr>
        <w:t xml:space="preserve">، وهي هيئة غير ربحية لتسوية المنازعات مصممة لتلبية الاحتياجات الفريدة لصناعات ألعاب الفيديو والرياضات الإلكترونية العالمية. </w:t>
      </w:r>
      <w:r w:rsidR="00540C89" w:rsidRPr="003B7AF4">
        <w:rPr>
          <w:rFonts w:ascii="Calibri" w:hAnsi="Calibri" w:cs="Calibri" w:hint="cs"/>
          <w:szCs w:val="22"/>
          <w:rtl/>
        </w:rPr>
        <w:t>و</w:t>
      </w:r>
      <w:r w:rsidRPr="003B7AF4">
        <w:rPr>
          <w:rFonts w:ascii="Calibri" w:hAnsi="Calibri" w:cs="Calibri"/>
          <w:szCs w:val="22"/>
          <w:rtl/>
        </w:rPr>
        <w:t xml:space="preserve">تمثل </w:t>
      </w:r>
      <w:r w:rsidR="00540C89" w:rsidRPr="003B7AF4">
        <w:rPr>
          <w:rFonts w:ascii="Calibri" w:hAnsi="Calibri" w:cs="Calibri" w:hint="cs"/>
          <w:szCs w:val="22"/>
          <w:rtl/>
        </w:rPr>
        <w:t>المحكمة</w:t>
      </w:r>
      <w:r w:rsidRPr="003B7AF4">
        <w:rPr>
          <w:rFonts w:ascii="Calibri" w:hAnsi="Calibri" w:cs="Calibri"/>
          <w:szCs w:val="22"/>
          <w:rtl/>
        </w:rPr>
        <w:t xml:space="preserve"> جهدًا رائدًا لتوفير خدمات </w:t>
      </w:r>
      <w:r w:rsidR="00540C89" w:rsidRPr="003B7AF4">
        <w:rPr>
          <w:rFonts w:ascii="Calibri" w:hAnsi="Calibri" w:cs="Calibri" w:hint="cs"/>
          <w:szCs w:val="22"/>
          <w:rtl/>
        </w:rPr>
        <w:t>ال</w:t>
      </w:r>
      <w:r w:rsidRPr="003B7AF4">
        <w:rPr>
          <w:rFonts w:ascii="Calibri" w:hAnsi="Calibri" w:cs="Calibri"/>
          <w:szCs w:val="22"/>
          <w:rtl/>
        </w:rPr>
        <w:t xml:space="preserve">تسوية </w:t>
      </w:r>
      <w:r w:rsidR="00540C89" w:rsidRPr="003B7AF4">
        <w:rPr>
          <w:rFonts w:ascii="Calibri" w:hAnsi="Calibri" w:cs="Calibri"/>
          <w:szCs w:val="22"/>
          <w:rtl/>
        </w:rPr>
        <w:t xml:space="preserve">البديلة </w:t>
      </w:r>
      <w:r w:rsidR="00540C89" w:rsidRPr="003B7AF4">
        <w:rPr>
          <w:rFonts w:ascii="Calibri" w:hAnsi="Calibri" w:cs="Calibri" w:hint="cs"/>
          <w:szCs w:val="22"/>
          <w:rtl/>
        </w:rPr>
        <w:t>ل</w:t>
      </w:r>
      <w:r w:rsidRPr="003B7AF4">
        <w:rPr>
          <w:rFonts w:ascii="Calibri" w:hAnsi="Calibri" w:cs="Calibri"/>
          <w:szCs w:val="22"/>
          <w:rtl/>
        </w:rPr>
        <w:t>لمنازعات مصممة خصيصًا وم</w:t>
      </w:r>
      <w:r w:rsidR="00C553CC" w:rsidRPr="003B7AF4">
        <w:rPr>
          <w:rFonts w:ascii="Calibri" w:hAnsi="Calibri" w:cs="Calibri" w:hint="cs"/>
          <w:szCs w:val="22"/>
          <w:rtl/>
        </w:rPr>
        <w:t>هنية</w:t>
      </w:r>
      <w:r w:rsidRPr="003B7AF4">
        <w:rPr>
          <w:rFonts w:ascii="Calibri" w:hAnsi="Calibri" w:cs="Calibri"/>
          <w:szCs w:val="22"/>
          <w:rtl/>
        </w:rPr>
        <w:t xml:space="preserve"> و</w:t>
      </w:r>
      <w:r w:rsidR="00C553CC" w:rsidRPr="003B7AF4">
        <w:rPr>
          <w:rFonts w:ascii="Calibri" w:hAnsi="Calibri" w:cs="Calibri" w:hint="cs"/>
          <w:szCs w:val="22"/>
          <w:rtl/>
        </w:rPr>
        <w:t>يسيرة الوصول</w:t>
      </w:r>
      <w:r w:rsidRPr="003B7AF4">
        <w:rPr>
          <w:rFonts w:ascii="Calibri" w:hAnsi="Calibri" w:cs="Calibri"/>
          <w:szCs w:val="22"/>
          <w:rtl/>
        </w:rPr>
        <w:t xml:space="preserve"> لأصحاب المصلحة في الألعاب والرياضات الإلكترونية</w:t>
      </w:r>
      <w:r w:rsidR="00C553CC" w:rsidRPr="003B7AF4">
        <w:rPr>
          <w:rFonts w:ascii="Calibri" w:hAnsi="Calibri" w:cs="Calibri" w:hint="cs"/>
          <w:szCs w:val="22"/>
          <w:rtl/>
        </w:rPr>
        <w:t xml:space="preserve"> فيما يخص خدمات التسوية البديلة للمنازعات</w:t>
      </w:r>
      <w:r w:rsidRPr="003B7AF4">
        <w:rPr>
          <w:rFonts w:ascii="Calibri" w:hAnsi="Calibri" w:cs="Calibri"/>
          <w:szCs w:val="22"/>
          <w:rtl/>
        </w:rPr>
        <w:t>.</w:t>
      </w:r>
    </w:p>
    <w:p w14:paraId="41D4FEE7" w14:textId="6E70EE40" w:rsidR="00C54079" w:rsidRPr="003B7AF4" w:rsidRDefault="00540C89" w:rsidP="00C54079">
      <w:pPr>
        <w:pStyle w:val="ListParagraph"/>
        <w:widowControl w:val="0"/>
        <w:numPr>
          <w:ilvl w:val="0"/>
          <w:numId w:val="7"/>
        </w:numPr>
        <w:spacing w:after="240"/>
        <w:ind w:left="0" w:firstLine="0"/>
        <w:contextualSpacing w:val="0"/>
        <w:rPr>
          <w:rFonts w:ascii="Calibri" w:eastAsia="Arial" w:hAnsi="Calibri" w:cs="Calibri"/>
          <w:szCs w:val="22"/>
        </w:rPr>
      </w:pPr>
      <w:r w:rsidRPr="003B7AF4">
        <w:rPr>
          <w:rFonts w:ascii="Calibri" w:eastAsiaTheme="minorHAnsi" w:hAnsi="Calibri" w:cs="Calibri" w:hint="cs"/>
          <w:szCs w:val="22"/>
          <w:rtl/>
        </w:rPr>
        <w:t>و</w:t>
      </w:r>
      <w:r w:rsidR="00C54079" w:rsidRPr="003B7AF4">
        <w:rPr>
          <w:rFonts w:ascii="Calibri" w:eastAsiaTheme="minorHAnsi" w:hAnsi="Calibri" w:cs="Calibri"/>
          <w:szCs w:val="22"/>
          <w:rtl/>
        </w:rPr>
        <w:t>مع تطور الذكاء الاصطناعي</w:t>
      </w:r>
      <w:r w:rsidR="00C553CC" w:rsidRPr="003B7AF4">
        <w:rPr>
          <w:rFonts w:ascii="Calibri" w:eastAsiaTheme="minorHAnsi" w:hAnsi="Calibri" w:cs="Calibri" w:hint="cs"/>
          <w:szCs w:val="22"/>
          <w:rtl/>
        </w:rPr>
        <w:t>،</w:t>
      </w:r>
      <w:r w:rsidR="00C54079" w:rsidRPr="003B7AF4">
        <w:rPr>
          <w:rFonts w:ascii="Calibri" w:eastAsiaTheme="minorHAnsi" w:hAnsi="Calibri" w:cs="Calibri"/>
          <w:szCs w:val="22"/>
          <w:rtl/>
        </w:rPr>
        <w:t xml:space="preserve"> أصبحت </w:t>
      </w:r>
      <w:r w:rsidR="00B17F05" w:rsidRPr="003B7AF4">
        <w:rPr>
          <w:rFonts w:ascii="Calibri" w:eastAsiaTheme="minorHAnsi" w:hAnsi="Calibri" w:cs="Calibri"/>
          <w:szCs w:val="22"/>
          <w:rtl/>
        </w:rPr>
        <w:t xml:space="preserve">المنازعات </w:t>
      </w:r>
      <w:r w:rsidR="00C54079" w:rsidRPr="003B7AF4">
        <w:rPr>
          <w:rFonts w:ascii="Calibri" w:eastAsiaTheme="minorHAnsi" w:hAnsi="Calibri" w:cs="Calibri"/>
          <w:szCs w:val="22"/>
          <w:rtl/>
        </w:rPr>
        <w:t xml:space="preserve">حول </w:t>
      </w:r>
      <w:r w:rsidR="00C553CC" w:rsidRPr="003B7AF4">
        <w:rPr>
          <w:rFonts w:ascii="Calibri" w:eastAsiaTheme="minorHAnsi" w:hAnsi="Calibri" w:cs="Calibri" w:hint="cs"/>
          <w:szCs w:val="22"/>
          <w:rtl/>
        </w:rPr>
        <w:t>ال</w:t>
      </w:r>
      <w:r w:rsidR="00C54079" w:rsidRPr="003B7AF4">
        <w:rPr>
          <w:rFonts w:ascii="Calibri" w:eastAsiaTheme="minorHAnsi" w:hAnsi="Calibri" w:cs="Calibri"/>
          <w:szCs w:val="22"/>
          <w:rtl/>
        </w:rPr>
        <w:t>ملكية و</w:t>
      </w:r>
      <w:r w:rsidR="00C553CC" w:rsidRPr="003B7AF4">
        <w:rPr>
          <w:rFonts w:ascii="Calibri" w:eastAsiaTheme="minorHAnsi" w:hAnsi="Calibri" w:cs="Calibri" w:hint="cs"/>
          <w:szCs w:val="22"/>
          <w:rtl/>
        </w:rPr>
        <w:t>ال</w:t>
      </w:r>
      <w:r w:rsidR="00C54079" w:rsidRPr="003B7AF4">
        <w:rPr>
          <w:rFonts w:ascii="Calibri" w:eastAsiaTheme="minorHAnsi" w:hAnsi="Calibri" w:cs="Calibri"/>
          <w:szCs w:val="22"/>
          <w:rtl/>
        </w:rPr>
        <w:t xml:space="preserve">ترخيص و التعدي على المحتوى الذي يولده الذكاء الاصطناعي أكثر شيوعًا. ويدعم المركز الحل الطوعي لهذه المنازعات من خلال </w:t>
      </w:r>
      <w:r w:rsidR="00C553CC" w:rsidRPr="003B7AF4">
        <w:rPr>
          <w:rFonts w:ascii="Calibri" w:eastAsiaTheme="minorHAnsi" w:hAnsi="Calibri" w:cs="Calibri" w:hint="cs"/>
          <w:szCs w:val="22"/>
          <w:rtl/>
        </w:rPr>
        <w:t>ا</w:t>
      </w:r>
      <w:r w:rsidR="00C553CC" w:rsidRPr="003B7AF4">
        <w:rPr>
          <w:rFonts w:ascii="Calibri" w:eastAsiaTheme="minorHAnsi" w:hAnsi="Calibri" w:cs="Calibri"/>
          <w:szCs w:val="22"/>
          <w:rtl/>
        </w:rPr>
        <w:t xml:space="preserve">لتسوية </w:t>
      </w:r>
      <w:r w:rsidR="00C54079" w:rsidRPr="003B7AF4">
        <w:rPr>
          <w:rFonts w:ascii="Calibri" w:eastAsiaTheme="minorHAnsi" w:hAnsi="Calibri" w:cs="Calibri"/>
          <w:szCs w:val="22"/>
          <w:rtl/>
        </w:rPr>
        <w:t>البديل</w:t>
      </w:r>
      <w:r w:rsidR="00C553CC" w:rsidRPr="003B7AF4">
        <w:rPr>
          <w:rFonts w:ascii="Calibri" w:eastAsiaTheme="minorHAnsi" w:hAnsi="Calibri" w:cs="Calibri" w:hint="cs"/>
          <w:szCs w:val="22"/>
          <w:rtl/>
        </w:rPr>
        <w:t>ة</w:t>
      </w:r>
      <w:r w:rsidR="00C54079" w:rsidRPr="003B7AF4">
        <w:rPr>
          <w:rFonts w:ascii="Calibri" w:eastAsiaTheme="minorHAnsi" w:hAnsi="Calibri" w:cs="Calibri"/>
          <w:szCs w:val="22"/>
          <w:rtl/>
        </w:rPr>
        <w:t xml:space="preserve"> </w:t>
      </w:r>
      <w:r w:rsidR="00C553CC" w:rsidRPr="003B7AF4">
        <w:rPr>
          <w:rFonts w:ascii="Calibri" w:eastAsiaTheme="minorHAnsi" w:hAnsi="Calibri" w:cs="Calibri" w:hint="cs"/>
          <w:szCs w:val="22"/>
          <w:rtl/>
        </w:rPr>
        <w:t>ل</w:t>
      </w:r>
      <w:r w:rsidR="00C54079" w:rsidRPr="003B7AF4">
        <w:rPr>
          <w:rFonts w:ascii="Calibri" w:eastAsiaTheme="minorHAnsi" w:hAnsi="Calibri" w:cs="Calibri"/>
          <w:szCs w:val="22"/>
          <w:rtl/>
        </w:rPr>
        <w:t xml:space="preserve">لمنازعات عن طريق تقديم </w:t>
      </w:r>
      <w:hyperlink r:id="rId27" w:history="1">
        <w:r w:rsidR="00C54079" w:rsidRPr="00C44C0E">
          <w:rPr>
            <w:rStyle w:val="Hyperlink"/>
            <w:rFonts w:ascii="Calibri" w:eastAsiaTheme="minorHAnsi" w:hAnsi="Calibri" w:cs="Calibri"/>
            <w:color w:val="0000FF"/>
            <w:szCs w:val="22"/>
            <w:u w:color="0000FF"/>
            <w:rtl/>
          </w:rPr>
          <w:t xml:space="preserve">حلول تتناسب مع المشهد الرقمي </w:t>
        </w:r>
      </w:hyperlink>
      <w:r w:rsidR="00565170" w:rsidRPr="003B7AF4">
        <w:rPr>
          <w:rFonts w:ascii="Calibri" w:hAnsi="Calibri" w:cs="Calibri" w:hint="cs"/>
          <w:szCs w:val="22"/>
          <w:rtl/>
        </w:rPr>
        <w:t xml:space="preserve"> </w:t>
      </w:r>
      <w:r w:rsidR="00C54079" w:rsidRPr="003B7AF4">
        <w:rPr>
          <w:rFonts w:ascii="Calibri" w:eastAsiaTheme="minorHAnsi" w:hAnsi="Calibri" w:cs="Calibri"/>
          <w:szCs w:val="22"/>
          <w:rtl/>
        </w:rPr>
        <w:t>سريعة وفعالة</w:t>
      </w:r>
      <w:r w:rsidR="00565170" w:rsidRPr="003B7AF4">
        <w:rPr>
          <w:rFonts w:ascii="Calibri" w:eastAsiaTheme="minorHAnsi" w:hAnsi="Calibri" w:cs="Calibri" w:hint="cs"/>
          <w:szCs w:val="22"/>
          <w:rtl/>
        </w:rPr>
        <w:t>،</w:t>
      </w:r>
      <w:r w:rsidR="00C54079" w:rsidRPr="003B7AF4">
        <w:rPr>
          <w:rFonts w:ascii="Calibri" w:eastAsiaTheme="minorHAnsi" w:hAnsi="Calibri" w:cs="Calibri"/>
          <w:szCs w:val="22"/>
          <w:rtl/>
        </w:rPr>
        <w:t xml:space="preserve"> </w:t>
      </w:r>
      <w:r w:rsidR="00565170" w:rsidRPr="003B7AF4">
        <w:rPr>
          <w:rFonts w:ascii="Calibri" w:eastAsiaTheme="minorHAnsi" w:hAnsi="Calibri" w:cs="Calibri" w:hint="cs"/>
          <w:szCs w:val="22"/>
          <w:rtl/>
        </w:rPr>
        <w:t>تحمي</w:t>
      </w:r>
      <w:r w:rsidR="00C54079" w:rsidRPr="003B7AF4">
        <w:rPr>
          <w:rFonts w:ascii="Calibri" w:eastAsiaTheme="minorHAnsi" w:hAnsi="Calibri" w:cs="Calibri"/>
          <w:szCs w:val="22"/>
          <w:rtl/>
        </w:rPr>
        <w:t xml:space="preserve"> العلاقات وحقوق المبدعين.</w:t>
      </w:r>
      <w:r w:rsidR="00B476A0" w:rsidRPr="003B7AF4">
        <w:rPr>
          <w:rFonts w:ascii="Calibri" w:eastAsiaTheme="minorHAnsi" w:hAnsi="Calibri" w:cs="Calibri"/>
          <w:szCs w:val="22"/>
          <w:rtl/>
        </w:rPr>
        <w:t xml:space="preserve"> </w:t>
      </w:r>
      <w:r w:rsidR="00C54079" w:rsidRPr="003B7AF4">
        <w:rPr>
          <w:rFonts w:ascii="Calibri" w:eastAsiaTheme="minorHAnsi" w:hAnsi="Calibri" w:cs="Calibri"/>
          <w:szCs w:val="22"/>
          <w:rtl/>
        </w:rPr>
        <w:t xml:space="preserve">وفي هذا السياق، شارك المركز في حل المنازعات المتعلقة </w:t>
      </w:r>
      <w:r w:rsidR="00565170" w:rsidRPr="003B7AF4">
        <w:rPr>
          <w:rFonts w:ascii="Calibri" w:eastAsiaTheme="minorHAnsi" w:hAnsi="Calibri" w:cs="Calibri" w:hint="cs"/>
          <w:szCs w:val="22"/>
          <w:rtl/>
        </w:rPr>
        <w:t>بالتعدي على</w:t>
      </w:r>
      <w:r w:rsidR="00C54079" w:rsidRPr="003B7AF4">
        <w:rPr>
          <w:rFonts w:ascii="Calibri" w:eastAsiaTheme="minorHAnsi" w:hAnsi="Calibri" w:cs="Calibri"/>
          <w:szCs w:val="22"/>
          <w:rtl/>
        </w:rPr>
        <w:t xml:space="preserve"> حقوق الملكية الفكرية، لا سيما المتعلقة بقضايا حق</w:t>
      </w:r>
      <w:r w:rsidR="00565170" w:rsidRPr="003B7AF4">
        <w:rPr>
          <w:rFonts w:ascii="Calibri" w:eastAsiaTheme="minorHAnsi" w:hAnsi="Calibri" w:cs="Calibri" w:hint="cs"/>
          <w:szCs w:val="22"/>
          <w:rtl/>
        </w:rPr>
        <w:t xml:space="preserve"> المؤلف </w:t>
      </w:r>
      <w:r w:rsidR="00C54079" w:rsidRPr="003B7AF4">
        <w:rPr>
          <w:rFonts w:ascii="Calibri" w:eastAsiaTheme="minorHAnsi" w:hAnsi="Calibri" w:cs="Calibri"/>
          <w:szCs w:val="22"/>
          <w:rtl/>
        </w:rPr>
        <w:t>في نماذج الذكاء الاصطناعي التدريبية.</w:t>
      </w:r>
    </w:p>
    <w:p w14:paraId="2343C58D" w14:textId="747CF420" w:rsidR="00C54079" w:rsidRPr="003B7AF4" w:rsidRDefault="00B476A0" w:rsidP="00C54079">
      <w:pPr>
        <w:pStyle w:val="ListParagraph"/>
        <w:widowControl w:val="0"/>
        <w:numPr>
          <w:ilvl w:val="0"/>
          <w:numId w:val="7"/>
        </w:numPr>
        <w:spacing w:after="240"/>
        <w:ind w:left="0" w:firstLine="0"/>
        <w:rPr>
          <w:rFonts w:ascii="Calibri" w:hAnsi="Calibri" w:cs="Calibri"/>
          <w:szCs w:val="22"/>
        </w:rPr>
      </w:pPr>
      <w:r w:rsidRPr="003B7AF4">
        <w:rPr>
          <w:rFonts w:ascii="Calibri" w:hAnsi="Calibri" w:cs="Calibri"/>
          <w:szCs w:val="22"/>
          <w:rtl/>
        </w:rPr>
        <w:t xml:space="preserve">وقد لاحظ المركز تزايد عدد قضايا الوساطة والتحكيم المتعلقة </w:t>
      </w:r>
      <w:hyperlink r:id="rId28" w:history="1">
        <w:r w:rsidRPr="000F6391">
          <w:rPr>
            <w:rStyle w:val="Hyperlink"/>
            <w:rFonts w:ascii="Calibri" w:hAnsi="Calibri" w:cs="Calibri"/>
            <w:color w:val="0000FF"/>
            <w:szCs w:val="22"/>
            <w:u w:color="0000FF"/>
            <w:rtl/>
          </w:rPr>
          <w:t xml:space="preserve">بالتكنولوجيا الخضراء </w:t>
        </w:r>
      </w:hyperlink>
      <w:r w:rsidR="00C54079" w:rsidRPr="003B7AF4">
        <w:rPr>
          <w:rFonts w:ascii="Calibri" w:hAnsi="Calibri" w:cs="Calibri"/>
          <w:szCs w:val="22"/>
          <w:rtl/>
        </w:rPr>
        <w:t xml:space="preserve">والاستدامة، </w:t>
      </w:r>
      <w:r w:rsidRPr="003B7AF4">
        <w:rPr>
          <w:rFonts w:ascii="Calibri" w:hAnsi="Calibri" w:cs="Calibri"/>
          <w:szCs w:val="22"/>
          <w:rtl/>
        </w:rPr>
        <w:t xml:space="preserve">كما هو الحال في مجال </w:t>
      </w:r>
      <w:r w:rsidR="00C54079" w:rsidRPr="003B7AF4">
        <w:rPr>
          <w:rFonts w:ascii="Calibri" w:hAnsi="Calibri" w:cs="Calibri"/>
          <w:szCs w:val="22"/>
          <w:rtl/>
        </w:rPr>
        <w:t xml:space="preserve">الطاقات المتجددة والري وغيرها من التكنولوجيات المتعلقة بالزراعة. وغالبًا ما تشمل هذه المنازعات أطرافًا من ولايات قضائية مختلفة وتتعلق بالملكية الفكرية وغيرها من القضايا التجارية. ويتعاون المركز مع </w:t>
      </w:r>
      <w:r w:rsidR="00277073" w:rsidRPr="003B7AF4">
        <w:rPr>
          <w:rFonts w:ascii="Calibri" w:hAnsi="Calibri" w:cs="Calibri" w:hint="cs"/>
          <w:szCs w:val="22"/>
          <w:rtl/>
        </w:rPr>
        <w:t>ويبو-غرين</w:t>
      </w:r>
      <w:r w:rsidR="00C54079" w:rsidRPr="003B7AF4">
        <w:rPr>
          <w:rFonts w:ascii="Calibri" w:hAnsi="Calibri" w:cs="Calibri"/>
          <w:szCs w:val="22"/>
          <w:rtl/>
        </w:rPr>
        <w:t xml:space="preserve"> وأصحاب المصلحة المعنيين في هذا المجال لمواصلة تعزيز التسوية الفعالة لمثل هذه المنازعات من خلال </w:t>
      </w:r>
      <w:r w:rsidR="00277073" w:rsidRPr="003B7AF4">
        <w:rPr>
          <w:rFonts w:ascii="Calibri" w:hAnsi="Calibri" w:cs="Calibri" w:hint="cs"/>
          <w:szCs w:val="22"/>
          <w:rtl/>
        </w:rPr>
        <w:t>خدمة الويبو للتسوية البديلة للمنازعات</w:t>
      </w:r>
      <w:r w:rsidR="00C54079" w:rsidRPr="003B7AF4">
        <w:rPr>
          <w:rFonts w:ascii="Calibri" w:hAnsi="Calibri" w:cs="Calibri"/>
          <w:szCs w:val="22"/>
          <w:rtl/>
        </w:rPr>
        <w:t>.</w:t>
      </w:r>
    </w:p>
    <w:p w14:paraId="79FE7FB2" w14:textId="2747EF58" w:rsidR="00C54079" w:rsidRPr="003B7AF4" w:rsidRDefault="00C54079" w:rsidP="00C54079">
      <w:pPr>
        <w:pStyle w:val="Heading3"/>
        <w:spacing w:after="220"/>
        <w:ind w:left="1166"/>
        <w:rPr>
          <w:rFonts w:ascii="Calibri" w:hAnsi="Calibri" w:cs="Calibri"/>
          <w:szCs w:val="22"/>
          <w:u w:val="none"/>
        </w:rPr>
      </w:pPr>
      <w:r w:rsidRPr="003B7AF4">
        <w:rPr>
          <w:rFonts w:ascii="Calibri" w:hAnsi="Calibri" w:cs="Calibri"/>
          <w:szCs w:val="22"/>
          <w:u w:val="none"/>
          <w:rtl/>
        </w:rPr>
        <w:t>(</w:t>
      </w:r>
      <w:r w:rsidR="00A60B0C" w:rsidRPr="003B7AF4">
        <w:rPr>
          <w:rFonts w:ascii="Calibri" w:hAnsi="Calibri" w:cs="Calibri" w:hint="cs"/>
          <w:szCs w:val="22"/>
          <w:u w:val="none"/>
          <w:rtl/>
        </w:rPr>
        <w:t>ب</w:t>
      </w:r>
      <w:r w:rsidRPr="003B7AF4">
        <w:rPr>
          <w:rFonts w:ascii="Calibri" w:hAnsi="Calibri" w:cs="Calibri"/>
          <w:szCs w:val="22"/>
          <w:u w:val="none"/>
          <w:rtl/>
        </w:rPr>
        <w:t>)</w:t>
      </w:r>
      <w:r w:rsidRPr="003B7AF4">
        <w:rPr>
          <w:rFonts w:ascii="Calibri" w:hAnsi="Calibri" w:cs="Calibri"/>
          <w:szCs w:val="22"/>
          <w:u w:val="none"/>
          <w:rtl/>
        </w:rPr>
        <w:tab/>
        <w:t xml:space="preserve">برنامج </w:t>
      </w:r>
      <w:r w:rsidR="00F41AD9" w:rsidRPr="003B7AF4">
        <w:rPr>
          <w:rFonts w:ascii="Calibri" w:hAnsi="Calibri" w:cs="Calibri" w:hint="cs"/>
          <w:szCs w:val="22"/>
          <w:u w:val="none"/>
          <w:rtl/>
        </w:rPr>
        <w:t xml:space="preserve">الويبو </w:t>
      </w:r>
      <w:r w:rsidR="00F41AD9" w:rsidRPr="003B7AF4">
        <w:rPr>
          <w:rFonts w:ascii="Calibri" w:hAnsi="Calibri" w:cs="Calibri"/>
          <w:szCs w:val="22"/>
          <w:u w:val="none"/>
          <w:rtl/>
        </w:rPr>
        <w:t xml:space="preserve">للإدارة المشتركة </w:t>
      </w:r>
      <w:r w:rsidR="008A665A" w:rsidRPr="003B7AF4">
        <w:rPr>
          <w:rFonts w:ascii="Calibri" w:hAnsi="Calibri" w:cs="Calibri" w:hint="cs"/>
          <w:szCs w:val="22"/>
          <w:u w:val="none"/>
          <w:rtl/>
        </w:rPr>
        <w:t>ل</w:t>
      </w:r>
      <w:r w:rsidR="00F41AD9" w:rsidRPr="003B7AF4">
        <w:rPr>
          <w:rFonts w:ascii="Calibri" w:hAnsi="Calibri" w:cs="Calibri" w:hint="cs"/>
          <w:szCs w:val="22"/>
          <w:u w:val="none"/>
          <w:rtl/>
        </w:rPr>
        <w:t xml:space="preserve">لتسوية البديلة للمنازعات </w:t>
      </w:r>
      <w:r w:rsidRPr="003B7AF4">
        <w:rPr>
          <w:rFonts w:ascii="Calibri" w:hAnsi="Calibri" w:cs="Calibri"/>
          <w:szCs w:val="22"/>
          <w:u w:val="none"/>
          <w:rtl/>
        </w:rPr>
        <w:t xml:space="preserve">مع مكاتب الملكية الفكرية وحق </w:t>
      </w:r>
      <w:r w:rsidR="00F41AD9" w:rsidRPr="003B7AF4">
        <w:rPr>
          <w:rFonts w:ascii="Calibri" w:hAnsi="Calibri" w:cs="Calibri" w:hint="cs"/>
          <w:szCs w:val="22"/>
          <w:u w:val="none"/>
          <w:rtl/>
        </w:rPr>
        <w:t>المؤلف</w:t>
      </w:r>
    </w:p>
    <w:p w14:paraId="3375C8D3" w14:textId="5818DD59"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في عام 2024، دعم المركز تسوية 559 </w:t>
      </w:r>
      <w:r w:rsidR="008A665A" w:rsidRPr="003B7AF4">
        <w:rPr>
          <w:rFonts w:ascii="Calibri" w:hAnsi="Calibri" w:cs="Calibri" w:hint="cs"/>
          <w:szCs w:val="22"/>
          <w:rtl/>
        </w:rPr>
        <w:t>منازعة</w:t>
      </w:r>
      <w:r w:rsidRPr="003B7AF4">
        <w:rPr>
          <w:rFonts w:ascii="Calibri" w:hAnsi="Calibri" w:cs="Calibri"/>
          <w:szCs w:val="22"/>
          <w:rtl/>
        </w:rPr>
        <w:t xml:space="preserve"> في إطار </w:t>
      </w:r>
      <w:hyperlink r:id="rId29" w:history="1">
        <w:r w:rsidRPr="000F6391">
          <w:rPr>
            <w:rStyle w:val="Hyperlink"/>
            <w:rFonts w:ascii="Calibri" w:hAnsi="Calibri" w:cs="Calibri"/>
            <w:color w:val="0000FF"/>
            <w:szCs w:val="22"/>
            <w:u w:color="0000FF"/>
            <w:rtl/>
          </w:rPr>
          <w:t xml:space="preserve">برنامج الويبو للإدارة المشتركة </w:t>
        </w:r>
        <w:r w:rsidR="008A665A" w:rsidRPr="000F6391">
          <w:rPr>
            <w:rStyle w:val="Hyperlink"/>
            <w:rFonts w:ascii="Calibri" w:hAnsi="Calibri" w:cs="Calibri" w:hint="cs"/>
            <w:color w:val="0000FF"/>
            <w:szCs w:val="22"/>
            <w:u w:color="0000FF"/>
            <w:rtl/>
          </w:rPr>
          <w:t>ل</w:t>
        </w:r>
        <w:r w:rsidRPr="000F6391">
          <w:rPr>
            <w:rStyle w:val="Hyperlink"/>
            <w:rFonts w:ascii="Calibri" w:hAnsi="Calibri" w:cs="Calibri"/>
            <w:color w:val="0000FF"/>
            <w:szCs w:val="22"/>
            <w:u w:color="0000FF"/>
            <w:rtl/>
          </w:rPr>
          <w:t xml:space="preserve">لتسوية </w:t>
        </w:r>
        <w:r w:rsidR="008A665A" w:rsidRPr="000F6391">
          <w:rPr>
            <w:rStyle w:val="Hyperlink"/>
            <w:rFonts w:ascii="Calibri" w:hAnsi="Calibri" w:cs="Calibri" w:hint="cs"/>
            <w:color w:val="0000FF"/>
            <w:szCs w:val="22"/>
            <w:u w:color="0000FF"/>
            <w:rtl/>
          </w:rPr>
          <w:t>البديلة ل</w:t>
        </w:r>
        <w:r w:rsidRPr="000F6391">
          <w:rPr>
            <w:rStyle w:val="Hyperlink"/>
            <w:rFonts w:ascii="Calibri" w:hAnsi="Calibri" w:cs="Calibri"/>
            <w:color w:val="0000FF"/>
            <w:szCs w:val="22"/>
            <w:u w:color="0000FF"/>
            <w:rtl/>
          </w:rPr>
          <w:t>لمنازعات مع مكاتب الملكية الفكرية وحق</w:t>
        </w:r>
        <w:r w:rsidR="008A665A" w:rsidRPr="000F6391">
          <w:rPr>
            <w:rStyle w:val="Hyperlink"/>
            <w:rFonts w:ascii="Calibri" w:hAnsi="Calibri" w:cs="Calibri" w:hint="cs"/>
            <w:color w:val="0000FF"/>
            <w:szCs w:val="22"/>
            <w:u w:color="0000FF"/>
            <w:rtl/>
          </w:rPr>
          <w:t>المؤلف</w:t>
        </w:r>
        <w:r w:rsidRPr="000F6391">
          <w:rPr>
            <w:rStyle w:val="Hyperlink"/>
            <w:rFonts w:ascii="Calibri" w:hAnsi="Calibri" w:cs="Calibri"/>
            <w:color w:val="0000FF"/>
            <w:szCs w:val="22"/>
            <w:u w:color="0000FF"/>
            <w:rtl/>
          </w:rPr>
          <w:t xml:space="preserve"> </w:t>
        </w:r>
      </w:hyperlink>
      <w:r w:rsidRPr="003B7AF4">
        <w:rPr>
          <w:rFonts w:ascii="Calibri" w:hAnsi="Calibri" w:cs="Calibri"/>
          <w:szCs w:val="22"/>
          <w:rtl/>
        </w:rPr>
        <w:t>، وهو ما يمثل زيادة بنسبة 53 في المائة مقارنة بعام 2023.</w:t>
      </w:r>
    </w:p>
    <w:p w14:paraId="48A6158D" w14:textId="0A323357" w:rsidR="00C54079" w:rsidRPr="003B7AF4" w:rsidRDefault="008A2B14"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t>و</w:t>
      </w:r>
      <w:r w:rsidR="00C54079" w:rsidRPr="003B7AF4">
        <w:rPr>
          <w:rFonts w:ascii="Calibri" w:hAnsi="Calibri" w:cs="Calibri"/>
          <w:szCs w:val="22"/>
          <w:rtl/>
        </w:rPr>
        <w:t>عندما بدأ المركز في العمل مع مكاتب الملكية الفكرية للترويج ل</w:t>
      </w:r>
      <w:r w:rsidRPr="003B7AF4">
        <w:rPr>
          <w:rFonts w:ascii="Calibri" w:hAnsi="Calibri" w:cs="Calibri" w:hint="cs"/>
          <w:szCs w:val="22"/>
          <w:rtl/>
        </w:rPr>
        <w:t>ل</w:t>
      </w:r>
      <w:r w:rsidR="00C54079" w:rsidRPr="003B7AF4">
        <w:rPr>
          <w:rFonts w:ascii="Calibri" w:hAnsi="Calibri" w:cs="Calibri"/>
          <w:szCs w:val="22"/>
          <w:rtl/>
        </w:rPr>
        <w:t xml:space="preserve">تسوية </w:t>
      </w:r>
      <w:r w:rsidRPr="003B7AF4">
        <w:rPr>
          <w:rFonts w:ascii="Calibri" w:hAnsi="Calibri" w:cs="Calibri" w:hint="cs"/>
          <w:szCs w:val="22"/>
          <w:rtl/>
        </w:rPr>
        <w:t>البديلة ل</w:t>
      </w:r>
      <w:r w:rsidR="00C54079" w:rsidRPr="003B7AF4">
        <w:rPr>
          <w:rFonts w:ascii="Calibri" w:hAnsi="Calibri" w:cs="Calibri"/>
          <w:szCs w:val="22"/>
          <w:rtl/>
        </w:rPr>
        <w:t xml:space="preserve">لمنازعات كبديل عملي للتقاضي، ركز التعاون المبكر في المقام الأول على </w:t>
      </w:r>
      <w:r w:rsidRPr="003B7AF4">
        <w:rPr>
          <w:rFonts w:ascii="Calibri" w:hAnsi="Calibri" w:cs="Calibri" w:hint="cs"/>
          <w:szCs w:val="22"/>
          <w:rtl/>
        </w:rPr>
        <w:t>تكوين الكفاءات</w:t>
      </w:r>
      <w:r w:rsidR="00C54079" w:rsidRPr="003B7AF4">
        <w:rPr>
          <w:rFonts w:ascii="Calibri" w:hAnsi="Calibri" w:cs="Calibri"/>
          <w:szCs w:val="22"/>
          <w:rtl/>
        </w:rPr>
        <w:t xml:space="preserve"> وزيادة الوعي بشأن تسوية المنازعات في مجال الملكية الفكرية. ومع تنامي الطلب على آليات أكثر كفاءة وتخصصاً لتسوية المنازعات وتقدم التكنولوجيا، اتسع نطاق التعاون. وبدعم </w:t>
      </w:r>
      <w:r w:rsidR="00013D13" w:rsidRPr="003B7AF4">
        <w:rPr>
          <w:rFonts w:ascii="Calibri" w:hAnsi="Calibri" w:cs="Calibri"/>
          <w:szCs w:val="22"/>
          <w:rtl/>
        </w:rPr>
        <w:t xml:space="preserve">من </w:t>
      </w:r>
      <w:r w:rsidR="00066524" w:rsidRPr="003B7AF4">
        <w:rPr>
          <w:rFonts w:ascii="Times New Roman" w:hAnsi="Times New Roman" w:cs="Calibri"/>
          <w:szCs w:val="22"/>
          <w:rtl/>
        </w:rPr>
        <w:t>الصناديق الاستئمانية لوزارة الثقافة والرياضة والسياحة في جمهورية كوريا لتعزيز السبل البديلة لتسوية المناز</w:t>
      </w:r>
      <w:r w:rsidR="00066524" w:rsidRPr="003B7AF4">
        <w:rPr>
          <w:rFonts w:ascii="Calibri" w:hAnsi="Calibri" w:cs="Calibri"/>
          <w:szCs w:val="22"/>
          <w:rtl/>
        </w:rPr>
        <w:t xml:space="preserve">عات </w:t>
      </w:r>
      <w:r w:rsidR="002172CD" w:rsidRPr="003B7AF4">
        <w:rPr>
          <w:rFonts w:ascii="Calibri" w:hAnsi="Calibri" w:cs="Calibri" w:hint="cs"/>
          <w:szCs w:val="22"/>
          <w:rtl/>
        </w:rPr>
        <w:t>(</w:t>
      </w:r>
      <w:r w:rsidR="002172CD" w:rsidRPr="003B7AF4">
        <w:rPr>
          <w:rFonts w:ascii="Calibri" w:hAnsi="Calibri" w:cs="Calibri"/>
          <w:szCs w:val="22"/>
        </w:rPr>
        <w:t>MCST’s FIT-ROK/ADR</w:t>
      </w:r>
      <w:r w:rsidR="002172CD" w:rsidRPr="003B7AF4">
        <w:rPr>
          <w:rFonts w:ascii="Calibri" w:hAnsi="Calibri" w:cs="Calibri" w:hint="cs"/>
          <w:szCs w:val="22"/>
          <w:rtl/>
        </w:rPr>
        <w:t>)</w:t>
      </w:r>
      <w:r w:rsidR="00C54079" w:rsidRPr="003B7AF4">
        <w:rPr>
          <w:rFonts w:ascii="Calibri" w:hAnsi="Calibri" w:cs="Calibri"/>
          <w:szCs w:val="22"/>
          <w:rtl/>
        </w:rPr>
        <w:t xml:space="preserve">، قام المركز بتطوير وتنفيذ أدوات إلكترونية لمساعدة مكاتب الملكية الفكرية في إدارة وتتبع المنازعات المحالة إلى خدمات الوساطة والتوفيق التي تقدمها </w:t>
      </w:r>
      <w:r w:rsidR="007B26E5" w:rsidRPr="003B7AF4">
        <w:rPr>
          <w:rFonts w:ascii="Calibri" w:hAnsi="Calibri" w:cs="Calibri"/>
          <w:szCs w:val="22"/>
          <w:rtl/>
        </w:rPr>
        <w:t xml:space="preserve">هذه </w:t>
      </w:r>
      <w:r w:rsidR="00C54079" w:rsidRPr="003B7AF4">
        <w:rPr>
          <w:rFonts w:ascii="Calibri" w:hAnsi="Calibri" w:cs="Calibri"/>
          <w:szCs w:val="22"/>
          <w:rtl/>
        </w:rPr>
        <w:t xml:space="preserve">المكاتب.  وتشمل هذه الأدوات نظم حفظ الملفات الإلكترونية التي تسمح بتقديم القضايا، وتبسيط العمليات الإدارية. وتعزز نظم تتبع القضايا عبر الإنترنت الكفاءة، مما يمكّن موظفي مكاتب الملكية الفكرية من تسجيل سير القضايا في الوقت الحقيقي. وتعمل منصات التداول بالفيديو على تسريع جلسات الاستماع، مما يسمح بالمشاركة عن بُعد. وقد أدى ذلك إلى زيادة كفاءة تقديم هذه الخدمات بشكل كبير، مما يعود بالنفع على المستخدمين </w:t>
      </w:r>
      <w:r w:rsidR="00610E7C" w:rsidRPr="003B7AF4">
        <w:rPr>
          <w:rFonts w:ascii="Calibri" w:hAnsi="Calibri" w:cs="Calibri" w:hint="cs"/>
          <w:szCs w:val="22"/>
          <w:rtl/>
        </w:rPr>
        <w:t>وذلك</w:t>
      </w:r>
      <w:r w:rsidR="00C54079" w:rsidRPr="003B7AF4">
        <w:rPr>
          <w:rFonts w:ascii="Calibri" w:hAnsi="Calibri" w:cs="Calibri"/>
          <w:szCs w:val="22"/>
          <w:rtl/>
        </w:rPr>
        <w:t xml:space="preserve"> </w:t>
      </w:r>
      <w:r w:rsidR="00610E7C" w:rsidRPr="003B7AF4">
        <w:rPr>
          <w:rFonts w:ascii="Calibri" w:hAnsi="Calibri" w:cs="Calibri" w:hint="cs"/>
          <w:szCs w:val="22"/>
          <w:rtl/>
        </w:rPr>
        <w:t>بتسوية</w:t>
      </w:r>
      <w:r w:rsidR="00C54079" w:rsidRPr="003B7AF4">
        <w:rPr>
          <w:rFonts w:ascii="Calibri" w:hAnsi="Calibri" w:cs="Calibri"/>
          <w:szCs w:val="22"/>
          <w:rtl/>
        </w:rPr>
        <w:t xml:space="preserve"> </w:t>
      </w:r>
      <w:r w:rsidR="00B17F05" w:rsidRPr="003B7AF4">
        <w:rPr>
          <w:rFonts w:ascii="Calibri" w:hAnsi="Calibri" w:cs="Calibri"/>
          <w:szCs w:val="22"/>
          <w:rtl/>
        </w:rPr>
        <w:t xml:space="preserve">المنازعات </w:t>
      </w:r>
      <w:r w:rsidR="00C54079" w:rsidRPr="003B7AF4">
        <w:rPr>
          <w:rFonts w:ascii="Calibri" w:hAnsi="Calibri" w:cs="Calibri"/>
          <w:szCs w:val="22"/>
          <w:rtl/>
        </w:rPr>
        <w:t xml:space="preserve"> في الوقت المناسب وبطريقة فعالة من حيث التكلفة. ومنذ عام 2021، تعاون المركز مع مكاتب الملكية الفكرية في الإدارة المشتركة لأكثر من 1300 </w:t>
      </w:r>
      <w:r w:rsidR="00610E7C" w:rsidRPr="003B7AF4">
        <w:rPr>
          <w:rFonts w:ascii="Calibri" w:hAnsi="Calibri" w:cs="Calibri"/>
          <w:szCs w:val="22"/>
          <w:rtl/>
        </w:rPr>
        <w:t xml:space="preserve">منازعة </w:t>
      </w:r>
      <w:r w:rsidR="00C54079" w:rsidRPr="003B7AF4">
        <w:rPr>
          <w:rFonts w:ascii="Calibri" w:hAnsi="Calibri" w:cs="Calibri"/>
          <w:szCs w:val="22"/>
          <w:rtl/>
        </w:rPr>
        <w:t xml:space="preserve"> واستضاف نحو 2000 جلسة استماع عبر الإنترنت.</w:t>
      </w:r>
      <w:r w:rsidR="002172CD" w:rsidRPr="003B7AF4">
        <w:rPr>
          <w:rFonts w:ascii="Calibri" w:hAnsi="Calibri" w:cs="Calibri" w:hint="cs"/>
          <w:szCs w:val="22"/>
          <w:rtl/>
        </w:rPr>
        <w:t xml:space="preserve"> </w:t>
      </w:r>
    </w:p>
    <w:p w14:paraId="2695A654" w14:textId="2F665DDA"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ويساعد المركز أيضاً مكاتب الملكية الفكرية على إنشاء أو تعزيز خدمات </w:t>
      </w:r>
      <w:r w:rsidR="00024B20" w:rsidRPr="003B7AF4">
        <w:rPr>
          <w:rFonts w:ascii="Calibri" w:hAnsi="Calibri" w:cs="Calibri" w:hint="cs"/>
          <w:szCs w:val="22"/>
          <w:rtl/>
        </w:rPr>
        <w:t>ال</w:t>
      </w:r>
      <w:r w:rsidRPr="003B7AF4">
        <w:rPr>
          <w:rFonts w:ascii="Calibri" w:hAnsi="Calibri" w:cs="Calibri"/>
          <w:szCs w:val="22"/>
          <w:rtl/>
        </w:rPr>
        <w:t xml:space="preserve">تسوية </w:t>
      </w:r>
      <w:r w:rsidR="00024B20" w:rsidRPr="003B7AF4">
        <w:rPr>
          <w:rFonts w:ascii="Calibri" w:hAnsi="Calibri" w:cs="Calibri" w:hint="cs"/>
          <w:szCs w:val="22"/>
          <w:rtl/>
        </w:rPr>
        <w:t>البديلة ل</w:t>
      </w:r>
      <w:r w:rsidRPr="003B7AF4">
        <w:rPr>
          <w:rFonts w:ascii="Calibri" w:hAnsi="Calibri" w:cs="Calibri"/>
          <w:szCs w:val="22"/>
          <w:rtl/>
        </w:rPr>
        <w:t xml:space="preserve">لمنازعات محلياً. ويشمل هذا الدعم </w:t>
      </w:r>
      <w:r w:rsidRPr="003B7AF4">
        <w:rPr>
          <w:rFonts w:ascii="Calibri" w:hAnsi="Calibri" w:cs="Calibri"/>
          <w:szCs w:val="22"/>
          <w:rtl/>
        </w:rPr>
        <w:lastRenderedPageBreak/>
        <w:t xml:space="preserve">تدريب موظفي مكاتب الملكية الفكرية في مجال </w:t>
      </w:r>
      <w:r w:rsidR="00024B20" w:rsidRPr="003B7AF4">
        <w:rPr>
          <w:rFonts w:ascii="Calibri" w:hAnsi="Calibri" w:cs="Calibri" w:hint="cs"/>
          <w:szCs w:val="22"/>
          <w:rtl/>
        </w:rPr>
        <w:t>ال</w:t>
      </w:r>
      <w:r w:rsidR="00024B20" w:rsidRPr="003B7AF4">
        <w:rPr>
          <w:rFonts w:ascii="Calibri" w:hAnsi="Calibri" w:cs="Calibri"/>
          <w:szCs w:val="22"/>
          <w:rtl/>
        </w:rPr>
        <w:t xml:space="preserve">تسوية </w:t>
      </w:r>
      <w:r w:rsidR="00024B20" w:rsidRPr="003B7AF4">
        <w:rPr>
          <w:rFonts w:ascii="Calibri" w:hAnsi="Calibri" w:cs="Calibri" w:hint="cs"/>
          <w:szCs w:val="22"/>
          <w:rtl/>
        </w:rPr>
        <w:t>البديلة ل</w:t>
      </w:r>
      <w:r w:rsidR="00024B20" w:rsidRPr="003B7AF4">
        <w:rPr>
          <w:rFonts w:ascii="Calibri" w:hAnsi="Calibri" w:cs="Calibri"/>
          <w:szCs w:val="22"/>
          <w:rtl/>
        </w:rPr>
        <w:t xml:space="preserve">لمنازعات </w:t>
      </w:r>
      <w:r w:rsidR="00024B20" w:rsidRPr="003B7AF4">
        <w:rPr>
          <w:rFonts w:ascii="Calibri" w:hAnsi="Calibri" w:cs="Calibri" w:hint="cs"/>
          <w:szCs w:val="22"/>
          <w:rtl/>
        </w:rPr>
        <w:t>لتكوين الكفاءات</w:t>
      </w:r>
      <w:r w:rsidRPr="003B7AF4">
        <w:rPr>
          <w:rFonts w:ascii="Calibri" w:hAnsi="Calibri" w:cs="Calibri"/>
          <w:szCs w:val="22"/>
          <w:rtl/>
        </w:rPr>
        <w:t xml:space="preserve"> الداخلية وتزويد المهنيين بالمهارات اللازمة للتعامل مع المنازعات بفعالية. ومن خلال أنشطة التوعية المشتركة، تروج الويبو </w:t>
      </w:r>
      <w:r w:rsidR="00013D13" w:rsidRPr="003B7AF4">
        <w:rPr>
          <w:rFonts w:ascii="Calibri" w:hAnsi="Calibri" w:cs="Calibri"/>
          <w:szCs w:val="22"/>
          <w:rtl/>
        </w:rPr>
        <w:t>ومكاتب</w:t>
      </w:r>
      <w:r w:rsidRPr="003B7AF4">
        <w:rPr>
          <w:rFonts w:ascii="Calibri" w:hAnsi="Calibri" w:cs="Calibri"/>
          <w:szCs w:val="22"/>
          <w:rtl/>
        </w:rPr>
        <w:t xml:space="preserve"> الملكية الفكرية لآليات </w:t>
      </w:r>
      <w:r w:rsidR="00024B20" w:rsidRPr="003B7AF4">
        <w:rPr>
          <w:rFonts w:ascii="Calibri" w:hAnsi="Calibri" w:cs="Calibri" w:hint="cs"/>
          <w:szCs w:val="22"/>
          <w:rtl/>
        </w:rPr>
        <w:t>ال</w:t>
      </w:r>
      <w:r w:rsidR="00024B20" w:rsidRPr="003B7AF4">
        <w:rPr>
          <w:rFonts w:ascii="Calibri" w:hAnsi="Calibri" w:cs="Calibri"/>
          <w:szCs w:val="22"/>
          <w:rtl/>
        </w:rPr>
        <w:t xml:space="preserve">تسوية </w:t>
      </w:r>
      <w:r w:rsidR="00024B20" w:rsidRPr="003B7AF4">
        <w:rPr>
          <w:rFonts w:ascii="Calibri" w:hAnsi="Calibri" w:cs="Calibri" w:hint="cs"/>
          <w:szCs w:val="22"/>
          <w:rtl/>
        </w:rPr>
        <w:t>البديلة ل</w:t>
      </w:r>
      <w:r w:rsidR="00024B20" w:rsidRPr="003B7AF4">
        <w:rPr>
          <w:rFonts w:ascii="Calibri" w:hAnsi="Calibri" w:cs="Calibri"/>
          <w:szCs w:val="22"/>
          <w:rtl/>
        </w:rPr>
        <w:t xml:space="preserve">لمنازعات </w:t>
      </w:r>
      <w:r w:rsidR="00024B20" w:rsidRPr="003B7AF4">
        <w:rPr>
          <w:rFonts w:ascii="Calibri" w:hAnsi="Calibri" w:cs="Calibri" w:hint="cs"/>
          <w:szCs w:val="22"/>
          <w:rtl/>
        </w:rPr>
        <w:t>كخيار</w:t>
      </w:r>
      <w:r w:rsidRPr="003B7AF4">
        <w:rPr>
          <w:rFonts w:ascii="Calibri" w:hAnsi="Calibri" w:cs="Calibri"/>
          <w:szCs w:val="22"/>
          <w:rtl/>
        </w:rPr>
        <w:t xml:space="preserve"> موثوق به للتقاضي.</w:t>
      </w:r>
      <w:r w:rsidR="002E7C31" w:rsidRPr="003B7AF4">
        <w:rPr>
          <w:rFonts w:ascii="Calibri" w:hAnsi="Calibri" w:cs="Calibri" w:hint="cs"/>
          <w:szCs w:val="22"/>
          <w:rtl/>
        </w:rPr>
        <w:t xml:space="preserve"> </w:t>
      </w:r>
    </w:p>
    <w:p w14:paraId="561AB1C4" w14:textId="17206465" w:rsidR="00C54079" w:rsidRPr="003B7AF4" w:rsidRDefault="003E0144"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t>و</w:t>
      </w:r>
      <w:r w:rsidR="00C54079" w:rsidRPr="003B7AF4">
        <w:rPr>
          <w:rFonts w:ascii="Calibri" w:hAnsi="Calibri" w:cs="Calibri"/>
          <w:szCs w:val="22"/>
          <w:rtl/>
        </w:rPr>
        <w:t>قام المركز بتوسيع نطاق برنامجه للإدارة المشتركة مع مكاتب الملكية الفكرية وحق</w:t>
      </w:r>
      <w:r w:rsidRPr="003B7AF4">
        <w:rPr>
          <w:rFonts w:ascii="Calibri" w:hAnsi="Calibri" w:cs="Calibri" w:hint="cs"/>
          <w:szCs w:val="22"/>
          <w:rtl/>
        </w:rPr>
        <w:t xml:space="preserve"> المؤلف </w:t>
      </w:r>
      <w:r w:rsidR="00C54079" w:rsidRPr="003B7AF4">
        <w:rPr>
          <w:rFonts w:ascii="Calibri" w:hAnsi="Calibri" w:cs="Calibri"/>
          <w:szCs w:val="22"/>
          <w:rtl/>
        </w:rPr>
        <w:t xml:space="preserve">استجابةً للاهتمام المتزايد من الدول الأعضاء. </w:t>
      </w:r>
      <w:r w:rsidRPr="003B7AF4">
        <w:rPr>
          <w:rFonts w:ascii="Calibri" w:hAnsi="Calibri" w:cs="Calibri" w:hint="cs"/>
          <w:szCs w:val="22"/>
          <w:rtl/>
        </w:rPr>
        <w:t>و</w:t>
      </w:r>
      <w:r w:rsidR="004F0C1B" w:rsidRPr="003B7AF4">
        <w:rPr>
          <w:rFonts w:ascii="Calibri" w:hAnsi="Calibri" w:cs="Calibri"/>
          <w:szCs w:val="22"/>
          <w:rtl/>
        </w:rPr>
        <w:t xml:space="preserve">في عام 2024، </w:t>
      </w:r>
      <w:r w:rsidR="00C54079" w:rsidRPr="003B7AF4">
        <w:rPr>
          <w:rFonts w:ascii="Calibri" w:hAnsi="Calibri" w:cs="Calibri"/>
          <w:szCs w:val="22"/>
          <w:rtl/>
        </w:rPr>
        <w:t xml:space="preserve">وبعد التعاون الناجح في السنوات الأخيرة مع المعهد الوطني لحقوق المؤلف في المكسيك (INDAUTOR) والمديرية الوطنية لحقوق المؤلف في كولومبيا (DNDA)، دعم المركز </w:t>
      </w:r>
      <w:r w:rsidRPr="003B7AF4">
        <w:rPr>
          <w:rFonts w:ascii="Calibri" w:hAnsi="Calibri" w:cs="Calibri" w:hint="cs"/>
          <w:szCs w:val="22"/>
          <w:rtl/>
        </w:rPr>
        <w:t xml:space="preserve"> تكوين الكفاءات في مجال</w:t>
      </w:r>
      <w:r w:rsidR="00C54079" w:rsidRPr="003B7AF4">
        <w:rPr>
          <w:rFonts w:ascii="Calibri" w:hAnsi="Calibri" w:cs="Calibri"/>
          <w:szCs w:val="22"/>
          <w:rtl/>
        </w:rPr>
        <w:t xml:space="preserve"> </w:t>
      </w:r>
      <w:r w:rsidRPr="003B7AF4">
        <w:rPr>
          <w:rFonts w:ascii="Calibri" w:hAnsi="Calibri" w:cs="Calibri" w:hint="cs"/>
          <w:szCs w:val="22"/>
          <w:rtl/>
        </w:rPr>
        <w:t>ال</w:t>
      </w:r>
      <w:r w:rsidR="00C54079" w:rsidRPr="003B7AF4">
        <w:rPr>
          <w:rFonts w:ascii="Calibri" w:hAnsi="Calibri" w:cs="Calibri"/>
          <w:szCs w:val="22"/>
          <w:rtl/>
        </w:rPr>
        <w:t xml:space="preserve">تسوية </w:t>
      </w:r>
      <w:r w:rsidRPr="003B7AF4">
        <w:rPr>
          <w:rFonts w:ascii="Calibri" w:hAnsi="Calibri" w:cs="Calibri" w:hint="cs"/>
          <w:szCs w:val="22"/>
          <w:rtl/>
        </w:rPr>
        <w:t>البديلة ل</w:t>
      </w:r>
      <w:r w:rsidR="00C54079" w:rsidRPr="003B7AF4">
        <w:rPr>
          <w:rFonts w:ascii="Calibri" w:hAnsi="Calibri" w:cs="Calibri"/>
          <w:szCs w:val="22"/>
          <w:rtl/>
        </w:rPr>
        <w:t xml:space="preserve">لمنازعات الإدارة </w:t>
      </w:r>
      <w:r w:rsidRPr="003B7AF4">
        <w:rPr>
          <w:rFonts w:ascii="Calibri" w:hAnsi="Calibri" w:cs="Calibri" w:hint="cs"/>
          <w:szCs w:val="22"/>
          <w:rtl/>
        </w:rPr>
        <w:t>المشتركة</w:t>
      </w:r>
      <w:r w:rsidR="00C54079" w:rsidRPr="003B7AF4">
        <w:rPr>
          <w:rFonts w:ascii="Calibri" w:hAnsi="Calibri" w:cs="Calibri"/>
          <w:szCs w:val="22"/>
          <w:rtl/>
        </w:rPr>
        <w:t xml:space="preserve"> في إدارة القضايا مع المكتب الوطني لحقوق المؤلف في جمهورية الدومينيكان (ONDA), وسجل الملكية الفكرية في غواتيمالا (RPI)، والمجلس الكيني لح</w:t>
      </w:r>
      <w:r w:rsidRPr="003B7AF4">
        <w:rPr>
          <w:rFonts w:ascii="Calibri" w:hAnsi="Calibri" w:cs="Calibri" w:hint="cs"/>
          <w:szCs w:val="22"/>
          <w:rtl/>
        </w:rPr>
        <w:t>ق المؤلف</w:t>
      </w:r>
      <w:r w:rsidR="00C54079" w:rsidRPr="003B7AF4">
        <w:rPr>
          <w:rFonts w:ascii="Calibri" w:hAnsi="Calibri" w:cs="Calibri"/>
          <w:szCs w:val="22"/>
          <w:rtl/>
        </w:rPr>
        <w:t>(KECOBO)، وهيئة الأعمال والملكية الفكرية في ناميبيا (BIPA)، والمديرية الوطنية للملكية الفكرية في باراغواي (DINAPI)، والمعهد الوطني للدفاع عن المنافسة وحماية الملكية الفكرية في بيرو (INDECOPI).</w:t>
      </w:r>
    </w:p>
    <w:p w14:paraId="59229075" w14:textId="74BDC478" w:rsidR="00C54079" w:rsidRPr="003B7AF4" w:rsidRDefault="002A044B"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t>وفي إطار</w:t>
      </w:r>
      <w:r w:rsidR="00C54079" w:rsidRPr="003B7AF4">
        <w:rPr>
          <w:rFonts w:ascii="Calibri" w:hAnsi="Calibri" w:cs="Calibri"/>
          <w:szCs w:val="22"/>
          <w:rtl/>
        </w:rPr>
        <w:t xml:space="preserve"> هذا </w:t>
      </w:r>
      <w:r w:rsidR="009A6314" w:rsidRPr="003B7AF4">
        <w:rPr>
          <w:rFonts w:ascii="Calibri" w:hAnsi="Calibri" w:cs="Calibri"/>
          <w:szCs w:val="22"/>
          <w:rtl/>
        </w:rPr>
        <w:t xml:space="preserve">البرنامج، </w:t>
      </w:r>
      <w:r w:rsidR="00C54079" w:rsidRPr="003B7AF4">
        <w:rPr>
          <w:rFonts w:ascii="Calibri" w:hAnsi="Calibri" w:cs="Calibri"/>
          <w:szCs w:val="22"/>
          <w:rtl/>
        </w:rPr>
        <w:t>يتعاون المركز أيضاً مع الديوان الوطني لحقوق المؤلف والحقوق المجاورة في الجزائر (ONDA)، ومكتب بليز للملكية الفكرية (BELIPO)، ووزارة الثقافة في البرازيل</w:t>
      </w:r>
      <w:r w:rsidR="0016144F" w:rsidRPr="003B7AF4">
        <w:rPr>
          <w:rFonts w:ascii="Calibri" w:hAnsi="Calibri" w:cs="Calibri" w:hint="cs"/>
          <w:szCs w:val="22"/>
          <w:rtl/>
        </w:rPr>
        <w:t>،</w:t>
      </w:r>
      <w:r w:rsidR="00C54079" w:rsidRPr="003B7AF4">
        <w:rPr>
          <w:rFonts w:ascii="Calibri" w:hAnsi="Calibri" w:cs="Calibri"/>
          <w:szCs w:val="22"/>
          <w:rtl/>
        </w:rPr>
        <w:t xml:space="preserve"> والخدمة الوطنية للحقوق الفكرية في الإكوادور (SENADI)، والمركز الوطني للسجلات في السلفادور (CNR)، وجمعية حقوق المؤلف في تنزانيا (COSOTA)، ومكتب الملكية الفكرية في ترينيداد وتوباغو (TTIPO)، ومكتب خدمات التسجيل في أوغندا (URSB) .</w:t>
      </w:r>
      <w:r w:rsidR="00C54079" w:rsidRPr="003B7AF4">
        <w:rPr>
          <w:rStyle w:val="FootnoteReference"/>
          <w:rFonts w:ascii="Calibri" w:hAnsi="Calibri" w:cs="Calibri"/>
          <w:szCs w:val="22"/>
          <w:rtl/>
        </w:rPr>
        <w:footnoteReference w:id="14"/>
      </w:r>
    </w:p>
    <w:p w14:paraId="1E0CB3B2" w14:textId="68D1518F" w:rsidR="00C54079" w:rsidRPr="003B7AF4" w:rsidRDefault="001A5BE8" w:rsidP="00C54079">
      <w:pPr>
        <w:pStyle w:val="ListParagraph"/>
        <w:widowControl w:val="0"/>
        <w:spacing w:after="240"/>
        <w:ind w:left="0" w:firstLine="567"/>
        <w:contextualSpacing w:val="0"/>
        <w:rPr>
          <w:rFonts w:ascii="Calibri" w:hAnsi="Calibri" w:cs="Calibri"/>
          <w:szCs w:val="22"/>
        </w:rPr>
      </w:pPr>
      <w:r w:rsidRPr="003B7AF4">
        <w:rPr>
          <w:rFonts w:ascii="Calibri" w:hAnsi="Calibri" w:cs="Calibri" w:hint="cs"/>
          <w:szCs w:val="22"/>
          <w:rtl/>
        </w:rPr>
        <w:t>باء</w:t>
      </w:r>
      <w:r w:rsidR="00C54079" w:rsidRPr="003B7AF4">
        <w:rPr>
          <w:rFonts w:ascii="Calibri" w:hAnsi="Calibri" w:cs="Calibri"/>
          <w:szCs w:val="22"/>
          <w:rtl/>
        </w:rPr>
        <w:t>.</w:t>
      </w:r>
      <w:r w:rsidR="00C54079" w:rsidRPr="003B7AF4">
        <w:rPr>
          <w:rFonts w:ascii="Calibri" w:hAnsi="Calibri" w:cs="Calibri"/>
          <w:szCs w:val="22"/>
          <w:rtl/>
        </w:rPr>
        <w:tab/>
        <w:t>التعاون مع مكاتب الملكية الفكرية والمحاكم</w:t>
      </w:r>
    </w:p>
    <w:p w14:paraId="68566950" w14:textId="298A9E6F"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من</w:t>
      </w:r>
      <w:r w:rsidR="000321E9" w:rsidRPr="003B7AF4">
        <w:rPr>
          <w:rFonts w:ascii="Calibri" w:hAnsi="Calibri" w:cs="Calibri" w:hint="cs"/>
          <w:szCs w:val="22"/>
          <w:rtl/>
        </w:rPr>
        <w:t xml:space="preserve"> بين </w:t>
      </w:r>
      <w:r w:rsidRPr="003B7AF4">
        <w:rPr>
          <w:rFonts w:ascii="Calibri" w:hAnsi="Calibri" w:cs="Calibri"/>
          <w:szCs w:val="22"/>
          <w:rtl/>
        </w:rPr>
        <w:t xml:space="preserve">المجالات الأساسية </w:t>
      </w:r>
      <w:r w:rsidR="000321E9" w:rsidRPr="003B7AF4">
        <w:rPr>
          <w:rFonts w:ascii="Calibri" w:hAnsi="Calibri" w:cs="Calibri" w:hint="cs"/>
          <w:szCs w:val="22"/>
          <w:rtl/>
        </w:rPr>
        <w:t>التي ينشط فيها</w:t>
      </w:r>
      <w:r w:rsidRPr="003B7AF4">
        <w:rPr>
          <w:rFonts w:ascii="Calibri" w:hAnsi="Calibri" w:cs="Calibri"/>
          <w:szCs w:val="22"/>
          <w:rtl/>
        </w:rPr>
        <w:t xml:space="preserve"> المركز</w:t>
      </w:r>
      <w:r w:rsidR="000321E9" w:rsidRPr="003B7AF4">
        <w:rPr>
          <w:rFonts w:ascii="Calibri" w:hAnsi="Calibri" w:cs="Calibri" w:hint="cs"/>
          <w:szCs w:val="22"/>
          <w:rtl/>
        </w:rPr>
        <w:t xml:space="preserve"> هو</w:t>
      </w:r>
      <w:r w:rsidRPr="003B7AF4">
        <w:rPr>
          <w:rFonts w:ascii="Calibri" w:hAnsi="Calibri" w:cs="Calibri"/>
          <w:szCs w:val="22"/>
          <w:rtl/>
        </w:rPr>
        <w:t xml:space="preserve"> التعاون مع مكاتب الملكية الفكرية وحق</w:t>
      </w:r>
      <w:r w:rsidR="000321E9" w:rsidRPr="003B7AF4">
        <w:rPr>
          <w:rFonts w:ascii="Calibri" w:hAnsi="Calibri" w:cs="Calibri" w:hint="cs"/>
          <w:szCs w:val="22"/>
          <w:rtl/>
        </w:rPr>
        <w:t xml:space="preserve"> المؤلف</w:t>
      </w:r>
      <w:r w:rsidRPr="003B7AF4">
        <w:rPr>
          <w:rFonts w:ascii="Calibri" w:hAnsi="Calibri" w:cs="Calibri"/>
          <w:szCs w:val="22"/>
          <w:rtl/>
        </w:rPr>
        <w:t xml:space="preserve"> والمحاكم على الصعيد العالمي.  ومنذ جمعيات 2024، </w:t>
      </w:r>
      <w:r w:rsidR="000321E9" w:rsidRPr="003B7AF4">
        <w:rPr>
          <w:rFonts w:ascii="Calibri" w:hAnsi="Calibri" w:cs="Calibri" w:hint="cs"/>
          <w:szCs w:val="22"/>
          <w:rtl/>
        </w:rPr>
        <w:t>اشترك</w:t>
      </w:r>
      <w:r w:rsidRPr="003B7AF4">
        <w:rPr>
          <w:rFonts w:ascii="Calibri" w:hAnsi="Calibri" w:cs="Calibri"/>
          <w:szCs w:val="22"/>
          <w:rtl/>
        </w:rPr>
        <w:t xml:space="preserve"> المركز في </w:t>
      </w:r>
      <w:r w:rsidR="00CF3732" w:rsidRPr="003B7AF4">
        <w:rPr>
          <w:rFonts w:ascii="Calibri" w:hAnsi="Calibri" w:cs="Calibri"/>
          <w:szCs w:val="22"/>
          <w:rtl/>
        </w:rPr>
        <w:t xml:space="preserve">11 </w:t>
      </w:r>
      <w:r w:rsidRPr="003B7AF4">
        <w:rPr>
          <w:rFonts w:ascii="Calibri" w:hAnsi="Calibri" w:cs="Calibri"/>
          <w:szCs w:val="22"/>
          <w:rtl/>
        </w:rPr>
        <w:t>مبادرة جديدة مع السلطات المعنية بالملكية الفكرية والقضائية في الدول الأعضاء لتعزيز خيارات التسوية البديلة للمنازعات المتعلقة بالملكية الفكرية والتكنولوجيا خارج المحاكم أو الهيئات القضائية الأخرى والمساعدة في تقديم خيارات التسوية البديلة للمنازعات المتعلقة بالملكية الفكرية والتكنولوجيا خارج المحاكم أو الهيئات القضائية الأخرى.</w:t>
      </w:r>
      <w:r w:rsidRPr="003B7AF4">
        <w:rPr>
          <w:rStyle w:val="FootnoteReference"/>
          <w:rFonts w:ascii="Calibri" w:hAnsi="Calibri" w:cs="Calibri"/>
          <w:szCs w:val="22"/>
          <w:rtl/>
        </w:rPr>
        <w:footnoteReference w:id="15"/>
      </w:r>
      <w:r w:rsidRPr="003B7AF4">
        <w:rPr>
          <w:rFonts w:ascii="Calibri" w:hAnsi="Calibri" w:cs="Calibri"/>
          <w:szCs w:val="22"/>
          <w:rtl/>
        </w:rPr>
        <w:t xml:space="preserve">  </w:t>
      </w:r>
    </w:p>
    <w:p w14:paraId="5612FE00" w14:textId="2948F27A"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وشملت أوجه التعاون الجديدة هذه المنظمة الإقليمية الأفريقية للملكية الفكرية، ومكتب البراءات النمساوي، ومكتب بليز للملكية الفكرية، ووزارة الثقافة في البرازيل، ومكتب الملكية الفكرية في أيرلندا، وإدارة الملكية الفكرية في جمهورية لاو الديمقراطية الشعبية، والدائرة المستقلة للملكية الفكرية في فنزويلا، والمكتب الكندي للملكية الفكرية، مع التركيز على التسوية البديلة للمنازعات المتعلقة بالملكية الفكرية.  وأبرم المركز أيضاً اتفاقات تعاون مع المحكمة المتخصصة في الملكية الفكرية التابعة للمحكمة الاتحادية للقضاء الإداري في المكسيك ومع محكمة قطر الدولية ومركز قطر الدولي لتسوية المنازعات لتعزيز السبل البديلة لتسوية المنازعات المتعلقة بالملكية الفكرية. وإجمالاً، يعمل </w:t>
      </w:r>
      <w:r w:rsidR="009365DF" w:rsidRPr="003B7AF4">
        <w:rPr>
          <w:rFonts w:ascii="Calibri" w:hAnsi="Calibri" w:cs="Calibri"/>
          <w:szCs w:val="22"/>
          <w:rtl/>
        </w:rPr>
        <w:t xml:space="preserve">المركز </w:t>
      </w:r>
      <w:r w:rsidRPr="003B7AF4">
        <w:rPr>
          <w:rFonts w:ascii="Calibri" w:hAnsi="Calibri" w:cs="Calibri"/>
          <w:szCs w:val="22"/>
          <w:rtl/>
        </w:rPr>
        <w:t>الآن مع 95 كياناً وطنياً.</w:t>
      </w:r>
      <w:r w:rsidR="007B26E5" w:rsidRPr="003B7AF4">
        <w:rPr>
          <w:rFonts w:ascii="Calibri" w:hAnsi="Calibri" w:cs="Calibri"/>
          <w:szCs w:val="22"/>
          <w:vertAlign w:val="superscript"/>
          <w:rtl/>
        </w:rPr>
        <w:footnoteReference w:id="16"/>
      </w:r>
    </w:p>
    <w:p w14:paraId="31A71AF8" w14:textId="7C4AE9F2" w:rsidR="00C54079" w:rsidRPr="003B7AF4" w:rsidRDefault="000252B6"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t>و</w:t>
      </w:r>
      <w:r w:rsidR="00C54079" w:rsidRPr="003B7AF4">
        <w:rPr>
          <w:rFonts w:ascii="Calibri" w:hAnsi="Calibri" w:cs="Calibri"/>
          <w:szCs w:val="22"/>
          <w:rtl/>
        </w:rPr>
        <w:t xml:space="preserve">في الفترة </w:t>
      </w:r>
      <w:r w:rsidR="00B5123D" w:rsidRPr="003B7AF4">
        <w:rPr>
          <w:rFonts w:ascii="Calibri" w:hAnsi="Calibri" w:cs="Calibri"/>
          <w:szCs w:val="22"/>
          <w:rtl/>
        </w:rPr>
        <w:t xml:space="preserve">المشمولة </w:t>
      </w:r>
      <w:r w:rsidR="00C54079" w:rsidRPr="003B7AF4">
        <w:rPr>
          <w:rFonts w:ascii="Calibri" w:hAnsi="Calibri" w:cs="Calibri"/>
          <w:szCs w:val="22"/>
          <w:rtl/>
        </w:rPr>
        <w:t xml:space="preserve">بالتقرير، شملت برامج التعاون </w:t>
      </w:r>
      <w:r w:rsidR="00A22118" w:rsidRPr="003B7AF4">
        <w:rPr>
          <w:rFonts w:ascii="Calibri" w:hAnsi="Calibri" w:cs="Calibri"/>
          <w:szCs w:val="22"/>
          <w:rtl/>
        </w:rPr>
        <w:t xml:space="preserve">تدريب القضاة وموظفي مكاتب الملكية الفكرية والوسطاء </w:t>
      </w:r>
      <w:r w:rsidRPr="003B7AF4">
        <w:rPr>
          <w:rFonts w:ascii="Calibri" w:hAnsi="Calibri" w:cs="Calibri" w:hint="cs"/>
          <w:szCs w:val="22"/>
          <w:rtl/>
        </w:rPr>
        <w:t>في مجال</w:t>
      </w:r>
      <w:r w:rsidR="00A22118" w:rsidRPr="003B7AF4">
        <w:rPr>
          <w:rFonts w:ascii="Calibri" w:hAnsi="Calibri" w:cs="Calibri"/>
          <w:szCs w:val="22"/>
          <w:rtl/>
        </w:rPr>
        <w:t xml:space="preserve"> الوساطة </w:t>
      </w:r>
      <w:r w:rsidRPr="003B7AF4">
        <w:rPr>
          <w:rFonts w:ascii="Calibri" w:hAnsi="Calibri" w:cs="Calibri" w:hint="cs"/>
          <w:szCs w:val="22"/>
          <w:rtl/>
        </w:rPr>
        <w:t>بشأن</w:t>
      </w:r>
      <w:r w:rsidR="00A22118" w:rsidRPr="003B7AF4">
        <w:rPr>
          <w:rFonts w:ascii="Calibri" w:hAnsi="Calibri" w:cs="Calibri"/>
          <w:szCs w:val="22"/>
          <w:rtl/>
        </w:rPr>
        <w:t xml:space="preserve"> الملكية الفكرية، </w:t>
      </w:r>
      <w:r w:rsidR="00C54079" w:rsidRPr="003B7AF4">
        <w:rPr>
          <w:rFonts w:ascii="Calibri" w:hAnsi="Calibri" w:cs="Calibri"/>
          <w:szCs w:val="22"/>
          <w:rtl/>
        </w:rPr>
        <w:t xml:space="preserve">وإعداد مواد توعية ومواد إعلامية مصممة خصيصاً للبلدان </w:t>
      </w:r>
      <w:r w:rsidR="001D0198" w:rsidRPr="003B7AF4">
        <w:rPr>
          <w:rFonts w:ascii="Calibri" w:hAnsi="Calibri" w:cs="Calibri" w:hint="cs"/>
          <w:szCs w:val="22"/>
          <w:rtl/>
        </w:rPr>
        <w:t>و</w:t>
      </w:r>
      <w:r w:rsidR="00C54079" w:rsidRPr="003B7AF4">
        <w:rPr>
          <w:rFonts w:ascii="Calibri" w:hAnsi="Calibri" w:cs="Calibri"/>
          <w:szCs w:val="22"/>
          <w:rtl/>
        </w:rPr>
        <w:t xml:space="preserve">لأصحاب المصلحة المهتمين بشأن خيارات </w:t>
      </w:r>
      <w:r w:rsidR="001D0198" w:rsidRPr="003B7AF4">
        <w:rPr>
          <w:rFonts w:ascii="Calibri" w:hAnsi="Calibri" w:cs="Calibri" w:hint="cs"/>
          <w:szCs w:val="22"/>
          <w:rtl/>
        </w:rPr>
        <w:t>ال</w:t>
      </w:r>
      <w:r w:rsidR="00C54079" w:rsidRPr="003B7AF4">
        <w:rPr>
          <w:rFonts w:ascii="Calibri" w:hAnsi="Calibri" w:cs="Calibri"/>
          <w:szCs w:val="22"/>
          <w:rtl/>
        </w:rPr>
        <w:t xml:space="preserve">تسوية </w:t>
      </w:r>
      <w:r w:rsidR="001D0198" w:rsidRPr="003B7AF4">
        <w:rPr>
          <w:rFonts w:ascii="Calibri" w:hAnsi="Calibri" w:cs="Calibri" w:hint="cs"/>
          <w:szCs w:val="22"/>
          <w:rtl/>
        </w:rPr>
        <w:t>البديلة ل</w:t>
      </w:r>
      <w:r w:rsidR="00C54079" w:rsidRPr="003B7AF4">
        <w:rPr>
          <w:rFonts w:ascii="Calibri" w:hAnsi="Calibri" w:cs="Calibri"/>
          <w:szCs w:val="22"/>
          <w:rtl/>
        </w:rPr>
        <w:t xml:space="preserve">لمنازعات، والمساعدة في صياغة </w:t>
      </w:r>
      <w:r w:rsidR="001D0198" w:rsidRPr="003B7AF4">
        <w:rPr>
          <w:rFonts w:ascii="Calibri" w:hAnsi="Calibri" w:cs="Calibri" w:hint="cs"/>
          <w:szCs w:val="22"/>
          <w:rtl/>
        </w:rPr>
        <w:t>بنود التسوية تلك</w:t>
      </w:r>
      <w:r w:rsidR="00C54079" w:rsidRPr="003B7AF4">
        <w:rPr>
          <w:rFonts w:ascii="Calibri" w:hAnsi="Calibri" w:cs="Calibri"/>
          <w:szCs w:val="22"/>
          <w:rtl/>
        </w:rPr>
        <w:t xml:space="preserve"> فيما يتعلق باتفاقات البحث والتطوير النموذجية، وتنظيم فعاليات </w:t>
      </w:r>
      <w:r w:rsidR="00A22118" w:rsidRPr="003B7AF4">
        <w:rPr>
          <w:rFonts w:ascii="Calibri" w:hAnsi="Calibri" w:cs="Calibri"/>
          <w:szCs w:val="22"/>
          <w:rtl/>
        </w:rPr>
        <w:t xml:space="preserve">توعية </w:t>
      </w:r>
      <w:r w:rsidR="00C54079" w:rsidRPr="003B7AF4">
        <w:rPr>
          <w:rFonts w:ascii="Calibri" w:hAnsi="Calibri" w:cs="Calibri"/>
          <w:szCs w:val="22"/>
          <w:rtl/>
        </w:rPr>
        <w:t xml:space="preserve">مشتركة لأصحاب المصلحة. </w:t>
      </w:r>
      <w:r w:rsidR="00C54079" w:rsidRPr="003B7AF4">
        <w:rPr>
          <w:rStyle w:val="FootnoteReference"/>
          <w:rFonts w:ascii="Calibri" w:hAnsi="Calibri" w:cs="Calibri"/>
          <w:szCs w:val="22"/>
          <w:rtl/>
        </w:rPr>
        <w:footnoteReference w:id="17"/>
      </w:r>
    </w:p>
    <w:p w14:paraId="72C2752E" w14:textId="38CC723A" w:rsidR="00C54079" w:rsidRPr="003B7AF4" w:rsidRDefault="004A583D"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lastRenderedPageBreak/>
        <w:t>و</w:t>
      </w:r>
      <w:r w:rsidR="00C54079" w:rsidRPr="003B7AF4">
        <w:rPr>
          <w:rFonts w:ascii="Calibri" w:hAnsi="Calibri" w:cs="Calibri"/>
          <w:szCs w:val="22"/>
          <w:rtl/>
        </w:rPr>
        <w:t>قد استحدثت بعض مكاتب الملكية الفكرية خيارات الوساطة ل</w:t>
      </w:r>
      <w:r w:rsidR="002973EE" w:rsidRPr="003B7AF4">
        <w:rPr>
          <w:rFonts w:ascii="Calibri" w:hAnsi="Calibri" w:cs="Calibri" w:hint="cs"/>
          <w:szCs w:val="22"/>
          <w:rtl/>
        </w:rPr>
        <w:t>ل</w:t>
      </w:r>
      <w:r w:rsidR="00C54079" w:rsidRPr="003B7AF4">
        <w:rPr>
          <w:rFonts w:ascii="Calibri" w:hAnsi="Calibri" w:cs="Calibri"/>
          <w:szCs w:val="22"/>
          <w:rtl/>
        </w:rPr>
        <w:t xml:space="preserve">تسوية </w:t>
      </w:r>
      <w:r w:rsidR="002973EE" w:rsidRPr="003B7AF4">
        <w:rPr>
          <w:rFonts w:ascii="Calibri" w:hAnsi="Calibri" w:cs="Calibri"/>
          <w:szCs w:val="22"/>
          <w:rtl/>
        </w:rPr>
        <w:t xml:space="preserve">البديلة </w:t>
      </w:r>
      <w:r w:rsidR="002973EE" w:rsidRPr="003B7AF4">
        <w:rPr>
          <w:rFonts w:ascii="Calibri" w:hAnsi="Calibri" w:cs="Calibri" w:hint="cs"/>
          <w:szCs w:val="22"/>
          <w:rtl/>
        </w:rPr>
        <w:t>ل</w:t>
      </w:r>
      <w:r w:rsidR="00C54079" w:rsidRPr="003B7AF4">
        <w:rPr>
          <w:rFonts w:ascii="Calibri" w:hAnsi="Calibri" w:cs="Calibri"/>
          <w:szCs w:val="22"/>
          <w:rtl/>
        </w:rPr>
        <w:t xml:space="preserve">لمنازعات أو شجعت الأطراف على استخدام </w:t>
      </w:r>
      <w:r w:rsidR="002973EE" w:rsidRPr="003B7AF4">
        <w:rPr>
          <w:rFonts w:ascii="Calibri" w:hAnsi="Calibri" w:cs="Calibri" w:hint="cs"/>
          <w:szCs w:val="22"/>
          <w:rtl/>
        </w:rPr>
        <w:t>تلك</w:t>
      </w:r>
      <w:r w:rsidR="00C54079" w:rsidRPr="003B7AF4">
        <w:rPr>
          <w:rFonts w:ascii="Calibri" w:hAnsi="Calibri" w:cs="Calibri"/>
          <w:szCs w:val="22"/>
          <w:rtl/>
        </w:rPr>
        <w:t xml:space="preserve"> الخيارات في سياق الإجراءات المعلقة أمامها، لا سيما إجراءات الاعتراض على العلامات التجارية.  وقد عمل المركز مع مكاتب الملكية الفكرية على تطوير خيارات الوساطة لمثل </w:t>
      </w:r>
      <w:r w:rsidR="002973EE" w:rsidRPr="003B7AF4">
        <w:rPr>
          <w:rFonts w:ascii="Calibri" w:hAnsi="Calibri" w:cs="Calibri" w:hint="cs"/>
          <w:szCs w:val="22"/>
          <w:rtl/>
        </w:rPr>
        <w:t>تلك</w:t>
      </w:r>
      <w:r w:rsidR="00C54079" w:rsidRPr="003B7AF4">
        <w:rPr>
          <w:rFonts w:ascii="Calibri" w:hAnsi="Calibri" w:cs="Calibri"/>
          <w:szCs w:val="22"/>
          <w:rtl/>
        </w:rPr>
        <w:t xml:space="preserve"> الإجراءات وتعاون مع مكاتب الملكية الفكرية في إدارة القضايا المقدمة من الأطراف في إطار </w:t>
      </w:r>
      <w:r w:rsidR="002973EE" w:rsidRPr="003B7AF4">
        <w:rPr>
          <w:rFonts w:ascii="Calibri" w:hAnsi="Calibri" w:cs="Calibri" w:hint="cs"/>
          <w:szCs w:val="22"/>
          <w:rtl/>
        </w:rPr>
        <w:t>تلك</w:t>
      </w:r>
      <w:r w:rsidR="00C54079" w:rsidRPr="003B7AF4">
        <w:rPr>
          <w:rFonts w:ascii="Calibri" w:hAnsi="Calibri" w:cs="Calibri"/>
          <w:szCs w:val="22"/>
          <w:rtl/>
        </w:rPr>
        <w:t xml:space="preserve"> البرامج.</w:t>
      </w:r>
      <w:r w:rsidR="00C54079" w:rsidRPr="003B7AF4">
        <w:rPr>
          <w:rStyle w:val="FootnoteReference"/>
          <w:rFonts w:ascii="Calibri" w:hAnsi="Calibri" w:cs="Calibri"/>
          <w:szCs w:val="22"/>
          <w:rtl/>
        </w:rPr>
        <w:footnoteReference w:id="18"/>
      </w:r>
      <w:r w:rsidR="00C54079" w:rsidRPr="003B7AF4">
        <w:rPr>
          <w:rFonts w:ascii="Calibri" w:hAnsi="Calibri" w:cs="Calibri"/>
          <w:szCs w:val="22"/>
          <w:rtl/>
        </w:rPr>
        <w:t xml:space="preserve">  </w:t>
      </w:r>
      <w:r w:rsidR="002973EE" w:rsidRPr="003B7AF4">
        <w:rPr>
          <w:rFonts w:ascii="Calibri" w:hAnsi="Calibri" w:cs="Calibri" w:hint="cs"/>
          <w:szCs w:val="22"/>
          <w:rtl/>
        </w:rPr>
        <w:t>و</w:t>
      </w:r>
      <w:r w:rsidR="002973EE" w:rsidRPr="003B7AF4">
        <w:rPr>
          <w:rFonts w:ascii="Calibri" w:hAnsi="Calibri" w:cs="Calibri"/>
          <w:szCs w:val="22"/>
          <w:shd w:val="clear" w:color="auto" w:fill="FFFFFF" w:themeFill="background1"/>
          <w:rtl/>
        </w:rPr>
        <w:t xml:space="preserve">تلجأ بعض </w:t>
      </w:r>
      <w:r w:rsidR="002973EE" w:rsidRPr="003B7AF4">
        <w:rPr>
          <w:rFonts w:ascii="Calibri" w:hAnsi="Calibri" w:cs="Calibri"/>
          <w:szCs w:val="22"/>
          <w:rtl/>
        </w:rPr>
        <w:t>مكاتب الملكية الفكرية</w:t>
      </w:r>
      <w:r w:rsidR="002973EE" w:rsidRPr="003B7AF4">
        <w:rPr>
          <w:rFonts w:ascii="Calibri" w:hAnsi="Calibri" w:cs="Calibri" w:hint="cs"/>
          <w:szCs w:val="22"/>
          <w:rtl/>
        </w:rPr>
        <w:t xml:space="preserve">، </w:t>
      </w:r>
      <w:r w:rsidR="00C54079" w:rsidRPr="003B7AF4">
        <w:rPr>
          <w:rFonts w:ascii="Calibri" w:hAnsi="Calibri" w:cs="Calibri"/>
          <w:szCs w:val="22"/>
          <w:rtl/>
        </w:rPr>
        <w:t xml:space="preserve">في مجال </w:t>
      </w:r>
      <w:r w:rsidR="00C54079" w:rsidRPr="003B7AF4">
        <w:rPr>
          <w:rFonts w:ascii="Calibri" w:hAnsi="Calibri" w:cs="Calibri"/>
          <w:szCs w:val="22"/>
          <w:shd w:val="clear" w:color="auto" w:fill="FFFFFF" w:themeFill="background1"/>
          <w:rtl/>
        </w:rPr>
        <w:t>حق</w:t>
      </w:r>
      <w:r w:rsidR="00562615" w:rsidRPr="003B7AF4">
        <w:rPr>
          <w:rFonts w:ascii="Calibri" w:hAnsi="Calibri" w:cs="Calibri" w:hint="cs"/>
          <w:szCs w:val="22"/>
          <w:shd w:val="clear" w:color="auto" w:fill="FFFFFF" w:themeFill="background1"/>
          <w:rtl/>
        </w:rPr>
        <w:t xml:space="preserve"> المؤلف</w:t>
      </w:r>
      <w:r w:rsidR="00C54079" w:rsidRPr="003B7AF4">
        <w:rPr>
          <w:rFonts w:ascii="Calibri" w:hAnsi="Calibri" w:cs="Calibri"/>
          <w:szCs w:val="22"/>
          <w:shd w:val="clear" w:color="auto" w:fill="FFFFFF" w:themeFill="background1"/>
          <w:rtl/>
        </w:rPr>
        <w:t xml:space="preserve">، الآن إلى </w:t>
      </w:r>
      <w:r w:rsidR="00C54079" w:rsidRPr="003B7AF4">
        <w:rPr>
          <w:rFonts w:ascii="Calibri" w:hAnsi="Calibri" w:cs="Calibri"/>
          <w:szCs w:val="22"/>
          <w:rtl/>
        </w:rPr>
        <w:t xml:space="preserve">المركز </w:t>
      </w:r>
      <w:r w:rsidR="00562615" w:rsidRPr="003B7AF4">
        <w:rPr>
          <w:rFonts w:ascii="Calibri" w:hAnsi="Calibri" w:cs="Calibri" w:hint="cs"/>
          <w:szCs w:val="22"/>
          <w:rtl/>
        </w:rPr>
        <w:t>بعتباره إدارة</w:t>
      </w:r>
      <w:r w:rsidR="00C54079" w:rsidRPr="003B7AF4">
        <w:rPr>
          <w:rFonts w:ascii="Calibri" w:hAnsi="Calibri" w:cs="Calibri"/>
          <w:szCs w:val="22"/>
          <w:rtl/>
        </w:rPr>
        <w:t xml:space="preserve"> أو </w:t>
      </w:r>
      <w:r w:rsidR="00562615" w:rsidRPr="003B7AF4">
        <w:rPr>
          <w:rFonts w:ascii="Calibri" w:hAnsi="Calibri" w:cs="Calibri" w:hint="cs"/>
          <w:szCs w:val="22"/>
          <w:rtl/>
        </w:rPr>
        <w:t>إدارة مشتركة</w:t>
      </w:r>
      <w:r w:rsidR="00C54079" w:rsidRPr="003B7AF4">
        <w:rPr>
          <w:rFonts w:ascii="Calibri" w:hAnsi="Calibri" w:cs="Calibri"/>
          <w:szCs w:val="22"/>
          <w:rtl/>
        </w:rPr>
        <w:t xml:space="preserve"> للقضايا المعلقة، التي غالبا ما تشمل في كثير من الأحيان منظمات حقوق الملكية الفكرية أو غيرها من أصحاب </w:t>
      </w:r>
      <w:r w:rsidR="00562615" w:rsidRPr="003B7AF4">
        <w:rPr>
          <w:rFonts w:ascii="Calibri" w:hAnsi="Calibri" w:cs="Calibri" w:hint="cs"/>
          <w:szCs w:val="22"/>
          <w:rtl/>
        </w:rPr>
        <w:t>حق المؤلف</w:t>
      </w:r>
      <w:r w:rsidR="00C54079" w:rsidRPr="003B7AF4">
        <w:rPr>
          <w:rFonts w:ascii="Calibri" w:hAnsi="Calibri" w:cs="Calibri"/>
          <w:szCs w:val="22"/>
          <w:rtl/>
        </w:rPr>
        <w:t xml:space="preserve"> والمستخدمين. </w:t>
      </w:r>
      <w:r w:rsidR="00C54079" w:rsidRPr="003B7AF4">
        <w:rPr>
          <w:rStyle w:val="FootnoteReference"/>
          <w:rFonts w:ascii="Calibri" w:hAnsi="Calibri" w:cs="Calibri"/>
          <w:szCs w:val="22"/>
          <w:rtl/>
        </w:rPr>
        <w:footnoteReference w:id="19"/>
      </w:r>
    </w:p>
    <w:p w14:paraId="291664CB" w14:textId="4B52DE8D"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وبالإضافة إلى ذلك، تعاون المركز مع مكاتب الملكية الفكرية في وضع اتفاقات نموذجية للبحث والتطوير تتضمن خيارات وساطة الويبو وتحكيم الويبو. </w:t>
      </w:r>
      <w:r w:rsidRPr="003B7AF4">
        <w:rPr>
          <w:rStyle w:val="FootnoteReference"/>
          <w:rFonts w:ascii="Calibri" w:hAnsi="Calibri" w:cs="Calibri"/>
          <w:szCs w:val="22"/>
          <w:rtl/>
        </w:rPr>
        <w:footnoteReference w:id="20"/>
      </w:r>
    </w:p>
    <w:p w14:paraId="5B25759E" w14:textId="3F9667F8"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وانعكاساً لتزايد نطاق وطبيعة </w:t>
      </w:r>
      <w:r w:rsidR="00016BE6" w:rsidRPr="003B7AF4">
        <w:rPr>
          <w:rFonts w:ascii="Calibri" w:hAnsi="Calibri" w:cs="Calibri" w:hint="cs"/>
          <w:szCs w:val="22"/>
          <w:rtl/>
        </w:rPr>
        <w:t>تلك</w:t>
      </w:r>
      <w:r w:rsidRPr="003B7AF4">
        <w:rPr>
          <w:rFonts w:ascii="Calibri" w:hAnsi="Calibri" w:cs="Calibri"/>
          <w:szCs w:val="22"/>
          <w:rtl/>
        </w:rPr>
        <w:t xml:space="preserve"> الجهود التعاونية، يتيح المركز </w:t>
      </w:r>
      <w:hyperlink r:id="rId30" w:history="1">
        <w:r w:rsidRPr="00FC6BE1">
          <w:rPr>
            <w:rStyle w:val="Hyperlink"/>
            <w:rFonts w:ascii="Calibri" w:hAnsi="Calibri" w:cs="Calibri"/>
            <w:color w:val="0000FF"/>
            <w:szCs w:val="22"/>
            <w:u w:color="0000FF"/>
            <w:rtl/>
          </w:rPr>
          <w:t>دليل المنظمة العالمية للملكية الفكرية بشأن السبل البديلة لتسوية المنازعات لمكاتب الملكية الفكرية والمحاكم</w:t>
        </w:r>
      </w:hyperlink>
      <w:r w:rsidRPr="003B7AF4">
        <w:rPr>
          <w:rFonts w:ascii="Calibri" w:hAnsi="Calibri" w:cs="Calibri"/>
          <w:szCs w:val="22"/>
          <w:rtl/>
        </w:rPr>
        <w:t>. ويقدم الدليل أيضا خيارات للمكاتب والمحاكم المهتمة بالملكية الفكرية لدمج السبل البديلة لتسوية المنازعات، لا سيما الوساطة، في عملياتها.</w:t>
      </w:r>
    </w:p>
    <w:p w14:paraId="471E1F3E" w14:textId="2BAC38DC" w:rsidR="00C54079" w:rsidRPr="003B7AF4" w:rsidRDefault="00400B0C" w:rsidP="00C54079">
      <w:pPr>
        <w:pStyle w:val="Heading2"/>
        <w:spacing w:after="220"/>
        <w:ind w:left="540"/>
        <w:rPr>
          <w:rFonts w:ascii="Calibri" w:hAnsi="Calibri" w:cs="Calibri"/>
          <w:b/>
          <w:bCs w:val="0"/>
          <w:i/>
          <w:iCs w:val="0"/>
          <w:szCs w:val="22"/>
        </w:rPr>
      </w:pPr>
      <w:r w:rsidRPr="003B7AF4">
        <w:rPr>
          <w:rFonts w:ascii="Calibri" w:hAnsi="Calibri" w:cs="Calibri" w:hint="cs"/>
          <w:b/>
          <w:bCs w:val="0"/>
          <w:i/>
          <w:iCs w:val="0"/>
          <w:szCs w:val="22"/>
          <w:rtl/>
        </w:rPr>
        <w:t>جيم</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موارد التوعية والمعلومات الخاصة بمصادر المعلومات</w:t>
      </w:r>
    </w:p>
    <w:p w14:paraId="69A15620" w14:textId="37576ADC"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منذ انعقاد الجمعيات الأخيرة، ولتلبية الطلب المتزايد على موارد </w:t>
      </w:r>
      <w:r w:rsidR="00C409EF" w:rsidRPr="003B7AF4">
        <w:rPr>
          <w:rFonts w:ascii="Calibri" w:hAnsi="Calibri" w:cs="Calibri" w:hint="cs"/>
          <w:szCs w:val="22"/>
          <w:rtl/>
        </w:rPr>
        <w:t>ال</w:t>
      </w:r>
      <w:r w:rsidRPr="003B7AF4">
        <w:rPr>
          <w:rFonts w:ascii="Calibri" w:hAnsi="Calibri" w:cs="Calibri"/>
          <w:szCs w:val="22"/>
          <w:rtl/>
        </w:rPr>
        <w:t>تسوية</w:t>
      </w:r>
      <w:r w:rsidR="00C409EF" w:rsidRPr="003B7AF4">
        <w:rPr>
          <w:rFonts w:ascii="Calibri" w:hAnsi="Calibri" w:cs="Calibri" w:hint="cs"/>
          <w:szCs w:val="22"/>
          <w:rtl/>
        </w:rPr>
        <w:t xml:space="preserve"> البديلة</w:t>
      </w:r>
      <w:r w:rsidRPr="003B7AF4">
        <w:rPr>
          <w:rFonts w:ascii="Calibri" w:hAnsi="Calibri" w:cs="Calibri"/>
          <w:szCs w:val="22"/>
          <w:rtl/>
        </w:rPr>
        <w:t xml:space="preserve"> </w:t>
      </w:r>
      <w:r w:rsidR="00C409EF" w:rsidRPr="003B7AF4">
        <w:rPr>
          <w:rFonts w:ascii="Calibri" w:hAnsi="Calibri" w:cs="Calibri" w:hint="cs"/>
          <w:szCs w:val="22"/>
          <w:rtl/>
        </w:rPr>
        <w:t>ل</w:t>
      </w:r>
      <w:r w:rsidRPr="003B7AF4">
        <w:rPr>
          <w:rFonts w:ascii="Calibri" w:hAnsi="Calibri" w:cs="Calibri"/>
          <w:szCs w:val="22"/>
          <w:rtl/>
        </w:rPr>
        <w:t xml:space="preserve">لمنازعات عبر الإنترنت، واصل المركز استخدام قنوات التواصل، مثل النشرة الإخبارية </w:t>
      </w:r>
      <w:r w:rsidR="0047128D" w:rsidRPr="003B7AF4">
        <w:rPr>
          <w:rFonts w:ascii="Calibri" w:hAnsi="Calibri" w:cs="Calibri" w:hint="cs"/>
          <w:szCs w:val="22"/>
          <w:rtl/>
        </w:rPr>
        <w:t>إضاءات</w:t>
      </w:r>
      <w:r w:rsidR="00F924AF" w:rsidRPr="003B7AF4">
        <w:rPr>
          <w:rFonts w:ascii="Calibri" w:hAnsi="Calibri" w:cs="Calibri" w:hint="cs"/>
          <w:szCs w:val="22"/>
          <w:rtl/>
        </w:rPr>
        <w:t xml:space="preserve"> على</w:t>
      </w:r>
      <w:r w:rsidRPr="003B7AF4">
        <w:rPr>
          <w:rFonts w:ascii="Calibri" w:hAnsi="Calibri" w:cs="Calibri"/>
          <w:szCs w:val="22"/>
          <w:rtl/>
        </w:rPr>
        <w:t xml:space="preserve"> </w:t>
      </w:r>
      <w:r w:rsidR="00F924AF" w:rsidRPr="003B7AF4">
        <w:rPr>
          <w:rFonts w:ascii="Calibri" w:hAnsi="Calibri" w:cs="Calibri" w:hint="cs"/>
          <w:szCs w:val="22"/>
          <w:rtl/>
        </w:rPr>
        <w:t>ال</w:t>
      </w:r>
      <w:r w:rsidRPr="003B7AF4">
        <w:rPr>
          <w:rFonts w:ascii="Calibri" w:hAnsi="Calibri" w:cs="Calibri"/>
          <w:szCs w:val="22"/>
          <w:rtl/>
        </w:rPr>
        <w:t xml:space="preserve">تسوية </w:t>
      </w:r>
      <w:r w:rsidR="00F924AF" w:rsidRPr="003B7AF4">
        <w:rPr>
          <w:rFonts w:ascii="Calibri" w:hAnsi="Calibri" w:cs="Calibri" w:hint="cs"/>
          <w:szCs w:val="22"/>
          <w:rtl/>
        </w:rPr>
        <w:t>البديلة ل</w:t>
      </w:r>
      <w:r w:rsidRPr="003B7AF4">
        <w:rPr>
          <w:rFonts w:ascii="Calibri" w:hAnsi="Calibri" w:cs="Calibri"/>
          <w:szCs w:val="22"/>
          <w:rtl/>
        </w:rPr>
        <w:t>لمنازعات</w:t>
      </w:r>
      <w:r w:rsidRPr="003B7AF4">
        <w:rPr>
          <w:rFonts w:ascii="Calibri" w:hAnsi="Calibri" w:cs="Calibri"/>
          <w:szCs w:val="22"/>
          <w:vertAlign w:val="superscript"/>
          <w:rtl/>
        </w:rPr>
        <w:footnoteReference w:id="21"/>
      </w:r>
      <w:r w:rsidRPr="003B7AF4">
        <w:rPr>
          <w:rFonts w:ascii="Calibri" w:hAnsi="Calibri" w:cs="Calibri"/>
          <w:szCs w:val="22"/>
          <w:rtl/>
        </w:rPr>
        <w:t xml:space="preserve"> مع توسيع أو فتح سبل اجتماعية وغيرها من السبل الإلكترونية لمستخدمي خدمات الويبو </w:t>
      </w:r>
      <w:r w:rsidR="002A13C6" w:rsidRPr="003B7AF4">
        <w:rPr>
          <w:rFonts w:ascii="Calibri" w:hAnsi="Calibri" w:cs="Calibri" w:hint="cs"/>
          <w:szCs w:val="22"/>
          <w:rtl/>
        </w:rPr>
        <w:t>لل</w:t>
      </w:r>
      <w:r w:rsidR="002A13C6" w:rsidRPr="003B7AF4">
        <w:rPr>
          <w:rFonts w:ascii="Calibri" w:hAnsi="Calibri" w:cs="Calibri"/>
          <w:szCs w:val="22"/>
          <w:rtl/>
        </w:rPr>
        <w:t xml:space="preserve">تسوية </w:t>
      </w:r>
      <w:r w:rsidR="002A13C6" w:rsidRPr="003B7AF4">
        <w:rPr>
          <w:rFonts w:ascii="Calibri" w:hAnsi="Calibri" w:cs="Calibri" w:hint="cs"/>
          <w:szCs w:val="22"/>
          <w:rtl/>
        </w:rPr>
        <w:t>البديلة ل</w:t>
      </w:r>
      <w:r w:rsidR="002A13C6" w:rsidRPr="003B7AF4">
        <w:rPr>
          <w:rFonts w:ascii="Calibri" w:hAnsi="Calibri" w:cs="Calibri"/>
          <w:szCs w:val="22"/>
          <w:rtl/>
        </w:rPr>
        <w:t xml:space="preserve">لمنازعات </w:t>
      </w:r>
      <w:r w:rsidRPr="003B7AF4">
        <w:rPr>
          <w:rFonts w:ascii="Calibri" w:hAnsi="Calibri" w:cs="Calibri"/>
          <w:szCs w:val="22"/>
          <w:rtl/>
        </w:rPr>
        <w:t xml:space="preserve">أو المستخدمين المحتملين لها. </w:t>
      </w:r>
      <w:r w:rsidR="002A13C6" w:rsidRPr="003B7AF4">
        <w:rPr>
          <w:rFonts w:ascii="Calibri" w:hAnsi="Calibri" w:cs="Calibri" w:hint="cs"/>
          <w:szCs w:val="22"/>
          <w:rtl/>
        </w:rPr>
        <w:t>ف</w:t>
      </w:r>
      <w:r w:rsidRPr="003B7AF4">
        <w:rPr>
          <w:rFonts w:ascii="Calibri" w:hAnsi="Calibri" w:cs="Calibri"/>
          <w:szCs w:val="22"/>
          <w:rtl/>
        </w:rPr>
        <w:t xml:space="preserve">على سبيل المثال، </w:t>
      </w:r>
      <w:r w:rsidR="002A13C6" w:rsidRPr="003B7AF4">
        <w:rPr>
          <w:rFonts w:ascii="Calibri" w:hAnsi="Calibri" w:cs="Calibri" w:hint="cs"/>
          <w:szCs w:val="22"/>
          <w:rtl/>
        </w:rPr>
        <w:t>منصة الويبو</w:t>
      </w:r>
      <w:r w:rsidRPr="003B7AF4">
        <w:rPr>
          <w:rFonts w:ascii="Calibri" w:hAnsi="Calibri" w:cs="Calibri"/>
          <w:szCs w:val="22"/>
          <w:rtl/>
        </w:rPr>
        <w:t xml:space="preserve"> </w:t>
      </w:r>
      <w:hyperlink r:id="rId31" w:history="1">
        <w:r w:rsidRPr="00FC6BE1">
          <w:rPr>
            <w:rStyle w:val="Hyperlink"/>
            <w:rFonts w:ascii="Calibri" w:hAnsi="Calibri" w:cs="Calibri"/>
            <w:color w:val="0000FF"/>
            <w:szCs w:val="22"/>
            <w:u w:color="0000FF"/>
            <w:rtl/>
          </w:rPr>
          <w:t xml:space="preserve">" </w:t>
        </w:r>
        <w:r w:rsidR="002A13C6" w:rsidRPr="00FC6BE1">
          <w:rPr>
            <w:rStyle w:val="Hyperlink"/>
            <w:rFonts w:ascii="Calibri" w:hAnsi="Calibri" w:cs="Calibri" w:hint="cs"/>
            <w:color w:val="0000FF"/>
            <w:szCs w:val="22"/>
            <w:u w:color="0000FF"/>
            <w:rtl/>
          </w:rPr>
          <w:t>لل</w:t>
        </w:r>
        <w:r w:rsidRPr="00FC6BE1">
          <w:rPr>
            <w:rStyle w:val="Hyperlink"/>
            <w:rFonts w:ascii="Calibri" w:hAnsi="Calibri" w:cs="Calibri"/>
            <w:color w:val="0000FF"/>
            <w:szCs w:val="22"/>
            <w:u w:color="0000FF"/>
            <w:rtl/>
          </w:rPr>
          <w:t xml:space="preserve">تسوية </w:t>
        </w:r>
        <w:r w:rsidR="002A13C6" w:rsidRPr="00FC6BE1">
          <w:rPr>
            <w:rStyle w:val="Hyperlink"/>
            <w:rFonts w:ascii="Calibri" w:hAnsi="Calibri" w:cs="Calibri" w:hint="cs"/>
            <w:color w:val="0000FF"/>
            <w:szCs w:val="22"/>
            <w:u w:color="0000FF"/>
            <w:rtl/>
          </w:rPr>
          <w:t>البديلة ل</w:t>
        </w:r>
        <w:r w:rsidRPr="00FC6BE1">
          <w:rPr>
            <w:rStyle w:val="Hyperlink"/>
            <w:rFonts w:ascii="Calibri" w:hAnsi="Calibri" w:cs="Calibri"/>
            <w:color w:val="0000FF"/>
            <w:szCs w:val="22"/>
            <w:u w:color="0000FF"/>
            <w:rtl/>
          </w:rPr>
          <w:t>لمنازعات</w:t>
        </w:r>
        <w:r w:rsidR="002A13C6" w:rsidRPr="00FC6BE1">
          <w:rPr>
            <w:color w:val="0000FF"/>
            <w:u w:val="single" w:color="0000FF"/>
            <w:rtl/>
          </w:rPr>
          <w:t xml:space="preserve"> </w:t>
        </w:r>
        <w:r w:rsidR="002A13C6" w:rsidRPr="00FC6BE1">
          <w:rPr>
            <w:rStyle w:val="Hyperlink"/>
            <w:rFonts w:ascii="Calibri" w:hAnsi="Calibri" w:cs="Calibri" w:hint="cs"/>
            <w:color w:val="0000FF"/>
            <w:szCs w:val="22"/>
            <w:u w:color="0000FF"/>
            <w:rtl/>
          </w:rPr>
          <w:t>ل</w:t>
        </w:r>
        <w:r w:rsidR="002A13C6" w:rsidRPr="00FC6BE1">
          <w:rPr>
            <w:rStyle w:val="Hyperlink"/>
            <w:rFonts w:ascii="Calibri" w:hAnsi="Calibri" w:cs="Calibri"/>
            <w:color w:val="0000FF"/>
            <w:szCs w:val="22"/>
            <w:u w:color="0000FF"/>
            <w:rtl/>
          </w:rPr>
          <w:t>لشباب</w:t>
        </w:r>
        <w:r w:rsidRPr="00FC6BE1">
          <w:rPr>
            <w:rStyle w:val="Hyperlink"/>
            <w:rFonts w:ascii="Calibri" w:hAnsi="Calibri" w:cs="Calibri"/>
            <w:color w:val="0000FF"/>
            <w:szCs w:val="22"/>
            <w:u w:color="0000FF"/>
            <w:rtl/>
          </w:rPr>
          <w:t xml:space="preserve">" </w:t>
        </w:r>
      </w:hyperlink>
      <w:r w:rsidRPr="003B7AF4">
        <w:rPr>
          <w:rFonts w:ascii="Calibri" w:hAnsi="Calibri" w:cs="Calibri"/>
          <w:szCs w:val="22"/>
          <w:rtl/>
        </w:rPr>
        <w:t xml:space="preserve">التابع للمركز، وهو منتدى للتواصل والتدريب للمهنيين الشباب في مجالي الملكية الفكرية وتسوية المنازعات، وقد </w:t>
      </w:r>
      <w:r w:rsidR="00133ECA" w:rsidRPr="003B7AF4">
        <w:rPr>
          <w:rFonts w:ascii="Calibri" w:hAnsi="Calibri" w:cs="Calibri" w:hint="cs"/>
          <w:szCs w:val="22"/>
          <w:rtl/>
        </w:rPr>
        <w:t>استقطب</w:t>
      </w:r>
      <w:r w:rsidRPr="003B7AF4">
        <w:rPr>
          <w:rFonts w:ascii="Calibri" w:hAnsi="Calibri" w:cs="Calibri"/>
          <w:szCs w:val="22"/>
          <w:rtl/>
        </w:rPr>
        <w:t xml:space="preserve"> حتى الآن أكثر من 700 1 عضو</w:t>
      </w:r>
      <w:r w:rsidR="009C7B58" w:rsidRPr="003B7AF4">
        <w:rPr>
          <w:rFonts w:ascii="Calibri" w:hAnsi="Calibri" w:cs="Calibri" w:hint="cs"/>
          <w:szCs w:val="22"/>
          <w:rtl/>
        </w:rPr>
        <w:t>.</w:t>
      </w:r>
    </w:p>
    <w:p w14:paraId="6D720A33" w14:textId="64A60F8D" w:rsidR="00C54079" w:rsidRPr="003B7AF4" w:rsidRDefault="00C54079"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وتعمل </w:t>
      </w:r>
      <w:hyperlink r:id="rId32" w:history="1">
        <w:r w:rsidRPr="00FC6BE1">
          <w:rPr>
            <w:rStyle w:val="Hyperlink"/>
            <w:rFonts w:ascii="Calibri" w:hAnsi="Calibri" w:cs="Calibri"/>
            <w:color w:val="0000FF"/>
            <w:szCs w:val="22"/>
            <w:u w:color="0000FF"/>
            <w:rtl/>
          </w:rPr>
          <w:t xml:space="preserve">صفحة المركز على موقع لينكد إن، </w:t>
        </w:r>
      </w:hyperlink>
      <w:r w:rsidRPr="003B7AF4">
        <w:rPr>
          <w:rFonts w:ascii="Calibri" w:hAnsi="Calibri" w:cs="Calibri"/>
          <w:szCs w:val="22"/>
          <w:rtl/>
        </w:rPr>
        <w:t xml:space="preserve">التي يتابعها أكثر من 23000 متابع، كمنصة لمجتمع الملكية الفكرية والتكنولوجيا والتسوية البديلة </w:t>
      </w:r>
      <w:r w:rsidR="00B50D2F" w:rsidRPr="003B7AF4">
        <w:rPr>
          <w:rFonts w:ascii="Calibri" w:hAnsi="Calibri" w:cs="Calibri" w:hint="cs"/>
          <w:szCs w:val="22"/>
          <w:rtl/>
        </w:rPr>
        <w:t>ل</w:t>
      </w:r>
      <w:r w:rsidRPr="003B7AF4">
        <w:rPr>
          <w:rFonts w:ascii="Calibri" w:hAnsi="Calibri" w:cs="Calibri"/>
          <w:szCs w:val="22"/>
          <w:rtl/>
        </w:rPr>
        <w:t xml:space="preserve">لمنازعات لمواكبة تطورات الويبو في مجال التسوية البديلة </w:t>
      </w:r>
      <w:r w:rsidR="00B50D2F" w:rsidRPr="003B7AF4">
        <w:rPr>
          <w:rFonts w:ascii="Calibri" w:hAnsi="Calibri" w:cs="Calibri" w:hint="cs"/>
          <w:szCs w:val="22"/>
          <w:rtl/>
        </w:rPr>
        <w:t>ل</w:t>
      </w:r>
      <w:r w:rsidRPr="003B7AF4">
        <w:rPr>
          <w:rFonts w:ascii="Calibri" w:hAnsi="Calibri" w:cs="Calibri"/>
          <w:szCs w:val="22"/>
          <w:rtl/>
        </w:rPr>
        <w:t xml:space="preserve">لمنازعات والفعاليات والمنشورات.  وواصل المركز أيضًا برنامج </w:t>
      </w:r>
      <w:hyperlink r:id="rId33" w:history="1">
        <w:r w:rsidRPr="00FC6BE1">
          <w:rPr>
            <w:rStyle w:val="Hyperlink"/>
            <w:rFonts w:ascii="Calibri" w:hAnsi="Calibri" w:cs="Calibri"/>
            <w:color w:val="0000FF"/>
            <w:szCs w:val="22"/>
            <w:u w:color="0000FF"/>
            <w:rtl/>
          </w:rPr>
          <w:t>البودكاست الخاص بمسائل التحكيم والوساطة للويبو،</w:t>
        </w:r>
        <w:r w:rsidRPr="003B7AF4">
          <w:rPr>
            <w:rStyle w:val="Hyperlink"/>
            <w:rFonts w:ascii="Calibri" w:hAnsi="Calibri" w:cs="Calibri"/>
            <w:color w:val="auto"/>
            <w:szCs w:val="22"/>
            <w:u w:val="none"/>
            <w:rtl/>
          </w:rPr>
          <w:t xml:space="preserve"> </w:t>
        </w:r>
      </w:hyperlink>
      <w:r w:rsidRPr="003B7AF4">
        <w:rPr>
          <w:rFonts w:ascii="Calibri" w:hAnsi="Calibri" w:cs="Calibri"/>
          <w:szCs w:val="22"/>
          <w:rtl/>
        </w:rPr>
        <w:t xml:space="preserve"> الذي يضم أكثر من 4800 بث، ويضم مقابلات مع ممارسي</w:t>
      </w:r>
      <w:r w:rsidR="00B50D2F" w:rsidRPr="003B7AF4">
        <w:rPr>
          <w:rFonts w:ascii="Calibri" w:hAnsi="Calibri" w:cs="Calibri" w:hint="cs"/>
          <w:szCs w:val="22"/>
          <w:rtl/>
        </w:rPr>
        <w:t xml:space="preserve">ن في مجال </w:t>
      </w:r>
      <w:r w:rsidRPr="003B7AF4">
        <w:rPr>
          <w:rFonts w:ascii="Calibri" w:hAnsi="Calibri" w:cs="Calibri"/>
          <w:szCs w:val="22"/>
          <w:rtl/>
        </w:rPr>
        <w:t xml:space="preserve"> الملكية الفكرية والوساطة </w:t>
      </w:r>
      <w:r w:rsidR="00B50D2F" w:rsidRPr="003B7AF4">
        <w:rPr>
          <w:rFonts w:ascii="Calibri" w:hAnsi="Calibri" w:cs="Calibri" w:hint="cs"/>
          <w:szCs w:val="22"/>
          <w:rtl/>
        </w:rPr>
        <w:t>بخصوص</w:t>
      </w:r>
      <w:r w:rsidRPr="003B7AF4">
        <w:rPr>
          <w:rFonts w:ascii="Calibri" w:hAnsi="Calibri" w:cs="Calibri"/>
          <w:szCs w:val="22"/>
          <w:rtl/>
        </w:rPr>
        <w:t xml:space="preserve"> </w:t>
      </w:r>
      <w:r w:rsidR="007C7759" w:rsidRPr="003B7AF4">
        <w:rPr>
          <w:rFonts w:ascii="Calibri" w:hAnsi="Calibri" w:cs="Calibri" w:hint="cs"/>
          <w:szCs w:val="22"/>
          <w:rtl/>
        </w:rPr>
        <w:t>ال</w:t>
      </w:r>
      <w:r w:rsidRPr="003B7AF4">
        <w:rPr>
          <w:rFonts w:ascii="Calibri" w:hAnsi="Calibri" w:cs="Calibri"/>
          <w:szCs w:val="22"/>
          <w:rtl/>
        </w:rPr>
        <w:t xml:space="preserve">تسوية </w:t>
      </w:r>
      <w:r w:rsidR="007C7759" w:rsidRPr="003B7AF4">
        <w:rPr>
          <w:rFonts w:ascii="Calibri" w:hAnsi="Calibri" w:cs="Calibri" w:hint="cs"/>
          <w:szCs w:val="22"/>
          <w:rtl/>
        </w:rPr>
        <w:t>البديلة ل</w:t>
      </w:r>
      <w:r w:rsidRPr="003B7AF4">
        <w:rPr>
          <w:rFonts w:ascii="Calibri" w:hAnsi="Calibri" w:cs="Calibri"/>
          <w:szCs w:val="22"/>
          <w:rtl/>
        </w:rPr>
        <w:t>لمنازعات</w:t>
      </w:r>
      <w:r w:rsidR="00B50D2F" w:rsidRPr="003B7AF4">
        <w:rPr>
          <w:rFonts w:ascii="Calibri" w:hAnsi="Calibri" w:cs="Calibri" w:hint="cs"/>
          <w:szCs w:val="22"/>
          <w:rtl/>
        </w:rPr>
        <w:t>.</w:t>
      </w:r>
    </w:p>
    <w:p w14:paraId="4AFE3B0A" w14:textId="538E1CEE" w:rsidR="00C54079" w:rsidRPr="003B7AF4" w:rsidRDefault="00C54079" w:rsidP="00C54079">
      <w:pPr>
        <w:pStyle w:val="ListParagraph"/>
        <w:widowControl w:val="0"/>
        <w:numPr>
          <w:ilvl w:val="0"/>
          <w:numId w:val="7"/>
        </w:numPr>
        <w:spacing w:after="240"/>
        <w:ind w:left="0" w:firstLine="0"/>
        <w:rPr>
          <w:rFonts w:ascii="Calibri" w:hAnsi="Calibri" w:cs="Calibri"/>
          <w:szCs w:val="22"/>
        </w:rPr>
      </w:pPr>
      <w:r w:rsidRPr="003B7AF4">
        <w:rPr>
          <w:rFonts w:ascii="Calibri" w:hAnsi="Calibri" w:cs="Calibri"/>
          <w:szCs w:val="22"/>
          <w:rtl/>
        </w:rPr>
        <w:t xml:space="preserve">وواصل المركز تنظيم الفعاليات والمشاركة فيها، بما في ذلك </w:t>
      </w:r>
      <w:hyperlink r:id="rId34" w:history="1">
        <w:r w:rsidRPr="00FC6BE1">
          <w:rPr>
            <w:rStyle w:val="Hyperlink"/>
            <w:rFonts w:ascii="Calibri" w:hAnsi="Calibri" w:cs="Calibri"/>
            <w:color w:val="0000FF"/>
            <w:szCs w:val="22"/>
            <w:u w:color="0000FF"/>
            <w:rtl/>
          </w:rPr>
          <w:t xml:space="preserve">الحلقات الدراسية الإلكترونية </w:t>
        </w:r>
      </w:hyperlink>
      <w:r w:rsidRPr="003B7AF4">
        <w:rPr>
          <w:rFonts w:ascii="Calibri" w:hAnsi="Calibri" w:cs="Calibri"/>
          <w:szCs w:val="22"/>
          <w:rtl/>
        </w:rPr>
        <w:t xml:space="preserve">والندوات الخاصة بالوساطة والتحكيم في مجال الملكية الفكرية وحلقات عمل الويبو للوساطة والتحكيم عبر الإنترنت، والتي تتاح لأصحاب المصلحة بمحتوى </w:t>
      </w:r>
      <w:r w:rsidRPr="003B7AF4">
        <w:rPr>
          <w:rFonts w:ascii="Calibri" w:hAnsi="Calibri" w:cs="Calibri"/>
          <w:szCs w:val="22"/>
          <w:shd w:val="clear" w:color="auto" w:fill="FFFFFF" w:themeFill="background1"/>
          <w:rtl/>
        </w:rPr>
        <w:t>مصمم خصيصًا لمجال اهتمامهم بمجموعة من اللغات.</w:t>
      </w:r>
      <w:r w:rsidRPr="003B7AF4">
        <w:rPr>
          <w:rFonts w:ascii="Calibri" w:hAnsi="Calibri" w:cs="Calibri"/>
          <w:szCs w:val="22"/>
          <w:shd w:val="clear" w:color="auto" w:fill="FFFFFF" w:themeFill="background1"/>
          <w:vertAlign w:val="superscript"/>
          <w:rtl/>
        </w:rPr>
        <w:footnoteReference w:id="22"/>
      </w:r>
      <w:r w:rsidRPr="003B7AF4">
        <w:rPr>
          <w:rFonts w:ascii="Calibri" w:hAnsi="Calibri" w:cs="Calibri"/>
          <w:szCs w:val="22"/>
          <w:shd w:val="clear" w:color="auto" w:fill="FFFFFF" w:themeFill="background1"/>
          <w:rtl/>
        </w:rPr>
        <w:t xml:space="preserve">  وشملت المواضيع حقوق </w:t>
      </w:r>
      <w:r w:rsidR="00A5648E" w:rsidRPr="003B7AF4">
        <w:rPr>
          <w:rFonts w:ascii="Calibri" w:hAnsi="Calibri" w:cs="Calibri" w:hint="cs"/>
          <w:szCs w:val="22"/>
          <w:shd w:val="clear" w:color="auto" w:fill="FFFFFF" w:themeFill="background1"/>
          <w:rtl/>
        </w:rPr>
        <w:t>المؤلف</w:t>
      </w:r>
      <w:r w:rsidRPr="003B7AF4">
        <w:rPr>
          <w:rFonts w:ascii="Calibri" w:hAnsi="Calibri" w:cs="Calibri"/>
          <w:szCs w:val="22"/>
          <w:shd w:val="clear" w:color="auto" w:fill="FFFFFF" w:themeFill="background1"/>
          <w:rtl/>
        </w:rPr>
        <w:t xml:space="preserve"> </w:t>
      </w:r>
      <w:r w:rsidRPr="003B7AF4">
        <w:rPr>
          <w:rFonts w:ascii="Calibri" w:hAnsi="Calibri" w:cs="Calibri"/>
          <w:szCs w:val="22"/>
          <w:rtl/>
        </w:rPr>
        <w:t xml:space="preserve">الرقمية، </w:t>
      </w:r>
      <w:r w:rsidR="00723FE1" w:rsidRPr="003B7AF4">
        <w:rPr>
          <w:rFonts w:ascii="Calibri" w:hAnsi="Calibri" w:cs="Calibri"/>
          <w:szCs w:val="22"/>
          <w:rtl/>
        </w:rPr>
        <w:t xml:space="preserve">والرياضات </w:t>
      </w:r>
      <w:r w:rsidRPr="003B7AF4">
        <w:rPr>
          <w:rFonts w:ascii="Calibri" w:hAnsi="Calibri" w:cs="Calibri"/>
          <w:szCs w:val="22"/>
          <w:rtl/>
        </w:rPr>
        <w:t xml:space="preserve">الإلكترونية، والأزياء، والتكنولوجيا الخضراء والاستدامة، </w:t>
      </w:r>
      <w:r w:rsidRPr="003B7AF4">
        <w:rPr>
          <w:rFonts w:ascii="Calibri" w:hAnsi="Calibri" w:cs="Calibri"/>
          <w:szCs w:val="22"/>
          <w:shd w:val="clear" w:color="auto" w:fill="FFFFFF" w:themeFill="background1"/>
          <w:rtl/>
        </w:rPr>
        <w:t>وتقييم الملكية الفكرية، وعلوم الحياة، والبحث والتطوير، و</w:t>
      </w:r>
      <w:r w:rsidR="00B17F05" w:rsidRPr="003B7AF4">
        <w:rPr>
          <w:rFonts w:ascii="Calibri" w:hAnsi="Calibri" w:cs="Calibri"/>
          <w:szCs w:val="22"/>
          <w:shd w:val="clear" w:color="auto" w:fill="FFFFFF" w:themeFill="background1"/>
          <w:rtl/>
        </w:rPr>
        <w:t xml:space="preserve">المنازعات </w:t>
      </w:r>
      <w:r w:rsidRPr="003B7AF4">
        <w:rPr>
          <w:rFonts w:ascii="Calibri" w:hAnsi="Calibri" w:cs="Calibri"/>
          <w:szCs w:val="22"/>
          <w:shd w:val="clear" w:color="auto" w:fill="FFFFFF" w:themeFill="background1"/>
          <w:rtl/>
        </w:rPr>
        <w:t xml:space="preserve"> </w:t>
      </w:r>
      <w:r w:rsidRPr="003B7AF4">
        <w:rPr>
          <w:rFonts w:ascii="Calibri" w:hAnsi="Calibri" w:cs="Calibri"/>
          <w:szCs w:val="22"/>
          <w:rtl/>
        </w:rPr>
        <w:t xml:space="preserve">المتعلقة ببراءات الاختراع/ حقوق الملكية الفكرية، وألعاب الفيديو. </w:t>
      </w:r>
      <w:r w:rsidRPr="003B7AF4">
        <w:rPr>
          <w:rFonts w:ascii="Calibri" w:hAnsi="Calibri" w:cs="Calibri"/>
          <w:szCs w:val="22"/>
          <w:shd w:val="clear" w:color="auto" w:fill="FFFFFF" w:themeFill="background1"/>
          <w:rtl/>
        </w:rPr>
        <w:t xml:space="preserve">كما استهدفت فعاليات المركز جماهير محددة، مثل الشركات الصغيرة والمتوسطة ورواد الأعمال والشباب والنساء. </w:t>
      </w:r>
      <w:bookmarkStart w:id="10" w:name="_Hlk158654583"/>
      <w:r w:rsidR="0013496E" w:rsidRPr="003B7AF4">
        <w:rPr>
          <w:rFonts w:ascii="Calibri" w:hAnsi="Calibri" w:cs="Calibri"/>
          <w:szCs w:val="22"/>
          <w:shd w:val="clear" w:color="auto" w:fill="FFFFFF" w:themeFill="background1"/>
          <w:rtl/>
        </w:rPr>
        <w:t xml:space="preserve"> </w:t>
      </w:r>
      <w:r w:rsidR="00A5648E" w:rsidRPr="003B7AF4">
        <w:rPr>
          <w:rFonts w:ascii="Calibri" w:hAnsi="Calibri" w:cs="Calibri" w:hint="cs"/>
          <w:szCs w:val="22"/>
          <w:shd w:val="clear" w:color="auto" w:fill="FFFFFF" w:themeFill="background1"/>
          <w:rtl/>
        </w:rPr>
        <w:t>و</w:t>
      </w:r>
      <w:r w:rsidR="0013496E" w:rsidRPr="003B7AF4">
        <w:rPr>
          <w:rFonts w:ascii="Calibri" w:hAnsi="Calibri" w:cs="Calibri"/>
          <w:szCs w:val="22"/>
          <w:shd w:val="clear" w:color="auto" w:fill="FFFFFF" w:themeFill="background1"/>
          <w:rtl/>
        </w:rPr>
        <w:t xml:space="preserve">في عام 2024، نظّم المركز /شارك في أكثر من 100 فعالية، افتراضية </w:t>
      </w:r>
      <w:r w:rsidR="00A5648E" w:rsidRPr="003B7AF4">
        <w:rPr>
          <w:rFonts w:ascii="Calibri" w:hAnsi="Calibri" w:cs="Calibri" w:hint="cs"/>
          <w:szCs w:val="22"/>
          <w:shd w:val="clear" w:color="auto" w:fill="FFFFFF" w:themeFill="background1"/>
          <w:rtl/>
        </w:rPr>
        <w:t>وحضورية</w:t>
      </w:r>
      <w:r w:rsidR="0013496E" w:rsidRPr="003B7AF4">
        <w:rPr>
          <w:rFonts w:ascii="Calibri" w:hAnsi="Calibri" w:cs="Calibri"/>
          <w:szCs w:val="22"/>
          <w:shd w:val="clear" w:color="auto" w:fill="FFFFFF" w:themeFill="background1"/>
          <w:rtl/>
        </w:rPr>
        <w:t xml:space="preserve">، بحضور أكثر من </w:t>
      </w:r>
      <w:r w:rsidR="0013496E" w:rsidRPr="003B7AF4">
        <w:rPr>
          <w:rFonts w:ascii="Calibri" w:hAnsi="Calibri" w:cs="Calibri"/>
          <w:szCs w:val="22"/>
          <w:shd w:val="clear" w:color="auto" w:fill="FFFFFF" w:themeFill="background1"/>
          <w:rtl/>
        </w:rPr>
        <w:lastRenderedPageBreak/>
        <w:t xml:space="preserve">12000 مسجّل من أكثر من 135 </w:t>
      </w:r>
      <w:r w:rsidR="00643333" w:rsidRPr="003B7AF4">
        <w:rPr>
          <w:rFonts w:ascii="Calibri" w:hAnsi="Calibri" w:cs="Calibri" w:hint="cs"/>
          <w:szCs w:val="22"/>
          <w:shd w:val="clear" w:color="auto" w:fill="FFFFFF" w:themeFill="background1"/>
          <w:rtl/>
        </w:rPr>
        <w:t>بلدا</w:t>
      </w:r>
      <w:r w:rsidR="0013496E" w:rsidRPr="003B7AF4">
        <w:rPr>
          <w:rFonts w:ascii="Calibri" w:hAnsi="Calibri" w:cs="Calibri"/>
          <w:szCs w:val="22"/>
          <w:shd w:val="clear" w:color="auto" w:fill="FFFFFF" w:themeFill="background1"/>
          <w:rtl/>
        </w:rPr>
        <w:t>.</w:t>
      </w:r>
      <w:bookmarkEnd w:id="10"/>
    </w:p>
    <w:p w14:paraId="162BD9DC" w14:textId="77777777" w:rsidR="00C54079" w:rsidRPr="003B7AF4" w:rsidRDefault="00C54079" w:rsidP="00C54079">
      <w:pPr>
        <w:pStyle w:val="ListParagraph"/>
        <w:widowControl w:val="0"/>
        <w:spacing w:after="240"/>
        <w:ind w:left="0"/>
        <w:rPr>
          <w:rFonts w:ascii="Calibri" w:hAnsi="Calibri" w:cs="Calibri"/>
          <w:szCs w:val="22"/>
        </w:rPr>
      </w:pPr>
    </w:p>
    <w:p w14:paraId="2B517DA0" w14:textId="19EEFBDF" w:rsidR="00C54079" w:rsidRPr="003B7AF4" w:rsidRDefault="00381E38" w:rsidP="00C54079">
      <w:pPr>
        <w:pStyle w:val="ListParagraph"/>
        <w:widowControl w:val="0"/>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t>و</w:t>
      </w:r>
      <w:r w:rsidR="00C54079" w:rsidRPr="003B7AF4">
        <w:rPr>
          <w:rFonts w:ascii="Calibri" w:hAnsi="Calibri" w:cs="Calibri"/>
          <w:szCs w:val="22"/>
          <w:rtl/>
        </w:rPr>
        <w:t xml:space="preserve">بموجب </w:t>
      </w:r>
      <w:hyperlink r:id="rId35" w:history="1">
        <w:r w:rsidR="00C54079" w:rsidRPr="00A14C6C">
          <w:rPr>
            <w:rStyle w:val="Hyperlink"/>
            <w:rFonts w:ascii="Calibri" w:hAnsi="Calibri" w:cs="Calibri"/>
            <w:color w:val="0000FF"/>
            <w:szCs w:val="22"/>
            <w:u w:color="0000FF"/>
            <w:rtl/>
          </w:rPr>
          <w:t xml:space="preserve">تعهّد الويبو للوساطة في منازعات الملكية الفكرية </w:t>
        </w:r>
      </w:hyperlink>
      <w:r w:rsidR="00C54079" w:rsidRPr="003B7AF4">
        <w:rPr>
          <w:rFonts w:ascii="Calibri" w:hAnsi="Calibri" w:cs="Calibri"/>
          <w:szCs w:val="22"/>
          <w:rtl/>
        </w:rPr>
        <w:t xml:space="preserve">والتكنولوجيا، يتفق الموقعون والكيانات المتعاونة على تعزيز الوساطة كبديل للتقاضي أمام المحاكم للحد من تأثير المنازعات على الابتكار والعمليات الإبداعية. وقد وقّع على التعهد أكثر من 930 مشاركا، بما في ذلك 37 مكتبا للملكية الفكرية في الدول الأعضاء وجمعيات </w:t>
      </w:r>
      <w:r w:rsidRPr="003B7AF4">
        <w:rPr>
          <w:rFonts w:ascii="Calibri" w:hAnsi="Calibri" w:cs="Calibri" w:hint="cs"/>
          <w:szCs w:val="22"/>
          <w:rtl/>
        </w:rPr>
        <w:t>في قطاع</w:t>
      </w:r>
      <w:r w:rsidR="00C54079" w:rsidRPr="003B7AF4">
        <w:rPr>
          <w:rFonts w:ascii="Calibri" w:hAnsi="Calibri" w:cs="Calibri"/>
          <w:szCs w:val="22"/>
          <w:rtl/>
        </w:rPr>
        <w:t xml:space="preserve"> </w:t>
      </w:r>
      <w:r w:rsidRPr="003B7AF4">
        <w:rPr>
          <w:rFonts w:ascii="Calibri" w:hAnsi="Calibri" w:cs="Calibri" w:hint="cs"/>
          <w:szCs w:val="22"/>
          <w:rtl/>
        </w:rPr>
        <w:t>التسوية البديلة للمنازعات</w:t>
      </w:r>
      <w:r w:rsidR="00C54079" w:rsidRPr="003B7AF4">
        <w:rPr>
          <w:rFonts w:ascii="Calibri" w:hAnsi="Calibri" w:cs="Calibri"/>
          <w:szCs w:val="22"/>
          <w:rtl/>
        </w:rPr>
        <w:t>.</w:t>
      </w:r>
    </w:p>
    <w:p w14:paraId="704D3F82" w14:textId="5C79944A" w:rsidR="00C54079" w:rsidRPr="003B7AF4" w:rsidRDefault="00E10347" w:rsidP="00C54079">
      <w:pPr>
        <w:pStyle w:val="Heading2"/>
        <w:keepNext w:val="0"/>
        <w:widowControl w:val="0"/>
        <w:spacing w:after="220"/>
        <w:rPr>
          <w:rFonts w:ascii="Calibri" w:hAnsi="Calibri" w:cs="Calibri"/>
          <w:b/>
          <w:bCs w:val="0"/>
          <w:i/>
          <w:iCs w:val="0"/>
          <w:szCs w:val="22"/>
        </w:rPr>
      </w:pPr>
      <w:r w:rsidRPr="003B7AF4">
        <w:rPr>
          <w:rFonts w:ascii="Calibri" w:hAnsi="Calibri" w:cs="Calibri" w:hint="cs"/>
          <w:b/>
          <w:bCs w:val="0"/>
          <w:i/>
          <w:iCs w:val="0"/>
          <w:szCs w:val="22"/>
          <w:rtl/>
        </w:rPr>
        <w:t>ثانيا</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 xml:space="preserve">إدارة </w:t>
      </w:r>
      <w:r w:rsidRPr="003B7AF4">
        <w:rPr>
          <w:rFonts w:ascii="Calibri" w:hAnsi="Calibri" w:cs="Calibri" w:hint="cs"/>
          <w:b/>
          <w:bCs w:val="0"/>
          <w:i/>
          <w:iCs w:val="0"/>
          <w:szCs w:val="22"/>
          <w:rtl/>
        </w:rPr>
        <w:t>قضايا</w:t>
      </w:r>
      <w:r w:rsidR="00C54079" w:rsidRPr="003B7AF4">
        <w:rPr>
          <w:rFonts w:ascii="Calibri" w:hAnsi="Calibri" w:cs="Calibri"/>
          <w:b/>
          <w:bCs w:val="0"/>
          <w:i/>
          <w:iCs w:val="0"/>
          <w:szCs w:val="22"/>
          <w:rtl/>
        </w:rPr>
        <w:t xml:space="preserve"> </w:t>
      </w:r>
      <w:r w:rsidRPr="003B7AF4">
        <w:rPr>
          <w:rFonts w:ascii="Calibri" w:hAnsi="Calibri" w:cs="Calibri" w:hint="cs"/>
          <w:b/>
          <w:bCs w:val="0"/>
          <w:i/>
          <w:iCs w:val="0"/>
          <w:szCs w:val="22"/>
          <w:rtl/>
        </w:rPr>
        <w:t>أسماء</w:t>
      </w:r>
      <w:r w:rsidR="00C54079" w:rsidRPr="003B7AF4">
        <w:rPr>
          <w:rFonts w:ascii="Calibri" w:hAnsi="Calibri" w:cs="Calibri"/>
          <w:b/>
          <w:bCs w:val="0"/>
          <w:i/>
          <w:iCs w:val="0"/>
          <w:szCs w:val="22"/>
          <w:rtl/>
        </w:rPr>
        <w:t xml:space="preserve"> </w:t>
      </w:r>
      <w:r w:rsidRPr="003B7AF4">
        <w:rPr>
          <w:rFonts w:ascii="Calibri" w:hAnsi="Calibri" w:cs="Calibri" w:hint="cs"/>
          <w:b/>
          <w:bCs w:val="0"/>
          <w:i/>
          <w:iCs w:val="0"/>
          <w:szCs w:val="22"/>
          <w:rtl/>
        </w:rPr>
        <w:t>الحقول</w:t>
      </w:r>
    </w:p>
    <w:p w14:paraId="5E8A5D01" w14:textId="5707D24A" w:rsidR="00C54079" w:rsidRPr="003B7AF4" w:rsidRDefault="00E10347" w:rsidP="00C54079">
      <w:pPr>
        <w:pStyle w:val="Heading2"/>
        <w:ind w:left="540"/>
        <w:rPr>
          <w:rFonts w:ascii="Calibri" w:hAnsi="Calibri" w:cs="Calibri"/>
          <w:b/>
          <w:bCs w:val="0"/>
          <w:i/>
          <w:iCs w:val="0"/>
          <w:szCs w:val="22"/>
        </w:rPr>
      </w:pPr>
      <w:r w:rsidRPr="003B7AF4">
        <w:rPr>
          <w:rFonts w:ascii="Calibri" w:hAnsi="Calibri" w:cs="Calibri" w:hint="cs"/>
          <w:b/>
          <w:bCs w:val="0"/>
          <w:i/>
          <w:iCs w:val="0"/>
          <w:szCs w:val="22"/>
          <w:rtl/>
        </w:rPr>
        <w:t>ألف</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r>
      <w:r w:rsidRPr="003B7AF4">
        <w:rPr>
          <w:rFonts w:ascii="Calibri" w:hAnsi="Calibri" w:cs="Calibri" w:hint="cs"/>
          <w:b/>
          <w:bCs w:val="0"/>
          <w:i/>
          <w:iCs w:val="0"/>
          <w:szCs w:val="22"/>
          <w:rtl/>
        </w:rPr>
        <w:t>السياسة الموحدة لتسوية المنازعات</w:t>
      </w:r>
    </w:p>
    <w:p w14:paraId="7D1ED616" w14:textId="5021A943" w:rsidR="00C54079" w:rsidRPr="003B7AF4" w:rsidRDefault="00C54079" w:rsidP="00C54079">
      <w:pPr>
        <w:pStyle w:val="ListParagraph"/>
        <w:numPr>
          <w:ilvl w:val="0"/>
          <w:numId w:val="7"/>
        </w:numPr>
        <w:spacing w:before="240" w:after="240"/>
        <w:ind w:left="0" w:firstLine="0"/>
        <w:contextualSpacing w:val="0"/>
        <w:rPr>
          <w:rFonts w:ascii="Calibri" w:hAnsi="Calibri" w:cs="Calibri"/>
          <w:szCs w:val="22"/>
        </w:rPr>
      </w:pPr>
      <w:r w:rsidRPr="003B7AF4">
        <w:rPr>
          <w:rFonts w:ascii="Calibri" w:hAnsi="Calibri" w:cs="Calibri"/>
          <w:szCs w:val="22"/>
          <w:rtl/>
        </w:rPr>
        <w:t xml:space="preserve">يثير </w:t>
      </w:r>
      <w:r w:rsidR="00DB1CED" w:rsidRPr="003B7AF4">
        <w:rPr>
          <w:rFonts w:ascii="Calibri" w:hAnsi="Calibri" w:cs="Calibri"/>
          <w:szCs w:val="22"/>
          <w:rtl/>
        </w:rPr>
        <w:t xml:space="preserve">نظام أسماء الحقول عدداً من التحديات أمام حماية الملكية الفكرية، التي تقتضي اتباع نهج دولي لما للإنترنت من طابع عالمي. وقد دأبت الويبو على مواجهة هذه التحديات منذ عام 1998 عن طريق وضع حلول، لا سيما في عمليتيها </w:t>
      </w:r>
      <w:hyperlink r:id="rId36" w:history="1">
        <w:r w:rsidR="00DB1CED" w:rsidRPr="00231E6D">
          <w:rPr>
            <w:rFonts w:ascii="Calibri" w:hAnsi="Calibri"/>
            <w:color w:val="0000FF"/>
            <w:u w:val="single" w:color="0000FF"/>
            <w:rtl/>
          </w:rPr>
          <w:t>الأولى</w:t>
        </w:r>
      </w:hyperlink>
      <w:r w:rsidR="00DB1CED" w:rsidRPr="003B7AF4">
        <w:rPr>
          <w:rFonts w:ascii="Calibri" w:hAnsi="Calibri" w:cs="Calibri"/>
          <w:szCs w:val="22"/>
          <w:rtl/>
        </w:rPr>
        <w:t xml:space="preserve"> </w:t>
      </w:r>
      <w:r w:rsidR="00DB1CED" w:rsidRPr="00231E6D">
        <w:rPr>
          <w:rFonts w:ascii="Calibri" w:hAnsi="Calibri" w:cs="Calibri"/>
          <w:szCs w:val="22"/>
          <w:u w:color="0000FF"/>
          <w:rtl/>
        </w:rPr>
        <w:t>و</w:t>
      </w:r>
      <w:hyperlink r:id="rId37" w:history="1">
        <w:r w:rsidR="00DB1CED" w:rsidRPr="00231E6D">
          <w:rPr>
            <w:rFonts w:ascii="Calibri" w:hAnsi="Calibri"/>
            <w:color w:val="0000FF"/>
            <w:u w:val="single" w:color="0000FF"/>
            <w:rtl/>
          </w:rPr>
          <w:t>الثانية</w:t>
        </w:r>
      </w:hyperlink>
      <w:r w:rsidR="00DB1CED" w:rsidRPr="003B7AF4">
        <w:rPr>
          <w:rFonts w:ascii="Calibri" w:hAnsi="Calibri" w:cs="Calibri"/>
          <w:szCs w:val="22"/>
          <w:rtl/>
        </w:rPr>
        <w:t xml:space="preserve"> بشأن أسماء الحقول على الإنترنت. ومن خلال المركز، تُقدِّم الويبو لأصحاب العلامات التجارية آليات دولية فعّالة للانتصاف مِمَّنْ</w:t>
      </w:r>
      <w:r w:rsidR="00DB1CED" w:rsidRPr="003B7AF4">
        <w:rPr>
          <w:rFonts w:ascii="Calibri" w:hAnsi="Calibri" w:cs="Calibri" w:hint="cs"/>
          <w:szCs w:val="22"/>
          <w:rtl/>
        </w:rPr>
        <w:t xml:space="preserve"> </w:t>
      </w:r>
      <w:r w:rsidR="00DB1CED" w:rsidRPr="003B7AF4">
        <w:rPr>
          <w:rFonts w:ascii="Calibri" w:hAnsi="Calibri" w:cs="Calibri"/>
          <w:szCs w:val="22"/>
          <w:rtl/>
        </w:rPr>
        <w:t xml:space="preserve">يعمد إلى تسجيل أسماء حقول تتطابق وحقوقهم في العلامات التجارية والانتفاع بهذه الأسماء </w:t>
      </w:r>
      <w:r w:rsidR="00DB1CED" w:rsidRPr="003B7AF4">
        <w:rPr>
          <w:rFonts w:ascii="Calibri" w:hAnsi="Calibri" w:cs="Calibri" w:hint="cs"/>
          <w:szCs w:val="22"/>
          <w:rtl/>
        </w:rPr>
        <w:t>ب</w:t>
      </w:r>
      <w:r w:rsidR="00DB1CED" w:rsidRPr="003B7AF4">
        <w:rPr>
          <w:rFonts w:ascii="Calibri" w:hAnsi="Calibri" w:cs="Calibri"/>
          <w:szCs w:val="22"/>
          <w:rtl/>
        </w:rPr>
        <w:t>سوء نية. والآلية الرئيسية التي تُشرف عليها الويبو، هي السياسة الموحدة لتسوية المنازعات، التي اعتمدتها الآيكان بناء على توصيات الويبو في إطار عمليتها الأولى</w:t>
      </w:r>
      <w:r w:rsidRPr="003B7AF4">
        <w:rPr>
          <w:rFonts w:ascii="Calibri" w:hAnsi="Calibri" w:cs="Calibri"/>
          <w:szCs w:val="22"/>
          <w:rtl/>
        </w:rPr>
        <w:t>.</w:t>
      </w:r>
    </w:p>
    <w:p w14:paraId="23080B52" w14:textId="7FC04E25" w:rsidR="00C54079" w:rsidRPr="003B7AF4" w:rsidRDefault="00D21AB6" w:rsidP="00C54079">
      <w:pPr>
        <w:pStyle w:val="ListParagraph"/>
        <w:numPr>
          <w:ilvl w:val="0"/>
          <w:numId w:val="7"/>
        </w:numPr>
        <w:spacing w:before="240" w:after="240"/>
        <w:ind w:left="0" w:firstLine="0"/>
        <w:contextualSpacing w:val="0"/>
        <w:rPr>
          <w:rFonts w:ascii="Calibri" w:hAnsi="Calibri" w:cs="Calibri"/>
          <w:szCs w:val="22"/>
        </w:rPr>
      </w:pPr>
      <w:r w:rsidRPr="003B7AF4">
        <w:rPr>
          <w:rFonts w:ascii="Calibri" w:hAnsi="Calibri" w:cs="Calibri" w:hint="cs"/>
          <w:szCs w:val="22"/>
          <w:rtl/>
        </w:rPr>
        <w:t>و</w:t>
      </w:r>
      <w:r w:rsidR="00C54079" w:rsidRPr="003B7AF4">
        <w:rPr>
          <w:rFonts w:ascii="Calibri" w:hAnsi="Calibri" w:cs="Calibri"/>
          <w:szCs w:val="22"/>
          <w:rtl/>
        </w:rPr>
        <w:t xml:space="preserve">يعد </w:t>
      </w:r>
      <w:r w:rsidR="00250C7B" w:rsidRPr="003B7AF4">
        <w:rPr>
          <w:rFonts w:ascii="Calibri" w:hAnsi="Calibri" w:cs="Calibri" w:hint="cs"/>
          <w:szCs w:val="22"/>
          <w:rtl/>
        </w:rPr>
        <w:t>السطو</w:t>
      </w:r>
      <w:r w:rsidR="00C54079" w:rsidRPr="003B7AF4">
        <w:rPr>
          <w:rFonts w:ascii="Calibri" w:hAnsi="Calibri" w:cs="Calibri"/>
          <w:szCs w:val="22"/>
          <w:rtl/>
        </w:rPr>
        <w:t xml:space="preserve"> الإلكتروني - إساءة استخدام علامة تجارية في اسم </w:t>
      </w:r>
      <w:r w:rsidR="00730DF6" w:rsidRPr="003B7AF4">
        <w:rPr>
          <w:rFonts w:ascii="Calibri" w:hAnsi="Calibri" w:cs="Calibri" w:hint="cs"/>
          <w:szCs w:val="22"/>
          <w:rtl/>
        </w:rPr>
        <w:t>حقل</w:t>
      </w:r>
      <w:r w:rsidR="00C54079" w:rsidRPr="003B7AF4">
        <w:rPr>
          <w:rFonts w:ascii="Calibri" w:hAnsi="Calibri" w:cs="Calibri"/>
          <w:szCs w:val="22"/>
          <w:rtl/>
        </w:rPr>
        <w:t xml:space="preserve"> - مشكلة عالمية.  وقد غطت الأطراف المسماة في قضايا الويبو 133 </w:t>
      </w:r>
      <w:r w:rsidR="00E842C4" w:rsidRPr="003B7AF4">
        <w:rPr>
          <w:rFonts w:ascii="Calibri" w:hAnsi="Calibri" w:cs="Calibri" w:hint="cs"/>
          <w:szCs w:val="22"/>
          <w:rtl/>
        </w:rPr>
        <w:t>بلدا</w:t>
      </w:r>
      <w:r w:rsidR="00C54079" w:rsidRPr="003B7AF4">
        <w:rPr>
          <w:rFonts w:ascii="Calibri" w:hAnsi="Calibri" w:cs="Calibri"/>
          <w:szCs w:val="22"/>
          <w:rtl/>
        </w:rPr>
        <w:t xml:space="preserve"> في عام 2024، ليبلغ مجموعها 188 </w:t>
      </w:r>
      <w:r w:rsidR="00E842C4" w:rsidRPr="003B7AF4">
        <w:rPr>
          <w:rFonts w:ascii="Calibri" w:hAnsi="Calibri" w:cs="Calibri" w:hint="cs"/>
          <w:szCs w:val="22"/>
          <w:rtl/>
        </w:rPr>
        <w:t>بلدا</w:t>
      </w:r>
      <w:r w:rsidR="00C54079" w:rsidRPr="003B7AF4">
        <w:rPr>
          <w:rFonts w:ascii="Calibri" w:hAnsi="Calibri" w:cs="Calibri"/>
          <w:szCs w:val="22"/>
          <w:rtl/>
        </w:rPr>
        <w:t xml:space="preserve"> منذ </w:t>
      </w:r>
      <w:r w:rsidR="00E842C4" w:rsidRPr="003B7AF4">
        <w:rPr>
          <w:rFonts w:ascii="Times New Roman" w:hAnsi="Times New Roman" w:cs="Calibri"/>
          <w:szCs w:val="22"/>
          <w:rtl/>
        </w:rPr>
        <w:t>استهلال السياسة الموحدة لتسوية المنازعات</w:t>
      </w:r>
      <w:r w:rsidR="00C54079" w:rsidRPr="003B7AF4">
        <w:rPr>
          <w:rFonts w:ascii="Calibri" w:hAnsi="Calibri" w:cs="Calibri"/>
          <w:szCs w:val="22"/>
          <w:rtl/>
        </w:rPr>
        <w:t xml:space="preserve">. </w:t>
      </w:r>
      <w:r w:rsidR="00E842C4" w:rsidRPr="003B7AF4">
        <w:rPr>
          <w:rFonts w:ascii="Times New Roman" w:hAnsi="Times New Roman" w:cs="Calibri"/>
          <w:szCs w:val="22"/>
          <w:rtl/>
        </w:rPr>
        <w:t>أما من حيث لغة اتفاق تسجيل اسم الحقل المعني، فقد بلغ عدد اللغات المستخدمة في إجراءات سياسة الويبو الموحدة لتسوية المنازعات</w:t>
      </w:r>
      <w:r w:rsidR="00E842C4" w:rsidRPr="003B7AF4">
        <w:rPr>
          <w:rFonts w:ascii="Calibri" w:hAnsi="Calibri" w:cs="Calibri"/>
          <w:szCs w:val="22"/>
          <w:rtl/>
        </w:rPr>
        <w:t xml:space="preserve"> </w:t>
      </w:r>
      <w:r w:rsidR="00C54079" w:rsidRPr="003B7AF4">
        <w:rPr>
          <w:rFonts w:ascii="Calibri" w:hAnsi="Calibri" w:cs="Calibri"/>
          <w:szCs w:val="22"/>
          <w:rtl/>
        </w:rPr>
        <w:t>أكثر من 30 لغة.</w:t>
      </w:r>
      <w:r w:rsidR="00C54079" w:rsidRPr="003B7AF4">
        <w:rPr>
          <w:rStyle w:val="FootnoteReference"/>
          <w:rFonts w:ascii="Calibri" w:eastAsia="Simplified Arabic" w:hAnsi="Calibri" w:cs="Calibri"/>
          <w:szCs w:val="22"/>
          <w:rtl/>
        </w:rPr>
        <w:footnoteReference w:id="23"/>
      </w:r>
      <w:r w:rsidR="00E842C4" w:rsidRPr="003B7AF4">
        <w:rPr>
          <w:rFonts w:ascii="Calibri" w:hAnsi="Calibri" w:cs="Calibri" w:hint="cs"/>
          <w:szCs w:val="22"/>
          <w:rtl/>
        </w:rPr>
        <w:t xml:space="preserve">  </w:t>
      </w:r>
    </w:p>
    <w:p w14:paraId="06A7100D" w14:textId="797573BD" w:rsidR="00C54079" w:rsidRPr="003B7AF4" w:rsidRDefault="00D21AB6" w:rsidP="00C54079">
      <w:pPr>
        <w:pStyle w:val="ListParagraph"/>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t>و</w:t>
      </w:r>
      <w:r w:rsidR="00C54079" w:rsidRPr="003B7AF4">
        <w:rPr>
          <w:rFonts w:ascii="Calibri" w:hAnsi="Calibri" w:cs="Calibri"/>
          <w:szCs w:val="22"/>
          <w:rtl/>
        </w:rPr>
        <w:t xml:space="preserve">مع ازدياد عدد الأشخاص الذين يقضون المزيد من الوقت على الإنترنت كل عام، يجد المنتهكون بيئة غنية بالأهداف بشكل متزايد.  </w:t>
      </w:r>
      <w:r w:rsidR="00B67BD0" w:rsidRPr="003B7AF4">
        <w:rPr>
          <w:rFonts w:ascii="Calibri" w:hAnsi="Calibri" w:cs="Calibri" w:hint="cs"/>
          <w:szCs w:val="22"/>
          <w:rtl/>
        </w:rPr>
        <w:t>و</w:t>
      </w:r>
      <w:r w:rsidR="00C54079" w:rsidRPr="003B7AF4">
        <w:rPr>
          <w:rFonts w:ascii="Calibri" w:hAnsi="Calibri" w:cs="Calibri"/>
          <w:szCs w:val="22"/>
          <w:rtl/>
        </w:rPr>
        <w:t xml:space="preserve">يواصل </w:t>
      </w:r>
      <w:r w:rsidR="00B67BD0" w:rsidRPr="003B7AF4">
        <w:rPr>
          <w:rFonts w:ascii="Calibri" w:hAnsi="Calibri" w:cs="Calibri" w:hint="cs"/>
          <w:szCs w:val="22"/>
          <w:rtl/>
        </w:rPr>
        <w:t>أصحاب</w:t>
      </w:r>
      <w:r w:rsidR="00C54079" w:rsidRPr="003B7AF4">
        <w:rPr>
          <w:rFonts w:ascii="Calibri" w:hAnsi="Calibri" w:cs="Calibri"/>
          <w:szCs w:val="22"/>
          <w:rtl/>
        </w:rPr>
        <w:t xml:space="preserve"> العلامات التجارية تكثيف إنفاذ علاماتهم التجارية على الإنترنت مع زيادة تحولهم إلى تقديم سلعهم وخدماتهم عبر الإنترنت.  ولا يزال الطلب على </w:t>
      </w:r>
      <w:r w:rsidR="00B67BD0" w:rsidRPr="003B7AF4">
        <w:rPr>
          <w:rFonts w:ascii="Calibri" w:hAnsi="Calibri" w:cs="Calibri"/>
          <w:szCs w:val="22"/>
          <w:rtl/>
        </w:rPr>
        <w:t>السياسة الموحدة لتسوية المنازعات</w:t>
      </w:r>
      <w:r w:rsidR="00C54079" w:rsidRPr="003B7AF4">
        <w:rPr>
          <w:rFonts w:ascii="Calibri" w:hAnsi="Calibri" w:cs="Calibri"/>
          <w:szCs w:val="22"/>
          <w:rtl/>
        </w:rPr>
        <w:t xml:space="preserve"> محدود النطاق لتوضيح حالات سوء النية.</w:t>
      </w:r>
      <w:r w:rsidR="00C54079" w:rsidRPr="003B7AF4">
        <w:rPr>
          <w:rStyle w:val="FootnoteReference"/>
          <w:rFonts w:ascii="Calibri" w:eastAsia="Simplified Arabic" w:hAnsi="Calibri" w:cs="Calibri"/>
          <w:szCs w:val="22"/>
          <w:rtl/>
        </w:rPr>
        <w:footnoteReference w:id="24"/>
      </w:r>
      <w:r w:rsidR="00C54079" w:rsidRPr="003B7AF4">
        <w:rPr>
          <w:rFonts w:ascii="Calibri" w:hAnsi="Calibri" w:cs="Calibri"/>
          <w:szCs w:val="22"/>
          <w:rtl/>
        </w:rPr>
        <w:t xml:space="preserve">  فمنذ ديسمبر 1999، أدارت </w:t>
      </w:r>
      <w:r w:rsidR="00B67BD0" w:rsidRPr="003B7AF4">
        <w:rPr>
          <w:rFonts w:ascii="Calibri" w:hAnsi="Calibri" w:cs="Calibri" w:hint="cs"/>
          <w:szCs w:val="22"/>
          <w:rtl/>
        </w:rPr>
        <w:t>الويبو</w:t>
      </w:r>
      <w:r w:rsidR="00C54079" w:rsidRPr="003B7AF4">
        <w:rPr>
          <w:rFonts w:ascii="Calibri" w:hAnsi="Calibri" w:cs="Calibri"/>
          <w:szCs w:val="22"/>
          <w:rtl/>
        </w:rPr>
        <w:t xml:space="preserve"> أكثر من 75,000 قضية تستند إلى </w:t>
      </w:r>
      <w:r w:rsidR="00B67BD0" w:rsidRPr="003B7AF4">
        <w:rPr>
          <w:rFonts w:ascii="Calibri" w:hAnsi="Calibri" w:cs="Calibri"/>
          <w:szCs w:val="22"/>
          <w:rtl/>
        </w:rPr>
        <w:t>السياسة الموحدة لتسوية المنازعات</w:t>
      </w:r>
      <w:r w:rsidR="00C54079" w:rsidRPr="003B7AF4">
        <w:rPr>
          <w:rFonts w:ascii="Calibri" w:hAnsi="Calibri" w:cs="Calibri"/>
          <w:szCs w:val="22"/>
          <w:rtl/>
        </w:rPr>
        <w:t>.</w:t>
      </w:r>
      <w:r w:rsidR="00C54079" w:rsidRPr="003B7AF4">
        <w:rPr>
          <w:rFonts w:ascii="Calibri" w:hAnsi="Calibri" w:cs="Calibri"/>
          <w:szCs w:val="22"/>
          <w:vertAlign w:val="superscript"/>
          <w:rtl/>
        </w:rPr>
        <w:footnoteReference w:id="25"/>
      </w:r>
      <w:r w:rsidR="00C54079" w:rsidRPr="003B7AF4">
        <w:rPr>
          <w:rFonts w:ascii="Calibri" w:hAnsi="Calibri" w:cs="Calibri"/>
          <w:szCs w:val="22"/>
          <w:rtl/>
        </w:rPr>
        <w:t xml:space="preserve">  </w:t>
      </w:r>
      <w:r w:rsidR="00B67BD0" w:rsidRPr="003B7AF4">
        <w:rPr>
          <w:rFonts w:ascii="Calibri" w:hAnsi="Calibri" w:cs="Calibri" w:hint="cs"/>
          <w:szCs w:val="22"/>
          <w:rtl/>
        </w:rPr>
        <w:t>و</w:t>
      </w:r>
      <w:r w:rsidR="00C54079" w:rsidRPr="003B7AF4">
        <w:rPr>
          <w:rFonts w:ascii="Calibri" w:hAnsi="Calibri" w:cs="Calibri"/>
          <w:szCs w:val="22"/>
          <w:rtl/>
        </w:rPr>
        <w:t xml:space="preserve">تتضمن الإيداعات المقدمة من </w:t>
      </w:r>
      <w:r w:rsidR="00B67BD0" w:rsidRPr="003B7AF4">
        <w:rPr>
          <w:rFonts w:ascii="Calibri" w:hAnsi="Calibri" w:cs="Calibri" w:hint="cs"/>
          <w:szCs w:val="22"/>
          <w:rtl/>
        </w:rPr>
        <w:t>أصحاب</w:t>
      </w:r>
      <w:r w:rsidR="00C54079" w:rsidRPr="003B7AF4">
        <w:rPr>
          <w:rFonts w:ascii="Calibri" w:hAnsi="Calibri" w:cs="Calibri"/>
          <w:szCs w:val="22"/>
          <w:rtl/>
        </w:rPr>
        <w:t xml:space="preserve"> العلامات التجارية بشكل متزايد مزاعم الاحتيال عبر البريد الإلكتروني أو مخططات التصيد الاحتيالي وانتحال الشخصية وغيرها من الاستخدامات غير المشروعة للمواقع الإلكترونية التي تواجه المستهلك (مثل التزييف) المرتبطة بأسماء </w:t>
      </w:r>
      <w:r w:rsidR="00B67BD0" w:rsidRPr="003B7AF4">
        <w:rPr>
          <w:rFonts w:ascii="Calibri" w:hAnsi="Calibri" w:cs="Calibri" w:hint="cs"/>
          <w:szCs w:val="22"/>
          <w:rtl/>
        </w:rPr>
        <w:t>الحقول</w:t>
      </w:r>
      <w:r w:rsidR="00C54079" w:rsidRPr="003B7AF4">
        <w:rPr>
          <w:rFonts w:ascii="Calibri" w:hAnsi="Calibri" w:cs="Calibri"/>
          <w:szCs w:val="22"/>
          <w:rtl/>
        </w:rPr>
        <w:t xml:space="preserve"> المتنازع عليها.  </w:t>
      </w:r>
      <w:r w:rsidR="00B67BD0" w:rsidRPr="003B7AF4">
        <w:rPr>
          <w:rFonts w:ascii="Calibri" w:hAnsi="Calibri" w:cs="Calibri" w:hint="cs"/>
          <w:szCs w:val="22"/>
          <w:rtl/>
        </w:rPr>
        <w:t>و</w:t>
      </w:r>
      <w:r w:rsidR="00C54079" w:rsidRPr="003B7AF4">
        <w:rPr>
          <w:rFonts w:ascii="Calibri" w:hAnsi="Calibri" w:cs="Calibri"/>
          <w:szCs w:val="22"/>
          <w:rtl/>
        </w:rPr>
        <w:t xml:space="preserve">في عام </w:t>
      </w:r>
      <w:r w:rsidR="004A315B" w:rsidRPr="003B7AF4">
        <w:rPr>
          <w:rFonts w:ascii="Calibri" w:hAnsi="Calibri" w:cs="Calibri"/>
          <w:szCs w:val="22"/>
          <w:rtl/>
        </w:rPr>
        <w:t xml:space="preserve">2024، </w:t>
      </w:r>
      <w:r w:rsidR="00C54079" w:rsidRPr="003B7AF4">
        <w:rPr>
          <w:rFonts w:ascii="Calibri" w:hAnsi="Calibri" w:cs="Calibri"/>
          <w:szCs w:val="22"/>
          <w:rtl/>
        </w:rPr>
        <w:t xml:space="preserve">قدم </w:t>
      </w:r>
      <w:r w:rsidR="00B67BD0" w:rsidRPr="003B7AF4">
        <w:rPr>
          <w:rFonts w:ascii="Calibri" w:hAnsi="Calibri" w:cs="Calibri" w:hint="cs"/>
          <w:szCs w:val="22"/>
          <w:rtl/>
        </w:rPr>
        <w:t>أصحاب</w:t>
      </w:r>
      <w:r w:rsidR="00C54079" w:rsidRPr="003B7AF4">
        <w:rPr>
          <w:rFonts w:ascii="Calibri" w:hAnsi="Calibri" w:cs="Calibri"/>
          <w:szCs w:val="22"/>
          <w:rtl/>
        </w:rPr>
        <w:t xml:space="preserve"> العلامات التجارية 6168 شكوى مستندة إلى </w:t>
      </w:r>
      <w:r w:rsidR="00B67BD0" w:rsidRPr="003B7AF4">
        <w:rPr>
          <w:rFonts w:ascii="Calibri" w:hAnsi="Calibri" w:cs="Calibri"/>
          <w:szCs w:val="22"/>
          <w:rtl/>
        </w:rPr>
        <w:t xml:space="preserve">السياسة الموحدة لتسوية المنازعات </w:t>
      </w:r>
      <w:r w:rsidR="00C54079" w:rsidRPr="003B7AF4">
        <w:rPr>
          <w:rFonts w:ascii="Calibri" w:hAnsi="Calibri" w:cs="Calibri"/>
          <w:szCs w:val="22"/>
          <w:rtl/>
        </w:rPr>
        <w:t xml:space="preserve">إلى </w:t>
      </w:r>
      <w:r w:rsidR="00B67BD0" w:rsidRPr="003B7AF4">
        <w:rPr>
          <w:rFonts w:ascii="Calibri" w:hAnsi="Calibri" w:cs="Calibri" w:hint="cs"/>
          <w:szCs w:val="22"/>
          <w:rtl/>
        </w:rPr>
        <w:t>الويبو</w:t>
      </w:r>
      <w:r w:rsidR="00C54079" w:rsidRPr="003B7AF4">
        <w:rPr>
          <w:rFonts w:ascii="Calibri" w:hAnsi="Calibri" w:cs="Calibri"/>
          <w:szCs w:val="22"/>
          <w:rtl/>
        </w:rPr>
        <w:t xml:space="preserve">، وهو ثاني أكبر عدد من الشكاوى التي يتلقاها المركز على الإطلاق، مما يؤكد الأهمية المستمرة لقانون تسوية المنازعات التجارية عبر الإنترنت بالنسبة لمالكي العلامات التجارية.  وقد بلغ العدد الإجمالي لأسماء </w:t>
      </w:r>
      <w:r w:rsidR="001F71D5" w:rsidRPr="003B7AF4">
        <w:rPr>
          <w:rFonts w:ascii="Calibri" w:hAnsi="Calibri" w:cs="Calibri" w:hint="cs"/>
          <w:szCs w:val="22"/>
          <w:rtl/>
        </w:rPr>
        <w:t>الحقول</w:t>
      </w:r>
      <w:r w:rsidR="00C54079" w:rsidRPr="003B7AF4">
        <w:rPr>
          <w:rFonts w:ascii="Calibri" w:hAnsi="Calibri" w:cs="Calibri"/>
          <w:szCs w:val="22"/>
          <w:rtl/>
        </w:rPr>
        <w:t xml:space="preserve"> في قضايا الويبو المستندة إلى </w:t>
      </w:r>
      <w:r w:rsidR="001F71D5" w:rsidRPr="003B7AF4">
        <w:rPr>
          <w:rFonts w:ascii="Calibri" w:hAnsi="Calibri" w:cs="Calibri"/>
          <w:szCs w:val="22"/>
          <w:rtl/>
        </w:rPr>
        <w:t xml:space="preserve">السياسة الموحدة لتسوية المنازعات </w:t>
      </w:r>
      <w:r w:rsidR="00B5123D" w:rsidRPr="003B7AF4">
        <w:rPr>
          <w:rFonts w:ascii="Calibri" w:hAnsi="Calibri" w:cs="Calibri"/>
          <w:szCs w:val="22"/>
          <w:rtl/>
        </w:rPr>
        <w:t xml:space="preserve">أكثر من </w:t>
      </w:r>
      <w:r w:rsidR="00C54079" w:rsidRPr="003B7AF4">
        <w:rPr>
          <w:rFonts w:ascii="Calibri" w:hAnsi="Calibri" w:cs="Calibri"/>
          <w:szCs w:val="22"/>
          <w:rtl/>
        </w:rPr>
        <w:t>133,000.  كما يمكن رؤية نطاق المخاطر التي يتعرض لها المستهلكون في القطاعات الرئيسية لنشاط المشتكين التجاري، بما في ذلك تجارة التجزئة، والخدمات المصرفية والمالية، والتكنولوجيا الحيوية والمستحضرات الصيدلانية، والإنترنت وتكنولوجيا المعلومات، والصناعات الثقيلة والآلات، والأزياء.</w:t>
      </w:r>
      <w:r w:rsidR="00B67BD0" w:rsidRPr="003B7AF4">
        <w:rPr>
          <w:rFonts w:ascii="Calibri" w:hAnsi="Calibri" w:cs="Calibri" w:hint="cs"/>
          <w:szCs w:val="22"/>
          <w:rtl/>
        </w:rPr>
        <w:t xml:space="preserve"> </w:t>
      </w:r>
    </w:p>
    <w:p w14:paraId="521F6C3B" w14:textId="2AAA1B1F" w:rsidR="00C54079" w:rsidRPr="003B7AF4" w:rsidRDefault="006A2ED6" w:rsidP="00C54079">
      <w:pPr>
        <w:pStyle w:val="ListParagraph"/>
        <w:numPr>
          <w:ilvl w:val="0"/>
          <w:numId w:val="7"/>
        </w:numPr>
        <w:spacing w:after="240"/>
        <w:ind w:left="0" w:firstLine="0"/>
        <w:contextualSpacing w:val="0"/>
        <w:rPr>
          <w:rFonts w:ascii="Calibri" w:hAnsi="Calibri" w:cs="Calibri"/>
          <w:szCs w:val="22"/>
        </w:rPr>
      </w:pPr>
      <w:r w:rsidRPr="003B7AF4">
        <w:rPr>
          <w:rFonts w:ascii="Calibri" w:hAnsi="Calibri" w:cs="Calibri" w:hint="cs"/>
          <w:szCs w:val="22"/>
          <w:rtl/>
        </w:rPr>
        <w:t>و</w:t>
      </w:r>
      <w:r w:rsidR="00C54079" w:rsidRPr="003B7AF4">
        <w:rPr>
          <w:rFonts w:ascii="Calibri" w:hAnsi="Calibri" w:cs="Calibri"/>
          <w:szCs w:val="22"/>
          <w:rtl/>
        </w:rPr>
        <w:t xml:space="preserve">تُنشر جميع </w:t>
      </w:r>
      <w:r w:rsidRPr="003B7AF4">
        <w:rPr>
          <w:rFonts w:ascii="Times New Roman" w:hAnsi="Times New Roman" w:cs="Calibri"/>
          <w:szCs w:val="22"/>
          <w:rtl/>
        </w:rPr>
        <w:t>قرارات هيئات محكمي الويبو في قضايا السياسة الموحدة على الموقع الإلكتروني للمركز</w:t>
      </w:r>
      <w:r w:rsidR="00C54079" w:rsidRPr="003B7AF4">
        <w:rPr>
          <w:rFonts w:ascii="Calibri" w:hAnsi="Calibri" w:cs="Calibri"/>
          <w:szCs w:val="22"/>
          <w:rtl/>
        </w:rPr>
        <w:t xml:space="preserve">.  </w:t>
      </w:r>
      <w:r w:rsidRPr="003B7AF4">
        <w:rPr>
          <w:rFonts w:ascii="Times New Roman" w:hAnsi="Times New Roman" w:cs="Calibri"/>
          <w:szCs w:val="22"/>
          <w:rtl/>
        </w:rPr>
        <w:t xml:space="preserve">ويبقى </w:t>
      </w:r>
      <w:hyperlink r:id="rId38" w:history="1">
        <w:r w:rsidRPr="002040DF">
          <w:rPr>
            <w:rStyle w:val="Hyperlink"/>
            <w:rFonts w:ascii="Times New Roman" w:hAnsi="Times New Roman" w:cs="Calibri"/>
            <w:color w:val="0000FF"/>
            <w:szCs w:val="22"/>
            <w:u w:color="0000FF"/>
            <w:rtl/>
          </w:rPr>
          <w:t>استعراض الويبو الإلكتروني والمجاني لآراء هيئات محكمي الويبو في مسائل مختارة في سياق السياسة الموحدة لتسوية المنازعات</w:t>
        </w:r>
      </w:hyperlink>
      <w:r w:rsidRPr="003B7AF4">
        <w:rPr>
          <w:rFonts w:ascii="Times New Roman" w:hAnsi="Times New Roman" w:cs="Calibri"/>
          <w:szCs w:val="22"/>
          <w:rtl/>
        </w:rPr>
        <w:t xml:space="preserve"> استعراضاً ضرورياً للاجتهادات القانونية المستخدمة عالمي</w:t>
      </w:r>
      <w:r w:rsidRPr="003B7AF4">
        <w:rPr>
          <w:rFonts w:ascii="Times New Roman" w:hAnsi="Times New Roman" w:cs="Calibri" w:hint="cs"/>
          <w:szCs w:val="22"/>
          <w:rtl/>
        </w:rPr>
        <w:t>اً</w:t>
      </w:r>
      <w:r w:rsidRPr="003B7AF4">
        <w:rPr>
          <w:rFonts w:ascii="Times New Roman" w:hAnsi="Times New Roman" w:cs="Calibri"/>
          <w:szCs w:val="22"/>
          <w:rtl/>
        </w:rPr>
        <w:t xml:space="preserve"> للتوجهات العامة في القرارات بشأن قضايا مهمة تغطي 100 موضوع، بما في ذلك الاستشهاد بما يقرب من 1000 قرار تمثيلي صادر عن أكثر من 265 من أعضاء هيئات محكمي الويبو</w:t>
      </w:r>
      <w:r w:rsidR="00C54079" w:rsidRPr="003B7AF4">
        <w:rPr>
          <w:rFonts w:ascii="Calibri" w:hAnsi="Calibri" w:cs="Calibri"/>
          <w:szCs w:val="22"/>
          <w:rtl/>
        </w:rPr>
        <w:t>.</w:t>
      </w:r>
      <w:r w:rsidR="00C54079" w:rsidRPr="003B7AF4">
        <w:rPr>
          <w:rStyle w:val="FootnoteReference"/>
          <w:rFonts w:ascii="Calibri" w:hAnsi="Calibri" w:cs="Calibri"/>
          <w:szCs w:val="22"/>
          <w:rtl/>
        </w:rPr>
        <w:footnoteReference w:id="26"/>
      </w:r>
      <w:r w:rsidR="00C54079" w:rsidRPr="003B7AF4">
        <w:rPr>
          <w:rFonts w:ascii="Calibri" w:hAnsi="Calibri" w:cs="Calibri"/>
          <w:szCs w:val="22"/>
          <w:rtl/>
        </w:rPr>
        <w:t xml:space="preserve">  </w:t>
      </w:r>
      <w:r w:rsidRPr="003B7AF4">
        <w:rPr>
          <w:rFonts w:ascii="Times New Roman" w:hAnsi="Times New Roman" w:cs="Calibri"/>
          <w:szCs w:val="22"/>
          <w:rtl/>
        </w:rPr>
        <w:t xml:space="preserve">ولتيسير الاطلاع على القرارات وفق موضوعها، تقدم الويبو أيضاً </w:t>
      </w:r>
      <w:hyperlink r:id="rId39" w:history="1">
        <w:r w:rsidRPr="002040DF">
          <w:rPr>
            <w:rStyle w:val="Hyperlink"/>
            <w:rFonts w:ascii="Times New Roman" w:hAnsi="Times New Roman" w:cs="Calibri"/>
            <w:color w:val="0000FF"/>
            <w:szCs w:val="22"/>
            <w:u w:color="0000FF"/>
            <w:rtl/>
          </w:rPr>
          <w:t>فهرساً قانونياً للبحث الإلكتروني عن قرارات الويبو في إطار السياسة الموحدة</w:t>
        </w:r>
      </w:hyperlink>
      <w:r w:rsidR="00C54079" w:rsidRPr="003B7AF4">
        <w:rPr>
          <w:rFonts w:ascii="Calibri" w:hAnsi="Calibri" w:cs="Calibri"/>
          <w:szCs w:val="22"/>
          <w:rtl/>
        </w:rPr>
        <w:t>.  ويمكن الوصول إلى موارد الويبو هذه مجاناً.</w:t>
      </w:r>
      <w:r w:rsidRPr="003B7AF4">
        <w:rPr>
          <w:rFonts w:ascii="Calibri" w:hAnsi="Calibri" w:cs="Calibri" w:hint="cs"/>
          <w:szCs w:val="22"/>
          <w:rtl/>
        </w:rPr>
        <w:t xml:space="preserve"> </w:t>
      </w:r>
    </w:p>
    <w:p w14:paraId="1A880567" w14:textId="432E93D8" w:rsidR="00C54079" w:rsidRPr="003B7AF4" w:rsidRDefault="00C54079" w:rsidP="00C54079">
      <w:pPr>
        <w:pStyle w:val="ListParagraph"/>
        <w:numPr>
          <w:ilvl w:val="0"/>
          <w:numId w:val="7"/>
        </w:numPr>
        <w:spacing w:after="240"/>
        <w:ind w:left="0" w:firstLine="0"/>
        <w:contextualSpacing w:val="0"/>
        <w:rPr>
          <w:rFonts w:ascii="Calibri" w:hAnsi="Calibri" w:cs="Calibri"/>
          <w:szCs w:val="22"/>
        </w:rPr>
      </w:pPr>
      <w:r w:rsidRPr="003B7AF4">
        <w:rPr>
          <w:rFonts w:ascii="Calibri" w:hAnsi="Calibri" w:cs="Calibri"/>
          <w:szCs w:val="22"/>
          <w:rtl/>
        </w:rPr>
        <w:lastRenderedPageBreak/>
        <w:t xml:space="preserve">وإدراكا منه للدور التأسيسي </w:t>
      </w:r>
      <w:r w:rsidR="00820E62" w:rsidRPr="003B7AF4">
        <w:rPr>
          <w:rFonts w:ascii="Calibri" w:hAnsi="Calibri" w:cs="Calibri" w:hint="cs"/>
          <w:szCs w:val="22"/>
          <w:rtl/>
        </w:rPr>
        <w:t>للويبو</w:t>
      </w:r>
      <w:r w:rsidRPr="003B7AF4">
        <w:rPr>
          <w:rFonts w:ascii="Calibri" w:hAnsi="Calibri" w:cs="Calibri"/>
          <w:szCs w:val="22"/>
          <w:rtl/>
        </w:rPr>
        <w:t xml:space="preserve"> في تسوية المنازعات المتعلقة بأسماء </w:t>
      </w:r>
      <w:r w:rsidR="00820E62" w:rsidRPr="003B7AF4">
        <w:rPr>
          <w:rFonts w:ascii="Calibri" w:hAnsi="Calibri" w:cs="Calibri" w:hint="cs"/>
          <w:szCs w:val="22"/>
          <w:rtl/>
        </w:rPr>
        <w:t>الحقول</w:t>
      </w:r>
      <w:r w:rsidRPr="003B7AF4">
        <w:rPr>
          <w:rFonts w:ascii="Calibri" w:hAnsi="Calibri" w:cs="Calibri"/>
          <w:szCs w:val="22"/>
          <w:rtl/>
        </w:rPr>
        <w:t xml:space="preserve">، </w:t>
      </w:r>
      <w:r w:rsidR="00820E62" w:rsidRPr="003B7AF4">
        <w:rPr>
          <w:rFonts w:ascii="Calibri" w:hAnsi="Calibri" w:cs="Calibri" w:hint="cs"/>
          <w:szCs w:val="22"/>
          <w:rtl/>
        </w:rPr>
        <w:t>يرصد</w:t>
      </w:r>
      <w:r w:rsidRPr="003B7AF4">
        <w:rPr>
          <w:rFonts w:ascii="Calibri" w:hAnsi="Calibri" w:cs="Calibri"/>
          <w:szCs w:val="22"/>
          <w:rtl/>
        </w:rPr>
        <w:t xml:space="preserve"> المركز بنشاط التطورات في نظام أسماء </w:t>
      </w:r>
      <w:r w:rsidR="00820E62" w:rsidRPr="003B7AF4">
        <w:rPr>
          <w:rFonts w:ascii="Calibri" w:hAnsi="Calibri" w:cs="Calibri" w:hint="cs"/>
          <w:szCs w:val="22"/>
          <w:rtl/>
        </w:rPr>
        <w:t>الحقول</w:t>
      </w:r>
      <w:r w:rsidRPr="003B7AF4">
        <w:rPr>
          <w:rFonts w:ascii="Calibri" w:hAnsi="Calibri" w:cs="Calibri"/>
          <w:szCs w:val="22"/>
          <w:rtl/>
        </w:rPr>
        <w:t xml:space="preserve"> بهدف تعديل موارده وممارساته. ويشارك المركز بانتظام في فعاليات تسوية المنازعات المتعلقة بأسماء النطاقات وينظمها لإطلاع الأطراف المهتمة وأعضاء لجنة أسماء </w:t>
      </w:r>
      <w:r w:rsidR="00820E62" w:rsidRPr="003B7AF4">
        <w:rPr>
          <w:rFonts w:ascii="Calibri" w:hAnsi="Calibri" w:cs="Calibri" w:hint="cs"/>
          <w:szCs w:val="22"/>
          <w:rtl/>
        </w:rPr>
        <w:t>الحقول</w:t>
      </w:r>
      <w:r w:rsidRPr="003B7AF4">
        <w:rPr>
          <w:rFonts w:ascii="Calibri" w:hAnsi="Calibri" w:cs="Calibri"/>
          <w:szCs w:val="22"/>
          <w:rtl/>
        </w:rPr>
        <w:t xml:space="preserve"> في </w:t>
      </w:r>
      <w:r w:rsidR="00723FE1" w:rsidRPr="003B7AF4">
        <w:rPr>
          <w:rFonts w:ascii="Calibri" w:hAnsi="Calibri" w:cs="Calibri"/>
          <w:szCs w:val="22"/>
          <w:rtl/>
        </w:rPr>
        <w:t xml:space="preserve">الويبو </w:t>
      </w:r>
      <w:r w:rsidRPr="003B7AF4">
        <w:rPr>
          <w:rFonts w:ascii="Calibri" w:hAnsi="Calibri" w:cs="Calibri"/>
          <w:szCs w:val="22"/>
          <w:rtl/>
        </w:rPr>
        <w:t xml:space="preserve">على آخر المستجدات.  </w:t>
      </w:r>
      <w:r w:rsidR="00820E62" w:rsidRPr="003B7AF4">
        <w:rPr>
          <w:rFonts w:ascii="Calibri" w:hAnsi="Calibri" w:cs="Calibri" w:hint="cs"/>
          <w:szCs w:val="22"/>
          <w:rtl/>
        </w:rPr>
        <w:t>و</w:t>
      </w:r>
      <w:r w:rsidRPr="003B7AF4">
        <w:rPr>
          <w:rFonts w:ascii="Calibri" w:hAnsi="Calibri" w:cs="Calibri"/>
          <w:szCs w:val="22"/>
          <w:rtl/>
        </w:rPr>
        <w:t xml:space="preserve">في عام 2025، سيكمل مركز تسوية المنازعات المتعلقة بأسماء </w:t>
      </w:r>
      <w:r w:rsidR="00820E62" w:rsidRPr="003B7AF4">
        <w:rPr>
          <w:rFonts w:ascii="Calibri" w:hAnsi="Calibri" w:cs="Calibri" w:hint="cs"/>
          <w:szCs w:val="22"/>
          <w:rtl/>
        </w:rPr>
        <w:t>الحقول</w:t>
      </w:r>
      <w:r w:rsidRPr="003B7AF4">
        <w:rPr>
          <w:rFonts w:ascii="Calibri" w:hAnsi="Calibri" w:cs="Calibri"/>
          <w:szCs w:val="22"/>
          <w:rtl/>
        </w:rPr>
        <w:t xml:space="preserve"> 25 عامًا من العمل الناجح، </w:t>
      </w:r>
      <w:r w:rsidR="00D73E3A" w:rsidRPr="003B7AF4">
        <w:rPr>
          <w:rFonts w:ascii="Calibri" w:hAnsi="Calibri" w:cs="Calibri"/>
          <w:szCs w:val="22"/>
          <w:rtl/>
        </w:rPr>
        <w:t xml:space="preserve">وقد استضاف </w:t>
      </w:r>
      <w:r w:rsidRPr="003B7AF4">
        <w:rPr>
          <w:rFonts w:ascii="Calibri" w:hAnsi="Calibri" w:cs="Calibri"/>
          <w:szCs w:val="22"/>
          <w:rtl/>
        </w:rPr>
        <w:t xml:space="preserve">المركز </w:t>
      </w:r>
      <w:r w:rsidR="00723FE1" w:rsidRPr="003B7AF4">
        <w:rPr>
          <w:rFonts w:ascii="Calibri" w:hAnsi="Calibri" w:cs="Calibri"/>
          <w:szCs w:val="22"/>
          <w:rtl/>
        </w:rPr>
        <w:t xml:space="preserve">في </w:t>
      </w:r>
      <w:r w:rsidRPr="003B7AF4">
        <w:rPr>
          <w:rFonts w:ascii="Calibri" w:hAnsi="Calibri" w:cs="Calibri"/>
          <w:szCs w:val="22"/>
          <w:rtl/>
        </w:rPr>
        <w:t xml:space="preserve">أبريل </w:t>
      </w:r>
      <w:hyperlink r:id="rId40" w:history="1">
        <w:r w:rsidRPr="00B92C3A">
          <w:rPr>
            <w:rStyle w:val="Hyperlink"/>
            <w:rFonts w:ascii="Calibri" w:hAnsi="Calibri" w:cs="Calibri"/>
            <w:color w:val="0000FF"/>
            <w:szCs w:val="22"/>
            <w:u w:color="0000FF"/>
            <w:rtl/>
          </w:rPr>
          <w:t xml:space="preserve">مؤتمرًا في جنيف </w:t>
        </w:r>
      </w:hyperlink>
      <w:r w:rsidRPr="003B7AF4">
        <w:rPr>
          <w:rFonts w:ascii="Calibri" w:hAnsi="Calibri" w:cs="Calibri"/>
          <w:szCs w:val="22"/>
          <w:rtl/>
        </w:rPr>
        <w:t xml:space="preserve">للاحتفال بهذا الحدث الهام.  واستعرضت الفعالية تقييمًا واستشرافًا للمستقبل من حيث الاجتهادات القضائية في مجال تسوية منازعات أسماء </w:t>
      </w:r>
      <w:r w:rsidR="00820E62" w:rsidRPr="003B7AF4">
        <w:rPr>
          <w:rFonts w:ascii="Calibri" w:hAnsi="Calibri" w:cs="Calibri" w:hint="cs"/>
          <w:szCs w:val="22"/>
          <w:rtl/>
        </w:rPr>
        <w:t>الحقول في إطار</w:t>
      </w:r>
      <w:r w:rsidRPr="003B7AF4">
        <w:rPr>
          <w:rFonts w:ascii="Calibri" w:hAnsi="Calibri" w:cs="Calibri"/>
          <w:szCs w:val="22"/>
          <w:rtl/>
        </w:rPr>
        <w:t xml:space="preserve"> </w:t>
      </w:r>
      <w:r w:rsidR="00820E62" w:rsidRPr="003B7AF4">
        <w:rPr>
          <w:rFonts w:ascii="Calibri" w:hAnsi="Calibri" w:cs="Calibri" w:hint="cs"/>
          <w:szCs w:val="22"/>
          <w:rtl/>
        </w:rPr>
        <w:t>السياسة الموحدة</w:t>
      </w:r>
      <w:r w:rsidRPr="003B7AF4">
        <w:rPr>
          <w:rFonts w:ascii="Calibri" w:hAnsi="Calibri" w:cs="Calibri"/>
          <w:szCs w:val="22"/>
          <w:rtl/>
        </w:rPr>
        <w:t xml:space="preserve">، والتطورات ذات الصلة بالإنترنت، ومجموعة من البنود الموضوعية الأخرى مثل </w:t>
      </w:r>
      <w:r w:rsidR="00C64FCB" w:rsidRPr="003B7AF4">
        <w:rPr>
          <w:rFonts w:ascii="Calibri" w:hAnsi="Calibri" w:cs="Calibri" w:hint="cs"/>
          <w:szCs w:val="22"/>
          <w:rtl/>
        </w:rPr>
        <w:t>حقول سلاسل الكثل</w:t>
      </w:r>
      <w:r w:rsidRPr="003B7AF4">
        <w:rPr>
          <w:rFonts w:ascii="Calibri" w:hAnsi="Calibri" w:cs="Calibri"/>
          <w:szCs w:val="22"/>
          <w:rtl/>
        </w:rPr>
        <w:t xml:space="preserve"> والتأثيرات المحتملة للذكاء الاصطناعي على صناعة نظام أسماء </w:t>
      </w:r>
      <w:r w:rsidR="00C64FCB" w:rsidRPr="003B7AF4">
        <w:rPr>
          <w:rFonts w:ascii="Calibri" w:hAnsi="Calibri" w:cs="Calibri" w:hint="cs"/>
          <w:szCs w:val="22"/>
          <w:rtl/>
        </w:rPr>
        <w:t>الحقول</w:t>
      </w:r>
      <w:r w:rsidRPr="003B7AF4">
        <w:rPr>
          <w:rFonts w:ascii="Calibri" w:hAnsi="Calibri" w:cs="Calibri"/>
          <w:szCs w:val="22"/>
          <w:rtl/>
        </w:rPr>
        <w:t xml:space="preserve"> وآليات إنفاذ الحقوق.</w:t>
      </w:r>
      <w:r w:rsidRPr="003B7AF4">
        <w:rPr>
          <w:rStyle w:val="FootnoteReference"/>
          <w:rFonts w:ascii="Calibri" w:hAnsi="Calibri" w:cs="Calibri"/>
          <w:szCs w:val="22"/>
          <w:rtl/>
        </w:rPr>
        <w:footnoteReference w:id="27"/>
      </w:r>
    </w:p>
    <w:p w14:paraId="75CD84F4" w14:textId="5752FBF7" w:rsidR="00D932D1" w:rsidRPr="003B7AF4" w:rsidRDefault="00D932D1" w:rsidP="00D932D1">
      <w:pPr>
        <w:pStyle w:val="Heading3"/>
        <w:spacing w:after="240"/>
        <w:ind w:firstLine="562"/>
        <w:rPr>
          <w:rFonts w:ascii="Times New Roman" w:hAnsi="Times New Roman" w:cs="Calibri"/>
          <w:b/>
          <w:bCs w:val="0"/>
          <w:szCs w:val="22"/>
          <w:u w:val="none"/>
          <w:rtl/>
        </w:rPr>
      </w:pPr>
      <w:r w:rsidRPr="003B7AF4">
        <w:rPr>
          <w:rFonts w:ascii="Calibri" w:hAnsi="Calibri" w:cs="Calibri" w:hint="cs"/>
          <w:b/>
          <w:bCs w:val="0"/>
          <w:szCs w:val="22"/>
          <w:u w:val="none"/>
          <w:rtl/>
        </w:rPr>
        <w:t>باء</w:t>
      </w:r>
      <w:r w:rsidR="00C54079" w:rsidRPr="003B7AF4">
        <w:rPr>
          <w:rFonts w:ascii="Calibri" w:hAnsi="Calibri" w:cs="Calibri"/>
          <w:b/>
          <w:bCs w:val="0"/>
          <w:szCs w:val="22"/>
          <w:u w:val="none"/>
          <w:rtl/>
        </w:rPr>
        <w:t>.</w:t>
      </w:r>
      <w:r w:rsidR="00C54079" w:rsidRPr="003B7AF4">
        <w:rPr>
          <w:rFonts w:ascii="Calibri" w:hAnsi="Calibri" w:cs="Calibri"/>
          <w:b/>
          <w:bCs w:val="0"/>
          <w:szCs w:val="22"/>
          <w:u w:val="none"/>
          <w:rtl/>
        </w:rPr>
        <w:tab/>
      </w:r>
      <w:r w:rsidRPr="003B7AF4">
        <w:rPr>
          <w:rFonts w:ascii="Calibri" w:hAnsi="Calibri" w:cs="Calibri" w:hint="cs"/>
          <w:b/>
          <w:bCs w:val="0"/>
          <w:szCs w:val="22"/>
          <w:u w:val="none"/>
          <w:rtl/>
        </w:rPr>
        <w:t>أسماء الحقول</w:t>
      </w:r>
      <w:r w:rsidR="00C54079" w:rsidRPr="003B7AF4">
        <w:rPr>
          <w:rFonts w:ascii="Calibri" w:hAnsi="Calibri" w:cs="Calibri"/>
          <w:b/>
          <w:bCs w:val="0"/>
          <w:szCs w:val="22"/>
          <w:u w:val="none"/>
          <w:rtl/>
        </w:rPr>
        <w:t xml:space="preserve"> </w:t>
      </w:r>
      <w:r w:rsidRPr="003B7AF4">
        <w:rPr>
          <w:rFonts w:ascii="Calibri" w:hAnsi="Calibri" w:cs="Calibri" w:hint="cs"/>
          <w:b/>
          <w:bCs w:val="0"/>
          <w:szCs w:val="22"/>
          <w:u w:val="none"/>
          <w:rtl/>
        </w:rPr>
        <w:t xml:space="preserve">العليا </w:t>
      </w:r>
      <w:r w:rsidRPr="003B7AF4">
        <w:rPr>
          <w:rFonts w:ascii="Calibri" w:hAnsi="Calibri" w:cs="Calibri"/>
          <w:b/>
          <w:bCs w:val="0"/>
          <w:szCs w:val="22"/>
          <w:u w:val="none"/>
          <w:rtl/>
        </w:rPr>
        <w:t>المكوَّنة من رموز البلدان (CCTLDS)</w:t>
      </w:r>
    </w:p>
    <w:p w14:paraId="7EB29F6A" w14:textId="7D7BC790" w:rsidR="002A53AC" w:rsidRPr="003B7AF4" w:rsidRDefault="002A53AC" w:rsidP="002A53AC">
      <w:pPr>
        <w:pStyle w:val="Heading3"/>
        <w:numPr>
          <w:ilvl w:val="0"/>
          <w:numId w:val="7"/>
        </w:numPr>
        <w:spacing w:after="240"/>
        <w:ind w:left="-5" w:firstLine="0"/>
        <w:rPr>
          <w:rFonts w:ascii="Calibri" w:hAnsi="Calibri" w:cs="Calibri"/>
          <w:b/>
          <w:bCs w:val="0"/>
          <w:szCs w:val="22"/>
          <w:u w:val="none"/>
        </w:rPr>
      </w:pPr>
      <w:r w:rsidRPr="003B7AF4">
        <w:rPr>
          <w:rFonts w:ascii="Calibri" w:hAnsi="Calibri" w:cs="Calibri"/>
          <w:b/>
          <w:bCs w:val="0"/>
          <w:szCs w:val="22"/>
          <w:u w:val="none"/>
          <w:rtl/>
        </w:rPr>
        <w:t xml:space="preserve">إن تطبيق </w:t>
      </w:r>
      <w:r w:rsidR="00D93AA3" w:rsidRPr="003B7AF4">
        <w:rPr>
          <w:rFonts w:ascii="Calibri" w:hAnsi="Calibri" w:cs="Calibri" w:hint="cs"/>
          <w:b/>
          <w:bCs w:val="0"/>
          <w:szCs w:val="22"/>
          <w:u w:val="none"/>
          <w:rtl/>
        </w:rPr>
        <w:t xml:space="preserve">السياسة الموحدة </w:t>
      </w:r>
      <w:r w:rsidR="00D93AA3" w:rsidRPr="003B7AF4">
        <w:rPr>
          <w:rFonts w:ascii="Calibri" w:hAnsi="Calibri" w:cs="Calibri"/>
          <w:b/>
          <w:bCs w:val="0"/>
          <w:szCs w:val="22"/>
          <w:u w:val="none"/>
          <w:rtl/>
        </w:rPr>
        <w:t xml:space="preserve">إلزامي </w:t>
      </w:r>
      <w:r w:rsidR="00D93AA3" w:rsidRPr="003B7AF4">
        <w:rPr>
          <w:rFonts w:ascii="Calibri" w:hAnsi="Calibri" w:cs="Calibri" w:hint="cs"/>
          <w:b/>
          <w:bCs w:val="0"/>
          <w:szCs w:val="22"/>
          <w:u w:val="none"/>
          <w:rtl/>
        </w:rPr>
        <w:t xml:space="preserve">على </w:t>
      </w:r>
      <w:r w:rsidRPr="003B7AF4">
        <w:rPr>
          <w:rFonts w:ascii="Calibri" w:hAnsi="Calibri" w:cs="Calibri"/>
          <w:b/>
          <w:bCs w:val="0"/>
          <w:szCs w:val="22"/>
          <w:u w:val="none"/>
          <w:rtl/>
        </w:rPr>
        <w:t xml:space="preserve">أسماء </w:t>
      </w:r>
      <w:r w:rsidR="00D93AA3" w:rsidRPr="003B7AF4">
        <w:rPr>
          <w:rFonts w:ascii="Calibri" w:hAnsi="Calibri" w:cs="Calibri" w:hint="cs"/>
          <w:b/>
          <w:bCs w:val="0"/>
          <w:szCs w:val="22"/>
          <w:u w:val="none"/>
          <w:rtl/>
        </w:rPr>
        <w:t>الحقول</w:t>
      </w:r>
      <w:r w:rsidRPr="003B7AF4">
        <w:rPr>
          <w:rFonts w:ascii="Calibri" w:hAnsi="Calibri" w:cs="Calibri"/>
          <w:b/>
          <w:bCs w:val="0"/>
          <w:szCs w:val="22"/>
          <w:u w:val="none"/>
          <w:rtl/>
        </w:rPr>
        <w:t xml:space="preserve"> المسجلة في </w:t>
      </w:r>
      <w:r w:rsidR="00D93AA3" w:rsidRPr="003B7AF4">
        <w:rPr>
          <w:rFonts w:ascii="Calibri" w:hAnsi="Calibri" w:cs="Calibri" w:hint="cs"/>
          <w:b/>
          <w:bCs w:val="0"/>
          <w:szCs w:val="22"/>
          <w:u w:val="none"/>
          <w:rtl/>
        </w:rPr>
        <w:t>الحقول</w:t>
      </w:r>
      <w:r w:rsidRPr="003B7AF4">
        <w:rPr>
          <w:rFonts w:ascii="Calibri" w:hAnsi="Calibri" w:cs="Calibri"/>
          <w:b/>
          <w:bCs w:val="0"/>
          <w:szCs w:val="22"/>
          <w:u w:val="none"/>
          <w:rtl/>
        </w:rPr>
        <w:t xml:space="preserve"> العام</w:t>
      </w:r>
      <w:r w:rsidR="00D93AA3" w:rsidRPr="003B7AF4">
        <w:rPr>
          <w:rFonts w:ascii="Calibri" w:hAnsi="Calibri" w:cs="Calibri" w:hint="cs"/>
          <w:b/>
          <w:bCs w:val="0"/>
          <w:szCs w:val="22"/>
          <w:u w:val="none"/>
          <w:rtl/>
        </w:rPr>
        <w:t>ة</w:t>
      </w:r>
      <w:r w:rsidRPr="003B7AF4">
        <w:rPr>
          <w:rFonts w:ascii="Calibri" w:hAnsi="Calibri" w:cs="Calibri"/>
          <w:b/>
          <w:bCs w:val="0"/>
          <w:szCs w:val="22"/>
          <w:u w:val="none"/>
          <w:rtl/>
        </w:rPr>
        <w:t xml:space="preserve"> (مثل .com)، و</w:t>
      </w:r>
      <w:r w:rsidR="00D93AA3" w:rsidRPr="003B7AF4">
        <w:rPr>
          <w:rFonts w:ascii="Calibri" w:hAnsi="Calibri" w:cs="Calibri" w:hint="cs"/>
          <w:b/>
          <w:bCs w:val="0"/>
          <w:szCs w:val="22"/>
          <w:u w:val="none"/>
          <w:rtl/>
        </w:rPr>
        <w:t>الحقول</w:t>
      </w:r>
      <w:r w:rsidRPr="003B7AF4">
        <w:rPr>
          <w:rFonts w:ascii="Calibri" w:hAnsi="Calibri" w:cs="Calibri"/>
          <w:b/>
          <w:bCs w:val="0"/>
          <w:szCs w:val="22"/>
          <w:u w:val="none"/>
          <w:rtl/>
        </w:rPr>
        <w:t xml:space="preserve"> الجديدة التي تم طرحها مؤخرًا.  </w:t>
      </w:r>
      <w:r w:rsidR="006B14F2" w:rsidRPr="003B7AF4">
        <w:rPr>
          <w:rFonts w:ascii="Calibri" w:hAnsi="Calibri" w:cs="Calibri" w:hint="cs"/>
          <w:b/>
          <w:bCs w:val="0"/>
          <w:szCs w:val="22"/>
          <w:u w:val="none"/>
          <w:rtl/>
        </w:rPr>
        <w:t>و</w:t>
      </w:r>
      <w:hyperlink r:id="rId41" w:history="1">
        <w:r w:rsidR="006B14F2" w:rsidRPr="003B7AF4">
          <w:rPr>
            <w:rStyle w:val="Hyperlink"/>
            <w:rFonts w:ascii="Times New Roman" w:hAnsi="Times New Roman" w:cs="Calibri" w:hint="cs"/>
            <w:b/>
            <w:bCs w:val="0"/>
            <w:color w:val="auto"/>
            <w:szCs w:val="22"/>
            <w:u w:val="none"/>
            <w:rtl/>
          </w:rPr>
          <w:t>ي</w:t>
        </w:r>
        <w:r w:rsidR="006B14F2" w:rsidRPr="003B7AF4">
          <w:rPr>
            <w:rStyle w:val="Hyperlink"/>
            <w:rFonts w:ascii="Times New Roman" w:hAnsi="Times New Roman" w:cs="Calibri"/>
            <w:b/>
            <w:bCs w:val="0"/>
            <w:color w:val="auto"/>
            <w:szCs w:val="22"/>
            <w:u w:val="none"/>
            <w:rtl/>
          </w:rPr>
          <w:t xml:space="preserve">ساعد </w:t>
        </w:r>
        <w:r w:rsidR="006B14F2" w:rsidRPr="003B7AF4">
          <w:rPr>
            <w:rStyle w:val="Hyperlink"/>
            <w:rFonts w:ascii="Times New Roman" w:hAnsi="Times New Roman" w:cs="Calibri" w:hint="cs"/>
            <w:b/>
            <w:bCs w:val="0"/>
            <w:color w:val="auto"/>
            <w:szCs w:val="22"/>
            <w:u w:val="none"/>
            <w:rtl/>
          </w:rPr>
          <w:t xml:space="preserve">المركز </w:t>
        </w:r>
        <w:r w:rsidR="006B14F2" w:rsidRPr="003B7AF4">
          <w:rPr>
            <w:rStyle w:val="Hyperlink"/>
            <w:rFonts w:ascii="Times New Roman" w:hAnsi="Times New Roman" w:cs="Calibri"/>
            <w:b/>
            <w:bCs w:val="0"/>
            <w:color w:val="auto"/>
            <w:szCs w:val="22"/>
            <w:u w:val="none"/>
            <w:rtl/>
          </w:rPr>
          <w:t>أيضاً السجلات الوطنية لأسماء الحقول العليا المكو</w:t>
        </w:r>
        <w:r w:rsidR="006B14F2" w:rsidRPr="003B7AF4">
          <w:rPr>
            <w:rStyle w:val="Hyperlink"/>
            <w:rFonts w:ascii="Times New Roman" w:hAnsi="Times New Roman" w:cs="Calibri" w:hint="cs"/>
            <w:b/>
            <w:bCs w:val="0"/>
            <w:color w:val="auto"/>
            <w:szCs w:val="22"/>
            <w:u w:val="none"/>
            <w:rtl/>
          </w:rPr>
          <w:t>َّ</w:t>
        </w:r>
        <w:r w:rsidR="006B14F2" w:rsidRPr="003B7AF4">
          <w:rPr>
            <w:rStyle w:val="Hyperlink"/>
            <w:rFonts w:ascii="Times New Roman" w:hAnsi="Times New Roman" w:cs="Calibri"/>
            <w:b/>
            <w:bCs w:val="0"/>
            <w:color w:val="auto"/>
            <w:szCs w:val="22"/>
            <w:u w:val="none"/>
            <w:rtl/>
          </w:rPr>
          <w:t>نة من رموز البلدان</w:t>
        </w:r>
      </w:hyperlink>
      <w:r w:rsidR="006B14F2" w:rsidRPr="003B7AF4">
        <w:rPr>
          <w:rFonts w:ascii="Times New Roman" w:hAnsi="Times New Roman" w:cs="Calibri"/>
          <w:b/>
          <w:bCs w:val="0"/>
          <w:szCs w:val="22"/>
          <w:u w:val="none"/>
          <w:rtl/>
        </w:rPr>
        <w:t xml:space="preserve"> </w:t>
      </w:r>
      <w:r w:rsidR="006B14F2" w:rsidRPr="003B7AF4">
        <w:rPr>
          <w:rFonts w:ascii="Times New Roman" w:hAnsi="Times New Roman" w:cs="Calibri" w:hint="cs"/>
          <w:b/>
          <w:bCs w:val="0"/>
          <w:szCs w:val="22"/>
          <w:u w:val="none"/>
          <w:rtl/>
        </w:rPr>
        <w:t xml:space="preserve">(السجلات) </w:t>
      </w:r>
      <w:r w:rsidR="006B14F2" w:rsidRPr="003B7AF4">
        <w:rPr>
          <w:rFonts w:ascii="Times New Roman" w:hAnsi="Times New Roman" w:cs="Calibri"/>
          <w:b/>
          <w:bCs w:val="0"/>
          <w:szCs w:val="22"/>
          <w:u w:val="none"/>
          <w:rtl/>
        </w:rPr>
        <w:t xml:space="preserve">على صياغة </w:t>
      </w:r>
      <w:r w:rsidRPr="003B7AF4">
        <w:rPr>
          <w:rFonts w:ascii="Calibri" w:hAnsi="Calibri" w:cs="Calibri"/>
          <w:b/>
          <w:bCs w:val="0"/>
          <w:szCs w:val="22"/>
          <w:u w:val="none"/>
          <w:rtl/>
        </w:rPr>
        <w:t xml:space="preserve">شروط التسجيل وإجراءات تسوية المنازعات التي تتوافق مع أفضل الممارسات في إدارة السجلات وحماية الملكية الفكرية. وتعتمد بعض </w:t>
      </w:r>
      <w:r w:rsidR="006B14F2" w:rsidRPr="003B7AF4">
        <w:rPr>
          <w:rFonts w:ascii="Calibri" w:hAnsi="Calibri" w:cs="Calibri" w:hint="cs"/>
          <w:b/>
          <w:bCs w:val="0"/>
          <w:szCs w:val="22"/>
          <w:u w:val="none"/>
          <w:rtl/>
        </w:rPr>
        <w:t>السجلات السياسة الموحدة</w:t>
      </w:r>
      <w:r w:rsidRPr="003B7AF4">
        <w:rPr>
          <w:rFonts w:ascii="Calibri" w:hAnsi="Calibri" w:cs="Calibri"/>
          <w:b/>
          <w:bCs w:val="0"/>
          <w:szCs w:val="22"/>
          <w:u w:val="none"/>
          <w:rtl/>
        </w:rPr>
        <w:t xml:space="preserve"> بشكل مباشر، بينما اعتمدت سجلات أخرى إجراءات قائمة على </w:t>
      </w:r>
      <w:r w:rsidR="006B14F2" w:rsidRPr="003B7AF4">
        <w:rPr>
          <w:rFonts w:ascii="Calibri" w:hAnsi="Calibri" w:cs="Calibri" w:hint="cs"/>
          <w:b/>
          <w:bCs w:val="0"/>
          <w:szCs w:val="22"/>
          <w:u w:val="none"/>
          <w:rtl/>
        </w:rPr>
        <w:t>السياسة الموحدة</w:t>
      </w:r>
      <w:r w:rsidRPr="003B7AF4">
        <w:rPr>
          <w:rFonts w:ascii="Calibri" w:hAnsi="Calibri" w:cs="Calibri"/>
          <w:b/>
          <w:bCs w:val="0"/>
          <w:szCs w:val="22"/>
          <w:u w:val="none"/>
          <w:rtl/>
        </w:rPr>
        <w:t xml:space="preserve"> تأخذ في الحسبان الاعتبارات الوطنية ذات الصلة. وعلاوة على ذلك، نظم المركز في يوليو 2024 حدثًا جانبيًا بعنوان "</w:t>
      </w:r>
      <w:r w:rsidR="006B14F2" w:rsidRPr="003B7AF4">
        <w:rPr>
          <w:bCs w:val="0"/>
          <w:szCs w:val="20"/>
          <w:u w:val="none"/>
          <w:rtl/>
        </w:rPr>
        <w:t xml:space="preserve"> </w:t>
      </w:r>
      <w:r w:rsidR="006B14F2" w:rsidRPr="003B7AF4">
        <w:rPr>
          <w:rFonts w:ascii="Calibri" w:hAnsi="Calibri" w:cs="Calibri"/>
          <w:b/>
          <w:bCs w:val="0"/>
          <w:szCs w:val="22"/>
          <w:u w:val="none"/>
          <w:rtl/>
        </w:rPr>
        <w:t>الحقول العليا المكو</w:t>
      </w:r>
      <w:r w:rsidR="006B14F2" w:rsidRPr="003B7AF4">
        <w:rPr>
          <w:rFonts w:ascii="Calibri" w:hAnsi="Calibri" w:cs="Calibri" w:hint="cs"/>
          <w:b/>
          <w:bCs w:val="0"/>
          <w:szCs w:val="22"/>
          <w:u w:val="none"/>
          <w:rtl/>
        </w:rPr>
        <w:t>َّ</w:t>
      </w:r>
      <w:r w:rsidR="006B14F2" w:rsidRPr="003B7AF4">
        <w:rPr>
          <w:rFonts w:ascii="Calibri" w:hAnsi="Calibri" w:cs="Calibri"/>
          <w:b/>
          <w:bCs w:val="0"/>
          <w:szCs w:val="22"/>
          <w:u w:val="none"/>
          <w:rtl/>
        </w:rPr>
        <w:t xml:space="preserve">نة من رموز البلدان </w:t>
      </w:r>
      <w:r w:rsidRPr="003B7AF4">
        <w:rPr>
          <w:rFonts w:ascii="Calibri" w:hAnsi="Calibri" w:cs="Calibri"/>
          <w:b/>
          <w:bCs w:val="0"/>
          <w:szCs w:val="22"/>
          <w:u w:val="none"/>
          <w:rtl/>
        </w:rPr>
        <w:t xml:space="preserve">- خدمات موسعة للدول الأعضاء" في الجمعية العامة </w:t>
      </w:r>
      <w:r w:rsidR="006B14F2" w:rsidRPr="003B7AF4">
        <w:rPr>
          <w:rFonts w:ascii="Calibri" w:hAnsi="Calibri" w:cs="Calibri" w:hint="cs"/>
          <w:b/>
          <w:bCs w:val="0"/>
          <w:szCs w:val="22"/>
          <w:u w:val="none"/>
          <w:rtl/>
        </w:rPr>
        <w:t>للويبو</w:t>
      </w:r>
      <w:r w:rsidRPr="003B7AF4">
        <w:rPr>
          <w:rFonts w:ascii="Calibri" w:hAnsi="Calibri" w:cs="Calibri"/>
          <w:b/>
          <w:bCs w:val="0"/>
          <w:szCs w:val="22"/>
          <w:u w:val="none"/>
          <w:rtl/>
        </w:rPr>
        <w:t xml:space="preserve"> لعام 2024 بشأن برنامج المركز </w:t>
      </w:r>
      <w:r w:rsidR="006B14F2" w:rsidRPr="003B7AF4">
        <w:rPr>
          <w:rFonts w:ascii="Calibri" w:hAnsi="Calibri" w:cs="Calibri"/>
          <w:b/>
          <w:bCs w:val="0"/>
          <w:szCs w:val="22"/>
          <w:u w:val="none"/>
          <w:rtl/>
        </w:rPr>
        <w:t>لأسماء الحقول العليا المكو</w:t>
      </w:r>
      <w:r w:rsidR="006B14F2" w:rsidRPr="003B7AF4">
        <w:rPr>
          <w:rFonts w:ascii="Calibri" w:hAnsi="Calibri" w:cs="Calibri" w:hint="cs"/>
          <w:b/>
          <w:bCs w:val="0"/>
          <w:szCs w:val="22"/>
          <w:u w:val="none"/>
          <w:rtl/>
        </w:rPr>
        <w:t>َّ</w:t>
      </w:r>
      <w:r w:rsidR="006B14F2" w:rsidRPr="003B7AF4">
        <w:rPr>
          <w:rFonts w:ascii="Calibri" w:hAnsi="Calibri" w:cs="Calibri"/>
          <w:b/>
          <w:bCs w:val="0"/>
          <w:szCs w:val="22"/>
          <w:u w:val="none"/>
          <w:rtl/>
        </w:rPr>
        <w:t>نة من رموز البلدان</w:t>
      </w:r>
      <w:r w:rsidR="006B14F2" w:rsidRPr="003B7AF4">
        <w:rPr>
          <w:rFonts w:ascii="Calibri" w:hAnsi="Calibri" w:cs="Calibri" w:hint="cs"/>
          <w:b/>
          <w:bCs w:val="0"/>
          <w:szCs w:val="22"/>
          <w:u w:val="none"/>
          <w:rtl/>
        </w:rPr>
        <w:t xml:space="preserve"> </w:t>
      </w:r>
      <w:r w:rsidRPr="003B7AF4">
        <w:rPr>
          <w:rFonts w:ascii="Calibri" w:hAnsi="Calibri" w:cs="Calibri"/>
          <w:b/>
          <w:bCs w:val="0"/>
          <w:szCs w:val="22"/>
          <w:u w:val="none"/>
          <w:rtl/>
        </w:rPr>
        <w:t xml:space="preserve">وفرص التعاون بين مكاتب الملكية الفكرية </w:t>
      </w:r>
      <w:r w:rsidR="006B14F2" w:rsidRPr="003B7AF4">
        <w:rPr>
          <w:rFonts w:ascii="Calibri" w:hAnsi="Calibri" w:cs="Calibri" w:hint="cs"/>
          <w:b/>
          <w:bCs w:val="0"/>
          <w:szCs w:val="22"/>
          <w:u w:val="none"/>
          <w:rtl/>
        </w:rPr>
        <w:t>و</w:t>
      </w:r>
      <w:r w:rsidR="006B14F2" w:rsidRPr="003B7AF4">
        <w:rPr>
          <w:rFonts w:ascii="Calibri" w:hAnsi="Calibri" w:cs="Calibri"/>
          <w:b/>
          <w:bCs w:val="0"/>
          <w:szCs w:val="22"/>
          <w:u w:val="none"/>
          <w:rtl/>
        </w:rPr>
        <w:t>السجلات الوطنية لأسماء الحقول العليا المكو</w:t>
      </w:r>
      <w:r w:rsidR="006B14F2" w:rsidRPr="003B7AF4">
        <w:rPr>
          <w:rFonts w:ascii="Calibri" w:hAnsi="Calibri" w:cs="Calibri" w:hint="cs"/>
          <w:b/>
          <w:bCs w:val="0"/>
          <w:szCs w:val="22"/>
          <w:u w:val="none"/>
          <w:rtl/>
        </w:rPr>
        <w:t>َّ</w:t>
      </w:r>
      <w:r w:rsidR="006B14F2" w:rsidRPr="003B7AF4">
        <w:rPr>
          <w:rFonts w:ascii="Calibri" w:hAnsi="Calibri" w:cs="Calibri"/>
          <w:b/>
          <w:bCs w:val="0"/>
          <w:szCs w:val="22"/>
          <w:u w:val="none"/>
          <w:rtl/>
        </w:rPr>
        <w:t xml:space="preserve">نة من رموز البلدان </w:t>
      </w:r>
      <w:r w:rsidRPr="003B7AF4">
        <w:rPr>
          <w:rFonts w:ascii="Calibri" w:hAnsi="Calibri" w:cs="Calibri"/>
          <w:b/>
          <w:bCs w:val="0"/>
          <w:szCs w:val="22"/>
          <w:u w:val="none"/>
          <w:rtl/>
        </w:rPr>
        <w:t>لتمكين العلامات التجارية وبناء نظم إيكولوجية جديرة بالثقة للتجارة الإلكترونية.</w:t>
      </w:r>
      <w:r w:rsidR="006B14F2" w:rsidRPr="003B7AF4">
        <w:rPr>
          <w:rFonts w:ascii="Calibri" w:hAnsi="Calibri" w:cs="Calibri" w:hint="cs"/>
          <w:b/>
          <w:bCs w:val="0"/>
          <w:szCs w:val="22"/>
          <w:u w:val="none"/>
          <w:rtl/>
        </w:rPr>
        <w:t xml:space="preserve">  </w:t>
      </w:r>
    </w:p>
    <w:p w14:paraId="0AE26F56" w14:textId="11601BBE" w:rsidR="00C54079" w:rsidRPr="003B7AF4" w:rsidRDefault="00C54079" w:rsidP="00C54079">
      <w:pPr>
        <w:pStyle w:val="ListParagraph"/>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وتوفر </w:t>
      </w:r>
      <w:r w:rsidR="00185922" w:rsidRPr="003B7AF4">
        <w:rPr>
          <w:rFonts w:ascii="Calibri" w:hAnsi="Calibri" w:cs="Calibri" w:hint="cs"/>
          <w:szCs w:val="22"/>
          <w:rtl/>
        </w:rPr>
        <w:t>الويبو</w:t>
      </w:r>
      <w:r w:rsidRPr="003B7AF4">
        <w:rPr>
          <w:rFonts w:ascii="Calibri" w:hAnsi="Calibri" w:cs="Calibri"/>
          <w:szCs w:val="22"/>
          <w:rtl/>
        </w:rPr>
        <w:t xml:space="preserve"> خدمات تسوية المنازعات </w:t>
      </w:r>
      <w:r w:rsidR="00FD1305" w:rsidRPr="003B7AF4">
        <w:rPr>
          <w:rFonts w:ascii="Calibri" w:hAnsi="Calibri" w:cs="Calibri"/>
          <w:szCs w:val="22"/>
          <w:rtl/>
        </w:rPr>
        <w:t xml:space="preserve">لـ87 </w:t>
      </w:r>
      <w:r w:rsidRPr="003B7AF4">
        <w:rPr>
          <w:rFonts w:ascii="Calibri" w:hAnsi="Calibri" w:cs="Calibri"/>
          <w:szCs w:val="22"/>
          <w:rtl/>
        </w:rPr>
        <w:t xml:space="preserve">سجلاً </w:t>
      </w:r>
      <w:r w:rsidR="004F0260" w:rsidRPr="003B7AF4">
        <w:rPr>
          <w:rFonts w:ascii="Calibri" w:hAnsi="Calibri" w:cs="Calibri"/>
          <w:b/>
          <w:szCs w:val="22"/>
          <w:rtl/>
        </w:rPr>
        <w:t>لأسماء الحقول العليا المكو</w:t>
      </w:r>
      <w:r w:rsidR="004F0260" w:rsidRPr="003B7AF4">
        <w:rPr>
          <w:rFonts w:ascii="Calibri" w:hAnsi="Calibri" w:cs="Calibri" w:hint="cs"/>
          <w:b/>
          <w:szCs w:val="22"/>
          <w:rtl/>
        </w:rPr>
        <w:t>َّ</w:t>
      </w:r>
      <w:r w:rsidR="004F0260" w:rsidRPr="003B7AF4">
        <w:rPr>
          <w:rFonts w:ascii="Calibri" w:hAnsi="Calibri" w:cs="Calibri"/>
          <w:b/>
          <w:szCs w:val="22"/>
          <w:rtl/>
        </w:rPr>
        <w:t>نة من رموز البلدان</w:t>
      </w:r>
      <w:r w:rsidRPr="003B7AF4">
        <w:rPr>
          <w:rFonts w:ascii="Calibri" w:hAnsi="Calibri" w:cs="Calibri"/>
          <w:szCs w:val="22"/>
          <w:rtl/>
        </w:rPr>
        <w:t xml:space="preserve">، حيث بدأت في قبول قضايا </w:t>
      </w:r>
      <w:r w:rsidR="004F0260" w:rsidRPr="003B7AF4">
        <w:rPr>
          <w:rFonts w:ascii="Calibri" w:hAnsi="Calibri" w:cs="Calibri"/>
          <w:b/>
          <w:szCs w:val="22"/>
          <w:rtl/>
        </w:rPr>
        <w:t>الحقول العليا</w:t>
      </w:r>
      <w:r w:rsidRPr="003B7AF4">
        <w:rPr>
          <w:rFonts w:ascii="Calibri" w:hAnsi="Calibri" w:cs="Calibri"/>
          <w:szCs w:val="22"/>
          <w:rtl/>
        </w:rPr>
        <w:t>.</w:t>
      </w:r>
      <w:bookmarkStart w:id="11" w:name="_Hlk187395100"/>
      <w:r w:rsidRPr="003B7AF4">
        <w:rPr>
          <w:rFonts w:ascii="Calibri" w:hAnsi="Calibri" w:cs="Calibri"/>
          <w:szCs w:val="22"/>
          <w:rtl/>
        </w:rPr>
        <w:t xml:space="preserve"> AD (أندورا) و .CV (كابو فيردي) و .LV (لاتفيا) و .RW (رواندا)</w:t>
      </w:r>
      <w:bookmarkEnd w:id="11"/>
      <w:r w:rsidRPr="003B7AF4">
        <w:rPr>
          <w:rFonts w:ascii="Calibri" w:hAnsi="Calibri" w:cs="Calibri"/>
          <w:szCs w:val="22"/>
          <w:rtl/>
        </w:rPr>
        <w:t xml:space="preserve"> </w:t>
      </w:r>
      <w:r w:rsidR="004F0260" w:rsidRPr="003B7AF4">
        <w:rPr>
          <w:rFonts w:ascii="Calibri" w:hAnsi="Calibri" w:cs="Calibri"/>
          <w:b/>
          <w:szCs w:val="22"/>
          <w:rtl/>
        </w:rPr>
        <w:t>المكو</w:t>
      </w:r>
      <w:r w:rsidR="004F0260" w:rsidRPr="003B7AF4">
        <w:rPr>
          <w:rFonts w:ascii="Calibri" w:hAnsi="Calibri" w:cs="Calibri" w:hint="cs"/>
          <w:b/>
          <w:szCs w:val="22"/>
          <w:rtl/>
        </w:rPr>
        <w:t>َّ</w:t>
      </w:r>
      <w:r w:rsidR="004F0260" w:rsidRPr="003B7AF4">
        <w:rPr>
          <w:rFonts w:ascii="Calibri" w:hAnsi="Calibri" w:cs="Calibri"/>
          <w:b/>
          <w:szCs w:val="22"/>
          <w:rtl/>
        </w:rPr>
        <w:t>نة من رموز البلدان</w:t>
      </w:r>
      <w:r w:rsidR="004F0260" w:rsidRPr="003B7AF4">
        <w:rPr>
          <w:rFonts w:ascii="Calibri" w:hAnsi="Calibri" w:cs="Calibri"/>
          <w:szCs w:val="22"/>
          <w:rtl/>
        </w:rPr>
        <w:t xml:space="preserve"> </w:t>
      </w:r>
      <w:r w:rsidRPr="003B7AF4">
        <w:rPr>
          <w:rFonts w:ascii="Calibri" w:hAnsi="Calibri" w:cs="Calibri"/>
          <w:szCs w:val="22"/>
          <w:rtl/>
        </w:rPr>
        <w:t xml:space="preserve">في عام 2024. </w:t>
      </w:r>
      <w:r w:rsidRPr="003B7AF4">
        <w:rPr>
          <w:rFonts w:ascii="Calibri" w:hAnsi="Calibri" w:cs="Calibri"/>
          <w:szCs w:val="22"/>
          <w:vertAlign w:val="superscript"/>
          <w:rtl/>
        </w:rPr>
        <w:footnoteReference w:id="28"/>
      </w:r>
      <w:bookmarkStart w:id="12" w:name="_Hlk156395694"/>
      <w:r w:rsidRPr="003B7AF4">
        <w:rPr>
          <w:rFonts w:ascii="Calibri" w:hAnsi="Calibri" w:cs="Calibri"/>
          <w:szCs w:val="22"/>
          <w:rtl/>
        </w:rPr>
        <w:t xml:space="preserve"> وعلاوة على ذلك، وقّع المركز في سبتمبر 2024 مذكرة تفاهم مع المديرية الوطنية لتسجيل </w:t>
      </w:r>
      <w:r w:rsidR="004F0260" w:rsidRPr="003B7AF4">
        <w:rPr>
          <w:rFonts w:ascii="Calibri" w:hAnsi="Calibri" w:cs="Calibri" w:hint="cs"/>
          <w:szCs w:val="22"/>
          <w:rtl/>
        </w:rPr>
        <w:t>حقول</w:t>
      </w:r>
      <w:r w:rsidRPr="003B7AF4">
        <w:rPr>
          <w:rFonts w:ascii="Calibri" w:hAnsi="Calibri" w:cs="Calibri"/>
          <w:szCs w:val="22"/>
          <w:rtl/>
        </w:rPr>
        <w:t xml:space="preserve"> الإنترنت (NIC الأرجنتين) بشأن تقديم المساعدة في أفضل الممارسات والإجراءات لحماية </w:t>
      </w:r>
      <w:r w:rsidR="0016153F" w:rsidRPr="003B7AF4">
        <w:rPr>
          <w:rFonts w:ascii="Calibri" w:hAnsi="Calibri" w:cs="Calibri"/>
          <w:szCs w:val="22"/>
          <w:rtl/>
        </w:rPr>
        <w:t xml:space="preserve">الملكية الفكرية </w:t>
      </w:r>
      <w:r w:rsidRPr="003B7AF4">
        <w:rPr>
          <w:rFonts w:ascii="Calibri" w:hAnsi="Calibri" w:cs="Calibri"/>
          <w:szCs w:val="22"/>
          <w:rtl/>
        </w:rPr>
        <w:t>في</w:t>
      </w:r>
      <w:r w:rsidR="004F0260" w:rsidRPr="003B7AF4">
        <w:rPr>
          <w:rFonts w:ascii="Calibri" w:hAnsi="Calibri" w:cs="Calibri" w:hint="cs"/>
          <w:szCs w:val="22"/>
          <w:rtl/>
        </w:rPr>
        <w:t>ما يخص</w:t>
      </w:r>
      <w:r w:rsidRPr="003B7AF4">
        <w:rPr>
          <w:rFonts w:ascii="Calibri" w:hAnsi="Calibri" w:cs="Calibri"/>
          <w:szCs w:val="22"/>
          <w:rtl/>
        </w:rPr>
        <w:t xml:space="preserve"> أسماء </w:t>
      </w:r>
      <w:r w:rsidR="004F0260" w:rsidRPr="003B7AF4">
        <w:rPr>
          <w:rFonts w:ascii="Calibri" w:hAnsi="Calibri" w:cs="Calibri" w:hint="cs"/>
          <w:szCs w:val="22"/>
          <w:rtl/>
        </w:rPr>
        <w:t>الحقول</w:t>
      </w:r>
      <w:r w:rsidRPr="003B7AF4">
        <w:rPr>
          <w:rFonts w:ascii="Calibri" w:hAnsi="Calibri" w:cs="Calibri"/>
          <w:szCs w:val="22"/>
          <w:rtl/>
        </w:rPr>
        <w:t xml:space="preserve"> .AR.  </w:t>
      </w:r>
      <w:r w:rsidR="004F0260" w:rsidRPr="003B7AF4">
        <w:rPr>
          <w:rFonts w:ascii="Calibri" w:hAnsi="Calibri" w:cs="Calibri" w:hint="cs"/>
          <w:szCs w:val="22"/>
          <w:rtl/>
        </w:rPr>
        <w:t>و</w:t>
      </w:r>
      <w:r w:rsidRPr="003B7AF4">
        <w:rPr>
          <w:rFonts w:ascii="Calibri" w:hAnsi="Calibri" w:cs="Calibri"/>
          <w:szCs w:val="22"/>
          <w:rtl/>
        </w:rPr>
        <w:t xml:space="preserve">في عام 2024، قدم المركز </w:t>
      </w:r>
      <w:r w:rsidR="004A315B" w:rsidRPr="003B7AF4">
        <w:rPr>
          <w:rFonts w:ascii="Calibri" w:hAnsi="Calibri" w:cs="Calibri"/>
          <w:szCs w:val="22"/>
          <w:rtl/>
        </w:rPr>
        <w:t xml:space="preserve">أيضًا </w:t>
      </w:r>
      <w:r w:rsidRPr="003B7AF4">
        <w:rPr>
          <w:rFonts w:ascii="Calibri" w:hAnsi="Calibri" w:cs="Calibri"/>
          <w:szCs w:val="22"/>
          <w:rtl/>
        </w:rPr>
        <w:t xml:space="preserve">دعمًا في مجال السياسات لعدد من سجلات </w:t>
      </w:r>
      <w:r w:rsidR="004F0260" w:rsidRPr="003B7AF4">
        <w:rPr>
          <w:rFonts w:ascii="Calibri" w:hAnsi="Calibri" w:cs="Calibri"/>
          <w:b/>
          <w:szCs w:val="22"/>
          <w:rtl/>
        </w:rPr>
        <w:t>لأسماء الحقول العليا المكو</w:t>
      </w:r>
      <w:r w:rsidR="004F0260" w:rsidRPr="003B7AF4">
        <w:rPr>
          <w:rFonts w:ascii="Calibri" w:hAnsi="Calibri" w:cs="Calibri" w:hint="cs"/>
          <w:b/>
          <w:szCs w:val="22"/>
          <w:rtl/>
        </w:rPr>
        <w:t>َّ</w:t>
      </w:r>
      <w:r w:rsidR="004F0260" w:rsidRPr="003B7AF4">
        <w:rPr>
          <w:rFonts w:ascii="Calibri" w:hAnsi="Calibri" w:cs="Calibri"/>
          <w:b/>
          <w:szCs w:val="22"/>
          <w:rtl/>
        </w:rPr>
        <w:t>نة من رموز البلدان</w:t>
      </w:r>
      <w:r w:rsidR="004F0260" w:rsidRPr="003B7AF4">
        <w:rPr>
          <w:rFonts w:ascii="Calibri" w:hAnsi="Calibri" w:cs="Calibri" w:hint="cs"/>
          <w:b/>
          <w:szCs w:val="22"/>
          <w:rtl/>
        </w:rPr>
        <w:t>.</w:t>
      </w:r>
      <w:r w:rsidRPr="003B7AF4">
        <w:rPr>
          <w:rFonts w:ascii="Calibri" w:hAnsi="Calibri" w:cs="Calibri"/>
          <w:szCs w:val="22"/>
          <w:rtl/>
        </w:rPr>
        <w:t xml:space="preserve"> وشمل ذلك التعاون مع السلطات المعنية لتعزيز كفاءة ومواءمة آليات تسوية المنازعات المتعلقة بأسماء النطاقات، على سبيل المثال من خلال تحديث شروط التسجيل والعمليات الإدارية والسياسات والقواعد و/أو القواعد التكميلية </w:t>
      </w:r>
      <w:bookmarkEnd w:id="12"/>
      <w:r w:rsidR="004F0260" w:rsidRPr="003B7AF4">
        <w:rPr>
          <w:rFonts w:ascii="Calibri" w:hAnsi="Calibri" w:cs="Calibri" w:hint="cs"/>
          <w:szCs w:val="22"/>
          <w:rtl/>
        </w:rPr>
        <w:t>للويبو بالنسبة للحقل</w:t>
      </w:r>
      <w:r w:rsidRPr="003B7AF4">
        <w:rPr>
          <w:rFonts w:ascii="Calibri" w:hAnsi="Calibri" w:cs="Calibri"/>
          <w:szCs w:val="22"/>
          <w:rtl/>
        </w:rPr>
        <w:t xml:space="preserve"> .DO (جمهورية الدومينيكان) و .NL (</w:t>
      </w:r>
      <w:r w:rsidR="006734C6" w:rsidRPr="003B7AF4">
        <w:rPr>
          <w:rFonts w:ascii="Calibri" w:hAnsi="Calibri" w:cs="Calibri"/>
          <w:szCs w:val="22"/>
          <w:rtl/>
        </w:rPr>
        <w:t xml:space="preserve">مملكة </w:t>
      </w:r>
      <w:r w:rsidRPr="003B7AF4">
        <w:rPr>
          <w:rFonts w:ascii="Calibri" w:hAnsi="Calibri" w:cs="Calibri"/>
          <w:szCs w:val="22"/>
          <w:rtl/>
        </w:rPr>
        <w:t>هولنداو .UA (أوكرانيا).</w:t>
      </w:r>
      <w:r w:rsidR="004F0260" w:rsidRPr="003B7AF4">
        <w:rPr>
          <w:rFonts w:ascii="Calibri" w:hAnsi="Calibri" w:cs="Calibri" w:hint="cs"/>
          <w:szCs w:val="22"/>
          <w:rtl/>
        </w:rPr>
        <w:t xml:space="preserve"> </w:t>
      </w:r>
    </w:p>
    <w:p w14:paraId="2BD5F389" w14:textId="1D72E595" w:rsidR="00C54079" w:rsidRPr="003B7AF4" w:rsidRDefault="004577FB" w:rsidP="00C54079">
      <w:pPr>
        <w:pStyle w:val="ListParagraph"/>
        <w:numPr>
          <w:ilvl w:val="0"/>
          <w:numId w:val="7"/>
        </w:numPr>
        <w:spacing w:after="240"/>
        <w:ind w:left="0" w:firstLine="0"/>
        <w:contextualSpacing w:val="0"/>
        <w:rPr>
          <w:rFonts w:ascii="Calibri" w:hAnsi="Calibri" w:cs="Calibri"/>
          <w:szCs w:val="22"/>
        </w:rPr>
      </w:pPr>
      <w:r w:rsidRPr="003B7AF4">
        <w:rPr>
          <w:rFonts w:ascii="Times New Roman" w:hAnsi="Times New Roman" w:cs="Calibri"/>
          <w:szCs w:val="22"/>
          <w:rtl/>
        </w:rPr>
        <w:t>وفيما يخص جميع أسماء الحقول العليا المعنية المكوَّنة من رموز البلدان، تقدم الويبو للأطراف موارد موسعة بشكل كبير عبر الإنترنت، بما في ذلك معايير الأهلية للتسجيل، والحروف المدعومة، والمذكرات النموذجية المتعددة اللغات، ومعلومات الإيداع</w:t>
      </w:r>
      <w:r w:rsidR="00F907DF" w:rsidRPr="003B7AF4">
        <w:rPr>
          <w:rStyle w:val="FootnoteReference"/>
          <w:rFonts w:ascii="Times New Roman" w:hAnsi="Times New Roman" w:cs="Calibri"/>
          <w:szCs w:val="22"/>
          <w:rtl/>
        </w:rPr>
        <w:footnoteReference w:id="29"/>
      </w:r>
      <w:r w:rsidRPr="003B7AF4">
        <w:rPr>
          <w:rFonts w:ascii="Times New Roman" w:hAnsi="Times New Roman" w:cs="Calibri"/>
          <w:szCs w:val="22"/>
          <w:rtl/>
        </w:rPr>
        <w:t xml:space="preserve">، بالإضافة إلى </w:t>
      </w:r>
      <w:hyperlink r:id="rId42" w:history="1">
        <w:r w:rsidRPr="00E541C7">
          <w:rPr>
            <w:rStyle w:val="Hyperlink"/>
            <w:rFonts w:ascii="Times New Roman" w:hAnsi="Times New Roman" w:cs="Calibri"/>
            <w:szCs w:val="22"/>
            <w:rtl/>
          </w:rPr>
          <w:t>ملخصات لأوجه الاختلاف</w:t>
        </w:r>
      </w:hyperlink>
      <w:r w:rsidRPr="003B7AF4">
        <w:rPr>
          <w:rFonts w:ascii="Times New Roman" w:hAnsi="Times New Roman" w:cs="Calibri"/>
          <w:szCs w:val="22"/>
          <w:rtl/>
        </w:rPr>
        <w:t xml:space="preserve"> ذات الصلة بين السياسة الموحدة وكل سياسة من سياسات أسماء الحقول العليا القائمة على السياسة الموحدة. و</w:t>
      </w:r>
      <w:r w:rsidRPr="003B7AF4">
        <w:rPr>
          <w:rFonts w:ascii="Times New Roman" w:hAnsi="Times New Roman" w:cs="Calibri" w:hint="cs"/>
          <w:szCs w:val="22"/>
          <w:rtl/>
        </w:rPr>
        <w:t>لُ</w:t>
      </w:r>
      <w:r w:rsidRPr="003B7AF4">
        <w:rPr>
          <w:rFonts w:ascii="Times New Roman" w:hAnsi="Times New Roman" w:cs="Calibri"/>
          <w:szCs w:val="22"/>
          <w:rtl/>
        </w:rPr>
        <w:t xml:space="preserve">خّصت هذه المعلومات في </w:t>
      </w:r>
      <w:hyperlink r:id="rId43" w:history="1">
        <w:r w:rsidRPr="00E878A7">
          <w:rPr>
            <w:rStyle w:val="Hyperlink"/>
            <w:rFonts w:ascii="Times New Roman" w:hAnsi="Times New Roman" w:cs="Calibri"/>
            <w:color w:val="0000FF"/>
            <w:szCs w:val="22"/>
            <w:u w:color="0000FF"/>
            <w:rtl/>
          </w:rPr>
          <w:t>دليل خدمات الويبو لسجلات الحقول العليا المكو</w:t>
        </w:r>
        <w:r w:rsidRPr="00E878A7">
          <w:rPr>
            <w:rStyle w:val="Hyperlink"/>
            <w:rFonts w:ascii="Times New Roman" w:hAnsi="Times New Roman" w:cs="Calibri" w:hint="cs"/>
            <w:color w:val="0000FF"/>
            <w:szCs w:val="22"/>
            <w:u w:color="0000FF"/>
            <w:rtl/>
          </w:rPr>
          <w:t>َّ</w:t>
        </w:r>
        <w:r w:rsidRPr="00E878A7">
          <w:rPr>
            <w:rStyle w:val="Hyperlink"/>
            <w:rFonts w:ascii="Times New Roman" w:hAnsi="Times New Roman" w:cs="Calibri"/>
            <w:color w:val="0000FF"/>
            <w:szCs w:val="22"/>
            <w:u w:color="0000FF"/>
            <w:rtl/>
          </w:rPr>
          <w:t xml:space="preserve">نة من رموز البلدان </w:t>
        </w:r>
      </w:hyperlink>
      <w:r w:rsidR="00C54079" w:rsidRPr="003B7AF4">
        <w:rPr>
          <w:rFonts w:ascii="Calibri" w:hAnsi="Calibri" w:cs="Calibri"/>
          <w:szCs w:val="22"/>
          <w:rtl/>
        </w:rPr>
        <w:t>.</w:t>
      </w:r>
    </w:p>
    <w:p w14:paraId="49EC9893" w14:textId="232EF19E" w:rsidR="00C54079" w:rsidRPr="003B7AF4" w:rsidRDefault="00D932D1" w:rsidP="00C54079">
      <w:pPr>
        <w:pStyle w:val="Heading2"/>
        <w:ind w:firstLine="567"/>
        <w:rPr>
          <w:rFonts w:ascii="Calibri" w:hAnsi="Calibri" w:cs="Calibri"/>
          <w:b/>
          <w:bCs w:val="0"/>
          <w:i/>
          <w:iCs w:val="0"/>
          <w:szCs w:val="22"/>
        </w:rPr>
      </w:pPr>
      <w:r w:rsidRPr="003B7AF4">
        <w:rPr>
          <w:rFonts w:ascii="Calibri" w:hAnsi="Calibri" w:cs="Calibri" w:hint="cs"/>
          <w:b/>
          <w:bCs w:val="0"/>
          <w:i/>
          <w:iCs w:val="0"/>
          <w:szCs w:val="22"/>
          <w:rtl/>
        </w:rPr>
        <w:t>جيم</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تكنولوجيا المعلومات والدعم</w:t>
      </w:r>
    </w:p>
    <w:p w14:paraId="14A61606" w14:textId="77777777" w:rsidR="00C54079" w:rsidRPr="003B7AF4" w:rsidRDefault="00C54079" w:rsidP="00C54079">
      <w:pPr>
        <w:keepNext/>
        <w:tabs>
          <w:tab w:val="left" w:pos="0"/>
        </w:tabs>
        <w:rPr>
          <w:rFonts w:ascii="Calibri" w:hAnsi="Calibri" w:cs="Calibri"/>
          <w:szCs w:val="22"/>
        </w:rPr>
      </w:pPr>
    </w:p>
    <w:p w14:paraId="42A796C2" w14:textId="470392DE" w:rsidR="00C54079" w:rsidRPr="003B7AF4" w:rsidRDefault="00C54079" w:rsidP="00C54079">
      <w:pPr>
        <w:pStyle w:val="ListParagraph"/>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تلتزم </w:t>
      </w:r>
      <w:r w:rsidR="001B69CE" w:rsidRPr="003B7AF4">
        <w:rPr>
          <w:rFonts w:ascii="Calibri" w:hAnsi="Calibri" w:cs="Calibri" w:hint="cs"/>
          <w:szCs w:val="22"/>
          <w:rtl/>
        </w:rPr>
        <w:t>الويبو</w:t>
      </w:r>
      <w:r w:rsidRPr="003B7AF4">
        <w:rPr>
          <w:rFonts w:ascii="Calibri" w:hAnsi="Calibri" w:cs="Calibri"/>
          <w:szCs w:val="22"/>
          <w:rtl/>
        </w:rPr>
        <w:t xml:space="preserve"> بضمان إمكانية الوصول إلى جميع أصحاب المصلحة المتعاملين مع خدمات المركز.  ولتحقيق هذا الهدف، أتاح المركز في عام 2024 آلية تجريبية جديدة للإيداع </w:t>
      </w:r>
      <w:r w:rsidR="00723FE1" w:rsidRPr="003B7AF4">
        <w:rPr>
          <w:rFonts w:ascii="Calibri" w:hAnsi="Calibri" w:cs="Calibri"/>
          <w:szCs w:val="22"/>
          <w:rtl/>
        </w:rPr>
        <w:t xml:space="preserve">الإلكتروني، </w:t>
      </w:r>
      <w:r w:rsidRPr="003B7AF4">
        <w:rPr>
          <w:rFonts w:ascii="Calibri" w:hAnsi="Calibri" w:cs="Calibri"/>
          <w:szCs w:val="22"/>
          <w:rtl/>
        </w:rPr>
        <w:t xml:space="preserve">وهو يعمل حاليًا على تطوير نظام جديد لإدارة القضايا لتحسين تجربة المستخدم وتحقيق مكاسب في الكفاءة. وعلاوة على ذلك، نشر المركز العديد من التحديثات على موقعه الإلكتروني العام الذي يقدم إرشادات عامة بشأن إيداعات طلبات </w:t>
      </w:r>
      <w:r w:rsidR="001B69CE" w:rsidRPr="003B7AF4">
        <w:rPr>
          <w:rFonts w:ascii="Calibri" w:hAnsi="Calibri" w:cs="Calibri" w:hint="cs"/>
          <w:szCs w:val="22"/>
          <w:rtl/>
        </w:rPr>
        <w:t>التسوية البديلة للمنازعات</w:t>
      </w:r>
      <w:r w:rsidRPr="003B7AF4">
        <w:rPr>
          <w:rFonts w:ascii="Calibri" w:hAnsi="Calibri" w:cs="Calibri"/>
          <w:szCs w:val="22"/>
          <w:rtl/>
        </w:rPr>
        <w:t xml:space="preserve"> بشأن مسائل إجرائية أو تقنية محددة، مثل حالة اسم </w:t>
      </w:r>
      <w:r w:rsidR="001B69CE" w:rsidRPr="003B7AF4">
        <w:rPr>
          <w:rFonts w:ascii="Calibri" w:hAnsi="Calibri" w:cs="Calibri" w:hint="cs"/>
          <w:szCs w:val="22"/>
          <w:rtl/>
        </w:rPr>
        <w:t>الحقل</w:t>
      </w:r>
      <w:r w:rsidRPr="003B7AF4">
        <w:rPr>
          <w:rFonts w:ascii="Calibri" w:hAnsi="Calibri" w:cs="Calibri"/>
          <w:szCs w:val="22"/>
          <w:rtl/>
        </w:rPr>
        <w:t xml:space="preserve"> و</w:t>
      </w:r>
      <w:r w:rsidR="001B69CE" w:rsidRPr="003B7AF4">
        <w:rPr>
          <w:rFonts w:ascii="Calibri" w:hAnsi="Calibri" w:cs="Calibri" w:hint="cs"/>
          <w:szCs w:val="22"/>
          <w:rtl/>
        </w:rPr>
        <w:t xml:space="preserve">بيانات </w:t>
      </w:r>
      <w:r w:rsidR="001B69CE" w:rsidRPr="003B7AF4">
        <w:rPr>
          <w:rFonts w:ascii="Calibri" w:hAnsi="Calibri" w:cs="Calibri"/>
          <w:szCs w:val="22"/>
        </w:rPr>
        <w:t>WhoIs</w:t>
      </w:r>
      <w:r w:rsidRPr="003B7AF4">
        <w:rPr>
          <w:rFonts w:ascii="Calibri" w:hAnsi="Calibri" w:cs="Calibri"/>
          <w:szCs w:val="22"/>
          <w:rtl/>
        </w:rPr>
        <w:t>.</w:t>
      </w:r>
      <w:r w:rsidRPr="003B7AF4">
        <w:rPr>
          <w:rFonts w:ascii="Calibri" w:hAnsi="Calibri" w:cs="Calibri"/>
          <w:szCs w:val="22"/>
          <w:vertAlign w:val="superscript"/>
          <w:rtl/>
        </w:rPr>
        <w:footnoteReference w:id="30"/>
      </w:r>
    </w:p>
    <w:p w14:paraId="324F5B42" w14:textId="2FABD305" w:rsidR="00C54079" w:rsidRPr="003B7AF4" w:rsidRDefault="002E5EF2" w:rsidP="00C54079">
      <w:pPr>
        <w:pStyle w:val="Heading2"/>
        <w:ind w:firstLine="567"/>
        <w:rPr>
          <w:rFonts w:ascii="Calibri" w:hAnsi="Calibri" w:cs="Calibri"/>
          <w:b/>
          <w:bCs w:val="0"/>
          <w:i/>
          <w:iCs w:val="0"/>
          <w:szCs w:val="22"/>
        </w:rPr>
      </w:pPr>
      <w:r w:rsidRPr="003B7AF4">
        <w:rPr>
          <w:rFonts w:ascii="Calibri" w:hAnsi="Calibri" w:cs="Calibri" w:hint="cs"/>
          <w:b/>
          <w:bCs w:val="0"/>
          <w:i/>
          <w:iCs w:val="0"/>
          <w:szCs w:val="22"/>
          <w:rtl/>
        </w:rPr>
        <w:t>دال</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الويب 3.0</w:t>
      </w:r>
    </w:p>
    <w:p w14:paraId="296CB118" w14:textId="77777777" w:rsidR="00C54079" w:rsidRPr="003B7AF4" w:rsidRDefault="00C54079" w:rsidP="00C54079">
      <w:pPr>
        <w:keepNext/>
        <w:tabs>
          <w:tab w:val="left" w:pos="540"/>
        </w:tabs>
        <w:rPr>
          <w:rFonts w:ascii="Calibri" w:hAnsi="Calibri" w:cs="Calibri"/>
          <w:szCs w:val="22"/>
        </w:rPr>
      </w:pPr>
    </w:p>
    <w:p w14:paraId="49D2AF73" w14:textId="1117EB07" w:rsidR="00C54079" w:rsidRPr="003B7AF4" w:rsidRDefault="00C54079" w:rsidP="00C54079">
      <w:pPr>
        <w:pStyle w:val="ListParagraph"/>
        <w:numPr>
          <w:ilvl w:val="0"/>
          <w:numId w:val="7"/>
        </w:numPr>
        <w:spacing w:after="240"/>
        <w:ind w:left="0" w:firstLine="0"/>
        <w:contextualSpacing w:val="0"/>
        <w:rPr>
          <w:rFonts w:ascii="Calibri" w:hAnsi="Calibri" w:cs="Calibri"/>
          <w:szCs w:val="22"/>
        </w:rPr>
      </w:pPr>
      <w:r w:rsidRPr="003B7AF4">
        <w:rPr>
          <w:rFonts w:ascii="Calibri" w:hAnsi="Calibri" w:cs="Calibri"/>
          <w:szCs w:val="22"/>
          <w:rtl/>
        </w:rPr>
        <w:t xml:space="preserve">يشارك المركز في مناقشات جارية مع السجلات وأمناء السجلات المعنيين بشأن تطبيق </w:t>
      </w:r>
      <w:r w:rsidR="008D5447" w:rsidRPr="003B7AF4">
        <w:rPr>
          <w:rFonts w:ascii="Calibri" w:hAnsi="Calibri" w:cs="Calibri"/>
          <w:snapToGrid w:val="0"/>
          <w:szCs w:val="22"/>
          <w:rtl/>
        </w:rPr>
        <w:t xml:space="preserve">تدابير </w:t>
      </w:r>
      <w:r w:rsidR="001C1F1F" w:rsidRPr="003B7AF4">
        <w:rPr>
          <w:rFonts w:ascii="Calibri" w:hAnsi="Calibri" w:cs="Calibri" w:hint="cs"/>
          <w:snapToGrid w:val="0"/>
          <w:szCs w:val="22"/>
          <w:rtl/>
        </w:rPr>
        <w:t>آليات حماية الحقوق</w:t>
      </w:r>
      <w:r w:rsidR="008D5447" w:rsidRPr="003B7AF4">
        <w:rPr>
          <w:rFonts w:ascii="Calibri" w:hAnsi="Calibri" w:cs="Calibri"/>
          <w:snapToGrid w:val="0"/>
          <w:szCs w:val="22"/>
          <w:rtl/>
        </w:rPr>
        <w:t xml:space="preserve"> </w:t>
      </w:r>
      <w:r w:rsidRPr="003B7AF4">
        <w:rPr>
          <w:rFonts w:ascii="Calibri" w:hAnsi="Calibri" w:cs="Calibri"/>
          <w:szCs w:val="22"/>
          <w:rtl/>
        </w:rPr>
        <w:t xml:space="preserve">مثل </w:t>
      </w:r>
      <w:r w:rsidR="003D0CA7" w:rsidRPr="003B7AF4">
        <w:rPr>
          <w:rFonts w:ascii="Calibri" w:hAnsi="Calibri" w:cs="Calibri" w:hint="cs"/>
          <w:szCs w:val="22"/>
          <w:rtl/>
        </w:rPr>
        <w:t>السياسة الموحدة</w:t>
      </w:r>
      <w:r w:rsidRPr="003B7AF4">
        <w:rPr>
          <w:rFonts w:ascii="Calibri" w:hAnsi="Calibri" w:cs="Calibri"/>
          <w:szCs w:val="22"/>
          <w:rtl/>
        </w:rPr>
        <w:t xml:space="preserve"> على </w:t>
      </w:r>
      <w:r w:rsidR="003D0CA7" w:rsidRPr="003B7AF4">
        <w:rPr>
          <w:rFonts w:ascii="Calibri" w:hAnsi="Calibri" w:cs="Calibri" w:hint="cs"/>
          <w:szCs w:val="22"/>
          <w:rtl/>
        </w:rPr>
        <w:t>حقول</w:t>
      </w:r>
      <w:r w:rsidRPr="003B7AF4">
        <w:rPr>
          <w:rFonts w:ascii="Calibri" w:hAnsi="Calibri" w:cs="Calibri"/>
          <w:szCs w:val="22"/>
          <w:rtl/>
        </w:rPr>
        <w:t xml:space="preserve"> "ويب 3.0" و</w:t>
      </w:r>
      <w:r w:rsidR="003D0CA7" w:rsidRPr="003B7AF4">
        <w:rPr>
          <w:rFonts w:ascii="Calibri" w:hAnsi="Calibri" w:cs="Calibri" w:hint="cs"/>
          <w:szCs w:val="22"/>
          <w:rtl/>
        </w:rPr>
        <w:t>سلاسل الكثل</w:t>
      </w:r>
      <w:r w:rsidRPr="003B7AF4">
        <w:rPr>
          <w:rFonts w:ascii="Calibri" w:hAnsi="Calibri" w:cs="Calibri"/>
          <w:szCs w:val="22"/>
          <w:rtl/>
        </w:rPr>
        <w:t xml:space="preserve">. ويساعد المركز حتى الآن مشغل الويب 3.0 Namebase ومشغل </w:t>
      </w:r>
      <w:r w:rsidR="001C1F1F" w:rsidRPr="003B7AF4">
        <w:rPr>
          <w:rFonts w:ascii="Calibri" w:hAnsi="Calibri" w:cs="Calibri" w:hint="cs"/>
          <w:szCs w:val="22"/>
          <w:rtl/>
        </w:rPr>
        <w:t>حقل</w:t>
      </w:r>
      <w:r w:rsidRPr="003B7AF4">
        <w:rPr>
          <w:rFonts w:ascii="Calibri" w:hAnsi="Calibri" w:cs="Calibri"/>
          <w:szCs w:val="22"/>
          <w:rtl/>
        </w:rPr>
        <w:t xml:space="preserve"> </w:t>
      </w:r>
      <w:r w:rsidRPr="003B7AF4">
        <w:rPr>
          <w:rFonts w:ascii="Calibri" w:hAnsi="Calibri" w:cs="Calibri"/>
          <w:szCs w:val="22"/>
          <w:rtl/>
        </w:rPr>
        <w:lastRenderedPageBreak/>
        <w:t xml:space="preserve">المستوى الأعلى الجديد .ART في تطبيق </w:t>
      </w:r>
      <w:r w:rsidR="003D0CA7" w:rsidRPr="003B7AF4">
        <w:rPr>
          <w:rFonts w:ascii="Calibri" w:hAnsi="Calibri" w:cs="Calibri" w:hint="cs"/>
          <w:szCs w:val="22"/>
          <w:rtl/>
        </w:rPr>
        <w:t>السياسة الموحدة</w:t>
      </w:r>
      <w:r w:rsidRPr="003B7AF4">
        <w:rPr>
          <w:rFonts w:ascii="Calibri" w:hAnsi="Calibri" w:cs="Calibri"/>
          <w:szCs w:val="22"/>
          <w:rtl/>
        </w:rPr>
        <w:t xml:space="preserve"> على أسماء </w:t>
      </w:r>
      <w:r w:rsidR="003D0CA7" w:rsidRPr="003B7AF4">
        <w:rPr>
          <w:rFonts w:ascii="Calibri" w:hAnsi="Calibri" w:cs="Calibri" w:hint="cs"/>
          <w:szCs w:val="22"/>
          <w:rtl/>
        </w:rPr>
        <w:t>الحقول من</w:t>
      </w:r>
      <w:r w:rsidRPr="003B7AF4">
        <w:rPr>
          <w:rFonts w:ascii="Calibri" w:hAnsi="Calibri" w:cs="Calibri"/>
          <w:szCs w:val="22"/>
          <w:rtl/>
        </w:rPr>
        <w:t xml:space="preserve"> المستوى الثاني في إطار سجلات الويب 3.0 المعنية.</w:t>
      </w:r>
    </w:p>
    <w:p w14:paraId="32A19E6D" w14:textId="6DFD749E" w:rsidR="00C54079" w:rsidRPr="003B7AF4" w:rsidRDefault="00C54079" w:rsidP="00C54079">
      <w:pPr>
        <w:pStyle w:val="Heading2"/>
        <w:rPr>
          <w:rFonts w:ascii="Calibri" w:hAnsi="Calibri" w:cs="Calibri"/>
          <w:b/>
          <w:bCs w:val="0"/>
          <w:i/>
          <w:iCs w:val="0"/>
          <w:szCs w:val="22"/>
        </w:rPr>
      </w:pPr>
      <w:r w:rsidRPr="003B7AF4">
        <w:rPr>
          <w:rFonts w:ascii="Calibri" w:hAnsi="Calibri" w:cs="Calibri"/>
          <w:b/>
          <w:bCs w:val="0"/>
          <w:i/>
          <w:iCs w:val="0"/>
          <w:szCs w:val="22"/>
          <w:rtl/>
        </w:rPr>
        <w:t>ثالثا.</w:t>
      </w:r>
      <w:r w:rsidRPr="003B7AF4">
        <w:rPr>
          <w:rFonts w:ascii="Calibri" w:hAnsi="Calibri" w:cs="Calibri"/>
          <w:b/>
          <w:bCs w:val="0"/>
          <w:i/>
          <w:iCs w:val="0"/>
          <w:szCs w:val="22"/>
          <w:rtl/>
        </w:rPr>
        <w:tab/>
      </w:r>
      <w:r w:rsidR="00A36CC2" w:rsidRPr="003B7AF4">
        <w:rPr>
          <w:rFonts w:ascii="Calibri" w:hAnsi="Calibri" w:cs="Calibri" w:hint="cs"/>
          <w:b/>
          <w:bCs w:val="0"/>
          <w:i/>
          <w:iCs w:val="0"/>
          <w:szCs w:val="22"/>
          <w:rtl/>
        </w:rPr>
        <w:t>مستجدات</w:t>
      </w:r>
      <w:r w:rsidRPr="003B7AF4">
        <w:rPr>
          <w:rFonts w:ascii="Calibri" w:hAnsi="Calibri" w:cs="Calibri"/>
          <w:b/>
          <w:bCs w:val="0"/>
          <w:i/>
          <w:iCs w:val="0"/>
          <w:szCs w:val="22"/>
          <w:rtl/>
        </w:rPr>
        <w:t xml:space="preserve"> السياسة العامة في </w:t>
      </w:r>
      <w:r w:rsidR="00A36CC2" w:rsidRPr="003B7AF4">
        <w:rPr>
          <w:rFonts w:ascii="Calibri" w:hAnsi="Calibri" w:cs="Calibri" w:hint="cs"/>
          <w:b/>
          <w:bCs w:val="0"/>
          <w:i/>
          <w:iCs w:val="0"/>
          <w:szCs w:val="22"/>
          <w:rtl/>
        </w:rPr>
        <w:t>نظام أسماء الحقول</w:t>
      </w:r>
    </w:p>
    <w:p w14:paraId="7D4798A8" w14:textId="77777777" w:rsidR="00C54079" w:rsidRPr="003B7AF4" w:rsidRDefault="00C54079" w:rsidP="00C54079">
      <w:pPr>
        <w:rPr>
          <w:rFonts w:ascii="Calibri" w:hAnsi="Calibri" w:cs="Calibri"/>
          <w:szCs w:val="22"/>
        </w:rPr>
      </w:pPr>
    </w:p>
    <w:p w14:paraId="3EB855CC" w14:textId="716B9662" w:rsidR="00C54079" w:rsidRPr="003B7AF4" w:rsidRDefault="00177CE1" w:rsidP="00C54079">
      <w:pPr>
        <w:pStyle w:val="ListParagraph"/>
        <w:numPr>
          <w:ilvl w:val="0"/>
          <w:numId w:val="7"/>
        </w:numPr>
        <w:spacing w:after="240"/>
        <w:ind w:left="0" w:firstLine="0"/>
        <w:contextualSpacing w:val="0"/>
        <w:rPr>
          <w:rFonts w:ascii="Calibri" w:hAnsi="Calibri" w:cs="Calibri"/>
          <w:szCs w:val="22"/>
        </w:rPr>
      </w:pPr>
      <w:r w:rsidRPr="003B7AF4">
        <w:rPr>
          <w:rFonts w:ascii="Times New Roman" w:hAnsi="Times New Roman" w:cs="Calibri"/>
          <w:szCs w:val="22"/>
          <w:rtl/>
        </w:rPr>
        <w:t xml:space="preserve">لقد طرأ على الآيكان عدد من المستجدات السياساتية التي تتيح فرصاً لمالكي حقوق الملكية الفكرية وللمنتفعين بها بل وتطرح أمامهم تحديات. ويتمثل أحد هذه المستجدات في استحداث الآيكان </w:t>
      </w:r>
      <w:r w:rsidRPr="003B7AF4">
        <w:rPr>
          <w:rFonts w:ascii="Times New Roman" w:hAnsi="Times New Roman" w:cs="Calibri" w:hint="cs"/>
          <w:szCs w:val="22"/>
          <w:rtl/>
        </w:rPr>
        <w:t xml:space="preserve">في 2012 </w:t>
      </w:r>
      <w:r w:rsidRPr="003B7AF4">
        <w:rPr>
          <w:rFonts w:ascii="Times New Roman" w:hAnsi="Times New Roman" w:cs="Calibri"/>
          <w:szCs w:val="22"/>
          <w:rtl/>
        </w:rPr>
        <w:t>عدداً كبيراً من الحقول العليا الجديدة المُكوَّنة من أسماء عامة. وقد تكون أسماء هذه الحقول الجديدة ذات طابع "مفتوح" (تشبه</w:t>
      </w:r>
      <w:r w:rsidRPr="003B7AF4">
        <w:rPr>
          <w:rFonts w:ascii="Times New Roman" w:hAnsi="Times New Roman" w:cs="Calibri" w:hint="cs"/>
          <w:szCs w:val="22"/>
          <w:rtl/>
        </w:rPr>
        <w:t xml:space="preserve"> </w:t>
      </w:r>
      <w:r w:rsidRPr="003B7AF4">
        <w:rPr>
          <w:rFonts w:ascii="Times New Roman" w:hAnsi="Times New Roman" w:cs="Calibri"/>
          <w:szCs w:val="22"/>
        </w:rPr>
        <w:t>.</w:t>
      </w:r>
      <w:r w:rsidRPr="003B7AF4">
        <w:rPr>
          <w:rFonts w:asciiTheme="minorBidi" w:hAnsiTheme="minorBidi" w:cs="Calibri"/>
          <w:szCs w:val="22"/>
        </w:rPr>
        <w:t>com</w:t>
      </w:r>
      <w:r w:rsidRPr="003B7AF4">
        <w:rPr>
          <w:rFonts w:ascii="Times New Roman" w:hAnsi="Times New Roman" w:cs="Calibri"/>
          <w:szCs w:val="22"/>
          <w:rtl/>
        </w:rPr>
        <w:t>) أو قد تتسم بخصائص محددة أو مقيدة بقدر أكبر، كأن تتخذ، على سبيل المثال، شكل [علامة]</w:t>
      </w:r>
      <w:r w:rsidRPr="003B7AF4">
        <w:rPr>
          <w:rFonts w:ascii="Times New Roman" w:hAnsi="Times New Roman" w:cs="Calibri" w:hint="cs"/>
          <w:szCs w:val="22"/>
          <w:rtl/>
        </w:rPr>
        <w:t>.</w:t>
      </w:r>
      <w:r w:rsidRPr="003B7AF4">
        <w:rPr>
          <w:rFonts w:ascii="Times New Roman" w:hAnsi="Times New Roman" w:cs="Calibri"/>
          <w:szCs w:val="22"/>
          <w:rtl/>
        </w:rPr>
        <w:t xml:space="preserve"> أو [مدينة]</w:t>
      </w:r>
      <w:r w:rsidRPr="003B7AF4">
        <w:rPr>
          <w:rFonts w:ascii="Times New Roman" w:hAnsi="Times New Roman" w:cs="Calibri" w:hint="cs"/>
          <w:szCs w:val="22"/>
          <w:rtl/>
        </w:rPr>
        <w:t>.</w:t>
      </w:r>
      <w:r w:rsidRPr="003B7AF4">
        <w:rPr>
          <w:rFonts w:ascii="Times New Roman" w:hAnsi="Times New Roman" w:cs="Calibri"/>
          <w:szCs w:val="22"/>
          <w:rtl/>
        </w:rPr>
        <w:t xml:space="preserve"> أو [مجتمع محلي]</w:t>
      </w:r>
      <w:r w:rsidRPr="003B7AF4">
        <w:rPr>
          <w:rFonts w:ascii="Times New Roman" w:hAnsi="Times New Roman" w:cs="Calibri" w:hint="cs"/>
          <w:szCs w:val="22"/>
          <w:rtl/>
        </w:rPr>
        <w:t>.</w:t>
      </w:r>
      <w:r w:rsidRPr="003B7AF4">
        <w:rPr>
          <w:rFonts w:ascii="Times New Roman" w:hAnsi="Times New Roman" w:cs="Calibri"/>
          <w:szCs w:val="22"/>
          <w:rtl/>
        </w:rPr>
        <w:t xml:space="preserve"> أو [ثقافة]</w:t>
      </w:r>
      <w:r w:rsidRPr="003B7AF4">
        <w:rPr>
          <w:rFonts w:ascii="Times New Roman" w:hAnsi="Times New Roman" w:cs="Calibri" w:hint="cs"/>
          <w:szCs w:val="22"/>
          <w:rtl/>
        </w:rPr>
        <w:t>.</w:t>
      </w:r>
      <w:r w:rsidRPr="003B7AF4">
        <w:rPr>
          <w:rFonts w:ascii="Times New Roman" w:hAnsi="Times New Roman" w:cs="Calibri"/>
          <w:szCs w:val="22"/>
          <w:rtl/>
        </w:rPr>
        <w:t xml:space="preserve"> أو [صناعة]</w:t>
      </w:r>
      <w:r w:rsidRPr="003B7AF4">
        <w:rPr>
          <w:rFonts w:ascii="Times New Roman" w:hAnsi="Times New Roman" w:cs="Calibri" w:hint="cs"/>
          <w:szCs w:val="22"/>
          <w:rtl/>
        </w:rPr>
        <w:t>.</w:t>
      </w:r>
      <w:r w:rsidRPr="003B7AF4">
        <w:rPr>
          <w:rFonts w:ascii="Times New Roman" w:hAnsi="Times New Roman" w:cs="Calibri"/>
          <w:szCs w:val="22"/>
          <w:rtl/>
        </w:rPr>
        <w:t xml:space="preserve"> أو [لغة]. ويتعلق أحد العناصر الجديرة بالذكر في نمو نظام أسماء الحقول بأسماء حقول عليا دولية – </w:t>
      </w:r>
      <w:r w:rsidRPr="003B7AF4">
        <w:rPr>
          <w:rFonts w:ascii="Times New Roman" w:hAnsi="Times New Roman" w:cs="Calibri" w:hint="cs"/>
          <w:szCs w:val="22"/>
          <w:rtl/>
        </w:rPr>
        <w:t xml:space="preserve">ويتمثل ذلك في </w:t>
      </w:r>
      <w:r w:rsidRPr="003B7AF4">
        <w:rPr>
          <w:rFonts w:ascii="Times New Roman" w:hAnsi="Times New Roman" w:cs="Calibri"/>
          <w:szCs w:val="22"/>
          <w:rtl/>
        </w:rPr>
        <w:t>توسيع نطاق إتاحة نظام أسماء الحقول من الناحية اللغوية. ويطرح توسيع الآيكان لنطاق نظام أسماء الحقول أيضاً مسائل تتعلق بحماية الحقوق في إطار عملية الويبو الثانية</w:t>
      </w:r>
      <w:r w:rsidR="00C54079" w:rsidRPr="003B7AF4">
        <w:rPr>
          <w:rFonts w:ascii="Calibri" w:hAnsi="Calibri" w:cs="Calibri"/>
          <w:szCs w:val="22"/>
          <w:rtl/>
        </w:rPr>
        <w:t>.</w:t>
      </w:r>
    </w:p>
    <w:p w14:paraId="40C05B2F" w14:textId="1629D780" w:rsidR="00C54079" w:rsidRPr="003B7AF4" w:rsidRDefault="001F56A2" w:rsidP="00C54079">
      <w:pPr>
        <w:pStyle w:val="Heading2"/>
        <w:ind w:left="1170" w:hanging="630"/>
        <w:rPr>
          <w:rFonts w:ascii="Calibri" w:hAnsi="Calibri" w:cs="Calibri"/>
          <w:b/>
          <w:bCs w:val="0"/>
          <w:i/>
          <w:iCs w:val="0"/>
          <w:szCs w:val="22"/>
        </w:rPr>
      </w:pPr>
      <w:r w:rsidRPr="003B7AF4">
        <w:rPr>
          <w:rFonts w:ascii="Calibri" w:hAnsi="Calibri" w:cs="Calibri" w:hint="cs"/>
          <w:b/>
          <w:bCs w:val="0"/>
          <w:i/>
          <w:iCs w:val="0"/>
          <w:szCs w:val="22"/>
          <w:rtl/>
        </w:rPr>
        <w:t>ألف</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r>
      <w:r w:rsidRPr="003B7AF4">
        <w:rPr>
          <w:rFonts w:ascii="Times New Roman" w:hAnsi="Times New Roman" w:cs="Calibri"/>
          <w:b/>
          <w:bCs w:val="0"/>
          <w:i/>
          <w:iCs w:val="0"/>
          <w:szCs w:val="22"/>
          <w:rtl/>
        </w:rPr>
        <w:t>مراجعة الآيكان المرتقبة لسياسة الويبو الموحدة لتسوية المنازعات وغيرها من آليات حماية الحقوق</w:t>
      </w:r>
    </w:p>
    <w:p w14:paraId="2E76FF61" w14:textId="15145582" w:rsidR="00C54079" w:rsidRPr="003B7AF4" w:rsidRDefault="008264FB" w:rsidP="00C54079">
      <w:pPr>
        <w:widowControl w:val="0"/>
        <w:spacing w:before="240" w:after="240"/>
        <w:rPr>
          <w:rFonts w:ascii="Calibri" w:hAnsi="Calibri" w:cs="Calibri"/>
          <w:szCs w:val="22"/>
          <w:vertAlign w:val="superscript"/>
        </w:rPr>
      </w:pPr>
      <w:r w:rsidRPr="003B7AF4">
        <w:rPr>
          <w:rFonts w:ascii="Calibri" w:hAnsi="Calibri" w:cs="Calibri"/>
          <w:szCs w:val="22"/>
          <w:rtl/>
        </w:rPr>
        <w:t>43</w:t>
      </w:r>
      <w:r w:rsidR="00C54079" w:rsidRPr="003B7AF4">
        <w:rPr>
          <w:rFonts w:ascii="Calibri" w:hAnsi="Calibri" w:cs="Calibri"/>
          <w:szCs w:val="22"/>
          <w:rtl/>
        </w:rPr>
        <w:t>.</w:t>
      </w:r>
      <w:r w:rsidR="00C54079" w:rsidRPr="003B7AF4">
        <w:rPr>
          <w:rFonts w:ascii="Calibri" w:hAnsi="Calibri" w:cs="Calibri"/>
          <w:szCs w:val="22"/>
          <w:rtl/>
        </w:rPr>
        <w:tab/>
      </w:r>
      <w:r w:rsidR="001F56A2" w:rsidRPr="003B7AF4">
        <w:rPr>
          <w:rFonts w:ascii="Times New Roman" w:hAnsi="Times New Roman" w:cs="Calibri"/>
          <w:szCs w:val="22"/>
          <w:rtl/>
        </w:rPr>
        <w:t>إن السياسة الموحدة إذ تتكيف مع التطور المتواصل لنظام أسماء الحقول فإنها توفر بديلاً فعّالاً للغاية عن المقاضاة أمام المحاكم لأصحاب العلامات التجارية وأصحاب تسجيلات أسماء الحقول والمسؤولين عن التسجيل</w:t>
      </w:r>
      <w:r w:rsidR="00C54079" w:rsidRPr="003B7AF4">
        <w:rPr>
          <w:rFonts w:ascii="Calibri" w:hAnsi="Calibri" w:cs="Calibri"/>
          <w:szCs w:val="22"/>
          <w:rtl/>
        </w:rPr>
        <w:t xml:space="preserve">.  </w:t>
      </w:r>
      <w:r w:rsidR="001F56A2" w:rsidRPr="003B7AF4">
        <w:rPr>
          <w:rFonts w:ascii="Times New Roman" w:hAnsi="Times New Roman" w:cs="Calibri"/>
          <w:szCs w:val="22"/>
          <w:rtl/>
        </w:rPr>
        <w:t>وعلى الرغم من نجاح السياسة الموحدة لتسوية المنازعات</w:t>
      </w:r>
      <w:r w:rsidR="001F56A2" w:rsidRPr="003B7AF4">
        <w:rPr>
          <w:rFonts w:ascii="Times New Roman" w:hAnsi="Times New Roman" w:cs="Calibri" w:hint="cs"/>
          <w:szCs w:val="22"/>
          <w:rtl/>
        </w:rPr>
        <w:t xml:space="preserve"> في 2011</w:t>
      </w:r>
      <w:r w:rsidR="001F56A2" w:rsidRPr="003B7AF4">
        <w:rPr>
          <w:rFonts w:ascii="Times New Roman" w:hAnsi="Times New Roman" w:cs="Calibri"/>
          <w:szCs w:val="22"/>
          <w:rtl/>
        </w:rPr>
        <w:t>، قررت المنظمة الداعمة للأسماء العامة التابعة للآيكان مراجعتها، عقب إطلاق حقول عليا جديدة مُكوَّنة من أسماء عامة</w:t>
      </w:r>
      <w:r w:rsidR="00C54079" w:rsidRPr="003B7AF4">
        <w:rPr>
          <w:rFonts w:ascii="Calibri" w:hAnsi="Calibri" w:cs="Calibri"/>
          <w:szCs w:val="22"/>
          <w:rtl/>
        </w:rPr>
        <w:t>.</w:t>
      </w:r>
      <w:r w:rsidR="00C54079" w:rsidRPr="003B7AF4">
        <w:rPr>
          <w:rFonts w:ascii="Calibri" w:hAnsi="Calibri" w:cs="Calibri"/>
          <w:szCs w:val="22"/>
          <w:vertAlign w:val="superscript"/>
          <w:rtl/>
        </w:rPr>
        <w:footnoteReference w:id="31"/>
      </w:r>
      <w:r w:rsidR="00C54079" w:rsidRPr="003B7AF4">
        <w:rPr>
          <w:rFonts w:ascii="Calibri" w:hAnsi="Calibri" w:cs="Calibri"/>
          <w:szCs w:val="22"/>
          <w:rtl/>
        </w:rPr>
        <w:t xml:space="preserve">   </w:t>
      </w:r>
      <w:r w:rsidR="001F56A2" w:rsidRPr="003B7AF4">
        <w:rPr>
          <w:rFonts w:ascii="Times New Roman" w:hAnsi="Times New Roman" w:cs="Calibri"/>
          <w:szCs w:val="22"/>
          <w:rtl/>
        </w:rPr>
        <w:t xml:space="preserve">ويصف </w:t>
      </w:r>
      <w:hyperlink r:id="rId44" w:history="1">
        <w:r w:rsidR="001F56A2" w:rsidRPr="00737BB4">
          <w:rPr>
            <w:rStyle w:val="Hyperlink"/>
            <w:rFonts w:ascii="Times New Roman" w:hAnsi="Times New Roman" w:cs="Calibri"/>
            <w:color w:val="0000FF"/>
            <w:szCs w:val="22"/>
            <w:u w:color="0000FF"/>
            <w:rtl/>
          </w:rPr>
          <w:t>تقرير الآيكان الأولي لعام 2015</w:t>
        </w:r>
      </w:hyperlink>
      <w:r w:rsidR="001F56A2" w:rsidRPr="003B7AF4">
        <w:rPr>
          <w:rFonts w:ascii="Times New Roman" w:hAnsi="Times New Roman" w:cs="Calibri"/>
          <w:szCs w:val="22"/>
          <w:rtl/>
        </w:rPr>
        <w:t xml:space="preserve"> مجموعة من المسائل الموضوعية والعملية المعقدة. وقدّم المركز بعض الملاحظات التي أبرزت النجاح الذي لطالما أثبتته السياسة الموحدة والمخاطر المقترنة بأي محاولة تقوم بها الآيكان لمراجعة السياسة الموحدة. وعقب فترة مخصصة لتعليقات الجمهور، نشرت الآيكان تقريرها الختامي في يناير 2016 وأوصت فيه المنظمة الداعمة للأسماء العامة بإطلاق عملية تطوير للسياسات بغية مراجعة جميع آليات حماية الحقوق على مرحلتين؛ وصدر عن المرحلة الأولى التي انتهت الآن </w:t>
      </w:r>
      <w:hyperlink r:id="rId45" w:history="1">
        <w:r w:rsidR="001F56A2" w:rsidRPr="00737BB4">
          <w:rPr>
            <w:rStyle w:val="Hyperlink"/>
            <w:rFonts w:ascii="Times New Roman" w:hAnsi="Times New Roman" w:cs="Calibri"/>
            <w:color w:val="0000FF"/>
            <w:szCs w:val="22"/>
            <w:u w:color="0000FF"/>
            <w:rtl/>
          </w:rPr>
          <w:t>تقرير ختامي</w:t>
        </w:r>
      </w:hyperlink>
      <w:r w:rsidR="001F56A2" w:rsidRPr="003B7AF4">
        <w:rPr>
          <w:rFonts w:ascii="Times New Roman" w:hAnsi="Times New Roman" w:cs="Calibri"/>
          <w:szCs w:val="22"/>
          <w:rtl/>
        </w:rPr>
        <w:t xml:space="preserve"> يركز على آليات حماية الحقوق المعدّة من أجل البرنامج الجديد للحقول العليا المكوَّنة من أسماء عامة، وخاصة مركز تبادل المعلومات عن العلامات التجارية (بما يشمل آليتي حماية الحقوق</w:t>
      </w:r>
      <w:r w:rsidR="001F56A2" w:rsidRPr="003B7AF4">
        <w:rPr>
          <w:rFonts w:ascii="Times New Roman" w:hAnsi="Times New Roman" w:cs="Calibri"/>
          <w:szCs w:val="22"/>
        </w:rPr>
        <w:t>"</w:t>
      </w:r>
      <w:r w:rsidR="001F56A2" w:rsidRPr="003B7AF4">
        <w:rPr>
          <w:rFonts w:asciiTheme="minorBidi" w:hAnsiTheme="minorBidi" w:cs="Calibri"/>
          <w:szCs w:val="22"/>
        </w:rPr>
        <w:t>Sunrise</w:t>
      </w:r>
      <w:r w:rsidR="001F56A2" w:rsidRPr="003B7AF4">
        <w:rPr>
          <w:rFonts w:ascii="Times New Roman" w:hAnsi="Times New Roman" w:cs="Calibri"/>
          <w:szCs w:val="22"/>
          <w:rtl/>
        </w:rPr>
        <w:t>" و"المطالب") والنظام الموحد للوقف السريع، ونتج عن ذلك طائفة من الاقتراحات التشغيلية والإجرائية تدعو إلى إدخال تغييرات على تلك الآليات</w:t>
      </w:r>
      <w:r w:rsidR="00C54079" w:rsidRPr="003B7AF4">
        <w:rPr>
          <w:rFonts w:ascii="Calibri" w:hAnsi="Calibri" w:cs="Calibri"/>
          <w:szCs w:val="22"/>
          <w:rtl/>
        </w:rPr>
        <w:t>.</w:t>
      </w:r>
      <w:r w:rsidR="00C54079" w:rsidRPr="003B7AF4">
        <w:rPr>
          <w:rFonts w:ascii="Calibri" w:hAnsi="Calibri" w:cs="Calibri"/>
          <w:szCs w:val="22"/>
          <w:vertAlign w:val="superscript"/>
          <w:rtl/>
        </w:rPr>
        <w:footnoteReference w:id="32"/>
      </w:r>
      <w:r w:rsidR="00C54079" w:rsidRPr="003B7AF4">
        <w:rPr>
          <w:rFonts w:ascii="Calibri" w:hAnsi="Calibri" w:cs="Calibri"/>
          <w:szCs w:val="22"/>
          <w:rtl/>
        </w:rPr>
        <w:t xml:space="preserve">  </w:t>
      </w:r>
      <w:r w:rsidR="001F56A2" w:rsidRPr="003B7AF4">
        <w:rPr>
          <w:rFonts w:ascii="Times New Roman" w:hAnsi="Times New Roman" w:cs="Calibri"/>
          <w:szCs w:val="22"/>
          <w:rtl/>
        </w:rPr>
        <w:t xml:space="preserve">ويتضمن التقرير الختامي للمرحلة الأولى 35 توصية تتوافق عليها الآراء </w:t>
      </w:r>
      <w:r w:rsidR="00C54079" w:rsidRPr="003B7AF4">
        <w:rPr>
          <w:rFonts w:ascii="Calibri" w:hAnsi="Calibri" w:cs="Calibri"/>
          <w:szCs w:val="22"/>
          <w:vertAlign w:val="superscript"/>
          <w:rtl/>
        </w:rPr>
        <w:footnoteReference w:id="33"/>
      </w:r>
      <w:r w:rsidR="00C54079" w:rsidRPr="003B7AF4">
        <w:rPr>
          <w:rFonts w:ascii="Calibri" w:hAnsi="Calibri" w:cs="Calibri"/>
          <w:szCs w:val="22"/>
          <w:rtl/>
        </w:rPr>
        <w:t xml:space="preserve"> </w:t>
      </w:r>
      <w:r w:rsidR="001F56A2" w:rsidRPr="003B7AF4">
        <w:rPr>
          <w:rFonts w:ascii="Times New Roman" w:hAnsi="Times New Roman" w:cs="Calibri"/>
          <w:szCs w:val="22"/>
          <w:rtl/>
        </w:rPr>
        <w:t xml:space="preserve">واعتمده مجلس المنظمة الداعمة للأسماء العامة ومجلس الآيكان </w:t>
      </w:r>
      <w:r w:rsidR="001F56A2" w:rsidRPr="003B7AF4">
        <w:rPr>
          <w:rFonts w:ascii="Times New Roman" w:hAnsi="Times New Roman" w:cs="Calibri" w:hint="cs"/>
          <w:szCs w:val="22"/>
          <w:rtl/>
        </w:rPr>
        <w:t>على أن</w:t>
      </w:r>
      <w:r w:rsidR="001F56A2" w:rsidRPr="003B7AF4">
        <w:rPr>
          <w:rFonts w:ascii="Times New Roman" w:hAnsi="Times New Roman" w:cs="Calibri"/>
          <w:szCs w:val="22"/>
          <w:rtl/>
        </w:rPr>
        <w:t xml:space="preserve"> تُنفّذ تلك التوصيات على عدة مراحل</w:t>
      </w:r>
      <w:r w:rsidR="00C54079" w:rsidRPr="003B7AF4">
        <w:rPr>
          <w:rFonts w:ascii="Calibri" w:hAnsi="Calibri" w:cs="Calibri"/>
          <w:szCs w:val="22"/>
          <w:rtl/>
        </w:rPr>
        <w:t>.</w:t>
      </w:r>
      <w:r w:rsidR="00C54079" w:rsidRPr="003B7AF4">
        <w:rPr>
          <w:rFonts w:ascii="Calibri" w:hAnsi="Calibri" w:cs="Calibri"/>
          <w:szCs w:val="22"/>
          <w:vertAlign w:val="superscript"/>
          <w:rtl/>
        </w:rPr>
        <w:footnoteReference w:id="34"/>
      </w:r>
      <w:r w:rsidR="00C54079" w:rsidRPr="003B7AF4">
        <w:rPr>
          <w:rFonts w:ascii="Calibri" w:hAnsi="Calibri" w:cs="Calibri"/>
          <w:szCs w:val="22"/>
          <w:vertAlign w:val="superscript"/>
          <w:rtl/>
        </w:rPr>
        <w:t xml:space="preserve">  </w:t>
      </w:r>
    </w:p>
    <w:p w14:paraId="262FF5E5" w14:textId="4A4483B6" w:rsidR="00C54079" w:rsidRPr="003B7AF4" w:rsidRDefault="008264FB" w:rsidP="00C54079">
      <w:pPr>
        <w:widowControl w:val="0"/>
        <w:spacing w:before="240" w:after="240"/>
        <w:rPr>
          <w:rFonts w:ascii="Calibri" w:hAnsi="Calibri" w:cs="Calibri"/>
          <w:szCs w:val="22"/>
        </w:rPr>
      </w:pPr>
      <w:r w:rsidRPr="003B7AF4">
        <w:rPr>
          <w:rFonts w:ascii="Calibri" w:hAnsi="Calibri" w:cs="Calibri"/>
          <w:szCs w:val="22"/>
          <w:rtl/>
        </w:rPr>
        <w:t>44</w:t>
      </w:r>
      <w:r w:rsidR="00C54079" w:rsidRPr="003B7AF4">
        <w:rPr>
          <w:rFonts w:ascii="Calibri" w:hAnsi="Calibri" w:cs="Calibri"/>
          <w:szCs w:val="22"/>
          <w:rtl/>
        </w:rPr>
        <w:t>.</w:t>
      </w:r>
      <w:r w:rsidR="00C54079" w:rsidRPr="003B7AF4">
        <w:rPr>
          <w:rFonts w:ascii="Calibri" w:hAnsi="Calibri" w:cs="Calibri"/>
          <w:szCs w:val="22"/>
          <w:rtl/>
        </w:rPr>
        <w:tab/>
        <w:t xml:space="preserve">ستركز المرحلة الثانية (المتوقع الآن أن تبدأ أعمال الميثاق في وقت ما في عام 2025 أو 2026) </w:t>
      </w:r>
      <w:r w:rsidR="003B30D3" w:rsidRPr="003B7AF4">
        <w:rPr>
          <w:rFonts w:ascii="Times New Roman" w:hAnsi="Times New Roman" w:cs="Calibri"/>
          <w:szCs w:val="22"/>
          <w:rtl/>
        </w:rPr>
        <w:t>على السياسة الموحدة لتسوية المنازعات</w:t>
      </w:r>
      <w:r w:rsidR="00C54079" w:rsidRPr="003B7AF4">
        <w:rPr>
          <w:rFonts w:ascii="Calibri" w:hAnsi="Calibri" w:cs="Calibri"/>
          <w:szCs w:val="22"/>
          <w:rtl/>
        </w:rPr>
        <w:t>.</w:t>
      </w:r>
      <w:r w:rsidR="00C54079" w:rsidRPr="003B7AF4">
        <w:rPr>
          <w:rFonts w:ascii="Calibri" w:hAnsi="Calibri" w:cs="Calibri"/>
          <w:szCs w:val="22"/>
          <w:vertAlign w:val="superscript"/>
          <w:rtl/>
        </w:rPr>
        <w:footnoteReference w:id="35"/>
      </w:r>
      <w:r w:rsidR="00C54079" w:rsidRPr="003B7AF4">
        <w:rPr>
          <w:rFonts w:ascii="Calibri" w:hAnsi="Calibri" w:cs="Calibri"/>
          <w:szCs w:val="22"/>
          <w:rtl/>
        </w:rPr>
        <w:t xml:space="preserve">   </w:t>
      </w:r>
      <w:r w:rsidR="003B30D3" w:rsidRPr="003B7AF4">
        <w:rPr>
          <w:rFonts w:ascii="Times New Roman" w:hAnsi="Times New Roman" w:cs="Calibri"/>
          <w:szCs w:val="22"/>
          <w:rtl/>
        </w:rPr>
        <w:t>وتثير هذه المسألة قلقاً بالغاً، علماً بأن الآيكان قد اعتمدت أيضاً جهات إضافية لتقديم الخدمات بناءً على السياسة الموحدة وأن الطريقة التي قد تتطور بها السياسة الموحدة في عملية الآيكان هذه تكتنفها الشكوك. ويواصل المركز متابعة نوايا أصحاب المصلحة في الآيكان عن كثب فيما يتعلق بالسياسة الموحدة وآليات حماية الحقوق المرتبطة بالعلامات التجارية بوجه عام. وفي إطار هذا الجهد، يواصل المركز مشاوراته مع أصحاب المصلحة، مثل جمعية الاتحادات الأوروبية للعاملين في مجال العلامات التجارية (</w:t>
      </w:r>
      <w:r w:rsidR="003B30D3" w:rsidRPr="003B7AF4">
        <w:rPr>
          <w:rFonts w:ascii="Times New Roman" w:hAnsi="Times New Roman" w:cs="Calibri"/>
          <w:szCs w:val="22"/>
          <w:cs/>
        </w:rPr>
        <w:t>‎</w:t>
      </w:r>
      <w:r w:rsidR="003B30D3" w:rsidRPr="003B7AF4">
        <w:rPr>
          <w:rFonts w:asciiTheme="minorBidi" w:hAnsiTheme="minorBidi" w:cs="Calibri"/>
          <w:szCs w:val="22"/>
          <w:rtl/>
          <w:cs/>
        </w:rPr>
        <w:t>ECTA</w:t>
      </w:r>
      <w:r w:rsidR="003B30D3" w:rsidRPr="003B7AF4">
        <w:rPr>
          <w:rFonts w:ascii="Times New Roman" w:hAnsi="Times New Roman" w:cs="Calibri"/>
          <w:szCs w:val="22"/>
          <w:rtl/>
        </w:rPr>
        <w:t>‏) والرابطة الدولية للعلامات التجارية (</w:t>
      </w:r>
      <w:r w:rsidR="003B30D3" w:rsidRPr="003B7AF4">
        <w:rPr>
          <w:rFonts w:asciiTheme="minorBidi" w:hAnsiTheme="minorBidi" w:cs="Calibri"/>
          <w:szCs w:val="22"/>
        </w:rPr>
        <w:t>INTA</w:t>
      </w:r>
      <w:r w:rsidR="003B30D3" w:rsidRPr="003B7AF4">
        <w:rPr>
          <w:rFonts w:ascii="Times New Roman" w:hAnsi="Times New Roman" w:cs="Calibri"/>
          <w:szCs w:val="22"/>
          <w:rtl/>
        </w:rPr>
        <w:t>) وجمعية مالكي العلامات التجارية الأوروبيين (</w:t>
      </w:r>
      <w:r w:rsidR="003B30D3" w:rsidRPr="003B7AF4">
        <w:rPr>
          <w:rFonts w:asciiTheme="minorBidi" w:hAnsiTheme="minorBidi" w:cs="Calibri"/>
          <w:szCs w:val="22"/>
        </w:rPr>
        <w:t>MARQUES</w:t>
      </w:r>
      <w:r w:rsidR="003B30D3" w:rsidRPr="003B7AF4">
        <w:rPr>
          <w:rFonts w:ascii="Times New Roman" w:hAnsi="Times New Roman" w:cs="Calibri"/>
          <w:szCs w:val="22"/>
          <w:rtl/>
        </w:rPr>
        <w:t xml:space="preserve">) بالإضافة إلى الآيكان. وتجدر الإشارة فيما يتعلق بالسياسة الموحدة لتسوية المنازعات إلى أن هناك دعوات من جانب الهيئات التأسيسية للآيكان إلى إجراء مراجعة أولية تشاورية مركّزة للسياسة الموحدة بقيادة الخبراء تضطلع بها أمانة الويبو لتقييم العملية المتعلقة بالسياسة الموحدة </w:t>
      </w:r>
      <w:r w:rsidR="003B30D3" w:rsidRPr="003B7AF4">
        <w:rPr>
          <w:rFonts w:ascii="Times New Roman" w:hAnsi="Times New Roman" w:cs="Calibri"/>
          <w:szCs w:val="22"/>
          <w:rtl/>
        </w:rPr>
        <w:lastRenderedPageBreak/>
        <w:t>من أجل إثراء العملية السياساتية التي تتبعها ال</w:t>
      </w:r>
      <w:r w:rsidR="003B30D3" w:rsidRPr="003B7AF4">
        <w:rPr>
          <w:rFonts w:ascii="Times New Roman" w:hAnsi="Times New Roman" w:cs="Calibri" w:hint="cs"/>
          <w:szCs w:val="22"/>
          <w:rtl/>
        </w:rPr>
        <w:t>آ</w:t>
      </w:r>
      <w:r w:rsidR="003B30D3" w:rsidRPr="003B7AF4">
        <w:rPr>
          <w:rFonts w:ascii="Times New Roman" w:hAnsi="Times New Roman" w:cs="Calibri"/>
          <w:szCs w:val="22"/>
          <w:rtl/>
        </w:rPr>
        <w:t>يكان في الإطار الحالي للسياسة الموحدة</w:t>
      </w:r>
      <w:r w:rsidR="00C54079" w:rsidRPr="003B7AF4">
        <w:rPr>
          <w:rFonts w:ascii="Calibri" w:hAnsi="Calibri" w:cs="Calibri"/>
          <w:szCs w:val="22"/>
          <w:vertAlign w:val="superscript"/>
          <w:rtl/>
        </w:rPr>
        <w:footnoteReference w:id="36"/>
      </w:r>
      <w:r w:rsidR="003B30D3" w:rsidRPr="003B7AF4">
        <w:rPr>
          <w:rFonts w:ascii="Times New Roman" w:hAnsi="Times New Roman" w:cs="Calibri" w:hint="cs"/>
          <w:szCs w:val="22"/>
          <w:rtl/>
        </w:rPr>
        <w:t>.</w:t>
      </w:r>
    </w:p>
    <w:p w14:paraId="18F91AE0" w14:textId="36086DB6" w:rsidR="00C54079" w:rsidRPr="003B7AF4" w:rsidRDefault="008264FB" w:rsidP="0000011B">
      <w:pPr>
        <w:widowControl w:val="0"/>
        <w:spacing w:before="240" w:after="240"/>
        <w:rPr>
          <w:rFonts w:ascii="Calibri" w:hAnsi="Calibri" w:cs="Calibri"/>
          <w:szCs w:val="22"/>
        </w:rPr>
      </w:pPr>
      <w:r w:rsidRPr="003B7AF4">
        <w:rPr>
          <w:rFonts w:ascii="Calibri" w:hAnsi="Calibri" w:cs="Calibri"/>
          <w:szCs w:val="22"/>
          <w:rtl/>
        </w:rPr>
        <w:t>45</w:t>
      </w:r>
      <w:r w:rsidR="00C54079" w:rsidRPr="003B7AF4">
        <w:rPr>
          <w:rFonts w:ascii="Calibri" w:hAnsi="Calibri" w:cs="Calibri"/>
          <w:szCs w:val="22"/>
          <w:rtl/>
        </w:rPr>
        <w:t>.</w:t>
      </w:r>
      <w:r w:rsidR="00C54079" w:rsidRPr="003B7AF4">
        <w:rPr>
          <w:rFonts w:ascii="Calibri" w:hAnsi="Calibri" w:cs="Calibri"/>
          <w:szCs w:val="22"/>
          <w:rtl/>
        </w:rPr>
        <w:tab/>
        <w:t xml:space="preserve">استباقاً لمراجعة </w:t>
      </w:r>
      <w:r w:rsidR="0000011B" w:rsidRPr="003B7AF4">
        <w:rPr>
          <w:rFonts w:ascii="Calibri" w:hAnsi="Calibri" w:cs="Calibri" w:hint="cs"/>
          <w:szCs w:val="22"/>
          <w:rtl/>
        </w:rPr>
        <w:t>الآيكان</w:t>
      </w:r>
      <w:r w:rsidR="00C54079" w:rsidRPr="003B7AF4">
        <w:rPr>
          <w:rFonts w:ascii="Calibri" w:hAnsi="Calibri" w:cs="Calibri"/>
          <w:szCs w:val="22"/>
          <w:rtl/>
        </w:rPr>
        <w:t xml:space="preserve"> </w:t>
      </w:r>
      <w:r w:rsidR="0000011B" w:rsidRPr="003B7AF4">
        <w:rPr>
          <w:rFonts w:ascii="Calibri" w:hAnsi="Calibri" w:cs="Calibri" w:hint="cs"/>
          <w:szCs w:val="22"/>
          <w:rtl/>
        </w:rPr>
        <w:t>للسياسة الموحدة</w:t>
      </w:r>
      <w:r w:rsidR="00C54079" w:rsidRPr="003B7AF4">
        <w:rPr>
          <w:rFonts w:ascii="Calibri" w:hAnsi="Calibri" w:cs="Calibri"/>
          <w:szCs w:val="22"/>
          <w:rtl/>
        </w:rPr>
        <w:t xml:space="preserve">، يقوم المركز </w:t>
      </w:r>
      <w:hyperlink r:id="rId46" w:history="1">
        <w:r w:rsidR="00C54079" w:rsidRPr="00737BB4">
          <w:rPr>
            <w:rStyle w:val="Hyperlink"/>
            <w:rFonts w:ascii="Calibri" w:hAnsi="Calibri" w:cs="Calibri"/>
            <w:color w:val="0000FF"/>
            <w:szCs w:val="22"/>
            <w:u w:color="0000FF"/>
            <w:rtl/>
          </w:rPr>
          <w:t xml:space="preserve">بعملية تشاورية مركزة </w:t>
        </w:r>
      </w:hyperlink>
      <w:r w:rsidR="00C54079" w:rsidRPr="003B7AF4">
        <w:rPr>
          <w:rFonts w:ascii="Calibri" w:hAnsi="Calibri" w:cs="Calibri"/>
          <w:szCs w:val="22"/>
          <w:rtl/>
        </w:rPr>
        <w:t xml:space="preserve">لإعداد تقرير عن التجارب الفقهية والتشغيلية </w:t>
      </w:r>
      <w:r w:rsidR="00700E9E" w:rsidRPr="003B7AF4">
        <w:rPr>
          <w:rFonts w:ascii="Calibri" w:hAnsi="Calibri" w:cs="Calibri" w:hint="cs"/>
          <w:szCs w:val="22"/>
          <w:rtl/>
        </w:rPr>
        <w:t>فيما يخص السياية الموححدة</w:t>
      </w:r>
      <w:r w:rsidR="00C54079" w:rsidRPr="003B7AF4">
        <w:rPr>
          <w:rFonts w:ascii="Calibri" w:hAnsi="Calibri" w:cs="Calibri"/>
          <w:szCs w:val="22"/>
          <w:rtl/>
        </w:rPr>
        <w:t xml:space="preserve"> لتحديد المجالات التي يوجد فيها توافق في الآراء بشأن التوصيات المتعلقة بالسياسات أو تحديثات الممارسات في المستقبل.  وقد تألف هذا المشروع حتى الآن من عملية تشاورية دولية مع قادة وخبراء </w:t>
      </w:r>
      <w:r w:rsidR="00700E9E" w:rsidRPr="003B7AF4">
        <w:rPr>
          <w:rFonts w:ascii="Calibri" w:hAnsi="Calibri" w:cs="Calibri" w:hint="cs"/>
          <w:szCs w:val="22"/>
          <w:rtl/>
        </w:rPr>
        <w:t>في القطاع</w:t>
      </w:r>
      <w:r w:rsidR="00C54079" w:rsidRPr="003B7AF4">
        <w:rPr>
          <w:rFonts w:ascii="Calibri" w:hAnsi="Calibri" w:cs="Calibri"/>
          <w:szCs w:val="22"/>
          <w:rtl/>
        </w:rPr>
        <w:t xml:space="preserve"> لتحديد أفضل الممارسات والتوافق في الآراء والمجالات المحتملة لتحسين </w:t>
      </w:r>
      <w:r w:rsidR="00700E9E" w:rsidRPr="003B7AF4">
        <w:rPr>
          <w:rFonts w:ascii="Calibri" w:hAnsi="Calibri" w:cs="Calibri" w:hint="cs"/>
          <w:szCs w:val="22"/>
          <w:rtl/>
        </w:rPr>
        <w:t>السياسة الموحدة</w:t>
      </w:r>
      <w:r w:rsidR="00C54079" w:rsidRPr="003B7AF4">
        <w:rPr>
          <w:rFonts w:ascii="Calibri" w:hAnsi="Calibri" w:cs="Calibri"/>
          <w:szCs w:val="22"/>
          <w:rtl/>
        </w:rPr>
        <w:t xml:space="preserve">. ويجري حاليًا إعداد </w:t>
      </w:r>
      <w:r w:rsidR="00700E9E" w:rsidRPr="003B7AF4">
        <w:rPr>
          <w:rFonts w:ascii="Calibri" w:hAnsi="Calibri" w:cs="Calibri" w:hint="cs"/>
          <w:szCs w:val="22"/>
          <w:rtl/>
        </w:rPr>
        <w:t>مشروع</w:t>
      </w:r>
      <w:r w:rsidR="00C54079" w:rsidRPr="003B7AF4">
        <w:rPr>
          <w:rFonts w:ascii="Calibri" w:hAnsi="Calibri" w:cs="Calibri"/>
          <w:szCs w:val="22"/>
          <w:rtl/>
        </w:rPr>
        <w:t xml:space="preserve"> تقرير ومن المتوقع أن تتم مشاركته للحصول على مدخلات عامة </w:t>
      </w:r>
      <w:r w:rsidR="00B2533F" w:rsidRPr="003B7AF4">
        <w:rPr>
          <w:rFonts w:ascii="Calibri" w:hAnsi="Calibri" w:cs="Calibri"/>
          <w:szCs w:val="22"/>
          <w:rtl/>
        </w:rPr>
        <w:t xml:space="preserve">أوسع، وسيتم إرسال </w:t>
      </w:r>
      <w:r w:rsidR="00C54079" w:rsidRPr="003B7AF4">
        <w:rPr>
          <w:rFonts w:ascii="Calibri" w:hAnsi="Calibri" w:cs="Calibri"/>
          <w:szCs w:val="22"/>
          <w:rtl/>
        </w:rPr>
        <w:t xml:space="preserve">تقرير نهائي إلى </w:t>
      </w:r>
      <w:r w:rsidR="00700E9E" w:rsidRPr="003B7AF4">
        <w:rPr>
          <w:rFonts w:ascii="Calibri" w:hAnsi="Calibri" w:cs="Calibri" w:hint="cs"/>
          <w:szCs w:val="22"/>
          <w:rtl/>
        </w:rPr>
        <w:t>الآيكان</w:t>
      </w:r>
      <w:r w:rsidR="00700E9E" w:rsidRPr="003B7AF4">
        <w:rPr>
          <w:rFonts w:ascii="Calibri" w:hAnsi="Calibri" w:cs="Calibri"/>
          <w:szCs w:val="22"/>
          <w:rtl/>
        </w:rPr>
        <w:t xml:space="preserve"> </w:t>
      </w:r>
      <w:r w:rsidR="00C54079" w:rsidRPr="003B7AF4">
        <w:rPr>
          <w:rFonts w:ascii="Calibri" w:hAnsi="Calibri" w:cs="Calibri"/>
          <w:szCs w:val="22"/>
          <w:rtl/>
        </w:rPr>
        <w:t xml:space="preserve">للنظر فيه </w:t>
      </w:r>
      <w:r w:rsidR="00700E9E" w:rsidRPr="003B7AF4">
        <w:rPr>
          <w:rFonts w:ascii="Calibri" w:hAnsi="Calibri" w:cs="Calibri" w:hint="cs"/>
          <w:szCs w:val="22"/>
          <w:rtl/>
        </w:rPr>
        <w:t>بشأن</w:t>
      </w:r>
      <w:r w:rsidR="00C54079" w:rsidRPr="003B7AF4">
        <w:rPr>
          <w:rFonts w:ascii="Calibri" w:hAnsi="Calibri" w:cs="Calibri"/>
          <w:szCs w:val="22"/>
          <w:rtl/>
        </w:rPr>
        <w:t xml:space="preserve"> أي مراجعة </w:t>
      </w:r>
      <w:r w:rsidR="00700E9E" w:rsidRPr="003B7AF4">
        <w:rPr>
          <w:rFonts w:ascii="Calibri" w:hAnsi="Calibri" w:cs="Calibri" w:hint="cs"/>
          <w:szCs w:val="22"/>
          <w:rtl/>
        </w:rPr>
        <w:t>للسياسة العامة</w:t>
      </w:r>
      <w:r w:rsidR="00C54079" w:rsidRPr="003B7AF4">
        <w:rPr>
          <w:rFonts w:ascii="Calibri" w:hAnsi="Calibri" w:cs="Calibri"/>
          <w:szCs w:val="22"/>
          <w:rtl/>
        </w:rPr>
        <w:t xml:space="preserve"> </w:t>
      </w:r>
      <w:r w:rsidR="00700E9E" w:rsidRPr="003B7AF4">
        <w:rPr>
          <w:rFonts w:ascii="Calibri" w:hAnsi="Calibri" w:cs="Calibri" w:hint="cs"/>
          <w:szCs w:val="22"/>
          <w:rtl/>
        </w:rPr>
        <w:t xml:space="preserve">الذي تضطلع به </w:t>
      </w:r>
      <w:r w:rsidR="00700E9E" w:rsidRPr="003B7AF4">
        <w:rPr>
          <w:rFonts w:ascii="Times New Roman" w:hAnsi="Times New Roman" w:cs="Calibri"/>
          <w:szCs w:val="22"/>
          <w:rtl/>
        </w:rPr>
        <w:t>المنظمة الداعمة للأسماء العامة</w:t>
      </w:r>
      <w:r w:rsidR="00C54079" w:rsidRPr="003B7AF4">
        <w:rPr>
          <w:rFonts w:ascii="Calibri" w:hAnsi="Calibri" w:cs="Calibri"/>
          <w:szCs w:val="22"/>
          <w:rtl/>
        </w:rPr>
        <w:t>.</w:t>
      </w:r>
      <w:r w:rsidR="00700E9E" w:rsidRPr="003B7AF4">
        <w:rPr>
          <w:rFonts w:ascii="Calibri" w:hAnsi="Calibri" w:cs="Calibri" w:hint="cs"/>
          <w:szCs w:val="22"/>
          <w:rtl/>
        </w:rPr>
        <w:t xml:space="preserve"> </w:t>
      </w:r>
    </w:p>
    <w:p w14:paraId="2788BE32" w14:textId="0D88554A" w:rsidR="00C54079" w:rsidRPr="003B7AF4" w:rsidRDefault="00F80203" w:rsidP="00C54079">
      <w:pPr>
        <w:pStyle w:val="Heading2"/>
        <w:ind w:left="540"/>
        <w:rPr>
          <w:rFonts w:ascii="Calibri" w:hAnsi="Calibri" w:cs="Calibri"/>
          <w:b/>
          <w:bCs w:val="0"/>
          <w:i/>
          <w:iCs w:val="0"/>
          <w:szCs w:val="22"/>
        </w:rPr>
      </w:pPr>
      <w:r w:rsidRPr="003B7AF4">
        <w:rPr>
          <w:rFonts w:ascii="Calibri" w:hAnsi="Calibri" w:cs="Calibri" w:hint="cs"/>
          <w:b/>
          <w:bCs w:val="0"/>
          <w:i/>
          <w:iCs w:val="0"/>
          <w:szCs w:val="22"/>
          <w:rtl/>
        </w:rPr>
        <w:t>باء</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r>
      <w:r w:rsidR="00F4125F" w:rsidRPr="003B7AF4">
        <w:rPr>
          <w:rFonts w:ascii="Calibri" w:hAnsi="Calibri" w:cs="Calibri" w:hint="cs"/>
          <w:b/>
          <w:bCs w:val="0"/>
          <w:i/>
          <w:iCs w:val="0"/>
          <w:szCs w:val="22"/>
          <w:rtl/>
        </w:rPr>
        <w:t>ال</w:t>
      </w:r>
      <w:r w:rsidRPr="003B7AF4">
        <w:rPr>
          <w:rFonts w:ascii="Times New Roman" w:hAnsi="Times New Roman" w:cs="Calibri"/>
          <w:b/>
          <w:bCs w:val="0"/>
          <w:i/>
          <w:iCs w:val="0"/>
          <w:snapToGrid w:val="0"/>
          <w:szCs w:val="22"/>
          <w:rtl/>
        </w:rPr>
        <w:t xml:space="preserve">حقول </w:t>
      </w:r>
      <w:r w:rsidR="00F4125F" w:rsidRPr="003B7AF4">
        <w:rPr>
          <w:rFonts w:ascii="Times New Roman" w:hAnsi="Times New Roman" w:cs="Calibri" w:hint="cs"/>
          <w:b/>
          <w:bCs w:val="0"/>
          <w:i/>
          <w:iCs w:val="0"/>
          <w:snapToGrid w:val="0"/>
          <w:szCs w:val="22"/>
          <w:rtl/>
        </w:rPr>
        <w:t>ال</w:t>
      </w:r>
      <w:r w:rsidRPr="003B7AF4">
        <w:rPr>
          <w:rFonts w:ascii="Times New Roman" w:hAnsi="Times New Roman" w:cs="Calibri"/>
          <w:b/>
          <w:bCs w:val="0"/>
          <w:i/>
          <w:iCs w:val="0"/>
          <w:snapToGrid w:val="0"/>
          <w:szCs w:val="22"/>
          <w:rtl/>
        </w:rPr>
        <w:t xml:space="preserve">عليا </w:t>
      </w:r>
      <w:r w:rsidR="00F4125F" w:rsidRPr="003B7AF4">
        <w:rPr>
          <w:rFonts w:ascii="Times New Roman" w:hAnsi="Times New Roman" w:cs="Calibri" w:hint="cs"/>
          <w:b/>
          <w:bCs w:val="0"/>
          <w:i/>
          <w:iCs w:val="0"/>
          <w:snapToGrid w:val="0"/>
          <w:szCs w:val="22"/>
          <w:rtl/>
        </w:rPr>
        <w:t>ال</w:t>
      </w:r>
      <w:r w:rsidRPr="003B7AF4">
        <w:rPr>
          <w:rFonts w:ascii="Times New Roman" w:hAnsi="Times New Roman" w:cs="Calibri"/>
          <w:b/>
          <w:bCs w:val="0"/>
          <w:i/>
          <w:iCs w:val="0"/>
          <w:snapToGrid w:val="0"/>
          <w:szCs w:val="22"/>
          <w:rtl/>
        </w:rPr>
        <w:t xml:space="preserve">مكوَّنة من أسماء عامة </w:t>
      </w:r>
      <w:r w:rsidR="00F4125F" w:rsidRPr="003B7AF4">
        <w:rPr>
          <w:rFonts w:ascii="Times New Roman" w:hAnsi="Times New Roman" w:cs="Calibri"/>
          <w:b/>
          <w:bCs w:val="0"/>
          <w:i/>
          <w:iCs w:val="0"/>
          <w:snapToGrid w:val="0"/>
          <w:szCs w:val="22"/>
          <w:rtl/>
        </w:rPr>
        <w:t>جديدة</w:t>
      </w:r>
    </w:p>
    <w:p w14:paraId="43F54E31" w14:textId="1384EED7" w:rsidR="00C54079" w:rsidRPr="003B7AF4" w:rsidRDefault="008264FB" w:rsidP="00C54079">
      <w:pPr>
        <w:widowControl w:val="0"/>
        <w:spacing w:before="240" w:after="240"/>
        <w:rPr>
          <w:rFonts w:ascii="Calibri" w:hAnsi="Calibri" w:cs="Calibri"/>
          <w:szCs w:val="22"/>
        </w:rPr>
      </w:pPr>
      <w:r w:rsidRPr="003B7AF4">
        <w:rPr>
          <w:rFonts w:ascii="Calibri" w:hAnsi="Calibri" w:cs="Calibri"/>
          <w:szCs w:val="22"/>
          <w:rtl/>
        </w:rPr>
        <w:t>46</w:t>
      </w:r>
      <w:r w:rsidR="00C54079" w:rsidRPr="003B7AF4">
        <w:rPr>
          <w:rFonts w:ascii="Calibri" w:hAnsi="Calibri" w:cs="Calibri"/>
          <w:szCs w:val="22"/>
          <w:rtl/>
        </w:rPr>
        <w:t>.</w:t>
      </w:r>
      <w:r w:rsidR="00C54079" w:rsidRPr="003B7AF4">
        <w:rPr>
          <w:rFonts w:ascii="Calibri" w:hAnsi="Calibri" w:cs="Calibri"/>
          <w:szCs w:val="22"/>
          <w:rtl/>
        </w:rPr>
        <w:tab/>
        <w:t xml:space="preserve">تنفيذ </w:t>
      </w:r>
      <w:r w:rsidR="00F4125F" w:rsidRPr="003B7AF4">
        <w:rPr>
          <w:rFonts w:ascii="Calibri" w:hAnsi="Calibri" w:cs="Calibri" w:hint="cs"/>
          <w:szCs w:val="22"/>
          <w:rtl/>
        </w:rPr>
        <w:t>الآيكان</w:t>
      </w:r>
      <w:r w:rsidR="00F4125F" w:rsidRPr="003B7AF4">
        <w:rPr>
          <w:rFonts w:ascii="Calibri" w:hAnsi="Calibri" w:cs="Calibri"/>
          <w:szCs w:val="22"/>
          <w:rtl/>
        </w:rPr>
        <w:t xml:space="preserve"> </w:t>
      </w:r>
      <w:r w:rsidR="00C54079" w:rsidRPr="003B7AF4">
        <w:rPr>
          <w:rFonts w:ascii="Calibri" w:hAnsi="Calibri" w:cs="Calibri"/>
          <w:szCs w:val="22"/>
          <w:rtl/>
        </w:rPr>
        <w:t xml:space="preserve">لبرنامج </w:t>
      </w:r>
      <w:r w:rsidR="00F4125F" w:rsidRPr="003B7AF4">
        <w:rPr>
          <w:rFonts w:ascii="Calibri" w:hAnsi="Calibri" w:cs="Calibri" w:hint="cs"/>
          <w:szCs w:val="22"/>
          <w:rtl/>
        </w:rPr>
        <w:t>ال</w:t>
      </w:r>
      <w:r w:rsidR="00F4125F" w:rsidRPr="003B7AF4">
        <w:rPr>
          <w:rFonts w:ascii="Times New Roman" w:hAnsi="Times New Roman" w:cs="Calibri"/>
          <w:snapToGrid w:val="0"/>
          <w:szCs w:val="22"/>
          <w:rtl/>
        </w:rPr>
        <w:t xml:space="preserve">حقول </w:t>
      </w:r>
      <w:r w:rsidR="00F4125F" w:rsidRPr="003B7AF4">
        <w:rPr>
          <w:rFonts w:ascii="Times New Roman" w:hAnsi="Times New Roman" w:cs="Calibri" w:hint="cs"/>
          <w:snapToGrid w:val="0"/>
          <w:szCs w:val="22"/>
          <w:rtl/>
        </w:rPr>
        <w:t>ال</w:t>
      </w:r>
      <w:r w:rsidR="00F4125F" w:rsidRPr="003B7AF4">
        <w:rPr>
          <w:rFonts w:ascii="Times New Roman" w:hAnsi="Times New Roman" w:cs="Calibri"/>
          <w:snapToGrid w:val="0"/>
          <w:szCs w:val="22"/>
          <w:rtl/>
        </w:rPr>
        <w:t xml:space="preserve">عليا </w:t>
      </w:r>
      <w:r w:rsidR="00F4125F" w:rsidRPr="003B7AF4">
        <w:rPr>
          <w:rFonts w:ascii="Times New Roman" w:hAnsi="Times New Roman" w:cs="Calibri" w:hint="cs"/>
          <w:snapToGrid w:val="0"/>
          <w:szCs w:val="22"/>
          <w:rtl/>
        </w:rPr>
        <w:t>ال</w:t>
      </w:r>
      <w:r w:rsidR="00F4125F" w:rsidRPr="003B7AF4">
        <w:rPr>
          <w:rFonts w:ascii="Times New Roman" w:hAnsi="Times New Roman" w:cs="Calibri"/>
          <w:snapToGrid w:val="0"/>
          <w:szCs w:val="22"/>
          <w:rtl/>
        </w:rPr>
        <w:t>مكوَّنة من أسماء عامة جديدة</w:t>
      </w:r>
      <w:r w:rsidR="00B01FA7" w:rsidRPr="003B7AF4">
        <w:rPr>
          <w:rFonts w:ascii="Times New Roman" w:hAnsi="Times New Roman" w:cs="Calibri" w:hint="cs"/>
          <w:snapToGrid w:val="0"/>
          <w:szCs w:val="22"/>
          <w:rtl/>
        </w:rPr>
        <w:t xml:space="preserve"> (</w:t>
      </w:r>
      <w:r w:rsidR="00B01FA7" w:rsidRPr="003B7AF4">
        <w:rPr>
          <w:rFonts w:ascii="Calibri" w:hAnsi="Calibri" w:cs="Calibri" w:hint="cs"/>
          <w:szCs w:val="22"/>
          <w:rtl/>
        </w:rPr>
        <w:t>ال</w:t>
      </w:r>
      <w:r w:rsidR="00B01FA7" w:rsidRPr="003B7AF4">
        <w:rPr>
          <w:rFonts w:ascii="Times New Roman" w:hAnsi="Times New Roman" w:cs="Calibri"/>
          <w:snapToGrid w:val="0"/>
          <w:szCs w:val="22"/>
          <w:rtl/>
        </w:rPr>
        <w:t xml:space="preserve">حقول </w:t>
      </w:r>
      <w:r w:rsidR="00B01FA7" w:rsidRPr="003B7AF4">
        <w:rPr>
          <w:rFonts w:ascii="Times New Roman" w:hAnsi="Times New Roman" w:cs="Calibri" w:hint="cs"/>
          <w:snapToGrid w:val="0"/>
          <w:szCs w:val="22"/>
          <w:rtl/>
        </w:rPr>
        <w:t>ال</w:t>
      </w:r>
      <w:r w:rsidR="00B01FA7" w:rsidRPr="003B7AF4">
        <w:rPr>
          <w:rFonts w:ascii="Times New Roman" w:hAnsi="Times New Roman" w:cs="Calibri"/>
          <w:snapToGrid w:val="0"/>
          <w:szCs w:val="22"/>
          <w:rtl/>
        </w:rPr>
        <w:t>عليا</w:t>
      </w:r>
      <w:r w:rsidR="00B01FA7" w:rsidRPr="003B7AF4">
        <w:rPr>
          <w:rFonts w:ascii="Times New Roman" w:hAnsi="Times New Roman" w:cs="Calibri" w:hint="cs"/>
          <w:snapToGrid w:val="0"/>
          <w:szCs w:val="22"/>
          <w:rtl/>
        </w:rPr>
        <w:t>)</w:t>
      </w:r>
      <w:r w:rsidR="00C54079" w:rsidRPr="003B7AF4">
        <w:rPr>
          <w:rFonts w:ascii="Calibri" w:hAnsi="Calibri" w:cs="Calibri"/>
          <w:szCs w:val="22"/>
          <w:rtl/>
        </w:rPr>
        <w:t>، الذي تمت الموافقة عليه رسميًا في يونيو 2011،</w:t>
      </w:r>
      <w:r w:rsidR="00C54079" w:rsidRPr="003B7AF4">
        <w:rPr>
          <w:rStyle w:val="FootnoteReference"/>
          <w:rFonts w:ascii="Calibri" w:hAnsi="Calibri" w:cs="Calibri"/>
          <w:szCs w:val="22"/>
          <w:rtl/>
        </w:rPr>
        <w:footnoteReference w:id="37"/>
      </w:r>
      <w:r w:rsidR="00C54079" w:rsidRPr="003B7AF4">
        <w:rPr>
          <w:rFonts w:ascii="Calibri" w:hAnsi="Calibri" w:cs="Calibri"/>
          <w:szCs w:val="22"/>
          <w:rtl/>
        </w:rPr>
        <w:t xml:space="preserve"> تم تفصيله في </w:t>
      </w:r>
      <w:hyperlink r:id="rId47" w:history="1">
        <w:r w:rsidR="00C54079" w:rsidRPr="00737BB4">
          <w:rPr>
            <w:rStyle w:val="Hyperlink"/>
            <w:rFonts w:ascii="Calibri" w:hAnsi="Calibri" w:cs="Calibri"/>
            <w:color w:val="0000FF"/>
            <w:szCs w:val="22"/>
            <w:u w:color="0000FF"/>
            <w:rtl/>
          </w:rPr>
          <w:t xml:space="preserve">دليل مقدمي الطلبات </w:t>
        </w:r>
      </w:hyperlink>
      <w:r w:rsidR="00C54079" w:rsidRPr="003B7AF4">
        <w:rPr>
          <w:rFonts w:ascii="Calibri" w:hAnsi="Calibri" w:cs="Calibri"/>
          <w:szCs w:val="22"/>
          <w:rtl/>
        </w:rPr>
        <w:t xml:space="preserve">المتكرر.  وقد تم تفويض أول </w:t>
      </w:r>
      <w:r w:rsidR="00B01FA7" w:rsidRPr="003B7AF4">
        <w:rPr>
          <w:rFonts w:ascii="Calibri" w:hAnsi="Calibri" w:cs="Calibri" w:hint="cs"/>
          <w:szCs w:val="22"/>
          <w:rtl/>
        </w:rPr>
        <w:t>ال</w:t>
      </w:r>
      <w:r w:rsidR="00B01FA7" w:rsidRPr="003B7AF4">
        <w:rPr>
          <w:rFonts w:ascii="Times New Roman" w:hAnsi="Times New Roman" w:cs="Calibri"/>
          <w:snapToGrid w:val="0"/>
          <w:szCs w:val="22"/>
          <w:rtl/>
        </w:rPr>
        <w:t xml:space="preserve">حقول </w:t>
      </w:r>
      <w:r w:rsidR="00B01FA7" w:rsidRPr="003B7AF4">
        <w:rPr>
          <w:rFonts w:ascii="Times New Roman" w:hAnsi="Times New Roman" w:cs="Calibri" w:hint="cs"/>
          <w:snapToGrid w:val="0"/>
          <w:szCs w:val="22"/>
          <w:rtl/>
        </w:rPr>
        <w:t>ال</w:t>
      </w:r>
      <w:r w:rsidR="00B01FA7" w:rsidRPr="003B7AF4">
        <w:rPr>
          <w:rFonts w:ascii="Times New Roman" w:hAnsi="Times New Roman" w:cs="Calibri"/>
          <w:snapToGrid w:val="0"/>
          <w:szCs w:val="22"/>
          <w:rtl/>
        </w:rPr>
        <w:t xml:space="preserve">عليا </w:t>
      </w:r>
      <w:r w:rsidR="00C54079" w:rsidRPr="003B7AF4">
        <w:rPr>
          <w:rFonts w:ascii="Calibri" w:hAnsi="Calibri" w:cs="Calibri"/>
          <w:szCs w:val="22"/>
          <w:rtl/>
        </w:rPr>
        <w:t xml:space="preserve">في منطقة جذر </w:t>
      </w:r>
      <w:r w:rsidR="00F4125F" w:rsidRPr="003B7AF4">
        <w:rPr>
          <w:rFonts w:ascii="Calibri" w:hAnsi="Calibri" w:cs="Calibri" w:hint="cs"/>
          <w:szCs w:val="22"/>
          <w:rtl/>
        </w:rPr>
        <w:t>ا</w:t>
      </w:r>
      <w:r w:rsidR="00C54079" w:rsidRPr="003B7AF4">
        <w:rPr>
          <w:rFonts w:ascii="Calibri" w:hAnsi="Calibri" w:cs="Calibri"/>
          <w:szCs w:val="22"/>
          <w:rtl/>
        </w:rPr>
        <w:t xml:space="preserve">لإنترنت في أكتوبر 2013، حيث تم تفويض جميع </w:t>
      </w:r>
      <w:r w:rsidR="000A1572" w:rsidRPr="003B7AF4">
        <w:rPr>
          <w:rFonts w:ascii="Calibri" w:hAnsi="Calibri" w:cs="Calibri" w:hint="cs"/>
          <w:szCs w:val="22"/>
          <w:rtl/>
        </w:rPr>
        <w:t>ال</w:t>
      </w:r>
      <w:r w:rsidR="000A1572" w:rsidRPr="003B7AF4">
        <w:rPr>
          <w:rFonts w:ascii="Times New Roman" w:hAnsi="Times New Roman" w:cs="Calibri"/>
          <w:snapToGrid w:val="0"/>
          <w:szCs w:val="22"/>
          <w:rtl/>
        </w:rPr>
        <w:t xml:space="preserve">حقول </w:t>
      </w:r>
      <w:r w:rsidR="000A1572" w:rsidRPr="003B7AF4">
        <w:rPr>
          <w:rFonts w:ascii="Times New Roman" w:hAnsi="Times New Roman" w:cs="Calibri" w:hint="cs"/>
          <w:snapToGrid w:val="0"/>
          <w:szCs w:val="22"/>
          <w:rtl/>
        </w:rPr>
        <w:t>ال</w:t>
      </w:r>
      <w:r w:rsidR="000A1572" w:rsidRPr="003B7AF4">
        <w:rPr>
          <w:rFonts w:ascii="Times New Roman" w:hAnsi="Times New Roman" w:cs="Calibri"/>
          <w:snapToGrid w:val="0"/>
          <w:szCs w:val="22"/>
          <w:rtl/>
        </w:rPr>
        <w:t xml:space="preserve">عليا </w:t>
      </w:r>
      <w:r w:rsidR="00C54079" w:rsidRPr="003B7AF4">
        <w:rPr>
          <w:rFonts w:ascii="Calibri" w:hAnsi="Calibri" w:cs="Calibri"/>
          <w:szCs w:val="22"/>
          <w:rtl/>
        </w:rPr>
        <w:t xml:space="preserve">الفريدة التي تزيد عن 1200 </w:t>
      </w:r>
      <w:r w:rsidR="000A1572" w:rsidRPr="003B7AF4">
        <w:rPr>
          <w:rFonts w:ascii="Calibri" w:hAnsi="Calibri" w:cs="Calibri" w:hint="cs"/>
          <w:szCs w:val="22"/>
          <w:rtl/>
        </w:rPr>
        <w:t>حقل</w:t>
      </w:r>
      <w:r w:rsidR="00C54079" w:rsidRPr="003B7AF4">
        <w:rPr>
          <w:rFonts w:ascii="Calibri" w:hAnsi="Calibri" w:cs="Calibri"/>
          <w:szCs w:val="22"/>
          <w:rtl/>
        </w:rPr>
        <w:t xml:space="preserve"> جديد تقريبًا بحلول عام 2021،</w:t>
      </w:r>
      <w:r w:rsidR="00C54079" w:rsidRPr="003B7AF4">
        <w:rPr>
          <w:rFonts w:ascii="Calibri" w:hAnsi="Calibri" w:cs="Calibri"/>
          <w:szCs w:val="22"/>
          <w:vertAlign w:val="superscript"/>
          <w:rtl/>
        </w:rPr>
        <w:footnoteReference w:id="38"/>
      </w:r>
      <w:r w:rsidR="00C54079" w:rsidRPr="003B7AF4">
        <w:rPr>
          <w:rFonts w:ascii="Calibri" w:hAnsi="Calibri" w:cs="Calibri"/>
          <w:szCs w:val="22"/>
          <w:rtl/>
        </w:rPr>
        <w:t xml:space="preserve"> </w:t>
      </w:r>
      <w:r w:rsidR="000A1572" w:rsidRPr="003B7AF4">
        <w:rPr>
          <w:rFonts w:ascii="Calibri" w:hAnsi="Calibri" w:cs="Calibri" w:hint="cs"/>
          <w:szCs w:val="22"/>
          <w:rtl/>
        </w:rPr>
        <w:t>و</w:t>
      </w:r>
      <w:r w:rsidR="00C54079" w:rsidRPr="003B7AF4">
        <w:rPr>
          <w:rFonts w:ascii="Calibri" w:hAnsi="Calibri" w:cs="Calibri"/>
          <w:szCs w:val="22"/>
          <w:rtl/>
        </w:rPr>
        <w:t xml:space="preserve">لم يتبق سوى عدد قليل منها لإطلاقها.  ويبدو أن نطاقات </w:t>
      </w:r>
      <w:r w:rsidR="000A1572" w:rsidRPr="003B7AF4">
        <w:rPr>
          <w:rFonts w:ascii="Calibri" w:hAnsi="Calibri" w:cs="Calibri" w:hint="cs"/>
          <w:szCs w:val="22"/>
          <w:rtl/>
        </w:rPr>
        <w:t>ال</w:t>
      </w:r>
      <w:r w:rsidR="000A1572" w:rsidRPr="003B7AF4">
        <w:rPr>
          <w:rFonts w:ascii="Times New Roman" w:hAnsi="Times New Roman" w:cs="Calibri"/>
          <w:snapToGrid w:val="0"/>
          <w:szCs w:val="22"/>
          <w:rtl/>
        </w:rPr>
        <w:t xml:space="preserve">حقول </w:t>
      </w:r>
      <w:r w:rsidR="000A1572" w:rsidRPr="003B7AF4">
        <w:rPr>
          <w:rFonts w:ascii="Times New Roman" w:hAnsi="Times New Roman" w:cs="Calibri" w:hint="cs"/>
          <w:snapToGrid w:val="0"/>
          <w:szCs w:val="22"/>
          <w:rtl/>
        </w:rPr>
        <w:t>ال</w:t>
      </w:r>
      <w:r w:rsidR="000A1572" w:rsidRPr="003B7AF4">
        <w:rPr>
          <w:rFonts w:ascii="Times New Roman" w:hAnsi="Times New Roman" w:cs="Calibri"/>
          <w:snapToGrid w:val="0"/>
          <w:szCs w:val="22"/>
          <w:rtl/>
        </w:rPr>
        <w:t xml:space="preserve">عليا </w:t>
      </w:r>
      <w:r w:rsidR="00C54079" w:rsidRPr="003B7AF4">
        <w:rPr>
          <w:rFonts w:ascii="Calibri" w:hAnsi="Calibri" w:cs="Calibri"/>
          <w:szCs w:val="22"/>
          <w:rtl/>
        </w:rPr>
        <w:t xml:space="preserve">الجديدة هذه مجتمعة قد </w:t>
      </w:r>
      <w:r w:rsidR="000A1572" w:rsidRPr="003B7AF4">
        <w:rPr>
          <w:rFonts w:ascii="Calibri" w:hAnsi="Calibri" w:cs="Calibri" w:hint="cs"/>
          <w:szCs w:val="22"/>
          <w:rtl/>
        </w:rPr>
        <w:t>استقطبت</w:t>
      </w:r>
      <w:r w:rsidR="00C54079" w:rsidRPr="003B7AF4">
        <w:rPr>
          <w:rFonts w:ascii="Calibri" w:hAnsi="Calibri" w:cs="Calibri"/>
          <w:szCs w:val="22"/>
          <w:rtl/>
        </w:rPr>
        <w:t xml:space="preserve"> حتى الآن ما يقرب من 42 مليون تسجيل من المستوى الثاني.</w:t>
      </w:r>
      <w:r w:rsidR="00C54079" w:rsidRPr="003B7AF4">
        <w:rPr>
          <w:rStyle w:val="FootnoteReference"/>
          <w:rFonts w:ascii="Calibri" w:hAnsi="Calibri" w:cs="Calibri"/>
          <w:szCs w:val="22"/>
          <w:rtl/>
        </w:rPr>
        <w:footnoteReference w:id="39"/>
      </w:r>
      <w:r w:rsidR="00C54079" w:rsidRPr="003B7AF4">
        <w:rPr>
          <w:rFonts w:ascii="Calibri" w:hAnsi="Calibri" w:cs="Calibri"/>
          <w:szCs w:val="22"/>
          <w:rtl/>
        </w:rPr>
        <w:t xml:space="preserve">  وقد اختتمت </w:t>
      </w:r>
      <w:r w:rsidR="000A1572" w:rsidRPr="003B7AF4">
        <w:rPr>
          <w:rFonts w:ascii="Calibri" w:hAnsi="Calibri" w:cs="Calibri" w:hint="cs"/>
          <w:szCs w:val="22"/>
          <w:rtl/>
        </w:rPr>
        <w:t>الآيكان</w:t>
      </w:r>
      <w:r w:rsidR="00C54079" w:rsidRPr="003B7AF4">
        <w:rPr>
          <w:rFonts w:ascii="Calibri" w:hAnsi="Calibri" w:cs="Calibri"/>
          <w:szCs w:val="22"/>
          <w:rtl/>
        </w:rPr>
        <w:t xml:space="preserve"> "عملية تطوير سياسة الإجراءات اللاحقة ل</w:t>
      </w:r>
      <w:r w:rsidR="000A1572" w:rsidRPr="003B7AF4">
        <w:rPr>
          <w:rFonts w:ascii="Calibri" w:hAnsi="Calibri" w:cs="Calibri" w:hint="cs"/>
          <w:szCs w:val="22"/>
          <w:rtl/>
        </w:rPr>
        <w:t>ل</w:t>
      </w:r>
      <w:r w:rsidR="000A1572" w:rsidRPr="003B7AF4">
        <w:rPr>
          <w:rFonts w:ascii="Times New Roman" w:hAnsi="Times New Roman" w:cs="Calibri"/>
          <w:snapToGrid w:val="0"/>
          <w:szCs w:val="22"/>
          <w:rtl/>
        </w:rPr>
        <w:t xml:space="preserve">حقول </w:t>
      </w:r>
      <w:r w:rsidR="000A1572" w:rsidRPr="003B7AF4">
        <w:rPr>
          <w:rFonts w:ascii="Times New Roman" w:hAnsi="Times New Roman" w:cs="Calibri" w:hint="cs"/>
          <w:snapToGrid w:val="0"/>
          <w:szCs w:val="22"/>
          <w:rtl/>
        </w:rPr>
        <w:t>ال</w:t>
      </w:r>
      <w:r w:rsidR="000A1572" w:rsidRPr="003B7AF4">
        <w:rPr>
          <w:rFonts w:ascii="Times New Roman" w:hAnsi="Times New Roman" w:cs="Calibri"/>
          <w:snapToGrid w:val="0"/>
          <w:szCs w:val="22"/>
          <w:rtl/>
        </w:rPr>
        <w:t xml:space="preserve">عليا </w:t>
      </w:r>
      <w:r w:rsidR="00C54079" w:rsidRPr="003B7AF4">
        <w:rPr>
          <w:rFonts w:ascii="Calibri" w:hAnsi="Calibri" w:cs="Calibri"/>
          <w:szCs w:val="22"/>
          <w:rtl/>
        </w:rPr>
        <w:t>الجديدة (PDP) في عام 2020.</w:t>
      </w:r>
      <w:r w:rsidR="00C54079" w:rsidRPr="003B7AF4">
        <w:rPr>
          <w:rStyle w:val="FootnoteReference"/>
          <w:rFonts w:ascii="Calibri" w:hAnsi="Calibri" w:cs="Calibri"/>
          <w:szCs w:val="22"/>
          <w:rtl/>
        </w:rPr>
        <w:footnoteReference w:id="40"/>
      </w:r>
      <w:r w:rsidR="00C54079" w:rsidRPr="003B7AF4">
        <w:rPr>
          <w:rFonts w:ascii="Calibri" w:hAnsi="Calibri" w:cs="Calibri"/>
          <w:szCs w:val="22"/>
          <w:rtl/>
        </w:rPr>
        <w:t xml:space="preserve">  وبينما لا تزال موضوعات مثل "التخفيف من إساءة استخدام نظام أسماء </w:t>
      </w:r>
      <w:r w:rsidR="000A1572" w:rsidRPr="003B7AF4">
        <w:rPr>
          <w:rFonts w:ascii="Calibri" w:hAnsi="Calibri" w:cs="Calibri" w:hint="cs"/>
          <w:szCs w:val="22"/>
          <w:rtl/>
        </w:rPr>
        <w:t>الحقول</w:t>
      </w:r>
      <w:r w:rsidR="00C54079" w:rsidRPr="003B7AF4">
        <w:rPr>
          <w:rFonts w:ascii="Calibri" w:hAnsi="Calibri" w:cs="Calibri"/>
          <w:szCs w:val="22"/>
          <w:rtl/>
        </w:rPr>
        <w:t xml:space="preserve"> (DNS)" قيد الدراسة، فقد شهدت عمليات </w:t>
      </w:r>
      <w:r w:rsidR="000A1572" w:rsidRPr="003B7AF4">
        <w:rPr>
          <w:rFonts w:ascii="Calibri" w:hAnsi="Calibri" w:cs="Calibri" w:hint="cs"/>
          <w:szCs w:val="22"/>
          <w:rtl/>
        </w:rPr>
        <w:t>الآيكان</w:t>
      </w:r>
      <w:r w:rsidR="00C54079" w:rsidRPr="003B7AF4">
        <w:rPr>
          <w:rFonts w:ascii="Calibri" w:hAnsi="Calibri" w:cs="Calibri"/>
          <w:szCs w:val="22"/>
          <w:rtl/>
        </w:rPr>
        <w:t xml:space="preserve"> الأخرى بما في ذلك مجلس </w:t>
      </w:r>
      <w:r w:rsidR="000A1572" w:rsidRPr="003B7AF4">
        <w:rPr>
          <w:rFonts w:ascii="Times New Roman" w:hAnsi="Times New Roman" w:cs="Calibri"/>
          <w:szCs w:val="22"/>
          <w:rtl/>
        </w:rPr>
        <w:t>المنظمة الداعمة للأسماء العامة</w:t>
      </w:r>
      <w:r w:rsidR="000A1572" w:rsidRPr="003B7AF4">
        <w:rPr>
          <w:rFonts w:ascii="Calibri" w:hAnsi="Calibri" w:cs="Calibri"/>
          <w:szCs w:val="22"/>
          <w:rtl/>
        </w:rPr>
        <w:t xml:space="preserve"> </w:t>
      </w:r>
      <w:r w:rsidR="00C54079" w:rsidRPr="003B7AF4">
        <w:rPr>
          <w:rFonts w:ascii="Calibri" w:hAnsi="Calibri" w:cs="Calibri"/>
          <w:szCs w:val="22"/>
          <w:rtl/>
        </w:rPr>
        <w:t>و</w:t>
      </w:r>
      <w:r w:rsidR="000A1572" w:rsidRPr="003B7AF4">
        <w:rPr>
          <w:rFonts w:ascii="Calibri" w:hAnsi="Calibri" w:cs="Calibri" w:hint="cs"/>
          <w:szCs w:val="22"/>
          <w:rtl/>
        </w:rPr>
        <w:t>هيئة</w:t>
      </w:r>
      <w:r w:rsidR="00C54079" w:rsidRPr="003B7AF4">
        <w:rPr>
          <w:rFonts w:ascii="Calibri" w:hAnsi="Calibri" w:cs="Calibri"/>
          <w:szCs w:val="22"/>
          <w:rtl/>
        </w:rPr>
        <w:t xml:space="preserve"> إدارة </w:t>
      </w:r>
      <w:r w:rsidR="000A1572" w:rsidRPr="003B7AF4">
        <w:rPr>
          <w:rFonts w:ascii="Calibri" w:hAnsi="Calibri" w:cs="Calibri" w:hint="cs"/>
          <w:szCs w:val="22"/>
          <w:rtl/>
        </w:rPr>
        <w:t>الآيكان</w:t>
      </w:r>
      <w:r w:rsidR="00C54079" w:rsidRPr="003B7AF4">
        <w:rPr>
          <w:rFonts w:ascii="Calibri" w:hAnsi="Calibri" w:cs="Calibri"/>
          <w:szCs w:val="22"/>
          <w:rtl/>
        </w:rPr>
        <w:t xml:space="preserve"> النظر في عملية الإجراءات اللاحقة </w:t>
      </w:r>
      <w:r w:rsidR="003A050C" w:rsidRPr="003B7AF4">
        <w:rPr>
          <w:rFonts w:ascii="Calibri" w:hAnsi="Calibri" w:cs="Calibri" w:hint="cs"/>
          <w:szCs w:val="22"/>
          <w:rtl/>
        </w:rPr>
        <w:t xml:space="preserve">نحو </w:t>
      </w:r>
      <w:r w:rsidR="00C54079" w:rsidRPr="003B7AF4">
        <w:rPr>
          <w:rFonts w:ascii="Calibri" w:hAnsi="Calibri" w:cs="Calibri"/>
          <w:szCs w:val="22"/>
          <w:rtl/>
        </w:rPr>
        <w:t xml:space="preserve"> مرحلة التصميم التشغيلي للتحضير لجولات </w:t>
      </w:r>
      <w:r w:rsidR="003A050C" w:rsidRPr="003B7AF4">
        <w:rPr>
          <w:rFonts w:ascii="Calibri" w:hAnsi="Calibri" w:cs="Calibri" w:hint="cs"/>
          <w:szCs w:val="22"/>
          <w:rtl/>
        </w:rPr>
        <w:t>ال</w:t>
      </w:r>
      <w:r w:rsidR="003A050C" w:rsidRPr="003B7AF4">
        <w:rPr>
          <w:rFonts w:ascii="Times New Roman" w:hAnsi="Times New Roman" w:cs="Calibri"/>
          <w:snapToGrid w:val="0"/>
          <w:szCs w:val="22"/>
          <w:rtl/>
        </w:rPr>
        <w:t xml:space="preserve">حقول </w:t>
      </w:r>
      <w:r w:rsidR="003A050C" w:rsidRPr="003B7AF4">
        <w:rPr>
          <w:rFonts w:ascii="Times New Roman" w:hAnsi="Times New Roman" w:cs="Calibri" w:hint="cs"/>
          <w:snapToGrid w:val="0"/>
          <w:szCs w:val="22"/>
          <w:rtl/>
        </w:rPr>
        <w:t>ال</w:t>
      </w:r>
      <w:r w:rsidR="003A050C" w:rsidRPr="003B7AF4">
        <w:rPr>
          <w:rFonts w:ascii="Times New Roman" w:hAnsi="Times New Roman" w:cs="Calibri"/>
          <w:snapToGrid w:val="0"/>
          <w:szCs w:val="22"/>
          <w:rtl/>
        </w:rPr>
        <w:t>عليا</w:t>
      </w:r>
      <w:r w:rsidR="003A050C" w:rsidRPr="003B7AF4">
        <w:rPr>
          <w:rFonts w:ascii="Calibri" w:hAnsi="Calibri" w:cs="Calibri"/>
          <w:szCs w:val="22"/>
          <w:rtl/>
        </w:rPr>
        <w:t xml:space="preserve"> </w:t>
      </w:r>
      <w:r w:rsidR="00C54079" w:rsidRPr="003B7AF4">
        <w:rPr>
          <w:rFonts w:ascii="Calibri" w:hAnsi="Calibri" w:cs="Calibri"/>
          <w:szCs w:val="22"/>
          <w:rtl/>
        </w:rPr>
        <w:t xml:space="preserve">الجديدة في المستقبل.  </w:t>
      </w:r>
      <w:r w:rsidR="003A050C" w:rsidRPr="003B7AF4">
        <w:rPr>
          <w:rFonts w:ascii="Calibri" w:hAnsi="Calibri" w:cs="Calibri" w:hint="cs"/>
          <w:szCs w:val="22"/>
          <w:rtl/>
        </w:rPr>
        <w:t>و</w:t>
      </w:r>
      <w:r w:rsidR="00C54079" w:rsidRPr="003B7AF4">
        <w:rPr>
          <w:rFonts w:ascii="Calibri" w:hAnsi="Calibri" w:cs="Calibri"/>
          <w:szCs w:val="22"/>
          <w:rtl/>
        </w:rPr>
        <w:t xml:space="preserve">في يوليو 2023، </w:t>
      </w:r>
      <w:hyperlink r:id="rId48" w:history="1">
        <w:r w:rsidR="00C54079" w:rsidRPr="00737BB4">
          <w:rPr>
            <w:rStyle w:val="Hyperlink"/>
            <w:rFonts w:ascii="Calibri" w:hAnsi="Calibri" w:cs="Calibri"/>
            <w:color w:val="0000FF"/>
            <w:szCs w:val="22"/>
            <w:u w:color="0000FF"/>
            <w:rtl/>
          </w:rPr>
          <w:t xml:space="preserve">وافقت </w:t>
        </w:r>
        <w:r w:rsidR="003A050C" w:rsidRPr="00737BB4">
          <w:rPr>
            <w:rStyle w:val="Hyperlink"/>
            <w:rFonts w:ascii="Calibri" w:hAnsi="Calibri" w:cs="Calibri" w:hint="cs"/>
            <w:color w:val="0000FF"/>
            <w:szCs w:val="22"/>
            <w:u w:color="0000FF"/>
            <w:rtl/>
          </w:rPr>
          <w:t>الآيكان</w:t>
        </w:r>
        <w:r w:rsidR="00C54079" w:rsidRPr="00737BB4">
          <w:rPr>
            <w:rStyle w:val="Hyperlink"/>
            <w:rFonts w:ascii="Calibri" w:hAnsi="Calibri" w:cs="Calibri"/>
            <w:color w:val="0000FF"/>
            <w:szCs w:val="22"/>
            <w:u w:color="0000FF"/>
            <w:rtl/>
          </w:rPr>
          <w:t xml:space="preserve"> على جولات أخرى من </w:t>
        </w:r>
        <w:r w:rsidR="003A050C" w:rsidRPr="00737BB4">
          <w:rPr>
            <w:rStyle w:val="Hyperlink"/>
            <w:rFonts w:ascii="Calibri" w:hAnsi="Calibri" w:cs="Calibri" w:hint="cs"/>
            <w:color w:val="0000FF"/>
            <w:szCs w:val="22"/>
            <w:u w:color="0000FF"/>
            <w:rtl/>
          </w:rPr>
          <w:t>الحقول العليا</w:t>
        </w:r>
        <w:r w:rsidR="00C54079" w:rsidRPr="00737BB4">
          <w:rPr>
            <w:rStyle w:val="Hyperlink"/>
            <w:rFonts w:ascii="Calibri" w:hAnsi="Calibri" w:cs="Calibri"/>
            <w:color w:val="0000FF"/>
            <w:szCs w:val="22"/>
            <w:u w:color="0000FF"/>
            <w:rtl/>
          </w:rPr>
          <w:t xml:space="preserve"> </w:t>
        </w:r>
      </w:hyperlink>
      <w:r w:rsidR="00C54079" w:rsidRPr="003B7AF4">
        <w:rPr>
          <w:rFonts w:ascii="Calibri" w:hAnsi="Calibri" w:cs="Calibri"/>
          <w:szCs w:val="22"/>
          <w:rtl/>
        </w:rPr>
        <w:t xml:space="preserve">الجديدة، والتي من المتوقع أن تتوج باستكمال دليل مقدم الطلب التالي في يوليو 2025، مع طلبات </w:t>
      </w:r>
      <w:r w:rsidR="000D76D8" w:rsidRPr="003B7AF4">
        <w:rPr>
          <w:rFonts w:ascii="Calibri" w:hAnsi="Calibri" w:cs="Calibri" w:hint="cs"/>
          <w:szCs w:val="22"/>
          <w:rtl/>
        </w:rPr>
        <w:t>الحقول العليا</w:t>
      </w:r>
      <w:r w:rsidR="00C54079" w:rsidRPr="003B7AF4">
        <w:rPr>
          <w:rFonts w:ascii="Calibri" w:hAnsi="Calibri" w:cs="Calibri"/>
          <w:szCs w:val="22"/>
          <w:rtl/>
        </w:rPr>
        <w:t xml:space="preserve"> الجديدة التي ستتبعها في أبريل 2026.</w:t>
      </w:r>
      <w:r w:rsidR="000A1572" w:rsidRPr="003B7AF4">
        <w:rPr>
          <w:rFonts w:ascii="Calibri" w:hAnsi="Calibri" w:cs="Calibri" w:hint="cs"/>
          <w:szCs w:val="22"/>
          <w:rtl/>
        </w:rPr>
        <w:t xml:space="preserve"> </w:t>
      </w:r>
    </w:p>
    <w:p w14:paraId="34C59953" w14:textId="64D47CF2" w:rsidR="00C54079" w:rsidRPr="003B7AF4" w:rsidRDefault="008264FB" w:rsidP="00C54079">
      <w:pPr>
        <w:widowControl w:val="0"/>
        <w:spacing w:before="240" w:after="240"/>
        <w:rPr>
          <w:rFonts w:ascii="Calibri" w:hAnsi="Calibri" w:cs="Calibri"/>
          <w:szCs w:val="22"/>
        </w:rPr>
      </w:pPr>
      <w:r w:rsidRPr="003B7AF4">
        <w:rPr>
          <w:rFonts w:ascii="Calibri" w:hAnsi="Calibri" w:cs="Calibri"/>
          <w:szCs w:val="22"/>
          <w:rtl/>
        </w:rPr>
        <w:t>47</w:t>
      </w:r>
      <w:r w:rsidR="00C54079" w:rsidRPr="003B7AF4">
        <w:rPr>
          <w:rFonts w:ascii="Calibri" w:hAnsi="Calibri" w:cs="Calibri"/>
          <w:szCs w:val="22"/>
          <w:rtl/>
        </w:rPr>
        <w:t>.</w:t>
      </w:r>
      <w:r w:rsidR="00C54079" w:rsidRPr="003B7AF4">
        <w:rPr>
          <w:rFonts w:ascii="Calibri" w:hAnsi="Calibri" w:cs="Calibri"/>
          <w:szCs w:val="22"/>
          <w:rtl/>
        </w:rPr>
        <w:tab/>
      </w:r>
      <w:r w:rsidR="0017648D" w:rsidRPr="003B7AF4">
        <w:rPr>
          <w:rFonts w:ascii="Calibri" w:hAnsi="Calibri" w:cs="Calibri" w:hint="cs"/>
          <w:szCs w:val="22"/>
          <w:rtl/>
        </w:rPr>
        <w:t>و</w:t>
      </w:r>
      <w:r w:rsidR="00C54079" w:rsidRPr="003B7AF4">
        <w:rPr>
          <w:rFonts w:ascii="Calibri" w:hAnsi="Calibri" w:cs="Calibri"/>
          <w:szCs w:val="22"/>
          <w:rtl/>
        </w:rPr>
        <w:t xml:space="preserve">لا يزال المركز ملتزماً بالعمل مع أصحاب المصلحة لمحاولة </w:t>
      </w:r>
      <w:r w:rsidR="002F2CBF" w:rsidRPr="003B7AF4">
        <w:rPr>
          <w:rFonts w:ascii="Calibri" w:hAnsi="Calibri" w:cs="Calibri" w:hint="cs"/>
          <w:szCs w:val="22"/>
          <w:rtl/>
        </w:rPr>
        <w:t>صون</w:t>
      </w:r>
      <w:r w:rsidR="00C54079" w:rsidRPr="003B7AF4">
        <w:rPr>
          <w:rFonts w:ascii="Calibri" w:hAnsi="Calibri" w:cs="Calibri"/>
          <w:szCs w:val="22"/>
          <w:rtl/>
        </w:rPr>
        <w:t xml:space="preserve"> مراعاة المبادئ العامة لحماية الملكية الفكرية في</w:t>
      </w:r>
      <w:r w:rsidR="00E91B25" w:rsidRPr="003B7AF4">
        <w:rPr>
          <w:rFonts w:ascii="Calibri" w:hAnsi="Calibri" w:cs="Calibri" w:hint="cs"/>
          <w:szCs w:val="22"/>
          <w:rtl/>
        </w:rPr>
        <w:t>ما يتعلق</w:t>
      </w:r>
      <w:r w:rsidR="00C54079" w:rsidRPr="003B7AF4">
        <w:rPr>
          <w:rFonts w:ascii="Calibri" w:hAnsi="Calibri" w:cs="Calibri"/>
          <w:szCs w:val="22"/>
          <w:rtl/>
        </w:rPr>
        <w:t xml:space="preserve"> </w:t>
      </w:r>
      <w:r w:rsidR="00E91B25" w:rsidRPr="003B7AF4">
        <w:rPr>
          <w:rFonts w:ascii="Calibri" w:hAnsi="Calibri" w:cs="Calibri" w:hint="cs"/>
          <w:szCs w:val="22"/>
          <w:rtl/>
        </w:rPr>
        <w:t>ب</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الجديدة.  وقد انبثق عدد من تدابير حماية الملكية الفكرية من سلسلة من لجان وعمليات </w:t>
      </w:r>
      <w:r w:rsidR="0017648D" w:rsidRPr="003B7AF4">
        <w:rPr>
          <w:rFonts w:ascii="Calibri" w:hAnsi="Calibri" w:cs="Calibri" w:hint="cs"/>
          <w:szCs w:val="22"/>
          <w:rtl/>
        </w:rPr>
        <w:t>الآيكان</w:t>
      </w:r>
      <w:r w:rsidR="0017648D" w:rsidRPr="003B7AF4">
        <w:rPr>
          <w:rFonts w:ascii="Calibri" w:hAnsi="Calibri" w:cs="Calibri"/>
          <w:szCs w:val="22"/>
          <w:rtl/>
        </w:rPr>
        <w:t xml:space="preserve"> </w:t>
      </w:r>
      <w:r w:rsidR="00C54079" w:rsidRPr="003B7AF4">
        <w:rPr>
          <w:rFonts w:ascii="Calibri" w:hAnsi="Calibri" w:cs="Calibri"/>
          <w:szCs w:val="22"/>
          <w:rtl/>
        </w:rPr>
        <w:t xml:space="preserve">الخاصة </w:t>
      </w:r>
      <w:r w:rsidR="002F2CBF" w:rsidRPr="003B7AF4">
        <w:rPr>
          <w:rFonts w:ascii="Calibri" w:hAnsi="Calibri" w:cs="Calibri" w:hint="cs"/>
          <w:szCs w:val="22"/>
          <w:rtl/>
        </w:rPr>
        <w:t>ب</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الجديدة.</w:t>
      </w:r>
      <w:r w:rsidR="00C54079" w:rsidRPr="003B7AF4">
        <w:rPr>
          <w:rStyle w:val="FootnoteReference"/>
          <w:rFonts w:ascii="Calibri" w:hAnsi="Calibri" w:cs="Calibri"/>
          <w:szCs w:val="22"/>
          <w:rtl/>
        </w:rPr>
        <w:footnoteReference w:id="41"/>
      </w:r>
      <w:r w:rsidR="00C54079" w:rsidRPr="003B7AF4">
        <w:rPr>
          <w:rFonts w:ascii="Calibri" w:hAnsi="Calibri" w:cs="Calibri"/>
          <w:szCs w:val="22"/>
          <w:rtl/>
        </w:rPr>
        <w:t xml:space="preserve">  وكما هو موصوف في </w:t>
      </w:r>
      <w:hyperlink r:id="rId49" w:history="1">
        <w:r w:rsidR="00C54079" w:rsidRPr="00514C9A">
          <w:rPr>
            <w:rStyle w:val="Hyperlink"/>
            <w:rFonts w:ascii="Calibri" w:hAnsi="Calibri" w:cs="Calibri"/>
            <w:szCs w:val="22"/>
            <w:rtl/>
          </w:rPr>
          <w:t>الوثيقة SCT/46/3</w:t>
        </w:r>
      </w:hyperlink>
      <w:r w:rsidR="00C54079" w:rsidRPr="003B7AF4">
        <w:rPr>
          <w:rFonts w:ascii="Calibri" w:hAnsi="Calibri" w:cs="Calibri"/>
          <w:szCs w:val="22"/>
          <w:rtl/>
        </w:rPr>
        <w:t xml:space="preserve">، </w:t>
      </w:r>
      <w:r w:rsidR="00C54079" w:rsidRPr="003B7AF4">
        <w:rPr>
          <w:rFonts w:ascii="Calibri" w:hAnsi="Calibri" w:cs="Calibri"/>
          <w:i/>
          <w:iCs/>
          <w:szCs w:val="22"/>
          <w:rtl/>
        </w:rPr>
        <w:t xml:space="preserve">من بين جملة أمور أخرى، </w:t>
      </w:r>
      <w:r w:rsidR="00C54079" w:rsidRPr="003B7AF4">
        <w:rPr>
          <w:rFonts w:ascii="Calibri" w:hAnsi="Calibri" w:cs="Calibri"/>
          <w:szCs w:val="22"/>
          <w:rtl/>
        </w:rPr>
        <w:t xml:space="preserve">تشمل إجراءات </w:t>
      </w:r>
      <w:r w:rsidR="0017648D" w:rsidRPr="003B7AF4">
        <w:rPr>
          <w:rFonts w:ascii="Calibri" w:hAnsi="Calibri" w:cs="Calibri" w:hint="cs"/>
          <w:szCs w:val="22"/>
          <w:rtl/>
        </w:rPr>
        <w:t>الآيكان</w:t>
      </w:r>
      <w:r w:rsidR="0017648D" w:rsidRPr="003B7AF4">
        <w:rPr>
          <w:rFonts w:ascii="Calibri" w:hAnsi="Calibri" w:cs="Calibri"/>
          <w:szCs w:val="22"/>
          <w:rtl/>
        </w:rPr>
        <w:t xml:space="preserve"> </w:t>
      </w:r>
      <w:r w:rsidR="00C54079" w:rsidRPr="003B7AF4">
        <w:rPr>
          <w:rFonts w:ascii="Calibri" w:hAnsi="Calibri" w:cs="Calibri"/>
          <w:szCs w:val="22"/>
          <w:rtl/>
        </w:rPr>
        <w:t xml:space="preserve">الخاصة </w:t>
      </w:r>
      <w:r w:rsidR="002F2CBF" w:rsidRPr="003B7AF4">
        <w:rPr>
          <w:rFonts w:ascii="Calibri" w:hAnsi="Calibri" w:cs="Calibri" w:hint="cs"/>
          <w:szCs w:val="22"/>
          <w:rtl/>
        </w:rPr>
        <w:t>ب</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الجديدة إجراءات تسوية منازعات </w:t>
      </w:r>
      <w:r w:rsidR="00E91B25" w:rsidRPr="003B7AF4">
        <w:rPr>
          <w:rFonts w:ascii="Calibri" w:hAnsi="Calibri" w:cs="Calibri" w:hint="cs"/>
          <w:szCs w:val="22"/>
          <w:rtl/>
        </w:rPr>
        <w:t xml:space="preserve">ما </w:t>
      </w:r>
      <w:r w:rsidR="00C54079" w:rsidRPr="003B7AF4">
        <w:rPr>
          <w:rFonts w:ascii="Calibri" w:hAnsi="Calibri" w:cs="Calibri"/>
          <w:szCs w:val="22"/>
          <w:rtl/>
        </w:rPr>
        <w:t xml:space="preserve">قبل التفويض، والتي يمكن لأصحاب العلامات التجارية بموجبها </w:t>
      </w:r>
      <w:r w:rsidR="00E91B25" w:rsidRPr="003B7AF4">
        <w:rPr>
          <w:rFonts w:ascii="Calibri" w:hAnsi="Calibri" w:cs="Calibri" w:hint="cs"/>
          <w:szCs w:val="22"/>
          <w:rtl/>
        </w:rPr>
        <w:t>اللجوء لإجراء</w:t>
      </w:r>
      <w:r w:rsidR="00C54079" w:rsidRPr="003B7AF4">
        <w:rPr>
          <w:rFonts w:ascii="Calibri" w:hAnsi="Calibri" w:cs="Calibri"/>
          <w:szCs w:val="22"/>
          <w:rtl/>
        </w:rPr>
        <w:t xml:space="preserve"> اعتراض</w:t>
      </w:r>
      <w:r w:rsidR="00E91B25" w:rsidRPr="003B7AF4">
        <w:rPr>
          <w:rFonts w:ascii="Calibri" w:hAnsi="Calibri" w:cs="Calibri" w:hint="cs"/>
          <w:szCs w:val="22"/>
          <w:rtl/>
        </w:rPr>
        <w:t xml:space="preserve"> المتعلق ب</w:t>
      </w:r>
      <w:r w:rsidR="00C54079" w:rsidRPr="003B7AF4">
        <w:rPr>
          <w:rFonts w:ascii="Calibri" w:hAnsi="Calibri" w:cs="Calibri"/>
          <w:szCs w:val="22"/>
          <w:rtl/>
        </w:rPr>
        <w:t xml:space="preserve">الحقوق القانونية (LRO) </w:t>
      </w:r>
      <w:r w:rsidR="00E91B25" w:rsidRPr="003B7AF4">
        <w:rPr>
          <w:rFonts w:ascii="Calibri" w:hAnsi="Calibri" w:cs="Calibri" w:hint="cs"/>
          <w:szCs w:val="22"/>
          <w:rtl/>
        </w:rPr>
        <w:t>فيما يخص</w:t>
      </w:r>
      <w:r w:rsidR="00C54079" w:rsidRPr="003B7AF4">
        <w:rPr>
          <w:rFonts w:ascii="Calibri" w:hAnsi="Calibri" w:cs="Calibri"/>
          <w:szCs w:val="22"/>
          <w:rtl/>
        </w:rPr>
        <w:t xml:space="preserve"> </w:t>
      </w:r>
      <w:r w:rsidR="002F2CBF" w:rsidRPr="003B7AF4">
        <w:rPr>
          <w:rFonts w:ascii="Calibri" w:hAnsi="Calibri" w:cs="Calibri" w:hint="cs"/>
          <w:szCs w:val="22"/>
          <w:rtl/>
        </w:rPr>
        <w:t>طلبات</w:t>
      </w:r>
      <w:r w:rsidR="00C54079" w:rsidRPr="003B7AF4">
        <w:rPr>
          <w:rFonts w:ascii="Calibri" w:hAnsi="Calibri" w:cs="Calibri"/>
          <w:szCs w:val="22"/>
          <w:rtl/>
        </w:rPr>
        <w:t xml:space="preserve"> </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الجديدة التي يُعتقد أنها </w:t>
      </w:r>
      <w:r w:rsidR="00E91B25" w:rsidRPr="003B7AF4">
        <w:rPr>
          <w:rFonts w:ascii="Calibri" w:hAnsi="Calibri" w:cs="Calibri" w:hint="cs"/>
          <w:szCs w:val="22"/>
          <w:rtl/>
        </w:rPr>
        <w:t>تتعدى على</w:t>
      </w:r>
      <w:r w:rsidR="00C54079" w:rsidRPr="003B7AF4">
        <w:rPr>
          <w:rFonts w:ascii="Calibri" w:hAnsi="Calibri" w:cs="Calibri"/>
          <w:szCs w:val="22"/>
          <w:rtl/>
        </w:rPr>
        <w:t xml:space="preserve"> حقوقهم،</w:t>
      </w:r>
      <w:r w:rsidR="00C54079" w:rsidRPr="003B7AF4">
        <w:rPr>
          <w:rStyle w:val="FootnoteReference"/>
          <w:rFonts w:ascii="Calibri" w:hAnsi="Calibri" w:cs="Calibri"/>
          <w:szCs w:val="22"/>
          <w:rtl/>
        </w:rPr>
        <w:footnoteReference w:id="42"/>
      </w:r>
      <w:r w:rsidR="00C54079" w:rsidRPr="003B7AF4">
        <w:rPr>
          <w:rFonts w:ascii="Calibri" w:hAnsi="Calibri" w:cs="Calibri"/>
          <w:szCs w:val="22"/>
          <w:rtl/>
        </w:rPr>
        <w:t xml:space="preserve"> وإجراءات تسوية منازعات بعد </w:t>
      </w:r>
      <w:r w:rsidR="00E91B25" w:rsidRPr="003B7AF4">
        <w:rPr>
          <w:rFonts w:ascii="Calibri" w:hAnsi="Calibri" w:cs="Calibri" w:hint="cs"/>
          <w:szCs w:val="22"/>
          <w:rtl/>
        </w:rPr>
        <w:t xml:space="preserve">ما </w:t>
      </w:r>
      <w:r w:rsidR="00C54079" w:rsidRPr="003B7AF4">
        <w:rPr>
          <w:rFonts w:ascii="Calibri" w:hAnsi="Calibri" w:cs="Calibri"/>
          <w:szCs w:val="22"/>
          <w:rtl/>
        </w:rPr>
        <w:t xml:space="preserve">التفويض (PDDRP)، والتي تسمح بتقديم شكوى فيما يتعلق بمشغل سجل </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جديد معتمد يُزعم أن طريقة </w:t>
      </w:r>
      <w:r w:rsidR="0017648D" w:rsidRPr="003B7AF4">
        <w:rPr>
          <w:rFonts w:ascii="Calibri" w:hAnsi="Calibri" w:cs="Calibri" w:hint="cs"/>
          <w:szCs w:val="22"/>
          <w:rtl/>
        </w:rPr>
        <w:t xml:space="preserve"> </w:t>
      </w:r>
      <w:r w:rsidR="00C54079" w:rsidRPr="003B7AF4">
        <w:rPr>
          <w:rFonts w:ascii="Calibri" w:hAnsi="Calibri" w:cs="Calibri"/>
          <w:szCs w:val="22"/>
          <w:rtl/>
        </w:rPr>
        <w:t>تشغيله أو استخدام سجله تسبب أو تساهم بشكل جوهري في إساءة استخدام العلامات التجارية.</w:t>
      </w:r>
      <w:r w:rsidR="00C54079" w:rsidRPr="003B7AF4">
        <w:rPr>
          <w:rFonts w:ascii="Calibri" w:hAnsi="Calibri" w:cs="Calibri"/>
          <w:szCs w:val="22"/>
          <w:vertAlign w:val="superscript"/>
          <w:rtl/>
        </w:rPr>
        <w:footnoteReference w:id="43"/>
      </w:r>
      <w:r w:rsidR="00C54079" w:rsidRPr="003B7AF4">
        <w:rPr>
          <w:rFonts w:ascii="Calibri" w:hAnsi="Calibri" w:cs="Calibri"/>
          <w:szCs w:val="22"/>
          <w:rtl/>
        </w:rPr>
        <w:t xml:space="preserve">  </w:t>
      </w:r>
      <w:r w:rsidR="00E91B25" w:rsidRPr="003B7AF4">
        <w:rPr>
          <w:rFonts w:ascii="Calibri" w:hAnsi="Calibri" w:cs="Calibri" w:hint="cs"/>
          <w:szCs w:val="22"/>
          <w:rtl/>
        </w:rPr>
        <w:t>و</w:t>
      </w:r>
      <w:r w:rsidR="00C54079" w:rsidRPr="003B7AF4">
        <w:rPr>
          <w:rFonts w:ascii="Calibri" w:hAnsi="Calibri" w:cs="Calibri"/>
          <w:szCs w:val="22"/>
          <w:rtl/>
        </w:rPr>
        <w:t xml:space="preserve">في الآونة الأخيرة، </w:t>
      </w:r>
      <w:hyperlink r:id="rId50" w:history="1">
        <w:r w:rsidR="00C54079" w:rsidRPr="004D7DD8">
          <w:rPr>
            <w:rStyle w:val="Hyperlink"/>
            <w:rFonts w:ascii="Calibri" w:hAnsi="Calibri" w:cs="Calibri"/>
            <w:color w:val="0000FF"/>
            <w:szCs w:val="22"/>
            <w:u w:color="0000FF"/>
            <w:rtl/>
          </w:rPr>
          <w:t xml:space="preserve">سعت </w:t>
        </w:r>
        <w:r w:rsidR="0017648D" w:rsidRPr="004D7DD8">
          <w:rPr>
            <w:rStyle w:val="Hyperlink"/>
            <w:rFonts w:ascii="Calibri" w:hAnsi="Calibri" w:cs="Calibri"/>
            <w:color w:val="0000FF"/>
            <w:szCs w:val="22"/>
            <w:u w:color="0000FF"/>
            <w:rtl/>
          </w:rPr>
          <w:t>الآيكان</w:t>
        </w:r>
        <w:r w:rsidR="00C54079" w:rsidRPr="004D7DD8">
          <w:rPr>
            <w:rStyle w:val="Hyperlink"/>
            <w:rFonts w:ascii="Calibri" w:hAnsi="Calibri" w:cs="Calibri"/>
            <w:color w:val="0000FF"/>
            <w:szCs w:val="22"/>
            <w:u w:color="0000FF"/>
            <w:rtl/>
          </w:rPr>
          <w:t xml:space="preserve"> إلى الحصول على مدخلات </w:t>
        </w:r>
      </w:hyperlink>
      <w:r w:rsidR="00C54079" w:rsidRPr="003B7AF4">
        <w:rPr>
          <w:rFonts w:ascii="Calibri" w:hAnsi="Calibri" w:cs="Calibri"/>
          <w:szCs w:val="22"/>
          <w:rtl/>
        </w:rPr>
        <w:t xml:space="preserve">فيما يتعلق بإجراءات تسوية المنازعات والاستئناف فيما يتعلق بالإطلاق المتوقع للجولة التالية من </w:t>
      </w:r>
      <w:r w:rsidR="002F2CBF" w:rsidRPr="003B7AF4">
        <w:rPr>
          <w:rFonts w:ascii="Calibri" w:hAnsi="Calibri" w:cs="Calibri" w:hint="cs"/>
          <w:szCs w:val="22"/>
          <w:rtl/>
        </w:rPr>
        <w:t>الحقول العليا</w:t>
      </w:r>
      <w:r w:rsidR="002F2CBF" w:rsidRPr="003B7AF4">
        <w:rPr>
          <w:rFonts w:ascii="Calibri" w:hAnsi="Calibri" w:cs="Calibri"/>
          <w:szCs w:val="22"/>
          <w:rtl/>
        </w:rPr>
        <w:t xml:space="preserve"> </w:t>
      </w:r>
      <w:r w:rsidR="00C54079" w:rsidRPr="003B7AF4">
        <w:rPr>
          <w:rFonts w:ascii="Calibri" w:hAnsi="Calibri" w:cs="Calibri"/>
          <w:szCs w:val="22"/>
          <w:rtl/>
        </w:rPr>
        <w:t xml:space="preserve">الجديدة في أبريل 2026.  ومع الإشارة إلى خبرة المركز وتجربته </w:t>
      </w:r>
      <w:r w:rsidR="002F2CBF" w:rsidRPr="003B7AF4">
        <w:rPr>
          <w:rFonts w:ascii="Calibri" w:hAnsi="Calibri" w:cs="Calibri" w:hint="cs"/>
          <w:szCs w:val="22"/>
          <w:rtl/>
        </w:rPr>
        <w:t>في</w:t>
      </w:r>
      <w:r w:rsidR="00C54079" w:rsidRPr="003B7AF4">
        <w:rPr>
          <w:rFonts w:ascii="Calibri" w:hAnsi="Calibri" w:cs="Calibri"/>
          <w:szCs w:val="22"/>
          <w:rtl/>
        </w:rPr>
        <w:t xml:space="preserve"> الجولة السابقة من </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الجديدة، أكد المركز عزمه على تقديم خدمات تسوية المنازعات للجولة التالية من </w:t>
      </w:r>
      <w:r w:rsidR="00A319D0" w:rsidRPr="003B7AF4">
        <w:rPr>
          <w:rFonts w:ascii="Calibri" w:hAnsi="Calibri" w:cs="Calibri"/>
          <w:szCs w:val="22"/>
          <w:rtl/>
        </w:rPr>
        <w:t>اعتراض</w:t>
      </w:r>
      <w:r w:rsidR="00E91B25" w:rsidRPr="003B7AF4">
        <w:rPr>
          <w:rFonts w:ascii="Calibri" w:hAnsi="Calibri" w:cs="Calibri" w:hint="cs"/>
          <w:szCs w:val="22"/>
          <w:rtl/>
        </w:rPr>
        <w:t xml:space="preserve"> المتعلق</w:t>
      </w:r>
      <w:r w:rsidR="00A319D0" w:rsidRPr="003B7AF4">
        <w:rPr>
          <w:rFonts w:ascii="Calibri" w:hAnsi="Calibri" w:cs="Calibri"/>
          <w:szCs w:val="22"/>
          <w:rtl/>
        </w:rPr>
        <w:t xml:space="preserve"> </w:t>
      </w:r>
      <w:r w:rsidR="00E91B25" w:rsidRPr="003B7AF4">
        <w:rPr>
          <w:rFonts w:ascii="Calibri" w:hAnsi="Calibri" w:cs="Calibri" w:hint="cs"/>
          <w:szCs w:val="22"/>
          <w:rtl/>
        </w:rPr>
        <w:t>ب</w:t>
      </w:r>
      <w:r w:rsidR="00A319D0" w:rsidRPr="003B7AF4">
        <w:rPr>
          <w:rFonts w:ascii="Calibri" w:hAnsi="Calibri" w:cs="Calibri"/>
          <w:szCs w:val="22"/>
          <w:rtl/>
        </w:rPr>
        <w:t>الحقوق القانونية</w:t>
      </w:r>
      <w:r w:rsidR="00C54079" w:rsidRPr="003B7AF4">
        <w:rPr>
          <w:rFonts w:ascii="Calibri" w:hAnsi="Calibri" w:cs="Calibri"/>
          <w:szCs w:val="22"/>
          <w:rtl/>
        </w:rPr>
        <w:t xml:space="preserve">، وأشار إلى استعداده للقيام بذلك فيما يتعلق باعتراضات </w:t>
      </w:r>
      <w:r w:rsidR="00A319D0" w:rsidRPr="003B7AF4">
        <w:rPr>
          <w:rFonts w:ascii="Calibri" w:hAnsi="Calibri" w:cs="Calibri" w:hint="cs"/>
          <w:szCs w:val="22"/>
          <w:rtl/>
        </w:rPr>
        <w:t>ارتباك</w:t>
      </w:r>
      <w:r w:rsidR="00C54079" w:rsidRPr="003B7AF4">
        <w:rPr>
          <w:rFonts w:ascii="Calibri" w:hAnsi="Calibri" w:cs="Calibri"/>
          <w:szCs w:val="22"/>
          <w:rtl/>
        </w:rPr>
        <w:t xml:space="preserve"> السلسلة. ويواصل المركز مراقبة ودعم التفويض العادل والمتوقع </w:t>
      </w:r>
      <w:r w:rsidR="00A319D0" w:rsidRPr="003B7AF4">
        <w:rPr>
          <w:rFonts w:ascii="Calibri" w:hAnsi="Calibri" w:cs="Calibri" w:hint="cs"/>
          <w:szCs w:val="22"/>
          <w:rtl/>
        </w:rPr>
        <w:t>ل</w:t>
      </w:r>
      <w:r w:rsidR="0017648D" w:rsidRPr="003B7AF4">
        <w:rPr>
          <w:rFonts w:ascii="Calibri" w:hAnsi="Calibri" w:cs="Calibri" w:hint="cs"/>
          <w:szCs w:val="22"/>
          <w:rtl/>
        </w:rPr>
        <w:t>لحقول العليا</w:t>
      </w:r>
      <w:r w:rsidR="0017648D" w:rsidRPr="003B7AF4">
        <w:rPr>
          <w:rFonts w:ascii="Calibri" w:hAnsi="Calibri" w:cs="Calibri"/>
          <w:szCs w:val="22"/>
          <w:rtl/>
        </w:rPr>
        <w:t xml:space="preserve"> </w:t>
      </w:r>
      <w:r w:rsidR="00C54079" w:rsidRPr="003B7AF4">
        <w:rPr>
          <w:rFonts w:ascii="Calibri" w:hAnsi="Calibri" w:cs="Calibri"/>
          <w:szCs w:val="22"/>
          <w:rtl/>
        </w:rPr>
        <w:t>الجديدة، والاعتراضات المتعلقة بالعلامات التجارية، لضمان بقاء حقوق الملكية الفكرية و</w:t>
      </w:r>
      <w:r w:rsidR="00B17F05" w:rsidRPr="003B7AF4">
        <w:rPr>
          <w:rFonts w:ascii="Calibri" w:hAnsi="Calibri" w:cs="Calibri"/>
          <w:szCs w:val="22"/>
          <w:rtl/>
        </w:rPr>
        <w:t xml:space="preserve">المنازعات </w:t>
      </w:r>
      <w:r w:rsidR="00C54079" w:rsidRPr="003B7AF4">
        <w:rPr>
          <w:rFonts w:ascii="Calibri" w:hAnsi="Calibri" w:cs="Calibri"/>
          <w:szCs w:val="22"/>
          <w:rtl/>
        </w:rPr>
        <w:t xml:space="preserve">في </w:t>
      </w:r>
      <w:r w:rsidR="006B1EE6" w:rsidRPr="003B7AF4">
        <w:rPr>
          <w:rFonts w:ascii="Calibri" w:hAnsi="Calibri" w:cs="Calibri" w:hint="cs"/>
          <w:szCs w:val="22"/>
          <w:rtl/>
        </w:rPr>
        <w:t xml:space="preserve">إطار </w:t>
      </w:r>
      <w:r w:rsidR="00C54079" w:rsidRPr="003B7AF4">
        <w:rPr>
          <w:rFonts w:ascii="Calibri" w:hAnsi="Calibri" w:cs="Calibri"/>
          <w:szCs w:val="22"/>
          <w:rtl/>
        </w:rPr>
        <w:t>عملية التفويض الخاصة بـ</w:t>
      </w:r>
      <w:r w:rsidR="0017648D" w:rsidRPr="003B7AF4">
        <w:rPr>
          <w:rFonts w:ascii="Calibri" w:hAnsi="Calibri" w:cs="Calibri" w:hint="cs"/>
          <w:szCs w:val="22"/>
          <w:rtl/>
        </w:rPr>
        <w:t>الآيكان</w:t>
      </w:r>
      <w:r w:rsidR="0017648D" w:rsidRPr="003B7AF4">
        <w:rPr>
          <w:rFonts w:ascii="Calibri" w:hAnsi="Calibri" w:cs="Calibri"/>
          <w:szCs w:val="22"/>
          <w:rtl/>
        </w:rPr>
        <w:t xml:space="preserve"> </w:t>
      </w:r>
      <w:r w:rsidR="006B1EE6" w:rsidRPr="003B7AF4">
        <w:rPr>
          <w:rFonts w:ascii="Calibri" w:hAnsi="Calibri" w:cs="Calibri" w:hint="cs"/>
          <w:szCs w:val="22"/>
          <w:rtl/>
        </w:rPr>
        <w:t>في مسارها</w:t>
      </w:r>
      <w:r w:rsidR="00C54079" w:rsidRPr="003B7AF4">
        <w:rPr>
          <w:rFonts w:ascii="Calibri" w:hAnsi="Calibri" w:cs="Calibri"/>
          <w:szCs w:val="22"/>
          <w:rtl/>
        </w:rPr>
        <w:t xml:space="preserve"> </w:t>
      </w:r>
      <w:r w:rsidR="006B1EE6" w:rsidRPr="003B7AF4">
        <w:rPr>
          <w:rFonts w:ascii="Calibri" w:hAnsi="Calibri" w:cs="Calibri" w:hint="cs"/>
          <w:szCs w:val="22"/>
          <w:rtl/>
        </w:rPr>
        <w:lastRenderedPageBreak/>
        <w:t>ال</w:t>
      </w:r>
      <w:r w:rsidR="00C54079" w:rsidRPr="003B7AF4">
        <w:rPr>
          <w:rFonts w:ascii="Calibri" w:hAnsi="Calibri" w:cs="Calibri"/>
          <w:szCs w:val="22"/>
          <w:rtl/>
        </w:rPr>
        <w:t xml:space="preserve">صحيح. </w:t>
      </w:r>
      <w:r w:rsidR="00A319D0" w:rsidRPr="003B7AF4">
        <w:rPr>
          <w:rFonts w:ascii="Calibri" w:hAnsi="Calibri" w:cs="Calibri" w:hint="cs"/>
          <w:szCs w:val="22"/>
          <w:rtl/>
        </w:rPr>
        <w:t>و</w:t>
      </w:r>
      <w:r w:rsidR="0011725F" w:rsidRPr="003B7AF4">
        <w:rPr>
          <w:rFonts w:ascii="Calibri" w:hAnsi="Calibri" w:cs="Calibri"/>
          <w:szCs w:val="22"/>
          <w:rtl/>
        </w:rPr>
        <w:t xml:space="preserve">فيما يتعلق </w:t>
      </w:r>
      <w:r w:rsidR="00C54079" w:rsidRPr="003B7AF4">
        <w:rPr>
          <w:rFonts w:ascii="Calibri" w:hAnsi="Calibri" w:cs="Calibri"/>
          <w:szCs w:val="22"/>
          <w:rtl/>
        </w:rPr>
        <w:t xml:space="preserve">بالمستوى الثاني من عمليات تسوية المنازعات المتعلقة بالعلامات التجارية، يتضمن برنامج </w:t>
      </w:r>
      <w:r w:rsidR="0017648D" w:rsidRPr="003B7AF4">
        <w:rPr>
          <w:rFonts w:ascii="Calibri" w:hAnsi="Calibri" w:cs="Calibri" w:hint="cs"/>
          <w:szCs w:val="22"/>
          <w:rtl/>
        </w:rPr>
        <w:t>الآيكان</w:t>
      </w:r>
      <w:r w:rsidR="0017648D" w:rsidRPr="003B7AF4">
        <w:rPr>
          <w:rFonts w:ascii="Calibri" w:hAnsi="Calibri" w:cs="Calibri"/>
          <w:szCs w:val="22"/>
          <w:rtl/>
        </w:rPr>
        <w:t xml:space="preserve"> </w:t>
      </w:r>
      <w:r w:rsidR="00A319D0" w:rsidRPr="003B7AF4">
        <w:rPr>
          <w:rFonts w:ascii="Calibri" w:hAnsi="Calibri" w:cs="Calibri" w:hint="cs"/>
          <w:szCs w:val="22"/>
          <w:rtl/>
        </w:rPr>
        <w:t>ل</w:t>
      </w:r>
      <w:r w:rsidR="0017648D" w:rsidRPr="003B7AF4">
        <w:rPr>
          <w:rFonts w:ascii="Calibri" w:hAnsi="Calibri" w:cs="Calibri" w:hint="cs"/>
          <w:szCs w:val="22"/>
          <w:rtl/>
        </w:rPr>
        <w:t>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الجديدة غرفة مقاصة العلامات التجارية (TMCH) التي تعمل كمستودع مركزي لبيانات العلامات التجارية الموثقة والتي يمكن الاحتجاج بها كأساس لاستخدام </w:t>
      </w:r>
      <w:r w:rsidR="00A319D0" w:rsidRPr="003B7AF4">
        <w:rPr>
          <w:rFonts w:ascii="Calibri" w:hAnsi="Calibri" w:cs="Calibri" w:hint="cs"/>
          <w:szCs w:val="22"/>
          <w:rtl/>
        </w:rPr>
        <w:t>آليات حماية الحقوق المتعلقة</w:t>
      </w:r>
      <w:r w:rsidR="00C54079" w:rsidRPr="003B7AF4">
        <w:rPr>
          <w:rFonts w:ascii="Calibri" w:hAnsi="Calibri" w:cs="Calibri"/>
          <w:szCs w:val="22"/>
          <w:rtl/>
        </w:rPr>
        <w:t xml:space="preserve"> </w:t>
      </w:r>
      <w:r w:rsidR="00A319D0" w:rsidRPr="003B7AF4">
        <w:rPr>
          <w:rFonts w:ascii="Calibri" w:hAnsi="Calibri" w:cs="Calibri" w:hint="cs"/>
          <w:szCs w:val="22"/>
          <w:rtl/>
        </w:rPr>
        <w:t>ب</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الجديدة.  وعلاوة على ذلك، في حين لا يزال برنامج </w:t>
      </w:r>
      <w:r w:rsidR="0017648D" w:rsidRPr="003B7AF4">
        <w:rPr>
          <w:rFonts w:ascii="Calibri" w:hAnsi="Calibri" w:cs="Calibri" w:hint="cs"/>
          <w:szCs w:val="22"/>
          <w:rtl/>
        </w:rPr>
        <w:t>السياسة الموحدة</w:t>
      </w:r>
      <w:r w:rsidR="00C54079" w:rsidRPr="003B7AF4">
        <w:rPr>
          <w:rFonts w:ascii="Calibri" w:hAnsi="Calibri" w:cs="Calibri"/>
          <w:szCs w:val="22"/>
          <w:rtl/>
        </w:rPr>
        <w:t xml:space="preserve"> متاحًا كأداة علاجية </w:t>
      </w:r>
      <w:r w:rsidR="00A319D0" w:rsidRPr="003B7AF4">
        <w:rPr>
          <w:rFonts w:ascii="Calibri" w:hAnsi="Calibri" w:cs="Calibri" w:hint="cs"/>
          <w:szCs w:val="22"/>
          <w:rtl/>
        </w:rPr>
        <w:t>للمنازعات الناشئة بشأن</w:t>
      </w:r>
      <w:r w:rsidR="00C54079" w:rsidRPr="003B7AF4">
        <w:rPr>
          <w:rFonts w:ascii="Calibri" w:hAnsi="Calibri" w:cs="Calibri"/>
          <w:szCs w:val="22"/>
          <w:rtl/>
        </w:rPr>
        <w:t xml:space="preserve"> </w:t>
      </w:r>
      <w:r w:rsidR="0017648D" w:rsidRPr="003B7AF4">
        <w:rPr>
          <w:rFonts w:ascii="Calibri" w:hAnsi="Calibri" w:cs="Calibri" w:hint="cs"/>
          <w:szCs w:val="22"/>
          <w:rtl/>
        </w:rPr>
        <w:t>الحقول العليا</w:t>
      </w:r>
      <w:r w:rsidR="0017648D" w:rsidRPr="003B7AF4">
        <w:rPr>
          <w:rFonts w:ascii="Calibri" w:hAnsi="Calibri" w:cs="Calibri"/>
          <w:szCs w:val="22"/>
          <w:rtl/>
        </w:rPr>
        <w:t xml:space="preserve"> </w:t>
      </w:r>
      <w:r w:rsidR="00C54079" w:rsidRPr="003B7AF4">
        <w:rPr>
          <w:rFonts w:ascii="Calibri" w:hAnsi="Calibri" w:cs="Calibri"/>
          <w:szCs w:val="22"/>
          <w:rtl/>
        </w:rPr>
        <w:t xml:space="preserve">الجديدة التي تنطوي على طلب نقل اسم </w:t>
      </w:r>
      <w:r w:rsidR="00A319D0" w:rsidRPr="003B7AF4">
        <w:rPr>
          <w:rFonts w:ascii="Calibri" w:hAnsi="Calibri" w:cs="Calibri" w:hint="cs"/>
          <w:szCs w:val="22"/>
          <w:rtl/>
        </w:rPr>
        <w:t>الحقل</w:t>
      </w:r>
      <w:r w:rsidR="00C54079" w:rsidRPr="003B7AF4">
        <w:rPr>
          <w:rFonts w:ascii="Calibri" w:hAnsi="Calibri" w:cs="Calibri"/>
          <w:szCs w:val="22"/>
          <w:rtl/>
        </w:rPr>
        <w:t xml:space="preserve"> المتنازع عليه إلى مالك العلامة التجارية، فقد أدخلت </w:t>
      </w:r>
      <w:r w:rsidR="0017648D" w:rsidRPr="003B7AF4">
        <w:rPr>
          <w:rFonts w:ascii="Calibri" w:hAnsi="Calibri" w:cs="Calibri" w:hint="cs"/>
          <w:szCs w:val="22"/>
          <w:rtl/>
        </w:rPr>
        <w:t>الآيكان</w:t>
      </w:r>
      <w:r w:rsidR="0017648D" w:rsidRPr="003B7AF4">
        <w:rPr>
          <w:rFonts w:ascii="Calibri" w:hAnsi="Calibri" w:cs="Calibri"/>
          <w:szCs w:val="22"/>
          <w:rtl/>
        </w:rPr>
        <w:t xml:space="preserve"> </w:t>
      </w:r>
      <w:r w:rsidR="00C54079" w:rsidRPr="003B7AF4">
        <w:rPr>
          <w:rFonts w:ascii="Calibri" w:hAnsi="Calibri" w:cs="Calibri"/>
          <w:szCs w:val="22"/>
          <w:rtl/>
        </w:rPr>
        <w:t xml:space="preserve">نظام التعليق السريع الموحد القائم على التعليق المؤقت، والذي </w:t>
      </w:r>
      <w:r w:rsidR="00E5119C" w:rsidRPr="003B7AF4">
        <w:rPr>
          <w:rFonts w:ascii="Calibri" w:hAnsi="Calibri" w:cs="Calibri" w:hint="cs"/>
          <w:szCs w:val="22"/>
          <w:rtl/>
        </w:rPr>
        <w:t>س</w:t>
      </w:r>
      <w:r w:rsidR="00C54079" w:rsidRPr="003B7AF4">
        <w:rPr>
          <w:rFonts w:ascii="Calibri" w:hAnsi="Calibri" w:cs="Calibri"/>
          <w:szCs w:val="22"/>
          <w:rtl/>
        </w:rPr>
        <w:t xml:space="preserve">يكون بمثابة آلية </w:t>
      </w:r>
      <w:r w:rsidR="00A319D0" w:rsidRPr="003B7AF4">
        <w:rPr>
          <w:rFonts w:ascii="Calibri" w:hAnsi="Calibri" w:cs="Calibri" w:hint="cs"/>
          <w:szCs w:val="22"/>
          <w:rtl/>
        </w:rPr>
        <w:t>حماية الحقوق</w:t>
      </w:r>
      <w:r w:rsidR="00C54079" w:rsidRPr="003B7AF4">
        <w:rPr>
          <w:rFonts w:ascii="Calibri" w:hAnsi="Calibri" w:cs="Calibri"/>
          <w:szCs w:val="22"/>
          <w:rtl/>
        </w:rPr>
        <w:t xml:space="preserve"> </w:t>
      </w:r>
      <w:r w:rsidR="00E91B25" w:rsidRPr="003B7AF4">
        <w:rPr>
          <w:rFonts w:ascii="Calibri" w:hAnsi="Calibri" w:cs="Calibri" w:hint="cs"/>
          <w:szCs w:val="22"/>
          <w:rtl/>
        </w:rPr>
        <w:t>أبسط</w:t>
      </w:r>
      <w:r w:rsidR="00C54079" w:rsidRPr="003B7AF4">
        <w:rPr>
          <w:rFonts w:ascii="Calibri" w:hAnsi="Calibri" w:cs="Calibri"/>
          <w:szCs w:val="22"/>
          <w:rtl/>
        </w:rPr>
        <w:t xml:space="preserve"> من المستوى الثاني للحالات المناسبة. </w:t>
      </w:r>
      <w:r w:rsidR="00C54079" w:rsidRPr="003B7AF4">
        <w:rPr>
          <w:rStyle w:val="FootnoteReference"/>
          <w:rFonts w:ascii="Calibri" w:hAnsi="Calibri" w:cs="Calibri"/>
          <w:szCs w:val="22"/>
          <w:rtl/>
        </w:rPr>
        <w:footnoteReference w:id="44"/>
      </w:r>
      <w:r w:rsidR="0017648D" w:rsidRPr="003B7AF4">
        <w:rPr>
          <w:rFonts w:ascii="Calibri" w:hAnsi="Calibri" w:cs="Calibri" w:hint="cs"/>
          <w:szCs w:val="22"/>
          <w:rtl/>
        </w:rPr>
        <w:t xml:space="preserve"> </w:t>
      </w:r>
    </w:p>
    <w:p w14:paraId="1B97D1BB" w14:textId="3811BD1C" w:rsidR="00C54079" w:rsidRPr="003B7AF4" w:rsidRDefault="00F65D9D" w:rsidP="00C54079">
      <w:pPr>
        <w:pStyle w:val="Heading2"/>
        <w:ind w:left="540"/>
        <w:rPr>
          <w:rFonts w:ascii="Calibri" w:hAnsi="Calibri" w:cs="Calibri"/>
          <w:b/>
          <w:bCs w:val="0"/>
          <w:i/>
          <w:iCs w:val="0"/>
          <w:szCs w:val="22"/>
        </w:rPr>
      </w:pPr>
      <w:r w:rsidRPr="003B7AF4">
        <w:rPr>
          <w:rFonts w:ascii="Calibri" w:hAnsi="Calibri" w:cs="Calibri" w:hint="cs"/>
          <w:b/>
          <w:bCs w:val="0"/>
          <w:i/>
          <w:iCs w:val="0"/>
          <w:szCs w:val="22"/>
          <w:rtl/>
        </w:rPr>
        <w:t>جيم</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 xml:space="preserve">تنظيم الخصوصية و"قاعدة بيانات </w:t>
      </w:r>
      <w:r w:rsidR="00C54079" w:rsidRPr="00AE28E0">
        <w:rPr>
          <w:rFonts w:ascii="Calibri" w:hAnsi="Calibri" w:cs="Calibri"/>
          <w:b/>
          <w:bCs w:val="0"/>
          <w:szCs w:val="22"/>
          <w:rtl/>
        </w:rPr>
        <w:t>WHOIS</w:t>
      </w:r>
      <w:r w:rsidR="00C54079" w:rsidRPr="003B7AF4">
        <w:rPr>
          <w:rFonts w:ascii="Calibri" w:hAnsi="Calibri" w:cs="Calibri"/>
          <w:b/>
          <w:bCs w:val="0"/>
          <w:i/>
          <w:iCs w:val="0"/>
          <w:szCs w:val="22"/>
          <w:rtl/>
        </w:rPr>
        <w:t xml:space="preserve">" / بروتوكول </w:t>
      </w:r>
      <w:r w:rsidR="00317B1F" w:rsidRPr="003B7AF4">
        <w:rPr>
          <w:rFonts w:ascii="Calibri" w:hAnsi="Calibri" w:cs="Calibri" w:hint="cs"/>
          <w:b/>
          <w:bCs w:val="0"/>
          <w:i/>
          <w:iCs w:val="0"/>
          <w:szCs w:val="22"/>
          <w:rtl/>
        </w:rPr>
        <w:t>النفاذ</w:t>
      </w:r>
      <w:r w:rsidR="00C54079" w:rsidRPr="003B7AF4">
        <w:rPr>
          <w:rFonts w:ascii="Calibri" w:hAnsi="Calibri" w:cs="Calibri"/>
          <w:b/>
          <w:bCs w:val="0"/>
          <w:i/>
          <w:iCs w:val="0"/>
          <w:szCs w:val="22"/>
          <w:rtl/>
        </w:rPr>
        <w:t xml:space="preserve"> إلى بيانات التسجيل (RDAP)</w:t>
      </w:r>
    </w:p>
    <w:p w14:paraId="2A55BED6" w14:textId="0418E16D" w:rsidR="00C54079" w:rsidRPr="003B7AF4" w:rsidRDefault="008264FB" w:rsidP="00C54079">
      <w:pPr>
        <w:widowControl w:val="0"/>
        <w:spacing w:before="240"/>
        <w:rPr>
          <w:rFonts w:ascii="Calibri" w:hAnsi="Calibri" w:cs="Calibri"/>
          <w:szCs w:val="22"/>
        </w:rPr>
      </w:pPr>
      <w:r w:rsidRPr="003B7AF4">
        <w:rPr>
          <w:rFonts w:ascii="Calibri" w:hAnsi="Calibri" w:cs="Calibri"/>
          <w:szCs w:val="22"/>
          <w:rtl/>
        </w:rPr>
        <w:t>48</w:t>
      </w:r>
      <w:r w:rsidR="00C54079" w:rsidRPr="003B7AF4">
        <w:rPr>
          <w:rFonts w:ascii="Calibri" w:hAnsi="Calibri" w:cs="Calibri"/>
          <w:szCs w:val="22"/>
          <w:rtl/>
        </w:rPr>
        <w:t>.</w:t>
      </w:r>
      <w:r w:rsidR="00C54079" w:rsidRPr="003B7AF4">
        <w:rPr>
          <w:rFonts w:ascii="Calibri" w:hAnsi="Calibri" w:cs="Calibri"/>
          <w:szCs w:val="22"/>
          <w:rtl/>
        </w:rPr>
        <w:tab/>
        <w:t>نتيجة للائحة العامة لحماية البيانات في الاتحاد الأوروبي،</w:t>
      </w:r>
      <w:r w:rsidR="00C54079" w:rsidRPr="003B7AF4">
        <w:rPr>
          <w:rStyle w:val="FootnoteReference"/>
          <w:rFonts w:ascii="Calibri" w:hAnsi="Calibri" w:cs="Calibri"/>
          <w:szCs w:val="22"/>
          <w:rtl/>
        </w:rPr>
        <w:footnoteReference w:id="45"/>
      </w:r>
      <w:r w:rsidR="00C54079" w:rsidRPr="003B7AF4">
        <w:rPr>
          <w:rFonts w:ascii="Calibri" w:hAnsi="Calibri" w:cs="Calibri"/>
          <w:szCs w:val="22"/>
          <w:rtl/>
        </w:rPr>
        <w:t xml:space="preserve"> التي دخلت حيز النفاذ في 25 مايو 2018، لم تعد بيانات WhoIs المتاحة للجمهور تتضمن بشكل عام تفاصيل الاتصال الكاملة بمسجلي أسماء </w:t>
      </w:r>
      <w:r w:rsidR="00317B1F" w:rsidRPr="003B7AF4">
        <w:rPr>
          <w:rFonts w:ascii="Calibri" w:hAnsi="Calibri" w:cs="Calibri" w:hint="cs"/>
          <w:szCs w:val="22"/>
          <w:rtl/>
        </w:rPr>
        <w:t>الحقول</w:t>
      </w:r>
      <w:r w:rsidR="00C54079" w:rsidRPr="003B7AF4">
        <w:rPr>
          <w:rFonts w:ascii="Calibri" w:hAnsi="Calibri" w:cs="Calibri"/>
          <w:szCs w:val="22"/>
          <w:rtl/>
        </w:rPr>
        <w:t xml:space="preserve">. وبدلاً من ذلك، يتم تنقيح بيانات WhoIs المتاحة للجمهور إلى حد كبير، أو إذا كانت متاحة، فغالبًا ما تقتصر على "منظمة المسجل" (للأشخاص الاعتباريين) والبلد. وعلاوة على ذلك، في الممارسة العملية، تعكس غالبية بيانات التسجيل حاليًا خدمة "الخصوصية" أو "الوكيل" كصاحب الاسم المسجل (المسجل). ومع ذلك، من أجل </w:t>
      </w:r>
      <w:r w:rsidR="00317B1F" w:rsidRPr="003B7AF4">
        <w:rPr>
          <w:rFonts w:ascii="Calibri" w:hAnsi="Calibri" w:cs="Calibri" w:hint="cs"/>
          <w:szCs w:val="22"/>
          <w:rtl/>
        </w:rPr>
        <w:t>تيسير</w:t>
      </w:r>
      <w:r w:rsidR="00C54079" w:rsidRPr="003B7AF4">
        <w:rPr>
          <w:rFonts w:ascii="Calibri" w:hAnsi="Calibri" w:cs="Calibri"/>
          <w:szCs w:val="22"/>
          <w:rtl/>
        </w:rPr>
        <w:t xml:space="preserve"> الاتصال بمسجل اسم النطاق، يُطلب من المسجل المعني تقديم عنوان بريد إلكتروني "مجهول الهوية" أو نموذج اتصال على شبكة الإنترنت. بالإضافة إلى ذلك، عندما </w:t>
      </w:r>
      <w:r w:rsidR="00317B1F" w:rsidRPr="003B7AF4">
        <w:rPr>
          <w:rFonts w:ascii="Calibri" w:hAnsi="Calibri" w:cs="Calibri" w:hint="cs"/>
          <w:szCs w:val="22"/>
          <w:rtl/>
        </w:rPr>
        <w:t>تقدم</w:t>
      </w:r>
      <w:r w:rsidR="00C54079" w:rsidRPr="003B7AF4">
        <w:rPr>
          <w:rFonts w:ascii="Calibri" w:hAnsi="Calibri" w:cs="Calibri"/>
          <w:szCs w:val="22"/>
          <w:rtl/>
        </w:rPr>
        <w:t xml:space="preserve"> شكوى </w:t>
      </w:r>
      <w:r w:rsidR="00317B1F" w:rsidRPr="003B7AF4">
        <w:rPr>
          <w:rFonts w:ascii="Calibri" w:hAnsi="Calibri" w:cs="Calibri" w:hint="cs"/>
          <w:szCs w:val="22"/>
          <w:rtl/>
        </w:rPr>
        <w:t xml:space="preserve">بشأن </w:t>
      </w:r>
      <w:r w:rsidR="0017648D" w:rsidRPr="003B7AF4">
        <w:rPr>
          <w:rFonts w:ascii="Calibri" w:hAnsi="Calibri" w:cs="Calibri"/>
          <w:szCs w:val="22"/>
          <w:rtl/>
        </w:rPr>
        <w:t xml:space="preserve">السياسة الموحدة </w:t>
      </w:r>
      <w:r w:rsidR="00C54079" w:rsidRPr="003B7AF4">
        <w:rPr>
          <w:rFonts w:ascii="Calibri" w:hAnsi="Calibri" w:cs="Calibri"/>
          <w:szCs w:val="22"/>
          <w:rtl/>
        </w:rPr>
        <w:t xml:space="preserve"> إلى مزود خدمة </w:t>
      </w:r>
      <w:r w:rsidR="0017648D" w:rsidRPr="003B7AF4">
        <w:rPr>
          <w:rFonts w:ascii="Calibri" w:hAnsi="Calibri" w:cs="Calibri"/>
          <w:szCs w:val="22"/>
          <w:rtl/>
        </w:rPr>
        <w:t xml:space="preserve">السياسة الموحدة </w:t>
      </w:r>
      <w:r w:rsidR="00C54079" w:rsidRPr="003B7AF4">
        <w:rPr>
          <w:rFonts w:ascii="Calibri" w:hAnsi="Calibri" w:cs="Calibri"/>
          <w:szCs w:val="22"/>
          <w:rtl/>
        </w:rPr>
        <w:t xml:space="preserve">، يتم توجيه أمناء السجل من قبل </w:t>
      </w:r>
      <w:r w:rsidR="0017648D" w:rsidRPr="003B7AF4">
        <w:rPr>
          <w:rFonts w:ascii="Calibri" w:hAnsi="Calibri" w:cs="Calibri"/>
          <w:szCs w:val="22"/>
          <w:rtl/>
        </w:rPr>
        <w:t>الآيكان</w:t>
      </w:r>
      <w:r w:rsidR="00C54079" w:rsidRPr="003B7AF4">
        <w:rPr>
          <w:rFonts w:ascii="Calibri" w:hAnsi="Calibri" w:cs="Calibri"/>
          <w:szCs w:val="22"/>
          <w:rtl/>
        </w:rPr>
        <w:t xml:space="preserve"> لتقديم معلومات الاتصال بالمسجل </w:t>
      </w:r>
      <w:r w:rsidR="00317B1F" w:rsidRPr="003B7AF4">
        <w:rPr>
          <w:rFonts w:ascii="Calibri" w:hAnsi="Calibri" w:cs="Calibri" w:hint="cs"/>
          <w:szCs w:val="22"/>
          <w:rtl/>
        </w:rPr>
        <w:t>بناء على</w:t>
      </w:r>
      <w:r w:rsidR="00C54079" w:rsidRPr="003B7AF4">
        <w:rPr>
          <w:rFonts w:ascii="Calibri" w:hAnsi="Calibri" w:cs="Calibri"/>
          <w:szCs w:val="22"/>
          <w:rtl/>
        </w:rPr>
        <w:t xml:space="preserve"> طلب هذا المزود (وفي نفس الوقت "قفل" تفاصيل تسجيل اسم </w:t>
      </w:r>
      <w:r w:rsidR="00317B1F" w:rsidRPr="003B7AF4">
        <w:rPr>
          <w:rFonts w:ascii="Calibri" w:hAnsi="Calibri" w:cs="Calibri" w:hint="cs"/>
          <w:szCs w:val="22"/>
          <w:rtl/>
        </w:rPr>
        <w:t>الحقل</w:t>
      </w:r>
      <w:r w:rsidR="00C54079" w:rsidRPr="003B7AF4">
        <w:rPr>
          <w:rFonts w:ascii="Calibri" w:hAnsi="Calibri" w:cs="Calibri"/>
          <w:szCs w:val="22"/>
          <w:rtl/>
        </w:rPr>
        <w:t xml:space="preserve"> والمسجل)، بالإضافة إلى متطلبات الإجراءات القانونية الواجبة المنصوص عليها في قواعد </w:t>
      </w:r>
      <w:r w:rsidR="0017648D" w:rsidRPr="003B7AF4">
        <w:rPr>
          <w:rFonts w:ascii="Calibri" w:hAnsi="Calibri" w:cs="Calibri"/>
          <w:szCs w:val="22"/>
          <w:rtl/>
        </w:rPr>
        <w:t xml:space="preserve">السياسة الموحدة </w:t>
      </w:r>
      <w:r w:rsidR="00C54079" w:rsidRPr="003B7AF4">
        <w:rPr>
          <w:rFonts w:ascii="Calibri" w:hAnsi="Calibri" w:cs="Calibri"/>
          <w:szCs w:val="22"/>
          <w:rtl/>
        </w:rPr>
        <w:t xml:space="preserve">.  </w:t>
      </w:r>
      <w:r w:rsidR="00317B1F" w:rsidRPr="003B7AF4">
        <w:rPr>
          <w:rFonts w:ascii="Calibri" w:hAnsi="Calibri" w:cs="Calibri" w:hint="cs"/>
          <w:szCs w:val="22"/>
          <w:rtl/>
        </w:rPr>
        <w:t>و</w:t>
      </w:r>
      <w:r w:rsidR="00C54079" w:rsidRPr="003B7AF4">
        <w:rPr>
          <w:rFonts w:ascii="Calibri" w:hAnsi="Calibri" w:cs="Calibri"/>
          <w:szCs w:val="22"/>
          <w:rtl/>
        </w:rPr>
        <w:t xml:space="preserve">تقر "مواصفات [العقد] المؤقتة" الخاصة بـ </w:t>
      </w:r>
      <w:r w:rsidR="0017648D" w:rsidRPr="003B7AF4">
        <w:rPr>
          <w:rFonts w:ascii="Calibri" w:hAnsi="Calibri" w:cs="Calibri"/>
          <w:szCs w:val="22"/>
          <w:rtl/>
        </w:rPr>
        <w:t>الآيكان</w:t>
      </w:r>
      <w:r w:rsidR="00C54079" w:rsidRPr="003B7AF4">
        <w:rPr>
          <w:rFonts w:ascii="Calibri" w:hAnsi="Calibri" w:cs="Calibri"/>
          <w:szCs w:val="22"/>
          <w:rtl/>
        </w:rPr>
        <w:t xml:space="preserve"> لبيانات تسجيل </w:t>
      </w:r>
      <w:r w:rsidR="00317B1F" w:rsidRPr="003B7AF4">
        <w:rPr>
          <w:rFonts w:ascii="Calibri" w:hAnsi="Calibri" w:cs="Calibri" w:hint="cs"/>
          <w:szCs w:val="22"/>
          <w:rtl/>
        </w:rPr>
        <w:t>الحقول العليا</w:t>
      </w:r>
      <w:r w:rsidR="00C54079" w:rsidRPr="003B7AF4">
        <w:rPr>
          <w:rFonts w:ascii="Calibri" w:hAnsi="Calibri" w:cs="Calibri"/>
          <w:szCs w:val="22"/>
          <w:rtl/>
        </w:rPr>
        <w:t xml:space="preserve"> صراحةً بأنه يجب على أمناء السجل تقديم بيانات التسجيل الكاملة لمقدمي خدمة </w:t>
      </w:r>
      <w:r w:rsidR="0017648D" w:rsidRPr="003B7AF4">
        <w:rPr>
          <w:rFonts w:ascii="Calibri" w:hAnsi="Calibri" w:cs="Calibri"/>
          <w:szCs w:val="22"/>
          <w:rtl/>
        </w:rPr>
        <w:t xml:space="preserve">السياسة الموحدة </w:t>
      </w:r>
      <w:r w:rsidR="00C54079" w:rsidRPr="003B7AF4">
        <w:rPr>
          <w:rFonts w:ascii="Calibri" w:hAnsi="Calibri" w:cs="Calibri"/>
          <w:szCs w:val="22"/>
          <w:rtl/>
        </w:rPr>
        <w:t>.</w:t>
      </w:r>
      <w:r w:rsidR="00C54079" w:rsidRPr="003B7AF4">
        <w:rPr>
          <w:rStyle w:val="FootnoteReference"/>
          <w:rFonts w:ascii="Calibri" w:hAnsi="Calibri" w:cs="Calibri"/>
          <w:szCs w:val="22"/>
          <w:rtl/>
        </w:rPr>
        <w:footnoteReference w:id="46"/>
      </w:r>
      <w:r w:rsidR="00C54079" w:rsidRPr="003B7AF4">
        <w:rPr>
          <w:rFonts w:ascii="Calibri" w:hAnsi="Calibri" w:cs="Calibri"/>
          <w:szCs w:val="22"/>
          <w:rtl/>
        </w:rPr>
        <w:t xml:space="preserve">  </w:t>
      </w:r>
      <w:r w:rsidR="00317B1F" w:rsidRPr="003B7AF4">
        <w:rPr>
          <w:rFonts w:ascii="Calibri" w:hAnsi="Calibri" w:cs="Calibri" w:hint="cs"/>
          <w:szCs w:val="22"/>
          <w:rtl/>
        </w:rPr>
        <w:t>و</w:t>
      </w:r>
      <w:r w:rsidR="00C54079" w:rsidRPr="003B7AF4">
        <w:rPr>
          <w:rFonts w:ascii="Calibri" w:hAnsi="Calibri" w:cs="Calibri"/>
          <w:szCs w:val="22"/>
          <w:rtl/>
        </w:rPr>
        <w:t xml:space="preserve">يبدو أن هذا على أساس الاعتراف بأن مقدمي خدمة </w:t>
      </w:r>
      <w:r w:rsidR="0017648D" w:rsidRPr="003B7AF4">
        <w:rPr>
          <w:rFonts w:ascii="Calibri" w:hAnsi="Calibri" w:cs="Calibri"/>
          <w:szCs w:val="22"/>
          <w:rtl/>
        </w:rPr>
        <w:t xml:space="preserve">السياسة الموحدة </w:t>
      </w:r>
      <w:r w:rsidR="00C54079" w:rsidRPr="003B7AF4">
        <w:rPr>
          <w:rFonts w:ascii="Calibri" w:hAnsi="Calibri" w:cs="Calibri"/>
          <w:szCs w:val="22"/>
          <w:rtl/>
        </w:rPr>
        <w:t xml:space="preserve"> يستوفون معايير "الأغراض المشروعة" الواردة في المادة 6 (1) (و) من اللائحة العامة لحماية البيانات والمادة 6 (1) (ب) "أداء العقد"،</w:t>
      </w:r>
      <w:r w:rsidR="00C54079" w:rsidRPr="003B7AF4">
        <w:rPr>
          <w:rStyle w:val="FootnoteReference"/>
          <w:rFonts w:ascii="Calibri" w:hAnsi="Calibri" w:cs="Calibri"/>
          <w:szCs w:val="22"/>
          <w:rtl/>
        </w:rPr>
        <w:footnoteReference w:id="47"/>
      </w:r>
      <w:r w:rsidR="00C54079" w:rsidRPr="003B7AF4">
        <w:rPr>
          <w:rFonts w:ascii="Calibri" w:hAnsi="Calibri" w:cs="Calibri"/>
          <w:szCs w:val="22"/>
          <w:rtl/>
        </w:rPr>
        <w:t xml:space="preserve"> بحيث يُطلب من أمناء السجل تقديم بيانات WhoIs إلى مقدمي خدمة </w:t>
      </w:r>
      <w:r w:rsidR="0017648D" w:rsidRPr="003B7AF4">
        <w:rPr>
          <w:rFonts w:ascii="Calibri" w:hAnsi="Calibri" w:cs="Calibri"/>
          <w:szCs w:val="22"/>
          <w:rtl/>
        </w:rPr>
        <w:t xml:space="preserve">السياسة الموحدة </w:t>
      </w:r>
      <w:r w:rsidR="00C54079" w:rsidRPr="003B7AF4">
        <w:rPr>
          <w:rFonts w:ascii="Calibri" w:hAnsi="Calibri" w:cs="Calibri"/>
          <w:szCs w:val="22"/>
          <w:rtl/>
        </w:rPr>
        <w:t xml:space="preserve">.  </w:t>
      </w:r>
      <w:r w:rsidR="00330648" w:rsidRPr="003B7AF4">
        <w:rPr>
          <w:rFonts w:ascii="Times New Roman" w:hAnsi="Times New Roman" w:cs="Calibri"/>
          <w:szCs w:val="22"/>
          <w:rtl/>
        </w:rPr>
        <w:t xml:space="preserve">وفي يوليو 2018، شرعت المنظمة الداعمة للأسماء العامة في </w:t>
      </w:r>
      <w:hyperlink r:id="rId51" w:history="1">
        <w:r w:rsidR="00330648" w:rsidRPr="00E541C7">
          <w:rPr>
            <w:rStyle w:val="Hyperlink"/>
            <w:rFonts w:ascii="Times New Roman" w:hAnsi="Times New Roman" w:cs="Calibri"/>
            <w:szCs w:val="22"/>
            <w:rtl/>
          </w:rPr>
          <w:t>العملية المعجلة لتطوير سياسة الإجراءات (</w:t>
        </w:r>
        <w:r w:rsidR="00330648" w:rsidRPr="00E541C7">
          <w:rPr>
            <w:rStyle w:val="Hyperlink"/>
            <w:rFonts w:asciiTheme="minorBidi" w:hAnsiTheme="minorBidi" w:cs="Calibri"/>
            <w:szCs w:val="22"/>
          </w:rPr>
          <w:t>EPDP</w:t>
        </w:r>
        <w:r w:rsidR="00330648" w:rsidRPr="00E541C7">
          <w:rPr>
            <w:rStyle w:val="Hyperlink"/>
            <w:rFonts w:ascii="Times New Roman" w:hAnsi="Times New Roman" w:cs="Calibri"/>
            <w:szCs w:val="22"/>
            <w:rtl/>
          </w:rPr>
          <w:t>)</w:t>
        </w:r>
      </w:hyperlink>
      <w:r w:rsidR="00330648" w:rsidRPr="003B7AF4">
        <w:rPr>
          <w:rFonts w:ascii="Times New Roman" w:hAnsi="Times New Roman" w:cs="Calibri"/>
          <w:szCs w:val="22"/>
          <w:rtl/>
        </w:rPr>
        <w:t xml:space="preserve"> لمراجعة "المواصفات [التعاقدية] المؤقتة" ومناقشة نموذج نفاذ موحّد إلى بيانات التسجيل غير العامة. وقُدم تقرير ختامي إلى مجلس المنظمة الداعمة للأسماء العامة في يوليو 2020 بما في ذلك </w:t>
      </w:r>
      <w:hyperlink r:id="rId52" w:history="1">
        <w:r w:rsidR="00330648" w:rsidRPr="00E541C7">
          <w:rPr>
            <w:rStyle w:val="Hyperlink"/>
            <w:rFonts w:ascii="Times New Roman" w:hAnsi="Times New Roman" w:cs="Calibri"/>
            <w:szCs w:val="22"/>
            <w:rtl/>
          </w:rPr>
          <w:t>التوصيات التي قدمها الفريق المعني بالعملية المعجلة لتطوير سياسة الإجراءات (</w:t>
        </w:r>
        <w:r w:rsidR="00330648" w:rsidRPr="00E541C7">
          <w:rPr>
            <w:rStyle w:val="Hyperlink"/>
            <w:rFonts w:asciiTheme="minorBidi" w:hAnsiTheme="minorBidi" w:cs="Calibri"/>
            <w:szCs w:val="22"/>
          </w:rPr>
          <w:t>EPDP</w:t>
        </w:r>
        <w:r w:rsidR="00330648" w:rsidRPr="00E541C7">
          <w:rPr>
            <w:rStyle w:val="Hyperlink"/>
            <w:rFonts w:ascii="Times New Roman" w:hAnsi="Times New Roman" w:cs="Calibri"/>
            <w:szCs w:val="22"/>
            <w:rtl/>
          </w:rPr>
          <w:t>) بشأن نظام النفاذ/الإفصاح الموحد (</w:t>
        </w:r>
        <w:r w:rsidR="00330648" w:rsidRPr="00E541C7">
          <w:rPr>
            <w:rStyle w:val="Hyperlink"/>
            <w:rFonts w:asciiTheme="minorBidi" w:hAnsiTheme="minorBidi" w:cs="Calibri"/>
            <w:szCs w:val="22"/>
          </w:rPr>
          <w:t>SSAD</w:t>
        </w:r>
        <w:r w:rsidR="00330648" w:rsidRPr="00E541C7">
          <w:rPr>
            <w:rStyle w:val="Hyperlink"/>
            <w:rFonts w:ascii="Times New Roman" w:hAnsi="Times New Roman" w:cs="Calibri"/>
            <w:szCs w:val="22"/>
            <w:rtl/>
          </w:rPr>
          <w:t>)</w:t>
        </w:r>
      </w:hyperlink>
      <w:r w:rsidR="00330648" w:rsidRPr="003B7AF4">
        <w:rPr>
          <w:rFonts w:ascii="Times New Roman" w:hAnsi="Times New Roman" w:cs="Calibri"/>
          <w:szCs w:val="22"/>
          <w:rtl/>
        </w:rPr>
        <w:t xml:space="preserve"> ، الذي أثار عدداً من المخاوف من قبل الحكومات وأصحاب المصلحة في مجال الملكية الفكرية، ولا تزال المشاورات جارية بشأنه. ويواصل المركز رصد مناقشات السياسة المتعلقة بنظام النفاذ/الإفصاح الموحد التي لا تزال جارية</w:t>
      </w:r>
      <w:r w:rsidR="00C54079" w:rsidRPr="003B7AF4">
        <w:rPr>
          <w:rFonts w:ascii="Calibri" w:hAnsi="Calibri" w:cs="Calibri"/>
          <w:szCs w:val="22"/>
          <w:rtl/>
        </w:rPr>
        <w:t>.</w:t>
      </w:r>
      <w:r w:rsidR="00C54079" w:rsidRPr="003B7AF4">
        <w:rPr>
          <w:rStyle w:val="FootnoteReference"/>
          <w:rFonts w:ascii="Calibri" w:hAnsi="Calibri" w:cs="Calibri"/>
          <w:szCs w:val="22"/>
          <w:rtl/>
        </w:rPr>
        <w:footnoteReference w:id="48"/>
      </w:r>
    </w:p>
    <w:p w14:paraId="3686F1A8" w14:textId="16EDD493" w:rsidR="00C54079" w:rsidRPr="003B7AF4" w:rsidRDefault="008264FB" w:rsidP="00C54079">
      <w:pPr>
        <w:widowControl w:val="0"/>
        <w:spacing w:before="240"/>
        <w:rPr>
          <w:rFonts w:ascii="Calibri" w:hAnsi="Calibri" w:cs="Calibri"/>
          <w:szCs w:val="22"/>
        </w:rPr>
      </w:pPr>
      <w:r w:rsidRPr="003B7AF4">
        <w:rPr>
          <w:rFonts w:ascii="Calibri" w:hAnsi="Calibri" w:cs="Calibri"/>
          <w:szCs w:val="22"/>
          <w:rtl/>
        </w:rPr>
        <w:t>49</w:t>
      </w:r>
      <w:r w:rsidR="00C54079" w:rsidRPr="003B7AF4">
        <w:rPr>
          <w:rFonts w:ascii="Calibri" w:hAnsi="Calibri" w:cs="Calibri"/>
          <w:szCs w:val="22"/>
          <w:rtl/>
        </w:rPr>
        <w:t>.</w:t>
      </w:r>
      <w:r w:rsidR="00C54079" w:rsidRPr="003B7AF4">
        <w:rPr>
          <w:rFonts w:ascii="Calibri" w:hAnsi="Calibri" w:cs="Calibri"/>
          <w:szCs w:val="22"/>
          <w:rtl/>
        </w:rPr>
        <w:tab/>
        <w:t xml:space="preserve">ومؤخراً، </w:t>
      </w:r>
      <w:hyperlink r:id="rId53" w:history="1">
        <w:r w:rsidR="00C54079" w:rsidRPr="00B8680A">
          <w:rPr>
            <w:rStyle w:val="Hyperlink"/>
            <w:rFonts w:ascii="Calibri" w:hAnsi="Calibri" w:cs="Calibri"/>
            <w:color w:val="0000FF"/>
            <w:szCs w:val="22"/>
            <w:u w:color="0000FF"/>
            <w:rtl/>
          </w:rPr>
          <w:t xml:space="preserve">أطلقت </w:t>
        </w:r>
        <w:r w:rsidR="0017648D" w:rsidRPr="00B8680A">
          <w:rPr>
            <w:rStyle w:val="Hyperlink"/>
            <w:rFonts w:ascii="Calibri" w:hAnsi="Calibri" w:cs="Calibri"/>
            <w:color w:val="0000FF"/>
            <w:szCs w:val="22"/>
            <w:u w:color="0000FF"/>
            <w:rtl/>
          </w:rPr>
          <w:t>الآيكان</w:t>
        </w:r>
        <w:r w:rsidR="00C54079" w:rsidRPr="00B8680A">
          <w:rPr>
            <w:rStyle w:val="Hyperlink"/>
            <w:rFonts w:ascii="Calibri" w:hAnsi="Calibri" w:cs="Calibri"/>
            <w:color w:val="0000FF"/>
            <w:szCs w:val="22"/>
            <w:u w:color="0000FF"/>
            <w:rtl/>
          </w:rPr>
          <w:t xml:space="preserve"> خدمة طلب بيانات التسجيل (RDRS</w:t>
        </w:r>
      </w:hyperlink>
      <w:r w:rsidR="00C54079" w:rsidRPr="00B8680A">
        <w:rPr>
          <w:rFonts w:ascii="Calibri" w:hAnsi="Calibri" w:cs="Calibri"/>
          <w:color w:val="0000FF"/>
          <w:szCs w:val="22"/>
          <w:u w:val="single" w:color="0000FF"/>
          <w:rtl/>
        </w:rPr>
        <w:t>)</w:t>
      </w:r>
      <w:r w:rsidR="00C54079" w:rsidRPr="003B7AF4">
        <w:rPr>
          <w:rFonts w:ascii="Calibri" w:hAnsi="Calibri" w:cs="Calibri"/>
          <w:szCs w:val="22"/>
          <w:rtl/>
        </w:rPr>
        <w:t xml:space="preserve">، وهي خدمة مركزية جديدة تقدم </w:t>
      </w:r>
      <w:r w:rsidR="00484E73" w:rsidRPr="003B7AF4">
        <w:rPr>
          <w:rFonts w:ascii="Calibri" w:hAnsi="Calibri" w:cs="Calibri" w:hint="cs"/>
          <w:szCs w:val="22"/>
          <w:rtl/>
        </w:rPr>
        <w:t>نسقا</w:t>
      </w:r>
      <w:r w:rsidR="00C54079" w:rsidRPr="003B7AF4">
        <w:rPr>
          <w:rFonts w:ascii="Calibri" w:hAnsi="Calibri" w:cs="Calibri"/>
          <w:szCs w:val="22"/>
          <w:rtl/>
        </w:rPr>
        <w:t xml:space="preserve"> أكثر اتساقاً وتوحيداً لتقديم الطلبات إلى أمناء السجلات المشاركين للوصول إلى بيانات التسجيل غير العامة المتعلقة ب</w:t>
      </w:r>
      <w:r w:rsidR="00484E73" w:rsidRPr="003B7AF4">
        <w:rPr>
          <w:rFonts w:ascii="Calibri" w:hAnsi="Calibri" w:cs="Calibri" w:hint="cs"/>
          <w:szCs w:val="22"/>
          <w:rtl/>
        </w:rPr>
        <w:t>الحقول العليا.</w:t>
      </w:r>
      <w:r w:rsidR="00C54079" w:rsidRPr="003B7AF4">
        <w:rPr>
          <w:rFonts w:ascii="Calibri" w:hAnsi="Calibri" w:cs="Calibri"/>
          <w:szCs w:val="22"/>
          <w:rtl/>
        </w:rPr>
        <w:t xml:space="preserve"> إن خدمة </w:t>
      </w:r>
      <w:r w:rsidR="00484E73" w:rsidRPr="003B7AF4">
        <w:rPr>
          <w:rFonts w:ascii="Calibri" w:hAnsi="Calibri" w:cs="Calibri"/>
          <w:szCs w:val="22"/>
          <w:rtl/>
        </w:rPr>
        <w:t xml:space="preserve">طلب بيانات التسجيل </w:t>
      </w:r>
      <w:r w:rsidR="00C54079" w:rsidRPr="003B7AF4">
        <w:rPr>
          <w:rFonts w:ascii="Calibri" w:hAnsi="Calibri" w:cs="Calibri"/>
          <w:szCs w:val="22"/>
          <w:rtl/>
        </w:rPr>
        <w:t xml:space="preserve">الخاصة بشركة </w:t>
      </w:r>
      <w:r w:rsidR="0017648D" w:rsidRPr="003B7AF4">
        <w:rPr>
          <w:rFonts w:ascii="Calibri" w:hAnsi="Calibri" w:cs="Calibri"/>
          <w:szCs w:val="22"/>
          <w:rtl/>
        </w:rPr>
        <w:t>الآيكان</w:t>
      </w:r>
      <w:r w:rsidR="00C54079" w:rsidRPr="003B7AF4">
        <w:rPr>
          <w:rFonts w:ascii="Calibri" w:hAnsi="Calibri" w:cs="Calibri"/>
          <w:szCs w:val="22"/>
          <w:rtl/>
        </w:rPr>
        <w:t xml:space="preserve"> </w:t>
      </w:r>
      <w:r w:rsidR="00484E73" w:rsidRPr="003B7AF4">
        <w:rPr>
          <w:rFonts w:ascii="Calibri" w:hAnsi="Calibri" w:cs="Calibri" w:hint="cs"/>
          <w:szCs w:val="22"/>
          <w:rtl/>
        </w:rPr>
        <w:t xml:space="preserve">قطعت </w:t>
      </w:r>
      <w:r w:rsidR="00B70CB3" w:rsidRPr="003B7AF4">
        <w:rPr>
          <w:rFonts w:ascii="Calibri" w:hAnsi="Calibri" w:cs="Calibri" w:hint="cs"/>
          <w:szCs w:val="22"/>
          <w:rtl/>
        </w:rPr>
        <w:t xml:space="preserve">مسافة كبيرة من </w:t>
      </w:r>
      <w:r w:rsidR="00C54079" w:rsidRPr="003B7AF4">
        <w:rPr>
          <w:rFonts w:ascii="Calibri" w:hAnsi="Calibri" w:cs="Calibri"/>
          <w:szCs w:val="22"/>
          <w:rtl/>
        </w:rPr>
        <w:t xml:space="preserve">خلال برنامجها التجريبي، ولا تزال هناك أسئلة جدية حول مستقبلها.   </w:t>
      </w:r>
      <w:r w:rsidR="00B70CB3" w:rsidRPr="003B7AF4">
        <w:rPr>
          <w:rFonts w:ascii="Calibri" w:hAnsi="Calibri" w:cs="Calibri" w:hint="cs"/>
          <w:szCs w:val="22"/>
          <w:rtl/>
        </w:rPr>
        <w:t>و</w:t>
      </w:r>
      <w:r w:rsidR="00C54079" w:rsidRPr="003B7AF4">
        <w:rPr>
          <w:rFonts w:ascii="Calibri" w:hAnsi="Calibri" w:cs="Calibri"/>
          <w:szCs w:val="22"/>
          <w:rtl/>
        </w:rPr>
        <w:t xml:space="preserve">نشر المركز </w:t>
      </w:r>
      <w:hyperlink r:id="rId54" w:history="1">
        <w:r w:rsidR="00C54079" w:rsidRPr="00B8680A">
          <w:rPr>
            <w:rStyle w:val="Hyperlink"/>
            <w:rFonts w:ascii="Calibri" w:hAnsi="Calibri" w:cs="Calibri"/>
            <w:color w:val="0000FF"/>
            <w:szCs w:val="22"/>
            <w:u w:color="0000FF"/>
            <w:rtl/>
          </w:rPr>
          <w:t xml:space="preserve">صفحة ويب للأسئلة الشائعة </w:t>
        </w:r>
      </w:hyperlink>
      <w:r w:rsidR="00C54079" w:rsidRPr="003B7AF4">
        <w:rPr>
          <w:rFonts w:ascii="Calibri" w:hAnsi="Calibri" w:cs="Calibri"/>
          <w:szCs w:val="22"/>
          <w:rtl/>
        </w:rPr>
        <w:t xml:space="preserve">محدثة التي </w:t>
      </w:r>
      <w:r w:rsidR="00B70CB3" w:rsidRPr="003B7AF4">
        <w:rPr>
          <w:rFonts w:ascii="Calibri" w:hAnsi="Calibri" w:cs="Calibri" w:hint="cs"/>
          <w:szCs w:val="22"/>
          <w:rtl/>
        </w:rPr>
        <w:t>تزيد</w:t>
      </w:r>
      <w:r w:rsidR="00C54079" w:rsidRPr="003B7AF4">
        <w:rPr>
          <w:rFonts w:ascii="Calibri" w:hAnsi="Calibri" w:cs="Calibri"/>
          <w:szCs w:val="22"/>
          <w:rtl/>
        </w:rPr>
        <w:t xml:space="preserve"> الوعي بخدمة </w:t>
      </w:r>
      <w:r w:rsidR="00B70CB3" w:rsidRPr="003B7AF4">
        <w:rPr>
          <w:rFonts w:ascii="Calibri" w:hAnsi="Calibri" w:cs="Calibri"/>
          <w:szCs w:val="22"/>
          <w:rtl/>
        </w:rPr>
        <w:t xml:space="preserve">طلب بيانات التسجيل </w:t>
      </w:r>
      <w:r w:rsidR="00C54079" w:rsidRPr="003B7AF4">
        <w:rPr>
          <w:rFonts w:ascii="Calibri" w:hAnsi="Calibri" w:cs="Calibri"/>
          <w:szCs w:val="22"/>
          <w:rtl/>
        </w:rPr>
        <w:t xml:space="preserve">الخاصة </w:t>
      </w:r>
      <w:r w:rsidR="00B70CB3" w:rsidRPr="003B7AF4">
        <w:rPr>
          <w:rFonts w:ascii="Calibri" w:hAnsi="Calibri" w:cs="Calibri" w:hint="cs"/>
          <w:szCs w:val="22"/>
          <w:rtl/>
        </w:rPr>
        <w:t>ب</w:t>
      </w:r>
      <w:r w:rsidR="0017648D" w:rsidRPr="003B7AF4">
        <w:rPr>
          <w:rFonts w:ascii="Calibri" w:hAnsi="Calibri" w:cs="Calibri"/>
          <w:szCs w:val="22"/>
          <w:rtl/>
        </w:rPr>
        <w:t>الآيكان</w:t>
      </w:r>
      <w:r w:rsidR="00C54079" w:rsidRPr="003B7AF4">
        <w:rPr>
          <w:rFonts w:ascii="Calibri" w:hAnsi="Calibri" w:cs="Calibri"/>
          <w:szCs w:val="22"/>
          <w:rtl/>
        </w:rPr>
        <w:t xml:space="preserve"> وتناقش الآثار المحتملة لقضية </w:t>
      </w:r>
      <w:r w:rsidR="0017648D" w:rsidRPr="003B7AF4">
        <w:rPr>
          <w:rFonts w:ascii="Calibri" w:hAnsi="Calibri" w:cs="Calibri"/>
          <w:szCs w:val="22"/>
          <w:rtl/>
        </w:rPr>
        <w:t xml:space="preserve">السياسة الموحدة </w:t>
      </w:r>
      <w:r w:rsidR="00C54079" w:rsidRPr="003B7AF4">
        <w:rPr>
          <w:rFonts w:ascii="Calibri" w:hAnsi="Calibri" w:cs="Calibri"/>
          <w:szCs w:val="22"/>
          <w:rtl/>
        </w:rPr>
        <w:t xml:space="preserve">.  </w:t>
      </w:r>
      <w:r w:rsidR="00B70CB3" w:rsidRPr="003B7AF4">
        <w:rPr>
          <w:rFonts w:ascii="Calibri" w:hAnsi="Calibri" w:cs="Calibri" w:hint="cs"/>
          <w:szCs w:val="22"/>
          <w:rtl/>
        </w:rPr>
        <w:t>و</w:t>
      </w:r>
      <w:r w:rsidR="00C54079" w:rsidRPr="003B7AF4">
        <w:rPr>
          <w:rFonts w:ascii="Calibri" w:hAnsi="Calibri" w:cs="Calibri"/>
          <w:szCs w:val="22"/>
          <w:rtl/>
        </w:rPr>
        <w:t xml:space="preserve">فيما يتعلق ببعض الجوانب المتعلقة </w:t>
      </w:r>
      <w:r w:rsidR="00B70CB3" w:rsidRPr="003B7AF4">
        <w:rPr>
          <w:rFonts w:ascii="Calibri" w:hAnsi="Calibri" w:cs="Calibri" w:hint="cs"/>
          <w:szCs w:val="22"/>
          <w:rtl/>
        </w:rPr>
        <w:t xml:space="preserve">بالعملية </w:t>
      </w:r>
      <w:r w:rsidR="00B70CB3" w:rsidRPr="003B7AF4">
        <w:rPr>
          <w:rFonts w:ascii="Times New Roman" w:hAnsi="Times New Roman" w:cs="Calibri"/>
          <w:szCs w:val="22"/>
          <w:rtl/>
        </w:rPr>
        <w:t xml:space="preserve">المعجلة لتطوير سياسة الإجراءات </w:t>
      </w:r>
      <w:r w:rsidR="00C54079" w:rsidRPr="003B7AF4">
        <w:rPr>
          <w:rFonts w:ascii="Calibri" w:hAnsi="Calibri" w:cs="Calibri"/>
          <w:szCs w:val="22"/>
          <w:rtl/>
        </w:rPr>
        <w:t xml:space="preserve">والقضايا المتعلقة </w:t>
      </w:r>
      <w:r w:rsidR="00B70CB3" w:rsidRPr="003B7AF4">
        <w:rPr>
          <w:rFonts w:ascii="Calibri" w:hAnsi="Calibri" w:cs="Calibri" w:hint="cs"/>
          <w:szCs w:val="22"/>
          <w:rtl/>
        </w:rPr>
        <w:t>بقاعدة البيانات</w:t>
      </w:r>
      <w:r w:rsidR="00C54079" w:rsidRPr="003B7AF4">
        <w:rPr>
          <w:rFonts w:ascii="Calibri" w:hAnsi="Calibri" w:cs="Calibri"/>
          <w:szCs w:val="22"/>
          <w:rtl/>
        </w:rPr>
        <w:t xml:space="preserve">، اعتمد الاتحاد الأوروبي </w:t>
      </w:r>
      <w:hyperlink r:id="rId55" w:history="1">
        <w:r w:rsidR="00C54079" w:rsidRPr="00B8680A">
          <w:rPr>
            <w:rStyle w:val="Hyperlink"/>
            <w:rFonts w:ascii="Calibri" w:hAnsi="Calibri" w:cs="Calibri"/>
            <w:color w:val="0000FF"/>
            <w:szCs w:val="22"/>
            <w:u w:color="0000FF"/>
            <w:rtl/>
          </w:rPr>
          <w:t xml:space="preserve">توجيهًا منقحًا بشأن تدابير تحقيق مستوى عالٍ مشترك من الأمن السيبراني في جميع أنحاء الاتحاد </w:t>
        </w:r>
      </w:hyperlink>
      <w:r w:rsidR="00C54079" w:rsidRPr="003B7AF4">
        <w:rPr>
          <w:rFonts w:ascii="Calibri" w:hAnsi="Calibri" w:cs="Calibri"/>
          <w:szCs w:val="22"/>
          <w:rtl/>
        </w:rPr>
        <w:t xml:space="preserve">(توجيه NIS2) </w:t>
      </w:r>
      <w:r w:rsidR="00B70CB3" w:rsidRPr="003B7AF4">
        <w:rPr>
          <w:rFonts w:ascii="Calibri" w:hAnsi="Calibri" w:cs="Calibri" w:hint="cs"/>
          <w:szCs w:val="22"/>
          <w:rtl/>
        </w:rPr>
        <w:t>لإدراجه في</w:t>
      </w:r>
      <w:r w:rsidR="00C54079" w:rsidRPr="003B7AF4">
        <w:rPr>
          <w:rFonts w:ascii="Calibri" w:hAnsi="Calibri" w:cs="Calibri"/>
          <w:szCs w:val="22"/>
          <w:rtl/>
        </w:rPr>
        <w:t xml:space="preserve"> القانون الوطني للدول الأعضاء في الاتحاد الأوروبي، والذي من المتوقع أن يؤثر على الممارسات والطلبات المتعلقة </w:t>
      </w:r>
      <w:r w:rsidR="00B70CB3" w:rsidRPr="003B7AF4">
        <w:rPr>
          <w:rFonts w:ascii="Calibri" w:hAnsi="Calibri" w:cs="Calibri" w:hint="cs"/>
          <w:szCs w:val="22"/>
          <w:rtl/>
        </w:rPr>
        <w:t>بقاعدة البيانات</w:t>
      </w:r>
      <w:r w:rsidR="00C54079" w:rsidRPr="003B7AF4">
        <w:rPr>
          <w:rFonts w:ascii="Calibri" w:hAnsi="Calibri" w:cs="Calibri"/>
          <w:szCs w:val="22"/>
          <w:rtl/>
        </w:rPr>
        <w:t>، والجدير بالذكر في هذا الصدد أن المجلس الأوروبي لحماية البيانات قد أصدر عددًا من الإرشادات والتوصيات وأفضل الممارسات المتعلقة بالخصوصية وحماية البيانات.</w:t>
      </w:r>
      <w:r w:rsidR="00C54079" w:rsidRPr="003B7AF4">
        <w:rPr>
          <w:rStyle w:val="FootnoteReference"/>
          <w:rFonts w:ascii="Calibri" w:hAnsi="Calibri" w:cs="Calibri"/>
          <w:szCs w:val="22"/>
          <w:rtl/>
        </w:rPr>
        <w:footnoteReference w:id="49"/>
      </w:r>
    </w:p>
    <w:p w14:paraId="71F192AB" w14:textId="6045D3CE" w:rsidR="00C54079" w:rsidRPr="003B7AF4" w:rsidRDefault="008264FB" w:rsidP="00C54079">
      <w:pPr>
        <w:widowControl w:val="0"/>
        <w:spacing w:before="240" w:after="240"/>
        <w:rPr>
          <w:rFonts w:ascii="Calibri" w:hAnsi="Calibri" w:cs="Calibri"/>
          <w:szCs w:val="22"/>
        </w:rPr>
      </w:pPr>
      <w:r w:rsidRPr="003B7AF4">
        <w:rPr>
          <w:rFonts w:ascii="Calibri" w:hAnsi="Calibri" w:cs="Calibri"/>
          <w:szCs w:val="22"/>
          <w:rtl/>
        </w:rPr>
        <w:lastRenderedPageBreak/>
        <w:t>50</w:t>
      </w:r>
      <w:r w:rsidR="00C54079" w:rsidRPr="003B7AF4">
        <w:rPr>
          <w:rFonts w:ascii="Calibri" w:hAnsi="Calibri" w:cs="Calibri"/>
          <w:szCs w:val="22"/>
          <w:rtl/>
        </w:rPr>
        <w:t>.</w:t>
      </w:r>
      <w:r w:rsidR="00C54079" w:rsidRPr="003B7AF4">
        <w:rPr>
          <w:rFonts w:ascii="Calibri" w:hAnsi="Calibri" w:cs="Calibri"/>
          <w:szCs w:val="22"/>
          <w:rtl/>
        </w:rPr>
        <w:tab/>
      </w:r>
      <w:r w:rsidR="00681888" w:rsidRPr="003B7AF4">
        <w:rPr>
          <w:rFonts w:ascii="Times New Roman" w:hAnsi="Times New Roman" w:cs="Calibri"/>
          <w:szCs w:val="22"/>
          <w:rtl/>
        </w:rPr>
        <w:t>ويواصل المركز رصده عن كثب لتأثير النظام العام لحماية البيانات على الدعاوى المتعلقة بالسياسة الموحدة لتسوية المنازعات. وبمعزل عن مهمة المركز الخاصة بالسياسة الموحدة، وبغية معالجة ما يتعلق بإنفاذ الملكية الفكرية من شواغل أوسع نطاقاً ناجمة عن تنفيذ النظام العام لحماية البيانات، حسبما أشير أعلاه بشأن نظام النفاذ/الإفصاح الموحد (</w:t>
      </w:r>
      <w:r w:rsidR="00681888" w:rsidRPr="003B7AF4">
        <w:rPr>
          <w:rFonts w:asciiTheme="minorBidi" w:hAnsiTheme="minorBidi" w:cs="Calibri"/>
          <w:szCs w:val="22"/>
        </w:rPr>
        <w:t>SSAD</w:t>
      </w:r>
      <w:r w:rsidR="00681888" w:rsidRPr="003B7AF4">
        <w:rPr>
          <w:rFonts w:ascii="Times New Roman" w:hAnsi="Times New Roman" w:cs="Calibri"/>
          <w:szCs w:val="22"/>
          <w:rtl/>
        </w:rPr>
        <w:t xml:space="preserve">) المقترح لاستعلامات </w:t>
      </w:r>
      <w:r w:rsidR="00681888" w:rsidRPr="003B7AF4">
        <w:rPr>
          <w:rFonts w:asciiTheme="minorBidi" w:hAnsiTheme="minorBidi" w:cs="Calibri"/>
          <w:szCs w:val="22"/>
        </w:rPr>
        <w:t>W</w:t>
      </w:r>
      <w:r w:rsidR="00A718F0">
        <w:rPr>
          <w:rFonts w:asciiTheme="minorBidi" w:hAnsiTheme="minorBidi" w:cs="Calibri"/>
          <w:szCs w:val="22"/>
        </w:rPr>
        <w:t>hoIs</w:t>
      </w:r>
      <w:r w:rsidR="00681888" w:rsidRPr="003B7AF4">
        <w:rPr>
          <w:rFonts w:ascii="Times New Roman" w:hAnsi="Times New Roman" w:cs="Calibri"/>
          <w:szCs w:val="22"/>
          <w:rtl/>
        </w:rPr>
        <w:t xml:space="preserve">، تجري مجموعة من المناقشات بشأن </w:t>
      </w:r>
      <w:r w:rsidR="001D7940" w:rsidRPr="003B7AF4">
        <w:rPr>
          <w:rFonts w:ascii="Times New Roman" w:hAnsi="Times New Roman" w:cs="Calibri"/>
          <w:szCs w:val="22"/>
          <w:rtl/>
        </w:rPr>
        <w:t xml:space="preserve">إليها </w:t>
      </w:r>
      <w:hyperlink r:id="rId56" w:history="1">
        <w:r w:rsidR="00681888" w:rsidRPr="001D7940">
          <w:rPr>
            <w:rStyle w:val="Hyperlink"/>
            <w:rFonts w:ascii="Times New Roman" w:hAnsi="Times New Roman" w:cs="Calibri"/>
            <w:szCs w:val="22"/>
            <w:rtl/>
          </w:rPr>
          <w:t xml:space="preserve">نموذج محتمل لاعتماد بيانات </w:t>
        </w:r>
        <w:r w:rsidR="00681888" w:rsidRPr="001D7940">
          <w:rPr>
            <w:rStyle w:val="Hyperlink"/>
            <w:rFonts w:asciiTheme="minorBidi" w:hAnsiTheme="minorBidi" w:cs="Calibri"/>
            <w:szCs w:val="22"/>
          </w:rPr>
          <w:t>W</w:t>
        </w:r>
        <w:r w:rsidR="00A718F0">
          <w:rPr>
            <w:rStyle w:val="Hyperlink"/>
            <w:rFonts w:asciiTheme="minorBidi" w:hAnsiTheme="minorBidi" w:cs="Calibri"/>
            <w:szCs w:val="22"/>
          </w:rPr>
          <w:t>hoIs</w:t>
        </w:r>
        <w:r w:rsidR="00681888" w:rsidRPr="001D7940">
          <w:rPr>
            <w:rStyle w:val="Hyperlink"/>
            <w:rFonts w:ascii="Times New Roman" w:hAnsi="Times New Roman" w:cs="Calibri"/>
            <w:szCs w:val="22"/>
            <w:rtl/>
          </w:rPr>
          <w:t xml:space="preserve"> والنفاذ</w:t>
        </w:r>
      </w:hyperlink>
      <w:r w:rsidR="00681888" w:rsidRPr="003B7AF4">
        <w:rPr>
          <w:rFonts w:ascii="Times New Roman" w:hAnsi="Times New Roman" w:cs="Calibri"/>
          <w:szCs w:val="22"/>
          <w:rtl/>
        </w:rPr>
        <w:t xml:space="preserve"> ، بما في ذلك دور الويبو المحتمل للتصديق على حقوق أصحاب الملكية الفكرية في هذا النفاذ.</w:t>
      </w:r>
    </w:p>
    <w:p w14:paraId="5B94A5C0" w14:textId="7259BD28" w:rsidR="00C54079" w:rsidRPr="003B7AF4" w:rsidRDefault="008264FB" w:rsidP="00C54079">
      <w:pPr>
        <w:widowControl w:val="0"/>
        <w:spacing w:before="240" w:after="240"/>
        <w:rPr>
          <w:rFonts w:ascii="Calibri" w:hAnsi="Calibri" w:cs="Calibri"/>
          <w:szCs w:val="22"/>
        </w:rPr>
      </w:pPr>
      <w:r w:rsidRPr="003B7AF4">
        <w:rPr>
          <w:rFonts w:ascii="Calibri" w:hAnsi="Calibri" w:cs="Calibri"/>
          <w:szCs w:val="22"/>
          <w:rtl/>
        </w:rPr>
        <w:t>51</w:t>
      </w:r>
      <w:r w:rsidR="00C54079" w:rsidRPr="003B7AF4">
        <w:rPr>
          <w:rFonts w:ascii="Calibri" w:hAnsi="Calibri" w:cs="Calibri"/>
          <w:szCs w:val="22"/>
          <w:rtl/>
        </w:rPr>
        <w:t>.</w:t>
      </w:r>
      <w:r w:rsidR="00C54079" w:rsidRPr="003B7AF4">
        <w:rPr>
          <w:rFonts w:ascii="Calibri" w:hAnsi="Calibri" w:cs="Calibri"/>
          <w:szCs w:val="22"/>
          <w:rtl/>
        </w:rPr>
        <w:tab/>
      </w:r>
      <w:r w:rsidR="003016A6" w:rsidRPr="003B7AF4">
        <w:rPr>
          <w:rFonts w:ascii="Calibri" w:hAnsi="Calibri" w:cs="Calibri" w:hint="cs"/>
          <w:szCs w:val="22"/>
          <w:rtl/>
        </w:rPr>
        <w:t>و</w:t>
      </w:r>
      <w:r w:rsidR="00C54079" w:rsidRPr="003B7AF4">
        <w:rPr>
          <w:rFonts w:ascii="Calibri" w:hAnsi="Calibri" w:cs="Calibri"/>
          <w:szCs w:val="22"/>
          <w:rtl/>
        </w:rPr>
        <w:t>في أعقاب المناقشات المتعلقة بمصطلحات</w:t>
      </w:r>
      <w:r w:rsidR="006836C6" w:rsidRPr="003B7AF4">
        <w:rPr>
          <w:rFonts w:ascii="Calibri" w:hAnsi="Calibri" w:cs="Calibri" w:hint="cs"/>
          <w:szCs w:val="22"/>
          <w:rtl/>
        </w:rPr>
        <w:t xml:space="preserve"> قاعدة البيانات</w:t>
      </w:r>
      <w:r w:rsidR="00C54079" w:rsidRPr="003B7AF4">
        <w:rPr>
          <w:rFonts w:ascii="Calibri" w:hAnsi="Calibri" w:cs="Calibri"/>
          <w:szCs w:val="22"/>
          <w:rtl/>
        </w:rPr>
        <w:t xml:space="preserve"> WhoIs والبروتوكولات والأمن، نشرت </w:t>
      </w:r>
      <w:r w:rsidR="0017648D" w:rsidRPr="003B7AF4">
        <w:rPr>
          <w:rFonts w:ascii="Calibri" w:hAnsi="Calibri" w:cs="Calibri"/>
          <w:szCs w:val="22"/>
          <w:rtl/>
        </w:rPr>
        <w:t>الآيكان</w:t>
      </w:r>
      <w:r w:rsidR="00C54079" w:rsidRPr="003B7AF4">
        <w:rPr>
          <w:rFonts w:ascii="Calibri" w:hAnsi="Calibri" w:cs="Calibri"/>
          <w:szCs w:val="22"/>
          <w:rtl/>
        </w:rPr>
        <w:t xml:space="preserve"> مسودة بروتوكول </w:t>
      </w:r>
      <w:r w:rsidR="006836C6" w:rsidRPr="003B7AF4">
        <w:rPr>
          <w:rFonts w:ascii="Calibri" w:hAnsi="Calibri" w:cs="Calibri" w:hint="cs"/>
          <w:szCs w:val="22"/>
          <w:rtl/>
        </w:rPr>
        <w:t>النفاذ</w:t>
      </w:r>
      <w:r w:rsidR="00C54079" w:rsidRPr="003B7AF4">
        <w:rPr>
          <w:rFonts w:ascii="Calibri" w:hAnsi="Calibri" w:cs="Calibri"/>
          <w:szCs w:val="22"/>
          <w:rtl/>
        </w:rPr>
        <w:t xml:space="preserve"> إلى بيانات تسجيل </w:t>
      </w:r>
      <w:r w:rsidR="006836C6" w:rsidRPr="003B7AF4">
        <w:rPr>
          <w:rFonts w:ascii="Calibri" w:hAnsi="Calibri" w:cs="Calibri" w:hint="cs"/>
          <w:szCs w:val="22"/>
          <w:rtl/>
        </w:rPr>
        <w:t>العقول العليا</w:t>
      </w:r>
      <w:r w:rsidR="00C54079" w:rsidRPr="003B7AF4">
        <w:rPr>
          <w:rFonts w:ascii="Calibri" w:hAnsi="Calibri" w:cs="Calibri"/>
          <w:szCs w:val="22"/>
          <w:rtl/>
        </w:rPr>
        <w:t xml:space="preserve"> في عامي 2015 و2016.</w:t>
      </w:r>
      <w:r w:rsidR="00C54079" w:rsidRPr="003B7AF4">
        <w:rPr>
          <w:rStyle w:val="FootnoteReference"/>
          <w:rFonts w:ascii="Calibri" w:hAnsi="Calibri" w:cs="Calibri"/>
          <w:szCs w:val="22"/>
          <w:rtl/>
        </w:rPr>
        <w:footnoteReference w:id="50"/>
      </w:r>
      <w:r w:rsidR="00C54079" w:rsidRPr="003B7AF4">
        <w:rPr>
          <w:rFonts w:ascii="Calibri" w:hAnsi="Calibri" w:cs="Calibri"/>
          <w:szCs w:val="22"/>
          <w:rtl/>
        </w:rPr>
        <w:t xml:space="preserve">  </w:t>
      </w:r>
      <w:r w:rsidR="006836C6" w:rsidRPr="003B7AF4">
        <w:rPr>
          <w:rFonts w:ascii="Calibri" w:hAnsi="Calibri" w:cs="Calibri" w:hint="cs"/>
          <w:szCs w:val="22"/>
          <w:rtl/>
        </w:rPr>
        <w:t>و</w:t>
      </w:r>
      <w:r w:rsidR="00C54079" w:rsidRPr="003B7AF4">
        <w:rPr>
          <w:rFonts w:ascii="Calibri" w:hAnsi="Calibri" w:cs="Calibri"/>
          <w:szCs w:val="22"/>
          <w:rtl/>
        </w:rPr>
        <w:t xml:space="preserve">اقترحت مجموعة أصحاب المصلحة لسجلات </w:t>
      </w:r>
      <w:r w:rsidR="006836C6" w:rsidRPr="003B7AF4">
        <w:rPr>
          <w:rFonts w:ascii="Calibri" w:hAnsi="Calibri" w:cs="Calibri" w:hint="cs"/>
          <w:szCs w:val="22"/>
          <w:rtl/>
        </w:rPr>
        <w:t>الحقول العليا</w:t>
      </w:r>
      <w:r w:rsidR="00C54079" w:rsidRPr="003B7AF4">
        <w:rPr>
          <w:rFonts w:ascii="Calibri" w:hAnsi="Calibri" w:cs="Calibri"/>
          <w:szCs w:val="22"/>
          <w:rtl/>
        </w:rPr>
        <w:t xml:space="preserve"> بدعم من مجموعة أصحاب المصلحة لأمناء السجلات خطة </w:t>
      </w:r>
      <w:r w:rsidR="00F826AC" w:rsidRPr="003B7AF4">
        <w:rPr>
          <w:rFonts w:ascii="Calibri" w:hAnsi="Calibri" w:cs="Calibri" w:hint="cs"/>
          <w:szCs w:val="22"/>
          <w:rtl/>
        </w:rPr>
        <w:t>بروتوكول النفاذ إلى بيانات التسجيل</w:t>
      </w:r>
      <w:r w:rsidR="00C54079" w:rsidRPr="003B7AF4">
        <w:rPr>
          <w:rFonts w:ascii="Calibri" w:hAnsi="Calibri" w:cs="Calibri"/>
          <w:szCs w:val="22"/>
          <w:rtl/>
        </w:rPr>
        <w:t xml:space="preserve"> معدلة مع برنامج تجريبي للمرحلة الأولى يبدأ في عام 2017. </w:t>
      </w:r>
      <w:r w:rsidR="00F826AC" w:rsidRPr="003B7AF4">
        <w:rPr>
          <w:rFonts w:ascii="Calibri" w:hAnsi="Calibri" w:cs="Calibri" w:hint="cs"/>
          <w:szCs w:val="22"/>
          <w:rtl/>
        </w:rPr>
        <w:t>و</w:t>
      </w:r>
      <w:r w:rsidR="00C54079" w:rsidRPr="003B7AF4">
        <w:rPr>
          <w:rFonts w:ascii="Calibri" w:hAnsi="Calibri" w:cs="Calibri"/>
          <w:szCs w:val="22"/>
          <w:rtl/>
        </w:rPr>
        <w:t xml:space="preserve">في عام 2019، أصدرت </w:t>
      </w:r>
      <w:r w:rsidR="0017648D" w:rsidRPr="003B7AF4">
        <w:rPr>
          <w:rFonts w:ascii="Calibri" w:hAnsi="Calibri" w:cs="Calibri"/>
          <w:szCs w:val="22"/>
          <w:rtl/>
        </w:rPr>
        <w:t>الآيكان</w:t>
      </w:r>
      <w:r w:rsidR="00C54079" w:rsidRPr="003B7AF4">
        <w:rPr>
          <w:rFonts w:ascii="Calibri" w:hAnsi="Calibri" w:cs="Calibri"/>
          <w:szCs w:val="22"/>
          <w:rtl/>
        </w:rPr>
        <w:t xml:space="preserve"> إخطارًا قانونيًا إلى سجلات </w:t>
      </w:r>
      <w:r w:rsidR="00F826AC" w:rsidRPr="003B7AF4">
        <w:rPr>
          <w:rFonts w:ascii="Calibri" w:hAnsi="Calibri" w:cs="Calibri" w:hint="cs"/>
          <w:szCs w:val="22"/>
          <w:rtl/>
        </w:rPr>
        <w:t>الحقول العليا</w:t>
      </w:r>
      <w:r w:rsidR="00C54079" w:rsidRPr="003B7AF4">
        <w:rPr>
          <w:rFonts w:ascii="Calibri" w:hAnsi="Calibri" w:cs="Calibri"/>
          <w:szCs w:val="22"/>
          <w:rtl/>
        </w:rPr>
        <w:t xml:space="preserve"> وأمناء السجلات بشأن شرط تنفيذ خدمة </w:t>
      </w:r>
      <w:r w:rsidR="00F826AC" w:rsidRPr="003B7AF4">
        <w:rPr>
          <w:rFonts w:ascii="Calibri" w:hAnsi="Calibri" w:cs="Calibri" w:hint="cs"/>
          <w:szCs w:val="22"/>
          <w:rtl/>
        </w:rPr>
        <w:t>بروتوكول النفاذ إلى بيانات التسجيل</w:t>
      </w:r>
      <w:r w:rsidR="00F826AC" w:rsidRPr="003B7AF4">
        <w:rPr>
          <w:rFonts w:ascii="Calibri" w:hAnsi="Calibri" w:cs="Calibri"/>
          <w:szCs w:val="22"/>
          <w:rtl/>
        </w:rPr>
        <w:t xml:space="preserve"> </w:t>
      </w:r>
      <w:r w:rsidR="00C54079" w:rsidRPr="003B7AF4">
        <w:rPr>
          <w:rFonts w:ascii="Calibri" w:hAnsi="Calibri" w:cs="Calibri"/>
          <w:szCs w:val="22"/>
          <w:rtl/>
        </w:rPr>
        <w:t xml:space="preserve">بحلول 26 أغسطس 2019.  وقد بدأت فترة تكثيف برنامج </w:t>
      </w:r>
      <w:r w:rsidR="00F826AC" w:rsidRPr="003B7AF4">
        <w:rPr>
          <w:rFonts w:ascii="Calibri" w:hAnsi="Calibri" w:cs="Calibri" w:hint="cs"/>
          <w:szCs w:val="22"/>
          <w:rtl/>
        </w:rPr>
        <w:t>بروتوكول النفاذ إلى بيانات التسجيل</w:t>
      </w:r>
      <w:r w:rsidR="00F826AC" w:rsidRPr="003B7AF4">
        <w:rPr>
          <w:rFonts w:ascii="Calibri" w:hAnsi="Calibri" w:cs="Calibri"/>
          <w:szCs w:val="22"/>
          <w:rtl/>
        </w:rPr>
        <w:t xml:space="preserve"> </w:t>
      </w:r>
      <w:r w:rsidR="00C54079" w:rsidRPr="003B7AF4">
        <w:rPr>
          <w:rFonts w:ascii="Calibri" w:hAnsi="Calibri" w:cs="Calibri"/>
          <w:szCs w:val="22"/>
          <w:rtl/>
        </w:rPr>
        <w:t xml:space="preserve">في أغسطس 2023 وانتهت في فبراير 2024.  </w:t>
      </w:r>
      <w:r w:rsidR="00F826AC" w:rsidRPr="003B7AF4">
        <w:rPr>
          <w:rFonts w:ascii="Calibri" w:hAnsi="Calibri" w:cs="Calibri" w:hint="cs"/>
          <w:szCs w:val="22"/>
          <w:rtl/>
        </w:rPr>
        <w:t>و</w:t>
      </w:r>
      <w:r w:rsidR="00C54079" w:rsidRPr="003B7AF4">
        <w:rPr>
          <w:rFonts w:ascii="Calibri" w:hAnsi="Calibri" w:cs="Calibri"/>
          <w:szCs w:val="22"/>
          <w:rtl/>
        </w:rPr>
        <w:t>كان تاريخ</w:t>
      </w:r>
      <w:r w:rsidR="00F826AC" w:rsidRPr="003B7AF4">
        <w:rPr>
          <w:rFonts w:ascii="Calibri" w:hAnsi="Calibri" w:cs="Calibri" w:hint="cs"/>
          <w:szCs w:val="22"/>
          <w:rtl/>
        </w:rPr>
        <w:t xml:space="preserve"> قاعدة البيانات</w:t>
      </w:r>
      <w:r w:rsidR="00C54079" w:rsidRPr="003B7AF4">
        <w:rPr>
          <w:rFonts w:ascii="Calibri" w:hAnsi="Calibri" w:cs="Calibri"/>
          <w:szCs w:val="22"/>
          <w:rtl/>
        </w:rPr>
        <w:t xml:space="preserve"> </w:t>
      </w:r>
      <w:r w:rsidR="00F826AC" w:rsidRPr="003B7AF4">
        <w:t>WhoIs Sunset</w:t>
      </w:r>
      <w:r w:rsidR="00C54079" w:rsidRPr="003B7AF4">
        <w:rPr>
          <w:rFonts w:ascii="Calibri" w:hAnsi="Calibri" w:cs="Calibri"/>
          <w:szCs w:val="22"/>
          <w:rtl/>
        </w:rPr>
        <w:t xml:space="preserve"> هو 28 يناير 2025، حيث أصبح نظام </w:t>
      </w:r>
      <w:r w:rsidR="00F826AC" w:rsidRPr="003B7AF4">
        <w:rPr>
          <w:rFonts w:ascii="Calibri" w:hAnsi="Calibri" w:cs="Calibri" w:hint="cs"/>
          <w:szCs w:val="22"/>
          <w:rtl/>
        </w:rPr>
        <w:t>بروتوكول النفاذ إلى بيانات التسجيل</w:t>
      </w:r>
      <w:r w:rsidR="00F826AC" w:rsidRPr="003B7AF4">
        <w:rPr>
          <w:rFonts w:ascii="Calibri" w:hAnsi="Calibri" w:cs="Calibri"/>
          <w:szCs w:val="22"/>
          <w:rtl/>
        </w:rPr>
        <w:t xml:space="preserve"> </w:t>
      </w:r>
      <w:r w:rsidR="00CC371E" w:rsidRPr="003B7AF4">
        <w:rPr>
          <w:rFonts w:ascii="Calibri" w:hAnsi="Calibri" w:cs="Calibri"/>
          <w:szCs w:val="22"/>
          <w:rtl/>
        </w:rPr>
        <w:t>إلزاميًا،</w:t>
      </w:r>
      <w:r w:rsidR="00C54079" w:rsidRPr="003B7AF4">
        <w:rPr>
          <w:rFonts w:ascii="Calibri" w:hAnsi="Calibri" w:cs="Calibri"/>
          <w:szCs w:val="22"/>
          <w:rtl/>
        </w:rPr>
        <w:t xml:space="preserve"> وأصبح نظام WhoIs القديم اختياريًا.</w:t>
      </w:r>
      <w:r w:rsidR="00C54079" w:rsidRPr="003B7AF4">
        <w:rPr>
          <w:rStyle w:val="FootnoteReference"/>
          <w:rFonts w:ascii="Calibri" w:hAnsi="Calibri" w:cs="Calibri"/>
          <w:szCs w:val="22"/>
          <w:rtl/>
        </w:rPr>
        <w:footnoteReference w:id="51"/>
      </w:r>
      <w:r w:rsidR="00C54079" w:rsidRPr="003B7AF4">
        <w:rPr>
          <w:rFonts w:ascii="Calibri" w:hAnsi="Calibri" w:cs="Calibri"/>
          <w:szCs w:val="22"/>
          <w:rtl/>
        </w:rPr>
        <w:t xml:space="preserve"> </w:t>
      </w:r>
      <w:r w:rsidR="00B157B7" w:rsidRPr="003B7AF4">
        <w:rPr>
          <w:rFonts w:ascii="Calibri" w:hAnsi="Calibri" w:cs="Calibri" w:hint="cs"/>
          <w:szCs w:val="22"/>
          <w:rtl/>
        </w:rPr>
        <w:t>و</w:t>
      </w:r>
      <w:r w:rsidR="00C54079" w:rsidRPr="003B7AF4">
        <w:rPr>
          <w:rFonts w:ascii="Calibri" w:hAnsi="Calibri" w:cs="Calibri"/>
          <w:szCs w:val="22"/>
          <w:rtl/>
        </w:rPr>
        <w:t xml:space="preserve">يواصل المركز مراقبة </w:t>
      </w:r>
      <w:r w:rsidR="00B157B7" w:rsidRPr="003B7AF4">
        <w:rPr>
          <w:rFonts w:ascii="Calibri" w:hAnsi="Calibri" w:cs="Calibri" w:hint="cs"/>
          <w:szCs w:val="22"/>
          <w:rtl/>
        </w:rPr>
        <w:t>النفاذ</w:t>
      </w:r>
      <w:r w:rsidR="00C54079" w:rsidRPr="003B7AF4">
        <w:rPr>
          <w:rFonts w:ascii="Calibri" w:hAnsi="Calibri" w:cs="Calibri"/>
          <w:szCs w:val="22"/>
          <w:rtl/>
        </w:rPr>
        <w:t xml:space="preserve"> إلى بيانات التسجيل وتأثير الانتقال من WhoIs إلى </w:t>
      </w:r>
      <w:r w:rsidR="00F826AC" w:rsidRPr="003B7AF4">
        <w:rPr>
          <w:rFonts w:ascii="Calibri" w:hAnsi="Calibri" w:cs="Calibri" w:hint="cs"/>
          <w:szCs w:val="22"/>
          <w:rtl/>
        </w:rPr>
        <w:t>بروتوكول النفاذ إلى بيانات التسجيل</w:t>
      </w:r>
      <w:r w:rsidR="00C54079" w:rsidRPr="003B7AF4">
        <w:rPr>
          <w:rFonts w:ascii="Calibri" w:hAnsi="Calibri" w:cs="Calibri"/>
          <w:szCs w:val="22"/>
          <w:rtl/>
        </w:rPr>
        <w:t>.</w:t>
      </w:r>
      <w:r w:rsidR="00F826AC" w:rsidRPr="003B7AF4">
        <w:rPr>
          <w:rFonts w:ascii="Calibri" w:hAnsi="Calibri" w:cs="Calibri" w:hint="cs"/>
          <w:szCs w:val="22"/>
          <w:rtl/>
        </w:rPr>
        <w:t xml:space="preserve">  </w:t>
      </w:r>
    </w:p>
    <w:p w14:paraId="70A7ABDC" w14:textId="3D53D4AD" w:rsidR="00C54079" w:rsidRPr="003B7AF4" w:rsidRDefault="00FA7371" w:rsidP="00C54079">
      <w:pPr>
        <w:pStyle w:val="Heading2"/>
        <w:ind w:left="540"/>
        <w:rPr>
          <w:rFonts w:ascii="Calibri" w:hAnsi="Calibri" w:cs="Calibri"/>
          <w:b/>
          <w:bCs w:val="0"/>
          <w:i/>
          <w:iCs w:val="0"/>
          <w:szCs w:val="22"/>
        </w:rPr>
      </w:pPr>
      <w:r w:rsidRPr="003B7AF4">
        <w:rPr>
          <w:rFonts w:ascii="Calibri" w:hAnsi="Calibri" w:cs="Calibri" w:hint="cs"/>
          <w:b/>
          <w:bCs w:val="0"/>
          <w:i/>
          <w:iCs w:val="0"/>
          <w:szCs w:val="22"/>
          <w:rtl/>
        </w:rPr>
        <w:t>دال</w:t>
      </w:r>
      <w:r w:rsidR="00C54079" w:rsidRPr="003B7AF4">
        <w:rPr>
          <w:rFonts w:ascii="Calibri" w:hAnsi="Calibri" w:cs="Calibri"/>
          <w:b/>
          <w:bCs w:val="0"/>
          <w:i/>
          <w:iCs w:val="0"/>
          <w:szCs w:val="22"/>
          <w:rtl/>
        </w:rPr>
        <w:t>.</w:t>
      </w:r>
      <w:r w:rsidR="00C54079" w:rsidRPr="003B7AF4">
        <w:rPr>
          <w:rFonts w:ascii="Calibri" w:hAnsi="Calibri" w:cs="Calibri"/>
          <w:b/>
          <w:bCs w:val="0"/>
          <w:i/>
          <w:iCs w:val="0"/>
          <w:szCs w:val="22"/>
          <w:rtl/>
        </w:rPr>
        <w:tab/>
        <w:t>معرّفات أخرى</w:t>
      </w:r>
    </w:p>
    <w:p w14:paraId="6B791373" w14:textId="08F600E8" w:rsidR="00C54079" w:rsidRPr="003B7AF4" w:rsidRDefault="008264FB" w:rsidP="00FA7371">
      <w:pPr>
        <w:spacing w:before="240" w:after="240"/>
        <w:rPr>
          <w:rFonts w:ascii="Times New Roman" w:hAnsi="Times New Roman" w:cs="Calibri"/>
          <w:szCs w:val="22"/>
        </w:rPr>
      </w:pPr>
      <w:r w:rsidRPr="003B7AF4">
        <w:rPr>
          <w:rFonts w:ascii="Calibri" w:hAnsi="Calibri" w:cs="Calibri"/>
          <w:szCs w:val="22"/>
          <w:rtl/>
        </w:rPr>
        <w:t>52</w:t>
      </w:r>
      <w:r w:rsidR="00C54079" w:rsidRPr="003B7AF4">
        <w:rPr>
          <w:rFonts w:ascii="Calibri" w:hAnsi="Calibri" w:cs="Calibri"/>
          <w:szCs w:val="22"/>
          <w:rtl/>
        </w:rPr>
        <w:t>.</w:t>
      </w:r>
      <w:r w:rsidR="00C54079" w:rsidRPr="003B7AF4">
        <w:rPr>
          <w:rFonts w:ascii="Calibri" w:hAnsi="Calibri" w:cs="Calibri"/>
          <w:szCs w:val="22"/>
          <w:rtl/>
        </w:rPr>
        <w:tab/>
        <w:t xml:space="preserve">وفيما يتصل بما ورد أعلاه، </w:t>
      </w:r>
      <w:r w:rsidR="00FA7371" w:rsidRPr="003B7AF4">
        <w:rPr>
          <w:rFonts w:ascii="Times New Roman" w:hAnsi="Times New Roman" w:cs="Calibri"/>
          <w:szCs w:val="22"/>
          <w:rtl/>
        </w:rPr>
        <w:t>تشهد الآيكان مستجدات إضافية مرتبطة بحماية أدوات تعريف العلامات غير التجارية.</w:t>
      </w:r>
    </w:p>
    <w:p w14:paraId="1EEC1EC9" w14:textId="6F331C67" w:rsidR="00C54079" w:rsidRPr="003B7AF4" w:rsidRDefault="00C54079" w:rsidP="00C54079">
      <w:pPr>
        <w:pStyle w:val="Heading3"/>
        <w:keepNext w:val="0"/>
        <w:widowControl w:val="0"/>
        <w:spacing w:after="220"/>
        <w:ind w:left="562" w:firstLine="562"/>
        <w:rPr>
          <w:rFonts w:ascii="Calibri" w:hAnsi="Calibri" w:cs="Calibri"/>
          <w:b/>
          <w:bCs w:val="0"/>
          <w:szCs w:val="22"/>
          <w:u w:val="none"/>
        </w:rPr>
      </w:pPr>
      <w:r w:rsidRPr="003B7AF4">
        <w:rPr>
          <w:rFonts w:ascii="Calibri" w:hAnsi="Calibri" w:cs="Calibri"/>
          <w:b/>
          <w:bCs w:val="0"/>
          <w:szCs w:val="22"/>
          <w:u w:val="none"/>
          <w:rtl/>
        </w:rPr>
        <w:t>(</w:t>
      </w:r>
      <w:r w:rsidR="00FA7371" w:rsidRPr="003B7AF4">
        <w:rPr>
          <w:rFonts w:ascii="Calibri" w:hAnsi="Calibri" w:cs="Calibri" w:hint="cs"/>
          <w:b/>
          <w:bCs w:val="0"/>
          <w:szCs w:val="22"/>
          <w:u w:val="none"/>
          <w:rtl/>
        </w:rPr>
        <w:t>أ</w:t>
      </w:r>
      <w:r w:rsidRPr="003B7AF4">
        <w:rPr>
          <w:rFonts w:ascii="Calibri" w:hAnsi="Calibri" w:cs="Calibri"/>
          <w:b/>
          <w:bCs w:val="0"/>
          <w:szCs w:val="22"/>
          <w:u w:val="none"/>
          <w:rtl/>
        </w:rPr>
        <w:t>)</w:t>
      </w:r>
      <w:r w:rsidRPr="003B7AF4">
        <w:rPr>
          <w:rFonts w:ascii="Calibri" w:hAnsi="Calibri" w:cs="Calibri"/>
          <w:b/>
          <w:bCs w:val="0"/>
          <w:szCs w:val="22"/>
          <w:u w:val="none"/>
          <w:rtl/>
        </w:rPr>
        <w:tab/>
        <w:t>المنظمات الحكومية الدولية (IGOs)</w:t>
      </w:r>
    </w:p>
    <w:p w14:paraId="6365D02C" w14:textId="0BA1171B" w:rsidR="00C54079" w:rsidRPr="003B7AF4" w:rsidRDefault="008264FB" w:rsidP="00C54079">
      <w:pPr>
        <w:rPr>
          <w:rFonts w:ascii="Calibri" w:hAnsi="Calibri" w:cs="Calibri"/>
          <w:szCs w:val="22"/>
        </w:rPr>
      </w:pPr>
      <w:r w:rsidRPr="003B7AF4">
        <w:rPr>
          <w:rFonts w:ascii="Calibri" w:hAnsi="Calibri" w:cs="Calibri"/>
          <w:szCs w:val="22"/>
          <w:rtl/>
        </w:rPr>
        <w:t>53</w:t>
      </w:r>
      <w:r w:rsidR="00C54079" w:rsidRPr="003B7AF4">
        <w:rPr>
          <w:rFonts w:ascii="Calibri" w:hAnsi="Calibri" w:cs="Calibri"/>
          <w:szCs w:val="22"/>
          <w:rtl/>
        </w:rPr>
        <w:t>.</w:t>
      </w:r>
      <w:r w:rsidR="00C54079" w:rsidRPr="003B7AF4">
        <w:rPr>
          <w:rFonts w:ascii="Calibri" w:hAnsi="Calibri" w:cs="Calibri"/>
          <w:szCs w:val="22"/>
          <w:rtl/>
        </w:rPr>
        <w:tab/>
      </w:r>
      <w:r w:rsidR="00FA7371" w:rsidRPr="003B7AF4">
        <w:rPr>
          <w:rFonts w:ascii="Times New Roman" w:hAnsi="Times New Roman" w:cs="Calibri"/>
          <w:szCs w:val="22"/>
          <w:rtl/>
        </w:rPr>
        <w:t xml:space="preserve">على النحو المذكور سابقاً </w:t>
      </w:r>
      <w:r w:rsidR="00FA7371" w:rsidRPr="003B7AF4">
        <w:rPr>
          <w:rFonts w:ascii="Times New Roman" w:hAnsi="Times New Roman" w:cs="Calibri"/>
          <w:i/>
          <w:iCs/>
          <w:szCs w:val="22"/>
          <w:rtl/>
        </w:rPr>
        <w:t>من بين أمور أخرى</w:t>
      </w:r>
      <w:r w:rsidR="00FA7371" w:rsidRPr="003B7AF4">
        <w:rPr>
          <w:rFonts w:ascii="Times New Roman" w:hAnsi="Times New Roman" w:cs="Calibri"/>
          <w:szCs w:val="22"/>
          <w:rtl/>
        </w:rPr>
        <w:t xml:space="preserve"> في </w:t>
      </w:r>
      <w:hyperlink r:id="rId57" w:history="1">
        <w:r w:rsidR="00FA7371" w:rsidRPr="009E695F">
          <w:rPr>
            <w:rStyle w:val="Hyperlink"/>
            <w:rFonts w:ascii="Times New Roman" w:hAnsi="Times New Roman" w:cs="Calibri"/>
            <w:color w:val="0000FF"/>
            <w:szCs w:val="22"/>
            <w:u w:color="0000FF"/>
            <w:rtl/>
          </w:rPr>
          <w:t xml:space="preserve">الوثيقة </w:t>
        </w:r>
        <w:r w:rsidR="00FA7371" w:rsidRPr="009E695F">
          <w:rPr>
            <w:rStyle w:val="Hyperlink"/>
            <w:rFonts w:asciiTheme="minorBidi" w:hAnsiTheme="minorBidi" w:cs="Calibri"/>
            <w:color w:val="0000FF"/>
            <w:szCs w:val="22"/>
            <w:u w:color="0000FF"/>
          </w:rPr>
          <w:t>SCT 46/3</w:t>
        </w:r>
      </w:hyperlink>
      <w:r w:rsidR="00FA7371" w:rsidRPr="003B7AF4">
        <w:rPr>
          <w:rFonts w:ascii="Times New Roman" w:hAnsi="Times New Roman" w:cs="Calibri"/>
          <w:szCs w:val="22"/>
          <w:rtl/>
        </w:rPr>
        <w:t>، فقد توصلت أحد الأفرقة العاملة التابعة للآيكان إلى مجموعة من التوصيات لمنح المنظمات الحكومية الدولية نفاذاً إلى السياسة الموحدة لتسوية المنازعات، واعتمد مجلس المنظمة الداعمة للأسماء العامة هذه التوصيات بالإجماع في 27 سبتمبر 2018. وفي 27 يناير 2019، اعتمد مجلس الآيكان هذه التوصيات وصدر توجيه لل</w:t>
      </w:r>
      <w:r w:rsidR="00FA7371" w:rsidRPr="003B7AF4">
        <w:rPr>
          <w:rFonts w:ascii="Times New Roman" w:hAnsi="Times New Roman" w:cs="Calibri" w:hint="cs"/>
          <w:szCs w:val="22"/>
          <w:rtl/>
        </w:rPr>
        <w:t>آ</w:t>
      </w:r>
      <w:r w:rsidR="00FA7371" w:rsidRPr="003B7AF4">
        <w:rPr>
          <w:rFonts w:ascii="Times New Roman" w:hAnsi="Times New Roman" w:cs="Calibri"/>
          <w:szCs w:val="22"/>
          <w:rtl/>
        </w:rPr>
        <w:t>يكان لتنفيذها. وحتى الآن، لا تزال أعمال ال</w:t>
      </w:r>
      <w:r w:rsidR="00FA7371" w:rsidRPr="003B7AF4">
        <w:rPr>
          <w:rFonts w:ascii="Times New Roman" w:hAnsi="Times New Roman" w:cs="Calibri" w:hint="cs"/>
          <w:szCs w:val="22"/>
          <w:rtl/>
        </w:rPr>
        <w:t>آ</w:t>
      </w:r>
      <w:r w:rsidR="00FA7371" w:rsidRPr="003B7AF4">
        <w:rPr>
          <w:rFonts w:ascii="Times New Roman" w:hAnsi="Times New Roman" w:cs="Calibri"/>
          <w:szCs w:val="22"/>
          <w:rtl/>
        </w:rPr>
        <w:t>يكان بشأن تنفيذ هذه التوصيات المتعلقة بالسياسة معلقة. وبالتعاون مع منظمات حكومية دولية معنية أخرى، يواصل المركز رصده عن كثب للتطورات الخاصة بعملية التنفيذ في هذا الملف القديم من ملفات الآيكان</w:t>
      </w:r>
      <w:r w:rsidR="00FA7371" w:rsidRPr="003B7AF4">
        <w:rPr>
          <w:rFonts w:ascii="Times New Roman" w:hAnsi="Times New Roman" w:cs="Calibri" w:hint="cs"/>
          <w:szCs w:val="22"/>
          <w:rtl/>
        </w:rPr>
        <w:t xml:space="preserve"> </w:t>
      </w:r>
      <w:r w:rsidR="00C54079" w:rsidRPr="003B7AF4">
        <w:rPr>
          <w:rFonts w:ascii="Calibri" w:hAnsi="Calibri" w:cs="Calibri"/>
          <w:szCs w:val="22"/>
          <w:rtl/>
        </w:rPr>
        <w:t xml:space="preserve">والذي من المتوقع </w:t>
      </w:r>
      <w:r w:rsidR="00166853" w:rsidRPr="003B7AF4">
        <w:rPr>
          <w:rFonts w:ascii="Calibri" w:hAnsi="Calibri" w:cs="Calibri"/>
          <w:szCs w:val="22"/>
          <w:rtl/>
        </w:rPr>
        <w:t xml:space="preserve">أن </w:t>
      </w:r>
      <w:r w:rsidR="00C54079" w:rsidRPr="003B7AF4">
        <w:rPr>
          <w:rFonts w:ascii="Calibri" w:hAnsi="Calibri" w:cs="Calibri"/>
          <w:szCs w:val="22"/>
          <w:rtl/>
        </w:rPr>
        <w:t>يبدأ العمل عليه في غضون عام 2025.</w:t>
      </w:r>
    </w:p>
    <w:p w14:paraId="53F008F1" w14:textId="17AF6354" w:rsidR="00C54079" w:rsidRPr="003B7AF4" w:rsidRDefault="00C54079" w:rsidP="00C54079">
      <w:pPr>
        <w:pStyle w:val="Heading3"/>
        <w:ind w:left="567" w:firstLine="567"/>
        <w:rPr>
          <w:rFonts w:ascii="Calibri" w:hAnsi="Calibri" w:cs="Calibri"/>
          <w:b/>
          <w:bCs w:val="0"/>
          <w:szCs w:val="22"/>
          <w:u w:val="none"/>
        </w:rPr>
      </w:pPr>
      <w:r w:rsidRPr="003B7AF4">
        <w:rPr>
          <w:rFonts w:ascii="Calibri" w:hAnsi="Calibri" w:cs="Calibri"/>
          <w:b/>
          <w:bCs w:val="0"/>
          <w:szCs w:val="22"/>
          <w:u w:val="none"/>
          <w:rtl/>
        </w:rPr>
        <w:t>(</w:t>
      </w:r>
      <w:r w:rsidR="00FA7371" w:rsidRPr="003B7AF4">
        <w:rPr>
          <w:rFonts w:ascii="Calibri" w:hAnsi="Calibri" w:cs="Calibri" w:hint="cs"/>
          <w:b/>
          <w:bCs w:val="0"/>
          <w:szCs w:val="22"/>
          <w:u w:val="none"/>
          <w:rtl/>
        </w:rPr>
        <w:t>ب</w:t>
      </w:r>
      <w:r w:rsidRPr="003B7AF4">
        <w:rPr>
          <w:rFonts w:ascii="Calibri" w:hAnsi="Calibri" w:cs="Calibri"/>
          <w:b/>
          <w:bCs w:val="0"/>
          <w:szCs w:val="22"/>
          <w:u w:val="none"/>
          <w:rtl/>
        </w:rPr>
        <w:t>)</w:t>
      </w:r>
      <w:r w:rsidRPr="003B7AF4">
        <w:rPr>
          <w:rFonts w:ascii="Calibri" w:hAnsi="Calibri" w:cs="Calibri"/>
          <w:b/>
          <w:bCs w:val="0"/>
          <w:szCs w:val="22"/>
          <w:u w:val="none"/>
          <w:rtl/>
        </w:rPr>
        <w:tab/>
        <w:t>المصطلحات الجغرافية</w:t>
      </w:r>
    </w:p>
    <w:p w14:paraId="3A93E10A" w14:textId="680291EA" w:rsidR="00C54079" w:rsidRPr="003B7AF4" w:rsidRDefault="008264FB" w:rsidP="00C54079">
      <w:pPr>
        <w:spacing w:before="240" w:after="240"/>
        <w:ind w:right="-143"/>
        <w:rPr>
          <w:rFonts w:ascii="Calibri" w:hAnsi="Calibri" w:cs="Calibri"/>
          <w:szCs w:val="22"/>
        </w:rPr>
      </w:pPr>
      <w:r w:rsidRPr="003B7AF4">
        <w:rPr>
          <w:rFonts w:ascii="Calibri" w:hAnsi="Calibri" w:cs="Calibri"/>
          <w:szCs w:val="22"/>
          <w:rtl/>
        </w:rPr>
        <w:t>54</w:t>
      </w:r>
      <w:r w:rsidR="00C54079" w:rsidRPr="003B7AF4">
        <w:rPr>
          <w:rFonts w:ascii="Calibri" w:hAnsi="Calibri" w:cs="Calibri"/>
          <w:szCs w:val="22"/>
          <w:rtl/>
        </w:rPr>
        <w:t>.</w:t>
      </w:r>
      <w:r w:rsidR="00C54079" w:rsidRPr="003B7AF4">
        <w:rPr>
          <w:rFonts w:ascii="Calibri" w:hAnsi="Calibri" w:cs="Calibri"/>
          <w:szCs w:val="22"/>
          <w:rtl/>
        </w:rPr>
        <w:tab/>
        <w:t xml:space="preserve">فيما يتعلق بالمصطلحات الجغرافية، فقد أعربت اللجنة الاستشارية </w:t>
      </w:r>
      <w:r w:rsidR="00F3618A" w:rsidRPr="003B7AF4">
        <w:rPr>
          <w:rFonts w:ascii="Calibri" w:hAnsi="Calibri" w:cs="Calibri" w:hint="cs"/>
          <w:szCs w:val="22"/>
          <w:rtl/>
        </w:rPr>
        <w:t>الحكومية</w:t>
      </w:r>
      <w:r w:rsidR="00C54079" w:rsidRPr="003B7AF4">
        <w:rPr>
          <w:rFonts w:ascii="Calibri" w:hAnsi="Calibri" w:cs="Calibri"/>
          <w:szCs w:val="22"/>
          <w:rtl/>
        </w:rPr>
        <w:t xml:space="preserve"> على وجه الخصوص عن قلقها بشأن استخدامها وحمايتها في </w:t>
      </w:r>
      <w:r w:rsidR="00F3618A" w:rsidRPr="003B7AF4">
        <w:rPr>
          <w:rFonts w:ascii="Calibri" w:hAnsi="Calibri" w:cs="Calibri" w:hint="cs"/>
          <w:szCs w:val="22"/>
          <w:rtl/>
        </w:rPr>
        <w:t>الحقول العليا</w:t>
      </w:r>
      <w:r w:rsidR="00C54079" w:rsidRPr="003B7AF4">
        <w:rPr>
          <w:rFonts w:ascii="Calibri" w:hAnsi="Calibri" w:cs="Calibri"/>
          <w:szCs w:val="22"/>
          <w:rtl/>
        </w:rPr>
        <w:t xml:space="preserve"> الجديدة.</w:t>
      </w:r>
      <w:r w:rsidR="00C54079" w:rsidRPr="003B7AF4">
        <w:rPr>
          <w:rFonts w:ascii="Calibri" w:hAnsi="Calibri" w:cs="Calibri"/>
          <w:szCs w:val="22"/>
          <w:vertAlign w:val="superscript"/>
          <w:rtl/>
        </w:rPr>
        <w:footnoteReference w:id="52"/>
      </w:r>
      <w:r w:rsidR="00C54079" w:rsidRPr="003B7AF4">
        <w:rPr>
          <w:rFonts w:ascii="Calibri" w:hAnsi="Calibri" w:cs="Calibri"/>
          <w:szCs w:val="22"/>
          <w:rtl/>
        </w:rPr>
        <w:t xml:space="preserve">   </w:t>
      </w:r>
      <w:r w:rsidR="00F3618A" w:rsidRPr="003B7AF4">
        <w:rPr>
          <w:rFonts w:ascii="Calibri" w:hAnsi="Calibri" w:cs="Calibri" w:hint="cs"/>
          <w:szCs w:val="22"/>
          <w:rtl/>
        </w:rPr>
        <w:t>و</w:t>
      </w:r>
      <w:r w:rsidR="00C54079" w:rsidRPr="003B7AF4">
        <w:rPr>
          <w:rFonts w:ascii="Calibri" w:hAnsi="Calibri" w:cs="Calibri"/>
          <w:szCs w:val="22"/>
          <w:rtl/>
        </w:rPr>
        <w:t>فيما يتعلق بالمستوى الأعلى،</w:t>
      </w:r>
      <w:r w:rsidR="00C54079" w:rsidRPr="003B7AF4">
        <w:rPr>
          <w:rStyle w:val="FootnoteReference"/>
          <w:rFonts w:ascii="Calibri" w:hAnsi="Calibri" w:cs="Calibri"/>
          <w:szCs w:val="22"/>
          <w:rtl/>
        </w:rPr>
        <w:footnoteReference w:id="53"/>
      </w:r>
      <w:r w:rsidR="00C54079" w:rsidRPr="003B7AF4">
        <w:rPr>
          <w:rFonts w:ascii="Calibri" w:hAnsi="Calibri" w:cs="Calibri"/>
          <w:szCs w:val="22"/>
          <w:rtl/>
        </w:rPr>
        <w:t xml:space="preserve"> ينص دليل مقدمي الطلبات الذي وضعته هيئة آيكان على أنه "لن تتم الموافقة على طلبات السلاسل التي هي أسماء بلدان أو أقاليم، لأنها غير متاحة في إطار برنامج </w:t>
      </w:r>
      <w:r w:rsidR="00F3618A" w:rsidRPr="003B7AF4">
        <w:rPr>
          <w:rFonts w:ascii="Calibri" w:hAnsi="Calibri" w:cs="Calibri" w:hint="cs"/>
          <w:szCs w:val="22"/>
          <w:rtl/>
        </w:rPr>
        <w:t>الحقول العليا الجديدة</w:t>
      </w:r>
      <w:r w:rsidR="00C54079" w:rsidRPr="003B7AF4">
        <w:rPr>
          <w:rFonts w:ascii="Calibri" w:hAnsi="Calibri" w:cs="Calibri"/>
          <w:szCs w:val="22"/>
          <w:rtl/>
        </w:rPr>
        <w:t xml:space="preserve"> في جولة الطلبات </w:t>
      </w:r>
      <w:r w:rsidR="00F3618A" w:rsidRPr="003B7AF4">
        <w:rPr>
          <w:rFonts w:ascii="Calibri" w:hAnsi="Calibri" w:cs="Calibri" w:hint="cs"/>
          <w:szCs w:val="22"/>
          <w:rtl/>
        </w:rPr>
        <w:t>تلك</w:t>
      </w:r>
      <w:r w:rsidR="00C54079" w:rsidRPr="003B7AF4">
        <w:rPr>
          <w:rFonts w:ascii="Calibri" w:hAnsi="Calibri" w:cs="Calibri"/>
          <w:szCs w:val="22"/>
          <w:rtl/>
        </w:rPr>
        <w:t>".</w:t>
      </w:r>
      <w:r w:rsidR="00C54079" w:rsidRPr="003B7AF4">
        <w:rPr>
          <w:rStyle w:val="FootnoteReference"/>
          <w:rFonts w:ascii="Calibri" w:hAnsi="Calibri" w:cs="Calibri"/>
          <w:szCs w:val="22"/>
          <w:rtl/>
        </w:rPr>
        <w:footnoteReference w:id="54"/>
      </w:r>
      <w:r w:rsidR="00C54079" w:rsidRPr="003B7AF4">
        <w:rPr>
          <w:rFonts w:ascii="Calibri" w:hAnsi="Calibri" w:cs="Calibri"/>
          <w:szCs w:val="22"/>
          <w:rtl/>
        </w:rPr>
        <w:t xml:space="preserve"> وينبغي أن تكون طلبات السلاسل التي تعتبرها </w:t>
      </w:r>
      <w:r w:rsidR="0017648D" w:rsidRPr="003B7AF4">
        <w:rPr>
          <w:rFonts w:ascii="Calibri" w:hAnsi="Calibri" w:cs="Calibri"/>
          <w:szCs w:val="22"/>
          <w:rtl/>
        </w:rPr>
        <w:t>الآيكان</w:t>
      </w:r>
      <w:r w:rsidR="00C54079" w:rsidRPr="003B7AF4">
        <w:rPr>
          <w:rFonts w:ascii="Calibri" w:hAnsi="Calibri" w:cs="Calibri"/>
          <w:szCs w:val="22"/>
          <w:rtl/>
        </w:rPr>
        <w:t xml:space="preserve"> أسماء جغرافية أخرى معينة، مثل أسماء العواصم والمدن الكبرى، مصحوبة بوثائق دعم أو </w:t>
      </w:r>
      <w:r w:rsidR="00CC371E" w:rsidRPr="003B7AF4">
        <w:rPr>
          <w:rFonts w:ascii="Calibri" w:hAnsi="Calibri" w:cs="Calibri"/>
          <w:szCs w:val="22"/>
          <w:rtl/>
        </w:rPr>
        <w:t xml:space="preserve">عدم اعتراض </w:t>
      </w:r>
      <w:r w:rsidR="00C54079" w:rsidRPr="003B7AF4">
        <w:rPr>
          <w:rFonts w:ascii="Calibri" w:hAnsi="Calibri" w:cs="Calibri"/>
          <w:szCs w:val="22"/>
          <w:rtl/>
        </w:rPr>
        <w:t xml:space="preserve">من الحكومات أو السلطات العامة ذات الصلة.  ومن المتوقع أن يتم نشر دليل مقدمي الطلبات الجديد الخاص بـ </w:t>
      </w:r>
      <w:r w:rsidR="0017648D" w:rsidRPr="003B7AF4">
        <w:rPr>
          <w:rFonts w:ascii="Calibri" w:hAnsi="Calibri" w:cs="Calibri"/>
          <w:szCs w:val="22"/>
          <w:rtl/>
        </w:rPr>
        <w:t>الآيكان</w:t>
      </w:r>
      <w:r w:rsidR="00C54079" w:rsidRPr="003B7AF4">
        <w:rPr>
          <w:rFonts w:ascii="Calibri" w:hAnsi="Calibri" w:cs="Calibri"/>
          <w:szCs w:val="22"/>
          <w:rtl/>
        </w:rPr>
        <w:t xml:space="preserve"> في مايو 2025.</w:t>
      </w:r>
      <w:r w:rsidR="00C54079" w:rsidRPr="003B7AF4">
        <w:rPr>
          <w:rStyle w:val="FootnoteReference"/>
          <w:rFonts w:ascii="Calibri" w:hAnsi="Calibri" w:cs="Calibri"/>
          <w:szCs w:val="22"/>
          <w:rtl/>
        </w:rPr>
        <w:footnoteReference w:id="55"/>
      </w:r>
    </w:p>
    <w:p w14:paraId="562D0E27" w14:textId="7A0A1C6C" w:rsidR="00C54079" w:rsidRPr="003B7AF4" w:rsidRDefault="008264FB" w:rsidP="00C54079">
      <w:pPr>
        <w:spacing w:before="240" w:after="240"/>
        <w:ind w:right="-143"/>
        <w:rPr>
          <w:rFonts w:ascii="Calibri" w:hAnsi="Calibri" w:cs="Calibri"/>
          <w:szCs w:val="22"/>
        </w:rPr>
      </w:pPr>
      <w:r w:rsidRPr="003B7AF4">
        <w:rPr>
          <w:rFonts w:ascii="Calibri" w:hAnsi="Calibri" w:cs="Calibri"/>
          <w:szCs w:val="22"/>
          <w:rtl/>
        </w:rPr>
        <w:t>55</w:t>
      </w:r>
      <w:r w:rsidR="00C54079" w:rsidRPr="003B7AF4">
        <w:rPr>
          <w:rFonts w:ascii="Calibri" w:hAnsi="Calibri" w:cs="Calibri"/>
          <w:szCs w:val="22"/>
          <w:rtl/>
        </w:rPr>
        <w:t>.</w:t>
      </w:r>
      <w:r w:rsidR="00C54079" w:rsidRPr="003B7AF4">
        <w:rPr>
          <w:rFonts w:ascii="Calibri" w:hAnsi="Calibri" w:cs="Calibri"/>
          <w:szCs w:val="22"/>
          <w:rtl/>
        </w:rPr>
        <w:tab/>
      </w:r>
      <w:r w:rsidR="00BD3D06" w:rsidRPr="003B7AF4">
        <w:rPr>
          <w:rFonts w:ascii="Times New Roman" w:hAnsi="Times New Roman" w:cs="Calibri"/>
          <w:szCs w:val="22"/>
          <w:rtl/>
        </w:rPr>
        <w:t xml:space="preserve">وأعرب أعضاء اللجنة الاستشارية الحكومية عن المزيد من التحفظات إزاء عدد من الطلبات الخاصة بالحقول العليا الجديدة المكوَّنة من أسماء عامة وذلك بسبب تشابهها مع مصطلحات جغرافية أو مصطلحات "حساسة" أخرى، وأشاروا على مجلس الآيكان </w:t>
      </w:r>
      <w:r w:rsidR="00BD3D06" w:rsidRPr="003B7AF4">
        <w:rPr>
          <w:rFonts w:ascii="Times New Roman" w:hAnsi="Times New Roman" w:cs="Calibri"/>
          <w:szCs w:val="22"/>
          <w:rtl/>
        </w:rPr>
        <w:lastRenderedPageBreak/>
        <w:t>بعدم تجاوز مرحلة التقييم الأولي والتمسوا من المجلس توضيحاً بشأن نطاق المرونة المتاحة لمقدمي الطلبات لتعديل طلباتهم التي أودعوها لحقول عليا جديدة مكوَّنة من أسماء عامة بما يستجيب للشواغل المحدّدة التي أبدتها اللجنة الاستشارية الحكومية</w:t>
      </w:r>
      <w:r w:rsidR="00C54079" w:rsidRPr="003B7AF4">
        <w:rPr>
          <w:rFonts w:ascii="Calibri" w:hAnsi="Calibri" w:cs="Calibri"/>
          <w:szCs w:val="22"/>
          <w:rtl/>
        </w:rPr>
        <w:t>.</w:t>
      </w:r>
      <w:r w:rsidR="00C54079" w:rsidRPr="003B7AF4">
        <w:rPr>
          <w:rStyle w:val="FootnoteReference"/>
          <w:rFonts w:ascii="Calibri" w:hAnsi="Calibri" w:cs="Calibri"/>
          <w:szCs w:val="22"/>
          <w:rtl/>
        </w:rPr>
        <w:footnoteReference w:id="56"/>
      </w:r>
    </w:p>
    <w:p w14:paraId="1984DFFD" w14:textId="2398C43B" w:rsidR="00C54079" w:rsidRPr="003B7AF4" w:rsidRDefault="008264FB" w:rsidP="00C54079">
      <w:pPr>
        <w:rPr>
          <w:rFonts w:ascii="Calibri" w:hAnsi="Calibri" w:cs="Calibri"/>
          <w:szCs w:val="22"/>
        </w:rPr>
      </w:pPr>
      <w:r w:rsidRPr="003B7AF4">
        <w:rPr>
          <w:rFonts w:ascii="Calibri" w:hAnsi="Calibri" w:cs="Calibri"/>
          <w:szCs w:val="22"/>
          <w:rtl/>
        </w:rPr>
        <w:t>56</w:t>
      </w:r>
      <w:r w:rsidR="00C54079" w:rsidRPr="003B7AF4">
        <w:rPr>
          <w:rFonts w:ascii="Calibri" w:hAnsi="Calibri" w:cs="Calibri"/>
          <w:szCs w:val="22"/>
          <w:rtl/>
        </w:rPr>
        <w:t>.</w:t>
      </w:r>
      <w:r w:rsidR="00C54079" w:rsidRPr="003B7AF4">
        <w:rPr>
          <w:rFonts w:ascii="Calibri" w:hAnsi="Calibri" w:cs="Calibri"/>
          <w:szCs w:val="22"/>
          <w:rtl/>
        </w:rPr>
        <w:tab/>
      </w:r>
      <w:r w:rsidR="00BD3D06" w:rsidRPr="003B7AF4">
        <w:rPr>
          <w:rFonts w:ascii="Times New Roman" w:hAnsi="Times New Roman" w:cs="Calibri"/>
          <w:szCs w:val="22"/>
          <w:rtl/>
        </w:rPr>
        <w:t xml:space="preserve">وفيما يتعلق بالجولات المقبلة المحتملة لأسماء الحقول العليا الجديدة المُكوَّنة من أسماء عامة، قدَّم الفريق العامل المُسمى مسار العمل 5 "عبر المجتمع" </w:t>
      </w:r>
      <w:hyperlink r:id="rId58" w:history="1">
        <w:r w:rsidR="00BD3D06" w:rsidRPr="00BD0F6E">
          <w:rPr>
            <w:rStyle w:val="Hyperlink"/>
            <w:rFonts w:ascii="Times New Roman" w:hAnsi="Times New Roman" w:cs="Calibri"/>
            <w:szCs w:val="22"/>
            <w:rtl/>
          </w:rPr>
          <w:t>تقريراً ختامياً بشأن موضوع الأسماء الجغرافية في الحقول العليا إلى الفريق العامل المعني بعملية تطوير السياسات للإجراءات اللاحقة لأسماء الحقول العليا الجديدة المُكوَّنة من أسماء عامة.</w:t>
        </w:r>
      </w:hyperlink>
      <w:r w:rsidR="00BD3D06" w:rsidRPr="003B7AF4">
        <w:rPr>
          <w:rFonts w:ascii="Times New Roman" w:hAnsi="Times New Roman" w:cs="Calibri"/>
          <w:szCs w:val="22"/>
          <w:rtl/>
        </w:rPr>
        <w:t xml:space="preserve"> وعلى الرغم من أنه يبدو بوجه عام أن جولة الآيكان القادمة للطلبات من المرجح أن تُبقي على حالة جولة 2014، فإن موضوع الأسماء الجغرافية الأوسع نطاقاً لا يزال من الموضوعات التي تحظى باهتمام عدد من أصحاب المصلحة في الآيكان، ومنهم الحكومات ومودعو الطلبات المحتملون</w:t>
      </w:r>
      <w:r w:rsidR="00C54079" w:rsidRPr="003B7AF4">
        <w:rPr>
          <w:rFonts w:ascii="Calibri" w:hAnsi="Calibri" w:cs="Calibri"/>
          <w:szCs w:val="22"/>
          <w:rtl/>
        </w:rPr>
        <w:t>.</w:t>
      </w:r>
      <w:r w:rsidR="00C54079" w:rsidRPr="003B7AF4">
        <w:rPr>
          <w:rStyle w:val="FootnoteReference"/>
          <w:rFonts w:ascii="Calibri" w:hAnsi="Calibri" w:cs="Calibri"/>
          <w:szCs w:val="22"/>
          <w:rtl/>
        </w:rPr>
        <w:footnoteReference w:id="57"/>
      </w:r>
      <w:bookmarkStart w:id="13" w:name="_Hlk156398678"/>
    </w:p>
    <w:bookmarkEnd w:id="13"/>
    <w:p w14:paraId="19919D04" w14:textId="1DEAEDE3" w:rsidR="00C54079" w:rsidRPr="003B7AF4" w:rsidRDefault="008264FB" w:rsidP="00843C53">
      <w:pPr>
        <w:spacing w:before="240" w:after="240"/>
        <w:ind w:right="-143"/>
        <w:rPr>
          <w:rFonts w:ascii="Calibri" w:hAnsi="Calibri" w:cs="Calibri"/>
          <w:szCs w:val="22"/>
        </w:rPr>
      </w:pPr>
      <w:r w:rsidRPr="003B7AF4">
        <w:rPr>
          <w:rFonts w:ascii="Calibri" w:hAnsi="Calibri" w:cs="Calibri"/>
          <w:szCs w:val="22"/>
          <w:rtl/>
        </w:rPr>
        <w:t>57</w:t>
      </w:r>
      <w:r w:rsidR="00C54079" w:rsidRPr="003B7AF4">
        <w:rPr>
          <w:rFonts w:ascii="Calibri" w:hAnsi="Calibri" w:cs="Calibri"/>
          <w:szCs w:val="22"/>
          <w:rtl/>
        </w:rPr>
        <w:t>.</w:t>
      </w:r>
      <w:r w:rsidR="00C54079" w:rsidRPr="003B7AF4">
        <w:rPr>
          <w:rFonts w:ascii="Calibri" w:hAnsi="Calibri" w:cs="Calibri"/>
          <w:szCs w:val="22"/>
          <w:rtl/>
        </w:rPr>
        <w:tab/>
      </w:r>
      <w:r w:rsidR="00843C53" w:rsidRPr="003B7AF4">
        <w:rPr>
          <w:rFonts w:ascii="Times New Roman" w:hAnsi="Times New Roman" w:cs="Calibri"/>
          <w:szCs w:val="22"/>
          <w:rtl/>
        </w:rPr>
        <w:t>وفي ديسمبر 2016، سمحت الآيكان بإتاحة كل أسماء الحقول المحجوزة سابقاً المكوّنة من حرفين على المستوى الثاني في الحقول العليا الجديدة المكوّنة من أسماء عامة على أن يمهل القائمون على التسجيل الحكومات المعنية ثلاثين يوماً لشراء أسماء الحقول المعنية؛ وأن يلزموا أصحاب التسجيلات بالإقرار بعدم الإيحاء زوراً بأي طابع حكومي في استخدام تلك الأسماء؛ وأن يتيحوا وسيلة لرفع الشكاوى بعد التسجيل</w:t>
      </w:r>
      <w:r w:rsidR="001A4D6B" w:rsidRPr="003B7AF4">
        <w:rPr>
          <w:rStyle w:val="FootnoteReference"/>
          <w:rFonts w:ascii="Times New Roman" w:hAnsi="Times New Roman" w:cs="Calibri"/>
          <w:szCs w:val="22"/>
          <w:rtl/>
        </w:rPr>
        <w:footnoteReference w:id="58"/>
      </w:r>
      <w:r w:rsidR="00843C53" w:rsidRPr="003B7AF4">
        <w:rPr>
          <w:rFonts w:ascii="Times New Roman" w:hAnsi="Times New Roman" w:cs="Calibri"/>
          <w:szCs w:val="22"/>
          <w:rtl/>
        </w:rPr>
        <w:t xml:space="preserve">. وفي هذا السياق، قدَّم المركز </w:t>
      </w:r>
      <w:hyperlink r:id="rId59" w:history="1">
        <w:r w:rsidR="00843C53" w:rsidRPr="003045C4">
          <w:rPr>
            <w:rStyle w:val="Hyperlink"/>
            <w:rFonts w:ascii="Times New Roman" w:hAnsi="Times New Roman" w:cs="Calibri"/>
            <w:color w:val="0000FF"/>
            <w:szCs w:val="22"/>
            <w:u w:color="0000FF"/>
            <w:rtl/>
          </w:rPr>
          <w:t>تعليقات إلى الآيكان</w:t>
        </w:r>
      </w:hyperlink>
      <w:r w:rsidR="00843C53" w:rsidRPr="003B7AF4">
        <w:rPr>
          <w:rFonts w:ascii="Times New Roman" w:hAnsi="Times New Roman" w:cs="Calibri"/>
          <w:szCs w:val="22"/>
          <w:rtl/>
        </w:rPr>
        <w:t xml:space="preserve"> أشار فيها إلى أن عملية الويبو الثانية نظرت في إمكانية استكشاف تدابير تُمكِّن من تطبيق السياسة الموحدة على تسجيلات المستوى الثالث من أجل الحد من احتمال انتهاك العلامات التجارية. ولم تتفاعل الآيكان مع التعليقات التي أبداها المركز.</w:t>
      </w:r>
      <w:r w:rsidR="00843C53" w:rsidRPr="003B7AF4">
        <w:rPr>
          <w:rFonts w:ascii="Calibri" w:hAnsi="Calibri" w:cs="Calibri" w:hint="cs"/>
          <w:szCs w:val="22"/>
          <w:rtl/>
        </w:rPr>
        <w:t xml:space="preserve"> </w:t>
      </w:r>
      <w:r w:rsidR="00C54079" w:rsidRPr="003B7AF4">
        <w:rPr>
          <w:rFonts w:ascii="Calibri" w:hAnsi="Calibri" w:cs="Calibri"/>
          <w:szCs w:val="22"/>
          <w:rtl/>
        </w:rPr>
        <w:t xml:space="preserve">ومنذ صدور بيان </w:t>
      </w:r>
      <w:r w:rsidR="0017648D" w:rsidRPr="003B7AF4">
        <w:rPr>
          <w:rFonts w:ascii="Calibri" w:hAnsi="Calibri" w:cs="Calibri"/>
          <w:szCs w:val="22"/>
          <w:rtl/>
        </w:rPr>
        <w:t>الآيكان</w:t>
      </w:r>
      <w:r w:rsidR="00C54079" w:rsidRPr="003B7AF4">
        <w:rPr>
          <w:rFonts w:ascii="Calibri" w:hAnsi="Calibri" w:cs="Calibri"/>
          <w:szCs w:val="22"/>
          <w:rtl/>
        </w:rPr>
        <w:t xml:space="preserve">، بما في ذلك في المناقشات الأخيرة، طلب عدد من أعضاء اللجنة الاستشارية </w:t>
      </w:r>
      <w:r w:rsidR="00843C53" w:rsidRPr="003B7AF4">
        <w:rPr>
          <w:rFonts w:ascii="Calibri" w:hAnsi="Calibri" w:cs="Calibri" w:hint="cs"/>
          <w:szCs w:val="22"/>
          <w:rtl/>
        </w:rPr>
        <w:t>الحكومية</w:t>
      </w:r>
      <w:r w:rsidR="00C54079" w:rsidRPr="003B7AF4">
        <w:rPr>
          <w:rFonts w:ascii="Calibri" w:hAnsi="Calibri" w:cs="Calibri"/>
          <w:szCs w:val="22"/>
          <w:rtl/>
        </w:rPr>
        <w:t xml:space="preserve"> من </w:t>
      </w:r>
      <w:r w:rsidR="0017648D" w:rsidRPr="003B7AF4">
        <w:rPr>
          <w:rFonts w:ascii="Calibri" w:hAnsi="Calibri" w:cs="Calibri"/>
          <w:szCs w:val="22"/>
          <w:rtl/>
        </w:rPr>
        <w:t>الآيكان</w:t>
      </w:r>
      <w:r w:rsidR="00C54079" w:rsidRPr="003B7AF4">
        <w:rPr>
          <w:rFonts w:ascii="Calibri" w:hAnsi="Calibri" w:cs="Calibri"/>
          <w:szCs w:val="22"/>
          <w:rtl/>
        </w:rPr>
        <w:t xml:space="preserve"> تقديم معلومات منسقة بشأن الطلبات والوفود ذات الصلة.</w:t>
      </w:r>
      <w:r w:rsidR="00C54079" w:rsidRPr="003B7AF4">
        <w:rPr>
          <w:rStyle w:val="FootnoteReference"/>
          <w:rFonts w:ascii="Calibri" w:hAnsi="Calibri" w:cs="Calibri"/>
          <w:szCs w:val="22"/>
          <w:rtl/>
        </w:rPr>
        <w:footnoteReference w:id="59"/>
      </w:r>
      <w:r w:rsidR="00C54079" w:rsidRPr="003B7AF4">
        <w:rPr>
          <w:rFonts w:ascii="Calibri" w:hAnsi="Calibri" w:cs="Calibri"/>
          <w:szCs w:val="22"/>
          <w:rtl/>
        </w:rPr>
        <w:t xml:space="preserve">  ومن المتوقع أن يتم استخدام عملية مماثلة لأسماء البلدان في المستوى الثاني (لا تزال محظورة حاليًا).</w:t>
      </w:r>
    </w:p>
    <w:p w14:paraId="02416D76" w14:textId="45B2AAED" w:rsidR="00C54079" w:rsidRPr="003B7AF4" w:rsidRDefault="008264FB" w:rsidP="00C54079">
      <w:pPr>
        <w:spacing w:before="240" w:after="240"/>
        <w:rPr>
          <w:rFonts w:ascii="Calibri" w:hAnsi="Calibri" w:cs="Calibri"/>
          <w:szCs w:val="22"/>
        </w:rPr>
      </w:pPr>
      <w:r w:rsidRPr="003B7AF4">
        <w:rPr>
          <w:rFonts w:ascii="Calibri" w:hAnsi="Calibri" w:cs="Calibri"/>
          <w:szCs w:val="22"/>
          <w:rtl/>
        </w:rPr>
        <w:t>58</w:t>
      </w:r>
      <w:r w:rsidR="00C54079" w:rsidRPr="003B7AF4">
        <w:rPr>
          <w:rFonts w:ascii="Calibri" w:hAnsi="Calibri" w:cs="Calibri"/>
          <w:szCs w:val="22"/>
          <w:rtl/>
        </w:rPr>
        <w:t>.</w:t>
      </w:r>
      <w:r w:rsidR="00C54079" w:rsidRPr="003B7AF4">
        <w:rPr>
          <w:rFonts w:ascii="Calibri" w:hAnsi="Calibri" w:cs="Calibri"/>
          <w:szCs w:val="22"/>
          <w:rtl/>
        </w:rPr>
        <w:tab/>
      </w:r>
      <w:r w:rsidR="008E2F1F" w:rsidRPr="003B7AF4">
        <w:rPr>
          <w:rFonts w:ascii="Times New Roman" w:hAnsi="Times New Roman" w:cs="Calibri"/>
          <w:szCs w:val="22"/>
          <w:rtl/>
        </w:rPr>
        <w:t>وقد سعى المركز بشأن هذه المسائل وغيرها من المسائل المتعلقة بنظام أسماء الحقول إلى تقييم القطاعات المعنية داخل الأمانة، بما في ذلك دعم عمل اللجنة الدائمة المعنية بقانون العلامات التجارية والتصاميم الصناعية والمؤشرات الجغرافية (لجنة العلامات).</w:t>
      </w:r>
      <w:r w:rsidR="001A4D6B" w:rsidRPr="003B7AF4">
        <w:rPr>
          <w:rStyle w:val="FootnoteReference"/>
          <w:rFonts w:ascii="Times New Roman" w:hAnsi="Times New Roman" w:cs="Calibri"/>
          <w:szCs w:val="22"/>
          <w:rtl/>
        </w:rPr>
        <w:footnoteReference w:id="60"/>
      </w:r>
      <w:r w:rsidR="008E2F1F" w:rsidRPr="003B7AF4">
        <w:rPr>
          <w:rFonts w:ascii="Times New Roman" w:hAnsi="Times New Roman" w:cs="Calibri"/>
          <w:szCs w:val="22"/>
          <w:rtl/>
        </w:rPr>
        <w:t xml:space="preserve">  وستواصل الأمانة رصد هذه التطورات، وستساهم فيها حسب مقتضى الحال</w:t>
      </w:r>
      <w:r w:rsidR="008E2F1F" w:rsidRPr="003B7AF4">
        <w:rPr>
          <w:rFonts w:ascii="Times New Roman" w:hAnsi="Times New Roman" w:cs="Calibri" w:hint="cs"/>
          <w:szCs w:val="22"/>
          <w:rtl/>
        </w:rPr>
        <w:t>.</w:t>
      </w:r>
    </w:p>
    <w:p w14:paraId="2310F487" w14:textId="55FCCF9F" w:rsidR="00C54079" w:rsidRPr="003B7AF4" w:rsidRDefault="008264FB" w:rsidP="00AC373A">
      <w:pPr>
        <w:pStyle w:val="DecisionInvitingPara"/>
        <w:ind w:left="5533"/>
        <w:rPr>
          <w:rFonts w:ascii="Calibri" w:hAnsi="Calibri" w:cs="Calibri"/>
          <w:sz w:val="22"/>
          <w:szCs w:val="22"/>
        </w:rPr>
      </w:pPr>
      <w:r w:rsidRPr="003B7AF4">
        <w:rPr>
          <w:rFonts w:ascii="Calibri" w:hAnsi="Calibri" w:cs="Calibri"/>
          <w:sz w:val="22"/>
          <w:szCs w:val="22"/>
          <w:rtl/>
        </w:rPr>
        <w:t>59</w:t>
      </w:r>
      <w:r w:rsidR="00C54079" w:rsidRPr="003B7AF4">
        <w:rPr>
          <w:rFonts w:ascii="Calibri" w:hAnsi="Calibri" w:cs="Calibri"/>
          <w:sz w:val="22"/>
          <w:szCs w:val="22"/>
          <w:rtl/>
        </w:rPr>
        <w:t>.</w:t>
      </w:r>
      <w:r w:rsidR="00C54079" w:rsidRPr="003B7AF4">
        <w:rPr>
          <w:rFonts w:ascii="Calibri" w:hAnsi="Calibri" w:cs="Calibri"/>
          <w:sz w:val="22"/>
          <w:szCs w:val="22"/>
          <w:rtl/>
        </w:rPr>
        <w:tab/>
      </w:r>
      <w:r w:rsidR="0000400A" w:rsidRPr="003B7AF4">
        <w:rPr>
          <w:rFonts w:ascii="Calibri" w:hAnsi="Calibri" w:cs="Calibri" w:hint="cs"/>
          <w:sz w:val="22"/>
          <w:szCs w:val="22"/>
          <w:rtl/>
        </w:rPr>
        <w:t xml:space="preserve">إن </w:t>
      </w:r>
      <w:r w:rsidR="00C54079" w:rsidRPr="003B7AF4">
        <w:rPr>
          <w:rFonts w:ascii="Calibri" w:hAnsi="Calibri" w:cs="Calibri"/>
          <w:sz w:val="22"/>
          <w:szCs w:val="22"/>
          <w:rtl/>
        </w:rPr>
        <w:t xml:space="preserve">الجمعية العامة </w:t>
      </w:r>
      <w:r w:rsidR="0000400A" w:rsidRPr="003B7AF4">
        <w:rPr>
          <w:rFonts w:ascii="Calibri" w:hAnsi="Calibri" w:cs="Calibri" w:hint="cs"/>
          <w:sz w:val="22"/>
          <w:szCs w:val="22"/>
          <w:rtl/>
        </w:rPr>
        <w:t>للويبو</w:t>
      </w:r>
      <w:r w:rsidR="00C54079" w:rsidRPr="003B7AF4">
        <w:rPr>
          <w:rFonts w:ascii="Calibri" w:hAnsi="Calibri" w:cs="Calibri"/>
          <w:sz w:val="22"/>
          <w:szCs w:val="22"/>
          <w:rtl/>
        </w:rPr>
        <w:t xml:space="preserve"> مدعوة إلى الإحاطة علما بالوثيقة المعنونة "مركز الويبو للتحكيم والوساطة، بما في ذلك أسماء </w:t>
      </w:r>
      <w:r w:rsidR="0000400A" w:rsidRPr="003B7AF4">
        <w:rPr>
          <w:rFonts w:ascii="Calibri" w:hAnsi="Calibri" w:cs="Calibri" w:hint="cs"/>
          <w:sz w:val="22"/>
          <w:szCs w:val="22"/>
          <w:rtl/>
        </w:rPr>
        <w:t>الحقول على الإنترنت</w:t>
      </w:r>
      <w:r w:rsidR="00C54079" w:rsidRPr="003B7AF4">
        <w:rPr>
          <w:rFonts w:ascii="Calibri" w:hAnsi="Calibri" w:cs="Calibri"/>
          <w:sz w:val="22"/>
          <w:szCs w:val="22"/>
          <w:rtl/>
        </w:rPr>
        <w:t xml:space="preserve">" (الوثيقة </w:t>
      </w:r>
      <w:r w:rsidR="00547D0C" w:rsidRPr="003B7AF4">
        <w:rPr>
          <w:rFonts w:ascii="Calibri" w:hAnsi="Calibri" w:cs="Calibri"/>
          <w:sz w:val="22"/>
          <w:szCs w:val="22"/>
          <w:rtl/>
        </w:rPr>
        <w:t>WO/GA/58/11</w:t>
      </w:r>
      <w:r w:rsidR="00C54079" w:rsidRPr="003B7AF4">
        <w:rPr>
          <w:rFonts w:ascii="Calibri" w:hAnsi="Calibri" w:cs="Calibri"/>
          <w:sz w:val="22"/>
          <w:szCs w:val="22"/>
          <w:rtl/>
        </w:rPr>
        <w:t>).</w:t>
      </w:r>
    </w:p>
    <w:p w14:paraId="5C819C69" w14:textId="77777777" w:rsidR="00C54079" w:rsidRPr="003B7AF4" w:rsidRDefault="00C54079" w:rsidP="00C54079">
      <w:pPr>
        <w:pStyle w:val="DecisionInvitingPara"/>
        <w:ind w:left="5530"/>
        <w:rPr>
          <w:rFonts w:ascii="Calibri" w:hAnsi="Calibri" w:cs="Calibri"/>
          <w:sz w:val="22"/>
          <w:szCs w:val="22"/>
        </w:rPr>
      </w:pPr>
    </w:p>
    <w:p w14:paraId="735A4FEB" w14:textId="77777777" w:rsidR="00C54079" w:rsidRPr="003B7AF4" w:rsidRDefault="00C54079" w:rsidP="00C54079">
      <w:pPr>
        <w:pStyle w:val="DecisionInvitingPara"/>
        <w:ind w:left="0"/>
        <w:rPr>
          <w:rFonts w:ascii="Calibri" w:hAnsi="Calibri" w:cs="Calibri"/>
          <w:sz w:val="22"/>
          <w:szCs w:val="22"/>
        </w:rPr>
      </w:pPr>
    </w:p>
    <w:p w14:paraId="4CA2A31B" w14:textId="671D2E57" w:rsidR="002928D3" w:rsidRPr="003B7AF4" w:rsidRDefault="00C54079" w:rsidP="0042648F">
      <w:pPr>
        <w:pStyle w:val="DecisionInvitingPara"/>
        <w:spacing w:before="120"/>
        <w:ind w:left="5530"/>
        <w:rPr>
          <w:rFonts w:ascii="Calibri" w:hAnsi="Calibri" w:cs="Calibri"/>
          <w:sz w:val="22"/>
          <w:szCs w:val="22"/>
        </w:rPr>
      </w:pPr>
      <w:r w:rsidRPr="003B7AF4">
        <w:rPr>
          <w:rFonts w:ascii="Calibri" w:hAnsi="Calibri" w:cs="Calibri"/>
          <w:i w:val="0"/>
          <w:sz w:val="22"/>
          <w:szCs w:val="22"/>
          <w:rtl/>
        </w:rPr>
        <w:t>[نهاية الوثيقة</w:t>
      </w:r>
      <w:r w:rsidR="00787763">
        <w:rPr>
          <w:rFonts w:ascii="Calibri" w:hAnsi="Calibri" w:cs="Calibri"/>
          <w:i w:val="0"/>
          <w:sz w:val="22"/>
          <w:szCs w:val="22"/>
        </w:rPr>
        <w:t>[</w:t>
      </w:r>
    </w:p>
    <w:sectPr w:rsidR="002928D3" w:rsidRPr="003B7AF4" w:rsidSect="00C54079">
      <w:headerReference w:type="default" r:id="rId60"/>
      <w:endnotePr>
        <w:numFmt w:val="decimal"/>
      </w:endnotePr>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0F4CA" w14:textId="77777777" w:rsidR="008B63EA" w:rsidRDefault="008B63EA">
      <w:r>
        <w:rPr>
          <w:rtl/>
        </w:rPr>
        <w:separator/>
      </w:r>
    </w:p>
  </w:endnote>
  <w:endnote w:type="continuationSeparator" w:id="0">
    <w:p w14:paraId="32DD43EF" w14:textId="77777777" w:rsidR="008B63EA" w:rsidRDefault="008B63EA" w:rsidP="003B38C1">
      <w:r>
        <w:rPr>
          <w:rtl/>
        </w:rPr>
        <w:separator/>
      </w:r>
    </w:p>
    <w:p w14:paraId="6D83F79F" w14:textId="77777777" w:rsidR="008B63EA" w:rsidRPr="003B38C1" w:rsidRDefault="008B63EA" w:rsidP="003B38C1">
      <w:pPr>
        <w:spacing w:after="60"/>
        <w:rPr>
          <w:sz w:val="17"/>
        </w:rPr>
      </w:pPr>
      <w:r>
        <w:rPr>
          <w:sz w:val="17"/>
          <w:rtl/>
        </w:rPr>
        <w:t>[تكملة الحاشية من الصفحة السابقة]</w:t>
      </w:r>
    </w:p>
  </w:endnote>
  <w:endnote w:type="continuationNotice" w:id="1">
    <w:p w14:paraId="1EAEF001" w14:textId="77777777" w:rsidR="008B63EA" w:rsidRPr="003B38C1" w:rsidRDefault="008B63EA" w:rsidP="003B38C1">
      <w:pPr>
        <w:spacing w:before="60"/>
        <w:jc w:val="right"/>
        <w:rPr>
          <w:sz w:val="17"/>
          <w:szCs w:val="17"/>
        </w:rPr>
      </w:pPr>
      <w:r w:rsidRPr="003B38C1">
        <w:rPr>
          <w:sz w:val="17"/>
          <w:szCs w:val="17"/>
          <w:rtl/>
        </w:rPr>
        <w:t>[تتمة الحاشية في الصفحة التالية]</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plified Arabic">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6F4A9" w14:textId="77777777" w:rsidR="008B63EA" w:rsidRDefault="008B63EA">
      <w:r>
        <w:rPr>
          <w:rtl/>
        </w:rPr>
        <w:separator/>
      </w:r>
    </w:p>
  </w:footnote>
  <w:footnote w:type="continuationSeparator" w:id="0">
    <w:p w14:paraId="31409E69" w14:textId="77777777" w:rsidR="008B63EA" w:rsidRDefault="008B63EA" w:rsidP="008B60B2">
      <w:r>
        <w:rPr>
          <w:rtl/>
        </w:rPr>
        <w:separator/>
      </w:r>
    </w:p>
    <w:p w14:paraId="1709ECA0" w14:textId="77777777" w:rsidR="008B63EA" w:rsidRPr="00ED77FB" w:rsidRDefault="008B63EA" w:rsidP="008B60B2">
      <w:pPr>
        <w:spacing w:after="60"/>
        <w:rPr>
          <w:sz w:val="17"/>
          <w:szCs w:val="17"/>
        </w:rPr>
      </w:pPr>
      <w:r w:rsidRPr="00ED77FB">
        <w:rPr>
          <w:sz w:val="17"/>
          <w:szCs w:val="17"/>
          <w:rtl/>
        </w:rPr>
        <w:t>[تتمة الحاشية من الصفحة السابقة]</w:t>
      </w:r>
    </w:p>
  </w:footnote>
  <w:footnote w:type="continuationNotice" w:id="1">
    <w:p w14:paraId="6A55A625" w14:textId="77777777" w:rsidR="008B63EA" w:rsidRPr="00ED77FB" w:rsidRDefault="008B63EA" w:rsidP="008B60B2">
      <w:pPr>
        <w:spacing w:before="60"/>
        <w:jc w:val="right"/>
        <w:rPr>
          <w:sz w:val="17"/>
          <w:szCs w:val="17"/>
        </w:rPr>
      </w:pPr>
      <w:r w:rsidRPr="00ED77FB">
        <w:rPr>
          <w:sz w:val="17"/>
          <w:szCs w:val="17"/>
          <w:rtl/>
        </w:rPr>
        <w:t>[تتمة الحاشية في الصفحة التالية]</w:t>
      </w:r>
    </w:p>
  </w:footnote>
  <w:footnote w:id="2">
    <w:p w14:paraId="4995DA4E" w14:textId="2338B74B" w:rsidR="00C54079" w:rsidRPr="001D066C" w:rsidRDefault="00C54079" w:rsidP="00C54079">
      <w:pPr>
        <w:pStyle w:val="FootnoteText"/>
        <w:rPr>
          <w:rFonts w:ascii="Calibri" w:hAnsi="Calibri" w:cs="Calibri"/>
          <w:szCs w:val="18"/>
        </w:rPr>
      </w:pPr>
      <w:r w:rsidRPr="001D066C">
        <w:rPr>
          <w:rStyle w:val="FootnoteReference"/>
          <w:rFonts w:ascii="Calibri" w:hAnsi="Calibri" w:cs="Calibri"/>
          <w:szCs w:val="18"/>
          <w:rtl/>
        </w:rPr>
        <w:footnoteRef/>
      </w:r>
      <w:r w:rsidRPr="001D066C">
        <w:rPr>
          <w:rFonts w:ascii="Calibri" w:hAnsi="Calibri" w:cs="Calibri"/>
          <w:szCs w:val="18"/>
          <w:rtl/>
        </w:rPr>
        <w:tab/>
      </w:r>
      <w:r w:rsidRPr="001D066C">
        <w:rPr>
          <w:rFonts w:ascii="Calibri" w:hAnsi="Calibri" w:cs="Calibri"/>
          <w:color w:val="000000"/>
          <w:szCs w:val="18"/>
          <w:shd w:val="clear" w:color="auto" w:fill="FFFFFF"/>
          <w:rtl/>
        </w:rPr>
        <w:t xml:space="preserve">يقدم المركز </w:t>
      </w:r>
      <w:r w:rsidRPr="001D066C">
        <w:rPr>
          <w:rFonts w:ascii="Calibri" w:hAnsi="Calibri" w:cs="Calibri"/>
          <w:color w:val="000000"/>
          <w:szCs w:val="18"/>
          <w:rtl/>
        </w:rPr>
        <w:t xml:space="preserve">المساعدة الإجرائية (المساعي الحميدة) </w:t>
      </w:r>
      <w:r w:rsidRPr="001D066C">
        <w:rPr>
          <w:rFonts w:ascii="Calibri" w:hAnsi="Calibri" w:cs="Calibri"/>
          <w:color w:val="000000"/>
          <w:szCs w:val="18"/>
          <w:shd w:val="clear" w:color="auto" w:fill="FFFFFF"/>
          <w:rtl/>
        </w:rPr>
        <w:t>للأطراف المتورطة في نزاع يتعلق بالملكية الفكرية أو التكنولوجيا، لتسهيل التسوية المباشرة بينهم أو عرض نزاعهم على الويبو للوساطة أو التحكيم أو قرار الخبراء، كبدائل للتقاضي أمام المحاكم</w:t>
      </w:r>
      <w:r w:rsidRPr="001D066C">
        <w:rPr>
          <w:rFonts w:ascii="Calibri" w:hAnsi="Calibri" w:cs="Calibri"/>
          <w:szCs w:val="18"/>
          <w:rtl/>
        </w:rPr>
        <w:t xml:space="preserve">.  انظر </w:t>
      </w:r>
      <w:hyperlink r:id="rId1" w:history="1">
        <w:r w:rsidRPr="00C87DEB">
          <w:rPr>
            <w:rStyle w:val="Hyperlink"/>
            <w:rFonts w:ascii="Calibri" w:hAnsi="Calibri" w:cs="Calibri"/>
            <w:szCs w:val="18"/>
            <w:rtl/>
          </w:rPr>
          <w:t>https://www.wipo.int/amc/en/goodoffices</w:t>
        </w:r>
      </w:hyperlink>
      <w:r w:rsidRPr="001D066C">
        <w:rPr>
          <w:rFonts w:ascii="Calibri" w:hAnsi="Calibri" w:cs="Calibri"/>
          <w:szCs w:val="18"/>
          <w:rtl/>
        </w:rPr>
        <w:t>.</w:t>
      </w:r>
    </w:p>
  </w:footnote>
  <w:footnote w:id="3">
    <w:p w14:paraId="14E4BD27" w14:textId="107BF8E8" w:rsidR="00C54079" w:rsidRPr="001D066C" w:rsidRDefault="00C54079" w:rsidP="00C54079">
      <w:pPr>
        <w:pStyle w:val="FootnoteText"/>
        <w:rPr>
          <w:rFonts w:ascii="Calibri" w:hAnsi="Calibri" w:cs="Calibri"/>
          <w:szCs w:val="18"/>
        </w:rPr>
      </w:pPr>
      <w:r w:rsidRPr="001D066C">
        <w:rPr>
          <w:rStyle w:val="FootnoteReference"/>
          <w:rFonts w:ascii="Calibri" w:hAnsi="Calibri" w:cs="Calibri"/>
          <w:szCs w:val="18"/>
          <w:rtl/>
        </w:rPr>
        <w:footnoteRef/>
      </w:r>
      <w:r w:rsidRPr="001D066C">
        <w:rPr>
          <w:rFonts w:ascii="Calibri" w:hAnsi="Calibri" w:cs="Calibri"/>
          <w:szCs w:val="18"/>
          <w:rtl/>
        </w:rPr>
        <w:tab/>
        <w:t xml:space="preserve">جميع </w:t>
      </w:r>
      <w:r w:rsidR="00B776A1">
        <w:rPr>
          <w:rFonts w:ascii="Calibri" w:hAnsi="Calibri" w:cs="Calibri" w:hint="cs"/>
          <w:szCs w:val="18"/>
          <w:rtl/>
        </w:rPr>
        <w:t>حلقات</w:t>
      </w:r>
      <w:r w:rsidRPr="001D066C">
        <w:rPr>
          <w:rFonts w:ascii="Calibri" w:hAnsi="Calibri" w:cs="Calibri"/>
          <w:szCs w:val="18"/>
          <w:rtl/>
        </w:rPr>
        <w:t xml:space="preserve"> العمل والفعاليات الأخرى التي ينظمها المركز مدرجة على الموقع الإلكتروني </w:t>
      </w:r>
      <w:hyperlink r:id="rId2" w:history="1">
        <w:r w:rsidRPr="00C87DEB">
          <w:rPr>
            <w:rStyle w:val="Hyperlink"/>
            <w:rFonts w:ascii="Calibri" w:hAnsi="Calibri" w:cs="Calibri"/>
            <w:szCs w:val="18"/>
            <w:rtl/>
          </w:rPr>
          <w:t>https://www.wipo.int/amc/en/events</w:t>
        </w:r>
      </w:hyperlink>
      <w:bookmarkStart w:id="4" w:name="_Hlk197360479"/>
      <w:r w:rsidRPr="001D066C">
        <w:rPr>
          <w:rFonts w:ascii="Calibri" w:hAnsi="Calibri" w:cs="Calibri"/>
          <w:szCs w:val="18"/>
          <w:rtl/>
        </w:rPr>
        <w:t>.</w:t>
      </w:r>
      <w:bookmarkEnd w:id="4"/>
    </w:p>
  </w:footnote>
  <w:footnote w:id="4">
    <w:p w14:paraId="26393A57" w14:textId="763A5F79" w:rsidR="00C54079" w:rsidRPr="001D066C" w:rsidRDefault="00C54079" w:rsidP="00C54079">
      <w:pPr>
        <w:pStyle w:val="FootnoteText"/>
        <w:rPr>
          <w:rFonts w:ascii="Calibri" w:hAnsi="Calibri" w:cs="Calibri"/>
          <w:szCs w:val="18"/>
        </w:rPr>
      </w:pPr>
      <w:r w:rsidRPr="001D066C">
        <w:rPr>
          <w:rStyle w:val="FootnoteReference"/>
          <w:rFonts w:ascii="Calibri" w:hAnsi="Calibri" w:cs="Calibri"/>
          <w:szCs w:val="18"/>
          <w:rtl/>
        </w:rPr>
        <w:footnoteRef/>
      </w:r>
      <w:r w:rsidRPr="001D066C">
        <w:rPr>
          <w:rFonts w:ascii="Calibri" w:hAnsi="Calibri" w:cs="Calibri"/>
          <w:szCs w:val="18"/>
          <w:rtl/>
        </w:rPr>
        <w:tab/>
        <w:t xml:space="preserve">يتيح المركز البنود النموذجية الموصى بها واتفاقات التقديم، بالإضافة إلى مولد بنود على الإنترنت يسمح للأطراف ببناء البنود الأساسية واتفاقات التقديم.  </w:t>
      </w:r>
      <w:r w:rsidRPr="007A47C2">
        <w:rPr>
          <w:rFonts w:ascii="Calibri" w:hAnsi="Calibri" w:cs="Calibri"/>
          <w:szCs w:val="18"/>
          <w:rtl/>
        </w:rPr>
        <w:t xml:space="preserve">انظر </w:t>
      </w:r>
      <w:hyperlink r:id="rId3" w:history="1">
        <w:bookmarkStart w:id="5" w:name="_Hlk163636111"/>
        <w:r w:rsidR="007A47C2">
          <w:rPr>
            <w:rStyle w:val="Hyperlink"/>
            <w:rFonts w:ascii="Calibri" w:hAnsi="Calibri" w:cs="Calibri"/>
          </w:rPr>
          <w:t>https://www.wipo.int/amc/ar/clauses</w:t>
        </w:r>
      </w:hyperlink>
      <w:r w:rsidRPr="001D066C">
        <w:rPr>
          <w:rFonts w:ascii="Calibri" w:hAnsi="Calibri" w:cs="Calibri"/>
          <w:szCs w:val="18"/>
          <w:rtl/>
        </w:rPr>
        <w:t xml:space="preserve"> و</w:t>
      </w:r>
      <w:hyperlink r:id="rId4" w:history="1">
        <w:r w:rsidR="007A47C2" w:rsidRPr="004F6698">
          <w:rPr>
            <w:rStyle w:val="Hyperlink"/>
            <w:rFonts w:ascii="Calibri" w:hAnsi="Calibri" w:cs="Calibri"/>
            <w:szCs w:val="18"/>
          </w:rPr>
          <w:t>https://amc.wipo.int/clause-generator</w:t>
        </w:r>
      </w:hyperlink>
      <w:bookmarkEnd w:id="5"/>
      <w:r w:rsidR="007A47C2" w:rsidRPr="001D066C">
        <w:rPr>
          <w:rFonts w:ascii="Calibri" w:hAnsi="Calibri" w:cs="Calibri"/>
          <w:szCs w:val="18"/>
          <w:rtl/>
        </w:rPr>
        <w:t>.</w:t>
      </w:r>
    </w:p>
  </w:footnote>
  <w:footnote w:id="5">
    <w:p w14:paraId="7C7FE5C8" w14:textId="2E05DCC0" w:rsidR="00C54079" w:rsidRPr="001D066C" w:rsidRDefault="00C54079" w:rsidP="00C54079">
      <w:pPr>
        <w:pStyle w:val="FootnoteText"/>
        <w:rPr>
          <w:rFonts w:ascii="Calibri" w:hAnsi="Calibri" w:cs="Calibri"/>
          <w:szCs w:val="18"/>
        </w:rPr>
      </w:pPr>
      <w:r w:rsidRPr="001D066C">
        <w:rPr>
          <w:rStyle w:val="FootnoteReference"/>
          <w:rFonts w:ascii="Calibri" w:hAnsi="Calibri" w:cs="Calibri"/>
          <w:szCs w:val="18"/>
          <w:rtl/>
        </w:rPr>
        <w:footnoteRef/>
      </w:r>
      <w:r w:rsidRPr="001D066C">
        <w:rPr>
          <w:rFonts w:ascii="Calibri" w:hAnsi="Calibri" w:cs="Calibri"/>
          <w:szCs w:val="18"/>
          <w:rtl/>
        </w:rPr>
        <w:tab/>
        <w:t xml:space="preserve">يقدم المركز رسومًا إدارية ورسوم تسجيل مخفضة في الحالات التي تشمل الشركات الصغيرة والمتوسطة.  انظر </w:t>
      </w:r>
      <w:hyperlink r:id="rId5" w:history="1">
        <w:r w:rsidR="007A47C2" w:rsidRPr="007A47C2">
          <w:rPr>
            <w:rStyle w:val="Hyperlink"/>
            <w:rFonts w:ascii="Calibri" w:hAnsi="Calibri" w:cs="Calibri"/>
            <w:szCs w:val="18"/>
          </w:rPr>
          <w:t>https://www.wipo.int/amc/en/center/specific-sectors/smes</w:t>
        </w:r>
      </w:hyperlink>
      <w:r w:rsidR="007A47C2">
        <w:rPr>
          <w:rFonts w:ascii="Calibri" w:hAnsi="Calibri" w:cs="Calibri"/>
          <w:szCs w:val="18"/>
        </w:rPr>
        <w:t xml:space="preserve"> </w:t>
      </w:r>
      <w:r w:rsidR="007A47C2" w:rsidRPr="001D066C">
        <w:rPr>
          <w:rFonts w:ascii="Calibri" w:hAnsi="Calibri" w:cs="Calibri"/>
          <w:szCs w:val="18"/>
          <w:rtl/>
        </w:rPr>
        <w:t>.</w:t>
      </w:r>
    </w:p>
  </w:footnote>
  <w:footnote w:id="6">
    <w:p w14:paraId="6112FA4E" w14:textId="2532D113" w:rsidR="00C54079" w:rsidRPr="00C54079" w:rsidRDefault="00C54079" w:rsidP="00C54079">
      <w:pPr>
        <w:pStyle w:val="FootnoteText"/>
        <w:rPr>
          <w:szCs w:val="18"/>
        </w:rPr>
      </w:pPr>
      <w:r w:rsidRPr="001D066C">
        <w:rPr>
          <w:rStyle w:val="FootnoteReference"/>
          <w:rFonts w:ascii="Calibri" w:hAnsi="Calibri" w:cs="Calibri"/>
          <w:szCs w:val="18"/>
          <w:rtl/>
        </w:rPr>
        <w:footnoteRef/>
      </w:r>
      <w:r w:rsidRPr="001D066C">
        <w:rPr>
          <w:rFonts w:ascii="Calibri" w:hAnsi="Calibri" w:cs="Calibri"/>
          <w:szCs w:val="18"/>
          <w:rtl/>
        </w:rPr>
        <w:tab/>
        <w:t xml:space="preserve">تتيح خدمة eADR الإلكترونية للويبو للأطراف والمحايدين تبادل جميع الطلبات المتعلقة بالقضايا والوصول إليها من خلال بوابة واحدة وآمنة.  وخلال هذه الفترة، استخدمت هيئة التحكيم في كأس أمريكا في سياق النسخة السابعة والثلاثين من سلسلة سباقات كأس أمريكا للإبحار الشراعي.  انظر </w:t>
      </w:r>
      <w:hyperlink r:id="rId6" w:history="1">
        <w:r w:rsidRPr="007A47C2">
          <w:rPr>
            <w:rStyle w:val="Hyperlink"/>
            <w:rFonts w:ascii="Calibri" w:hAnsi="Calibri" w:cs="Calibri"/>
            <w:szCs w:val="18"/>
            <w:rtl/>
          </w:rPr>
          <w:t>https://www.wipo.int/amc/en/center/background.html</w:t>
        </w:r>
      </w:hyperlink>
      <w:r w:rsidRPr="001D066C">
        <w:rPr>
          <w:rFonts w:ascii="Calibri" w:hAnsi="Calibri" w:cs="Calibri"/>
          <w:szCs w:val="18"/>
          <w:rtl/>
        </w:rPr>
        <w:t>.</w:t>
      </w:r>
    </w:p>
  </w:footnote>
  <w:footnote w:id="7">
    <w:p w14:paraId="5CA3C7B0" w14:textId="5F7F09D0" w:rsidR="00FC2BAA" w:rsidRPr="009A7E73" w:rsidRDefault="00FC2BAA">
      <w:pPr>
        <w:pStyle w:val="FootnoteText"/>
        <w:rPr>
          <w:rFonts w:asciiTheme="minorHAnsi" w:hAnsiTheme="minorHAnsi" w:cstheme="minorHAnsi"/>
          <w:szCs w:val="18"/>
        </w:rPr>
      </w:pPr>
      <w:r w:rsidRPr="009A7E73">
        <w:rPr>
          <w:rStyle w:val="FootnoteReference"/>
          <w:rFonts w:asciiTheme="minorHAnsi" w:hAnsiTheme="minorHAnsi" w:cstheme="minorHAnsi"/>
          <w:szCs w:val="18"/>
          <w:rtl/>
        </w:rPr>
        <w:footnoteRef/>
      </w:r>
      <w:r w:rsidRPr="009A7E73">
        <w:rPr>
          <w:rFonts w:asciiTheme="minorHAnsi" w:hAnsiTheme="minorHAnsi" w:cstheme="minorHAnsi"/>
          <w:szCs w:val="18"/>
          <w:rtl/>
        </w:rPr>
        <w:tab/>
        <w:t>أحيلت حتى الآن أكثر من 150 قضية دولية منظورة أمام المحاكم في شنغهاي وفوجيان وهاينان وقوانغدونغ وتشونغتشينغ وسيشوان إلى دائرة الويبو للتحكيم والوساطة في شنغهاي، بما في ذلك قضايا العلامات التجارية والبراءات وحق</w:t>
      </w:r>
      <w:r w:rsidR="008824AC">
        <w:rPr>
          <w:rFonts w:asciiTheme="minorHAnsi" w:hAnsiTheme="minorHAnsi" w:cstheme="minorHAnsi" w:hint="cs"/>
          <w:szCs w:val="18"/>
          <w:rtl/>
        </w:rPr>
        <w:t xml:space="preserve"> المؤلف </w:t>
      </w:r>
      <w:r w:rsidRPr="009A7E73">
        <w:rPr>
          <w:rFonts w:asciiTheme="minorHAnsi" w:hAnsiTheme="minorHAnsi" w:cstheme="minorHAnsi"/>
          <w:szCs w:val="18"/>
          <w:rtl/>
        </w:rPr>
        <w:t xml:space="preserve">وتكنولوجيا المعلومات والاتصالات وغيرها من القضايا التجارية، مع أطراف من 18 ولاية قضائية في آسيا </w:t>
      </w:r>
      <w:r w:rsidR="008629F9" w:rsidRPr="009A7E73">
        <w:rPr>
          <w:rFonts w:asciiTheme="minorHAnsi" w:hAnsiTheme="minorHAnsi" w:cstheme="minorHAnsi"/>
          <w:szCs w:val="18"/>
          <w:rtl/>
        </w:rPr>
        <w:t xml:space="preserve">وأوروبا </w:t>
      </w:r>
      <w:r w:rsidRPr="009A7E73">
        <w:rPr>
          <w:rFonts w:asciiTheme="minorHAnsi" w:hAnsiTheme="minorHAnsi" w:cstheme="minorHAnsi"/>
          <w:szCs w:val="18"/>
          <w:rtl/>
        </w:rPr>
        <w:t xml:space="preserve">وأمريكا  </w:t>
      </w:r>
      <w:r w:rsidR="008629F9" w:rsidRPr="009A7E73">
        <w:rPr>
          <w:rFonts w:asciiTheme="minorHAnsi" w:hAnsiTheme="minorHAnsi" w:cstheme="minorHAnsi"/>
          <w:szCs w:val="18"/>
          <w:rtl/>
        </w:rPr>
        <w:t xml:space="preserve">الشمالية </w:t>
      </w:r>
      <w:r w:rsidRPr="009A7E73">
        <w:rPr>
          <w:rFonts w:asciiTheme="minorHAnsi" w:hAnsiTheme="minorHAnsi" w:cstheme="minorHAnsi"/>
          <w:szCs w:val="18"/>
          <w:rtl/>
        </w:rPr>
        <w:t xml:space="preserve">وأوقيانوسيا.  </w:t>
      </w:r>
    </w:p>
  </w:footnote>
  <w:footnote w:id="8">
    <w:p w14:paraId="4B9C0CC1" w14:textId="2F480210" w:rsidR="00FC2BAA" w:rsidRPr="009A7E73" w:rsidRDefault="00FC2BAA">
      <w:pPr>
        <w:pStyle w:val="FootnoteText"/>
        <w:rPr>
          <w:rFonts w:asciiTheme="minorHAnsi" w:hAnsiTheme="minorHAnsi" w:cstheme="minorHAnsi"/>
          <w:szCs w:val="18"/>
        </w:rPr>
      </w:pPr>
      <w:r w:rsidRPr="009A7E73">
        <w:rPr>
          <w:rStyle w:val="FootnoteReference"/>
          <w:rFonts w:asciiTheme="minorHAnsi" w:hAnsiTheme="minorHAnsi" w:cstheme="minorHAnsi"/>
          <w:szCs w:val="18"/>
          <w:rtl/>
        </w:rPr>
        <w:footnoteRef/>
      </w:r>
      <w:r w:rsidRPr="009A7E73">
        <w:rPr>
          <w:rFonts w:asciiTheme="minorHAnsi" w:hAnsiTheme="minorHAnsi" w:cstheme="minorHAnsi"/>
          <w:szCs w:val="18"/>
          <w:rtl/>
        </w:rPr>
        <w:tab/>
        <w:t>أدار المركز حتى الآن 18 قضية براءات وحق</w:t>
      </w:r>
      <w:r w:rsidR="008824AC">
        <w:rPr>
          <w:rFonts w:asciiTheme="minorHAnsi" w:hAnsiTheme="minorHAnsi" w:cstheme="minorHAnsi" w:hint="cs"/>
          <w:szCs w:val="18"/>
          <w:rtl/>
        </w:rPr>
        <w:t xml:space="preserve"> المؤلف</w:t>
      </w:r>
      <w:r w:rsidRPr="009A7E73">
        <w:rPr>
          <w:rFonts w:asciiTheme="minorHAnsi" w:hAnsiTheme="minorHAnsi" w:cstheme="minorHAnsi"/>
          <w:szCs w:val="18"/>
          <w:rtl/>
        </w:rPr>
        <w:t xml:space="preserve"> وعلامات تجارية وتصاميم صناعية ومنافسة غير عادلة أُحيلت في إطار هذا البرنامج، شملت أطرافًا من إحدى عشرة ولاية قضائية في آسيا وأوروبا وأمريكا الشمالية.</w:t>
      </w:r>
    </w:p>
  </w:footnote>
  <w:footnote w:id="9">
    <w:p w14:paraId="08C8B46F" w14:textId="2C62205D" w:rsidR="00FC2BAA" w:rsidRPr="009A7E73" w:rsidRDefault="00FC2BAA">
      <w:pPr>
        <w:pStyle w:val="FootnoteText"/>
        <w:rPr>
          <w:rFonts w:asciiTheme="minorHAnsi" w:hAnsiTheme="minorHAnsi" w:cstheme="minorHAnsi"/>
          <w:szCs w:val="18"/>
        </w:rPr>
      </w:pPr>
      <w:r w:rsidRPr="009A7E73">
        <w:rPr>
          <w:rStyle w:val="FootnoteReference"/>
          <w:rFonts w:asciiTheme="minorHAnsi" w:hAnsiTheme="minorHAnsi" w:cstheme="minorHAnsi"/>
          <w:szCs w:val="18"/>
          <w:rtl/>
        </w:rPr>
        <w:footnoteRef/>
      </w:r>
      <w:r w:rsidRPr="009A7E73">
        <w:rPr>
          <w:rFonts w:asciiTheme="minorHAnsi" w:hAnsiTheme="minorHAnsi" w:cstheme="minorHAnsi"/>
          <w:szCs w:val="18"/>
          <w:rtl/>
        </w:rPr>
        <w:tab/>
        <w:t>ساعد المركز حتى الآن في الإدارة المشتركة لحوالي 28 قضية وساطة تتعلق بأطراف من جمهورية تنزانيا المتحدة، بالإضافة إلى عدد من الولايات القضائية الأخرى في أفريقيا وآسيا وأوروبا وأمريكا الشمالية.</w:t>
      </w:r>
    </w:p>
  </w:footnote>
  <w:footnote w:id="10">
    <w:p w14:paraId="74852E3C" w14:textId="6804FBDC" w:rsidR="00FC2BAA" w:rsidRPr="009A7E73" w:rsidRDefault="00FC2BAA" w:rsidP="00FC2BAA">
      <w:pPr>
        <w:pStyle w:val="FootnoteText"/>
        <w:rPr>
          <w:rFonts w:asciiTheme="minorHAnsi" w:hAnsiTheme="minorHAnsi" w:cstheme="minorHAnsi"/>
          <w:szCs w:val="18"/>
        </w:rPr>
      </w:pPr>
      <w:r w:rsidRPr="009A7E73">
        <w:rPr>
          <w:rStyle w:val="FootnoteReference"/>
          <w:rFonts w:asciiTheme="minorHAnsi" w:hAnsiTheme="minorHAnsi" w:cstheme="minorHAnsi"/>
          <w:szCs w:val="18"/>
          <w:rtl/>
        </w:rPr>
        <w:footnoteRef/>
      </w:r>
      <w:r w:rsidRPr="009A7E73">
        <w:rPr>
          <w:rFonts w:asciiTheme="minorHAnsi" w:hAnsiTheme="minorHAnsi" w:cstheme="minorHAnsi"/>
          <w:szCs w:val="18"/>
          <w:rtl/>
        </w:rPr>
        <w:tab/>
        <w:t xml:space="preserve">في ضوء التطورات التشريعية الأخيرة في الاتحاد الأوروبي المتعلقة بالمحتوى غير القانوني الموجود على منصات الإنترنت، والتي تشمل قضايا تتعلق بالملكية الفكرية، قام المركز بتكييف قواعد الويبو </w:t>
      </w:r>
      <w:r w:rsidR="008824AC">
        <w:rPr>
          <w:rFonts w:asciiTheme="minorHAnsi" w:hAnsiTheme="minorHAnsi" w:cstheme="minorHAnsi" w:hint="cs"/>
          <w:szCs w:val="18"/>
          <w:rtl/>
        </w:rPr>
        <w:t>لقرارات</w:t>
      </w:r>
      <w:r w:rsidRPr="009A7E73">
        <w:rPr>
          <w:rFonts w:asciiTheme="minorHAnsi" w:hAnsiTheme="minorHAnsi" w:cstheme="minorHAnsi"/>
          <w:szCs w:val="18"/>
          <w:rtl/>
        </w:rPr>
        <w:t xml:space="preserve"> الخبراء لمعالجة النزاعات المتعلقة بهذه الانتهاكات. ويغطي نطاق </w:t>
      </w:r>
      <w:r w:rsidR="008824AC">
        <w:rPr>
          <w:rFonts w:asciiTheme="minorHAnsi" w:hAnsiTheme="minorHAnsi" w:cstheme="minorHAnsi" w:hint="cs"/>
          <w:szCs w:val="18"/>
          <w:rtl/>
        </w:rPr>
        <w:t xml:space="preserve">تقارير </w:t>
      </w:r>
      <w:r w:rsidRPr="009A7E73">
        <w:rPr>
          <w:rFonts w:asciiTheme="minorHAnsi" w:hAnsiTheme="minorHAnsi" w:cstheme="minorHAnsi"/>
          <w:szCs w:val="18"/>
          <w:rtl/>
        </w:rPr>
        <w:t xml:space="preserve"> الخبراء </w:t>
      </w:r>
      <w:r w:rsidR="008824AC">
        <w:rPr>
          <w:rFonts w:asciiTheme="minorHAnsi" w:hAnsiTheme="minorHAnsi" w:cstheme="minorHAnsi" w:hint="cs"/>
          <w:szCs w:val="18"/>
          <w:rtl/>
        </w:rPr>
        <w:t>ل</w:t>
      </w:r>
      <w:r w:rsidR="008824AC" w:rsidRPr="009A7E73">
        <w:rPr>
          <w:rFonts w:asciiTheme="minorHAnsi" w:hAnsiTheme="minorHAnsi" w:cstheme="minorHAnsi"/>
          <w:szCs w:val="18"/>
          <w:rtl/>
        </w:rPr>
        <w:t xml:space="preserve">لويبو </w:t>
      </w:r>
      <w:r w:rsidRPr="009A7E73">
        <w:rPr>
          <w:rFonts w:asciiTheme="minorHAnsi" w:hAnsiTheme="minorHAnsi" w:cstheme="minorHAnsi"/>
          <w:szCs w:val="18"/>
          <w:rtl/>
        </w:rPr>
        <w:t>بشأن التعدي على حق</w:t>
      </w:r>
      <w:r w:rsidR="008824AC">
        <w:rPr>
          <w:rFonts w:asciiTheme="minorHAnsi" w:hAnsiTheme="minorHAnsi" w:cstheme="minorHAnsi" w:hint="cs"/>
          <w:szCs w:val="18"/>
          <w:rtl/>
        </w:rPr>
        <w:t xml:space="preserve"> المؤلف </w:t>
      </w:r>
      <w:r w:rsidRPr="009A7E73">
        <w:rPr>
          <w:rFonts w:asciiTheme="minorHAnsi" w:hAnsiTheme="minorHAnsi" w:cstheme="minorHAnsi"/>
          <w:szCs w:val="18"/>
          <w:rtl/>
        </w:rPr>
        <w:t xml:space="preserve">والعلامات التجارية (قواعد الويبو </w:t>
      </w:r>
      <w:r w:rsidR="008824AC">
        <w:rPr>
          <w:rFonts w:asciiTheme="minorHAnsi" w:hAnsiTheme="minorHAnsi" w:cstheme="minorHAnsi" w:hint="cs"/>
          <w:szCs w:val="18"/>
          <w:rtl/>
        </w:rPr>
        <w:t>لتقارير</w:t>
      </w:r>
      <w:r w:rsidRPr="009A7E73">
        <w:rPr>
          <w:rFonts w:asciiTheme="minorHAnsi" w:hAnsiTheme="minorHAnsi" w:cstheme="minorHAnsi"/>
          <w:szCs w:val="18"/>
          <w:rtl/>
        </w:rPr>
        <w:t xml:space="preserve"> الخبراء) النزاعات بين المستخدمين وأصحاب حق</w:t>
      </w:r>
      <w:r w:rsidR="008824AC">
        <w:rPr>
          <w:rFonts w:asciiTheme="minorHAnsi" w:hAnsiTheme="minorHAnsi" w:cstheme="minorHAnsi" w:hint="cs"/>
          <w:szCs w:val="18"/>
          <w:rtl/>
        </w:rPr>
        <w:t xml:space="preserve"> المؤلف</w:t>
      </w:r>
      <w:r w:rsidRPr="009A7E73">
        <w:rPr>
          <w:rFonts w:asciiTheme="minorHAnsi" w:hAnsiTheme="minorHAnsi" w:cstheme="minorHAnsi"/>
          <w:szCs w:val="18"/>
          <w:rtl/>
        </w:rPr>
        <w:t xml:space="preserve"> أو العلامات التجارية، والمنصات الإلكترونية.  ويشكل </w:t>
      </w:r>
      <w:hyperlink r:id="rId7" w:history="1">
        <w:r w:rsidRPr="009A7E73">
          <w:rPr>
            <w:rStyle w:val="Hyperlink"/>
            <w:rFonts w:asciiTheme="minorHAnsi" w:hAnsiTheme="minorHAnsi" w:cstheme="minorHAnsi"/>
            <w:szCs w:val="18"/>
            <w:rtl/>
          </w:rPr>
          <w:t xml:space="preserve">إجراء تسوية المنازعات </w:t>
        </w:r>
      </w:hyperlink>
      <w:r w:rsidRPr="009A7E73">
        <w:rPr>
          <w:rFonts w:asciiTheme="minorHAnsi" w:hAnsiTheme="minorHAnsi" w:cstheme="minorHAnsi"/>
          <w:szCs w:val="18"/>
          <w:rtl/>
        </w:rPr>
        <w:t>هذا جزءًا من عملية متعددة المستويات تشمل الإجراءات الداخلية التي تتيحها المنصات الإلكترونية، وتترك الخيار مفتوحًا لعرض المنازعات على المحاكم.</w:t>
      </w:r>
    </w:p>
  </w:footnote>
  <w:footnote w:id="11">
    <w:p w14:paraId="22FEA0A2" w14:textId="5B96E381" w:rsidR="008824AC" w:rsidRPr="008824AC" w:rsidRDefault="00C54079" w:rsidP="008824AC">
      <w:pPr>
        <w:pStyle w:val="FootnoteText"/>
      </w:pPr>
      <w:r w:rsidRPr="009A7E73">
        <w:rPr>
          <w:rStyle w:val="FootnoteReference"/>
          <w:rFonts w:asciiTheme="minorHAnsi" w:hAnsiTheme="minorHAnsi" w:cstheme="minorHAnsi"/>
          <w:szCs w:val="18"/>
          <w:rtl/>
        </w:rPr>
        <w:footnoteRef/>
      </w:r>
      <w:r w:rsidRPr="009A7E73">
        <w:rPr>
          <w:rFonts w:asciiTheme="minorHAnsi" w:hAnsiTheme="minorHAnsi" w:cstheme="minorHAnsi"/>
          <w:szCs w:val="18"/>
          <w:rtl/>
        </w:rPr>
        <w:tab/>
        <w:t xml:space="preserve">يجوز للأطراف المؤهلين في إطار برنامج الوساطة المعزز للوساطة في المنازعات المتعلقة بالملكية الفكرية أو التكنولوجيا أو المفاوضات بشأن العقود.  ويمكن الاطلاع على ملخصات لأمثلة الحالات على </w:t>
      </w:r>
      <w:hyperlink r:id="rId8" w:history="1">
        <w:r w:rsidR="0091281C">
          <w:rPr>
            <w:rStyle w:val="Hyperlink"/>
          </w:rPr>
          <w:t>https://isomer-user-content.by.gov.sg/61/51abcc4e-78e9-40d2-acea-894f1b81f528/Mediation Cases.pdf</w:t>
        </w:r>
      </w:hyperlink>
      <w:r w:rsidR="008824AC" w:rsidRPr="00C54079">
        <w:t>;</w:t>
      </w:r>
      <w:r w:rsidRPr="009A7E73">
        <w:rPr>
          <w:rFonts w:asciiTheme="minorHAnsi" w:hAnsiTheme="minorHAnsi" w:cstheme="minorHAnsi"/>
          <w:szCs w:val="18"/>
          <w:rtl/>
        </w:rPr>
        <w:t>ولمزيد من المعلومات عن</w:t>
      </w:r>
      <w:r w:rsidRPr="008824AC">
        <w:rPr>
          <w:rFonts w:asciiTheme="minorHAnsi" w:hAnsiTheme="minorHAnsi" w:cstheme="minorHAnsi"/>
          <w:szCs w:val="18"/>
          <w:rtl/>
        </w:rPr>
        <w:t xml:space="preserve"> برنامج </w:t>
      </w:r>
      <w:r w:rsidR="008824AC" w:rsidRPr="008824AC">
        <w:rPr>
          <w:rFonts w:asciiTheme="minorHAnsi" w:hAnsiTheme="minorHAnsi" w:cstheme="minorHAnsi"/>
          <w:szCs w:val="18"/>
        </w:rPr>
        <w:t xml:space="preserve"> </w:t>
      </w:r>
      <w:hyperlink r:id="rId9">
        <w:r w:rsidR="008824AC" w:rsidRPr="008824AC">
          <w:rPr>
            <w:rFonts w:asciiTheme="minorHAnsi" w:hAnsiTheme="minorHAnsi" w:cstheme="minorHAnsi"/>
            <w:color w:val="0000FF" w:themeColor="hyperlink"/>
            <w:szCs w:val="18"/>
            <w:u w:val="single"/>
          </w:rPr>
          <w:t>WIPO-ASEAN Mediation Programme (AMP+).</w:t>
        </w:r>
      </w:hyperlink>
    </w:p>
    <w:p w14:paraId="30197C52" w14:textId="1D652B90" w:rsidR="00C54079" w:rsidRPr="008824AC" w:rsidRDefault="00C54079" w:rsidP="00C54079">
      <w:pPr>
        <w:pStyle w:val="FootnoteText"/>
        <w:rPr>
          <w:rFonts w:asciiTheme="minorHAnsi" w:hAnsiTheme="minorHAnsi" w:cstheme="minorHAnsi"/>
          <w:sz w:val="20"/>
        </w:rPr>
      </w:pPr>
    </w:p>
  </w:footnote>
  <w:footnote w:id="12">
    <w:p w14:paraId="5CC3248A" w14:textId="123454C0" w:rsidR="00C54079" w:rsidRPr="00C54079" w:rsidRDefault="00C54079" w:rsidP="00C54079">
      <w:pPr>
        <w:pStyle w:val="FootnoteText"/>
      </w:pPr>
      <w:r w:rsidRPr="009A7E73">
        <w:rPr>
          <w:rStyle w:val="FootnoteReference"/>
          <w:rFonts w:asciiTheme="minorHAnsi" w:hAnsiTheme="minorHAnsi" w:cstheme="minorHAnsi"/>
          <w:szCs w:val="18"/>
          <w:rtl/>
        </w:rPr>
        <w:footnoteRef/>
      </w:r>
      <w:r w:rsidR="0091281C">
        <w:rPr>
          <w:rFonts w:asciiTheme="minorHAnsi" w:hAnsiTheme="minorHAnsi" w:cstheme="minorHAnsi"/>
          <w:szCs w:val="18"/>
        </w:rPr>
        <w:tab/>
      </w:r>
      <w:r w:rsidRPr="009A7E73">
        <w:rPr>
          <w:rFonts w:asciiTheme="minorHAnsi" w:hAnsiTheme="minorHAnsi" w:cstheme="minorHAnsi"/>
          <w:szCs w:val="18"/>
          <w:rtl/>
        </w:rPr>
        <w:t xml:space="preserve">انظر </w:t>
      </w:r>
      <w:r w:rsidR="00D44ABD">
        <w:rPr>
          <w:rFonts w:asciiTheme="minorHAnsi" w:hAnsiTheme="minorHAnsi" w:cstheme="minorHAnsi" w:hint="cs"/>
          <w:szCs w:val="18"/>
          <w:rtl/>
        </w:rPr>
        <w:t>:</w:t>
      </w:r>
      <w:hyperlink r:id="rId10" w:history="1">
        <w:r w:rsidR="0091281C" w:rsidRPr="0091281C">
          <w:rPr>
            <w:rStyle w:val="Hyperlink"/>
            <w:rFonts w:asciiTheme="minorHAnsi" w:hAnsiTheme="minorHAnsi" w:cstheme="minorHAnsi"/>
            <w:szCs w:val="18"/>
          </w:rPr>
          <w:t>https://www.wipo.int/amc/en/docs/2022/wipo_adr_options_for_frand_disputes_management_resolution.pdf</w:t>
        </w:r>
      </w:hyperlink>
      <w:r w:rsidRPr="009A7E73">
        <w:rPr>
          <w:rFonts w:asciiTheme="minorHAnsi" w:eastAsia="Simplified Arabic" w:hAnsiTheme="minorHAnsi" w:cstheme="minorHAnsi"/>
          <w:szCs w:val="18"/>
          <w:rtl/>
        </w:rPr>
        <w:t xml:space="preserve">. </w:t>
      </w:r>
      <w:r w:rsidRPr="009A7E73">
        <w:rPr>
          <w:rFonts w:asciiTheme="minorHAnsi" w:hAnsiTheme="minorHAnsi" w:cstheme="minorHAnsi"/>
          <w:color w:val="000000" w:themeColor="text1"/>
          <w:szCs w:val="18"/>
          <w:rtl/>
        </w:rPr>
        <w:t>يسعى هذا المنشور إلى مساعدة الأطراف والمحايدين على فهم الخيارات المتاحة لتسوية المنازعات والاستفادة منها بشكل أفضل عند التفاوض أو صياغة اتفاقيات الترخيص القائمة على مبدأ المعاملة بالمثل FRAND.  وهو يغطي العناصر الرئيسية التي قد ترغب الأطراف في النظر فيها لتشكيل عملية تسوية المنازعات، لا سيما لمعالجة محافظ البراءات المملوكة بالتجزئة الكبيرة في قطاعات الاتصالات وإنترنت الأشياء والتنقل المتصل، وإدارة الوقت وتكلفة الإجراءات.  كما تم تضمين اتفاقيات التقديم النموذجية المصممة خصيصًا.</w:t>
      </w:r>
      <w:r w:rsidRPr="00C54079">
        <w:rPr>
          <w:rtl/>
        </w:rPr>
        <w:t xml:space="preserve"> </w:t>
      </w:r>
    </w:p>
  </w:footnote>
  <w:footnote w:id="13">
    <w:p w14:paraId="455D984D" w14:textId="38C3476A" w:rsidR="00C54079" w:rsidRPr="00C54079" w:rsidRDefault="00C54079" w:rsidP="00C54079">
      <w:pPr>
        <w:pStyle w:val="FootnoteText"/>
      </w:pPr>
      <w:r w:rsidRPr="00C54079">
        <w:rPr>
          <w:rStyle w:val="FootnoteReference"/>
          <w:rtl/>
        </w:rPr>
        <w:footnoteRef/>
      </w:r>
      <w:r w:rsidRPr="00C54079">
        <w:rPr>
          <w:szCs w:val="18"/>
          <w:rtl/>
        </w:rPr>
        <w:tab/>
      </w:r>
      <w:r w:rsidRPr="00CD5E20">
        <w:rPr>
          <w:rFonts w:asciiTheme="minorHAnsi" w:hAnsiTheme="minorHAnsi" w:cstheme="minorHAnsi"/>
          <w:szCs w:val="18"/>
          <w:rtl/>
        </w:rPr>
        <w:t xml:space="preserve">يلاحظ المركز تنامي استخدام أصحاب المصلحة في مجال علوم الحياة </w:t>
      </w:r>
      <w:r w:rsidR="00CD5E20">
        <w:rPr>
          <w:rFonts w:asciiTheme="minorHAnsi" w:hAnsiTheme="minorHAnsi" w:cstheme="minorHAnsi" w:hint="cs"/>
          <w:szCs w:val="18"/>
          <w:rtl/>
        </w:rPr>
        <w:t>ل</w:t>
      </w:r>
      <w:r w:rsidR="008D4D5B">
        <w:rPr>
          <w:rFonts w:asciiTheme="minorHAnsi" w:hAnsiTheme="minorHAnsi" w:cstheme="minorHAnsi" w:hint="cs"/>
          <w:szCs w:val="18"/>
          <w:rtl/>
        </w:rPr>
        <w:t>بنود</w:t>
      </w:r>
      <w:r w:rsidRPr="00CD5E20">
        <w:rPr>
          <w:rFonts w:asciiTheme="minorHAnsi" w:hAnsiTheme="minorHAnsi" w:cstheme="minorHAnsi"/>
          <w:szCs w:val="18"/>
          <w:rtl/>
        </w:rPr>
        <w:t xml:space="preserve"> الويبو للوساطة والتحكيم من قبل أصحاب المصلحة في مجال علوم الحياة.  فعلى سبيل المثال، أدرجت خيارات الويبو للوساطة والتحكيم في أكثر من 75 اتفاق ترخيص وترخيص من الباطن أبرمها مجمع براءات اختراع الأدوية مع المرخص لهم في نحو 25 ولاية قضائية، انظر </w:t>
      </w:r>
      <w:hyperlink r:id="rId11" w:history="1">
        <w:r w:rsidR="00B15F31" w:rsidRPr="0091281C">
          <w:rPr>
            <w:rStyle w:val="Hyperlink"/>
            <w:rFonts w:asciiTheme="minorHAnsi" w:hAnsiTheme="minorHAnsi" w:cstheme="minorHAnsi"/>
            <w:szCs w:val="18"/>
            <w:rtl/>
          </w:rPr>
          <w:t>https://medicinespatentpool.org/progress-achievements/licences</w:t>
        </w:r>
      </w:hyperlink>
      <w:r w:rsidR="00B15F31" w:rsidRPr="00CD5E20">
        <w:rPr>
          <w:rFonts w:asciiTheme="minorHAnsi" w:hAnsiTheme="minorHAnsi" w:cstheme="minorHAnsi"/>
          <w:szCs w:val="18"/>
          <w:rtl/>
        </w:rPr>
        <w:t>.</w:t>
      </w:r>
      <w:r w:rsidRPr="00C54079">
        <w:rPr>
          <w:rtl/>
        </w:rPr>
        <w:t xml:space="preserve">  </w:t>
      </w:r>
    </w:p>
  </w:footnote>
  <w:footnote w:id="14">
    <w:p w14:paraId="6B7B7587" w14:textId="7C00529F" w:rsidR="00C54079" w:rsidRPr="00325569" w:rsidRDefault="00C54079" w:rsidP="00C54079">
      <w:pPr>
        <w:pStyle w:val="ListParagraph"/>
        <w:widowControl w:val="0"/>
        <w:spacing w:after="240"/>
        <w:ind w:left="0"/>
        <w:contextualSpacing w:val="0"/>
        <w:rPr>
          <w:rFonts w:asciiTheme="minorHAnsi" w:eastAsia="SimSun" w:hAnsiTheme="minorHAnsi" w:cstheme="minorHAnsi"/>
          <w:sz w:val="18"/>
          <w:szCs w:val="18"/>
          <w:lang w:eastAsia="zh-CN"/>
        </w:rPr>
      </w:pPr>
      <w:r w:rsidRPr="00325569">
        <w:rPr>
          <w:rStyle w:val="FootnoteReference"/>
          <w:rFonts w:asciiTheme="minorHAnsi" w:hAnsiTheme="minorHAnsi" w:cstheme="minorHAnsi"/>
          <w:sz w:val="18"/>
          <w:szCs w:val="18"/>
          <w:rtl/>
        </w:rPr>
        <w:footnoteRef/>
      </w:r>
      <w:r w:rsidRPr="00325569">
        <w:rPr>
          <w:rFonts w:asciiTheme="minorHAnsi" w:hAnsiTheme="minorHAnsi" w:cstheme="minorHAnsi"/>
          <w:rtl/>
        </w:rPr>
        <w:tab/>
      </w:r>
      <w:r w:rsidRPr="00325569">
        <w:rPr>
          <w:rFonts w:asciiTheme="minorHAnsi" w:eastAsia="Simplified Arabic" w:hAnsiTheme="minorHAnsi" w:cstheme="minorHAnsi"/>
          <w:sz w:val="18"/>
          <w:szCs w:val="18"/>
          <w:rtl/>
          <w:lang w:eastAsia="zh-CN"/>
        </w:rPr>
        <w:t>في عام 2024، قدم</w:t>
      </w:r>
      <w:r w:rsidR="003D2C18">
        <w:rPr>
          <w:rFonts w:asciiTheme="minorHAnsi" w:eastAsia="Simplified Arabic" w:hAnsiTheme="minorHAnsi" w:cstheme="minorHAnsi" w:hint="cs"/>
          <w:sz w:val="18"/>
          <w:szCs w:val="18"/>
          <w:rtl/>
          <w:lang w:eastAsia="zh-CN"/>
        </w:rPr>
        <w:t>ت</w:t>
      </w:r>
      <w:r w:rsidRPr="00325569">
        <w:rPr>
          <w:rFonts w:asciiTheme="minorHAnsi" w:eastAsia="Simplified Arabic" w:hAnsiTheme="minorHAnsi" w:cstheme="minorHAnsi"/>
          <w:sz w:val="18"/>
          <w:szCs w:val="18"/>
          <w:rtl/>
          <w:lang w:eastAsia="zh-CN"/>
        </w:rPr>
        <w:t xml:space="preserve"> </w:t>
      </w:r>
      <w:r w:rsidR="003D2C18" w:rsidRPr="003D2C18">
        <w:rPr>
          <w:rFonts w:asciiTheme="minorHAnsi" w:eastAsia="Simplified Arabic" w:hAnsiTheme="minorHAnsi" w:cstheme="minorHAnsi"/>
          <w:sz w:val="18"/>
          <w:szCs w:val="18"/>
          <w:rtl/>
          <w:lang w:eastAsia="zh-CN"/>
        </w:rPr>
        <w:t xml:space="preserve">هيئة الأعمال والملكية الفكرية في ناميبيا </w:t>
      </w:r>
      <w:r w:rsidR="003D2C18">
        <w:rPr>
          <w:rFonts w:asciiTheme="minorHAnsi" w:eastAsia="Simplified Arabic" w:hAnsiTheme="minorHAnsi" w:cstheme="minorHAnsi" w:hint="cs"/>
          <w:sz w:val="18"/>
          <w:szCs w:val="18"/>
          <w:rtl/>
          <w:lang w:eastAsia="zh-CN"/>
        </w:rPr>
        <w:t>اقتراح أجندة التنمية للويبو</w:t>
      </w:r>
      <w:r w:rsidRPr="00325569">
        <w:rPr>
          <w:rFonts w:asciiTheme="minorHAnsi" w:eastAsia="Simplified Arabic" w:hAnsiTheme="minorHAnsi" w:cstheme="minorHAnsi"/>
          <w:sz w:val="18"/>
          <w:szCs w:val="18"/>
          <w:rtl/>
          <w:lang w:eastAsia="zh-CN"/>
        </w:rPr>
        <w:t xml:space="preserve"> إلى لجنة التنمية لدعم أربعة بلدان في تنفيذ برنامج الإدارة المشتركة. وقد وافقت الدول الأعضاء في الويبو على هذا الاقتراح، ويجري العمل على تنفيذه.</w:t>
      </w:r>
    </w:p>
  </w:footnote>
  <w:footnote w:id="15">
    <w:p w14:paraId="343B6842" w14:textId="39D52362" w:rsidR="00C54079" w:rsidRPr="00325569" w:rsidRDefault="00C54079" w:rsidP="00C54079">
      <w:pPr>
        <w:pStyle w:val="FootnoteText"/>
        <w:rPr>
          <w:rFonts w:asciiTheme="minorHAnsi" w:hAnsiTheme="minorHAnsi" w:cstheme="minorHAnsi"/>
          <w:szCs w:val="18"/>
        </w:rPr>
      </w:pPr>
      <w:r w:rsidRPr="00325569">
        <w:rPr>
          <w:rStyle w:val="FootnoteReference"/>
          <w:rFonts w:asciiTheme="minorHAnsi" w:hAnsiTheme="minorHAnsi" w:cstheme="minorHAnsi"/>
          <w:szCs w:val="18"/>
          <w:rtl/>
        </w:rPr>
        <w:footnoteRef/>
      </w:r>
      <w:r w:rsidRPr="00325569">
        <w:rPr>
          <w:rFonts w:asciiTheme="minorHAnsi" w:hAnsiTheme="minorHAnsi" w:cstheme="minorHAnsi"/>
          <w:szCs w:val="18"/>
          <w:rtl/>
        </w:rPr>
        <w:tab/>
        <w:t xml:space="preserve">المنظمة الإقليمية الأفريقية للملكية الفكرية في أفريقيا (ARIPO)، ومكتب بليز للملكية الفكرية (BELIPO)، ووزارة الثقافة في البرازيل، ومكتب الملكية الفكرية الكندي (CIPO)، ومحكمة الشعب العليا في تشونغتشينغ (الصين)، ومحكمة الشعب العليا في سيتشوان (الصين) ومكتب الملكية الفكرية في أيرلندا، والمحكمة الفيدرالية للقضاء الإداري في المكسيك، ومحكمة </w:t>
      </w:r>
      <w:r w:rsidR="00264B65" w:rsidRPr="00325569">
        <w:rPr>
          <w:rFonts w:asciiTheme="minorHAnsi" w:hAnsiTheme="minorHAnsi" w:cstheme="minorHAnsi"/>
          <w:szCs w:val="18"/>
          <w:rtl/>
        </w:rPr>
        <w:t>قطر</w:t>
      </w:r>
      <w:r w:rsidRPr="00325569">
        <w:rPr>
          <w:rFonts w:asciiTheme="minorHAnsi" w:hAnsiTheme="minorHAnsi" w:cstheme="minorHAnsi"/>
          <w:szCs w:val="18"/>
          <w:rtl/>
        </w:rPr>
        <w:t xml:space="preserve"> الدولية ومركز تسوية المنازعات، ومكتب خدمات التسجيل في أوغندا، ودائرة الملكية الفكرية المستقلة في فنزويلا. </w:t>
      </w:r>
    </w:p>
  </w:footnote>
  <w:footnote w:id="16">
    <w:p w14:paraId="1217ABBC" w14:textId="740402FE" w:rsidR="007B26E5" w:rsidRPr="00C54079" w:rsidRDefault="007B26E5" w:rsidP="007B26E5">
      <w:pPr>
        <w:pStyle w:val="FootnoteText"/>
        <w:rPr>
          <w:szCs w:val="18"/>
        </w:rPr>
      </w:pPr>
      <w:r w:rsidRPr="00325569">
        <w:rPr>
          <w:rStyle w:val="FootnoteReference"/>
          <w:rFonts w:asciiTheme="minorHAnsi" w:hAnsiTheme="minorHAnsi" w:cstheme="minorHAnsi"/>
          <w:szCs w:val="18"/>
          <w:rtl/>
        </w:rPr>
        <w:footnoteRef/>
      </w:r>
      <w:r w:rsidRPr="00325569">
        <w:rPr>
          <w:rFonts w:asciiTheme="minorHAnsi" w:hAnsiTheme="minorHAnsi" w:cstheme="minorHAnsi"/>
          <w:szCs w:val="18"/>
          <w:rtl/>
        </w:rPr>
        <w:tab/>
      </w:r>
      <w:r w:rsidR="002847B6" w:rsidRPr="002847B6">
        <w:rPr>
          <w:rFonts w:asciiTheme="minorHAnsi" w:hAnsiTheme="minorHAnsi" w:cs="Calibri"/>
          <w:szCs w:val="18"/>
          <w:rtl/>
        </w:rPr>
        <w:t xml:space="preserve">توجد مكاتب ومحاكم الملكية الفكرية </w:t>
      </w:r>
      <w:r w:rsidR="002847B6">
        <w:rPr>
          <w:rFonts w:asciiTheme="minorHAnsi" w:hAnsiTheme="minorHAnsi" w:cs="Calibri" w:hint="cs"/>
          <w:szCs w:val="18"/>
          <w:rtl/>
        </w:rPr>
        <w:t>تلك</w:t>
      </w:r>
      <w:r w:rsidR="002847B6" w:rsidRPr="002847B6">
        <w:rPr>
          <w:rFonts w:asciiTheme="minorHAnsi" w:hAnsiTheme="minorHAnsi" w:cs="Calibri"/>
          <w:szCs w:val="18"/>
          <w:rtl/>
        </w:rPr>
        <w:t xml:space="preserve"> في المنظمة الإقليمية الأفريقية للملكية الفكرية (</w:t>
      </w:r>
      <w:r w:rsidR="002847B6" w:rsidRPr="002847B6">
        <w:rPr>
          <w:rFonts w:asciiTheme="minorHAnsi" w:hAnsiTheme="minorHAnsi" w:cstheme="minorHAnsi"/>
          <w:szCs w:val="18"/>
        </w:rPr>
        <w:t>ARIPO</w:t>
      </w:r>
      <w:r w:rsidR="002847B6" w:rsidRPr="002847B6">
        <w:rPr>
          <w:rFonts w:asciiTheme="minorHAnsi" w:hAnsiTheme="minorHAnsi" w:cs="Calibri"/>
          <w:szCs w:val="18"/>
          <w:rtl/>
        </w:rPr>
        <w:t>)، وألبانيا، والجزائر، والأرجنتين، وأستراليا، والنمسا، وبيلاروس، وبليز، وبوتسوانا، والبرازيل، وبلغاريا، وكندا، وشيلي، والصين، وكولومبيا، وكوستاريكا، وكوبا</w:t>
      </w:r>
      <w:r w:rsidR="002847B6">
        <w:rPr>
          <w:rFonts w:asciiTheme="minorHAnsi" w:hAnsiTheme="minorHAnsi" w:cs="Calibri" w:hint="cs"/>
          <w:szCs w:val="18"/>
          <w:rtl/>
        </w:rPr>
        <w:t>،</w:t>
      </w:r>
      <w:r w:rsidRPr="00325569">
        <w:rPr>
          <w:rFonts w:asciiTheme="minorHAnsi" w:hAnsiTheme="minorHAnsi" w:cstheme="minorHAnsi"/>
          <w:szCs w:val="18"/>
          <w:rtl/>
        </w:rPr>
        <w:t xml:space="preserve">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جمهورية التشيك،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الجمهورية التشيكية،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الجمهورية الدومينيكية،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إكوادور،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مصر،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السلفادور،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المنظمة الأوروبية الآسيوية لبراءات الاختراع،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فرنسا،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جورجيا،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اليونان،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غواتيمالا،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هنغاريا،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الهند،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إندونيسيا،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أيرلندا،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إسرائيل،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إيطاليا،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كازاخستان،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كينيا،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جمهورية كوريا،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قيرغيزستان، </w:t>
      </w:r>
      <w:r w:rsidR="002847B6">
        <w:rPr>
          <w:rFonts w:asciiTheme="minorHAnsi" w:hAnsiTheme="minorHAnsi" w:cstheme="minorHAnsi" w:hint="cs"/>
          <w:szCs w:val="18"/>
          <w:rtl/>
        </w:rPr>
        <w:t>و</w:t>
      </w:r>
      <w:r w:rsidRPr="00325569">
        <w:rPr>
          <w:rFonts w:asciiTheme="minorHAnsi" w:hAnsiTheme="minorHAnsi" w:cstheme="minorHAnsi"/>
          <w:szCs w:val="18"/>
          <w:rtl/>
        </w:rPr>
        <w:t xml:space="preserve">جمهورية لاو الديمقراطية الشعبية وليتوانيا والمكسيك والمغرب والمكسيك وناميبيا ونيجيريا ونيوزيلندا وباراغواي ومكتب براءات الاختراع التابع لمجلس التعاون لدول الخليج العربية (مكتب براءات الاختراع لدول مجلس التعاون الخليجي) وبيرو والفلبين وبولندا والفلبين ورومانيا وقطر والاتحاد الروسي والمملكة العربية السعودية والمملكة العربية السعودية وصربيا وسنغافورة وسلوفاكيا وإسبانيا وسويسرا </w:t>
      </w:r>
      <w:r w:rsidRPr="00325569">
        <w:rPr>
          <w:rFonts w:asciiTheme="minorHAnsi" w:hAnsiTheme="minorHAnsi" w:cstheme="minorHAnsi"/>
          <w:szCs w:val="18"/>
          <w:shd w:val="clear" w:color="auto" w:fill="FFFFFF" w:themeFill="background1"/>
          <w:rtl/>
        </w:rPr>
        <w:t xml:space="preserve">وتايلاند وترينيداد وتوباغو وتركيّا </w:t>
      </w:r>
      <w:r w:rsidR="00722CB8" w:rsidRPr="00325569">
        <w:rPr>
          <w:rFonts w:asciiTheme="minorHAnsi" w:hAnsiTheme="minorHAnsi" w:cstheme="minorHAnsi"/>
          <w:szCs w:val="18"/>
          <w:shd w:val="clear" w:color="auto" w:fill="FFFFFF" w:themeFill="background1"/>
          <w:rtl/>
        </w:rPr>
        <w:t xml:space="preserve">وجمهورية تنزانيا </w:t>
      </w:r>
      <w:r w:rsidR="00722CB8" w:rsidRPr="00325569">
        <w:rPr>
          <w:rFonts w:asciiTheme="minorHAnsi" w:hAnsiTheme="minorHAnsi" w:cstheme="minorHAnsi"/>
          <w:szCs w:val="18"/>
          <w:rtl/>
        </w:rPr>
        <w:t xml:space="preserve">المتحدة </w:t>
      </w:r>
      <w:r w:rsidRPr="00325569">
        <w:rPr>
          <w:rFonts w:asciiTheme="minorHAnsi" w:hAnsiTheme="minorHAnsi" w:cstheme="minorHAnsi"/>
          <w:szCs w:val="18"/>
          <w:shd w:val="clear" w:color="auto" w:fill="FFFFFF" w:themeFill="background1"/>
          <w:rtl/>
        </w:rPr>
        <w:t xml:space="preserve">والولايات المتحدة الأمريكية وأوروغواي وفنزويلا </w:t>
      </w:r>
      <w:r w:rsidR="009418BD" w:rsidRPr="00325569">
        <w:rPr>
          <w:rFonts w:asciiTheme="minorHAnsi" w:hAnsiTheme="minorHAnsi" w:cstheme="minorHAnsi"/>
          <w:szCs w:val="18"/>
          <w:shd w:val="clear" w:color="auto" w:fill="FFFFFF" w:themeFill="background1"/>
          <w:rtl/>
        </w:rPr>
        <w:t>(جمهورية البوليفارية)</w:t>
      </w:r>
      <w:r w:rsidRPr="00325569">
        <w:rPr>
          <w:rFonts w:asciiTheme="minorHAnsi" w:hAnsiTheme="minorHAnsi" w:cstheme="minorHAnsi"/>
          <w:szCs w:val="18"/>
          <w:shd w:val="clear" w:color="auto" w:fill="FFFFFF" w:themeFill="background1"/>
          <w:rtl/>
        </w:rPr>
        <w:t xml:space="preserve">.  </w:t>
      </w:r>
      <w:r w:rsidRPr="00E37671">
        <w:rPr>
          <w:rFonts w:asciiTheme="minorHAnsi" w:hAnsiTheme="minorHAnsi" w:cstheme="minorHAnsi"/>
          <w:szCs w:val="18"/>
          <w:rtl/>
        </w:rPr>
        <w:t xml:space="preserve">انظر </w:t>
      </w:r>
      <w:hyperlink r:id="rId12" w:history="1">
        <w:r w:rsidR="00E37671" w:rsidRPr="00E37671">
          <w:rPr>
            <w:rStyle w:val="Hyperlink"/>
            <w:rFonts w:asciiTheme="minorHAnsi" w:hAnsiTheme="minorHAnsi" w:cstheme="minorHAnsi"/>
            <w:szCs w:val="18"/>
          </w:rPr>
          <w:t>https://www.wipo.int/amc/en/center/specific-sectors/ipoffices</w:t>
        </w:r>
      </w:hyperlink>
    </w:p>
  </w:footnote>
  <w:footnote w:id="17">
    <w:p w14:paraId="661B8BCF" w14:textId="30C3140B" w:rsidR="00C54079" w:rsidRPr="002A5038" w:rsidRDefault="00C54079" w:rsidP="00C54079">
      <w:pPr>
        <w:pStyle w:val="FootnoteText"/>
        <w:rPr>
          <w:rFonts w:ascii="Calibri" w:hAnsi="Calibri" w:cs="Calibri"/>
          <w:szCs w:val="18"/>
        </w:rPr>
      </w:pPr>
      <w:r w:rsidRPr="002A5038">
        <w:rPr>
          <w:rStyle w:val="FootnoteReference"/>
          <w:rFonts w:ascii="Calibri" w:hAnsi="Calibri" w:cs="Calibri"/>
          <w:szCs w:val="18"/>
          <w:rtl/>
        </w:rPr>
        <w:footnoteRef/>
      </w:r>
      <w:r w:rsidRPr="002A5038">
        <w:rPr>
          <w:rFonts w:ascii="Calibri" w:hAnsi="Calibri" w:cs="Calibri"/>
          <w:szCs w:val="18"/>
          <w:rtl/>
        </w:rPr>
        <w:tab/>
        <w:t xml:space="preserve">خلال هذه الفترة، نظّم المركز دورات تدريبية وتوعوية في مجال </w:t>
      </w:r>
      <w:r w:rsidR="00207620">
        <w:rPr>
          <w:rFonts w:ascii="Calibri" w:hAnsi="Calibri" w:cs="Calibri" w:hint="cs"/>
          <w:szCs w:val="18"/>
          <w:rtl/>
        </w:rPr>
        <w:t>ال</w:t>
      </w:r>
      <w:r w:rsidRPr="002A5038">
        <w:rPr>
          <w:rFonts w:ascii="Calibri" w:hAnsi="Calibri" w:cs="Calibri"/>
          <w:szCs w:val="18"/>
          <w:rtl/>
        </w:rPr>
        <w:t xml:space="preserve">تسوية </w:t>
      </w:r>
      <w:r w:rsidR="00207620">
        <w:rPr>
          <w:rFonts w:ascii="Calibri" w:hAnsi="Calibri" w:cs="Calibri" w:hint="cs"/>
          <w:szCs w:val="18"/>
          <w:rtl/>
        </w:rPr>
        <w:t>البديلة ل</w:t>
      </w:r>
      <w:r w:rsidRPr="002A5038">
        <w:rPr>
          <w:rFonts w:ascii="Calibri" w:hAnsi="Calibri" w:cs="Calibri"/>
          <w:szCs w:val="18"/>
          <w:rtl/>
        </w:rPr>
        <w:t xml:space="preserve">لمنازعات </w:t>
      </w:r>
      <w:r w:rsidR="00207620">
        <w:rPr>
          <w:rFonts w:ascii="Calibri" w:hAnsi="Calibri" w:cs="Calibri" w:hint="cs"/>
          <w:szCs w:val="18"/>
          <w:rtl/>
        </w:rPr>
        <w:t xml:space="preserve">بالتعاون </w:t>
      </w:r>
      <w:r w:rsidRPr="002A5038">
        <w:rPr>
          <w:rFonts w:ascii="Calibri" w:hAnsi="Calibri" w:cs="Calibri"/>
          <w:szCs w:val="18"/>
          <w:rtl/>
        </w:rPr>
        <w:t>مع مكاتب ومحاكم الملكية الفكرية في</w:t>
      </w:r>
      <w:bookmarkStart w:id="6" w:name="_Hlk159948627"/>
      <w:r w:rsidRPr="002A5038">
        <w:rPr>
          <w:rFonts w:ascii="Calibri" w:hAnsi="Calibri" w:cs="Calibri"/>
          <w:szCs w:val="18"/>
          <w:rtl/>
        </w:rPr>
        <w:t xml:space="preserve"> الجزائر، والمنظمة الإقليمية الأفريقية للملكية الفكرية (ARIPO)، وأستراليا، وكندا، والصين، وكولومبيا، وكوبا، والجمهورية الدومينيكية، ومصر، وفرنسا، </w:t>
      </w:r>
      <w:r w:rsidR="00207620">
        <w:rPr>
          <w:rFonts w:ascii="Calibri" w:hAnsi="Calibri" w:cs="Calibri" w:hint="cs"/>
          <w:szCs w:val="18"/>
          <w:rtl/>
        </w:rPr>
        <w:t>و</w:t>
      </w:r>
      <w:r w:rsidRPr="002A5038">
        <w:rPr>
          <w:rFonts w:ascii="Calibri" w:hAnsi="Calibri" w:cs="Calibri"/>
          <w:szCs w:val="18"/>
          <w:rtl/>
        </w:rPr>
        <w:t xml:space="preserve">غواتيمالا، والهند، وكينيا، والمكسيك، وناميبيا، ونيجيريا، وباراغواي، وبولندا،، وبيرو، وقطر، وجمهورية كوريا، والمملكة العربية السعودية، وسنغافورة، وإسبانيا، وترينيداد وتوباغو، وتركيا، وأوكرانيا، </w:t>
      </w:r>
      <w:r w:rsidR="0009014E" w:rsidRPr="002A5038">
        <w:rPr>
          <w:rFonts w:ascii="Calibri" w:hAnsi="Calibri" w:cs="Calibri"/>
          <w:szCs w:val="18"/>
          <w:rtl/>
        </w:rPr>
        <w:t>والمملكة</w:t>
      </w:r>
      <w:r w:rsidRPr="002A5038">
        <w:rPr>
          <w:rFonts w:ascii="Calibri" w:hAnsi="Calibri" w:cs="Calibri"/>
          <w:szCs w:val="18"/>
          <w:rtl/>
        </w:rPr>
        <w:t xml:space="preserve"> </w:t>
      </w:r>
      <w:r w:rsidR="00B946DD" w:rsidRPr="002A5038">
        <w:rPr>
          <w:rFonts w:ascii="Calibri" w:hAnsi="Calibri" w:cs="Calibri"/>
          <w:szCs w:val="18"/>
          <w:rtl/>
        </w:rPr>
        <w:t xml:space="preserve">المتحدة، وجمهورية تنزانيا </w:t>
      </w:r>
      <w:r w:rsidRPr="002A5038">
        <w:rPr>
          <w:rFonts w:ascii="Calibri" w:hAnsi="Calibri" w:cs="Calibri"/>
          <w:szCs w:val="18"/>
          <w:rtl/>
        </w:rPr>
        <w:t xml:space="preserve">المتحدة، والولايات المتحدة الأمريكية. </w:t>
      </w:r>
      <w:bookmarkEnd w:id="6"/>
    </w:p>
  </w:footnote>
  <w:footnote w:id="18">
    <w:p w14:paraId="49CF6A40" w14:textId="7765EC44" w:rsidR="00C54079" w:rsidRPr="002A5038" w:rsidRDefault="00C54079" w:rsidP="00C54079">
      <w:pPr>
        <w:pStyle w:val="FootnoteText"/>
        <w:rPr>
          <w:rFonts w:ascii="Calibri" w:hAnsi="Calibri" w:cs="Calibri"/>
          <w:szCs w:val="18"/>
        </w:rPr>
      </w:pPr>
      <w:r w:rsidRPr="002A5038">
        <w:rPr>
          <w:rStyle w:val="FootnoteReference"/>
          <w:rFonts w:ascii="Calibri" w:hAnsi="Calibri" w:cs="Calibri"/>
          <w:szCs w:val="18"/>
          <w:rtl/>
        </w:rPr>
        <w:footnoteRef/>
      </w:r>
      <w:r w:rsidRPr="002A5038">
        <w:rPr>
          <w:rFonts w:ascii="Calibri" w:hAnsi="Calibri" w:cs="Calibri"/>
          <w:szCs w:val="18"/>
          <w:rtl/>
        </w:rPr>
        <w:tab/>
      </w:r>
      <w:bookmarkStart w:id="7" w:name="_Hlk159937683"/>
      <w:r w:rsidRPr="002A5038">
        <w:rPr>
          <w:rFonts w:ascii="Calibri" w:hAnsi="Calibri" w:cs="Calibri"/>
          <w:szCs w:val="18"/>
          <w:rtl/>
        </w:rPr>
        <w:t xml:space="preserve">كما هو مذكور في الفقرة </w:t>
      </w:r>
      <w:r w:rsidR="009013CE" w:rsidRPr="002A5038">
        <w:rPr>
          <w:rFonts w:ascii="Calibri" w:hAnsi="Calibri" w:cs="Calibri"/>
          <w:szCs w:val="18"/>
          <w:rtl/>
        </w:rPr>
        <w:t xml:space="preserve">11 </w:t>
      </w:r>
      <w:r w:rsidRPr="002A5038">
        <w:rPr>
          <w:rFonts w:ascii="Calibri" w:hAnsi="Calibri" w:cs="Calibri"/>
          <w:szCs w:val="18"/>
          <w:rtl/>
        </w:rPr>
        <w:t xml:space="preserve">أعلاه، شارك المركز، في إطار تعاونه مع </w:t>
      </w:r>
      <w:bookmarkStart w:id="8" w:name="_Hlk197082778"/>
      <w:r w:rsidR="00207620">
        <w:rPr>
          <w:rFonts w:ascii="Calibri" w:hAnsi="Calibri" w:cs="Calibri" w:hint="cs"/>
          <w:szCs w:val="18"/>
          <w:rtl/>
        </w:rPr>
        <w:t>مكتب سنغافورة</w:t>
      </w:r>
      <w:r w:rsidRPr="002A5038">
        <w:rPr>
          <w:rFonts w:ascii="Calibri" w:hAnsi="Calibri" w:cs="Calibri"/>
          <w:szCs w:val="18"/>
          <w:rtl/>
        </w:rPr>
        <w:t xml:space="preserve"> للملكية الفكرية</w:t>
      </w:r>
      <w:bookmarkEnd w:id="8"/>
      <w:r w:rsidRPr="002A5038">
        <w:rPr>
          <w:rFonts w:ascii="Calibri" w:hAnsi="Calibri" w:cs="Calibri"/>
          <w:szCs w:val="18"/>
          <w:rtl/>
        </w:rPr>
        <w:t xml:space="preserve">، في وضع خيارات الوساطة في إجراءات العلامات التجارية وغيرها من الإجراءات التي تخص </w:t>
      </w:r>
      <w:r w:rsidR="00207620">
        <w:rPr>
          <w:rFonts w:ascii="Calibri" w:hAnsi="Calibri" w:cs="Calibri" w:hint="cs"/>
          <w:szCs w:val="18"/>
          <w:rtl/>
        </w:rPr>
        <w:t>مكتب سنغافورة</w:t>
      </w:r>
      <w:r w:rsidR="00207620" w:rsidRPr="002A5038">
        <w:rPr>
          <w:rFonts w:ascii="Calibri" w:hAnsi="Calibri" w:cs="Calibri"/>
          <w:szCs w:val="18"/>
          <w:rtl/>
        </w:rPr>
        <w:t xml:space="preserve"> للملكية الفكرية </w:t>
      </w:r>
      <w:r w:rsidRPr="002A5038">
        <w:rPr>
          <w:rFonts w:ascii="Calibri" w:hAnsi="Calibri" w:cs="Calibri"/>
          <w:szCs w:val="18"/>
          <w:rtl/>
        </w:rPr>
        <w:t xml:space="preserve">، وخيار </w:t>
      </w:r>
      <w:r w:rsidR="00207620">
        <w:rPr>
          <w:rFonts w:ascii="Calibri" w:hAnsi="Calibri" w:cs="Calibri" w:hint="cs"/>
          <w:szCs w:val="18"/>
          <w:rtl/>
        </w:rPr>
        <w:t>قرارات</w:t>
      </w:r>
      <w:r w:rsidRPr="002A5038">
        <w:rPr>
          <w:rFonts w:ascii="Calibri" w:hAnsi="Calibri" w:cs="Calibri"/>
          <w:szCs w:val="18"/>
          <w:rtl/>
        </w:rPr>
        <w:t xml:space="preserve"> الخبراء لإجراءات البراءات</w:t>
      </w:r>
      <w:r w:rsidR="00207620">
        <w:rPr>
          <w:rFonts w:ascii="Calibri" w:hAnsi="Calibri" w:cs="Calibri" w:hint="cs"/>
          <w:szCs w:val="18"/>
          <w:rtl/>
        </w:rPr>
        <w:t xml:space="preserve"> لمكتب </w:t>
      </w:r>
      <w:r w:rsidR="00207620" w:rsidRPr="00207620">
        <w:rPr>
          <w:rFonts w:ascii="Calibri" w:hAnsi="Calibri" w:cs="Calibri" w:hint="cs"/>
          <w:szCs w:val="18"/>
          <w:rtl/>
        </w:rPr>
        <w:t>سنغافورة</w:t>
      </w:r>
      <w:r w:rsidR="00207620" w:rsidRPr="00207620">
        <w:rPr>
          <w:rFonts w:ascii="Calibri" w:hAnsi="Calibri" w:cs="Calibri"/>
          <w:szCs w:val="18"/>
          <w:rtl/>
        </w:rPr>
        <w:t xml:space="preserve"> للملكية الفكرية</w:t>
      </w:r>
      <w:r w:rsidRPr="00207620">
        <w:rPr>
          <w:rFonts w:ascii="Calibri" w:hAnsi="Calibri" w:cs="Calibri"/>
          <w:szCs w:val="18"/>
          <w:rtl/>
        </w:rPr>
        <w:t xml:space="preserve">، وهو يدير هذه الإجراءات، بما في ذلك أدوات إدارة القضايا على الإنترنت.  ويتعاون المركز أيضا مع </w:t>
      </w:r>
      <w:r w:rsidR="00207620" w:rsidRPr="00207620">
        <w:rPr>
          <w:rFonts w:ascii="Times New Roman" w:hAnsi="Times New Roman" w:cs="Calibri"/>
          <w:szCs w:val="18"/>
          <w:rtl/>
        </w:rPr>
        <w:t xml:space="preserve">مكتب الفلبين للملكية الفكرية </w:t>
      </w:r>
      <w:r w:rsidRPr="00207620">
        <w:rPr>
          <w:rFonts w:ascii="Calibri" w:hAnsi="Calibri" w:cs="Calibri"/>
          <w:szCs w:val="18"/>
          <w:rtl/>
        </w:rPr>
        <w:t>بشأن إدارة إجراءات الوساطة المتعلقة بحقوق الملكية الفكرية في الفلبين، بما في ذلك مؤخرا في إطار خطة الوساطة خارج نطاق التقا</w:t>
      </w:r>
      <w:r w:rsidRPr="00E56303">
        <w:rPr>
          <w:rFonts w:ascii="Calibri" w:hAnsi="Calibri" w:cs="Calibri"/>
          <w:szCs w:val="18"/>
          <w:rtl/>
        </w:rPr>
        <w:t xml:space="preserve">ضي التي وضعها </w:t>
      </w:r>
      <w:r w:rsidR="00E56303" w:rsidRPr="00E56303">
        <w:rPr>
          <w:rFonts w:ascii="Times New Roman" w:hAnsi="Times New Roman" w:cs="Calibri"/>
          <w:szCs w:val="18"/>
          <w:rtl/>
        </w:rPr>
        <w:t>مكتب الفلبين للملكية الفكرية</w:t>
      </w:r>
      <w:r w:rsidRPr="00E56303">
        <w:rPr>
          <w:rFonts w:ascii="Calibri" w:hAnsi="Calibri" w:cs="Calibri"/>
          <w:szCs w:val="18"/>
          <w:rtl/>
        </w:rPr>
        <w:t xml:space="preserve">، ويدير </w:t>
      </w:r>
      <w:r w:rsidRPr="00207620">
        <w:rPr>
          <w:rFonts w:ascii="Calibri" w:hAnsi="Calibri" w:cs="Calibri"/>
          <w:szCs w:val="18"/>
          <w:rtl/>
        </w:rPr>
        <w:t xml:space="preserve">القضايا المحالة إلى وساطة الويبو بموجب هذه الترتيبات.  </w:t>
      </w:r>
      <w:bookmarkEnd w:id="7"/>
      <w:r w:rsidRPr="00207620">
        <w:rPr>
          <w:rFonts w:ascii="Calibri" w:hAnsi="Calibri" w:cs="Calibri"/>
          <w:szCs w:val="18"/>
          <w:rtl/>
        </w:rPr>
        <w:t xml:space="preserve">وبالإضافة إلى ذلك، يشجع مجلس محاكمة العلامات التجارية والاستئناف ومجلس محاكمة واستئناف البراءات التابعين لمكتب الولايات المتحدة الأمريكية للملكية الفكرية على تشجيع الأطراف على النظر </w:t>
      </w:r>
      <w:r w:rsidRPr="002A5038">
        <w:rPr>
          <w:rFonts w:ascii="Calibri" w:hAnsi="Calibri" w:cs="Calibri"/>
          <w:szCs w:val="18"/>
          <w:rtl/>
        </w:rPr>
        <w:t xml:space="preserve">في تسوية المنازعات بالوساطة البديلة كوسيلة لتسوية القضايا المثارة في تلك الإجراءات؛ والمركز هو أحد مقدمي خدمات تسوية المنازعات المدرجين في القائمة.  وفي إطار تعاونه مع </w:t>
      </w:r>
      <w:r w:rsidR="00E56303">
        <w:rPr>
          <w:rFonts w:ascii="Calibri" w:hAnsi="Calibri" w:cs="Calibri" w:hint="cs"/>
          <w:szCs w:val="18"/>
          <w:rtl/>
        </w:rPr>
        <w:t>ال</w:t>
      </w:r>
      <w:r w:rsidRPr="002A5038">
        <w:rPr>
          <w:rFonts w:ascii="Calibri" w:hAnsi="Calibri" w:cs="Calibri"/>
          <w:szCs w:val="18"/>
          <w:rtl/>
        </w:rPr>
        <w:t xml:space="preserve">مكتب </w:t>
      </w:r>
      <w:r w:rsidR="00E56303" w:rsidRPr="002A5038">
        <w:rPr>
          <w:rFonts w:ascii="Calibri" w:hAnsi="Calibri" w:cs="Calibri"/>
          <w:szCs w:val="18"/>
          <w:rtl/>
        </w:rPr>
        <w:t xml:space="preserve">البولندي </w:t>
      </w:r>
      <w:r w:rsidR="00E56303">
        <w:rPr>
          <w:rFonts w:ascii="Calibri" w:hAnsi="Calibri" w:cs="Calibri" w:hint="cs"/>
          <w:szCs w:val="18"/>
          <w:rtl/>
        </w:rPr>
        <w:t>ل</w:t>
      </w:r>
      <w:r w:rsidRPr="002A5038">
        <w:rPr>
          <w:rFonts w:ascii="Calibri" w:hAnsi="Calibri" w:cs="Calibri"/>
          <w:szCs w:val="18"/>
          <w:rtl/>
        </w:rPr>
        <w:t xml:space="preserve">لبراءات (PPO)، شارك المركز في تطوير خيار الوساطة في </w:t>
      </w:r>
      <w:r w:rsidR="00E56303">
        <w:rPr>
          <w:rFonts w:ascii="Calibri" w:hAnsi="Calibri" w:cs="Calibri" w:hint="cs"/>
          <w:szCs w:val="18"/>
          <w:rtl/>
        </w:rPr>
        <w:t>الويبو</w:t>
      </w:r>
      <w:r w:rsidRPr="002A5038">
        <w:rPr>
          <w:rFonts w:ascii="Calibri" w:hAnsi="Calibri" w:cs="Calibri"/>
          <w:szCs w:val="18"/>
          <w:rtl/>
        </w:rPr>
        <w:t xml:space="preserve"> الذي أصبح متاحًا لإجراءات الاعتراض على العلامات التجارية المعلقة.</w:t>
      </w:r>
      <w:bookmarkStart w:id="9" w:name="_Hlk159938345"/>
      <w:r w:rsidRPr="002A5038">
        <w:rPr>
          <w:rFonts w:ascii="Calibri" w:hAnsi="Calibri" w:cs="Calibri"/>
          <w:szCs w:val="18"/>
          <w:rtl/>
        </w:rPr>
        <w:t xml:space="preserve"> وفي إطار التعاون بين المركز </w:t>
      </w:r>
      <w:r w:rsidR="00E56303">
        <w:rPr>
          <w:rFonts w:ascii="Calibri" w:hAnsi="Calibri" w:cs="Calibri" w:hint="cs"/>
          <w:szCs w:val="18"/>
          <w:rtl/>
        </w:rPr>
        <w:t>و</w:t>
      </w:r>
      <w:r w:rsidR="00E56303" w:rsidRPr="00E56303">
        <w:rPr>
          <w:rFonts w:ascii="Calibri" w:hAnsi="Calibri" w:cs="Calibri"/>
          <w:szCs w:val="18"/>
          <w:rtl/>
        </w:rPr>
        <w:t xml:space="preserve">المكتب المغربي للملكية الصناعية والتجارية </w:t>
      </w:r>
      <w:r w:rsidRPr="002A5038">
        <w:rPr>
          <w:rFonts w:ascii="Calibri" w:hAnsi="Calibri" w:cs="Calibri"/>
          <w:szCs w:val="18"/>
          <w:rtl/>
        </w:rPr>
        <w:t>طوّر المركز والمكتب خيار الوساطة لقضايا الملكية الفكرية والتكنولوجيا، ويشترك المركز والمكتب في إدارته.</w:t>
      </w:r>
      <w:bookmarkEnd w:id="9"/>
      <w:r w:rsidRPr="002A5038">
        <w:rPr>
          <w:rFonts w:ascii="Calibri" w:hAnsi="Calibri" w:cs="Calibri"/>
          <w:szCs w:val="18"/>
          <w:rtl/>
        </w:rPr>
        <w:t xml:space="preserve"> وبالتعاون مع المركز، </w:t>
      </w:r>
      <w:r w:rsidR="00E56303">
        <w:rPr>
          <w:rFonts w:ascii="Calibri" w:hAnsi="Calibri" w:cs="Calibri" w:hint="cs"/>
          <w:szCs w:val="18"/>
          <w:rtl/>
        </w:rPr>
        <w:t>ي</w:t>
      </w:r>
      <w:r w:rsidRPr="002A5038">
        <w:rPr>
          <w:rFonts w:ascii="Calibri" w:hAnsi="Calibri" w:cs="Calibri"/>
          <w:szCs w:val="18"/>
          <w:rtl/>
        </w:rPr>
        <w:t xml:space="preserve">قدم </w:t>
      </w:r>
      <w:r w:rsidR="00E56303" w:rsidRPr="00E56303">
        <w:rPr>
          <w:rFonts w:ascii="Calibri" w:hAnsi="Calibri" w:cs="Calibri"/>
          <w:szCs w:val="18"/>
          <w:rtl/>
        </w:rPr>
        <w:t xml:space="preserve">مكتب الملكية الفكرية في ترينيداد وتوباغو </w:t>
      </w:r>
      <w:r w:rsidRPr="002A5038">
        <w:rPr>
          <w:rFonts w:ascii="Calibri" w:hAnsi="Calibri" w:cs="Calibri"/>
          <w:szCs w:val="18"/>
          <w:rtl/>
        </w:rPr>
        <w:t xml:space="preserve">خيار الوساطة الطوعية للأطراف لحلّ الاعتراضات على العلامات التجارية العالقة أمام </w:t>
      </w:r>
      <w:r w:rsidR="00E56303">
        <w:rPr>
          <w:rFonts w:ascii="Calibri" w:hAnsi="Calibri" w:cs="Calibri" w:hint="cs"/>
          <w:szCs w:val="18"/>
          <w:rtl/>
        </w:rPr>
        <w:t>المكتب</w:t>
      </w:r>
      <w:r w:rsidRPr="002A5038">
        <w:rPr>
          <w:rFonts w:ascii="Calibri" w:hAnsi="Calibri" w:cs="Calibri"/>
          <w:szCs w:val="18"/>
          <w:rtl/>
        </w:rPr>
        <w:t xml:space="preserve"> من خلال الوساطة بموجب </w:t>
      </w:r>
      <w:hyperlink r:id="rId13" w:history="1">
        <w:r w:rsidRPr="002A5038">
          <w:rPr>
            <w:rFonts w:ascii="Calibri" w:hAnsi="Calibri" w:cs="Calibri"/>
            <w:szCs w:val="18"/>
            <w:rtl/>
          </w:rPr>
          <w:t>قواعد الويبو للوساطة</w:t>
        </w:r>
      </w:hyperlink>
      <w:r w:rsidRPr="002A5038">
        <w:rPr>
          <w:rFonts w:ascii="Calibri" w:hAnsi="Calibri" w:cs="Calibri"/>
          <w:szCs w:val="18"/>
          <w:rtl/>
        </w:rPr>
        <w:t>.</w:t>
      </w:r>
    </w:p>
  </w:footnote>
  <w:footnote w:id="19">
    <w:p w14:paraId="352C023A" w14:textId="5F884812" w:rsidR="00C54079" w:rsidRPr="002A5038" w:rsidRDefault="00C54079" w:rsidP="00C54079">
      <w:pPr>
        <w:pStyle w:val="FootnoteText"/>
        <w:rPr>
          <w:rFonts w:ascii="Calibri" w:hAnsi="Calibri" w:cs="Calibri"/>
          <w:szCs w:val="18"/>
        </w:rPr>
      </w:pPr>
      <w:r w:rsidRPr="002A5038">
        <w:rPr>
          <w:rStyle w:val="FootnoteReference"/>
          <w:rFonts w:ascii="Calibri" w:hAnsi="Calibri" w:cs="Calibri"/>
          <w:szCs w:val="18"/>
          <w:rtl/>
        </w:rPr>
        <w:footnoteRef/>
      </w:r>
      <w:r w:rsidRPr="002A5038">
        <w:rPr>
          <w:rFonts w:ascii="Calibri" w:hAnsi="Calibri" w:cs="Calibri"/>
          <w:szCs w:val="18"/>
          <w:rtl/>
        </w:rPr>
        <w:tab/>
        <w:t xml:space="preserve">انظر </w:t>
      </w:r>
      <w:r w:rsidR="0013496E" w:rsidRPr="002A5038">
        <w:rPr>
          <w:rFonts w:ascii="Calibri" w:hAnsi="Calibri" w:cs="Calibri"/>
          <w:szCs w:val="18"/>
          <w:rtl/>
        </w:rPr>
        <w:t xml:space="preserve">الفقرات </w:t>
      </w:r>
      <w:r w:rsidR="009013CE" w:rsidRPr="002A5038">
        <w:rPr>
          <w:rFonts w:ascii="Calibri" w:hAnsi="Calibri" w:cs="Calibri"/>
          <w:szCs w:val="18"/>
          <w:rtl/>
        </w:rPr>
        <w:t xml:space="preserve">17-21 </w:t>
      </w:r>
      <w:r w:rsidRPr="002A5038">
        <w:rPr>
          <w:rFonts w:ascii="Calibri" w:hAnsi="Calibri" w:cs="Calibri"/>
          <w:szCs w:val="18"/>
          <w:rtl/>
        </w:rPr>
        <w:t>أعلاه للاطلاع على المعلومات ذات الصلة</w:t>
      </w:r>
      <w:r w:rsidR="0035659F">
        <w:rPr>
          <w:rFonts w:ascii="Calibri" w:hAnsi="Calibri" w:cs="Calibri" w:hint="cs"/>
          <w:szCs w:val="18"/>
          <w:rtl/>
        </w:rPr>
        <w:t>.</w:t>
      </w:r>
    </w:p>
  </w:footnote>
  <w:footnote w:id="20">
    <w:p w14:paraId="745E30E7" w14:textId="179B8B65" w:rsidR="00C54079" w:rsidRPr="002A5038" w:rsidRDefault="00C54079" w:rsidP="00C54079">
      <w:pPr>
        <w:pStyle w:val="FootnoteText"/>
        <w:rPr>
          <w:rFonts w:ascii="Calibri" w:hAnsi="Calibri" w:cs="Calibri"/>
          <w:szCs w:val="18"/>
        </w:rPr>
      </w:pPr>
      <w:r w:rsidRPr="002A5038">
        <w:rPr>
          <w:rStyle w:val="FootnoteReference"/>
          <w:rFonts w:ascii="Calibri" w:hAnsi="Calibri" w:cs="Calibri"/>
          <w:szCs w:val="18"/>
          <w:rtl/>
        </w:rPr>
        <w:footnoteRef/>
      </w:r>
      <w:r w:rsidRPr="002A5038">
        <w:rPr>
          <w:rFonts w:ascii="Calibri" w:hAnsi="Calibri" w:cs="Calibri"/>
          <w:szCs w:val="18"/>
          <w:rtl/>
        </w:rPr>
        <w:tab/>
      </w:r>
      <w:r w:rsidRPr="002A5038">
        <w:rPr>
          <w:rFonts w:ascii="Calibri" w:hAnsi="Calibri" w:cs="Calibri"/>
          <w:szCs w:val="18"/>
          <w:shd w:val="clear" w:color="auto" w:fill="FFFFFF" w:themeFill="background1"/>
          <w:rtl/>
        </w:rPr>
        <w:t xml:space="preserve">على سبيل المثال، اتفاقية الاتحاد النموذجي للاتحاد الأوروبي DESCA 2020، </w:t>
      </w:r>
      <w:r w:rsidRPr="002A5038">
        <w:rPr>
          <w:rFonts w:ascii="Calibri" w:hAnsi="Calibri" w:cs="Calibri"/>
          <w:szCs w:val="18"/>
          <w:shd w:val="clear" w:color="auto" w:fill="FFFFFF" w:themeFill="background1"/>
          <w:rtl/>
          <w:lang w:val="en"/>
        </w:rPr>
        <w:t xml:space="preserve">والاتفاقات النموذجية لدليل اتفاقات الملكية الفكرية (IPAG) في النمسا، والاتفاقات النموذجية للتعاون في مجال البحث والتطوير في ألمانيا، واتفاقات البحث والتطوير النموذجية </w:t>
      </w:r>
      <w:r w:rsidRPr="0035659F">
        <w:rPr>
          <w:rFonts w:ascii="Calibri" w:hAnsi="Calibri" w:cs="Calibri"/>
          <w:szCs w:val="18"/>
          <w:shd w:val="clear" w:color="auto" w:fill="FFFFFF" w:themeFill="background1"/>
          <w:rtl/>
        </w:rPr>
        <w:t xml:space="preserve">مع المكتب الإسباني للبراءات والعلامات التجارية (OEPM).  وفي الآونة الأخيرة، </w:t>
      </w:r>
      <w:r w:rsidR="0035659F">
        <w:rPr>
          <w:rFonts w:ascii="Calibri" w:hAnsi="Calibri" w:cs="Calibri" w:hint="cs"/>
          <w:szCs w:val="18"/>
          <w:rtl/>
          <w:lang w:val="en"/>
        </w:rPr>
        <w:t>ي</w:t>
      </w:r>
      <w:r w:rsidRPr="0035659F">
        <w:rPr>
          <w:rFonts w:ascii="Calibri" w:hAnsi="Calibri" w:cs="Calibri"/>
          <w:szCs w:val="18"/>
          <w:rtl/>
          <w:lang w:val="en"/>
        </w:rPr>
        <w:t>وصي اتفاق التعاون بين شبكة مكاتب نقل التكنولوجيا في دول البلطيق، التي أُبرمت</w:t>
      </w:r>
      <w:r w:rsidRPr="002A5038">
        <w:rPr>
          <w:rFonts w:ascii="Calibri" w:hAnsi="Calibri" w:cs="Calibri"/>
          <w:szCs w:val="18"/>
          <w:rtl/>
          <w:lang w:val="en"/>
        </w:rPr>
        <w:t xml:space="preserve"> في عام 2022 بالتعاون مع </w:t>
      </w:r>
      <w:r w:rsidR="008413A8">
        <w:rPr>
          <w:rFonts w:ascii="Calibri" w:hAnsi="Calibri" w:cs="Calibri" w:hint="cs"/>
          <w:szCs w:val="18"/>
          <w:rtl/>
          <w:lang w:val="en"/>
        </w:rPr>
        <w:t>الويبو</w:t>
      </w:r>
      <w:r w:rsidRPr="002A5038">
        <w:rPr>
          <w:rFonts w:ascii="Calibri" w:hAnsi="Calibri" w:cs="Calibri"/>
          <w:szCs w:val="18"/>
          <w:rtl/>
          <w:lang w:val="en"/>
        </w:rPr>
        <w:t xml:space="preserve">، بوساطة المنظمة العالمية للملكية الفكرية، يليها، في حالة عدم التوصل إلى تسوية، التقاضي أمام المحاكم.  وتوصي اتفاقات إطار العمل الأسترالي لتسويق بحوث التعليم العالي في مجال تسويق الملكية الفكرية في إطار اتفاقات الترخيص والبحث النموذجية في أستراليا بالوساطة، تليها في حال عدم التوصل إلى تسوية، إجراءات قضائية أو تحكيم الويبو. </w:t>
      </w:r>
      <w:r w:rsidRPr="002A5038">
        <w:rPr>
          <w:rFonts w:ascii="Calibri" w:hAnsi="Calibri" w:cs="Calibri"/>
          <w:szCs w:val="18"/>
          <w:shd w:val="clear" w:color="auto" w:fill="FFFFFF" w:themeFill="background1"/>
          <w:rtl/>
          <w:lang w:val="en"/>
        </w:rPr>
        <w:t xml:space="preserve">لمزيد من المعلومات، انظر </w:t>
      </w:r>
      <w:hyperlink r:id="rId14" w:history="1">
        <w:r w:rsidRPr="000957B2">
          <w:rPr>
            <w:rStyle w:val="Hyperlink"/>
            <w:rFonts w:ascii="Calibri" w:hAnsi="Calibri" w:cs="Calibri"/>
            <w:szCs w:val="18"/>
            <w:shd w:val="clear" w:color="auto" w:fill="FFFFFF" w:themeFill="background1"/>
            <w:rtl/>
            <w:lang w:val="en"/>
          </w:rPr>
          <w:t>https://www.wipo.int/amc/en/center/specific-sectors/rd</w:t>
        </w:r>
      </w:hyperlink>
      <w:r w:rsidRPr="002A5038">
        <w:rPr>
          <w:rFonts w:ascii="Calibri" w:hAnsi="Calibri" w:cs="Calibri"/>
          <w:szCs w:val="18"/>
          <w:shd w:val="clear" w:color="auto" w:fill="FFFFFF" w:themeFill="background1"/>
          <w:rtl/>
          <w:lang w:val="en"/>
        </w:rPr>
        <w:t>.</w:t>
      </w:r>
    </w:p>
  </w:footnote>
  <w:footnote w:id="21">
    <w:p w14:paraId="5C86F2D8" w14:textId="30EE8A63" w:rsidR="00C54079" w:rsidRPr="00C54079" w:rsidRDefault="00C54079" w:rsidP="00C54079">
      <w:pPr>
        <w:pStyle w:val="FootnoteText"/>
        <w:rPr>
          <w:szCs w:val="18"/>
        </w:rPr>
      </w:pPr>
      <w:r w:rsidRPr="002A5038">
        <w:rPr>
          <w:rStyle w:val="FootnoteReference"/>
          <w:rFonts w:ascii="Calibri" w:hAnsi="Calibri" w:cs="Calibri"/>
          <w:szCs w:val="18"/>
          <w:rtl/>
        </w:rPr>
        <w:footnoteRef/>
      </w:r>
      <w:r w:rsidRPr="002A5038">
        <w:rPr>
          <w:rFonts w:ascii="Calibri" w:hAnsi="Calibri" w:cs="Calibri"/>
          <w:szCs w:val="18"/>
          <w:rtl/>
        </w:rPr>
        <w:tab/>
        <w:t xml:space="preserve">زاد عدد المشتركين في موقع </w:t>
      </w:r>
      <w:r w:rsidR="0023538C">
        <w:rPr>
          <w:rFonts w:ascii="Calibri" w:hAnsi="Calibri" w:cs="Calibri" w:hint="cs"/>
          <w:szCs w:val="18"/>
          <w:rtl/>
        </w:rPr>
        <w:t>الويبو</w:t>
      </w:r>
      <w:r w:rsidRPr="002A5038">
        <w:rPr>
          <w:rFonts w:ascii="Calibri" w:hAnsi="Calibri" w:cs="Calibri"/>
          <w:szCs w:val="18"/>
          <w:rtl/>
        </w:rPr>
        <w:t xml:space="preserve"> "إضاءات على </w:t>
      </w:r>
      <w:r w:rsidR="0023538C">
        <w:rPr>
          <w:rFonts w:ascii="Calibri" w:hAnsi="Calibri" w:cs="Calibri" w:hint="cs"/>
          <w:szCs w:val="18"/>
          <w:rtl/>
        </w:rPr>
        <w:t>التسوية البديلة للمنازعات</w:t>
      </w:r>
      <w:r w:rsidRPr="002A5038">
        <w:rPr>
          <w:rFonts w:ascii="Calibri" w:hAnsi="Calibri" w:cs="Calibri"/>
          <w:szCs w:val="18"/>
          <w:rtl/>
        </w:rPr>
        <w:t xml:space="preserve">" إلى أكثر من 8500 مشترك؛ وجميع الإصدارات متاحة على الموقع الإلكتروني </w:t>
      </w:r>
      <w:hyperlink r:id="rId15" w:history="1">
        <w:r w:rsidRPr="000957B2">
          <w:rPr>
            <w:rStyle w:val="Hyperlink"/>
            <w:rFonts w:ascii="Calibri" w:hAnsi="Calibri" w:cs="Calibri"/>
            <w:szCs w:val="18"/>
            <w:rtl/>
          </w:rPr>
          <w:t>https://www.wipo.int/newsletters-archive/en/adr_highlights.html</w:t>
        </w:r>
      </w:hyperlink>
      <w:r w:rsidRPr="002A5038">
        <w:rPr>
          <w:rFonts w:ascii="Calibri" w:hAnsi="Calibri" w:cs="Calibri"/>
          <w:szCs w:val="18"/>
          <w:rtl/>
        </w:rPr>
        <w:t>.</w:t>
      </w:r>
      <w:r w:rsidRPr="00C54079">
        <w:rPr>
          <w:szCs w:val="18"/>
          <w:rtl/>
        </w:rPr>
        <w:t xml:space="preserve"> </w:t>
      </w:r>
    </w:p>
  </w:footnote>
  <w:footnote w:id="22">
    <w:p w14:paraId="401F3C15" w14:textId="13A1F0DB" w:rsidR="00C54079" w:rsidRPr="00706DC4" w:rsidRDefault="00C54079" w:rsidP="00C54079">
      <w:pPr>
        <w:pStyle w:val="FootnoteText"/>
        <w:rPr>
          <w:rFonts w:asciiTheme="minorHAnsi" w:hAnsiTheme="minorHAnsi" w:cstheme="minorHAnsi"/>
          <w:szCs w:val="18"/>
        </w:rPr>
      </w:pPr>
      <w:r w:rsidRPr="00706DC4">
        <w:rPr>
          <w:rStyle w:val="FootnoteReference"/>
          <w:rFonts w:asciiTheme="minorHAnsi" w:hAnsiTheme="minorHAnsi" w:cstheme="minorHAnsi"/>
          <w:szCs w:val="18"/>
          <w:rtl/>
        </w:rPr>
        <w:footnoteRef/>
      </w:r>
      <w:r w:rsidRPr="00706DC4">
        <w:rPr>
          <w:rFonts w:asciiTheme="minorHAnsi" w:hAnsiTheme="minorHAnsi" w:cstheme="minorHAnsi"/>
          <w:szCs w:val="18"/>
          <w:rtl/>
        </w:rPr>
        <w:tab/>
        <w:t>حتى الآن، تم تقديم ندوات المركز عبر الإنترنت باللغات الصينية والهولندية والإن</w:t>
      </w:r>
      <w:r w:rsidR="0024005B">
        <w:rPr>
          <w:rFonts w:asciiTheme="minorHAnsi" w:hAnsiTheme="minorHAnsi" w:cstheme="minorHAnsi" w:hint="cs"/>
          <w:szCs w:val="18"/>
          <w:rtl/>
        </w:rPr>
        <w:t>ك</w:t>
      </w:r>
      <w:r w:rsidRPr="00706DC4">
        <w:rPr>
          <w:rFonts w:asciiTheme="minorHAnsi" w:hAnsiTheme="minorHAnsi" w:cstheme="minorHAnsi"/>
          <w:szCs w:val="18"/>
          <w:rtl/>
        </w:rPr>
        <w:t xml:space="preserve">ليزية والفرنسية والألمانية والإيطالية والإيطالية واليابانية والكورية والروسية والإسبانية والسويدية.  </w:t>
      </w:r>
    </w:p>
  </w:footnote>
  <w:footnote w:id="23">
    <w:p w14:paraId="0950D5E3" w14:textId="55A7B971" w:rsidR="00C54079" w:rsidRPr="00706DC4" w:rsidRDefault="00C54079" w:rsidP="00C54079">
      <w:pPr>
        <w:pStyle w:val="FootnoteText"/>
        <w:rPr>
          <w:rFonts w:asciiTheme="minorHAnsi" w:hAnsiTheme="minorHAnsi" w:cstheme="minorHAnsi"/>
          <w:szCs w:val="18"/>
        </w:rPr>
      </w:pPr>
      <w:r w:rsidRPr="00706DC4">
        <w:rPr>
          <w:rStyle w:val="FootnoteReference"/>
          <w:rFonts w:asciiTheme="minorHAnsi" w:hAnsiTheme="minorHAnsi" w:cstheme="minorHAnsi"/>
          <w:szCs w:val="18"/>
          <w:rtl/>
        </w:rPr>
        <w:footnoteRef/>
      </w:r>
      <w:r w:rsidRPr="00706DC4">
        <w:rPr>
          <w:rFonts w:asciiTheme="minorHAnsi" w:hAnsiTheme="minorHAnsi" w:cstheme="minorHAnsi"/>
          <w:szCs w:val="18"/>
          <w:rtl/>
        </w:rPr>
        <w:tab/>
        <w:t xml:space="preserve">بالترتيب الأبجدي، </w:t>
      </w:r>
      <w:r w:rsidR="0024005B" w:rsidRPr="0024005B">
        <w:rPr>
          <w:rFonts w:asciiTheme="minorHAnsi" w:hAnsiTheme="minorHAnsi" w:cs="Calibri"/>
          <w:szCs w:val="18"/>
          <w:rtl/>
        </w:rPr>
        <w:t>البلغارية، الصينية، الكرواتية، التشيكية، الدنماركية، الهولندية، الإنجليزية، الإستونية، الفنلندية، الفرنسية، الألمانية، اليونانية، العبرية، المجرية، الإندونيسية، الإيطالية، اليابانية، الكورية، الماليزية، النرويجية، البولندية، البرتغالية، الرومانية، الروسية، السلوفاكية، الإسبانية، السويدية، التايلاندية، التركية، الأوكرانية، والفيتنامية</w:t>
      </w:r>
      <w:r w:rsidRPr="00706DC4">
        <w:rPr>
          <w:rFonts w:asciiTheme="minorHAnsi" w:hAnsiTheme="minorHAnsi" w:cstheme="minorHAnsi"/>
          <w:szCs w:val="18"/>
          <w:rtl/>
        </w:rPr>
        <w:t>.</w:t>
      </w:r>
    </w:p>
  </w:footnote>
  <w:footnote w:id="24">
    <w:p w14:paraId="7D2A1A49" w14:textId="60685CB0" w:rsidR="00C54079" w:rsidRPr="00706DC4" w:rsidRDefault="00C54079" w:rsidP="00C54079">
      <w:pPr>
        <w:pStyle w:val="FootnoteText"/>
        <w:rPr>
          <w:rFonts w:asciiTheme="minorHAnsi" w:hAnsiTheme="minorHAnsi" w:cstheme="minorHAnsi"/>
          <w:szCs w:val="18"/>
        </w:rPr>
      </w:pPr>
      <w:r w:rsidRPr="00706DC4">
        <w:rPr>
          <w:rStyle w:val="FootnoteReference"/>
          <w:rFonts w:asciiTheme="minorHAnsi" w:hAnsiTheme="minorHAnsi" w:cstheme="minorHAnsi"/>
          <w:szCs w:val="18"/>
          <w:rtl/>
        </w:rPr>
        <w:footnoteRef/>
      </w:r>
      <w:r w:rsidRPr="00706DC4">
        <w:rPr>
          <w:rFonts w:asciiTheme="minorHAnsi" w:hAnsiTheme="minorHAnsi" w:cstheme="minorHAnsi"/>
          <w:szCs w:val="18"/>
          <w:rtl/>
        </w:rPr>
        <w:tab/>
        <w:t xml:space="preserve">لا </w:t>
      </w:r>
      <w:r w:rsidR="0024005B">
        <w:rPr>
          <w:rFonts w:asciiTheme="minorHAnsi" w:hAnsiTheme="minorHAnsi" w:cstheme="minorHAnsi" w:hint="cs"/>
          <w:szCs w:val="18"/>
          <w:rtl/>
        </w:rPr>
        <w:t>ت</w:t>
      </w:r>
      <w:r w:rsidRPr="00706DC4">
        <w:rPr>
          <w:rFonts w:asciiTheme="minorHAnsi" w:hAnsiTheme="minorHAnsi" w:cstheme="minorHAnsi"/>
          <w:szCs w:val="18"/>
          <w:rtl/>
        </w:rPr>
        <w:t xml:space="preserve">منع </w:t>
      </w:r>
      <w:r w:rsidR="0024005B">
        <w:rPr>
          <w:rFonts w:asciiTheme="minorHAnsi" w:hAnsiTheme="minorHAnsi" w:cstheme="minorHAnsi" w:hint="cs"/>
          <w:szCs w:val="18"/>
          <w:rtl/>
        </w:rPr>
        <w:t>السياسة الموحدة</w:t>
      </w:r>
      <w:r w:rsidRPr="00706DC4">
        <w:rPr>
          <w:rFonts w:asciiTheme="minorHAnsi" w:hAnsiTheme="minorHAnsi" w:cstheme="minorHAnsi"/>
          <w:szCs w:val="18"/>
          <w:rtl/>
        </w:rPr>
        <w:t xml:space="preserve"> </w:t>
      </w:r>
      <w:r w:rsidR="0024005B">
        <w:rPr>
          <w:rFonts w:asciiTheme="minorHAnsi" w:hAnsiTheme="minorHAnsi" w:cstheme="minorHAnsi" w:hint="cs"/>
          <w:szCs w:val="18"/>
          <w:rtl/>
        </w:rPr>
        <w:t xml:space="preserve"> لتسوية المنازعات </w:t>
      </w:r>
      <w:r w:rsidRPr="00706DC4">
        <w:rPr>
          <w:rFonts w:asciiTheme="minorHAnsi" w:hAnsiTheme="minorHAnsi" w:cstheme="minorHAnsi"/>
          <w:szCs w:val="18"/>
          <w:rtl/>
        </w:rPr>
        <w:t xml:space="preserve">أي من الطرفين من </w:t>
      </w:r>
      <w:r w:rsidR="0024005B">
        <w:rPr>
          <w:rFonts w:asciiTheme="minorHAnsi" w:hAnsiTheme="minorHAnsi" w:cstheme="minorHAnsi" w:hint="cs"/>
          <w:szCs w:val="18"/>
          <w:rtl/>
        </w:rPr>
        <w:t>عرض</w:t>
      </w:r>
      <w:r w:rsidRPr="00706DC4">
        <w:rPr>
          <w:rFonts w:asciiTheme="minorHAnsi" w:hAnsiTheme="minorHAnsi" w:cstheme="minorHAnsi"/>
          <w:szCs w:val="18"/>
          <w:rtl/>
        </w:rPr>
        <w:t xml:space="preserve"> </w:t>
      </w:r>
      <w:r w:rsidR="0024005B">
        <w:rPr>
          <w:rFonts w:asciiTheme="minorHAnsi" w:hAnsiTheme="minorHAnsi" w:cstheme="minorHAnsi" w:hint="cs"/>
          <w:szCs w:val="18"/>
          <w:rtl/>
        </w:rPr>
        <w:t>منازعة</w:t>
      </w:r>
      <w:r w:rsidRPr="00706DC4">
        <w:rPr>
          <w:rFonts w:asciiTheme="minorHAnsi" w:hAnsiTheme="minorHAnsi" w:cstheme="minorHAnsi"/>
          <w:szCs w:val="18"/>
          <w:rtl/>
        </w:rPr>
        <w:t xml:space="preserve"> </w:t>
      </w:r>
      <w:r w:rsidR="0024005B">
        <w:rPr>
          <w:rFonts w:asciiTheme="minorHAnsi" w:hAnsiTheme="minorHAnsi" w:cstheme="minorHAnsi" w:hint="cs"/>
          <w:szCs w:val="18"/>
          <w:rtl/>
        </w:rPr>
        <w:t>على</w:t>
      </w:r>
      <w:r w:rsidRPr="00706DC4">
        <w:rPr>
          <w:rFonts w:asciiTheme="minorHAnsi" w:hAnsiTheme="minorHAnsi" w:cstheme="minorHAnsi"/>
          <w:szCs w:val="18"/>
          <w:rtl/>
        </w:rPr>
        <w:t xml:space="preserve"> محكمة مختصة؛ ومع ذلك، فإن عددًا قليلاً جدًا من القضايا التي تم البت فيها بموجب </w:t>
      </w:r>
      <w:r w:rsidR="0024005B">
        <w:rPr>
          <w:rFonts w:asciiTheme="minorHAnsi" w:hAnsiTheme="minorHAnsi" w:cstheme="minorHAnsi" w:hint="cs"/>
          <w:szCs w:val="18"/>
          <w:rtl/>
        </w:rPr>
        <w:t>السياسة الموحدة</w:t>
      </w:r>
      <w:r w:rsidR="0024005B" w:rsidRPr="00706DC4">
        <w:rPr>
          <w:rFonts w:asciiTheme="minorHAnsi" w:hAnsiTheme="minorHAnsi" w:cstheme="minorHAnsi"/>
          <w:szCs w:val="18"/>
          <w:rtl/>
        </w:rPr>
        <w:t xml:space="preserve"> </w:t>
      </w:r>
      <w:r w:rsidR="0024005B">
        <w:rPr>
          <w:rFonts w:asciiTheme="minorHAnsi" w:hAnsiTheme="minorHAnsi" w:cstheme="minorHAnsi" w:hint="cs"/>
          <w:szCs w:val="18"/>
          <w:rtl/>
        </w:rPr>
        <w:t xml:space="preserve"> لتسوية المنازعات </w:t>
      </w:r>
      <w:r w:rsidRPr="00706DC4">
        <w:rPr>
          <w:rFonts w:asciiTheme="minorHAnsi" w:hAnsiTheme="minorHAnsi" w:cstheme="minorHAnsi"/>
          <w:szCs w:val="18"/>
          <w:rtl/>
        </w:rPr>
        <w:t xml:space="preserve">قد تم عرضها على محكمة.  انظر قضايا مختارة متعلقة بمحكمة مختصة في قضايا </w:t>
      </w:r>
      <w:r w:rsidR="0024005B">
        <w:rPr>
          <w:rFonts w:asciiTheme="minorHAnsi" w:hAnsiTheme="minorHAnsi" w:cstheme="minorHAnsi" w:hint="cs"/>
          <w:szCs w:val="18"/>
          <w:rtl/>
        </w:rPr>
        <w:t>السياسة الموحدة</w:t>
      </w:r>
      <w:r w:rsidR="0024005B" w:rsidRPr="00706DC4">
        <w:rPr>
          <w:rFonts w:asciiTheme="minorHAnsi" w:hAnsiTheme="minorHAnsi" w:cstheme="minorHAnsi"/>
          <w:szCs w:val="18"/>
          <w:rtl/>
        </w:rPr>
        <w:t xml:space="preserve"> </w:t>
      </w:r>
      <w:r w:rsidR="0024005B">
        <w:rPr>
          <w:rFonts w:asciiTheme="minorHAnsi" w:hAnsiTheme="minorHAnsi" w:cstheme="minorHAnsi" w:hint="cs"/>
          <w:szCs w:val="18"/>
          <w:rtl/>
        </w:rPr>
        <w:t xml:space="preserve"> لتسوية المنازعات </w:t>
      </w:r>
      <w:r w:rsidRPr="00706DC4">
        <w:rPr>
          <w:rFonts w:asciiTheme="minorHAnsi" w:hAnsiTheme="minorHAnsi" w:cstheme="minorHAnsi"/>
          <w:szCs w:val="18"/>
          <w:rtl/>
        </w:rPr>
        <w:t xml:space="preserve">على </w:t>
      </w:r>
      <w:r w:rsidRPr="000957B2">
        <w:rPr>
          <w:rFonts w:asciiTheme="minorHAnsi" w:hAnsiTheme="minorHAnsi" w:cstheme="minorHAnsi"/>
          <w:szCs w:val="18"/>
          <w:rtl/>
        </w:rPr>
        <w:t xml:space="preserve">الرابط: </w:t>
      </w:r>
      <w:hyperlink r:id="rId16" w:history="1">
        <w:r w:rsidRPr="000957B2">
          <w:rPr>
            <w:rStyle w:val="Hyperlink"/>
            <w:rFonts w:asciiTheme="minorHAnsi" w:hAnsiTheme="minorHAnsi" w:cstheme="minorHAnsi"/>
            <w:szCs w:val="18"/>
            <w:rtl/>
          </w:rPr>
          <w:t>https://www.wipo.int/amc/en/domains/challenged</w:t>
        </w:r>
      </w:hyperlink>
      <w:r w:rsidRPr="00706DC4">
        <w:rPr>
          <w:rFonts w:asciiTheme="minorHAnsi" w:hAnsiTheme="minorHAnsi" w:cstheme="minorHAnsi"/>
          <w:szCs w:val="18"/>
          <w:rtl/>
        </w:rPr>
        <w:t>.</w:t>
      </w:r>
    </w:p>
  </w:footnote>
  <w:footnote w:id="25">
    <w:p w14:paraId="533F64E5" w14:textId="6F63EEC6" w:rsidR="00C54079" w:rsidRPr="00C54079" w:rsidRDefault="00C54079" w:rsidP="00C54079">
      <w:pPr>
        <w:pStyle w:val="FootnoteText"/>
        <w:rPr>
          <w:color w:val="000000"/>
          <w:szCs w:val="18"/>
        </w:rPr>
      </w:pPr>
      <w:r w:rsidRPr="00706DC4">
        <w:rPr>
          <w:rStyle w:val="FootnoteReference"/>
          <w:rFonts w:asciiTheme="minorHAnsi" w:hAnsiTheme="minorHAnsi" w:cstheme="minorHAnsi"/>
          <w:szCs w:val="18"/>
          <w:rtl/>
        </w:rPr>
        <w:footnoteRef/>
      </w:r>
      <w:r w:rsidRPr="00706DC4">
        <w:rPr>
          <w:rFonts w:asciiTheme="minorHAnsi" w:hAnsiTheme="minorHAnsi" w:cstheme="minorHAnsi"/>
          <w:szCs w:val="18"/>
          <w:rtl/>
        </w:rPr>
        <w:tab/>
        <w:t xml:space="preserve">يتيح المركز مجموعة واسعة من الإحصاءات الآنية على الإنترنت لمساعدة أطراف قضايا الويبو في مجال </w:t>
      </w:r>
      <w:r w:rsidR="0024005B">
        <w:rPr>
          <w:rFonts w:asciiTheme="minorHAnsi" w:hAnsiTheme="minorHAnsi" w:cstheme="minorHAnsi" w:hint="cs"/>
          <w:szCs w:val="18"/>
          <w:rtl/>
        </w:rPr>
        <w:t>ال</w:t>
      </w:r>
      <w:r w:rsidRPr="00706DC4">
        <w:rPr>
          <w:rFonts w:asciiTheme="minorHAnsi" w:hAnsiTheme="minorHAnsi" w:cstheme="minorHAnsi"/>
          <w:szCs w:val="18"/>
          <w:rtl/>
        </w:rPr>
        <w:t xml:space="preserve">تسوية </w:t>
      </w:r>
      <w:r w:rsidR="0024005B">
        <w:rPr>
          <w:rFonts w:asciiTheme="minorHAnsi" w:hAnsiTheme="minorHAnsi" w:cstheme="minorHAnsi" w:hint="cs"/>
          <w:szCs w:val="18"/>
          <w:rtl/>
        </w:rPr>
        <w:t>البديلة ل</w:t>
      </w:r>
      <w:r w:rsidRPr="00706DC4">
        <w:rPr>
          <w:rFonts w:asciiTheme="minorHAnsi" w:hAnsiTheme="minorHAnsi" w:cstheme="minorHAnsi"/>
          <w:szCs w:val="18"/>
          <w:rtl/>
        </w:rPr>
        <w:t xml:space="preserve">لمنازعات والمحايدين ومحامي العلامات التجارية ومسجلي أسماء </w:t>
      </w:r>
      <w:r w:rsidR="0024005B">
        <w:rPr>
          <w:rFonts w:asciiTheme="minorHAnsi" w:hAnsiTheme="minorHAnsi" w:cstheme="minorHAnsi" w:hint="cs"/>
          <w:szCs w:val="18"/>
          <w:rtl/>
        </w:rPr>
        <w:t>الحقول</w:t>
      </w:r>
      <w:r w:rsidRPr="00706DC4">
        <w:rPr>
          <w:rFonts w:asciiTheme="minorHAnsi" w:hAnsiTheme="minorHAnsi" w:cstheme="minorHAnsi"/>
          <w:szCs w:val="18"/>
          <w:rtl/>
        </w:rPr>
        <w:t xml:space="preserve"> وصانعي سياسات أسماء </w:t>
      </w:r>
      <w:r w:rsidR="0024005B">
        <w:rPr>
          <w:rFonts w:asciiTheme="minorHAnsi" w:hAnsiTheme="minorHAnsi" w:cstheme="minorHAnsi" w:hint="cs"/>
          <w:szCs w:val="18"/>
          <w:rtl/>
        </w:rPr>
        <w:t>الحقول</w:t>
      </w:r>
      <w:r w:rsidRPr="00706DC4">
        <w:rPr>
          <w:rFonts w:asciiTheme="minorHAnsi" w:hAnsiTheme="minorHAnsi" w:cstheme="minorHAnsi"/>
          <w:szCs w:val="18"/>
          <w:rtl/>
        </w:rPr>
        <w:t xml:space="preserve"> ووسائل الإعلام والأكاديميين.  انظر </w:t>
      </w:r>
      <w:r w:rsidR="0024005B">
        <w:rPr>
          <w:rFonts w:asciiTheme="minorHAnsi" w:hAnsiTheme="minorHAnsi" w:cstheme="minorHAnsi" w:hint="cs"/>
          <w:szCs w:val="18"/>
          <w:rtl/>
        </w:rPr>
        <w:t>:</w:t>
      </w:r>
      <w:hyperlink r:id="rId17" w:history="1">
        <w:r w:rsidRPr="000957B2">
          <w:rPr>
            <w:rStyle w:val="Hyperlink"/>
            <w:rFonts w:asciiTheme="minorHAnsi" w:hAnsiTheme="minorHAnsi" w:cstheme="minorHAnsi"/>
            <w:szCs w:val="18"/>
            <w:rtl/>
          </w:rPr>
          <w:t>https://www.wipo.int/amc/en/domains/statistics</w:t>
        </w:r>
      </w:hyperlink>
      <w:r w:rsidRPr="00706DC4">
        <w:rPr>
          <w:rFonts w:asciiTheme="minorHAnsi" w:hAnsiTheme="minorHAnsi" w:cstheme="minorHAnsi"/>
          <w:szCs w:val="18"/>
          <w:rtl/>
        </w:rPr>
        <w:t>.</w:t>
      </w:r>
      <w:r w:rsidRPr="00C54079">
        <w:rPr>
          <w:szCs w:val="18"/>
          <w:rtl/>
        </w:rPr>
        <w:t xml:space="preserve"> </w:t>
      </w:r>
    </w:p>
  </w:footnote>
  <w:footnote w:id="26">
    <w:p w14:paraId="420E8121" w14:textId="21D60A1F" w:rsidR="00C54079" w:rsidRPr="002E5EF2" w:rsidRDefault="00C54079" w:rsidP="00C54079">
      <w:pPr>
        <w:pStyle w:val="FootnoteText"/>
        <w:rPr>
          <w:rFonts w:ascii="Calibri" w:hAnsi="Calibri" w:cs="Calibri"/>
          <w:szCs w:val="18"/>
        </w:rPr>
      </w:pPr>
      <w:r w:rsidRPr="002E5EF2">
        <w:rPr>
          <w:rStyle w:val="FootnoteReference"/>
          <w:rFonts w:ascii="Calibri" w:hAnsi="Calibri" w:cs="Calibri"/>
          <w:szCs w:val="18"/>
          <w:rtl/>
        </w:rPr>
        <w:footnoteRef/>
      </w:r>
      <w:r w:rsidRPr="002E5EF2">
        <w:rPr>
          <w:rFonts w:ascii="Calibri" w:hAnsi="Calibri" w:cs="Calibri"/>
          <w:szCs w:val="18"/>
          <w:rtl/>
        </w:rPr>
        <w:tab/>
        <w:t xml:space="preserve">وعكس النطاق المتزايد لنظرة الويبو العامة 3.0 مجموعة واسعة من التطورات في قضايا نظام أسماء </w:t>
      </w:r>
      <w:r w:rsidR="005214DB">
        <w:rPr>
          <w:rFonts w:ascii="Calibri" w:hAnsi="Calibri" w:cs="Calibri" w:hint="cs"/>
          <w:szCs w:val="18"/>
          <w:rtl/>
        </w:rPr>
        <w:t>الحقول</w:t>
      </w:r>
      <w:r w:rsidRPr="002E5EF2">
        <w:rPr>
          <w:rFonts w:ascii="Calibri" w:hAnsi="Calibri" w:cs="Calibri"/>
          <w:szCs w:val="18"/>
          <w:rtl/>
        </w:rPr>
        <w:t xml:space="preserve"> وحالات تسوية المنازعات عبر الإنترنت.  وتؤدي هذه النظرة العامة </w:t>
      </w:r>
      <w:r w:rsidR="005214DB">
        <w:rPr>
          <w:rFonts w:ascii="Calibri" w:hAnsi="Calibri" w:cs="Calibri" w:hint="cs"/>
          <w:szCs w:val="18"/>
          <w:rtl/>
        </w:rPr>
        <w:t>للويبو</w:t>
      </w:r>
      <w:r w:rsidRPr="002E5EF2">
        <w:rPr>
          <w:rFonts w:ascii="Calibri" w:hAnsi="Calibri" w:cs="Calibri"/>
          <w:szCs w:val="18"/>
          <w:rtl/>
        </w:rPr>
        <w:t xml:space="preserve"> دورًا أساسيًا في تطوير والحفاظ على اتساق اجتهادات الويبو في مجال </w:t>
      </w:r>
      <w:r w:rsidR="005214DB">
        <w:rPr>
          <w:rFonts w:ascii="Calibri" w:hAnsi="Calibri" w:cs="Calibri" w:hint="cs"/>
          <w:szCs w:val="18"/>
          <w:rtl/>
        </w:rPr>
        <w:t>السياسة الموحدة</w:t>
      </w:r>
      <w:r w:rsidRPr="002E5EF2">
        <w:rPr>
          <w:rFonts w:ascii="Calibri" w:hAnsi="Calibri" w:cs="Calibri"/>
          <w:szCs w:val="18"/>
          <w:rtl/>
        </w:rPr>
        <w:t xml:space="preserve">.  </w:t>
      </w:r>
    </w:p>
  </w:footnote>
  <w:footnote w:id="27">
    <w:p w14:paraId="417CA3F5" w14:textId="5332B642" w:rsidR="00C54079" w:rsidRPr="002E5EF2" w:rsidRDefault="00C54079" w:rsidP="00C54079">
      <w:pPr>
        <w:pStyle w:val="FootnoteText"/>
        <w:rPr>
          <w:rFonts w:ascii="Calibri" w:hAnsi="Calibri" w:cs="Calibri"/>
          <w:szCs w:val="18"/>
        </w:rPr>
      </w:pPr>
      <w:r w:rsidRPr="002E5EF2">
        <w:rPr>
          <w:rStyle w:val="FootnoteReference"/>
          <w:rFonts w:ascii="Calibri" w:hAnsi="Calibri" w:cs="Calibri"/>
          <w:szCs w:val="18"/>
          <w:rtl/>
        </w:rPr>
        <w:footnoteRef/>
      </w:r>
      <w:r w:rsidRPr="002E5EF2">
        <w:rPr>
          <w:rFonts w:ascii="Calibri" w:hAnsi="Calibri" w:cs="Calibri"/>
          <w:szCs w:val="18"/>
          <w:rtl/>
        </w:rPr>
        <w:tab/>
        <w:t xml:space="preserve">انظر </w:t>
      </w:r>
      <w:hyperlink r:id="rId18" w:history="1">
        <w:r w:rsidRPr="003A43E2">
          <w:rPr>
            <w:rStyle w:val="Hyperlink"/>
            <w:rFonts w:ascii="Calibri" w:hAnsi="Calibri" w:cs="Calibri"/>
            <w:szCs w:val="18"/>
            <w:rtl/>
          </w:rPr>
          <w:t>https://www.wipo.int/amc/en/events/workshops/2025/domainname</w:t>
        </w:r>
      </w:hyperlink>
      <w:r w:rsidRPr="002E5EF2">
        <w:rPr>
          <w:rFonts w:ascii="Calibri" w:hAnsi="Calibri" w:cs="Calibri"/>
          <w:szCs w:val="18"/>
          <w:rtl/>
        </w:rPr>
        <w:t>.</w:t>
      </w:r>
    </w:p>
  </w:footnote>
  <w:footnote w:id="28">
    <w:p w14:paraId="65AAC717" w14:textId="339D8865" w:rsidR="00C54079" w:rsidRPr="002E5EF2" w:rsidRDefault="00C54079" w:rsidP="00C54079">
      <w:pPr>
        <w:pStyle w:val="FootnoteText"/>
        <w:rPr>
          <w:rFonts w:ascii="Calibri" w:hAnsi="Calibri" w:cs="Calibri"/>
          <w:szCs w:val="18"/>
        </w:rPr>
      </w:pPr>
      <w:r w:rsidRPr="002E5EF2">
        <w:rPr>
          <w:rStyle w:val="FootnoteReference"/>
          <w:rFonts w:ascii="Calibri" w:hAnsi="Calibri" w:cs="Calibri"/>
          <w:szCs w:val="18"/>
          <w:rtl/>
        </w:rPr>
        <w:footnoteRef/>
      </w:r>
      <w:r w:rsidRPr="002E5EF2">
        <w:rPr>
          <w:rFonts w:ascii="Calibri" w:hAnsi="Calibri" w:cs="Calibri"/>
          <w:szCs w:val="18"/>
          <w:rtl/>
        </w:rPr>
        <w:tab/>
        <w:t xml:space="preserve">يمكن الاطلاع على القائمة الكاملة </w:t>
      </w:r>
      <w:r w:rsidR="005214DB" w:rsidRPr="006B14F2">
        <w:rPr>
          <w:rFonts w:ascii="Calibri" w:hAnsi="Calibri" w:cs="Calibri"/>
          <w:b/>
          <w:szCs w:val="18"/>
          <w:rtl/>
        </w:rPr>
        <w:t>لأسماء الحقول العليا المكو</w:t>
      </w:r>
      <w:r w:rsidR="005214DB" w:rsidRPr="006B14F2">
        <w:rPr>
          <w:rFonts w:ascii="Calibri" w:hAnsi="Calibri" w:cs="Calibri" w:hint="cs"/>
          <w:b/>
          <w:szCs w:val="18"/>
          <w:rtl/>
        </w:rPr>
        <w:t>َّ</w:t>
      </w:r>
      <w:r w:rsidR="005214DB" w:rsidRPr="006B14F2">
        <w:rPr>
          <w:rFonts w:ascii="Calibri" w:hAnsi="Calibri" w:cs="Calibri"/>
          <w:b/>
          <w:szCs w:val="18"/>
          <w:rtl/>
        </w:rPr>
        <w:t>نة من رموز البلدان</w:t>
      </w:r>
      <w:r w:rsidR="005214DB" w:rsidRPr="002E5EF2">
        <w:rPr>
          <w:rFonts w:ascii="Calibri" w:hAnsi="Calibri" w:cs="Calibri"/>
          <w:szCs w:val="18"/>
          <w:rtl/>
        </w:rPr>
        <w:t xml:space="preserve"> </w:t>
      </w:r>
      <w:r w:rsidRPr="002E5EF2">
        <w:rPr>
          <w:rFonts w:ascii="Calibri" w:hAnsi="Calibri" w:cs="Calibri"/>
          <w:szCs w:val="18"/>
          <w:rtl/>
        </w:rPr>
        <w:t xml:space="preserve">التي احتفظت بالمركز كمزود لفض منازعات أسماء </w:t>
      </w:r>
      <w:r w:rsidR="005214DB">
        <w:rPr>
          <w:rFonts w:ascii="Calibri" w:hAnsi="Calibri" w:cs="Calibri" w:hint="cs"/>
          <w:szCs w:val="18"/>
          <w:rtl/>
        </w:rPr>
        <w:t>الحقول</w:t>
      </w:r>
      <w:r w:rsidRPr="002E5EF2">
        <w:rPr>
          <w:rFonts w:ascii="Calibri" w:hAnsi="Calibri" w:cs="Calibri"/>
          <w:szCs w:val="18"/>
          <w:rtl/>
        </w:rPr>
        <w:t xml:space="preserve"> على </w:t>
      </w:r>
      <w:hyperlink r:id="rId19" w:history="1">
        <w:r w:rsidRPr="003A43E2">
          <w:rPr>
            <w:rStyle w:val="Hyperlink"/>
            <w:rFonts w:ascii="Calibri" w:hAnsi="Calibri" w:cs="Calibri"/>
            <w:szCs w:val="18"/>
            <w:rtl/>
          </w:rPr>
          <w:t>https://www.wipo.int/amc/en/domains/cctld</w:t>
        </w:r>
      </w:hyperlink>
      <w:r w:rsidRPr="002E5EF2">
        <w:rPr>
          <w:rFonts w:ascii="Calibri" w:hAnsi="Calibri" w:cs="Calibri"/>
          <w:szCs w:val="18"/>
          <w:rtl/>
        </w:rPr>
        <w:t xml:space="preserve">. </w:t>
      </w:r>
    </w:p>
  </w:footnote>
  <w:footnote w:id="29">
    <w:p w14:paraId="22552A2B" w14:textId="0285575F" w:rsidR="00F907DF" w:rsidRPr="00F907DF" w:rsidRDefault="00F907DF">
      <w:pPr>
        <w:pStyle w:val="FootnoteText"/>
        <w:rPr>
          <w:rFonts w:asciiTheme="minorHAnsi" w:hAnsiTheme="minorHAnsi" w:cstheme="minorHAnsi"/>
          <w:szCs w:val="18"/>
        </w:rPr>
      </w:pPr>
      <w:r w:rsidRPr="00F907DF">
        <w:rPr>
          <w:rStyle w:val="FootnoteReference"/>
          <w:rFonts w:asciiTheme="minorHAnsi" w:hAnsiTheme="minorHAnsi" w:cstheme="minorHAnsi"/>
          <w:szCs w:val="18"/>
        </w:rPr>
        <w:footnoteRef/>
      </w:r>
      <w:r w:rsidRPr="00F907DF">
        <w:rPr>
          <w:rFonts w:asciiTheme="minorHAnsi" w:hAnsiTheme="minorHAnsi" w:cstheme="minorHAnsi"/>
          <w:szCs w:val="18"/>
          <w:rtl/>
        </w:rPr>
        <w:t xml:space="preserve"> على سبيل المثال، صفحة المركز المخصصة لـ</w:t>
      </w:r>
      <w:r>
        <w:rPr>
          <w:rFonts w:asciiTheme="minorHAnsi" w:hAnsiTheme="minorHAnsi" w:cstheme="minorHAnsi" w:hint="cs"/>
          <w:szCs w:val="18"/>
          <w:rtl/>
        </w:rPr>
        <w:t>لحقل</w:t>
      </w:r>
      <w:r w:rsidRPr="00F907DF">
        <w:rPr>
          <w:rFonts w:asciiTheme="minorHAnsi" w:hAnsiTheme="minorHAnsi" w:cstheme="minorHAnsi"/>
          <w:szCs w:val="18"/>
          <w:rtl/>
        </w:rPr>
        <w:t xml:space="preserve"> .</w:t>
      </w:r>
      <w:r w:rsidRPr="00F907DF">
        <w:rPr>
          <w:rFonts w:asciiTheme="minorHAnsi" w:hAnsiTheme="minorHAnsi" w:cstheme="minorHAnsi"/>
          <w:szCs w:val="18"/>
        </w:rPr>
        <w:t>CH</w:t>
      </w:r>
      <w:r w:rsidRPr="00F907DF">
        <w:rPr>
          <w:rFonts w:asciiTheme="minorHAnsi" w:hAnsiTheme="minorHAnsi" w:cstheme="minorHAnsi"/>
          <w:szCs w:val="18"/>
          <w:rtl/>
        </w:rPr>
        <w:t xml:space="preserve"> (سويسرا) متاحة باللغتين الألمانية والإيطالية، بالإضافة إلى الإن</w:t>
      </w:r>
      <w:r>
        <w:rPr>
          <w:rFonts w:asciiTheme="minorHAnsi" w:hAnsiTheme="minorHAnsi" w:cstheme="minorHAnsi" w:hint="cs"/>
          <w:szCs w:val="18"/>
          <w:rtl/>
        </w:rPr>
        <w:t>ك</w:t>
      </w:r>
      <w:r w:rsidRPr="00F907DF">
        <w:rPr>
          <w:rFonts w:asciiTheme="minorHAnsi" w:hAnsiTheme="minorHAnsi" w:cstheme="minorHAnsi"/>
          <w:szCs w:val="18"/>
          <w:rtl/>
        </w:rPr>
        <w:t>ليزية والفرنسية والإسبانية.</w:t>
      </w:r>
    </w:p>
  </w:footnote>
  <w:footnote w:id="30">
    <w:p w14:paraId="74B0C0CA" w14:textId="1A689F7A" w:rsidR="00C54079" w:rsidRPr="00C54079" w:rsidRDefault="00C54079" w:rsidP="00C54079">
      <w:pPr>
        <w:pStyle w:val="FootnoteText"/>
      </w:pPr>
      <w:r w:rsidRPr="002E5EF2">
        <w:rPr>
          <w:rStyle w:val="FootnoteReference"/>
          <w:rFonts w:ascii="Calibri" w:hAnsi="Calibri" w:cs="Calibri"/>
          <w:szCs w:val="18"/>
          <w:rtl/>
        </w:rPr>
        <w:footnoteRef/>
      </w:r>
      <w:r w:rsidRPr="002E5EF2">
        <w:rPr>
          <w:rFonts w:ascii="Calibri" w:hAnsi="Calibri" w:cs="Calibri"/>
          <w:szCs w:val="18"/>
          <w:rtl/>
        </w:rPr>
        <w:tab/>
        <w:t xml:space="preserve">انظر على سبيل المثال، </w:t>
      </w:r>
      <w:hyperlink r:id="rId20" w:history="1">
        <w:r w:rsidRPr="002E5EF2">
          <w:rPr>
            <w:rStyle w:val="Hyperlink"/>
            <w:rFonts w:ascii="Calibri" w:hAnsi="Calibri" w:cs="Calibri"/>
            <w:szCs w:val="18"/>
            <w:rtl/>
          </w:rPr>
          <w:t xml:space="preserve">https://www.wipo.int/amc/en/domains/gdpr/ </w:t>
        </w:r>
      </w:hyperlink>
      <w:r w:rsidRPr="002E5EF2">
        <w:rPr>
          <w:rFonts w:ascii="Calibri" w:hAnsi="Calibri" w:cs="Calibri"/>
          <w:szCs w:val="18"/>
          <w:rtl/>
        </w:rPr>
        <w:t xml:space="preserve">و </w:t>
      </w:r>
      <w:hyperlink r:id="rId21" w:history="1">
        <w:r w:rsidRPr="002E5EF2">
          <w:rPr>
            <w:rStyle w:val="Hyperlink"/>
            <w:rFonts w:ascii="Calibri" w:hAnsi="Calibri" w:cs="Calibri"/>
            <w:szCs w:val="18"/>
            <w:rtl/>
          </w:rPr>
          <w:t xml:space="preserve">https://www.wipo.int/amc/en/domains/expiry.html </w:t>
        </w:r>
      </w:hyperlink>
      <w:r w:rsidRPr="002E5EF2">
        <w:rPr>
          <w:rFonts w:ascii="Calibri" w:hAnsi="Calibri" w:cs="Calibri"/>
          <w:szCs w:val="18"/>
          <w:rtl/>
        </w:rPr>
        <w:t xml:space="preserve">و </w:t>
      </w:r>
      <w:hyperlink r:id="rId22" w:history="1">
        <w:r w:rsidR="003A43E2" w:rsidRPr="003A43E2">
          <w:rPr>
            <w:rStyle w:val="Hyperlink"/>
            <w:rFonts w:ascii="Calibri" w:hAnsi="Calibri" w:cs="Calibri"/>
            <w:szCs w:val="18"/>
          </w:rPr>
          <w:t>https://www.wipo.int/amc/en/domains/lop</w:t>
        </w:r>
        <w:r w:rsidR="003A43E2" w:rsidRPr="003A43E2">
          <w:rPr>
            <w:rStyle w:val="Hyperlink"/>
            <w:rFonts w:ascii="Calibri" w:hAnsi="Calibri" w:cs="Calibri"/>
            <w:szCs w:val="18"/>
            <w:rtl/>
          </w:rPr>
          <w:t>/</w:t>
        </w:r>
      </w:hyperlink>
      <w:r w:rsidRPr="002E5EF2">
        <w:rPr>
          <w:rFonts w:ascii="Calibri" w:hAnsi="Calibri" w:cs="Calibri"/>
          <w:szCs w:val="18"/>
          <w:rtl/>
        </w:rPr>
        <w:t>/</w:t>
      </w:r>
      <w:r w:rsidR="003A43E2">
        <w:rPr>
          <w:rFonts w:ascii="Calibri" w:hAnsi="Calibri" w:cs="Calibri"/>
          <w:szCs w:val="18"/>
        </w:rPr>
        <w:t>.</w:t>
      </w:r>
    </w:p>
  </w:footnote>
  <w:footnote w:id="31">
    <w:p w14:paraId="3BE0F45A" w14:textId="69FCA935" w:rsidR="00C54079" w:rsidRPr="003B30D3" w:rsidRDefault="00C54079" w:rsidP="00C54079">
      <w:pPr>
        <w:pStyle w:val="FootnoteText"/>
        <w:rPr>
          <w:rFonts w:ascii="Calibri" w:hAnsi="Calibri" w:cs="Calibri"/>
          <w:szCs w:val="18"/>
        </w:rPr>
      </w:pPr>
      <w:r w:rsidRPr="003B30D3">
        <w:rPr>
          <w:rStyle w:val="FootnoteReference"/>
          <w:rFonts w:ascii="Calibri" w:hAnsi="Calibri" w:cs="Calibri"/>
          <w:szCs w:val="18"/>
          <w:rtl/>
        </w:rPr>
        <w:footnoteRef/>
      </w:r>
      <w:r w:rsidRPr="003B30D3">
        <w:rPr>
          <w:rFonts w:ascii="Calibri" w:hAnsi="Calibri" w:cs="Calibri"/>
          <w:szCs w:val="18"/>
          <w:rtl/>
        </w:rPr>
        <w:tab/>
        <w:t xml:space="preserve">على الرغم من المناقشات التي جرت في عام 2011 والتي رأت فيها الأغلبية الواضحة من المشاركين أن الضرر أكثر من النفع قد ينتج عن أي مراجعة </w:t>
      </w:r>
      <w:r w:rsidR="007817B5">
        <w:rPr>
          <w:rFonts w:ascii="Calibri" w:hAnsi="Calibri" w:cs="Calibri" w:hint="cs"/>
          <w:szCs w:val="18"/>
          <w:rtl/>
        </w:rPr>
        <w:t>للسيسة الموحدة</w:t>
      </w:r>
      <w:r w:rsidRPr="003B30D3">
        <w:rPr>
          <w:rFonts w:ascii="Calibri" w:hAnsi="Calibri" w:cs="Calibri"/>
          <w:szCs w:val="18"/>
          <w:rtl/>
        </w:rPr>
        <w:t xml:space="preserve"> من قبل </w:t>
      </w:r>
      <w:r w:rsidR="007817B5" w:rsidRPr="007817B5">
        <w:rPr>
          <w:rFonts w:ascii="Times New Roman" w:hAnsi="Times New Roman" w:cs="Calibri"/>
          <w:szCs w:val="18"/>
          <w:rtl/>
        </w:rPr>
        <w:t>الآيكان</w:t>
      </w:r>
      <w:r w:rsidR="007817B5" w:rsidRPr="001F56A2">
        <w:rPr>
          <w:rFonts w:ascii="Times New Roman" w:hAnsi="Times New Roman" w:cs="Calibri"/>
          <w:b/>
          <w:bCs/>
          <w:i/>
          <w:iCs/>
          <w:szCs w:val="22"/>
          <w:rtl/>
        </w:rPr>
        <w:t xml:space="preserve"> </w:t>
      </w:r>
      <w:r w:rsidRPr="003B30D3">
        <w:rPr>
          <w:rFonts w:ascii="Calibri" w:hAnsi="Calibri" w:cs="Calibri"/>
          <w:szCs w:val="18"/>
          <w:rtl/>
        </w:rPr>
        <w:t xml:space="preserve">كهيئة تسجيل.  انظر </w:t>
      </w:r>
      <w:r w:rsidR="007817B5">
        <w:rPr>
          <w:rFonts w:ascii="Calibri" w:hAnsi="Calibri" w:cs="Calibri" w:hint="cs"/>
          <w:szCs w:val="18"/>
          <w:rtl/>
        </w:rPr>
        <w:t>:</w:t>
      </w:r>
      <w:r w:rsidR="007817B5" w:rsidRPr="007817B5">
        <w:t xml:space="preserve"> </w:t>
      </w:r>
      <w:hyperlink r:id="rId23" w:history="1">
        <w:r w:rsidR="007817B5" w:rsidRPr="00C54079">
          <w:rPr>
            <w:rStyle w:val="Hyperlink"/>
            <w:szCs w:val="18"/>
          </w:rPr>
          <w:t>https://community.icann.org/display/gnsoudrpdt/Webinar+on+the+Current+State+of+the+UDRP</w:t>
        </w:r>
      </w:hyperlink>
      <w:r w:rsidRPr="003B30D3">
        <w:rPr>
          <w:rFonts w:ascii="Calibri" w:hAnsi="Calibri" w:cs="Calibri"/>
          <w:szCs w:val="18"/>
          <w:rtl/>
        </w:rPr>
        <w:t xml:space="preserve">؛  انظر أيضًا بشكل أعم الوثيقة </w:t>
      </w:r>
      <w:hyperlink r:id="rId24" w:history="1">
        <w:r w:rsidRPr="00A61142">
          <w:rPr>
            <w:rStyle w:val="Hyperlink"/>
            <w:rFonts w:ascii="Calibri" w:hAnsi="Calibri" w:cs="Calibri"/>
            <w:szCs w:val="18"/>
            <w:rtl/>
          </w:rPr>
          <w:t>WO/GA/39/10</w:t>
        </w:r>
      </w:hyperlink>
      <w:r w:rsidRPr="003B30D3">
        <w:rPr>
          <w:rFonts w:ascii="Calibri" w:hAnsi="Calibri" w:cs="Calibri"/>
          <w:szCs w:val="18"/>
          <w:rtl/>
        </w:rPr>
        <w:t>، الفقرة 31.</w:t>
      </w:r>
    </w:p>
  </w:footnote>
  <w:footnote w:id="32">
    <w:p w14:paraId="400AFAFC" w14:textId="00B36514" w:rsidR="00C54079" w:rsidRPr="003B30D3" w:rsidRDefault="00C54079" w:rsidP="00C54079">
      <w:pPr>
        <w:pStyle w:val="FootnoteText"/>
        <w:rPr>
          <w:rFonts w:ascii="Calibri" w:hAnsi="Calibri" w:cs="Calibri"/>
          <w:szCs w:val="18"/>
        </w:rPr>
      </w:pPr>
      <w:r w:rsidRPr="003B30D3">
        <w:rPr>
          <w:rStyle w:val="FootnoteReference"/>
          <w:rFonts w:ascii="Calibri" w:hAnsi="Calibri" w:cs="Calibri"/>
          <w:szCs w:val="18"/>
          <w:rtl/>
        </w:rPr>
        <w:footnoteRef/>
      </w:r>
      <w:r w:rsidRPr="003B30D3">
        <w:rPr>
          <w:rFonts w:ascii="Calibri" w:hAnsi="Calibri" w:cs="Calibri"/>
          <w:szCs w:val="18"/>
          <w:rtl/>
        </w:rPr>
        <w:tab/>
        <w:t xml:space="preserve">انظر التقرير النهائي في </w:t>
      </w:r>
      <w:hyperlink r:id="rId25" w:history="1">
        <w:r w:rsidR="0000011B" w:rsidRPr="00C54079">
          <w:rPr>
            <w:rStyle w:val="Hyperlink"/>
            <w:szCs w:val="18"/>
          </w:rPr>
          <w:t>https://gnso.icann.org/sites/default/files/file/field-file-attach/council-recommendations-rpm-pdp-phase-1-report-10feb21-en.pdf</w:t>
        </w:r>
      </w:hyperlink>
      <w:r w:rsidR="0000011B" w:rsidRPr="00C54079">
        <w:rPr>
          <w:szCs w:val="18"/>
        </w:rPr>
        <w:t>.</w:t>
      </w:r>
    </w:p>
    <w:p w14:paraId="004B6AAB" w14:textId="306CEB8E" w:rsidR="00C54079" w:rsidRPr="003B30D3" w:rsidRDefault="00C54079" w:rsidP="00C54079">
      <w:pPr>
        <w:pStyle w:val="FootnoteText"/>
        <w:rPr>
          <w:rFonts w:ascii="Calibri" w:hAnsi="Calibri" w:cs="Calibri"/>
          <w:szCs w:val="18"/>
        </w:rPr>
      </w:pPr>
      <w:r w:rsidRPr="003B30D3">
        <w:rPr>
          <w:rFonts w:ascii="Calibri" w:hAnsi="Calibri" w:cs="Calibri"/>
          <w:szCs w:val="18"/>
          <w:rtl/>
        </w:rPr>
        <w:t xml:space="preserve">انظر أيضًا العرض التقديمي المقدم إلى </w:t>
      </w:r>
      <w:r w:rsidR="0000011B" w:rsidRPr="0000011B">
        <w:rPr>
          <w:rFonts w:ascii="Calibri" w:hAnsi="Calibri" w:cs="Calibri"/>
          <w:szCs w:val="18"/>
          <w:rtl/>
        </w:rPr>
        <w:t>مجلس المنظمة الداعمة للأسماء العامة ومجلس الآيكان</w:t>
      </w:r>
      <w:r w:rsidR="0000011B">
        <w:rPr>
          <w:rFonts w:ascii="Calibri" w:hAnsi="Calibri" w:cs="Calibri" w:hint="cs"/>
          <w:szCs w:val="18"/>
          <w:rtl/>
        </w:rPr>
        <w:t>:</w:t>
      </w:r>
      <w:r w:rsidRPr="003B30D3">
        <w:rPr>
          <w:rFonts w:ascii="Calibri" w:hAnsi="Calibri" w:cs="Calibri"/>
          <w:szCs w:val="18"/>
          <w:rtl/>
        </w:rPr>
        <w:t xml:space="preserve"> </w:t>
      </w:r>
      <w:r w:rsidR="0000011B">
        <w:rPr>
          <w:rFonts w:ascii="Calibri" w:hAnsi="Calibri" w:cs="Calibri" w:hint="cs"/>
          <w:szCs w:val="18"/>
          <w:rtl/>
        </w:rPr>
        <w:t xml:space="preserve"> </w:t>
      </w:r>
      <w:hyperlink r:id="rId26" w:history="1">
        <w:r w:rsidRPr="00A61142">
          <w:rPr>
            <w:rStyle w:val="Hyperlink"/>
            <w:rFonts w:ascii="Calibri" w:hAnsi="Calibri" w:cs="Calibri"/>
            <w:szCs w:val="18"/>
            <w:rtl/>
          </w:rPr>
          <w:t>https://gnso.icann.org/sites/default/files/policy/2021/presentation/presentation-gnso-rpm-final-report-11Jan21-en.pdf</w:t>
        </w:r>
      </w:hyperlink>
      <w:r w:rsidRPr="003B30D3">
        <w:rPr>
          <w:rFonts w:ascii="Calibri" w:hAnsi="Calibri" w:cs="Calibri"/>
          <w:szCs w:val="18"/>
          <w:rtl/>
        </w:rPr>
        <w:t>.</w:t>
      </w:r>
    </w:p>
  </w:footnote>
  <w:footnote w:id="33">
    <w:p w14:paraId="6847E2C8" w14:textId="7F95E505" w:rsidR="00C54079" w:rsidRPr="003B30D3" w:rsidRDefault="00C54079" w:rsidP="00C54079">
      <w:pPr>
        <w:pStyle w:val="FootnoteText"/>
        <w:rPr>
          <w:rFonts w:ascii="Calibri" w:hAnsi="Calibri" w:cs="Calibri"/>
          <w:szCs w:val="18"/>
        </w:rPr>
      </w:pPr>
      <w:r w:rsidRPr="003B30D3">
        <w:rPr>
          <w:rStyle w:val="FootnoteReference"/>
          <w:rFonts w:ascii="Calibri" w:hAnsi="Calibri" w:cs="Calibri"/>
          <w:szCs w:val="18"/>
          <w:rtl/>
        </w:rPr>
        <w:footnoteRef/>
      </w:r>
      <w:r w:rsidRPr="003B30D3">
        <w:rPr>
          <w:rFonts w:ascii="Calibri" w:hAnsi="Calibri" w:cs="Calibri"/>
          <w:szCs w:val="18"/>
          <w:rtl/>
        </w:rPr>
        <w:tab/>
        <w:t>شملت هذه التوصيات الفئات الأربع التالية من التوصيات: الإبقاء على الوضع الراهن (9)، وتعديل الممارسات التشغيلية (10)، ووضع سياسات وإجراءات جديدة (15)، وجمع البيانات الشاملة (1).</w:t>
      </w:r>
    </w:p>
  </w:footnote>
  <w:footnote w:id="34">
    <w:p w14:paraId="28D4097F" w14:textId="441584EA" w:rsidR="00C54079" w:rsidRPr="003B30D3" w:rsidRDefault="00C54079" w:rsidP="00C54079">
      <w:pPr>
        <w:pStyle w:val="FootnoteText"/>
        <w:rPr>
          <w:rFonts w:ascii="Calibri" w:hAnsi="Calibri" w:cs="Calibri"/>
          <w:szCs w:val="18"/>
        </w:rPr>
      </w:pPr>
      <w:r w:rsidRPr="003B30D3">
        <w:rPr>
          <w:rStyle w:val="FootnoteReference"/>
          <w:rFonts w:ascii="Calibri" w:hAnsi="Calibri" w:cs="Calibri"/>
          <w:szCs w:val="18"/>
          <w:rtl/>
        </w:rPr>
        <w:footnoteRef/>
      </w:r>
      <w:r w:rsidRPr="003B30D3">
        <w:rPr>
          <w:rFonts w:ascii="Calibri" w:hAnsi="Calibri" w:cs="Calibri"/>
          <w:szCs w:val="18"/>
          <w:rtl/>
        </w:rPr>
        <w:tab/>
        <w:t xml:space="preserve">انظر </w:t>
      </w:r>
      <w:hyperlink r:id="rId27" w:history="1">
        <w:r w:rsidRPr="00A61142">
          <w:rPr>
            <w:rStyle w:val="Hyperlink"/>
            <w:rFonts w:ascii="Calibri" w:hAnsi="Calibri" w:cs="Calibri"/>
            <w:szCs w:val="18"/>
            <w:rtl/>
          </w:rPr>
          <w:t>https://www.icann.org/resources/board-material/resolutions-2022-01-16-en#2.a</w:t>
        </w:r>
      </w:hyperlink>
      <w:r w:rsidRPr="003B30D3">
        <w:rPr>
          <w:rFonts w:ascii="Calibri" w:hAnsi="Calibri" w:cs="Calibri"/>
          <w:szCs w:val="18"/>
          <w:rtl/>
        </w:rPr>
        <w:t>.</w:t>
      </w:r>
    </w:p>
  </w:footnote>
  <w:footnote w:id="35">
    <w:p w14:paraId="697D1225" w14:textId="25C472B5" w:rsidR="00C54079" w:rsidRPr="00C54079" w:rsidRDefault="00C54079" w:rsidP="00C54079">
      <w:pPr>
        <w:pStyle w:val="FootnoteText"/>
        <w:rPr>
          <w:szCs w:val="18"/>
        </w:rPr>
      </w:pPr>
      <w:r w:rsidRPr="003B30D3">
        <w:rPr>
          <w:rStyle w:val="FootnoteReference"/>
          <w:rFonts w:ascii="Calibri" w:hAnsi="Calibri" w:cs="Calibri"/>
          <w:szCs w:val="18"/>
          <w:rtl/>
        </w:rPr>
        <w:footnoteRef/>
      </w:r>
      <w:r w:rsidRPr="003B30D3">
        <w:rPr>
          <w:rFonts w:ascii="Calibri" w:hAnsi="Calibri" w:cs="Calibri"/>
          <w:szCs w:val="18"/>
          <w:rtl/>
        </w:rPr>
        <w:tab/>
      </w:r>
      <w:r w:rsidRPr="00F00882">
        <w:rPr>
          <w:rFonts w:ascii="Calibri" w:hAnsi="Calibri" w:cs="Calibri"/>
          <w:szCs w:val="18"/>
          <w:rtl/>
        </w:rPr>
        <w:t xml:space="preserve">انظر </w:t>
      </w:r>
      <w:hyperlink r:id="rId28" w:history="1">
        <w:r w:rsidR="00B43AF8" w:rsidRPr="00B43AF8">
          <w:rPr>
            <w:rStyle w:val="Hyperlink"/>
            <w:rFonts w:ascii="Calibri" w:hAnsi="Calibri" w:cs="Calibri"/>
            <w:szCs w:val="18"/>
            <w:rtl/>
          </w:rPr>
          <w:t>https://gnso.icann.org/en/issues/new-gtlds/rpm-final-issue-11jan16-en.pdf</w:t>
        </w:r>
      </w:hyperlink>
      <w:r w:rsidRPr="00F00882">
        <w:rPr>
          <w:rFonts w:ascii="Calibri" w:hAnsi="Calibri" w:cs="Calibri"/>
          <w:szCs w:val="18"/>
          <w:rtl/>
        </w:rPr>
        <w:t xml:space="preserve">. انظر أيضًا بيان اللجنة الاستشارية </w:t>
      </w:r>
      <w:r w:rsidR="007F1918" w:rsidRPr="00F00882">
        <w:rPr>
          <w:rFonts w:ascii="Calibri" w:hAnsi="Calibri" w:cs="Calibri" w:hint="cs"/>
          <w:szCs w:val="18"/>
          <w:rtl/>
        </w:rPr>
        <w:t>الحكومية</w:t>
      </w:r>
      <w:r w:rsidRPr="00F00882">
        <w:rPr>
          <w:rFonts w:ascii="Calibri" w:hAnsi="Calibri" w:cs="Calibri"/>
          <w:szCs w:val="18"/>
          <w:rtl/>
        </w:rPr>
        <w:t xml:space="preserve"> </w:t>
      </w:r>
      <w:r w:rsidR="007F1918" w:rsidRPr="00F00882">
        <w:rPr>
          <w:rFonts w:ascii="Times New Roman" w:hAnsi="Times New Roman" w:cs="Calibri" w:hint="cs"/>
          <w:szCs w:val="18"/>
          <w:rtl/>
        </w:rPr>
        <w:t>ل</w:t>
      </w:r>
      <w:r w:rsidR="007F1918" w:rsidRPr="00F00882">
        <w:rPr>
          <w:rFonts w:ascii="Times New Roman" w:hAnsi="Times New Roman" w:cs="Calibri"/>
          <w:szCs w:val="18"/>
          <w:rtl/>
        </w:rPr>
        <w:t>لآيكان</w:t>
      </w:r>
      <w:r w:rsidR="007F1918" w:rsidRPr="00F00882">
        <w:rPr>
          <w:rFonts w:ascii="Times New Roman" w:hAnsi="Times New Roman" w:cs="Calibri"/>
          <w:szCs w:val="22"/>
          <w:rtl/>
        </w:rPr>
        <w:t xml:space="preserve"> </w:t>
      </w:r>
      <w:r w:rsidRPr="00F00882">
        <w:rPr>
          <w:rFonts w:ascii="Calibri" w:hAnsi="Calibri" w:cs="Calibri"/>
          <w:szCs w:val="18"/>
          <w:rtl/>
        </w:rPr>
        <w:t>رقم 74، والذي ينص على: "في أعقاب فترة التعليق العام على تقرير حالة السياسة المتعلقة ب</w:t>
      </w:r>
      <w:r w:rsidR="007D65A9" w:rsidRPr="00F00882">
        <w:rPr>
          <w:rFonts w:ascii="Calibri" w:hAnsi="Calibri" w:cs="Calibri" w:hint="cs"/>
          <w:szCs w:val="18"/>
          <w:rtl/>
        </w:rPr>
        <w:t>ال</w:t>
      </w:r>
      <w:r w:rsidRPr="00F00882">
        <w:rPr>
          <w:rFonts w:ascii="Calibri" w:hAnsi="Calibri" w:cs="Calibri"/>
          <w:szCs w:val="18"/>
          <w:rtl/>
        </w:rPr>
        <w:t xml:space="preserve">سياسة </w:t>
      </w:r>
      <w:r w:rsidR="007D65A9" w:rsidRPr="00F00882">
        <w:rPr>
          <w:rFonts w:ascii="Calibri" w:hAnsi="Calibri" w:cs="Calibri" w:hint="cs"/>
          <w:szCs w:val="18"/>
          <w:rtl/>
        </w:rPr>
        <w:t>الموحدة</w:t>
      </w:r>
      <w:r w:rsidRPr="00F00882">
        <w:rPr>
          <w:rFonts w:ascii="Calibri" w:hAnsi="Calibri" w:cs="Calibri"/>
          <w:szCs w:val="18"/>
          <w:rtl/>
        </w:rPr>
        <w:t xml:space="preserve">، تلقت اللجنة الاستشارية الحكومية مدخلات من بعض أعضاء اللجنة الاستشارية الحكومية فيما يتعلق بإمكانية توسيع نطاق </w:t>
      </w:r>
      <w:r w:rsidR="007D65A9" w:rsidRPr="00F00882">
        <w:rPr>
          <w:rFonts w:ascii="Calibri" w:hAnsi="Calibri" w:cs="Calibri" w:hint="cs"/>
          <w:szCs w:val="18"/>
          <w:rtl/>
        </w:rPr>
        <w:t>ال</w:t>
      </w:r>
      <w:r w:rsidRPr="00F00882">
        <w:rPr>
          <w:rFonts w:ascii="Calibri" w:hAnsi="Calibri" w:cs="Calibri"/>
          <w:szCs w:val="18"/>
          <w:rtl/>
        </w:rPr>
        <w:t xml:space="preserve">سياسة </w:t>
      </w:r>
      <w:r w:rsidR="007D65A9" w:rsidRPr="00F00882">
        <w:rPr>
          <w:rFonts w:ascii="Calibri" w:hAnsi="Calibri" w:cs="Calibri" w:hint="cs"/>
          <w:szCs w:val="18"/>
          <w:rtl/>
        </w:rPr>
        <w:t>الموحدة</w:t>
      </w:r>
      <w:r w:rsidRPr="00F00882">
        <w:rPr>
          <w:rFonts w:ascii="Calibri" w:hAnsi="Calibri" w:cs="Calibri"/>
          <w:szCs w:val="18"/>
          <w:rtl/>
        </w:rPr>
        <w:t xml:space="preserve"> لمعالجة المؤشرات الجغرافية.  ولذلك تعتزم اللجنة الاستشارية الحكومية النظر في هذه المسألة تمهيدًا لمناقشتها في الاجتماعات اللاحقة."</w:t>
      </w:r>
    </w:p>
  </w:footnote>
  <w:footnote w:id="36">
    <w:p w14:paraId="44EDBB8F" w14:textId="2EFDE635" w:rsidR="00C54079" w:rsidRPr="00FD458F" w:rsidRDefault="00C54079" w:rsidP="00C83A9C">
      <w:pPr>
        <w:pStyle w:val="FootnoteText"/>
        <w:rPr>
          <w:rFonts w:asciiTheme="minorHAnsi" w:hAnsiTheme="minorHAnsi" w:cstheme="minorHAnsi"/>
          <w:szCs w:val="18"/>
        </w:rPr>
      </w:pPr>
      <w:r w:rsidRPr="00FD458F">
        <w:rPr>
          <w:rStyle w:val="FootnoteReference"/>
          <w:rFonts w:asciiTheme="minorHAnsi" w:hAnsiTheme="minorHAnsi" w:cstheme="minorHAnsi"/>
          <w:szCs w:val="18"/>
          <w:rtl/>
        </w:rPr>
        <w:footnoteRef/>
      </w:r>
      <w:r w:rsidRPr="00FD458F">
        <w:rPr>
          <w:rFonts w:asciiTheme="minorHAnsi" w:hAnsiTheme="minorHAnsi" w:cstheme="minorHAnsi"/>
          <w:szCs w:val="18"/>
          <w:rtl/>
        </w:rPr>
        <w:tab/>
        <w:t xml:space="preserve">انظر، </w:t>
      </w:r>
      <w:r w:rsidRPr="00FD458F">
        <w:rPr>
          <w:rFonts w:asciiTheme="minorHAnsi" w:hAnsiTheme="minorHAnsi" w:cstheme="minorHAnsi"/>
          <w:i/>
          <w:iCs/>
          <w:szCs w:val="18"/>
          <w:rtl/>
        </w:rPr>
        <w:t xml:space="preserve">من بين جملة أمور </w:t>
      </w:r>
      <w:r w:rsidRPr="00FD458F">
        <w:rPr>
          <w:rFonts w:asciiTheme="minorHAnsi" w:hAnsiTheme="minorHAnsi" w:cstheme="minorHAnsi"/>
          <w:szCs w:val="18"/>
          <w:rtl/>
        </w:rPr>
        <w:t xml:space="preserve">أخرى، بيان اللجنة الاستشارية </w:t>
      </w:r>
      <w:r w:rsidR="00C83A9C">
        <w:rPr>
          <w:rFonts w:asciiTheme="minorHAnsi" w:hAnsiTheme="minorHAnsi" w:cstheme="minorHAnsi" w:hint="cs"/>
          <w:szCs w:val="18"/>
          <w:rtl/>
        </w:rPr>
        <w:t>الحكومية</w:t>
      </w:r>
      <w:r w:rsidRPr="00FD458F">
        <w:rPr>
          <w:rFonts w:asciiTheme="minorHAnsi" w:hAnsiTheme="minorHAnsi" w:cstheme="minorHAnsi"/>
          <w:szCs w:val="18"/>
          <w:rtl/>
        </w:rPr>
        <w:t xml:space="preserve"> </w:t>
      </w:r>
      <w:r w:rsidR="00C83A9C">
        <w:rPr>
          <w:rFonts w:asciiTheme="minorHAnsi" w:hAnsiTheme="minorHAnsi" w:cstheme="minorHAnsi" w:hint="cs"/>
          <w:szCs w:val="18"/>
          <w:rtl/>
        </w:rPr>
        <w:t>للآيكان</w:t>
      </w:r>
      <w:r w:rsidRPr="00FD458F">
        <w:rPr>
          <w:rFonts w:asciiTheme="minorHAnsi" w:hAnsiTheme="minorHAnsi" w:cstheme="minorHAnsi"/>
          <w:szCs w:val="18"/>
          <w:rtl/>
        </w:rPr>
        <w:t xml:space="preserve"> رقم 74، الذي ينص على: "تلقت اللجنة الاستشارية </w:t>
      </w:r>
      <w:r w:rsidR="00C83A9C">
        <w:rPr>
          <w:rFonts w:asciiTheme="minorHAnsi" w:hAnsiTheme="minorHAnsi" w:cstheme="minorHAnsi" w:hint="cs"/>
          <w:szCs w:val="18"/>
          <w:rtl/>
        </w:rPr>
        <w:t>الحكومية</w:t>
      </w:r>
      <w:r w:rsidRPr="00FD458F">
        <w:rPr>
          <w:rFonts w:asciiTheme="minorHAnsi" w:hAnsiTheme="minorHAnsi" w:cstheme="minorHAnsi"/>
          <w:szCs w:val="18"/>
          <w:rtl/>
        </w:rPr>
        <w:t xml:space="preserve"> تحديثًا عن حالة المراجعة ا</w:t>
      </w:r>
      <w:r w:rsidR="00C83A9C">
        <w:rPr>
          <w:rFonts w:asciiTheme="minorHAnsi" w:hAnsiTheme="minorHAnsi" w:cstheme="minorHAnsi" w:hint="cs"/>
          <w:szCs w:val="18"/>
          <w:rtl/>
        </w:rPr>
        <w:t xml:space="preserve">المقررة </w:t>
      </w:r>
      <w:r w:rsidRPr="00FD458F">
        <w:rPr>
          <w:rFonts w:asciiTheme="minorHAnsi" w:hAnsiTheme="minorHAnsi" w:cstheme="minorHAnsi"/>
          <w:szCs w:val="18"/>
          <w:rtl/>
        </w:rPr>
        <w:t xml:space="preserve">بشأن </w:t>
      </w:r>
      <w:r w:rsidR="00C83A9C">
        <w:rPr>
          <w:rFonts w:asciiTheme="minorHAnsi" w:hAnsiTheme="minorHAnsi" w:cstheme="minorHAnsi" w:hint="cs"/>
          <w:szCs w:val="18"/>
          <w:rtl/>
        </w:rPr>
        <w:t xml:space="preserve">السياسة الموحدة، </w:t>
      </w:r>
      <w:r w:rsidRPr="00FD458F">
        <w:rPr>
          <w:rFonts w:asciiTheme="minorHAnsi" w:hAnsiTheme="minorHAnsi" w:cstheme="minorHAnsi"/>
          <w:szCs w:val="18"/>
          <w:rtl/>
        </w:rPr>
        <w:t xml:space="preserve">وتلاحظ على وجه الخصوص الإشارة إلى المادة </w:t>
      </w:r>
      <w:r w:rsidR="00C83A9C">
        <w:rPr>
          <w:rFonts w:asciiTheme="minorHAnsi" w:hAnsiTheme="minorHAnsi" w:cstheme="minorHAnsi" w:hint="cs"/>
          <w:szCs w:val="18"/>
          <w:rtl/>
        </w:rPr>
        <w:t xml:space="preserve">13-1 </w:t>
      </w:r>
      <w:r w:rsidRPr="00FD458F">
        <w:rPr>
          <w:rFonts w:asciiTheme="minorHAnsi" w:hAnsiTheme="minorHAnsi" w:cstheme="minorHAnsi"/>
          <w:szCs w:val="18"/>
          <w:rtl/>
        </w:rPr>
        <w:t xml:space="preserve">من لوائح </w:t>
      </w:r>
      <w:r w:rsidR="00C83A9C">
        <w:rPr>
          <w:rFonts w:asciiTheme="minorHAnsi" w:hAnsiTheme="minorHAnsi" w:cstheme="minorHAnsi" w:hint="cs"/>
          <w:szCs w:val="18"/>
          <w:rtl/>
        </w:rPr>
        <w:t>الآيكان</w:t>
      </w:r>
      <w:r w:rsidRPr="00FD458F">
        <w:rPr>
          <w:rFonts w:asciiTheme="minorHAnsi" w:hAnsiTheme="minorHAnsi" w:cstheme="minorHAnsi"/>
          <w:szCs w:val="18"/>
          <w:rtl/>
        </w:rPr>
        <w:t xml:space="preserve"> الداخلية التي تدعو مجلس الإدارة والهيئات المكونة إلى طلب المشورة من الهيئات العامة ذات الصلة ذات الخبرة الموجودة خارج </w:t>
      </w:r>
      <w:r w:rsidR="00C83A9C">
        <w:rPr>
          <w:rFonts w:asciiTheme="minorHAnsi" w:hAnsiTheme="minorHAnsi" w:cstheme="minorHAnsi" w:hint="cs"/>
          <w:szCs w:val="18"/>
          <w:rtl/>
        </w:rPr>
        <w:t>الآيكان</w:t>
      </w:r>
      <w:r w:rsidR="00C83A9C" w:rsidRPr="00FD458F">
        <w:rPr>
          <w:rFonts w:asciiTheme="minorHAnsi" w:hAnsiTheme="minorHAnsi" w:cstheme="minorHAnsi"/>
          <w:szCs w:val="18"/>
          <w:rtl/>
        </w:rPr>
        <w:t xml:space="preserve"> </w:t>
      </w:r>
      <w:r w:rsidRPr="00FD458F">
        <w:rPr>
          <w:rFonts w:asciiTheme="minorHAnsi" w:hAnsiTheme="minorHAnsi" w:cstheme="minorHAnsi"/>
          <w:szCs w:val="18"/>
          <w:rtl/>
        </w:rPr>
        <w:t xml:space="preserve">(لا سيما </w:t>
      </w:r>
      <w:r w:rsidR="00C83A9C">
        <w:rPr>
          <w:rFonts w:asciiTheme="minorHAnsi" w:hAnsiTheme="minorHAnsi" w:cstheme="minorHAnsi" w:hint="cs"/>
          <w:szCs w:val="18"/>
          <w:rtl/>
        </w:rPr>
        <w:t>الويبو</w:t>
      </w:r>
      <w:r w:rsidRPr="00FD458F">
        <w:rPr>
          <w:rFonts w:asciiTheme="minorHAnsi" w:hAnsiTheme="minorHAnsi" w:cstheme="minorHAnsi"/>
          <w:szCs w:val="18"/>
          <w:rtl/>
        </w:rPr>
        <w:t xml:space="preserve"> - بصفتها </w:t>
      </w:r>
      <w:r w:rsidR="002550FF">
        <w:rPr>
          <w:rFonts w:asciiTheme="minorHAnsi" w:hAnsiTheme="minorHAnsi" w:cstheme="minorHAnsi" w:hint="cs"/>
          <w:szCs w:val="18"/>
          <w:rtl/>
        </w:rPr>
        <w:t>المضيفة</w:t>
      </w:r>
      <w:r w:rsidRPr="00FD458F">
        <w:rPr>
          <w:rFonts w:asciiTheme="minorHAnsi" w:hAnsiTheme="minorHAnsi" w:cstheme="minorHAnsi"/>
          <w:szCs w:val="18"/>
          <w:rtl/>
        </w:rPr>
        <w:t xml:space="preserve"> و</w:t>
      </w:r>
      <w:r w:rsidR="00C83A9C">
        <w:rPr>
          <w:rFonts w:asciiTheme="minorHAnsi" w:hAnsiTheme="minorHAnsi" w:cstheme="minorHAnsi" w:hint="cs"/>
          <w:szCs w:val="18"/>
          <w:rtl/>
        </w:rPr>
        <w:t xml:space="preserve"> </w:t>
      </w:r>
      <w:r w:rsidRPr="00FD458F">
        <w:rPr>
          <w:rFonts w:asciiTheme="minorHAnsi" w:hAnsiTheme="minorHAnsi" w:cstheme="minorHAnsi"/>
          <w:szCs w:val="18"/>
          <w:rtl/>
        </w:rPr>
        <w:t>المشرف</w:t>
      </w:r>
      <w:r w:rsidR="002550FF">
        <w:rPr>
          <w:rFonts w:asciiTheme="minorHAnsi" w:hAnsiTheme="minorHAnsi" w:cstheme="minorHAnsi" w:hint="cs"/>
          <w:szCs w:val="18"/>
          <w:rtl/>
        </w:rPr>
        <w:t>ة</w:t>
      </w:r>
      <w:r w:rsidRPr="00FD458F">
        <w:rPr>
          <w:rFonts w:asciiTheme="minorHAnsi" w:hAnsiTheme="minorHAnsi" w:cstheme="minorHAnsi"/>
          <w:szCs w:val="18"/>
          <w:rtl/>
        </w:rPr>
        <w:t xml:space="preserve"> على </w:t>
      </w:r>
      <w:r w:rsidR="002550FF">
        <w:rPr>
          <w:rFonts w:asciiTheme="minorHAnsi" w:hAnsiTheme="minorHAnsi" w:cstheme="minorHAnsi" w:hint="cs"/>
          <w:szCs w:val="18"/>
          <w:rtl/>
        </w:rPr>
        <w:t>السياسة الموحدة</w:t>
      </w:r>
      <w:r w:rsidRPr="00FD458F">
        <w:rPr>
          <w:rFonts w:asciiTheme="minorHAnsi" w:hAnsiTheme="minorHAnsi" w:cstheme="minorHAnsi"/>
          <w:szCs w:val="18"/>
          <w:rtl/>
        </w:rPr>
        <w:t xml:space="preserve"> لإثراء عملية وضع السياسات، وتتطلع إلى مواصلة استكشاف هذا الحكم قبل أي مراجعة </w:t>
      </w:r>
      <w:r w:rsidR="002550FF">
        <w:rPr>
          <w:rFonts w:asciiTheme="minorHAnsi" w:hAnsiTheme="minorHAnsi" w:cstheme="minorHAnsi" w:hint="cs"/>
          <w:szCs w:val="18"/>
          <w:rtl/>
        </w:rPr>
        <w:t>للسيلسة الموحدة</w:t>
      </w:r>
      <w:r w:rsidRPr="00FD458F">
        <w:rPr>
          <w:rFonts w:asciiTheme="minorHAnsi" w:hAnsiTheme="minorHAnsi" w:cstheme="minorHAnsi"/>
          <w:szCs w:val="18"/>
          <w:rtl/>
        </w:rPr>
        <w:t>."</w:t>
      </w:r>
    </w:p>
  </w:footnote>
  <w:footnote w:id="37">
    <w:p w14:paraId="33C8B617" w14:textId="0B862AE9" w:rsidR="00C54079" w:rsidRPr="00FD458F" w:rsidRDefault="00C54079" w:rsidP="00C54079">
      <w:pPr>
        <w:pStyle w:val="FootnoteText"/>
        <w:rPr>
          <w:rFonts w:asciiTheme="minorHAnsi" w:hAnsiTheme="minorHAnsi" w:cstheme="minorHAnsi"/>
          <w:szCs w:val="18"/>
        </w:rPr>
      </w:pPr>
      <w:r w:rsidRPr="00FD458F">
        <w:rPr>
          <w:rStyle w:val="FootnoteReference"/>
          <w:rFonts w:asciiTheme="minorHAnsi" w:hAnsiTheme="minorHAnsi" w:cstheme="minorHAnsi"/>
          <w:szCs w:val="18"/>
          <w:rtl/>
        </w:rPr>
        <w:footnoteRef/>
      </w:r>
      <w:r w:rsidRPr="00FD458F">
        <w:rPr>
          <w:rFonts w:asciiTheme="minorHAnsi" w:hAnsiTheme="minorHAnsi" w:cstheme="minorHAnsi"/>
          <w:szCs w:val="18"/>
          <w:rtl/>
        </w:rPr>
        <w:tab/>
        <w:t>انظر</w:t>
      </w:r>
      <w:hyperlink r:id="rId29" w:history="1">
        <w:r w:rsidRPr="00FD458F">
          <w:rPr>
            <w:rStyle w:val="Hyperlink"/>
            <w:rFonts w:asciiTheme="minorHAnsi" w:hAnsiTheme="minorHAnsi" w:cstheme="minorHAnsi"/>
            <w:szCs w:val="18"/>
            <w:rtl/>
          </w:rPr>
          <w:t>www.icann.org/en/minutes/resolutions-20jun11-en.htm</w:t>
        </w:r>
      </w:hyperlink>
      <w:r w:rsidRPr="00FD458F">
        <w:rPr>
          <w:rFonts w:asciiTheme="minorHAnsi" w:hAnsiTheme="minorHAnsi" w:cstheme="minorHAnsi"/>
          <w:szCs w:val="18"/>
          <w:rtl/>
        </w:rPr>
        <w:t xml:space="preserve"> .  للاطلاع على مزيد من المعلومات الأساسية بما في ذلك المراجع، انظر الوثيقة </w:t>
      </w:r>
      <w:hyperlink r:id="rId30" w:history="1">
        <w:r w:rsidRPr="004C6625">
          <w:rPr>
            <w:rStyle w:val="Hyperlink"/>
            <w:rFonts w:asciiTheme="minorHAnsi" w:hAnsiTheme="minorHAnsi" w:cstheme="minorHAnsi"/>
            <w:szCs w:val="18"/>
            <w:rtl/>
          </w:rPr>
          <w:t>WO/GA/39/10</w:t>
        </w:r>
      </w:hyperlink>
      <w:r w:rsidRPr="00FD458F">
        <w:rPr>
          <w:rFonts w:asciiTheme="minorHAnsi" w:hAnsiTheme="minorHAnsi" w:cstheme="minorHAnsi"/>
          <w:szCs w:val="18"/>
          <w:rtl/>
        </w:rPr>
        <w:t>، لا سيما الفقرة 14.</w:t>
      </w:r>
    </w:p>
  </w:footnote>
  <w:footnote w:id="38">
    <w:p w14:paraId="7B625BA9" w14:textId="186A9C1D" w:rsidR="00C54079" w:rsidRPr="00FD458F" w:rsidRDefault="00C54079" w:rsidP="00C54079">
      <w:pPr>
        <w:pStyle w:val="FootnoteText"/>
        <w:rPr>
          <w:rFonts w:asciiTheme="minorHAnsi" w:hAnsiTheme="minorHAnsi" w:cstheme="minorHAnsi"/>
          <w:szCs w:val="18"/>
        </w:rPr>
      </w:pPr>
      <w:r w:rsidRPr="00FD458F">
        <w:rPr>
          <w:rStyle w:val="FootnoteReference"/>
          <w:rFonts w:asciiTheme="minorHAnsi" w:hAnsiTheme="minorHAnsi" w:cstheme="minorHAnsi"/>
          <w:szCs w:val="18"/>
          <w:rtl/>
        </w:rPr>
        <w:footnoteRef/>
      </w:r>
      <w:r w:rsidRPr="00FD458F">
        <w:rPr>
          <w:rFonts w:asciiTheme="minorHAnsi" w:hAnsiTheme="minorHAnsi" w:cstheme="minorHAnsi"/>
          <w:szCs w:val="18"/>
          <w:rtl/>
        </w:rPr>
        <w:tab/>
      </w:r>
      <w:r w:rsidR="00855315">
        <w:rPr>
          <w:rFonts w:asciiTheme="minorHAnsi" w:hAnsiTheme="minorHAnsi" w:cstheme="minorHAnsi" w:hint="cs"/>
          <w:szCs w:val="18"/>
          <w:rtl/>
        </w:rPr>
        <w:t>ترد</w:t>
      </w:r>
      <w:r w:rsidRPr="00FD458F">
        <w:rPr>
          <w:rFonts w:asciiTheme="minorHAnsi" w:hAnsiTheme="minorHAnsi" w:cstheme="minorHAnsi"/>
          <w:szCs w:val="18"/>
          <w:rtl/>
        </w:rPr>
        <w:t xml:space="preserve"> </w:t>
      </w:r>
      <w:r w:rsidR="00835619">
        <w:rPr>
          <w:rFonts w:asciiTheme="minorHAnsi" w:hAnsiTheme="minorHAnsi" w:cstheme="minorHAnsi"/>
          <w:szCs w:val="18"/>
          <w:rtl/>
        </w:rPr>
        <w:t>الحقول العليا</w:t>
      </w:r>
      <w:r w:rsidRPr="00FD458F">
        <w:rPr>
          <w:rFonts w:asciiTheme="minorHAnsi" w:hAnsiTheme="minorHAnsi" w:cstheme="minorHAnsi"/>
          <w:szCs w:val="18"/>
          <w:rtl/>
        </w:rPr>
        <w:t xml:space="preserve"> الجديدة المفوضة على</w:t>
      </w:r>
      <w:r w:rsidR="00855315">
        <w:rPr>
          <w:rFonts w:asciiTheme="minorHAnsi" w:hAnsiTheme="minorHAnsi" w:cstheme="minorHAnsi" w:hint="cs"/>
          <w:szCs w:val="18"/>
          <w:rtl/>
        </w:rPr>
        <w:t>:</w:t>
      </w:r>
      <w:r w:rsidRPr="00FD458F">
        <w:rPr>
          <w:rFonts w:asciiTheme="minorHAnsi" w:hAnsiTheme="minorHAnsi" w:cstheme="minorHAnsi"/>
          <w:szCs w:val="18"/>
          <w:rtl/>
        </w:rPr>
        <w:t xml:space="preserve"> </w:t>
      </w:r>
      <w:hyperlink r:id="rId31" w:history="1">
        <w:r w:rsidRPr="00514C9A">
          <w:rPr>
            <w:rStyle w:val="Hyperlink"/>
            <w:rFonts w:asciiTheme="minorHAnsi" w:hAnsiTheme="minorHAnsi" w:cstheme="minorHAnsi"/>
            <w:szCs w:val="18"/>
            <w:rtl/>
          </w:rPr>
          <w:t>https://newgtlds.icann.org/en/program-status/delegated-strings</w:t>
        </w:r>
      </w:hyperlink>
      <w:r w:rsidRPr="00FD458F">
        <w:rPr>
          <w:rFonts w:asciiTheme="minorHAnsi" w:hAnsiTheme="minorHAnsi" w:cstheme="minorHAnsi"/>
          <w:szCs w:val="18"/>
          <w:rtl/>
        </w:rPr>
        <w:t xml:space="preserve">.  </w:t>
      </w:r>
    </w:p>
  </w:footnote>
  <w:footnote w:id="39">
    <w:p w14:paraId="07636872" w14:textId="77777777" w:rsidR="00C54079" w:rsidRPr="00FD458F" w:rsidRDefault="00C54079" w:rsidP="00C54079">
      <w:pPr>
        <w:pStyle w:val="FootnoteText"/>
        <w:rPr>
          <w:rFonts w:asciiTheme="minorHAnsi" w:hAnsiTheme="minorHAnsi" w:cstheme="minorHAnsi"/>
          <w:szCs w:val="18"/>
        </w:rPr>
      </w:pPr>
      <w:r w:rsidRPr="00FD458F">
        <w:rPr>
          <w:rStyle w:val="FootnoteReference"/>
          <w:rFonts w:asciiTheme="minorHAnsi" w:hAnsiTheme="minorHAnsi" w:cstheme="minorHAnsi"/>
          <w:szCs w:val="18"/>
          <w:rtl/>
        </w:rPr>
        <w:footnoteRef/>
      </w:r>
      <w:r w:rsidRPr="00FD458F">
        <w:rPr>
          <w:rFonts w:asciiTheme="minorHAnsi" w:hAnsiTheme="minorHAnsi" w:cstheme="minorHAnsi"/>
          <w:szCs w:val="18"/>
          <w:rtl/>
        </w:rPr>
        <w:tab/>
        <w:t xml:space="preserve">راجع </w:t>
      </w:r>
      <w:hyperlink r:id="rId32" w:history="1">
        <w:r w:rsidRPr="00FD458F">
          <w:rPr>
            <w:rStyle w:val="Hyperlink"/>
            <w:rFonts w:asciiTheme="minorHAnsi" w:hAnsiTheme="minorHAnsi" w:cstheme="minorHAnsi"/>
            <w:szCs w:val="18"/>
            <w:rtl/>
          </w:rPr>
          <w:t>ntldstats.com</w:t>
        </w:r>
      </w:hyperlink>
      <w:r w:rsidRPr="00FD458F">
        <w:rPr>
          <w:rFonts w:asciiTheme="minorHAnsi" w:hAnsiTheme="minorHAnsi" w:cstheme="minorHAnsi"/>
          <w:szCs w:val="18"/>
          <w:rtl/>
        </w:rPr>
        <w:t>.</w:t>
      </w:r>
    </w:p>
  </w:footnote>
  <w:footnote w:id="40">
    <w:p w14:paraId="0BAA8F3F" w14:textId="70F471CA" w:rsidR="00C54079" w:rsidRPr="00FD458F" w:rsidRDefault="00C54079" w:rsidP="00C54079">
      <w:pPr>
        <w:pStyle w:val="FootnoteText"/>
        <w:rPr>
          <w:rFonts w:asciiTheme="minorHAnsi" w:hAnsiTheme="minorHAnsi" w:cstheme="minorHAnsi"/>
          <w:szCs w:val="18"/>
        </w:rPr>
      </w:pPr>
      <w:r w:rsidRPr="00FD458F">
        <w:rPr>
          <w:rStyle w:val="FootnoteReference"/>
          <w:rFonts w:asciiTheme="minorHAnsi" w:hAnsiTheme="minorHAnsi" w:cstheme="minorHAnsi"/>
          <w:szCs w:val="18"/>
          <w:rtl/>
        </w:rPr>
        <w:footnoteRef/>
      </w:r>
      <w:r w:rsidRPr="00FD458F">
        <w:rPr>
          <w:rFonts w:asciiTheme="minorHAnsi" w:hAnsiTheme="minorHAnsi" w:cstheme="minorHAnsi"/>
          <w:szCs w:val="18"/>
          <w:rtl/>
        </w:rPr>
        <w:tab/>
        <w:t xml:space="preserve">راجع نشرة </w:t>
      </w:r>
      <w:r w:rsidR="00E10FA5" w:rsidRPr="00E10FA5">
        <w:rPr>
          <w:rFonts w:asciiTheme="minorHAnsi" w:hAnsiTheme="minorHAnsi" w:cs="Calibri"/>
          <w:szCs w:val="18"/>
          <w:rtl/>
        </w:rPr>
        <w:t xml:space="preserve">عملية تطوير سياسة الإجراءات اللاحقة </w:t>
      </w:r>
      <w:r w:rsidR="00E10FA5">
        <w:rPr>
          <w:rFonts w:asciiTheme="minorHAnsi" w:hAnsiTheme="minorHAnsi" w:cstheme="minorHAnsi" w:hint="cs"/>
          <w:szCs w:val="18"/>
          <w:rtl/>
        </w:rPr>
        <w:t>ل</w:t>
      </w:r>
      <w:r w:rsidR="00835619">
        <w:rPr>
          <w:rFonts w:asciiTheme="minorHAnsi" w:hAnsiTheme="minorHAnsi" w:cstheme="minorHAnsi"/>
          <w:szCs w:val="18"/>
          <w:rtl/>
        </w:rPr>
        <w:t>لحقول العليا</w:t>
      </w:r>
      <w:r w:rsidRPr="00FD458F">
        <w:rPr>
          <w:rFonts w:asciiTheme="minorHAnsi" w:hAnsiTheme="minorHAnsi" w:cstheme="minorHAnsi"/>
          <w:szCs w:val="18"/>
          <w:rtl/>
        </w:rPr>
        <w:t xml:space="preserve"> الجديدة لشهر يناير 2021 على:  </w:t>
      </w:r>
      <w:hyperlink r:id="rId33" w:history="1">
        <w:r w:rsidRPr="00514C9A">
          <w:rPr>
            <w:rStyle w:val="Hyperlink"/>
            <w:rFonts w:asciiTheme="minorHAnsi" w:hAnsiTheme="minorHAnsi" w:cstheme="minorHAnsi"/>
            <w:szCs w:val="18"/>
            <w:rtl/>
          </w:rPr>
          <w:t>https://myemail.constantcontact.com/Read-the-SubPro-PDP-Newsletter---January-2021-Edition.html?soid=1122025845763&amp;aid=qJxZ65sQtok</w:t>
        </w:r>
      </w:hyperlink>
      <w:r w:rsidRPr="00FD458F">
        <w:rPr>
          <w:rFonts w:asciiTheme="minorHAnsi" w:hAnsiTheme="minorHAnsi" w:cstheme="minorHAnsi"/>
          <w:szCs w:val="18"/>
          <w:rtl/>
        </w:rPr>
        <w:t xml:space="preserve">.  للاطلاع على التقرير النهائي لمجموعة العمل المقدم في 18 يناير 2021، انظر </w:t>
      </w:r>
      <w:hyperlink r:id="rId34" w:history="1">
        <w:r w:rsidRPr="00514C9A">
          <w:rPr>
            <w:rStyle w:val="Hyperlink"/>
            <w:rFonts w:asciiTheme="minorHAnsi" w:hAnsiTheme="minorHAnsi" w:cstheme="minorHAnsi"/>
            <w:szCs w:val="18"/>
            <w:rtl/>
          </w:rPr>
          <w:t>https://gnso.icann.org/sites/default/files/file/field-file-attach/final-report-newgtld-subsequent-procedures-pdp-02feb21-en.pdf</w:t>
        </w:r>
      </w:hyperlink>
      <w:r w:rsidRPr="00FD458F">
        <w:rPr>
          <w:rFonts w:asciiTheme="minorHAnsi" w:hAnsiTheme="minorHAnsi" w:cstheme="minorHAnsi"/>
          <w:szCs w:val="18"/>
          <w:rtl/>
        </w:rPr>
        <w:t>.</w:t>
      </w:r>
    </w:p>
  </w:footnote>
  <w:footnote w:id="41">
    <w:p w14:paraId="7FC78A4B" w14:textId="6F929D0E" w:rsidR="00C54079" w:rsidRPr="00FD458F" w:rsidRDefault="00C54079" w:rsidP="00C54079">
      <w:pPr>
        <w:pStyle w:val="FootnoteText"/>
        <w:rPr>
          <w:rFonts w:asciiTheme="minorHAnsi" w:hAnsiTheme="minorHAnsi" w:cstheme="minorHAnsi"/>
          <w:szCs w:val="18"/>
        </w:rPr>
      </w:pPr>
      <w:r w:rsidRPr="00FD458F">
        <w:rPr>
          <w:rStyle w:val="FootnoteReference"/>
          <w:rFonts w:asciiTheme="minorHAnsi" w:hAnsiTheme="minorHAnsi" w:cstheme="minorHAnsi"/>
          <w:szCs w:val="18"/>
          <w:rtl/>
        </w:rPr>
        <w:footnoteRef/>
      </w:r>
      <w:r w:rsidRPr="00FD458F">
        <w:rPr>
          <w:rFonts w:asciiTheme="minorHAnsi" w:hAnsiTheme="minorHAnsi" w:cstheme="minorHAnsi"/>
          <w:szCs w:val="18"/>
          <w:rtl/>
        </w:rPr>
        <w:tab/>
        <w:t xml:space="preserve">للاطلاع على مزيد من المعلومات الأساسية بما في ذلك المراجع، انظر </w:t>
      </w:r>
      <w:hyperlink r:id="rId35" w:history="1">
        <w:r w:rsidRPr="00514C9A">
          <w:rPr>
            <w:rStyle w:val="Hyperlink"/>
            <w:rFonts w:asciiTheme="minorHAnsi" w:hAnsiTheme="minorHAnsi" w:cstheme="minorHAnsi"/>
            <w:szCs w:val="18"/>
            <w:rtl/>
          </w:rPr>
          <w:t>WO/GA/39/10</w:t>
        </w:r>
      </w:hyperlink>
      <w:r w:rsidRPr="00FD458F">
        <w:rPr>
          <w:rFonts w:asciiTheme="minorHAnsi" w:hAnsiTheme="minorHAnsi" w:cstheme="minorHAnsi"/>
          <w:szCs w:val="18"/>
          <w:rtl/>
        </w:rPr>
        <w:t xml:space="preserve">، لا سيما الفقرات من 23 إلى 30.  وتجدر الإشارة هنا إلى أن </w:t>
      </w:r>
      <w:r w:rsidR="00DC20D4">
        <w:rPr>
          <w:rFonts w:asciiTheme="minorHAnsi" w:hAnsiTheme="minorHAnsi" w:cstheme="minorHAnsi" w:hint="cs"/>
          <w:szCs w:val="18"/>
          <w:rtl/>
        </w:rPr>
        <w:t>الآيكان</w:t>
      </w:r>
      <w:r w:rsidRPr="00FD458F">
        <w:rPr>
          <w:rFonts w:asciiTheme="minorHAnsi" w:hAnsiTheme="minorHAnsi" w:cstheme="minorHAnsi"/>
          <w:szCs w:val="18"/>
          <w:rtl/>
        </w:rPr>
        <w:t xml:space="preserve"> رفضت اقتراح "قائمة العلامات المحمية عالمياً".</w:t>
      </w:r>
    </w:p>
  </w:footnote>
  <w:footnote w:id="42">
    <w:p w14:paraId="25114B98" w14:textId="0D7AA20A" w:rsidR="00C54079" w:rsidRPr="00C54079" w:rsidRDefault="00C54079" w:rsidP="00C54079">
      <w:pPr>
        <w:pStyle w:val="FootnoteText"/>
        <w:rPr>
          <w:szCs w:val="18"/>
        </w:rPr>
      </w:pPr>
      <w:r w:rsidRPr="00FD458F">
        <w:rPr>
          <w:rStyle w:val="FootnoteReference"/>
          <w:rFonts w:asciiTheme="minorHAnsi" w:hAnsiTheme="minorHAnsi" w:cstheme="minorHAnsi"/>
          <w:szCs w:val="18"/>
          <w:rtl/>
        </w:rPr>
        <w:footnoteRef/>
      </w:r>
      <w:r w:rsidRPr="00FD458F">
        <w:rPr>
          <w:rFonts w:asciiTheme="minorHAnsi" w:hAnsiTheme="minorHAnsi" w:cstheme="minorHAnsi"/>
          <w:szCs w:val="18"/>
          <w:rtl/>
        </w:rPr>
        <w:tab/>
        <w:t xml:space="preserve">كانت أسباب الاعتراض الأخرى التي اعترفت بها </w:t>
      </w:r>
      <w:r w:rsidR="0017648D">
        <w:rPr>
          <w:rFonts w:ascii="Calibri" w:hAnsi="Calibri" w:cs="Calibri" w:hint="cs"/>
          <w:szCs w:val="22"/>
          <w:rtl/>
        </w:rPr>
        <w:t>الآيكان</w:t>
      </w:r>
      <w:r w:rsidR="0017648D" w:rsidRPr="007D0C16">
        <w:rPr>
          <w:rFonts w:ascii="Calibri" w:hAnsi="Calibri" w:cs="Calibri"/>
          <w:sz w:val="22"/>
          <w:szCs w:val="22"/>
          <w:rtl/>
        </w:rPr>
        <w:t xml:space="preserve"> </w:t>
      </w:r>
      <w:r w:rsidRPr="00FD458F">
        <w:rPr>
          <w:rFonts w:asciiTheme="minorHAnsi" w:hAnsiTheme="minorHAnsi" w:cstheme="minorHAnsi"/>
          <w:szCs w:val="18"/>
          <w:rtl/>
        </w:rPr>
        <w:t xml:space="preserve">هي: "اعتراضات </w:t>
      </w:r>
      <w:r w:rsidR="00DC20D4">
        <w:rPr>
          <w:rFonts w:asciiTheme="minorHAnsi" w:hAnsiTheme="minorHAnsi" w:cstheme="minorHAnsi" w:hint="cs"/>
          <w:szCs w:val="18"/>
          <w:rtl/>
        </w:rPr>
        <w:t>ارتباك</w:t>
      </w:r>
      <w:r w:rsidRPr="00FD458F">
        <w:rPr>
          <w:rFonts w:asciiTheme="minorHAnsi" w:hAnsiTheme="minorHAnsi" w:cstheme="minorHAnsi"/>
          <w:szCs w:val="18"/>
          <w:rtl/>
        </w:rPr>
        <w:t xml:space="preserve"> </w:t>
      </w:r>
      <w:r w:rsidR="00DC20D4">
        <w:rPr>
          <w:rFonts w:asciiTheme="minorHAnsi" w:hAnsiTheme="minorHAnsi" w:cstheme="minorHAnsi" w:hint="cs"/>
          <w:szCs w:val="18"/>
          <w:rtl/>
        </w:rPr>
        <w:t>السلسلة</w:t>
      </w:r>
      <w:r w:rsidRPr="00FD458F">
        <w:rPr>
          <w:rFonts w:asciiTheme="minorHAnsi" w:hAnsiTheme="minorHAnsi" w:cstheme="minorHAnsi"/>
          <w:szCs w:val="18"/>
          <w:rtl/>
        </w:rPr>
        <w:t xml:space="preserve">" و"اعتراضات </w:t>
      </w:r>
      <w:r w:rsidR="00DC20D4">
        <w:rPr>
          <w:rFonts w:asciiTheme="minorHAnsi" w:hAnsiTheme="minorHAnsi" w:cstheme="minorHAnsi" w:hint="cs"/>
          <w:szCs w:val="18"/>
          <w:rtl/>
        </w:rPr>
        <w:t>الجماعة</w:t>
      </w:r>
      <w:r w:rsidRPr="00FD458F">
        <w:rPr>
          <w:rFonts w:asciiTheme="minorHAnsi" w:hAnsiTheme="minorHAnsi" w:cstheme="minorHAnsi"/>
          <w:szCs w:val="18"/>
          <w:rtl/>
        </w:rPr>
        <w:t>" و"اعتراضات المصلحة العامة</w:t>
      </w:r>
      <w:r w:rsidR="008A060F">
        <w:rPr>
          <w:rFonts w:asciiTheme="minorHAnsi" w:hAnsiTheme="minorHAnsi" w:cstheme="minorHAnsi" w:hint="cs"/>
          <w:szCs w:val="18"/>
          <w:rtl/>
        </w:rPr>
        <w:t xml:space="preserve"> </w:t>
      </w:r>
      <w:r w:rsidRPr="00FD458F">
        <w:rPr>
          <w:rFonts w:asciiTheme="minorHAnsi" w:hAnsiTheme="minorHAnsi" w:cstheme="minorHAnsi"/>
          <w:szCs w:val="18"/>
          <w:rtl/>
        </w:rPr>
        <w:t xml:space="preserve">المحدودة".  كما يتضمن دليل مقدمي الطلبات عددًا من الإجراءات الأخرى التي يمكن للحكومات الاستفادة منها بعد إعلان </w:t>
      </w:r>
      <w:r w:rsidR="0017648D">
        <w:rPr>
          <w:rFonts w:ascii="Calibri" w:hAnsi="Calibri" w:cs="Calibri" w:hint="cs"/>
          <w:szCs w:val="22"/>
          <w:rtl/>
        </w:rPr>
        <w:t>الآيكان</w:t>
      </w:r>
      <w:r w:rsidR="0017648D" w:rsidRPr="007D0C16">
        <w:rPr>
          <w:rFonts w:ascii="Calibri" w:hAnsi="Calibri" w:cs="Calibri"/>
          <w:sz w:val="22"/>
          <w:szCs w:val="22"/>
          <w:rtl/>
        </w:rPr>
        <w:t xml:space="preserve"> </w:t>
      </w:r>
      <w:r w:rsidRPr="00FD458F">
        <w:rPr>
          <w:rFonts w:asciiTheme="minorHAnsi" w:hAnsiTheme="minorHAnsi" w:cstheme="minorHAnsi"/>
          <w:szCs w:val="18"/>
          <w:rtl/>
        </w:rPr>
        <w:t xml:space="preserve">عن طلبات </w:t>
      </w:r>
      <w:r w:rsidR="00835619">
        <w:rPr>
          <w:rFonts w:asciiTheme="minorHAnsi" w:hAnsiTheme="minorHAnsi" w:cstheme="minorHAnsi"/>
          <w:szCs w:val="18"/>
          <w:rtl/>
        </w:rPr>
        <w:t>الحقول العليا</w:t>
      </w:r>
      <w:r w:rsidRPr="00FD458F">
        <w:rPr>
          <w:rFonts w:asciiTheme="minorHAnsi" w:hAnsiTheme="minorHAnsi" w:cstheme="minorHAnsi"/>
          <w:szCs w:val="18"/>
          <w:rtl/>
        </w:rPr>
        <w:t xml:space="preserve"> الجديد</w:t>
      </w:r>
      <w:r w:rsidR="008A060F">
        <w:rPr>
          <w:rFonts w:asciiTheme="minorHAnsi" w:hAnsiTheme="minorHAnsi" w:cstheme="minorHAnsi" w:hint="cs"/>
          <w:szCs w:val="18"/>
          <w:rtl/>
        </w:rPr>
        <w:t>ة</w:t>
      </w:r>
      <w:r w:rsidRPr="00FD458F">
        <w:rPr>
          <w:rFonts w:asciiTheme="minorHAnsi" w:hAnsiTheme="minorHAnsi" w:cstheme="minorHAnsi"/>
          <w:szCs w:val="18"/>
          <w:rtl/>
        </w:rPr>
        <w:t xml:space="preserve">.  وتجدر الإشارة إلى أن القسم </w:t>
      </w:r>
      <w:r w:rsidR="00DC20D4">
        <w:rPr>
          <w:rFonts w:asciiTheme="minorHAnsi" w:hAnsiTheme="minorHAnsi" w:cstheme="minorHAnsi" w:hint="cs"/>
          <w:szCs w:val="18"/>
          <w:rtl/>
        </w:rPr>
        <w:t>4.2.1.1</w:t>
      </w:r>
      <w:r w:rsidRPr="00FD458F">
        <w:rPr>
          <w:rFonts w:asciiTheme="minorHAnsi" w:hAnsiTheme="minorHAnsi" w:cstheme="minorHAnsi"/>
          <w:szCs w:val="18"/>
          <w:rtl/>
        </w:rPr>
        <w:t xml:space="preserve"> ينص على "الإنذار المبكر من قبل اللجنة الاستشارية الحكومية </w:t>
      </w:r>
      <w:r w:rsidR="00DC20D4">
        <w:rPr>
          <w:rFonts w:asciiTheme="minorHAnsi" w:hAnsiTheme="minorHAnsi" w:cstheme="minorHAnsi" w:hint="cs"/>
          <w:szCs w:val="18"/>
          <w:rtl/>
        </w:rPr>
        <w:t>بشأن الحقول</w:t>
      </w:r>
      <w:r w:rsidR="00DC20D4" w:rsidRPr="00FD458F">
        <w:rPr>
          <w:rFonts w:asciiTheme="minorHAnsi" w:hAnsiTheme="minorHAnsi" w:cstheme="minorHAnsi"/>
          <w:szCs w:val="18"/>
          <w:rtl/>
        </w:rPr>
        <w:t xml:space="preserve"> </w:t>
      </w:r>
      <w:r w:rsidR="00DC20D4">
        <w:rPr>
          <w:rFonts w:asciiTheme="minorHAnsi" w:hAnsiTheme="minorHAnsi" w:cstheme="minorHAnsi"/>
          <w:szCs w:val="18"/>
          <w:rtl/>
        </w:rPr>
        <w:t>العليا</w:t>
      </w:r>
      <w:r w:rsidR="00DC20D4" w:rsidRPr="00FD458F">
        <w:rPr>
          <w:rFonts w:asciiTheme="minorHAnsi" w:hAnsiTheme="minorHAnsi" w:cstheme="minorHAnsi"/>
          <w:szCs w:val="18"/>
          <w:rtl/>
        </w:rPr>
        <w:t xml:space="preserve"> الجديدة</w:t>
      </w:r>
      <w:r w:rsidR="00DC20D4">
        <w:rPr>
          <w:rFonts w:asciiTheme="minorHAnsi" w:hAnsiTheme="minorHAnsi" w:cstheme="minorHAnsi" w:hint="cs"/>
          <w:szCs w:val="18"/>
          <w:rtl/>
        </w:rPr>
        <w:t xml:space="preserve">"، </w:t>
      </w:r>
      <w:r w:rsidR="00DC20D4" w:rsidRPr="00FD458F">
        <w:rPr>
          <w:rFonts w:asciiTheme="minorHAnsi" w:hAnsiTheme="minorHAnsi" w:cstheme="minorHAnsi"/>
          <w:szCs w:val="18"/>
          <w:rtl/>
        </w:rPr>
        <w:t xml:space="preserve"> </w:t>
      </w:r>
      <w:r w:rsidRPr="00FD458F">
        <w:rPr>
          <w:rFonts w:asciiTheme="minorHAnsi" w:hAnsiTheme="minorHAnsi" w:cstheme="minorHAnsi"/>
          <w:szCs w:val="18"/>
          <w:rtl/>
        </w:rPr>
        <w:t xml:space="preserve">وينص القسم </w:t>
      </w:r>
      <w:r w:rsidR="00DC20D4">
        <w:rPr>
          <w:rFonts w:asciiTheme="minorHAnsi" w:hAnsiTheme="minorHAnsi" w:cstheme="minorHAnsi" w:hint="cs"/>
          <w:szCs w:val="18"/>
          <w:rtl/>
        </w:rPr>
        <w:t>7.2.1.1</w:t>
      </w:r>
      <w:r w:rsidRPr="00FD458F">
        <w:rPr>
          <w:rFonts w:asciiTheme="minorHAnsi" w:hAnsiTheme="minorHAnsi" w:cstheme="minorHAnsi"/>
          <w:szCs w:val="18"/>
          <w:rtl/>
        </w:rPr>
        <w:t xml:space="preserve"> على "</w:t>
      </w:r>
      <w:r w:rsidR="00DC20D4">
        <w:rPr>
          <w:rFonts w:asciiTheme="minorHAnsi" w:hAnsiTheme="minorHAnsi" w:cstheme="minorHAnsi" w:hint="cs"/>
          <w:szCs w:val="18"/>
          <w:rtl/>
        </w:rPr>
        <w:t>تلقي</w:t>
      </w:r>
      <w:r w:rsidRPr="00FD458F">
        <w:rPr>
          <w:rFonts w:asciiTheme="minorHAnsi" w:hAnsiTheme="minorHAnsi" w:cstheme="minorHAnsi"/>
          <w:szCs w:val="18"/>
          <w:rtl/>
        </w:rPr>
        <w:t xml:space="preserve"> مشورة اللجنة الاستشارية الحكومية </w:t>
      </w:r>
      <w:r w:rsidR="00DC20D4">
        <w:rPr>
          <w:rFonts w:asciiTheme="minorHAnsi" w:hAnsiTheme="minorHAnsi" w:cstheme="minorHAnsi" w:hint="cs"/>
          <w:szCs w:val="18"/>
          <w:rtl/>
        </w:rPr>
        <w:t>بشأن الحقول</w:t>
      </w:r>
      <w:r w:rsidRPr="00FD458F">
        <w:rPr>
          <w:rFonts w:asciiTheme="minorHAnsi" w:hAnsiTheme="minorHAnsi" w:cstheme="minorHAnsi"/>
          <w:szCs w:val="18"/>
          <w:rtl/>
        </w:rPr>
        <w:t xml:space="preserve"> </w:t>
      </w:r>
      <w:r w:rsidR="00835619">
        <w:rPr>
          <w:rFonts w:asciiTheme="minorHAnsi" w:hAnsiTheme="minorHAnsi" w:cstheme="minorHAnsi"/>
          <w:szCs w:val="18"/>
          <w:rtl/>
        </w:rPr>
        <w:t>العليا</w:t>
      </w:r>
      <w:r w:rsidRPr="00FD458F">
        <w:rPr>
          <w:rFonts w:asciiTheme="minorHAnsi" w:hAnsiTheme="minorHAnsi" w:cstheme="minorHAnsi"/>
          <w:szCs w:val="18"/>
          <w:rtl/>
        </w:rPr>
        <w:t xml:space="preserve"> الجديدة" لينظر فيها مجلس إدارة </w:t>
      </w:r>
      <w:r w:rsidR="0017648D">
        <w:rPr>
          <w:rFonts w:ascii="Calibri" w:hAnsi="Calibri" w:cs="Calibri" w:hint="cs"/>
          <w:szCs w:val="22"/>
          <w:rtl/>
        </w:rPr>
        <w:t>الآيكان</w:t>
      </w:r>
      <w:r w:rsidRPr="00FD458F">
        <w:rPr>
          <w:rFonts w:asciiTheme="minorHAnsi" w:hAnsiTheme="minorHAnsi" w:cstheme="minorHAnsi"/>
          <w:szCs w:val="18"/>
          <w:rtl/>
        </w:rPr>
        <w:t>.</w:t>
      </w:r>
    </w:p>
  </w:footnote>
  <w:footnote w:id="43">
    <w:p w14:paraId="238DD2DF" w14:textId="67F78E74" w:rsidR="00C54079" w:rsidRPr="00C54079" w:rsidRDefault="00C54079" w:rsidP="00C54079">
      <w:pPr>
        <w:pStyle w:val="FootnoteText"/>
        <w:rPr>
          <w:szCs w:val="18"/>
        </w:rPr>
      </w:pPr>
      <w:r w:rsidRPr="00C54079">
        <w:rPr>
          <w:rStyle w:val="FootnoteReference"/>
          <w:szCs w:val="18"/>
          <w:rtl/>
        </w:rPr>
        <w:footnoteRef/>
      </w:r>
      <w:r w:rsidRPr="00C54079">
        <w:rPr>
          <w:szCs w:val="18"/>
          <w:rtl/>
        </w:rPr>
        <w:tab/>
        <w:t xml:space="preserve">انظر </w:t>
      </w:r>
      <w:hyperlink r:id="rId36" w:history="1">
        <w:r w:rsidRPr="004D7DD8">
          <w:rPr>
            <w:rStyle w:val="Hyperlink"/>
            <w:szCs w:val="18"/>
            <w:rtl/>
          </w:rPr>
          <w:t>https://www.wipo.int/amc/en/docs/icann130309.pdf</w:t>
        </w:r>
      </w:hyperlink>
      <w:r w:rsidRPr="00C54079">
        <w:rPr>
          <w:szCs w:val="18"/>
          <w:rtl/>
        </w:rPr>
        <w:t>.</w:t>
      </w:r>
    </w:p>
  </w:footnote>
  <w:footnote w:id="44">
    <w:p w14:paraId="7AE43034" w14:textId="5F369A3F" w:rsidR="00C54079" w:rsidRPr="007653CF" w:rsidRDefault="00C54079" w:rsidP="00C54079">
      <w:pPr>
        <w:pStyle w:val="FootnoteText"/>
        <w:rPr>
          <w:rFonts w:asciiTheme="minorHAnsi" w:hAnsiTheme="minorHAnsi" w:cstheme="minorHAnsi"/>
          <w:szCs w:val="18"/>
        </w:rPr>
      </w:pPr>
      <w:r w:rsidRPr="007653CF">
        <w:rPr>
          <w:rStyle w:val="FootnoteReference"/>
          <w:rFonts w:asciiTheme="minorHAnsi" w:hAnsiTheme="minorHAnsi" w:cstheme="minorHAnsi"/>
          <w:szCs w:val="18"/>
          <w:rtl/>
        </w:rPr>
        <w:footnoteRef/>
      </w:r>
      <w:r w:rsidRPr="007653CF">
        <w:rPr>
          <w:rFonts w:asciiTheme="minorHAnsi" w:hAnsiTheme="minorHAnsi" w:cstheme="minorHAnsi"/>
          <w:szCs w:val="18"/>
          <w:rtl/>
        </w:rPr>
        <w:tab/>
        <w:t xml:space="preserve">قد أرسل المركز إلى </w:t>
      </w:r>
      <w:r w:rsidR="007653CF">
        <w:rPr>
          <w:rFonts w:asciiTheme="minorHAnsi" w:hAnsiTheme="minorHAnsi" w:cstheme="minorHAnsi" w:hint="cs"/>
          <w:szCs w:val="18"/>
          <w:rtl/>
        </w:rPr>
        <w:t>الأيكان</w:t>
      </w:r>
      <w:r w:rsidRPr="007653CF">
        <w:rPr>
          <w:rFonts w:asciiTheme="minorHAnsi" w:hAnsiTheme="minorHAnsi" w:cstheme="minorHAnsi"/>
          <w:szCs w:val="18"/>
          <w:rtl/>
        </w:rPr>
        <w:t xml:space="preserve"> في أبريل 2009 </w:t>
      </w:r>
      <w:r w:rsidR="007653CF">
        <w:rPr>
          <w:rFonts w:asciiTheme="minorHAnsi" w:hAnsiTheme="minorHAnsi" w:cstheme="minorHAnsi" w:hint="cs"/>
          <w:szCs w:val="18"/>
          <w:rtl/>
        </w:rPr>
        <w:t>مشروع</w:t>
      </w:r>
      <w:r w:rsidRPr="007653CF">
        <w:rPr>
          <w:rFonts w:asciiTheme="minorHAnsi" w:hAnsiTheme="minorHAnsi" w:cstheme="minorHAnsi"/>
          <w:szCs w:val="18"/>
          <w:rtl/>
        </w:rPr>
        <w:t xml:space="preserve"> مناقشة "آلية تعليق (اسم </w:t>
      </w:r>
      <w:r w:rsidR="007653CF">
        <w:rPr>
          <w:rFonts w:asciiTheme="minorHAnsi" w:hAnsiTheme="minorHAnsi" w:cstheme="minorHAnsi" w:hint="cs"/>
          <w:szCs w:val="18"/>
          <w:rtl/>
        </w:rPr>
        <w:t>الحقل</w:t>
      </w:r>
      <w:r w:rsidRPr="007653CF">
        <w:rPr>
          <w:rFonts w:asciiTheme="minorHAnsi" w:hAnsiTheme="minorHAnsi" w:cstheme="minorHAnsi"/>
          <w:szCs w:val="18"/>
          <w:rtl/>
        </w:rPr>
        <w:t xml:space="preserve">) المعجل" (انظر </w:t>
      </w:r>
      <w:hyperlink r:id="rId37" w:history="1">
        <w:r w:rsidRPr="004D7DD8">
          <w:rPr>
            <w:rStyle w:val="Hyperlink"/>
            <w:rFonts w:asciiTheme="minorHAnsi" w:hAnsiTheme="minorHAnsi" w:cstheme="minorHAnsi"/>
            <w:szCs w:val="18"/>
            <w:rtl/>
          </w:rPr>
          <w:t>https://www.wipo.int/amc/en/docs/icann030409.pdf</w:t>
        </w:r>
      </w:hyperlink>
      <w:r w:rsidRPr="007653CF">
        <w:rPr>
          <w:rFonts w:asciiTheme="minorHAnsi" w:hAnsiTheme="minorHAnsi" w:cstheme="minorHAnsi"/>
          <w:szCs w:val="18"/>
          <w:rtl/>
        </w:rPr>
        <w:t xml:space="preserve">)، وقدم المركز مقترحات لاحقة لآلية مبسطة تستند إلى هذا النموذج في اجتماعات </w:t>
      </w:r>
      <w:r w:rsidR="007653CF">
        <w:rPr>
          <w:rFonts w:asciiTheme="minorHAnsi" w:hAnsiTheme="minorHAnsi" w:cstheme="minorHAnsi" w:hint="cs"/>
          <w:szCs w:val="18"/>
          <w:rtl/>
        </w:rPr>
        <w:t>الآيكان</w:t>
      </w:r>
      <w:r w:rsidRPr="007653CF">
        <w:rPr>
          <w:rFonts w:asciiTheme="minorHAnsi" w:hAnsiTheme="minorHAnsi" w:cstheme="minorHAnsi"/>
          <w:szCs w:val="18"/>
          <w:rtl/>
        </w:rPr>
        <w:t xml:space="preserve"> (</w:t>
      </w:r>
      <w:hyperlink r:id="rId38" w:history="1">
        <w:r w:rsidRPr="004D7DD8">
          <w:rPr>
            <w:rStyle w:val="Hyperlink"/>
            <w:rFonts w:asciiTheme="minorHAnsi" w:hAnsiTheme="minorHAnsi" w:cstheme="minorHAnsi"/>
            <w:color w:val="auto"/>
            <w:szCs w:val="18"/>
            <w:u w:val="none"/>
            <w:rtl/>
          </w:rPr>
          <w:t>انظر</w:t>
        </w:r>
        <w:r w:rsidRPr="004D7DD8">
          <w:rPr>
            <w:rStyle w:val="Hyperlink"/>
            <w:rFonts w:asciiTheme="minorHAnsi" w:hAnsiTheme="minorHAnsi" w:cstheme="minorHAnsi"/>
            <w:color w:val="auto"/>
            <w:szCs w:val="18"/>
            <w:rtl/>
          </w:rPr>
          <w:t xml:space="preserve"> </w:t>
        </w:r>
      </w:hyperlink>
      <w:hyperlink r:id="rId39" w:history="1">
        <w:r w:rsidRPr="004D7DD8">
          <w:rPr>
            <w:rStyle w:val="Hyperlink"/>
            <w:rFonts w:asciiTheme="minorHAnsi" w:hAnsiTheme="minorHAnsi" w:cstheme="minorHAnsi"/>
            <w:szCs w:val="18"/>
            <w:rtl/>
          </w:rPr>
          <w:t>https://prague44.icann.org/node/31773</w:t>
        </w:r>
      </w:hyperlink>
      <w:r w:rsidRPr="007653CF">
        <w:rPr>
          <w:rFonts w:asciiTheme="minorHAnsi" w:hAnsiTheme="minorHAnsi" w:cstheme="minorHAnsi"/>
          <w:szCs w:val="18"/>
          <w:rtl/>
        </w:rPr>
        <w:t xml:space="preserve"> </w:t>
      </w:r>
      <w:hyperlink r:id="rId40" w:history="1">
        <w:r w:rsidR="00F34E3E" w:rsidRPr="004D7DD8">
          <w:rPr>
            <w:rStyle w:val="Hyperlink"/>
            <w:rFonts w:asciiTheme="minorHAnsi" w:hAnsiTheme="minorHAnsi" w:cstheme="minorHAnsi"/>
            <w:color w:val="auto"/>
            <w:szCs w:val="18"/>
            <w:u w:val="none"/>
            <w:rtl/>
          </w:rPr>
          <w:t xml:space="preserve">و </w:t>
        </w:r>
      </w:hyperlink>
      <w:hyperlink r:id="rId41" w:history="1">
        <w:r w:rsidRPr="004D7DD8">
          <w:rPr>
            <w:rStyle w:val="Hyperlink"/>
            <w:rFonts w:asciiTheme="minorHAnsi" w:hAnsiTheme="minorHAnsi" w:cstheme="minorHAnsi"/>
            <w:szCs w:val="18"/>
            <w:rtl/>
          </w:rPr>
          <w:t>https://archive.icann.org/en/meetings/toronto2012/node/34325.html</w:t>
        </w:r>
      </w:hyperlink>
      <w:r w:rsidRPr="007653CF">
        <w:rPr>
          <w:rFonts w:asciiTheme="minorHAnsi" w:hAnsiTheme="minorHAnsi" w:cstheme="minorHAnsi"/>
          <w:szCs w:val="18"/>
          <w:rtl/>
        </w:rPr>
        <w:t xml:space="preserve">).  وقد أخذت هذه المقترحات في الاعتبار الحاجة إلى تحقيق توازن بين حماية حقوق العلامات التجارية المعترف بها بموجب القانون، والمصالح العملية لسلطات التسجيل الحسنة النية في تقليل الأعباء التشغيلية إلى أدنى حد ممكن، والتوقعات المشروعة لمسجلي أسماء </w:t>
      </w:r>
      <w:r w:rsidR="007653CF">
        <w:rPr>
          <w:rFonts w:asciiTheme="minorHAnsi" w:hAnsiTheme="minorHAnsi" w:cstheme="minorHAnsi" w:hint="cs"/>
          <w:szCs w:val="18"/>
          <w:rtl/>
        </w:rPr>
        <w:t>الحقول</w:t>
      </w:r>
      <w:r w:rsidRPr="007653CF">
        <w:rPr>
          <w:rFonts w:asciiTheme="minorHAnsi" w:hAnsiTheme="minorHAnsi" w:cstheme="minorHAnsi"/>
          <w:szCs w:val="18"/>
          <w:rtl/>
        </w:rPr>
        <w:t xml:space="preserve">  </w:t>
      </w:r>
      <w:r w:rsidRPr="007653CF">
        <w:rPr>
          <w:rFonts w:asciiTheme="minorHAnsi" w:hAnsiTheme="minorHAnsi" w:cstheme="minorHAnsi"/>
          <w:i/>
          <w:iCs/>
          <w:szCs w:val="18"/>
          <w:rtl/>
        </w:rPr>
        <w:t>حسني النية</w:t>
      </w:r>
      <w:r w:rsidRPr="007653CF">
        <w:rPr>
          <w:rFonts w:asciiTheme="minorHAnsi" w:hAnsiTheme="minorHAnsi" w:cstheme="minorHAnsi"/>
          <w:szCs w:val="18"/>
          <w:rtl/>
        </w:rPr>
        <w:t xml:space="preserve">.  </w:t>
      </w:r>
    </w:p>
  </w:footnote>
  <w:footnote w:id="45">
    <w:p w14:paraId="1F1A3301" w14:textId="77777777" w:rsidR="00C54079" w:rsidRPr="007653CF" w:rsidRDefault="00C54079" w:rsidP="00C54079">
      <w:pPr>
        <w:pStyle w:val="FootnoteText"/>
        <w:rPr>
          <w:rFonts w:asciiTheme="minorHAnsi" w:hAnsiTheme="minorHAnsi" w:cstheme="minorHAnsi"/>
          <w:szCs w:val="18"/>
        </w:rPr>
      </w:pPr>
      <w:r w:rsidRPr="007653CF">
        <w:rPr>
          <w:rStyle w:val="FootnoteReference"/>
          <w:rFonts w:asciiTheme="minorHAnsi" w:hAnsiTheme="minorHAnsi" w:cstheme="minorHAnsi"/>
          <w:szCs w:val="18"/>
          <w:rtl/>
        </w:rPr>
        <w:footnoteRef/>
      </w:r>
      <w:r w:rsidRPr="007653CF">
        <w:rPr>
          <w:rFonts w:asciiTheme="minorHAnsi" w:hAnsiTheme="minorHAnsi" w:cstheme="minorHAnsi"/>
          <w:szCs w:val="18"/>
          <w:rtl/>
        </w:rPr>
        <w:tab/>
        <w:t>اللائحة (الاتحاد الأوروبي) 2016/679 الصادرة عن البرلمان الأوروبي والمجلس الأوروبي بتاريخ 27 أبريل 2016 بشأن حماية الأشخاص الطبيعيين فيما يتعلق بمعالجة البيانات الشخصية وحرية حركة هذه البيانات، وإلغاء التوجيه 95/46/EC (اللائحة العامة لحماية البيانات).</w:t>
      </w:r>
    </w:p>
  </w:footnote>
  <w:footnote w:id="46">
    <w:p w14:paraId="4B23676F" w14:textId="5498E66D" w:rsidR="00C54079" w:rsidRPr="007653CF" w:rsidRDefault="00C54079" w:rsidP="00C54079">
      <w:pPr>
        <w:pStyle w:val="FootnoteText"/>
        <w:rPr>
          <w:rFonts w:asciiTheme="minorHAnsi" w:hAnsiTheme="minorHAnsi" w:cstheme="minorHAnsi"/>
          <w:szCs w:val="18"/>
        </w:rPr>
      </w:pPr>
      <w:r w:rsidRPr="007653CF">
        <w:rPr>
          <w:rStyle w:val="FootnoteReference"/>
          <w:rFonts w:asciiTheme="minorHAnsi" w:hAnsiTheme="minorHAnsi" w:cstheme="minorHAnsi"/>
          <w:szCs w:val="18"/>
          <w:rtl/>
        </w:rPr>
        <w:footnoteRef/>
      </w:r>
      <w:r w:rsidRPr="007653CF">
        <w:rPr>
          <w:rFonts w:asciiTheme="minorHAnsi" w:hAnsiTheme="minorHAnsi" w:cstheme="minorHAnsi"/>
          <w:szCs w:val="18"/>
          <w:rtl/>
        </w:rPr>
        <w:tab/>
        <w:t xml:space="preserve">انظر </w:t>
      </w:r>
      <w:r w:rsidRPr="009E695F">
        <w:rPr>
          <w:rFonts w:asciiTheme="minorHAnsi" w:hAnsiTheme="minorHAnsi" w:cstheme="minorHAnsi"/>
          <w:color w:val="0000FF"/>
          <w:szCs w:val="18"/>
          <w:u w:val="single" w:color="0000FF"/>
          <w:rtl/>
        </w:rPr>
        <w:t>https://</w:t>
      </w:r>
      <w:hyperlink r:id="rId42" w:history="1">
        <w:r w:rsidRPr="009E695F">
          <w:rPr>
            <w:rStyle w:val="Hyperlink"/>
            <w:rFonts w:asciiTheme="minorHAnsi" w:hAnsiTheme="minorHAnsi" w:cstheme="minorHAnsi"/>
            <w:color w:val="0000FF"/>
            <w:szCs w:val="18"/>
            <w:u w:color="0000FF"/>
            <w:rtl/>
          </w:rPr>
          <w:t>www.icann.org/resources/pages/gtld-registration-data-specs-en</w:t>
        </w:r>
      </w:hyperlink>
      <w:r w:rsidRPr="007653CF">
        <w:rPr>
          <w:rFonts w:asciiTheme="minorHAnsi" w:hAnsiTheme="minorHAnsi" w:cstheme="minorHAnsi"/>
          <w:szCs w:val="18"/>
          <w:rtl/>
        </w:rPr>
        <w:t xml:space="preserve"> ، في المرفق واو.  انظر أيضًا </w:t>
      </w:r>
      <w:hyperlink r:id="rId43" w:history="1">
        <w:r w:rsidRPr="00B8680A">
          <w:rPr>
            <w:rStyle w:val="Hyperlink"/>
            <w:rFonts w:asciiTheme="minorHAnsi" w:hAnsiTheme="minorHAnsi" w:cstheme="minorHAnsi"/>
            <w:szCs w:val="18"/>
            <w:rtl/>
          </w:rPr>
          <w:t>https://www.icann.org/en/announcements/details/icann-board-reaffirms-temporary-specification-for-gtld-registration-data-29-1-2019-en</w:t>
        </w:r>
      </w:hyperlink>
      <w:r w:rsidRPr="007653CF">
        <w:rPr>
          <w:rFonts w:asciiTheme="minorHAnsi" w:hAnsiTheme="minorHAnsi" w:cstheme="minorHAnsi"/>
          <w:szCs w:val="18"/>
          <w:rtl/>
        </w:rPr>
        <w:t>.</w:t>
      </w:r>
    </w:p>
  </w:footnote>
  <w:footnote w:id="47">
    <w:p w14:paraId="2843DE66" w14:textId="48C5D119" w:rsidR="00C54079" w:rsidRPr="007653CF" w:rsidRDefault="00C54079" w:rsidP="00C54079">
      <w:pPr>
        <w:pStyle w:val="FootnoteText"/>
        <w:rPr>
          <w:rFonts w:asciiTheme="minorHAnsi" w:hAnsiTheme="minorHAnsi" w:cstheme="minorHAnsi"/>
          <w:szCs w:val="18"/>
        </w:rPr>
      </w:pPr>
      <w:r w:rsidRPr="007653CF">
        <w:rPr>
          <w:rStyle w:val="FootnoteReference"/>
          <w:rFonts w:asciiTheme="minorHAnsi" w:hAnsiTheme="minorHAnsi" w:cstheme="minorHAnsi"/>
          <w:szCs w:val="18"/>
          <w:rtl/>
        </w:rPr>
        <w:footnoteRef/>
      </w:r>
      <w:r w:rsidRPr="007653CF">
        <w:rPr>
          <w:rFonts w:asciiTheme="minorHAnsi" w:hAnsiTheme="minorHAnsi" w:cstheme="minorHAnsi"/>
          <w:szCs w:val="18"/>
          <w:rtl/>
        </w:rPr>
        <w:tab/>
        <w:t xml:space="preserve">نشر المركز في عام 2018 إرشادات غير رسمية من </w:t>
      </w:r>
      <w:r w:rsidR="00484B7B">
        <w:rPr>
          <w:rFonts w:asciiTheme="minorHAnsi" w:hAnsiTheme="minorHAnsi" w:cstheme="minorHAnsi" w:hint="cs"/>
          <w:szCs w:val="18"/>
          <w:rtl/>
        </w:rPr>
        <w:t>الويبو</w:t>
      </w:r>
      <w:r w:rsidRPr="007653CF">
        <w:rPr>
          <w:rFonts w:asciiTheme="minorHAnsi" w:hAnsiTheme="minorHAnsi" w:cstheme="minorHAnsi"/>
          <w:szCs w:val="18"/>
          <w:rtl/>
        </w:rPr>
        <w:t xml:space="preserve"> للأطراف بشأن التأثير العملي للائحة العامة لحماية البيانات على </w:t>
      </w:r>
      <w:r w:rsidR="00484B7B">
        <w:rPr>
          <w:rFonts w:asciiTheme="minorHAnsi" w:hAnsiTheme="minorHAnsi" w:cstheme="minorHAnsi" w:hint="cs"/>
          <w:szCs w:val="18"/>
          <w:rtl/>
        </w:rPr>
        <w:t>السياسة الموحدة</w:t>
      </w:r>
      <w:r w:rsidRPr="007653CF">
        <w:rPr>
          <w:rFonts w:asciiTheme="minorHAnsi" w:hAnsiTheme="minorHAnsi" w:cstheme="minorHAnsi"/>
          <w:szCs w:val="18"/>
          <w:rtl/>
        </w:rPr>
        <w:t xml:space="preserve">.  انظر </w:t>
      </w:r>
      <w:hyperlink r:id="rId44" w:history="1">
        <w:r w:rsidRPr="00F516AA">
          <w:rPr>
            <w:rStyle w:val="Hyperlink"/>
            <w:rFonts w:asciiTheme="minorHAnsi" w:hAnsiTheme="minorHAnsi" w:cstheme="minorHAnsi"/>
            <w:szCs w:val="18"/>
            <w:rtl/>
          </w:rPr>
          <w:t>https://www.wipo.int/amc/en/domains/gdpr</w:t>
        </w:r>
      </w:hyperlink>
      <w:r w:rsidRPr="007653CF">
        <w:rPr>
          <w:rFonts w:asciiTheme="minorHAnsi" w:hAnsiTheme="minorHAnsi" w:cstheme="minorHAnsi"/>
          <w:szCs w:val="18"/>
          <w:rtl/>
        </w:rPr>
        <w:t xml:space="preserve">.  </w:t>
      </w:r>
    </w:p>
  </w:footnote>
  <w:footnote w:id="48">
    <w:p w14:paraId="29D6E7B3" w14:textId="46E24054" w:rsidR="00C54079" w:rsidRPr="00C54079" w:rsidRDefault="00C54079" w:rsidP="00C54079">
      <w:pPr>
        <w:pStyle w:val="FootnoteText"/>
        <w:rPr>
          <w:szCs w:val="18"/>
        </w:rPr>
      </w:pPr>
      <w:r w:rsidRPr="007653CF">
        <w:rPr>
          <w:rStyle w:val="FootnoteReference"/>
          <w:rFonts w:asciiTheme="minorHAnsi" w:hAnsiTheme="minorHAnsi" w:cstheme="minorHAnsi"/>
          <w:szCs w:val="18"/>
          <w:rtl/>
        </w:rPr>
        <w:footnoteRef/>
      </w:r>
      <w:r w:rsidRPr="007653CF">
        <w:rPr>
          <w:rFonts w:asciiTheme="minorHAnsi" w:hAnsiTheme="minorHAnsi" w:cstheme="minorHAnsi"/>
          <w:szCs w:val="18"/>
          <w:rtl/>
        </w:rPr>
        <w:tab/>
        <w:t xml:space="preserve">انظر </w:t>
      </w:r>
      <w:hyperlink r:id="rId45" w:history="1">
        <w:r w:rsidRPr="00F516AA">
          <w:rPr>
            <w:rStyle w:val="Hyperlink"/>
            <w:rFonts w:asciiTheme="minorHAnsi" w:hAnsiTheme="minorHAnsi" w:cstheme="minorHAnsi"/>
            <w:szCs w:val="18"/>
            <w:rtl/>
          </w:rPr>
          <w:t>https://gnso.icann.org/sites/default/files/file/field-file-attach/policy-briefing-icann70-03mar21-en.pdf</w:t>
        </w:r>
      </w:hyperlink>
      <w:r w:rsidRPr="007653CF">
        <w:rPr>
          <w:rFonts w:asciiTheme="minorHAnsi" w:hAnsiTheme="minorHAnsi" w:cstheme="minorHAnsi"/>
          <w:szCs w:val="18"/>
          <w:rtl/>
        </w:rPr>
        <w:t xml:space="preserve">.  انظر أيضًا بيان الأقلية الصادر عن اللجنة الاستشارية الحكومية (GAC) بشأن التقرير النهائي للمرحلة الثانية من برنامج تطوير </w:t>
      </w:r>
      <w:r w:rsidR="00484B7B">
        <w:rPr>
          <w:rFonts w:asciiTheme="minorHAnsi" w:hAnsiTheme="minorHAnsi" w:cstheme="minorHAnsi" w:hint="cs"/>
          <w:szCs w:val="18"/>
          <w:rtl/>
        </w:rPr>
        <w:t>الحقول العليا</w:t>
      </w:r>
      <w:r w:rsidRPr="007653CF">
        <w:rPr>
          <w:rFonts w:asciiTheme="minorHAnsi" w:hAnsiTheme="minorHAnsi" w:cstheme="minorHAnsi"/>
          <w:szCs w:val="18"/>
          <w:rtl/>
        </w:rPr>
        <w:t xml:space="preserve"> بشأن بيانات تسجيل </w:t>
      </w:r>
      <w:r w:rsidR="00484B7B">
        <w:rPr>
          <w:rFonts w:asciiTheme="minorHAnsi" w:hAnsiTheme="minorHAnsi" w:cstheme="minorHAnsi" w:hint="cs"/>
          <w:szCs w:val="18"/>
          <w:rtl/>
        </w:rPr>
        <w:t>الحقول العليا</w:t>
      </w:r>
      <w:r w:rsidRPr="007653CF">
        <w:rPr>
          <w:rFonts w:asciiTheme="minorHAnsi" w:hAnsiTheme="minorHAnsi" w:cstheme="minorHAnsi"/>
          <w:szCs w:val="18"/>
          <w:rtl/>
        </w:rPr>
        <w:t xml:space="preserve"> </w:t>
      </w:r>
      <w:r w:rsidRPr="00A3499B">
        <w:rPr>
          <w:rFonts w:asciiTheme="minorHAnsi" w:hAnsiTheme="minorHAnsi" w:cstheme="minorHAnsi"/>
          <w:szCs w:val="18"/>
          <w:u w:color="0000FF"/>
          <w:rtl/>
        </w:rPr>
        <w:t>على:</w:t>
      </w:r>
      <w:r w:rsidRPr="00A3499B">
        <w:rPr>
          <w:rFonts w:asciiTheme="minorHAnsi" w:hAnsiTheme="minorHAnsi" w:cstheme="minorHAnsi"/>
          <w:color w:val="0000FF"/>
          <w:szCs w:val="18"/>
          <w:u w:val="single" w:color="0000FF"/>
          <w:rtl/>
        </w:rPr>
        <w:t xml:space="preserve"> </w:t>
      </w:r>
      <w:hyperlink r:id="rId46" w:history="1">
        <w:r w:rsidRPr="00A3499B">
          <w:rPr>
            <w:rStyle w:val="Hyperlink"/>
            <w:rFonts w:asciiTheme="minorHAnsi" w:hAnsiTheme="minorHAnsi" w:cstheme="minorHAnsi"/>
            <w:szCs w:val="18"/>
            <w:rtl/>
          </w:rPr>
          <w:t>https://gac.icann.org/statement/public/gac-minority-statement-epdp-phase2-24aug20.pdf</w:t>
        </w:r>
      </w:hyperlink>
      <w:r w:rsidRPr="007653CF">
        <w:rPr>
          <w:rFonts w:asciiTheme="minorHAnsi" w:hAnsiTheme="minorHAnsi" w:cstheme="minorHAnsi"/>
          <w:szCs w:val="18"/>
          <w:rtl/>
        </w:rPr>
        <w:t>.</w:t>
      </w:r>
    </w:p>
  </w:footnote>
  <w:footnote w:id="49">
    <w:p w14:paraId="34837FE4" w14:textId="213D7708" w:rsidR="00C54079" w:rsidRPr="00F3618A" w:rsidRDefault="00C54079" w:rsidP="00C54079">
      <w:pPr>
        <w:pStyle w:val="FootnoteText"/>
        <w:rPr>
          <w:rFonts w:asciiTheme="minorHAnsi" w:hAnsiTheme="minorHAnsi" w:cstheme="minorHAnsi"/>
          <w:szCs w:val="18"/>
        </w:rPr>
      </w:pPr>
      <w:r w:rsidRPr="00F3618A">
        <w:rPr>
          <w:rStyle w:val="FootnoteReference"/>
          <w:rFonts w:asciiTheme="minorHAnsi" w:hAnsiTheme="minorHAnsi" w:cstheme="minorHAnsi"/>
          <w:szCs w:val="18"/>
          <w:rtl/>
        </w:rPr>
        <w:footnoteRef/>
      </w:r>
      <w:r w:rsidRPr="00F3618A">
        <w:rPr>
          <w:rFonts w:asciiTheme="minorHAnsi" w:hAnsiTheme="minorHAnsi" w:cstheme="minorHAnsi"/>
          <w:szCs w:val="18"/>
          <w:rtl/>
        </w:rPr>
        <w:tab/>
      </w:r>
      <w:r w:rsidRPr="009E695F">
        <w:rPr>
          <w:rFonts w:asciiTheme="minorHAnsi" w:hAnsiTheme="minorHAnsi" w:cstheme="minorHAnsi"/>
          <w:szCs w:val="18"/>
          <w:rtl/>
        </w:rPr>
        <w:t xml:space="preserve">انظر </w:t>
      </w:r>
      <w:hyperlink r:id="rId47" w:history="1">
        <w:r w:rsidRPr="009E695F">
          <w:rPr>
            <w:rStyle w:val="Hyperlink"/>
            <w:rFonts w:asciiTheme="minorHAnsi" w:hAnsiTheme="minorHAnsi" w:cstheme="minorHAnsi"/>
            <w:szCs w:val="18"/>
            <w:rtl/>
          </w:rPr>
          <w:t>https://www.edpb.europa.eu/our-work-tools/general-guidance/guidelines-recommendations-best-practices_en</w:t>
        </w:r>
      </w:hyperlink>
      <w:r w:rsidRPr="009E695F">
        <w:rPr>
          <w:rFonts w:asciiTheme="minorHAnsi" w:hAnsiTheme="minorHAnsi" w:cstheme="minorHAnsi"/>
          <w:szCs w:val="18"/>
          <w:rtl/>
        </w:rPr>
        <w:t xml:space="preserve"> </w:t>
      </w:r>
      <w:r w:rsidRPr="00F3618A">
        <w:rPr>
          <w:rFonts w:asciiTheme="minorHAnsi" w:hAnsiTheme="minorHAnsi" w:cstheme="minorHAnsi"/>
          <w:szCs w:val="18"/>
          <w:rtl/>
        </w:rPr>
        <w:t xml:space="preserve">و </w:t>
      </w:r>
      <w:hyperlink r:id="rId48" w:history="1">
        <w:r w:rsidRPr="009E695F">
          <w:rPr>
            <w:rStyle w:val="Hyperlink"/>
            <w:rFonts w:asciiTheme="minorHAnsi" w:hAnsiTheme="minorHAnsi" w:cstheme="minorHAnsi"/>
            <w:szCs w:val="18"/>
            <w:rtl/>
          </w:rPr>
          <w:t>https://ec.europa.eu/newsroom/dae/redirection/document/108437</w:t>
        </w:r>
      </w:hyperlink>
      <w:r w:rsidRPr="00F3618A">
        <w:rPr>
          <w:rFonts w:asciiTheme="minorHAnsi" w:hAnsiTheme="minorHAnsi" w:cstheme="minorHAnsi"/>
          <w:szCs w:val="18"/>
          <w:rtl/>
        </w:rPr>
        <w:t>.</w:t>
      </w:r>
    </w:p>
  </w:footnote>
  <w:footnote w:id="50">
    <w:p w14:paraId="1FFA620E" w14:textId="4FF43109" w:rsidR="00C54079" w:rsidRPr="00F3618A" w:rsidRDefault="00C54079" w:rsidP="00C54079">
      <w:pPr>
        <w:pStyle w:val="FootnoteText"/>
        <w:rPr>
          <w:rFonts w:asciiTheme="minorHAnsi" w:hAnsiTheme="minorHAnsi" w:cstheme="minorHAnsi"/>
          <w:szCs w:val="18"/>
        </w:rPr>
      </w:pPr>
      <w:r w:rsidRPr="00F3618A">
        <w:rPr>
          <w:rStyle w:val="FootnoteReference"/>
          <w:rFonts w:asciiTheme="minorHAnsi" w:hAnsiTheme="minorHAnsi" w:cstheme="minorHAnsi"/>
          <w:szCs w:val="18"/>
          <w:rtl/>
        </w:rPr>
        <w:footnoteRef/>
      </w:r>
      <w:r w:rsidRPr="00F3618A">
        <w:rPr>
          <w:rFonts w:asciiTheme="minorHAnsi" w:hAnsiTheme="minorHAnsi" w:cstheme="minorHAnsi"/>
          <w:szCs w:val="18"/>
          <w:rtl/>
        </w:rPr>
        <w:tab/>
        <w:t xml:space="preserve">انظر </w:t>
      </w:r>
      <w:hyperlink r:id="rId49" w:history="1">
        <w:r w:rsidRPr="009E695F">
          <w:rPr>
            <w:rStyle w:val="Hyperlink"/>
            <w:rFonts w:asciiTheme="minorHAnsi" w:hAnsiTheme="minorHAnsi" w:cstheme="minorHAnsi"/>
            <w:szCs w:val="18"/>
            <w:rtl/>
          </w:rPr>
          <w:t>https://www.icann.org/resources/pages/rdap-background-2018-08-31-en</w:t>
        </w:r>
      </w:hyperlink>
      <w:r w:rsidRPr="00F3618A">
        <w:rPr>
          <w:rFonts w:asciiTheme="minorHAnsi" w:hAnsiTheme="minorHAnsi" w:cstheme="minorHAnsi"/>
          <w:szCs w:val="18"/>
          <w:rtl/>
        </w:rPr>
        <w:t>.</w:t>
      </w:r>
    </w:p>
  </w:footnote>
  <w:footnote w:id="51">
    <w:p w14:paraId="639066DC" w14:textId="1EC0583E" w:rsidR="00C54079" w:rsidRPr="00F3618A" w:rsidRDefault="00C54079" w:rsidP="00C54079">
      <w:pPr>
        <w:pStyle w:val="FootnoteText"/>
        <w:rPr>
          <w:rFonts w:asciiTheme="minorHAnsi" w:hAnsiTheme="minorHAnsi" w:cstheme="minorHAnsi"/>
          <w:szCs w:val="18"/>
        </w:rPr>
      </w:pPr>
      <w:r w:rsidRPr="00F3618A">
        <w:rPr>
          <w:rStyle w:val="FootnoteReference"/>
          <w:rFonts w:asciiTheme="minorHAnsi" w:hAnsiTheme="minorHAnsi" w:cstheme="minorHAnsi"/>
          <w:szCs w:val="18"/>
          <w:rtl/>
        </w:rPr>
        <w:footnoteRef/>
      </w:r>
      <w:r w:rsidRPr="00F3618A">
        <w:rPr>
          <w:rFonts w:asciiTheme="minorHAnsi" w:hAnsiTheme="minorHAnsi" w:cstheme="minorHAnsi"/>
          <w:szCs w:val="18"/>
          <w:rtl/>
        </w:rPr>
        <w:tab/>
        <w:t xml:space="preserve">انظر </w:t>
      </w:r>
      <w:hyperlink r:id="rId50" w:history="1">
        <w:r w:rsidRPr="009E695F">
          <w:rPr>
            <w:rStyle w:val="Hyperlink"/>
            <w:rFonts w:asciiTheme="minorHAnsi" w:hAnsiTheme="minorHAnsi" w:cstheme="minorHAnsi"/>
            <w:szCs w:val="18"/>
            <w:rtl/>
          </w:rPr>
          <w:t>https://www.icann.org/resources/pages/global-amendment-2023-en</w:t>
        </w:r>
      </w:hyperlink>
      <w:r w:rsidRPr="00F3618A">
        <w:rPr>
          <w:rFonts w:asciiTheme="minorHAnsi" w:hAnsiTheme="minorHAnsi" w:cstheme="minorHAnsi"/>
          <w:szCs w:val="18"/>
          <w:rtl/>
        </w:rPr>
        <w:t>.</w:t>
      </w:r>
    </w:p>
  </w:footnote>
  <w:footnote w:id="52">
    <w:p w14:paraId="35C6F378" w14:textId="5FE6B978" w:rsidR="00C54079" w:rsidRPr="00F3618A" w:rsidRDefault="00C54079" w:rsidP="00C54079">
      <w:pPr>
        <w:pStyle w:val="FootnoteText"/>
        <w:rPr>
          <w:rFonts w:asciiTheme="minorHAnsi" w:hAnsiTheme="minorHAnsi" w:cstheme="minorHAnsi"/>
          <w:szCs w:val="18"/>
        </w:rPr>
      </w:pPr>
      <w:r w:rsidRPr="00F3618A">
        <w:rPr>
          <w:rStyle w:val="FootnoteReference"/>
          <w:rFonts w:asciiTheme="minorHAnsi" w:hAnsiTheme="minorHAnsi" w:cstheme="minorHAnsi"/>
          <w:szCs w:val="18"/>
          <w:rtl/>
        </w:rPr>
        <w:footnoteRef/>
      </w:r>
      <w:r w:rsidRPr="00F3618A">
        <w:rPr>
          <w:rFonts w:asciiTheme="minorHAnsi" w:hAnsiTheme="minorHAnsi" w:cstheme="minorHAnsi"/>
          <w:szCs w:val="18"/>
          <w:rtl/>
        </w:rPr>
        <w:tab/>
        <w:t xml:space="preserve">في عام 2007، أصدرت اللجنة الاستشارية </w:t>
      </w:r>
      <w:r w:rsidR="006F59CA">
        <w:rPr>
          <w:rFonts w:asciiTheme="minorHAnsi" w:hAnsiTheme="minorHAnsi" w:cstheme="minorHAnsi" w:hint="cs"/>
          <w:szCs w:val="18"/>
          <w:rtl/>
        </w:rPr>
        <w:t>الحكومية</w:t>
      </w:r>
      <w:r w:rsidRPr="00F3618A">
        <w:rPr>
          <w:rFonts w:asciiTheme="minorHAnsi" w:hAnsiTheme="minorHAnsi" w:cstheme="minorHAnsi"/>
          <w:szCs w:val="18"/>
          <w:rtl/>
        </w:rPr>
        <w:t xml:space="preserve"> "مبادئ اللجنة الاستشارية </w:t>
      </w:r>
      <w:r w:rsidR="006F59CA">
        <w:rPr>
          <w:rFonts w:asciiTheme="minorHAnsi" w:hAnsiTheme="minorHAnsi" w:cstheme="minorHAnsi" w:hint="cs"/>
          <w:szCs w:val="18"/>
          <w:rtl/>
        </w:rPr>
        <w:t>الحكومية</w:t>
      </w:r>
      <w:r w:rsidRPr="00F3618A">
        <w:rPr>
          <w:rFonts w:asciiTheme="minorHAnsi" w:hAnsiTheme="minorHAnsi" w:cstheme="minorHAnsi"/>
          <w:szCs w:val="18"/>
          <w:rtl/>
        </w:rPr>
        <w:t xml:space="preserve"> فيما يتعلق بأسماء </w:t>
      </w:r>
      <w:r w:rsidR="006F59CA">
        <w:rPr>
          <w:rFonts w:asciiTheme="minorHAnsi" w:hAnsiTheme="minorHAnsi" w:cstheme="minorHAnsi" w:hint="cs"/>
          <w:szCs w:val="18"/>
          <w:rtl/>
        </w:rPr>
        <w:t>الحقول العليا</w:t>
      </w:r>
      <w:r w:rsidRPr="00F3618A">
        <w:rPr>
          <w:rFonts w:asciiTheme="minorHAnsi" w:hAnsiTheme="minorHAnsi" w:cstheme="minorHAnsi"/>
          <w:szCs w:val="18"/>
          <w:rtl/>
        </w:rPr>
        <w:t xml:space="preserve"> الجديدة"، والتي تنص على جملة أمور منها أنه ينبغي على </w:t>
      </w:r>
      <w:r w:rsidR="006F59CA">
        <w:rPr>
          <w:rFonts w:asciiTheme="minorHAnsi" w:hAnsiTheme="minorHAnsi" w:cstheme="minorHAnsi" w:hint="cs"/>
          <w:szCs w:val="18"/>
          <w:rtl/>
        </w:rPr>
        <w:t>الآيكان</w:t>
      </w:r>
      <w:r w:rsidRPr="00F3618A">
        <w:rPr>
          <w:rFonts w:asciiTheme="minorHAnsi" w:hAnsiTheme="minorHAnsi" w:cstheme="minorHAnsi"/>
          <w:szCs w:val="18"/>
          <w:rtl/>
        </w:rPr>
        <w:t xml:space="preserve"> تجنب تفويض </w:t>
      </w:r>
      <w:r w:rsidR="00835619" w:rsidRPr="00F3618A">
        <w:rPr>
          <w:rFonts w:asciiTheme="minorHAnsi" w:hAnsiTheme="minorHAnsi" w:cstheme="minorHAnsi"/>
          <w:szCs w:val="18"/>
          <w:rtl/>
        </w:rPr>
        <w:t>الحقول العليا</w:t>
      </w:r>
      <w:r w:rsidRPr="00F3618A">
        <w:rPr>
          <w:rFonts w:asciiTheme="minorHAnsi" w:hAnsiTheme="minorHAnsi" w:cstheme="minorHAnsi"/>
          <w:szCs w:val="18"/>
          <w:rtl/>
        </w:rPr>
        <w:t xml:space="preserve"> الجديدة المتعلقة بأسماء البلدان أو الأقاليم أو الأماكن، واللغات الإقليمية أو أوصاف الأشخاص، ما لم يكن ذلك بالاتفاق مع الحكومات أو السلطات العامة ذات الصلة.  كما نصت مبادئ </w:t>
      </w:r>
      <w:r w:rsidR="006F59CA">
        <w:rPr>
          <w:rFonts w:asciiTheme="minorHAnsi" w:hAnsiTheme="minorHAnsi" w:cstheme="minorHAnsi" w:hint="cs"/>
          <w:szCs w:val="18"/>
          <w:rtl/>
        </w:rPr>
        <w:t>اللجنة</w:t>
      </w:r>
      <w:r w:rsidRPr="00F3618A">
        <w:rPr>
          <w:rFonts w:asciiTheme="minorHAnsi" w:hAnsiTheme="minorHAnsi" w:cstheme="minorHAnsi"/>
          <w:szCs w:val="18"/>
          <w:rtl/>
        </w:rPr>
        <w:t xml:space="preserve"> تلك على أنه ينبغي على السجلات الجديدة أن تتبنى إجراءات لحظر/</w:t>
      </w:r>
      <w:r w:rsidR="006F59CA">
        <w:rPr>
          <w:rFonts w:asciiTheme="minorHAnsi" w:hAnsiTheme="minorHAnsi" w:cstheme="minorHAnsi" w:hint="cs"/>
          <w:szCs w:val="18"/>
          <w:rtl/>
        </w:rPr>
        <w:t>ال</w:t>
      </w:r>
      <w:r w:rsidRPr="00F3618A">
        <w:rPr>
          <w:rFonts w:asciiTheme="minorHAnsi" w:hAnsiTheme="minorHAnsi" w:cstheme="minorHAnsi"/>
          <w:szCs w:val="18"/>
          <w:rtl/>
        </w:rPr>
        <w:t xml:space="preserve">اعتراض </w:t>
      </w:r>
      <w:r w:rsidR="006F59CA">
        <w:rPr>
          <w:rFonts w:asciiTheme="minorHAnsi" w:hAnsiTheme="minorHAnsi" w:cstheme="minorHAnsi" w:hint="cs"/>
          <w:szCs w:val="18"/>
          <w:rtl/>
        </w:rPr>
        <w:t xml:space="preserve">على </w:t>
      </w:r>
      <w:r w:rsidRPr="00F3618A">
        <w:rPr>
          <w:rFonts w:asciiTheme="minorHAnsi" w:hAnsiTheme="minorHAnsi" w:cstheme="minorHAnsi"/>
          <w:szCs w:val="18"/>
          <w:rtl/>
        </w:rPr>
        <w:t xml:space="preserve">الأسماء ذات الأهمية الوطنية أو الجغرافية في المستوى الثاني بناءً على طلب الحكومات.  انظر </w:t>
      </w:r>
      <w:hyperlink r:id="rId51" w:history="1">
        <w:r w:rsidRPr="009E695F">
          <w:rPr>
            <w:rStyle w:val="Hyperlink"/>
            <w:rFonts w:asciiTheme="minorHAnsi" w:hAnsiTheme="minorHAnsi" w:cstheme="minorHAnsi"/>
            <w:szCs w:val="18"/>
            <w:rtl/>
          </w:rPr>
          <w:t>https://archive.icann.org/en/topics/new-gtlds/gac-principles-regarding-new-gtlds-28mar07-en.pdf</w:t>
        </w:r>
      </w:hyperlink>
      <w:r w:rsidRPr="00F3618A">
        <w:rPr>
          <w:rFonts w:asciiTheme="minorHAnsi" w:hAnsiTheme="minorHAnsi" w:cstheme="minorHAnsi"/>
          <w:szCs w:val="18"/>
          <w:rtl/>
        </w:rPr>
        <w:t xml:space="preserve">.  انظر أيضًا </w:t>
      </w:r>
      <w:hyperlink r:id="rId52" w:history="1">
        <w:r w:rsidR="0090359D">
          <w:rPr>
            <w:rStyle w:val="Hyperlink"/>
            <w:rFonts w:asciiTheme="minorHAnsi" w:hAnsiTheme="minorHAnsi" w:cstheme="minorHAnsi"/>
            <w:szCs w:val="18"/>
          </w:rPr>
          <w:t>https://gac.icann.org/contentMigrated/icann63-barcelona-communique</w:t>
        </w:r>
      </w:hyperlink>
      <w:r w:rsidRPr="00F3618A">
        <w:rPr>
          <w:rFonts w:asciiTheme="minorHAnsi" w:hAnsiTheme="minorHAnsi" w:cstheme="minorHAnsi"/>
          <w:szCs w:val="18"/>
          <w:rtl/>
        </w:rPr>
        <w:t>.</w:t>
      </w:r>
    </w:p>
  </w:footnote>
  <w:footnote w:id="53">
    <w:p w14:paraId="2C770B80" w14:textId="4A769DF2" w:rsidR="00C54079" w:rsidRPr="00F3618A" w:rsidRDefault="00C54079" w:rsidP="00C54079">
      <w:pPr>
        <w:pStyle w:val="FootnoteText"/>
        <w:rPr>
          <w:rFonts w:asciiTheme="minorHAnsi" w:hAnsiTheme="minorHAnsi" w:cstheme="minorHAnsi"/>
          <w:szCs w:val="18"/>
        </w:rPr>
      </w:pPr>
      <w:r w:rsidRPr="00F3618A">
        <w:rPr>
          <w:rStyle w:val="FootnoteReference"/>
          <w:rFonts w:asciiTheme="minorHAnsi" w:hAnsiTheme="minorHAnsi" w:cstheme="minorHAnsi"/>
          <w:szCs w:val="18"/>
          <w:rtl/>
        </w:rPr>
        <w:footnoteRef/>
      </w:r>
      <w:r w:rsidRPr="00F3618A">
        <w:rPr>
          <w:rFonts w:asciiTheme="minorHAnsi" w:hAnsiTheme="minorHAnsi" w:cstheme="minorHAnsi"/>
          <w:szCs w:val="18"/>
          <w:rtl/>
        </w:rPr>
        <w:tab/>
        <w:t xml:space="preserve">فيما يتعلق بتسجيلات المستوى الثاني، </w:t>
      </w:r>
      <w:r w:rsidR="006F59CA">
        <w:rPr>
          <w:rFonts w:asciiTheme="minorHAnsi" w:hAnsiTheme="minorHAnsi" w:cstheme="minorHAnsi" w:hint="cs"/>
          <w:szCs w:val="18"/>
          <w:rtl/>
        </w:rPr>
        <w:t>ي</w:t>
      </w:r>
      <w:r w:rsidRPr="00F3618A">
        <w:rPr>
          <w:rFonts w:asciiTheme="minorHAnsi" w:hAnsiTheme="minorHAnsi" w:cstheme="minorHAnsi"/>
          <w:szCs w:val="18"/>
          <w:rtl/>
        </w:rPr>
        <w:t>تضمن اتفاق السجل الأساسي لـ</w:t>
      </w:r>
      <w:r w:rsidR="006F59CA">
        <w:rPr>
          <w:rFonts w:asciiTheme="minorHAnsi" w:hAnsiTheme="minorHAnsi" w:cstheme="minorHAnsi" w:hint="cs"/>
          <w:szCs w:val="18"/>
          <w:rtl/>
        </w:rPr>
        <w:t>لآيكان</w:t>
      </w:r>
      <w:r w:rsidRPr="00F3618A">
        <w:rPr>
          <w:rFonts w:asciiTheme="minorHAnsi" w:hAnsiTheme="minorHAnsi" w:cstheme="minorHAnsi"/>
          <w:szCs w:val="18"/>
          <w:rtl/>
        </w:rPr>
        <w:t xml:space="preserve">"جدول الأسماء </w:t>
      </w:r>
      <w:r w:rsidR="006F59CA">
        <w:rPr>
          <w:rFonts w:asciiTheme="minorHAnsi" w:hAnsiTheme="minorHAnsi" w:cstheme="minorHAnsi" w:hint="cs"/>
          <w:szCs w:val="18"/>
          <w:rtl/>
        </w:rPr>
        <w:t>المتحفظ عليها</w:t>
      </w:r>
      <w:r w:rsidRPr="00F3618A">
        <w:rPr>
          <w:rFonts w:asciiTheme="minorHAnsi" w:hAnsiTheme="minorHAnsi" w:cstheme="minorHAnsi"/>
          <w:szCs w:val="18"/>
          <w:rtl/>
        </w:rPr>
        <w:t xml:space="preserve"> في المستوى الثاني في سجلات </w:t>
      </w:r>
      <w:r w:rsidR="00835619" w:rsidRPr="00F3618A">
        <w:rPr>
          <w:rFonts w:asciiTheme="minorHAnsi" w:hAnsiTheme="minorHAnsi" w:cstheme="minorHAnsi"/>
          <w:szCs w:val="18"/>
          <w:rtl/>
        </w:rPr>
        <w:t>الحقول العليا</w:t>
      </w:r>
      <w:r w:rsidRPr="00F3618A">
        <w:rPr>
          <w:rFonts w:asciiTheme="minorHAnsi" w:hAnsiTheme="minorHAnsi" w:cstheme="minorHAnsi"/>
          <w:szCs w:val="18"/>
          <w:rtl/>
        </w:rPr>
        <w:t xml:space="preserve">" والذي ينص على بعض أسماء البلدان والأقاليم.  انظر </w:t>
      </w:r>
      <w:hyperlink r:id="rId53" w:history="1">
        <w:r w:rsidR="0090359D">
          <w:rPr>
            <w:rStyle w:val="Hyperlink"/>
            <w:rFonts w:asciiTheme="minorHAnsi" w:hAnsiTheme="minorHAnsi" w:cstheme="minorHAnsi"/>
            <w:szCs w:val="18"/>
          </w:rPr>
          <w:t>https://newgtlds.icann.org/sites/default/files/base-agreement-specs-04jun12-en.pdf</w:t>
        </w:r>
      </w:hyperlink>
      <w:r w:rsidRPr="00F3618A">
        <w:rPr>
          <w:rFonts w:asciiTheme="minorHAnsi" w:hAnsiTheme="minorHAnsi" w:cstheme="minorHAnsi"/>
          <w:szCs w:val="18"/>
          <w:rtl/>
        </w:rPr>
        <w:t>في المواصفات 5.</w:t>
      </w:r>
    </w:p>
  </w:footnote>
  <w:footnote w:id="54">
    <w:p w14:paraId="6E00FD39" w14:textId="589DB8DC" w:rsidR="00C54079" w:rsidRPr="00C54079" w:rsidRDefault="00C54079" w:rsidP="00C54079">
      <w:pPr>
        <w:pStyle w:val="FootnoteText"/>
      </w:pPr>
      <w:r w:rsidRPr="00F3618A">
        <w:rPr>
          <w:rStyle w:val="FootnoteReference"/>
          <w:rFonts w:asciiTheme="minorHAnsi" w:hAnsiTheme="minorHAnsi" w:cstheme="minorHAnsi"/>
          <w:szCs w:val="18"/>
          <w:rtl/>
        </w:rPr>
        <w:footnoteRef/>
      </w:r>
      <w:r w:rsidRPr="00F3618A">
        <w:rPr>
          <w:rFonts w:asciiTheme="minorHAnsi" w:hAnsiTheme="minorHAnsi" w:cstheme="minorHAnsi"/>
          <w:szCs w:val="18"/>
          <w:rtl/>
        </w:rPr>
        <w:tab/>
        <w:t xml:space="preserve">انظر </w:t>
      </w:r>
      <w:hyperlink r:id="rId54" w:history="1">
        <w:r w:rsidRPr="0090359D">
          <w:rPr>
            <w:rStyle w:val="Hyperlink"/>
            <w:rFonts w:asciiTheme="minorHAnsi" w:hAnsiTheme="minorHAnsi" w:cstheme="minorHAnsi"/>
            <w:szCs w:val="18"/>
            <w:rtl/>
          </w:rPr>
          <w:t>newgtlds.icann.org/en/ar/applicants/agb/evaluation-procedures-04jun12-en.pdf</w:t>
        </w:r>
      </w:hyperlink>
      <w:r w:rsidRPr="00F3618A">
        <w:rPr>
          <w:rFonts w:asciiTheme="minorHAnsi" w:hAnsiTheme="minorHAnsi" w:cstheme="minorHAnsi"/>
          <w:szCs w:val="18"/>
          <w:rtl/>
        </w:rPr>
        <w:t>، من القسم</w:t>
      </w:r>
      <w:r w:rsidR="003412F5">
        <w:rPr>
          <w:rFonts w:asciiTheme="minorHAnsi" w:hAnsiTheme="minorHAnsi" w:cstheme="minorHAnsi" w:hint="cs"/>
          <w:szCs w:val="18"/>
          <w:rtl/>
        </w:rPr>
        <w:t xml:space="preserve">1.4.1.2.2 </w:t>
      </w:r>
      <w:r w:rsidRPr="00F3618A">
        <w:rPr>
          <w:rFonts w:asciiTheme="minorHAnsi" w:hAnsiTheme="minorHAnsi" w:cstheme="minorHAnsi"/>
          <w:szCs w:val="18"/>
          <w:rtl/>
        </w:rPr>
        <w:t xml:space="preserve"> "معاملة أسماء البلدان أو الأقاليم".</w:t>
      </w:r>
    </w:p>
  </w:footnote>
  <w:footnote w:id="55">
    <w:p w14:paraId="36FF57BD" w14:textId="3126B012" w:rsidR="00C54079" w:rsidRPr="00D8602F" w:rsidRDefault="00C54079" w:rsidP="00C54079">
      <w:pPr>
        <w:pStyle w:val="FootnoteText"/>
        <w:rPr>
          <w:rFonts w:asciiTheme="minorHAnsi" w:hAnsiTheme="minorHAnsi" w:cstheme="minorHAnsi"/>
          <w:szCs w:val="18"/>
        </w:rPr>
      </w:pPr>
      <w:r w:rsidRPr="00D8602F">
        <w:rPr>
          <w:rStyle w:val="FootnoteReference"/>
          <w:rFonts w:asciiTheme="minorHAnsi" w:hAnsiTheme="minorHAnsi" w:cstheme="minorHAnsi"/>
          <w:szCs w:val="18"/>
          <w:rtl/>
        </w:rPr>
        <w:footnoteRef/>
      </w:r>
      <w:r w:rsidRPr="00D8602F">
        <w:rPr>
          <w:rFonts w:asciiTheme="minorHAnsi" w:hAnsiTheme="minorHAnsi" w:cstheme="minorHAnsi"/>
          <w:szCs w:val="18"/>
          <w:rtl/>
        </w:rPr>
        <w:tab/>
        <w:t xml:space="preserve">انظر </w:t>
      </w:r>
      <w:hyperlink r:id="rId55" w:history="1">
        <w:r w:rsidR="0090359D">
          <w:rPr>
            <w:rStyle w:val="Hyperlink"/>
            <w:rFonts w:asciiTheme="minorHAnsi" w:hAnsiTheme="minorHAnsi" w:cstheme="minorHAnsi"/>
            <w:szCs w:val="18"/>
          </w:rPr>
          <w:t>https://newgtlds.icann.org/sites/default/files/evaluation-procedures-04jun12-en.pdf</w:t>
        </w:r>
      </w:hyperlink>
      <w:r w:rsidRPr="00D8602F">
        <w:rPr>
          <w:rFonts w:asciiTheme="minorHAnsi" w:hAnsiTheme="minorHAnsi" w:cstheme="minorHAnsi"/>
          <w:szCs w:val="18"/>
          <w:rtl/>
        </w:rPr>
        <w:t xml:space="preserve">pdf، من القسم </w:t>
      </w:r>
      <w:r w:rsidR="00675850" w:rsidRPr="00D8602F">
        <w:rPr>
          <w:rFonts w:asciiTheme="minorHAnsi" w:hAnsiTheme="minorHAnsi" w:cstheme="minorHAnsi" w:hint="cs"/>
          <w:szCs w:val="18"/>
          <w:rtl/>
        </w:rPr>
        <w:t xml:space="preserve">2.4.1.2.2 </w:t>
      </w:r>
      <w:r w:rsidRPr="00D8602F">
        <w:rPr>
          <w:rFonts w:asciiTheme="minorHAnsi" w:hAnsiTheme="minorHAnsi" w:cstheme="minorHAnsi"/>
          <w:szCs w:val="18"/>
          <w:rtl/>
        </w:rPr>
        <w:t xml:space="preserve"> "الأسماء الجغرافية التي تتطلب دعمًا حكوميًا"، و newgtldprogram.icann.org/ar.</w:t>
      </w:r>
    </w:p>
  </w:footnote>
  <w:footnote w:id="56">
    <w:p w14:paraId="7CD5B404" w14:textId="13E04CAC" w:rsidR="00C54079" w:rsidRPr="00D8602F" w:rsidRDefault="00C54079" w:rsidP="00C54079">
      <w:pPr>
        <w:pStyle w:val="FootnoteText"/>
        <w:shd w:val="clear" w:color="auto" w:fill="FFFFFF" w:themeFill="background1"/>
        <w:rPr>
          <w:rFonts w:asciiTheme="minorHAnsi" w:hAnsiTheme="minorHAnsi" w:cstheme="minorHAnsi"/>
          <w:color w:val="000000" w:themeColor="text1"/>
          <w:szCs w:val="18"/>
        </w:rPr>
      </w:pPr>
      <w:r w:rsidRPr="00D8602F">
        <w:rPr>
          <w:rStyle w:val="FootnoteReference"/>
          <w:rFonts w:asciiTheme="minorHAnsi" w:hAnsiTheme="minorHAnsi" w:cstheme="minorHAnsi"/>
          <w:szCs w:val="18"/>
          <w:rtl/>
        </w:rPr>
        <w:footnoteRef/>
      </w:r>
      <w:r w:rsidRPr="00D8602F">
        <w:rPr>
          <w:rFonts w:asciiTheme="minorHAnsi" w:hAnsiTheme="minorHAnsi" w:cstheme="minorHAnsi"/>
          <w:szCs w:val="18"/>
          <w:rtl/>
        </w:rPr>
        <w:tab/>
      </w:r>
      <w:r w:rsidRPr="003045C4">
        <w:rPr>
          <w:rFonts w:asciiTheme="minorHAnsi" w:hAnsiTheme="minorHAnsi" w:cstheme="minorHAnsi"/>
          <w:szCs w:val="18"/>
          <w:rtl/>
        </w:rPr>
        <w:t xml:space="preserve">انظر </w:t>
      </w:r>
      <w:hyperlink r:id="rId56" w:history="1">
        <w:r w:rsidRPr="003045C4">
          <w:rPr>
            <w:rStyle w:val="Hyperlink"/>
            <w:rFonts w:asciiTheme="minorHAnsi" w:hAnsiTheme="minorHAnsi" w:cstheme="minorHAnsi"/>
            <w:szCs w:val="18"/>
            <w:rtl/>
          </w:rPr>
          <w:t>https://www.icann.org/en/system/files/correspondence/gac-to-board-27mar14-en.pdf</w:t>
        </w:r>
      </w:hyperlink>
      <w:r w:rsidRPr="00D8602F">
        <w:rPr>
          <w:rFonts w:asciiTheme="minorHAnsi" w:hAnsiTheme="minorHAnsi" w:cstheme="minorHAnsi"/>
          <w:szCs w:val="18"/>
          <w:rtl/>
        </w:rPr>
        <w:t xml:space="preserve">، في "4. سلاسل محددة".  في حين أن المجلس قد قبل </w:t>
      </w:r>
      <w:r w:rsidR="00D8602F" w:rsidRPr="00D8602F">
        <w:rPr>
          <w:rFonts w:asciiTheme="minorHAnsi" w:hAnsiTheme="minorHAnsi" w:cstheme="minorHAnsi" w:hint="cs"/>
          <w:szCs w:val="18"/>
          <w:rtl/>
        </w:rPr>
        <w:t>مشورة</w:t>
      </w:r>
      <w:r w:rsidRPr="00D8602F">
        <w:rPr>
          <w:rFonts w:asciiTheme="minorHAnsi" w:hAnsiTheme="minorHAnsi" w:cstheme="minorHAnsi"/>
          <w:szCs w:val="18"/>
          <w:rtl/>
        </w:rPr>
        <w:t xml:space="preserve"> اللجنة الاستشارية </w:t>
      </w:r>
      <w:r w:rsidR="00D8602F" w:rsidRPr="00D8602F">
        <w:rPr>
          <w:rFonts w:asciiTheme="minorHAnsi" w:hAnsiTheme="minorHAnsi" w:cstheme="minorHAnsi" w:hint="cs"/>
          <w:szCs w:val="18"/>
          <w:rtl/>
        </w:rPr>
        <w:t>الحكمية</w:t>
      </w:r>
      <w:r w:rsidRPr="00D8602F">
        <w:rPr>
          <w:rFonts w:asciiTheme="minorHAnsi" w:hAnsiTheme="minorHAnsi" w:cstheme="minorHAnsi"/>
          <w:szCs w:val="18"/>
          <w:rtl/>
        </w:rPr>
        <w:t xml:space="preserve"> بعدم المضي قدمًا في بعض الطلبات، فقد طلب المزيد من المعلومات من اللجنة، بالإضافة إلى التعليقات العامة، بشأن مجموعة من الضمانات الإضافية التي طلبتها اللجنة فيما يتعلق بالعديد من الفئات الواسعة من طلبات </w:t>
      </w:r>
      <w:r w:rsidR="00835619" w:rsidRPr="00D8602F">
        <w:rPr>
          <w:rFonts w:asciiTheme="minorHAnsi" w:hAnsiTheme="minorHAnsi" w:cstheme="minorHAnsi"/>
          <w:szCs w:val="18"/>
          <w:rtl/>
        </w:rPr>
        <w:t>الحقول العليا</w:t>
      </w:r>
      <w:r w:rsidRPr="00D8602F">
        <w:rPr>
          <w:rFonts w:asciiTheme="minorHAnsi" w:hAnsiTheme="minorHAnsi" w:cstheme="minorHAnsi"/>
          <w:szCs w:val="18"/>
          <w:rtl/>
        </w:rPr>
        <w:t xml:space="preserve"> الجديدة مثل تلك </w:t>
      </w:r>
      <w:r w:rsidR="00D8602F" w:rsidRPr="00D8602F">
        <w:rPr>
          <w:rFonts w:asciiTheme="minorHAnsi" w:hAnsiTheme="minorHAnsi" w:cstheme="minorHAnsi" w:hint="cs"/>
          <w:szCs w:val="18"/>
          <w:rtl/>
        </w:rPr>
        <w:t>الحقول</w:t>
      </w:r>
      <w:r w:rsidRPr="00D8602F">
        <w:rPr>
          <w:rFonts w:asciiTheme="minorHAnsi" w:hAnsiTheme="minorHAnsi" w:cstheme="minorHAnsi"/>
          <w:szCs w:val="18"/>
          <w:rtl/>
        </w:rPr>
        <w:t xml:space="preserve"> الجديدة من </w:t>
      </w:r>
      <w:r w:rsidR="00835619" w:rsidRPr="00D8602F">
        <w:rPr>
          <w:rFonts w:asciiTheme="minorHAnsi" w:hAnsiTheme="minorHAnsi" w:cstheme="minorHAnsi"/>
          <w:szCs w:val="18"/>
          <w:rtl/>
        </w:rPr>
        <w:t>الحقول العليا</w:t>
      </w:r>
      <w:r w:rsidRPr="00D8602F">
        <w:rPr>
          <w:rFonts w:asciiTheme="minorHAnsi" w:hAnsiTheme="minorHAnsi" w:cstheme="minorHAnsi"/>
          <w:szCs w:val="18"/>
          <w:rtl/>
        </w:rPr>
        <w:t xml:space="preserve"> التي تتوافق مع الصناعات المنظمة أو المصطلحات القاموسية.  انظر </w:t>
      </w:r>
      <w:hyperlink r:id="rId57" w:history="1">
        <w:r w:rsidRPr="003045C4">
          <w:rPr>
            <w:rStyle w:val="Hyperlink"/>
            <w:rFonts w:asciiTheme="minorHAnsi" w:hAnsiTheme="minorHAnsi" w:cstheme="minorHAnsi"/>
            <w:szCs w:val="18"/>
            <w:rtl/>
          </w:rPr>
          <w:t>https://www.icann.org/en/system/files/correspondence/gac-to-board-11apr13-en.pdf</w:t>
        </w:r>
      </w:hyperlink>
      <w:r w:rsidRPr="00D8602F">
        <w:rPr>
          <w:rFonts w:asciiTheme="minorHAnsi" w:hAnsiTheme="minorHAnsi" w:cstheme="minorHAnsi"/>
          <w:szCs w:val="18"/>
          <w:rtl/>
        </w:rPr>
        <w:t xml:space="preserve">.  فيما يتعلق بطلب "amazon"، أبرمت ICANN اتفاقية تسجيل في ديسمبر 2019 تمنح شركة Amazon EU S.à r.l. سلطة تشغيل نطاق </w:t>
      </w:r>
      <w:r w:rsidR="00835619" w:rsidRPr="00D8602F">
        <w:rPr>
          <w:rFonts w:asciiTheme="minorHAnsi" w:hAnsiTheme="minorHAnsi" w:cstheme="minorHAnsi"/>
          <w:szCs w:val="18"/>
          <w:rtl/>
        </w:rPr>
        <w:t>الحقول العليا</w:t>
      </w:r>
      <w:r w:rsidRPr="00D8602F">
        <w:rPr>
          <w:rFonts w:asciiTheme="minorHAnsi" w:hAnsiTheme="minorHAnsi" w:cstheme="minorHAnsi"/>
          <w:szCs w:val="18"/>
          <w:rtl/>
        </w:rPr>
        <w:t xml:space="preserve"> الجديد .amazon.  انظر </w:t>
      </w:r>
      <w:hyperlink r:id="rId58" w:history="1">
        <w:r w:rsidRPr="003045C4">
          <w:rPr>
            <w:rStyle w:val="Hyperlink"/>
            <w:rFonts w:asciiTheme="minorHAnsi" w:hAnsiTheme="minorHAnsi" w:cstheme="minorHAnsi"/>
            <w:szCs w:val="18"/>
            <w:rtl/>
          </w:rPr>
          <w:t>https://www.icann.org/resources/agreement/amazon-2019-12-19-en</w:t>
        </w:r>
      </w:hyperlink>
      <w:r w:rsidRPr="00D8602F">
        <w:rPr>
          <w:rFonts w:asciiTheme="minorHAnsi" w:hAnsiTheme="minorHAnsi" w:cstheme="minorHAnsi"/>
          <w:szCs w:val="18"/>
          <w:rtl/>
        </w:rPr>
        <w:t xml:space="preserve">.  وقد أعدت مجموعة فرعية تابعة للجنة (مجموعة فرعية تابعة </w:t>
      </w:r>
      <w:r w:rsidR="00D8602F">
        <w:rPr>
          <w:rFonts w:asciiTheme="minorHAnsi" w:hAnsiTheme="minorHAnsi" w:cstheme="minorHAnsi" w:hint="cs"/>
          <w:szCs w:val="18"/>
          <w:rtl/>
        </w:rPr>
        <w:t>فريق</w:t>
      </w:r>
      <w:r w:rsidRPr="00D8602F">
        <w:rPr>
          <w:rFonts w:asciiTheme="minorHAnsi" w:hAnsiTheme="minorHAnsi" w:cstheme="minorHAnsi"/>
          <w:szCs w:val="18"/>
          <w:rtl/>
        </w:rPr>
        <w:t xml:space="preserve"> عمل اللجنة الاستشارية الحكومية بشأن </w:t>
      </w:r>
      <w:r w:rsidR="00835619" w:rsidRPr="00D8602F">
        <w:rPr>
          <w:rFonts w:asciiTheme="minorHAnsi" w:hAnsiTheme="minorHAnsi" w:cstheme="minorHAnsi"/>
          <w:szCs w:val="18"/>
          <w:rtl/>
        </w:rPr>
        <w:t>الحقول العليا</w:t>
      </w:r>
      <w:r w:rsidRPr="00D8602F">
        <w:rPr>
          <w:rFonts w:asciiTheme="minorHAnsi" w:hAnsiTheme="minorHAnsi" w:cstheme="minorHAnsi"/>
          <w:szCs w:val="18"/>
          <w:rtl/>
        </w:rPr>
        <w:t xml:space="preserve"> الجديدة المستقبلية) </w:t>
      </w:r>
      <w:r w:rsidR="00D8602F">
        <w:rPr>
          <w:rFonts w:asciiTheme="minorHAnsi" w:hAnsiTheme="minorHAnsi" w:cstheme="minorHAnsi" w:hint="cs"/>
          <w:szCs w:val="18"/>
          <w:rtl/>
        </w:rPr>
        <w:t>مشروع</w:t>
      </w:r>
      <w:r w:rsidRPr="00D8602F">
        <w:rPr>
          <w:rFonts w:asciiTheme="minorHAnsi" w:hAnsiTheme="minorHAnsi" w:cstheme="minorHAnsi"/>
          <w:szCs w:val="18"/>
          <w:rtl/>
        </w:rPr>
        <w:t xml:space="preserve"> وثيقة لجولات </w:t>
      </w:r>
      <w:r w:rsidR="00835619" w:rsidRPr="00D8602F">
        <w:rPr>
          <w:rFonts w:asciiTheme="minorHAnsi" w:hAnsiTheme="minorHAnsi" w:cstheme="minorHAnsi"/>
          <w:szCs w:val="18"/>
          <w:rtl/>
        </w:rPr>
        <w:t>الحقول العليا</w:t>
      </w:r>
      <w:r w:rsidRPr="00D8602F">
        <w:rPr>
          <w:rFonts w:asciiTheme="minorHAnsi" w:hAnsiTheme="minorHAnsi" w:cstheme="minorHAnsi"/>
          <w:szCs w:val="18"/>
          <w:rtl/>
        </w:rPr>
        <w:t xml:space="preserve"> الجديدة المستقبلية تحدد العديد من جوانب السياسة العامة المتعلقة بالأسماء الجغرافية، والتي تخضع لمزيد من مناقشات ICANN.  </w:t>
      </w:r>
      <w:r w:rsidR="001A4D6B">
        <w:rPr>
          <w:rFonts w:asciiTheme="minorHAnsi" w:hAnsiTheme="minorHAnsi" w:cstheme="minorHAnsi" w:hint="cs"/>
          <w:szCs w:val="18"/>
          <w:rtl/>
        </w:rPr>
        <w:t>انظر</w:t>
      </w:r>
      <w:r w:rsidRPr="00D8602F">
        <w:rPr>
          <w:rFonts w:asciiTheme="minorHAnsi" w:hAnsiTheme="minorHAnsi" w:cstheme="minorHAnsi"/>
          <w:szCs w:val="18"/>
          <w:rtl/>
        </w:rPr>
        <w:t xml:space="preserve"> </w:t>
      </w:r>
      <w:hyperlink r:id="rId59" w:history="1">
        <w:r w:rsidR="001A4D6B" w:rsidRPr="00C54079">
          <w:rPr>
            <w:rStyle w:val="Hyperlink"/>
          </w:rPr>
          <w:t>https://gac.icann.org/download/attachments/35455403/Geo%20names%20in%20new%20gTLDs%20Updated%20%20V3%20%2029%20august%202014%5B4%5D.pdf?version=1&amp;modificationDate=1411549504000&amp;api=v2</w:t>
        </w:r>
      </w:hyperlink>
      <w:r w:rsidR="001A4D6B">
        <w:rPr>
          <w:rFonts w:hint="cs"/>
          <w:rtl/>
        </w:rPr>
        <w:t xml:space="preserve"> </w:t>
      </w:r>
      <w:r w:rsidRPr="00D8602F">
        <w:rPr>
          <w:rFonts w:asciiTheme="minorHAnsi" w:hAnsiTheme="minorHAnsi" w:cstheme="minorHAnsi"/>
          <w:color w:val="000000" w:themeColor="text1"/>
          <w:szCs w:val="18"/>
          <w:rtl/>
        </w:rPr>
        <w:t xml:space="preserve">انظر أيضًا </w:t>
      </w:r>
      <w:hyperlink r:id="rId60" w:history="1">
        <w:r w:rsidR="00C244E9" w:rsidRPr="00C244E9">
          <w:rPr>
            <w:rStyle w:val="Hyperlink"/>
            <w:rFonts w:asciiTheme="minorHAnsi" w:hAnsiTheme="minorHAnsi" w:cstheme="minorHAnsi"/>
            <w:szCs w:val="18"/>
          </w:rPr>
          <w:t>https://www.icann.org/ar/board-activities-and-meetings/materials/approved-resolutions-special-meeting-of-the-icann-board-15-05-2019-ar</w:t>
        </w:r>
      </w:hyperlink>
    </w:p>
  </w:footnote>
  <w:footnote w:id="57">
    <w:p w14:paraId="2D67ECCC" w14:textId="1C65DB09" w:rsidR="00C54079" w:rsidRPr="001A4D6B" w:rsidRDefault="00C54079" w:rsidP="00C54079">
      <w:pPr>
        <w:pStyle w:val="FootnoteText"/>
        <w:rPr>
          <w:rFonts w:asciiTheme="minorHAnsi" w:hAnsiTheme="minorHAnsi" w:cstheme="minorHAnsi"/>
          <w:szCs w:val="18"/>
        </w:rPr>
      </w:pPr>
      <w:r w:rsidRPr="00D8602F">
        <w:rPr>
          <w:rStyle w:val="FootnoteReference"/>
          <w:rFonts w:asciiTheme="minorHAnsi" w:hAnsiTheme="minorHAnsi" w:cstheme="minorHAnsi"/>
          <w:szCs w:val="18"/>
          <w:rtl/>
        </w:rPr>
        <w:footnoteRef/>
      </w:r>
      <w:r w:rsidRPr="00D8602F">
        <w:rPr>
          <w:rFonts w:asciiTheme="minorHAnsi" w:hAnsiTheme="minorHAnsi" w:cstheme="minorHAnsi"/>
          <w:szCs w:val="18"/>
          <w:rtl/>
        </w:rPr>
        <w:tab/>
        <w:t xml:space="preserve">في عام 2023، وافق البرلمان الأوروبي والمجلس الأوروبي على لائحة لحماية المؤشرات الجغرافية (GIs) المتعلقة بالمنتجات الحرفية والصناعية بما في ذلك في نظام أسماء </w:t>
      </w:r>
      <w:r w:rsidR="001A4D6B">
        <w:rPr>
          <w:rFonts w:asciiTheme="minorHAnsi" w:hAnsiTheme="minorHAnsi" w:cstheme="minorHAnsi" w:hint="cs"/>
          <w:szCs w:val="18"/>
          <w:rtl/>
        </w:rPr>
        <w:t>الحقول</w:t>
      </w:r>
      <w:r w:rsidRPr="00D8602F">
        <w:rPr>
          <w:rFonts w:asciiTheme="minorHAnsi" w:hAnsiTheme="minorHAnsi" w:cstheme="minorHAnsi"/>
          <w:szCs w:val="18"/>
          <w:rtl/>
        </w:rPr>
        <w:t xml:space="preserve">، انظر </w:t>
      </w:r>
      <w:hyperlink r:id="rId61" w:history="1">
        <w:r w:rsidRPr="003045C4">
          <w:rPr>
            <w:rStyle w:val="Hyperlink"/>
            <w:rFonts w:asciiTheme="minorHAnsi" w:hAnsiTheme="minorHAnsi" w:cstheme="minorHAnsi"/>
            <w:szCs w:val="18"/>
            <w:rtl/>
          </w:rPr>
          <w:t>https://eur-lex.europa.eu/legal-content/EN/TXT/?uri=CELEX%3A32023R2411</w:t>
        </w:r>
      </w:hyperlink>
      <w:r w:rsidRPr="00D8602F">
        <w:rPr>
          <w:rFonts w:asciiTheme="minorHAnsi" w:hAnsiTheme="minorHAnsi" w:cstheme="minorHAnsi"/>
          <w:szCs w:val="18"/>
          <w:rtl/>
        </w:rPr>
        <w:t xml:space="preserve">. وقد وافق البرلمان الأوروبي على لائحة مقترحة مماثلة بشأن النبيذ والمشروبات الروحية والمنتجات الزراعية، والتي تتضمن بعض الأحكام المتعلقة بأسماء </w:t>
      </w:r>
      <w:r w:rsidR="001A4D6B">
        <w:rPr>
          <w:rFonts w:asciiTheme="minorHAnsi" w:hAnsiTheme="minorHAnsi" w:cstheme="minorHAnsi" w:hint="cs"/>
          <w:szCs w:val="18"/>
          <w:rtl/>
        </w:rPr>
        <w:t>الحقول</w:t>
      </w:r>
      <w:r w:rsidRPr="00D8602F">
        <w:rPr>
          <w:rFonts w:asciiTheme="minorHAnsi" w:hAnsiTheme="minorHAnsi" w:cstheme="minorHAnsi"/>
          <w:szCs w:val="18"/>
          <w:rtl/>
        </w:rPr>
        <w:t xml:space="preserve">، انظر </w:t>
      </w:r>
      <w:hyperlink r:id="rId62" w:history="1">
        <w:r w:rsidRPr="003045C4">
          <w:rPr>
            <w:rStyle w:val="Hyperlink"/>
            <w:rFonts w:asciiTheme="minorHAnsi" w:hAnsiTheme="minorHAnsi" w:cstheme="minorHAnsi"/>
            <w:szCs w:val="18"/>
            <w:rtl/>
          </w:rPr>
          <w:t>https://www.europarl.europa.eu/doceo/document/TA-9-2024-0101_EN.html</w:t>
        </w:r>
      </w:hyperlink>
      <w:r w:rsidRPr="00D8602F">
        <w:rPr>
          <w:rFonts w:asciiTheme="minorHAnsi" w:hAnsiTheme="minorHAnsi" w:cstheme="minorHAnsi"/>
          <w:szCs w:val="18"/>
          <w:rtl/>
        </w:rPr>
        <w:t xml:space="preserve">، ومجلس الاتحاد الأوروبي. </w:t>
      </w:r>
      <w:r w:rsidR="001A4D6B">
        <w:rPr>
          <w:rFonts w:asciiTheme="minorHAnsi" w:hAnsiTheme="minorHAnsi" w:cstheme="minorHAnsi" w:hint="cs"/>
          <w:szCs w:val="18"/>
          <w:rtl/>
        </w:rPr>
        <w:t>و</w:t>
      </w:r>
      <w:r w:rsidRPr="00D8602F">
        <w:rPr>
          <w:rFonts w:asciiTheme="minorHAnsi" w:hAnsiTheme="minorHAnsi" w:cstheme="minorHAnsi"/>
          <w:szCs w:val="18"/>
          <w:rtl/>
        </w:rPr>
        <w:t xml:space="preserve">في حين أن عددًا من </w:t>
      </w:r>
      <w:r w:rsidR="001A4D6B">
        <w:rPr>
          <w:rFonts w:asciiTheme="minorHAnsi" w:hAnsiTheme="minorHAnsi" w:cstheme="minorHAnsi" w:hint="cs"/>
          <w:szCs w:val="18"/>
          <w:rtl/>
        </w:rPr>
        <w:t>الحقول</w:t>
      </w:r>
      <w:r w:rsidRPr="00D8602F">
        <w:rPr>
          <w:rFonts w:asciiTheme="minorHAnsi" w:hAnsiTheme="minorHAnsi" w:cstheme="minorHAnsi"/>
          <w:szCs w:val="18"/>
          <w:rtl/>
        </w:rPr>
        <w:t xml:space="preserve"> الأوروبية </w:t>
      </w:r>
      <w:r w:rsidR="001A4D6B">
        <w:rPr>
          <w:rFonts w:asciiTheme="minorHAnsi" w:hAnsiTheme="minorHAnsi" w:cstheme="minorHAnsi" w:hint="cs"/>
          <w:szCs w:val="18"/>
          <w:rtl/>
        </w:rPr>
        <w:t>العليا</w:t>
      </w:r>
      <w:r w:rsidRPr="00D8602F">
        <w:rPr>
          <w:rFonts w:asciiTheme="minorHAnsi" w:hAnsiTheme="minorHAnsi" w:cstheme="minorHAnsi"/>
          <w:szCs w:val="18"/>
          <w:rtl/>
        </w:rPr>
        <w:t xml:space="preserve"> (ccTLDs) تأخذ بالفعل في الحسبان المؤشرات الجغرافية في </w:t>
      </w:r>
      <w:r w:rsidR="001A4D6B">
        <w:rPr>
          <w:rFonts w:asciiTheme="minorHAnsi" w:hAnsiTheme="minorHAnsi" w:cstheme="minorHAnsi" w:hint="cs"/>
          <w:szCs w:val="18"/>
          <w:rtl/>
        </w:rPr>
        <w:t>السياسة الموحدة</w:t>
      </w:r>
      <w:r w:rsidRPr="00D8602F">
        <w:rPr>
          <w:rFonts w:asciiTheme="minorHAnsi" w:hAnsiTheme="minorHAnsi" w:cstheme="minorHAnsi"/>
          <w:szCs w:val="18"/>
          <w:rtl/>
        </w:rPr>
        <w:t xml:space="preserve"> الخاصة بها، فإن اللوائح المعتمدة في صيغتها الحالية تؤثر على عدد </w:t>
      </w:r>
      <w:r w:rsidRPr="001A4D6B">
        <w:rPr>
          <w:rFonts w:asciiTheme="minorHAnsi" w:hAnsiTheme="minorHAnsi" w:cstheme="minorHAnsi"/>
          <w:szCs w:val="18"/>
          <w:rtl/>
        </w:rPr>
        <w:t>من سياس</w:t>
      </w:r>
      <w:r w:rsidR="001A4D6B" w:rsidRPr="001A4D6B">
        <w:rPr>
          <w:rFonts w:asciiTheme="minorHAnsi" w:hAnsiTheme="minorHAnsi" w:cstheme="minorHAnsi"/>
          <w:szCs w:val="18"/>
          <w:rtl/>
        </w:rPr>
        <w:t xml:space="preserve">ة الموحدة </w:t>
      </w:r>
      <w:r w:rsidRPr="001A4D6B">
        <w:rPr>
          <w:rFonts w:asciiTheme="minorHAnsi" w:hAnsiTheme="minorHAnsi" w:cstheme="minorHAnsi"/>
          <w:szCs w:val="18"/>
          <w:rtl/>
        </w:rPr>
        <w:t xml:space="preserve">الخاصة </w:t>
      </w:r>
      <w:r w:rsidR="001A4D6B" w:rsidRPr="001A4D6B">
        <w:rPr>
          <w:rFonts w:asciiTheme="minorHAnsi" w:hAnsiTheme="minorHAnsi" w:cstheme="minorHAnsi"/>
          <w:szCs w:val="18"/>
          <w:rtl/>
        </w:rPr>
        <w:t>الحقول العليا</w:t>
      </w:r>
      <w:r w:rsidRPr="001A4D6B">
        <w:rPr>
          <w:rFonts w:asciiTheme="minorHAnsi" w:hAnsiTheme="minorHAnsi" w:cstheme="minorHAnsi"/>
          <w:szCs w:val="18"/>
          <w:rtl/>
        </w:rPr>
        <w:t xml:space="preserve"> الأوروبية بقدر ما ستحتاج إلى تحديثها.</w:t>
      </w:r>
    </w:p>
  </w:footnote>
  <w:footnote w:id="58">
    <w:p w14:paraId="08B931A0" w14:textId="404879D3" w:rsidR="001A4D6B" w:rsidRDefault="001A4D6B">
      <w:pPr>
        <w:pStyle w:val="FootnoteText"/>
      </w:pPr>
      <w:r w:rsidRPr="001A4D6B">
        <w:rPr>
          <w:rStyle w:val="FootnoteReference"/>
          <w:rFonts w:asciiTheme="minorHAnsi" w:hAnsiTheme="minorHAnsi" w:cstheme="minorHAnsi"/>
          <w:szCs w:val="18"/>
        </w:rPr>
        <w:footnoteRef/>
      </w:r>
      <w:r w:rsidRPr="001A4D6B">
        <w:rPr>
          <w:rFonts w:asciiTheme="minorHAnsi" w:hAnsiTheme="minorHAnsi" w:cstheme="minorHAnsi"/>
          <w:szCs w:val="18"/>
          <w:rtl/>
        </w:rPr>
        <w:t xml:space="preserve"> </w:t>
      </w:r>
      <w:r w:rsidR="003045C4">
        <w:rPr>
          <w:rFonts w:asciiTheme="minorHAnsi" w:hAnsiTheme="minorHAnsi" w:cstheme="minorHAnsi"/>
          <w:szCs w:val="18"/>
        </w:rPr>
        <w:tab/>
      </w:r>
      <w:r w:rsidRPr="001A4D6B">
        <w:rPr>
          <w:rFonts w:asciiTheme="minorHAnsi" w:hAnsiTheme="minorHAnsi" w:cstheme="minorHAnsi"/>
          <w:szCs w:val="18"/>
          <w:rtl/>
        </w:rPr>
        <w:t xml:space="preserve">تُشكل هذه الخطط مجتمعةً ما يُسمى بخطط الآيكان "لتخفيف الالتباس". انظر على سبيل المثال: </w:t>
      </w:r>
      <w:hyperlink r:id="rId63" w:history="1">
        <w:r w:rsidR="007B1363" w:rsidRPr="007B1363">
          <w:rPr>
            <w:rStyle w:val="Hyperlink"/>
            <w:rFonts w:asciiTheme="minorHAnsi" w:hAnsiTheme="minorHAnsi" w:cstheme="minorHAnsi"/>
            <w:szCs w:val="18"/>
          </w:rPr>
          <w:t>https://www.icann.org/en/system/files/files/implementation-memo-two-character-ascii-labels-22jan19-en.pdf</w:t>
        </w:r>
      </w:hyperlink>
      <w:r w:rsidRPr="001A4D6B">
        <w:rPr>
          <w:rFonts w:asciiTheme="minorHAnsi" w:hAnsiTheme="minorHAnsi" w:cstheme="minorHAnsi"/>
          <w:szCs w:val="18"/>
          <w:rtl/>
        </w:rPr>
        <w:t xml:space="preserve">و </w:t>
      </w:r>
      <w:hyperlink r:id="rId64" w:history="1">
        <w:r w:rsidR="007B1363" w:rsidRPr="007B1363">
          <w:rPr>
            <w:rStyle w:val="Hyperlink"/>
            <w:rFonts w:asciiTheme="minorHAnsi" w:hAnsiTheme="minorHAnsi" w:cstheme="minorHAnsi"/>
            <w:szCs w:val="18"/>
          </w:rPr>
          <w:t>http://www.icann.org/en/system/files/files/two-character-ltr-ltr-authorization-release-13dec16-en.pdf</w:t>
        </w:r>
      </w:hyperlink>
    </w:p>
  </w:footnote>
  <w:footnote w:id="59">
    <w:p w14:paraId="5F3A6C1F" w14:textId="7E6C98D2" w:rsidR="00C54079" w:rsidRPr="00C54079" w:rsidRDefault="00C54079" w:rsidP="00C54079">
      <w:pPr>
        <w:pStyle w:val="FootnoteText"/>
      </w:pPr>
      <w:r w:rsidRPr="00D8602F">
        <w:rPr>
          <w:rStyle w:val="FootnoteReference"/>
          <w:rFonts w:asciiTheme="minorHAnsi" w:hAnsiTheme="minorHAnsi" w:cstheme="minorHAnsi"/>
          <w:szCs w:val="18"/>
          <w:rtl/>
        </w:rPr>
        <w:footnoteRef/>
      </w:r>
      <w:r w:rsidRPr="00D8602F">
        <w:rPr>
          <w:rFonts w:asciiTheme="minorHAnsi" w:hAnsiTheme="minorHAnsi" w:cstheme="minorHAnsi"/>
          <w:szCs w:val="18"/>
          <w:rtl/>
        </w:rPr>
        <w:tab/>
        <w:t xml:space="preserve">انظر الدراسة الاستقصائية للحالة الراهنة للمؤشرات الجغرافية وأسماء البلدان والمصطلحات الجغرافية الأخرى في نظام أسماء النطاقات التي أعدها المركز مع أمانة معاهدة التعاون بشأن البينات الجغرافية في 12 مارس/آذار 2018 وقُدمت في الوثيقة </w:t>
      </w:r>
      <w:hyperlink r:id="rId65" w:history="1">
        <w:r w:rsidRPr="00D8602F">
          <w:rPr>
            <w:rStyle w:val="Hyperlink"/>
            <w:rFonts w:asciiTheme="minorHAnsi" w:hAnsiTheme="minorHAnsi" w:cstheme="minorHAnsi"/>
            <w:szCs w:val="18"/>
            <w:rtl/>
          </w:rPr>
          <w:t>SCT/39/7</w:t>
        </w:r>
      </w:hyperlink>
      <w:r w:rsidRPr="00D8602F">
        <w:rPr>
          <w:rFonts w:asciiTheme="minorHAnsi" w:hAnsiTheme="minorHAnsi" w:cstheme="minorHAnsi"/>
          <w:szCs w:val="18"/>
          <w:rtl/>
        </w:rPr>
        <w:t>.</w:t>
      </w:r>
      <w:r w:rsidR="001A4D6B">
        <w:rPr>
          <w:rFonts w:asciiTheme="minorHAnsi" w:hAnsiTheme="minorHAnsi" w:cstheme="minorHAnsi" w:hint="cs"/>
          <w:szCs w:val="18"/>
          <w:rtl/>
        </w:rPr>
        <w:t xml:space="preserve"> </w:t>
      </w:r>
    </w:p>
  </w:footnote>
  <w:footnote w:id="60">
    <w:p w14:paraId="214BC19B" w14:textId="5AF33FB2" w:rsidR="001A4D6B" w:rsidRPr="00F00882" w:rsidRDefault="001A4D6B">
      <w:pPr>
        <w:pStyle w:val="FootnoteText"/>
        <w:rPr>
          <w:rFonts w:asciiTheme="minorHAnsi" w:hAnsiTheme="minorHAnsi" w:cstheme="minorHAnsi"/>
          <w:szCs w:val="18"/>
        </w:rPr>
      </w:pPr>
      <w:r w:rsidRPr="00F00882">
        <w:rPr>
          <w:rStyle w:val="FootnoteReference"/>
          <w:rFonts w:asciiTheme="minorHAnsi" w:hAnsiTheme="minorHAnsi" w:cstheme="minorHAnsi"/>
          <w:szCs w:val="18"/>
        </w:rPr>
        <w:footnoteRef/>
      </w:r>
      <w:r w:rsidR="007B1363">
        <w:rPr>
          <w:rFonts w:asciiTheme="minorHAnsi" w:hAnsiTheme="minorHAnsi" w:cstheme="minorHAnsi"/>
          <w:szCs w:val="18"/>
        </w:rPr>
        <w:tab/>
      </w:r>
      <w:r w:rsidR="00F00882" w:rsidRPr="00F00882">
        <w:rPr>
          <w:rFonts w:asciiTheme="minorHAnsi" w:hAnsiTheme="minorHAnsi" w:cstheme="minorHAnsi"/>
          <w:szCs w:val="18"/>
          <w:rtl/>
        </w:rPr>
        <w:t xml:space="preserve">انظر، على سبيل المثال، الوثائق </w:t>
      </w:r>
      <w:hyperlink r:id="rId66" w:history="1">
        <w:r w:rsidR="00F00882" w:rsidRPr="003045C4">
          <w:rPr>
            <w:rStyle w:val="Hyperlink"/>
            <w:rFonts w:asciiTheme="minorHAnsi" w:hAnsiTheme="minorHAnsi" w:cstheme="minorHAnsi"/>
            <w:szCs w:val="18"/>
          </w:rPr>
          <w:t>SCT/37/4</w:t>
        </w:r>
      </w:hyperlink>
      <w:r w:rsidR="00F00882" w:rsidRPr="00F00882">
        <w:rPr>
          <w:rFonts w:asciiTheme="minorHAnsi" w:hAnsiTheme="minorHAnsi" w:cstheme="minorHAnsi"/>
          <w:szCs w:val="18"/>
          <w:rtl/>
        </w:rPr>
        <w:t xml:space="preserve">، </w:t>
      </w:r>
      <w:hyperlink r:id="rId67" w:history="1">
        <w:r w:rsidR="00F00882" w:rsidRPr="003045C4">
          <w:rPr>
            <w:rStyle w:val="Hyperlink"/>
            <w:rFonts w:asciiTheme="minorHAnsi" w:hAnsiTheme="minorHAnsi" w:cstheme="minorHAnsi"/>
            <w:szCs w:val="18"/>
          </w:rPr>
          <w:t>SCT/37/5</w:t>
        </w:r>
      </w:hyperlink>
      <w:r w:rsidR="00F00882" w:rsidRPr="00F00882">
        <w:rPr>
          <w:rFonts w:asciiTheme="minorHAnsi" w:hAnsiTheme="minorHAnsi" w:cstheme="minorHAnsi"/>
          <w:szCs w:val="18"/>
          <w:rtl/>
        </w:rPr>
        <w:t xml:space="preserve">، </w:t>
      </w:r>
      <w:hyperlink r:id="rId68" w:history="1">
        <w:r w:rsidR="00F00882" w:rsidRPr="003045C4">
          <w:rPr>
            <w:rStyle w:val="Hyperlink"/>
            <w:rFonts w:asciiTheme="minorHAnsi" w:hAnsiTheme="minorHAnsi" w:cstheme="minorHAnsi"/>
            <w:szCs w:val="18"/>
          </w:rPr>
          <w:t>SCT/38/3</w:t>
        </w:r>
      </w:hyperlink>
      <w:r w:rsidR="00F00882" w:rsidRPr="00F00882">
        <w:rPr>
          <w:rFonts w:asciiTheme="minorHAnsi" w:hAnsiTheme="minorHAnsi" w:cstheme="minorHAnsi"/>
          <w:szCs w:val="18"/>
          <w:rtl/>
        </w:rPr>
        <w:t xml:space="preserve">، </w:t>
      </w:r>
      <w:hyperlink r:id="rId69" w:history="1">
        <w:r w:rsidR="00F00882" w:rsidRPr="003045C4">
          <w:rPr>
            <w:rStyle w:val="Hyperlink"/>
            <w:rFonts w:asciiTheme="minorHAnsi" w:hAnsiTheme="minorHAnsi" w:cstheme="minorHAnsi"/>
            <w:szCs w:val="18"/>
          </w:rPr>
          <w:t>SCT/39/5</w:t>
        </w:r>
      </w:hyperlink>
      <w:r w:rsidR="00F00882" w:rsidRPr="00F00882">
        <w:rPr>
          <w:rFonts w:asciiTheme="minorHAnsi" w:hAnsiTheme="minorHAnsi" w:cstheme="minorHAnsi"/>
          <w:szCs w:val="18"/>
          <w:rtl/>
        </w:rPr>
        <w:t xml:space="preserve">، </w:t>
      </w:r>
      <w:hyperlink r:id="rId70" w:history="1">
        <w:r w:rsidR="00F00882" w:rsidRPr="003045C4">
          <w:rPr>
            <w:rStyle w:val="Hyperlink"/>
            <w:rFonts w:asciiTheme="minorHAnsi" w:hAnsiTheme="minorHAnsi" w:cstheme="minorHAnsi"/>
            <w:szCs w:val="18"/>
          </w:rPr>
          <w:t>SCT/40/4</w:t>
        </w:r>
      </w:hyperlink>
      <w:r w:rsidR="00F00882" w:rsidRPr="00F00882">
        <w:rPr>
          <w:rFonts w:asciiTheme="minorHAnsi" w:hAnsiTheme="minorHAnsi" w:cstheme="minorHAnsi"/>
          <w:szCs w:val="18"/>
          <w:rtl/>
        </w:rPr>
        <w:t xml:space="preserve">، </w:t>
      </w:r>
      <w:hyperlink r:id="rId71" w:history="1">
        <w:r w:rsidR="00F00882" w:rsidRPr="003045C4">
          <w:rPr>
            <w:rStyle w:val="Hyperlink"/>
            <w:rFonts w:asciiTheme="minorHAnsi" w:hAnsiTheme="minorHAnsi" w:cstheme="minorHAnsi"/>
            <w:szCs w:val="18"/>
          </w:rPr>
          <w:t>SCT/41/5</w:t>
        </w:r>
      </w:hyperlink>
      <w:r w:rsidR="00F00882" w:rsidRPr="00F00882">
        <w:rPr>
          <w:rFonts w:asciiTheme="minorHAnsi" w:hAnsiTheme="minorHAnsi" w:cstheme="minorHAnsi"/>
          <w:szCs w:val="18"/>
          <w:rtl/>
        </w:rPr>
        <w:t xml:space="preserve">، </w:t>
      </w:r>
      <w:hyperlink r:id="rId72" w:history="1">
        <w:r w:rsidR="00F00882" w:rsidRPr="003045C4">
          <w:rPr>
            <w:rStyle w:val="Hyperlink"/>
            <w:rFonts w:asciiTheme="minorHAnsi" w:hAnsiTheme="minorHAnsi" w:cstheme="minorHAnsi"/>
            <w:szCs w:val="18"/>
          </w:rPr>
          <w:t>SCT/42/3</w:t>
        </w:r>
      </w:hyperlink>
      <w:r w:rsidR="00F00882" w:rsidRPr="00F00882">
        <w:rPr>
          <w:rFonts w:asciiTheme="minorHAnsi" w:hAnsiTheme="minorHAnsi" w:cstheme="minorHAnsi"/>
          <w:szCs w:val="18"/>
          <w:rtl/>
        </w:rPr>
        <w:t xml:space="preserve">، </w:t>
      </w:r>
      <w:hyperlink r:id="rId73" w:history="1">
        <w:r w:rsidR="00F00882" w:rsidRPr="003045C4">
          <w:rPr>
            <w:rStyle w:val="Hyperlink"/>
            <w:rFonts w:asciiTheme="minorHAnsi" w:hAnsiTheme="minorHAnsi" w:cstheme="minorHAnsi"/>
            <w:szCs w:val="18"/>
          </w:rPr>
          <w:t>SCT/43/4</w:t>
        </w:r>
      </w:hyperlink>
      <w:r w:rsidR="00F00882" w:rsidRPr="00F00882">
        <w:rPr>
          <w:rFonts w:asciiTheme="minorHAnsi" w:hAnsiTheme="minorHAnsi" w:cstheme="minorHAnsi"/>
          <w:szCs w:val="18"/>
          <w:rtl/>
        </w:rPr>
        <w:t xml:space="preserve">، </w:t>
      </w:r>
      <w:hyperlink r:id="rId74" w:history="1">
        <w:r w:rsidR="00F00882" w:rsidRPr="003045C4">
          <w:rPr>
            <w:rStyle w:val="Hyperlink"/>
            <w:rFonts w:asciiTheme="minorHAnsi" w:hAnsiTheme="minorHAnsi" w:cstheme="minorHAnsi"/>
            <w:szCs w:val="18"/>
          </w:rPr>
          <w:t>SCT/44/2</w:t>
        </w:r>
      </w:hyperlink>
      <w:r w:rsidR="00F00882" w:rsidRPr="00F00882">
        <w:rPr>
          <w:rFonts w:asciiTheme="minorHAnsi" w:hAnsiTheme="minorHAnsi" w:cstheme="minorHAnsi"/>
          <w:szCs w:val="18"/>
          <w:rtl/>
        </w:rPr>
        <w:t xml:space="preserve">، </w:t>
      </w:r>
      <w:hyperlink r:id="rId75" w:history="1">
        <w:r w:rsidR="00F00882" w:rsidRPr="007B1363">
          <w:rPr>
            <w:rStyle w:val="Hyperlink"/>
            <w:rFonts w:asciiTheme="minorHAnsi" w:hAnsiTheme="minorHAnsi" w:cstheme="minorHAnsi"/>
            <w:szCs w:val="18"/>
          </w:rPr>
          <w:t>SCT/45/3</w:t>
        </w:r>
      </w:hyperlink>
      <w:r w:rsidR="00F00882" w:rsidRPr="00F00882">
        <w:rPr>
          <w:rFonts w:asciiTheme="minorHAnsi" w:hAnsiTheme="minorHAnsi" w:cstheme="minorHAnsi"/>
          <w:szCs w:val="18"/>
          <w:rtl/>
        </w:rPr>
        <w:t xml:space="preserve">، </w:t>
      </w:r>
      <w:hyperlink r:id="rId76" w:history="1">
        <w:r w:rsidR="00F00882" w:rsidRPr="007B1363">
          <w:rPr>
            <w:rStyle w:val="Hyperlink"/>
            <w:rFonts w:asciiTheme="minorHAnsi" w:hAnsiTheme="minorHAnsi" w:cstheme="minorHAnsi"/>
            <w:szCs w:val="18"/>
          </w:rPr>
          <w:t>SCT/46/3</w:t>
        </w:r>
      </w:hyperlink>
      <w:r w:rsidR="00F00882" w:rsidRPr="00F00882">
        <w:rPr>
          <w:rFonts w:asciiTheme="minorHAnsi" w:hAnsiTheme="minorHAnsi" w:cstheme="minorHAnsi"/>
          <w:szCs w:val="18"/>
          <w:rtl/>
        </w:rPr>
        <w:t xml:space="preserve">، </w:t>
      </w:r>
      <w:hyperlink r:id="rId77" w:history="1">
        <w:r w:rsidR="00F00882" w:rsidRPr="007B1363">
          <w:rPr>
            <w:rStyle w:val="Hyperlink"/>
            <w:rFonts w:asciiTheme="minorHAnsi" w:hAnsiTheme="minorHAnsi" w:cstheme="minorHAnsi"/>
            <w:szCs w:val="18"/>
          </w:rPr>
          <w:t>SCT/47/2</w:t>
        </w:r>
      </w:hyperlink>
      <w:r w:rsidR="00F00882" w:rsidRPr="00F00882">
        <w:rPr>
          <w:rFonts w:asciiTheme="minorHAnsi" w:hAnsiTheme="minorHAnsi" w:cstheme="minorHAnsi"/>
          <w:szCs w:val="18"/>
          <w:rtl/>
        </w:rPr>
        <w:t>، و</w:t>
      </w:r>
      <w:hyperlink r:id="rId78" w:history="1">
        <w:r w:rsidR="00F00882" w:rsidRPr="007B1363">
          <w:rPr>
            <w:rStyle w:val="Hyperlink"/>
            <w:rFonts w:asciiTheme="minorHAnsi" w:hAnsiTheme="minorHAnsi" w:cstheme="minorHAnsi"/>
            <w:szCs w:val="18"/>
          </w:rPr>
          <w:t>SCT/48/2</w:t>
        </w:r>
      </w:hyperlink>
      <w:r w:rsidR="00F00882" w:rsidRPr="00F00882">
        <w:rPr>
          <w:rFonts w:asciiTheme="minorHAnsi" w:hAnsiTheme="minorHAnsi" w:cstheme="minorHAnsi"/>
          <w:szCs w:val="18"/>
          <w:rtl/>
        </w:rPr>
        <w:t xml:space="preserve">. انظر أيضًا الاجتماع </w:t>
      </w:r>
      <w:hyperlink r:id="rId79" w:history="1">
        <w:r w:rsidR="00F00882" w:rsidRPr="007B1363">
          <w:rPr>
            <w:rStyle w:val="Hyperlink"/>
            <w:rFonts w:asciiTheme="minorHAnsi" w:hAnsiTheme="minorHAnsi" w:cstheme="minorHAnsi"/>
            <w:szCs w:val="18"/>
          </w:rPr>
          <w:t>SCT/IS/GEO/GE/17</w:t>
        </w:r>
      </w:hyperlink>
      <w:r w:rsidR="00F00882" w:rsidRPr="00F00882">
        <w:rPr>
          <w:rFonts w:asciiTheme="minorHAnsi" w:hAnsiTheme="minorHAnsi" w:cstheme="minorHAnsi"/>
          <w:szCs w:val="18"/>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895C" w14:textId="3E1F6B20" w:rsidR="00EC4E49" w:rsidRPr="007D0C16" w:rsidRDefault="0063585F" w:rsidP="00477D6B">
    <w:pPr>
      <w:jc w:val="right"/>
      <w:rPr>
        <w:sz w:val="24"/>
        <w:szCs w:val="24"/>
      </w:rPr>
    </w:pPr>
    <w:bookmarkStart w:id="14" w:name="Code2"/>
    <w:bookmarkEnd w:id="14"/>
    <w:r w:rsidRPr="007D0C16">
      <w:rPr>
        <w:sz w:val="24"/>
        <w:szCs w:val="24"/>
        <w:rtl/>
      </w:rPr>
      <w:t>WO/GA/58/11</w:t>
    </w:r>
  </w:p>
  <w:p w14:paraId="2CAC7CCB" w14:textId="5AC2845D" w:rsidR="00EC4E49" w:rsidRPr="007D0C16" w:rsidRDefault="00EC4E49" w:rsidP="00477D6B">
    <w:pPr>
      <w:jc w:val="right"/>
      <w:rPr>
        <w:sz w:val="24"/>
        <w:szCs w:val="24"/>
      </w:rPr>
    </w:pPr>
    <w:r w:rsidRPr="007D0C16">
      <w:rPr>
        <w:sz w:val="24"/>
        <w:szCs w:val="24"/>
        <w:rtl/>
      </w:rPr>
      <w:fldChar w:fldCharType="begin"/>
    </w:r>
    <w:r w:rsidRPr="007D0C16">
      <w:rPr>
        <w:sz w:val="24"/>
        <w:szCs w:val="24"/>
        <w:rtl/>
      </w:rPr>
      <w:instrText xml:space="preserve"> PAGE  \* MERGEFORMAT </w:instrText>
    </w:r>
    <w:r w:rsidRPr="007D0C16">
      <w:rPr>
        <w:sz w:val="24"/>
        <w:szCs w:val="24"/>
        <w:rtl/>
      </w:rPr>
      <w:fldChar w:fldCharType="separate"/>
    </w:r>
    <w:r w:rsidR="00E671A6" w:rsidRPr="007D0C16">
      <w:rPr>
        <w:noProof/>
        <w:sz w:val="24"/>
        <w:szCs w:val="24"/>
        <w:rtl/>
      </w:rPr>
      <w:t>2</w:t>
    </w:r>
    <w:r w:rsidRPr="007D0C16">
      <w:rPr>
        <w:sz w:val="24"/>
        <w:szCs w:val="24"/>
        <w:rtl/>
      </w:rPr>
      <w:fldChar w:fldCharType="end"/>
    </w:r>
  </w:p>
  <w:p w14:paraId="703C4093" w14:textId="77777777" w:rsidR="00EC4E49" w:rsidRDefault="00EC4E49" w:rsidP="00477D6B">
    <w:pPr>
      <w:jc w:val="right"/>
    </w:pPr>
  </w:p>
  <w:p w14:paraId="52863685"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0A27031"/>
    <w:multiLevelType w:val="hybridMultilevel"/>
    <w:tmpl w:val="FFFFFFFF"/>
    <w:lvl w:ilvl="0" w:tplc="83302EC4">
      <w:start w:val="5"/>
      <w:numFmt w:val="decimal"/>
      <w:lvlText w:val="%1."/>
      <w:lvlJc w:val="left"/>
      <w:pPr>
        <w:ind w:left="360" w:hanging="360"/>
      </w:pPr>
    </w:lvl>
    <w:lvl w:ilvl="1" w:tplc="73168474">
      <w:start w:val="1"/>
      <w:numFmt w:val="arabicAlpha"/>
      <w:lvlText w:val="%2."/>
      <w:lvlJc w:val="left"/>
      <w:pPr>
        <w:ind w:left="1440" w:hanging="360"/>
      </w:pPr>
    </w:lvl>
    <w:lvl w:ilvl="2" w:tplc="ECD8D328">
      <w:start w:val="1"/>
      <w:numFmt w:val="lowerRoman"/>
      <w:lvlText w:val="%3."/>
      <w:lvlJc w:val="right"/>
      <w:pPr>
        <w:ind w:left="2160" w:hanging="180"/>
      </w:pPr>
    </w:lvl>
    <w:lvl w:ilvl="3" w:tplc="3B00D1B2">
      <w:start w:val="1"/>
      <w:numFmt w:val="decimal"/>
      <w:lvlText w:val="%4."/>
      <w:lvlJc w:val="left"/>
      <w:pPr>
        <w:ind w:left="2880" w:hanging="360"/>
      </w:pPr>
    </w:lvl>
    <w:lvl w:ilvl="4" w:tplc="3A008A98">
      <w:start w:val="1"/>
      <w:numFmt w:val="arabicAlpha"/>
      <w:lvlText w:val="%5."/>
      <w:lvlJc w:val="left"/>
      <w:pPr>
        <w:ind w:left="3600" w:hanging="360"/>
      </w:pPr>
    </w:lvl>
    <w:lvl w:ilvl="5" w:tplc="5B5E9040">
      <w:start w:val="1"/>
      <w:numFmt w:val="lowerRoman"/>
      <w:lvlText w:val="%6."/>
      <w:lvlJc w:val="right"/>
      <w:pPr>
        <w:ind w:left="4320" w:hanging="180"/>
      </w:pPr>
    </w:lvl>
    <w:lvl w:ilvl="6" w:tplc="63F8A3AE">
      <w:start w:val="1"/>
      <w:numFmt w:val="decimal"/>
      <w:lvlText w:val="%7."/>
      <w:lvlJc w:val="left"/>
      <w:pPr>
        <w:ind w:left="5040" w:hanging="360"/>
      </w:pPr>
    </w:lvl>
    <w:lvl w:ilvl="7" w:tplc="C318183C">
      <w:start w:val="1"/>
      <w:numFmt w:val="arabicAlpha"/>
      <w:lvlText w:val="%8."/>
      <w:lvlJc w:val="left"/>
      <w:pPr>
        <w:ind w:left="5760" w:hanging="360"/>
      </w:pPr>
    </w:lvl>
    <w:lvl w:ilvl="8" w:tplc="FD9E4A24">
      <w:start w:val="1"/>
      <w:numFmt w:val="lowerRoman"/>
      <w:lvlText w:val="%9."/>
      <w:lvlJc w:val="right"/>
      <w:pPr>
        <w:ind w:left="648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arabicAlpha"/>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AB5786D"/>
    <w:multiLevelType w:val="hybridMultilevel"/>
    <w:tmpl w:val="158629E4"/>
    <w:lvl w:ilvl="0" w:tplc="0409000F">
      <w:start w:val="4"/>
      <w:numFmt w:val="decimal"/>
      <w:lvlText w:val="%1."/>
      <w:lvlJc w:val="left"/>
      <w:pPr>
        <w:ind w:left="720" w:hanging="360"/>
      </w:pPr>
      <w:rPr>
        <w:rFonts w:hint="default"/>
      </w:rPr>
    </w:lvl>
    <w:lvl w:ilvl="1" w:tplc="04090019" w:tentative="1">
      <w:start w:val="1"/>
      <w:numFmt w:val="arabicAlph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81862"/>
    <w:multiLevelType w:val="hybridMultilevel"/>
    <w:tmpl w:val="61D6E5F6"/>
    <w:lvl w:ilvl="0" w:tplc="0409000F">
      <w:start w:val="37"/>
      <w:numFmt w:val="decimal"/>
      <w:lvlText w:val="%1."/>
      <w:lvlJc w:val="left"/>
      <w:pPr>
        <w:ind w:left="720" w:hanging="360"/>
      </w:pPr>
      <w:rPr>
        <w:rFonts w:hint="default"/>
      </w:rPr>
    </w:lvl>
    <w:lvl w:ilvl="1" w:tplc="04090019" w:tentative="1">
      <w:start w:val="1"/>
      <w:numFmt w:val="arabicAlph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747F9"/>
    <w:multiLevelType w:val="hybridMultilevel"/>
    <w:tmpl w:val="353487DA"/>
    <w:lvl w:ilvl="0" w:tplc="0409000F">
      <w:start w:val="35"/>
      <w:numFmt w:val="decimal"/>
      <w:lvlText w:val="%1."/>
      <w:lvlJc w:val="left"/>
      <w:pPr>
        <w:ind w:left="360" w:hanging="360"/>
      </w:pPr>
      <w:rPr>
        <w:rFonts w:hint="default"/>
      </w:rPr>
    </w:lvl>
    <w:lvl w:ilvl="1" w:tplc="04090019" w:tentative="1">
      <w:start w:val="1"/>
      <w:numFmt w:val="arabicAlpha"/>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arabicAlpha"/>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arabicAlpha"/>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arabicAlpha"/>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23390467"/>
    <w:multiLevelType w:val="hybridMultilevel"/>
    <w:tmpl w:val="723615C6"/>
    <w:lvl w:ilvl="0" w:tplc="0409000F">
      <w:start w:val="3"/>
      <w:numFmt w:val="decimal"/>
      <w:lvlText w:val="%1."/>
      <w:lvlJc w:val="left"/>
      <w:pPr>
        <w:ind w:left="720" w:hanging="360"/>
      </w:pPr>
      <w:rPr>
        <w:rFonts w:hint="default"/>
        <w:b w:val="0"/>
      </w:rPr>
    </w:lvl>
    <w:lvl w:ilvl="1" w:tplc="04090019" w:tentative="1">
      <w:start w:val="1"/>
      <w:numFmt w:val="arabicAlph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B12FE"/>
    <w:multiLevelType w:val="hybridMultilevel"/>
    <w:tmpl w:val="680CF70A"/>
    <w:lvl w:ilvl="0" w:tplc="0DCA3D0C">
      <w:start w:val="6"/>
      <w:numFmt w:val="decimal"/>
      <w:lvlText w:val="%1."/>
      <w:lvlJc w:val="left"/>
      <w:pPr>
        <w:ind w:left="927" w:hanging="360"/>
      </w:pPr>
      <w:rPr>
        <w:rFonts w:hint="default"/>
        <w:b w:val="0"/>
        <w:i w:val="0"/>
      </w:rPr>
    </w:lvl>
    <w:lvl w:ilvl="1" w:tplc="547A3AD2">
      <w:start w:val="1"/>
      <w:numFmt w:val="arabicAlpha"/>
      <w:lvlText w:val="(%2)"/>
      <w:lvlJc w:val="left"/>
      <w:pPr>
        <w:ind w:left="2043" w:hanging="576"/>
      </w:pPr>
      <w:rPr>
        <w:rFonts w:hint="default"/>
        <w:u w:val="none"/>
      </w:rPr>
    </w:lvl>
    <w:lvl w:ilvl="2" w:tplc="0409001B">
      <w:start w:val="1"/>
      <w:numFmt w:val="lowerRoman"/>
      <w:lvlText w:val="%3."/>
      <w:lvlJc w:val="right"/>
      <w:pPr>
        <w:ind w:left="2547" w:hanging="180"/>
      </w:pPr>
    </w:lvl>
    <w:lvl w:ilvl="3" w:tplc="0409000F">
      <w:start w:val="1"/>
      <w:numFmt w:val="decimal"/>
      <w:lvlText w:val="%4."/>
      <w:lvlJc w:val="left"/>
      <w:pPr>
        <w:ind w:left="3267" w:hanging="360"/>
      </w:pPr>
    </w:lvl>
    <w:lvl w:ilvl="4" w:tplc="04090019" w:tentative="1">
      <w:start w:val="1"/>
      <w:numFmt w:val="arabicAlpha"/>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arabicAlpha"/>
      <w:lvlText w:val="%8."/>
      <w:lvlJc w:val="left"/>
      <w:pPr>
        <w:ind w:left="6147" w:hanging="360"/>
      </w:pPr>
    </w:lvl>
    <w:lvl w:ilvl="8" w:tplc="0409001B" w:tentative="1">
      <w:start w:val="1"/>
      <w:numFmt w:val="lowerRoman"/>
      <w:lvlText w:val="%9."/>
      <w:lvlJc w:val="right"/>
      <w:pPr>
        <w:ind w:left="6867" w:hanging="180"/>
      </w:pPr>
    </w:lvl>
  </w:abstractNum>
  <w:abstractNum w:abstractNumId="10" w15:restartNumberingAfterBreak="0">
    <w:nsid w:val="24810EEB"/>
    <w:multiLevelType w:val="hybridMultilevel"/>
    <w:tmpl w:val="194CFCD0"/>
    <w:lvl w:ilvl="0" w:tplc="0409000F">
      <w:start w:val="35"/>
      <w:numFmt w:val="decimal"/>
      <w:lvlText w:val="%1."/>
      <w:lvlJc w:val="left"/>
      <w:pPr>
        <w:ind w:left="927" w:hanging="360"/>
      </w:pPr>
      <w:rPr>
        <w:rFonts w:hint="default"/>
      </w:rPr>
    </w:lvl>
    <w:lvl w:ilvl="1" w:tplc="04090019" w:tentative="1">
      <w:start w:val="1"/>
      <w:numFmt w:val="arabicAlpha"/>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arabicAlpha"/>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arabicAlpha"/>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AB46547"/>
    <w:multiLevelType w:val="hybridMultilevel"/>
    <w:tmpl w:val="C3B6C018"/>
    <w:lvl w:ilvl="0" w:tplc="0409000F">
      <w:start w:val="35"/>
      <w:numFmt w:val="decimal"/>
      <w:lvlText w:val="%1."/>
      <w:lvlJc w:val="left"/>
      <w:pPr>
        <w:ind w:left="720" w:hanging="360"/>
      </w:pPr>
      <w:rPr>
        <w:rFonts w:hint="default"/>
      </w:rPr>
    </w:lvl>
    <w:lvl w:ilvl="1" w:tplc="04090019" w:tentative="1">
      <w:start w:val="1"/>
      <w:numFmt w:val="arabicAlph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13FEE"/>
    <w:multiLevelType w:val="hybridMultilevel"/>
    <w:tmpl w:val="9F2CDDA4"/>
    <w:lvl w:ilvl="0" w:tplc="0409000F">
      <w:start w:val="1"/>
      <w:numFmt w:val="decimal"/>
      <w:lvlText w:val="%1."/>
      <w:lvlJc w:val="left"/>
      <w:pPr>
        <w:ind w:left="720" w:hanging="360"/>
      </w:pPr>
    </w:lvl>
    <w:lvl w:ilvl="1" w:tplc="04090019" w:tentative="1">
      <w:start w:val="1"/>
      <w:numFmt w:val="arabicAlph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46BDC"/>
    <w:multiLevelType w:val="hybridMultilevel"/>
    <w:tmpl w:val="FFFFFFFF"/>
    <w:lvl w:ilvl="0" w:tplc="14267670">
      <w:start w:val="5"/>
      <w:numFmt w:val="decimal"/>
      <w:lvlText w:val="%1."/>
      <w:lvlJc w:val="left"/>
      <w:pPr>
        <w:ind w:left="360" w:hanging="360"/>
      </w:pPr>
    </w:lvl>
    <w:lvl w:ilvl="1" w:tplc="110C77B8">
      <w:start w:val="1"/>
      <w:numFmt w:val="arabicAlpha"/>
      <w:lvlText w:val="%2."/>
      <w:lvlJc w:val="left"/>
      <w:pPr>
        <w:ind w:left="1440" w:hanging="360"/>
      </w:pPr>
    </w:lvl>
    <w:lvl w:ilvl="2" w:tplc="4B44CE4A">
      <w:start w:val="1"/>
      <w:numFmt w:val="lowerRoman"/>
      <w:lvlText w:val="%3."/>
      <w:lvlJc w:val="right"/>
      <w:pPr>
        <w:ind w:left="2160" w:hanging="180"/>
      </w:pPr>
    </w:lvl>
    <w:lvl w:ilvl="3" w:tplc="6D140EAE">
      <w:start w:val="1"/>
      <w:numFmt w:val="decimal"/>
      <w:lvlText w:val="%4."/>
      <w:lvlJc w:val="left"/>
      <w:pPr>
        <w:ind w:left="2880" w:hanging="360"/>
      </w:pPr>
    </w:lvl>
    <w:lvl w:ilvl="4" w:tplc="81F2B252">
      <w:start w:val="1"/>
      <w:numFmt w:val="arabicAlpha"/>
      <w:lvlText w:val="%5."/>
      <w:lvlJc w:val="left"/>
      <w:pPr>
        <w:ind w:left="3600" w:hanging="360"/>
      </w:pPr>
    </w:lvl>
    <w:lvl w:ilvl="5" w:tplc="A4605EDC">
      <w:start w:val="1"/>
      <w:numFmt w:val="lowerRoman"/>
      <w:lvlText w:val="%6."/>
      <w:lvlJc w:val="right"/>
      <w:pPr>
        <w:ind w:left="4320" w:hanging="180"/>
      </w:pPr>
    </w:lvl>
    <w:lvl w:ilvl="6" w:tplc="7766E72E">
      <w:start w:val="1"/>
      <w:numFmt w:val="decimal"/>
      <w:lvlText w:val="%7."/>
      <w:lvlJc w:val="left"/>
      <w:pPr>
        <w:ind w:left="5040" w:hanging="360"/>
      </w:pPr>
    </w:lvl>
    <w:lvl w:ilvl="7" w:tplc="5F6E69AC">
      <w:start w:val="1"/>
      <w:numFmt w:val="arabicAlpha"/>
      <w:lvlText w:val="%8."/>
      <w:lvlJc w:val="left"/>
      <w:pPr>
        <w:ind w:left="5760" w:hanging="360"/>
      </w:pPr>
    </w:lvl>
    <w:lvl w:ilvl="8" w:tplc="7AC6943C">
      <w:start w:val="1"/>
      <w:numFmt w:val="lowerRoman"/>
      <w:lvlText w:val="%9."/>
      <w:lvlJc w:val="right"/>
      <w:pPr>
        <w:ind w:left="6480" w:hanging="180"/>
      </w:pPr>
    </w:lvl>
  </w:abstractNum>
  <w:abstractNum w:abstractNumId="14" w15:restartNumberingAfterBreak="0">
    <w:nsid w:val="36F05D7F"/>
    <w:multiLevelType w:val="hybridMultilevel"/>
    <w:tmpl w:val="371CAEB8"/>
    <w:lvl w:ilvl="0" w:tplc="D6A636DA">
      <w:start w:val="11"/>
      <w:numFmt w:val="decimal"/>
      <w:lvlText w:val="%1."/>
      <w:lvlJc w:val="left"/>
      <w:pPr>
        <w:ind w:left="-207" w:hanging="360"/>
      </w:pPr>
      <w:rPr>
        <w:rFonts w:hint="default"/>
      </w:rPr>
    </w:lvl>
    <w:lvl w:ilvl="1" w:tplc="04090019">
      <w:start w:val="1"/>
      <w:numFmt w:val="arabicAlpha"/>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arabicAlpha"/>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arabicAlpha"/>
      <w:lvlText w:val="%8."/>
      <w:lvlJc w:val="left"/>
      <w:pPr>
        <w:ind w:left="5193" w:hanging="360"/>
      </w:pPr>
    </w:lvl>
    <w:lvl w:ilvl="8" w:tplc="0409001B" w:tentative="1">
      <w:start w:val="1"/>
      <w:numFmt w:val="lowerRoman"/>
      <w:lvlText w:val="%9."/>
      <w:lvlJc w:val="right"/>
      <w:pPr>
        <w:ind w:left="5913" w:hanging="180"/>
      </w:pPr>
    </w:lvl>
  </w:abstractNum>
  <w:abstractNum w:abstractNumId="15" w15:restartNumberingAfterBreak="0">
    <w:nsid w:val="3B4B684D"/>
    <w:multiLevelType w:val="hybridMultilevel"/>
    <w:tmpl w:val="F37679AC"/>
    <w:lvl w:ilvl="0" w:tplc="0409000F">
      <w:start w:val="3"/>
      <w:numFmt w:val="decimal"/>
      <w:lvlText w:val="%1."/>
      <w:lvlJc w:val="left"/>
      <w:pPr>
        <w:ind w:left="720" w:hanging="360"/>
      </w:pPr>
      <w:rPr>
        <w:rFonts w:hint="default"/>
        <w:b w:val="0"/>
      </w:rPr>
    </w:lvl>
    <w:lvl w:ilvl="1" w:tplc="04090019" w:tentative="1">
      <w:start w:val="1"/>
      <w:numFmt w:val="arabicAlph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38D0C3"/>
    <w:multiLevelType w:val="hybridMultilevel"/>
    <w:tmpl w:val="FFFFFFFF"/>
    <w:lvl w:ilvl="0" w:tplc="FDD6B768">
      <w:start w:val="5"/>
      <w:numFmt w:val="decimal"/>
      <w:lvlText w:val="%1."/>
      <w:lvlJc w:val="left"/>
      <w:pPr>
        <w:ind w:left="360" w:hanging="360"/>
      </w:pPr>
    </w:lvl>
    <w:lvl w:ilvl="1" w:tplc="8C7A9DD8">
      <w:start w:val="1"/>
      <w:numFmt w:val="arabicAlpha"/>
      <w:lvlText w:val="%2."/>
      <w:lvlJc w:val="left"/>
      <w:pPr>
        <w:ind w:left="1440" w:hanging="360"/>
      </w:pPr>
    </w:lvl>
    <w:lvl w:ilvl="2" w:tplc="0B42607A">
      <w:start w:val="1"/>
      <w:numFmt w:val="lowerRoman"/>
      <w:lvlText w:val="%3."/>
      <w:lvlJc w:val="right"/>
      <w:pPr>
        <w:ind w:left="2160" w:hanging="180"/>
      </w:pPr>
    </w:lvl>
    <w:lvl w:ilvl="3" w:tplc="C0CCF3E2">
      <w:start w:val="1"/>
      <w:numFmt w:val="decimal"/>
      <w:lvlText w:val="%4."/>
      <w:lvlJc w:val="left"/>
      <w:pPr>
        <w:ind w:left="2880" w:hanging="360"/>
      </w:pPr>
    </w:lvl>
    <w:lvl w:ilvl="4" w:tplc="CB062C36">
      <w:start w:val="1"/>
      <w:numFmt w:val="arabicAlpha"/>
      <w:lvlText w:val="%5."/>
      <w:lvlJc w:val="left"/>
      <w:pPr>
        <w:ind w:left="3600" w:hanging="360"/>
      </w:pPr>
    </w:lvl>
    <w:lvl w:ilvl="5" w:tplc="663A25F8">
      <w:start w:val="1"/>
      <w:numFmt w:val="lowerRoman"/>
      <w:lvlText w:val="%6."/>
      <w:lvlJc w:val="right"/>
      <w:pPr>
        <w:ind w:left="4320" w:hanging="180"/>
      </w:pPr>
    </w:lvl>
    <w:lvl w:ilvl="6" w:tplc="E3142A78">
      <w:start w:val="1"/>
      <w:numFmt w:val="decimal"/>
      <w:lvlText w:val="%7."/>
      <w:lvlJc w:val="left"/>
      <w:pPr>
        <w:ind w:left="5040" w:hanging="360"/>
      </w:pPr>
    </w:lvl>
    <w:lvl w:ilvl="7" w:tplc="A18E4A8E">
      <w:start w:val="1"/>
      <w:numFmt w:val="arabicAlpha"/>
      <w:lvlText w:val="%8."/>
      <w:lvlJc w:val="left"/>
      <w:pPr>
        <w:ind w:left="5760" w:hanging="360"/>
      </w:pPr>
    </w:lvl>
    <w:lvl w:ilvl="8" w:tplc="84064F36">
      <w:start w:val="1"/>
      <w:numFmt w:val="lowerRoman"/>
      <w:lvlText w:val="%9."/>
      <w:lvlJc w:val="right"/>
      <w:pPr>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703099"/>
    <w:multiLevelType w:val="hybridMultilevel"/>
    <w:tmpl w:val="411A0E4E"/>
    <w:lvl w:ilvl="0" w:tplc="5874F376">
      <w:start w:val="1"/>
      <w:numFmt w:val="decimal"/>
      <w:lvlText w:val="%1."/>
      <w:lvlJc w:val="left"/>
      <w:pPr>
        <w:ind w:left="360" w:hanging="360"/>
      </w:pPr>
      <w:rPr>
        <w:rFonts w:hint="default"/>
        <w:b w:val="0"/>
        <w:i w:val="0"/>
      </w:rPr>
    </w:lvl>
    <w:lvl w:ilvl="1" w:tplc="547A3AD2">
      <w:start w:val="1"/>
      <w:numFmt w:val="arabicAlpha"/>
      <w:lvlText w:val="(%2)"/>
      <w:lvlJc w:val="left"/>
      <w:pPr>
        <w:ind w:left="1656" w:hanging="576"/>
      </w:pPr>
      <w:rPr>
        <w:rFonts w:hint="default"/>
        <w:u w:val="none"/>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A65F6"/>
    <w:multiLevelType w:val="hybridMultilevel"/>
    <w:tmpl w:val="2CF2BFE4"/>
    <w:lvl w:ilvl="0" w:tplc="0409001B">
      <w:start w:val="1"/>
      <w:numFmt w:val="lowerRoman"/>
      <w:lvlText w:val="%1."/>
      <w:lvlJc w:val="right"/>
      <w:pPr>
        <w:ind w:left="1282" w:hanging="360"/>
      </w:pPr>
    </w:lvl>
    <w:lvl w:ilvl="1" w:tplc="04090019" w:tentative="1">
      <w:start w:val="1"/>
      <w:numFmt w:val="arabicAlpha"/>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arabicAlpha"/>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arabicAlpha"/>
      <w:lvlText w:val="%8."/>
      <w:lvlJc w:val="left"/>
      <w:pPr>
        <w:ind w:left="6322" w:hanging="360"/>
      </w:pPr>
    </w:lvl>
    <w:lvl w:ilvl="8" w:tplc="0409001B" w:tentative="1">
      <w:start w:val="1"/>
      <w:numFmt w:val="lowerRoman"/>
      <w:lvlText w:val="%9."/>
      <w:lvlJc w:val="right"/>
      <w:pPr>
        <w:ind w:left="7042" w:hanging="180"/>
      </w:pPr>
    </w:lvl>
  </w:abstractNum>
  <w:abstractNum w:abstractNumId="2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arabicAlpha"/>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arabicAlpha"/>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arabicAlpha"/>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5C586E"/>
    <w:multiLevelType w:val="hybridMultilevel"/>
    <w:tmpl w:val="D3A29912"/>
    <w:lvl w:ilvl="0" w:tplc="5F3CF8B4">
      <w:start w:val="39"/>
      <w:numFmt w:val="decimal"/>
      <w:lvlText w:val="%1."/>
      <w:lvlJc w:val="left"/>
      <w:pPr>
        <w:ind w:left="360" w:hanging="360"/>
      </w:pPr>
      <w:rPr>
        <w:rFonts w:hint="default"/>
      </w:rPr>
    </w:lvl>
    <w:lvl w:ilvl="1" w:tplc="04090019" w:tentative="1">
      <w:start w:val="1"/>
      <w:numFmt w:val="arabicAlpha"/>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arabicAlpha"/>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arabicAlpha"/>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FD7D71"/>
    <w:multiLevelType w:val="hybridMultilevel"/>
    <w:tmpl w:val="21482CFA"/>
    <w:lvl w:ilvl="0" w:tplc="1474E7DA">
      <w:start w:val="5"/>
      <w:numFmt w:val="decimal"/>
      <w:lvlText w:val="%1"/>
      <w:lvlJc w:val="left"/>
      <w:pPr>
        <w:ind w:left="720" w:hanging="360"/>
      </w:pPr>
      <w:rPr>
        <w:rFonts w:hint="default"/>
      </w:rPr>
    </w:lvl>
    <w:lvl w:ilvl="1" w:tplc="04090019" w:tentative="1">
      <w:start w:val="1"/>
      <w:numFmt w:val="arabicAlpha"/>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B21B8A"/>
    <w:multiLevelType w:val="hybridMultilevel"/>
    <w:tmpl w:val="9070AE54"/>
    <w:lvl w:ilvl="0" w:tplc="0409000F">
      <w:start w:val="5"/>
      <w:numFmt w:val="decimal"/>
      <w:lvlText w:val="%1."/>
      <w:lvlJc w:val="left"/>
      <w:pPr>
        <w:ind w:left="360" w:hanging="360"/>
      </w:pPr>
      <w:rPr>
        <w:rFonts w:hint="default"/>
      </w:rPr>
    </w:lvl>
    <w:lvl w:ilvl="1" w:tplc="04090019" w:tentative="1">
      <w:start w:val="1"/>
      <w:numFmt w:val="arabicAlpha"/>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arabicAlpha"/>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arabicAlpha"/>
      <w:lvlText w:val="%8."/>
      <w:lvlJc w:val="left"/>
      <w:pPr>
        <w:ind w:left="5400" w:hanging="360"/>
      </w:pPr>
    </w:lvl>
    <w:lvl w:ilvl="8" w:tplc="0409001B" w:tentative="1">
      <w:start w:val="1"/>
      <w:numFmt w:val="lowerRoman"/>
      <w:lvlText w:val="%9."/>
      <w:lvlJc w:val="right"/>
      <w:pPr>
        <w:ind w:left="6120" w:hanging="180"/>
      </w:pPr>
    </w:lvl>
  </w:abstractNum>
  <w:num w:numId="1" w16cid:durableId="431249170">
    <w:abstractNumId w:val="6"/>
  </w:num>
  <w:num w:numId="2" w16cid:durableId="648050909">
    <w:abstractNumId w:val="17"/>
  </w:num>
  <w:num w:numId="3" w16cid:durableId="1931624398">
    <w:abstractNumId w:val="0"/>
  </w:num>
  <w:num w:numId="4" w16cid:durableId="614560832">
    <w:abstractNumId w:val="20"/>
  </w:num>
  <w:num w:numId="5" w16cid:durableId="1109159100">
    <w:abstractNumId w:val="2"/>
  </w:num>
  <w:num w:numId="6" w16cid:durableId="677997887">
    <w:abstractNumId w:val="7"/>
  </w:num>
  <w:num w:numId="7" w16cid:durableId="1687291637">
    <w:abstractNumId w:val="9"/>
  </w:num>
  <w:num w:numId="8" w16cid:durableId="1905292140">
    <w:abstractNumId w:val="18"/>
  </w:num>
  <w:num w:numId="9" w16cid:durableId="356741539">
    <w:abstractNumId w:val="19"/>
  </w:num>
  <w:num w:numId="10" w16cid:durableId="1341195835">
    <w:abstractNumId w:val="12"/>
  </w:num>
  <w:num w:numId="11" w16cid:durableId="528026259">
    <w:abstractNumId w:val="14"/>
  </w:num>
  <w:num w:numId="12" w16cid:durableId="1270239941">
    <w:abstractNumId w:val="5"/>
  </w:num>
  <w:num w:numId="13" w16cid:durableId="2007246944">
    <w:abstractNumId w:val="4"/>
  </w:num>
  <w:num w:numId="14" w16cid:durableId="1857956961">
    <w:abstractNumId w:val="21"/>
  </w:num>
  <w:num w:numId="15" w16cid:durableId="1780754507">
    <w:abstractNumId w:val="10"/>
  </w:num>
  <w:num w:numId="16" w16cid:durableId="747381410">
    <w:abstractNumId w:val="11"/>
  </w:num>
  <w:num w:numId="17" w16cid:durableId="1867596128">
    <w:abstractNumId w:val="8"/>
  </w:num>
  <w:num w:numId="18" w16cid:durableId="1832137073">
    <w:abstractNumId w:val="15"/>
  </w:num>
  <w:num w:numId="19" w16cid:durableId="279150387">
    <w:abstractNumId w:val="3"/>
  </w:num>
  <w:num w:numId="20" w16cid:durableId="1850830244">
    <w:abstractNumId w:val="22"/>
  </w:num>
  <w:num w:numId="21" w16cid:durableId="1441029404">
    <w:abstractNumId w:val="23"/>
  </w:num>
  <w:num w:numId="22" w16cid:durableId="1095980204">
    <w:abstractNumId w:val="16"/>
  </w:num>
  <w:num w:numId="23" w16cid:durableId="667682732">
    <w:abstractNumId w:val="1"/>
  </w:num>
  <w:num w:numId="24" w16cid:durableId="19663477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079"/>
    <w:rsid w:val="0000011B"/>
    <w:rsid w:val="0000400A"/>
    <w:rsid w:val="00007683"/>
    <w:rsid w:val="00013D13"/>
    <w:rsid w:val="0001647B"/>
    <w:rsid w:val="00016BE6"/>
    <w:rsid w:val="00024B20"/>
    <w:rsid w:val="00024E7D"/>
    <w:rsid w:val="000252B6"/>
    <w:rsid w:val="00027495"/>
    <w:rsid w:val="000321E9"/>
    <w:rsid w:val="00036411"/>
    <w:rsid w:val="00043213"/>
    <w:rsid w:val="00043CAA"/>
    <w:rsid w:val="0004799A"/>
    <w:rsid w:val="00056615"/>
    <w:rsid w:val="00066524"/>
    <w:rsid w:val="00075432"/>
    <w:rsid w:val="00082C49"/>
    <w:rsid w:val="000860ED"/>
    <w:rsid w:val="0009014E"/>
    <w:rsid w:val="00091C40"/>
    <w:rsid w:val="000957B2"/>
    <w:rsid w:val="000968ED"/>
    <w:rsid w:val="000A1572"/>
    <w:rsid w:val="000B20D3"/>
    <w:rsid w:val="000B614B"/>
    <w:rsid w:val="000D76D8"/>
    <w:rsid w:val="000E0D2D"/>
    <w:rsid w:val="000F26F8"/>
    <w:rsid w:val="000F5E56"/>
    <w:rsid w:val="000F6391"/>
    <w:rsid w:val="001024FE"/>
    <w:rsid w:val="001151BE"/>
    <w:rsid w:val="00115F25"/>
    <w:rsid w:val="0011725F"/>
    <w:rsid w:val="00133ECA"/>
    <w:rsid w:val="0013496E"/>
    <w:rsid w:val="001362EE"/>
    <w:rsid w:val="00142756"/>
    <w:rsid w:val="00142868"/>
    <w:rsid w:val="0016144F"/>
    <w:rsid w:val="0016153F"/>
    <w:rsid w:val="00163CFE"/>
    <w:rsid w:val="00166853"/>
    <w:rsid w:val="001751CC"/>
    <w:rsid w:val="0017648D"/>
    <w:rsid w:val="00177CE1"/>
    <w:rsid w:val="001832A6"/>
    <w:rsid w:val="0018364A"/>
    <w:rsid w:val="00185922"/>
    <w:rsid w:val="001912E1"/>
    <w:rsid w:val="00194177"/>
    <w:rsid w:val="001A4D6B"/>
    <w:rsid w:val="001A5BE8"/>
    <w:rsid w:val="001B46E4"/>
    <w:rsid w:val="001B69CE"/>
    <w:rsid w:val="001C1F1F"/>
    <w:rsid w:val="001C6808"/>
    <w:rsid w:val="001D0198"/>
    <w:rsid w:val="001D0637"/>
    <w:rsid w:val="001D066C"/>
    <w:rsid w:val="001D3DF2"/>
    <w:rsid w:val="001D7940"/>
    <w:rsid w:val="001E2A3C"/>
    <w:rsid w:val="001E4C06"/>
    <w:rsid w:val="001F56A2"/>
    <w:rsid w:val="001F6342"/>
    <w:rsid w:val="001F71D5"/>
    <w:rsid w:val="0020306B"/>
    <w:rsid w:val="0020401D"/>
    <w:rsid w:val="002040DF"/>
    <w:rsid w:val="00207360"/>
    <w:rsid w:val="00207620"/>
    <w:rsid w:val="002121FA"/>
    <w:rsid w:val="00216832"/>
    <w:rsid w:val="00217275"/>
    <w:rsid w:val="002172CD"/>
    <w:rsid w:val="00224807"/>
    <w:rsid w:val="00231E6D"/>
    <w:rsid w:val="0023538C"/>
    <w:rsid w:val="0024005B"/>
    <w:rsid w:val="00250C7B"/>
    <w:rsid w:val="002550FF"/>
    <w:rsid w:val="002573D8"/>
    <w:rsid w:val="00260FA9"/>
    <w:rsid w:val="002634C4"/>
    <w:rsid w:val="00264B65"/>
    <w:rsid w:val="002723B5"/>
    <w:rsid w:val="0027402A"/>
    <w:rsid w:val="00277073"/>
    <w:rsid w:val="002847B6"/>
    <w:rsid w:val="00286AA0"/>
    <w:rsid w:val="00291F81"/>
    <w:rsid w:val="002928D3"/>
    <w:rsid w:val="0029553B"/>
    <w:rsid w:val="00295BE4"/>
    <w:rsid w:val="002973EE"/>
    <w:rsid w:val="002A044B"/>
    <w:rsid w:val="002A13C6"/>
    <w:rsid w:val="002A5038"/>
    <w:rsid w:val="002A53AC"/>
    <w:rsid w:val="002B7DA3"/>
    <w:rsid w:val="002E5EF2"/>
    <w:rsid w:val="002E7C31"/>
    <w:rsid w:val="002F1FE6"/>
    <w:rsid w:val="002F2CBF"/>
    <w:rsid w:val="002F3FD8"/>
    <w:rsid w:val="002F4E68"/>
    <w:rsid w:val="002F5833"/>
    <w:rsid w:val="003016A6"/>
    <w:rsid w:val="003045C4"/>
    <w:rsid w:val="0030499F"/>
    <w:rsid w:val="00306FC0"/>
    <w:rsid w:val="00312F7F"/>
    <w:rsid w:val="00317B1F"/>
    <w:rsid w:val="00322634"/>
    <w:rsid w:val="003228B7"/>
    <w:rsid w:val="00323ABB"/>
    <w:rsid w:val="00325569"/>
    <w:rsid w:val="00330648"/>
    <w:rsid w:val="00331CA9"/>
    <w:rsid w:val="003412F5"/>
    <w:rsid w:val="003508A3"/>
    <w:rsid w:val="0035659F"/>
    <w:rsid w:val="003673CF"/>
    <w:rsid w:val="003755D0"/>
    <w:rsid w:val="00381E38"/>
    <w:rsid w:val="00383687"/>
    <w:rsid w:val="003845C1"/>
    <w:rsid w:val="003A050C"/>
    <w:rsid w:val="003A43E2"/>
    <w:rsid w:val="003A6F89"/>
    <w:rsid w:val="003A7CB4"/>
    <w:rsid w:val="003B30D3"/>
    <w:rsid w:val="003B38C1"/>
    <w:rsid w:val="003B7AF4"/>
    <w:rsid w:val="003D0CA7"/>
    <w:rsid w:val="003D139F"/>
    <w:rsid w:val="003D2C18"/>
    <w:rsid w:val="003D2EBB"/>
    <w:rsid w:val="003E0144"/>
    <w:rsid w:val="003E3392"/>
    <w:rsid w:val="00400B0C"/>
    <w:rsid w:val="0040351B"/>
    <w:rsid w:val="0041564D"/>
    <w:rsid w:val="00423E3E"/>
    <w:rsid w:val="0042648F"/>
    <w:rsid w:val="00427AF4"/>
    <w:rsid w:val="004400E2"/>
    <w:rsid w:val="004512B4"/>
    <w:rsid w:val="004577FB"/>
    <w:rsid w:val="00461632"/>
    <w:rsid w:val="0046256C"/>
    <w:rsid w:val="0046279F"/>
    <w:rsid w:val="004647DA"/>
    <w:rsid w:val="00470A11"/>
    <w:rsid w:val="0047128D"/>
    <w:rsid w:val="0047368E"/>
    <w:rsid w:val="00474062"/>
    <w:rsid w:val="004751B5"/>
    <w:rsid w:val="0047550F"/>
    <w:rsid w:val="00476C53"/>
    <w:rsid w:val="00477D6B"/>
    <w:rsid w:val="00480F65"/>
    <w:rsid w:val="00484448"/>
    <w:rsid w:val="00484B7B"/>
    <w:rsid w:val="00484E73"/>
    <w:rsid w:val="00485562"/>
    <w:rsid w:val="00486537"/>
    <w:rsid w:val="00497F27"/>
    <w:rsid w:val="004A315B"/>
    <w:rsid w:val="004A583D"/>
    <w:rsid w:val="004B324F"/>
    <w:rsid w:val="004C06B6"/>
    <w:rsid w:val="004C6625"/>
    <w:rsid w:val="004D10C1"/>
    <w:rsid w:val="004D39C4"/>
    <w:rsid w:val="004D7DD8"/>
    <w:rsid w:val="004E60B1"/>
    <w:rsid w:val="004F0260"/>
    <w:rsid w:val="004F0C1B"/>
    <w:rsid w:val="004F2557"/>
    <w:rsid w:val="0051128F"/>
    <w:rsid w:val="00514C9A"/>
    <w:rsid w:val="005207B1"/>
    <w:rsid w:val="005214DB"/>
    <w:rsid w:val="0053057A"/>
    <w:rsid w:val="00533FA1"/>
    <w:rsid w:val="00540C89"/>
    <w:rsid w:val="00547583"/>
    <w:rsid w:val="00547D0C"/>
    <w:rsid w:val="00560A29"/>
    <w:rsid w:val="00562615"/>
    <w:rsid w:val="00565170"/>
    <w:rsid w:val="00575A8E"/>
    <w:rsid w:val="0057703B"/>
    <w:rsid w:val="00585824"/>
    <w:rsid w:val="00586009"/>
    <w:rsid w:val="00594D27"/>
    <w:rsid w:val="00597747"/>
    <w:rsid w:val="005A0081"/>
    <w:rsid w:val="005A6EFD"/>
    <w:rsid w:val="005B630C"/>
    <w:rsid w:val="005C45C3"/>
    <w:rsid w:val="005D35FF"/>
    <w:rsid w:val="005F5BEE"/>
    <w:rsid w:val="00600F60"/>
    <w:rsid w:val="00601760"/>
    <w:rsid w:val="00605827"/>
    <w:rsid w:val="00606D2E"/>
    <w:rsid w:val="00610E7C"/>
    <w:rsid w:val="00626E6B"/>
    <w:rsid w:val="0062702A"/>
    <w:rsid w:val="00630C66"/>
    <w:rsid w:val="00630FFC"/>
    <w:rsid w:val="0063585F"/>
    <w:rsid w:val="00643333"/>
    <w:rsid w:val="00646050"/>
    <w:rsid w:val="00651F2A"/>
    <w:rsid w:val="00652D42"/>
    <w:rsid w:val="006713CA"/>
    <w:rsid w:val="006734C6"/>
    <w:rsid w:val="006742EC"/>
    <w:rsid w:val="00675850"/>
    <w:rsid w:val="00676C5C"/>
    <w:rsid w:val="00681888"/>
    <w:rsid w:val="006836C6"/>
    <w:rsid w:val="00684FB8"/>
    <w:rsid w:val="00695558"/>
    <w:rsid w:val="006A2ED6"/>
    <w:rsid w:val="006B14F2"/>
    <w:rsid w:val="006B1C30"/>
    <w:rsid w:val="006B1EE6"/>
    <w:rsid w:val="006B33EF"/>
    <w:rsid w:val="006B515B"/>
    <w:rsid w:val="006C0B5B"/>
    <w:rsid w:val="006C7353"/>
    <w:rsid w:val="006C7C0A"/>
    <w:rsid w:val="006D1FC0"/>
    <w:rsid w:val="006D5E0F"/>
    <w:rsid w:val="006E1D7A"/>
    <w:rsid w:val="006F339A"/>
    <w:rsid w:val="006F59CA"/>
    <w:rsid w:val="00700E9E"/>
    <w:rsid w:val="007058FB"/>
    <w:rsid w:val="00706DC4"/>
    <w:rsid w:val="00720644"/>
    <w:rsid w:val="00722CB8"/>
    <w:rsid w:val="00723FE1"/>
    <w:rsid w:val="0072423B"/>
    <w:rsid w:val="00730DF6"/>
    <w:rsid w:val="007321E2"/>
    <w:rsid w:val="0073222A"/>
    <w:rsid w:val="00737BB4"/>
    <w:rsid w:val="00745BA0"/>
    <w:rsid w:val="00747C43"/>
    <w:rsid w:val="007607E8"/>
    <w:rsid w:val="00762B77"/>
    <w:rsid w:val="007653CF"/>
    <w:rsid w:val="007734F9"/>
    <w:rsid w:val="00773C8C"/>
    <w:rsid w:val="0077464B"/>
    <w:rsid w:val="007817B5"/>
    <w:rsid w:val="00787763"/>
    <w:rsid w:val="007A2D7A"/>
    <w:rsid w:val="007A435A"/>
    <w:rsid w:val="007A47C2"/>
    <w:rsid w:val="007A7021"/>
    <w:rsid w:val="007B1363"/>
    <w:rsid w:val="007B26E5"/>
    <w:rsid w:val="007B3675"/>
    <w:rsid w:val="007B6A58"/>
    <w:rsid w:val="007C7759"/>
    <w:rsid w:val="007D0C16"/>
    <w:rsid w:val="007D1613"/>
    <w:rsid w:val="007D31C9"/>
    <w:rsid w:val="007D468C"/>
    <w:rsid w:val="007D65A9"/>
    <w:rsid w:val="007D7666"/>
    <w:rsid w:val="007F1918"/>
    <w:rsid w:val="007F3AEF"/>
    <w:rsid w:val="00801759"/>
    <w:rsid w:val="008020E8"/>
    <w:rsid w:val="00813FDE"/>
    <w:rsid w:val="00820E62"/>
    <w:rsid w:val="00820FC0"/>
    <w:rsid w:val="0082385C"/>
    <w:rsid w:val="008264FB"/>
    <w:rsid w:val="008278B8"/>
    <w:rsid w:val="00835619"/>
    <w:rsid w:val="008413A8"/>
    <w:rsid w:val="00842EF7"/>
    <w:rsid w:val="00843C53"/>
    <w:rsid w:val="00855315"/>
    <w:rsid w:val="008629F9"/>
    <w:rsid w:val="008665DC"/>
    <w:rsid w:val="00873EE5"/>
    <w:rsid w:val="00880BF5"/>
    <w:rsid w:val="008824AC"/>
    <w:rsid w:val="00892814"/>
    <w:rsid w:val="008A060F"/>
    <w:rsid w:val="008A2B14"/>
    <w:rsid w:val="008A665A"/>
    <w:rsid w:val="008A7192"/>
    <w:rsid w:val="008B21AE"/>
    <w:rsid w:val="008B2CC1"/>
    <w:rsid w:val="008B4B5E"/>
    <w:rsid w:val="008B60B2"/>
    <w:rsid w:val="008B63EA"/>
    <w:rsid w:val="008D4D5B"/>
    <w:rsid w:val="008D5447"/>
    <w:rsid w:val="008E2F1F"/>
    <w:rsid w:val="008E5D52"/>
    <w:rsid w:val="009013CE"/>
    <w:rsid w:val="0090359D"/>
    <w:rsid w:val="00904600"/>
    <w:rsid w:val="00905A5A"/>
    <w:rsid w:val="00906584"/>
    <w:rsid w:val="0090731E"/>
    <w:rsid w:val="0091281C"/>
    <w:rsid w:val="00914D44"/>
    <w:rsid w:val="0091666F"/>
    <w:rsid w:val="00916EE2"/>
    <w:rsid w:val="00931D2F"/>
    <w:rsid w:val="009365DF"/>
    <w:rsid w:val="009418BD"/>
    <w:rsid w:val="009453B4"/>
    <w:rsid w:val="00957B86"/>
    <w:rsid w:val="009608CC"/>
    <w:rsid w:val="0096409D"/>
    <w:rsid w:val="00966A22"/>
    <w:rsid w:val="0096722F"/>
    <w:rsid w:val="00980843"/>
    <w:rsid w:val="00983038"/>
    <w:rsid w:val="00994244"/>
    <w:rsid w:val="00995748"/>
    <w:rsid w:val="009A6314"/>
    <w:rsid w:val="009A7E73"/>
    <w:rsid w:val="009B4808"/>
    <w:rsid w:val="009C3F4A"/>
    <w:rsid w:val="009C7B58"/>
    <w:rsid w:val="009D06FE"/>
    <w:rsid w:val="009D0DD1"/>
    <w:rsid w:val="009D5C79"/>
    <w:rsid w:val="009E02BF"/>
    <w:rsid w:val="009E1257"/>
    <w:rsid w:val="009E2791"/>
    <w:rsid w:val="009E3F6F"/>
    <w:rsid w:val="009E695F"/>
    <w:rsid w:val="009F3BF9"/>
    <w:rsid w:val="009F499F"/>
    <w:rsid w:val="00A14C6C"/>
    <w:rsid w:val="00A22118"/>
    <w:rsid w:val="00A22D55"/>
    <w:rsid w:val="00A24C1F"/>
    <w:rsid w:val="00A319D0"/>
    <w:rsid w:val="00A32EEE"/>
    <w:rsid w:val="00A3499B"/>
    <w:rsid w:val="00A36CC2"/>
    <w:rsid w:val="00A42DAF"/>
    <w:rsid w:val="00A45BD8"/>
    <w:rsid w:val="00A5648E"/>
    <w:rsid w:val="00A60B0C"/>
    <w:rsid w:val="00A61142"/>
    <w:rsid w:val="00A617D3"/>
    <w:rsid w:val="00A623B9"/>
    <w:rsid w:val="00A718F0"/>
    <w:rsid w:val="00A75415"/>
    <w:rsid w:val="00A77470"/>
    <w:rsid w:val="00A778BF"/>
    <w:rsid w:val="00A85B8E"/>
    <w:rsid w:val="00A8669E"/>
    <w:rsid w:val="00A9118D"/>
    <w:rsid w:val="00A9693C"/>
    <w:rsid w:val="00AC05C0"/>
    <w:rsid w:val="00AC1F74"/>
    <w:rsid w:val="00AC205C"/>
    <w:rsid w:val="00AC20BA"/>
    <w:rsid w:val="00AC373A"/>
    <w:rsid w:val="00AE03E7"/>
    <w:rsid w:val="00AE1741"/>
    <w:rsid w:val="00AE28E0"/>
    <w:rsid w:val="00AE48AB"/>
    <w:rsid w:val="00AF0E2D"/>
    <w:rsid w:val="00AF1B65"/>
    <w:rsid w:val="00AF5C73"/>
    <w:rsid w:val="00B01FA7"/>
    <w:rsid w:val="00B0293B"/>
    <w:rsid w:val="00B05A69"/>
    <w:rsid w:val="00B11D56"/>
    <w:rsid w:val="00B153A6"/>
    <w:rsid w:val="00B157B7"/>
    <w:rsid w:val="00B15F31"/>
    <w:rsid w:val="00B17F05"/>
    <w:rsid w:val="00B2533F"/>
    <w:rsid w:val="00B308AA"/>
    <w:rsid w:val="00B40598"/>
    <w:rsid w:val="00B43AF8"/>
    <w:rsid w:val="00B476A0"/>
    <w:rsid w:val="00B50B99"/>
    <w:rsid w:val="00B50D2F"/>
    <w:rsid w:val="00B5123D"/>
    <w:rsid w:val="00B53906"/>
    <w:rsid w:val="00B5395A"/>
    <w:rsid w:val="00B62CD9"/>
    <w:rsid w:val="00B657CB"/>
    <w:rsid w:val="00B67BD0"/>
    <w:rsid w:val="00B70CB3"/>
    <w:rsid w:val="00B714C0"/>
    <w:rsid w:val="00B776A1"/>
    <w:rsid w:val="00B8680A"/>
    <w:rsid w:val="00B92C3A"/>
    <w:rsid w:val="00B930EB"/>
    <w:rsid w:val="00B946DD"/>
    <w:rsid w:val="00B9734B"/>
    <w:rsid w:val="00B97502"/>
    <w:rsid w:val="00BC780D"/>
    <w:rsid w:val="00BD0F6E"/>
    <w:rsid w:val="00BD25EB"/>
    <w:rsid w:val="00BD3D06"/>
    <w:rsid w:val="00BE0796"/>
    <w:rsid w:val="00BE5561"/>
    <w:rsid w:val="00BF230C"/>
    <w:rsid w:val="00BF6003"/>
    <w:rsid w:val="00C108EA"/>
    <w:rsid w:val="00C10B6F"/>
    <w:rsid w:val="00C1116A"/>
    <w:rsid w:val="00C11BFE"/>
    <w:rsid w:val="00C244E9"/>
    <w:rsid w:val="00C409EF"/>
    <w:rsid w:val="00C40B90"/>
    <w:rsid w:val="00C43007"/>
    <w:rsid w:val="00C437FC"/>
    <w:rsid w:val="00C44C0E"/>
    <w:rsid w:val="00C54079"/>
    <w:rsid w:val="00C553CC"/>
    <w:rsid w:val="00C64FCB"/>
    <w:rsid w:val="00C76F50"/>
    <w:rsid w:val="00C83A9C"/>
    <w:rsid w:val="00C87DEB"/>
    <w:rsid w:val="00C90F4B"/>
    <w:rsid w:val="00C94629"/>
    <w:rsid w:val="00CA6E90"/>
    <w:rsid w:val="00CA7059"/>
    <w:rsid w:val="00CB4A9B"/>
    <w:rsid w:val="00CB7B5A"/>
    <w:rsid w:val="00CC371E"/>
    <w:rsid w:val="00CC509F"/>
    <w:rsid w:val="00CC5400"/>
    <w:rsid w:val="00CC54E6"/>
    <w:rsid w:val="00CD5E20"/>
    <w:rsid w:val="00CE65D4"/>
    <w:rsid w:val="00CF071E"/>
    <w:rsid w:val="00CF3732"/>
    <w:rsid w:val="00D078B4"/>
    <w:rsid w:val="00D079E2"/>
    <w:rsid w:val="00D10476"/>
    <w:rsid w:val="00D21AB6"/>
    <w:rsid w:val="00D33124"/>
    <w:rsid w:val="00D33737"/>
    <w:rsid w:val="00D3577B"/>
    <w:rsid w:val="00D4023D"/>
    <w:rsid w:val="00D44147"/>
    <w:rsid w:val="00D44ABD"/>
    <w:rsid w:val="00D45252"/>
    <w:rsid w:val="00D50488"/>
    <w:rsid w:val="00D516BD"/>
    <w:rsid w:val="00D60549"/>
    <w:rsid w:val="00D609DE"/>
    <w:rsid w:val="00D610CA"/>
    <w:rsid w:val="00D71B4D"/>
    <w:rsid w:val="00D73E3A"/>
    <w:rsid w:val="00D8602F"/>
    <w:rsid w:val="00D908FE"/>
    <w:rsid w:val="00D932D1"/>
    <w:rsid w:val="00D93AA3"/>
    <w:rsid w:val="00D93D55"/>
    <w:rsid w:val="00D949D7"/>
    <w:rsid w:val="00D94C2B"/>
    <w:rsid w:val="00DA2883"/>
    <w:rsid w:val="00DB1CED"/>
    <w:rsid w:val="00DB22D9"/>
    <w:rsid w:val="00DB2CE4"/>
    <w:rsid w:val="00DC20D4"/>
    <w:rsid w:val="00DC2A53"/>
    <w:rsid w:val="00DD5065"/>
    <w:rsid w:val="00DE1DE0"/>
    <w:rsid w:val="00DF5340"/>
    <w:rsid w:val="00E06294"/>
    <w:rsid w:val="00E07231"/>
    <w:rsid w:val="00E10347"/>
    <w:rsid w:val="00E10FA5"/>
    <w:rsid w:val="00E13928"/>
    <w:rsid w:val="00E15227"/>
    <w:rsid w:val="00E161A2"/>
    <w:rsid w:val="00E2568B"/>
    <w:rsid w:val="00E335FE"/>
    <w:rsid w:val="00E37671"/>
    <w:rsid w:val="00E5021F"/>
    <w:rsid w:val="00E5119C"/>
    <w:rsid w:val="00E541C7"/>
    <w:rsid w:val="00E541D1"/>
    <w:rsid w:val="00E56303"/>
    <w:rsid w:val="00E671A6"/>
    <w:rsid w:val="00E70F56"/>
    <w:rsid w:val="00E7453D"/>
    <w:rsid w:val="00E842C4"/>
    <w:rsid w:val="00E852DD"/>
    <w:rsid w:val="00E878A7"/>
    <w:rsid w:val="00E91B25"/>
    <w:rsid w:val="00E934D2"/>
    <w:rsid w:val="00EB7981"/>
    <w:rsid w:val="00EC11A5"/>
    <w:rsid w:val="00EC213C"/>
    <w:rsid w:val="00EC4E49"/>
    <w:rsid w:val="00EC5DEB"/>
    <w:rsid w:val="00EC7927"/>
    <w:rsid w:val="00ED4900"/>
    <w:rsid w:val="00ED77FB"/>
    <w:rsid w:val="00EE2D98"/>
    <w:rsid w:val="00F00882"/>
    <w:rsid w:val="00F01E1D"/>
    <w:rsid w:val="00F021A6"/>
    <w:rsid w:val="00F114A3"/>
    <w:rsid w:val="00F11D94"/>
    <w:rsid w:val="00F159A8"/>
    <w:rsid w:val="00F171FC"/>
    <w:rsid w:val="00F17916"/>
    <w:rsid w:val="00F23E45"/>
    <w:rsid w:val="00F2514B"/>
    <w:rsid w:val="00F30518"/>
    <w:rsid w:val="00F34E3E"/>
    <w:rsid w:val="00F3618A"/>
    <w:rsid w:val="00F379E7"/>
    <w:rsid w:val="00F40370"/>
    <w:rsid w:val="00F4125F"/>
    <w:rsid w:val="00F41AD9"/>
    <w:rsid w:val="00F433F5"/>
    <w:rsid w:val="00F45B69"/>
    <w:rsid w:val="00F46739"/>
    <w:rsid w:val="00F516AA"/>
    <w:rsid w:val="00F5268F"/>
    <w:rsid w:val="00F637DB"/>
    <w:rsid w:val="00F65D9D"/>
    <w:rsid w:val="00F66152"/>
    <w:rsid w:val="00F66167"/>
    <w:rsid w:val="00F72642"/>
    <w:rsid w:val="00F80203"/>
    <w:rsid w:val="00F8096A"/>
    <w:rsid w:val="00F8130E"/>
    <w:rsid w:val="00F81358"/>
    <w:rsid w:val="00F826AC"/>
    <w:rsid w:val="00F82A2F"/>
    <w:rsid w:val="00F907DF"/>
    <w:rsid w:val="00F924AF"/>
    <w:rsid w:val="00FA7371"/>
    <w:rsid w:val="00FC2BAA"/>
    <w:rsid w:val="00FC56EE"/>
    <w:rsid w:val="00FC6BE1"/>
    <w:rsid w:val="00FD1305"/>
    <w:rsid w:val="00FD458F"/>
    <w:rsid w:val="00FD6CBA"/>
    <w:rsid w:val="00FE0D2F"/>
    <w:rsid w:val="00FF23F8"/>
    <w:rsid w:val="00FF430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A8275C"/>
  <w15:docId w15:val="{53870FE8-B028-4944-AC6E-CA88CD09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pPr>
      <w:bidi/>
    </w:pPr>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pPr>
      <w:jc w:val="right"/>
    </w:pPr>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noteTextChar">
    <w:name w:val="Footnote Text Char"/>
    <w:basedOn w:val="DefaultParagraphFont"/>
    <w:link w:val="FootnoteText"/>
    <w:uiPriority w:val="99"/>
    <w:rsid w:val="00C54079"/>
    <w:rPr>
      <w:rFonts w:ascii="Arial" w:eastAsia="SimSun" w:hAnsi="Arial" w:cs="Arial"/>
      <w:sz w:val="18"/>
      <w:lang w:val="en-US" w:eastAsia="zh-CN"/>
    </w:rPr>
  </w:style>
  <w:style w:type="paragraph" w:customStyle="1" w:styleId="DecisionInvitingPara">
    <w:name w:val="Decision Inviting Para."/>
    <w:basedOn w:val="Normal"/>
    <w:rsid w:val="00C54079"/>
    <w:pPr>
      <w:spacing w:after="120" w:line="260" w:lineRule="atLeast"/>
      <w:ind w:left="5534"/>
      <w:contextualSpacing/>
    </w:pPr>
    <w:rPr>
      <w:rFonts w:eastAsia="Times New Roman" w:cs="Times New Roman"/>
      <w:i/>
      <w:sz w:val="20"/>
      <w:lang w:eastAsia="en-US"/>
    </w:rPr>
  </w:style>
  <w:style w:type="character" w:styleId="FootnoteReference">
    <w:name w:val="footnote reference"/>
    <w:uiPriority w:val="99"/>
    <w:rsid w:val="00C54079"/>
    <w:rPr>
      <w:vertAlign w:val="superscript"/>
    </w:rPr>
  </w:style>
  <w:style w:type="character" w:customStyle="1" w:styleId="ONUMEChar">
    <w:name w:val="ONUM E Char"/>
    <w:link w:val="ONUME"/>
    <w:rsid w:val="00C54079"/>
    <w:rPr>
      <w:rFonts w:ascii="Arial" w:eastAsia="SimSun" w:hAnsi="Arial" w:cs="Arial"/>
      <w:sz w:val="22"/>
      <w:lang w:val="en-US" w:eastAsia="zh-CN"/>
    </w:rPr>
  </w:style>
  <w:style w:type="paragraph" w:styleId="ListParagraph">
    <w:name w:val="List Paragraph"/>
    <w:basedOn w:val="Normal"/>
    <w:uiPriority w:val="34"/>
    <w:qFormat/>
    <w:rsid w:val="00C54079"/>
    <w:pPr>
      <w:ind w:left="720"/>
      <w:contextualSpacing/>
    </w:pPr>
    <w:rPr>
      <w:rFonts w:eastAsia="Times New Roman" w:cs="Times New Roman"/>
      <w:lang w:eastAsia="en-US"/>
    </w:rPr>
  </w:style>
  <w:style w:type="character" w:styleId="Hyperlink">
    <w:name w:val="Hyperlink"/>
    <w:basedOn w:val="DefaultParagraphFont"/>
    <w:unhideWhenUsed/>
    <w:rsid w:val="00C54079"/>
    <w:rPr>
      <w:color w:val="0000FF" w:themeColor="hyperlink"/>
      <w:u w:val="single"/>
    </w:rPr>
  </w:style>
  <w:style w:type="paragraph" w:customStyle="1" w:styleId="paragraph">
    <w:name w:val="paragraph"/>
    <w:basedOn w:val="Normal"/>
    <w:rsid w:val="00C54079"/>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C54079"/>
  </w:style>
  <w:style w:type="paragraph" w:styleId="BalloonText">
    <w:name w:val="Balloon Text"/>
    <w:basedOn w:val="Normal"/>
    <w:link w:val="BalloonTextChar"/>
    <w:semiHidden/>
    <w:unhideWhenUsed/>
    <w:rsid w:val="00C54079"/>
    <w:rPr>
      <w:rFonts w:ascii="Segoe UI" w:hAnsi="Segoe UI" w:cs="Segoe UI"/>
      <w:sz w:val="18"/>
      <w:szCs w:val="18"/>
    </w:rPr>
  </w:style>
  <w:style w:type="character" w:customStyle="1" w:styleId="BalloonTextChar">
    <w:name w:val="Balloon Text Char"/>
    <w:basedOn w:val="DefaultParagraphFont"/>
    <w:link w:val="BalloonText"/>
    <w:semiHidden/>
    <w:rsid w:val="00C54079"/>
    <w:rPr>
      <w:rFonts w:ascii="Segoe UI" w:eastAsia="SimSun" w:hAnsi="Segoe UI" w:cs="Segoe UI"/>
      <w:sz w:val="18"/>
      <w:szCs w:val="18"/>
      <w:lang w:val="en-US" w:eastAsia="zh-CN"/>
    </w:rPr>
  </w:style>
  <w:style w:type="character" w:styleId="FollowedHyperlink">
    <w:name w:val="FollowedHyperlink"/>
    <w:basedOn w:val="DefaultParagraphFont"/>
    <w:semiHidden/>
    <w:unhideWhenUsed/>
    <w:rsid w:val="00C54079"/>
    <w:rPr>
      <w:color w:val="800080" w:themeColor="followedHyperlink"/>
      <w:u w:val="single"/>
    </w:rPr>
  </w:style>
  <w:style w:type="character" w:styleId="CommentReference">
    <w:name w:val="annotation reference"/>
    <w:basedOn w:val="DefaultParagraphFont"/>
    <w:semiHidden/>
    <w:unhideWhenUsed/>
    <w:rsid w:val="00C54079"/>
    <w:rPr>
      <w:sz w:val="16"/>
      <w:szCs w:val="16"/>
    </w:rPr>
  </w:style>
  <w:style w:type="paragraph" w:styleId="CommentSubject">
    <w:name w:val="annotation subject"/>
    <w:basedOn w:val="CommentText"/>
    <w:next w:val="CommentText"/>
    <w:link w:val="CommentSubjectChar"/>
    <w:semiHidden/>
    <w:unhideWhenUsed/>
    <w:rsid w:val="00C54079"/>
    <w:rPr>
      <w:b/>
      <w:bCs/>
      <w:sz w:val="20"/>
    </w:rPr>
  </w:style>
  <w:style w:type="character" w:customStyle="1" w:styleId="CommentTextChar">
    <w:name w:val="Comment Text Char"/>
    <w:basedOn w:val="DefaultParagraphFont"/>
    <w:link w:val="CommentText"/>
    <w:semiHidden/>
    <w:rsid w:val="00C54079"/>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C54079"/>
    <w:rPr>
      <w:rFonts w:ascii="Arial" w:eastAsia="SimSun" w:hAnsi="Arial" w:cs="Arial"/>
      <w:b/>
      <w:bCs/>
      <w:sz w:val="18"/>
      <w:lang w:val="en-US" w:eastAsia="zh-CN"/>
    </w:rPr>
  </w:style>
  <w:style w:type="paragraph" w:styleId="Revision">
    <w:name w:val="Revision"/>
    <w:hidden/>
    <w:uiPriority w:val="99"/>
    <w:semiHidden/>
    <w:rsid w:val="00C54079"/>
    <w:pPr>
      <w:bidi/>
    </w:pPr>
    <w:rPr>
      <w:rFonts w:ascii="Arial" w:eastAsia="SimSun" w:hAnsi="Arial" w:cs="Arial"/>
      <w:sz w:val="22"/>
      <w:lang w:val="en-US" w:eastAsia="zh-CN"/>
    </w:rPr>
  </w:style>
  <w:style w:type="character" w:styleId="UnresolvedMention">
    <w:name w:val="Unresolved Mention"/>
    <w:basedOn w:val="DefaultParagraphFont"/>
    <w:uiPriority w:val="99"/>
    <w:semiHidden/>
    <w:unhideWhenUsed/>
    <w:rsid w:val="00C54079"/>
    <w:rPr>
      <w:color w:val="605E5C"/>
      <w:shd w:val="clear" w:color="auto" w:fill="E1DFDD"/>
    </w:rPr>
  </w:style>
  <w:style w:type="paragraph" w:styleId="NormalWeb">
    <w:name w:val="Normal (Web)"/>
    <w:basedOn w:val="Normal"/>
    <w:semiHidden/>
    <w:unhideWhenUsed/>
    <w:rsid w:val="00C54079"/>
    <w:rPr>
      <w:rFonts w:ascii="Times New Roman" w:hAnsi="Times New Roman" w:cs="Times New Roman"/>
      <w:sz w:val="24"/>
      <w:szCs w:val="24"/>
    </w:rPr>
  </w:style>
  <w:style w:type="character" w:customStyle="1" w:styleId="Heading3Char">
    <w:name w:val="Heading 3 Char"/>
    <w:basedOn w:val="DefaultParagraphFont"/>
    <w:link w:val="Heading3"/>
    <w:rsid w:val="00C54079"/>
    <w:rPr>
      <w:rFonts w:ascii="Arial" w:eastAsia="SimSun" w:hAnsi="Arial" w:cs="Arial"/>
      <w:bCs/>
      <w:sz w:val="22"/>
      <w:szCs w:val="26"/>
      <w:u w:val="single"/>
      <w:lang w:val="en-US" w:eastAsia="zh-CN"/>
    </w:rPr>
  </w:style>
  <w:style w:type="character" w:customStyle="1" w:styleId="Heading2Char">
    <w:name w:val="Heading 2 Char"/>
    <w:basedOn w:val="DefaultParagraphFont"/>
    <w:link w:val="Heading2"/>
    <w:rsid w:val="00C54079"/>
    <w:rPr>
      <w:rFonts w:ascii="Arial" w:eastAsia="SimSun" w:hAnsi="Arial" w:cs="Arial"/>
      <w:bCs/>
      <w:iCs/>
      <w:caps/>
      <w:sz w:val="22"/>
      <w:szCs w:val="28"/>
      <w:lang w:val="en-US" w:eastAsia="zh-CN"/>
    </w:rPr>
  </w:style>
  <w:style w:type="character" w:styleId="EndnoteReference">
    <w:name w:val="endnote reference"/>
    <w:basedOn w:val="DefaultParagraphFont"/>
    <w:semiHidden/>
    <w:unhideWhenUsed/>
    <w:rsid w:val="00F907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92489">
      <w:bodyDiv w:val="1"/>
      <w:marLeft w:val="0"/>
      <w:marRight w:val="0"/>
      <w:marTop w:val="0"/>
      <w:marBottom w:val="0"/>
      <w:divBdr>
        <w:top w:val="none" w:sz="0" w:space="0" w:color="auto"/>
        <w:left w:val="none" w:sz="0" w:space="0" w:color="auto"/>
        <w:bottom w:val="none" w:sz="0" w:space="0" w:color="auto"/>
        <w:right w:val="none" w:sz="0" w:space="0" w:color="auto"/>
      </w:divBdr>
      <w:divsChild>
        <w:div w:id="1597202933">
          <w:marLeft w:val="0"/>
          <w:marRight w:val="0"/>
          <w:marTop w:val="0"/>
          <w:marBottom w:val="0"/>
          <w:divBdr>
            <w:top w:val="none" w:sz="0" w:space="0" w:color="auto"/>
            <w:left w:val="none" w:sz="0" w:space="0" w:color="auto"/>
            <w:bottom w:val="none" w:sz="0" w:space="0" w:color="auto"/>
            <w:right w:val="none" w:sz="0" w:space="0" w:color="auto"/>
          </w:divBdr>
        </w:div>
      </w:divsChild>
    </w:div>
    <w:div w:id="1146239950">
      <w:bodyDiv w:val="1"/>
      <w:marLeft w:val="0"/>
      <w:marRight w:val="0"/>
      <w:marTop w:val="0"/>
      <w:marBottom w:val="0"/>
      <w:divBdr>
        <w:top w:val="none" w:sz="0" w:space="0" w:color="auto"/>
        <w:left w:val="none" w:sz="0" w:space="0" w:color="auto"/>
        <w:bottom w:val="none" w:sz="0" w:space="0" w:color="auto"/>
        <w:right w:val="none" w:sz="0" w:space="0" w:color="auto"/>
      </w:divBdr>
      <w:divsChild>
        <w:div w:id="1990286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www.wipo.int/amc/en/eadr/checklist/index.html" TargetMode="External"/><Relationship Id="rId26" Type="http://schemas.openxmlformats.org/officeDocument/2006/relationships/hyperlink" Target="https://www.wipo.int/amc/en/center/specific-sectors/videogames/iget.html" TargetMode="External"/><Relationship Id="rId39" Type="http://schemas.openxmlformats.org/officeDocument/2006/relationships/hyperlink" Target="https://www.wipo.int/amc/en/domains/search/legalindex/" TargetMode="External"/><Relationship Id="rId21" Type="http://schemas.openxmlformats.org/officeDocument/2006/relationships/hyperlink" Target="https://www.wipo.int/amc/en/center/specific-sectors/ipoffices/korea/mcst/" TargetMode="External"/><Relationship Id="rId34" Type="http://schemas.openxmlformats.org/officeDocument/2006/relationships/hyperlink" Target="https://www.wipo.int/amc/en/events/webinar.html" TargetMode="External"/><Relationship Id="rId42" Type="http://schemas.openxmlformats.org/officeDocument/2006/relationships/hyperlink" Target="https://www.wipo.int/amc/en/domains/cctld/" TargetMode="External"/><Relationship Id="rId47" Type="http://schemas.openxmlformats.org/officeDocument/2006/relationships/hyperlink" Target="https://newgtlds.icann.org/en/applicants/agb" TargetMode="External"/><Relationship Id="rId50" Type="http://schemas.openxmlformats.org/officeDocument/2006/relationships/hyperlink" Target="https://www.icann.org/en/announcements/details/icann-request-for-information-dispute-resolution-service-providers-for-the-next-round-04-11-2024-en" TargetMode="External"/><Relationship Id="rId55" Type="http://schemas.openxmlformats.org/officeDocument/2006/relationships/hyperlink" Target="https://digital-strategy.ec.europa.eu/en/policies/nis2-directive"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wipo.int/amc/ar/mediation/rules" TargetMode="External"/><Relationship Id="rId29" Type="http://schemas.openxmlformats.org/officeDocument/2006/relationships/hyperlink" Target="https://www.wipo.int/amc/en/center/specific-sectors/ipoffices/co-administration_program.html" TargetMode="External"/><Relationship Id="rId11" Type="http://schemas.openxmlformats.org/officeDocument/2006/relationships/image" Target="media/image1.jpeg"/><Relationship Id="rId24" Type="http://schemas.openxmlformats.org/officeDocument/2006/relationships/hyperlink" Target="https://www.wipo.int/publications/ar/details.jsp?id=4639" TargetMode="External"/><Relationship Id="rId32" Type="http://schemas.openxmlformats.org/officeDocument/2006/relationships/hyperlink" Target="https://www.linkedin.com/showcase/wipo-arbitration-and-mediation-center/?viewAsMember=true" TargetMode="External"/><Relationship Id="rId37" Type="http://schemas.openxmlformats.org/officeDocument/2006/relationships/hyperlink" Target="https://www.wipo.int/amc/en/processes/process2/report" TargetMode="External"/><Relationship Id="rId40" Type="http://schemas.openxmlformats.org/officeDocument/2006/relationships/hyperlink" Target="https://www.wipo.int/amc/en/events/workshops/2025/domainname" TargetMode="External"/><Relationship Id="rId45" Type="http://schemas.openxmlformats.org/officeDocument/2006/relationships/hyperlink" Target="https://gnso.icann.org/sites/default/files/file/field-file-attach/rpm-phase-1-proposed-24nov20-en.pdf" TargetMode="External"/><Relationship Id="rId53" Type="http://schemas.openxmlformats.org/officeDocument/2006/relationships/hyperlink" Target="https://www.icann.org/resources/press-material/release-2023-11-28-en" TargetMode="External"/><Relationship Id="rId58" Type="http://schemas.openxmlformats.org/officeDocument/2006/relationships/hyperlink" Target="https://icann-community.atlassian.net/wiki/pages/viewpageattachments.action?pageId=109086961&amp;preview=/109086961/109127580/Work%20Track%205%20Final%20Report%20to%20the%20New%20gTLD%20SubPro%20PDP%20WG%20-%2022%20October%202019.pdf"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wipo.int/amc/en/center/specific-sectors/ipoffices/national-courts/tanzania/index.html" TargetMode="External"/><Relationship Id="rId14" Type="http://schemas.openxmlformats.org/officeDocument/2006/relationships/image" Target="media/image4.png"/><Relationship Id="rId22" Type="http://schemas.openxmlformats.org/officeDocument/2006/relationships/hyperlink" Target="https://www.wipo.int/amc/en/center/specific-sectors/ict/frand/" TargetMode="External"/><Relationship Id="rId27" Type="http://schemas.openxmlformats.org/officeDocument/2006/relationships/hyperlink" Target="https://www.wipo.int/amc/en/center/specific-sectors/artificial-intelligence/" TargetMode="External"/><Relationship Id="rId30" Type="http://schemas.openxmlformats.org/officeDocument/2006/relationships/hyperlink" Target="https://www.wipo.int/publications/ar/details.jsp?id=4613&amp;plang=EN" TargetMode="External"/><Relationship Id="rId35" Type="http://schemas.openxmlformats.org/officeDocument/2006/relationships/hyperlink" Target="https://www.wipo.int/amc/en/mediation/pledge.html" TargetMode="External"/><Relationship Id="rId43" Type="http://schemas.openxmlformats.org/officeDocument/2006/relationships/hyperlink" Target="https://www.wipo.int/edocs/pubdocs/en/wipo_pub_1069.pdf" TargetMode="External"/><Relationship Id="rId48" Type="http://schemas.openxmlformats.org/officeDocument/2006/relationships/hyperlink" Target="https://www.icann.org/ar/board-activities-and-meetings/materials/approved-resolutions-special-meeting-of-the-icann-board-27-07-2023-en" TargetMode="External"/><Relationship Id="rId56" Type="http://schemas.openxmlformats.org/officeDocument/2006/relationships/hyperlink" Target="https://www.icann.org/en/system/files/files/framework-elements-unified-access-model-for-discussion-18jun18-en.pdf" TargetMode="External"/><Relationship Id="rId8" Type="http://schemas.openxmlformats.org/officeDocument/2006/relationships/webSettings" Target="webSettings.xml"/><Relationship Id="rId51" Type="http://schemas.openxmlformats.org/officeDocument/2006/relationships/hyperlink" Target="https://gnso.icann.org/en/group-activities/active/gtld-registration-data-epdp"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wipo.int/amc/en/eadr/index.html" TargetMode="External"/><Relationship Id="rId25" Type="http://schemas.openxmlformats.org/officeDocument/2006/relationships/hyperlink" Target="https://www.wipo.int/amc/en/center/specific-sectors/videogames" TargetMode="External"/><Relationship Id="rId33" Type="http://schemas.openxmlformats.org/officeDocument/2006/relationships/hyperlink" Target="https://www.wipo.int/podcasts/en/amc" TargetMode="External"/><Relationship Id="rId38" Type="http://schemas.openxmlformats.org/officeDocument/2006/relationships/hyperlink" Target="https://www.wipo.int/amc/en/domains/search/overview3.0/" TargetMode="External"/><Relationship Id="rId46" Type="http://schemas.openxmlformats.org/officeDocument/2006/relationships/hyperlink" Target="https://www.wipo.int/amc/en/domains/resources/wipo-icaudrpreview.html" TargetMode="External"/><Relationship Id="rId59" Type="http://schemas.openxmlformats.org/officeDocument/2006/relationships/hyperlink" Target="https://forum.icann.org/lists/comments-proposed-measures-two-char-08jul16/pdfECmcS9knuk.pdf" TargetMode="External"/><Relationship Id="rId20" Type="http://schemas.openxmlformats.org/officeDocument/2006/relationships/hyperlink" Target="https://www.wipo.int/amc/en/center/copyright/digitalcopyright" TargetMode="External"/><Relationship Id="rId41" Type="http://schemas.openxmlformats.org/officeDocument/2006/relationships/hyperlink" Target="https://www.wipo.int/amc/en/domains/cctld/" TargetMode="External"/><Relationship Id="rId54" Type="http://schemas.openxmlformats.org/officeDocument/2006/relationships/hyperlink" Target="https://www.wipo.int/amc/en/domains/gdpr"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wipo.int/edocs/mdocs/govbody/ar/wo_ga_57/wo_ga_57_10.pdf" TargetMode="External"/><Relationship Id="rId23" Type="http://schemas.openxmlformats.org/officeDocument/2006/relationships/hyperlink" Target="https://www.wipo.int/amc/en/center/specific-sectors/lifesciences/" TargetMode="External"/><Relationship Id="rId28" Type="http://schemas.openxmlformats.org/officeDocument/2006/relationships/hyperlink" Target="https://www.wipo.int/amc/en/center/specific-sectors/greentechnology-sustainability/" TargetMode="External"/><Relationship Id="rId36" Type="http://schemas.openxmlformats.org/officeDocument/2006/relationships/hyperlink" Target="https://www.wipo.int/amc/en/processes/process1/report" TargetMode="External"/><Relationship Id="rId49" Type="http://schemas.openxmlformats.org/officeDocument/2006/relationships/hyperlink" Target="https://www.wipo.int/edocs/mdocs/sct/ar/sct_46/sct_46_3.pdf" TargetMode="External"/><Relationship Id="rId57" Type="http://schemas.openxmlformats.org/officeDocument/2006/relationships/hyperlink" Target="https://www.wipo.int/edocs/mdocs/sct/en/sct_46/sct_46_3.pdf" TargetMode="External"/><Relationship Id="rId10" Type="http://schemas.openxmlformats.org/officeDocument/2006/relationships/endnotes" Target="endnotes.xml"/><Relationship Id="rId31" Type="http://schemas.openxmlformats.org/officeDocument/2006/relationships/hyperlink" Target="https://www.wipo.int/amc/en/center/wipoadryoung" TargetMode="External"/><Relationship Id="rId44" Type="http://schemas.openxmlformats.org/officeDocument/2006/relationships/hyperlink" Target="https://gnso.icann.org/en/issues/new-gtlds/rpm-prelim-issue-09oct15-en.pdf" TargetMode="External"/><Relationship Id="rId52" Type="http://schemas.openxmlformats.org/officeDocument/2006/relationships/hyperlink" Target="https://gnso.icann.org/en/group-activities/active/gtld-registration-data-epdp-phase-2"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6" Type="http://schemas.openxmlformats.org/officeDocument/2006/relationships/hyperlink" Target="https://gnso.icann.org/sites/default/files/policy/2021/presentation/presentation-gnso-rpm-final-report-11Jan21-en.pdf" TargetMode="External"/><Relationship Id="rId21" Type="http://schemas.openxmlformats.org/officeDocument/2006/relationships/hyperlink" Target="https://www.wipo.int/amc/en/domains/expiry.html" TargetMode="External"/><Relationship Id="rId42" Type="http://schemas.openxmlformats.org/officeDocument/2006/relationships/hyperlink" Target="http://www.icann.org/resources/pages/gtld-registration-data-specs-en" TargetMode="External"/><Relationship Id="rId47" Type="http://schemas.openxmlformats.org/officeDocument/2006/relationships/hyperlink" Target="https://www.edpb.europa.eu/our-work-tools/general-guidance/guidelines-recommendations-best-practices_en%20" TargetMode="External"/><Relationship Id="rId63" Type="http://schemas.openxmlformats.org/officeDocument/2006/relationships/hyperlink" Target="https://www.icann.org/en/system/files/files/implementation-memo-two-character-ascii-labels-22jan19-en.pdf" TargetMode="External"/><Relationship Id="rId68" Type="http://schemas.openxmlformats.org/officeDocument/2006/relationships/hyperlink" Target="https://www.wipo.int/edocs/mdocs/sct/ar/sct_38/sct_38_3.pdf" TargetMode="External"/><Relationship Id="rId16" Type="http://schemas.openxmlformats.org/officeDocument/2006/relationships/hyperlink" Target="https://www.wipo.int/amc/en/domains/challenged" TargetMode="External"/><Relationship Id="rId11" Type="http://schemas.openxmlformats.org/officeDocument/2006/relationships/hyperlink" Target="https://medicinespatentpool.org/progress-achievements/licences" TargetMode="External"/><Relationship Id="rId24" Type="http://schemas.openxmlformats.org/officeDocument/2006/relationships/hyperlink" Target="https://www.wipo.int/about-wipo/en/assemblies/2024/a-65/doc_details.jsp?doc_id=136276" TargetMode="External"/><Relationship Id="rId32" Type="http://schemas.openxmlformats.org/officeDocument/2006/relationships/hyperlink" Target="https://ntldstats.com/" TargetMode="External"/><Relationship Id="rId37" Type="http://schemas.openxmlformats.org/officeDocument/2006/relationships/hyperlink" Target="https://www.wipo.int/amc/en/docs/icann030409.pdf" TargetMode="External"/><Relationship Id="rId40" Type="http://schemas.openxmlformats.org/officeDocument/2006/relationships/hyperlink" Target="https://archive.icann.org/en/meetings/toronto2012/node/34325.html" TargetMode="External"/><Relationship Id="rId45" Type="http://schemas.openxmlformats.org/officeDocument/2006/relationships/hyperlink" Target="https://gnso.icann.org/sites/default/files/file/field-file-attach/policy-briefing-icann70-03mar21-en.pdf" TargetMode="External"/><Relationship Id="rId53" Type="http://schemas.openxmlformats.org/officeDocument/2006/relationships/hyperlink" Target="https://newgtlds.icann.org/sites/default/files/base-agreement-specs-04jun12-en.pdf" TargetMode="External"/><Relationship Id="rId58" Type="http://schemas.openxmlformats.org/officeDocument/2006/relationships/hyperlink" Target="https://www.icann.org/resources/agreement/amazon-2019-12-19-en" TargetMode="External"/><Relationship Id="rId66" Type="http://schemas.openxmlformats.org/officeDocument/2006/relationships/hyperlink" Target="https://www.wipo.int/edocs/mdocs/geoind/ar/sct_37/sct_37_4.pdf" TargetMode="External"/><Relationship Id="rId74" Type="http://schemas.openxmlformats.org/officeDocument/2006/relationships/hyperlink" Target="https://www.wipo.int/edocs/mdocs/sct/ar/sct_44/sct_44_2.pdf" TargetMode="External"/><Relationship Id="rId79" Type="http://schemas.openxmlformats.org/officeDocument/2006/relationships/hyperlink" Target="https://www.wipo.int/meetings/en/details.jsp?meeting_id=42547&amp;la=ES" TargetMode="External"/><Relationship Id="rId5" Type="http://schemas.openxmlformats.org/officeDocument/2006/relationships/hyperlink" Target="https://www.wipo.int/amc/en/center/specific-sectors/smes" TargetMode="External"/><Relationship Id="rId61" Type="http://schemas.openxmlformats.org/officeDocument/2006/relationships/hyperlink" Target="https://eur-lex.europa.eu/legal-content/EN/TXT/?uri=CELEX%3A32023R2411" TargetMode="External"/><Relationship Id="rId19" Type="http://schemas.openxmlformats.org/officeDocument/2006/relationships/hyperlink" Target="https://www.wipo.int/amc/en/domains/cctld" TargetMode="External"/><Relationship Id="rId14" Type="http://schemas.openxmlformats.org/officeDocument/2006/relationships/hyperlink" Target="https://www.wipo.int/amc/en/center/specific-sectors/rd" TargetMode="External"/><Relationship Id="rId22" Type="http://schemas.openxmlformats.org/officeDocument/2006/relationships/hyperlink" Target="https://www.wipo.int/amc/en/domains/lop/" TargetMode="External"/><Relationship Id="rId27" Type="http://schemas.openxmlformats.org/officeDocument/2006/relationships/hyperlink" Target="https://www.icann.org/ar/board-activities-and-meetings/materials/approved-board-resolutions-special-meeting-of-the-icann-board-16-01-2022-ar" TargetMode="External"/><Relationship Id="rId30" Type="http://schemas.openxmlformats.org/officeDocument/2006/relationships/hyperlink" Target="https://www.wipo.int/about-wipo/en/assemblies/2020/a_61/doc_details.jsp?doc_id=136276" TargetMode="External"/><Relationship Id="rId35" Type="http://schemas.openxmlformats.org/officeDocument/2006/relationships/hyperlink" Target="https://www.wipo.int/about-wipo/en/assemblies/2024/a-65/doc_details.jsp?doc_id=136276" TargetMode="External"/><Relationship Id="rId43" Type="http://schemas.openxmlformats.org/officeDocument/2006/relationships/hyperlink" Target="https://www.icann.org/en/announcements/details/icann-board-reaffirms-temporary-specification-for-gtld-registration-data-29-1-2019-en" TargetMode="External"/><Relationship Id="rId48" Type="http://schemas.openxmlformats.org/officeDocument/2006/relationships/hyperlink" Target="https://ec.europa.eu/newsroom/dae/redirection/document/108437" TargetMode="External"/><Relationship Id="rId56" Type="http://schemas.openxmlformats.org/officeDocument/2006/relationships/hyperlink" Target="https://www.icann.org/en/system/files/correspondence/gac-to-board-27mar14-en.pdf" TargetMode="External"/><Relationship Id="rId64" Type="http://schemas.openxmlformats.org/officeDocument/2006/relationships/hyperlink" Target="http://www.icann.org/en/system/files/files/two-character-ltr-ltr-authorization-release-13dec16-en.pdf" TargetMode="External"/><Relationship Id="rId69" Type="http://schemas.openxmlformats.org/officeDocument/2006/relationships/hyperlink" Target="https://www.wipo.int/edocs/mdocs/sct/ar/sct_39/sct_39_5.pdf" TargetMode="External"/><Relationship Id="rId77" Type="http://schemas.openxmlformats.org/officeDocument/2006/relationships/hyperlink" Target="https://www.wipo.int/edocs/mdocs/sct/ar/sct_47/sct_47_2.pdf" TargetMode="External"/><Relationship Id="rId8" Type="http://schemas.openxmlformats.org/officeDocument/2006/relationships/hyperlink" Target="https://isomer-user-content.by.gov.sg/61/51abcc4e-78e9-40d2-acea-894f1b81f528/Mediation%20Cases.pdf" TargetMode="External"/><Relationship Id="rId51" Type="http://schemas.openxmlformats.org/officeDocument/2006/relationships/hyperlink" Target="https://archive.icann.org/en/topics/new-gtlds/gac-principles-regarding-new-gtlds-28mar07-en.pdf" TargetMode="External"/><Relationship Id="rId72" Type="http://schemas.openxmlformats.org/officeDocument/2006/relationships/hyperlink" Target="https://www.wipo.int/edocs/mdocs/sct/ar/sct_42/sct_42_3.pdf" TargetMode="External"/><Relationship Id="rId3" Type="http://schemas.openxmlformats.org/officeDocument/2006/relationships/hyperlink" Target="https://www.wipo.int/amc/ar/clauses" TargetMode="External"/><Relationship Id="rId12" Type="http://schemas.openxmlformats.org/officeDocument/2006/relationships/hyperlink" Target="https://www.wipo.int/amc/en/center/specific-sectors/ipoffices" TargetMode="External"/><Relationship Id="rId17" Type="http://schemas.openxmlformats.org/officeDocument/2006/relationships/hyperlink" Target="https://www.wipo.int/amc/en/domains/statistics" TargetMode="External"/><Relationship Id="rId25" Type="http://schemas.openxmlformats.org/officeDocument/2006/relationships/hyperlink" Target="https://gnso.icann.org/sites/default/files/file/field-file-attach/council-recommendations-rpm-pdp-phase-1-report-10feb21-en.pdf" TargetMode="External"/><Relationship Id="rId33" Type="http://schemas.openxmlformats.org/officeDocument/2006/relationships/hyperlink" Target="https://myemail.constantcontact.com/Read-the-SubPro-PDP-Newsletter---January-2021-Edition.html?soid=1122025845763&amp;aid=qJxZ65sQtok" TargetMode="External"/><Relationship Id="rId38" Type="http://schemas.openxmlformats.org/officeDocument/2006/relationships/hyperlink" Target="https://prague44.icann.org/node/31773" TargetMode="External"/><Relationship Id="rId46" Type="http://schemas.openxmlformats.org/officeDocument/2006/relationships/hyperlink" Target="https://gac.icann.org/statement/public/gac-minority-statement-epdp-phase2-24aug20.pdf" TargetMode="External"/><Relationship Id="rId59" Type="http://schemas.openxmlformats.org/officeDocument/2006/relationships/hyperlink" Target="https://gac.icann.org/download/attachments/35455403/Geo%20names%20in%20new%20gTLDs%20Updated%20%20V3%20%2029%20august%202014%5B4%5D.pdf?version=1&amp;modificationDate=1411549504000&amp;api=v2" TargetMode="External"/><Relationship Id="rId67" Type="http://schemas.openxmlformats.org/officeDocument/2006/relationships/hyperlink" Target="https://www.wipo.int/edocs/mdocs/sct/ar/sct_37/sct_37_5.pdf" TargetMode="External"/><Relationship Id="rId20" Type="http://schemas.openxmlformats.org/officeDocument/2006/relationships/hyperlink" Target="https://www.wipo.int/amc/en/domains/gdpr/" TargetMode="External"/><Relationship Id="rId41" Type="http://schemas.openxmlformats.org/officeDocument/2006/relationships/hyperlink" Target="https://archive.icann.org/en/meetings/toronto2012/node/34325.html" TargetMode="External"/><Relationship Id="rId54" Type="http://schemas.openxmlformats.org/officeDocument/2006/relationships/hyperlink" Target="https://newgtlds.icann.org/sites/default/files/evaluation-procedures-04jun12-en.pdf" TargetMode="External"/><Relationship Id="rId62" Type="http://schemas.openxmlformats.org/officeDocument/2006/relationships/hyperlink" Target="https://www.europarl.europa.eu/doceo/document/TA-9-2024-0101_EN.html" TargetMode="External"/><Relationship Id="rId70" Type="http://schemas.openxmlformats.org/officeDocument/2006/relationships/hyperlink" Target="https://www.wipo.int/edocs/mdocs/sct/ar/sct_40/sct_40_4.pdf" TargetMode="External"/><Relationship Id="rId75" Type="http://schemas.openxmlformats.org/officeDocument/2006/relationships/hyperlink" Target="https://www.wipo.int/edocs/mdocs/sct/ar/sct_45/sct_45_3.pdf" TargetMode="External"/><Relationship Id="rId1" Type="http://schemas.openxmlformats.org/officeDocument/2006/relationships/hyperlink" Target="https://www.wipo.int/amc/en/goodoffices" TargetMode="External"/><Relationship Id="rId6" Type="http://schemas.openxmlformats.org/officeDocument/2006/relationships/hyperlink" Target="https://www.wipo.int/amc/en/center/background.html" TargetMode="External"/><Relationship Id="rId15" Type="http://schemas.openxmlformats.org/officeDocument/2006/relationships/hyperlink" Target="https://www.wipo.int/newsletters-archive/en/adr_highlights.html" TargetMode="External"/><Relationship Id="rId23" Type="http://schemas.openxmlformats.org/officeDocument/2006/relationships/hyperlink" Target="https://community.icann.org/display/gnsoudrpdt/Webinar+on+the+Current+State+of+the+UDRP" TargetMode="External"/><Relationship Id="rId28" Type="http://schemas.openxmlformats.org/officeDocument/2006/relationships/hyperlink" Target="https://gnso.icann.org/en/issues/new-gtlds/rpm-final-issue-11jan16-en.pdf" TargetMode="External"/><Relationship Id="rId36" Type="http://schemas.openxmlformats.org/officeDocument/2006/relationships/hyperlink" Target="https://www.wipo.int/amc/en/docs/icann130309.pdf" TargetMode="External"/><Relationship Id="rId49" Type="http://schemas.openxmlformats.org/officeDocument/2006/relationships/hyperlink" Target="https://www.icann.org/resources/pages/rdap-background-2018-08-31-en" TargetMode="External"/><Relationship Id="rId57" Type="http://schemas.openxmlformats.org/officeDocument/2006/relationships/hyperlink" Target="https://www.icann.org/en/system/files/correspondence/gac-to-board-11apr13-en.pdf" TargetMode="External"/><Relationship Id="rId10" Type="http://schemas.openxmlformats.org/officeDocument/2006/relationships/hyperlink" Target="https://www.wipo.int/amc/en/docs/2022/wipo_adr_options_for_frand_disputes_management_resolution.pdf" TargetMode="External"/><Relationship Id="rId31" Type="http://schemas.openxmlformats.org/officeDocument/2006/relationships/hyperlink" Target="https://newgtlds.icann.org/en/program-status/delegated-strings" TargetMode="External"/><Relationship Id="rId44" Type="http://schemas.openxmlformats.org/officeDocument/2006/relationships/hyperlink" Target="https://www.wipo.int/amc/en/domains/gdpr" TargetMode="External"/><Relationship Id="rId52" Type="http://schemas.openxmlformats.org/officeDocument/2006/relationships/hyperlink" Target="https://gac.icann.org/contentMigrated/icann63-barcelona-communique" TargetMode="External"/><Relationship Id="rId60" Type="http://schemas.openxmlformats.org/officeDocument/2006/relationships/hyperlink" Target="https://www.icann.org/ar/board-activities-and-meetings/materials/approved-resolutions-special-meeting-of-the-icann-board-15-05-2019-ar" TargetMode="External"/><Relationship Id="rId65" Type="http://schemas.openxmlformats.org/officeDocument/2006/relationships/hyperlink" Target="https://www.wipo.int/edocs/mdocs/sct/en/sct_39/sct_39_7.pdf" TargetMode="External"/><Relationship Id="rId73" Type="http://schemas.openxmlformats.org/officeDocument/2006/relationships/hyperlink" Target="https://www.wipo.int/edocs/mdocs/sct/ar/sct_43/sct_43_4.pdf" TargetMode="External"/><Relationship Id="rId78" Type="http://schemas.openxmlformats.org/officeDocument/2006/relationships/hyperlink" Target="https://www.wipo.int/edocs/mdocs/sct/ar/sct_48/sct_48_2.pdf" TargetMode="External"/><Relationship Id="rId4" Type="http://schemas.openxmlformats.org/officeDocument/2006/relationships/hyperlink" Target="https://amc.wipo.int/clause-generator" TargetMode="External"/><Relationship Id="rId9" Type="http://schemas.openxmlformats.org/officeDocument/2006/relationships/hyperlink" Target="https://www.wipo.int/en/web/office-singapore/w/news/2025/wipo-asean-mediation-programme-amp-" TargetMode="External"/><Relationship Id="rId13" Type="http://schemas.openxmlformats.org/officeDocument/2006/relationships/hyperlink" Target="https://www.wipo.int/amc/en/mediation/rules/" TargetMode="External"/><Relationship Id="rId18" Type="http://schemas.openxmlformats.org/officeDocument/2006/relationships/hyperlink" Target="https://www.wipo.int/amc/en/events/workshops/2025/domainname" TargetMode="External"/><Relationship Id="rId39" Type="http://schemas.openxmlformats.org/officeDocument/2006/relationships/hyperlink" Target="https://prague44.icann.org/node/31773%20" TargetMode="External"/><Relationship Id="rId34" Type="http://schemas.openxmlformats.org/officeDocument/2006/relationships/hyperlink" Target="https://gnso.icann.org/sites/default/files/file/field-file-attach/final-report-newgtld-subsequent-procedures-pdp-02feb21-en.pdf" TargetMode="External"/><Relationship Id="rId50" Type="http://schemas.openxmlformats.org/officeDocument/2006/relationships/hyperlink" Target="https://www.icann.org/resources/pages/global-amendment-2023-en" TargetMode="External"/><Relationship Id="rId55" Type="http://schemas.openxmlformats.org/officeDocument/2006/relationships/hyperlink" Target="https://newgtlds.icann.org/sites/default/files/evaluation-procedures-04jun12-en.pdf" TargetMode="External"/><Relationship Id="rId76" Type="http://schemas.openxmlformats.org/officeDocument/2006/relationships/hyperlink" Target="https://www.wipo.int/edocs/mdocs/sct/ar/sct_46/sct_46_3.pdf" TargetMode="External"/><Relationship Id="rId7" Type="http://schemas.openxmlformats.org/officeDocument/2006/relationships/hyperlink" Target="https://www.wipo.int/amc/en/center/copyright/digitalcopyright/index.html" TargetMode="External"/><Relationship Id="rId71" Type="http://schemas.openxmlformats.org/officeDocument/2006/relationships/hyperlink" Target="https://www.wipo.int/edocs/mdocs/sct/ar/sct_41/sct_41_5.pdf" TargetMode="External"/><Relationship Id="rId2" Type="http://schemas.openxmlformats.org/officeDocument/2006/relationships/hyperlink" Target="https://www.wipo.int/amc/en/events" TargetMode="External"/><Relationship Id="rId29" Type="http://schemas.openxmlformats.org/officeDocument/2006/relationships/hyperlink" Target="http://www.icann.org/en/minutes/resolutions-20jun11-en.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59AF9-7C8F-4A32-9E74-34FE5A575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F9D62-BA52-4576-A242-16B410B65F39}">
  <ds:schemaRefs>
    <ds:schemaRef ds:uri="http://www.w3.org/XML/1998/namespace"/>
    <ds:schemaRef ds:uri="http://schemas.microsoft.com/office/2006/documentManagement/types"/>
    <ds:schemaRef ds:uri="b1a73aef-ce8f-442d-a5fc-a13bc475f3fd"/>
    <ds:schemaRef ds:uri="http://purl.org/dc/dcmitype/"/>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781c9f64-295c-457e-9e5f-c4eb841d6909"/>
    <ds:schemaRef ds:uri="http://purl.org/dc/terms/"/>
  </ds:schemaRefs>
</ds:datastoreItem>
</file>

<file path=customXml/itemProps3.xml><?xml version="1.0" encoding="utf-8"?>
<ds:datastoreItem xmlns:ds="http://schemas.openxmlformats.org/officeDocument/2006/customXml" ds:itemID="{87837B83-3B4A-4EC1-AAE4-E845CFF06ADE}">
  <ds:schemaRefs>
    <ds:schemaRef ds:uri="http://schemas.openxmlformats.org/officeDocument/2006/bibliography"/>
  </ds:schemaRefs>
</ds:datastoreItem>
</file>

<file path=customXml/itemProps4.xml><?xml version="1.0" encoding="utf-8"?>
<ds:datastoreItem xmlns:ds="http://schemas.openxmlformats.org/officeDocument/2006/customXml" ds:itemID="{A0F7CE69-8AEA-4568-875F-7C97B779A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WO_GA_58 (E).dotm</Template>
  <TotalTime>2</TotalTime>
  <Pages>13</Pages>
  <Words>6811</Words>
  <Characters>38829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WO/GA/58/17</vt:lpstr>
    </vt:vector>
  </TitlesOfParts>
  <Company>WIPO</Company>
  <LinksUpToDate>false</LinksUpToDate>
  <CharactersWithSpaces>45549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WO/GA/58/11</dc:title>
  <dc:creator>WIPO</dc:creator>
  <cp:keywords>, docId:EAE2E867724AA432B8D52CAAED09C2FC</cp:keywords>
  <cp:lastModifiedBy>MARIN-CUDRAZ DAVI Nicoletta</cp:lastModifiedBy>
  <cp:revision>3</cp:revision>
  <cp:lastPrinted>2025-03-13T10:33:00Z</cp:lastPrinted>
  <dcterms:created xsi:type="dcterms:W3CDTF">2025-05-07T08:41:00Z</dcterms:created>
  <dcterms:modified xsi:type="dcterms:W3CDTF">2025-05-07T13:08:00Z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0x0101005ABDE43AC2B2FA498C2D4BCF657BBF08</vt:lpwstr>
  </property>
  <property fmtid="{D5CDD505-2E9C-101B-9397-08002B2CF9AE}" pid="8" name="MSIP_Label_20773ee6-353b-4fb9-a59d-0b94c8c67bea_Enabled">
    <vt:lpwstr>true</vt:lpwstr>
  </property>
  <property fmtid="{D5CDD505-2E9C-101B-9397-08002B2CF9AE}" pid="9" name="MSIP_Label_20773ee6-353b-4fb9-a59d-0b94c8c67bea_SetDate">
    <vt:lpwstr>2025-02-18T10:25:53Z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a2808228-0a80-4ddc-a626-8b46f8c9c0de</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