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C6FF4" w14:textId="77777777" w:rsidR="00A8357F" w:rsidRPr="00A8357F" w:rsidRDefault="00A8357F" w:rsidP="00BE4767">
      <w:pPr>
        <w:pBdr>
          <w:bottom w:val="single" w:sz="4" w:space="10" w:color="auto"/>
        </w:pBdr>
        <w:spacing w:after="120"/>
        <w:rPr>
          <w:b/>
          <w:sz w:val="32"/>
          <w:szCs w:val="40"/>
          <w:lang w:bidi="ar-SA"/>
        </w:rPr>
      </w:pPr>
      <w:r w:rsidRPr="00A8357F">
        <w:rPr>
          <w:b/>
          <w:noProof/>
          <w:sz w:val="32"/>
          <w:szCs w:val="40"/>
          <w:lang w:eastAsia="en-US" w:bidi="ar-SA"/>
        </w:rPr>
        <mc:AlternateContent>
          <mc:Choice Requires="wpg">
            <w:drawing>
              <wp:inline distT="0" distB="0" distL="0" distR="0" wp14:anchorId="3FE65EEA" wp14:editId="03D4078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 name="Picture 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0BEDA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wAZ9&#10;dd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">
                  <v:imagedata r:id="rId10"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1" o:title="عربية"/>
                </v:shape>
                <w10:anchorlock/>
              </v:group>
            </w:pict>
          </mc:Fallback>
        </mc:AlternateContent>
      </w:r>
    </w:p>
    <w:p w14:paraId="2DCFCF9D" w14:textId="627868F2" w:rsidR="00A8357F" w:rsidRPr="00A8357F" w:rsidRDefault="00A8357F" w:rsidP="00BE4767">
      <w:pPr>
        <w:rPr>
          <w:rFonts w:ascii="Arial Black" w:hAnsi="Arial Black"/>
          <w:caps/>
          <w:sz w:val="15"/>
          <w:szCs w:val="15"/>
          <w:lang w:bidi="ar-SA"/>
        </w:rPr>
      </w:pPr>
      <w:r w:rsidRPr="00A8357F">
        <w:rPr>
          <w:rFonts w:ascii="Arial Black" w:hAnsi="Arial Black"/>
          <w:caps/>
          <w:sz w:val="15"/>
          <w:szCs w:val="15"/>
          <w:lang w:bidi="ar-SA"/>
        </w:rPr>
        <w:t>WO/GA/5</w:t>
      </w:r>
      <w:r>
        <w:rPr>
          <w:rFonts w:ascii="Arial Black" w:hAnsi="Arial Black"/>
          <w:caps/>
          <w:sz w:val="15"/>
          <w:szCs w:val="15"/>
          <w:lang w:bidi="ar-SA"/>
        </w:rPr>
        <w:t>5</w:t>
      </w:r>
      <w:r w:rsidRPr="00A8357F">
        <w:rPr>
          <w:rFonts w:ascii="Arial Black" w:hAnsi="Arial Black"/>
          <w:caps/>
          <w:sz w:val="15"/>
          <w:szCs w:val="15"/>
          <w:lang w:bidi="ar-SA"/>
        </w:rPr>
        <w:t>/</w:t>
      </w:r>
      <w:r>
        <w:rPr>
          <w:rFonts w:ascii="Arial Black" w:hAnsi="Arial Black"/>
          <w:caps/>
          <w:sz w:val="15"/>
          <w:szCs w:val="15"/>
          <w:lang w:bidi="ar-SA"/>
        </w:rPr>
        <w:t>9</w:t>
      </w:r>
    </w:p>
    <w:p w14:paraId="185C8A23" w14:textId="069C34B6" w:rsidR="00A8357F" w:rsidRPr="00A8357F" w:rsidRDefault="00A8357F" w:rsidP="00BE4767">
      <w:pPr>
        <w:bidi/>
        <w:jc w:val="right"/>
        <w:rPr>
          <w:rFonts w:ascii="Calibri" w:hAnsi="Calibri"/>
          <w:b/>
          <w:bCs/>
          <w:caps/>
          <w:sz w:val="15"/>
          <w:szCs w:val="15"/>
          <w:lang w:bidi="ar-SA"/>
        </w:rPr>
      </w:pPr>
      <w:r w:rsidRPr="00A8357F">
        <w:rPr>
          <w:rFonts w:ascii="Calibri" w:hAnsi="Calibri" w:hint="cs"/>
          <w:b/>
          <w:bCs/>
          <w:caps/>
          <w:sz w:val="15"/>
          <w:szCs w:val="15"/>
          <w:rtl/>
          <w:lang w:bidi="ar-SA"/>
        </w:rPr>
        <w:t>الأصل: بالإنكليزية</w:t>
      </w:r>
    </w:p>
    <w:p w14:paraId="312C1ADC" w14:textId="6299B149" w:rsidR="00A8357F" w:rsidRPr="00A8357F" w:rsidRDefault="00A8357F" w:rsidP="00C33688">
      <w:pPr>
        <w:bidi/>
        <w:spacing w:after="1200"/>
        <w:jc w:val="right"/>
        <w:rPr>
          <w:rFonts w:ascii="Calibri" w:hAnsi="Calibri"/>
          <w:b/>
          <w:bCs/>
          <w:caps/>
          <w:sz w:val="15"/>
          <w:szCs w:val="15"/>
          <w:lang w:bidi="ar-SA"/>
        </w:rPr>
      </w:pPr>
      <w:r w:rsidRPr="00A8357F">
        <w:rPr>
          <w:rFonts w:ascii="Calibri" w:hAnsi="Calibri" w:hint="cs"/>
          <w:b/>
          <w:bCs/>
          <w:caps/>
          <w:sz w:val="15"/>
          <w:szCs w:val="15"/>
          <w:rtl/>
          <w:lang w:bidi="ar-SA"/>
        </w:rPr>
        <w:t xml:space="preserve">التاريخ: </w:t>
      </w:r>
      <w:r w:rsidR="00C33688">
        <w:rPr>
          <w:rFonts w:ascii="Calibri" w:hAnsi="Calibri" w:hint="cs"/>
          <w:b/>
          <w:bCs/>
          <w:caps/>
          <w:sz w:val="15"/>
          <w:szCs w:val="15"/>
          <w:rtl/>
          <w:lang w:bidi="ar-SA"/>
        </w:rPr>
        <w:t>19</w:t>
      </w:r>
      <w:r>
        <w:rPr>
          <w:rFonts w:ascii="Calibri" w:hAnsi="Calibri" w:hint="cs"/>
          <w:b/>
          <w:bCs/>
          <w:caps/>
          <w:sz w:val="15"/>
          <w:szCs w:val="15"/>
          <w:rtl/>
          <w:lang w:bidi="ar-SA"/>
        </w:rPr>
        <w:t xml:space="preserve"> أبريل 2022</w:t>
      </w:r>
    </w:p>
    <w:p w14:paraId="040F41F7" w14:textId="77777777" w:rsidR="00A8357F" w:rsidRPr="00A8357F" w:rsidRDefault="00A8357F" w:rsidP="00BE4767">
      <w:pPr>
        <w:keepNext/>
        <w:bidi/>
        <w:spacing w:after="480"/>
        <w:outlineLvl w:val="0"/>
        <w:rPr>
          <w:b/>
          <w:bCs/>
          <w:caps/>
          <w:kern w:val="32"/>
          <w:sz w:val="32"/>
          <w:szCs w:val="32"/>
          <w:lang w:bidi="ar-SA"/>
        </w:rPr>
      </w:pPr>
      <w:bookmarkStart w:id="0" w:name="_Toc99122794"/>
      <w:r w:rsidRPr="00A8357F">
        <w:rPr>
          <w:rFonts w:hint="cs"/>
          <w:b/>
          <w:bCs/>
          <w:caps/>
          <w:kern w:val="32"/>
          <w:sz w:val="32"/>
          <w:szCs w:val="32"/>
          <w:rtl/>
          <w:lang w:bidi="ar-SA"/>
        </w:rPr>
        <w:t xml:space="preserve">الجمعية العامة </w:t>
      </w:r>
      <w:proofErr w:type="spellStart"/>
      <w:r w:rsidRPr="00A8357F">
        <w:rPr>
          <w:rFonts w:hint="cs"/>
          <w:b/>
          <w:bCs/>
          <w:caps/>
          <w:kern w:val="32"/>
          <w:sz w:val="32"/>
          <w:szCs w:val="32"/>
          <w:rtl/>
          <w:lang w:bidi="ar-SA"/>
        </w:rPr>
        <w:t>للويبو</w:t>
      </w:r>
      <w:bookmarkEnd w:id="0"/>
      <w:proofErr w:type="spellEnd"/>
    </w:p>
    <w:p w14:paraId="5862649D" w14:textId="4DBD4CB5" w:rsidR="00A8357F" w:rsidRPr="00A8357F" w:rsidRDefault="00A8357F" w:rsidP="00BE4767">
      <w:pPr>
        <w:bidi/>
        <w:outlineLvl w:val="1"/>
        <w:rPr>
          <w:rFonts w:ascii="Calibri" w:hAnsi="Calibri"/>
          <w:bCs/>
          <w:sz w:val="24"/>
          <w:szCs w:val="24"/>
          <w:lang w:bidi="ar-SA"/>
        </w:rPr>
      </w:pPr>
      <w:r w:rsidRPr="00A8357F">
        <w:rPr>
          <w:rFonts w:hint="cs"/>
          <w:b/>
          <w:bCs/>
          <w:sz w:val="24"/>
          <w:szCs w:val="24"/>
          <w:rtl/>
        </w:rPr>
        <w:t>الدورة الخامسة والخمسون (الدورة الاستثنائية الثلاثون)</w:t>
      </w:r>
    </w:p>
    <w:p w14:paraId="51BACA9A" w14:textId="22F704B7" w:rsidR="00A8357F" w:rsidRPr="00A8357F" w:rsidRDefault="00A8357F" w:rsidP="00F55571">
      <w:pPr>
        <w:bidi/>
        <w:spacing w:after="720"/>
        <w:outlineLvl w:val="1"/>
        <w:rPr>
          <w:rFonts w:ascii="Calibri" w:hAnsi="Calibri"/>
          <w:bCs/>
          <w:sz w:val="24"/>
          <w:szCs w:val="24"/>
          <w:lang w:bidi="ar-SA"/>
        </w:rPr>
      </w:pPr>
      <w:r w:rsidRPr="00A8357F">
        <w:rPr>
          <w:rFonts w:hint="cs"/>
          <w:b/>
          <w:bCs/>
          <w:sz w:val="24"/>
          <w:szCs w:val="24"/>
          <w:rtl/>
        </w:rPr>
        <w:t xml:space="preserve">جنيف، من </w:t>
      </w:r>
      <w:r w:rsidR="00F55571">
        <w:rPr>
          <w:rFonts w:hint="cs"/>
          <w:b/>
          <w:bCs/>
          <w:sz w:val="24"/>
          <w:szCs w:val="24"/>
          <w:rtl/>
        </w:rPr>
        <w:t>14</w:t>
      </w:r>
      <w:r w:rsidRPr="00A8357F">
        <w:rPr>
          <w:rFonts w:hint="cs"/>
          <w:b/>
          <w:bCs/>
          <w:sz w:val="24"/>
          <w:szCs w:val="24"/>
          <w:rtl/>
        </w:rPr>
        <w:t xml:space="preserve"> إلى 22 يوليو 2022</w:t>
      </w:r>
    </w:p>
    <w:p w14:paraId="05FB618C" w14:textId="5C206371" w:rsidR="00A8357F" w:rsidRPr="00A8357F" w:rsidRDefault="00A8357F" w:rsidP="00BE4767">
      <w:pPr>
        <w:bidi/>
        <w:spacing w:after="360"/>
        <w:outlineLvl w:val="0"/>
        <w:rPr>
          <w:rFonts w:ascii="Calibri" w:hAnsi="Calibri"/>
          <w:caps/>
          <w:sz w:val="24"/>
          <w:szCs w:val="22"/>
          <w:lang w:bidi="ar-SA"/>
        </w:rPr>
      </w:pPr>
      <w:bookmarkStart w:id="1" w:name="_Toc99122795"/>
      <w:r w:rsidRPr="00A8357F">
        <w:rPr>
          <w:rFonts w:hint="cs"/>
          <w:caps/>
          <w:sz w:val="24"/>
          <w:szCs w:val="24"/>
          <w:rtl/>
        </w:rPr>
        <w:t>التقرير السنوي لمدير شعبة الرقابة الداخلية</w:t>
      </w:r>
      <w:bookmarkEnd w:id="1"/>
    </w:p>
    <w:p w14:paraId="17D9E50B" w14:textId="1724A44E" w:rsidR="00A8357F" w:rsidRPr="00A8357F" w:rsidRDefault="00A8357F" w:rsidP="00BE4767">
      <w:pPr>
        <w:bidi/>
        <w:spacing w:after="1040"/>
        <w:rPr>
          <w:rFonts w:ascii="Calibri" w:hAnsi="Calibri"/>
          <w:iCs/>
          <w:szCs w:val="22"/>
          <w:rtl/>
          <w:lang w:bidi="ar-SA"/>
        </w:rPr>
      </w:pPr>
      <w:r w:rsidRPr="00A8357F">
        <w:rPr>
          <w:rFonts w:ascii="Calibri" w:hAnsi="Calibri" w:hint="cs"/>
          <w:iCs/>
          <w:szCs w:val="22"/>
          <w:rtl/>
          <w:lang w:bidi="ar-SA"/>
        </w:rPr>
        <w:t>من إعداد</w:t>
      </w:r>
      <w:r>
        <w:rPr>
          <w:rFonts w:ascii="Calibri" w:hAnsi="Calibri" w:hint="cs"/>
          <w:iCs/>
          <w:szCs w:val="22"/>
          <w:rtl/>
          <w:lang w:bidi="ar-SA"/>
        </w:rPr>
        <w:t xml:space="preserve"> الأمانة</w:t>
      </w:r>
    </w:p>
    <w:p w14:paraId="2F19B089" w14:textId="77777777" w:rsidR="00267852" w:rsidRPr="00A8357F" w:rsidRDefault="00267852" w:rsidP="00BE4767">
      <w:pPr>
        <w:pStyle w:val="ONUME"/>
        <w:numPr>
          <w:ilvl w:val="0"/>
          <w:numId w:val="4"/>
        </w:numPr>
        <w:bidi/>
        <w:rPr>
          <w:szCs w:val="22"/>
          <w:rtl/>
        </w:rPr>
      </w:pPr>
      <w:r w:rsidRPr="00A8357F">
        <w:rPr>
          <w:rFonts w:hint="cs"/>
          <w:szCs w:val="22"/>
          <w:rtl/>
        </w:rPr>
        <w:t xml:space="preserve">تحتوي هذه الوثيقة على التقرير السنوي لمدير شعبة الرقابة الداخلية (الوثيقة </w:t>
      </w:r>
      <w:r w:rsidRPr="00A8357F">
        <w:rPr>
          <w:szCs w:val="22"/>
        </w:rPr>
        <w:t>WO/PBC/34/5</w:t>
      </w:r>
      <w:r w:rsidRPr="00A8357F">
        <w:rPr>
          <w:rFonts w:hint="cs"/>
          <w:szCs w:val="22"/>
          <w:rtl/>
        </w:rPr>
        <w:t>) الذي قُدِّم إلى لجنة الويبو للبرنامج والميزانية (لجنة الميزانية) إبّان دورتها الرابعة والثلاثين (من 27 يونيو إلى 1 يوليو 2022).</w:t>
      </w:r>
    </w:p>
    <w:p w14:paraId="079632E4" w14:textId="4E2166F3" w:rsidR="00267852" w:rsidRPr="00A8357F" w:rsidRDefault="00267852" w:rsidP="00BE4767">
      <w:pPr>
        <w:pStyle w:val="ONUME"/>
        <w:bidi/>
        <w:rPr>
          <w:szCs w:val="22"/>
          <w:rtl/>
        </w:rPr>
      </w:pPr>
      <w:r w:rsidRPr="00A8357F">
        <w:rPr>
          <w:rFonts w:hint="cs"/>
          <w:szCs w:val="22"/>
          <w:rtl/>
        </w:rPr>
        <w:t>وسترد أي قرارات للجنة الميزانية بشأن تلك الوثيقة في "قائمة القرارات التي اعتمدتها لجنة البرنامج والميزانية" (الوثيقة</w:t>
      </w:r>
      <w:r w:rsidR="00A8357F">
        <w:rPr>
          <w:rFonts w:hint="eastAsia"/>
          <w:szCs w:val="22"/>
          <w:rtl/>
        </w:rPr>
        <w:t> </w:t>
      </w:r>
      <w:r w:rsidRPr="00A8357F">
        <w:rPr>
          <w:szCs w:val="22"/>
        </w:rPr>
        <w:t>A/63/7</w:t>
      </w:r>
      <w:r w:rsidRPr="00A8357F">
        <w:rPr>
          <w:rFonts w:hint="cs"/>
          <w:szCs w:val="22"/>
          <w:rtl/>
        </w:rPr>
        <w:t>).</w:t>
      </w:r>
    </w:p>
    <w:p w14:paraId="17B93530" w14:textId="68A39D26" w:rsidR="00267852" w:rsidRDefault="00267852" w:rsidP="00BE4767">
      <w:pPr>
        <w:pStyle w:val="Endofdocument-Annex"/>
        <w:bidi/>
        <w:rPr>
          <w:szCs w:val="22"/>
        </w:rPr>
      </w:pPr>
      <w:r w:rsidRPr="00A8357F">
        <w:rPr>
          <w:rFonts w:hint="cs"/>
          <w:szCs w:val="22"/>
          <w:rtl/>
        </w:rPr>
        <w:t xml:space="preserve">[تلي ذلك الوثيقة </w:t>
      </w:r>
      <w:r w:rsidRPr="00A8357F">
        <w:rPr>
          <w:szCs w:val="22"/>
        </w:rPr>
        <w:t>WO/PBC/34/5</w:t>
      </w:r>
      <w:r w:rsidRPr="00A8357F">
        <w:rPr>
          <w:szCs w:val="22"/>
          <w:rtl/>
        </w:rPr>
        <w:t>]</w:t>
      </w:r>
    </w:p>
    <w:p w14:paraId="373A4083" w14:textId="77777777" w:rsidR="00267852" w:rsidRPr="00A8357F" w:rsidRDefault="00267852" w:rsidP="00BE4767">
      <w:pPr>
        <w:spacing w:after="220"/>
        <w:rPr>
          <w:szCs w:val="22"/>
        </w:rPr>
      </w:pPr>
    </w:p>
    <w:p w14:paraId="50C9C5C5" w14:textId="77777777" w:rsidR="00267852" w:rsidRPr="00A8357F" w:rsidRDefault="00267852" w:rsidP="00BE4767">
      <w:pPr>
        <w:spacing w:after="220"/>
        <w:rPr>
          <w:szCs w:val="22"/>
        </w:rPr>
        <w:sectPr w:rsidR="00267852" w:rsidRPr="00A8357F" w:rsidSect="004854FF">
          <w:headerReference w:type="default" r:id="rId12"/>
          <w:endnotePr>
            <w:numFmt w:val="decimal"/>
          </w:endnotePr>
          <w:pgSz w:w="11907" w:h="16840" w:code="9"/>
          <w:pgMar w:top="567" w:right="1134" w:bottom="1418" w:left="1418" w:header="510" w:footer="1021" w:gutter="0"/>
          <w:cols w:space="720"/>
          <w:titlePg/>
          <w:docGrid w:linePitch="299"/>
        </w:sectPr>
      </w:pPr>
    </w:p>
    <w:p w14:paraId="67B4EAC9" w14:textId="77777777" w:rsidR="00267852" w:rsidRPr="00A8357F" w:rsidRDefault="00267852" w:rsidP="00BE4767">
      <w:pPr>
        <w:spacing w:after="220"/>
        <w:rPr>
          <w:szCs w:val="22"/>
        </w:rPr>
        <w:sectPr w:rsidR="00267852" w:rsidRPr="00A8357F" w:rsidSect="004854FF">
          <w:endnotePr>
            <w:numFmt w:val="decimal"/>
          </w:endnotePr>
          <w:pgSz w:w="11907" w:h="16840" w:code="9"/>
          <w:pgMar w:top="567" w:right="1134" w:bottom="1418" w:left="1418" w:header="510" w:footer="1021" w:gutter="0"/>
          <w:cols w:space="720"/>
          <w:titlePg/>
          <w:docGrid w:linePitch="299"/>
        </w:sectPr>
      </w:pPr>
    </w:p>
    <w:p w14:paraId="03C063AE" w14:textId="77777777" w:rsidR="00BE4767" w:rsidRPr="00BE4767" w:rsidRDefault="00BE4767" w:rsidP="00BE4767">
      <w:pPr>
        <w:pBdr>
          <w:bottom w:val="single" w:sz="4" w:space="10" w:color="auto"/>
        </w:pBdr>
        <w:spacing w:after="120"/>
        <w:rPr>
          <w:b/>
          <w:sz w:val="32"/>
          <w:szCs w:val="40"/>
          <w:lang w:bidi="ar-SA"/>
        </w:rPr>
      </w:pPr>
      <w:r w:rsidRPr="00BE4767">
        <w:rPr>
          <w:b/>
          <w:noProof/>
          <w:sz w:val="32"/>
          <w:szCs w:val="40"/>
          <w:lang w:eastAsia="en-US" w:bidi="ar-SA"/>
        </w:rPr>
        <w:lastRenderedPageBreak/>
        <mc:AlternateContent>
          <mc:Choice Requires="wpg">
            <w:drawing>
              <wp:inline distT="0" distB="0" distL="0" distR="0" wp14:anchorId="5D81A717" wp14:editId="51F412FF">
                <wp:extent cx="2777259" cy="1333500"/>
                <wp:effectExtent l="0" t="0" r="4445" b="0"/>
                <wp:docPr id="1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 name="Picture 1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 name="Picture 1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CD9A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nVYI9gCAAD4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DedVgj&#10;2AIAAPg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 id="Picture 1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">
                  <v:imagedata r:id="rId10" o:title="شعار المنظمة العالمية للملكية الفكرية (الويبو)"/>
                </v:shape>
                <v:shape id="Picture 1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">
                  <v:imagedata r:id="rId11" o:title="عربية"/>
                </v:shape>
                <w10:anchorlock/>
              </v:group>
            </w:pict>
          </mc:Fallback>
        </mc:AlternateContent>
      </w:r>
    </w:p>
    <w:p w14:paraId="06BCCABA" w14:textId="254F573D" w:rsidR="00BE4767" w:rsidRPr="00BE4767" w:rsidRDefault="00BE4767" w:rsidP="00BE4767">
      <w:pPr>
        <w:rPr>
          <w:rFonts w:ascii="Arial Black" w:hAnsi="Arial Black"/>
          <w:caps/>
          <w:sz w:val="15"/>
          <w:szCs w:val="15"/>
          <w:lang w:val="en-GB" w:bidi="ar-SA"/>
        </w:rPr>
      </w:pPr>
      <w:r w:rsidRPr="00BE4767">
        <w:rPr>
          <w:rFonts w:ascii="Arial Black" w:hAnsi="Arial Black"/>
          <w:caps/>
          <w:sz w:val="15"/>
          <w:szCs w:val="15"/>
          <w:lang w:bidi="ar-SA"/>
        </w:rPr>
        <w:t>WO/pbc/34/</w:t>
      </w:r>
      <w:bookmarkStart w:id="2" w:name="Code"/>
      <w:bookmarkEnd w:id="2"/>
      <w:r>
        <w:rPr>
          <w:rFonts w:ascii="Arial Black" w:hAnsi="Arial Black"/>
          <w:caps/>
          <w:sz w:val="15"/>
          <w:szCs w:val="15"/>
          <w:lang w:val="en-GB" w:bidi="ar-SA"/>
        </w:rPr>
        <w:t>5</w:t>
      </w:r>
    </w:p>
    <w:p w14:paraId="13BA041C" w14:textId="6294ED6B" w:rsidR="00BE4767" w:rsidRPr="00BE4767" w:rsidRDefault="00BE4767" w:rsidP="00BE4767">
      <w:pPr>
        <w:bidi/>
        <w:jc w:val="right"/>
        <w:rPr>
          <w:rFonts w:ascii="Calibri" w:hAnsi="Calibri"/>
          <w:b/>
          <w:bCs/>
          <w:caps/>
          <w:sz w:val="15"/>
          <w:szCs w:val="15"/>
          <w:lang w:bidi="ar-SA"/>
        </w:rPr>
      </w:pPr>
      <w:bookmarkStart w:id="3" w:name="Original"/>
      <w:r w:rsidRPr="00BE4767">
        <w:rPr>
          <w:rFonts w:ascii="Calibri" w:hAnsi="Calibri" w:hint="cs"/>
          <w:b/>
          <w:bCs/>
          <w:caps/>
          <w:sz w:val="15"/>
          <w:szCs w:val="15"/>
          <w:rtl/>
          <w:lang w:bidi="ar-SA"/>
        </w:rPr>
        <w:t>الأصل: بالإنكليزية</w:t>
      </w:r>
    </w:p>
    <w:p w14:paraId="623C6509" w14:textId="4D120E42" w:rsidR="00BE4767" w:rsidRPr="00BE4767" w:rsidRDefault="00BE4767" w:rsidP="00C33688">
      <w:pPr>
        <w:bidi/>
        <w:spacing w:after="1200"/>
        <w:jc w:val="right"/>
        <w:rPr>
          <w:rFonts w:ascii="Calibri" w:hAnsi="Calibri"/>
          <w:b/>
          <w:bCs/>
          <w:caps/>
          <w:sz w:val="15"/>
          <w:szCs w:val="15"/>
          <w:lang w:bidi="ar-SA"/>
        </w:rPr>
      </w:pPr>
      <w:bookmarkStart w:id="4" w:name="Date"/>
      <w:bookmarkEnd w:id="3"/>
      <w:r w:rsidRPr="00BE4767">
        <w:rPr>
          <w:rFonts w:ascii="Calibri" w:hAnsi="Calibri" w:hint="cs"/>
          <w:b/>
          <w:bCs/>
          <w:caps/>
          <w:sz w:val="15"/>
          <w:szCs w:val="15"/>
          <w:rtl/>
          <w:lang w:bidi="ar-SA"/>
        </w:rPr>
        <w:t xml:space="preserve">التاريخ: </w:t>
      </w:r>
      <w:r w:rsidR="00C33688">
        <w:rPr>
          <w:rFonts w:ascii="Calibri" w:hAnsi="Calibri" w:hint="cs"/>
          <w:b/>
          <w:bCs/>
          <w:caps/>
          <w:sz w:val="15"/>
          <w:szCs w:val="15"/>
          <w:rtl/>
          <w:lang w:bidi="ar-SA"/>
        </w:rPr>
        <w:t>19</w:t>
      </w:r>
      <w:r>
        <w:rPr>
          <w:rFonts w:ascii="Calibri" w:hAnsi="Calibri" w:hint="cs"/>
          <w:b/>
          <w:bCs/>
          <w:caps/>
          <w:sz w:val="15"/>
          <w:szCs w:val="15"/>
          <w:rtl/>
          <w:lang w:bidi="ar-SA"/>
        </w:rPr>
        <w:t xml:space="preserve"> أبريل 2022</w:t>
      </w:r>
    </w:p>
    <w:p w14:paraId="41FCF352" w14:textId="77777777" w:rsidR="00BE4767" w:rsidRPr="00BE4767" w:rsidRDefault="00BE4767" w:rsidP="00BE4767">
      <w:pPr>
        <w:keepNext/>
        <w:bidi/>
        <w:spacing w:after="480"/>
        <w:outlineLvl w:val="0"/>
        <w:rPr>
          <w:b/>
          <w:bCs/>
          <w:caps/>
          <w:kern w:val="32"/>
          <w:sz w:val="32"/>
          <w:szCs w:val="32"/>
          <w:lang w:bidi="ar-SA"/>
        </w:rPr>
      </w:pPr>
      <w:bookmarkStart w:id="5" w:name="_Toc99122796"/>
      <w:bookmarkEnd w:id="4"/>
      <w:r w:rsidRPr="00BE4767">
        <w:rPr>
          <w:b/>
          <w:bCs/>
          <w:caps/>
          <w:kern w:val="32"/>
          <w:sz w:val="32"/>
          <w:szCs w:val="32"/>
          <w:rtl/>
          <w:lang w:bidi="ar-SA"/>
        </w:rPr>
        <w:t xml:space="preserve">لجنة </w:t>
      </w:r>
      <w:r w:rsidRPr="00BE4767">
        <w:rPr>
          <w:rFonts w:hint="cs"/>
          <w:b/>
          <w:bCs/>
          <w:caps/>
          <w:kern w:val="32"/>
          <w:sz w:val="32"/>
          <w:szCs w:val="32"/>
          <w:rtl/>
          <w:lang w:bidi="ar-SA"/>
        </w:rPr>
        <w:t>البرنامج والميزانية</w:t>
      </w:r>
      <w:bookmarkEnd w:id="5"/>
    </w:p>
    <w:p w14:paraId="200F5D98" w14:textId="77777777" w:rsidR="00BE4767" w:rsidRPr="00BE4767" w:rsidRDefault="00BE4767" w:rsidP="00BE4767">
      <w:pPr>
        <w:bidi/>
        <w:outlineLvl w:val="1"/>
        <w:rPr>
          <w:rFonts w:ascii="Calibri" w:hAnsi="Calibri"/>
          <w:bCs/>
          <w:sz w:val="24"/>
          <w:szCs w:val="24"/>
          <w:lang w:bidi="ar-SA"/>
        </w:rPr>
      </w:pPr>
      <w:r w:rsidRPr="00BE4767">
        <w:rPr>
          <w:rFonts w:ascii="Calibri" w:hAnsi="Calibri" w:hint="cs"/>
          <w:bCs/>
          <w:sz w:val="24"/>
          <w:szCs w:val="24"/>
          <w:rtl/>
          <w:lang w:bidi="ar-SA"/>
        </w:rPr>
        <w:t>الدورة الرابعة والثلاثون</w:t>
      </w:r>
    </w:p>
    <w:p w14:paraId="08864AAB" w14:textId="77777777" w:rsidR="00BE4767" w:rsidRPr="00BE4767" w:rsidRDefault="00BE4767" w:rsidP="00BE4767">
      <w:pPr>
        <w:bidi/>
        <w:spacing w:after="720"/>
        <w:outlineLvl w:val="1"/>
        <w:rPr>
          <w:rFonts w:ascii="Calibri" w:hAnsi="Calibri"/>
          <w:bCs/>
          <w:sz w:val="24"/>
          <w:szCs w:val="24"/>
          <w:lang w:bidi="ar-SA"/>
        </w:rPr>
      </w:pPr>
      <w:r w:rsidRPr="00BE4767">
        <w:rPr>
          <w:rFonts w:ascii="Calibri" w:hAnsi="Calibri" w:hint="cs"/>
          <w:bCs/>
          <w:sz w:val="24"/>
          <w:szCs w:val="24"/>
          <w:rtl/>
          <w:lang w:bidi="ar-SA"/>
        </w:rPr>
        <w:t>جنيف، من 27 يونيو إلى 1 يوليو 2022</w:t>
      </w:r>
    </w:p>
    <w:p w14:paraId="22EB2950" w14:textId="49BB508F" w:rsidR="00BE4767" w:rsidRPr="00BE4767" w:rsidRDefault="00BE4767" w:rsidP="00BE4767">
      <w:pPr>
        <w:bidi/>
        <w:spacing w:after="360"/>
        <w:outlineLvl w:val="0"/>
        <w:rPr>
          <w:rFonts w:ascii="Calibri" w:hAnsi="Calibri"/>
          <w:caps/>
          <w:sz w:val="24"/>
          <w:szCs w:val="22"/>
          <w:lang w:bidi="ar-SA"/>
        </w:rPr>
      </w:pPr>
      <w:bookmarkStart w:id="6" w:name="_Toc99122797"/>
      <w:bookmarkStart w:id="7" w:name="TitleOfDoc"/>
      <w:r w:rsidRPr="00A8357F">
        <w:rPr>
          <w:rFonts w:hint="cs"/>
          <w:sz w:val="24"/>
          <w:szCs w:val="24"/>
          <w:rtl/>
        </w:rPr>
        <w:t>التقرير السنوي لمدير شعبة الرقابة الداخلية</w:t>
      </w:r>
      <w:bookmarkEnd w:id="6"/>
    </w:p>
    <w:p w14:paraId="329C9577" w14:textId="139B0819" w:rsidR="00BE4767" w:rsidRPr="00BE4767" w:rsidRDefault="00BE4767" w:rsidP="00BE4767">
      <w:pPr>
        <w:bidi/>
        <w:spacing w:after="1040"/>
        <w:rPr>
          <w:rFonts w:ascii="Calibri" w:hAnsi="Calibri"/>
          <w:iCs/>
          <w:szCs w:val="22"/>
          <w:rtl/>
          <w:lang w:bidi="ar-SA"/>
        </w:rPr>
      </w:pPr>
      <w:bookmarkStart w:id="8" w:name="Prepared"/>
      <w:bookmarkEnd w:id="7"/>
      <w:bookmarkEnd w:id="8"/>
      <w:r w:rsidRPr="00BE4767">
        <w:rPr>
          <w:rFonts w:ascii="Calibri" w:hAnsi="Calibri" w:hint="cs"/>
          <w:iCs/>
          <w:szCs w:val="22"/>
          <w:rtl/>
          <w:lang w:bidi="ar-SA"/>
        </w:rPr>
        <w:t>من إعداد</w:t>
      </w:r>
      <w:r>
        <w:rPr>
          <w:rFonts w:ascii="Calibri" w:hAnsi="Calibri" w:hint="cs"/>
          <w:iCs/>
          <w:szCs w:val="22"/>
          <w:rtl/>
          <w:lang w:bidi="ar-SA"/>
        </w:rPr>
        <w:t xml:space="preserve"> الأمانة</w:t>
      </w:r>
    </w:p>
    <w:p w14:paraId="3F7EFB47" w14:textId="570B99B6" w:rsidR="00267852" w:rsidRPr="00A8357F" w:rsidRDefault="00267852" w:rsidP="00BE4767">
      <w:pPr>
        <w:pStyle w:val="ONUME"/>
        <w:numPr>
          <w:ilvl w:val="0"/>
          <w:numId w:val="5"/>
        </w:numPr>
        <w:bidi/>
        <w:rPr>
          <w:szCs w:val="22"/>
          <w:rtl/>
        </w:rPr>
      </w:pPr>
      <w:r w:rsidRPr="00A8357F">
        <w:rPr>
          <w:rFonts w:hint="cs"/>
          <w:szCs w:val="22"/>
          <w:rtl/>
        </w:rPr>
        <w:t>يقدِّم مدير شعبة الرقابة الداخلية، وفقاً للفقرة 47 من ميثاق الرقابة الداخلية، تقريراً سنوياً موجزاً إلى الجمعية العامة للمنظمة العالمية للملكية الفكرية (الويبو) عن طريق لجنة البرنامج والميزانية (التقرير السنوي).</w:t>
      </w:r>
      <w:r w:rsidR="00BE4767">
        <w:rPr>
          <w:rFonts w:hint="cs"/>
          <w:szCs w:val="22"/>
          <w:rtl/>
        </w:rPr>
        <w:t xml:space="preserve"> </w:t>
      </w:r>
      <w:r w:rsidRPr="00A8357F">
        <w:rPr>
          <w:rFonts w:hint="cs"/>
          <w:szCs w:val="22"/>
          <w:rtl/>
        </w:rPr>
        <w:t>ويوفر هذا التقرير معلومات عن الأنشطة الرئيسية التي اضطلعت بها شعبة الرقابة الداخلية على مدى الفترة المشمولة بالتقرير من 1 يناير 2021 إلى 31 ديسمبر 2021.</w:t>
      </w:r>
    </w:p>
    <w:p w14:paraId="057AAB10" w14:textId="77777777" w:rsidR="00267852" w:rsidRPr="00A8357F" w:rsidRDefault="00267852" w:rsidP="00BE4767">
      <w:pPr>
        <w:pStyle w:val="ONUME"/>
        <w:numPr>
          <w:ilvl w:val="0"/>
          <w:numId w:val="4"/>
        </w:numPr>
        <w:bidi/>
        <w:rPr>
          <w:i/>
          <w:iCs/>
          <w:szCs w:val="22"/>
          <w:rtl/>
        </w:rPr>
      </w:pPr>
      <w:r w:rsidRPr="00A8357F">
        <w:rPr>
          <w:rFonts w:hint="cs"/>
          <w:szCs w:val="22"/>
          <w:rtl/>
        </w:rPr>
        <w:t>وفيما يلي فقرة القرار المقترحة.</w:t>
      </w:r>
    </w:p>
    <w:p w14:paraId="4E01373D" w14:textId="5C8D79FD" w:rsidR="00267852" w:rsidRPr="008A196F" w:rsidRDefault="00267852" w:rsidP="00BE4767">
      <w:pPr>
        <w:pStyle w:val="ListParagraph"/>
        <w:numPr>
          <w:ilvl w:val="0"/>
          <w:numId w:val="4"/>
        </w:numPr>
        <w:bidi/>
        <w:spacing w:after="220"/>
        <w:ind w:left="5528"/>
        <w:contextualSpacing w:val="0"/>
        <w:rPr>
          <w:i/>
          <w:iCs/>
          <w:spacing w:val="-4"/>
          <w:szCs w:val="22"/>
          <w:rtl/>
        </w:rPr>
      </w:pPr>
      <w:r w:rsidRPr="008A196F">
        <w:rPr>
          <w:rFonts w:hint="cs"/>
          <w:i/>
          <w:iCs/>
          <w:spacing w:val="-4"/>
          <w:szCs w:val="22"/>
          <w:rtl/>
        </w:rPr>
        <w:t xml:space="preserve">أوصت لجنة البرنامج والميزانية الجمعية العامة </w:t>
      </w:r>
      <w:proofErr w:type="spellStart"/>
      <w:r w:rsidRPr="008A196F">
        <w:rPr>
          <w:rFonts w:hint="cs"/>
          <w:i/>
          <w:iCs/>
          <w:spacing w:val="-4"/>
          <w:szCs w:val="22"/>
          <w:rtl/>
        </w:rPr>
        <w:t>للويبو</w:t>
      </w:r>
      <w:proofErr w:type="spellEnd"/>
      <w:r w:rsidRPr="008A196F">
        <w:rPr>
          <w:rFonts w:hint="cs"/>
          <w:i/>
          <w:iCs/>
          <w:spacing w:val="-4"/>
          <w:szCs w:val="22"/>
          <w:rtl/>
        </w:rPr>
        <w:t xml:space="preserve"> بالإحاطة علماً بمضمون "التقرير</w:t>
      </w:r>
      <w:r w:rsidR="008A196F" w:rsidRPr="008A196F">
        <w:rPr>
          <w:rFonts w:hint="eastAsia"/>
          <w:i/>
          <w:iCs/>
          <w:spacing w:val="-4"/>
          <w:szCs w:val="22"/>
          <w:rtl/>
        </w:rPr>
        <w:t> </w:t>
      </w:r>
      <w:r w:rsidRPr="008A196F">
        <w:rPr>
          <w:rFonts w:hint="cs"/>
          <w:i/>
          <w:iCs/>
          <w:spacing w:val="-4"/>
          <w:szCs w:val="22"/>
          <w:rtl/>
        </w:rPr>
        <w:t>السنوي لمدير شعبة الرقابة الداخلية" (الوثيقة</w:t>
      </w:r>
      <w:r w:rsidR="008A196F" w:rsidRPr="008A196F">
        <w:rPr>
          <w:rFonts w:hint="eastAsia"/>
          <w:i/>
          <w:iCs/>
          <w:spacing w:val="-4"/>
          <w:szCs w:val="22"/>
          <w:rtl/>
        </w:rPr>
        <w:t> </w:t>
      </w:r>
      <w:r w:rsidRPr="008A196F">
        <w:rPr>
          <w:i/>
          <w:iCs/>
          <w:spacing w:val="-4"/>
          <w:szCs w:val="22"/>
        </w:rPr>
        <w:t>WO/PBC/34/5</w:t>
      </w:r>
      <w:r w:rsidRPr="008A196F">
        <w:rPr>
          <w:rFonts w:hint="cs"/>
          <w:i/>
          <w:iCs/>
          <w:spacing w:val="-4"/>
          <w:szCs w:val="22"/>
          <w:rtl/>
        </w:rPr>
        <w:t>).</w:t>
      </w:r>
    </w:p>
    <w:p w14:paraId="61D99E86" w14:textId="75AC75B7" w:rsidR="00267852" w:rsidRPr="008A196F" w:rsidRDefault="00267852" w:rsidP="00BE4767">
      <w:pPr>
        <w:pStyle w:val="ListParagraph"/>
        <w:bidi/>
        <w:spacing w:before="240"/>
        <w:ind w:left="5529"/>
        <w:contextualSpacing w:val="0"/>
        <w:rPr>
          <w:spacing w:val="-2"/>
          <w:szCs w:val="22"/>
        </w:rPr>
      </w:pPr>
      <w:r w:rsidRPr="008A196F">
        <w:rPr>
          <w:rFonts w:hint="cs"/>
          <w:spacing w:val="-2"/>
          <w:szCs w:val="22"/>
          <w:rtl/>
        </w:rPr>
        <w:t>[يلي ذلك التقرير السنوي</w:t>
      </w:r>
      <w:r w:rsidR="008A196F" w:rsidRPr="008A196F">
        <w:rPr>
          <w:rFonts w:hint="cs"/>
          <w:spacing w:val="-2"/>
          <w:szCs w:val="22"/>
          <w:rtl/>
        </w:rPr>
        <w:t xml:space="preserve"> </w:t>
      </w:r>
      <w:r w:rsidRPr="008A196F">
        <w:rPr>
          <w:rFonts w:hint="cs"/>
          <w:spacing w:val="-2"/>
          <w:szCs w:val="22"/>
          <w:rtl/>
        </w:rPr>
        <w:t>لمدير شعبة الرقابة الداخلية]</w:t>
      </w:r>
    </w:p>
    <w:p w14:paraId="6E58B51D" w14:textId="77777777" w:rsidR="00BE4767" w:rsidRDefault="00BE4767" w:rsidP="00BE4767">
      <w:pPr>
        <w:pStyle w:val="ListParagraph"/>
        <w:bidi/>
        <w:spacing w:before="240"/>
        <w:ind w:left="5529"/>
        <w:contextualSpacing w:val="0"/>
        <w:rPr>
          <w:szCs w:val="22"/>
        </w:rPr>
      </w:pPr>
    </w:p>
    <w:p w14:paraId="64B49681" w14:textId="74A36FDD" w:rsidR="00BE4767" w:rsidRPr="00A8357F" w:rsidRDefault="00BE4767" w:rsidP="00BE4767">
      <w:pPr>
        <w:pStyle w:val="ListParagraph"/>
        <w:bidi/>
        <w:spacing w:before="240"/>
        <w:ind w:left="5529"/>
        <w:contextualSpacing w:val="0"/>
        <w:rPr>
          <w:rFonts w:cs="Times New Roman"/>
          <w:i/>
          <w:iCs/>
          <w:szCs w:val="22"/>
          <w:rtl/>
        </w:rPr>
        <w:sectPr w:rsidR="00BE4767" w:rsidRPr="00A8357F" w:rsidSect="00E60513">
          <w:endnotePr>
            <w:numFmt w:val="decimal"/>
          </w:endnotePr>
          <w:pgSz w:w="11907" w:h="16840" w:code="9"/>
          <w:pgMar w:top="567" w:right="1134" w:bottom="1418" w:left="1418" w:header="510" w:footer="1021" w:gutter="0"/>
          <w:pgNumType w:start="2"/>
          <w:cols w:space="720"/>
          <w:titlePg/>
          <w:docGrid w:linePitch="299"/>
        </w:sectPr>
      </w:pPr>
    </w:p>
    <w:p w14:paraId="7EFEC234" w14:textId="77777777" w:rsidR="00C46B12" w:rsidRPr="00A8357F" w:rsidRDefault="00C46B12" w:rsidP="00BE4767">
      <w:pPr>
        <w:bidi/>
        <w:rPr>
          <w:szCs w:val="22"/>
          <w:rtl/>
        </w:rPr>
      </w:pPr>
      <w:r w:rsidRPr="00A8357F">
        <w:rPr>
          <w:rFonts w:hint="cs"/>
          <w:szCs w:val="22"/>
          <w:rtl/>
        </w:rPr>
        <w:lastRenderedPageBreak/>
        <w:br w:type="page"/>
      </w:r>
    </w:p>
    <w:p w14:paraId="0E6D41F3" w14:textId="77777777" w:rsidR="00C46B12" w:rsidRPr="00BE4767" w:rsidRDefault="00C46B12" w:rsidP="00BE4767">
      <w:pPr>
        <w:bidi/>
        <w:spacing w:after="220"/>
        <w:jc w:val="center"/>
        <w:rPr>
          <w:b/>
          <w:bCs/>
          <w:sz w:val="28"/>
          <w:szCs w:val="28"/>
          <w:rtl/>
        </w:rPr>
      </w:pPr>
      <w:r w:rsidRPr="00BE4767">
        <w:rPr>
          <w:rStyle w:val="Heading2Char"/>
          <w:rFonts w:hint="cs"/>
          <w:b/>
          <w:iCs w:val="0"/>
          <w:sz w:val="28"/>
          <w:rtl/>
        </w:rPr>
        <w:lastRenderedPageBreak/>
        <w:t>التقرير السنوي لمدير شعبة الرقابة الداخلية</w:t>
      </w:r>
    </w:p>
    <w:p w14:paraId="4300052E" w14:textId="77777777" w:rsidR="00FF1E25" w:rsidRPr="00A8357F" w:rsidRDefault="00C46B12" w:rsidP="00BE4767">
      <w:pPr>
        <w:bidi/>
        <w:spacing w:after="720"/>
        <w:jc w:val="center"/>
        <w:rPr>
          <w:szCs w:val="22"/>
          <w:rtl/>
        </w:rPr>
      </w:pPr>
      <w:r w:rsidRPr="00A8357F">
        <w:rPr>
          <w:rFonts w:hint="cs"/>
          <w:szCs w:val="22"/>
          <w:rtl/>
        </w:rPr>
        <w:t>1 يناير 2021 إلى 31 ديسمبر 2021</w:t>
      </w:r>
    </w:p>
    <w:p w14:paraId="72D39671" w14:textId="77777777" w:rsidR="00C46B12" w:rsidRPr="005E3DE5" w:rsidRDefault="00C46B12" w:rsidP="00BE4767">
      <w:pPr>
        <w:bidi/>
        <w:jc w:val="center"/>
        <w:rPr>
          <w:b/>
          <w:bCs/>
          <w:szCs w:val="22"/>
          <w:rtl/>
        </w:rPr>
      </w:pPr>
      <w:r w:rsidRPr="005E3DE5">
        <w:rPr>
          <w:rFonts w:hint="cs"/>
          <w:b/>
          <w:bCs/>
          <w:szCs w:val="22"/>
          <w:rtl/>
        </w:rPr>
        <w:t>المحتويات</w:t>
      </w:r>
    </w:p>
    <w:p w14:paraId="0DA7E8FB" w14:textId="302CFCF7" w:rsidR="00BE4767" w:rsidRPr="008A196F" w:rsidRDefault="007159D2" w:rsidP="008A196F">
      <w:pPr>
        <w:pStyle w:val="TOC1"/>
        <w:rPr>
          <w:rFonts w:asciiTheme="minorHAnsi" w:eastAsiaTheme="minorEastAsia" w:hAnsiTheme="minorHAnsi"/>
          <w:lang w:val="en-GB" w:eastAsia="en-GB" w:bidi="ar-SA"/>
        </w:rPr>
      </w:pPr>
      <w:r w:rsidRPr="005E3DE5">
        <w:fldChar w:fldCharType="begin"/>
      </w:r>
      <w:r w:rsidRPr="005E3DE5">
        <w:rPr>
          <w:rtl/>
        </w:rPr>
        <w:instrText xml:space="preserve"> </w:instrText>
      </w:r>
      <w:r w:rsidRPr="005E3DE5">
        <w:instrText xml:space="preserve">TOC \o "1-1" \h \z \u </w:instrText>
      </w:r>
      <w:r w:rsidRPr="005E3DE5">
        <w:fldChar w:fldCharType="separate"/>
      </w:r>
      <w:hyperlink w:anchor="_Toc99122796" w:history="1">
        <w:r w:rsidR="00BE4767" w:rsidRPr="008A196F">
          <w:rPr>
            <w:rStyle w:val="Hyperlink"/>
            <w:rFonts w:cs="Calibri"/>
            <w:rtl/>
          </w:rPr>
          <w:t>لجنة البرنامج والميزانية</w:t>
        </w:r>
        <w:r w:rsidR="00BE4767" w:rsidRPr="008A196F">
          <w:rPr>
            <w:webHidden/>
          </w:rPr>
          <w:tab/>
        </w:r>
        <w:r w:rsidR="00BE4767" w:rsidRPr="008A196F">
          <w:rPr>
            <w:webHidden/>
          </w:rPr>
          <w:fldChar w:fldCharType="begin"/>
        </w:r>
        <w:r w:rsidR="00BE4767" w:rsidRPr="008A196F">
          <w:rPr>
            <w:webHidden/>
          </w:rPr>
          <w:instrText xml:space="preserve"> PAGEREF _Toc99122796 \h </w:instrText>
        </w:r>
        <w:r w:rsidR="00BE4767" w:rsidRPr="008A196F">
          <w:rPr>
            <w:webHidden/>
          </w:rPr>
        </w:r>
        <w:r w:rsidR="00BE4767" w:rsidRPr="008A196F">
          <w:rPr>
            <w:webHidden/>
          </w:rPr>
          <w:fldChar w:fldCharType="separate"/>
        </w:r>
        <w:r w:rsidR="008D0985">
          <w:rPr>
            <w:webHidden/>
            <w:rtl/>
          </w:rPr>
          <w:t>2</w:t>
        </w:r>
        <w:r w:rsidR="00BE4767" w:rsidRPr="008A196F">
          <w:rPr>
            <w:webHidden/>
          </w:rPr>
          <w:fldChar w:fldCharType="end"/>
        </w:r>
      </w:hyperlink>
    </w:p>
    <w:p w14:paraId="3CF70B38" w14:textId="5779A355" w:rsidR="00BE4767" w:rsidRPr="005E3DE5" w:rsidRDefault="00CE3659" w:rsidP="008A196F">
      <w:pPr>
        <w:pStyle w:val="TOC1"/>
        <w:rPr>
          <w:rFonts w:asciiTheme="minorHAnsi" w:eastAsiaTheme="minorEastAsia" w:hAnsiTheme="minorHAnsi"/>
          <w:lang w:val="en-GB" w:eastAsia="en-GB" w:bidi="ar-SA"/>
        </w:rPr>
      </w:pPr>
      <w:hyperlink w:anchor="_Toc99122798" w:history="1">
        <w:r w:rsidR="00BE4767" w:rsidRPr="005E3DE5">
          <w:rPr>
            <w:rStyle w:val="Hyperlink"/>
            <w:rFonts w:cs="Calibri"/>
            <w:rtl/>
          </w:rPr>
          <w:t>قائمة المختصرات المستخدمة في النص الإنكليزي</w:t>
        </w:r>
        <w:r w:rsidR="00BE4767" w:rsidRPr="005E3DE5">
          <w:rPr>
            <w:webHidden/>
          </w:rPr>
          <w:tab/>
        </w:r>
        <w:r w:rsidR="00BE4767" w:rsidRPr="005E3DE5">
          <w:rPr>
            <w:webHidden/>
          </w:rPr>
          <w:fldChar w:fldCharType="begin"/>
        </w:r>
        <w:r w:rsidR="00BE4767" w:rsidRPr="005E3DE5">
          <w:rPr>
            <w:webHidden/>
          </w:rPr>
          <w:instrText xml:space="preserve"> PAGEREF _Toc99122798 \h </w:instrText>
        </w:r>
        <w:r w:rsidR="00BE4767" w:rsidRPr="005E3DE5">
          <w:rPr>
            <w:webHidden/>
          </w:rPr>
        </w:r>
        <w:r w:rsidR="00BE4767" w:rsidRPr="005E3DE5">
          <w:rPr>
            <w:webHidden/>
          </w:rPr>
          <w:fldChar w:fldCharType="separate"/>
        </w:r>
        <w:r w:rsidR="008D0985">
          <w:rPr>
            <w:webHidden/>
            <w:rtl/>
          </w:rPr>
          <w:t>3</w:t>
        </w:r>
        <w:r w:rsidR="00BE4767" w:rsidRPr="005E3DE5">
          <w:rPr>
            <w:webHidden/>
          </w:rPr>
          <w:fldChar w:fldCharType="end"/>
        </w:r>
      </w:hyperlink>
    </w:p>
    <w:p w14:paraId="6C764379" w14:textId="7C1D2B91" w:rsidR="00BE4767" w:rsidRPr="005E3DE5" w:rsidRDefault="00CE3659" w:rsidP="008A196F">
      <w:pPr>
        <w:pStyle w:val="TOC1"/>
        <w:rPr>
          <w:rFonts w:asciiTheme="minorHAnsi" w:eastAsiaTheme="minorEastAsia" w:hAnsiTheme="minorHAnsi"/>
          <w:lang w:val="en-GB" w:eastAsia="en-GB" w:bidi="ar-SA"/>
        </w:rPr>
      </w:pPr>
      <w:hyperlink w:anchor="_Toc99122799" w:history="1">
        <w:r w:rsidR="00BE4767" w:rsidRPr="005E3DE5">
          <w:rPr>
            <w:rStyle w:val="Hyperlink"/>
            <w:rFonts w:cs="Calibri"/>
            <w:rtl/>
          </w:rPr>
          <w:t>معلومات أساسية</w:t>
        </w:r>
        <w:r w:rsidR="00BE4767" w:rsidRPr="005E3DE5">
          <w:rPr>
            <w:webHidden/>
          </w:rPr>
          <w:tab/>
        </w:r>
        <w:r w:rsidR="00BE4767" w:rsidRPr="005E3DE5">
          <w:rPr>
            <w:webHidden/>
          </w:rPr>
          <w:fldChar w:fldCharType="begin"/>
        </w:r>
        <w:r w:rsidR="00BE4767" w:rsidRPr="005E3DE5">
          <w:rPr>
            <w:webHidden/>
          </w:rPr>
          <w:instrText xml:space="preserve"> PAGEREF _Toc99122799 \h </w:instrText>
        </w:r>
        <w:r w:rsidR="00BE4767" w:rsidRPr="005E3DE5">
          <w:rPr>
            <w:webHidden/>
          </w:rPr>
        </w:r>
        <w:r w:rsidR="00BE4767" w:rsidRPr="005E3DE5">
          <w:rPr>
            <w:webHidden/>
          </w:rPr>
          <w:fldChar w:fldCharType="separate"/>
        </w:r>
        <w:r w:rsidR="008D0985">
          <w:rPr>
            <w:webHidden/>
            <w:rtl/>
          </w:rPr>
          <w:t>4</w:t>
        </w:r>
        <w:r w:rsidR="00BE4767" w:rsidRPr="005E3DE5">
          <w:rPr>
            <w:webHidden/>
          </w:rPr>
          <w:fldChar w:fldCharType="end"/>
        </w:r>
      </w:hyperlink>
    </w:p>
    <w:p w14:paraId="10077AE3" w14:textId="2AEFF331" w:rsidR="00BE4767" w:rsidRPr="005E3DE5" w:rsidRDefault="00CE3659" w:rsidP="008A196F">
      <w:pPr>
        <w:pStyle w:val="TOC1"/>
        <w:rPr>
          <w:rFonts w:asciiTheme="minorHAnsi" w:eastAsiaTheme="minorEastAsia" w:hAnsiTheme="minorHAnsi"/>
          <w:lang w:val="en-GB" w:eastAsia="en-GB" w:bidi="ar-SA"/>
        </w:rPr>
      </w:pPr>
      <w:hyperlink w:anchor="_Toc99122800" w:history="1">
        <w:r w:rsidR="00BE4767" w:rsidRPr="005E3DE5">
          <w:rPr>
            <w:rStyle w:val="Hyperlink"/>
            <w:rFonts w:cs="Calibri"/>
            <w:rtl/>
          </w:rPr>
          <w:t>أبرز أحداث الفترة المشمولة بالتقرير</w:t>
        </w:r>
        <w:r w:rsidR="00BE4767" w:rsidRPr="005E3DE5">
          <w:rPr>
            <w:webHidden/>
          </w:rPr>
          <w:tab/>
        </w:r>
        <w:r w:rsidR="00BE4767" w:rsidRPr="005E3DE5">
          <w:rPr>
            <w:webHidden/>
          </w:rPr>
          <w:fldChar w:fldCharType="begin"/>
        </w:r>
        <w:r w:rsidR="00BE4767" w:rsidRPr="005E3DE5">
          <w:rPr>
            <w:webHidden/>
          </w:rPr>
          <w:instrText xml:space="preserve"> PAGEREF _Toc99122800 \h </w:instrText>
        </w:r>
        <w:r w:rsidR="00BE4767" w:rsidRPr="005E3DE5">
          <w:rPr>
            <w:webHidden/>
          </w:rPr>
        </w:r>
        <w:r w:rsidR="00BE4767" w:rsidRPr="005E3DE5">
          <w:rPr>
            <w:webHidden/>
          </w:rPr>
          <w:fldChar w:fldCharType="separate"/>
        </w:r>
        <w:r w:rsidR="008D0985">
          <w:rPr>
            <w:webHidden/>
            <w:rtl/>
          </w:rPr>
          <w:t>4</w:t>
        </w:r>
        <w:r w:rsidR="00BE4767" w:rsidRPr="005E3DE5">
          <w:rPr>
            <w:webHidden/>
          </w:rPr>
          <w:fldChar w:fldCharType="end"/>
        </w:r>
      </w:hyperlink>
    </w:p>
    <w:p w14:paraId="0A0208BF" w14:textId="530D2437" w:rsidR="00BE4767" w:rsidRPr="005E3DE5" w:rsidRDefault="00CE3659" w:rsidP="008A196F">
      <w:pPr>
        <w:pStyle w:val="TOC1"/>
        <w:rPr>
          <w:rFonts w:asciiTheme="minorHAnsi" w:eastAsiaTheme="minorEastAsia" w:hAnsiTheme="minorHAnsi"/>
          <w:lang w:val="en-GB" w:eastAsia="en-GB" w:bidi="ar-SA"/>
        </w:rPr>
      </w:pPr>
      <w:hyperlink w:anchor="_Toc99122801" w:history="1">
        <w:r w:rsidR="00BE4767" w:rsidRPr="005E3DE5">
          <w:rPr>
            <w:rStyle w:val="Hyperlink"/>
            <w:rFonts w:cs="Calibri"/>
            <w:rtl/>
          </w:rPr>
          <w:t>مبادئ التخطيط</w:t>
        </w:r>
        <w:r w:rsidR="00BE4767" w:rsidRPr="005E3DE5">
          <w:rPr>
            <w:webHidden/>
          </w:rPr>
          <w:tab/>
        </w:r>
        <w:r w:rsidR="00BE4767" w:rsidRPr="005E3DE5">
          <w:rPr>
            <w:webHidden/>
          </w:rPr>
          <w:fldChar w:fldCharType="begin"/>
        </w:r>
        <w:r w:rsidR="00BE4767" w:rsidRPr="005E3DE5">
          <w:rPr>
            <w:webHidden/>
          </w:rPr>
          <w:instrText xml:space="preserve"> PAGEREF _Toc99122801 \h </w:instrText>
        </w:r>
        <w:r w:rsidR="00BE4767" w:rsidRPr="005E3DE5">
          <w:rPr>
            <w:webHidden/>
          </w:rPr>
        </w:r>
        <w:r w:rsidR="00BE4767" w:rsidRPr="005E3DE5">
          <w:rPr>
            <w:webHidden/>
          </w:rPr>
          <w:fldChar w:fldCharType="separate"/>
        </w:r>
        <w:r w:rsidR="008D0985">
          <w:rPr>
            <w:webHidden/>
            <w:rtl/>
          </w:rPr>
          <w:t>5</w:t>
        </w:r>
        <w:r w:rsidR="00BE4767" w:rsidRPr="005E3DE5">
          <w:rPr>
            <w:webHidden/>
          </w:rPr>
          <w:fldChar w:fldCharType="end"/>
        </w:r>
      </w:hyperlink>
    </w:p>
    <w:p w14:paraId="0B16364C" w14:textId="10ADBEB1" w:rsidR="00BE4767" w:rsidRPr="005E3DE5" w:rsidRDefault="00CE3659" w:rsidP="008A196F">
      <w:pPr>
        <w:pStyle w:val="TOC1"/>
        <w:rPr>
          <w:rFonts w:asciiTheme="minorHAnsi" w:eastAsiaTheme="minorEastAsia" w:hAnsiTheme="minorHAnsi"/>
          <w:lang w:val="en-GB" w:eastAsia="en-GB" w:bidi="ar-SA"/>
        </w:rPr>
      </w:pPr>
      <w:hyperlink w:anchor="_Toc99122802" w:history="1">
        <w:r w:rsidR="00BE4767" w:rsidRPr="005E3DE5">
          <w:rPr>
            <w:rStyle w:val="Hyperlink"/>
            <w:rFonts w:cs="Calibri"/>
            <w:rtl/>
          </w:rPr>
          <w:t>المعايير المهنية</w:t>
        </w:r>
        <w:r w:rsidR="00BE4767" w:rsidRPr="005E3DE5">
          <w:rPr>
            <w:webHidden/>
          </w:rPr>
          <w:tab/>
        </w:r>
        <w:r w:rsidR="00BE4767" w:rsidRPr="005E3DE5">
          <w:rPr>
            <w:webHidden/>
          </w:rPr>
          <w:fldChar w:fldCharType="begin"/>
        </w:r>
        <w:r w:rsidR="00BE4767" w:rsidRPr="005E3DE5">
          <w:rPr>
            <w:webHidden/>
          </w:rPr>
          <w:instrText xml:space="preserve"> PAGEREF _Toc99122802 \h </w:instrText>
        </w:r>
        <w:r w:rsidR="00BE4767" w:rsidRPr="005E3DE5">
          <w:rPr>
            <w:webHidden/>
          </w:rPr>
        </w:r>
        <w:r w:rsidR="00BE4767" w:rsidRPr="005E3DE5">
          <w:rPr>
            <w:webHidden/>
          </w:rPr>
          <w:fldChar w:fldCharType="separate"/>
        </w:r>
        <w:r w:rsidR="008D0985">
          <w:rPr>
            <w:webHidden/>
            <w:rtl/>
          </w:rPr>
          <w:t>5</w:t>
        </w:r>
        <w:r w:rsidR="00BE4767" w:rsidRPr="005E3DE5">
          <w:rPr>
            <w:webHidden/>
          </w:rPr>
          <w:fldChar w:fldCharType="end"/>
        </w:r>
      </w:hyperlink>
    </w:p>
    <w:p w14:paraId="6E2DA9D8" w14:textId="337F9DD7" w:rsidR="00BE4767" w:rsidRPr="005E3DE5" w:rsidRDefault="00CE3659" w:rsidP="008A196F">
      <w:pPr>
        <w:pStyle w:val="TOC1"/>
        <w:rPr>
          <w:rFonts w:asciiTheme="minorHAnsi" w:eastAsiaTheme="minorEastAsia" w:hAnsiTheme="minorHAnsi"/>
          <w:lang w:val="en-GB" w:eastAsia="en-GB" w:bidi="ar-SA"/>
        </w:rPr>
      </w:pPr>
      <w:hyperlink w:anchor="_Toc99122803" w:history="1">
        <w:r w:rsidR="00BE4767" w:rsidRPr="005E3DE5">
          <w:rPr>
            <w:rStyle w:val="Hyperlink"/>
            <w:rFonts w:cs="Calibri"/>
            <w:rtl/>
          </w:rPr>
          <w:t>تعميم مراعاة المنظور الجنساني</w:t>
        </w:r>
        <w:r w:rsidR="00BE4767" w:rsidRPr="005E3DE5">
          <w:rPr>
            <w:webHidden/>
          </w:rPr>
          <w:tab/>
        </w:r>
        <w:r w:rsidR="00BE4767" w:rsidRPr="005E3DE5">
          <w:rPr>
            <w:webHidden/>
          </w:rPr>
          <w:fldChar w:fldCharType="begin"/>
        </w:r>
        <w:r w:rsidR="00BE4767" w:rsidRPr="005E3DE5">
          <w:rPr>
            <w:webHidden/>
          </w:rPr>
          <w:instrText xml:space="preserve"> PAGEREF _Toc99122803 \h </w:instrText>
        </w:r>
        <w:r w:rsidR="00BE4767" w:rsidRPr="005E3DE5">
          <w:rPr>
            <w:webHidden/>
          </w:rPr>
        </w:r>
        <w:r w:rsidR="00BE4767" w:rsidRPr="005E3DE5">
          <w:rPr>
            <w:webHidden/>
          </w:rPr>
          <w:fldChar w:fldCharType="separate"/>
        </w:r>
        <w:r w:rsidR="008D0985">
          <w:rPr>
            <w:webHidden/>
            <w:rtl/>
          </w:rPr>
          <w:t>5</w:t>
        </w:r>
        <w:r w:rsidR="00BE4767" w:rsidRPr="005E3DE5">
          <w:rPr>
            <w:webHidden/>
          </w:rPr>
          <w:fldChar w:fldCharType="end"/>
        </w:r>
      </w:hyperlink>
    </w:p>
    <w:p w14:paraId="68D9B210" w14:textId="7FDE6831" w:rsidR="00BE4767" w:rsidRPr="005E3DE5" w:rsidRDefault="00CE3659" w:rsidP="008A196F">
      <w:pPr>
        <w:pStyle w:val="TOC1"/>
        <w:rPr>
          <w:rStyle w:val="Hyperlink"/>
          <w:rFonts w:cs="Calibri"/>
        </w:rPr>
      </w:pPr>
      <w:hyperlink w:anchor="_Toc99122804" w:history="1">
        <w:r w:rsidR="00BE4767" w:rsidRPr="005E3DE5">
          <w:rPr>
            <w:rStyle w:val="Hyperlink"/>
            <w:rFonts w:cs="Calibri" w:hint="cs"/>
            <w:rtl/>
          </w:rPr>
          <w:t>الن</w:t>
        </w:r>
        <w:r w:rsidR="00BE4767" w:rsidRPr="005E3DE5">
          <w:rPr>
            <w:rStyle w:val="Hyperlink"/>
            <w:rFonts w:cs="Calibri"/>
            <w:rtl/>
          </w:rPr>
          <w:t xml:space="preserve">تائج </w:t>
        </w:r>
        <w:r w:rsidR="00BE4767" w:rsidRPr="005E3DE5">
          <w:rPr>
            <w:rStyle w:val="Hyperlink"/>
            <w:rFonts w:cs="Calibri" w:hint="cs"/>
            <w:rtl/>
          </w:rPr>
          <w:t>ال</w:t>
        </w:r>
        <w:r w:rsidR="00BE4767" w:rsidRPr="005E3DE5">
          <w:rPr>
            <w:rStyle w:val="Hyperlink"/>
            <w:rFonts w:cs="Calibri"/>
            <w:rtl/>
          </w:rPr>
          <w:t>رئيسية وتوصيات الرقابة المرتفعة الأولوية</w:t>
        </w:r>
        <w:r w:rsidR="00BE4767" w:rsidRPr="005E3DE5">
          <w:rPr>
            <w:rStyle w:val="Hyperlink"/>
            <w:rFonts w:cs="Calibri"/>
            <w:webHidden/>
          </w:rPr>
          <w:tab/>
        </w:r>
        <w:r w:rsidR="00BE4767" w:rsidRPr="005E3DE5">
          <w:rPr>
            <w:rStyle w:val="Hyperlink"/>
            <w:rFonts w:cs="Calibri"/>
            <w:webHidden/>
          </w:rPr>
          <w:fldChar w:fldCharType="begin"/>
        </w:r>
        <w:r w:rsidR="00BE4767" w:rsidRPr="005E3DE5">
          <w:rPr>
            <w:rStyle w:val="Hyperlink"/>
            <w:rFonts w:cs="Calibri"/>
            <w:webHidden/>
          </w:rPr>
          <w:instrText xml:space="preserve"> PAGEREF _Toc99122804 \h </w:instrText>
        </w:r>
        <w:r w:rsidR="00BE4767" w:rsidRPr="005E3DE5">
          <w:rPr>
            <w:rStyle w:val="Hyperlink"/>
            <w:rFonts w:cs="Calibri"/>
            <w:webHidden/>
          </w:rPr>
        </w:r>
        <w:r w:rsidR="00BE4767" w:rsidRPr="005E3DE5">
          <w:rPr>
            <w:rStyle w:val="Hyperlink"/>
            <w:rFonts w:cs="Calibri"/>
            <w:webHidden/>
          </w:rPr>
          <w:fldChar w:fldCharType="separate"/>
        </w:r>
        <w:r w:rsidR="008D0985">
          <w:rPr>
            <w:rStyle w:val="Hyperlink"/>
            <w:rFonts w:cs="Calibri"/>
            <w:webHidden/>
            <w:rtl/>
          </w:rPr>
          <w:t>5</w:t>
        </w:r>
        <w:r w:rsidR="00BE4767" w:rsidRPr="005E3DE5">
          <w:rPr>
            <w:rStyle w:val="Hyperlink"/>
            <w:rFonts w:cs="Calibri"/>
            <w:webHidden/>
          </w:rPr>
          <w:fldChar w:fldCharType="end"/>
        </w:r>
      </w:hyperlink>
    </w:p>
    <w:p w14:paraId="0290ED8D" w14:textId="1543C5EE" w:rsidR="00BE4767" w:rsidRPr="005E3DE5" w:rsidRDefault="00CE3659" w:rsidP="008A196F">
      <w:pPr>
        <w:pStyle w:val="TOC1"/>
        <w:rPr>
          <w:rFonts w:asciiTheme="minorHAnsi" w:eastAsiaTheme="minorEastAsia" w:hAnsiTheme="minorHAnsi"/>
          <w:lang w:val="en-GB" w:eastAsia="en-GB" w:bidi="ar-SA"/>
        </w:rPr>
      </w:pPr>
      <w:hyperlink w:anchor="_Toc99122805" w:history="1">
        <w:r w:rsidR="00BE4767" w:rsidRPr="005E3DE5">
          <w:rPr>
            <w:rStyle w:val="Hyperlink"/>
            <w:rFonts w:cs="Calibri"/>
            <w:rtl/>
          </w:rPr>
          <w:t>المهام المبلغ عنها في عام 2021</w:t>
        </w:r>
        <w:r w:rsidR="00BE4767" w:rsidRPr="005E3DE5">
          <w:rPr>
            <w:webHidden/>
          </w:rPr>
          <w:tab/>
        </w:r>
        <w:r w:rsidR="00BE4767" w:rsidRPr="005E3DE5">
          <w:rPr>
            <w:webHidden/>
          </w:rPr>
          <w:fldChar w:fldCharType="begin"/>
        </w:r>
        <w:r w:rsidR="00BE4767" w:rsidRPr="005E3DE5">
          <w:rPr>
            <w:webHidden/>
          </w:rPr>
          <w:instrText xml:space="preserve"> PAGEREF _Toc99122805 \h </w:instrText>
        </w:r>
        <w:r w:rsidR="00BE4767" w:rsidRPr="005E3DE5">
          <w:rPr>
            <w:webHidden/>
          </w:rPr>
        </w:r>
        <w:r w:rsidR="00BE4767" w:rsidRPr="005E3DE5">
          <w:rPr>
            <w:webHidden/>
          </w:rPr>
          <w:fldChar w:fldCharType="separate"/>
        </w:r>
        <w:r w:rsidR="008D0985">
          <w:rPr>
            <w:webHidden/>
            <w:rtl/>
          </w:rPr>
          <w:t>6</w:t>
        </w:r>
        <w:r w:rsidR="00BE4767" w:rsidRPr="005E3DE5">
          <w:rPr>
            <w:webHidden/>
          </w:rPr>
          <w:fldChar w:fldCharType="end"/>
        </w:r>
      </w:hyperlink>
    </w:p>
    <w:p w14:paraId="0CF5F69E" w14:textId="2BDD3B53" w:rsidR="00BE4767" w:rsidRPr="005E3DE5" w:rsidRDefault="00CE3659" w:rsidP="008A196F">
      <w:pPr>
        <w:pStyle w:val="TOC1"/>
        <w:rPr>
          <w:rFonts w:asciiTheme="minorHAnsi" w:eastAsiaTheme="minorEastAsia" w:hAnsiTheme="minorHAnsi"/>
          <w:lang w:val="en-GB" w:eastAsia="en-GB" w:bidi="ar-SA"/>
        </w:rPr>
      </w:pPr>
      <w:hyperlink w:anchor="_Toc99122806" w:history="1">
        <w:r w:rsidR="00BE4767" w:rsidRPr="005E3DE5">
          <w:rPr>
            <w:rStyle w:val="Hyperlink"/>
            <w:rFonts w:cs="Calibri"/>
            <w:rtl/>
          </w:rPr>
          <w:t>المهام المستهلة في نهاية عام 2021</w:t>
        </w:r>
        <w:r w:rsidR="00BE4767" w:rsidRPr="005E3DE5">
          <w:rPr>
            <w:webHidden/>
          </w:rPr>
          <w:tab/>
        </w:r>
        <w:r w:rsidR="00BE4767" w:rsidRPr="005E3DE5">
          <w:rPr>
            <w:webHidden/>
          </w:rPr>
          <w:fldChar w:fldCharType="begin"/>
        </w:r>
        <w:r w:rsidR="00BE4767" w:rsidRPr="005E3DE5">
          <w:rPr>
            <w:webHidden/>
          </w:rPr>
          <w:instrText xml:space="preserve"> PAGEREF _Toc99122806 \h </w:instrText>
        </w:r>
        <w:r w:rsidR="00BE4767" w:rsidRPr="005E3DE5">
          <w:rPr>
            <w:webHidden/>
          </w:rPr>
        </w:r>
        <w:r w:rsidR="00BE4767" w:rsidRPr="005E3DE5">
          <w:rPr>
            <w:webHidden/>
          </w:rPr>
          <w:fldChar w:fldCharType="separate"/>
        </w:r>
        <w:r w:rsidR="008D0985">
          <w:rPr>
            <w:webHidden/>
            <w:rtl/>
          </w:rPr>
          <w:t>11</w:t>
        </w:r>
        <w:r w:rsidR="00BE4767" w:rsidRPr="005E3DE5">
          <w:rPr>
            <w:webHidden/>
          </w:rPr>
          <w:fldChar w:fldCharType="end"/>
        </w:r>
      </w:hyperlink>
    </w:p>
    <w:p w14:paraId="5302CE50" w14:textId="3A30513E" w:rsidR="00BE4767" w:rsidRPr="005E3DE5" w:rsidRDefault="00CE3659" w:rsidP="008A196F">
      <w:pPr>
        <w:pStyle w:val="TOC1"/>
        <w:rPr>
          <w:rFonts w:asciiTheme="minorHAnsi" w:eastAsiaTheme="minorEastAsia" w:hAnsiTheme="minorHAnsi"/>
          <w:lang w:val="en-GB" w:eastAsia="en-GB" w:bidi="ar-SA"/>
        </w:rPr>
      </w:pPr>
      <w:hyperlink w:anchor="_Toc99122807" w:history="1">
        <w:r w:rsidR="00BE4767" w:rsidRPr="005E3DE5">
          <w:rPr>
            <w:rStyle w:val="Hyperlink"/>
            <w:rFonts w:cs="Calibri"/>
            <w:rtl/>
          </w:rPr>
          <w:t>أنشطة التحقيق</w:t>
        </w:r>
        <w:r w:rsidR="00BE4767" w:rsidRPr="005E3DE5">
          <w:rPr>
            <w:webHidden/>
          </w:rPr>
          <w:tab/>
        </w:r>
        <w:r w:rsidR="00BE4767" w:rsidRPr="005E3DE5">
          <w:rPr>
            <w:webHidden/>
          </w:rPr>
          <w:fldChar w:fldCharType="begin"/>
        </w:r>
        <w:r w:rsidR="00BE4767" w:rsidRPr="005E3DE5">
          <w:rPr>
            <w:webHidden/>
          </w:rPr>
          <w:instrText xml:space="preserve"> PAGEREF _Toc99122807 \h </w:instrText>
        </w:r>
        <w:r w:rsidR="00BE4767" w:rsidRPr="005E3DE5">
          <w:rPr>
            <w:webHidden/>
          </w:rPr>
        </w:r>
        <w:r w:rsidR="00BE4767" w:rsidRPr="005E3DE5">
          <w:rPr>
            <w:webHidden/>
          </w:rPr>
          <w:fldChar w:fldCharType="separate"/>
        </w:r>
        <w:r w:rsidR="008D0985">
          <w:rPr>
            <w:webHidden/>
            <w:rtl/>
          </w:rPr>
          <w:t>13</w:t>
        </w:r>
        <w:r w:rsidR="00BE4767" w:rsidRPr="005E3DE5">
          <w:rPr>
            <w:webHidden/>
          </w:rPr>
          <w:fldChar w:fldCharType="end"/>
        </w:r>
      </w:hyperlink>
    </w:p>
    <w:p w14:paraId="2DB1A567" w14:textId="1EAA2964" w:rsidR="00BE4767" w:rsidRPr="005E3DE5" w:rsidRDefault="00CE3659" w:rsidP="008A196F">
      <w:pPr>
        <w:pStyle w:val="TOC1"/>
        <w:rPr>
          <w:rFonts w:asciiTheme="minorHAnsi" w:eastAsiaTheme="minorEastAsia" w:hAnsiTheme="minorHAnsi"/>
          <w:lang w:val="en-GB" w:eastAsia="en-GB" w:bidi="ar-SA"/>
        </w:rPr>
      </w:pPr>
      <w:hyperlink w:anchor="_Toc99122808" w:history="1">
        <w:r w:rsidR="00BE4767" w:rsidRPr="005E3DE5">
          <w:rPr>
            <w:rStyle w:val="Hyperlink"/>
            <w:rFonts w:cs="Calibri"/>
            <w:rtl/>
          </w:rPr>
          <w:t>الحالات التي رُفض فيها تقديم معلومات أو مساعدات</w:t>
        </w:r>
        <w:r w:rsidR="00BE4767" w:rsidRPr="005E3DE5">
          <w:rPr>
            <w:webHidden/>
          </w:rPr>
          <w:tab/>
        </w:r>
        <w:r w:rsidR="00BE4767" w:rsidRPr="005E3DE5">
          <w:rPr>
            <w:webHidden/>
          </w:rPr>
          <w:fldChar w:fldCharType="begin"/>
        </w:r>
        <w:r w:rsidR="00BE4767" w:rsidRPr="005E3DE5">
          <w:rPr>
            <w:webHidden/>
          </w:rPr>
          <w:instrText xml:space="preserve"> PAGEREF _Toc99122808 \h </w:instrText>
        </w:r>
        <w:r w:rsidR="00BE4767" w:rsidRPr="005E3DE5">
          <w:rPr>
            <w:webHidden/>
          </w:rPr>
        </w:r>
        <w:r w:rsidR="00BE4767" w:rsidRPr="005E3DE5">
          <w:rPr>
            <w:webHidden/>
          </w:rPr>
          <w:fldChar w:fldCharType="separate"/>
        </w:r>
        <w:r w:rsidR="008D0985">
          <w:rPr>
            <w:webHidden/>
            <w:rtl/>
          </w:rPr>
          <w:t>15</w:t>
        </w:r>
        <w:r w:rsidR="00BE4767" w:rsidRPr="005E3DE5">
          <w:rPr>
            <w:webHidden/>
          </w:rPr>
          <w:fldChar w:fldCharType="end"/>
        </w:r>
      </w:hyperlink>
    </w:p>
    <w:p w14:paraId="13231C83" w14:textId="4D640313" w:rsidR="00BE4767" w:rsidRPr="005E3DE5" w:rsidRDefault="00CE3659" w:rsidP="00C82F50">
      <w:pPr>
        <w:pStyle w:val="TOC1"/>
        <w:rPr>
          <w:rFonts w:asciiTheme="minorHAnsi" w:eastAsiaTheme="minorEastAsia" w:hAnsiTheme="minorHAnsi"/>
          <w:lang w:val="en-GB" w:eastAsia="en-GB" w:bidi="ar-SA"/>
        </w:rPr>
      </w:pPr>
      <w:hyperlink w:anchor="_Toc99122809" w:history="1">
        <w:r w:rsidR="00BE4767" w:rsidRPr="005E3DE5">
          <w:rPr>
            <w:rStyle w:val="Hyperlink"/>
            <w:rFonts w:cs="Calibri"/>
            <w:rtl/>
          </w:rPr>
          <w:t>وضع تنفيذ توصيات الرقابة</w:t>
        </w:r>
        <w:r w:rsidR="00BE4767" w:rsidRPr="005E3DE5">
          <w:rPr>
            <w:webHidden/>
          </w:rPr>
          <w:tab/>
        </w:r>
        <w:r w:rsidR="00BE4767" w:rsidRPr="005E3DE5">
          <w:rPr>
            <w:webHidden/>
          </w:rPr>
          <w:fldChar w:fldCharType="begin"/>
        </w:r>
        <w:r w:rsidR="00BE4767" w:rsidRPr="005E3DE5">
          <w:rPr>
            <w:webHidden/>
          </w:rPr>
          <w:instrText xml:space="preserve"> PAGEREF _Toc99122809 \h </w:instrText>
        </w:r>
        <w:r w:rsidR="00BE4767" w:rsidRPr="005E3DE5">
          <w:rPr>
            <w:webHidden/>
          </w:rPr>
        </w:r>
        <w:r w:rsidR="00BE4767" w:rsidRPr="005E3DE5">
          <w:rPr>
            <w:webHidden/>
          </w:rPr>
          <w:fldChar w:fldCharType="separate"/>
        </w:r>
        <w:r w:rsidR="008D0985">
          <w:rPr>
            <w:webHidden/>
            <w:rtl/>
          </w:rPr>
          <w:t>16</w:t>
        </w:r>
        <w:r w:rsidR="00BE4767" w:rsidRPr="005E3DE5">
          <w:rPr>
            <w:webHidden/>
          </w:rPr>
          <w:fldChar w:fldCharType="end"/>
        </w:r>
      </w:hyperlink>
    </w:p>
    <w:p w14:paraId="45099AFE" w14:textId="0FB05189" w:rsidR="00BE4767" w:rsidRPr="005E3DE5" w:rsidRDefault="00CE3659" w:rsidP="008A196F">
      <w:pPr>
        <w:pStyle w:val="TOC1"/>
        <w:rPr>
          <w:rFonts w:asciiTheme="minorHAnsi" w:eastAsiaTheme="minorEastAsia" w:hAnsiTheme="minorHAnsi"/>
          <w:lang w:val="en-GB" w:eastAsia="en-GB" w:bidi="ar-SA"/>
        </w:rPr>
      </w:pPr>
      <w:hyperlink w:anchor="_Toc99122810" w:history="1">
        <w:r w:rsidR="00BE4767" w:rsidRPr="005E3DE5">
          <w:rPr>
            <w:rStyle w:val="Hyperlink"/>
            <w:rFonts w:cs="Calibri"/>
            <w:rtl/>
          </w:rPr>
          <w:t>العمل الاستشاري والرقابي الاستشاري</w:t>
        </w:r>
        <w:r w:rsidR="00BE4767" w:rsidRPr="005E3DE5">
          <w:rPr>
            <w:webHidden/>
          </w:rPr>
          <w:tab/>
        </w:r>
        <w:r w:rsidR="00BE4767" w:rsidRPr="005E3DE5">
          <w:rPr>
            <w:webHidden/>
          </w:rPr>
          <w:fldChar w:fldCharType="begin"/>
        </w:r>
        <w:r w:rsidR="00BE4767" w:rsidRPr="005E3DE5">
          <w:rPr>
            <w:webHidden/>
          </w:rPr>
          <w:instrText xml:space="preserve"> PAGEREF _Toc99122810 \h </w:instrText>
        </w:r>
        <w:r w:rsidR="00BE4767" w:rsidRPr="005E3DE5">
          <w:rPr>
            <w:webHidden/>
          </w:rPr>
        </w:r>
        <w:r w:rsidR="00BE4767" w:rsidRPr="005E3DE5">
          <w:rPr>
            <w:webHidden/>
          </w:rPr>
          <w:fldChar w:fldCharType="separate"/>
        </w:r>
        <w:r w:rsidR="008D0985">
          <w:rPr>
            <w:webHidden/>
            <w:rtl/>
          </w:rPr>
          <w:t>18</w:t>
        </w:r>
        <w:r w:rsidR="00BE4767" w:rsidRPr="005E3DE5">
          <w:rPr>
            <w:webHidden/>
          </w:rPr>
          <w:fldChar w:fldCharType="end"/>
        </w:r>
      </w:hyperlink>
    </w:p>
    <w:p w14:paraId="1C8BCE1A" w14:textId="41FE16DD" w:rsidR="00BE4767" w:rsidRPr="005E3DE5" w:rsidRDefault="00CE3659" w:rsidP="008A196F">
      <w:pPr>
        <w:pStyle w:val="TOC1"/>
        <w:rPr>
          <w:rFonts w:asciiTheme="minorHAnsi" w:eastAsiaTheme="minorEastAsia" w:hAnsiTheme="minorHAnsi"/>
          <w:lang w:val="en-GB" w:eastAsia="en-GB" w:bidi="ar-SA"/>
        </w:rPr>
      </w:pPr>
      <w:hyperlink w:anchor="_Toc99122811" w:history="1">
        <w:r w:rsidR="00BE4767" w:rsidRPr="005E3DE5">
          <w:rPr>
            <w:rStyle w:val="Hyperlink"/>
            <w:rFonts w:cs="Calibri"/>
            <w:rtl/>
          </w:rPr>
          <w:t>التعاون مع هيئات الرقابة الخارجية</w:t>
        </w:r>
        <w:r w:rsidR="00BE4767" w:rsidRPr="005E3DE5">
          <w:rPr>
            <w:webHidden/>
          </w:rPr>
          <w:tab/>
        </w:r>
        <w:r w:rsidR="00BE4767" w:rsidRPr="005E3DE5">
          <w:rPr>
            <w:webHidden/>
          </w:rPr>
          <w:fldChar w:fldCharType="begin"/>
        </w:r>
        <w:r w:rsidR="00BE4767" w:rsidRPr="005E3DE5">
          <w:rPr>
            <w:webHidden/>
          </w:rPr>
          <w:instrText xml:space="preserve"> PAGEREF _Toc99122811 \h </w:instrText>
        </w:r>
        <w:r w:rsidR="00BE4767" w:rsidRPr="005E3DE5">
          <w:rPr>
            <w:webHidden/>
          </w:rPr>
        </w:r>
        <w:r w:rsidR="00BE4767" w:rsidRPr="005E3DE5">
          <w:rPr>
            <w:webHidden/>
          </w:rPr>
          <w:fldChar w:fldCharType="separate"/>
        </w:r>
        <w:r w:rsidR="008D0985">
          <w:rPr>
            <w:webHidden/>
            <w:rtl/>
          </w:rPr>
          <w:t>18</w:t>
        </w:r>
        <w:r w:rsidR="00BE4767" w:rsidRPr="005E3DE5">
          <w:rPr>
            <w:webHidden/>
          </w:rPr>
          <w:fldChar w:fldCharType="end"/>
        </w:r>
      </w:hyperlink>
    </w:p>
    <w:p w14:paraId="3A6E8E64" w14:textId="55AAE17D" w:rsidR="00BE4767" w:rsidRPr="005E3DE5" w:rsidRDefault="00CE3659" w:rsidP="008A196F">
      <w:pPr>
        <w:pStyle w:val="TOC1"/>
        <w:rPr>
          <w:rFonts w:asciiTheme="minorHAnsi" w:eastAsiaTheme="minorEastAsia" w:hAnsiTheme="minorHAnsi"/>
          <w:lang w:val="en-GB" w:eastAsia="en-GB" w:bidi="ar-SA"/>
        </w:rPr>
      </w:pPr>
      <w:hyperlink w:anchor="_Toc99122812" w:history="1">
        <w:r w:rsidR="00BE4767" w:rsidRPr="005E3DE5">
          <w:rPr>
            <w:rStyle w:val="Hyperlink"/>
            <w:rFonts w:cs="Calibri"/>
            <w:rtl/>
          </w:rPr>
          <w:t>أنشطة الرقابة الأخرى</w:t>
        </w:r>
        <w:r w:rsidR="00BE4767" w:rsidRPr="005E3DE5">
          <w:rPr>
            <w:webHidden/>
          </w:rPr>
          <w:tab/>
        </w:r>
        <w:r w:rsidR="00BE4767" w:rsidRPr="005E3DE5">
          <w:rPr>
            <w:webHidden/>
          </w:rPr>
          <w:fldChar w:fldCharType="begin"/>
        </w:r>
        <w:r w:rsidR="00BE4767" w:rsidRPr="005E3DE5">
          <w:rPr>
            <w:webHidden/>
          </w:rPr>
          <w:instrText xml:space="preserve"> PAGEREF _Toc99122812 \h </w:instrText>
        </w:r>
        <w:r w:rsidR="00BE4767" w:rsidRPr="005E3DE5">
          <w:rPr>
            <w:webHidden/>
          </w:rPr>
        </w:r>
        <w:r w:rsidR="00BE4767" w:rsidRPr="005E3DE5">
          <w:rPr>
            <w:webHidden/>
          </w:rPr>
          <w:fldChar w:fldCharType="separate"/>
        </w:r>
        <w:r w:rsidR="008D0985">
          <w:rPr>
            <w:webHidden/>
            <w:rtl/>
          </w:rPr>
          <w:t>18</w:t>
        </w:r>
        <w:r w:rsidR="00BE4767" w:rsidRPr="005E3DE5">
          <w:rPr>
            <w:webHidden/>
          </w:rPr>
          <w:fldChar w:fldCharType="end"/>
        </w:r>
      </w:hyperlink>
    </w:p>
    <w:p w14:paraId="3E596F17" w14:textId="14E3C781" w:rsidR="00BE4767" w:rsidRPr="005E3DE5" w:rsidRDefault="00CE3659" w:rsidP="008A196F">
      <w:pPr>
        <w:pStyle w:val="TOC1"/>
        <w:rPr>
          <w:rFonts w:asciiTheme="minorHAnsi" w:eastAsiaTheme="minorEastAsia" w:hAnsiTheme="minorHAnsi"/>
          <w:lang w:val="en-GB" w:eastAsia="en-GB" w:bidi="ar-SA"/>
        </w:rPr>
      </w:pPr>
      <w:hyperlink w:anchor="_Toc99122813" w:history="1">
        <w:r w:rsidR="00BE4767" w:rsidRPr="005E3DE5">
          <w:rPr>
            <w:rStyle w:val="Hyperlink"/>
            <w:rFonts w:cs="Calibri"/>
            <w:rtl/>
          </w:rPr>
          <w:t>برنامج شعبة الرقابة الداخلية لضمان جودة العمل الرقابي وتحسينها</w:t>
        </w:r>
        <w:r w:rsidR="00BE4767" w:rsidRPr="005E3DE5">
          <w:rPr>
            <w:webHidden/>
          </w:rPr>
          <w:tab/>
        </w:r>
        <w:r w:rsidR="00BE4767" w:rsidRPr="005E3DE5">
          <w:rPr>
            <w:webHidden/>
          </w:rPr>
          <w:fldChar w:fldCharType="begin"/>
        </w:r>
        <w:r w:rsidR="00BE4767" w:rsidRPr="005E3DE5">
          <w:rPr>
            <w:webHidden/>
          </w:rPr>
          <w:instrText xml:space="preserve"> PAGEREF _Toc99122813 \h </w:instrText>
        </w:r>
        <w:r w:rsidR="00BE4767" w:rsidRPr="005E3DE5">
          <w:rPr>
            <w:webHidden/>
          </w:rPr>
        </w:r>
        <w:r w:rsidR="00BE4767" w:rsidRPr="005E3DE5">
          <w:rPr>
            <w:webHidden/>
          </w:rPr>
          <w:fldChar w:fldCharType="separate"/>
        </w:r>
        <w:r w:rsidR="008D0985">
          <w:rPr>
            <w:webHidden/>
            <w:rtl/>
          </w:rPr>
          <w:t>19</w:t>
        </w:r>
        <w:r w:rsidR="00BE4767" w:rsidRPr="005E3DE5">
          <w:rPr>
            <w:webHidden/>
          </w:rPr>
          <w:fldChar w:fldCharType="end"/>
        </w:r>
      </w:hyperlink>
    </w:p>
    <w:p w14:paraId="08079A41" w14:textId="47A183EA" w:rsidR="00BE4767" w:rsidRPr="005E3DE5" w:rsidRDefault="00CE3659" w:rsidP="008A196F">
      <w:pPr>
        <w:pStyle w:val="TOC1"/>
        <w:rPr>
          <w:rFonts w:asciiTheme="minorHAnsi" w:eastAsiaTheme="minorEastAsia" w:hAnsiTheme="minorHAnsi"/>
          <w:lang w:val="en-GB" w:eastAsia="en-GB" w:bidi="ar-SA"/>
        </w:rPr>
      </w:pPr>
      <w:hyperlink w:anchor="_Toc99122814" w:history="1">
        <w:r w:rsidR="00BE4767" w:rsidRPr="005E3DE5">
          <w:rPr>
            <w:rStyle w:val="Hyperlink"/>
            <w:rFonts w:cs="Calibri"/>
            <w:rtl/>
          </w:rPr>
          <w:t>موارد الرقابة</w:t>
        </w:r>
        <w:r w:rsidR="00BE4767" w:rsidRPr="005E3DE5">
          <w:rPr>
            <w:webHidden/>
          </w:rPr>
          <w:tab/>
        </w:r>
        <w:r w:rsidR="00BE4767" w:rsidRPr="005E3DE5">
          <w:rPr>
            <w:webHidden/>
          </w:rPr>
          <w:fldChar w:fldCharType="begin"/>
        </w:r>
        <w:r w:rsidR="00BE4767" w:rsidRPr="005E3DE5">
          <w:rPr>
            <w:webHidden/>
          </w:rPr>
          <w:instrText xml:space="preserve"> PAGEREF _Toc99122814 \h </w:instrText>
        </w:r>
        <w:r w:rsidR="00BE4767" w:rsidRPr="005E3DE5">
          <w:rPr>
            <w:webHidden/>
          </w:rPr>
        </w:r>
        <w:r w:rsidR="00BE4767" w:rsidRPr="005E3DE5">
          <w:rPr>
            <w:webHidden/>
          </w:rPr>
          <w:fldChar w:fldCharType="separate"/>
        </w:r>
        <w:r w:rsidR="008D0985">
          <w:rPr>
            <w:webHidden/>
            <w:rtl/>
          </w:rPr>
          <w:t>20</w:t>
        </w:r>
        <w:r w:rsidR="00BE4767" w:rsidRPr="005E3DE5">
          <w:rPr>
            <w:webHidden/>
          </w:rPr>
          <w:fldChar w:fldCharType="end"/>
        </w:r>
      </w:hyperlink>
    </w:p>
    <w:p w14:paraId="60D8E205" w14:textId="1A4E79C2" w:rsidR="00C46B12" w:rsidRPr="005E3DE5" w:rsidRDefault="007159D2" w:rsidP="008A196F">
      <w:pPr>
        <w:keepLines/>
        <w:tabs>
          <w:tab w:val="left" w:leader="dot" w:pos="8910"/>
        </w:tabs>
        <w:bidi/>
        <w:spacing w:before="660"/>
        <w:rPr>
          <w:rStyle w:val="Hyperlink"/>
          <w:rFonts w:cs="Calibri"/>
          <w:noProof/>
          <w:color w:val="auto"/>
          <w:szCs w:val="22"/>
          <w:u w:val="none"/>
          <w:rtl/>
        </w:rPr>
      </w:pPr>
      <w:r w:rsidRPr="005E3DE5">
        <w:rPr>
          <w:szCs w:val="22"/>
        </w:rPr>
        <w:fldChar w:fldCharType="end"/>
      </w:r>
      <w:hyperlink w:anchor="ANNEX" w:history="1">
        <w:r w:rsidR="00C46B12" w:rsidRPr="005E3DE5">
          <w:rPr>
            <w:rStyle w:val="Hyperlink"/>
            <w:rFonts w:cs="Calibri" w:hint="cs"/>
            <w:noProof/>
            <w:color w:val="auto"/>
            <w:szCs w:val="22"/>
            <w:u w:val="none"/>
            <w:rtl/>
          </w:rPr>
          <w:t>المرفق - قائمة تقارير شعبة الرقابة الداخلية</w:t>
        </w:r>
      </w:hyperlink>
    </w:p>
    <w:p w14:paraId="7B63BC7E" w14:textId="77777777" w:rsidR="00C46B12" w:rsidRPr="00A8357F" w:rsidRDefault="00C46B12" w:rsidP="00BE4767">
      <w:pPr>
        <w:bidi/>
        <w:rPr>
          <w:b/>
          <w:bCs/>
          <w:caps/>
          <w:kern w:val="32"/>
          <w:szCs w:val="22"/>
          <w:rtl/>
        </w:rPr>
      </w:pPr>
      <w:r w:rsidRPr="00A8357F">
        <w:rPr>
          <w:rFonts w:hint="cs"/>
          <w:szCs w:val="22"/>
          <w:rtl/>
        </w:rPr>
        <w:br w:type="page"/>
      </w:r>
    </w:p>
    <w:p w14:paraId="3C433671" w14:textId="77777777" w:rsidR="00C46B12" w:rsidRPr="00A8357F" w:rsidRDefault="00C46B12" w:rsidP="00BE4767">
      <w:pPr>
        <w:pStyle w:val="Heading1"/>
        <w:bidi/>
        <w:rPr>
          <w:szCs w:val="22"/>
          <w:rtl/>
        </w:rPr>
      </w:pPr>
      <w:bookmarkStart w:id="9" w:name="_Toc39071243"/>
      <w:bookmarkStart w:id="10" w:name="_Toc99122798"/>
      <w:r w:rsidRPr="00A8357F">
        <w:rPr>
          <w:rFonts w:hint="cs"/>
          <w:szCs w:val="22"/>
          <w:rtl/>
        </w:rPr>
        <w:lastRenderedPageBreak/>
        <w:t>قائمة المختصرات المستخدمة في النص الإنكليزي</w:t>
      </w:r>
      <w:bookmarkEnd w:id="9"/>
      <w:bookmarkEnd w:id="10"/>
    </w:p>
    <w:p w14:paraId="798C72E0" w14:textId="77777777" w:rsidR="007159D2" w:rsidRPr="00A8357F" w:rsidRDefault="007159D2" w:rsidP="00BE4767">
      <w:pPr>
        <w:bidi/>
        <w:rPr>
          <w:szCs w:val="22"/>
        </w:rPr>
      </w:pPr>
    </w:p>
    <w:tbl>
      <w:tblPr>
        <w:tblStyle w:val="TableGridLight"/>
        <w:bidiVisual/>
        <w:tblW w:w="0" w:type="auto"/>
        <w:tblLook w:val="01E0" w:firstRow="1" w:lastRow="1" w:firstColumn="1" w:lastColumn="1" w:noHBand="0" w:noVBand="0"/>
        <w:tblCaption w:val="قائمة المختصرات المستخدمة في النص الإنكليزي"/>
        <w:tblDescription w:val="قائمة المختصرات المستخدمة في الوثيقة الإنكليزية"/>
      </w:tblPr>
      <w:tblGrid>
        <w:gridCol w:w="1701"/>
        <w:gridCol w:w="7230"/>
      </w:tblGrid>
      <w:tr w:rsidR="0066080A" w:rsidRPr="00A8357F" w14:paraId="73F13E3C" w14:textId="77777777" w:rsidTr="00335B35">
        <w:trPr>
          <w:trHeight w:val="340"/>
          <w:tblHeader/>
        </w:trPr>
        <w:tc>
          <w:tcPr>
            <w:tcW w:w="1701" w:type="dxa"/>
            <w:shd w:val="clear" w:color="auto" w:fill="auto"/>
          </w:tcPr>
          <w:p w14:paraId="1C1FF5CF" w14:textId="77777777" w:rsidR="0066080A" w:rsidRPr="00A8357F" w:rsidRDefault="0066080A" w:rsidP="00BE4767">
            <w:pPr>
              <w:tabs>
                <w:tab w:val="right" w:pos="6880"/>
              </w:tabs>
              <w:bidi/>
              <w:ind w:left="43"/>
              <w:rPr>
                <w:b/>
                <w:bCs/>
                <w:szCs w:val="22"/>
                <w:rtl/>
              </w:rPr>
            </w:pPr>
            <w:bookmarkStart w:id="11" w:name="_Toc392160703"/>
            <w:bookmarkStart w:id="12" w:name="_Toc392160740"/>
            <w:bookmarkStart w:id="13" w:name="_Toc423530309"/>
            <w:bookmarkStart w:id="14" w:name="_Toc423533365"/>
            <w:bookmarkStart w:id="15" w:name="_Toc423533509"/>
            <w:bookmarkStart w:id="16" w:name="_Toc452648468"/>
            <w:r w:rsidRPr="00A8357F">
              <w:rPr>
                <w:b/>
                <w:bCs/>
                <w:szCs w:val="22"/>
              </w:rPr>
              <w:t>AIMS</w:t>
            </w:r>
          </w:p>
        </w:tc>
        <w:tc>
          <w:tcPr>
            <w:tcW w:w="7230" w:type="dxa"/>
            <w:shd w:val="clear" w:color="auto" w:fill="auto"/>
          </w:tcPr>
          <w:p w14:paraId="1125D88C" w14:textId="77777777" w:rsidR="0066080A" w:rsidRPr="00A8357F" w:rsidRDefault="0066080A" w:rsidP="00BE4767">
            <w:pPr>
              <w:tabs>
                <w:tab w:val="right" w:pos="6880"/>
              </w:tabs>
              <w:bidi/>
              <w:ind w:left="43"/>
              <w:rPr>
                <w:szCs w:val="22"/>
                <w:rtl/>
              </w:rPr>
            </w:pPr>
            <w:r w:rsidRPr="00A8357F">
              <w:rPr>
                <w:rFonts w:hint="cs"/>
                <w:szCs w:val="22"/>
                <w:rtl/>
              </w:rPr>
              <w:t>نظام التسيير الإداري المتكامل</w:t>
            </w:r>
          </w:p>
        </w:tc>
      </w:tr>
      <w:tr w:rsidR="003B4645" w:rsidRPr="00A8357F" w14:paraId="37005FF3" w14:textId="77777777" w:rsidTr="00335B35">
        <w:trPr>
          <w:trHeight w:val="340"/>
          <w:tblHeader/>
        </w:trPr>
        <w:tc>
          <w:tcPr>
            <w:tcW w:w="1701" w:type="dxa"/>
            <w:shd w:val="clear" w:color="auto" w:fill="auto"/>
          </w:tcPr>
          <w:p w14:paraId="76BB9CD3" w14:textId="34877F77" w:rsidR="003B4645" w:rsidRPr="00A8357F" w:rsidRDefault="003B4645" w:rsidP="00BE4767">
            <w:pPr>
              <w:tabs>
                <w:tab w:val="right" w:pos="6880"/>
              </w:tabs>
              <w:bidi/>
              <w:ind w:left="43"/>
              <w:rPr>
                <w:b/>
                <w:bCs/>
                <w:szCs w:val="22"/>
                <w:rtl/>
              </w:rPr>
            </w:pPr>
            <w:r w:rsidRPr="00A8357F">
              <w:rPr>
                <w:b/>
                <w:bCs/>
                <w:szCs w:val="22"/>
              </w:rPr>
              <w:t>BI</w:t>
            </w:r>
          </w:p>
        </w:tc>
        <w:tc>
          <w:tcPr>
            <w:tcW w:w="7230" w:type="dxa"/>
            <w:shd w:val="clear" w:color="auto" w:fill="auto"/>
          </w:tcPr>
          <w:p w14:paraId="167C3B6C" w14:textId="02FA7B4B" w:rsidR="003B4645" w:rsidRPr="00A8357F" w:rsidRDefault="003B4645" w:rsidP="00BE4767">
            <w:pPr>
              <w:tabs>
                <w:tab w:val="right" w:pos="6880"/>
              </w:tabs>
              <w:bidi/>
              <w:ind w:left="43"/>
              <w:rPr>
                <w:szCs w:val="22"/>
                <w:rtl/>
              </w:rPr>
            </w:pPr>
            <w:r w:rsidRPr="00A8357F">
              <w:rPr>
                <w:rFonts w:hint="cs"/>
                <w:szCs w:val="22"/>
                <w:rtl/>
              </w:rPr>
              <w:t>الرؤى السلوكية</w:t>
            </w:r>
          </w:p>
        </w:tc>
      </w:tr>
      <w:tr w:rsidR="0066080A" w:rsidRPr="00A8357F" w14:paraId="3CD2FBD5" w14:textId="77777777" w:rsidTr="00335B35">
        <w:trPr>
          <w:trHeight w:val="340"/>
          <w:tblHeader/>
        </w:trPr>
        <w:tc>
          <w:tcPr>
            <w:tcW w:w="1701" w:type="dxa"/>
            <w:shd w:val="clear" w:color="auto" w:fill="auto"/>
          </w:tcPr>
          <w:p w14:paraId="08ED79AA" w14:textId="77777777" w:rsidR="0066080A" w:rsidRPr="00A8357F" w:rsidRDefault="0066080A" w:rsidP="00BE4767">
            <w:pPr>
              <w:tabs>
                <w:tab w:val="right" w:pos="6880"/>
              </w:tabs>
              <w:bidi/>
              <w:ind w:left="43"/>
              <w:rPr>
                <w:b/>
                <w:bCs/>
                <w:szCs w:val="22"/>
                <w:rtl/>
              </w:rPr>
            </w:pPr>
            <w:r w:rsidRPr="00A8357F">
              <w:rPr>
                <w:b/>
                <w:bCs/>
                <w:szCs w:val="22"/>
              </w:rPr>
              <w:t>CDIP</w:t>
            </w:r>
          </w:p>
        </w:tc>
        <w:tc>
          <w:tcPr>
            <w:tcW w:w="7230" w:type="dxa"/>
            <w:shd w:val="clear" w:color="auto" w:fill="auto"/>
          </w:tcPr>
          <w:p w14:paraId="19611799" w14:textId="77777777" w:rsidR="0066080A" w:rsidRPr="00A8357F" w:rsidRDefault="0066080A" w:rsidP="00BE4767">
            <w:pPr>
              <w:tabs>
                <w:tab w:val="right" w:pos="6880"/>
              </w:tabs>
              <w:bidi/>
              <w:ind w:left="43"/>
              <w:rPr>
                <w:szCs w:val="22"/>
                <w:rtl/>
              </w:rPr>
            </w:pPr>
            <w:r w:rsidRPr="00A8357F">
              <w:rPr>
                <w:rFonts w:hint="cs"/>
                <w:szCs w:val="22"/>
                <w:rtl/>
              </w:rPr>
              <w:t>اللجنة المعنية بالتنمية والملكية الفكرية</w:t>
            </w:r>
          </w:p>
        </w:tc>
      </w:tr>
      <w:tr w:rsidR="00C93184" w:rsidRPr="00A8357F" w14:paraId="100E84A1" w14:textId="77777777" w:rsidTr="00335B35">
        <w:trPr>
          <w:trHeight w:val="340"/>
          <w:tblHeader/>
        </w:trPr>
        <w:tc>
          <w:tcPr>
            <w:tcW w:w="1701" w:type="dxa"/>
            <w:shd w:val="clear" w:color="auto" w:fill="auto"/>
          </w:tcPr>
          <w:p w14:paraId="6583F123" w14:textId="47BC9110" w:rsidR="00C93184" w:rsidRPr="00A8357F" w:rsidRDefault="00C93184" w:rsidP="00BE4767">
            <w:pPr>
              <w:tabs>
                <w:tab w:val="right" w:pos="6880"/>
              </w:tabs>
              <w:bidi/>
              <w:ind w:left="43"/>
              <w:rPr>
                <w:b/>
                <w:bCs/>
                <w:szCs w:val="22"/>
                <w:rtl/>
              </w:rPr>
            </w:pPr>
            <w:r w:rsidRPr="00A8357F">
              <w:rPr>
                <w:b/>
                <w:bCs/>
                <w:szCs w:val="22"/>
              </w:rPr>
              <w:t>COVID-19</w:t>
            </w:r>
          </w:p>
        </w:tc>
        <w:tc>
          <w:tcPr>
            <w:tcW w:w="7230" w:type="dxa"/>
            <w:shd w:val="clear" w:color="auto" w:fill="auto"/>
          </w:tcPr>
          <w:p w14:paraId="11C6BB5C" w14:textId="69F6DCDA" w:rsidR="00C93184" w:rsidRPr="00A8357F" w:rsidRDefault="00C93184" w:rsidP="00BE4767">
            <w:pPr>
              <w:tabs>
                <w:tab w:val="right" w:pos="6880"/>
              </w:tabs>
              <w:bidi/>
              <w:ind w:left="43"/>
              <w:rPr>
                <w:szCs w:val="22"/>
                <w:rtl/>
              </w:rPr>
            </w:pPr>
            <w:r w:rsidRPr="00A8357F">
              <w:rPr>
                <w:rFonts w:hint="cs"/>
                <w:szCs w:val="22"/>
                <w:rtl/>
              </w:rPr>
              <w:t>مرض فيروس كورونا</w:t>
            </w:r>
          </w:p>
        </w:tc>
      </w:tr>
      <w:tr w:rsidR="0030017C" w:rsidRPr="00A8357F" w14:paraId="0CF1EA5B" w14:textId="77777777" w:rsidTr="00335B35">
        <w:trPr>
          <w:trHeight w:val="340"/>
          <w:tblHeader/>
        </w:trPr>
        <w:tc>
          <w:tcPr>
            <w:tcW w:w="1701" w:type="dxa"/>
            <w:shd w:val="clear" w:color="auto" w:fill="auto"/>
          </w:tcPr>
          <w:p w14:paraId="126340EB" w14:textId="522450D6" w:rsidR="0030017C" w:rsidRPr="00A8357F" w:rsidRDefault="0030017C" w:rsidP="00BE4767">
            <w:pPr>
              <w:tabs>
                <w:tab w:val="right" w:pos="6880"/>
              </w:tabs>
              <w:bidi/>
              <w:ind w:left="43"/>
              <w:rPr>
                <w:b/>
                <w:bCs/>
                <w:szCs w:val="22"/>
                <w:rtl/>
              </w:rPr>
            </w:pPr>
            <w:r w:rsidRPr="00A8357F">
              <w:rPr>
                <w:b/>
                <w:bCs/>
                <w:szCs w:val="22"/>
              </w:rPr>
              <w:t>DAC</w:t>
            </w:r>
          </w:p>
        </w:tc>
        <w:tc>
          <w:tcPr>
            <w:tcW w:w="7230" w:type="dxa"/>
            <w:shd w:val="clear" w:color="auto" w:fill="auto"/>
          </w:tcPr>
          <w:p w14:paraId="04BE2083" w14:textId="519559B0" w:rsidR="0030017C" w:rsidRPr="00A8357F" w:rsidRDefault="0030017C" w:rsidP="00BE4767">
            <w:pPr>
              <w:tabs>
                <w:tab w:val="right" w:pos="6880"/>
              </w:tabs>
              <w:bidi/>
              <w:ind w:left="43"/>
              <w:rPr>
                <w:szCs w:val="22"/>
                <w:rtl/>
              </w:rPr>
            </w:pPr>
            <w:r w:rsidRPr="00A8357F">
              <w:rPr>
                <w:rFonts w:hint="cs"/>
                <w:szCs w:val="22"/>
                <w:rtl/>
              </w:rPr>
              <w:t>شعبة البلدان العربية</w:t>
            </w:r>
          </w:p>
        </w:tc>
      </w:tr>
      <w:tr w:rsidR="0066080A" w:rsidRPr="00A8357F" w14:paraId="3A89ED39" w14:textId="77777777" w:rsidTr="00335B35">
        <w:trPr>
          <w:trHeight w:val="340"/>
          <w:tblHeader/>
        </w:trPr>
        <w:tc>
          <w:tcPr>
            <w:tcW w:w="1701" w:type="dxa"/>
            <w:shd w:val="clear" w:color="auto" w:fill="auto"/>
          </w:tcPr>
          <w:p w14:paraId="03A4C513" w14:textId="77777777" w:rsidR="0066080A" w:rsidRPr="00A8357F" w:rsidRDefault="0066080A" w:rsidP="00BE4767">
            <w:pPr>
              <w:tabs>
                <w:tab w:val="right" w:pos="6880"/>
              </w:tabs>
              <w:bidi/>
              <w:ind w:left="43"/>
              <w:rPr>
                <w:b/>
                <w:bCs/>
                <w:szCs w:val="22"/>
                <w:rtl/>
              </w:rPr>
            </w:pPr>
            <w:r w:rsidRPr="00A8357F">
              <w:rPr>
                <w:b/>
                <w:bCs/>
                <w:szCs w:val="22"/>
              </w:rPr>
              <w:t>ERM</w:t>
            </w:r>
          </w:p>
        </w:tc>
        <w:tc>
          <w:tcPr>
            <w:tcW w:w="7230" w:type="dxa"/>
            <w:shd w:val="clear" w:color="auto" w:fill="auto"/>
          </w:tcPr>
          <w:p w14:paraId="632917FB" w14:textId="77777777" w:rsidR="0066080A" w:rsidRPr="00A8357F" w:rsidRDefault="0066080A" w:rsidP="00BE4767">
            <w:pPr>
              <w:tabs>
                <w:tab w:val="right" w:pos="6880"/>
              </w:tabs>
              <w:bidi/>
              <w:ind w:left="43"/>
              <w:rPr>
                <w:szCs w:val="22"/>
                <w:rtl/>
              </w:rPr>
            </w:pPr>
            <w:r w:rsidRPr="00A8357F">
              <w:rPr>
                <w:rFonts w:hint="cs"/>
                <w:szCs w:val="22"/>
                <w:rtl/>
              </w:rPr>
              <w:t>إدارة المخاطر المؤسسية</w:t>
            </w:r>
          </w:p>
        </w:tc>
      </w:tr>
      <w:tr w:rsidR="0066080A" w:rsidRPr="00A8357F" w14:paraId="371ABF53" w14:textId="77777777" w:rsidTr="00335B35">
        <w:trPr>
          <w:trHeight w:val="340"/>
          <w:tblHeader/>
        </w:trPr>
        <w:tc>
          <w:tcPr>
            <w:tcW w:w="1701" w:type="dxa"/>
            <w:shd w:val="clear" w:color="auto" w:fill="auto"/>
          </w:tcPr>
          <w:p w14:paraId="585E72E8" w14:textId="77777777" w:rsidR="0066080A" w:rsidRPr="00A8357F" w:rsidRDefault="0066080A" w:rsidP="00BE4767">
            <w:pPr>
              <w:bidi/>
              <w:ind w:left="43"/>
              <w:rPr>
                <w:b/>
                <w:bCs/>
                <w:szCs w:val="22"/>
                <w:rtl/>
              </w:rPr>
            </w:pPr>
            <w:r w:rsidRPr="00A8357F">
              <w:rPr>
                <w:b/>
                <w:bCs/>
                <w:szCs w:val="22"/>
              </w:rPr>
              <w:t>HRMD</w:t>
            </w:r>
          </w:p>
        </w:tc>
        <w:tc>
          <w:tcPr>
            <w:tcW w:w="7230" w:type="dxa"/>
            <w:shd w:val="clear" w:color="auto" w:fill="auto"/>
          </w:tcPr>
          <w:p w14:paraId="3A6B07E5" w14:textId="77777777" w:rsidR="0066080A" w:rsidRPr="00A8357F" w:rsidRDefault="0066080A" w:rsidP="00BE4767">
            <w:pPr>
              <w:bidi/>
              <w:ind w:left="43"/>
              <w:rPr>
                <w:szCs w:val="22"/>
                <w:rtl/>
              </w:rPr>
            </w:pPr>
            <w:r w:rsidRPr="00A8357F">
              <w:rPr>
                <w:rFonts w:hint="cs"/>
                <w:szCs w:val="22"/>
                <w:rtl/>
              </w:rPr>
              <w:t>إدارة الموارد البشرية</w:t>
            </w:r>
          </w:p>
        </w:tc>
      </w:tr>
      <w:tr w:rsidR="0066080A" w:rsidRPr="00A8357F" w14:paraId="4977E2E6" w14:textId="77777777" w:rsidTr="00335B35">
        <w:trPr>
          <w:trHeight w:val="340"/>
          <w:tblHeader/>
        </w:trPr>
        <w:tc>
          <w:tcPr>
            <w:tcW w:w="1701" w:type="dxa"/>
            <w:shd w:val="clear" w:color="auto" w:fill="auto"/>
          </w:tcPr>
          <w:p w14:paraId="182A928B" w14:textId="77777777" w:rsidR="0066080A" w:rsidRPr="00A8357F" w:rsidRDefault="0066080A" w:rsidP="00BE4767">
            <w:pPr>
              <w:bidi/>
              <w:ind w:left="43"/>
              <w:rPr>
                <w:b/>
                <w:bCs/>
                <w:szCs w:val="22"/>
                <w:rtl/>
              </w:rPr>
            </w:pPr>
            <w:r w:rsidRPr="00A8357F">
              <w:rPr>
                <w:b/>
                <w:bCs/>
                <w:szCs w:val="22"/>
              </w:rPr>
              <w:t>IAOC</w:t>
            </w:r>
          </w:p>
        </w:tc>
        <w:tc>
          <w:tcPr>
            <w:tcW w:w="7230" w:type="dxa"/>
            <w:shd w:val="clear" w:color="auto" w:fill="auto"/>
          </w:tcPr>
          <w:p w14:paraId="3444AB99" w14:textId="77777777" w:rsidR="0066080A" w:rsidRPr="00A8357F" w:rsidRDefault="0066080A" w:rsidP="00BE4767">
            <w:pPr>
              <w:bidi/>
              <w:ind w:left="43"/>
              <w:rPr>
                <w:szCs w:val="22"/>
                <w:rtl/>
              </w:rPr>
            </w:pPr>
            <w:r w:rsidRPr="00A8357F">
              <w:rPr>
                <w:rFonts w:hint="cs"/>
                <w:szCs w:val="22"/>
                <w:rtl/>
              </w:rPr>
              <w:t>اللجنة الاستشارية المستقلة للرقابة</w:t>
            </w:r>
          </w:p>
        </w:tc>
      </w:tr>
      <w:tr w:rsidR="0066080A" w:rsidRPr="00A8357F" w14:paraId="710D0188" w14:textId="77777777" w:rsidTr="00335B35">
        <w:trPr>
          <w:trHeight w:val="340"/>
          <w:tblHeader/>
        </w:trPr>
        <w:tc>
          <w:tcPr>
            <w:tcW w:w="1701" w:type="dxa"/>
            <w:shd w:val="clear" w:color="auto" w:fill="auto"/>
          </w:tcPr>
          <w:p w14:paraId="44E55687" w14:textId="77777777" w:rsidR="0066080A" w:rsidRPr="00A8357F" w:rsidRDefault="0066080A" w:rsidP="00BE4767">
            <w:pPr>
              <w:bidi/>
              <w:ind w:left="43"/>
              <w:rPr>
                <w:b/>
                <w:bCs/>
                <w:szCs w:val="22"/>
                <w:rtl/>
              </w:rPr>
            </w:pPr>
            <w:r w:rsidRPr="00A8357F">
              <w:rPr>
                <w:b/>
                <w:bCs/>
                <w:szCs w:val="22"/>
              </w:rPr>
              <w:t>IOC</w:t>
            </w:r>
          </w:p>
        </w:tc>
        <w:tc>
          <w:tcPr>
            <w:tcW w:w="7230" w:type="dxa"/>
            <w:shd w:val="clear" w:color="auto" w:fill="auto"/>
          </w:tcPr>
          <w:p w14:paraId="2D354E63" w14:textId="77777777" w:rsidR="0066080A" w:rsidRPr="00A8357F" w:rsidRDefault="0066080A" w:rsidP="00BE4767">
            <w:pPr>
              <w:bidi/>
              <w:ind w:left="43"/>
              <w:rPr>
                <w:szCs w:val="22"/>
                <w:rtl/>
              </w:rPr>
            </w:pPr>
            <w:r w:rsidRPr="00A8357F">
              <w:rPr>
                <w:rFonts w:hint="cs"/>
                <w:szCs w:val="22"/>
                <w:rtl/>
              </w:rPr>
              <w:t>ميثاق الرقابة الداخلية</w:t>
            </w:r>
          </w:p>
        </w:tc>
      </w:tr>
      <w:tr w:rsidR="0066080A" w:rsidRPr="00A8357F" w14:paraId="6CC64CEF" w14:textId="77777777" w:rsidTr="00335B35">
        <w:trPr>
          <w:trHeight w:val="340"/>
          <w:tblHeader/>
        </w:trPr>
        <w:tc>
          <w:tcPr>
            <w:tcW w:w="1701" w:type="dxa"/>
            <w:shd w:val="clear" w:color="auto" w:fill="auto"/>
          </w:tcPr>
          <w:p w14:paraId="1B00A8E2" w14:textId="77777777" w:rsidR="0066080A" w:rsidRPr="00A8357F" w:rsidRDefault="0066080A" w:rsidP="00BE4767">
            <w:pPr>
              <w:bidi/>
              <w:ind w:left="43"/>
              <w:rPr>
                <w:b/>
                <w:bCs/>
                <w:szCs w:val="22"/>
                <w:rtl/>
              </w:rPr>
            </w:pPr>
            <w:r w:rsidRPr="00A8357F">
              <w:rPr>
                <w:b/>
                <w:bCs/>
                <w:szCs w:val="22"/>
              </w:rPr>
              <w:t>IOD</w:t>
            </w:r>
          </w:p>
        </w:tc>
        <w:tc>
          <w:tcPr>
            <w:tcW w:w="7230" w:type="dxa"/>
            <w:shd w:val="clear" w:color="auto" w:fill="auto"/>
          </w:tcPr>
          <w:p w14:paraId="035B9DED" w14:textId="77777777" w:rsidR="0066080A" w:rsidRPr="00A8357F" w:rsidRDefault="0066080A" w:rsidP="00BE4767">
            <w:pPr>
              <w:bidi/>
              <w:ind w:left="43"/>
              <w:rPr>
                <w:szCs w:val="22"/>
                <w:rtl/>
              </w:rPr>
            </w:pPr>
            <w:r w:rsidRPr="00A8357F">
              <w:rPr>
                <w:rFonts w:hint="cs"/>
                <w:szCs w:val="22"/>
                <w:rtl/>
              </w:rPr>
              <w:t>شعبة الرقابة الداخلية</w:t>
            </w:r>
          </w:p>
        </w:tc>
      </w:tr>
      <w:tr w:rsidR="00D04C9C" w:rsidRPr="00A8357F" w14:paraId="56C0C790" w14:textId="77777777" w:rsidTr="00335B35">
        <w:trPr>
          <w:trHeight w:val="340"/>
          <w:tblHeader/>
        </w:trPr>
        <w:tc>
          <w:tcPr>
            <w:tcW w:w="1701" w:type="dxa"/>
            <w:shd w:val="clear" w:color="auto" w:fill="auto"/>
          </w:tcPr>
          <w:p w14:paraId="227679D2" w14:textId="0680249D" w:rsidR="00D04C9C" w:rsidRPr="00A8357F" w:rsidRDefault="00D04C9C" w:rsidP="00BE4767">
            <w:pPr>
              <w:bidi/>
              <w:ind w:left="43"/>
              <w:rPr>
                <w:b/>
                <w:bCs/>
                <w:szCs w:val="22"/>
                <w:rtl/>
              </w:rPr>
            </w:pPr>
            <w:r w:rsidRPr="00A8357F">
              <w:rPr>
                <w:b/>
                <w:bCs/>
                <w:szCs w:val="22"/>
              </w:rPr>
              <w:t>IP</w:t>
            </w:r>
          </w:p>
        </w:tc>
        <w:tc>
          <w:tcPr>
            <w:tcW w:w="7230" w:type="dxa"/>
            <w:shd w:val="clear" w:color="auto" w:fill="auto"/>
          </w:tcPr>
          <w:p w14:paraId="362C2629" w14:textId="006BEE8A" w:rsidR="00D04C9C" w:rsidRPr="00A8357F" w:rsidRDefault="00D04C9C" w:rsidP="00BE4767">
            <w:pPr>
              <w:bidi/>
              <w:ind w:left="43"/>
              <w:rPr>
                <w:szCs w:val="22"/>
                <w:rtl/>
              </w:rPr>
            </w:pPr>
            <w:r w:rsidRPr="00A8357F">
              <w:rPr>
                <w:rFonts w:hint="cs"/>
                <w:szCs w:val="22"/>
                <w:rtl/>
              </w:rPr>
              <w:t>الملكية الفكرية</w:t>
            </w:r>
          </w:p>
        </w:tc>
      </w:tr>
      <w:tr w:rsidR="006460F7" w:rsidRPr="00A8357F" w14:paraId="01B5D760" w14:textId="77777777" w:rsidTr="00335B35">
        <w:trPr>
          <w:trHeight w:val="340"/>
          <w:tblHeader/>
        </w:trPr>
        <w:tc>
          <w:tcPr>
            <w:tcW w:w="1701" w:type="dxa"/>
            <w:shd w:val="clear" w:color="auto" w:fill="auto"/>
          </w:tcPr>
          <w:p w14:paraId="2DF21109" w14:textId="79CF1EDE" w:rsidR="006460F7" w:rsidRPr="00A8357F" w:rsidRDefault="006460F7" w:rsidP="00BE4767">
            <w:pPr>
              <w:bidi/>
              <w:ind w:left="43"/>
              <w:rPr>
                <w:b/>
                <w:bCs/>
                <w:szCs w:val="22"/>
                <w:rtl/>
              </w:rPr>
            </w:pPr>
            <w:r w:rsidRPr="00A8357F">
              <w:rPr>
                <w:b/>
                <w:bCs/>
                <w:szCs w:val="22"/>
              </w:rPr>
              <w:t>IT</w:t>
            </w:r>
          </w:p>
        </w:tc>
        <w:tc>
          <w:tcPr>
            <w:tcW w:w="7230" w:type="dxa"/>
            <w:shd w:val="clear" w:color="auto" w:fill="auto"/>
          </w:tcPr>
          <w:p w14:paraId="3A8454CC" w14:textId="26108DD2" w:rsidR="006460F7" w:rsidRPr="00A8357F" w:rsidRDefault="006460F7" w:rsidP="00BE4767">
            <w:pPr>
              <w:bidi/>
              <w:ind w:left="43"/>
              <w:rPr>
                <w:szCs w:val="22"/>
                <w:rtl/>
              </w:rPr>
            </w:pPr>
            <w:r w:rsidRPr="00A8357F">
              <w:rPr>
                <w:rFonts w:hint="cs"/>
                <w:szCs w:val="22"/>
                <w:rtl/>
              </w:rPr>
              <w:t>تكنولوجيا المعلومات</w:t>
            </w:r>
          </w:p>
        </w:tc>
      </w:tr>
      <w:tr w:rsidR="0066080A" w:rsidRPr="00A8357F" w14:paraId="58945BA2" w14:textId="77777777" w:rsidTr="00335B35">
        <w:trPr>
          <w:trHeight w:val="340"/>
          <w:tblHeader/>
        </w:trPr>
        <w:tc>
          <w:tcPr>
            <w:tcW w:w="1701" w:type="dxa"/>
            <w:shd w:val="clear" w:color="auto" w:fill="auto"/>
          </w:tcPr>
          <w:p w14:paraId="72218DAE" w14:textId="77777777" w:rsidR="0066080A" w:rsidRPr="00A8357F" w:rsidRDefault="0066080A" w:rsidP="00BE4767">
            <w:pPr>
              <w:bidi/>
              <w:ind w:left="43"/>
              <w:rPr>
                <w:b/>
                <w:bCs/>
                <w:szCs w:val="22"/>
                <w:rtl/>
              </w:rPr>
            </w:pPr>
            <w:r w:rsidRPr="00A8357F">
              <w:rPr>
                <w:b/>
                <w:bCs/>
                <w:szCs w:val="22"/>
              </w:rPr>
              <w:t>MIR</w:t>
            </w:r>
          </w:p>
        </w:tc>
        <w:tc>
          <w:tcPr>
            <w:tcW w:w="7230" w:type="dxa"/>
            <w:shd w:val="clear" w:color="auto" w:fill="auto"/>
          </w:tcPr>
          <w:p w14:paraId="0C4545D3" w14:textId="77777777" w:rsidR="0066080A" w:rsidRPr="00A8357F" w:rsidRDefault="0066080A" w:rsidP="00BE4767">
            <w:pPr>
              <w:bidi/>
              <w:ind w:left="43"/>
              <w:rPr>
                <w:szCs w:val="22"/>
                <w:rtl/>
              </w:rPr>
            </w:pPr>
            <w:r w:rsidRPr="00A8357F">
              <w:rPr>
                <w:rFonts w:hint="cs"/>
                <w:szCs w:val="22"/>
                <w:rtl/>
              </w:rPr>
              <w:t>تقرير التبعات الإدارية</w:t>
            </w:r>
          </w:p>
        </w:tc>
      </w:tr>
      <w:tr w:rsidR="000C4E21" w:rsidRPr="00A8357F" w14:paraId="6CB44B06" w14:textId="77777777" w:rsidTr="00335B35">
        <w:trPr>
          <w:trHeight w:val="340"/>
          <w:tblHeader/>
        </w:trPr>
        <w:tc>
          <w:tcPr>
            <w:tcW w:w="1701" w:type="dxa"/>
            <w:shd w:val="clear" w:color="auto" w:fill="auto"/>
          </w:tcPr>
          <w:p w14:paraId="17107A93" w14:textId="7C816C8D" w:rsidR="000C4E21" w:rsidRPr="00A8357F" w:rsidRDefault="000C4E21" w:rsidP="00BE4767">
            <w:pPr>
              <w:bidi/>
              <w:ind w:left="43"/>
              <w:rPr>
                <w:b/>
                <w:bCs/>
                <w:szCs w:val="22"/>
                <w:rtl/>
              </w:rPr>
            </w:pPr>
            <w:r w:rsidRPr="00A8357F">
              <w:rPr>
                <w:b/>
                <w:bCs/>
                <w:szCs w:val="22"/>
              </w:rPr>
              <w:t>MTSP</w:t>
            </w:r>
          </w:p>
        </w:tc>
        <w:tc>
          <w:tcPr>
            <w:tcW w:w="7230" w:type="dxa"/>
            <w:shd w:val="clear" w:color="auto" w:fill="auto"/>
          </w:tcPr>
          <w:p w14:paraId="6E3B1C29" w14:textId="5B875029" w:rsidR="000C4E21" w:rsidRPr="00A8357F" w:rsidRDefault="000C4E21" w:rsidP="00BE4767">
            <w:pPr>
              <w:bidi/>
              <w:ind w:left="43"/>
              <w:rPr>
                <w:szCs w:val="22"/>
                <w:rtl/>
              </w:rPr>
            </w:pPr>
            <w:r w:rsidRPr="00A8357F">
              <w:rPr>
                <w:rFonts w:hint="cs"/>
                <w:color w:val="323232"/>
                <w:szCs w:val="22"/>
                <w:rtl/>
              </w:rPr>
              <w:t>الخطة الاستراتيجية المتوسطة الأجل</w:t>
            </w:r>
          </w:p>
        </w:tc>
      </w:tr>
      <w:tr w:rsidR="00E16FEA" w:rsidRPr="00A8357F" w14:paraId="4CCDA8D1" w14:textId="77777777" w:rsidTr="00335B35">
        <w:trPr>
          <w:trHeight w:val="340"/>
          <w:tblHeader/>
        </w:trPr>
        <w:tc>
          <w:tcPr>
            <w:tcW w:w="1701" w:type="dxa"/>
            <w:shd w:val="clear" w:color="auto" w:fill="auto"/>
          </w:tcPr>
          <w:p w14:paraId="4F07707F" w14:textId="1C52011A" w:rsidR="00E16FEA" w:rsidRPr="00A8357F" w:rsidRDefault="00E16FEA" w:rsidP="00BE4767">
            <w:pPr>
              <w:bidi/>
              <w:ind w:left="43"/>
              <w:rPr>
                <w:b/>
                <w:bCs/>
                <w:szCs w:val="22"/>
                <w:rtl/>
              </w:rPr>
            </w:pPr>
            <w:r w:rsidRPr="00A8357F">
              <w:rPr>
                <w:b/>
                <w:bCs/>
                <w:szCs w:val="22"/>
              </w:rPr>
              <w:t>NIPS</w:t>
            </w:r>
          </w:p>
        </w:tc>
        <w:tc>
          <w:tcPr>
            <w:tcW w:w="7230" w:type="dxa"/>
            <w:shd w:val="clear" w:color="auto" w:fill="auto"/>
          </w:tcPr>
          <w:p w14:paraId="6B739951" w14:textId="7C34C2FB" w:rsidR="00E16FEA" w:rsidRPr="00A8357F" w:rsidRDefault="00E16FEA" w:rsidP="00BE4767">
            <w:pPr>
              <w:bidi/>
              <w:ind w:left="43"/>
              <w:rPr>
                <w:szCs w:val="22"/>
                <w:rtl/>
              </w:rPr>
            </w:pPr>
            <w:r w:rsidRPr="00A8357F">
              <w:rPr>
                <w:rFonts w:hint="cs"/>
                <w:szCs w:val="22"/>
                <w:rtl/>
              </w:rPr>
              <w:t>الاستراتيجية الوطنية للملكية الفكرية</w:t>
            </w:r>
          </w:p>
        </w:tc>
      </w:tr>
      <w:tr w:rsidR="0066080A" w:rsidRPr="00A8357F" w14:paraId="1AE856E5" w14:textId="77777777" w:rsidTr="00335B35">
        <w:trPr>
          <w:trHeight w:val="340"/>
          <w:tblHeader/>
        </w:trPr>
        <w:tc>
          <w:tcPr>
            <w:tcW w:w="1701" w:type="dxa"/>
            <w:shd w:val="clear" w:color="auto" w:fill="auto"/>
          </w:tcPr>
          <w:p w14:paraId="1B2762BE" w14:textId="77777777" w:rsidR="0066080A" w:rsidRPr="00A8357F" w:rsidRDefault="0066080A" w:rsidP="00BE4767">
            <w:pPr>
              <w:bidi/>
              <w:ind w:left="43"/>
              <w:rPr>
                <w:b/>
                <w:bCs/>
                <w:szCs w:val="22"/>
                <w:rtl/>
              </w:rPr>
            </w:pPr>
            <w:r w:rsidRPr="00A8357F">
              <w:rPr>
                <w:b/>
                <w:bCs/>
                <w:szCs w:val="22"/>
              </w:rPr>
              <w:t>OI</w:t>
            </w:r>
          </w:p>
        </w:tc>
        <w:tc>
          <w:tcPr>
            <w:tcW w:w="7230" w:type="dxa"/>
            <w:shd w:val="clear" w:color="auto" w:fill="auto"/>
          </w:tcPr>
          <w:p w14:paraId="5103D3FC" w14:textId="6A2229FA" w:rsidR="0066080A" w:rsidRPr="00A8357F" w:rsidRDefault="0066080A" w:rsidP="00BE4767">
            <w:pPr>
              <w:bidi/>
              <w:ind w:left="43"/>
              <w:rPr>
                <w:szCs w:val="22"/>
                <w:rtl/>
              </w:rPr>
            </w:pPr>
            <w:r w:rsidRPr="00A8357F">
              <w:rPr>
                <w:rFonts w:hint="cs"/>
                <w:szCs w:val="22"/>
                <w:rtl/>
              </w:rPr>
              <w:t>التعميم الإداري</w:t>
            </w:r>
          </w:p>
        </w:tc>
      </w:tr>
      <w:tr w:rsidR="0066080A" w:rsidRPr="00A8357F" w14:paraId="3086A312" w14:textId="77777777" w:rsidTr="00335B35">
        <w:trPr>
          <w:trHeight w:val="340"/>
          <w:tblHeader/>
        </w:trPr>
        <w:tc>
          <w:tcPr>
            <w:tcW w:w="1701" w:type="dxa"/>
            <w:shd w:val="clear" w:color="auto" w:fill="auto"/>
          </w:tcPr>
          <w:p w14:paraId="7687C4A9" w14:textId="77777777" w:rsidR="0066080A" w:rsidRPr="00A8357F" w:rsidRDefault="0066080A" w:rsidP="00BE4767">
            <w:pPr>
              <w:bidi/>
              <w:ind w:left="43"/>
              <w:rPr>
                <w:b/>
                <w:bCs/>
                <w:szCs w:val="22"/>
                <w:rtl/>
              </w:rPr>
            </w:pPr>
            <w:r w:rsidRPr="00A8357F">
              <w:rPr>
                <w:b/>
                <w:bCs/>
                <w:szCs w:val="22"/>
              </w:rPr>
              <w:t>PBC</w:t>
            </w:r>
          </w:p>
        </w:tc>
        <w:tc>
          <w:tcPr>
            <w:tcW w:w="7230" w:type="dxa"/>
            <w:shd w:val="clear" w:color="auto" w:fill="auto"/>
          </w:tcPr>
          <w:p w14:paraId="5190868D" w14:textId="77777777" w:rsidR="0066080A" w:rsidRPr="00A8357F" w:rsidRDefault="0066080A" w:rsidP="00BE4767">
            <w:pPr>
              <w:bidi/>
              <w:ind w:left="43"/>
              <w:rPr>
                <w:szCs w:val="22"/>
                <w:rtl/>
              </w:rPr>
            </w:pPr>
            <w:r w:rsidRPr="00A8357F">
              <w:rPr>
                <w:rFonts w:hint="cs"/>
                <w:szCs w:val="22"/>
                <w:rtl/>
              </w:rPr>
              <w:t>لجنة البرنامج والميزانية</w:t>
            </w:r>
          </w:p>
        </w:tc>
      </w:tr>
      <w:tr w:rsidR="0066080A" w:rsidRPr="00A8357F" w14:paraId="0D39F8B2" w14:textId="77777777" w:rsidTr="00335B35">
        <w:trPr>
          <w:trHeight w:val="340"/>
          <w:tblHeader/>
        </w:trPr>
        <w:tc>
          <w:tcPr>
            <w:tcW w:w="1701" w:type="dxa"/>
            <w:shd w:val="clear" w:color="auto" w:fill="auto"/>
          </w:tcPr>
          <w:p w14:paraId="382AA6D5" w14:textId="77777777" w:rsidR="0066080A" w:rsidRPr="00A8357F" w:rsidRDefault="0066080A" w:rsidP="00BE4767">
            <w:pPr>
              <w:bidi/>
              <w:ind w:left="43"/>
              <w:rPr>
                <w:b/>
                <w:bCs/>
                <w:szCs w:val="22"/>
                <w:rtl/>
              </w:rPr>
            </w:pPr>
            <w:r w:rsidRPr="00A8357F">
              <w:rPr>
                <w:b/>
                <w:bCs/>
                <w:szCs w:val="22"/>
              </w:rPr>
              <w:t>PD</w:t>
            </w:r>
          </w:p>
        </w:tc>
        <w:tc>
          <w:tcPr>
            <w:tcW w:w="7230" w:type="dxa"/>
            <w:shd w:val="clear" w:color="auto" w:fill="auto"/>
          </w:tcPr>
          <w:p w14:paraId="574F032F" w14:textId="77777777" w:rsidR="0066080A" w:rsidRPr="00A8357F" w:rsidRDefault="0066080A" w:rsidP="00BE4767">
            <w:pPr>
              <w:bidi/>
              <w:ind w:left="43"/>
              <w:rPr>
                <w:szCs w:val="22"/>
                <w:rtl/>
              </w:rPr>
            </w:pPr>
            <w:r w:rsidRPr="00A8357F">
              <w:rPr>
                <w:rFonts w:hint="cs"/>
                <w:szCs w:val="22"/>
                <w:rtl/>
              </w:rPr>
              <w:t>بيانات الأداء</w:t>
            </w:r>
          </w:p>
        </w:tc>
      </w:tr>
      <w:tr w:rsidR="006460F7" w:rsidRPr="00A8357F" w14:paraId="096A8092" w14:textId="77777777" w:rsidTr="00335B35">
        <w:trPr>
          <w:trHeight w:val="340"/>
          <w:tblHeader/>
        </w:trPr>
        <w:tc>
          <w:tcPr>
            <w:tcW w:w="1701" w:type="dxa"/>
            <w:shd w:val="clear" w:color="auto" w:fill="auto"/>
          </w:tcPr>
          <w:p w14:paraId="0C8675ED" w14:textId="31A704BB" w:rsidR="006460F7" w:rsidRPr="00A8357F" w:rsidRDefault="006460F7" w:rsidP="00BE4767">
            <w:pPr>
              <w:bidi/>
              <w:ind w:left="43"/>
              <w:rPr>
                <w:b/>
                <w:bCs/>
                <w:szCs w:val="22"/>
                <w:rtl/>
              </w:rPr>
            </w:pPr>
            <w:r w:rsidRPr="00A8357F">
              <w:rPr>
                <w:b/>
                <w:bCs/>
                <w:szCs w:val="22"/>
              </w:rPr>
              <w:t>QAIP</w:t>
            </w:r>
          </w:p>
        </w:tc>
        <w:tc>
          <w:tcPr>
            <w:tcW w:w="7230" w:type="dxa"/>
            <w:shd w:val="clear" w:color="auto" w:fill="auto"/>
          </w:tcPr>
          <w:p w14:paraId="1D66BCED" w14:textId="0787B362" w:rsidR="006460F7" w:rsidRPr="00A8357F" w:rsidRDefault="006460F7" w:rsidP="00BE4767">
            <w:pPr>
              <w:bidi/>
              <w:ind w:left="43"/>
              <w:rPr>
                <w:szCs w:val="22"/>
                <w:rtl/>
              </w:rPr>
            </w:pPr>
            <w:r w:rsidRPr="00A8357F">
              <w:rPr>
                <w:rFonts w:hint="cs"/>
                <w:szCs w:val="22"/>
                <w:rtl/>
              </w:rPr>
              <w:t>برنامج ضمان جودة العمل الرقابي وتحسينها</w:t>
            </w:r>
          </w:p>
        </w:tc>
      </w:tr>
      <w:tr w:rsidR="0066080A" w:rsidRPr="00A8357F" w14:paraId="67A3ED7D" w14:textId="77777777" w:rsidTr="00335B35">
        <w:trPr>
          <w:trHeight w:val="340"/>
          <w:tblHeader/>
        </w:trPr>
        <w:tc>
          <w:tcPr>
            <w:tcW w:w="1701" w:type="dxa"/>
            <w:shd w:val="clear" w:color="auto" w:fill="auto"/>
          </w:tcPr>
          <w:p w14:paraId="27CD01E9" w14:textId="77777777" w:rsidR="0066080A" w:rsidRPr="00A8357F" w:rsidRDefault="0066080A" w:rsidP="00BE4767">
            <w:pPr>
              <w:bidi/>
              <w:ind w:left="43"/>
              <w:rPr>
                <w:b/>
                <w:bCs/>
                <w:szCs w:val="22"/>
                <w:rtl/>
              </w:rPr>
            </w:pPr>
            <w:r w:rsidRPr="00A8357F">
              <w:rPr>
                <w:b/>
                <w:bCs/>
                <w:szCs w:val="22"/>
              </w:rPr>
              <w:t>SMART</w:t>
            </w:r>
          </w:p>
        </w:tc>
        <w:tc>
          <w:tcPr>
            <w:tcW w:w="7230" w:type="dxa"/>
            <w:shd w:val="clear" w:color="auto" w:fill="auto"/>
          </w:tcPr>
          <w:p w14:paraId="7ECF0947" w14:textId="77777777" w:rsidR="0066080A" w:rsidRPr="00A8357F" w:rsidRDefault="0066080A" w:rsidP="00BE4767">
            <w:pPr>
              <w:bidi/>
              <w:ind w:left="43"/>
              <w:rPr>
                <w:szCs w:val="22"/>
                <w:rtl/>
              </w:rPr>
            </w:pPr>
            <w:r w:rsidRPr="00A8357F">
              <w:rPr>
                <w:rFonts w:hint="cs"/>
                <w:szCs w:val="22"/>
                <w:rtl/>
              </w:rPr>
              <w:t>مُحدَّد وقابل للقياس ويمكن تحقيقه وعملي المنحى ومُحدَّد المدة</w:t>
            </w:r>
          </w:p>
        </w:tc>
      </w:tr>
      <w:tr w:rsidR="009E2DB6" w:rsidRPr="00A8357F" w14:paraId="21A302DD" w14:textId="77777777" w:rsidTr="00335B35">
        <w:trPr>
          <w:trHeight w:val="340"/>
          <w:tblHeader/>
        </w:trPr>
        <w:tc>
          <w:tcPr>
            <w:tcW w:w="1701" w:type="dxa"/>
            <w:shd w:val="clear" w:color="auto" w:fill="auto"/>
          </w:tcPr>
          <w:p w14:paraId="3D8D151D" w14:textId="266B408E" w:rsidR="009E2DB6" w:rsidRPr="00A8357F" w:rsidRDefault="009E2DB6" w:rsidP="00BE4767">
            <w:pPr>
              <w:bidi/>
              <w:ind w:left="43"/>
              <w:rPr>
                <w:b/>
                <w:bCs/>
                <w:szCs w:val="22"/>
                <w:rtl/>
              </w:rPr>
            </w:pPr>
            <w:r w:rsidRPr="00A8357F">
              <w:rPr>
                <w:b/>
                <w:bCs/>
                <w:szCs w:val="22"/>
              </w:rPr>
              <w:t>TA</w:t>
            </w:r>
          </w:p>
        </w:tc>
        <w:tc>
          <w:tcPr>
            <w:tcW w:w="7230" w:type="dxa"/>
            <w:shd w:val="clear" w:color="auto" w:fill="auto"/>
          </w:tcPr>
          <w:p w14:paraId="686FBC98" w14:textId="43795468" w:rsidR="009E2DB6" w:rsidRPr="00A8357F" w:rsidRDefault="009E2DB6" w:rsidP="00BE4767">
            <w:pPr>
              <w:bidi/>
              <w:ind w:left="43"/>
              <w:rPr>
                <w:szCs w:val="22"/>
                <w:rtl/>
              </w:rPr>
            </w:pPr>
            <w:r w:rsidRPr="00A8357F">
              <w:rPr>
                <w:rFonts w:hint="cs"/>
                <w:szCs w:val="22"/>
                <w:rtl/>
              </w:rPr>
              <w:t>المساعدة التقنية</w:t>
            </w:r>
          </w:p>
        </w:tc>
      </w:tr>
      <w:tr w:rsidR="0066080A" w:rsidRPr="00A8357F" w14:paraId="24945383" w14:textId="77777777" w:rsidTr="00335B35">
        <w:trPr>
          <w:trHeight w:val="340"/>
          <w:tblHeader/>
        </w:trPr>
        <w:tc>
          <w:tcPr>
            <w:tcW w:w="1701" w:type="dxa"/>
            <w:shd w:val="clear" w:color="auto" w:fill="auto"/>
          </w:tcPr>
          <w:p w14:paraId="588A42DD" w14:textId="77777777" w:rsidR="0066080A" w:rsidRPr="00A8357F" w:rsidRDefault="0066080A" w:rsidP="00BE4767">
            <w:pPr>
              <w:bidi/>
              <w:ind w:left="43"/>
              <w:rPr>
                <w:b/>
                <w:bCs/>
                <w:szCs w:val="22"/>
                <w:rtl/>
              </w:rPr>
            </w:pPr>
            <w:r w:rsidRPr="00A8357F">
              <w:rPr>
                <w:b/>
                <w:bCs/>
                <w:szCs w:val="22"/>
              </w:rPr>
              <w:t>UN</w:t>
            </w:r>
          </w:p>
        </w:tc>
        <w:tc>
          <w:tcPr>
            <w:tcW w:w="7230" w:type="dxa"/>
            <w:shd w:val="clear" w:color="auto" w:fill="auto"/>
          </w:tcPr>
          <w:p w14:paraId="4B33FD96" w14:textId="77777777" w:rsidR="0066080A" w:rsidRPr="00A8357F" w:rsidRDefault="0066080A" w:rsidP="00BE4767">
            <w:pPr>
              <w:bidi/>
              <w:ind w:left="43"/>
              <w:rPr>
                <w:szCs w:val="22"/>
                <w:rtl/>
              </w:rPr>
            </w:pPr>
            <w:r w:rsidRPr="00A8357F">
              <w:rPr>
                <w:rFonts w:hint="cs"/>
                <w:szCs w:val="22"/>
                <w:rtl/>
              </w:rPr>
              <w:t>الأمم المتحدة</w:t>
            </w:r>
          </w:p>
        </w:tc>
      </w:tr>
      <w:tr w:rsidR="0066080A" w:rsidRPr="00A8357F" w14:paraId="36489248" w14:textId="77777777" w:rsidTr="00335B35">
        <w:trPr>
          <w:trHeight w:val="340"/>
          <w:tblHeader/>
        </w:trPr>
        <w:tc>
          <w:tcPr>
            <w:tcW w:w="1701" w:type="dxa"/>
            <w:shd w:val="clear" w:color="auto" w:fill="auto"/>
          </w:tcPr>
          <w:p w14:paraId="69549145" w14:textId="77777777" w:rsidR="0066080A" w:rsidRPr="00A8357F" w:rsidRDefault="0066080A" w:rsidP="00BE4767">
            <w:pPr>
              <w:bidi/>
              <w:ind w:left="43"/>
              <w:rPr>
                <w:b/>
                <w:bCs/>
                <w:szCs w:val="22"/>
                <w:rtl/>
              </w:rPr>
            </w:pPr>
            <w:r w:rsidRPr="00A8357F">
              <w:rPr>
                <w:b/>
                <w:bCs/>
                <w:szCs w:val="22"/>
              </w:rPr>
              <w:t>UNEG</w:t>
            </w:r>
          </w:p>
        </w:tc>
        <w:tc>
          <w:tcPr>
            <w:tcW w:w="7230" w:type="dxa"/>
            <w:shd w:val="clear" w:color="auto" w:fill="auto"/>
          </w:tcPr>
          <w:p w14:paraId="6C55E53F" w14:textId="77777777" w:rsidR="0066080A" w:rsidRPr="00A8357F" w:rsidRDefault="0066080A" w:rsidP="00BE4767">
            <w:pPr>
              <w:bidi/>
              <w:ind w:left="43"/>
              <w:rPr>
                <w:szCs w:val="22"/>
                <w:rtl/>
              </w:rPr>
            </w:pPr>
            <w:r w:rsidRPr="00A8357F">
              <w:rPr>
                <w:rFonts w:hint="cs"/>
                <w:szCs w:val="22"/>
                <w:rtl/>
              </w:rPr>
              <w:t>فريق الأمم المتحدة المعني بالتقييم</w:t>
            </w:r>
          </w:p>
        </w:tc>
      </w:tr>
      <w:tr w:rsidR="0066080A" w:rsidRPr="00A8357F" w14:paraId="317B6EF6" w14:textId="77777777" w:rsidTr="00335B35">
        <w:trPr>
          <w:trHeight w:val="340"/>
          <w:tblHeader/>
        </w:trPr>
        <w:tc>
          <w:tcPr>
            <w:tcW w:w="1701" w:type="dxa"/>
            <w:shd w:val="clear" w:color="auto" w:fill="auto"/>
          </w:tcPr>
          <w:p w14:paraId="3B5E29E5" w14:textId="77777777" w:rsidR="0066080A" w:rsidRPr="00A8357F" w:rsidRDefault="0066080A" w:rsidP="00BE4767">
            <w:pPr>
              <w:bidi/>
              <w:ind w:left="43"/>
              <w:rPr>
                <w:b/>
                <w:bCs/>
                <w:szCs w:val="22"/>
                <w:rtl/>
              </w:rPr>
            </w:pPr>
            <w:r w:rsidRPr="00A8357F">
              <w:rPr>
                <w:b/>
                <w:bCs/>
                <w:szCs w:val="22"/>
              </w:rPr>
              <w:t>WIPO</w:t>
            </w:r>
          </w:p>
        </w:tc>
        <w:tc>
          <w:tcPr>
            <w:tcW w:w="7230" w:type="dxa"/>
            <w:shd w:val="clear" w:color="auto" w:fill="auto"/>
          </w:tcPr>
          <w:p w14:paraId="267A00BF" w14:textId="77777777" w:rsidR="0066080A" w:rsidRPr="00A8357F" w:rsidRDefault="0066080A" w:rsidP="00BE4767">
            <w:pPr>
              <w:bidi/>
              <w:ind w:left="43"/>
              <w:rPr>
                <w:szCs w:val="22"/>
                <w:rtl/>
              </w:rPr>
            </w:pPr>
            <w:r w:rsidRPr="00A8357F">
              <w:rPr>
                <w:rFonts w:hint="cs"/>
                <w:szCs w:val="22"/>
                <w:rtl/>
              </w:rPr>
              <w:t>المنظمة العالمية للملكية الفكرية</w:t>
            </w:r>
          </w:p>
        </w:tc>
      </w:tr>
      <w:tr w:rsidR="00CC620E" w:rsidRPr="00A8357F" w14:paraId="2342FDF5" w14:textId="77777777" w:rsidTr="00335B35">
        <w:trPr>
          <w:trHeight w:val="340"/>
          <w:tblHeader/>
        </w:trPr>
        <w:tc>
          <w:tcPr>
            <w:tcW w:w="1701" w:type="dxa"/>
            <w:shd w:val="clear" w:color="auto" w:fill="auto"/>
          </w:tcPr>
          <w:p w14:paraId="675CA975" w14:textId="77777777" w:rsidR="00CC620E" w:rsidRPr="00A8357F" w:rsidRDefault="00CC620E" w:rsidP="00BE4767">
            <w:pPr>
              <w:bidi/>
              <w:ind w:left="43"/>
              <w:rPr>
                <w:b/>
                <w:bCs/>
                <w:szCs w:val="22"/>
                <w:rtl/>
              </w:rPr>
            </w:pPr>
            <w:r w:rsidRPr="00A8357F">
              <w:rPr>
                <w:b/>
                <w:bCs/>
                <w:szCs w:val="22"/>
              </w:rPr>
              <w:t>WPR</w:t>
            </w:r>
          </w:p>
        </w:tc>
        <w:tc>
          <w:tcPr>
            <w:tcW w:w="7230" w:type="dxa"/>
            <w:shd w:val="clear" w:color="auto" w:fill="auto"/>
          </w:tcPr>
          <w:p w14:paraId="68DDE264" w14:textId="77777777" w:rsidR="00CC620E" w:rsidRPr="00A8357F" w:rsidRDefault="00CC620E" w:rsidP="00BE4767">
            <w:pPr>
              <w:bidi/>
              <w:ind w:left="43"/>
              <w:rPr>
                <w:szCs w:val="22"/>
                <w:rtl/>
              </w:rPr>
            </w:pPr>
            <w:r w:rsidRPr="00A8357F">
              <w:rPr>
                <w:rFonts w:hint="cs"/>
                <w:szCs w:val="22"/>
                <w:rtl/>
              </w:rPr>
              <w:t>تقرير أداء الويبو</w:t>
            </w:r>
          </w:p>
        </w:tc>
      </w:tr>
    </w:tbl>
    <w:p w14:paraId="5C155B7F" w14:textId="77777777" w:rsidR="00C46B12" w:rsidRPr="00A8357F" w:rsidRDefault="00C46B12" w:rsidP="00BE4767">
      <w:pPr>
        <w:bidi/>
        <w:rPr>
          <w:b/>
          <w:bCs/>
          <w:szCs w:val="22"/>
          <w:rtl/>
        </w:rPr>
      </w:pPr>
      <w:r w:rsidRPr="00A8357F">
        <w:rPr>
          <w:rFonts w:hint="cs"/>
          <w:szCs w:val="22"/>
          <w:rtl/>
        </w:rPr>
        <w:br w:type="page"/>
      </w:r>
    </w:p>
    <w:p w14:paraId="3A63F985" w14:textId="77777777" w:rsidR="00C46B12" w:rsidRPr="00A8357F" w:rsidRDefault="00C46B12" w:rsidP="00BE4767">
      <w:pPr>
        <w:pStyle w:val="Heading1"/>
        <w:bidi/>
        <w:rPr>
          <w:szCs w:val="22"/>
          <w:rtl/>
        </w:rPr>
      </w:pPr>
      <w:bookmarkStart w:id="17" w:name="_Toc420663565"/>
      <w:bookmarkStart w:id="18" w:name="_Toc39071244"/>
      <w:bookmarkStart w:id="19" w:name="_Toc99122799"/>
      <w:bookmarkEnd w:id="11"/>
      <w:bookmarkEnd w:id="12"/>
      <w:bookmarkEnd w:id="13"/>
      <w:bookmarkEnd w:id="14"/>
      <w:bookmarkEnd w:id="15"/>
      <w:bookmarkEnd w:id="16"/>
      <w:r w:rsidRPr="00A8357F">
        <w:rPr>
          <w:rFonts w:hint="cs"/>
          <w:szCs w:val="22"/>
          <w:rtl/>
        </w:rPr>
        <w:lastRenderedPageBreak/>
        <w:t>معلومات أساسية</w:t>
      </w:r>
      <w:bookmarkEnd w:id="17"/>
      <w:bookmarkEnd w:id="18"/>
      <w:bookmarkEnd w:id="19"/>
    </w:p>
    <w:p w14:paraId="286829C0" w14:textId="6DDE6402" w:rsidR="00C46B12" w:rsidRPr="00A8357F" w:rsidRDefault="00C46B12" w:rsidP="00D04C35">
      <w:pPr>
        <w:pStyle w:val="ONUME"/>
        <w:numPr>
          <w:ilvl w:val="0"/>
          <w:numId w:val="7"/>
        </w:numPr>
        <w:bidi/>
        <w:rPr>
          <w:szCs w:val="22"/>
          <w:rtl/>
        </w:rPr>
      </w:pPr>
      <w:r w:rsidRPr="00A8357F">
        <w:rPr>
          <w:rFonts w:hint="cs"/>
          <w:szCs w:val="22"/>
          <w:rtl/>
        </w:rPr>
        <w:t>الغرض من شعبة الرقابة الداخلية التابعة للمنظمة العالمية للملكية الفكرية (الويبو) هو توفير رقابة داخلية مستقلة وفعالة للمنظمة، وفقاً للأحكام المنصوص عليها في ميثاق الرقابة الداخلية.</w:t>
      </w:r>
    </w:p>
    <w:p w14:paraId="3F167AB3" w14:textId="77777777" w:rsidR="00C46B12" w:rsidRPr="00A8357F" w:rsidRDefault="00C46B12" w:rsidP="00BE4767">
      <w:pPr>
        <w:pStyle w:val="ONUME"/>
        <w:bidi/>
        <w:rPr>
          <w:szCs w:val="22"/>
          <w:rtl/>
        </w:rPr>
      </w:pPr>
      <w:r w:rsidRPr="00A8357F">
        <w:rPr>
          <w:rFonts w:hint="cs"/>
          <w:szCs w:val="22"/>
          <w:rtl/>
        </w:rPr>
        <w:t>ويقضي ميثاق الرقابة الداخلية</w:t>
      </w:r>
      <w:r w:rsidRPr="00A8357F">
        <w:rPr>
          <w:rStyle w:val="FootnoteReference"/>
          <w:szCs w:val="22"/>
          <w:rtl/>
        </w:rPr>
        <w:footnoteReference w:id="2"/>
      </w:r>
      <w:r w:rsidRPr="00A8357F">
        <w:rPr>
          <w:rFonts w:hint="cs"/>
          <w:szCs w:val="22"/>
          <w:rtl/>
        </w:rPr>
        <w:t xml:space="preserve"> بأن يقدِّم مدير شعبة الرقابة الداخلية تقريراً سنوياً موجزاً إلى الجمعية العامة </w:t>
      </w:r>
      <w:proofErr w:type="spellStart"/>
      <w:r w:rsidRPr="00A8357F">
        <w:rPr>
          <w:rFonts w:hint="cs"/>
          <w:szCs w:val="22"/>
          <w:rtl/>
        </w:rPr>
        <w:t>للويبو</w:t>
      </w:r>
      <w:proofErr w:type="spellEnd"/>
      <w:r w:rsidRPr="00A8357F">
        <w:rPr>
          <w:rFonts w:hint="cs"/>
          <w:szCs w:val="22"/>
          <w:rtl/>
        </w:rPr>
        <w:t xml:space="preserve"> عن طريق لجنة البرنامج والميزانية.</w:t>
      </w:r>
      <w:r w:rsidR="00BE4767">
        <w:rPr>
          <w:rFonts w:hint="cs"/>
          <w:szCs w:val="22"/>
          <w:rtl/>
        </w:rPr>
        <w:t xml:space="preserve"> </w:t>
      </w:r>
      <w:r w:rsidRPr="00A8357F">
        <w:rPr>
          <w:rFonts w:hint="cs"/>
          <w:szCs w:val="22"/>
          <w:rtl/>
        </w:rPr>
        <w:t>ويقدِّم التقرير السنوي لمحة عامة عن أنشطة الرقابة الداخلية التي أُنجزت في أثناء الفترة المشمولة بالتقرير، بما في ذلك نطاق هذه الأنشطة وأهدافها والجدول الزمني للعمل المُنجز والتقدم المُحرز في تنفيذ توصيات الرقابة الداخلية.</w:t>
      </w:r>
      <w:bookmarkStart w:id="20" w:name="_Toc420663566"/>
      <w:bookmarkStart w:id="21" w:name="_Toc328920434"/>
    </w:p>
    <w:p w14:paraId="5C8C5663" w14:textId="77777777" w:rsidR="00BE4767" w:rsidRDefault="00C46B12" w:rsidP="00BE4767">
      <w:pPr>
        <w:pStyle w:val="ONUME"/>
        <w:bidi/>
        <w:rPr>
          <w:szCs w:val="22"/>
          <w:rtl/>
        </w:rPr>
      </w:pPr>
      <w:r w:rsidRPr="00A8357F">
        <w:rPr>
          <w:rFonts w:hint="cs"/>
          <w:szCs w:val="22"/>
          <w:rtl/>
        </w:rPr>
        <w:t>ووفقاً لميثاق الرقابة الداخلية، قُدِّمت إلى المدير العام واللجنة الاستشارية المستقلة للرقابة نسخة من مشروع التقرير السنوي لتقديم تعليقات عليه، وأُخذ بتلك التعليقات في النسخة النهائية من التقرير.</w:t>
      </w:r>
    </w:p>
    <w:p w14:paraId="01C088DE" w14:textId="7255B1A1" w:rsidR="00C46B12" w:rsidRPr="00A8357F" w:rsidRDefault="00C46B12" w:rsidP="00BE4767">
      <w:pPr>
        <w:pStyle w:val="Heading1"/>
        <w:bidi/>
        <w:rPr>
          <w:szCs w:val="22"/>
          <w:rtl/>
        </w:rPr>
      </w:pPr>
      <w:bookmarkStart w:id="22" w:name="_Toc39071245"/>
      <w:bookmarkStart w:id="23" w:name="_Toc99122800"/>
      <w:r w:rsidRPr="00A8357F">
        <w:rPr>
          <w:rFonts w:hint="cs"/>
          <w:szCs w:val="22"/>
          <w:rtl/>
        </w:rPr>
        <w:t>أبرز أحداث الفترة المشمولة بالتقرير</w:t>
      </w:r>
      <w:bookmarkEnd w:id="22"/>
      <w:bookmarkEnd w:id="23"/>
    </w:p>
    <w:p w14:paraId="6F5FCBD9" w14:textId="0E9802AC" w:rsidR="00FD01E5" w:rsidRPr="00A8357F" w:rsidRDefault="004448FF" w:rsidP="0096186F">
      <w:pPr>
        <w:pStyle w:val="ONUME"/>
        <w:bidi/>
        <w:rPr>
          <w:szCs w:val="22"/>
          <w:rtl/>
        </w:rPr>
      </w:pPr>
      <w:r w:rsidRPr="00A8357F">
        <w:rPr>
          <w:rFonts w:hint="cs"/>
          <w:szCs w:val="22"/>
          <w:rtl/>
        </w:rPr>
        <w:t>استمرت في عام 2021 المخاطر وحالات عدم اليقين الناجمة عن جائحة مرض فيروس كورونا (كوفيد-19) التي أثرت تأثيراً كبيراً في عام 2020.</w:t>
      </w:r>
      <w:r w:rsidR="00BE4767">
        <w:rPr>
          <w:rFonts w:hint="cs"/>
          <w:szCs w:val="22"/>
          <w:rtl/>
        </w:rPr>
        <w:t xml:space="preserve"> </w:t>
      </w:r>
      <w:r w:rsidRPr="00A8357F">
        <w:rPr>
          <w:rFonts w:hint="cs"/>
          <w:szCs w:val="22"/>
          <w:rtl/>
        </w:rPr>
        <w:t>ولذلك، واصلت الويبو اتخاذ تدابير استثنائية لحماية الأرواح والتقليل إلى أدنى حد ممكن من تأثير الجائحة في عملها.</w:t>
      </w:r>
      <w:r w:rsidR="00BE4767">
        <w:rPr>
          <w:rFonts w:hint="cs"/>
          <w:szCs w:val="22"/>
          <w:rtl/>
        </w:rPr>
        <w:t xml:space="preserve"> </w:t>
      </w:r>
      <w:r w:rsidRPr="00A8357F">
        <w:rPr>
          <w:rFonts w:hint="cs"/>
          <w:szCs w:val="22"/>
          <w:rtl/>
        </w:rPr>
        <w:t xml:space="preserve">وفي هذا المقام، تود شعبة الرقابة الداخلية أن تشكر جميع الزملاء في الويبو ومقدمي الخدمات الخارجيين </w:t>
      </w:r>
      <w:r w:rsidR="0096186F">
        <w:rPr>
          <w:rFonts w:hint="cs"/>
          <w:szCs w:val="22"/>
          <w:rtl/>
        </w:rPr>
        <w:t>الذين كانوا يعملون</w:t>
      </w:r>
      <w:r w:rsidRPr="00A8357F">
        <w:rPr>
          <w:rFonts w:hint="cs"/>
          <w:szCs w:val="22"/>
          <w:rtl/>
        </w:rPr>
        <w:t xml:space="preserve"> </w:t>
      </w:r>
      <w:r w:rsidR="0096186F">
        <w:rPr>
          <w:rFonts w:hint="cs"/>
          <w:szCs w:val="22"/>
          <w:rtl/>
        </w:rPr>
        <w:t>على</w:t>
      </w:r>
      <w:r w:rsidRPr="00A8357F">
        <w:rPr>
          <w:rFonts w:hint="cs"/>
          <w:szCs w:val="22"/>
          <w:rtl/>
        </w:rPr>
        <w:t xml:space="preserve"> ضمان سلامتنا </w:t>
      </w:r>
      <w:r w:rsidR="0096186F">
        <w:rPr>
          <w:rFonts w:hint="cs"/>
          <w:szCs w:val="22"/>
          <w:rtl/>
        </w:rPr>
        <w:t>ويدعمون</w:t>
      </w:r>
      <w:r w:rsidRPr="00A8357F">
        <w:rPr>
          <w:rFonts w:hint="cs"/>
          <w:szCs w:val="22"/>
          <w:rtl/>
        </w:rPr>
        <w:t xml:space="preserve"> عملنا عن بُعد.</w:t>
      </w:r>
      <w:r w:rsidR="00BE4767">
        <w:rPr>
          <w:rFonts w:hint="cs"/>
          <w:szCs w:val="22"/>
          <w:rtl/>
        </w:rPr>
        <w:t xml:space="preserve"> </w:t>
      </w:r>
      <w:r w:rsidRPr="00A8357F">
        <w:rPr>
          <w:rFonts w:hint="cs"/>
          <w:szCs w:val="22"/>
          <w:rtl/>
        </w:rPr>
        <w:t>وإننا نأمل بل نتطلع إلى أن يكون عام 2022 عاماً أفضل.</w:t>
      </w:r>
    </w:p>
    <w:p w14:paraId="6F7B3026" w14:textId="434DB12A" w:rsidR="00A93860" w:rsidRPr="00B91FC4" w:rsidRDefault="004448FF" w:rsidP="00BE4767">
      <w:pPr>
        <w:pStyle w:val="ONUME"/>
        <w:bidi/>
        <w:rPr>
          <w:spacing w:val="-1"/>
          <w:szCs w:val="22"/>
          <w:rtl/>
        </w:rPr>
      </w:pPr>
      <w:r w:rsidRPr="00B91FC4">
        <w:rPr>
          <w:rFonts w:hint="cs"/>
          <w:spacing w:val="-1"/>
          <w:szCs w:val="22"/>
          <w:rtl/>
        </w:rPr>
        <w:t>وتلاحظ شعبة الرقابة الداخلية أن عام 2021 شهد استعراض وتعديل إطار الإدارة القائمة على النتائج للسنوات المقبلة، ووضع رؤية استراتيجية جديدة.</w:t>
      </w:r>
      <w:r w:rsidR="00BE4767" w:rsidRPr="00B91FC4">
        <w:rPr>
          <w:rFonts w:hint="cs"/>
          <w:spacing w:val="-1"/>
          <w:szCs w:val="22"/>
          <w:rtl/>
        </w:rPr>
        <w:t xml:space="preserve"> </w:t>
      </w:r>
      <w:r w:rsidRPr="00B91FC4">
        <w:rPr>
          <w:rFonts w:hint="cs"/>
          <w:spacing w:val="-1"/>
          <w:szCs w:val="22"/>
          <w:rtl/>
        </w:rPr>
        <w:t>وقد أُصدرت خطة استراتيجية جديدة متوسطة الأجل للفترة 2022-2026 تحتوي على بيان للاستراتيجية يقوم على أربع ركائز وأساس.</w:t>
      </w:r>
      <w:r w:rsidR="00BE4767" w:rsidRPr="00B91FC4">
        <w:rPr>
          <w:rFonts w:hint="cs"/>
          <w:spacing w:val="-1"/>
          <w:szCs w:val="22"/>
          <w:rtl/>
        </w:rPr>
        <w:t xml:space="preserve"> </w:t>
      </w:r>
      <w:r w:rsidRPr="00B91FC4">
        <w:rPr>
          <w:rFonts w:hint="cs"/>
          <w:spacing w:val="-1"/>
          <w:szCs w:val="22"/>
          <w:rtl/>
        </w:rPr>
        <w:t>وسعياً إلى دعم هذه المبادرة، وضعت شعبة الرقابة الداخلية أيضاً استراتيجية لعامَي 2022 و2023 تتماشى مع الخطة الاستراتيجية المتوسطة الأجل، وستُنفذ عدداً من المبادرات الاستراتيجية لدعم المنظمة في تحقيق تركيزها</w:t>
      </w:r>
      <w:r w:rsidR="005E3DE5" w:rsidRPr="00B91FC4">
        <w:rPr>
          <w:rFonts w:hint="eastAsia"/>
          <w:spacing w:val="-1"/>
          <w:szCs w:val="22"/>
          <w:rtl/>
        </w:rPr>
        <w:t> </w:t>
      </w:r>
      <w:r w:rsidRPr="00B91FC4">
        <w:rPr>
          <w:rFonts w:hint="cs"/>
          <w:spacing w:val="-1"/>
          <w:szCs w:val="22"/>
          <w:rtl/>
        </w:rPr>
        <w:t>الاستراتيجي.</w:t>
      </w:r>
    </w:p>
    <w:p w14:paraId="0196B5DB" w14:textId="77777777" w:rsidR="00BE4767" w:rsidRPr="00B91FC4" w:rsidRDefault="00E5144A" w:rsidP="00BE4767">
      <w:pPr>
        <w:pStyle w:val="ONUME"/>
        <w:bidi/>
        <w:rPr>
          <w:spacing w:val="2"/>
          <w:szCs w:val="22"/>
          <w:rtl/>
        </w:rPr>
      </w:pPr>
      <w:r w:rsidRPr="00B91FC4">
        <w:rPr>
          <w:rFonts w:hint="cs"/>
          <w:spacing w:val="2"/>
          <w:szCs w:val="22"/>
          <w:rtl/>
        </w:rPr>
        <w:t>وتواصل شعبة الرقابة الداخلية تقديم الدعم إلى الويبو في تعزيز الضوابط والمساءلة والشفافية والتعلم عن طريق إدراج أدوات وممارسات مبتكرة ومناسبة للغرض المتوخى من شأنها أن تساعد الويبو على الارتقاء بمعاييرها في مجالَي إدارة المخاطر وتنفيذ البرامج وغيرهما.</w:t>
      </w:r>
    </w:p>
    <w:p w14:paraId="48566F72" w14:textId="17587F35" w:rsidR="00BE4767" w:rsidRDefault="00A65650" w:rsidP="00BE4767">
      <w:pPr>
        <w:pStyle w:val="ONUME"/>
        <w:bidi/>
        <w:rPr>
          <w:szCs w:val="22"/>
          <w:rtl/>
        </w:rPr>
      </w:pPr>
      <w:r w:rsidRPr="00A8357F">
        <w:rPr>
          <w:rFonts w:hint="cs"/>
          <w:szCs w:val="22"/>
          <w:rtl/>
        </w:rPr>
        <w:t>وتواصل شعبة الرقابة الداخلية المشاركة في عمليات التعاون المشتركة بين القطاعات والتي تجمع بين مراجعي الحسابات والمدققين وخبراء التحقيق والتقييم.</w:t>
      </w:r>
      <w:r w:rsidR="00BE4767">
        <w:rPr>
          <w:rFonts w:hint="cs"/>
          <w:szCs w:val="22"/>
          <w:rtl/>
        </w:rPr>
        <w:t xml:space="preserve"> </w:t>
      </w:r>
      <w:r w:rsidRPr="00A8357F">
        <w:rPr>
          <w:rFonts w:hint="cs"/>
          <w:szCs w:val="22"/>
          <w:rtl/>
        </w:rPr>
        <w:t>وترمي أعمال التعاون هذه إلى تقديم تدقيق أكثر اكتمالاً وتعمقاً لبرامج الويبو.</w:t>
      </w:r>
      <w:r w:rsidR="00BE4767">
        <w:rPr>
          <w:rFonts w:hint="cs"/>
          <w:szCs w:val="22"/>
          <w:rtl/>
        </w:rPr>
        <w:t xml:space="preserve"> </w:t>
      </w:r>
      <w:r w:rsidRPr="00A8357F">
        <w:rPr>
          <w:rFonts w:hint="cs"/>
          <w:szCs w:val="22"/>
          <w:rtl/>
        </w:rPr>
        <w:t>ويُعدّ "استعراض إدارة الويبو للأزمات في أثناء الجائحة" أحد الأعمال التي تطلبت تعاون القائمين على الوظائف الثلاث لشعبة الرقابة الداخلية.</w:t>
      </w:r>
    </w:p>
    <w:p w14:paraId="5078177F" w14:textId="746E9290" w:rsidR="004448FF" w:rsidRPr="00A8357F" w:rsidRDefault="004448FF" w:rsidP="0096186F">
      <w:pPr>
        <w:pStyle w:val="ONUME"/>
        <w:bidi/>
        <w:rPr>
          <w:szCs w:val="22"/>
          <w:rtl/>
        </w:rPr>
      </w:pPr>
      <w:r w:rsidRPr="00A8357F">
        <w:rPr>
          <w:rFonts w:hint="cs"/>
          <w:szCs w:val="22"/>
          <w:rtl/>
        </w:rPr>
        <w:t xml:space="preserve">ووسعت شعبة الرقابة الداخلية نطاق خدماتها لتشمل </w:t>
      </w:r>
      <w:r w:rsidR="0096186F">
        <w:rPr>
          <w:rFonts w:hint="cs"/>
          <w:szCs w:val="22"/>
          <w:rtl/>
        </w:rPr>
        <w:t xml:space="preserve">خدمات تقديم </w:t>
      </w:r>
      <w:r w:rsidRPr="00A8357F">
        <w:rPr>
          <w:rFonts w:hint="cs"/>
          <w:szCs w:val="22"/>
          <w:rtl/>
        </w:rPr>
        <w:t>المشورة والاستشارات</w:t>
      </w:r>
      <w:r w:rsidR="0096186F">
        <w:rPr>
          <w:rStyle w:val="FootnoteReference"/>
          <w:szCs w:val="22"/>
          <w:rtl/>
        </w:rPr>
        <w:footnoteReference w:id="3"/>
      </w:r>
      <w:r w:rsidRPr="00A8357F">
        <w:rPr>
          <w:rFonts w:hint="cs"/>
          <w:szCs w:val="22"/>
          <w:rtl/>
        </w:rPr>
        <w:t>.</w:t>
      </w:r>
      <w:r w:rsidR="00BE4767">
        <w:rPr>
          <w:rFonts w:hint="cs"/>
          <w:szCs w:val="22"/>
          <w:rtl/>
        </w:rPr>
        <w:t xml:space="preserve"> </w:t>
      </w:r>
      <w:r w:rsidR="0096186F">
        <w:rPr>
          <w:rFonts w:hint="cs"/>
          <w:szCs w:val="22"/>
          <w:rtl/>
          <w:lang w:bidi="ar-SY"/>
        </w:rPr>
        <w:t>و</w:t>
      </w:r>
      <w:r w:rsidRPr="00A8357F">
        <w:rPr>
          <w:rFonts w:hint="cs"/>
          <w:szCs w:val="22"/>
          <w:rtl/>
        </w:rPr>
        <w:t xml:space="preserve">من ضمن الأمثلة على </w:t>
      </w:r>
      <w:r w:rsidR="0096186F">
        <w:rPr>
          <w:rFonts w:hint="cs"/>
          <w:szCs w:val="22"/>
          <w:rtl/>
        </w:rPr>
        <w:t>هذه</w:t>
      </w:r>
      <w:r w:rsidRPr="00A8357F">
        <w:rPr>
          <w:rFonts w:hint="cs"/>
          <w:szCs w:val="22"/>
          <w:rtl/>
        </w:rPr>
        <w:t xml:space="preserve"> </w:t>
      </w:r>
      <w:r w:rsidR="0096186F">
        <w:rPr>
          <w:rFonts w:hint="cs"/>
          <w:szCs w:val="22"/>
          <w:rtl/>
        </w:rPr>
        <w:t xml:space="preserve">الخدمات </w:t>
      </w:r>
      <w:r w:rsidRPr="00A8357F">
        <w:rPr>
          <w:rFonts w:hint="cs"/>
          <w:szCs w:val="22"/>
          <w:rtl/>
        </w:rPr>
        <w:t>تقديم المشورة بشأن العملية و</w:t>
      </w:r>
      <w:r w:rsidR="0096186F">
        <w:rPr>
          <w:rFonts w:hint="cs"/>
          <w:szCs w:val="22"/>
          <w:rtl/>
        </w:rPr>
        <w:t xml:space="preserve">ضمان الجودة يشأن </w:t>
      </w:r>
      <w:r w:rsidRPr="00A8357F">
        <w:rPr>
          <w:rFonts w:hint="cs"/>
          <w:szCs w:val="22"/>
          <w:rtl/>
        </w:rPr>
        <w:t xml:space="preserve">المدخلات الخاصة بأداة تقنية </w:t>
      </w:r>
      <w:r w:rsidR="0096186F">
        <w:rPr>
          <w:rFonts w:hint="cs"/>
          <w:szCs w:val="22"/>
          <w:rtl/>
        </w:rPr>
        <w:t>خاصة ب</w:t>
      </w:r>
      <w:r w:rsidRPr="00A8357F">
        <w:rPr>
          <w:rFonts w:hint="cs"/>
          <w:szCs w:val="22"/>
          <w:rtl/>
        </w:rPr>
        <w:t>تحديد المؤشرات الأساسية والتقييم الذاتي للاستراتيجيات الوطنية للملكية الفكرية.</w:t>
      </w:r>
    </w:p>
    <w:p w14:paraId="2C6669CB" w14:textId="3EE78EB2" w:rsidR="00BE4767" w:rsidRDefault="004448FF" w:rsidP="00BE4767">
      <w:pPr>
        <w:pStyle w:val="ONUME"/>
        <w:bidi/>
        <w:rPr>
          <w:szCs w:val="22"/>
          <w:rtl/>
        </w:rPr>
      </w:pPr>
      <w:r w:rsidRPr="00A8357F">
        <w:rPr>
          <w:rFonts w:hint="cs"/>
          <w:szCs w:val="22"/>
          <w:rtl/>
        </w:rPr>
        <w:t>وأنجزت شعبة الرقابة الداخلية مشروعاً لدعم تحليلات البيانات والمراجعة المستمرة للحسابات، وهو ما سيعزز أعمال الضمان التي تضطلع بها الشعبة.</w:t>
      </w:r>
      <w:r w:rsidR="00BE4767">
        <w:rPr>
          <w:rFonts w:hint="cs"/>
          <w:szCs w:val="22"/>
          <w:rtl/>
        </w:rPr>
        <w:t xml:space="preserve"> </w:t>
      </w:r>
      <w:r w:rsidRPr="00A8357F">
        <w:rPr>
          <w:rFonts w:hint="cs"/>
          <w:szCs w:val="22"/>
          <w:rtl/>
        </w:rPr>
        <w:t>وهذه خطوة أولى لدعم شعبة الرقابة الداخلية في تهيئة الظروف المناسبة للتمكن من إبداء رأي عام في بيان الويبو بشأن الرقابة الداخلية بحلول عام 2025.</w:t>
      </w:r>
    </w:p>
    <w:p w14:paraId="16894B68" w14:textId="543428AA" w:rsidR="00BE4767" w:rsidRPr="00CE6359" w:rsidRDefault="004448FF" w:rsidP="00CE6359">
      <w:pPr>
        <w:pStyle w:val="ONUME"/>
        <w:bidi/>
        <w:rPr>
          <w:szCs w:val="22"/>
          <w:rtl/>
        </w:rPr>
      </w:pPr>
      <w:r w:rsidRPr="00A8357F">
        <w:rPr>
          <w:rFonts w:hint="cs"/>
          <w:szCs w:val="22"/>
          <w:rtl/>
        </w:rPr>
        <w:t>وأخيراً، انتهت شعبة الرقابة الداخلية من الانتقال إلى نظام جديد لإدارة التدقيق والتوصيات مزود بتكنولوجيا حديثة وخصائص جديدة تدعم الفعالية والكفاءة في الوفاء بالالتزامات الرقابية وإدارة التوصيات.</w:t>
      </w:r>
      <w:r w:rsidR="00CE6359">
        <w:rPr>
          <w:szCs w:val="22"/>
          <w:rtl/>
        </w:rPr>
        <w:br w:type="page"/>
      </w:r>
    </w:p>
    <w:p w14:paraId="7FD5F2BA" w14:textId="1E80D90C" w:rsidR="00C46B12" w:rsidRPr="00A8357F" w:rsidRDefault="00C46B12" w:rsidP="00BE4767">
      <w:pPr>
        <w:pStyle w:val="Heading1"/>
        <w:bidi/>
        <w:rPr>
          <w:szCs w:val="22"/>
          <w:rtl/>
        </w:rPr>
      </w:pPr>
      <w:bookmarkStart w:id="24" w:name="_Toc39071246"/>
      <w:bookmarkStart w:id="25" w:name="_Toc99122801"/>
      <w:r w:rsidRPr="00A8357F">
        <w:rPr>
          <w:rFonts w:hint="cs"/>
          <w:szCs w:val="22"/>
          <w:rtl/>
        </w:rPr>
        <w:lastRenderedPageBreak/>
        <w:t>مبادئ التخطيط</w:t>
      </w:r>
      <w:bookmarkEnd w:id="20"/>
      <w:bookmarkEnd w:id="21"/>
      <w:bookmarkEnd w:id="24"/>
      <w:bookmarkEnd w:id="25"/>
    </w:p>
    <w:p w14:paraId="4DCDD4F0" w14:textId="1F92CBA5" w:rsidR="00C46B12" w:rsidRPr="00A8357F" w:rsidRDefault="00C46B12" w:rsidP="00CE6359">
      <w:pPr>
        <w:pStyle w:val="ONUME"/>
        <w:bidi/>
        <w:rPr>
          <w:szCs w:val="22"/>
          <w:rtl/>
        </w:rPr>
      </w:pPr>
      <w:r w:rsidRPr="00A8357F">
        <w:rPr>
          <w:rFonts w:hint="cs"/>
          <w:szCs w:val="22"/>
          <w:rtl/>
        </w:rPr>
        <w:t>راعت شعبة الرقابة الداخلية في وضع خطة عمل الرقابة الداخلية عدداً من العوامل منها تقييم المخاطر ودراسة الجدوى والأثر في البلد ودورة الرقابة والآراء التي قدّمتها إدارة الويبو والدول الأعضاء والموارد المتاحة.</w:t>
      </w:r>
      <w:r w:rsidR="00BE4767">
        <w:rPr>
          <w:rFonts w:hint="cs"/>
          <w:szCs w:val="22"/>
          <w:rtl/>
        </w:rPr>
        <w:t xml:space="preserve"> </w:t>
      </w:r>
      <w:r w:rsidRPr="00A8357F">
        <w:rPr>
          <w:rFonts w:hint="cs"/>
          <w:szCs w:val="22"/>
          <w:rtl/>
        </w:rPr>
        <w:t xml:space="preserve">وقُدِّم مشروع خطة عمل الرقابة الداخلية، قبل وضع الصيغة النهائية له، إلى اللجنة الاستشارية المستقلة للرقابة لاستعراضه وتقديم المشورة بشأنه </w:t>
      </w:r>
      <w:r w:rsidR="00CE6359">
        <w:rPr>
          <w:rFonts w:hint="cs"/>
          <w:szCs w:val="22"/>
          <w:rtl/>
        </w:rPr>
        <w:t>عملاً با</w:t>
      </w:r>
      <w:r w:rsidRPr="00A8357F">
        <w:rPr>
          <w:rFonts w:hint="cs"/>
          <w:szCs w:val="22"/>
          <w:rtl/>
        </w:rPr>
        <w:t>لفقرة 28(أ) من ميثاق الرقابة الداخلية</w:t>
      </w:r>
      <w:r w:rsidR="005602A7" w:rsidRPr="00A8357F">
        <w:rPr>
          <w:rStyle w:val="FootnoteReference"/>
          <w:szCs w:val="22"/>
          <w:rtl/>
        </w:rPr>
        <w:footnoteReference w:id="4"/>
      </w:r>
      <w:r w:rsidRPr="00A8357F">
        <w:rPr>
          <w:rFonts w:hint="cs"/>
          <w:szCs w:val="22"/>
          <w:rtl/>
        </w:rPr>
        <w:t>.</w:t>
      </w:r>
    </w:p>
    <w:p w14:paraId="6C6ECF54" w14:textId="1D7A489D" w:rsidR="00C46B12" w:rsidRPr="00A8357F" w:rsidRDefault="00C46B12" w:rsidP="00BE4767">
      <w:pPr>
        <w:pStyle w:val="ONUME"/>
        <w:bidi/>
        <w:rPr>
          <w:szCs w:val="22"/>
          <w:rtl/>
        </w:rPr>
      </w:pPr>
      <w:r w:rsidRPr="00A8357F">
        <w:rPr>
          <w:rFonts w:hint="cs"/>
          <w:szCs w:val="22"/>
          <w:rtl/>
        </w:rPr>
        <w:t>وتحقيقاً لأكبر قدر من التغطية الرقابية واستمثالاً للفعالية في استخدام الموارد المحدودة وتفادياً للازدواجية المحتملة في الأنشطة، راعت شعبة الرقابة الداخلية أيضاً العمل الذي أنجزته هيئات رقابة أخرى مثل المدقق الخارجي ووحدة التفتيش المشتركة فضلاً عن التقييمات التي طلبتها اللجنة المعنية بالتنمية والملكية الفكرية.</w:t>
      </w:r>
    </w:p>
    <w:p w14:paraId="7214C90A" w14:textId="77777777" w:rsidR="00C46B12" w:rsidRPr="00A8357F" w:rsidRDefault="00C46B12" w:rsidP="00BE4767">
      <w:pPr>
        <w:pStyle w:val="Heading1"/>
        <w:bidi/>
        <w:rPr>
          <w:szCs w:val="22"/>
          <w:rtl/>
        </w:rPr>
      </w:pPr>
      <w:bookmarkStart w:id="26" w:name="_Toc420663567"/>
      <w:bookmarkStart w:id="27" w:name="_Toc39071247"/>
      <w:bookmarkStart w:id="28" w:name="_Toc99122802"/>
      <w:r w:rsidRPr="00A8357F">
        <w:rPr>
          <w:rFonts w:hint="cs"/>
          <w:szCs w:val="22"/>
          <w:rtl/>
        </w:rPr>
        <w:t>المعايير المهنية</w:t>
      </w:r>
      <w:bookmarkEnd w:id="26"/>
      <w:bookmarkEnd w:id="27"/>
      <w:bookmarkEnd w:id="28"/>
    </w:p>
    <w:p w14:paraId="592CFF08" w14:textId="77777777" w:rsidR="00BE4767" w:rsidRDefault="00A93860" w:rsidP="00BE4767">
      <w:pPr>
        <w:pStyle w:val="ONUME"/>
        <w:bidi/>
        <w:rPr>
          <w:szCs w:val="22"/>
          <w:rtl/>
        </w:rPr>
      </w:pPr>
      <w:r w:rsidRPr="00A8357F">
        <w:rPr>
          <w:rFonts w:hint="cs"/>
          <w:szCs w:val="22"/>
          <w:rtl/>
        </w:rPr>
        <w:t>تضطلع شعبة الرقابة الداخلية بأنشطتها الرقابية بما يتوافق مع العناصر الإلزامية للإطار الدولي للممارسات المهنية الخاصة الذي أصدره معهد المدققين الداخليين، بما في ذلك المعايير الأساسية للممارسة المهنية للتدقيق الداخلي، والمبادئ الأساسية للممارسة المهنية للتدقيق الداخلي، وتعريف التدقيق الداخلي، ومدونة السلوك.</w:t>
      </w:r>
    </w:p>
    <w:p w14:paraId="78E7CD24" w14:textId="530DF2EB" w:rsidR="00ED3A15" w:rsidRPr="00A8357F" w:rsidRDefault="00C46B12" w:rsidP="00BE4767">
      <w:pPr>
        <w:pStyle w:val="ONUME"/>
        <w:bidi/>
        <w:rPr>
          <w:szCs w:val="22"/>
          <w:rtl/>
        </w:rPr>
      </w:pPr>
      <w:r w:rsidRPr="00A8357F">
        <w:rPr>
          <w:rFonts w:hint="cs"/>
          <w:szCs w:val="22"/>
          <w:rtl/>
        </w:rPr>
        <w:t>وبالمثل، تتماشى أعمال التحقيق التي تجريها شعبة الرقابة الداخلية مع المبادئ التوجيهية الموحدة والمبادئ التوجيهية للتحقيق التي أقرها مؤتمر المحققين الدوليين.</w:t>
      </w:r>
    </w:p>
    <w:p w14:paraId="6FB5CE05" w14:textId="77777777" w:rsidR="00C46B12" w:rsidRPr="00A8357F" w:rsidRDefault="00C46B12" w:rsidP="00BE4767">
      <w:pPr>
        <w:pStyle w:val="ONUME"/>
        <w:bidi/>
        <w:rPr>
          <w:szCs w:val="22"/>
          <w:rtl/>
        </w:rPr>
      </w:pPr>
      <w:r w:rsidRPr="00A8357F">
        <w:rPr>
          <w:rFonts w:hint="cs"/>
          <w:szCs w:val="22"/>
          <w:rtl/>
        </w:rPr>
        <w:t>وتمتثل شعبة الرقابة الداخلية في أنشطة التقييم التي تجريها للمعايير الدولية لممارسات التقييم كما حددها فريق الأمم المتحدة المعني بالتقييم.</w:t>
      </w:r>
    </w:p>
    <w:p w14:paraId="2CAD7E0B" w14:textId="77777777" w:rsidR="001B2E69" w:rsidRPr="00A8357F" w:rsidRDefault="001B2E69" w:rsidP="00BE4767">
      <w:pPr>
        <w:pStyle w:val="Heading1"/>
        <w:bidi/>
        <w:rPr>
          <w:szCs w:val="22"/>
          <w:rtl/>
        </w:rPr>
      </w:pPr>
      <w:bookmarkStart w:id="29" w:name="_Toc99122803"/>
      <w:r w:rsidRPr="00A8357F">
        <w:rPr>
          <w:rFonts w:hint="cs"/>
          <w:szCs w:val="22"/>
          <w:rtl/>
        </w:rPr>
        <w:t xml:space="preserve">تعميم مراعاة المنظور </w:t>
      </w:r>
      <w:proofErr w:type="spellStart"/>
      <w:r w:rsidRPr="00A8357F">
        <w:rPr>
          <w:rFonts w:hint="cs"/>
          <w:szCs w:val="22"/>
          <w:rtl/>
        </w:rPr>
        <w:t>الجنساني</w:t>
      </w:r>
      <w:bookmarkEnd w:id="29"/>
      <w:proofErr w:type="spellEnd"/>
    </w:p>
    <w:p w14:paraId="02EDC0B3" w14:textId="4638A6A7" w:rsidR="00BE4767" w:rsidRDefault="001B2E69" w:rsidP="00BE4767">
      <w:pPr>
        <w:pStyle w:val="ONUME"/>
        <w:bidi/>
        <w:rPr>
          <w:szCs w:val="22"/>
          <w:rtl/>
        </w:rPr>
      </w:pPr>
      <w:r w:rsidRPr="00A8357F">
        <w:rPr>
          <w:rFonts w:hint="cs"/>
          <w:szCs w:val="22"/>
          <w:rtl/>
        </w:rPr>
        <w:t>في سياق تقرير أداء برنامج الأمم المتحدة للمساواة بين الجنسين وتمكين المرأة (</w:t>
      </w:r>
      <w:r w:rsidRPr="00A8357F">
        <w:rPr>
          <w:szCs w:val="22"/>
        </w:rPr>
        <w:t>UN-SWAP</w:t>
      </w:r>
      <w:r w:rsidRPr="00A8357F">
        <w:rPr>
          <w:rFonts w:hint="cs"/>
          <w:szCs w:val="22"/>
          <w:rtl/>
        </w:rPr>
        <w:t>)</w:t>
      </w:r>
      <w:r w:rsidR="00B67B54">
        <w:rPr>
          <w:rStyle w:val="FootnoteReference"/>
          <w:szCs w:val="22"/>
          <w:rtl/>
        </w:rPr>
        <w:footnoteReference w:id="5"/>
      </w:r>
      <w:r w:rsidRPr="00A8357F">
        <w:rPr>
          <w:rFonts w:hint="cs"/>
          <w:szCs w:val="22"/>
          <w:rtl/>
        </w:rPr>
        <w:t xml:space="preserve"> وفيما يتعلق بالمساواة بين الجنسين وتعميم المنظور </w:t>
      </w:r>
      <w:proofErr w:type="spellStart"/>
      <w:r w:rsidRPr="00A8357F">
        <w:rPr>
          <w:rFonts w:hint="cs"/>
          <w:szCs w:val="22"/>
          <w:rtl/>
        </w:rPr>
        <w:t>الجنساني</w:t>
      </w:r>
      <w:proofErr w:type="spellEnd"/>
      <w:r w:rsidRPr="00A8357F">
        <w:rPr>
          <w:rFonts w:hint="cs"/>
          <w:szCs w:val="22"/>
          <w:rtl/>
        </w:rPr>
        <w:t xml:space="preserve"> في عمل شعبة الرقابة الداخلية، لأغراض المراجعة والتقييم، يجوز الإبلاغ عن الأوضاع والإجراءات</w:t>
      </w:r>
      <w:r w:rsidR="005E3DE5">
        <w:rPr>
          <w:rFonts w:hint="eastAsia"/>
          <w:szCs w:val="22"/>
          <w:rtl/>
        </w:rPr>
        <w:t> </w:t>
      </w:r>
      <w:r w:rsidRPr="00A8357F">
        <w:rPr>
          <w:rFonts w:hint="cs"/>
          <w:szCs w:val="22"/>
          <w:rtl/>
        </w:rPr>
        <w:t>التالية:</w:t>
      </w:r>
    </w:p>
    <w:p w14:paraId="409A8AA9" w14:textId="2E40B1B2" w:rsidR="001B2E69" w:rsidRPr="00A8357F" w:rsidRDefault="001B2E69" w:rsidP="00BE4767">
      <w:pPr>
        <w:pStyle w:val="ONUME"/>
        <w:numPr>
          <w:ilvl w:val="1"/>
          <w:numId w:val="2"/>
        </w:numPr>
        <w:bidi/>
        <w:ind w:left="1134" w:hanging="567"/>
        <w:rPr>
          <w:rFonts w:eastAsiaTheme="minorHAnsi"/>
          <w:szCs w:val="22"/>
          <w:rtl/>
        </w:rPr>
      </w:pPr>
      <w:r w:rsidRPr="00A8357F">
        <w:rPr>
          <w:rFonts w:hint="cs"/>
          <w:szCs w:val="22"/>
          <w:rtl/>
        </w:rPr>
        <w:t>تستشير شعبة الرقابة الداخلية المتخصصين في الشؤون الجنسانية والتنوع في أثناء التخطيط السنوي وتقييم المخاطر؛</w:t>
      </w:r>
    </w:p>
    <w:p w14:paraId="03C63AB5" w14:textId="1956F124" w:rsidR="001B2E69" w:rsidRPr="00A8357F" w:rsidRDefault="001B2E69" w:rsidP="00BE4767">
      <w:pPr>
        <w:pStyle w:val="ONUME"/>
        <w:numPr>
          <w:ilvl w:val="1"/>
          <w:numId w:val="2"/>
        </w:numPr>
        <w:bidi/>
        <w:ind w:left="1134" w:hanging="567"/>
        <w:rPr>
          <w:szCs w:val="22"/>
          <w:rtl/>
        </w:rPr>
      </w:pPr>
      <w:r w:rsidRPr="00A8357F">
        <w:rPr>
          <w:rFonts w:hint="cs"/>
          <w:szCs w:val="22"/>
          <w:rtl/>
        </w:rPr>
        <w:t xml:space="preserve">أدرجت شعبة الرقابة الداخلية خطوة عمل دائمة بشأن قضايا تعميم مراعاة المنظور </w:t>
      </w:r>
      <w:proofErr w:type="spellStart"/>
      <w:r w:rsidRPr="00A8357F">
        <w:rPr>
          <w:rFonts w:hint="cs"/>
          <w:szCs w:val="22"/>
          <w:rtl/>
        </w:rPr>
        <w:t>الجنساني</w:t>
      </w:r>
      <w:proofErr w:type="spellEnd"/>
      <w:r w:rsidRPr="00A8357F">
        <w:rPr>
          <w:rFonts w:hint="cs"/>
          <w:szCs w:val="22"/>
          <w:rtl/>
        </w:rPr>
        <w:t xml:space="preserve"> في برنامج عملها المتعلق بمهام الرقابة القابلة للتطبيق.</w:t>
      </w:r>
      <w:r w:rsidR="00BE4767">
        <w:rPr>
          <w:rFonts w:hint="cs"/>
          <w:szCs w:val="22"/>
          <w:rtl/>
        </w:rPr>
        <w:t xml:space="preserve"> </w:t>
      </w:r>
      <w:r w:rsidRPr="00A8357F">
        <w:rPr>
          <w:rFonts w:hint="cs"/>
          <w:szCs w:val="22"/>
          <w:rtl/>
        </w:rPr>
        <w:t>وفي عام 2021، أدرجت بعض العناصر الجنسانية في تقرير "استعراض الويبو للأزمات في أثناء الجائحة"؛</w:t>
      </w:r>
    </w:p>
    <w:p w14:paraId="66C6E5E7" w14:textId="77777777" w:rsidR="001B2E69" w:rsidRPr="00A8357F" w:rsidRDefault="00BE1D92" w:rsidP="00BE4767">
      <w:pPr>
        <w:pStyle w:val="ONUME"/>
        <w:numPr>
          <w:ilvl w:val="1"/>
          <w:numId w:val="2"/>
        </w:numPr>
        <w:bidi/>
        <w:ind w:left="1134" w:hanging="567"/>
        <w:rPr>
          <w:szCs w:val="22"/>
          <w:rtl/>
        </w:rPr>
      </w:pPr>
      <w:r w:rsidRPr="00A8357F">
        <w:rPr>
          <w:rFonts w:hint="cs"/>
          <w:szCs w:val="22"/>
          <w:rtl/>
        </w:rPr>
        <w:t xml:space="preserve">يطبِّق قسم التقييم، حيثما انطبق ذلك، إرشادات فريق الأمم المتحدة المعني بالتقييم بشأن إدماج حقوق الإنسان والمساواة بين الجنسين في التقييمات </w:t>
      </w:r>
      <w:proofErr w:type="spellStart"/>
      <w:r w:rsidRPr="00A8357F">
        <w:rPr>
          <w:rFonts w:hint="cs"/>
          <w:szCs w:val="22"/>
          <w:rtl/>
        </w:rPr>
        <w:t>المضطلع</w:t>
      </w:r>
      <w:proofErr w:type="spellEnd"/>
      <w:r w:rsidRPr="00A8357F">
        <w:rPr>
          <w:rFonts w:hint="cs"/>
          <w:szCs w:val="22"/>
          <w:rtl/>
        </w:rPr>
        <w:t xml:space="preserve"> بها في جميع مراحل التقييم؛</w:t>
      </w:r>
    </w:p>
    <w:p w14:paraId="776EB8F0" w14:textId="5937886B" w:rsidR="001B2E69" w:rsidRPr="00A8357F" w:rsidRDefault="001B2E69" w:rsidP="00B67B54">
      <w:pPr>
        <w:pStyle w:val="ONUME"/>
        <w:numPr>
          <w:ilvl w:val="1"/>
          <w:numId w:val="2"/>
        </w:numPr>
        <w:bidi/>
        <w:ind w:left="1134" w:hanging="567"/>
        <w:rPr>
          <w:szCs w:val="22"/>
          <w:rtl/>
        </w:rPr>
      </w:pPr>
      <w:r w:rsidRPr="00A8357F">
        <w:rPr>
          <w:rFonts w:hint="cs"/>
          <w:szCs w:val="22"/>
          <w:rtl/>
        </w:rPr>
        <w:t>عُيّنت جهة تنسيق معنية بالشؤون الجنسانية للتواصل مع أخصائي الشؤ</w:t>
      </w:r>
      <w:r w:rsidR="00B67B54">
        <w:rPr>
          <w:rFonts w:hint="cs"/>
          <w:szCs w:val="22"/>
          <w:rtl/>
        </w:rPr>
        <w:t>ون الجنسانية والتنوع في الويبو</w:t>
      </w:r>
      <w:r w:rsidRPr="00A8357F">
        <w:rPr>
          <w:rFonts w:hint="cs"/>
          <w:szCs w:val="22"/>
          <w:rtl/>
        </w:rPr>
        <w:t>؛</w:t>
      </w:r>
    </w:p>
    <w:p w14:paraId="6AEB079A" w14:textId="77777777" w:rsidR="00BE4767" w:rsidRDefault="0021563A" w:rsidP="00BE4767">
      <w:pPr>
        <w:pStyle w:val="ONUME"/>
        <w:numPr>
          <w:ilvl w:val="1"/>
          <w:numId w:val="2"/>
        </w:numPr>
        <w:bidi/>
        <w:ind w:left="1134" w:hanging="567"/>
        <w:rPr>
          <w:szCs w:val="22"/>
          <w:rtl/>
        </w:rPr>
      </w:pPr>
      <w:r w:rsidRPr="00A8357F">
        <w:rPr>
          <w:rFonts w:hint="cs"/>
          <w:szCs w:val="22"/>
          <w:rtl/>
        </w:rPr>
        <w:t>تتابع شعبة الرقابة الداخلية تنفيذ التوصيات الصادرة عن تدقيق وتقييم سياسة الويبو بشأن المساواة بين الجنسين.</w:t>
      </w:r>
    </w:p>
    <w:p w14:paraId="0C759FBB" w14:textId="76064DFE" w:rsidR="00C46B12" w:rsidRPr="00A8357F" w:rsidRDefault="00BE4767" w:rsidP="00BE4767">
      <w:pPr>
        <w:pStyle w:val="Heading1"/>
        <w:bidi/>
        <w:rPr>
          <w:szCs w:val="22"/>
          <w:rtl/>
        </w:rPr>
      </w:pPr>
      <w:bookmarkStart w:id="30" w:name="_Toc420663568"/>
      <w:bookmarkStart w:id="31" w:name="_Toc39071248"/>
      <w:bookmarkStart w:id="32" w:name="_Toc99122804"/>
      <w:r>
        <w:rPr>
          <w:rFonts w:hint="cs"/>
          <w:caps w:val="0"/>
          <w:szCs w:val="22"/>
          <w:rtl/>
        </w:rPr>
        <w:t>ال</w:t>
      </w:r>
      <w:r w:rsidR="007159D2" w:rsidRPr="00A8357F">
        <w:rPr>
          <w:rFonts w:hint="cs"/>
          <w:caps w:val="0"/>
          <w:szCs w:val="22"/>
          <w:rtl/>
        </w:rPr>
        <w:t xml:space="preserve">نتائج </w:t>
      </w:r>
      <w:r>
        <w:rPr>
          <w:rFonts w:hint="cs"/>
          <w:caps w:val="0"/>
          <w:szCs w:val="22"/>
          <w:rtl/>
        </w:rPr>
        <w:t>ال</w:t>
      </w:r>
      <w:r w:rsidR="007159D2" w:rsidRPr="00A8357F">
        <w:rPr>
          <w:rFonts w:hint="cs"/>
          <w:caps w:val="0"/>
          <w:szCs w:val="22"/>
          <w:rtl/>
        </w:rPr>
        <w:t>رئيسية وتوصيات الرقابة المرتفعة الأولوية</w:t>
      </w:r>
      <w:bookmarkEnd w:id="30"/>
      <w:bookmarkEnd w:id="31"/>
      <w:bookmarkEnd w:id="32"/>
    </w:p>
    <w:p w14:paraId="177D8301" w14:textId="0729CB18" w:rsidR="00D9184E" w:rsidRPr="00A8357F" w:rsidRDefault="00C46B12" w:rsidP="00BE4767">
      <w:pPr>
        <w:pStyle w:val="ONUME"/>
        <w:bidi/>
        <w:rPr>
          <w:szCs w:val="22"/>
          <w:rtl/>
        </w:rPr>
      </w:pPr>
      <w:r w:rsidRPr="00A8357F">
        <w:rPr>
          <w:rFonts w:hint="cs"/>
          <w:szCs w:val="22"/>
          <w:rtl/>
        </w:rPr>
        <w:t>يحتوي هذا الجزء على معلومات عن النتائج والتوصيات الرئيسية تتناول المخاطر المرتفعة الأولوية المدرجة في تقارير الرقابة الداخلية:</w:t>
      </w:r>
      <w:r w:rsidR="00BE4767">
        <w:rPr>
          <w:rFonts w:hint="cs"/>
          <w:szCs w:val="22"/>
          <w:rtl/>
        </w:rPr>
        <w:t xml:space="preserve"> </w:t>
      </w:r>
      <w:r w:rsidRPr="00A8357F">
        <w:rPr>
          <w:rFonts w:hint="cs"/>
          <w:szCs w:val="22"/>
          <w:rtl/>
        </w:rPr>
        <w:t>تقارير التدقيق والتقييم والتبعات الإدارية الصادرة في أثناء الفترة المشمولة بالتقرير.</w:t>
      </w:r>
    </w:p>
    <w:p w14:paraId="45178E70" w14:textId="2F104E61" w:rsidR="00F736B0" w:rsidRPr="00A8357F" w:rsidRDefault="00C46B12" w:rsidP="00BE4767">
      <w:pPr>
        <w:pStyle w:val="ONUME"/>
        <w:bidi/>
        <w:rPr>
          <w:szCs w:val="22"/>
          <w:rtl/>
        </w:rPr>
      </w:pPr>
      <w:r w:rsidRPr="00A8357F">
        <w:rPr>
          <w:rFonts w:hint="cs"/>
          <w:szCs w:val="22"/>
          <w:rtl/>
        </w:rPr>
        <w:t>وتتعلق النتائج والتوصيات الرئيسية بالتقارير التالية الصادرة في أثناء الفترة المشمولة بهذا التقرير</w:t>
      </w:r>
      <w:r w:rsidRPr="00A8357F">
        <w:rPr>
          <w:rStyle w:val="FootnoteReference"/>
          <w:szCs w:val="22"/>
          <w:rtl/>
        </w:rPr>
        <w:footnoteReference w:id="6"/>
      </w:r>
      <w:r w:rsidRPr="00A8357F">
        <w:rPr>
          <w:rFonts w:hint="cs"/>
          <w:szCs w:val="22"/>
          <w:rtl/>
        </w:rPr>
        <w:t>:</w:t>
      </w:r>
    </w:p>
    <w:p w14:paraId="33C026B2" w14:textId="77777777"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lastRenderedPageBreak/>
        <w:t>التدقيق واستعراض النزاهة في إدارة حالات الغياب؛</w:t>
      </w:r>
    </w:p>
    <w:p w14:paraId="6D99437E" w14:textId="77777777"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تدقيق إدارة أمن الفضاء الإلكتروني في الويبو؛</w:t>
      </w:r>
    </w:p>
    <w:p w14:paraId="2BBF27E5" w14:textId="77777777" w:rsidR="00EF4A05" w:rsidRPr="00A8357F" w:rsidRDefault="00C4224C" w:rsidP="00BE4767">
      <w:pPr>
        <w:pStyle w:val="ONUME"/>
        <w:numPr>
          <w:ilvl w:val="1"/>
          <w:numId w:val="2"/>
        </w:numPr>
        <w:bidi/>
        <w:ind w:left="1134" w:hanging="567"/>
        <w:rPr>
          <w:rFonts w:eastAsia="Times New Roman"/>
          <w:szCs w:val="22"/>
          <w:rtl/>
        </w:rPr>
      </w:pPr>
      <w:r w:rsidRPr="00A8357F">
        <w:rPr>
          <w:rFonts w:hint="cs"/>
          <w:szCs w:val="22"/>
          <w:rtl/>
        </w:rPr>
        <w:t>استعراض إدارة الويبو للأزمات في أثناء الجائحة؛</w:t>
      </w:r>
    </w:p>
    <w:p w14:paraId="5F6A3E0D" w14:textId="77777777"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استعراض إدارة الأداء وتطوير الموظفين في الويبو؛</w:t>
      </w:r>
    </w:p>
    <w:p w14:paraId="09DB6BF7" w14:textId="77777777"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تقييم شعبة البلدان العربية؛</w:t>
      </w:r>
    </w:p>
    <w:p w14:paraId="41C9A425" w14:textId="77777777"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 xml:space="preserve">تقييم برنامج </w:t>
      </w:r>
      <w:r w:rsidRPr="00A8357F">
        <w:rPr>
          <w:szCs w:val="22"/>
        </w:rPr>
        <w:t>WIPO Match</w:t>
      </w:r>
      <w:r w:rsidRPr="00A8357F">
        <w:rPr>
          <w:rFonts w:hint="cs"/>
          <w:szCs w:val="22"/>
          <w:rtl/>
        </w:rPr>
        <w:t>؛</w:t>
      </w:r>
    </w:p>
    <w:p w14:paraId="6FAAE8DE" w14:textId="3B78B3B5"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تقييم تنفيذ توصيات قسم التقييم التابع لشعبة الرقابة الداخلية والوقوف على آثارها؛</w:t>
      </w:r>
    </w:p>
    <w:p w14:paraId="0AB48D27" w14:textId="059796EB"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إسداء المشورة في عمليات التقييم الذاتي للاستراتيجيات الوطنية للملكية الفكرية؛</w:t>
      </w:r>
    </w:p>
    <w:p w14:paraId="4B97D86D" w14:textId="77777777" w:rsidR="00EF4A05" w:rsidRPr="00A8357F" w:rsidRDefault="00EF4A05" w:rsidP="00BE4767">
      <w:pPr>
        <w:pStyle w:val="ONUME"/>
        <w:numPr>
          <w:ilvl w:val="1"/>
          <w:numId w:val="2"/>
        </w:numPr>
        <w:bidi/>
        <w:ind w:left="1134" w:hanging="567"/>
        <w:rPr>
          <w:rFonts w:eastAsia="Times New Roman"/>
          <w:szCs w:val="22"/>
          <w:rtl/>
        </w:rPr>
      </w:pPr>
      <w:r w:rsidRPr="00A8357F">
        <w:rPr>
          <w:rFonts w:hint="cs"/>
          <w:szCs w:val="22"/>
          <w:rtl/>
        </w:rPr>
        <w:t>تقرير التبعات الإدارية بشأن البيانات الشخصية وقضايا الخصوصية المتعلقة برسائل الويبو الإلكترونية إلى المستخدمين الخارجيين؛</w:t>
      </w:r>
    </w:p>
    <w:p w14:paraId="1B569D79" w14:textId="77777777" w:rsidR="00EF4A05" w:rsidRPr="00A8357F" w:rsidRDefault="00EF4A05" w:rsidP="009632CE">
      <w:pPr>
        <w:pStyle w:val="ONUME"/>
        <w:numPr>
          <w:ilvl w:val="1"/>
          <w:numId w:val="2"/>
        </w:numPr>
        <w:bidi/>
        <w:ind w:left="1134" w:hanging="567"/>
        <w:rPr>
          <w:szCs w:val="22"/>
          <w:rtl/>
        </w:rPr>
      </w:pPr>
      <w:r w:rsidRPr="00A8357F">
        <w:rPr>
          <w:rFonts w:hint="cs"/>
          <w:szCs w:val="22"/>
          <w:rtl/>
        </w:rPr>
        <w:t>تقرير التبعات الإدارية بشأن المعلومات المنشورة على الموقع الإلكتروني لركن البراءات.</w:t>
      </w:r>
    </w:p>
    <w:p w14:paraId="64E3F68F" w14:textId="5F40862E" w:rsidR="00C46B12" w:rsidRPr="00A8357F" w:rsidRDefault="00C46B12" w:rsidP="00A04FDB">
      <w:pPr>
        <w:pStyle w:val="ONUME"/>
        <w:bidi/>
        <w:rPr>
          <w:szCs w:val="22"/>
          <w:rtl/>
        </w:rPr>
      </w:pPr>
      <w:r w:rsidRPr="00A8357F">
        <w:rPr>
          <w:rFonts w:hint="cs"/>
          <w:szCs w:val="22"/>
          <w:rtl/>
        </w:rPr>
        <w:t>وحرصت شعبة الرقابة الداخلية على التواصل مع الإدارة بانتظام لاستعراض التوصيات المفتوحة ومتابعة وضع تنفيذها.</w:t>
      </w:r>
      <w:r w:rsidR="00BE4767">
        <w:rPr>
          <w:rFonts w:hint="cs"/>
          <w:szCs w:val="22"/>
          <w:rtl/>
        </w:rPr>
        <w:t xml:space="preserve"> </w:t>
      </w:r>
      <w:r w:rsidRPr="00A8357F">
        <w:rPr>
          <w:rFonts w:hint="cs"/>
          <w:szCs w:val="22"/>
          <w:rtl/>
        </w:rPr>
        <w:t>وتعالج الإدارة جميع التوصيات عن طريق خطة عمل تحدد الأنشطة المقترحة والموظفين المسؤولين وأجل التنفيذ.</w:t>
      </w:r>
      <w:r w:rsidR="00BE4767">
        <w:rPr>
          <w:rFonts w:hint="cs"/>
          <w:szCs w:val="22"/>
          <w:rtl/>
        </w:rPr>
        <w:t xml:space="preserve"> </w:t>
      </w:r>
      <w:r w:rsidRPr="00A8357F">
        <w:rPr>
          <w:rFonts w:hint="cs"/>
          <w:szCs w:val="22"/>
          <w:rtl/>
        </w:rPr>
        <w:t>وتُدار توصيات الرقابة عن طريق نظام قاعدة بيانات الفرق المركزية (</w:t>
      </w:r>
      <w:proofErr w:type="spellStart"/>
      <w:r w:rsidRPr="00A8357F">
        <w:rPr>
          <w:szCs w:val="22"/>
        </w:rPr>
        <w:t>TeamMate</w:t>
      </w:r>
      <w:proofErr w:type="spellEnd"/>
      <w:r w:rsidRPr="00BE4767">
        <w:rPr>
          <w:szCs w:val="22"/>
        </w:rPr>
        <w:t>+</w:t>
      </w:r>
      <w:r w:rsidR="00BE4767">
        <w:rPr>
          <w:rFonts w:hint="cs"/>
          <w:szCs w:val="22"/>
          <w:rtl/>
        </w:rPr>
        <w:t>)</w:t>
      </w:r>
      <w:r w:rsidRPr="00A8357F">
        <w:rPr>
          <w:szCs w:val="22"/>
          <w:vertAlign w:val="superscript"/>
          <w:rtl/>
        </w:rPr>
        <w:footnoteReference w:id="7"/>
      </w:r>
      <w:r w:rsidRPr="00A8357F">
        <w:rPr>
          <w:rFonts w:hint="cs"/>
          <w:szCs w:val="22"/>
          <w:rtl/>
        </w:rPr>
        <w:t xml:space="preserve"> المتاح لشعبة الرقابة الداخلية وإدارة الويبو.</w:t>
      </w:r>
    </w:p>
    <w:p w14:paraId="1876B05B" w14:textId="77777777" w:rsidR="0022519E" w:rsidRPr="00A8357F" w:rsidRDefault="0022519E" w:rsidP="00BE4767">
      <w:pPr>
        <w:pStyle w:val="Heading1"/>
        <w:bidi/>
        <w:rPr>
          <w:szCs w:val="22"/>
          <w:rtl/>
        </w:rPr>
      </w:pPr>
      <w:bookmarkStart w:id="33" w:name="_Toc99122805"/>
      <w:r w:rsidRPr="00A8357F">
        <w:rPr>
          <w:rFonts w:hint="cs"/>
          <w:szCs w:val="22"/>
          <w:rtl/>
        </w:rPr>
        <w:t>المهام المبلغ عنها في عام 2021</w:t>
      </w:r>
      <w:bookmarkEnd w:id="33"/>
    </w:p>
    <w:p w14:paraId="1C5855D2" w14:textId="77777777" w:rsidR="008053D2" w:rsidRPr="00A8357F" w:rsidRDefault="0022519E" w:rsidP="00BE4767">
      <w:pPr>
        <w:pStyle w:val="Heading2"/>
        <w:bidi/>
        <w:rPr>
          <w:bCs w:val="0"/>
          <w:iCs w:val="0"/>
          <w:szCs w:val="22"/>
          <w:rtl/>
        </w:rPr>
      </w:pPr>
      <w:bookmarkStart w:id="34" w:name="_Toc476745977"/>
      <w:r w:rsidRPr="00A8357F">
        <w:rPr>
          <w:rFonts w:hint="cs"/>
          <w:bCs w:val="0"/>
          <w:iCs w:val="0"/>
          <w:szCs w:val="22"/>
          <w:rtl/>
        </w:rPr>
        <w:t>التدقيق واستعراض النزاهة في إدارة حالات الغياب</w:t>
      </w:r>
    </w:p>
    <w:p w14:paraId="2422D1AD" w14:textId="77777777" w:rsidR="00BE4767" w:rsidRDefault="004854FF" w:rsidP="00BE4767">
      <w:pPr>
        <w:pStyle w:val="ONUME"/>
        <w:bidi/>
        <w:rPr>
          <w:szCs w:val="22"/>
          <w:rtl/>
        </w:rPr>
      </w:pPr>
      <w:bookmarkStart w:id="35" w:name="_Toc476745979"/>
      <w:bookmarkEnd w:id="34"/>
      <w:r w:rsidRPr="00A8357F">
        <w:rPr>
          <w:rFonts w:hint="cs"/>
          <w:szCs w:val="22"/>
          <w:rtl/>
        </w:rPr>
        <w:t>أشارت شعبة الرقابة الداخلية إلى العديد من التطورات الإيجابية في إدارة حالات غياب الموظفين وتنظيمها، منها ما يلي:</w:t>
      </w:r>
    </w:p>
    <w:p w14:paraId="38CC0092" w14:textId="77777777" w:rsidR="00BE4767" w:rsidRDefault="004854FF" w:rsidP="009632CE">
      <w:pPr>
        <w:pStyle w:val="ONUME"/>
        <w:numPr>
          <w:ilvl w:val="1"/>
          <w:numId w:val="2"/>
        </w:numPr>
        <w:bidi/>
        <w:ind w:left="1134" w:hanging="567"/>
        <w:rPr>
          <w:szCs w:val="22"/>
          <w:rtl/>
        </w:rPr>
      </w:pPr>
      <w:r w:rsidRPr="00A8357F">
        <w:rPr>
          <w:rFonts w:hint="cs"/>
          <w:szCs w:val="22"/>
          <w:rtl/>
        </w:rPr>
        <w:t>تدريب الموظفين على الدخول عن بُعد إلى نظام الإدارة المتكاملة؛</w:t>
      </w:r>
    </w:p>
    <w:p w14:paraId="539F6F62" w14:textId="77777777" w:rsidR="00BE4767" w:rsidRDefault="004854FF" w:rsidP="009632CE">
      <w:pPr>
        <w:pStyle w:val="ONUME"/>
        <w:numPr>
          <w:ilvl w:val="1"/>
          <w:numId w:val="2"/>
        </w:numPr>
        <w:bidi/>
        <w:ind w:left="1134" w:hanging="567"/>
        <w:rPr>
          <w:szCs w:val="22"/>
          <w:rtl/>
        </w:rPr>
      </w:pPr>
      <w:r w:rsidRPr="00A8357F">
        <w:rPr>
          <w:rFonts w:hint="cs"/>
          <w:szCs w:val="22"/>
          <w:rtl/>
        </w:rPr>
        <w:t xml:space="preserve">استحداث أداة للتحقق من صحة كشوف المرتبات </w:t>
      </w:r>
      <w:proofErr w:type="spellStart"/>
      <w:r w:rsidRPr="00A8357F">
        <w:rPr>
          <w:rFonts w:hint="cs"/>
          <w:szCs w:val="22"/>
          <w:rtl/>
        </w:rPr>
        <w:t>لأتمتة</w:t>
      </w:r>
      <w:proofErr w:type="spellEnd"/>
      <w:r w:rsidRPr="00A8357F">
        <w:rPr>
          <w:rFonts w:hint="cs"/>
          <w:szCs w:val="22"/>
          <w:rtl/>
        </w:rPr>
        <w:t xml:space="preserve"> تسوية مستحقات الموظفين والاقتطاعات المرتبطة بالإجازات المرضية؛</w:t>
      </w:r>
    </w:p>
    <w:p w14:paraId="3892CCDA" w14:textId="77777777" w:rsidR="00BE4767" w:rsidRDefault="00E16FEA" w:rsidP="009632CE">
      <w:pPr>
        <w:pStyle w:val="ONUME"/>
        <w:numPr>
          <w:ilvl w:val="1"/>
          <w:numId w:val="2"/>
        </w:numPr>
        <w:bidi/>
        <w:ind w:left="1134" w:hanging="567"/>
        <w:rPr>
          <w:szCs w:val="22"/>
          <w:rtl/>
        </w:rPr>
      </w:pPr>
      <w:r w:rsidRPr="00A8357F">
        <w:rPr>
          <w:rFonts w:hint="cs"/>
          <w:szCs w:val="22"/>
          <w:rtl/>
        </w:rPr>
        <w:t>إصدار مبادئ توجيهية بشأن العودة إلى العمل بعد إجازة مرضية طويلة.</w:t>
      </w:r>
    </w:p>
    <w:p w14:paraId="3CC0819B" w14:textId="77777777" w:rsidR="00BE4767" w:rsidRDefault="004854FF" w:rsidP="00BE4767">
      <w:pPr>
        <w:pStyle w:val="ONUME"/>
        <w:bidi/>
        <w:rPr>
          <w:szCs w:val="22"/>
          <w:rtl/>
        </w:rPr>
      </w:pPr>
      <w:r w:rsidRPr="00A8357F">
        <w:rPr>
          <w:rFonts w:hint="cs"/>
          <w:szCs w:val="22"/>
          <w:rtl/>
        </w:rPr>
        <w:t>وقد ساعدت هذه التطورات على تعزيز الكفاءة والفعالية في إدارة مختلف حالات الغياب، ولا سيما الإجازات المرضية (المعتمدة وغير المعتمدة بشهادة طبيب)، والإجازات الخاصة، والإجازات السنوية.</w:t>
      </w:r>
    </w:p>
    <w:p w14:paraId="61F5A295" w14:textId="5D06CD84" w:rsidR="00BE4767" w:rsidRDefault="004854FF" w:rsidP="00BE4767">
      <w:pPr>
        <w:pStyle w:val="ONUME"/>
        <w:bidi/>
        <w:rPr>
          <w:szCs w:val="22"/>
          <w:rtl/>
        </w:rPr>
      </w:pPr>
      <w:r w:rsidRPr="00A8357F">
        <w:rPr>
          <w:rFonts w:hint="cs"/>
          <w:szCs w:val="22"/>
          <w:rtl/>
        </w:rPr>
        <w:t>وتوجد فرص لتعزيز إدارة مختلف حالات الغياب في المنظمة.</w:t>
      </w:r>
      <w:r w:rsidR="00BE4767">
        <w:rPr>
          <w:rFonts w:hint="cs"/>
          <w:szCs w:val="22"/>
          <w:rtl/>
        </w:rPr>
        <w:t xml:space="preserve"> </w:t>
      </w:r>
      <w:r w:rsidRPr="00A8357F">
        <w:rPr>
          <w:rFonts w:hint="cs"/>
          <w:szCs w:val="22"/>
          <w:rtl/>
        </w:rPr>
        <w:t>فعلى سبيل المثال، ينبغي لإدارة الموارد البشرية أن تستعرض، بالتعاون مع الجهات الداخلية المعنية، التعميمات الإدارية المتعلقة بالإجازات المرضية، والإجراءات والممارسات الحالية لإدارة الإجازات المرضية المعتمدة، بغية تحديد وتنفيذ التغييرات اللازمة لضمان مواءمتها من النظم واللوائح المعمول بها.</w:t>
      </w:r>
      <w:r w:rsidR="00BE4767">
        <w:rPr>
          <w:rFonts w:hint="cs"/>
          <w:szCs w:val="22"/>
          <w:rtl/>
        </w:rPr>
        <w:t xml:space="preserve"> </w:t>
      </w:r>
      <w:r w:rsidRPr="00A8357F">
        <w:rPr>
          <w:rFonts w:hint="cs"/>
          <w:szCs w:val="22"/>
          <w:rtl/>
        </w:rPr>
        <w:t>وينبغي لإدارة الموارد البشرية تحديداً أن تعزز الضوابط الداخلية على المواعيد الطبية عن طريق اختيار موظفين عشوائياً والتحقق من أن مواعيدهم تمتثل للشروط المنصوص عليها في التعميمات الإدارية الوجيهة.</w:t>
      </w:r>
    </w:p>
    <w:p w14:paraId="70F5C9B2" w14:textId="2F76A42A" w:rsidR="004854FF" w:rsidRPr="00A8357F" w:rsidRDefault="004854FF" w:rsidP="00A04FDB">
      <w:pPr>
        <w:pStyle w:val="ONUME"/>
        <w:bidi/>
        <w:rPr>
          <w:szCs w:val="22"/>
          <w:rtl/>
        </w:rPr>
      </w:pPr>
      <w:r w:rsidRPr="00A8357F">
        <w:rPr>
          <w:rFonts w:hint="cs"/>
          <w:szCs w:val="22"/>
          <w:rtl/>
        </w:rPr>
        <w:t xml:space="preserve">ويمكن أيضاً تعزيز إدارة الإجازات المرضية بوضع خطة لنقل البيانات من أجل الحصول على صورة أشمل وأدق وأكثر موثوقية للتقدم المحرز في نقل بيانات الإجازات المرضية إلى نظام </w:t>
      </w:r>
      <w:proofErr w:type="spellStart"/>
      <w:r w:rsidRPr="00A8357F">
        <w:rPr>
          <w:szCs w:val="22"/>
        </w:rPr>
        <w:t>EarthMed</w:t>
      </w:r>
      <w:proofErr w:type="spellEnd"/>
      <w:r w:rsidRPr="00A8357F">
        <w:rPr>
          <w:rFonts w:hint="cs"/>
          <w:szCs w:val="22"/>
          <w:rtl/>
        </w:rPr>
        <w:t>.</w:t>
      </w:r>
      <w:r w:rsidR="00BE4767">
        <w:rPr>
          <w:rFonts w:hint="cs"/>
          <w:szCs w:val="22"/>
          <w:rtl/>
        </w:rPr>
        <w:t xml:space="preserve"> </w:t>
      </w:r>
      <w:r w:rsidRPr="00A8357F">
        <w:rPr>
          <w:rFonts w:hint="cs"/>
          <w:szCs w:val="22"/>
          <w:rtl/>
        </w:rPr>
        <w:t>وإضافةً إلى ذلك، يمكن إنشاء آلية تيسِّر الحصول على معلومات شاملة عن تكلفة الإجازات المرضية، بما يشمل عناصر التكلفة النوعية والكمية كلتيهما؛ وعقد جلسات إعلامية مخصصة؛ وتبادل المعلومات بشكل استباقي بين إدارة الموارد البشرية (بما في ذلك الوحدة الطبية) ومديري البرامج والمسؤولين الإداريين</w:t>
      </w:r>
      <w:r w:rsidR="00B67B54">
        <w:rPr>
          <w:rFonts w:hint="cs"/>
          <w:szCs w:val="22"/>
          <w:rtl/>
        </w:rPr>
        <w:t xml:space="preserve"> (</w:t>
      </w:r>
      <w:r w:rsidR="00A04FDB">
        <w:rPr>
          <w:rFonts w:hint="cs"/>
          <w:szCs w:val="22"/>
          <w:rtl/>
        </w:rPr>
        <w:t>شرط</w:t>
      </w:r>
      <w:r w:rsidR="00B67B54">
        <w:rPr>
          <w:rFonts w:hint="cs"/>
          <w:szCs w:val="22"/>
          <w:rtl/>
        </w:rPr>
        <w:t xml:space="preserve"> </w:t>
      </w:r>
      <w:r w:rsidR="00B67B54">
        <w:rPr>
          <w:rFonts w:hint="cs"/>
          <w:szCs w:val="22"/>
          <w:rtl/>
        </w:rPr>
        <w:lastRenderedPageBreak/>
        <w:t xml:space="preserve">الامتثال للسرية الطبية)، </w:t>
      </w:r>
      <w:r w:rsidRPr="00A8357F">
        <w:rPr>
          <w:rFonts w:hint="cs"/>
          <w:szCs w:val="22"/>
          <w:rtl/>
        </w:rPr>
        <w:t>بوصفها كلها تدابير من شأنها أن تساعد على تحسين التواصل واتخاذ قرارات تشغيلية مستنيرة (مثل استبدال الموظفين الغائبين).</w:t>
      </w:r>
    </w:p>
    <w:p w14:paraId="2047AB20" w14:textId="5A6381A6" w:rsidR="004854FF" w:rsidRPr="00A8357F" w:rsidRDefault="004854FF" w:rsidP="00A04FDB">
      <w:pPr>
        <w:pStyle w:val="ONUME"/>
        <w:bidi/>
        <w:rPr>
          <w:szCs w:val="22"/>
          <w:rtl/>
        </w:rPr>
      </w:pPr>
      <w:r w:rsidRPr="00A8357F">
        <w:rPr>
          <w:rFonts w:hint="cs"/>
          <w:szCs w:val="22"/>
          <w:rtl/>
        </w:rPr>
        <w:t xml:space="preserve">وفضلاً عن ذلك، ستستفيد المنظمة من وظائف نظام </w:t>
      </w:r>
      <w:proofErr w:type="spellStart"/>
      <w:r w:rsidRPr="00A8357F">
        <w:rPr>
          <w:szCs w:val="22"/>
        </w:rPr>
        <w:t>EarthMed</w:t>
      </w:r>
      <w:proofErr w:type="spellEnd"/>
      <w:r w:rsidRPr="00A8357F">
        <w:rPr>
          <w:rFonts w:hint="cs"/>
          <w:szCs w:val="22"/>
          <w:rtl/>
        </w:rPr>
        <w:t xml:space="preserve"> لجمع بيانات طبية وجيهة ودقيقة يمكن تحليلها بغية تحديد الاتجاهات والإحصاءات المفيدة، وإجراء تحليلات للأسباب الجذرية، وإعداد تقارير مخصصة.</w:t>
      </w:r>
      <w:r w:rsidR="00BE4767">
        <w:rPr>
          <w:rFonts w:hint="cs"/>
          <w:szCs w:val="22"/>
          <w:rtl/>
        </w:rPr>
        <w:t xml:space="preserve"> </w:t>
      </w:r>
      <w:r w:rsidR="00132EAC">
        <w:rPr>
          <w:rFonts w:hint="cs"/>
          <w:szCs w:val="22"/>
          <w:rtl/>
        </w:rPr>
        <w:t xml:space="preserve">ومن شأن </w:t>
      </w:r>
      <w:r w:rsidRPr="00A8357F">
        <w:rPr>
          <w:rFonts w:hint="cs"/>
          <w:szCs w:val="22"/>
          <w:rtl/>
        </w:rPr>
        <w:t xml:space="preserve">التحسينات الأخرى </w:t>
      </w:r>
      <w:r w:rsidR="00132EAC">
        <w:rPr>
          <w:rFonts w:hint="cs"/>
          <w:szCs w:val="22"/>
          <w:rtl/>
        </w:rPr>
        <w:t xml:space="preserve">أن تشمل </w:t>
      </w:r>
      <w:r w:rsidRPr="00A8357F">
        <w:rPr>
          <w:rFonts w:hint="cs"/>
          <w:szCs w:val="22"/>
          <w:rtl/>
        </w:rPr>
        <w:t>إنجاز واجهة الاتصال بين وحدة الموارد البشرية في نظام الإدارة المتكاملة (</w:t>
      </w:r>
      <w:r w:rsidRPr="00A8357F">
        <w:rPr>
          <w:szCs w:val="22"/>
        </w:rPr>
        <w:t>AIMS HR</w:t>
      </w:r>
      <w:r w:rsidRPr="00A8357F">
        <w:rPr>
          <w:rFonts w:hint="cs"/>
          <w:szCs w:val="22"/>
          <w:rtl/>
        </w:rPr>
        <w:t xml:space="preserve">) ونظام </w:t>
      </w:r>
      <w:proofErr w:type="spellStart"/>
      <w:r w:rsidRPr="00A8357F">
        <w:rPr>
          <w:szCs w:val="22"/>
        </w:rPr>
        <w:t>EarthMed</w:t>
      </w:r>
      <w:proofErr w:type="spellEnd"/>
      <w:r w:rsidR="00132EAC">
        <w:rPr>
          <w:rFonts w:hint="cs"/>
          <w:szCs w:val="22"/>
          <w:rtl/>
        </w:rPr>
        <w:t xml:space="preserve"> (</w:t>
      </w:r>
      <w:r w:rsidR="00A04FDB">
        <w:rPr>
          <w:rFonts w:hint="cs"/>
          <w:szCs w:val="22"/>
          <w:rtl/>
        </w:rPr>
        <w:t>شرط</w:t>
      </w:r>
      <w:r w:rsidR="00132EAC">
        <w:rPr>
          <w:rFonts w:hint="cs"/>
          <w:szCs w:val="22"/>
          <w:rtl/>
        </w:rPr>
        <w:t xml:space="preserve"> الامتثال للسرية الطبية)</w:t>
      </w:r>
      <w:r w:rsidRPr="00A8357F">
        <w:rPr>
          <w:rFonts w:hint="cs"/>
          <w:szCs w:val="22"/>
          <w:rtl/>
        </w:rPr>
        <w:t>، وهو ما سيعزز الكفاءة والفعالية في إدارة حالات غياب الموظفين.</w:t>
      </w:r>
    </w:p>
    <w:p w14:paraId="787CAF08" w14:textId="202D158C" w:rsidR="004854FF" w:rsidRPr="00A8357F" w:rsidRDefault="004854FF" w:rsidP="00BE4767">
      <w:pPr>
        <w:pStyle w:val="ONUME"/>
        <w:bidi/>
        <w:rPr>
          <w:szCs w:val="22"/>
          <w:rtl/>
        </w:rPr>
      </w:pPr>
      <w:r w:rsidRPr="00A8357F">
        <w:rPr>
          <w:rFonts w:hint="cs"/>
          <w:szCs w:val="22"/>
          <w:rtl/>
        </w:rPr>
        <w:t xml:space="preserve">وأخيراً، فإن تضمين نموذج طلب الإجازة على نظام </w:t>
      </w:r>
      <w:r w:rsidRPr="00A8357F">
        <w:rPr>
          <w:szCs w:val="22"/>
        </w:rPr>
        <w:t>AIMS HR</w:t>
      </w:r>
      <w:r w:rsidRPr="00A8357F">
        <w:rPr>
          <w:rFonts w:hint="cs"/>
          <w:szCs w:val="22"/>
          <w:rtl/>
        </w:rPr>
        <w:t xml:space="preserve"> خانة لحالات الطوارئ المتعلقة بالأسرة، على سبيل التعهد الشخصي، سيعزز المساءلة والامتثال والاتساق مع المتطلبات المنصوص عليها في التعميمات الإدارية الوجيهة.</w:t>
      </w:r>
    </w:p>
    <w:p w14:paraId="6253BFE3" w14:textId="77777777" w:rsidR="008053D2" w:rsidRPr="00A8357F" w:rsidRDefault="00C4224C" w:rsidP="00BE4767">
      <w:pPr>
        <w:pStyle w:val="Heading2"/>
        <w:bidi/>
        <w:rPr>
          <w:bCs w:val="0"/>
          <w:iCs w:val="0"/>
          <w:szCs w:val="22"/>
          <w:rtl/>
        </w:rPr>
      </w:pPr>
      <w:r w:rsidRPr="00A8357F">
        <w:rPr>
          <w:rFonts w:hint="cs"/>
          <w:bCs w:val="0"/>
          <w:iCs w:val="0"/>
          <w:szCs w:val="22"/>
          <w:rtl/>
        </w:rPr>
        <w:t>تدقيق إدارة أمن الفضاء الإلكتروني في الويبو</w:t>
      </w:r>
    </w:p>
    <w:p w14:paraId="76C4F6C9" w14:textId="5180A7F8" w:rsidR="00F52CE2" w:rsidRPr="00A8357F" w:rsidRDefault="004854FF" w:rsidP="00BE4767">
      <w:pPr>
        <w:pStyle w:val="ONUME"/>
        <w:bidi/>
        <w:rPr>
          <w:szCs w:val="22"/>
          <w:rtl/>
        </w:rPr>
      </w:pPr>
      <w:r w:rsidRPr="00A8357F">
        <w:rPr>
          <w:rFonts w:hint="cs"/>
          <w:szCs w:val="22"/>
          <w:rtl/>
        </w:rPr>
        <w:t>خلص الاستعراض عامةً إلى أن الويبو قد أنشأت برنامجاً محكماً لإدارة أمن الفضاء الإلكتروني، يشمل إطاراً للإدارة وبنية أمنية ملائمين للغرض، وأن هذا البرنامج يتناسب مع بيان الويبو بشأن قابلية تحمل المخاطر ويتماشى عالمياً مع أفضل الممارسات التي تتبعها المنظمات وشركات القطاع الخاص التي لها أهداف مماثلة متصلة بأمن المعلومات.</w:t>
      </w:r>
      <w:r w:rsidR="00BE4767">
        <w:rPr>
          <w:rFonts w:hint="cs"/>
          <w:szCs w:val="22"/>
          <w:rtl/>
        </w:rPr>
        <w:t xml:space="preserve"> </w:t>
      </w:r>
      <w:r w:rsidRPr="00A8357F">
        <w:rPr>
          <w:rFonts w:hint="cs"/>
          <w:szCs w:val="22"/>
          <w:rtl/>
        </w:rPr>
        <w:t>وخلص أيضاً إلى أن ميزانية شعبة الأمن وتأمين المعلومات تتناسب مع أهداف أمن المعلومات.</w:t>
      </w:r>
    </w:p>
    <w:p w14:paraId="7D3C6A7D" w14:textId="7B1618C0" w:rsidR="00F52CE2" w:rsidRPr="00A8357F" w:rsidRDefault="00F52CE2" w:rsidP="00BE4767">
      <w:pPr>
        <w:pStyle w:val="ONUME"/>
        <w:bidi/>
        <w:rPr>
          <w:szCs w:val="22"/>
          <w:rtl/>
        </w:rPr>
      </w:pPr>
      <w:r w:rsidRPr="00A8357F">
        <w:rPr>
          <w:rFonts w:hint="cs"/>
          <w:szCs w:val="22"/>
          <w:rtl/>
        </w:rPr>
        <w:t>وخلص فضلاً عن ذلك إلى أن أمن الفضاء الإلكتروني في المنظمة فعال بوجه عام.</w:t>
      </w:r>
      <w:r w:rsidR="00BE4767">
        <w:rPr>
          <w:rFonts w:hint="cs"/>
          <w:szCs w:val="22"/>
          <w:rtl/>
        </w:rPr>
        <w:t xml:space="preserve"> </w:t>
      </w:r>
      <w:r w:rsidRPr="00A8357F">
        <w:rPr>
          <w:rFonts w:hint="cs"/>
          <w:szCs w:val="22"/>
          <w:rtl/>
        </w:rPr>
        <w:t>وحُدِّدت بعض الثغرات الموضعية وغير الحرجة وتجري معالجتها حالياً.</w:t>
      </w:r>
    </w:p>
    <w:p w14:paraId="5045C4F4" w14:textId="77777777" w:rsidR="00BE4767" w:rsidRDefault="001E2BD8" w:rsidP="00BE4767">
      <w:pPr>
        <w:pStyle w:val="ONUME"/>
        <w:bidi/>
        <w:rPr>
          <w:szCs w:val="22"/>
          <w:rtl/>
        </w:rPr>
      </w:pPr>
      <w:r w:rsidRPr="00A8357F">
        <w:rPr>
          <w:rFonts w:hint="cs"/>
          <w:szCs w:val="22"/>
          <w:rtl/>
        </w:rPr>
        <w:t xml:space="preserve">وقدَّمت شعبة الرقابة الداخلية توصيات لمواصلة تعزيز أمن الفضاء الإلكتروني في المنظمة، بوسائل عدة منها مواءمة استراتيجية تكنولوجيا المعلومات والاتصالات واستراتيجية أمن المعلومات، وزيادة أنشطة محاكاة الحوادث والهجمات </w:t>
      </w:r>
      <w:proofErr w:type="spellStart"/>
      <w:r w:rsidRPr="00A8357F">
        <w:rPr>
          <w:rFonts w:hint="cs"/>
          <w:szCs w:val="22"/>
          <w:rtl/>
        </w:rPr>
        <w:t>السيبرانية</w:t>
      </w:r>
      <w:proofErr w:type="spellEnd"/>
      <w:r w:rsidRPr="00A8357F">
        <w:rPr>
          <w:rFonts w:hint="cs"/>
          <w:szCs w:val="22"/>
          <w:rtl/>
        </w:rPr>
        <w:t xml:space="preserve">، وتعزيز قاعدة بيانات إدارة الإعدادات لجرد الأصول الحيوية، ومواصلة التواصل مع مقدمي الخدمات الخارجيين لضمان اتخاذهم تدابير لتعزيز أمنهم </w:t>
      </w:r>
      <w:proofErr w:type="spellStart"/>
      <w:r w:rsidRPr="00A8357F">
        <w:rPr>
          <w:rFonts w:hint="cs"/>
          <w:szCs w:val="22"/>
          <w:rtl/>
        </w:rPr>
        <w:t>السيبراني</w:t>
      </w:r>
      <w:proofErr w:type="spellEnd"/>
      <w:r w:rsidRPr="00A8357F">
        <w:rPr>
          <w:rFonts w:hint="cs"/>
          <w:szCs w:val="22"/>
          <w:rtl/>
        </w:rPr>
        <w:t>.</w:t>
      </w:r>
    </w:p>
    <w:p w14:paraId="66C87C01" w14:textId="276B0905" w:rsidR="008053D2" w:rsidRPr="00A8357F" w:rsidRDefault="00C4224C" w:rsidP="00BE4767">
      <w:pPr>
        <w:pStyle w:val="Heading2"/>
        <w:bidi/>
        <w:rPr>
          <w:bCs w:val="0"/>
          <w:iCs w:val="0"/>
          <w:szCs w:val="22"/>
          <w:rtl/>
        </w:rPr>
      </w:pPr>
      <w:r w:rsidRPr="00A8357F">
        <w:rPr>
          <w:rFonts w:hint="cs"/>
          <w:bCs w:val="0"/>
          <w:iCs w:val="0"/>
          <w:szCs w:val="22"/>
          <w:rtl/>
        </w:rPr>
        <w:t>استعراض إدارة الويبو للأزمات في أثناء الجائحة</w:t>
      </w:r>
    </w:p>
    <w:p w14:paraId="344A1B90" w14:textId="09D7BDF1" w:rsidR="009D772F" w:rsidRPr="00A8357F" w:rsidRDefault="009D772F" w:rsidP="00BE4767">
      <w:pPr>
        <w:pStyle w:val="ONUME"/>
        <w:bidi/>
        <w:rPr>
          <w:szCs w:val="22"/>
          <w:rtl/>
        </w:rPr>
      </w:pPr>
      <w:r w:rsidRPr="00A8357F">
        <w:rPr>
          <w:rFonts w:hint="cs"/>
          <w:szCs w:val="22"/>
          <w:rtl/>
        </w:rPr>
        <w:t>أعلنت منظمة الصحة العالمية في 11 مارس 2020 أن تفشي فيروس كورونا (كوفيد-19) قد بلغ مستوى الجائحة، وبات يشكل تهديداً كبيراً على الناس والشركات والمنظمات في جميع أنحاء العالم.</w:t>
      </w:r>
      <w:r w:rsidR="00BE4767">
        <w:rPr>
          <w:rFonts w:hint="cs"/>
          <w:szCs w:val="22"/>
          <w:rtl/>
        </w:rPr>
        <w:t xml:space="preserve"> </w:t>
      </w:r>
      <w:r w:rsidRPr="00A8357F">
        <w:rPr>
          <w:rFonts w:hint="cs"/>
          <w:szCs w:val="22"/>
          <w:rtl/>
        </w:rPr>
        <w:t>ونظراً لاحتمال حدوث أزمات مماثلة في المستقبل ولنطاق ومدة الاضطرابات التشغيلية المرتبطة بذلك، فمن الضروري أن تكون استجابة الويبو فعالة ومستدامة بما يكفل استمرارها في تنفيذ تركيزها الاستراتيجي.</w:t>
      </w:r>
    </w:p>
    <w:p w14:paraId="7C295149" w14:textId="6F64CA47" w:rsidR="009D772F" w:rsidRPr="00A8357F" w:rsidRDefault="009D772F" w:rsidP="00132EAC">
      <w:pPr>
        <w:pStyle w:val="ONUME"/>
        <w:bidi/>
        <w:rPr>
          <w:szCs w:val="22"/>
          <w:rtl/>
        </w:rPr>
      </w:pPr>
      <w:r w:rsidRPr="00A8357F">
        <w:rPr>
          <w:rFonts w:hint="cs"/>
          <w:szCs w:val="22"/>
          <w:rtl/>
        </w:rPr>
        <w:t>وخلص الاستعراض إلى أن الويبو وضعت هيكل حوكمة لإدارة الأزمات يعمل بشكل سليم.</w:t>
      </w:r>
      <w:r w:rsidR="00BE4767">
        <w:rPr>
          <w:rFonts w:hint="cs"/>
          <w:szCs w:val="22"/>
          <w:rtl/>
        </w:rPr>
        <w:t xml:space="preserve"> </w:t>
      </w:r>
      <w:r w:rsidRPr="00A8357F">
        <w:rPr>
          <w:rFonts w:hint="cs"/>
          <w:szCs w:val="22"/>
          <w:rtl/>
        </w:rPr>
        <w:t>إذ غطت الأفرقة المسؤولة عملية اتخاذ القرارات التشغيلية والتكتيكية والاستراتيجية، واندمجت جيداً في الأنشطة اليومية للمنظمة.</w:t>
      </w:r>
      <w:r w:rsidR="00BE4767">
        <w:rPr>
          <w:rFonts w:hint="cs"/>
          <w:szCs w:val="22"/>
          <w:rtl/>
        </w:rPr>
        <w:t xml:space="preserve"> </w:t>
      </w:r>
      <w:r w:rsidRPr="00A8357F">
        <w:rPr>
          <w:rFonts w:hint="cs"/>
          <w:szCs w:val="22"/>
          <w:rtl/>
        </w:rPr>
        <w:t>وفضلاً عن ذلك، خلصت شعبة الرقابة الداخلية إلى أن السياسات والإجراءات القائمة كافية لإدارة الأزمة، وأن الإدارة أجرت التحديثات والتغييرات اللازمة بحسب الاقتضاء.</w:t>
      </w:r>
      <w:r w:rsidR="00BE4767">
        <w:rPr>
          <w:rFonts w:hint="cs"/>
          <w:szCs w:val="22"/>
          <w:rtl/>
        </w:rPr>
        <w:t xml:space="preserve"> </w:t>
      </w:r>
      <w:r w:rsidRPr="00A8357F">
        <w:rPr>
          <w:rFonts w:hint="cs"/>
          <w:szCs w:val="22"/>
          <w:rtl/>
        </w:rPr>
        <w:t xml:space="preserve">وطبَّقت المنظمة بنجاح إطار الويبو للمرونة التنظيمية </w:t>
      </w:r>
      <w:r w:rsidR="00132EAC">
        <w:rPr>
          <w:rFonts w:hint="cs"/>
          <w:szCs w:val="22"/>
          <w:rtl/>
        </w:rPr>
        <w:t>من خلال نشر</w:t>
      </w:r>
      <w:r w:rsidRPr="00A8357F">
        <w:rPr>
          <w:rFonts w:hint="cs"/>
          <w:szCs w:val="22"/>
          <w:rtl/>
        </w:rPr>
        <w:t xml:space="preserve"> خطط الويبو لإدارة الأزمات و</w:t>
      </w:r>
      <w:r w:rsidR="00132EAC">
        <w:rPr>
          <w:rFonts w:hint="cs"/>
          <w:szCs w:val="22"/>
          <w:rtl/>
        </w:rPr>
        <w:t>اتخاذ إجراءات أخرى ذات الصلة</w:t>
      </w:r>
      <w:r w:rsidRPr="00A8357F">
        <w:rPr>
          <w:rFonts w:hint="cs"/>
          <w:szCs w:val="22"/>
          <w:rtl/>
        </w:rPr>
        <w:t>.</w:t>
      </w:r>
      <w:r w:rsidR="00BE4767">
        <w:rPr>
          <w:rFonts w:hint="cs"/>
          <w:szCs w:val="22"/>
          <w:rtl/>
        </w:rPr>
        <w:t xml:space="preserve"> </w:t>
      </w:r>
      <w:r w:rsidRPr="00A8357F">
        <w:rPr>
          <w:rFonts w:hint="cs"/>
          <w:szCs w:val="22"/>
          <w:rtl/>
        </w:rPr>
        <w:t>ونفَّذت المنظمة سياساتها وإجراءاتها المتعلقة بإدارة الأزمات وعدَّلت نظمها الخاصة بإدارة المخاطر والضوابط الداخلية وفقاً لأوضاع الجائحة.</w:t>
      </w:r>
      <w:r w:rsidR="00BE4767">
        <w:rPr>
          <w:rFonts w:hint="cs"/>
          <w:szCs w:val="22"/>
          <w:rtl/>
        </w:rPr>
        <w:t xml:space="preserve"> </w:t>
      </w:r>
      <w:r w:rsidRPr="00A8357F">
        <w:rPr>
          <w:rFonts w:hint="cs"/>
          <w:szCs w:val="22"/>
          <w:rtl/>
        </w:rPr>
        <w:t>وستحتاج الويبو، في المستقبل، إلى تحديد جهات تنسيق معنية باستمرارية الأعمال على مستوى القطاعات بغية تعزيز إطار المرونة التنظيمية المعمول به.</w:t>
      </w:r>
    </w:p>
    <w:p w14:paraId="53225AAE" w14:textId="4590BB78" w:rsidR="00BE4767" w:rsidRDefault="009D772F" w:rsidP="00132EAC">
      <w:pPr>
        <w:pStyle w:val="ONUME"/>
        <w:bidi/>
        <w:rPr>
          <w:szCs w:val="22"/>
          <w:rtl/>
        </w:rPr>
      </w:pPr>
      <w:r w:rsidRPr="00A8357F">
        <w:rPr>
          <w:rFonts w:hint="cs"/>
          <w:szCs w:val="22"/>
          <w:rtl/>
        </w:rPr>
        <w:t>واستكملت شعبة الرقابة الداخلية عملها الموضوعي بثلاث دراسات استقصائية وُجِّهت إلى موظفي الويبو والمسؤولين الإداريين والدول الأعضاء بغية جمع رؤى وتصورات وآراء قي</w:t>
      </w:r>
      <w:r w:rsidR="007A1143">
        <w:rPr>
          <w:rFonts w:hint="cs"/>
          <w:szCs w:val="22"/>
          <w:rtl/>
        </w:rPr>
        <w:t>ّ</w:t>
      </w:r>
      <w:r w:rsidRPr="00A8357F">
        <w:rPr>
          <w:rFonts w:hint="cs"/>
          <w:szCs w:val="22"/>
          <w:rtl/>
        </w:rPr>
        <w:t xml:space="preserve">مة </w:t>
      </w:r>
      <w:r w:rsidR="00132EAC">
        <w:rPr>
          <w:rFonts w:hint="cs"/>
          <w:szCs w:val="22"/>
          <w:rtl/>
        </w:rPr>
        <w:t>حول</w:t>
      </w:r>
      <w:r w:rsidRPr="00A8357F">
        <w:rPr>
          <w:rFonts w:hint="cs"/>
          <w:szCs w:val="22"/>
          <w:rtl/>
        </w:rPr>
        <w:t xml:space="preserve"> إدارة المنظمة للأزمة، والدروس المستفادة من ذلك.</w:t>
      </w:r>
      <w:r w:rsidR="00BE4767">
        <w:rPr>
          <w:rFonts w:hint="cs"/>
          <w:szCs w:val="22"/>
          <w:rtl/>
        </w:rPr>
        <w:t xml:space="preserve"> </w:t>
      </w:r>
      <w:r w:rsidRPr="00A8357F">
        <w:rPr>
          <w:rFonts w:hint="cs"/>
          <w:szCs w:val="22"/>
          <w:rtl/>
        </w:rPr>
        <w:t>وسلطت نتائج الدراسات الاستقصائية الضوء على أن المرونة والموازنة بين الحياة المهنية والحياة الشخصية كان من أهم الموضوعات التي تشغل موظفو الويبو، في حين ذكر غالبية المسؤولين الإداريين أن الأزمة ساعدت على إعادة التفكير في العمليات التشغيلية وجعلها أكثر كفاءة وتوفيراً وفعالية من دون المساس بجودة المخرجات.</w:t>
      </w:r>
      <w:r w:rsidR="00BE4767">
        <w:rPr>
          <w:rFonts w:hint="cs"/>
          <w:szCs w:val="22"/>
          <w:rtl/>
        </w:rPr>
        <w:t xml:space="preserve"> </w:t>
      </w:r>
      <w:r w:rsidRPr="00A8357F">
        <w:rPr>
          <w:rFonts w:hint="cs"/>
          <w:szCs w:val="22"/>
          <w:rtl/>
        </w:rPr>
        <w:t>وركزت تعليقات الدول الأعضاء المشاركة على أهمية الاجتماعات الافتراضية (أي الاجتماعات التي تجمع بين الحضور الشخصي والحضور عبر الإنترنت، والندوات الشبكية، والتدريب عبر الإنترنت، وغيرها)، والحاجة إلى مواصلة هذا النوع من الاجتماعات حيثما أمكن ذلك لأنها أثبتت أنها أحد التغييرات القي</w:t>
      </w:r>
      <w:r w:rsidR="007A1143">
        <w:rPr>
          <w:rFonts w:hint="cs"/>
          <w:szCs w:val="22"/>
          <w:rtl/>
        </w:rPr>
        <w:t>ّ</w:t>
      </w:r>
      <w:r w:rsidRPr="00A8357F">
        <w:rPr>
          <w:rFonts w:hint="cs"/>
          <w:szCs w:val="22"/>
          <w:rtl/>
        </w:rPr>
        <w:t>مة الناجمة عن الجائحة.</w:t>
      </w:r>
      <w:r w:rsidR="00BE4767">
        <w:rPr>
          <w:rFonts w:hint="cs"/>
          <w:szCs w:val="22"/>
          <w:rtl/>
        </w:rPr>
        <w:t xml:space="preserve"> </w:t>
      </w:r>
      <w:r w:rsidRPr="00A8357F">
        <w:rPr>
          <w:rFonts w:hint="cs"/>
          <w:szCs w:val="22"/>
          <w:rtl/>
        </w:rPr>
        <w:t>ويمكن للمنظمة أن تحقق مزيداً من التحسينات عن طريق تقييم احتياجات الجهات المعنية الخارجية في مجال منصات الاتصال والتعاون الإضافية.</w:t>
      </w:r>
    </w:p>
    <w:p w14:paraId="4D741E4A" w14:textId="36FE4178" w:rsidR="00BE4767" w:rsidRDefault="00D173B8" w:rsidP="00BE4767">
      <w:pPr>
        <w:pStyle w:val="ONUME"/>
        <w:bidi/>
        <w:rPr>
          <w:szCs w:val="22"/>
          <w:rtl/>
        </w:rPr>
      </w:pPr>
      <w:r w:rsidRPr="00A8357F">
        <w:rPr>
          <w:rFonts w:hint="cs"/>
          <w:szCs w:val="22"/>
          <w:rtl/>
        </w:rPr>
        <w:t>وحددت شعبة الرقابة الداخلية الدروس المستفادة وقدَّمت توصيات في مجالات إدارة الأزمات والتواصل بشأنها، وإدارة الموارد البشرية، وتنفيذ السياسات والإجراءات الوجيهة والامتثال لها، والضوابط الداخلية التي تساهم في تحسين عمليات إدارة الأزمات وتعود بالفائدة على إطار المرونة التنظيمية.</w:t>
      </w:r>
    </w:p>
    <w:p w14:paraId="6AFDA7DE" w14:textId="76B65F54" w:rsidR="00775974" w:rsidRPr="00A8357F" w:rsidRDefault="00C4224C" w:rsidP="00BE4767">
      <w:pPr>
        <w:pStyle w:val="Heading2"/>
        <w:bidi/>
        <w:rPr>
          <w:bCs w:val="0"/>
          <w:iCs w:val="0"/>
          <w:szCs w:val="22"/>
          <w:rtl/>
        </w:rPr>
      </w:pPr>
      <w:r w:rsidRPr="00A8357F">
        <w:rPr>
          <w:rFonts w:hint="cs"/>
          <w:bCs w:val="0"/>
          <w:iCs w:val="0"/>
          <w:szCs w:val="22"/>
          <w:rtl/>
        </w:rPr>
        <w:lastRenderedPageBreak/>
        <w:t>استعراض إدارة الأداء وتطوير الموظفين في الويبو</w:t>
      </w:r>
    </w:p>
    <w:p w14:paraId="201DE4D7" w14:textId="298A2752" w:rsidR="009D772F" w:rsidRPr="00A8357F" w:rsidRDefault="009D772F" w:rsidP="00BE4767">
      <w:pPr>
        <w:pStyle w:val="ONUME"/>
        <w:bidi/>
        <w:rPr>
          <w:szCs w:val="22"/>
          <w:rtl/>
        </w:rPr>
      </w:pPr>
      <w:r w:rsidRPr="00A8357F">
        <w:rPr>
          <w:rFonts w:hint="cs"/>
          <w:szCs w:val="22"/>
          <w:rtl/>
        </w:rPr>
        <w:t>خلص الاستعراض إلى أن عملية إدارة الأداء الحالية في الويبو تستند إلى المبادئ التقليدية لإدارة الأداء.</w:t>
      </w:r>
      <w:r w:rsidR="00BE4767">
        <w:rPr>
          <w:rFonts w:hint="cs"/>
          <w:szCs w:val="22"/>
          <w:rtl/>
        </w:rPr>
        <w:t xml:space="preserve"> </w:t>
      </w:r>
      <w:r w:rsidRPr="00A8357F">
        <w:rPr>
          <w:rFonts w:hint="cs"/>
          <w:szCs w:val="22"/>
          <w:rtl/>
        </w:rPr>
        <w:t>وفضلاً عن ذلك، أبرز النموذج الحالي بعض المشكلات الرئيسية</w:t>
      </w:r>
      <w:r w:rsidR="00DD7B73">
        <w:rPr>
          <w:rFonts w:hint="cs"/>
          <w:szCs w:val="22"/>
          <w:rtl/>
        </w:rPr>
        <w:t>،</w:t>
      </w:r>
      <w:r w:rsidRPr="00A8357F">
        <w:rPr>
          <w:rFonts w:hint="cs"/>
          <w:szCs w:val="22"/>
          <w:rtl/>
        </w:rPr>
        <w:t xml:space="preserve"> منها ما يلي:</w:t>
      </w:r>
    </w:p>
    <w:p w14:paraId="35E0C2E1" w14:textId="77777777" w:rsidR="009D772F" w:rsidRPr="00A8357F" w:rsidRDefault="009D772F" w:rsidP="009632CE">
      <w:pPr>
        <w:pStyle w:val="ONUME"/>
        <w:numPr>
          <w:ilvl w:val="1"/>
          <w:numId w:val="2"/>
        </w:numPr>
        <w:bidi/>
        <w:ind w:left="1134" w:hanging="567"/>
        <w:rPr>
          <w:szCs w:val="22"/>
          <w:rtl/>
        </w:rPr>
      </w:pPr>
      <w:r w:rsidRPr="00A8357F">
        <w:rPr>
          <w:rFonts w:hint="cs"/>
          <w:szCs w:val="22"/>
          <w:rtl/>
        </w:rPr>
        <w:t>غياب الثقة في عملية تقييم الأداء؛</w:t>
      </w:r>
    </w:p>
    <w:p w14:paraId="08FC39B1" w14:textId="77777777" w:rsidR="00BE4767" w:rsidRDefault="009D772F" w:rsidP="009632CE">
      <w:pPr>
        <w:pStyle w:val="ONUME"/>
        <w:numPr>
          <w:ilvl w:val="1"/>
          <w:numId w:val="2"/>
        </w:numPr>
        <w:bidi/>
        <w:ind w:left="1134" w:hanging="567"/>
        <w:rPr>
          <w:szCs w:val="22"/>
          <w:rtl/>
        </w:rPr>
      </w:pPr>
      <w:r w:rsidRPr="00A8357F">
        <w:rPr>
          <w:rFonts w:hint="cs"/>
          <w:szCs w:val="22"/>
          <w:rtl/>
        </w:rPr>
        <w:t>غياب ثقافة جمع التعقيبات المستمرة والخوف من المحادثات الصعبة؛</w:t>
      </w:r>
    </w:p>
    <w:p w14:paraId="5E012D0D" w14:textId="67FDA6FE" w:rsidR="009D772F" w:rsidRPr="00A8357F" w:rsidRDefault="009D772F" w:rsidP="009632CE">
      <w:pPr>
        <w:pStyle w:val="ONUME"/>
        <w:numPr>
          <w:ilvl w:val="1"/>
          <w:numId w:val="2"/>
        </w:numPr>
        <w:bidi/>
        <w:ind w:left="1134" w:hanging="567"/>
        <w:rPr>
          <w:szCs w:val="22"/>
          <w:rtl/>
        </w:rPr>
      </w:pPr>
      <w:r w:rsidRPr="00A8357F">
        <w:rPr>
          <w:rFonts w:hint="cs"/>
          <w:szCs w:val="22"/>
          <w:rtl/>
        </w:rPr>
        <w:t>العبء الثقيل المفروض على المديرين في إدارة عبء العمل الإداري، لأن النظام معقد وغير سهل الاستعمال؛</w:t>
      </w:r>
    </w:p>
    <w:p w14:paraId="6E2A2A6E" w14:textId="77777777" w:rsidR="009D772F" w:rsidRPr="00A8357F" w:rsidRDefault="009D772F" w:rsidP="009632CE">
      <w:pPr>
        <w:pStyle w:val="ONUME"/>
        <w:numPr>
          <w:ilvl w:val="1"/>
          <w:numId w:val="2"/>
        </w:numPr>
        <w:bidi/>
        <w:ind w:left="1134" w:hanging="567"/>
        <w:rPr>
          <w:szCs w:val="22"/>
          <w:rtl/>
        </w:rPr>
      </w:pPr>
      <w:r w:rsidRPr="00A8357F">
        <w:rPr>
          <w:rFonts w:hint="cs"/>
          <w:szCs w:val="22"/>
          <w:rtl/>
        </w:rPr>
        <w:t>تصور أن تقييم الأداء مجرد عملية "ملء خانات" لا تنطوي إلا على قيمة مضافة محدودة للموظفين؛</w:t>
      </w:r>
    </w:p>
    <w:p w14:paraId="62AAAE94" w14:textId="13B7F1F0" w:rsidR="009D772F" w:rsidRPr="00A8357F" w:rsidRDefault="009D772F" w:rsidP="009632CE">
      <w:pPr>
        <w:pStyle w:val="ONUME"/>
        <w:numPr>
          <w:ilvl w:val="1"/>
          <w:numId w:val="2"/>
        </w:numPr>
        <w:bidi/>
        <w:ind w:left="1134" w:hanging="567"/>
        <w:rPr>
          <w:szCs w:val="22"/>
          <w:rtl/>
        </w:rPr>
      </w:pPr>
      <w:r w:rsidRPr="00A8357F">
        <w:rPr>
          <w:rFonts w:hint="cs"/>
          <w:szCs w:val="22"/>
          <w:rtl/>
        </w:rPr>
        <w:t xml:space="preserve">من المنظور التنظيمي، فإن نظام إدارة الأداء وتطوير الموظفين فعال في ضمان </w:t>
      </w:r>
      <w:proofErr w:type="spellStart"/>
      <w:r w:rsidRPr="00A8357F">
        <w:rPr>
          <w:rFonts w:hint="cs"/>
          <w:szCs w:val="22"/>
          <w:rtl/>
        </w:rPr>
        <w:t>التماشي</w:t>
      </w:r>
      <w:proofErr w:type="spellEnd"/>
      <w:r w:rsidRPr="00A8357F">
        <w:rPr>
          <w:rFonts w:hint="cs"/>
          <w:szCs w:val="22"/>
          <w:rtl/>
        </w:rPr>
        <w:t xml:space="preserve"> مع الأهداف المنشودة من المهام، ولكنه ليس بعد أداة متكاملة تحفز عقلية التطور والنمو اللازمة لتحقيق طموحات الويبو الاستراتيجية؛</w:t>
      </w:r>
    </w:p>
    <w:p w14:paraId="48F83DE7" w14:textId="77777777" w:rsidR="009D772F" w:rsidRPr="00A8357F" w:rsidRDefault="009D772F" w:rsidP="009632CE">
      <w:pPr>
        <w:pStyle w:val="ONUME"/>
        <w:numPr>
          <w:ilvl w:val="1"/>
          <w:numId w:val="2"/>
        </w:numPr>
        <w:bidi/>
        <w:ind w:left="1134" w:hanging="567"/>
        <w:rPr>
          <w:szCs w:val="22"/>
          <w:rtl/>
        </w:rPr>
      </w:pPr>
      <w:r w:rsidRPr="00A8357F">
        <w:rPr>
          <w:rFonts w:hint="cs"/>
          <w:szCs w:val="22"/>
          <w:rtl/>
        </w:rPr>
        <w:t>يعني الافتقار إلى فرص التنقل أن بعض الموظفين قد يظلون "عالقين" في مناصب لا يمكنهم الازدهار فيها.</w:t>
      </w:r>
    </w:p>
    <w:p w14:paraId="79CF673D" w14:textId="1D846541" w:rsidR="00BE4767" w:rsidRDefault="009D772F" w:rsidP="00AE70FA">
      <w:pPr>
        <w:pStyle w:val="ONUME"/>
        <w:bidi/>
        <w:rPr>
          <w:szCs w:val="22"/>
          <w:rtl/>
        </w:rPr>
      </w:pPr>
      <w:r w:rsidRPr="00A8357F">
        <w:rPr>
          <w:rFonts w:hint="cs"/>
          <w:szCs w:val="22"/>
          <w:rtl/>
        </w:rPr>
        <w:t>وفضلاً عن ذلك، يحتاج المديرون إلى تعزيز مهاراتهم في إدارة الأداء، ولا سيما فيما يتعلق بالتعامل مع ضعف الأداء.</w:t>
      </w:r>
      <w:r w:rsidR="00BE4767">
        <w:rPr>
          <w:rFonts w:hint="cs"/>
          <w:szCs w:val="22"/>
          <w:rtl/>
        </w:rPr>
        <w:t xml:space="preserve"> </w:t>
      </w:r>
      <w:r w:rsidRPr="00A8357F">
        <w:rPr>
          <w:rFonts w:hint="cs"/>
          <w:szCs w:val="22"/>
          <w:rtl/>
        </w:rPr>
        <w:t xml:space="preserve">وإنهم </w:t>
      </w:r>
      <w:r w:rsidR="00AE70FA">
        <w:rPr>
          <w:rFonts w:hint="cs"/>
          <w:szCs w:val="22"/>
          <w:rtl/>
        </w:rPr>
        <w:t xml:space="preserve">يميلون إلى إبداء تردد </w:t>
      </w:r>
      <w:r w:rsidRPr="00A8357F">
        <w:rPr>
          <w:rFonts w:hint="cs"/>
          <w:szCs w:val="22"/>
          <w:rtl/>
        </w:rPr>
        <w:t>في مواجهة ضعف الأداء</w:t>
      </w:r>
      <w:r w:rsidR="00AE70FA">
        <w:rPr>
          <w:rFonts w:hint="cs"/>
          <w:szCs w:val="22"/>
          <w:rtl/>
        </w:rPr>
        <w:t>، مما قد يؤدي إلى المبالغة في تقييم الأداء لتجنب أمور من بينها</w:t>
      </w:r>
      <w:r w:rsidRPr="00A8357F">
        <w:rPr>
          <w:rFonts w:hint="cs"/>
          <w:szCs w:val="22"/>
          <w:rtl/>
        </w:rPr>
        <w:t xml:space="preserve"> </w:t>
      </w:r>
      <w:r w:rsidR="00AE70FA">
        <w:rPr>
          <w:rFonts w:hint="cs"/>
          <w:szCs w:val="22"/>
          <w:rtl/>
        </w:rPr>
        <w:t xml:space="preserve">العبء الإداري المرتبط بمعالجة </w:t>
      </w:r>
      <w:r w:rsidR="00DC4458">
        <w:rPr>
          <w:rFonts w:hint="cs"/>
          <w:szCs w:val="22"/>
          <w:rtl/>
        </w:rPr>
        <w:t xml:space="preserve">ضعف </w:t>
      </w:r>
      <w:r w:rsidR="00AE70FA">
        <w:rPr>
          <w:rFonts w:hint="cs"/>
          <w:szCs w:val="22"/>
          <w:rtl/>
        </w:rPr>
        <w:t>الأداء.</w:t>
      </w:r>
    </w:p>
    <w:p w14:paraId="13B3B45A" w14:textId="0BED42A1" w:rsidR="00BE4767" w:rsidRPr="005E3DE5" w:rsidRDefault="009D772F" w:rsidP="00AE70FA">
      <w:pPr>
        <w:pStyle w:val="ONUME"/>
        <w:bidi/>
        <w:rPr>
          <w:spacing w:val="-2"/>
          <w:szCs w:val="22"/>
          <w:rtl/>
        </w:rPr>
      </w:pPr>
      <w:r w:rsidRPr="005E3DE5">
        <w:rPr>
          <w:rFonts w:hint="cs"/>
          <w:spacing w:val="-2"/>
          <w:szCs w:val="22"/>
          <w:rtl/>
        </w:rPr>
        <w:t xml:space="preserve">وأخيراً، </w:t>
      </w:r>
      <w:r w:rsidR="00AE70FA">
        <w:rPr>
          <w:rFonts w:hint="cs"/>
          <w:spacing w:val="-2"/>
          <w:szCs w:val="22"/>
          <w:rtl/>
        </w:rPr>
        <w:t>قُيّم</w:t>
      </w:r>
      <w:r w:rsidRPr="005E3DE5">
        <w:rPr>
          <w:rFonts w:hint="cs"/>
          <w:spacing w:val="-2"/>
          <w:szCs w:val="22"/>
          <w:rtl/>
        </w:rPr>
        <w:t xml:space="preserve"> </w:t>
      </w:r>
      <w:r w:rsidR="00AE70FA">
        <w:rPr>
          <w:rFonts w:hint="cs"/>
          <w:spacing w:val="-2"/>
          <w:szCs w:val="22"/>
          <w:rtl/>
        </w:rPr>
        <w:t xml:space="preserve">مستوى </w:t>
      </w:r>
      <w:r w:rsidRPr="005E3DE5">
        <w:rPr>
          <w:rFonts w:hint="cs"/>
          <w:spacing w:val="-2"/>
          <w:szCs w:val="22"/>
          <w:rtl/>
        </w:rPr>
        <w:t>نظام الويبو الحالي لإدارة الأ</w:t>
      </w:r>
      <w:r w:rsidR="00AE70FA">
        <w:rPr>
          <w:rFonts w:hint="cs"/>
          <w:spacing w:val="-2"/>
          <w:szCs w:val="22"/>
          <w:rtl/>
        </w:rPr>
        <w:t>داء ع</w:t>
      </w:r>
      <w:r w:rsidRPr="005E3DE5">
        <w:rPr>
          <w:rFonts w:hint="cs"/>
          <w:spacing w:val="-2"/>
          <w:szCs w:val="22"/>
          <w:rtl/>
        </w:rPr>
        <w:t xml:space="preserve">لى أساس سبع ركائز (الغرض، والثقافة، والأشخاص، والإجراءات، ونظام تكنولوجيا المعلومات، والمكافأة والتقدير، والتطور الوظيفي)، </w:t>
      </w:r>
      <w:r w:rsidR="00AE70FA">
        <w:rPr>
          <w:rFonts w:hint="cs"/>
          <w:spacing w:val="-2"/>
          <w:szCs w:val="22"/>
          <w:rtl/>
        </w:rPr>
        <w:t>وتبين أن معظم الركائز لا ت</w:t>
      </w:r>
      <w:r w:rsidR="00DC4458">
        <w:rPr>
          <w:rFonts w:hint="cs"/>
          <w:spacing w:val="-2"/>
          <w:szCs w:val="22"/>
          <w:rtl/>
        </w:rPr>
        <w:t>زال في مراحل تطوره</w:t>
      </w:r>
      <w:r w:rsidR="00AE70FA">
        <w:rPr>
          <w:rFonts w:hint="cs"/>
          <w:spacing w:val="-2"/>
          <w:szCs w:val="22"/>
          <w:rtl/>
        </w:rPr>
        <w:t xml:space="preserve"> الأولية</w:t>
      </w:r>
      <w:r w:rsidRPr="005E3DE5">
        <w:rPr>
          <w:rFonts w:hint="cs"/>
          <w:spacing w:val="-2"/>
          <w:szCs w:val="22"/>
          <w:rtl/>
        </w:rPr>
        <w:t>، وهو ما يدل على ضرورة بذل المزيد من الجهود لزرع ثقافة ناضجة لإدارة الأداء من أجل تحقيق الأهداف الاستراتيجية للمنظمة ومقاصدها الأخرى بفعالية.</w:t>
      </w:r>
    </w:p>
    <w:p w14:paraId="4B19C883" w14:textId="4F3DDF7E" w:rsidR="009D772F" w:rsidRPr="00A8357F" w:rsidRDefault="009D772F" w:rsidP="00BE4767">
      <w:pPr>
        <w:pStyle w:val="ONUME"/>
        <w:bidi/>
        <w:rPr>
          <w:szCs w:val="22"/>
          <w:rtl/>
        </w:rPr>
      </w:pPr>
      <w:r w:rsidRPr="00A8357F">
        <w:rPr>
          <w:rFonts w:hint="cs"/>
          <w:szCs w:val="22"/>
          <w:rtl/>
        </w:rPr>
        <w:t>وأعرب كل من المديرين والموظفين عن الحاجة إلى إدخال بعض التغييرات في المستقبل، منها ما يلي:</w:t>
      </w:r>
    </w:p>
    <w:p w14:paraId="372E3497" w14:textId="77777777" w:rsidR="009D772F" w:rsidRPr="00A8357F" w:rsidRDefault="009D772F" w:rsidP="009632CE">
      <w:pPr>
        <w:pStyle w:val="ONUME"/>
        <w:numPr>
          <w:ilvl w:val="1"/>
          <w:numId w:val="2"/>
        </w:numPr>
        <w:bidi/>
        <w:ind w:left="1134" w:hanging="567"/>
        <w:rPr>
          <w:szCs w:val="22"/>
          <w:rtl/>
        </w:rPr>
      </w:pPr>
      <w:r w:rsidRPr="00A8357F">
        <w:rPr>
          <w:rFonts w:hint="cs"/>
          <w:szCs w:val="22"/>
          <w:rtl/>
        </w:rPr>
        <w:t>زيادة الموضوعية والاعتراف والتطوير على أساس إجراء أبسط وأكثر تركيزاً على المستخدم؛</w:t>
      </w:r>
    </w:p>
    <w:p w14:paraId="02A44705" w14:textId="69C1F1DB" w:rsidR="009D772F" w:rsidRPr="00A8357F" w:rsidRDefault="009D772F" w:rsidP="009632CE">
      <w:pPr>
        <w:pStyle w:val="ONUME"/>
        <w:numPr>
          <w:ilvl w:val="1"/>
          <w:numId w:val="2"/>
        </w:numPr>
        <w:bidi/>
        <w:ind w:left="1134" w:hanging="567"/>
        <w:rPr>
          <w:szCs w:val="22"/>
          <w:rtl/>
        </w:rPr>
      </w:pPr>
      <w:r w:rsidRPr="00A8357F">
        <w:rPr>
          <w:rFonts w:hint="cs"/>
          <w:szCs w:val="22"/>
          <w:rtl/>
        </w:rPr>
        <w:t>تقديم المنظمة دعماً إضافياً لمعالجة الصعوبات المرتبطة بالتصدي لضعف الأداء؛</w:t>
      </w:r>
    </w:p>
    <w:p w14:paraId="73454D33" w14:textId="77777777" w:rsidR="009D772F" w:rsidRPr="00A8357F" w:rsidRDefault="009D772F" w:rsidP="009632CE">
      <w:pPr>
        <w:pStyle w:val="ONUME"/>
        <w:numPr>
          <w:ilvl w:val="1"/>
          <w:numId w:val="2"/>
        </w:numPr>
        <w:bidi/>
        <w:ind w:left="1134" w:hanging="567"/>
        <w:rPr>
          <w:szCs w:val="22"/>
          <w:rtl/>
        </w:rPr>
      </w:pPr>
      <w:r w:rsidRPr="00A8357F">
        <w:rPr>
          <w:rFonts w:hint="cs"/>
          <w:szCs w:val="22"/>
          <w:rtl/>
        </w:rPr>
        <w:t>الحاجة إلى تطور ثقافي عميق للعقليات والسلوكيات فيما يخص الأداء.</w:t>
      </w:r>
    </w:p>
    <w:p w14:paraId="14D723C7" w14:textId="0C7BB00F" w:rsidR="00BE4767" w:rsidRDefault="009D772F" w:rsidP="00BE4767">
      <w:pPr>
        <w:pStyle w:val="ONUME"/>
        <w:bidi/>
        <w:rPr>
          <w:szCs w:val="22"/>
          <w:rtl/>
        </w:rPr>
      </w:pPr>
      <w:r w:rsidRPr="00A8357F">
        <w:rPr>
          <w:rFonts w:hint="cs"/>
          <w:szCs w:val="22"/>
          <w:rtl/>
        </w:rPr>
        <w:t>و</w:t>
      </w:r>
      <w:r w:rsidR="008E4DD8">
        <w:rPr>
          <w:rFonts w:hint="cs"/>
          <w:szCs w:val="22"/>
          <w:rtl/>
        </w:rPr>
        <w:t xml:space="preserve">علاوة على ذلك، </w:t>
      </w:r>
      <w:r w:rsidRPr="00A8357F">
        <w:rPr>
          <w:rFonts w:hint="cs"/>
          <w:szCs w:val="22"/>
          <w:rtl/>
        </w:rPr>
        <w:t>سعياً إلى التصدي للتحديات الرئيسية في إدارة الأداء، ستحتاج المنظمة إلى القيام بما يلي:</w:t>
      </w:r>
    </w:p>
    <w:p w14:paraId="189D7D6C" w14:textId="77777777" w:rsidR="00BE4767" w:rsidRDefault="009D772F" w:rsidP="009632CE">
      <w:pPr>
        <w:pStyle w:val="ONUME"/>
        <w:numPr>
          <w:ilvl w:val="1"/>
          <w:numId w:val="2"/>
        </w:numPr>
        <w:bidi/>
        <w:ind w:left="1134" w:hanging="567"/>
        <w:rPr>
          <w:szCs w:val="22"/>
          <w:rtl/>
        </w:rPr>
      </w:pPr>
      <w:r w:rsidRPr="00A8357F">
        <w:rPr>
          <w:rFonts w:hint="cs"/>
          <w:szCs w:val="22"/>
          <w:rtl/>
        </w:rPr>
        <w:t>التحول الاستراتيجي نحو المزيد من التركيز على الزبائن؛</w:t>
      </w:r>
    </w:p>
    <w:p w14:paraId="1B056C93" w14:textId="77777777" w:rsidR="00BE4767" w:rsidRDefault="009D772F" w:rsidP="009632CE">
      <w:pPr>
        <w:pStyle w:val="ONUME"/>
        <w:numPr>
          <w:ilvl w:val="1"/>
          <w:numId w:val="2"/>
        </w:numPr>
        <w:bidi/>
        <w:ind w:left="1134" w:hanging="567"/>
        <w:rPr>
          <w:szCs w:val="22"/>
          <w:rtl/>
        </w:rPr>
      </w:pPr>
      <w:r w:rsidRPr="00A8357F">
        <w:rPr>
          <w:rFonts w:hint="cs"/>
          <w:szCs w:val="22"/>
          <w:rtl/>
        </w:rPr>
        <w:t>الدفع نحو "عقلية النمو" التي تزكيها ثقافة الأداء والتعقيب؛</w:t>
      </w:r>
    </w:p>
    <w:p w14:paraId="6D4B860B" w14:textId="77777777" w:rsidR="00BE4767" w:rsidRDefault="009D772F" w:rsidP="009632CE">
      <w:pPr>
        <w:pStyle w:val="ONUME"/>
        <w:numPr>
          <w:ilvl w:val="1"/>
          <w:numId w:val="2"/>
        </w:numPr>
        <w:bidi/>
        <w:ind w:left="1134" w:hanging="567"/>
        <w:rPr>
          <w:szCs w:val="22"/>
          <w:rtl/>
        </w:rPr>
      </w:pPr>
      <w:r w:rsidRPr="00A8357F">
        <w:rPr>
          <w:rFonts w:hint="cs"/>
          <w:szCs w:val="22"/>
          <w:rtl/>
        </w:rPr>
        <w:t>زيادة المرونة والابتكار، وهو ما يعوقه حالياً الافتقار إلى المرونة في نظام إدارة الأداء الحالي؛</w:t>
      </w:r>
    </w:p>
    <w:p w14:paraId="2417AA63" w14:textId="77777777" w:rsidR="00BE4767" w:rsidRDefault="009D772F" w:rsidP="009632CE">
      <w:pPr>
        <w:pStyle w:val="ONUME"/>
        <w:numPr>
          <w:ilvl w:val="1"/>
          <w:numId w:val="2"/>
        </w:numPr>
        <w:bidi/>
        <w:ind w:left="1134" w:hanging="567"/>
        <w:rPr>
          <w:szCs w:val="22"/>
          <w:rtl/>
        </w:rPr>
      </w:pPr>
      <w:r w:rsidRPr="00A8357F">
        <w:rPr>
          <w:rFonts w:hint="cs"/>
          <w:szCs w:val="22"/>
          <w:rtl/>
        </w:rPr>
        <w:t>وضع تدابير للارتقاء بمستوى الإدارة والتغلب على المقاومة الحالية لهجر السلوكيات المهنية التقليدية.</w:t>
      </w:r>
    </w:p>
    <w:p w14:paraId="304B970F" w14:textId="6BC60743" w:rsidR="00BE4767" w:rsidRPr="00B91FC4" w:rsidRDefault="009D772F" w:rsidP="00BE4767">
      <w:pPr>
        <w:pStyle w:val="ONUME"/>
        <w:bidi/>
        <w:rPr>
          <w:spacing w:val="2"/>
          <w:szCs w:val="22"/>
          <w:rtl/>
        </w:rPr>
      </w:pPr>
      <w:r w:rsidRPr="00B91FC4">
        <w:rPr>
          <w:rFonts w:hint="cs"/>
          <w:spacing w:val="2"/>
          <w:szCs w:val="22"/>
          <w:rtl/>
        </w:rPr>
        <w:t>وأخيراً، سيكون من الأهمية بمكان وضع نموذج جديد مبسط ومرن لإدارة الأداء يتكيف مع بيئة الويبو وتدعمه آليات واضحة للتواصل والتعقيب.</w:t>
      </w:r>
      <w:r w:rsidR="00BE4767" w:rsidRPr="00B91FC4">
        <w:rPr>
          <w:rFonts w:hint="cs"/>
          <w:spacing w:val="2"/>
          <w:szCs w:val="22"/>
          <w:rtl/>
        </w:rPr>
        <w:t xml:space="preserve"> </w:t>
      </w:r>
      <w:r w:rsidRPr="00B91FC4">
        <w:rPr>
          <w:rFonts w:hint="cs"/>
          <w:spacing w:val="2"/>
          <w:szCs w:val="22"/>
          <w:rtl/>
        </w:rPr>
        <w:t>وستكون الإدارة الوسطى عاملاً تمكينياً رئيسياً لتقديم النموذج الجديد إلى الفرق وتطبيق هذه المبادئ على العمل</w:t>
      </w:r>
      <w:r w:rsidR="009632CE" w:rsidRPr="00B91FC4">
        <w:rPr>
          <w:rFonts w:hint="eastAsia"/>
          <w:spacing w:val="2"/>
          <w:szCs w:val="22"/>
          <w:rtl/>
        </w:rPr>
        <w:t> </w:t>
      </w:r>
      <w:r w:rsidRPr="00B91FC4">
        <w:rPr>
          <w:rFonts w:hint="cs"/>
          <w:spacing w:val="2"/>
          <w:szCs w:val="22"/>
          <w:rtl/>
        </w:rPr>
        <w:t>اليومي.</w:t>
      </w:r>
    </w:p>
    <w:p w14:paraId="20524AEE" w14:textId="3AF05076" w:rsidR="00B70223" w:rsidRPr="00A8357F" w:rsidRDefault="00C4224C" w:rsidP="00BE4767">
      <w:pPr>
        <w:pStyle w:val="Heading2"/>
        <w:bidi/>
        <w:rPr>
          <w:bCs w:val="0"/>
          <w:iCs w:val="0"/>
          <w:szCs w:val="22"/>
          <w:rtl/>
        </w:rPr>
      </w:pPr>
      <w:r w:rsidRPr="00A8357F">
        <w:rPr>
          <w:rFonts w:hint="cs"/>
          <w:bCs w:val="0"/>
          <w:iCs w:val="0"/>
          <w:szCs w:val="22"/>
          <w:rtl/>
        </w:rPr>
        <w:t>تقييم شعبة البلدان العربية</w:t>
      </w:r>
    </w:p>
    <w:p w14:paraId="1011590B" w14:textId="195C94F1" w:rsidR="004854FF" w:rsidRPr="00A8357F" w:rsidRDefault="004854FF" w:rsidP="00BE4767">
      <w:pPr>
        <w:pStyle w:val="ONUME"/>
        <w:bidi/>
        <w:rPr>
          <w:szCs w:val="22"/>
          <w:rtl/>
        </w:rPr>
      </w:pPr>
      <w:r w:rsidRPr="00A8357F">
        <w:rPr>
          <w:rFonts w:hint="cs"/>
          <w:szCs w:val="22"/>
          <w:rtl/>
        </w:rPr>
        <w:t>شعبة البلدان العربية هي جزء من قطاع التنمية الإقليمية والوطنية في الويبو؛</w:t>
      </w:r>
      <w:r w:rsidR="00BE4767">
        <w:rPr>
          <w:rFonts w:hint="cs"/>
          <w:szCs w:val="22"/>
          <w:rtl/>
        </w:rPr>
        <w:t xml:space="preserve"> </w:t>
      </w:r>
      <w:r w:rsidRPr="00A8357F">
        <w:rPr>
          <w:rFonts w:hint="cs"/>
          <w:szCs w:val="22"/>
          <w:rtl/>
        </w:rPr>
        <w:t xml:space="preserve">ومهمتها الرئيسية هي تنسيق المساعدة التقنية الموجهة نحو التنمية والقائمة بناءً على الطلب والتي تقدِّمها الويبو بالتعاون مع جميع وحدات الأعمال المعنية في الويبو مع مراعاة خصوصية الدول الأعضاء وأولوياتها وخصوصيات المنطقة وضرورات تعميم المنظور </w:t>
      </w:r>
      <w:proofErr w:type="spellStart"/>
      <w:r w:rsidRPr="00A8357F">
        <w:rPr>
          <w:rFonts w:hint="cs"/>
          <w:szCs w:val="22"/>
          <w:rtl/>
        </w:rPr>
        <w:t>الجنساني</w:t>
      </w:r>
      <w:proofErr w:type="spellEnd"/>
      <w:r w:rsidRPr="00A8357F">
        <w:rPr>
          <w:rFonts w:hint="cs"/>
          <w:szCs w:val="22"/>
          <w:rtl/>
        </w:rPr>
        <w:t>.</w:t>
      </w:r>
      <w:r w:rsidR="00BE4767">
        <w:rPr>
          <w:rFonts w:hint="cs"/>
          <w:szCs w:val="22"/>
          <w:rtl/>
        </w:rPr>
        <w:t xml:space="preserve"> </w:t>
      </w:r>
      <w:r w:rsidRPr="00A8357F">
        <w:rPr>
          <w:rFonts w:hint="cs"/>
          <w:szCs w:val="22"/>
          <w:rtl/>
        </w:rPr>
        <w:t>وفضلاً عن ذلك، فإن شعبة البلدان العربية مسؤولة عن توفير المساعدة التقنية للبلدان العربية الاثنين والعشرين لتمكينها من تحديث عمليات التسجيل لديها وتحسين استخدام أصول الملكية الفكرية للاستفادة من نظام الملكية الفكرية.</w:t>
      </w:r>
    </w:p>
    <w:p w14:paraId="0491AC0A" w14:textId="1D8C3B5D" w:rsidR="004854FF" w:rsidRPr="00A8357F" w:rsidRDefault="004854FF" w:rsidP="00BE4767">
      <w:pPr>
        <w:pStyle w:val="ONUME"/>
        <w:bidi/>
        <w:rPr>
          <w:szCs w:val="22"/>
          <w:rtl/>
        </w:rPr>
      </w:pPr>
      <w:r w:rsidRPr="00A8357F">
        <w:rPr>
          <w:rFonts w:hint="cs"/>
          <w:szCs w:val="22"/>
          <w:rtl/>
        </w:rPr>
        <w:t>وكان الغرض من هذا التقييم هو النقد البنّاء واستخلاص الدروس وتحسين البرنامج.</w:t>
      </w:r>
    </w:p>
    <w:p w14:paraId="6381BDD5" w14:textId="3A993ED3" w:rsidR="004854FF" w:rsidRPr="00A8357F" w:rsidRDefault="004854FF" w:rsidP="00BE4767">
      <w:pPr>
        <w:pStyle w:val="ONUME"/>
        <w:bidi/>
        <w:rPr>
          <w:szCs w:val="22"/>
          <w:rtl/>
        </w:rPr>
      </w:pPr>
      <w:r w:rsidRPr="00A8357F">
        <w:rPr>
          <w:rFonts w:hint="cs"/>
          <w:szCs w:val="22"/>
          <w:rtl/>
        </w:rPr>
        <w:lastRenderedPageBreak/>
        <w:t>وترد فيما يلي النتائج الرئيسية للتقرير:</w:t>
      </w:r>
    </w:p>
    <w:p w14:paraId="035C6D6F" w14:textId="7C2E70C6" w:rsidR="004854FF" w:rsidRPr="00A8357F" w:rsidRDefault="004854FF" w:rsidP="009632CE">
      <w:pPr>
        <w:pStyle w:val="ONUME"/>
        <w:numPr>
          <w:ilvl w:val="1"/>
          <w:numId w:val="2"/>
        </w:numPr>
        <w:bidi/>
        <w:ind w:left="1134" w:hanging="567"/>
        <w:rPr>
          <w:szCs w:val="22"/>
          <w:rtl/>
        </w:rPr>
      </w:pPr>
      <w:r w:rsidRPr="00A8357F">
        <w:rPr>
          <w:rFonts w:hint="cs"/>
          <w:szCs w:val="22"/>
          <w:rtl/>
        </w:rPr>
        <w:t>كان الدعم الذي قدمته شعبة البلدان العربية إلى الدول الأعضاء في المنطقة العربية متصلاً بالأولويات الوطنية ومتماشياً مع الاحتياجات القطرية؛</w:t>
      </w:r>
    </w:p>
    <w:p w14:paraId="0BDEFD6A" w14:textId="7C6E890A" w:rsidR="004854FF" w:rsidRPr="00A8357F" w:rsidRDefault="009E2DB6" w:rsidP="002F5B33">
      <w:pPr>
        <w:pStyle w:val="ONUME"/>
        <w:numPr>
          <w:ilvl w:val="1"/>
          <w:numId w:val="2"/>
        </w:numPr>
        <w:bidi/>
        <w:ind w:left="1134" w:hanging="567"/>
        <w:rPr>
          <w:szCs w:val="22"/>
          <w:rtl/>
        </w:rPr>
      </w:pPr>
      <w:r w:rsidRPr="00A8357F">
        <w:rPr>
          <w:rFonts w:hint="cs"/>
          <w:szCs w:val="22"/>
          <w:rtl/>
        </w:rPr>
        <w:t>اتخذت المساعدة التقنية المقدَّمة أساساً شكل أنشطة مخصصة تحدَّد وفقاً لأولويات الدول الأعضاء مع إدماج محدود للرؤية الاستراتيجية في النتائج المنشودة في كل بلد.</w:t>
      </w:r>
      <w:r w:rsidR="00BE4767">
        <w:rPr>
          <w:rFonts w:hint="cs"/>
          <w:szCs w:val="22"/>
          <w:rtl/>
        </w:rPr>
        <w:t xml:space="preserve"> </w:t>
      </w:r>
      <w:r w:rsidRPr="00A8357F">
        <w:rPr>
          <w:rFonts w:hint="cs"/>
          <w:szCs w:val="22"/>
          <w:rtl/>
        </w:rPr>
        <w:t xml:space="preserve">وذكرت بعض الجهات المعنية </w:t>
      </w:r>
      <w:r w:rsidR="002F5B33">
        <w:rPr>
          <w:rFonts w:hint="cs"/>
          <w:szCs w:val="22"/>
          <w:rtl/>
          <w:lang w:bidi="ar-SY"/>
        </w:rPr>
        <w:t xml:space="preserve">أن </w:t>
      </w:r>
      <w:r w:rsidRPr="00A8357F">
        <w:rPr>
          <w:rFonts w:hint="cs"/>
          <w:szCs w:val="22"/>
          <w:rtl/>
        </w:rPr>
        <w:t>معايير الاختيار التي وضعتها شعبة البلدان العربية لاختيار أنشطة المساعدة التقنية</w:t>
      </w:r>
      <w:r w:rsidR="002F5B33">
        <w:rPr>
          <w:rFonts w:hint="cs"/>
          <w:szCs w:val="22"/>
          <w:rtl/>
        </w:rPr>
        <w:t xml:space="preserve"> لم تكن واضحة</w:t>
      </w:r>
      <w:r w:rsidRPr="00A8357F">
        <w:rPr>
          <w:rFonts w:hint="cs"/>
          <w:szCs w:val="22"/>
          <w:rtl/>
        </w:rPr>
        <w:t>؛</w:t>
      </w:r>
    </w:p>
    <w:p w14:paraId="0EEAFA65" w14:textId="4BF8628B" w:rsidR="00BE4767" w:rsidRPr="00B91FC4" w:rsidRDefault="004854FF" w:rsidP="002F5B33">
      <w:pPr>
        <w:pStyle w:val="ONUME"/>
        <w:numPr>
          <w:ilvl w:val="1"/>
          <w:numId w:val="2"/>
        </w:numPr>
        <w:bidi/>
        <w:ind w:left="1134" w:hanging="567"/>
        <w:rPr>
          <w:spacing w:val="2"/>
          <w:szCs w:val="22"/>
          <w:rtl/>
        </w:rPr>
      </w:pPr>
      <w:r w:rsidRPr="00B91FC4">
        <w:rPr>
          <w:rFonts w:hint="cs"/>
          <w:spacing w:val="2"/>
          <w:szCs w:val="22"/>
          <w:rtl/>
        </w:rPr>
        <w:t>أفادت غالبية الجهات المعنية بأنها تعتبر شعبة البلدان العربية مرجعها الرئيسي لأي قضايا تتعلق بالملكية الفكرية.</w:t>
      </w:r>
      <w:r w:rsidR="00BE4767" w:rsidRPr="00B91FC4">
        <w:rPr>
          <w:rFonts w:hint="cs"/>
          <w:spacing w:val="2"/>
          <w:szCs w:val="22"/>
          <w:rtl/>
        </w:rPr>
        <w:t xml:space="preserve"> </w:t>
      </w:r>
      <w:r w:rsidRPr="00B91FC4">
        <w:rPr>
          <w:rFonts w:hint="cs"/>
          <w:spacing w:val="2"/>
          <w:szCs w:val="22"/>
          <w:rtl/>
        </w:rPr>
        <w:t xml:space="preserve">ومع ذلك، </w:t>
      </w:r>
      <w:r w:rsidR="002F5B33">
        <w:rPr>
          <w:rFonts w:hint="cs"/>
          <w:spacing w:val="2"/>
          <w:szCs w:val="22"/>
          <w:rtl/>
        </w:rPr>
        <w:t>تميل</w:t>
      </w:r>
      <w:r w:rsidRPr="00B91FC4">
        <w:rPr>
          <w:rFonts w:hint="cs"/>
          <w:spacing w:val="2"/>
          <w:szCs w:val="22"/>
          <w:rtl/>
        </w:rPr>
        <w:t xml:space="preserve"> شعبة البلدان العربية</w:t>
      </w:r>
      <w:r w:rsidR="002F5B33">
        <w:rPr>
          <w:rFonts w:hint="cs"/>
          <w:spacing w:val="2"/>
          <w:szCs w:val="22"/>
          <w:rtl/>
        </w:rPr>
        <w:t xml:space="preserve"> إلى التركيز</w:t>
      </w:r>
      <w:r w:rsidRPr="00B91FC4">
        <w:rPr>
          <w:rFonts w:hint="cs"/>
          <w:spacing w:val="2"/>
          <w:szCs w:val="22"/>
          <w:rtl/>
        </w:rPr>
        <w:t xml:space="preserve"> </w:t>
      </w:r>
      <w:r w:rsidR="002F5B33">
        <w:rPr>
          <w:rFonts w:hint="cs"/>
          <w:spacing w:val="2"/>
          <w:szCs w:val="22"/>
          <w:rtl/>
        </w:rPr>
        <w:t>بشكل عام</w:t>
      </w:r>
      <w:r w:rsidRPr="00B91FC4">
        <w:rPr>
          <w:rFonts w:hint="cs"/>
          <w:spacing w:val="2"/>
          <w:szCs w:val="22"/>
          <w:rtl/>
        </w:rPr>
        <w:t xml:space="preserve"> </w:t>
      </w:r>
      <w:r w:rsidR="002F5B33">
        <w:rPr>
          <w:rFonts w:hint="cs"/>
          <w:spacing w:val="2"/>
          <w:szCs w:val="22"/>
          <w:rtl/>
        </w:rPr>
        <w:t>على الجوانب الديبلوماسية لوظائفها بدلاً من</w:t>
      </w:r>
      <w:r w:rsidRPr="00B91FC4">
        <w:rPr>
          <w:rFonts w:hint="cs"/>
          <w:spacing w:val="2"/>
          <w:szCs w:val="22"/>
          <w:rtl/>
        </w:rPr>
        <w:t xml:space="preserve"> إدارة المشروعات والجانب التقني؛</w:t>
      </w:r>
    </w:p>
    <w:p w14:paraId="69C10D82" w14:textId="7ABE14B6" w:rsidR="004854FF" w:rsidRPr="00A8357F" w:rsidRDefault="004854FF" w:rsidP="009632CE">
      <w:pPr>
        <w:pStyle w:val="ONUME"/>
        <w:numPr>
          <w:ilvl w:val="1"/>
          <w:numId w:val="2"/>
        </w:numPr>
        <w:bidi/>
        <w:ind w:left="1134" w:hanging="567"/>
        <w:rPr>
          <w:szCs w:val="22"/>
          <w:rtl/>
        </w:rPr>
      </w:pPr>
      <w:r w:rsidRPr="00A8357F">
        <w:rPr>
          <w:rFonts w:hint="cs"/>
          <w:szCs w:val="22"/>
          <w:rtl/>
        </w:rPr>
        <w:t>أشار</w:t>
      </w:r>
      <w:r w:rsidR="00D51D69">
        <w:rPr>
          <w:rFonts w:hint="cs"/>
          <w:szCs w:val="22"/>
          <w:rtl/>
        </w:rPr>
        <w:t>ت نتائج</w:t>
      </w:r>
      <w:r w:rsidRPr="00A8357F">
        <w:rPr>
          <w:rFonts w:hint="cs"/>
          <w:szCs w:val="22"/>
          <w:rtl/>
        </w:rPr>
        <w:t xml:space="preserve"> التقييم إلى أن شعبة البلدان العربية تعتمد على مؤشرات الإبلاغ الذاتي وأن بعضها غير مقترن بمنهجية واضحة بما فيه الكفاية لجمع البيانات وتحليلها؛</w:t>
      </w:r>
    </w:p>
    <w:p w14:paraId="1F70E0A2" w14:textId="5F30F3B4" w:rsidR="000E3787" w:rsidRPr="00A8357F" w:rsidRDefault="004854FF" w:rsidP="009632CE">
      <w:pPr>
        <w:pStyle w:val="ONUME"/>
        <w:numPr>
          <w:ilvl w:val="1"/>
          <w:numId w:val="2"/>
        </w:numPr>
        <w:bidi/>
        <w:ind w:left="1134" w:hanging="567"/>
        <w:rPr>
          <w:szCs w:val="22"/>
          <w:rtl/>
        </w:rPr>
      </w:pPr>
      <w:r w:rsidRPr="00A8357F">
        <w:rPr>
          <w:rFonts w:hint="cs"/>
          <w:szCs w:val="22"/>
          <w:rtl/>
        </w:rPr>
        <w:t>سلط التقييم الضوء على بعض المجالات التي تتطلب مزيداً من الاهتمام من شعبة البلدان العربية والمتعاونين معها الداخليين مثل عمليات الرصد والتقييم التي تركز بقدر أكبر على قياس الأنشطة المنجزة مقارنة بالنتائج؛</w:t>
      </w:r>
    </w:p>
    <w:p w14:paraId="4FC983FE" w14:textId="60B72C5B" w:rsidR="001A6CA0" w:rsidRPr="00A8357F" w:rsidRDefault="00D51D69" w:rsidP="00D51D69">
      <w:pPr>
        <w:pStyle w:val="ONUME"/>
        <w:numPr>
          <w:ilvl w:val="1"/>
          <w:numId w:val="2"/>
        </w:numPr>
        <w:bidi/>
        <w:ind w:left="1134" w:hanging="567"/>
        <w:rPr>
          <w:szCs w:val="22"/>
          <w:rtl/>
        </w:rPr>
      </w:pPr>
      <w:r>
        <w:rPr>
          <w:rFonts w:hint="cs"/>
          <w:szCs w:val="22"/>
          <w:rtl/>
        </w:rPr>
        <w:t>لم تُلاحَظ</w:t>
      </w:r>
      <w:r w:rsidR="001A6CA0" w:rsidRPr="00A8357F">
        <w:rPr>
          <w:rFonts w:hint="cs"/>
          <w:szCs w:val="22"/>
          <w:rtl/>
        </w:rPr>
        <w:t xml:space="preserve"> الجهود التي تبذلها شعبة</w:t>
      </w:r>
      <w:r>
        <w:rPr>
          <w:rFonts w:hint="cs"/>
          <w:szCs w:val="22"/>
          <w:rtl/>
        </w:rPr>
        <w:t xml:space="preserve"> البلدان العربية للمساهمة في ت</w:t>
      </w:r>
      <w:r w:rsidR="001A6CA0" w:rsidRPr="00A8357F">
        <w:rPr>
          <w:rFonts w:hint="cs"/>
          <w:szCs w:val="22"/>
          <w:rtl/>
        </w:rPr>
        <w:t>أثير</w:t>
      </w:r>
      <w:r>
        <w:rPr>
          <w:rFonts w:hint="cs"/>
          <w:szCs w:val="22"/>
          <w:rtl/>
        </w:rPr>
        <w:t xml:space="preserve"> أنشطتها</w:t>
      </w:r>
      <w:r w:rsidR="001A6CA0" w:rsidRPr="00A8357F">
        <w:rPr>
          <w:rFonts w:hint="cs"/>
          <w:szCs w:val="22"/>
          <w:rtl/>
        </w:rPr>
        <w:t xml:space="preserve"> </w:t>
      </w:r>
      <w:r>
        <w:rPr>
          <w:rFonts w:hint="cs"/>
          <w:szCs w:val="22"/>
          <w:rtl/>
        </w:rPr>
        <w:t>واستدامتها إلا</w:t>
      </w:r>
      <w:r w:rsidR="001A6CA0" w:rsidRPr="00A8357F">
        <w:rPr>
          <w:rFonts w:hint="cs"/>
          <w:szCs w:val="22"/>
          <w:rtl/>
        </w:rPr>
        <w:t xml:space="preserve"> في بعض البلدان العربية.</w:t>
      </w:r>
      <w:r w:rsidR="00BE4767">
        <w:rPr>
          <w:rFonts w:hint="cs"/>
          <w:szCs w:val="22"/>
          <w:rtl/>
        </w:rPr>
        <w:t xml:space="preserve"> </w:t>
      </w:r>
      <w:r>
        <w:rPr>
          <w:rFonts w:hint="cs"/>
          <w:szCs w:val="22"/>
          <w:rtl/>
        </w:rPr>
        <w:t>و</w:t>
      </w:r>
      <w:r w:rsidR="001A6CA0" w:rsidRPr="00A8357F">
        <w:rPr>
          <w:rFonts w:hint="cs"/>
          <w:szCs w:val="22"/>
          <w:rtl/>
        </w:rPr>
        <w:t xml:space="preserve">لم تتكلل تلك الجهود </w:t>
      </w:r>
      <w:r>
        <w:rPr>
          <w:rFonts w:hint="cs"/>
          <w:szCs w:val="22"/>
          <w:rtl/>
        </w:rPr>
        <w:t>بتأييد</w:t>
      </w:r>
      <w:r w:rsidR="001A6CA0" w:rsidRPr="00A8357F">
        <w:rPr>
          <w:rFonts w:hint="cs"/>
          <w:szCs w:val="22"/>
          <w:rtl/>
        </w:rPr>
        <w:t xml:space="preserve"> واسع النطاق للاستراتيجيات الوطنية والتغييرات في السياسات.</w:t>
      </w:r>
      <w:r w:rsidR="00BE4767">
        <w:rPr>
          <w:rFonts w:hint="cs"/>
          <w:szCs w:val="22"/>
          <w:rtl/>
        </w:rPr>
        <w:t xml:space="preserve"> </w:t>
      </w:r>
      <w:r w:rsidR="001A6CA0" w:rsidRPr="00A8357F">
        <w:rPr>
          <w:rFonts w:hint="cs"/>
          <w:szCs w:val="22"/>
          <w:rtl/>
        </w:rPr>
        <w:t>ولم تضع شعبة البلدان العربية بعد خطة/خارطة طريق قطرية قائمة على النتائج على الأمد المتوسط إلى البعيد مع النظراء الوطنيين المعنيين بالملكية الفكرية، ولم تستخدم الشراكات على نطاق واسع لتيسير إحداث التغيير المنشود.</w:t>
      </w:r>
    </w:p>
    <w:p w14:paraId="4FCA4B59" w14:textId="77777777" w:rsidR="00BE4767" w:rsidRDefault="004854FF" w:rsidP="00BE4767">
      <w:pPr>
        <w:pStyle w:val="ONUME"/>
        <w:bidi/>
        <w:rPr>
          <w:szCs w:val="22"/>
          <w:rtl/>
        </w:rPr>
      </w:pPr>
      <w:r w:rsidRPr="00A8357F">
        <w:rPr>
          <w:rFonts w:hint="cs"/>
          <w:szCs w:val="22"/>
          <w:rtl/>
        </w:rPr>
        <w:t>واستناداً إلى نتائج التقييم واستنتاجاته، تشمل التوصيات الرئيسية الواردة في التقرير ما يلي:</w:t>
      </w:r>
    </w:p>
    <w:p w14:paraId="23EE4863" w14:textId="2D6C260F" w:rsidR="004854FF" w:rsidRPr="00A8357F" w:rsidRDefault="004854FF" w:rsidP="00D51D69">
      <w:pPr>
        <w:pStyle w:val="ONUME"/>
        <w:numPr>
          <w:ilvl w:val="1"/>
          <w:numId w:val="2"/>
        </w:numPr>
        <w:bidi/>
        <w:ind w:left="1134" w:hanging="567"/>
        <w:rPr>
          <w:szCs w:val="22"/>
          <w:rtl/>
        </w:rPr>
      </w:pPr>
      <w:r w:rsidRPr="00A8357F">
        <w:rPr>
          <w:rFonts w:hint="cs"/>
          <w:szCs w:val="22"/>
          <w:rtl/>
        </w:rPr>
        <w:t>وضع برنامج/خطة مشتركة بين شعبة البلدان العربية وكل بلد في المنطقة على الأمد المتوسط إلى البعيد (خطة مدتها 3 إ</w:t>
      </w:r>
      <w:r w:rsidR="00D51D69">
        <w:rPr>
          <w:rFonts w:hint="cs"/>
          <w:szCs w:val="22"/>
          <w:rtl/>
        </w:rPr>
        <w:t xml:space="preserve">لى 5 سنوات) تضمن اتساق الأنشطة </w:t>
      </w:r>
      <w:r w:rsidRPr="00A8357F">
        <w:rPr>
          <w:rFonts w:hint="cs"/>
          <w:szCs w:val="22"/>
          <w:rtl/>
        </w:rPr>
        <w:t>وتكون مرنة ليتسنى تكييفها مع الاحتياجات الناشئة؛</w:t>
      </w:r>
    </w:p>
    <w:p w14:paraId="075BBF3B" w14:textId="7B2817C9" w:rsidR="004854FF" w:rsidRPr="00A8357F" w:rsidRDefault="004854FF" w:rsidP="009632CE">
      <w:pPr>
        <w:pStyle w:val="ONUME"/>
        <w:numPr>
          <w:ilvl w:val="1"/>
          <w:numId w:val="2"/>
        </w:numPr>
        <w:bidi/>
        <w:ind w:left="1134" w:hanging="567"/>
        <w:rPr>
          <w:szCs w:val="22"/>
          <w:rtl/>
        </w:rPr>
      </w:pPr>
      <w:r w:rsidRPr="00A8357F">
        <w:rPr>
          <w:rFonts w:hint="cs"/>
          <w:szCs w:val="22"/>
          <w:rtl/>
        </w:rPr>
        <w:t>إعادة النظر في إطار أداء شعبة البلدان العربية من أجل تحديد وسائل القياس، وضمان المواءمة وتجنب التناقضات فيما بينها؛</w:t>
      </w:r>
    </w:p>
    <w:p w14:paraId="65C3F5ED" w14:textId="6AB696F6" w:rsidR="004854FF" w:rsidRPr="00A8357F" w:rsidRDefault="004854FF" w:rsidP="009632CE">
      <w:pPr>
        <w:pStyle w:val="ONUME"/>
        <w:numPr>
          <w:ilvl w:val="1"/>
          <w:numId w:val="2"/>
        </w:numPr>
        <w:bidi/>
        <w:ind w:left="1134" w:hanging="567"/>
        <w:rPr>
          <w:szCs w:val="22"/>
          <w:rtl/>
        </w:rPr>
      </w:pPr>
      <w:r w:rsidRPr="00A8357F">
        <w:rPr>
          <w:rFonts w:hint="cs"/>
          <w:szCs w:val="22"/>
          <w:rtl/>
        </w:rPr>
        <w:t>تعزيز الشراكات مع النظراء الوطنيين والإقليميين وبعثاتهم الدائمة عن طريق زيادة إبراز تلك الشراكات ووضع خطط عمل/برامج على الأمد المتوسط إلى البعيد؛</w:t>
      </w:r>
    </w:p>
    <w:p w14:paraId="29BE677B" w14:textId="3F4265BB" w:rsidR="004854FF" w:rsidRPr="00A8357F" w:rsidRDefault="004854FF" w:rsidP="00D51D69">
      <w:pPr>
        <w:pStyle w:val="ONUME"/>
        <w:numPr>
          <w:ilvl w:val="1"/>
          <w:numId w:val="2"/>
        </w:numPr>
        <w:bidi/>
        <w:ind w:left="1134" w:hanging="567"/>
        <w:rPr>
          <w:szCs w:val="22"/>
          <w:rtl/>
        </w:rPr>
      </w:pPr>
      <w:r w:rsidRPr="00A8357F">
        <w:rPr>
          <w:rFonts w:hint="cs"/>
          <w:szCs w:val="22"/>
          <w:rtl/>
        </w:rPr>
        <w:t>تشجيع التعاون الوثيق مع المنظمات الدولية الأخرى (مؤتمر الأمم المتحدة للتجارة والتنمية، ومنظمة التجارة العالمية، وغيرهما) لحشد الموارد، وتحقيق أكبر تأثير ممكن، وضمان الاستدامة في "1" صياغة الاستراتيجيات الوطنية للملكية الفكرية وتنفيذها؛ "2" والتأثير في استراتيجيات الابتكار؛ "3" </w:t>
      </w:r>
      <w:r w:rsidR="00D51D69">
        <w:rPr>
          <w:rFonts w:hint="cs"/>
          <w:szCs w:val="22"/>
          <w:rtl/>
        </w:rPr>
        <w:t xml:space="preserve">وتقديم </w:t>
      </w:r>
      <w:r w:rsidRPr="00A8357F">
        <w:rPr>
          <w:rFonts w:hint="cs"/>
          <w:szCs w:val="22"/>
          <w:rtl/>
        </w:rPr>
        <w:t>دعم</w:t>
      </w:r>
      <w:r w:rsidR="00D51D69">
        <w:rPr>
          <w:rFonts w:hint="cs"/>
          <w:szCs w:val="22"/>
          <w:rtl/>
        </w:rPr>
        <w:t xml:space="preserve"> إضافي</w:t>
      </w:r>
      <w:r w:rsidRPr="00A8357F">
        <w:rPr>
          <w:rFonts w:hint="cs"/>
          <w:szCs w:val="22"/>
          <w:rtl/>
        </w:rPr>
        <w:t xml:space="preserve"> للاستجابة للاحتياجات الإقليمية الناشئة.</w:t>
      </w:r>
    </w:p>
    <w:p w14:paraId="0894A01F" w14:textId="77777777" w:rsidR="00B70223" w:rsidRPr="00A8357F" w:rsidRDefault="00C4224C" w:rsidP="00BE4767">
      <w:pPr>
        <w:pStyle w:val="Heading2"/>
        <w:bidi/>
        <w:rPr>
          <w:bCs w:val="0"/>
          <w:iCs w:val="0"/>
          <w:szCs w:val="22"/>
          <w:rtl/>
        </w:rPr>
      </w:pPr>
      <w:r w:rsidRPr="00A8357F">
        <w:rPr>
          <w:rFonts w:hint="cs"/>
          <w:bCs w:val="0"/>
          <w:iCs w:val="0"/>
          <w:szCs w:val="22"/>
          <w:rtl/>
        </w:rPr>
        <w:t xml:space="preserve">تقييم برنامج </w:t>
      </w:r>
      <w:r w:rsidRPr="00A8357F">
        <w:rPr>
          <w:bCs w:val="0"/>
          <w:iCs w:val="0"/>
          <w:szCs w:val="22"/>
        </w:rPr>
        <w:t>WIPO Match</w:t>
      </w:r>
    </w:p>
    <w:p w14:paraId="4D887E86" w14:textId="13521D07" w:rsidR="00BE4767" w:rsidRDefault="004854FF" w:rsidP="00BE4767">
      <w:pPr>
        <w:pStyle w:val="ONUME"/>
        <w:bidi/>
        <w:rPr>
          <w:szCs w:val="22"/>
          <w:rtl/>
        </w:rPr>
      </w:pPr>
      <w:r w:rsidRPr="00A8357F">
        <w:rPr>
          <w:szCs w:val="22"/>
        </w:rPr>
        <w:t>WIPO Match</w:t>
      </w:r>
      <w:r w:rsidRPr="00A8357F">
        <w:rPr>
          <w:rFonts w:hint="cs"/>
          <w:szCs w:val="22"/>
          <w:rtl/>
        </w:rPr>
        <w:t xml:space="preserve"> هو برنامج عالمي يجمع أطرافاً مهتمة ويهدف إلى تسخير قوة الصناعة والقطاع الخاص لتعزيز التنمية الاقتصادية والاجتماعية والثقافية في البلدان النامية والبلدان الأقل نمواً، فضلاً عن البلدان التي تمر بمرحلة انتقالية.</w:t>
      </w:r>
      <w:r w:rsidR="00BE4767">
        <w:rPr>
          <w:rFonts w:hint="cs"/>
          <w:szCs w:val="22"/>
          <w:rtl/>
        </w:rPr>
        <w:t xml:space="preserve"> </w:t>
      </w:r>
      <w:r w:rsidRPr="00A8357F">
        <w:rPr>
          <w:rFonts w:hint="cs"/>
          <w:szCs w:val="22"/>
          <w:rtl/>
        </w:rPr>
        <w:t>ويعمل البرنامج على تحقيق ذلك الهدف عن طريق مساعدة الباحثين عن المساعدة التقنية في مجال الملكية الفكرية في العثور على مقدمي خدمات وجيهين لتنفيذ مشروعات وأنشطة محلية.</w:t>
      </w:r>
    </w:p>
    <w:p w14:paraId="58DC4D67" w14:textId="3DAF980A" w:rsidR="0033685D" w:rsidRPr="00B91FC4" w:rsidRDefault="004854FF" w:rsidP="00D51D69">
      <w:pPr>
        <w:pStyle w:val="ONUME"/>
        <w:bidi/>
        <w:rPr>
          <w:spacing w:val="2"/>
          <w:szCs w:val="22"/>
          <w:rtl/>
        </w:rPr>
      </w:pPr>
      <w:r w:rsidRPr="00B91FC4">
        <w:rPr>
          <w:rFonts w:hint="cs"/>
          <w:spacing w:val="2"/>
          <w:szCs w:val="22"/>
          <w:rtl/>
        </w:rPr>
        <w:t>وكان الغرض من هذا التقييم هو النقد البنّاء واستخلاص الدروس وتحسين البرنامج.</w:t>
      </w:r>
      <w:r w:rsidR="00BE4767" w:rsidRPr="00B91FC4">
        <w:rPr>
          <w:rFonts w:hint="cs"/>
          <w:spacing w:val="2"/>
          <w:szCs w:val="22"/>
          <w:rtl/>
        </w:rPr>
        <w:t xml:space="preserve"> </w:t>
      </w:r>
    </w:p>
    <w:p w14:paraId="169248B4" w14:textId="128EC5A1" w:rsidR="004854FF" w:rsidRPr="00A8357F" w:rsidRDefault="004854FF" w:rsidP="00BE4767">
      <w:pPr>
        <w:pStyle w:val="ONUME"/>
        <w:bidi/>
        <w:rPr>
          <w:rFonts w:eastAsia="Times New Roman"/>
          <w:szCs w:val="22"/>
          <w:rtl/>
        </w:rPr>
      </w:pPr>
      <w:r w:rsidRPr="00A8357F">
        <w:rPr>
          <w:rFonts w:hint="cs"/>
          <w:szCs w:val="22"/>
          <w:rtl/>
        </w:rPr>
        <w:t>وترد فيما يلي النتائج الرئيسية للتقرير:</w:t>
      </w:r>
    </w:p>
    <w:p w14:paraId="005FC6B5" w14:textId="778579A9" w:rsidR="00BE4767" w:rsidRDefault="004854FF" w:rsidP="00780B2D">
      <w:pPr>
        <w:pStyle w:val="ONUME"/>
        <w:numPr>
          <w:ilvl w:val="1"/>
          <w:numId w:val="2"/>
        </w:numPr>
        <w:bidi/>
        <w:ind w:left="1134" w:hanging="567"/>
        <w:rPr>
          <w:szCs w:val="22"/>
          <w:rtl/>
        </w:rPr>
      </w:pPr>
      <w:r w:rsidRPr="00A8357F">
        <w:rPr>
          <w:rFonts w:hint="cs"/>
          <w:szCs w:val="22"/>
          <w:rtl/>
        </w:rPr>
        <w:t xml:space="preserve">كان برنامج </w:t>
      </w:r>
      <w:r w:rsidRPr="00A8357F">
        <w:rPr>
          <w:szCs w:val="22"/>
        </w:rPr>
        <w:t>WIPO Match</w:t>
      </w:r>
      <w:r w:rsidRPr="00A8357F">
        <w:rPr>
          <w:rFonts w:hint="cs"/>
          <w:szCs w:val="22"/>
          <w:rtl/>
        </w:rPr>
        <w:t xml:space="preserve"> قد أنشئ استجابةً لطلب من اللجنة المعنية بالتنمية والملكية الفكرية وتماشيا</w:t>
      </w:r>
      <w:r w:rsidR="00780B2D">
        <w:rPr>
          <w:rFonts w:hint="cs"/>
          <w:szCs w:val="22"/>
          <w:rtl/>
        </w:rPr>
        <w:t>ً مع التوصية 9 من أجندة التنمية؛</w:t>
      </w:r>
    </w:p>
    <w:p w14:paraId="5AD50853" w14:textId="51EB253C" w:rsidR="004854FF" w:rsidRPr="009632CE" w:rsidRDefault="004854FF" w:rsidP="00780B2D">
      <w:pPr>
        <w:pStyle w:val="ONUME"/>
        <w:numPr>
          <w:ilvl w:val="1"/>
          <w:numId w:val="2"/>
        </w:numPr>
        <w:bidi/>
        <w:ind w:left="1134" w:hanging="567"/>
        <w:rPr>
          <w:szCs w:val="22"/>
          <w:rtl/>
        </w:rPr>
      </w:pPr>
      <w:r w:rsidRPr="00A8357F">
        <w:rPr>
          <w:rFonts w:hint="cs"/>
          <w:szCs w:val="22"/>
          <w:rtl/>
        </w:rPr>
        <w:lastRenderedPageBreak/>
        <w:t xml:space="preserve">وقد ازدادت قيمة برنامج </w:t>
      </w:r>
      <w:r w:rsidRPr="00A8357F">
        <w:rPr>
          <w:szCs w:val="22"/>
        </w:rPr>
        <w:t>WIPO Match</w:t>
      </w:r>
      <w:r w:rsidRPr="00A8357F">
        <w:rPr>
          <w:rFonts w:hint="cs"/>
          <w:szCs w:val="22"/>
          <w:rtl/>
        </w:rPr>
        <w:t xml:space="preserve"> مع مرور الوقت، وبات يتضمن مزيجاً من الخدمات والاقتراحات لا تستطيع المبادرة دائماً تقديمها بشكل واقعي إلى جميع أعضاء البرنامج.</w:t>
      </w:r>
      <w:r w:rsidR="00BE4767">
        <w:rPr>
          <w:rFonts w:hint="cs"/>
          <w:szCs w:val="22"/>
          <w:rtl/>
        </w:rPr>
        <w:t xml:space="preserve"> </w:t>
      </w:r>
      <w:r w:rsidRPr="00A8357F">
        <w:rPr>
          <w:rFonts w:hint="cs"/>
          <w:szCs w:val="22"/>
          <w:rtl/>
        </w:rPr>
        <w:t xml:space="preserve">ولا تصل الخدمات والتعقيبات الواردة من البرنامج حالياً إلى جميع ملتمسي المساعدة، </w:t>
      </w:r>
      <w:r w:rsidR="0085084F">
        <w:rPr>
          <w:rFonts w:hint="cs"/>
          <w:szCs w:val="22"/>
          <w:rtl/>
        </w:rPr>
        <w:t>و</w:t>
      </w:r>
      <w:r w:rsidRPr="00A8357F">
        <w:rPr>
          <w:rFonts w:hint="cs"/>
          <w:szCs w:val="22"/>
          <w:rtl/>
        </w:rPr>
        <w:t xml:space="preserve">يحد </w:t>
      </w:r>
      <w:r w:rsidR="00780B2D">
        <w:rPr>
          <w:rFonts w:hint="cs"/>
          <w:szCs w:val="22"/>
          <w:rtl/>
        </w:rPr>
        <w:t xml:space="preserve">بالتالي </w:t>
      </w:r>
      <w:r w:rsidRPr="00A8357F">
        <w:rPr>
          <w:rFonts w:hint="cs"/>
          <w:szCs w:val="22"/>
          <w:rtl/>
        </w:rPr>
        <w:t xml:space="preserve">من إمكانية </w:t>
      </w:r>
      <w:r w:rsidR="00780B2D">
        <w:rPr>
          <w:rFonts w:hint="cs"/>
          <w:szCs w:val="22"/>
          <w:rtl/>
        </w:rPr>
        <w:t>تحقيق تقدم واسع</w:t>
      </w:r>
      <w:r w:rsidRPr="00A8357F">
        <w:rPr>
          <w:rFonts w:hint="cs"/>
          <w:szCs w:val="22"/>
          <w:rtl/>
        </w:rPr>
        <w:t xml:space="preserve"> النطاق للمشروع؛</w:t>
      </w:r>
    </w:p>
    <w:p w14:paraId="39AD4E51" w14:textId="670A6EE0" w:rsidR="004854FF" w:rsidRDefault="00FB223F" w:rsidP="009632CE">
      <w:pPr>
        <w:pStyle w:val="ONUME"/>
        <w:numPr>
          <w:ilvl w:val="1"/>
          <w:numId w:val="2"/>
        </w:numPr>
        <w:bidi/>
        <w:ind w:left="1134" w:hanging="567"/>
        <w:rPr>
          <w:szCs w:val="22"/>
        </w:rPr>
      </w:pPr>
      <w:r>
        <w:rPr>
          <w:rFonts w:hint="cs"/>
          <w:szCs w:val="22"/>
          <w:rtl/>
        </w:rPr>
        <w:t xml:space="preserve">ومع ذلك، هناك تحديات كبيرة تتعلق بالكفاءة ذات الصلة بالسياق الذي تُشغل فيه منصة </w:t>
      </w:r>
      <w:r>
        <w:rPr>
          <w:szCs w:val="22"/>
          <w:lang w:val="fr-CH"/>
        </w:rPr>
        <w:t>WIPO Match</w:t>
      </w:r>
      <w:r>
        <w:rPr>
          <w:rFonts w:hint="cs"/>
          <w:szCs w:val="22"/>
          <w:rtl/>
          <w:lang w:val="fr-CH" w:bidi="ar-SY"/>
        </w:rPr>
        <w:t>، والتي يتعين على المنظمة معالجتها</w:t>
      </w:r>
      <w:r w:rsidR="004854FF" w:rsidRPr="00A8357F">
        <w:rPr>
          <w:rFonts w:hint="cs"/>
          <w:szCs w:val="22"/>
          <w:rtl/>
        </w:rPr>
        <w:t>؛</w:t>
      </w:r>
    </w:p>
    <w:p w14:paraId="164C7BF7" w14:textId="1A5A9E6A" w:rsidR="00FB223F" w:rsidRPr="00FB223F" w:rsidRDefault="00FB223F" w:rsidP="00FB223F">
      <w:pPr>
        <w:pStyle w:val="ONUME"/>
        <w:numPr>
          <w:ilvl w:val="1"/>
          <w:numId w:val="2"/>
        </w:numPr>
        <w:bidi/>
        <w:ind w:left="1134" w:hanging="567"/>
        <w:rPr>
          <w:szCs w:val="22"/>
        </w:rPr>
      </w:pPr>
      <w:r>
        <w:rPr>
          <w:rFonts w:hint="cs"/>
          <w:szCs w:val="22"/>
          <w:rtl/>
        </w:rPr>
        <w:t xml:space="preserve">ويعتقد أصحاب المصلحة المستجوبين أن هناك مجالاً لتحسين عمليات منصة </w:t>
      </w:r>
      <w:r>
        <w:rPr>
          <w:szCs w:val="22"/>
          <w:lang w:val="fr-CH"/>
        </w:rPr>
        <w:t>WIPO Match</w:t>
      </w:r>
      <w:r>
        <w:rPr>
          <w:rFonts w:hint="cs"/>
          <w:szCs w:val="22"/>
          <w:rtl/>
          <w:lang w:val="fr-CH" w:bidi="ar-SY"/>
        </w:rPr>
        <w:t>؛</w:t>
      </w:r>
    </w:p>
    <w:p w14:paraId="3F19D9C5" w14:textId="77777777" w:rsidR="00FB223F" w:rsidRDefault="00FB223F" w:rsidP="00FB223F">
      <w:pPr>
        <w:pStyle w:val="ONUME"/>
        <w:numPr>
          <w:ilvl w:val="1"/>
          <w:numId w:val="2"/>
        </w:numPr>
        <w:bidi/>
        <w:ind w:left="1134" w:hanging="567"/>
        <w:rPr>
          <w:szCs w:val="22"/>
        </w:rPr>
      </w:pPr>
      <w:r>
        <w:rPr>
          <w:rFonts w:hint="cs"/>
          <w:szCs w:val="22"/>
          <w:rtl/>
          <w:lang w:bidi="ar-SY"/>
        </w:rPr>
        <w:t xml:space="preserve">ومنذ إنشاء منصة </w:t>
      </w:r>
      <w:r>
        <w:rPr>
          <w:szCs w:val="22"/>
          <w:lang w:val="fr-CH" w:bidi="ar-SY"/>
        </w:rPr>
        <w:t>WIPO Match</w:t>
      </w:r>
      <w:r>
        <w:rPr>
          <w:rFonts w:hint="cs"/>
          <w:szCs w:val="22"/>
          <w:rtl/>
          <w:lang w:val="fr-CH" w:bidi="ar-SY"/>
        </w:rPr>
        <w:t>، تمكنت في غضون عشر سنوات حتى عام 2019، من تحفيز ست صفقات فقط؛</w:t>
      </w:r>
    </w:p>
    <w:p w14:paraId="4B0AFB68" w14:textId="5C56F78D" w:rsidR="00FB223F" w:rsidRPr="00FB223F" w:rsidRDefault="00FB223F" w:rsidP="00F74E1F">
      <w:pPr>
        <w:pStyle w:val="ONUME"/>
        <w:numPr>
          <w:ilvl w:val="1"/>
          <w:numId w:val="2"/>
        </w:numPr>
        <w:bidi/>
        <w:ind w:left="1134" w:hanging="567"/>
        <w:rPr>
          <w:szCs w:val="22"/>
          <w:rtl/>
        </w:rPr>
      </w:pPr>
      <w:r>
        <w:rPr>
          <w:rFonts w:hint="cs"/>
          <w:szCs w:val="22"/>
          <w:rtl/>
          <w:lang w:bidi="ar-SY"/>
        </w:rPr>
        <w:t>و</w:t>
      </w:r>
      <w:r w:rsidRPr="00FB223F">
        <w:rPr>
          <w:rtl/>
        </w:rPr>
        <w:t xml:space="preserve">كشف التقييم أيضاً أن المعايير المستخدمة للانضمام إلى </w:t>
      </w:r>
      <w:r w:rsidR="00F74E1F">
        <w:rPr>
          <w:rFonts w:hint="cs"/>
          <w:rtl/>
        </w:rPr>
        <w:t>المنصة</w:t>
      </w:r>
      <w:r w:rsidRPr="00FB223F">
        <w:rPr>
          <w:rtl/>
        </w:rPr>
        <w:t xml:space="preserve"> ليست واضحة بما </w:t>
      </w:r>
      <w:r w:rsidR="00F74E1F">
        <w:rPr>
          <w:rtl/>
        </w:rPr>
        <w:t>يكفي لاستغلال إمكاناتها بالكامل</w:t>
      </w:r>
      <w:r w:rsidRPr="00FB223F">
        <w:rPr>
          <w:rtl/>
        </w:rPr>
        <w:t>؛</w:t>
      </w:r>
    </w:p>
    <w:p w14:paraId="48A23E0F" w14:textId="7FFB536C" w:rsidR="004854FF" w:rsidRPr="009632CE" w:rsidRDefault="004854FF" w:rsidP="009632CE">
      <w:pPr>
        <w:pStyle w:val="ONUME"/>
        <w:numPr>
          <w:ilvl w:val="1"/>
          <w:numId w:val="2"/>
        </w:numPr>
        <w:bidi/>
        <w:ind w:left="1134" w:hanging="567"/>
        <w:rPr>
          <w:szCs w:val="22"/>
          <w:rtl/>
        </w:rPr>
      </w:pPr>
      <w:r w:rsidRPr="00A8357F">
        <w:rPr>
          <w:rFonts w:hint="cs"/>
          <w:szCs w:val="22"/>
          <w:rtl/>
        </w:rPr>
        <w:t xml:space="preserve">وإن التكنولوجيا الشبكية لمنصة </w:t>
      </w:r>
      <w:r w:rsidRPr="00A8357F">
        <w:rPr>
          <w:szCs w:val="22"/>
        </w:rPr>
        <w:t>WIPO Match</w:t>
      </w:r>
      <w:r w:rsidRPr="00A8357F">
        <w:rPr>
          <w:rFonts w:hint="cs"/>
          <w:szCs w:val="22"/>
          <w:rtl/>
        </w:rPr>
        <w:t xml:space="preserve"> متقادمة ولا تمتثل لمعايير المنصات الحالية.</w:t>
      </w:r>
      <w:r w:rsidR="00BE4767">
        <w:rPr>
          <w:rFonts w:hint="cs"/>
          <w:szCs w:val="22"/>
          <w:rtl/>
        </w:rPr>
        <w:t xml:space="preserve"> </w:t>
      </w:r>
      <w:r w:rsidRPr="00A8357F">
        <w:rPr>
          <w:rFonts w:hint="cs"/>
          <w:szCs w:val="22"/>
          <w:rtl/>
        </w:rPr>
        <w:t>إذ تحد المنصة الشبكية الحالية من كفاءة فريق المشروع، حيث يتعين إنجاز العديد من المهام يدوياً.</w:t>
      </w:r>
    </w:p>
    <w:p w14:paraId="1DA715F2" w14:textId="77777777" w:rsidR="00BE4767" w:rsidRDefault="004854FF" w:rsidP="00BE4767">
      <w:pPr>
        <w:pStyle w:val="ONUME"/>
        <w:bidi/>
        <w:rPr>
          <w:szCs w:val="22"/>
          <w:rtl/>
        </w:rPr>
      </w:pPr>
      <w:r w:rsidRPr="00A8357F">
        <w:rPr>
          <w:rFonts w:hint="cs"/>
          <w:szCs w:val="22"/>
          <w:rtl/>
        </w:rPr>
        <w:t>واستناداً إلى نتائج التقييم واستنتاجاته، تشمل التوصيات الرئيسية الواردة في التقرير ما يلي:</w:t>
      </w:r>
    </w:p>
    <w:p w14:paraId="40A61235" w14:textId="7556CA98" w:rsidR="004854FF" w:rsidRPr="00A8357F" w:rsidRDefault="000C4E9C" w:rsidP="009632CE">
      <w:pPr>
        <w:pStyle w:val="ONUME"/>
        <w:numPr>
          <w:ilvl w:val="1"/>
          <w:numId w:val="2"/>
        </w:numPr>
        <w:bidi/>
        <w:ind w:left="1134" w:hanging="567"/>
        <w:rPr>
          <w:szCs w:val="22"/>
          <w:rtl/>
        </w:rPr>
      </w:pPr>
      <w:r w:rsidRPr="00A8357F">
        <w:rPr>
          <w:rFonts w:hint="cs"/>
          <w:szCs w:val="22"/>
          <w:rtl/>
        </w:rPr>
        <w:t>ينبغي للإدارة العليا أن تقوم، بالاشتراك مع مدير المشروع، بتعزيز الإدارة عن طريق إنشاء هيكل إداري لاتخاذ القرارات وإضفاء طابع رسمي على آليات الإبلاغ عن النتائج المؤقتة والتحديات والدروس المستفادة؛</w:t>
      </w:r>
    </w:p>
    <w:p w14:paraId="3E15528C" w14:textId="457ABFD0" w:rsidR="004854FF" w:rsidRPr="00A8357F" w:rsidRDefault="004854FF" w:rsidP="009632CE">
      <w:pPr>
        <w:pStyle w:val="ONUME"/>
        <w:numPr>
          <w:ilvl w:val="1"/>
          <w:numId w:val="2"/>
        </w:numPr>
        <w:bidi/>
        <w:ind w:left="1134" w:hanging="567"/>
        <w:rPr>
          <w:szCs w:val="22"/>
          <w:rtl/>
        </w:rPr>
      </w:pPr>
      <w:r w:rsidRPr="00A8357F">
        <w:rPr>
          <w:rFonts w:hint="cs"/>
          <w:szCs w:val="22"/>
          <w:rtl/>
        </w:rPr>
        <w:t xml:space="preserve">ينبغي لمدير المشروع أن يقوم، بقيادة الإدارة العليا وبالتشاور مع الجهات المعنية، بوضع استراتيجية لإدارة برنامج </w:t>
      </w:r>
      <w:r w:rsidRPr="00A8357F">
        <w:rPr>
          <w:szCs w:val="22"/>
        </w:rPr>
        <w:t>WIPO Match</w:t>
      </w:r>
      <w:r w:rsidRPr="00A8357F">
        <w:rPr>
          <w:rFonts w:hint="cs"/>
          <w:szCs w:val="22"/>
          <w:rtl/>
        </w:rPr>
        <w:t xml:space="preserve"> بفعالية وضمان استدامته؛</w:t>
      </w:r>
    </w:p>
    <w:p w14:paraId="530C8FC9" w14:textId="221D3EED" w:rsidR="004854FF" w:rsidRPr="00A8357F" w:rsidRDefault="009A1B3C" w:rsidP="009632CE">
      <w:pPr>
        <w:pStyle w:val="ONUME"/>
        <w:numPr>
          <w:ilvl w:val="1"/>
          <w:numId w:val="2"/>
        </w:numPr>
        <w:bidi/>
        <w:ind w:left="1134" w:hanging="567"/>
        <w:rPr>
          <w:szCs w:val="22"/>
          <w:rtl/>
        </w:rPr>
      </w:pPr>
      <w:r w:rsidRPr="00A8357F">
        <w:rPr>
          <w:rFonts w:hint="cs"/>
          <w:szCs w:val="22"/>
          <w:rtl/>
        </w:rPr>
        <w:t xml:space="preserve">ينبغي للإدارة العليا أن تقوم، بالاشتراك مع مدير المشروع وبالتعاون مع إدارة الموارد البشرية، بمراجعة الوصف الوظيفي لجميع الموظفين العاملين في برنامج </w:t>
      </w:r>
      <w:r w:rsidRPr="00A8357F">
        <w:rPr>
          <w:szCs w:val="22"/>
        </w:rPr>
        <w:t>WIPO Match</w:t>
      </w:r>
      <w:r w:rsidRPr="00A8357F">
        <w:rPr>
          <w:rFonts w:hint="cs"/>
          <w:szCs w:val="22"/>
          <w:rtl/>
        </w:rPr>
        <w:t xml:space="preserve"> من أجل بيان الواجبات والمسؤوليات الفعلية.</w:t>
      </w:r>
      <w:r w:rsidR="00BE4767">
        <w:rPr>
          <w:rFonts w:hint="cs"/>
          <w:szCs w:val="22"/>
          <w:rtl/>
        </w:rPr>
        <w:t xml:space="preserve"> </w:t>
      </w:r>
      <w:r w:rsidRPr="00A8357F">
        <w:rPr>
          <w:rFonts w:hint="cs"/>
          <w:szCs w:val="22"/>
          <w:rtl/>
        </w:rPr>
        <w:t>وفضلاً عن ذلك، ينبغي لها أن توفر الموارد الكافية لتحقيق الرؤية المبيَّنة في وثيقة الاستراتيجية.</w:t>
      </w:r>
      <w:r w:rsidR="00BE4767">
        <w:rPr>
          <w:rFonts w:hint="cs"/>
          <w:szCs w:val="22"/>
          <w:rtl/>
        </w:rPr>
        <w:t xml:space="preserve"> </w:t>
      </w:r>
      <w:r w:rsidRPr="00A8357F">
        <w:rPr>
          <w:rFonts w:hint="cs"/>
          <w:szCs w:val="22"/>
          <w:rtl/>
        </w:rPr>
        <w:t>وقد يلزم أيضاً تحديث قاعدة البيانات لضمان ملاءمتها للغرض.</w:t>
      </w:r>
    </w:p>
    <w:p w14:paraId="23F50470" w14:textId="5679D8ED" w:rsidR="00B70223" w:rsidRPr="00A8357F" w:rsidRDefault="00C4224C" w:rsidP="00BE4767">
      <w:pPr>
        <w:pStyle w:val="Heading2"/>
        <w:bidi/>
        <w:rPr>
          <w:bCs w:val="0"/>
          <w:iCs w:val="0"/>
          <w:szCs w:val="22"/>
          <w:rtl/>
        </w:rPr>
      </w:pPr>
      <w:r w:rsidRPr="00A8357F">
        <w:rPr>
          <w:rFonts w:hint="cs"/>
          <w:bCs w:val="0"/>
          <w:iCs w:val="0"/>
          <w:szCs w:val="22"/>
          <w:rtl/>
        </w:rPr>
        <w:t>تقييم تنفيذ توصيات قسم التقييم التابع لشعبة الرقابة الداخلية والوقوف على آثارها</w:t>
      </w:r>
    </w:p>
    <w:p w14:paraId="0DE40A24" w14:textId="77777777" w:rsidR="00BE4767" w:rsidRDefault="009D772F" w:rsidP="00BE4767">
      <w:pPr>
        <w:pStyle w:val="ONUME"/>
        <w:bidi/>
        <w:rPr>
          <w:szCs w:val="22"/>
          <w:rtl/>
        </w:rPr>
      </w:pPr>
      <w:r w:rsidRPr="00A8357F">
        <w:rPr>
          <w:rFonts w:hint="cs"/>
          <w:szCs w:val="22"/>
          <w:rtl/>
        </w:rPr>
        <w:t>حرصاً على دعم تحقيق خدمات الويبو أكبر تأثير ممكن، وضع قسم التقييم التابع لشعبة الرقابة الداخلية نهجاً للتقييم باستخدام أحدث أساليب البحث في العلوم السلوكية.</w:t>
      </w:r>
    </w:p>
    <w:p w14:paraId="4623741F" w14:textId="46361A72" w:rsidR="00BE4767" w:rsidRDefault="009D772F" w:rsidP="00BE4767">
      <w:pPr>
        <w:pStyle w:val="ONUME"/>
        <w:bidi/>
        <w:rPr>
          <w:szCs w:val="22"/>
          <w:rtl/>
        </w:rPr>
      </w:pPr>
      <w:r w:rsidRPr="00A8357F">
        <w:rPr>
          <w:rFonts w:hint="cs"/>
          <w:szCs w:val="22"/>
          <w:rtl/>
        </w:rPr>
        <w:t>والرؤى السلوكية هي دروس مستمدة من العلوم السلوكية والاجتماعية، بما في ذلك صنع القرار وعلم النفس والعلوم المعرفية وعلم الأعصاب والسلوك التنظيمي والجماعي.</w:t>
      </w:r>
      <w:r w:rsidR="00BE4767">
        <w:rPr>
          <w:rFonts w:hint="cs"/>
          <w:szCs w:val="22"/>
          <w:rtl/>
        </w:rPr>
        <w:t xml:space="preserve"> </w:t>
      </w:r>
      <w:r w:rsidRPr="00A8357F">
        <w:rPr>
          <w:rFonts w:hint="cs"/>
          <w:szCs w:val="22"/>
          <w:rtl/>
        </w:rPr>
        <w:t>وتستخدم الهيئات العامة في جميع أنحاء العالم الرؤى السلوكية بشكل متزايد لتصميم وتنفيذ سياسات عامة أفضل تقوم على الأدلة فيما يخص السلوكيات الفعلية للمواطنين والمنشآت التجارية وتحيزاتها.</w:t>
      </w:r>
    </w:p>
    <w:p w14:paraId="52547967" w14:textId="5D157B04" w:rsidR="009D772F" w:rsidRPr="00A8357F" w:rsidRDefault="009D772F" w:rsidP="00BE4767">
      <w:pPr>
        <w:pStyle w:val="ONUME"/>
        <w:bidi/>
        <w:rPr>
          <w:szCs w:val="22"/>
          <w:rtl/>
        </w:rPr>
      </w:pPr>
      <w:r w:rsidRPr="00A8357F">
        <w:rPr>
          <w:rFonts w:hint="cs"/>
          <w:szCs w:val="22"/>
          <w:rtl/>
        </w:rPr>
        <w:t>وتساعد الرؤى السلوكية على فهم كيف يمكن للسياق والتأثيرات الأخرى أن تؤثر في اتخاذ القرارات وفي السلوك الفعلي للأشخاص والهيئات.</w:t>
      </w:r>
      <w:r w:rsidR="00BE4767">
        <w:rPr>
          <w:rFonts w:hint="cs"/>
          <w:szCs w:val="22"/>
          <w:rtl/>
        </w:rPr>
        <w:t xml:space="preserve"> </w:t>
      </w:r>
      <w:r w:rsidRPr="00A8357F">
        <w:rPr>
          <w:rFonts w:hint="cs"/>
          <w:szCs w:val="22"/>
          <w:rtl/>
        </w:rPr>
        <w:t>ويركز نهج الرؤى السلوكية على فهم أسباب قرارات المواطنين وسلوكياتهم عوضاً عن الاعتماد على افتراض طريقة تصرفهم.</w:t>
      </w:r>
      <w:r w:rsidR="00BE4767">
        <w:rPr>
          <w:rFonts w:hint="cs"/>
          <w:szCs w:val="22"/>
          <w:rtl/>
        </w:rPr>
        <w:t xml:space="preserve"> </w:t>
      </w:r>
      <w:r w:rsidRPr="00A8357F">
        <w:rPr>
          <w:rFonts w:hint="cs"/>
          <w:szCs w:val="22"/>
          <w:rtl/>
        </w:rPr>
        <w:t>وبذلك</w:t>
      </w:r>
      <w:r w:rsidR="00FD7B5C">
        <w:rPr>
          <w:rFonts w:hint="cs"/>
          <w:szCs w:val="22"/>
          <w:rtl/>
        </w:rPr>
        <w:t>،</w:t>
      </w:r>
      <w:r w:rsidRPr="00A8357F">
        <w:rPr>
          <w:rFonts w:hint="cs"/>
          <w:szCs w:val="22"/>
          <w:rtl/>
        </w:rPr>
        <w:t xml:space="preserve"> يساعد هذا النهج على ضمان أن تواكب السياسات الاحتياجات والسلوكيات الفعلية لزيادة تأثيرها وفعاليتها.</w:t>
      </w:r>
    </w:p>
    <w:p w14:paraId="55D0D652" w14:textId="77777777" w:rsidR="00BE4767" w:rsidRDefault="009C7E22" w:rsidP="00BE4767">
      <w:pPr>
        <w:pStyle w:val="ONUME"/>
        <w:bidi/>
        <w:rPr>
          <w:szCs w:val="22"/>
          <w:rtl/>
        </w:rPr>
      </w:pPr>
      <w:r w:rsidRPr="00A8357F">
        <w:rPr>
          <w:rFonts w:hint="cs"/>
          <w:szCs w:val="22"/>
          <w:rtl/>
        </w:rPr>
        <w:t>وأجرى فريق من الخبراء في الرؤى السلوكية تحليلاً سلوكياً لعملية التقييم أي تحليلاً للفرق بين السلوك المتوقع والسلوك الفعلي للجهة المعنية.</w:t>
      </w:r>
    </w:p>
    <w:p w14:paraId="26F25714" w14:textId="592AB0E3" w:rsidR="00BE4767" w:rsidRDefault="009D772F" w:rsidP="00BE4767">
      <w:pPr>
        <w:pStyle w:val="ONUME"/>
        <w:bidi/>
        <w:rPr>
          <w:szCs w:val="22"/>
          <w:rtl/>
        </w:rPr>
      </w:pPr>
      <w:r w:rsidRPr="00A8357F">
        <w:rPr>
          <w:rFonts w:hint="cs"/>
          <w:szCs w:val="22"/>
          <w:rtl/>
        </w:rPr>
        <w:t>وكان الهدف من هذه الوثيقة هو الاعتراف بالتحيز البشري وتحديده ومعالجته عند المشاركة في التقييم باستخدام المعارف الناتجة عن نهج الرؤى السلوكية و"أعمال التحفيز" الرامية إلى زيادة فائدة عمليات التقييم وآثارها.</w:t>
      </w:r>
    </w:p>
    <w:p w14:paraId="2FD51524" w14:textId="45DED1CC" w:rsidR="00BE4767" w:rsidRDefault="00446ABF" w:rsidP="00BE4767">
      <w:pPr>
        <w:pStyle w:val="ONUME"/>
        <w:bidi/>
        <w:rPr>
          <w:szCs w:val="22"/>
          <w:rtl/>
        </w:rPr>
      </w:pPr>
      <w:r w:rsidRPr="00A8357F">
        <w:rPr>
          <w:rFonts w:hint="cs"/>
          <w:szCs w:val="22"/>
          <w:rtl/>
        </w:rPr>
        <w:t>وإن الاستخدام العملي لهذا الدليل بالنسبة لقسم التقييم هو الحد من تحيزات الجهات المعنية في أثناء عملية التقييم (التصميم وجمع البيانات والإبلاغ).</w:t>
      </w:r>
      <w:r w:rsidR="00BE4767">
        <w:rPr>
          <w:rFonts w:hint="cs"/>
          <w:szCs w:val="22"/>
          <w:rtl/>
        </w:rPr>
        <w:t xml:space="preserve"> </w:t>
      </w:r>
      <w:r w:rsidRPr="00A8357F">
        <w:rPr>
          <w:rFonts w:hint="cs"/>
          <w:szCs w:val="22"/>
          <w:rtl/>
        </w:rPr>
        <w:t>وفضلاً عن ذلك، كانت الآثار المترتبة على التقييم هي تحسن نوعية العملية والنتائج المنبثقة من عمليات التقييم فضلاً عن فائدة التوصيات، وزيادة معدلات تنفيذ التوصيات وتأثير تدابير التحسين المتخذة على مستوى المنظمة.</w:t>
      </w:r>
    </w:p>
    <w:p w14:paraId="23B0364A" w14:textId="3A0368B7" w:rsidR="00B70223" w:rsidRPr="00A8357F" w:rsidRDefault="00C4224C" w:rsidP="00BE4767">
      <w:pPr>
        <w:pStyle w:val="Heading2"/>
        <w:bidi/>
        <w:rPr>
          <w:bCs w:val="0"/>
          <w:iCs w:val="0"/>
          <w:szCs w:val="22"/>
          <w:rtl/>
        </w:rPr>
      </w:pPr>
      <w:r w:rsidRPr="00A8357F">
        <w:rPr>
          <w:rFonts w:hint="cs"/>
          <w:bCs w:val="0"/>
          <w:iCs w:val="0"/>
          <w:szCs w:val="22"/>
          <w:rtl/>
        </w:rPr>
        <w:lastRenderedPageBreak/>
        <w:t>إسداء المشورة في عمليات التقييم الذاتي للاستراتيجيات الوطنية للملكية الفكرية</w:t>
      </w:r>
    </w:p>
    <w:p w14:paraId="68B6606A" w14:textId="6151CCE1" w:rsidR="00BE4767" w:rsidRDefault="009D772F" w:rsidP="00DC4458">
      <w:pPr>
        <w:pStyle w:val="ONUME"/>
        <w:bidi/>
        <w:rPr>
          <w:szCs w:val="22"/>
          <w:rtl/>
        </w:rPr>
      </w:pPr>
      <w:r w:rsidRPr="00A8357F">
        <w:rPr>
          <w:rFonts w:hint="cs"/>
          <w:szCs w:val="22"/>
          <w:rtl/>
        </w:rPr>
        <w:t>كان الهدف من هذه المهمة هو تحديث الأداة 3:</w:t>
      </w:r>
      <w:r w:rsidR="00BE4767">
        <w:rPr>
          <w:rFonts w:hint="cs"/>
          <w:szCs w:val="22"/>
          <w:rtl/>
        </w:rPr>
        <w:t xml:space="preserve"> </w:t>
      </w:r>
      <w:r w:rsidRPr="00A8357F">
        <w:rPr>
          <w:rFonts w:hint="cs"/>
          <w:szCs w:val="22"/>
          <w:rtl/>
        </w:rPr>
        <w:t>"المؤشرات المرجعية" لمنهجية وضع الاستراتيجيات الوطنية للملكية الفكرية.</w:t>
      </w:r>
      <w:r w:rsidR="00BE4767">
        <w:rPr>
          <w:rFonts w:hint="cs"/>
          <w:szCs w:val="22"/>
          <w:rtl/>
        </w:rPr>
        <w:t xml:space="preserve"> </w:t>
      </w:r>
      <w:r w:rsidRPr="00A8357F">
        <w:rPr>
          <w:rFonts w:hint="cs"/>
          <w:szCs w:val="22"/>
          <w:rtl/>
        </w:rPr>
        <w:t xml:space="preserve">وكان الهدف من </w:t>
      </w:r>
      <w:r w:rsidR="00F74E1F">
        <w:rPr>
          <w:rFonts w:hint="cs"/>
          <w:szCs w:val="22"/>
          <w:rtl/>
        </w:rPr>
        <w:t>هذه المهمة</w:t>
      </w:r>
      <w:r w:rsidRPr="00A8357F">
        <w:rPr>
          <w:rFonts w:hint="cs"/>
          <w:szCs w:val="22"/>
          <w:rtl/>
        </w:rPr>
        <w:t xml:space="preserve"> </w:t>
      </w:r>
      <w:r w:rsidR="00DC4458">
        <w:rPr>
          <w:rFonts w:hint="cs"/>
          <w:szCs w:val="22"/>
          <w:rtl/>
        </w:rPr>
        <w:t xml:space="preserve">أيضاً </w:t>
      </w:r>
      <w:r w:rsidRPr="00A8357F">
        <w:rPr>
          <w:rFonts w:hint="cs"/>
          <w:szCs w:val="22"/>
          <w:rtl/>
        </w:rPr>
        <w:t>توفير سبل الدعم والإرشاد للدول الأعضاء المهتمة بوضع استراتيجية وطنية للملكية الفكرية.</w:t>
      </w:r>
    </w:p>
    <w:p w14:paraId="665470A8" w14:textId="4801C5DE" w:rsidR="009D772F" w:rsidRPr="00A8357F" w:rsidRDefault="009D772F" w:rsidP="00F74E1F">
      <w:pPr>
        <w:pStyle w:val="ONUME"/>
        <w:bidi/>
        <w:rPr>
          <w:szCs w:val="22"/>
          <w:rtl/>
        </w:rPr>
      </w:pPr>
      <w:r w:rsidRPr="00A8357F">
        <w:rPr>
          <w:rFonts w:hint="cs"/>
          <w:szCs w:val="22"/>
          <w:rtl/>
        </w:rPr>
        <w:t xml:space="preserve">وتكمِّل هذه </w:t>
      </w:r>
      <w:r w:rsidR="00F74E1F">
        <w:rPr>
          <w:rFonts w:hint="cs"/>
          <w:szCs w:val="22"/>
          <w:rtl/>
        </w:rPr>
        <w:t>المهمة</w:t>
      </w:r>
      <w:r w:rsidRPr="00A8357F">
        <w:rPr>
          <w:rFonts w:hint="cs"/>
          <w:szCs w:val="22"/>
          <w:rtl/>
        </w:rPr>
        <w:t xml:space="preserve"> وتتبع هيكل "منهجية وضع الاستراتيجيات الوطنية للملكية الفكرية" وتتناول بالتفصيل العناصر والقضايا الرئيسية التي ينبغي مراعاتها في تنفيذ الخطط والاستراتيجيات الوطنية للملكية الفكرية ورصدها.</w:t>
      </w:r>
      <w:r w:rsidR="00BE4767">
        <w:rPr>
          <w:rFonts w:hint="cs"/>
          <w:szCs w:val="22"/>
          <w:rtl/>
        </w:rPr>
        <w:t xml:space="preserve"> </w:t>
      </w:r>
      <w:r w:rsidRPr="00A8357F">
        <w:rPr>
          <w:rFonts w:hint="cs"/>
          <w:szCs w:val="22"/>
          <w:rtl/>
        </w:rPr>
        <w:t>وتهدف التوضيحات والتفسيرات والأمثلة المقدَّمة في هذه الوثيقة التكميلية إلى مساعدة أفرقة المشاريع الوطنية في فهمها للخيارات المتاحة عند تحديد الأهداف من المراحل المبكرة لوضع الاستراتيجية إلى مرحلتَي التنفيذ والرصد.</w:t>
      </w:r>
    </w:p>
    <w:p w14:paraId="64748C38" w14:textId="77777777" w:rsidR="00BE4767" w:rsidRDefault="009D772F" w:rsidP="00BE4767">
      <w:pPr>
        <w:pStyle w:val="ONUME"/>
        <w:bidi/>
        <w:rPr>
          <w:szCs w:val="22"/>
          <w:rtl/>
        </w:rPr>
      </w:pPr>
      <w:r w:rsidRPr="00A8357F">
        <w:rPr>
          <w:rFonts w:hint="cs"/>
          <w:szCs w:val="22"/>
          <w:rtl/>
        </w:rPr>
        <w:t>وتنقسم الوثيقة التكميلية إلى الجزأين التاليين:</w:t>
      </w:r>
    </w:p>
    <w:p w14:paraId="5C685479" w14:textId="478F6D19" w:rsidR="009D772F" w:rsidRPr="00A8357F" w:rsidRDefault="009D772F" w:rsidP="009632CE">
      <w:pPr>
        <w:pStyle w:val="ONUME"/>
        <w:numPr>
          <w:ilvl w:val="1"/>
          <w:numId w:val="2"/>
        </w:numPr>
        <w:bidi/>
        <w:ind w:left="1134" w:hanging="567"/>
        <w:rPr>
          <w:szCs w:val="22"/>
          <w:rtl/>
        </w:rPr>
      </w:pPr>
      <w:r w:rsidRPr="00A8357F">
        <w:rPr>
          <w:rFonts w:hint="cs"/>
          <w:szCs w:val="22"/>
          <w:rtl/>
        </w:rPr>
        <w:t>الجزء الأول:</w:t>
      </w:r>
      <w:r w:rsidR="00BE4767">
        <w:rPr>
          <w:rFonts w:hint="cs"/>
          <w:szCs w:val="22"/>
          <w:rtl/>
        </w:rPr>
        <w:t xml:space="preserve"> </w:t>
      </w:r>
      <w:r w:rsidRPr="00A8357F">
        <w:rPr>
          <w:rFonts w:hint="cs"/>
          <w:szCs w:val="22"/>
          <w:rtl/>
        </w:rPr>
        <w:t>يوفر إرشادات بشأن الجوانب التشغيلية للرصد والتقييم الذاتي، مع التركيز على المؤشرات.</w:t>
      </w:r>
      <w:r w:rsidR="00BE4767">
        <w:rPr>
          <w:rFonts w:hint="cs"/>
          <w:szCs w:val="22"/>
          <w:rtl/>
        </w:rPr>
        <w:t xml:space="preserve"> </w:t>
      </w:r>
      <w:r w:rsidRPr="00A8357F">
        <w:rPr>
          <w:rFonts w:hint="cs"/>
          <w:szCs w:val="22"/>
          <w:rtl/>
        </w:rPr>
        <w:t xml:space="preserve">ويقدِّم عناصر </w:t>
      </w:r>
      <w:proofErr w:type="spellStart"/>
      <w:r w:rsidRPr="00A8357F">
        <w:rPr>
          <w:rFonts w:hint="cs"/>
          <w:szCs w:val="22"/>
          <w:rtl/>
        </w:rPr>
        <w:t>مفاهيمية</w:t>
      </w:r>
      <w:proofErr w:type="spellEnd"/>
      <w:r w:rsidRPr="00A8357F">
        <w:rPr>
          <w:rFonts w:hint="cs"/>
          <w:szCs w:val="22"/>
          <w:rtl/>
        </w:rPr>
        <w:t xml:space="preserve"> رئيسية، بما في ذلك ماهية نظم الرصد والتقييم الذاتي، وماهية متطلبات المؤشرات والمقاييس الجيدة، فضلاً عن كيفية تصميم نهج لتحديد المؤشرات الوجيهة وتصنيفها وترتيبها بصورة منهجية؛</w:t>
      </w:r>
    </w:p>
    <w:p w14:paraId="297D9FB8" w14:textId="4E752A0B" w:rsidR="009D772F" w:rsidRPr="00A8357F" w:rsidRDefault="009D772F" w:rsidP="009632CE">
      <w:pPr>
        <w:pStyle w:val="ONUME"/>
        <w:numPr>
          <w:ilvl w:val="1"/>
          <w:numId w:val="2"/>
        </w:numPr>
        <w:bidi/>
        <w:ind w:left="1134" w:hanging="567"/>
        <w:rPr>
          <w:szCs w:val="22"/>
          <w:rtl/>
        </w:rPr>
      </w:pPr>
      <w:r w:rsidRPr="00A8357F">
        <w:rPr>
          <w:rFonts w:hint="cs"/>
          <w:szCs w:val="22"/>
          <w:rtl/>
        </w:rPr>
        <w:t>الجزء الثاني:</w:t>
      </w:r>
      <w:r w:rsidR="00BE4767">
        <w:rPr>
          <w:rFonts w:hint="cs"/>
          <w:szCs w:val="22"/>
          <w:rtl/>
        </w:rPr>
        <w:t xml:space="preserve"> </w:t>
      </w:r>
      <w:r w:rsidRPr="00A8357F">
        <w:rPr>
          <w:rFonts w:hint="cs"/>
          <w:szCs w:val="22"/>
          <w:rtl/>
        </w:rPr>
        <w:t>يقدِّم تفاصيل المفاهيم العامة ويطبِّقها طوال مراحل دورة حياة الاستراتيجيات الوطنية للملكية الفكرية.</w:t>
      </w:r>
    </w:p>
    <w:p w14:paraId="7C3E5C4E" w14:textId="77777777" w:rsidR="00BE4767" w:rsidRDefault="009D772F" w:rsidP="00BE4767">
      <w:pPr>
        <w:pStyle w:val="ONUME"/>
        <w:bidi/>
        <w:rPr>
          <w:szCs w:val="22"/>
          <w:rtl/>
        </w:rPr>
      </w:pPr>
      <w:r w:rsidRPr="00A8357F">
        <w:rPr>
          <w:rFonts w:hint="cs"/>
          <w:szCs w:val="22"/>
          <w:rtl/>
        </w:rPr>
        <w:t>وفي إطار عملية إسداء المشورة، ساهم قسم التقييم في وضع اختصاصات الخدمات الاستشارية، وشارك في حلقة نقاش لاختيار الخبير الاستشاري، وقدَّم قائمة بالمؤلفات والوثائق المرجعية لإعداد الجزأين الأول والثاني من الوثيقة.</w:t>
      </w:r>
    </w:p>
    <w:p w14:paraId="139990F7" w14:textId="66343767" w:rsidR="005925C7" w:rsidRPr="00A8357F" w:rsidRDefault="005925C7" w:rsidP="00BE4767">
      <w:pPr>
        <w:pStyle w:val="Heading2"/>
        <w:bidi/>
        <w:rPr>
          <w:bCs w:val="0"/>
          <w:iCs w:val="0"/>
          <w:szCs w:val="22"/>
          <w:rtl/>
        </w:rPr>
      </w:pPr>
      <w:r w:rsidRPr="00A8357F">
        <w:rPr>
          <w:rFonts w:hint="cs"/>
          <w:bCs w:val="0"/>
          <w:iCs w:val="0"/>
          <w:szCs w:val="22"/>
          <w:rtl/>
        </w:rPr>
        <w:t>تقرير التبعات الإدارية بشأن البيانات الشخصية وقضايا الخصوصية المتعلقة برسائل الويبو الإلكترونية إلى المستخدمين الخارجيين</w:t>
      </w:r>
    </w:p>
    <w:p w14:paraId="055B1B71" w14:textId="77777777" w:rsidR="00C965B7" w:rsidRPr="00A8357F" w:rsidRDefault="00C965B7" w:rsidP="00BE4767">
      <w:pPr>
        <w:pStyle w:val="ONUME"/>
        <w:bidi/>
        <w:rPr>
          <w:szCs w:val="22"/>
          <w:rtl/>
        </w:rPr>
      </w:pPr>
      <w:r w:rsidRPr="00A8357F">
        <w:rPr>
          <w:rFonts w:hint="cs"/>
          <w:szCs w:val="22"/>
          <w:rtl/>
        </w:rPr>
        <w:t>خلصت شعبة الرقابة الداخلية إلى أن بعض المجالات تحتاج إلى التحسين فيما يتعلق بالكفاءة، وسلامة البيانات الشخصية، والشواغل المتعلقة بالخصوصية في رسائل الويبو الإلكترونية الجماعية إلى المستخدمين الخارجيين.</w:t>
      </w:r>
    </w:p>
    <w:p w14:paraId="13386B03" w14:textId="77777777" w:rsidR="005925C7" w:rsidRPr="00A8357F" w:rsidRDefault="00C01E21" w:rsidP="00BE4767">
      <w:pPr>
        <w:pStyle w:val="Heading2"/>
        <w:bidi/>
        <w:rPr>
          <w:bCs w:val="0"/>
          <w:iCs w:val="0"/>
          <w:szCs w:val="22"/>
          <w:rtl/>
        </w:rPr>
      </w:pPr>
      <w:r w:rsidRPr="00A8357F">
        <w:rPr>
          <w:rFonts w:hint="cs"/>
          <w:bCs w:val="0"/>
          <w:iCs w:val="0"/>
          <w:szCs w:val="22"/>
          <w:rtl/>
        </w:rPr>
        <w:t>تقرير التبعات الإدارية بشأن المعلومات المنشورة على الموقع الإلكتروني لركن البراءات</w:t>
      </w:r>
    </w:p>
    <w:p w14:paraId="766E04F7" w14:textId="3E7225C3" w:rsidR="005925C7" w:rsidRPr="00A8357F" w:rsidRDefault="00C965B7" w:rsidP="00BE4767">
      <w:pPr>
        <w:pStyle w:val="ONUME"/>
        <w:bidi/>
        <w:rPr>
          <w:szCs w:val="22"/>
          <w:rtl/>
        </w:rPr>
      </w:pPr>
      <w:r w:rsidRPr="00A8357F">
        <w:rPr>
          <w:rFonts w:hint="cs"/>
          <w:szCs w:val="22"/>
          <w:rtl/>
        </w:rPr>
        <w:t>حددت شعبة الرقابة الداخلية مجالاً للتحسين فيما يتعلق بالمصطلحات المستخدمة على الموقع الإلكتروني لركن البراءات.</w:t>
      </w:r>
    </w:p>
    <w:p w14:paraId="58A5A5AC" w14:textId="77777777" w:rsidR="00BE4767" w:rsidRDefault="00882193" w:rsidP="00BE4767">
      <w:pPr>
        <w:pStyle w:val="Heading1"/>
        <w:bidi/>
        <w:rPr>
          <w:szCs w:val="22"/>
          <w:rtl/>
        </w:rPr>
      </w:pPr>
      <w:bookmarkStart w:id="36" w:name="_Toc99122806"/>
      <w:r w:rsidRPr="00A8357F">
        <w:rPr>
          <w:rFonts w:hint="cs"/>
          <w:szCs w:val="22"/>
          <w:rtl/>
        </w:rPr>
        <w:t>المهام المستهلة في نهاية عام 2021</w:t>
      </w:r>
      <w:bookmarkEnd w:id="36"/>
    </w:p>
    <w:p w14:paraId="164EA9C0" w14:textId="7F682022" w:rsidR="00055464" w:rsidRPr="00A8357F" w:rsidRDefault="00055464" w:rsidP="00BE4767">
      <w:pPr>
        <w:pStyle w:val="ONUME"/>
        <w:bidi/>
        <w:rPr>
          <w:caps/>
          <w:szCs w:val="22"/>
          <w:rtl/>
        </w:rPr>
      </w:pPr>
      <w:r w:rsidRPr="00A8357F">
        <w:rPr>
          <w:rFonts w:hint="cs"/>
          <w:szCs w:val="22"/>
          <w:rtl/>
        </w:rPr>
        <w:t>استُهلت المهام التالية في عام 2021، وستعدّ تقارير بشأنها في عام 2022.</w:t>
      </w:r>
    </w:p>
    <w:p w14:paraId="62D2DDA0" w14:textId="77777777" w:rsidR="00775974" w:rsidRPr="00A8357F" w:rsidRDefault="00C4224C" w:rsidP="00BE4767">
      <w:pPr>
        <w:pStyle w:val="Heading2"/>
        <w:bidi/>
        <w:rPr>
          <w:bCs w:val="0"/>
          <w:iCs w:val="0"/>
          <w:szCs w:val="22"/>
          <w:rtl/>
        </w:rPr>
      </w:pPr>
      <w:r w:rsidRPr="00A8357F">
        <w:rPr>
          <w:rFonts w:hint="cs"/>
          <w:bCs w:val="0"/>
          <w:iCs w:val="0"/>
          <w:szCs w:val="22"/>
          <w:rtl/>
        </w:rPr>
        <w:t>التدقيق في مشروع منصة لاهاي</w:t>
      </w:r>
    </w:p>
    <w:p w14:paraId="33D7EDCA" w14:textId="04B257A7" w:rsidR="00BE4767" w:rsidRDefault="001A7272" w:rsidP="00BE4767">
      <w:pPr>
        <w:pStyle w:val="ONUME"/>
        <w:bidi/>
        <w:rPr>
          <w:szCs w:val="22"/>
          <w:rtl/>
        </w:rPr>
      </w:pPr>
      <w:bookmarkStart w:id="37" w:name="_Toc39071249"/>
      <w:bookmarkStart w:id="38" w:name="_Toc328920437"/>
      <w:bookmarkEnd w:id="35"/>
      <w:r w:rsidRPr="00A8357F">
        <w:rPr>
          <w:rFonts w:hint="cs"/>
          <w:szCs w:val="22"/>
          <w:rtl/>
        </w:rPr>
        <w:t>استُهل مشروع منصة لاهاي ليتماشى مع الأعمال والاستراتيجية المتطورتين لسجل لاهاي عن طريق إنشاء منصة عالمية حديثة للملكية الفكرية تركز على الزبائن وتوضع خصيصاً للاستجابة للمتطلبات المحددة ل</w:t>
      </w:r>
      <w:r w:rsidR="00F74E1F">
        <w:rPr>
          <w:rFonts w:hint="cs"/>
          <w:szCs w:val="22"/>
          <w:rtl/>
        </w:rPr>
        <w:t xml:space="preserve">نظام </w:t>
      </w:r>
      <w:r w:rsidRPr="00A8357F">
        <w:rPr>
          <w:rFonts w:hint="cs"/>
          <w:szCs w:val="22"/>
          <w:rtl/>
        </w:rPr>
        <w:t>لاهاي وتركز عليها.</w:t>
      </w:r>
      <w:r w:rsidR="00BE4767">
        <w:rPr>
          <w:rFonts w:hint="cs"/>
          <w:szCs w:val="22"/>
          <w:rtl/>
        </w:rPr>
        <w:t xml:space="preserve"> </w:t>
      </w:r>
      <w:r w:rsidRPr="00A8357F">
        <w:rPr>
          <w:rFonts w:hint="cs"/>
          <w:szCs w:val="22"/>
          <w:rtl/>
        </w:rPr>
        <w:t>وشمل ذلك، من بين جملة أمور، تطبيقات وأنظمة مستقرة وموثوقة وقابلة للصيانة ومرنة وقابلة للتطوير ومأمونة ومتعددة اللغات وسريعة الاستجابة ويمكن الوصول إليها بسهولة بغية الاستجابة لاحتياجات قاعدة الزبائن الداخلية الأساسية والخارجية المتنوعة (والمتسعة).</w:t>
      </w:r>
      <w:r w:rsidR="00BE4767">
        <w:rPr>
          <w:rFonts w:hint="cs"/>
          <w:szCs w:val="22"/>
          <w:rtl/>
        </w:rPr>
        <w:t xml:space="preserve"> </w:t>
      </w:r>
      <w:r w:rsidRPr="00A8357F">
        <w:rPr>
          <w:rFonts w:hint="cs"/>
          <w:szCs w:val="22"/>
          <w:rtl/>
        </w:rPr>
        <w:t>ولذلك، فإن الهدف من مشروع منصة لاهاي هو تنفيذ نظام معلوماتي يسترشد باحتياجات الأعمال.</w:t>
      </w:r>
      <w:r w:rsidR="00BE4767">
        <w:rPr>
          <w:rFonts w:hint="cs"/>
          <w:szCs w:val="22"/>
          <w:rtl/>
        </w:rPr>
        <w:t xml:space="preserve"> </w:t>
      </w:r>
      <w:r w:rsidRPr="00A8357F">
        <w:rPr>
          <w:rFonts w:hint="cs"/>
          <w:szCs w:val="22"/>
          <w:rtl/>
        </w:rPr>
        <w:t>وكانت أهداف التدقيق كما يلي:</w:t>
      </w:r>
    </w:p>
    <w:p w14:paraId="18888B4A" w14:textId="65D191EC" w:rsidR="00C965B7" w:rsidRPr="00A8357F" w:rsidRDefault="00C965B7" w:rsidP="009632CE">
      <w:pPr>
        <w:pStyle w:val="ONUME"/>
        <w:numPr>
          <w:ilvl w:val="1"/>
          <w:numId w:val="2"/>
        </w:numPr>
        <w:bidi/>
        <w:ind w:left="1134" w:hanging="567"/>
        <w:rPr>
          <w:szCs w:val="22"/>
          <w:rtl/>
        </w:rPr>
      </w:pPr>
      <w:r w:rsidRPr="00A8357F">
        <w:rPr>
          <w:rFonts w:hint="cs"/>
          <w:szCs w:val="22"/>
          <w:rtl/>
        </w:rPr>
        <w:t>استعراض تنفيذ مشروع منصة لاهاي لتقييم فعالية وكفاءة إدارة المشروعات وتسييرها، بما في ذلك تقييم تحقق الأهداف/الفوائد المتوقعة المبيَّنة في وثائق المشروع بكفاءة ولا سيما من حيث الموارد والوقت؛</w:t>
      </w:r>
    </w:p>
    <w:p w14:paraId="52996BD8" w14:textId="77777777" w:rsidR="00BE4767" w:rsidRDefault="00C965B7" w:rsidP="009632CE">
      <w:pPr>
        <w:pStyle w:val="ONUME"/>
        <w:numPr>
          <w:ilvl w:val="1"/>
          <w:numId w:val="2"/>
        </w:numPr>
        <w:bidi/>
        <w:ind w:left="1134" w:hanging="567"/>
        <w:rPr>
          <w:szCs w:val="22"/>
          <w:rtl/>
        </w:rPr>
      </w:pPr>
      <w:r w:rsidRPr="00A8357F">
        <w:rPr>
          <w:rFonts w:hint="cs"/>
          <w:szCs w:val="22"/>
          <w:rtl/>
        </w:rPr>
        <w:t xml:space="preserve">التحقق من الامتثال لمبادئ وممارسات إدارة المشروعات </w:t>
      </w:r>
      <w:r w:rsidRPr="00A8357F">
        <w:rPr>
          <w:szCs w:val="22"/>
        </w:rPr>
        <w:t>PRINCE2</w:t>
      </w:r>
      <w:r w:rsidRPr="00780A64">
        <w:rPr>
          <w:szCs w:val="22"/>
          <w:vertAlign w:val="superscript"/>
        </w:rPr>
        <w:t>®</w:t>
      </w:r>
      <w:r w:rsidRPr="00A8357F">
        <w:rPr>
          <w:rFonts w:cs="Arial"/>
          <w:szCs w:val="22"/>
          <w:cs/>
        </w:rPr>
        <w:t>‎</w:t>
      </w:r>
      <w:r w:rsidRPr="00A8357F">
        <w:rPr>
          <w:rFonts w:hint="cs"/>
          <w:szCs w:val="22"/>
          <w:rtl/>
        </w:rPr>
        <w:t xml:space="preserve"> ‏المخصصة للمنظمة، ولوائح الويبو ونظمها وممارساتها التشغيلية حيثما ينطبق ذلك؛</w:t>
      </w:r>
    </w:p>
    <w:p w14:paraId="23B48A19" w14:textId="77777777" w:rsidR="00BE4767" w:rsidRDefault="00C965B7" w:rsidP="009632CE">
      <w:pPr>
        <w:pStyle w:val="ONUME"/>
        <w:numPr>
          <w:ilvl w:val="1"/>
          <w:numId w:val="2"/>
        </w:numPr>
        <w:bidi/>
        <w:ind w:left="1134" w:hanging="567"/>
        <w:rPr>
          <w:szCs w:val="22"/>
          <w:rtl/>
        </w:rPr>
      </w:pPr>
      <w:r w:rsidRPr="00A8357F">
        <w:rPr>
          <w:rFonts w:hint="cs"/>
          <w:szCs w:val="22"/>
          <w:rtl/>
        </w:rPr>
        <w:t>تحديد درجة امتثال بنية الحلول والحالة التشغيلية التقنية لمتطلبات الويبو المؤسسية؛</w:t>
      </w:r>
    </w:p>
    <w:p w14:paraId="38003173" w14:textId="62CB1369" w:rsidR="00C965B7" w:rsidRPr="00A8357F" w:rsidRDefault="00C965B7" w:rsidP="009632CE">
      <w:pPr>
        <w:pStyle w:val="ONUME"/>
        <w:numPr>
          <w:ilvl w:val="1"/>
          <w:numId w:val="2"/>
        </w:numPr>
        <w:bidi/>
        <w:ind w:left="1134" w:hanging="567"/>
        <w:rPr>
          <w:szCs w:val="22"/>
          <w:rtl/>
        </w:rPr>
      </w:pPr>
      <w:r w:rsidRPr="00A8357F">
        <w:rPr>
          <w:rFonts w:hint="cs"/>
          <w:szCs w:val="22"/>
          <w:rtl/>
        </w:rPr>
        <w:t>تقييم ما إذا كانت خيارات تصميم المنصات والتكنولوجيا مناسبة للغرض منها، ويمكن أن تستجيب للاحتياجات المتطورة لسجل لاهاي بطريقة مستدامة؛</w:t>
      </w:r>
    </w:p>
    <w:p w14:paraId="7A75DAAC" w14:textId="77777777" w:rsidR="00C965B7" w:rsidRPr="00A8357F" w:rsidRDefault="00C965B7" w:rsidP="009632CE">
      <w:pPr>
        <w:pStyle w:val="ONUME"/>
        <w:numPr>
          <w:ilvl w:val="1"/>
          <w:numId w:val="2"/>
        </w:numPr>
        <w:bidi/>
        <w:ind w:left="1134" w:hanging="567"/>
        <w:rPr>
          <w:szCs w:val="22"/>
          <w:rtl/>
        </w:rPr>
      </w:pPr>
      <w:r w:rsidRPr="00A8357F">
        <w:rPr>
          <w:rFonts w:hint="cs"/>
          <w:szCs w:val="22"/>
          <w:rtl/>
        </w:rPr>
        <w:t xml:space="preserve">التحقق من وجود دروس مستفادة من المشروع يمكن أن تفيد المشروعات اللاحقة مثل مشروع </w:t>
      </w:r>
      <w:proofErr w:type="spellStart"/>
      <w:r w:rsidRPr="00A8357F">
        <w:rPr>
          <w:rFonts w:hint="cs"/>
          <w:szCs w:val="22"/>
          <w:rtl/>
        </w:rPr>
        <w:t>التعهيد</w:t>
      </w:r>
      <w:proofErr w:type="spellEnd"/>
      <w:r w:rsidRPr="00A8357F">
        <w:rPr>
          <w:rFonts w:hint="cs"/>
          <w:szCs w:val="22"/>
          <w:rtl/>
        </w:rPr>
        <w:t xml:space="preserve"> الخارجي لنظام لاهاي ومشروعات الويبو الأخرى؛</w:t>
      </w:r>
    </w:p>
    <w:p w14:paraId="1652E6C8" w14:textId="77777777" w:rsidR="00C965B7" w:rsidRPr="00A8357F" w:rsidRDefault="00C965B7" w:rsidP="009632CE">
      <w:pPr>
        <w:pStyle w:val="ONUME"/>
        <w:numPr>
          <w:ilvl w:val="1"/>
          <w:numId w:val="2"/>
        </w:numPr>
        <w:bidi/>
        <w:ind w:left="1134" w:hanging="567"/>
        <w:rPr>
          <w:szCs w:val="22"/>
          <w:rtl/>
        </w:rPr>
      </w:pPr>
      <w:r w:rsidRPr="00A8357F">
        <w:rPr>
          <w:rFonts w:hint="cs"/>
          <w:szCs w:val="22"/>
          <w:rtl/>
        </w:rPr>
        <w:lastRenderedPageBreak/>
        <w:t>التحقق مما إذا كانت شعبة نظم معلومات نظام لاهاي لديها ما يكفي من الموارد والمهارات اللازمة لتشغيل المنصة وإدارتها على نحو مستدام وفعال في المستقبل.</w:t>
      </w:r>
    </w:p>
    <w:p w14:paraId="056C4886" w14:textId="40C466A3" w:rsidR="00C965B7" w:rsidRPr="00A8357F" w:rsidRDefault="00C965B7" w:rsidP="00BE4767">
      <w:pPr>
        <w:pStyle w:val="ONUME"/>
        <w:bidi/>
        <w:rPr>
          <w:szCs w:val="22"/>
          <w:rtl/>
        </w:rPr>
      </w:pPr>
      <w:r w:rsidRPr="00A8357F">
        <w:rPr>
          <w:rFonts w:hint="cs"/>
          <w:szCs w:val="22"/>
          <w:rtl/>
        </w:rPr>
        <w:t>وشمل نطاق التدقيق دورة حياة المشروع بأكملها، ومرحلة ما بعد التنفيذ، والفوائد المحققة.</w:t>
      </w:r>
      <w:r w:rsidR="00BE4767">
        <w:rPr>
          <w:rFonts w:hint="cs"/>
          <w:szCs w:val="22"/>
          <w:rtl/>
        </w:rPr>
        <w:t xml:space="preserve"> </w:t>
      </w:r>
      <w:r w:rsidRPr="00A8357F">
        <w:rPr>
          <w:rFonts w:hint="cs"/>
          <w:szCs w:val="22"/>
          <w:rtl/>
        </w:rPr>
        <w:t>وتجري عملية التدقيق بدعم من خبراء استشاريين خارجيين متخصصين في استعراض تصميم منصات تكنولوجيا المعلومات وتطويرها.</w:t>
      </w:r>
    </w:p>
    <w:p w14:paraId="2CF71D9A" w14:textId="77777777" w:rsidR="00BE4767" w:rsidRDefault="006905B2" w:rsidP="00BE4767">
      <w:pPr>
        <w:pStyle w:val="Heading2"/>
        <w:bidi/>
        <w:rPr>
          <w:bCs w:val="0"/>
          <w:iCs w:val="0"/>
          <w:szCs w:val="24"/>
          <w:rtl/>
        </w:rPr>
      </w:pPr>
      <w:r w:rsidRPr="00A8357F">
        <w:rPr>
          <w:rFonts w:hint="cs"/>
          <w:bCs w:val="0"/>
          <w:iCs w:val="0"/>
          <w:color w:val="000000"/>
          <w:sz w:val="24"/>
          <w:szCs w:val="24"/>
          <w:rtl/>
        </w:rPr>
        <w:t>التدقيق في إدارة المخاطر المؤسسية</w:t>
      </w:r>
    </w:p>
    <w:p w14:paraId="0B5DA18D" w14:textId="1D4C1902" w:rsidR="00BE4767" w:rsidRDefault="001D59E1" w:rsidP="00BE4767">
      <w:pPr>
        <w:pStyle w:val="ONUME"/>
        <w:bidi/>
        <w:rPr>
          <w:szCs w:val="22"/>
          <w:rtl/>
        </w:rPr>
      </w:pPr>
      <w:r w:rsidRPr="00A8357F">
        <w:rPr>
          <w:rFonts w:hint="cs"/>
          <w:szCs w:val="22"/>
          <w:rtl/>
        </w:rPr>
        <w:t>يسترشد إطار الويبو لإدارة المخاطر بمدى قابلية تحمل المخاطر الذي تحدده الدول الأعضاء في بيان الويبو بشأن قابلية تحمل المخاطر</w:t>
      </w:r>
      <w:r w:rsidRPr="00A8357F">
        <w:rPr>
          <w:szCs w:val="22"/>
          <w:vertAlign w:val="superscript"/>
          <w:rtl/>
          <w:lang w:val="en"/>
        </w:rPr>
        <w:footnoteReference w:id="8"/>
      </w:r>
      <w:r w:rsidRPr="00A8357F">
        <w:rPr>
          <w:rFonts w:hint="cs"/>
          <w:szCs w:val="22"/>
          <w:rtl/>
        </w:rPr>
        <w:t xml:space="preserve"> الذي أُصدر في عام 2014 وحُدِّث في عام 2019.</w:t>
      </w:r>
      <w:r w:rsidR="00BE4767">
        <w:rPr>
          <w:rFonts w:hint="cs"/>
          <w:szCs w:val="22"/>
          <w:rtl/>
        </w:rPr>
        <w:t xml:space="preserve"> </w:t>
      </w:r>
      <w:r w:rsidRPr="00A8357F">
        <w:rPr>
          <w:rFonts w:hint="cs"/>
          <w:szCs w:val="22"/>
          <w:rtl/>
        </w:rPr>
        <w:t>وتحدد سياسة الويبو لإدارة المخاطر</w:t>
      </w:r>
      <w:r w:rsidRPr="00A8357F">
        <w:rPr>
          <w:szCs w:val="22"/>
          <w:vertAlign w:val="superscript"/>
          <w:rtl/>
          <w:lang w:val="en"/>
        </w:rPr>
        <w:footnoteReference w:id="9"/>
      </w:r>
      <w:r w:rsidRPr="00A8357F">
        <w:rPr>
          <w:rFonts w:hint="cs"/>
          <w:szCs w:val="22"/>
          <w:rtl/>
        </w:rPr>
        <w:t xml:space="preserve"> نهج المنظمة في إدارة المخاطر والضوابط الداخلية على نحوٍ مُتَّسقٍ ومُوجَّه نحو الأعمال، من أجل المساهمة في تحقيق أهدافها الاستراتيجية ونتائجها المرتقبة.</w:t>
      </w:r>
      <w:r w:rsidR="00BE4767">
        <w:rPr>
          <w:rFonts w:hint="cs"/>
          <w:szCs w:val="22"/>
          <w:rtl/>
        </w:rPr>
        <w:t xml:space="preserve"> </w:t>
      </w:r>
      <w:r w:rsidRPr="00A8357F">
        <w:rPr>
          <w:rFonts w:hint="cs"/>
          <w:szCs w:val="22"/>
          <w:rtl/>
        </w:rPr>
        <w:t>ويُكمِّل سياسة الويبو لإدارة المخاطر "دليل الويبو لإدارة المخاطر والرقابة الداخلية" الذي يشمل التفاصيل التشغيلية اليومية لإدارة المخاطر والرقابة الداخلية.</w:t>
      </w:r>
    </w:p>
    <w:p w14:paraId="301B57E3" w14:textId="42F35055" w:rsidR="00BE4767" w:rsidRDefault="006905B2" w:rsidP="00BE4767">
      <w:pPr>
        <w:pStyle w:val="ONUME"/>
        <w:bidi/>
        <w:rPr>
          <w:szCs w:val="22"/>
          <w:rtl/>
        </w:rPr>
      </w:pPr>
      <w:r w:rsidRPr="00A8357F">
        <w:rPr>
          <w:rFonts w:hint="cs"/>
          <w:szCs w:val="22"/>
          <w:rtl/>
        </w:rPr>
        <w:t>وكان الهدف من هذا التدقيق، وهو الاستعراض الثاني لإدارة المخاطر المؤسسية</w:t>
      </w:r>
      <w:r w:rsidRPr="00A8357F">
        <w:rPr>
          <w:rStyle w:val="FootnoteReference"/>
          <w:szCs w:val="22"/>
          <w:rtl/>
        </w:rPr>
        <w:footnoteReference w:id="10"/>
      </w:r>
      <w:r w:rsidRPr="00A8357F">
        <w:rPr>
          <w:rFonts w:hint="cs"/>
          <w:szCs w:val="22"/>
          <w:rtl/>
        </w:rPr>
        <w:t xml:space="preserve"> الذي تجريه شعبة الرقابة الداخلية، هو تقييم تطور إدارة المخاطر في الويبو من خلال تقييم عدة أمور منها ما يلي:</w:t>
      </w:r>
    </w:p>
    <w:p w14:paraId="4B1F1587" w14:textId="77777777" w:rsidR="00BE4767" w:rsidRDefault="006905B2" w:rsidP="009632CE">
      <w:pPr>
        <w:pStyle w:val="ONUME"/>
        <w:numPr>
          <w:ilvl w:val="1"/>
          <w:numId w:val="2"/>
        </w:numPr>
        <w:bidi/>
        <w:ind w:left="1134" w:hanging="567"/>
        <w:rPr>
          <w:szCs w:val="22"/>
          <w:rtl/>
        </w:rPr>
      </w:pPr>
      <w:r w:rsidRPr="00A8357F">
        <w:rPr>
          <w:rFonts w:hint="cs"/>
          <w:szCs w:val="22"/>
          <w:rtl/>
        </w:rPr>
        <w:t>مدى ملاءمة إطار الحوكمة المرتبط بإدارة المخاطر المؤسسية في الويبو؛</w:t>
      </w:r>
    </w:p>
    <w:p w14:paraId="4F0CEC98" w14:textId="2407679F" w:rsidR="006905B2" w:rsidRPr="00A8357F" w:rsidRDefault="006905B2" w:rsidP="009632CE">
      <w:pPr>
        <w:pStyle w:val="ONUME"/>
        <w:numPr>
          <w:ilvl w:val="1"/>
          <w:numId w:val="2"/>
        </w:numPr>
        <w:bidi/>
        <w:ind w:left="1134" w:hanging="567"/>
        <w:rPr>
          <w:szCs w:val="22"/>
          <w:rtl/>
        </w:rPr>
      </w:pPr>
      <w:r w:rsidRPr="00A8357F">
        <w:rPr>
          <w:rFonts w:hint="cs"/>
          <w:szCs w:val="22"/>
          <w:rtl/>
        </w:rPr>
        <w:t>الكفاءة التصميمية والفعالية التشغيلية لعمليات إدارة المخاطر المؤسسية في الويبو؛</w:t>
      </w:r>
    </w:p>
    <w:p w14:paraId="3DDD5318" w14:textId="77777777" w:rsidR="006905B2" w:rsidRPr="00A8357F" w:rsidRDefault="006905B2" w:rsidP="009632CE">
      <w:pPr>
        <w:pStyle w:val="ONUME"/>
        <w:numPr>
          <w:ilvl w:val="1"/>
          <w:numId w:val="2"/>
        </w:numPr>
        <w:bidi/>
        <w:ind w:left="1134" w:hanging="567"/>
        <w:rPr>
          <w:szCs w:val="22"/>
          <w:rtl/>
        </w:rPr>
      </w:pPr>
      <w:r w:rsidRPr="00A8357F">
        <w:rPr>
          <w:rFonts w:hint="cs"/>
          <w:szCs w:val="22"/>
          <w:rtl/>
        </w:rPr>
        <w:t>مدى ملاءمة الأنظمة والأدوات اللازمة لدعم آلية الويبو لإدارة المخاطر المؤسسية للغرض منها؛</w:t>
      </w:r>
    </w:p>
    <w:p w14:paraId="6EC98B52" w14:textId="77777777" w:rsidR="006905B2" w:rsidRPr="00A8357F" w:rsidRDefault="006905B2" w:rsidP="009632CE">
      <w:pPr>
        <w:pStyle w:val="ONUME"/>
        <w:numPr>
          <w:ilvl w:val="1"/>
          <w:numId w:val="2"/>
        </w:numPr>
        <w:bidi/>
        <w:ind w:left="1134" w:hanging="567"/>
        <w:rPr>
          <w:szCs w:val="22"/>
          <w:rtl/>
        </w:rPr>
      </w:pPr>
      <w:r w:rsidRPr="00A8357F">
        <w:rPr>
          <w:rFonts w:hint="cs"/>
          <w:szCs w:val="22"/>
          <w:rtl/>
        </w:rPr>
        <w:t>تطور ثقافة/نضج وقدرات إدارة المخاطر في الويبو.</w:t>
      </w:r>
    </w:p>
    <w:p w14:paraId="28BFC0E3" w14:textId="77777777" w:rsidR="00BE4767" w:rsidRDefault="006905B2" w:rsidP="00BE4767">
      <w:pPr>
        <w:pStyle w:val="ONUME"/>
        <w:bidi/>
        <w:rPr>
          <w:szCs w:val="22"/>
          <w:rtl/>
        </w:rPr>
      </w:pPr>
      <w:r w:rsidRPr="00A8357F">
        <w:rPr>
          <w:rFonts w:hint="cs"/>
          <w:szCs w:val="22"/>
          <w:rtl/>
        </w:rPr>
        <w:t>وشمل نطاق المهمة عملية إدارة المخاطر في الويبو مع مراعاة عمليات التدقيق السابقة التي أجريت بشأن موضوعات مماثلة.</w:t>
      </w:r>
    </w:p>
    <w:p w14:paraId="381AF34D" w14:textId="220B5B71" w:rsidR="00BE4767" w:rsidRDefault="006905B2" w:rsidP="00BE4767">
      <w:pPr>
        <w:pStyle w:val="Heading2"/>
        <w:bidi/>
        <w:rPr>
          <w:bCs w:val="0"/>
          <w:iCs w:val="0"/>
          <w:szCs w:val="24"/>
          <w:rtl/>
        </w:rPr>
      </w:pPr>
      <w:r w:rsidRPr="00A8357F">
        <w:rPr>
          <w:rFonts w:hint="cs"/>
          <w:bCs w:val="0"/>
          <w:iCs w:val="0"/>
          <w:color w:val="000000"/>
          <w:sz w:val="24"/>
          <w:szCs w:val="24"/>
          <w:rtl/>
        </w:rPr>
        <w:t>التدقيق في إدارة الأصول واللوازم والمواد</w:t>
      </w:r>
    </w:p>
    <w:p w14:paraId="4DF9C563" w14:textId="32E29EFC" w:rsidR="00BE4767" w:rsidRDefault="006905B2" w:rsidP="00BE4767">
      <w:pPr>
        <w:pStyle w:val="ONUME"/>
        <w:bidi/>
        <w:rPr>
          <w:szCs w:val="22"/>
          <w:rtl/>
        </w:rPr>
      </w:pPr>
      <w:r w:rsidRPr="00A8357F">
        <w:rPr>
          <w:rFonts w:hint="cs"/>
          <w:szCs w:val="22"/>
          <w:rtl/>
        </w:rPr>
        <w:t>إن إدارة الأصول والمخزونات عمليتان مهمتان لرصد وتتبع ممتلكات المنظمة من المباني والمركبات والمعدات واللوازم والمواد وغيرها من الموجودات.</w:t>
      </w:r>
      <w:r w:rsidR="00BE4767">
        <w:rPr>
          <w:rFonts w:hint="cs"/>
          <w:szCs w:val="22"/>
          <w:rtl/>
        </w:rPr>
        <w:t xml:space="preserve"> </w:t>
      </w:r>
      <w:r w:rsidRPr="00A8357F">
        <w:rPr>
          <w:rFonts w:hint="cs"/>
          <w:szCs w:val="22"/>
          <w:rtl/>
        </w:rPr>
        <w:t>وتُستخدم وحدة إدارة الأصول في نظام الإدارة المتكاملة لتدوين تفاصيل كل الأصول المالية والمادية على النحو المحدَّد في السياسات والأدلة الوجيهة، وإدارة دورة حياة ممتلكات المنظمة، بما في ذلك مبالغ الرسملة والقيم المتبقية.</w:t>
      </w:r>
    </w:p>
    <w:p w14:paraId="25B35D56" w14:textId="7CF494B4" w:rsidR="006905B2" w:rsidRPr="00A8357F" w:rsidRDefault="006905B2" w:rsidP="00BE4767">
      <w:pPr>
        <w:pStyle w:val="ONUME"/>
        <w:bidi/>
        <w:rPr>
          <w:szCs w:val="22"/>
          <w:rtl/>
        </w:rPr>
      </w:pPr>
      <w:r w:rsidRPr="00A8357F">
        <w:rPr>
          <w:rFonts w:hint="cs"/>
          <w:szCs w:val="22"/>
          <w:rtl/>
        </w:rPr>
        <w:t>وكانت أهداف التدقيق كما يلي:</w:t>
      </w:r>
    </w:p>
    <w:p w14:paraId="6D107A2A" w14:textId="77777777" w:rsidR="006905B2" w:rsidRPr="00A8357F" w:rsidRDefault="006905B2" w:rsidP="009632CE">
      <w:pPr>
        <w:pStyle w:val="ONUME"/>
        <w:numPr>
          <w:ilvl w:val="1"/>
          <w:numId w:val="2"/>
        </w:numPr>
        <w:bidi/>
        <w:ind w:left="1134" w:hanging="567"/>
        <w:rPr>
          <w:szCs w:val="22"/>
          <w:rtl/>
        </w:rPr>
      </w:pPr>
      <w:r w:rsidRPr="00A8357F">
        <w:rPr>
          <w:rFonts w:hint="cs"/>
          <w:szCs w:val="22"/>
          <w:rtl/>
        </w:rPr>
        <w:t>استعراض الحوكمة وإدارة المخاطر وفعالية الضوابط الداخلية في إدارة فئات مختارة من الأصول واللوازم والمواد؛</w:t>
      </w:r>
    </w:p>
    <w:p w14:paraId="2C2B99DD" w14:textId="77777777" w:rsidR="006905B2" w:rsidRPr="00A8357F" w:rsidRDefault="006905B2" w:rsidP="009632CE">
      <w:pPr>
        <w:pStyle w:val="ONUME"/>
        <w:numPr>
          <w:ilvl w:val="1"/>
          <w:numId w:val="2"/>
        </w:numPr>
        <w:bidi/>
        <w:ind w:left="1134" w:hanging="567"/>
        <w:rPr>
          <w:szCs w:val="22"/>
          <w:rtl/>
        </w:rPr>
      </w:pPr>
      <w:r w:rsidRPr="00A8357F">
        <w:rPr>
          <w:rFonts w:hint="cs"/>
          <w:szCs w:val="22"/>
          <w:rtl/>
        </w:rPr>
        <w:t>التحقق من الامتثال لأنظمة الويبو ولوائحها المعنية السارية والتعميمات الإدارية والتعميمات الإعلامية وإجراءات إدارة فئات مختارة من الأصول واللوازم والمواد؛</w:t>
      </w:r>
    </w:p>
    <w:p w14:paraId="1FBA8FD3" w14:textId="77777777" w:rsidR="006905B2" w:rsidRPr="00A8357F" w:rsidRDefault="006905B2" w:rsidP="009632CE">
      <w:pPr>
        <w:pStyle w:val="ONUME"/>
        <w:numPr>
          <w:ilvl w:val="1"/>
          <w:numId w:val="2"/>
        </w:numPr>
        <w:bidi/>
        <w:ind w:left="1134" w:hanging="567"/>
        <w:rPr>
          <w:szCs w:val="22"/>
          <w:rtl/>
        </w:rPr>
      </w:pPr>
      <w:r w:rsidRPr="00A8357F">
        <w:rPr>
          <w:rFonts w:hint="cs"/>
          <w:szCs w:val="22"/>
          <w:rtl/>
        </w:rPr>
        <w:t>تقييم مدى كفاية وكفاءة وفعالية الأدوات والأنظمة المستخدمة في إدارة الأصول واللوازم والمواد.</w:t>
      </w:r>
    </w:p>
    <w:p w14:paraId="3F836675" w14:textId="77777777" w:rsidR="00BE4767" w:rsidRDefault="006905B2" w:rsidP="00BE4767">
      <w:pPr>
        <w:pStyle w:val="ONUME"/>
        <w:bidi/>
        <w:rPr>
          <w:szCs w:val="22"/>
          <w:rtl/>
        </w:rPr>
      </w:pPr>
      <w:r w:rsidRPr="00A8357F">
        <w:rPr>
          <w:rFonts w:hint="cs"/>
          <w:szCs w:val="22"/>
          <w:rtl/>
        </w:rPr>
        <w:t>وغطى نطاق التدقيق عامَي 2020 و2021 واستبعد استعراض الأصول من البرمجيات وغيرها من الأصول غير الملموسة.</w:t>
      </w:r>
    </w:p>
    <w:p w14:paraId="7B2E4485" w14:textId="5F579F34" w:rsidR="00055464" w:rsidRPr="00A8357F" w:rsidRDefault="00BC0925" w:rsidP="00BE4767">
      <w:pPr>
        <w:pStyle w:val="Heading2"/>
        <w:bidi/>
        <w:rPr>
          <w:bCs w:val="0"/>
          <w:iCs w:val="0"/>
          <w:szCs w:val="22"/>
          <w:rtl/>
        </w:rPr>
      </w:pPr>
      <w:r w:rsidRPr="00A8357F">
        <w:rPr>
          <w:rFonts w:hint="cs"/>
          <w:bCs w:val="0"/>
          <w:iCs w:val="0"/>
          <w:szCs w:val="22"/>
          <w:rtl/>
        </w:rPr>
        <w:t>تقييم لجان الويبو الدائمة</w:t>
      </w:r>
    </w:p>
    <w:p w14:paraId="706E058E" w14:textId="255AD363" w:rsidR="00BE4767" w:rsidRDefault="00C965B7" w:rsidP="00BE4767">
      <w:pPr>
        <w:pStyle w:val="ONUME"/>
        <w:bidi/>
        <w:rPr>
          <w:szCs w:val="22"/>
          <w:rtl/>
        </w:rPr>
      </w:pPr>
      <w:r w:rsidRPr="00A8357F">
        <w:rPr>
          <w:rFonts w:hint="cs"/>
          <w:szCs w:val="22"/>
          <w:rtl/>
        </w:rPr>
        <w:t>كان الغرض من هذا التقييم هو النقد البنّاء، مع التركيز على قياس فعالية الويبو في تنظيم مختلف اللجان الدائمة وإدارتها؛ وتقييم مدى كفاية الدعم والموارد المتاحة للأمانة لتحقيق النتائج المرتقبة ومدى استخدامها بكفاءة لدعم احتياجات اللجان الدائمة.</w:t>
      </w:r>
      <w:r w:rsidR="00BE4767">
        <w:rPr>
          <w:rFonts w:hint="cs"/>
          <w:szCs w:val="22"/>
          <w:rtl/>
        </w:rPr>
        <w:t xml:space="preserve"> </w:t>
      </w:r>
      <w:r w:rsidRPr="00A8357F">
        <w:rPr>
          <w:rFonts w:hint="cs"/>
          <w:szCs w:val="22"/>
          <w:rtl/>
        </w:rPr>
        <w:t>وفضلاً عن ذلك، يوفر التقييم منبراً لموظفي الويبو والجهات المعنية للتعلّم من التجارب السابقة لإدراج الممارسات الجيدة من المنظمات الشقيقة الأخرى التابعة للأمم المتحدة.</w:t>
      </w:r>
    </w:p>
    <w:p w14:paraId="2EEEAD64" w14:textId="2EFE64CE" w:rsidR="004E566A" w:rsidRPr="00A8357F" w:rsidRDefault="004C6FCB" w:rsidP="00BE4767">
      <w:pPr>
        <w:pStyle w:val="Heading2"/>
        <w:bidi/>
        <w:rPr>
          <w:bCs w:val="0"/>
          <w:iCs w:val="0"/>
          <w:szCs w:val="22"/>
          <w:rtl/>
        </w:rPr>
      </w:pPr>
      <w:r w:rsidRPr="00A8357F">
        <w:rPr>
          <w:rFonts w:hint="cs"/>
          <w:bCs w:val="0"/>
          <w:iCs w:val="0"/>
          <w:szCs w:val="22"/>
          <w:rtl/>
        </w:rPr>
        <w:lastRenderedPageBreak/>
        <w:t>التحليل التجميعي لنتائج عمليات تقييم الشعب الإقليمية</w:t>
      </w:r>
    </w:p>
    <w:p w14:paraId="5A7F5B7E" w14:textId="348C2C1C" w:rsidR="00BE4767" w:rsidRDefault="003B06F4" w:rsidP="00BD3FA3">
      <w:pPr>
        <w:pStyle w:val="ONUME"/>
        <w:bidi/>
        <w:rPr>
          <w:szCs w:val="22"/>
          <w:rtl/>
        </w:rPr>
      </w:pPr>
      <w:r w:rsidRPr="00A8357F">
        <w:rPr>
          <w:rFonts w:hint="cs"/>
          <w:szCs w:val="22"/>
          <w:rtl/>
        </w:rPr>
        <w:t>كانت الأهداف الرئيسية للتحليل التجميعي لنتائج عمليات تقييم الشعب الإقليمية هي استعراض وتحليل ودمج النتائج والاستنتاجات والتوصيات المنبثقة من عمليات التقييم الخمس التي أجريت لشعب الويبو الإقليمي بهدف تقديم توصيات شاملة ومنهجية تدعم تحسين عمل الويبو على المستوى الإقليمي.</w:t>
      </w:r>
      <w:r w:rsidR="00BE4767">
        <w:rPr>
          <w:rFonts w:hint="cs"/>
          <w:szCs w:val="22"/>
          <w:rtl/>
        </w:rPr>
        <w:t xml:space="preserve"> </w:t>
      </w:r>
      <w:r w:rsidRPr="00A8357F">
        <w:rPr>
          <w:rFonts w:hint="cs"/>
          <w:szCs w:val="22"/>
          <w:rtl/>
        </w:rPr>
        <w:t>وسعى التحليل التجميعي أيضاً إلى إعلام ودعم متخذي القرارات في عملية إعادة الهيكلة التنظيمية ال</w:t>
      </w:r>
      <w:r w:rsidR="00BD3FA3">
        <w:rPr>
          <w:rFonts w:hint="cs"/>
          <w:szCs w:val="22"/>
          <w:rtl/>
        </w:rPr>
        <w:t xml:space="preserve">حالية للشعب الإقليمية في سياق </w:t>
      </w:r>
      <w:r w:rsidRPr="00A8357F">
        <w:rPr>
          <w:rFonts w:hint="cs"/>
          <w:szCs w:val="22"/>
          <w:rtl/>
        </w:rPr>
        <w:t>خطة</w:t>
      </w:r>
      <w:r w:rsidR="00BD3FA3">
        <w:rPr>
          <w:rFonts w:hint="cs"/>
          <w:szCs w:val="22"/>
          <w:rtl/>
        </w:rPr>
        <w:t xml:space="preserve"> الويبو</w:t>
      </w:r>
      <w:r w:rsidRPr="00A8357F">
        <w:rPr>
          <w:rFonts w:hint="cs"/>
          <w:szCs w:val="22"/>
          <w:rtl/>
        </w:rPr>
        <w:t xml:space="preserve"> الاستراتيجية المتوسطة الأجل </w:t>
      </w:r>
      <w:r w:rsidR="00BD3FA3">
        <w:rPr>
          <w:rFonts w:hint="cs"/>
          <w:szCs w:val="22"/>
          <w:rtl/>
        </w:rPr>
        <w:t>للفترة 2021-2026</w:t>
      </w:r>
      <w:r w:rsidRPr="00A8357F">
        <w:rPr>
          <w:rFonts w:hint="cs"/>
          <w:szCs w:val="22"/>
          <w:rtl/>
        </w:rPr>
        <w:t>.</w:t>
      </w:r>
    </w:p>
    <w:p w14:paraId="34446223" w14:textId="1C588885" w:rsidR="002F69AD" w:rsidRPr="00A8357F" w:rsidRDefault="002F69AD" w:rsidP="00BE4767">
      <w:pPr>
        <w:pStyle w:val="ONUME"/>
        <w:bidi/>
        <w:rPr>
          <w:szCs w:val="22"/>
          <w:rtl/>
        </w:rPr>
      </w:pPr>
      <w:r w:rsidRPr="00A8357F">
        <w:rPr>
          <w:rFonts w:hint="cs"/>
          <w:szCs w:val="22"/>
          <w:rtl/>
        </w:rPr>
        <w:t>واستعرض وتناول التحليل التجميعي عمليات التقييم الخمس لشعب الويبو الإقليمية التي أجريت فيما بين عامَي 2015 و2020؛ وهذه الشعب الإقليمية هي شعبة أفريقيا؛ وشعبة البلدان العربية؛ وشعبة آسيا والمحيط الهادئ؛ وشعبة أمريكا اللاتينية والكاريبي؛ وشعبة البلدان الأقل نمواً.</w:t>
      </w:r>
      <w:r w:rsidR="00BE4767">
        <w:rPr>
          <w:rFonts w:hint="cs"/>
          <w:szCs w:val="22"/>
          <w:rtl/>
        </w:rPr>
        <w:t xml:space="preserve"> </w:t>
      </w:r>
      <w:r w:rsidRPr="00A8357F">
        <w:rPr>
          <w:rFonts w:hint="cs"/>
          <w:szCs w:val="22"/>
          <w:rtl/>
        </w:rPr>
        <w:t>وشملت عمليات التقييم الفترة 2010-2020.</w:t>
      </w:r>
    </w:p>
    <w:p w14:paraId="259A8F33" w14:textId="77777777" w:rsidR="00BE4767" w:rsidRDefault="004C6FCB" w:rsidP="00BE4767">
      <w:pPr>
        <w:pStyle w:val="Heading2"/>
        <w:bidi/>
        <w:rPr>
          <w:bCs w:val="0"/>
          <w:iCs w:val="0"/>
          <w:szCs w:val="22"/>
          <w:rtl/>
        </w:rPr>
      </w:pPr>
      <w:r w:rsidRPr="00A8357F">
        <w:rPr>
          <w:rFonts w:hint="cs"/>
          <w:bCs w:val="0"/>
          <w:iCs w:val="0"/>
          <w:szCs w:val="22"/>
          <w:rtl/>
        </w:rPr>
        <w:t>استعراض منهجية شعبة الرقابة الداخلية للتحقق من صحة تقارير أداء الويبو</w:t>
      </w:r>
    </w:p>
    <w:p w14:paraId="40E30AB4" w14:textId="56684160" w:rsidR="002F69AD" w:rsidRPr="00A8357F" w:rsidRDefault="00AA1ADA" w:rsidP="00BE4767">
      <w:pPr>
        <w:pStyle w:val="ONUME"/>
        <w:bidi/>
        <w:rPr>
          <w:szCs w:val="22"/>
          <w:rtl/>
        </w:rPr>
      </w:pPr>
      <w:r w:rsidRPr="00A8357F">
        <w:rPr>
          <w:rFonts w:hint="cs"/>
          <w:szCs w:val="22"/>
          <w:rtl/>
        </w:rPr>
        <w:t>تُعدّ بيانات الأداء الواردة في تقرير أداء الويبو أساس التزام الويبو بإظهار النتائج للجهات المعنية.</w:t>
      </w:r>
      <w:r w:rsidR="00BE4767">
        <w:rPr>
          <w:rFonts w:hint="cs"/>
          <w:szCs w:val="22"/>
          <w:rtl/>
        </w:rPr>
        <w:t xml:space="preserve"> </w:t>
      </w:r>
      <w:r w:rsidRPr="00A8357F">
        <w:rPr>
          <w:rFonts w:hint="cs"/>
          <w:szCs w:val="22"/>
          <w:rtl/>
        </w:rPr>
        <w:t>وهي ضرورية لأغراض اتخاذ القرارات والتحسين المستمر.</w:t>
      </w:r>
      <w:r w:rsidR="00BE4767">
        <w:rPr>
          <w:rFonts w:hint="cs"/>
          <w:szCs w:val="22"/>
          <w:rtl/>
        </w:rPr>
        <w:t xml:space="preserve"> </w:t>
      </w:r>
      <w:r w:rsidRPr="00A8357F">
        <w:rPr>
          <w:rFonts w:hint="cs"/>
          <w:szCs w:val="22"/>
          <w:rtl/>
        </w:rPr>
        <w:t>ونظراً إلى أن بيانات الأداء لن تُستخدم إلا إذا كانت ذات مصداقية ونوعية جيدة، فقد أدخلت الويبو آلية للتثبت من البيانات قبل عشر سنوات لضمان جودة البيانات وصحتها.</w:t>
      </w:r>
    </w:p>
    <w:p w14:paraId="611E6BB6" w14:textId="47B5C31F" w:rsidR="002F69AD" w:rsidRPr="00B91FC4" w:rsidRDefault="002F69AD" w:rsidP="00BD3FA3">
      <w:pPr>
        <w:pStyle w:val="ONUME"/>
        <w:bidi/>
        <w:rPr>
          <w:spacing w:val="-1"/>
          <w:szCs w:val="22"/>
          <w:rtl/>
        </w:rPr>
      </w:pPr>
      <w:r w:rsidRPr="00B91FC4">
        <w:rPr>
          <w:rFonts w:hint="cs"/>
          <w:spacing w:val="-1"/>
          <w:szCs w:val="22"/>
          <w:rtl/>
        </w:rPr>
        <w:t xml:space="preserve">وبعد عشر سنوات من إنجاز أول عملية تثبت، </w:t>
      </w:r>
      <w:r w:rsidR="00BD3FA3">
        <w:rPr>
          <w:rFonts w:hint="cs"/>
          <w:spacing w:val="-1"/>
          <w:szCs w:val="22"/>
          <w:rtl/>
        </w:rPr>
        <w:t>استعرضت</w:t>
      </w:r>
      <w:r w:rsidRPr="00B91FC4">
        <w:rPr>
          <w:rFonts w:hint="cs"/>
          <w:spacing w:val="-1"/>
          <w:szCs w:val="22"/>
          <w:rtl/>
        </w:rPr>
        <w:t xml:space="preserve"> شعبة الرقابة الداخلية نهج التحقق من صحة تقرير أداء البرنامج.</w:t>
      </w:r>
    </w:p>
    <w:p w14:paraId="043638D4" w14:textId="66086874" w:rsidR="005C7795" w:rsidRPr="00A8357F" w:rsidRDefault="002F69AD" w:rsidP="00BD3FA3">
      <w:pPr>
        <w:pStyle w:val="ONUME"/>
        <w:bidi/>
        <w:rPr>
          <w:szCs w:val="22"/>
          <w:rtl/>
        </w:rPr>
      </w:pPr>
      <w:r w:rsidRPr="00A8357F">
        <w:rPr>
          <w:rFonts w:hint="cs"/>
          <w:szCs w:val="22"/>
          <w:rtl/>
        </w:rPr>
        <w:t xml:space="preserve">وفي إطار </w:t>
      </w:r>
      <w:r w:rsidR="00BD3FA3">
        <w:rPr>
          <w:rFonts w:hint="cs"/>
          <w:szCs w:val="22"/>
          <w:rtl/>
        </w:rPr>
        <w:t>الاستعراض</w:t>
      </w:r>
      <w:r w:rsidRPr="00A8357F">
        <w:rPr>
          <w:rFonts w:hint="cs"/>
          <w:szCs w:val="22"/>
          <w:rtl/>
        </w:rPr>
        <w:t>، استُهلت عملية تشاورية مع الموظفين فيما بين ديسمبر 2021 ويناير 2022.</w:t>
      </w:r>
      <w:r w:rsidR="00BE4767">
        <w:rPr>
          <w:rFonts w:hint="cs"/>
          <w:szCs w:val="22"/>
          <w:rtl/>
        </w:rPr>
        <w:t xml:space="preserve"> </w:t>
      </w:r>
      <w:r w:rsidRPr="00A8357F">
        <w:rPr>
          <w:rFonts w:hint="cs"/>
          <w:szCs w:val="22"/>
          <w:rtl/>
        </w:rPr>
        <w:t>وطرح الموظفون عدة أسئلة وقدَّموا اقتراحات ووجهات نظر مختلفة بشأن احتياجاتهم وتوقعاتهم فيما يخص عملية التثبت من البيانات.</w:t>
      </w:r>
      <w:r w:rsidR="00BE4767">
        <w:rPr>
          <w:rFonts w:hint="cs"/>
          <w:szCs w:val="22"/>
          <w:rtl/>
        </w:rPr>
        <w:t xml:space="preserve"> </w:t>
      </w:r>
      <w:r w:rsidRPr="00A8357F">
        <w:rPr>
          <w:rFonts w:hint="cs"/>
          <w:szCs w:val="22"/>
          <w:rtl/>
        </w:rPr>
        <w:t>وخلص الاستعراض عامةً إلى أن المنظمة تتوقع أن تسهم عملية التثبت من البيانات في تحسين اتساق بيانات الأداء ومصداقيتها وفائدتها.</w:t>
      </w:r>
      <w:r w:rsidR="00BE4767">
        <w:rPr>
          <w:rFonts w:hint="cs"/>
          <w:szCs w:val="22"/>
          <w:rtl/>
        </w:rPr>
        <w:t xml:space="preserve"> </w:t>
      </w:r>
    </w:p>
    <w:p w14:paraId="4BE3BAB6" w14:textId="1144C883" w:rsidR="00BE4767" w:rsidRDefault="00BD3FA3" w:rsidP="00BD3FA3">
      <w:pPr>
        <w:pStyle w:val="ONUME"/>
        <w:bidi/>
        <w:rPr>
          <w:szCs w:val="22"/>
          <w:rtl/>
        </w:rPr>
      </w:pPr>
      <w:r>
        <w:rPr>
          <w:rFonts w:hint="cs"/>
          <w:szCs w:val="22"/>
          <w:rtl/>
        </w:rPr>
        <w:t xml:space="preserve">وراعت عملية الاستعراض </w:t>
      </w:r>
      <w:r w:rsidR="002F69AD" w:rsidRPr="00A8357F">
        <w:rPr>
          <w:rFonts w:hint="cs"/>
          <w:szCs w:val="22"/>
          <w:rtl/>
        </w:rPr>
        <w:t>احتياجات المنظمة وتوقعاتها الحالية فيما يتعلق بنهج التثبت.</w:t>
      </w:r>
      <w:r w:rsidR="00BE4767">
        <w:rPr>
          <w:rFonts w:hint="cs"/>
          <w:szCs w:val="22"/>
          <w:rtl/>
        </w:rPr>
        <w:t xml:space="preserve"> </w:t>
      </w:r>
      <w:r w:rsidR="002F69AD" w:rsidRPr="00A8357F">
        <w:rPr>
          <w:rFonts w:hint="cs"/>
          <w:szCs w:val="22"/>
          <w:rtl/>
        </w:rPr>
        <w:t>ووفرت خياراً لتعزيز المصداقية مع دعم بيئة التعلم.</w:t>
      </w:r>
      <w:r w:rsidR="00BE4767">
        <w:rPr>
          <w:rFonts w:hint="cs"/>
          <w:szCs w:val="22"/>
          <w:rtl/>
        </w:rPr>
        <w:t xml:space="preserve"> </w:t>
      </w:r>
      <w:r w:rsidR="002F69AD" w:rsidRPr="00A8357F">
        <w:rPr>
          <w:rFonts w:hint="cs"/>
          <w:szCs w:val="22"/>
          <w:rtl/>
        </w:rPr>
        <w:t xml:space="preserve">وهذا أمر أساسي لتمكين الموظفين من </w:t>
      </w:r>
      <w:r>
        <w:rPr>
          <w:rFonts w:hint="cs"/>
          <w:szCs w:val="22"/>
          <w:rtl/>
        </w:rPr>
        <w:t>الحصول على البيانات الكمية والنوعية واستخدامها. وتدعم هذه البيانات</w:t>
      </w:r>
      <w:r w:rsidR="002F69AD" w:rsidRPr="00A8357F">
        <w:rPr>
          <w:rFonts w:hint="cs"/>
          <w:szCs w:val="22"/>
          <w:rtl/>
        </w:rPr>
        <w:t xml:space="preserve"> اتخاذ القرارات</w:t>
      </w:r>
      <w:r>
        <w:rPr>
          <w:rFonts w:hint="cs"/>
          <w:szCs w:val="22"/>
          <w:rtl/>
        </w:rPr>
        <w:t xml:space="preserve"> القائمة على أدلة</w:t>
      </w:r>
      <w:r w:rsidR="002F69AD" w:rsidRPr="00A8357F">
        <w:rPr>
          <w:rFonts w:hint="cs"/>
          <w:szCs w:val="22"/>
          <w:rtl/>
        </w:rPr>
        <w:t xml:space="preserve"> </w:t>
      </w:r>
      <w:r>
        <w:rPr>
          <w:rFonts w:hint="cs"/>
          <w:szCs w:val="22"/>
          <w:rtl/>
        </w:rPr>
        <w:t>وتبرز</w:t>
      </w:r>
      <w:r w:rsidR="002F69AD" w:rsidRPr="00A8357F">
        <w:rPr>
          <w:rFonts w:hint="cs"/>
          <w:szCs w:val="22"/>
          <w:rtl/>
        </w:rPr>
        <w:t xml:space="preserve"> </w:t>
      </w:r>
      <w:r>
        <w:rPr>
          <w:rFonts w:hint="cs"/>
          <w:szCs w:val="22"/>
          <w:rtl/>
        </w:rPr>
        <w:t>التزام الويبو بتحقيق نتائج لها أثر.</w:t>
      </w:r>
    </w:p>
    <w:p w14:paraId="4820D400" w14:textId="35745B6A" w:rsidR="00C46B12" w:rsidRPr="00A8357F" w:rsidRDefault="00C46B12" w:rsidP="00BE4767">
      <w:pPr>
        <w:pStyle w:val="Heading1"/>
        <w:bidi/>
        <w:rPr>
          <w:szCs w:val="22"/>
          <w:rtl/>
        </w:rPr>
      </w:pPr>
      <w:bookmarkStart w:id="39" w:name="_Toc99122807"/>
      <w:r w:rsidRPr="00A8357F">
        <w:rPr>
          <w:rFonts w:hint="cs"/>
          <w:szCs w:val="22"/>
          <w:rtl/>
        </w:rPr>
        <w:t>أنشطة التحقيق</w:t>
      </w:r>
      <w:bookmarkEnd w:id="37"/>
      <w:bookmarkEnd w:id="39"/>
    </w:p>
    <w:p w14:paraId="2E71E914" w14:textId="77777777" w:rsidR="00C46B12" w:rsidRPr="00A8357F" w:rsidRDefault="00C46B12" w:rsidP="00BE4767">
      <w:pPr>
        <w:pStyle w:val="Heading2"/>
        <w:bidi/>
        <w:rPr>
          <w:bCs w:val="0"/>
          <w:iCs w:val="0"/>
          <w:szCs w:val="22"/>
          <w:rtl/>
        </w:rPr>
      </w:pPr>
      <w:r w:rsidRPr="00A8357F">
        <w:rPr>
          <w:rFonts w:hint="cs"/>
          <w:bCs w:val="0"/>
          <w:iCs w:val="0"/>
          <w:szCs w:val="22"/>
          <w:rtl/>
        </w:rPr>
        <w:t>لمحة عامة عن عدد الحالات</w:t>
      </w:r>
    </w:p>
    <w:p w14:paraId="63077F60" w14:textId="7349EEC1" w:rsidR="00C46B12" w:rsidRPr="00A8357F" w:rsidRDefault="00C46B12" w:rsidP="00BE4767">
      <w:pPr>
        <w:pStyle w:val="ONUME"/>
        <w:bidi/>
        <w:rPr>
          <w:szCs w:val="22"/>
          <w:rtl/>
        </w:rPr>
      </w:pPr>
      <w:r w:rsidRPr="00A8357F">
        <w:rPr>
          <w:rFonts w:hint="cs"/>
          <w:szCs w:val="22"/>
          <w:rtl/>
        </w:rPr>
        <w:t>على مدى الفترة المشمولة بالتقرير، سُجّلت 25 حالة جديدة (أي زاد عدد الحالات بنسبة 19 في المئة مقارنةً بعام 2020) وأُغلقت 23 حالة.</w:t>
      </w:r>
      <w:r w:rsidR="00BE4767">
        <w:rPr>
          <w:rFonts w:hint="cs"/>
          <w:szCs w:val="22"/>
          <w:rtl/>
        </w:rPr>
        <w:t xml:space="preserve"> </w:t>
      </w:r>
      <w:r w:rsidRPr="00A8357F">
        <w:rPr>
          <w:rFonts w:hint="cs"/>
          <w:szCs w:val="22"/>
          <w:rtl/>
        </w:rPr>
        <w:t>وفي 31 ديسمبر 2021، كانت 13 حالة عالقة، منها حالتان في مرحلة التقييم الأولي، وثماني حالات في مرحلة التحقيق الكامل، وثلاث حالات عالقة في انتظار اتخاذ كيان آخر إجراء ما.</w:t>
      </w:r>
      <w:r w:rsidR="00BE4767">
        <w:rPr>
          <w:rFonts w:hint="cs"/>
          <w:szCs w:val="22"/>
          <w:rtl/>
        </w:rPr>
        <w:t xml:space="preserve"> </w:t>
      </w:r>
      <w:r w:rsidRPr="00A8357F">
        <w:rPr>
          <w:rFonts w:hint="cs"/>
          <w:szCs w:val="22"/>
          <w:rtl/>
        </w:rPr>
        <w:t>وفُتحت 11 حالة من الحالات العالقة في عام 2021 وحالتان في عام 2020.</w:t>
      </w:r>
      <w:r w:rsidR="00BE4767">
        <w:rPr>
          <w:rFonts w:hint="cs"/>
          <w:szCs w:val="22"/>
          <w:rtl/>
        </w:rPr>
        <w:t xml:space="preserve"> </w:t>
      </w:r>
      <w:r w:rsidRPr="00A8357F">
        <w:rPr>
          <w:rFonts w:hint="cs"/>
          <w:szCs w:val="22"/>
          <w:rtl/>
        </w:rPr>
        <w:t>وفي 31 ديسمبر 2021، بلغ متوسط المهلة المستغرقة في التحقيق 127 يوماً</w:t>
      </w:r>
      <w:r w:rsidR="00E93A06" w:rsidRPr="00A8357F">
        <w:rPr>
          <w:rStyle w:val="FootnoteReference"/>
          <w:szCs w:val="22"/>
          <w:rtl/>
        </w:rPr>
        <w:footnoteReference w:id="11"/>
      </w:r>
      <w:r w:rsidRPr="00A8357F">
        <w:rPr>
          <w:rFonts w:hint="cs"/>
          <w:szCs w:val="22"/>
          <w:rtl/>
        </w:rPr>
        <w:t xml:space="preserve"> وهي تندرج في حدود فترة الستة أشهر المستهدفة.</w:t>
      </w:r>
      <w:r w:rsidR="000932D7">
        <w:rPr>
          <w:rStyle w:val="FootnoteReference"/>
          <w:szCs w:val="22"/>
          <w:rtl/>
        </w:rPr>
        <w:footnoteReference w:id="12"/>
      </w:r>
    </w:p>
    <w:p w14:paraId="31AE8148" w14:textId="2DA3A946" w:rsidR="00C46B12" w:rsidRPr="00A8357F" w:rsidRDefault="00C46B12" w:rsidP="00BE4767">
      <w:pPr>
        <w:pStyle w:val="ONUME"/>
        <w:keepNext/>
        <w:numPr>
          <w:ilvl w:val="0"/>
          <w:numId w:val="0"/>
        </w:numPr>
        <w:bidi/>
        <w:spacing w:after="120"/>
        <w:jc w:val="center"/>
        <w:rPr>
          <w:b/>
          <w:bCs/>
          <w:sz w:val="18"/>
          <w:szCs w:val="18"/>
          <w:rtl/>
        </w:rPr>
      </w:pPr>
      <w:r w:rsidRPr="00A8357F">
        <w:rPr>
          <w:rFonts w:hint="cs"/>
          <w:b/>
          <w:bCs/>
          <w:sz w:val="18"/>
          <w:szCs w:val="18"/>
          <w:rtl/>
        </w:rPr>
        <w:lastRenderedPageBreak/>
        <w:t>الشكل 1 - تحليل مقارن لحالات التحقيق المغلقة في عامَي 2020 و2021</w:t>
      </w:r>
    </w:p>
    <w:p w14:paraId="7A3642EC" w14:textId="77777777" w:rsidR="00CE642C" w:rsidRPr="00A8357F" w:rsidRDefault="00245CCA" w:rsidP="00BE4767">
      <w:pPr>
        <w:pStyle w:val="ONUME"/>
        <w:numPr>
          <w:ilvl w:val="0"/>
          <w:numId w:val="0"/>
        </w:numPr>
        <w:bidi/>
        <w:jc w:val="center"/>
        <w:rPr>
          <w:b/>
          <w:bCs/>
          <w:sz w:val="18"/>
          <w:szCs w:val="18"/>
          <w:rtl/>
        </w:rPr>
      </w:pPr>
      <w:r>
        <w:rPr>
          <w:b/>
          <w:bCs/>
          <w:noProof/>
          <w:sz w:val="18"/>
          <w:szCs w:val="18"/>
          <w:lang w:eastAsia="en-US" w:bidi="ar-SA"/>
        </w:rPr>
        <w:drawing>
          <wp:inline distT="0" distB="0" distL="0" distR="0" wp14:anchorId="5B823A16" wp14:editId="76050EB9">
            <wp:extent cx="4363600" cy="3013862"/>
            <wp:effectExtent l="0" t="0" r="0" b="0"/>
            <wp:docPr id="18" name="Picture 18" descr="تحليل مقارن لحالات التحقيق المغلقة في عامَي 2020 و2021" title="الشكل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5806" cy="3022293"/>
                    </a:xfrm>
                    <a:prstGeom prst="rect">
                      <a:avLst/>
                    </a:prstGeom>
                    <a:noFill/>
                  </pic:spPr>
                </pic:pic>
              </a:graphicData>
            </a:graphic>
          </wp:inline>
        </w:drawing>
      </w:r>
    </w:p>
    <w:p w14:paraId="0C2A1D94" w14:textId="3FA70C3C" w:rsidR="00C46B12" w:rsidRPr="00A8357F" w:rsidRDefault="00C46B12" w:rsidP="00BE4767">
      <w:pPr>
        <w:pStyle w:val="ONUME"/>
        <w:bidi/>
        <w:rPr>
          <w:szCs w:val="22"/>
          <w:rtl/>
        </w:rPr>
      </w:pPr>
      <w:r w:rsidRPr="00A8357F">
        <w:rPr>
          <w:rFonts w:hint="cs"/>
          <w:szCs w:val="22"/>
          <w:rtl/>
        </w:rPr>
        <w:t>ومن ضمن 25 حالة مفتوحة في أثناء الفترة المشمولة بالتقرير، أ</w:t>
      </w:r>
      <w:r w:rsidR="009B037F">
        <w:rPr>
          <w:rFonts w:hint="cs"/>
          <w:szCs w:val="22"/>
          <w:rtl/>
        </w:rPr>
        <w:t>ُ</w:t>
      </w:r>
      <w:r w:rsidRPr="00A8357F">
        <w:rPr>
          <w:rFonts w:hint="cs"/>
          <w:szCs w:val="22"/>
          <w:rtl/>
        </w:rPr>
        <w:t>حيلت حالتان إلى اللجنة الاستشارية المستقلة للرقابة لتسدي المشورة بشأنه</w:t>
      </w:r>
      <w:r w:rsidR="009B037F">
        <w:rPr>
          <w:rFonts w:hint="cs"/>
          <w:szCs w:val="22"/>
          <w:rtl/>
        </w:rPr>
        <w:t>م</w:t>
      </w:r>
      <w:r w:rsidRPr="00A8357F">
        <w:rPr>
          <w:rFonts w:hint="cs"/>
          <w:szCs w:val="22"/>
          <w:rtl/>
        </w:rPr>
        <w:t>ا، بما يتماشى مع الأحكام الوجيهة المنصوص عليها في ميثاق الرقابة الداخلية</w:t>
      </w:r>
      <w:r w:rsidRPr="00A8357F">
        <w:rPr>
          <w:rStyle w:val="FootnoteReference"/>
          <w:szCs w:val="22"/>
          <w:rtl/>
        </w:rPr>
        <w:footnoteReference w:id="13"/>
      </w:r>
      <w:r w:rsidRPr="00A8357F">
        <w:rPr>
          <w:rFonts w:hint="cs"/>
          <w:szCs w:val="22"/>
          <w:rtl/>
        </w:rPr>
        <w:t>.</w:t>
      </w:r>
    </w:p>
    <w:p w14:paraId="46BD6D03" w14:textId="77777777" w:rsidR="00C46B12" w:rsidRPr="00A8357F" w:rsidRDefault="00C46B12" w:rsidP="00BE4767">
      <w:pPr>
        <w:pStyle w:val="Heading2"/>
        <w:bidi/>
        <w:rPr>
          <w:bCs w:val="0"/>
          <w:iCs w:val="0"/>
          <w:szCs w:val="22"/>
          <w:rtl/>
        </w:rPr>
      </w:pPr>
      <w:r w:rsidRPr="00A8357F">
        <w:rPr>
          <w:rFonts w:hint="cs"/>
          <w:bCs w:val="0"/>
          <w:iCs w:val="0"/>
          <w:szCs w:val="22"/>
          <w:rtl/>
        </w:rPr>
        <w:t>حصيلة أنشطة التحقيق</w:t>
      </w:r>
    </w:p>
    <w:p w14:paraId="6C0BF968" w14:textId="0168D801" w:rsidR="00CB362E" w:rsidRPr="00A8357F" w:rsidRDefault="00C46B12" w:rsidP="00BE4767">
      <w:pPr>
        <w:pStyle w:val="ONUME"/>
        <w:bidi/>
        <w:rPr>
          <w:szCs w:val="22"/>
          <w:rtl/>
        </w:rPr>
      </w:pPr>
      <w:r w:rsidRPr="00A8357F">
        <w:rPr>
          <w:rFonts w:hint="cs"/>
          <w:szCs w:val="22"/>
          <w:rtl/>
        </w:rPr>
        <w:t>وفقاً لميثاق الرقابة الداخلية</w:t>
      </w:r>
      <w:r w:rsidR="00F24F0D" w:rsidRPr="00A8357F">
        <w:rPr>
          <w:rStyle w:val="FootnoteReference"/>
          <w:szCs w:val="22"/>
          <w:rtl/>
        </w:rPr>
        <w:footnoteReference w:id="14"/>
      </w:r>
      <w:r w:rsidRPr="00A8357F">
        <w:rPr>
          <w:rFonts w:hint="cs"/>
          <w:szCs w:val="22"/>
          <w:rtl/>
        </w:rPr>
        <w:t>، يتضمن التقرير السنوي وصفاً لقضايا التحقيق التي تم إثباتها مع ما صدر بشأنها من أحكام.</w:t>
      </w:r>
      <w:r w:rsidR="00BE4767">
        <w:rPr>
          <w:rFonts w:hint="cs"/>
          <w:szCs w:val="22"/>
          <w:rtl/>
        </w:rPr>
        <w:t xml:space="preserve"> </w:t>
      </w:r>
      <w:r w:rsidRPr="00A8357F">
        <w:rPr>
          <w:rFonts w:hint="cs"/>
          <w:szCs w:val="22"/>
          <w:rtl/>
        </w:rPr>
        <w:t>وفي عام 2021، أجريت تسعة تحقيقات ثبتت فيها صحة الادعاءات،</w:t>
      </w:r>
      <w:r w:rsidR="00BE4767">
        <w:rPr>
          <w:rFonts w:hint="cs"/>
          <w:szCs w:val="22"/>
          <w:rtl/>
        </w:rPr>
        <w:t xml:space="preserve"> </w:t>
      </w:r>
      <w:r w:rsidRPr="00A8357F">
        <w:rPr>
          <w:rFonts w:hint="cs"/>
          <w:szCs w:val="22"/>
          <w:rtl/>
        </w:rPr>
        <w:t>وهي التحقيقات التالية تحديداً:</w:t>
      </w:r>
    </w:p>
    <w:p w14:paraId="6C271706" w14:textId="00FD009D" w:rsidR="00BE4767" w:rsidRDefault="00F93086" w:rsidP="009632CE">
      <w:pPr>
        <w:pStyle w:val="ONUME"/>
        <w:numPr>
          <w:ilvl w:val="1"/>
          <w:numId w:val="2"/>
        </w:numPr>
        <w:bidi/>
        <w:ind w:left="1134" w:hanging="567"/>
        <w:rPr>
          <w:szCs w:val="22"/>
          <w:rtl/>
        </w:rPr>
      </w:pPr>
      <w:r w:rsidRPr="00A8357F">
        <w:rPr>
          <w:rFonts w:hint="cs"/>
          <w:szCs w:val="22"/>
          <w:rtl/>
        </w:rPr>
        <w:t>أربع قضايا ثبت فيها تورط موظفين في الويبو، وأوصت شعبة الرقابة الداخلية بالنظر في اتخاذ إجراءات تأديبية ضدهم.</w:t>
      </w:r>
      <w:r w:rsidR="00BE4767">
        <w:rPr>
          <w:rFonts w:hint="cs"/>
          <w:szCs w:val="22"/>
          <w:rtl/>
        </w:rPr>
        <w:t xml:space="preserve"> </w:t>
      </w:r>
      <w:r w:rsidRPr="00A8357F">
        <w:rPr>
          <w:rFonts w:hint="cs"/>
          <w:szCs w:val="22"/>
          <w:rtl/>
        </w:rPr>
        <w:t>وقد اتُّبعت التوصيات في جميع الحالات، باستثناء حالة واحدة، حيث رأى مدير إدارة الموارد البشرية أن من الأفضل معالجة الوقائع المثبتة عن طريق وسائل أخرى مثل أنشطة تدريب وتوعية؛</w:t>
      </w:r>
    </w:p>
    <w:p w14:paraId="767587EA" w14:textId="2F049982" w:rsidR="00F93086" w:rsidRPr="00A8357F" w:rsidRDefault="00F93086" w:rsidP="000932D7">
      <w:pPr>
        <w:pStyle w:val="ONUME"/>
        <w:numPr>
          <w:ilvl w:val="1"/>
          <w:numId w:val="2"/>
        </w:numPr>
        <w:bidi/>
        <w:ind w:left="1134" w:hanging="567"/>
        <w:rPr>
          <w:szCs w:val="22"/>
          <w:rtl/>
        </w:rPr>
      </w:pPr>
      <w:r w:rsidRPr="00A8357F">
        <w:rPr>
          <w:rFonts w:hint="cs"/>
          <w:szCs w:val="22"/>
          <w:rtl/>
        </w:rPr>
        <w:t xml:space="preserve">قضية واحدة لم يخضع أحد الموظفين </w:t>
      </w:r>
      <w:r w:rsidR="000932D7">
        <w:rPr>
          <w:rFonts w:hint="cs"/>
          <w:szCs w:val="22"/>
          <w:rtl/>
        </w:rPr>
        <w:t xml:space="preserve">المتورطين فيها لإجراءات تأديبية، </w:t>
      </w:r>
      <w:r w:rsidR="000932D7" w:rsidRPr="00A8357F">
        <w:rPr>
          <w:rFonts w:hint="cs"/>
          <w:szCs w:val="22"/>
          <w:rtl/>
        </w:rPr>
        <w:t>تماشياً مع توصية شعبة الرقابة الداخلية</w:t>
      </w:r>
      <w:r w:rsidR="000932D7">
        <w:rPr>
          <w:rFonts w:hint="cs"/>
          <w:szCs w:val="22"/>
          <w:rtl/>
        </w:rPr>
        <w:t>،</w:t>
      </w:r>
      <w:r w:rsidR="000932D7" w:rsidRPr="00A8357F">
        <w:rPr>
          <w:rFonts w:hint="cs"/>
          <w:szCs w:val="22"/>
          <w:rtl/>
        </w:rPr>
        <w:t xml:space="preserve"> </w:t>
      </w:r>
      <w:r w:rsidRPr="00A8357F">
        <w:rPr>
          <w:rFonts w:hint="cs"/>
          <w:szCs w:val="22"/>
          <w:rtl/>
        </w:rPr>
        <w:t>ولكنه تلقى رسالة تحذي</w:t>
      </w:r>
      <w:r w:rsidR="000932D7">
        <w:rPr>
          <w:rFonts w:hint="cs"/>
          <w:szCs w:val="22"/>
          <w:rtl/>
        </w:rPr>
        <w:t>ر من مدير إدارة الموارد البشرية</w:t>
      </w:r>
      <w:r w:rsidRPr="00A8357F">
        <w:rPr>
          <w:rFonts w:hint="cs"/>
          <w:szCs w:val="22"/>
          <w:rtl/>
        </w:rPr>
        <w:t>؛</w:t>
      </w:r>
    </w:p>
    <w:p w14:paraId="56A1CF93" w14:textId="6660F492" w:rsidR="00F93086" w:rsidRPr="00A8357F" w:rsidRDefault="0098489C" w:rsidP="009632CE">
      <w:pPr>
        <w:pStyle w:val="ONUME"/>
        <w:numPr>
          <w:ilvl w:val="1"/>
          <w:numId w:val="2"/>
        </w:numPr>
        <w:bidi/>
        <w:ind w:left="1134" w:hanging="567"/>
        <w:rPr>
          <w:szCs w:val="22"/>
          <w:rtl/>
        </w:rPr>
      </w:pPr>
      <w:r w:rsidRPr="00A8357F">
        <w:rPr>
          <w:rFonts w:hint="cs"/>
          <w:szCs w:val="22"/>
          <w:rtl/>
        </w:rPr>
        <w:t>قضية واحدة ثبت فيها تورط موظف استقال من منصبه في الويبو قبل أن يتسنى اتخاذ إجراء ضده كما أوصت شعبة الرقابة الداخلية؛</w:t>
      </w:r>
    </w:p>
    <w:p w14:paraId="3A887C7E" w14:textId="66A0FD33" w:rsidR="00B0338B" w:rsidRPr="00A8357F" w:rsidRDefault="00B0338B" w:rsidP="009632CE">
      <w:pPr>
        <w:pStyle w:val="ONUME"/>
        <w:numPr>
          <w:ilvl w:val="1"/>
          <w:numId w:val="2"/>
        </w:numPr>
        <w:bidi/>
        <w:ind w:left="1134" w:hanging="567"/>
        <w:rPr>
          <w:szCs w:val="22"/>
          <w:rtl/>
        </w:rPr>
      </w:pPr>
      <w:r w:rsidRPr="00A8357F">
        <w:rPr>
          <w:rFonts w:hint="cs"/>
          <w:szCs w:val="22"/>
          <w:rtl/>
        </w:rPr>
        <w:t>قضية واحدة ثبت فيها تورط متعاقد خارجي وأحيلت إلى لجنة الجزاءات الخاصة بالبائعين، ولا تزال الإجراءات عالقة حتى الآن؛</w:t>
      </w:r>
    </w:p>
    <w:p w14:paraId="05E3F224" w14:textId="46BDB602" w:rsidR="00B0338B" w:rsidRPr="00A8357F" w:rsidRDefault="00B0338B" w:rsidP="009632CE">
      <w:pPr>
        <w:pStyle w:val="ONUME"/>
        <w:numPr>
          <w:ilvl w:val="1"/>
          <w:numId w:val="2"/>
        </w:numPr>
        <w:bidi/>
        <w:ind w:left="1134" w:hanging="567"/>
        <w:rPr>
          <w:szCs w:val="22"/>
          <w:rtl/>
        </w:rPr>
      </w:pPr>
      <w:r w:rsidRPr="00A8357F">
        <w:rPr>
          <w:rFonts w:hint="cs"/>
          <w:szCs w:val="22"/>
          <w:rtl/>
        </w:rPr>
        <w:t>قضية واحدة ثبت فيها تورط عامل تابع لوكالة خارجية، وانتهت بفصل الوكالة ذلك العامل؛</w:t>
      </w:r>
    </w:p>
    <w:p w14:paraId="6F984493" w14:textId="4514E4F8" w:rsidR="00B0338B" w:rsidRPr="00A8357F" w:rsidRDefault="00B0338B" w:rsidP="009632CE">
      <w:pPr>
        <w:pStyle w:val="ONUME"/>
        <w:numPr>
          <w:ilvl w:val="1"/>
          <w:numId w:val="2"/>
        </w:numPr>
        <w:bidi/>
        <w:ind w:left="1134" w:hanging="567"/>
        <w:rPr>
          <w:szCs w:val="22"/>
          <w:rtl/>
        </w:rPr>
      </w:pPr>
      <w:r w:rsidRPr="00A8357F">
        <w:rPr>
          <w:rFonts w:hint="cs"/>
          <w:szCs w:val="22"/>
          <w:rtl/>
        </w:rPr>
        <w:t>قضية غش ثبت فيها تورط طرف خارجي ويُزمع إحالتها إلى السلطات الوطنية المختصة.</w:t>
      </w:r>
    </w:p>
    <w:p w14:paraId="22AE6289" w14:textId="4381BCDA" w:rsidR="00C668ED" w:rsidRPr="00A8357F" w:rsidRDefault="00C668ED" w:rsidP="00BE4767">
      <w:pPr>
        <w:pStyle w:val="ONUME"/>
        <w:bidi/>
        <w:rPr>
          <w:szCs w:val="22"/>
          <w:rtl/>
        </w:rPr>
      </w:pPr>
      <w:r w:rsidRPr="00A8357F">
        <w:rPr>
          <w:rFonts w:hint="cs"/>
          <w:szCs w:val="22"/>
          <w:rtl/>
        </w:rPr>
        <w:t>ولم تترتب على أي من القضايا المذكورة آنفاً آثار مالية كبيرة على المنظمة.</w:t>
      </w:r>
    </w:p>
    <w:p w14:paraId="6B1582FD" w14:textId="3380BFF1" w:rsidR="00957033" w:rsidRPr="00A8357F" w:rsidRDefault="00957033" w:rsidP="00BE4767">
      <w:pPr>
        <w:pStyle w:val="Heading2"/>
        <w:bidi/>
        <w:rPr>
          <w:bCs w:val="0"/>
          <w:iCs w:val="0"/>
          <w:szCs w:val="22"/>
          <w:rtl/>
        </w:rPr>
      </w:pPr>
      <w:r w:rsidRPr="00A8357F">
        <w:rPr>
          <w:rFonts w:hint="cs"/>
          <w:bCs w:val="0"/>
          <w:iCs w:val="0"/>
          <w:szCs w:val="22"/>
          <w:rtl/>
        </w:rPr>
        <w:t>تقارير التبعات الإدارية</w:t>
      </w:r>
    </w:p>
    <w:p w14:paraId="3D2960D6" w14:textId="64643989" w:rsidR="00957033" w:rsidRPr="00A8357F" w:rsidRDefault="00957033" w:rsidP="00BE4767">
      <w:pPr>
        <w:pStyle w:val="ONUME"/>
        <w:bidi/>
        <w:rPr>
          <w:szCs w:val="22"/>
          <w:rtl/>
        </w:rPr>
      </w:pPr>
      <w:r w:rsidRPr="00A8357F">
        <w:rPr>
          <w:rFonts w:hint="cs"/>
          <w:szCs w:val="22"/>
          <w:rtl/>
        </w:rPr>
        <w:t>أصدرت شعبة الرقابة الداخلية تقريرين من تقارير التبعات الإدارية سلطا الضوء على المسائل المنهجية التي حُددت في أثناء التحقيقات وقدَّما توصيات لتحسين الضوابط الداخلية.</w:t>
      </w:r>
      <w:r w:rsidR="00BE4767">
        <w:rPr>
          <w:rFonts w:hint="cs"/>
          <w:szCs w:val="22"/>
          <w:rtl/>
        </w:rPr>
        <w:t xml:space="preserve"> </w:t>
      </w:r>
      <w:r w:rsidRPr="00A8357F">
        <w:rPr>
          <w:rFonts w:hint="cs"/>
          <w:szCs w:val="22"/>
          <w:rtl/>
        </w:rPr>
        <w:t>وتعلقت تلك التوصيات بما يلي:</w:t>
      </w:r>
    </w:p>
    <w:p w14:paraId="57EF1693" w14:textId="3B46C020" w:rsidR="00957033" w:rsidRPr="00A8357F" w:rsidRDefault="00957033" w:rsidP="009632CE">
      <w:pPr>
        <w:pStyle w:val="ONUME"/>
        <w:numPr>
          <w:ilvl w:val="1"/>
          <w:numId w:val="2"/>
        </w:numPr>
        <w:bidi/>
        <w:ind w:left="1134" w:hanging="567"/>
        <w:rPr>
          <w:szCs w:val="22"/>
          <w:rtl/>
        </w:rPr>
      </w:pPr>
      <w:r w:rsidRPr="00A8357F">
        <w:rPr>
          <w:rFonts w:hint="cs"/>
          <w:szCs w:val="22"/>
          <w:rtl/>
        </w:rPr>
        <w:lastRenderedPageBreak/>
        <w:t>إدارة البيانات الشخصية لمستخدمي موقع الويبو الإلكتروني وإجراءات الرسائل الإلكترونية الجماعية؛</w:t>
      </w:r>
    </w:p>
    <w:p w14:paraId="226C0B83" w14:textId="3643F01A" w:rsidR="00CB362E" w:rsidRPr="00A8357F" w:rsidRDefault="00957033" w:rsidP="009632CE">
      <w:pPr>
        <w:pStyle w:val="ONUME"/>
        <w:numPr>
          <w:ilvl w:val="1"/>
          <w:numId w:val="2"/>
        </w:numPr>
        <w:bidi/>
        <w:ind w:left="1134" w:hanging="567"/>
        <w:rPr>
          <w:szCs w:val="22"/>
          <w:rtl/>
        </w:rPr>
      </w:pPr>
      <w:r w:rsidRPr="00A8357F">
        <w:rPr>
          <w:rFonts w:hint="cs"/>
          <w:szCs w:val="22"/>
          <w:rtl/>
        </w:rPr>
        <w:t>المعلومات المنشورة على الموقع الإلكتروني لركن البراءات.</w:t>
      </w:r>
    </w:p>
    <w:p w14:paraId="42BBDDB6" w14:textId="6A24026F" w:rsidR="00C46B12" w:rsidRDefault="00C46B12" w:rsidP="00CB769A">
      <w:pPr>
        <w:bidi/>
        <w:jc w:val="center"/>
        <w:rPr>
          <w:b/>
          <w:bCs/>
          <w:sz w:val="18"/>
          <w:szCs w:val="18"/>
          <w:rtl/>
        </w:rPr>
      </w:pPr>
      <w:r w:rsidRPr="00A8357F">
        <w:rPr>
          <w:rFonts w:hint="cs"/>
          <w:b/>
          <w:bCs/>
          <w:sz w:val="18"/>
          <w:szCs w:val="18"/>
          <w:rtl/>
        </w:rPr>
        <w:t>الجدول 1 - تحليل الشكاوى الواردة في عامَي 2020 و2021</w:t>
      </w:r>
    </w:p>
    <w:p w14:paraId="027E49E0" w14:textId="0CE84821" w:rsidR="00CE3659" w:rsidRPr="00A8357F" w:rsidRDefault="00CE3659" w:rsidP="00CE3659">
      <w:pPr>
        <w:bidi/>
        <w:jc w:val="center"/>
        <w:rPr>
          <w:b/>
          <w:bCs/>
          <w:sz w:val="18"/>
          <w:szCs w:val="18"/>
          <w:rtl/>
        </w:rPr>
      </w:pPr>
    </w:p>
    <w:tbl>
      <w:tblPr>
        <w:tblStyle w:val="TableGridLight"/>
        <w:bidiVisual/>
        <w:tblW w:w="9544" w:type="dxa"/>
        <w:tblLook w:val="04A0" w:firstRow="1" w:lastRow="0" w:firstColumn="1" w:lastColumn="0" w:noHBand="0" w:noVBand="1"/>
        <w:tblCaption w:val="الجدول 1"/>
        <w:tblDescription w:val=" تحليل الشكاوى الواردة في عامَي 2020 و2021"/>
      </w:tblPr>
      <w:tblGrid>
        <w:gridCol w:w="7660"/>
        <w:gridCol w:w="942"/>
        <w:gridCol w:w="942"/>
      </w:tblGrid>
      <w:tr w:rsidR="00A46039" w:rsidRPr="00245CCA" w14:paraId="38976E87" w14:textId="77777777" w:rsidTr="00A46039">
        <w:trPr>
          <w:trHeight w:val="300"/>
          <w:tblHeader/>
        </w:trPr>
        <w:tc>
          <w:tcPr>
            <w:tcW w:w="7660" w:type="dxa"/>
            <w:hideMark/>
          </w:tcPr>
          <w:p w14:paraId="3D052B3B" w14:textId="77777777" w:rsidR="00A46039" w:rsidRDefault="00A46039" w:rsidP="00A46039">
            <w:pPr>
              <w:bidi/>
              <w:ind w:firstLine="567"/>
              <w:rPr>
                <w:rFonts w:ascii="Calibri" w:eastAsia="Times New Roman" w:hAnsi="Calibri"/>
                <w:b/>
                <w:bCs/>
                <w:color w:val="000000"/>
                <w:sz w:val="20"/>
                <w:rtl/>
                <w:lang w:val="en-GB" w:eastAsia="en-GB" w:bidi="ar-SA"/>
              </w:rPr>
            </w:pPr>
          </w:p>
          <w:p w14:paraId="5D2E1539" w14:textId="5E4CA28F" w:rsidR="00A46039" w:rsidRPr="00245CCA" w:rsidRDefault="00A46039" w:rsidP="00A46039">
            <w:pPr>
              <w:bidi/>
              <w:rPr>
                <w:rFonts w:ascii="Calibri" w:eastAsia="Times New Roman" w:hAnsi="Calibri"/>
                <w:b/>
                <w:bCs/>
                <w:color w:val="000000"/>
                <w:sz w:val="20"/>
                <w:lang w:val="en-GB" w:eastAsia="en-GB" w:bidi="ar-SA"/>
              </w:rPr>
            </w:pPr>
          </w:p>
        </w:tc>
        <w:tc>
          <w:tcPr>
            <w:tcW w:w="942" w:type="dxa"/>
            <w:hideMark/>
          </w:tcPr>
          <w:p w14:paraId="4BF10E16" w14:textId="06FEADEE" w:rsidR="00A46039" w:rsidRPr="00245CCA" w:rsidRDefault="00A46039" w:rsidP="00245CCA">
            <w:pPr>
              <w:bidi/>
              <w:rPr>
                <w:rFonts w:ascii="Calibri" w:eastAsia="Times New Roman" w:hAnsi="Calibri"/>
                <w:b/>
                <w:bCs/>
                <w:color w:val="000000"/>
                <w:sz w:val="20"/>
                <w:lang w:val="en-GB" w:eastAsia="en-GB" w:bidi="ar-SA"/>
              </w:rPr>
            </w:pPr>
            <w:r>
              <w:rPr>
                <w:rFonts w:ascii="Calibri" w:eastAsia="Times New Roman" w:hAnsi="Calibri" w:hint="cs"/>
                <w:b/>
                <w:bCs/>
                <w:color w:val="000000"/>
                <w:sz w:val="20"/>
                <w:rtl/>
                <w:lang w:val="en-GB" w:eastAsia="en-GB" w:bidi="ar-SA"/>
              </w:rPr>
              <w:t>2020</w:t>
            </w:r>
          </w:p>
        </w:tc>
        <w:tc>
          <w:tcPr>
            <w:tcW w:w="942" w:type="dxa"/>
            <w:hideMark/>
          </w:tcPr>
          <w:p w14:paraId="79B64EC9" w14:textId="645485B4" w:rsidR="00A46039" w:rsidRPr="00245CCA" w:rsidRDefault="00A46039" w:rsidP="00245CCA">
            <w:pPr>
              <w:bidi/>
              <w:rPr>
                <w:rFonts w:ascii="Calibri" w:eastAsia="Times New Roman" w:hAnsi="Calibri"/>
                <w:b/>
                <w:bCs/>
                <w:color w:val="000000"/>
                <w:sz w:val="20"/>
                <w:lang w:val="en-GB" w:eastAsia="en-GB" w:bidi="ar-SA"/>
              </w:rPr>
            </w:pPr>
            <w:r>
              <w:rPr>
                <w:rFonts w:ascii="Calibri" w:eastAsia="Times New Roman" w:hAnsi="Calibri" w:hint="cs"/>
                <w:b/>
                <w:bCs/>
                <w:color w:val="000000"/>
                <w:sz w:val="20"/>
                <w:rtl/>
                <w:lang w:val="en-GB" w:eastAsia="en-GB" w:bidi="ar-SA"/>
              </w:rPr>
              <w:t>2021</w:t>
            </w:r>
          </w:p>
        </w:tc>
      </w:tr>
      <w:tr w:rsidR="00A46039" w:rsidRPr="00245CCA" w14:paraId="10BDF955" w14:textId="77777777" w:rsidTr="00A46039">
        <w:trPr>
          <w:trHeight w:val="300"/>
        </w:trPr>
        <w:tc>
          <w:tcPr>
            <w:tcW w:w="7660" w:type="dxa"/>
            <w:hideMark/>
          </w:tcPr>
          <w:p w14:paraId="2477F1EF" w14:textId="77777777" w:rsidR="00A46039" w:rsidRPr="00245CCA" w:rsidRDefault="00A46039" w:rsidP="00245CCA">
            <w:pPr>
              <w:bidi/>
              <w:rPr>
                <w:rFonts w:ascii="Calibri" w:eastAsia="Times New Roman" w:hAnsi="Calibri"/>
                <w:color w:val="000000"/>
                <w:sz w:val="20"/>
                <w:lang w:val="en-GB" w:eastAsia="en-GB" w:bidi="ar-SA"/>
              </w:rPr>
            </w:pPr>
            <w:r w:rsidRPr="00245CCA">
              <w:rPr>
                <w:rFonts w:ascii="Calibri" w:eastAsia="Times New Roman" w:hAnsi="Calibri"/>
                <w:color w:val="000000"/>
                <w:sz w:val="20"/>
                <w:rtl/>
                <w:lang w:val="en-GB" w:eastAsia="en-GB" w:bidi="ar-SA"/>
              </w:rPr>
              <w:t>إساءة استخدام وقت العمل</w:t>
            </w:r>
          </w:p>
        </w:tc>
        <w:tc>
          <w:tcPr>
            <w:tcW w:w="942" w:type="dxa"/>
            <w:noWrap/>
            <w:hideMark/>
          </w:tcPr>
          <w:p w14:paraId="28891CD7"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0</w:t>
            </w:r>
          </w:p>
        </w:tc>
        <w:tc>
          <w:tcPr>
            <w:tcW w:w="942" w:type="dxa"/>
            <w:noWrap/>
            <w:hideMark/>
          </w:tcPr>
          <w:p w14:paraId="2F2434BB"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6</w:t>
            </w:r>
          </w:p>
        </w:tc>
      </w:tr>
      <w:tr w:rsidR="00A46039" w:rsidRPr="00245CCA" w14:paraId="117EDAB8" w14:textId="77777777" w:rsidTr="00A46039">
        <w:trPr>
          <w:trHeight w:val="300"/>
        </w:trPr>
        <w:tc>
          <w:tcPr>
            <w:tcW w:w="7660" w:type="dxa"/>
            <w:hideMark/>
          </w:tcPr>
          <w:p w14:paraId="6312F862"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الغش أو إساءة استخدام المناصب للحصول على مزايا أو مستحقات</w:t>
            </w:r>
          </w:p>
        </w:tc>
        <w:tc>
          <w:tcPr>
            <w:tcW w:w="942" w:type="dxa"/>
            <w:noWrap/>
            <w:hideMark/>
          </w:tcPr>
          <w:p w14:paraId="69CFC4E1"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4</w:t>
            </w:r>
          </w:p>
        </w:tc>
        <w:tc>
          <w:tcPr>
            <w:tcW w:w="942" w:type="dxa"/>
            <w:noWrap/>
            <w:hideMark/>
          </w:tcPr>
          <w:p w14:paraId="62C0E08D"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0</w:t>
            </w:r>
          </w:p>
        </w:tc>
      </w:tr>
      <w:tr w:rsidR="00A46039" w:rsidRPr="00245CCA" w14:paraId="7CC9FA9A" w14:textId="77777777" w:rsidTr="00A46039">
        <w:trPr>
          <w:trHeight w:val="300"/>
        </w:trPr>
        <w:tc>
          <w:tcPr>
            <w:tcW w:w="7660" w:type="dxa"/>
            <w:hideMark/>
          </w:tcPr>
          <w:p w14:paraId="4A99807D"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انتهاك السرية</w:t>
            </w:r>
          </w:p>
        </w:tc>
        <w:tc>
          <w:tcPr>
            <w:tcW w:w="942" w:type="dxa"/>
            <w:noWrap/>
            <w:hideMark/>
          </w:tcPr>
          <w:p w14:paraId="7DE3055C"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0</w:t>
            </w:r>
          </w:p>
        </w:tc>
        <w:tc>
          <w:tcPr>
            <w:tcW w:w="942" w:type="dxa"/>
            <w:noWrap/>
            <w:hideMark/>
          </w:tcPr>
          <w:p w14:paraId="0951A558"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r>
      <w:tr w:rsidR="00A46039" w:rsidRPr="00245CCA" w14:paraId="11D9EED0" w14:textId="77777777" w:rsidTr="00A46039">
        <w:trPr>
          <w:trHeight w:val="300"/>
        </w:trPr>
        <w:tc>
          <w:tcPr>
            <w:tcW w:w="7660" w:type="dxa"/>
            <w:hideMark/>
          </w:tcPr>
          <w:p w14:paraId="6B9FE180"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الفساد</w:t>
            </w:r>
          </w:p>
        </w:tc>
        <w:tc>
          <w:tcPr>
            <w:tcW w:w="942" w:type="dxa"/>
            <w:noWrap/>
            <w:hideMark/>
          </w:tcPr>
          <w:p w14:paraId="6F9AD991"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noWrap/>
            <w:hideMark/>
          </w:tcPr>
          <w:p w14:paraId="22998970"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0</w:t>
            </w:r>
          </w:p>
        </w:tc>
      </w:tr>
      <w:tr w:rsidR="00A46039" w:rsidRPr="00245CCA" w14:paraId="2DCFC649" w14:textId="77777777" w:rsidTr="00A46039">
        <w:trPr>
          <w:trHeight w:val="300"/>
        </w:trPr>
        <w:tc>
          <w:tcPr>
            <w:tcW w:w="7660" w:type="dxa"/>
            <w:hideMark/>
          </w:tcPr>
          <w:p w14:paraId="70AB4B72"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المضايقة (غير الجنسية) والتمييز</w:t>
            </w:r>
          </w:p>
        </w:tc>
        <w:tc>
          <w:tcPr>
            <w:tcW w:w="942" w:type="dxa"/>
            <w:noWrap/>
            <w:hideMark/>
          </w:tcPr>
          <w:p w14:paraId="767A42DB"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c>
          <w:tcPr>
            <w:tcW w:w="942" w:type="dxa"/>
            <w:noWrap/>
            <w:hideMark/>
          </w:tcPr>
          <w:p w14:paraId="4B63C1DF"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3</w:t>
            </w:r>
          </w:p>
        </w:tc>
      </w:tr>
      <w:tr w:rsidR="00A46039" w:rsidRPr="00245CCA" w14:paraId="3880A7B5" w14:textId="77777777" w:rsidTr="00A46039">
        <w:trPr>
          <w:trHeight w:val="300"/>
        </w:trPr>
        <w:tc>
          <w:tcPr>
            <w:tcW w:w="7660" w:type="dxa"/>
            <w:hideMark/>
          </w:tcPr>
          <w:p w14:paraId="16F69D89"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التمرد وغيره من السلوكيات غير اللائقة</w:t>
            </w:r>
          </w:p>
        </w:tc>
        <w:tc>
          <w:tcPr>
            <w:tcW w:w="942" w:type="dxa"/>
            <w:noWrap/>
            <w:hideMark/>
          </w:tcPr>
          <w:p w14:paraId="0E066165"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0</w:t>
            </w:r>
          </w:p>
        </w:tc>
        <w:tc>
          <w:tcPr>
            <w:tcW w:w="942" w:type="dxa"/>
            <w:noWrap/>
            <w:hideMark/>
          </w:tcPr>
          <w:p w14:paraId="25D32441"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r>
      <w:tr w:rsidR="00A46039" w:rsidRPr="00245CCA" w14:paraId="69A10766" w14:textId="77777777" w:rsidTr="00A46039">
        <w:trPr>
          <w:trHeight w:val="300"/>
        </w:trPr>
        <w:tc>
          <w:tcPr>
            <w:tcW w:w="7660" w:type="dxa"/>
            <w:hideMark/>
          </w:tcPr>
          <w:p w14:paraId="3AAEA1AC"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إساءة استخدام أموال الويبو أو أصولها</w:t>
            </w:r>
          </w:p>
        </w:tc>
        <w:tc>
          <w:tcPr>
            <w:tcW w:w="942" w:type="dxa"/>
            <w:noWrap/>
            <w:hideMark/>
          </w:tcPr>
          <w:p w14:paraId="587D11EF"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4</w:t>
            </w:r>
          </w:p>
        </w:tc>
        <w:tc>
          <w:tcPr>
            <w:tcW w:w="942" w:type="dxa"/>
            <w:noWrap/>
            <w:hideMark/>
          </w:tcPr>
          <w:p w14:paraId="5125DE7B"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r>
      <w:tr w:rsidR="00A46039" w:rsidRPr="00245CCA" w14:paraId="6D2ACC5A" w14:textId="77777777" w:rsidTr="00A46039">
        <w:trPr>
          <w:trHeight w:val="300"/>
        </w:trPr>
        <w:tc>
          <w:tcPr>
            <w:tcW w:w="7660" w:type="dxa"/>
            <w:hideMark/>
          </w:tcPr>
          <w:p w14:paraId="61A5C45F"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الإهمال في العمل وعرقلة عمليات الويبو</w:t>
            </w:r>
          </w:p>
        </w:tc>
        <w:tc>
          <w:tcPr>
            <w:tcW w:w="942" w:type="dxa"/>
            <w:noWrap/>
            <w:hideMark/>
          </w:tcPr>
          <w:p w14:paraId="2F6B5511"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noWrap/>
            <w:hideMark/>
          </w:tcPr>
          <w:p w14:paraId="43AB3DE0"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r>
      <w:tr w:rsidR="00A46039" w:rsidRPr="00245CCA" w14:paraId="29077486" w14:textId="77777777" w:rsidTr="00A46039">
        <w:trPr>
          <w:trHeight w:val="300"/>
        </w:trPr>
        <w:tc>
          <w:tcPr>
            <w:tcW w:w="7660" w:type="dxa"/>
            <w:hideMark/>
          </w:tcPr>
          <w:p w14:paraId="1DEE85F1"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حالات عدم الوفاء الأخرى بمعايير السلوك لموظفي الخدمة المدنية الدولية</w:t>
            </w:r>
          </w:p>
        </w:tc>
        <w:tc>
          <w:tcPr>
            <w:tcW w:w="942" w:type="dxa"/>
            <w:noWrap/>
            <w:hideMark/>
          </w:tcPr>
          <w:p w14:paraId="62954218"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3</w:t>
            </w:r>
          </w:p>
        </w:tc>
        <w:tc>
          <w:tcPr>
            <w:tcW w:w="942" w:type="dxa"/>
            <w:noWrap/>
            <w:hideMark/>
          </w:tcPr>
          <w:p w14:paraId="131580DE"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r>
      <w:tr w:rsidR="00A46039" w:rsidRPr="00245CCA" w14:paraId="2B4A444D" w14:textId="77777777" w:rsidTr="00A46039">
        <w:trPr>
          <w:trHeight w:val="300"/>
        </w:trPr>
        <w:tc>
          <w:tcPr>
            <w:tcW w:w="7660" w:type="dxa"/>
            <w:hideMark/>
          </w:tcPr>
          <w:p w14:paraId="1E0DF958"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المخالفات في المشتريات</w:t>
            </w:r>
          </w:p>
        </w:tc>
        <w:tc>
          <w:tcPr>
            <w:tcW w:w="942" w:type="dxa"/>
            <w:noWrap/>
            <w:hideMark/>
          </w:tcPr>
          <w:p w14:paraId="19237572"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noWrap/>
            <w:hideMark/>
          </w:tcPr>
          <w:p w14:paraId="005D4D0A"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3</w:t>
            </w:r>
          </w:p>
        </w:tc>
      </w:tr>
      <w:tr w:rsidR="00A46039" w:rsidRPr="00245CCA" w14:paraId="49C35CEF" w14:textId="77777777" w:rsidTr="00A46039">
        <w:trPr>
          <w:trHeight w:val="300"/>
        </w:trPr>
        <w:tc>
          <w:tcPr>
            <w:tcW w:w="7660" w:type="dxa"/>
            <w:hideMark/>
          </w:tcPr>
          <w:p w14:paraId="5B2B03F0"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المخالفات في التعيينات</w:t>
            </w:r>
          </w:p>
        </w:tc>
        <w:tc>
          <w:tcPr>
            <w:tcW w:w="942" w:type="dxa"/>
            <w:noWrap/>
            <w:hideMark/>
          </w:tcPr>
          <w:p w14:paraId="1C42E28F"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c>
          <w:tcPr>
            <w:tcW w:w="942" w:type="dxa"/>
            <w:noWrap/>
            <w:hideMark/>
          </w:tcPr>
          <w:p w14:paraId="4CFA4FA8"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r>
      <w:tr w:rsidR="00A46039" w:rsidRPr="00245CCA" w14:paraId="38D61FF9" w14:textId="77777777" w:rsidTr="00A46039">
        <w:trPr>
          <w:trHeight w:val="300"/>
        </w:trPr>
        <w:tc>
          <w:tcPr>
            <w:tcW w:w="7660" w:type="dxa"/>
            <w:hideMark/>
          </w:tcPr>
          <w:p w14:paraId="66D12379"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الأعمال الانتقامية</w:t>
            </w:r>
          </w:p>
        </w:tc>
        <w:tc>
          <w:tcPr>
            <w:tcW w:w="942" w:type="dxa"/>
            <w:noWrap/>
            <w:hideMark/>
          </w:tcPr>
          <w:p w14:paraId="004AD352"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noWrap/>
            <w:hideMark/>
          </w:tcPr>
          <w:p w14:paraId="519995A7"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r>
      <w:tr w:rsidR="00A46039" w:rsidRPr="00245CCA" w14:paraId="1AFD192B" w14:textId="77777777" w:rsidTr="00A46039">
        <w:trPr>
          <w:trHeight w:val="300"/>
        </w:trPr>
        <w:tc>
          <w:tcPr>
            <w:tcW w:w="7660" w:type="dxa"/>
            <w:hideMark/>
          </w:tcPr>
          <w:p w14:paraId="09956090"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التحرش الجنسي</w:t>
            </w:r>
          </w:p>
        </w:tc>
        <w:tc>
          <w:tcPr>
            <w:tcW w:w="942" w:type="dxa"/>
            <w:noWrap/>
            <w:hideMark/>
          </w:tcPr>
          <w:p w14:paraId="42A62444"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noWrap/>
            <w:hideMark/>
          </w:tcPr>
          <w:p w14:paraId="7ACA2821"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0</w:t>
            </w:r>
          </w:p>
        </w:tc>
      </w:tr>
      <w:tr w:rsidR="00A46039" w:rsidRPr="00245CCA" w14:paraId="5B5DD98A" w14:textId="77777777" w:rsidTr="00A46039">
        <w:trPr>
          <w:trHeight w:val="300"/>
        </w:trPr>
        <w:tc>
          <w:tcPr>
            <w:tcW w:w="7660" w:type="dxa"/>
            <w:hideMark/>
          </w:tcPr>
          <w:p w14:paraId="7ABB4602"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المخالفات التي يرتكبها بائع أو طرف خارجي آخر</w:t>
            </w:r>
          </w:p>
        </w:tc>
        <w:tc>
          <w:tcPr>
            <w:tcW w:w="942" w:type="dxa"/>
            <w:noWrap/>
            <w:hideMark/>
          </w:tcPr>
          <w:p w14:paraId="7D79AE30"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noWrap/>
            <w:hideMark/>
          </w:tcPr>
          <w:p w14:paraId="401C6432" w14:textId="77777777" w:rsidR="00A46039" w:rsidRPr="00245CCA" w:rsidRDefault="00A46039"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2</w:t>
            </w:r>
          </w:p>
        </w:tc>
      </w:tr>
      <w:tr w:rsidR="00A46039" w:rsidRPr="00245CCA" w14:paraId="7483F78C" w14:textId="77777777" w:rsidTr="00A46039">
        <w:trPr>
          <w:trHeight w:val="300"/>
        </w:trPr>
        <w:tc>
          <w:tcPr>
            <w:tcW w:w="7660" w:type="dxa"/>
            <w:noWrap/>
            <w:hideMark/>
          </w:tcPr>
          <w:p w14:paraId="3A6F625E" w14:textId="77777777" w:rsidR="00A46039" w:rsidRPr="00245CCA" w:rsidRDefault="00A46039" w:rsidP="00245CCA">
            <w:pPr>
              <w:bidi/>
              <w:rPr>
                <w:rFonts w:ascii="Calibri" w:eastAsia="Times New Roman" w:hAnsi="Calibri"/>
                <w:b/>
                <w:bCs/>
                <w:color w:val="000000"/>
                <w:sz w:val="20"/>
                <w:rtl/>
                <w:lang w:val="en-GB" w:eastAsia="en-GB" w:bidi="ar-SA"/>
              </w:rPr>
            </w:pPr>
            <w:r w:rsidRPr="00245CCA">
              <w:rPr>
                <w:rFonts w:ascii="Calibri" w:eastAsia="Times New Roman" w:hAnsi="Calibri"/>
                <w:b/>
                <w:bCs/>
                <w:color w:val="000000"/>
                <w:sz w:val="20"/>
                <w:rtl/>
                <w:lang w:val="en-GB" w:eastAsia="en-GB" w:bidi="ar-SA"/>
              </w:rPr>
              <w:t>المجموع</w:t>
            </w:r>
          </w:p>
        </w:tc>
        <w:tc>
          <w:tcPr>
            <w:tcW w:w="942" w:type="dxa"/>
            <w:noWrap/>
            <w:hideMark/>
          </w:tcPr>
          <w:p w14:paraId="5E1D84D1" w14:textId="77777777" w:rsidR="00A46039" w:rsidRPr="00245CCA" w:rsidRDefault="00A46039" w:rsidP="00245CCA">
            <w:pPr>
              <w:bidi/>
              <w:rPr>
                <w:rFonts w:ascii="Calibri" w:eastAsia="Times New Roman" w:hAnsi="Calibri"/>
                <w:b/>
                <w:bCs/>
                <w:color w:val="000000"/>
                <w:sz w:val="20"/>
                <w:rtl/>
                <w:lang w:val="en-GB" w:eastAsia="en-GB" w:bidi="ar-SA"/>
              </w:rPr>
            </w:pPr>
            <w:r w:rsidRPr="00245CCA">
              <w:rPr>
                <w:rFonts w:ascii="Calibri" w:eastAsia="Times New Roman" w:hAnsi="Calibri"/>
                <w:b/>
                <w:bCs/>
                <w:color w:val="000000"/>
                <w:sz w:val="20"/>
                <w:rtl/>
                <w:lang w:val="en-GB" w:eastAsia="en-GB" w:bidi="ar-SA"/>
              </w:rPr>
              <w:t>21</w:t>
            </w:r>
          </w:p>
        </w:tc>
        <w:tc>
          <w:tcPr>
            <w:tcW w:w="942" w:type="dxa"/>
            <w:noWrap/>
            <w:hideMark/>
          </w:tcPr>
          <w:p w14:paraId="2D7D2982" w14:textId="77777777" w:rsidR="00A46039" w:rsidRPr="00245CCA" w:rsidRDefault="00A46039" w:rsidP="00245CCA">
            <w:pPr>
              <w:bidi/>
              <w:rPr>
                <w:rFonts w:ascii="Calibri" w:eastAsia="Times New Roman" w:hAnsi="Calibri"/>
                <w:b/>
                <w:bCs/>
                <w:color w:val="000000"/>
                <w:sz w:val="20"/>
                <w:rtl/>
                <w:lang w:val="en-GB" w:eastAsia="en-GB" w:bidi="ar-SA"/>
              </w:rPr>
            </w:pPr>
            <w:r w:rsidRPr="00245CCA">
              <w:rPr>
                <w:rFonts w:ascii="Calibri" w:eastAsia="Times New Roman" w:hAnsi="Calibri"/>
                <w:b/>
                <w:bCs/>
                <w:color w:val="000000"/>
                <w:sz w:val="20"/>
                <w:rtl/>
                <w:lang w:val="en-GB" w:eastAsia="en-GB" w:bidi="ar-SA"/>
              </w:rPr>
              <w:t>25</w:t>
            </w:r>
          </w:p>
        </w:tc>
      </w:tr>
    </w:tbl>
    <w:p w14:paraId="4B4D0EF5" w14:textId="4015A113" w:rsidR="00B0338B" w:rsidRPr="00A8357F" w:rsidRDefault="00B0338B" w:rsidP="00BE4767">
      <w:pPr>
        <w:tabs>
          <w:tab w:val="left" w:pos="2820"/>
        </w:tabs>
        <w:bidi/>
        <w:jc w:val="center"/>
        <w:rPr>
          <w:szCs w:val="22"/>
          <w:rtl/>
        </w:rPr>
      </w:pPr>
    </w:p>
    <w:p w14:paraId="0EC8B363" w14:textId="75A1F0D5" w:rsidR="00C43CB4" w:rsidRPr="00A8357F" w:rsidRDefault="00C46B12" w:rsidP="00BE4767">
      <w:pPr>
        <w:pStyle w:val="ONUME"/>
        <w:keepNext/>
        <w:numPr>
          <w:ilvl w:val="0"/>
          <w:numId w:val="0"/>
        </w:numPr>
        <w:bidi/>
        <w:jc w:val="center"/>
        <w:rPr>
          <w:b/>
          <w:bCs/>
          <w:sz w:val="18"/>
          <w:szCs w:val="18"/>
          <w:rtl/>
        </w:rPr>
      </w:pPr>
      <w:r w:rsidRPr="00A8357F">
        <w:rPr>
          <w:rFonts w:hint="cs"/>
          <w:b/>
          <w:bCs/>
          <w:sz w:val="18"/>
          <w:szCs w:val="18"/>
          <w:rtl/>
        </w:rPr>
        <w:t>الشكل 2 - الحالات المغلقة في عامَي 2020 و2021</w:t>
      </w:r>
    </w:p>
    <w:p w14:paraId="5347EE03" w14:textId="4F6D0C4C" w:rsidR="00B0338B" w:rsidRPr="00A8357F" w:rsidRDefault="00245CCA" w:rsidP="00245CCA">
      <w:pPr>
        <w:pStyle w:val="ONUME"/>
        <w:numPr>
          <w:ilvl w:val="0"/>
          <w:numId w:val="0"/>
        </w:numPr>
        <w:bidi/>
        <w:jc w:val="center"/>
        <w:rPr>
          <w:b/>
          <w:bCs/>
          <w:sz w:val="18"/>
          <w:szCs w:val="18"/>
          <w:rtl/>
        </w:rPr>
      </w:pPr>
      <w:r>
        <w:rPr>
          <w:b/>
          <w:bCs/>
          <w:noProof/>
          <w:sz w:val="18"/>
          <w:szCs w:val="18"/>
          <w:lang w:eastAsia="en-US" w:bidi="ar-SA"/>
        </w:rPr>
        <w:drawing>
          <wp:inline distT="0" distB="0" distL="0" distR="0" wp14:anchorId="7A64EA04" wp14:editId="78E9E146">
            <wp:extent cx="4566285" cy="2743200"/>
            <wp:effectExtent l="0" t="0" r="5715" b="0"/>
            <wp:docPr id="17" name="Picture 17" descr="الحالات المغلقة في عامَي 2020 و2021" title="الشكل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inline>
        </w:drawing>
      </w:r>
    </w:p>
    <w:p w14:paraId="61C812D9" w14:textId="77777777" w:rsidR="00C46B12" w:rsidRPr="00A8357F" w:rsidRDefault="00C46B12" w:rsidP="00BE4767">
      <w:pPr>
        <w:pStyle w:val="Heading1"/>
        <w:bidi/>
        <w:rPr>
          <w:szCs w:val="22"/>
          <w:rtl/>
        </w:rPr>
      </w:pPr>
      <w:bookmarkStart w:id="40" w:name="_Toc39071250"/>
      <w:bookmarkStart w:id="41" w:name="_Toc99122808"/>
      <w:r w:rsidRPr="00A8357F">
        <w:rPr>
          <w:rFonts w:hint="cs"/>
          <w:szCs w:val="22"/>
          <w:rtl/>
        </w:rPr>
        <w:t>الحالات التي رُفض فيها تقديم معلومات أو مساعدات</w:t>
      </w:r>
      <w:bookmarkEnd w:id="40"/>
      <w:bookmarkEnd w:id="41"/>
    </w:p>
    <w:p w14:paraId="5387EF57" w14:textId="2F0177C2" w:rsidR="00C46B12" w:rsidRPr="00A8357F" w:rsidRDefault="00C46B12" w:rsidP="00BE4767">
      <w:pPr>
        <w:pStyle w:val="ONUME"/>
        <w:bidi/>
        <w:rPr>
          <w:szCs w:val="22"/>
          <w:rtl/>
        </w:rPr>
      </w:pPr>
      <w:r w:rsidRPr="00A8357F">
        <w:rPr>
          <w:rFonts w:hint="cs"/>
          <w:szCs w:val="22"/>
          <w:rtl/>
        </w:rPr>
        <w:t>وفقاً للفقرة 48(ز) من ميثاق الرقابة الداخلية، ينبغي لمدير شعبة الرقابة الداخلية أن يبل</w:t>
      </w:r>
      <w:r w:rsidR="001B4533">
        <w:rPr>
          <w:rFonts w:hint="cs"/>
          <w:szCs w:val="22"/>
          <w:rtl/>
        </w:rPr>
        <w:t>ّ</w:t>
      </w:r>
      <w:r w:rsidRPr="00A8357F">
        <w:rPr>
          <w:rFonts w:hint="cs"/>
          <w:szCs w:val="22"/>
          <w:rtl/>
        </w:rPr>
        <w:t>غ عن أي حالات قيّد فيها نفاذ الشعبة إلى سجلات أو موظفين أو مبانٍ في أثناء الفترة المشمولة بالتقرير.</w:t>
      </w:r>
    </w:p>
    <w:p w14:paraId="20F5B4A6" w14:textId="42AB821F" w:rsidR="00C84D33" w:rsidRPr="00A8357F" w:rsidRDefault="000932D7" w:rsidP="000932D7">
      <w:pPr>
        <w:pStyle w:val="ONUME"/>
        <w:bidi/>
        <w:rPr>
          <w:szCs w:val="22"/>
          <w:rtl/>
        </w:rPr>
      </w:pPr>
      <w:r>
        <w:rPr>
          <w:rFonts w:hint="cs"/>
          <w:szCs w:val="22"/>
          <w:rtl/>
        </w:rPr>
        <w:t>وأفادت</w:t>
      </w:r>
      <w:r w:rsidR="00C46B12" w:rsidRPr="00A8357F">
        <w:rPr>
          <w:rFonts w:hint="cs"/>
          <w:szCs w:val="22"/>
          <w:rtl/>
        </w:rPr>
        <w:t xml:space="preserve"> شعبة الرقابة الداخلية </w:t>
      </w:r>
      <w:r>
        <w:rPr>
          <w:rFonts w:hint="cs"/>
          <w:szCs w:val="22"/>
          <w:rtl/>
        </w:rPr>
        <w:t>أنه لم تكن هناك</w:t>
      </w:r>
      <w:r w:rsidR="00CB769A">
        <w:rPr>
          <w:rFonts w:hint="cs"/>
          <w:szCs w:val="22"/>
          <w:rtl/>
        </w:rPr>
        <w:t xml:space="preserve"> أي</w:t>
      </w:r>
      <w:r>
        <w:rPr>
          <w:rFonts w:hint="cs"/>
          <w:szCs w:val="22"/>
          <w:rtl/>
        </w:rPr>
        <w:t xml:space="preserve"> حالات على النحو المبين في الفقرة 48(ز) من ميثاق الرقابة الداخلية</w:t>
      </w:r>
      <w:r w:rsidR="00C46B12" w:rsidRPr="00A8357F">
        <w:rPr>
          <w:rFonts w:hint="cs"/>
          <w:szCs w:val="22"/>
          <w:rtl/>
        </w:rPr>
        <w:t xml:space="preserve"> </w:t>
      </w:r>
      <w:r>
        <w:rPr>
          <w:rFonts w:hint="cs"/>
          <w:szCs w:val="22"/>
          <w:rtl/>
        </w:rPr>
        <w:t>خلال</w:t>
      </w:r>
      <w:r w:rsidR="00C46B12" w:rsidRPr="00A8357F">
        <w:rPr>
          <w:rFonts w:hint="cs"/>
          <w:szCs w:val="22"/>
          <w:rtl/>
        </w:rPr>
        <w:t xml:space="preserve"> الفترة المشمولة بالتقرير.</w:t>
      </w:r>
    </w:p>
    <w:p w14:paraId="0D200831" w14:textId="77777777" w:rsidR="00C46B12" w:rsidRPr="00A8357F" w:rsidRDefault="00C46B12" w:rsidP="00BE4767">
      <w:pPr>
        <w:pStyle w:val="Heading1"/>
        <w:bidi/>
        <w:rPr>
          <w:szCs w:val="22"/>
          <w:rtl/>
        </w:rPr>
      </w:pPr>
      <w:bookmarkStart w:id="42" w:name="_Toc39071251"/>
      <w:bookmarkStart w:id="43" w:name="_Toc99122809"/>
      <w:r w:rsidRPr="00A8357F">
        <w:rPr>
          <w:rFonts w:hint="cs"/>
          <w:szCs w:val="22"/>
          <w:rtl/>
        </w:rPr>
        <w:lastRenderedPageBreak/>
        <w:t>وضع تنفيذ توصيات الرقابة</w:t>
      </w:r>
      <w:bookmarkEnd w:id="38"/>
      <w:bookmarkEnd w:id="42"/>
      <w:bookmarkEnd w:id="43"/>
    </w:p>
    <w:p w14:paraId="20E70902" w14:textId="422507C5" w:rsidR="00C46B12" w:rsidRPr="00A8357F" w:rsidRDefault="00C46B12" w:rsidP="009C0896">
      <w:pPr>
        <w:pStyle w:val="ONUME"/>
        <w:bidi/>
        <w:rPr>
          <w:szCs w:val="22"/>
          <w:rtl/>
        </w:rPr>
      </w:pPr>
      <w:r w:rsidRPr="00A8357F">
        <w:rPr>
          <w:rFonts w:hint="cs"/>
          <w:szCs w:val="22"/>
          <w:rtl/>
        </w:rPr>
        <w:t>إنّ المدير العام مسؤول عن التأكد من تنفيذ جميع التوصيات الصادرة عن مدير شعبة الرقابة الداخلية وغيرها من الهيئات الرقابية بسرعة، وبيان الإجراءات المتخذة فيما يخص نتائج وتوصيات بعينه</w:t>
      </w:r>
      <w:r w:rsidR="009C0896">
        <w:rPr>
          <w:rFonts w:hint="cs"/>
          <w:szCs w:val="22"/>
          <w:rtl/>
        </w:rPr>
        <w:t>ا</w:t>
      </w:r>
      <w:r w:rsidRPr="00A8357F">
        <w:rPr>
          <w:rStyle w:val="FootnoteReference"/>
          <w:szCs w:val="22"/>
          <w:rtl/>
        </w:rPr>
        <w:footnoteReference w:id="15"/>
      </w:r>
      <w:r w:rsidRPr="00A8357F">
        <w:rPr>
          <w:rFonts w:hint="cs"/>
          <w:szCs w:val="22"/>
          <w:rtl/>
        </w:rPr>
        <w:t>.</w:t>
      </w:r>
      <w:r w:rsidR="00BE4767">
        <w:rPr>
          <w:rFonts w:hint="cs"/>
          <w:szCs w:val="22"/>
          <w:rtl/>
        </w:rPr>
        <w:t xml:space="preserve"> </w:t>
      </w:r>
      <w:r w:rsidRPr="00A8357F">
        <w:rPr>
          <w:rFonts w:hint="cs"/>
          <w:szCs w:val="22"/>
          <w:rtl/>
        </w:rPr>
        <w:t>ويحيل المدير العام هذه المسؤولية إلى رؤساء القطاعات (مديري البرامج) المسؤولين عن مجالات تشغيلية محددة في الويبو</w:t>
      </w:r>
      <w:r w:rsidRPr="00A8357F">
        <w:rPr>
          <w:rStyle w:val="FootnoteReference"/>
          <w:szCs w:val="22"/>
          <w:rtl/>
        </w:rPr>
        <w:footnoteReference w:id="16"/>
      </w:r>
      <w:r w:rsidRPr="00A8357F">
        <w:rPr>
          <w:rFonts w:hint="cs"/>
          <w:szCs w:val="22"/>
          <w:rtl/>
        </w:rPr>
        <w:t>.</w:t>
      </w:r>
      <w:r w:rsidR="00BE4767">
        <w:rPr>
          <w:rFonts w:hint="cs"/>
          <w:szCs w:val="22"/>
          <w:rtl/>
        </w:rPr>
        <w:t xml:space="preserve"> </w:t>
      </w:r>
      <w:r w:rsidRPr="00A8357F">
        <w:rPr>
          <w:rFonts w:hint="cs"/>
          <w:szCs w:val="22"/>
          <w:rtl/>
        </w:rPr>
        <w:t>ويخضع تنفيذ جميع توصيات الرقابة لمتابعة منتظمة تجريها شعبة الرقابة الداخلية</w:t>
      </w:r>
      <w:r w:rsidRPr="00A8357F">
        <w:rPr>
          <w:rStyle w:val="FootnoteReference"/>
          <w:szCs w:val="22"/>
          <w:rtl/>
        </w:rPr>
        <w:footnoteReference w:id="17"/>
      </w:r>
      <w:r w:rsidRPr="00A8357F">
        <w:rPr>
          <w:rFonts w:hint="cs"/>
          <w:szCs w:val="22"/>
          <w:rtl/>
        </w:rPr>
        <w:t>.</w:t>
      </w:r>
    </w:p>
    <w:p w14:paraId="7851638A" w14:textId="0FE49E02" w:rsidR="00BE4767" w:rsidRDefault="00C46B12" w:rsidP="009C0896">
      <w:pPr>
        <w:pStyle w:val="ONUME"/>
        <w:bidi/>
        <w:rPr>
          <w:szCs w:val="22"/>
          <w:rtl/>
        </w:rPr>
      </w:pPr>
      <w:r w:rsidRPr="00A8357F">
        <w:rPr>
          <w:rFonts w:hint="cs"/>
          <w:szCs w:val="22"/>
          <w:rtl/>
        </w:rPr>
        <w:t xml:space="preserve">وتدير شعبة الرقابة الداخلية التوصيات وإعداد التقارير بشأنها عن طريق نظام </w:t>
      </w:r>
      <w:proofErr w:type="spellStart"/>
      <w:r w:rsidRPr="00A8357F">
        <w:rPr>
          <w:szCs w:val="22"/>
        </w:rPr>
        <w:t>TeamMate</w:t>
      </w:r>
      <w:proofErr w:type="spellEnd"/>
      <w:r w:rsidRPr="00BE4767">
        <w:rPr>
          <w:rFonts w:hint="cs"/>
          <w:szCs w:val="22"/>
        </w:rPr>
        <w:t>+</w:t>
      </w:r>
      <w:r w:rsidRPr="00A8357F">
        <w:rPr>
          <w:rFonts w:hint="cs"/>
          <w:szCs w:val="22"/>
          <w:rtl/>
        </w:rPr>
        <w:t xml:space="preserve"> الذي يتيح إقامة حوار تفاعلي مع الإدارة تحقيقاً للفعالية في متابعة تنفيذ التوصيات المفتوحة.</w:t>
      </w:r>
    </w:p>
    <w:p w14:paraId="7D81EEE9" w14:textId="3249CA74" w:rsidR="008460BA" w:rsidRPr="00A8357F" w:rsidRDefault="00C46B12" w:rsidP="009C0896">
      <w:pPr>
        <w:pStyle w:val="ONUME"/>
        <w:bidi/>
        <w:rPr>
          <w:szCs w:val="22"/>
          <w:rtl/>
        </w:rPr>
      </w:pPr>
      <w:r w:rsidRPr="00A8357F">
        <w:rPr>
          <w:rFonts w:hint="cs"/>
          <w:szCs w:val="22"/>
          <w:rtl/>
        </w:rPr>
        <w:t xml:space="preserve">وفي تاريخ إعداد هذا التقرير، كانت توجد 125 توصية مفتوحة منها 40 ذات أولوية </w:t>
      </w:r>
      <w:r w:rsidR="009C0896">
        <w:rPr>
          <w:rFonts w:hint="cs"/>
          <w:szCs w:val="22"/>
          <w:rtl/>
        </w:rPr>
        <w:t>عالية</w:t>
      </w:r>
      <w:r w:rsidR="001B4533">
        <w:rPr>
          <w:rFonts w:hint="cs"/>
          <w:szCs w:val="22"/>
          <w:rtl/>
        </w:rPr>
        <w:t xml:space="preserve"> و</w:t>
      </w:r>
      <w:r w:rsidRPr="00A8357F">
        <w:rPr>
          <w:rFonts w:hint="cs"/>
          <w:szCs w:val="22"/>
          <w:rtl/>
        </w:rPr>
        <w:t>85 ذات أولوية متوسطة.</w:t>
      </w:r>
      <w:r w:rsidR="00BE4767">
        <w:rPr>
          <w:rFonts w:hint="cs"/>
          <w:szCs w:val="22"/>
          <w:rtl/>
        </w:rPr>
        <w:t xml:space="preserve"> </w:t>
      </w:r>
      <w:r w:rsidRPr="00A8357F">
        <w:rPr>
          <w:rFonts w:hint="cs"/>
          <w:szCs w:val="22"/>
          <w:rtl/>
        </w:rPr>
        <w:t>وتشكل توصيات شعبة الرقابة الداخلية 82 في المئة من مجموع توصيات الرقابة المفتوحة.</w:t>
      </w:r>
    </w:p>
    <w:p w14:paraId="7CB74EC9" w14:textId="77777777" w:rsidR="00C46B12" w:rsidRPr="00A8357F" w:rsidRDefault="00C46B12" w:rsidP="00BE4767">
      <w:pPr>
        <w:bidi/>
        <w:jc w:val="center"/>
        <w:rPr>
          <w:b/>
          <w:bCs/>
          <w:sz w:val="18"/>
          <w:szCs w:val="18"/>
          <w:rtl/>
        </w:rPr>
      </w:pPr>
      <w:r w:rsidRPr="00A8357F">
        <w:rPr>
          <w:rFonts w:hint="cs"/>
          <w:b/>
          <w:bCs/>
          <w:sz w:val="18"/>
          <w:szCs w:val="18"/>
          <w:rtl/>
        </w:rPr>
        <w:t>الشكل 3 - توصيات الرقابة المفتوحة بحسب المصدر والأولوية (125)</w:t>
      </w:r>
    </w:p>
    <w:p w14:paraId="1F5675D3" w14:textId="77777777" w:rsidR="000C5D71" w:rsidRPr="00A8357F" w:rsidRDefault="000C5D71" w:rsidP="00BE4767">
      <w:pPr>
        <w:bidi/>
        <w:jc w:val="center"/>
        <w:rPr>
          <w:b/>
          <w:bCs/>
          <w:sz w:val="18"/>
          <w:szCs w:val="18"/>
        </w:rPr>
      </w:pPr>
    </w:p>
    <w:p w14:paraId="52F2DC6B" w14:textId="1DA39CF5" w:rsidR="000C5D71" w:rsidRPr="00A8357F" w:rsidRDefault="00245CCA" w:rsidP="00BE4767">
      <w:pPr>
        <w:bidi/>
        <w:jc w:val="center"/>
        <w:rPr>
          <w:b/>
          <w:bCs/>
          <w:sz w:val="18"/>
          <w:szCs w:val="18"/>
          <w:rtl/>
        </w:rPr>
      </w:pPr>
      <w:r>
        <w:rPr>
          <w:b/>
          <w:bCs/>
          <w:noProof/>
          <w:sz w:val="18"/>
          <w:szCs w:val="18"/>
          <w:lang w:eastAsia="en-US" w:bidi="ar-SA"/>
        </w:rPr>
        <w:drawing>
          <wp:inline distT="0" distB="0" distL="0" distR="0" wp14:anchorId="08644D90" wp14:editId="76FB8CEF">
            <wp:extent cx="3667554" cy="2610562"/>
            <wp:effectExtent l="0" t="0" r="9525" b="0"/>
            <wp:docPr id="19" name="Picture 19" descr="توصيات الرقابة المفتوحة بحسب المصدر والأولوية (125)" title="الشكل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1984" cy="2613715"/>
                    </a:xfrm>
                    <a:prstGeom prst="rect">
                      <a:avLst/>
                    </a:prstGeom>
                    <a:noFill/>
                  </pic:spPr>
                </pic:pic>
              </a:graphicData>
            </a:graphic>
          </wp:inline>
        </w:drawing>
      </w:r>
    </w:p>
    <w:p w14:paraId="49FEDAA0" w14:textId="77777777" w:rsidR="00690ABA" w:rsidRPr="00A8357F" w:rsidRDefault="00690ABA" w:rsidP="00BE4767">
      <w:pPr>
        <w:bidi/>
        <w:jc w:val="center"/>
        <w:rPr>
          <w:szCs w:val="22"/>
        </w:rPr>
      </w:pPr>
    </w:p>
    <w:p w14:paraId="6EEE3FFA" w14:textId="6106EC05" w:rsidR="00BE4767" w:rsidRDefault="001952B7" w:rsidP="00BE4767">
      <w:pPr>
        <w:pStyle w:val="ONUME"/>
        <w:bidi/>
        <w:rPr>
          <w:szCs w:val="22"/>
          <w:rtl/>
        </w:rPr>
      </w:pPr>
      <w:r w:rsidRPr="00A8357F">
        <w:rPr>
          <w:rFonts w:hint="cs"/>
          <w:szCs w:val="22"/>
          <w:rtl/>
        </w:rPr>
        <w:t>وفي الفترة من يناير إلى ديسمبر 2021، أُضيفت 38 توصية جديدة لشعبة الرقابة الداخلية من أربعة تقارير للتدقيق وأربعة تقارير للتقييم وتقريرين من تقارير التبعات الإدارية.</w:t>
      </w:r>
      <w:r w:rsidR="00BE4767">
        <w:rPr>
          <w:rFonts w:hint="cs"/>
          <w:szCs w:val="22"/>
          <w:rtl/>
        </w:rPr>
        <w:t xml:space="preserve"> </w:t>
      </w:r>
      <w:r w:rsidRPr="00A8357F">
        <w:rPr>
          <w:rFonts w:hint="cs"/>
          <w:szCs w:val="22"/>
          <w:rtl/>
        </w:rPr>
        <w:t>وكانت إحدى توصيات اللجنة المستقلة للرقابة</w:t>
      </w:r>
      <w:r w:rsidR="0039651E" w:rsidRPr="00A8357F">
        <w:rPr>
          <w:rStyle w:val="FootnoteReference"/>
          <w:szCs w:val="22"/>
          <w:rtl/>
        </w:rPr>
        <w:footnoteReference w:id="18"/>
      </w:r>
      <w:r w:rsidRPr="00A8357F">
        <w:rPr>
          <w:rFonts w:hint="cs"/>
          <w:szCs w:val="22"/>
          <w:rtl/>
        </w:rPr>
        <w:t xml:space="preserve"> المقدَّمة إلى مكتب الأخلاقيات عالقة في نهاية الفترة المشمولة بالتقرير.</w:t>
      </w:r>
      <w:r w:rsidR="00BE4767">
        <w:rPr>
          <w:rFonts w:hint="cs"/>
          <w:szCs w:val="22"/>
          <w:rtl/>
        </w:rPr>
        <w:t xml:space="preserve"> </w:t>
      </w:r>
      <w:r w:rsidRPr="00A8357F">
        <w:rPr>
          <w:rFonts w:hint="cs"/>
          <w:szCs w:val="22"/>
          <w:rtl/>
        </w:rPr>
        <w:t>وسيعالج رئيس مكتب الأخلاقيات هذه التوصية.</w:t>
      </w:r>
    </w:p>
    <w:p w14:paraId="751312CA" w14:textId="0214C2FB" w:rsidR="00BE4767" w:rsidRDefault="000C5D71" w:rsidP="00CB769A">
      <w:pPr>
        <w:pStyle w:val="ONUME"/>
        <w:bidi/>
        <w:rPr>
          <w:szCs w:val="22"/>
          <w:rtl/>
        </w:rPr>
      </w:pPr>
      <w:r w:rsidRPr="00A8357F">
        <w:rPr>
          <w:rFonts w:hint="cs"/>
          <w:szCs w:val="22"/>
          <w:rtl/>
        </w:rPr>
        <w:t xml:space="preserve">وأُضيفت إحدى عشرة توصية من تقرير </w:t>
      </w:r>
      <w:r w:rsidR="00CB769A">
        <w:rPr>
          <w:rFonts w:hint="cs"/>
          <w:szCs w:val="22"/>
          <w:rtl/>
        </w:rPr>
        <w:t xml:space="preserve">المدقق الخارجي </w:t>
      </w:r>
      <w:r w:rsidRPr="00A8357F">
        <w:rPr>
          <w:rFonts w:hint="cs"/>
          <w:szCs w:val="22"/>
          <w:rtl/>
        </w:rPr>
        <w:t>إلى نظام إدارة التوصيات في عام 2021.</w:t>
      </w:r>
      <w:r w:rsidR="00BE4767">
        <w:rPr>
          <w:rFonts w:hint="cs"/>
          <w:szCs w:val="22"/>
          <w:rtl/>
        </w:rPr>
        <w:t xml:space="preserve"> </w:t>
      </w:r>
      <w:r w:rsidRPr="00A8357F">
        <w:rPr>
          <w:rFonts w:hint="cs"/>
          <w:szCs w:val="22"/>
          <w:rtl/>
        </w:rPr>
        <w:t>وأُغلقت تسع توصيات للتدقيق الخارجي و18 توصية من توصيات شعبة الرقابة الداخلية في أثناء الفترة المشمولة بالتقرير.</w:t>
      </w:r>
      <w:r w:rsidR="00BE4767">
        <w:rPr>
          <w:rFonts w:hint="cs"/>
          <w:szCs w:val="22"/>
          <w:rtl/>
        </w:rPr>
        <w:t xml:space="preserve"> </w:t>
      </w:r>
      <w:r w:rsidRPr="00A8357F">
        <w:rPr>
          <w:rFonts w:hint="cs"/>
          <w:szCs w:val="22"/>
          <w:rtl/>
        </w:rPr>
        <w:t>ويوضح الجدول التالي تطور التوصيات بحسب المصدر فيما بين يناير وديسمبر 2021.</w:t>
      </w:r>
    </w:p>
    <w:p w14:paraId="6E2C0EF4" w14:textId="45194258" w:rsidR="00C46B12" w:rsidRPr="00A8357F" w:rsidRDefault="00C46B12" w:rsidP="00BE4767">
      <w:pPr>
        <w:pStyle w:val="ONUME"/>
        <w:keepNext/>
        <w:numPr>
          <w:ilvl w:val="0"/>
          <w:numId w:val="0"/>
        </w:numPr>
        <w:bidi/>
        <w:jc w:val="center"/>
        <w:rPr>
          <w:b/>
          <w:bCs/>
          <w:sz w:val="18"/>
          <w:szCs w:val="18"/>
          <w:rtl/>
        </w:rPr>
      </w:pPr>
      <w:r w:rsidRPr="00A8357F">
        <w:rPr>
          <w:rFonts w:hint="cs"/>
          <w:b/>
          <w:bCs/>
          <w:sz w:val="18"/>
          <w:szCs w:val="18"/>
          <w:rtl/>
        </w:rPr>
        <w:t>الجدول 2 - تطور التوصيات من 1 يناير 2021 إلى 31 ديسمبر 2021</w:t>
      </w:r>
    </w:p>
    <w:tbl>
      <w:tblPr>
        <w:tblStyle w:val="GridTable4-Accent1"/>
        <w:bidiVisual/>
        <w:tblW w:w="9440" w:type="dxa"/>
        <w:tblLook w:val="04A0" w:firstRow="1" w:lastRow="0" w:firstColumn="1" w:lastColumn="0" w:noHBand="0" w:noVBand="1"/>
        <w:tblCaption w:val="الجدول 2"/>
        <w:tblDescription w:val="تطور التوصيات من 1 يناير 2021 إلى 31 ديسمبر 2021"/>
      </w:tblPr>
      <w:tblGrid>
        <w:gridCol w:w="3522"/>
        <w:gridCol w:w="1592"/>
        <w:gridCol w:w="1517"/>
        <w:gridCol w:w="1461"/>
        <w:gridCol w:w="1348"/>
      </w:tblGrid>
      <w:tr w:rsidR="007E72F5" w:rsidRPr="00A8357F" w14:paraId="49F1F4FB"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46899F" w14:textId="77777777" w:rsidR="00F620D5" w:rsidRPr="00A8357F" w:rsidRDefault="00F620D5" w:rsidP="00BE4767">
            <w:pPr>
              <w:bidi/>
              <w:rPr>
                <w:rFonts w:eastAsia="Times New Roman"/>
                <w:b w:val="0"/>
                <w:bCs w:val="0"/>
                <w:color w:val="000000"/>
                <w:sz w:val="20"/>
                <w:rtl/>
              </w:rPr>
            </w:pPr>
            <w:r w:rsidRPr="00A8357F">
              <w:rPr>
                <w:rFonts w:hint="cs"/>
                <w:color w:val="000000"/>
                <w:sz w:val="20"/>
                <w:rtl/>
              </w:rPr>
              <w:t>المصدر</w:t>
            </w:r>
          </w:p>
        </w:tc>
        <w:tc>
          <w:tcPr>
            <w:tcW w:w="1592" w:type="dxa"/>
            <w:hideMark/>
          </w:tcPr>
          <w:p w14:paraId="4C1A70A7" w14:textId="77777777" w:rsidR="00F620D5" w:rsidRPr="00A8357F" w:rsidRDefault="00F620D5" w:rsidP="00BE4767">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مفتوحة في 1 يناير 2021</w:t>
            </w:r>
          </w:p>
        </w:tc>
        <w:tc>
          <w:tcPr>
            <w:tcW w:w="1517" w:type="dxa"/>
            <w:hideMark/>
          </w:tcPr>
          <w:p w14:paraId="2D6092FB" w14:textId="77777777" w:rsidR="00F620D5" w:rsidRPr="00A8357F" w:rsidRDefault="00F620D5" w:rsidP="00BE4767">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مضافة في أثناء الفترة المشمولة بالتقرير</w:t>
            </w:r>
          </w:p>
        </w:tc>
        <w:tc>
          <w:tcPr>
            <w:tcW w:w="1461" w:type="dxa"/>
            <w:hideMark/>
          </w:tcPr>
          <w:p w14:paraId="6CF378A1" w14:textId="77777777" w:rsidR="00F620D5" w:rsidRPr="00A8357F" w:rsidRDefault="00F620D5" w:rsidP="00BE4767">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مغلقة في أثناء الفترة المشمولة بالتقرير</w:t>
            </w:r>
          </w:p>
        </w:tc>
        <w:tc>
          <w:tcPr>
            <w:tcW w:w="1348" w:type="dxa"/>
            <w:hideMark/>
          </w:tcPr>
          <w:p w14:paraId="5367A356" w14:textId="77777777" w:rsidR="00F620D5" w:rsidRPr="00A8357F" w:rsidRDefault="00F620D5" w:rsidP="00BE4767">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مفتوحة في 31 ديسمبر 2021</w:t>
            </w:r>
          </w:p>
        </w:tc>
      </w:tr>
      <w:tr w:rsidR="00F620D5" w:rsidRPr="00A8357F" w14:paraId="4AA6F02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25019BF" w14:textId="77777777" w:rsidR="00F620D5" w:rsidRPr="00A8357F" w:rsidRDefault="00F620D5" w:rsidP="00BE4767">
            <w:pPr>
              <w:bidi/>
              <w:rPr>
                <w:rFonts w:eastAsia="Times New Roman"/>
                <w:b w:val="0"/>
                <w:bCs w:val="0"/>
                <w:color w:val="000000"/>
                <w:sz w:val="20"/>
                <w:rtl/>
              </w:rPr>
            </w:pPr>
            <w:r w:rsidRPr="00A8357F">
              <w:rPr>
                <w:rFonts w:hint="cs"/>
                <w:color w:val="000000"/>
                <w:sz w:val="20"/>
                <w:rtl/>
              </w:rPr>
              <w:t>شعبة الرقابة الداخلية</w:t>
            </w:r>
          </w:p>
        </w:tc>
        <w:tc>
          <w:tcPr>
            <w:tcW w:w="1592" w:type="dxa"/>
            <w:noWrap/>
            <w:hideMark/>
          </w:tcPr>
          <w:p w14:paraId="35F8A90D" w14:textId="77777777" w:rsidR="00F620D5" w:rsidRPr="00A8357F" w:rsidRDefault="00637E53"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82</w:t>
            </w:r>
          </w:p>
        </w:tc>
        <w:tc>
          <w:tcPr>
            <w:tcW w:w="1517" w:type="dxa"/>
            <w:noWrap/>
            <w:hideMark/>
          </w:tcPr>
          <w:p w14:paraId="1F7A2A72" w14:textId="77777777" w:rsidR="00F620D5" w:rsidRPr="00A8357F" w:rsidRDefault="00637E53"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38</w:t>
            </w:r>
          </w:p>
        </w:tc>
        <w:tc>
          <w:tcPr>
            <w:tcW w:w="1461" w:type="dxa"/>
            <w:noWrap/>
            <w:hideMark/>
          </w:tcPr>
          <w:p w14:paraId="2CBB1F46" w14:textId="77777777" w:rsidR="00F620D5" w:rsidRPr="00A8357F" w:rsidRDefault="00637E53"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18</w:t>
            </w:r>
          </w:p>
        </w:tc>
        <w:tc>
          <w:tcPr>
            <w:tcW w:w="1348" w:type="dxa"/>
            <w:noWrap/>
            <w:hideMark/>
          </w:tcPr>
          <w:p w14:paraId="21AB7B53" w14:textId="77777777" w:rsidR="00F620D5" w:rsidRPr="00A8357F" w:rsidRDefault="00637E53"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102</w:t>
            </w:r>
          </w:p>
        </w:tc>
      </w:tr>
      <w:tr w:rsidR="00F620D5" w:rsidRPr="00A8357F" w14:paraId="480F14FA"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157C936" w14:textId="77777777" w:rsidR="00F620D5" w:rsidRPr="00A8357F" w:rsidRDefault="00F620D5" w:rsidP="00BE4767">
            <w:pPr>
              <w:bidi/>
              <w:rPr>
                <w:rFonts w:eastAsia="Times New Roman"/>
                <w:b w:val="0"/>
                <w:bCs w:val="0"/>
                <w:color w:val="000000"/>
                <w:sz w:val="20"/>
                <w:rtl/>
              </w:rPr>
            </w:pPr>
            <w:r w:rsidRPr="00A8357F">
              <w:rPr>
                <w:rFonts w:hint="cs"/>
                <w:color w:val="000000"/>
                <w:sz w:val="20"/>
                <w:rtl/>
              </w:rPr>
              <w:t>المدقق الخارجي</w:t>
            </w:r>
          </w:p>
        </w:tc>
        <w:tc>
          <w:tcPr>
            <w:tcW w:w="1592" w:type="dxa"/>
            <w:noWrap/>
            <w:hideMark/>
          </w:tcPr>
          <w:p w14:paraId="1FCEC335" w14:textId="77777777" w:rsidR="00F620D5" w:rsidRPr="00A8357F" w:rsidRDefault="00637E53"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tl/>
              </w:rPr>
            </w:pPr>
            <w:r w:rsidRPr="00A8357F">
              <w:rPr>
                <w:rFonts w:hint="cs"/>
                <w:color w:val="000000"/>
                <w:sz w:val="20"/>
                <w:rtl/>
              </w:rPr>
              <w:t>20</w:t>
            </w:r>
          </w:p>
        </w:tc>
        <w:tc>
          <w:tcPr>
            <w:tcW w:w="1517" w:type="dxa"/>
            <w:noWrap/>
            <w:hideMark/>
          </w:tcPr>
          <w:p w14:paraId="5A2390A2" w14:textId="77777777" w:rsidR="00F620D5" w:rsidRPr="00A8357F" w:rsidRDefault="00637E53"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tl/>
              </w:rPr>
            </w:pPr>
            <w:r w:rsidRPr="00A8357F">
              <w:rPr>
                <w:rFonts w:hint="cs"/>
                <w:color w:val="000000"/>
                <w:sz w:val="20"/>
                <w:rtl/>
              </w:rPr>
              <w:t>11</w:t>
            </w:r>
          </w:p>
        </w:tc>
        <w:tc>
          <w:tcPr>
            <w:tcW w:w="1461" w:type="dxa"/>
            <w:noWrap/>
            <w:hideMark/>
          </w:tcPr>
          <w:p w14:paraId="21708E07" w14:textId="77777777" w:rsidR="00F620D5" w:rsidRPr="00A8357F" w:rsidRDefault="005C514B"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tl/>
              </w:rPr>
            </w:pPr>
            <w:r w:rsidRPr="00A8357F">
              <w:rPr>
                <w:rFonts w:hint="cs"/>
                <w:color w:val="000000"/>
                <w:sz w:val="20"/>
                <w:rtl/>
              </w:rPr>
              <w:t>9</w:t>
            </w:r>
          </w:p>
        </w:tc>
        <w:tc>
          <w:tcPr>
            <w:tcW w:w="1348" w:type="dxa"/>
            <w:noWrap/>
            <w:hideMark/>
          </w:tcPr>
          <w:p w14:paraId="76056560" w14:textId="77777777" w:rsidR="00F620D5" w:rsidRPr="00A8357F" w:rsidRDefault="00637E53"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tl/>
              </w:rPr>
            </w:pPr>
            <w:r w:rsidRPr="00A8357F">
              <w:rPr>
                <w:rFonts w:hint="cs"/>
                <w:color w:val="000000"/>
                <w:sz w:val="20"/>
                <w:rtl/>
              </w:rPr>
              <w:t>22</w:t>
            </w:r>
          </w:p>
        </w:tc>
      </w:tr>
      <w:tr w:rsidR="00F620D5" w:rsidRPr="00A8357F" w14:paraId="615F82F5"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5A49377" w14:textId="77777777" w:rsidR="00F620D5" w:rsidRPr="00A8357F" w:rsidRDefault="00F620D5" w:rsidP="00BE4767">
            <w:pPr>
              <w:bidi/>
              <w:rPr>
                <w:rFonts w:eastAsia="Times New Roman"/>
                <w:b w:val="0"/>
                <w:bCs w:val="0"/>
                <w:color w:val="000000"/>
                <w:sz w:val="20"/>
                <w:rtl/>
              </w:rPr>
            </w:pPr>
            <w:r w:rsidRPr="00A8357F">
              <w:rPr>
                <w:rFonts w:hint="cs"/>
                <w:color w:val="000000"/>
                <w:sz w:val="20"/>
                <w:rtl/>
              </w:rPr>
              <w:t>اللجنة الاستشارية المستقلة للرقابة</w:t>
            </w:r>
          </w:p>
        </w:tc>
        <w:tc>
          <w:tcPr>
            <w:tcW w:w="1592" w:type="dxa"/>
            <w:noWrap/>
            <w:hideMark/>
          </w:tcPr>
          <w:p w14:paraId="15B9EB23" w14:textId="77777777" w:rsidR="00F620D5" w:rsidRPr="00A8357F" w:rsidRDefault="005C514B"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1</w:t>
            </w:r>
          </w:p>
        </w:tc>
        <w:tc>
          <w:tcPr>
            <w:tcW w:w="1517" w:type="dxa"/>
            <w:noWrap/>
            <w:hideMark/>
          </w:tcPr>
          <w:p w14:paraId="187E6C51" w14:textId="77777777" w:rsidR="00F620D5" w:rsidRPr="00A8357F" w:rsidRDefault="00F620D5"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0</w:t>
            </w:r>
          </w:p>
        </w:tc>
        <w:tc>
          <w:tcPr>
            <w:tcW w:w="1461" w:type="dxa"/>
            <w:noWrap/>
            <w:hideMark/>
          </w:tcPr>
          <w:p w14:paraId="450E27A8" w14:textId="77777777" w:rsidR="00F620D5" w:rsidRPr="00A8357F" w:rsidRDefault="00ED0F4C"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0</w:t>
            </w:r>
          </w:p>
        </w:tc>
        <w:tc>
          <w:tcPr>
            <w:tcW w:w="1348" w:type="dxa"/>
            <w:noWrap/>
            <w:hideMark/>
          </w:tcPr>
          <w:p w14:paraId="4B1435C4" w14:textId="77777777" w:rsidR="00F620D5" w:rsidRPr="00A8357F" w:rsidRDefault="00F620D5" w:rsidP="00BE4767">
            <w:pPr>
              <w:bidi/>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tl/>
              </w:rPr>
            </w:pPr>
            <w:r w:rsidRPr="00A8357F">
              <w:rPr>
                <w:rFonts w:hint="cs"/>
                <w:color w:val="000000"/>
                <w:sz w:val="20"/>
                <w:rtl/>
              </w:rPr>
              <w:t>1</w:t>
            </w:r>
          </w:p>
        </w:tc>
      </w:tr>
      <w:tr w:rsidR="00F620D5" w:rsidRPr="00A8357F" w14:paraId="23B0F585"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82FDA48" w14:textId="77777777" w:rsidR="00F620D5" w:rsidRPr="00A8357F" w:rsidRDefault="00F620D5" w:rsidP="00BE4767">
            <w:pPr>
              <w:bidi/>
              <w:rPr>
                <w:rFonts w:eastAsia="Times New Roman"/>
                <w:b w:val="0"/>
                <w:bCs w:val="0"/>
                <w:color w:val="000000"/>
                <w:sz w:val="20"/>
                <w:rtl/>
              </w:rPr>
            </w:pPr>
            <w:r w:rsidRPr="00A8357F">
              <w:rPr>
                <w:rFonts w:hint="cs"/>
                <w:color w:val="000000"/>
                <w:sz w:val="20"/>
                <w:rtl/>
              </w:rPr>
              <w:t>المجموع</w:t>
            </w:r>
          </w:p>
        </w:tc>
        <w:tc>
          <w:tcPr>
            <w:tcW w:w="1592" w:type="dxa"/>
            <w:noWrap/>
            <w:hideMark/>
          </w:tcPr>
          <w:p w14:paraId="4ED5B780" w14:textId="77777777" w:rsidR="00F620D5" w:rsidRPr="00A8357F" w:rsidRDefault="00637E53"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tl/>
              </w:rPr>
            </w:pPr>
            <w:r w:rsidRPr="00A8357F">
              <w:rPr>
                <w:rFonts w:hint="cs"/>
                <w:b/>
                <w:bCs/>
                <w:color w:val="000000"/>
                <w:sz w:val="20"/>
                <w:rtl/>
              </w:rPr>
              <w:t>103</w:t>
            </w:r>
          </w:p>
        </w:tc>
        <w:tc>
          <w:tcPr>
            <w:tcW w:w="1517" w:type="dxa"/>
            <w:noWrap/>
            <w:hideMark/>
          </w:tcPr>
          <w:p w14:paraId="77ED7DF1" w14:textId="77777777" w:rsidR="00F620D5" w:rsidRPr="00A8357F" w:rsidRDefault="00637E53"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tl/>
              </w:rPr>
            </w:pPr>
            <w:r w:rsidRPr="00A8357F">
              <w:rPr>
                <w:rFonts w:hint="cs"/>
                <w:b/>
                <w:bCs/>
                <w:color w:val="000000"/>
                <w:sz w:val="20"/>
                <w:rtl/>
              </w:rPr>
              <w:t>49</w:t>
            </w:r>
          </w:p>
        </w:tc>
        <w:tc>
          <w:tcPr>
            <w:tcW w:w="1461" w:type="dxa"/>
            <w:noWrap/>
            <w:hideMark/>
          </w:tcPr>
          <w:p w14:paraId="6D057B96" w14:textId="77777777" w:rsidR="00F620D5" w:rsidRPr="00A8357F" w:rsidRDefault="00637E53" w:rsidP="00BE4767">
            <w:pPr>
              <w:bidi/>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tl/>
              </w:rPr>
            </w:pPr>
            <w:r w:rsidRPr="00A8357F">
              <w:rPr>
                <w:rFonts w:hint="cs"/>
                <w:b/>
                <w:bCs/>
                <w:color w:val="000000"/>
                <w:sz w:val="20"/>
                <w:rtl/>
              </w:rPr>
              <w:t>27</w:t>
            </w:r>
          </w:p>
        </w:tc>
        <w:tc>
          <w:tcPr>
            <w:tcW w:w="1348" w:type="dxa"/>
            <w:noWrap/>
            <w:hideMark/>
          </w:tcPr>
          <w:p w14:paraId="06631F35" w14:textId="3F182628" w:rsidR="00F620D5" w:rsidRPr="00A8357F" w:rsidRDefault="00ED0F4C" w:rsidP="009C0896">
            <w:pPr>
              <w:bidi/>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tl/>
              </w:rPr>
            </w:pPr>
            <w:r w:rsidRPr="00A8357F">
              <w:rPr>
                <w:rFonts w:hint="cs"/>
                <w:b/>
                <w:bCs/>
                <w:color w:val="000000"/>
                <w:sz w:val="20"/>
                <w:rtl/>
              </w:rPr>
              <w:t>1</w:t>
            </w:r>
            <w:r w:rsidR="009C0896">
              <w:rPr>
                <w:rFonts w:hint="cs"/>
                <w:b/>
                <w:bCs/>
                <w:color w:val="000000"/>
                <w:sz w:val="20"/>
                <w:rtl/>
              </w:rPr>
              <w:t>25</w:t>
            </w:r>
          </w:p>
        </w:tc>
      </w:tr>
    </w:tbl>
    <w:p w14:paraId="56C7AACF" w14:textId="77777777" w:rsidR="008460BA" w:rsidRPr="00A8357F" w:rsidRDefault="008460BA" w:rsidP="00BE4767">
      <w:pPr>
        <w:bidi/>
        <w:rPr>
          <w:szCs w:val="22"/>
        </w:rPr>
      </w:pPr>
    </w:p>
    <w:p w14:paraId="44F0A995" w14:textId="2C1897E5" w:rsidR="00C46B12" w:rsidRPr="00A8357F" w:rsidRDefault="00C46B12" w:rsidP="00BE4767">
      <w:pPr>
        <w:pStyle w:val="ONUME"/>
        <w:bidi/>
        <w:rPr>
          <w:szCs w:val="22"/>
          <w:rtl/>
        </w:rPr>
      </w:pPr>
      <w:r w:rsidRPr="00A8357F">
        <w:rPr>
          <w:rFonts w:hint="cs"/>
          <w:szCs w:val="22"/>
          <w:rtl/>
        </w:rPr>
        <w:lastRenderedPageBreak/>
        <w:t>ويلخص الشكل التالي تطور توصيات الرقابة المفتوحة حتى 31 ديسمبر 2021.</w:t>
      </w:r>
    </w:p>
    <w:p w14:paraId="5FA67F8F" w14:textId="77777777" w:rsidR="00C46B12" w:rsidRPr="00A8357F" w:rsidRDefault="00C46B12" w:rsidP="00BE4767">
      <w:pPr>
        <w:pStyle w:val="ONUME"/>
        <w:keepNext/>
        <w:numPr>
          <w:ilvl w:val="0"/>
          <w:numId w:val="0"/>
        </w:numPr>
        <w:bidi/>
        <w:spacing w:after="0"/>
        <w:jc w:val="center"/>
        <w:rPr>
          <w:b/>
          <w:bCs/>
          <w:sz w:val="18"/>
          <w:szCs w:val="18"/>
          <w:rtl/>
        </w:rPr>
      </w:pPr>
      <w:r w:rsidRPr="00A8357F">
        <w:rPr>
          <w:rFonts w:hint="cs"/>
          <w:b/>
          <w:bCs/>
          <w:sz w:val="18"/>
          <w:szCs w:val="18"/>
          <w:rtl/>
        </w:rPr>
        <w:t>الشكل 4 - تقادم توصيات الرقابة المفتوحة بحسب الأولوية (125)</w:t>
      </w:r>
    </w:p>
    <w:p w14:paraId="11788744" w14:textId="77777777" w:rsidR="00637E53" w:rsidRPr="00A8357F" w:rsidRDefault="00637E53" w:rsidP="00BE4767">
      <w:pPr>
        <w:pStyle w:val="ONUME"/>
        <w:keepNext/>
        <w:numPr>
          <w:ilvl w:val="0"/>
          <w:numId w:val="0"/>
        </w:numPr>
        <w:bidi/>
        <w:spacing w:after="0"/>
        <w:jc w:val="center"/>
        <w:rPr>
          <w:b/>
          <w:bCs/>
          <w:sz w:val="18"/>
          <w:szCs w:val="18"/>
        </w:rPr>
      </w:pPr>
    </w:p>
    <w:p w14:paraId="57E9E7E9" w14:textId="2589FA1E" w:rsidR="00C46B12" w:rsidRPr="00A8357F" w:rsidRDefault="00B6500B" w:rsidP="00B6500B">
      <w:pPr>
        <w:pStyle w:val="ONUME"/>
        <w:numPr>
          <w:ilvl w:val="0"/>
          <w:numId w:val="0"/>
        </w:numPr>
        <w:bidi/>
        <w:spacing w:after="0"/>
        <w:jc w:val="center"/>
        <w:rPr>
          <w:b/>
          <w:bCs/>
          <w:sz w:val="18"/>
          <w:szCs w:val="18"/>
          <w:rtl/>
        </w:rPr>
      </w:pPr>
      <w:r>
        <w:rPr>
          <w:b/>
          <w:bCs/>
          <w:noProof/>
          <w:sz w:val="18"/>
          <w:szCs w:val="18"/>
          <w:lang w:eastAsia="en-US" w:bidi="ar-SA"/>
        </w:rPr>
        <w:drawing>
          <wp:inline distT="0" distB="0" distL="0" distR="0" wp14:anchorId="124D68DD" wp14:editId="10B79229">
            <wp:extent cx="4294778" cy="2929610"/>
            <wp:effectExtent l="0" t="0" r="0" b="4445"/>
            <wp:docPr id="20" name="Picture 20" descr="تقادم توصيات الرقابة المفتوحة بحسب الأولوية (125)" title="الشكل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6973" cy="2931107"/>
                    </a:xfrm>
                    <a:prstGeom prst="rect">
                      <a:avLst/>
                    </a:prstGeom>
                    <a:noFill/>
                  </pic:spPr>
                </pic:pic>
              </a:graphicData>
            </a:graphic>
          </wp:inline>
        </w:drawing>
      </w:r>
    </w:p>
    <w:p w14:paraId="4372B5ED" w14:textId="77777777" w:rsidR="00AE3A27" w:rsidRPr="00A8357F" w:rsidRDefault="00AE3A27" w:rsidP="00B6500B">
      <w:pPr>
        <w:pStyle w:val="ONUME"/>
        <w:numPr>
          <w:ilvl w:val="0"/>
          <w:numId w:val="0"/>
        </w:numPr>
        <w:bidi/>
        <w:spacing w:after="0"/>
        <w:jc w:val="center"/>
        <w:rPr>
          <w:b/>
          <w:bCs/>
          <w:sz w:val="18"/>
          <w:szCs w:val="18"/>
        </w:rPr>
      </w:pPr>
    </w:p>
    <w:p w14:paraId="550617AF" w14:textId="5CEB6B7A" w:rsidR="00BE4767" w:rsidRDefault="00B6500B" w:rsidP="00BE4767">
      <w:pPr>
        <w:pStyle w:val="ONUME"/>
        <w:bidi/>
        <w:rPr>
          <w:szCs w:val="22"/>
          <w:rtl/>
        </w:rPr>
      </w:pPr>
      <w:r>
        <w:rPr>
          <w:rFonts w:hint="cs"/>
          <w:szCs w:val="22"/>
          <w:rtl/>
        </w:rPr>
        <w:t>و</w:t>
      </w:r>
      <w:r w:rsidR="00620FF9" w:rsidRPr="00A8357F">
        <w:rPr>
          <w:rFonts w:hint="cs"/>
          <w:szCs w:val="22"/>
          <w:rtl/>
        </w:rPr>
        <w:t>انخفض عدد التوصيات العالقة التي قُدِّمت فيما بين عامَي 2013 و2016 من 12 إلى ست في أثناء الفترة المشمولة بالتقرير.</w:t>
      </w:r>
      <w:r w:rsidR="00BE4767">
        <w:rPr>
          <w:rFonts w:hint="cs"/>
          <w:szCs w:val="22"/>
          <w:rtl/>
        </w:rPr>
        <w:t xml:space="preserve"> </w:t>
      </w:r>
      <w:r w:rsidR="00620FF9" w:rsidRPr="00A8357F">
        <w:rPr>
          <w:rFonts w:hint="cs"/>
          <w:szCs w:val="22"/>
          <w:rtl/>
        </w:rPr>
        <w:t>وفضلاً عن ذلك، لا توجد في تاريخ إعداد التقرير أي توصية مفتوحة قُدِّمت قبل عام 2015.</w:t>
      </w:r>
      <w:r w:rsidR="00BE4767">
        <w:rPr>
          <w:rFonts w:hint="cs"/>
          <w:szCs w:val="22"/>
          <w:rtl/>
        </w:rPr>
        <w:t xml:space="preserve"> </w:t>
      </w:r>
      <w:r w:rsidR="00620FF9" w:rsidRPr="00A8357F">
        <w:rPr>
          <w:rFonts w:hint="cs"/>
          <w:szCs w:val="22"/>
          <w:rtl/>
        </w:rPr>
        <w:t>وتواصل شعبة الرقابة الداخلية العمل مع الإدارة للتقليل أكثر من التوصيات القديمة.</w:t>
      </w:r>
    </w:p>
    <w:p w14:paraId="2EFAA925" w14:textId="77777777" w:rsidR="00BE4767" w:rsidRDefault="00C84D33" w:rsidP="00BE4767">
      <w:pPr>
        <w:pStyle w:val="ONUME"/>
        <w:bidi/>
        <w:rPr>
          <w:szCs w:val="22"/>
          <w:rtl/>
        </w:rPr>
      </w:pPr>
      <w:r w:rsidRPr="00A8357F">
        <w:rPr>
          <w:rFonts w:hint="cs"/>
          <w:szCs w:val="22"/>
          <w:rtl/>
        </w:rPr>
        <w:t>ويظهر الشكل التالي عدد التوصيات المفتوحة بحسب برامج الويبو</w:t>
      </w:r>
      <w:r w:rsidRPr="00A8357F">
        <w:rPr>
          <w:szCs w:val="22"/>
          <w:vertAlign w:val="superscript"/>
          <w:rtl/>
        </w:rPr>
        <w:footnoteReference w:id="19"/>
      </w:r>
      <w:r w:rsidRPr="00A8357F">
        <w:rPr>
          <w:rFonts w:hint="cs"/>
          <w:szCs w:val="22"/>
          <w:rtl/>
        </w:rPr>
        <w:t xml:space="preserve"> والأولوية حتى 31 ديسمبر 2021.</w:t>
      </w:r>
    </w:p>
    <w:p w14:paraId="3515B54B" w14:textId="75ECEC14" w:rsidR="00BE4767" w:rsidRDefault="00C46B12" w:rsidP="00BE4767">
      <w:pPr>
        <w:pStyle w:val="ONUME"/>
        <w:keepNext/>
        <w:numPr>
          <w:ilvl w:val="0"/>
          <w:numId w:val="0"/>
        </w:numPr>
        <w:bidi/>
        <w:spacing w:after="0"/>
        <w:jc w:val="center"/>
        <w:rPr>
          <w:b/>
          <w:bCs/>
          <w:sz w:val="18"/>
          <w:szCs w:val="18"/>
          <w:rtl/>
        </w:rPr>
      </w:pPr>
      <w:r w:rsidRPr="00A8357F">
        <w:rPr>
          <w:rFonts w:hint="cs"/>
          <w:b/>
          <w:bCs/>
          <w:sz w:val="18"/>
          <w:szCs w:val="18"/>
          <w:rtl/>
        </w:rPr>
        <w:t>الشكل 5 - التوصيات بحسب البرنامج والأولوية (125)</w:t>
      </w:r>
    </w:p>
    <w:p w14:paraId="1D29A8E3" w14:textId="77777777" w:rsidR="009632CE" w:rsidRDefault="009632CE" w:rsidP="009632CE">
      <w:pPr>
        <w:pStyle w:val="ONUME"/>
        <w:keepNext/>
        <w:numPr>
          <w:ilvl w:val="0"/>
          <w:numId w:val="0"/>
        </w:numPr>
        <w:bidi/>
        <w:spacing w:after="0"/>
        <w:jc w:val="center"/>
        <w:rPr>
          <w:bCs/>
          <w:szCs w:val="18"/>
          <w:rtl/>
        </w:rPr>
      </w:pPr>
    </w:p>
    <w:p w14:paraId="44FF78A3" w14:textId="1EA648AB" w:rsidR="00097EB8" w:rsidRPr="00A8357F" w:rsidRDefault="00B6500B" w:rsidP="00BE4767">
      <w:pPr>
        <w:pStyle w:val="ONUME"/>
        <w:keepLines/>
        <w:numPr>
          <w:ilvl w:val="0"/>
          <w:numId w:val="0"/>
        </w:numPr>
        <w:bidi/>
        <w:spacing w:after="360"/>
        <w:jc w:val="center"/>
        <w:rPr>
          <w:szCs w:val="22"/>
          <w:rtl/>
        </w:rPr>
      </w:pPr>
      <w:r>
        <w:rPr>
          <w:noProof/>
          <w:szCs w:val="22"/>
          <w:lang w:eastAsia="en-US" w:bidi="ar-SA"/>
        </w:rPr>
        <w:drawing>
          <wp:inline distT="0" distB="0" distL="0" distR="0" wp14:anchorId="4F0C4A2E" wp14:editId="39B88494">
            <wp:extent cx="4818462" cy="2633980"/>
            <wp:effectExtent l="0" t="0" r="1270" b="0"/>
            <wp:docPr id="21" name="Picture 21" descr="التوصيات بحسب البرنامج والأولوية (125)" title="الشكل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8462" cy="2633980"/>
                    </a:xfrm>
                    <a:prstGeom prst="rect">
                      <a:avLst/>
                    </a:prstGeom>
                    <a:noFill/>
                  </pic:spPr>
                </pic:pic>
              </a:graphicData>
            </a:graphic>
          </wp:inline>
        </w:drawing>
      </w:r>
    </w:p>
    <w:p w14:paraId="17C3EDF8" w14:textId="5C20EE63" w:rsidR="00C46B12" w:rsidRPr="00A8357F" w:rsidRDefault="00B6500B" w:rsidP="00BE4767">
      <w:pPr>
        <w:pStyle w:val="ONUME"/>
        <w:bidi/>
        <w:rPr>
          <w:szCs w:val="22"/>
          <w:rtl/>
        </w:rPr>
      </w:pPr>
      <w:r>
        <w:rPr>
          <w:rFonts w:hint="cs"/>
          <w:szCs w:val="22"/>
          <w:rtl/>
        </w:rPr>
        <w:lastRenderedPageBreak/>
        <w:t>و</w:t>
      </w:r>
      <w:r w:rsidR="00A70901" w:rsidRPr="00A8357F">
        <w:rPr>
          <w:rFonts w:hint="cs"/>
          <w:szCs w:val="22"/>
          <w:rtl/>
        </w:rPr>
        <w:t xml:space="preserve">يستأثر البرنامج 23 "إدارة الموارد البشرية وتطويرها" والبرنامج 22 "إدارة البرنامج والموارد" </w:t>
      </w:r>
      <w:r w:rsidR="004D2232">
        <w:rPr>
          <w:rFonts w:hint="cs"/>
          <w:szCs w:val="22"/>
          <w:rtl/>
        </w:rPr>
        <w:t xml:space="preserve">معاً </w:t>
      </w:r>
      <w:r w:rsidR="00A70901" w:rsidRPr="00A8357F">
        <w:rPr>
          <w:rFonts w:hint="cs"/>
          <w:szCs w:val="22"/>
          <w:rtl/>
        </w:rPr>
        <w:t>بنسبة 52.5 في المئة من مجموع التوصيات المرتفعة</w:t>
      </w:r>
      <w:r w:rsidR="004D2232">
        <w:rPr>
          <w:rFonts w:hint="cs"/>
          <w:szCs w:val="22"/>
          <w:rtl/>
        </w:rPr>
        <w:t xml:space="preserve"> الأولوية البالغ عددها 40 توصية، في تاريخ صدور التقرير.</w:t>
      </w:r>
    </w:p>
    <w:p w14:paraId="528CF405" w14:textId="77777777" w:rsidR="00C46B12" w:rsidRPr="00A8357F" w:rsidRDefault="00C46B12" w:rsidP="00BE4767">
      <w:pPr>
        <w:pStyle w:val="Heading1"/>
        <w:bidi/>
        <w:rPr>
          <w:szCs w:val="22"/>
          <w:rtl/>
        </w:rPr>
      </w:pPr>
      <w:bookmarkStart w:id="44" w:name="_Toc39071252"/>
      <w:bookmarkStart w:id="45" w:name="_Toc99122810"/>
      <w:r w:rsidRPr="00A8357F">
        <w:rPr>
          <w:rFonts w:hint="cs"/>
          <w:szCs w:val="22"/>
          <w:rtl/>
        </w:rPr>
        <w:t>العمل الاستشاري والرقابي الاستشاري</w:t>
      </w:r>
      <w:bookmarkEnd w:id="44"/>
      <w:bookmarkEnd w:id="45"/>
    </w:p>
    <w:p w14:paraId="047A551D" w14:textId="77777777" w:rsidR="00C84D33" w:rsidRPr="00A8357F" w:rsidRDefault="00C84D33" w:rsidP="00BE4767">
      <w:pPr>
        <w:pStyle w:val="ONUME"/>
        <w:bidi/>
        <w:rPr>
          <w:szCs w:val="22"/>
          <w:rtl/>
        </w:rPr>
      </w:pPr>
      <w:r w:rsidRPr="00A8357F">
        <w:rPr>
          <w:rFonts w:hint="cs"/>
          <w:szCs w:val="22"/>
          <w:rtl/>
        </w:rPr>
        <w:t>واصلت شعبة الرقابة الداخلية، في إطار خدماتها الاستشارية، إسداء المشورة المهنية على النحو المطلوب بشأن وثائق السياسات وعمليات التقييم والأعمال التجارية والإطار التنظيمي.</w:t>
      </w:r>
    </w:p>
    <w:p w14:paraId="45511C64" w14:textId="77777777" w:rsidR="00BE4767" w:rsidRDefault="00AE3A27" w:rsidP="00BE4767">
      <w:pPr>
        <w:pStyle w:val="ONUME"/>
        <w:bidi/>
        <w:rPr>
          <w:szCs w:val="22"/>
          <w:rtl/>
        </w:rPr>
      </w:pPr>
      <w:r w:rsidRPr="00A8357F">
        <w:rPr>
          <w:rFonts w:hint="cs"/>
          <w:szCs w:val="22"/>
          <w:rtl/>
        </w:rPr>
        <w:t>ونصح قسما التدقيق الداخلي والتحقيق الفريق العامل المنشأ باستعراض إطار الويبو التنظيمي للإصدارات الإدارية وتحديثه بغية تبسيط الإطار ومواءمته، من بين أمور أخرى، مع ثقافة الاتصال المتطورة للمنظمة.</w:t>
      </w:r>
    </w:p>
    <w:p w14:paraId="2681BF59" w14:textId="2995161C" w:rsidR="00E55C84" w:rsidRPr="00A8357F" w:rsidRDefault="00CF4270" w:rsidP="00BE4767">
      <w:pPr>
        <w:pStyle w:val="ONUME"/>
        <w:bidi/>
        <w:rPr>
          <w:szCs w:val="22"/>
          <w:rtl/>
        </w:rPr>
      </w:pPr>
      <w:r w:rsidRPr="00A8357F">
        <w:rPr>
          <w:rFonts w:hint="cs"/>
          <w:szCs w:val="22"/>
          <w:rtl/>
        </w:rPr>
        <w:t xml:space="preserve">وقدَّم قسم التقييم خدمة استشارية في مرحلة تصميم التقييم الخارجي لبرنامج </w:t>
      </w:r>
      <w:r w:rsidRPr="00A8357F">
        <w:rPr>
          <w:szCs w:val="22"/>
        </w:rPr>
        <w:t>WIPO </w:t>
      </w:r>
      <w:proofErr w:type="spellStart"/>
      <w:proofErr w:type="gramStart"/>
      <w:r w:rsidRPr="00A8357F">
        <w:rPr>
          <w:szCs w:val="22"/>
        </w:rPr>
        <w:t>Re:Search</w:t>
      </w:r>
      <w:proofErr w:type="spellEnd"/>
      <w:r w:rsidRPr="00A8357F">
        <w:rPr>
          <w:rFonts w:hint="cs"/>
          <w:szCs w:val="22"/>
          <w:rtl/>
        </w:rPr>
        <w:t>‏</w:t>
      </w:r>
      <w:proofErr w:type="gramEnd"/>
      <w:r w:rsidRPr="00A8357F">
        <w:rPr>
          <w:rFonts w:hint="cs"/>
          <w:szCs w:val="22"/>
          <w:rtl/>
        </w:rPr>
        <w:t>.</w:t>
      </w:r>
      <w:r w:rsidR="00BE4767">
        <w:rPr>
          <w:rFonts w:hint="cs"/>
          <w:szCs w:val="22"/>
          <w:rtl/>
        </w:rPr>
        <w:t xml:space="preserve"> </w:t>
      </w:r>
      <w:r w:rsidRPr="00A8357F">
        <w:rPr>
          <w:rFonts w:hint="cs"/>
          <w:szCs w:val="22"/>
          <w:rtl/>
        </w:rPr>
        <w:t xml:space="preserve">وتمثلت هذه الخدمة الاستشارية في تقديم ضمان للجودة التقنية لاختصاصات التقييم الخارجي الذي أجراه برنامج </w:t>
      </w:r>
      <w:r w:rsidRPr="00A8357F">
        <w:rPr>
          <w:szCs w:val="22"/>
        </w:rPr>
        <w:t>WIPO </w:t>
      </w:r>
      <w:proofErr w:type="spellStart"/>
      <w:proofErr w:type="gramStart"/>
      <w:r w:rsidRPr="00A8357F">
        <w:rPr>
          <w:szCs w:val="22"/>
        </w:rPr>
        <w:t>Re:Search</w:t>
      </w:r>
      <w:proofErr w:type="spellEnd"/>
      <w:r w:rsidRPr="00A8357F">
        <w:rPr>
          <w:rFonts w:hint="cs"/>
          <w:szCs w:val="22"/>
          <w:rtl/>
        </w:rPr>
        <w:t>‏</w:t>
      </w:r>
      <w:proofErr w:type="gramEnd"/>
      <w:r w:rsidRPr="00A8357F">
        <w:rPr>
          <w:rFonts w:hint="cs"/>
          <w:szCs w:val="22"/>
          <w:rtl/>
        </w:rPr>
        <w:t>.</w:t>
      </w:r>
    </w:p>
    <w:p w14:paraId="5A968F59" w14:textId="08A0211C" w:rsidR="00CF4270" w:rsidRPr="00A8357F" w:rsidRDefault="00CF4270" w:rsidP="00BE4767">
      <w:pPr>
        <w:pStyle w:val="ONUME"/>
        <w:bidi/>
        <w:rPr>
          <w:szCs w:val="22"/>
          <w:rtl/>
        </w:rPr>
      </w:pPr>
      <w:r w:rsidRPr="00A8357F">
        <w:rPr>
          <w:rFonts w:hint="cs"/>
          <w:szCs w:val="22"/>
          <w:rtl/>
        </w:rPr>
        <w:t>وأنجز التقييم مهمتين استشاريتين في عام 2021.</w:t>
      </w:r>
      <w:r w:rsidR="00BE4767">
        <w:rPr>
          <w:rFonts w:hint="cs"/>
          <w:szCs w:val="22"/>
          <w:rtl/>
        </w:rPr>
        <w:t xml:space="preserve"> </w:t>
      </w:r>
      <w:r w:rsidRPr="00A8357F">
        <w:rPr>
          <w:rFonts w:hint="cs"/>
          <w:szCs w:val="22"/>
          <w:rtl/>
        </w:rPr>
        <w:t>أما المهمة الأولى فكانت تقديم المشورة بشأن العملية والجودة والنواتج الخاصة بأداة تقنية تغطي أنشطة قطاع التنمية فيما يتعلق بتحديد المؤشرات الأساسية والتقييم الذاتي للاستراتيجيات الوطنية للملكية الفكرية.</w:t>
      </w:r>
      <w:r w:rsidR="00BE4767">
        <w:rPr>
          <w:rFonts w:hint="cs"/>
          <w:szCs w:val="22"/>
          <w:rtl/>
        </w:rPr>
        <w:t xml:space="preserve"> </w:t>
      </w:r>
      <w:r w:rsidRPr="00A8357F">
        <w:rPr>
          <w:rFonts w:hint="cs"/>
          <w:szCs w:val="22"/>
          <w:rtl/>
        </w:rPr>
        <w:t>وأما المهمة الثانية فهدفت إلى تبسيط ومراجعة عناصر التقييم الذاتي الحالية لشعبة بلدان أمريكا اللاتينية من أجل تعزيز فعاليتها وزيادة استخدامها في صنع القرار والإبلاغ عن النتائج.</w:t>
      </w:r>
    </w:p>
    <w:p w14:paraId="45DC597C" w14:textId="77777777" w:rsidR="00BE4767" w:rsidRDefault="00C46B12" w:rsidP="00BE4767">
      <w:pPr>
        <w:pStyle w:val="Heading1"/>
        <w:bidi/>
        <w:rPr>
          <w:szCs w:val="22"/>
          <w:rtl/>
        </w:rPr>
      </w:pPr>
      <w:bookmarkStart w:id="46" w:name="_Toc39071253"/>
      <w:bookmarkStart w:id="47" w:name="_Toc99122811"/>
      <w:r w:rsidRPr="00A8357F">
        <w:rPr>
          <w:rFonts w:hint="cs"/>
          <w:szCs w:val="22"/>
          <w:rtl/>
        </w:rPr>
        <w:t>التعاون مع هيئات الرقابة الخارجية</w:t>
      </w:r>
      <w:bookmarkEnd w:id="46"/>
      <w:bookmarkEnd w:id="47"/>
    </w:p>
    <w:p w14:paraId="52827DFF" w14:textId="53BAF1D5" w:rsidR="00C46B12" w:rsidRPr="00A8357F" w:rsidRDefault="00C46B12" w:rsidP="00BE4767">
      <w:pPr>
        <w:pStyle w:val="Heading2"/>
        <w:bidi/>
        <w:rPr>
          <w:bCs w:val="0"/>
          <w:iCs w:val="0"/>
          <w:szCs w:val="22"/>
          <w:rtl/>
        </w:rPr>
      </w:pPr>
      <w:r w:rsidRPr="00A8357F">
        <w:rPr>
          <w:rFonts w:hint="cs"/>
          <w:bCs w:val="0"/>
          <w:iCs w:val="0"/>
          <w:szCs w:val="22"/>
          <w:rtl/>
        </w:rPr>
        <w:t>اللجنة الاستشارية المستقلة للرقابة</w:t>
      </w:r>
    </w:p>
    <w:p w14:paraId="7328811E" w14:textId="0EDF51AC" w:rsidR="00B129CD" w:rsidRPr="00A8357F" w:rsidRDefault="00C46B12" w:rsidP="00BE4767">
      <w:pPr>
        <w:pStyle w:val="ONUME"/>
        <w:bidi/>
        <w:rPr>
          <w:szCs w:val="22"/>
          <w:rtl/>
        </w:rPr>
      </w:pPr>
      <w:r w:rsidRPr="00A8357F">
        <w:rPr>
          <w:rFonts w:hint="cs"/>
          <w:szCs w:val="22"/>
          <w:rtl/>
        </w:rPr>
        <w:t>شاركت شعبة الرقابة الداخلية بانتظام في دورات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w:t>
      </w:r>
      <w:r w:rsidR="00BE4767">
        <w:rPr>
          <w:rFonts w:hint="cs"/>
          <w:szCs w:val="22"/>
          <w:rtl/>
        </w:rPr>
        <w:t xml:space="preserve"> </w:t>
      </w:r>
      <w:r w:rsidRPr="00A8357F">
        <w:rPr>
          <w:rFonts w:hint="cs"/>
          <w:szCs w:val="22"/>
          <w:rtl/>
        </w:rPr>
        <w:t>وشهدت الفترة المشمولة بهذا التقرير عقد أربع دورات (من الستين إلى الثالثة والستين) للجنة الاستشارية المستقلة للرقابة.</w:t>
      </w:r>
    </w:p>
    <w:p w14:paraId="73EE41CC" w14:textId="77777777" w:rsidR="00C46B12" w:rsidRPr="00A8357F" w:rsidRDefault="00C46B12" w:rsidP="00BE4767">
      <w:pPr>
        <w:pStyle w:val="Heading2"/>
        <w:bidi/>
        <w:rPr>
          <w:bCs w:val="0"/>
          <w:iCs w:val="0"/>
          <w:szCs w:val="22"/>
          <w:rtl/>
        </w:rPr>
      </w:pPr>
      <w:r w:rsidRPr="00A8357F">
        <w:rPr>
          <w:rFonts w:hint="cs"/>
          <w:bCs w:val="0"/>
          <w:iCs w:val="0"/>
          <w:szCs w:val="22"/>
          <w:rtl/>
        </w:rPr>
        <w:t>المدقق الخارجي</w:t>
      </w:r>
    </w:p>
    <w:p w14:paraId="4F5FCDD0" w14:textId="75CB2D3B" w:rsidR="00BE4767" w:rsidRDefault="00C46B12" w:rsidP="00BE4767">
      <w:pPr>
        <w:pStyle w:val="ONUME"/>
        <w:bidi/>
        <w:rPr>
          <w:szCs w:val="22"/>
          <w:rtl/>
        </w:rPr>
      </w:pPr>
      <w:r w:rsidRPr="00A8357F">
        <w:rPr>
          <w:rFonts w:hint="cs"/>
          <w:szCs w:val="22"/>
          <w:rtl/>
        </w:rPr>
        <w:t>حافظت شعبة الرقابة الداخلية على علاقة عمل ممتازة مع المدقق الخارجي عن طريق عقد اجتماعات منتظمة عن قضايا التدقيق والضوابط الداخلية وإدارة المخاطر.</w:t>
      </w:r>
      <w:r w:rsidR="00BE4767">
        <w:rPr>
          <w:rFonts w:hint="cs"/>
          <w:szCs w:val="22"/>
          <w:rtl/>
        </w:rPr>
        <w:t xml:space="preserve"> </w:t>
      </w:r>
      <w:r w:rsidRPr="00A8357F">
        <w:rPr>
          <w:rFonts w:hint="cs"/>
          <w:szCs w:val="22"/>
          <w:rtl/>
        </w:rPr>
        <w:t>وتبادل المدقق الخارجي وشعبة الرقابة الداخلية الاستراتيجيات والخطط السنوية والتقارير الفردية بغية ضمان فعالية التغطية الرقابية وتفادي أي ازدواجية محتملة أو عبء رقابي مفرط.</w:t>
      </w:r>
      <w:r w:rsidR="00BE4767">
        <w:rPr>
          <w:rFonts w:hint="cs"/>
          <w:szCs w:val="22"/>
          <w:rtl/>
        </w:rPr>
        <w:t xml:space="preserve"> </w:t>
      </w:r>
      <w:r w:rsidRPr="00A8357F">
        <w:rPr>
          <w:rFonts w:hint="cs"/>
          <w:szCs w:val="22"/>
          <w:rtl/>
        </w:rPr>
        <w:t>وشاركت شعبة الرقابة الداخلية بنشاط مع المدققين الخارجيين في التخطيط والتنفيذ اللاحق للالتزامات في عام 2021، فضلاً عن تقديم النواتج إلى المدققين الخارجيين بحسب الاقتضاء.</w:t>
      </w:r>
    </w:p>
    <w:p w14:paraId="5CD4DFBD" w14:textId="182144F9" w:rsidR="00C46B12" w:rsidRPr="00A8357F" w:rsidRDefault="00C46B12" w:rsidP="00BE4767">
      <w:pPr>
        <w:pStyle w:val="Heading2"/>
        <w:bidi/>
        <w:rPr>
          <w:bCs w:val="0"/>
          <w:iCs w:val="0"/>
          <w:szCs w:val="22"/>
          <w:rtl/>
        </w:rPr>
      </w:pPr>
      <w:r w:rsidRPr="00A8357F">
        <w:rPr>
          <w:rFonts w:hint="cs"/>
          <w:bCs w:val="0"/>
          <w:iCs w:val="0"/>
          <w:szCs w:val="22"/>
          <w:rtl/>
        </w:rPr>
        <w:t>التعاون مع أمين المظالم ومكتب الأخلاقيات</w:t>
      </w:r>
    </w:p>
    <w:p w14:paraId="6D9840CE" w14:textId="77777777" w:rsidR="00C46B12" w:rsidRPr="00A8357F" w:rsidRDefault="00C46B12" w:rsidP="00BE4767">
      <w:pPr>
        <w:pStyle w:val="ONUME"/>
        <w:bidi/>
        <w:rPr>
          <w:szCs w:val="22"/>
          <w:rtl/>
        </w:rPr>
      </w:pPr>
      <w:r w:rsidRPr="00A8357F">
        <w:rPr>
          <w:rFonts w:hint="cs"/>
          <w:szCs w:val="22"/>
          <w:rtl/>
        </w:rPr>
        <w:t>في أثناء الفترة المشمولة بالتقرير، اجتمع مدير شعبة الرقابة الداخلية بانتظام مع أمين المظالم ورئيس مكتب الأخلاقيات لضمان التنسيق الجيد وتكامل الدعم.</w:t>
      </w:r>
    </w:p>
    <w:p w14:paraId="04FB154D" w14:textId="77777777" w:rsidR="00C46B12" w:rsidRPr="00A8357F" w:rsidRDefault="00C46B12" w:rsidP="00BE4767">
      <w:pPr>
        <w:pStyle w:val="Heading1"/>
        <w:bidi/>
        <w:rPr>
          <w:szCs w:val="22"/>
          <w:rtl/>
        </w:rPr>
      </w:pPr>
      <w:bookmarkStart w:id="48" w:name="_Toc39071254"/>
      <w:bookmarkStart w:id="49" w:name="_Toc99122812"/>
      <w:r w:rsidRPr="00A8357F">
        <w:rPr>
          <w:rFonts w:hint="cs"/>
          <w:szCs w:val="22"/>
          <w:rtl/>
        </w:rPr>
        <w:t>أنشطة الرقابة الأخرى</w:t>
      </w:r>
      <w:bookmarkEnd w:id="48"/>
      <w:bookmarkEnd w:id="49"/>
    </w:p>
    <w:p w14:paraId="74399135" w14:textId="52678EE0" w:rsidR="00BE4767" w:rsidRDefault="00935002" w:rsidP="004D2232">
      <w:pPr>
        <w:pStyle w:val="Heading2"/>
        <w:bidi/>
        <w:rPr>
          <w:bCs w:val="0"/>
          <w:iCs w:val="0"/>
          <w:szCs w:val="22"/>
          <w:rtl/>
        </w:rPr>
      </w:pPr>
      <w:r w:rsidRPr="00A8357F">
        <w:rPr>
          <w:rFonts w:hint="cs"/>
          <w:bCs w:val="0"/>
          <w:iCs w:val="0"/>
          <w:szCs w:val="22"/>
          <w:rtl/>
        </w:rPr>
        <w:t xml:space="preserve">الانتقال إلى نظام </w:t>
      </w:r>
      <w:r w:rsidRPr="00A8357F">
        <w:rPr>
          <w:bCs w:val="0"/>
          <w:iCs w:val="0"/>
          <w:szCs w:val="22"/>
        </w:rPr>
        <w:t>TeamMate</w:t>
      </w:r>
      <w:r w:rsidRPr="00BE4767">
        <w:rPr>
          <w:rFonts w:hint="cs"/>
          <w:bCs w:val="0"/>
          <w:iCs w:val="0"/>
          <w:szCs w:val="22"/>
        </w:rPr>
        <w:t>+</w:t>
      </w:r>
    </w:p>
    <w:p w14:paraId="0169329B" w14:textId="00BB43F7" w:rsidR="00BE4767" w:rsidRDefault="00935002" w:rsidP="004D2232">
      <w:pPr>
        <w:pStyle w:val="ONUME"/>
        <w:bidi/>
        <w:rPr>
          <w:szCs w:val="22"/>
          <w:rtl/>
        </w:rPr>
      </w:pPr>
      <w:r w:rsidRPr="00A8357F">
        <w:rPr>
          <w:rFonts w:hint="cs"/>
          <w:szCs w:val="22"/>
          <w:rtl/>
        </w:rPr>
        <w:t xml:space="preserve">انتهت شعبة الرقابة الداخلية من الانتقال إلى نظام محدَّث لإدارة التدقيق - وهو نظام </w:t>
      </w:r>
      <w:proofErr w:type="spellStart"/>
      <w:r w:rsidRPr="00A8357F">
        <w:rPr>
          <w:szCs w:val="22"/>
        </w:rPr>
        <w:t>TeamMate</w:t>
      </w:r>
      <w:proofErr w:type="spellEnd"/>
      <w:r w:rsidRPr="00BE4767">
        <w:rPr>
          <w:rFonts w:hint="cs"/>
          <w:szCs w:val="22"/>
        </w:rPr>
        <w:t>+</w:t>
      </w:r>
      <w:r w:rsidRPr="00A8357F">
        <w:rPr>
          <w:rFonts w:hint="cs"/>
          <w:szCs w:val="22"/>
          <w:rtl/>
        </w:rPr>
        <w:t xml:space="preserve"> الذي يُستخدم بخاصةٍ لرصد تنفيذ التوصيات وإعداد التقارير بشأنها.</w:t>
      </w:r>
      <w:r w:rsidR="00BE4767">
        <w:rPr>
          <w:rFonts w:hint="cs"/>
          <w:szCs w:val="22"/>
          <w:rtl/>
        </w:rPr>
        <w:t xml:space="preserve"> </w:t>
      </w:r>
      <w:r w:rsidRPr="00A8357F">
        <w:rPr>
          <w:rFonts w:hint="cs"/>
          <w:szCs w:val="22"/>
          <w:rtl/>
        </w:rPr>
        <w:t>والنظام الجديد أحدث من الناحية التكنولوجية ويحتوي على وظائف جديدة تعزز عملية تقييم المخاطر، وإنجاز الأعمال، وإدارة التوصيات.</w:t>
      </w:r>
    </w:p>
    <w:p w14:paraId="49EB3613" w14:textId="296777BC" w:rsidR="00BE4767" w:rsidRDefault="005C40A8" w:rsidP="00BE4767">
      <w:pPr>
        <w:pStyle w:val="Heading2"/>
        <w:bidi/>
        <w:rPr>
          <w:bCs w:val="0"/>
          <w:iCs w:val="0"/>
          <w:szCs w:val="22"/>
          <w:rtl/>
        </w:rPr>
      </w:pPr>
      <w:r w:rsidRPr="00A8357F">
        <w:rPr>
          <w:rFonts w:hint="cs"/>
          <w:bCs w:val="0"/>
          <w:iCs w:val="0"/>
          <w:szCs w:val="22"/>
          <w:rtl/>
        </w:rPr>
        <w:t>مشروع تحليل البيانات</w:t>
      </w:r>
    </w:p>
    <w:p w14:paraId="7FE928CF" w14:textId="01099454" w:rsidR="00935002" w:rsidRPr="00A8357F" w:rsidRDefault="005C40A8" w:rsidP="00BE4767">
      <w:pPr>
        <w:pStyle w:val="ONUME"/>
        <w:bidi/>
        <w:rPr>
          <w:szCs w:val="22"/>
          <w:rtl/>
        </w:rPr>
      </w:pPr>
      <w:r w:rsidRPr="00A8357F">
        <w:rPr>
          <w:rFonts w:hint="cs"/>
          <w:szCs w:val="22"/>
          <w:rtl/>
        </w:rPr>
        <w:t>أنجزت شعبة الرقابة الداخلية مشروع تحليل البيانات الذي عزز قدرة الشعبة على إجراء عمليات تدقيق مستمرة.</w:t>
      </w:r>
      <w:r w:rsidR="00BE4767">
        <w:rPr>
          <w:rFonts w:hint="cs"/>
          <w:szCs w:val="22"/>
          <w:rtl/>
        </w:rPr>
        <w:t xml:space="preserve"> </w:t>
      </w:r>
      <w:r w:rsidRPr="00A8357F">
        <w:rPr>
          <w:rFonts w:hint="cs"/>
          <w:szCs w:val="22"/>
          <w:rtl/>
        </w:rPr>
        <w:t>ويجري الاضطلاع بعملية تجريبية في الربع الأول من عام 2022، وستقدِّم شعبة الرقابة الداخلية بعد انتهائها تعقيبات منتظمة إلى الإدارة بشأن الامتثال والفعالية التشغيلية للضوابط الرئيسية التي اختُبرت عن طريق تحليلات البيانات.</w:t>
      </w:r>
    </w:p>
    <w:p w14:paraId="2ECF7979" w14:textId="77777777" w:rsidR="00C46B12" w:rsidRPr="00A8357F" w:rsidRDefault="002150AF" w:rsidP="00BE4767">
      <w:pPr>
        <w:pStyle w:val="Heading2"/>
        <w:bidi/>
        <w:rPr>
          <w:bCs w:val="0"/>
          <w:iCs w:val="0"/>
          <w:szCs w:val="22"/>
          <w:rtl/>
        </w:rPr>
      </w:pPr>
      <w:r w:rsidRPr="00A8357F">
        <w:rPr>
          <w:rFonts w:hint="cs"/>
          <w:bCs w:val="0"/>
          <w:iCs w:val="0"/>
          <w:szCs w:val="22"/>
          <w:rtl/>
        </w:rPr>
        <w:lastRenderedPageBreak/>
        <w:t>أنشطة التواصل والإعلام في المنظمة</w:t>
      </w:r>
    </w:p>
    <w:p w14:paraId="3CEE908D" w14:textId="77777777" w:rsidR="00BE4767" w:rsidRDefault="00C46B12" w:rsidP="00BE4767">
      <w:pPr>
        <w:pStyle w:val="ONUME"/>
        <w:bidi/>
        <w:rPr>
          <w:szCs w:val="22"/>
          <w:rtl/>
        </w:rPr>
      </w:pPr>
      <w:r w:rsidRPr="00A8357F">
        <w:rPr>
          <w:rFonts w:hint="cs"/>
          <w:szCs w:val="22"/>
          <w:rtl/>
        </w:rPr>
        <w:t>استمرت شعبة الرقابة الداخلية، ضمن جهودها المستمرة لتوضيح عملها والدفاع عنه، في التواصل مع الزملاء داخل الويبو عن طريق تقديم عروض للموظفين الجدد في إطار التدريبات التمهيدية، وإصدار النشرة الإخبارية للشعبة ولوحات البيانات الخاصة بالشعبة، وتقديم عروض للمديرين والمسؤولين عن القطاعات عند الاقتضاء.</w:t>
      </w:r>
    </w:p>
    <w:p w14:paraId="3FE176B3" w14:textId="5F864414" w:rsidR="00C46B12" w:rsidRPr="00A8357F" w:rsidRDefault="002150AF" w:rsidP="00BE4767">
      <w:pPr>
        <w:pStyle w:val="Heading2"/>
        <w:bidi/>
        <w:rPr>
          <w:bCs w:val="0"/>
          <w:iCs w:val="0"/>
          <w:szCs w:val="22"/>
          <w:rtl/>
        </w:rPr>
      </w:pPr>
      <w:r w:rsidRPr="00A8357F">
        <w:rPr>
          <w:rFonts w:hint="cs"/>
          <w:bCs w:val="0"/>
          <w:iCs w:val="0"/>
          <w:szCs w:val="22"/>
          <w:rtl/>
        </w:rPr>
        <w:t>التعاون مع دوائر الرقابة الأخرى</w:t>
      </w:r>
    </w:p>
    <w:p w14:paraId="6A1A4D0B" w14:textId="1AADFFCF" w:rsidR="00BE4767" w:rsidRDefault="00C46B12" w:rsidP="00BE4767">
      <w:pPr>
        <w:pStyle w:val="ONUME"/>
        <w:bidi/>
        <w:rPr>
          <w:szCs w:val="22"/>
          <w:rtl/>
        </w:rPr>
      </w:pPr>
      <w:r w:rsidRPr="00A8357F">
        <w:rPr>
          <w:rFonts w:hint="cs"/>
          <w:szCs w:val="22"/>
          <w:rtl/>
        </w:rPr>
        <w:t>يشمل ميثاق الرقابة الداخلية أحكاماً محددة</w:t>
      </w:r>
      <w:r w:rsidRPr="00A8357F">
        <w:rPr>
          <w:rStyle w:val="FootnoteReference"/>
          <w:szCs w:val="22"/>
          <w:rtl/>
        </w:rPr>
        <w:footnoteReference w:id="20"/>
      </w:r>
      <w:r w:rsidRPr="00A8357F">
        <w:rPr>
          <w:rFonts w:hint="cs"/>
          <w:szCs w:val="22"/>
          <w:rtl/>
        </w:rPr>
        <w:t xml:space="preserve"> عن التواصل والتعاون مع دوائر الرقابة الداخلية في المنظمات الأخرى التابعة لمنظومة الأمم المتحدة وفي المؤسسات المالية المتعددة الأطراف.</w:t>
      </w:r>
      <w:r w:rsidR="00BE4767">
        <w:rPr>
          <w:rFonts w:hint="cs"/>
          <w:szCs w:val="22"/>
          <w:rtl/>
        </w:rPr>
        <w:t xml:space="preserve"> </w:t>
      </w:r>
      <w:r w:rsidRPr="00A8357F">
        <w:rPr>
          <w:rFonts w:hint="cs"/>
          <w:szCs w:val="22"/>
          <w:rtl/>
        </w:rPr>
        <w:t>وتقرّ شعبة الرقابة الداخلية بقيمة توطيد العلاقات مع نظيراتها وأهميته.</w:t>
      </w:r>
      <w:r w:rsidR="00BE4767">
        <w:rPr>
          <w:rFonts w:hint="cs"/>
          <w:szCs w:val="22"/>
          <w:rtl/>
        </w:rPr>
        <w:t xml:space="preserve"> </w:t>
      </w:r>
      <w:r w:rsidRPr="00A8357F">
        <w:rPr>
          <w:rFonts w:hint="cs"/>
          <w:szCs w:val="22"/>
          <w:rtl/>
        </w:rPr>
        <w:t>وفي أثناء الفترة المشمولة بالتقرير، واصلت شعبة الرقابة الداخلية تعاونها النشط والمفيد وحافظت على علاقاتها مع المنظمات والهيئات الأخرى التابعة لمنظومة الأمم المتحدة.</w:t>
      </w:r>
      <w:r w:rsidR="00BE4767">
        <w:rPr>
          <w:rFonts w:hint="cs"/>
          <w:szCs w:val="22"/>
          <w:rtl/>
        </w:rPr>
        <w:t xml:space="preserve"> </w:t>
      </w:r>
      <w:r w:rsidRPr="00A8357F">
        <w:rPr>
          <w:rFonts w:hint="cs"/>
          <w:szCs w:val="22"/>
          <w:rtl/>
        </w:rPr>
        <w:t>وشاركت شعبة الرقابة الداخلية بفعالية فيما يلي:</w:t>
      </w:r>
    </w:p>
    <w:p w14:paraId="0237B8D7" w14:textId="220A13E7" w:rsidR="001A7272" w:rsidRPr="00A8357F" w:rsidRDefault="002C3215" w:rsidP="009632CE">
      <w:pPr>
        <w:pStyle w:val="ONUME"/>
        <w:numPr>
          <w:ilvl w:val="1"/>
          <w:numId w:val="2"/>
        </w:numPr>
        <w:bidi/>
        <w:ind w:left="1134" w:hanging="567"/>
        <w:rPr>
          <w:szCs w:val="22"/>
          <w:rtl/>
        </w:rPr>
      </w:pPr>
      <w:r w:rsidRPr="00A8357F">
        <w:rPr>
          <w:rFonts w:hint="cs"/>
          <w:szCs w:val="22"/>
          <w:rtl/>
        </w:rPr>
        <w:t>حضر مدير شعبة الرقابة الداخلية ورئيس قسم التقييم وكبير موظفي التقييم الاجتماع العام السنوي لفريق الأمم المتحدة المعني بالتقييم لعام 2020 الذي عُقد افتراضياً في يومَي 21 و22 يناير 2021</w:t>
      </w:r>
      <w:r w:rsidR="0098416F">
        <w:rPr>
          <w:rFonts w:hint="cs"/>
          <w:szCs w:val="22"/>
          <w:rtl/>
        </w:rPr>
        <w:t xml:space="preserve">، </w:t>
      </w:r>
      <w:r w:rsidRPr="00A8357F">
        <w:rPr>
          <w:rFonts w:hint="cs"/>
          <w:szCs w:val="22"/>
          <w:rtl/>
        </w:rPr>
        <w:t>وشارك فيه بنشاط؛</w:t>
      </w:r>
    </w:p>
    <w:p w14:paraId="6BBAEB42" w14:textId="6FECE4BC" w:rsidR="005F7359" w:rsidRPr="00B6500B" w:rsidRDefault="001A7272" w:rsidP="009632CE">
      <w:pPr>
        <w:pStyle w:val="ONUME"/>
        <w:numPr>
          <w:ilvl w:val="1"/>
          <w:numId w:val="2"/>
        </w:numPr>
        <w:bidi/>
        <w:ind w:left="1134" w:hanging="567"/>
        <w:rPr>
          <w:spacing w:val="-2"/>
          <w:szCs w:val="22"/>
          <w:rtl/>
        </w:rPr>
      </w:pPr>
      <w:r w:rsidRPr="00B6500B">
        <w:rPr>
          <w:rFonts w:hint="cs"/>
          <w:spacing w:val="-2"/>
          <w:szCs w:val="22"/>
          <w:rtl/>
        </w:rPr>
        <w:t>يشغل رئيس قسم التقييم لمدة سنتين منصب نائب الرئيس وأمين الخزانة في فريق الأمم المتحدة المعني بالتقييم، فيدعم عملية صنع القرار والإشراف على تنفيذ الهدف الاستراتيجي الثالث من استراتيجية فريق الأمم المتحدة المعني بالتقييم؛</w:t>
      </w:r>
    </w:p>
    <w:p w14:paraId="50552120" w14:textId="6E0FE67F" w:rsidR="001A7272" w:rsidRPr="00A8357F" w:rsidRDefault="001A7272" w:rsidP="009632CE">
      <w:pPr>
        <w:pStyle w:val="ONUME"/>
        <w:numPr>
          <w:ilvl w:val="1"/>
          <w:numId w:val="2"/>
        </w:numPr>
        <w:bidi/>
        <w:ind w:left="1134" w:hanging="567"/>
        <w:rPr>
          <w:szCs w:val="22"/>
          <w:rtl/>
        </w:rPr>
      </w:pPr>
      <w:r w:rsidRPr="00A8357F">
        <w:rPr>
          <w:rFonts w:hint="cs"/>
          <w:szCs w:val="22"/>
          <w:rtl/>
        </w:rPr>
        <w:t>اضطلع رئيس كل من قسم التحقيق وقسم التدقيق الداخلي بمهام تعليمية في مجالات إدارة المخاطر ومنع الغش والفساد لفائدة طلاب في درجتَي البكالوريوس والماجستير في الكليات المحلية لإدارة الأعمال في جنيف؛</w:t>
      </w:r>
    </w:p>
    <w:p w14:paraId="6CE4B977" w14:textId="730A8D0C" w:rsidR="001A7272" w:rsidRPr="00A8357F" w:rsidRDefault="005F7359" w:rsidP="009632CE">
      <w:pPr>
        <w:pStyle w:val="ONUME"/>
        <w:numPr>
          <w:ilvl w:val="1"/>
          <w:numId w:val="2"/>
        </w:numPr>
        <w:bidi/>
        <w:ind w:left="1134" w:hanging="567"/>
        <w:rPr>
          <w:szCs w:val="22"/>
          <w:rtl/>
        </w:rPr>
      </w:pPr>
      <w:r w:rsidRPr="00A8357F">
        <w:rPr>
          <w:rFonts w:hint="cs"/>
          <w:szCs w:val="22"/>
          <w:rtl/>
        </w:rPr>
        <w:t>نظَّمت شعبة الرقابة الداخلية، بالاشتراك مع مكتب خدمات الرقابة الداخلية التابع للأمم المتحدة، دورة تدريبية عبر الإنترنت بشأن تحويل المدفوعات في أوائل مارس 2021؛</w:t>
      </w:r>
    </w:p>
    <w:p w14:paraId="1DABF934" w14:textId="2047182C" w:rsidR="00950C25" w:rsidRPr="00A8357F" w:rsidRDefault="001A7272" w:rsidP="004D2232">
      <w:pPr>
        <w:pStyle w:val="ONUME"/>
        <w:numPr>
          <w:ilvl w:val="1"/>
          <w:numId w:val="2"/>
        </w:numPr>
        <w:bidi/>
        <w:ind w:left="1134" w:hanging="567"/>
        <w:rPr>
          <w:szCs w:val="22"/>
          <w:rtl/>
        </w:rPr>
      </w:pPr>
      <w:r w:rsidRPr="00A8357F">
        <w:rPr>
          <w:rFonts w:hint="cs"/>
          <w:szCs w:val="22"/>
          <w:rtl/>
        </w:rPr>
        <w:t>في 24 يونيو 202</w:t>
      </w:r>
      <w:r w:rsidR="004D2232">
        <w:rPr>
          <w:rFonts w:hint="cs"/>
          <w:szCs w:val="22"/>
          <w:rtl/>
        </w:rPr>
        <w:t>1، حضرت شعبة الرقابة الداخلية اجتماعاً ا</w:t>
      </w:r>
      <w:r w:rsidRPr="00A8357F">
        <w:rPr>
          <w:rFonts w:hint="cs"/>
          <w:szCs w:val="22"/>
          <w:rtl/>
        </w:rPr>
        <w:t>فتراضي</w:t>
      </w:r>
      <w:r w:rsidR="004D2232">
        <w:rPr>
          <w:rFonts w:hint="cs"/>
          <w:szCs w:val="22"/>
          <w:rtl/>
        </w:rPr>
        <w:t>اً</w:t>
      </w:r>
      <w:r w:rsidRPr="00A8357F">
        <w:rPr>
          <w:rFonts w:hint="cs"/>
          <w:szCs w:val="22"/>
          <w:rtl/>
        </w:rPr>
        <w:t xml:space="preserve"> لممثلي خدمات التدقيق الداخلي في الأمم المتحدة</w:t>
      </w:r>
      <w:r w:rsidR="004D2232">
        <w:rPr>
          <w:rFonts w:hint="cs"/>
          <w:szCs w:val="22"/>
          <w:rtl/>
        </w:rPr>
        <w:t>،</w:t>
      </w:r>
      <w:r w:rsidRPr="00A8357F">
        <w:rPr>
          <w:rFonts w:hint="cs"/>
          <w:szCs w:val="22"/>
          <w:rtl/>
        </w:rPr>
        <w:t xml:space="preserve"> ركز على عرض قدَّمته المفوضية الأوروبية للتدقيق الداخلي بشأن استعراض ركيزة التقييم؛</w:t>
      </w:r>
    </w:p>
    <w:p w14:paraId="6983F3D0" w14:textId="6DF367AF" w:rsidR="00950C25" w:rsidRPr="00A8357F" w:rsidRDefault="00950C25" w:rsidP="009632CE">
      <w:pPr>
        <w:pStyle w:val="ONUME"/>
        <w:numPr>
          <w:ilvl w:val="1"/>
          <w:numId w:val="2"/>
        </w:numPr>
        <w:bidi/>
        <w:ind w:left="1134" w:hanging="567"/>
        <w:rPr>
          <w:szCs w:val="22"/>
          <w:rtl/>
        </w:rPr>
      </w:pPr>
      <w:r w:rsidRPr="00A8357F">
        <w:rPr>
          <w:rFonts w:hint="cs"/>
          <w:szCs w:val="22"/>
          <w:rtl/>
        </w:rPr>
        <w:t>قدَّمت شعبة الرقابة الداخلية محاضرة عن موضوع الغش الدولي في المشتريات إبّان المؤتمر العالمي المعني بموضوع الغش لعام 2021 الذي عقدته جمعية المحققين المعتمدين المعنيين بالغش في يونيو 2021؛</w:t>
      </w:r>
    </w:p>
    <w:p w14:paraId="062D6E0C" w14:textId="00127F91" w:rsidR="00950C25" w:rsidRPr="00A8357F" w:rsidRDefault="002C3215" w:rsidP="009632CE">
      <w:pPr>
        <w:pStyle w:val="ONUME"/>
        <w:numPr>
          <w:ilvl w:val="1"/>
          <w:numId w:val="2"/>
        </w:numPr>
        <w:bidi/>
        <w:ind w:left="1134" w:hanging="567"/>
        <w:rPr>
          <w:szCs w:val="22"/>
          <w:rtl/>
        </w:rPr>
      </w:pPr>
      <w:r w:rsidRPr="00A8357F">
        <w:rPr>
          <w:rFonts w:hint="cs"/>
          <w:szCs w:val="22"/>
          <w:rtl/>
        </w:rPr>
        <w:t>حضرت شعبة الرقابة الداخلية المؤتمر السنوي لرؤساء التدقيق الداخلي في أوروبا الذي عُقد في الفترة من 28 إلى 30 سبتمبر 2021 في جنيف.</w:t>
      </w:r>
      <w:r w:rsidR="00BE4767">
        <w:rPr>
          <w:rFonts w:hint="cs"/>
          <w:szCs w:val="22"/>
          <w:rtl/>
        </w:rPr>
        <w:t xml:space="preserve"> </w:t>
      </w:r>
      <w:r w:rsidRPr="00A8357F">
        <w:rPr>
          <w:rFonts w:hint="cs"/>
          <w:szCs w:val="22"/>
          <w:rtl/>
        </w:rPr>
        <w:t>وشاركت منظمة العمل الدولية واللجنة الدولية للصليب الأحمر في تنظيم المؤتمر الذي عُقد بأسلوب مختلط يجمع بين الحضور الشخصي والحضور عبر الإنترنت.</w:t>
      </w:r>
    </w:p>
    <w:p w14:paraId="17E38306" w14:textId="77777777" w:rsidR="00550057" w:rsidRPr="00A8357F" w:rsidRDefault="00550057" w:rsidP="00BE4767">
      <w:pPr>
        <w:pStyle w:val="Heading1"/>
        <w:bidi/>
        <w:rPr>
          <w:szCs w:val="22"/>
          <w:rtl/>
        </w:rPr>
      </w:pPr>
      <w:bookmarkStart w:id="50" w:name="_Toc99122813"/>
      <w:bookmarkStart w:id="51" w:name="_Toc39071255"/>
      <w:r w:rsidRPr="00A8357F">
        <w:rPr>
          <w:rFonts w:hint="cs"/>
          <w:szCs w:val="22"/>
          <w:rtl/>
        </w:rPr>
        <w:t>برنامج شعبة الرقابة الداخلية لضمان جودة العمل الرقابي وتحسينها</w:t>
      </w:r>
      <w:bookmarkEnd w:id="50"/>
    </w:p>
    <w:p w14:paraId="43A211B7" w14:textId="07EF90D7" w:rsidR="00BE4767" w:rsidRDefault="00550057" w:rsidP="00BE4767">
      <w:pPr>
        <w:pStyle w:val="ONUME"/>
        <w:bidi/>
        <w:rPr>
          <w:szCs w:val="22"/>
          <w:rtl/>
        </w:rPr>
      </w:pPr>
      <w:r w:rsidRPr="00A8357F">
        <w:rPr>
          <w:rFonts w:hint="cs"/>
          <w:szCs w:val="22"/>
          <w:rtl/>
        </w:rPr>
        <w:t>صُمِّم "برنامج شعبة الرقابة الداخلية لضمان جودة العمل الرقابي وتحسينها" لتوفير ضمان معقول لمختلف الجهات المعنية</w:t>
      </w:r>
      <w:r w:rsidRPr="00A8357F">
        <w:rPr>
          <w:szCs w:val="22"/>
          <w:vertAlign w:val="superscript"/>
          <w:rtl/>
        </w:rPr>
        <w:footnoteReference w:id="21"/>
      </w:r>
      <w:r w:rsidRPr="00A8357F">
        <w:rPr>
          <w:rFonts w:hint="cs"/>
          <w:szCs w:val="22"/>
          <w:rtl/>
        </w:rPr>
        <w:t xml:space="preserve"> بأن أنشطة الرقابة تُنفَّذ وفقاً لميثاق الرقابة الداخلية والمعايير والممارسات المهنية المرتبطة بكل وظيفة؛ وأن أنشطة الرقابة تسير وتُدار بطريقة فعالة وترى الجهات المعنية أنها ذات قيمة إضافية وأنها في تحسن مستمر.</w:t>
      </w:r>
      <w:r w:rsidR="00BE4767">
        <w:rPr>
          <w:rFonts w:hint="cs"/>
          <w:szCs w:val="22"/>
          <w:rtl/>
        </w:rPr>
        <w:t xml:space="preserve"> </w:t>
      </w:r>
      <w:r w:rsidRPr="00A8357F">
        <w:rPr>
          <w:rFonts w:hint="cs"/>
          <w:szCs w:val="22"/>
          <w:rtl/>
        </w:rPr>
        <w:t>ويشمل البرنامج المجالات التالية:</w:t>
      </w:r>
    </w:p>
    <w:p w14:paraId="6E7DDCA7" w14:textId="0E0A7E75" w:rsidR="00C46B12" w:rsidRPr="00A8357F" w:rsidRDefault="002150AF" w:rsidP="00BE4767">
      <w:pPr>
        <w:pStyle w:val="Heading2"/>
        <w:bidi/>
        <w:rPr>
          <w:bCs w:val="0"/>
          <w:iCs w:val="0"/>
          <w:szCs w:val="22"/>
          <w:rtl/>
        </w:rPr>
      </w:pPr>
      <w:r w:rsidRPr="00A8357F">
        <w:rPr>
          <w:rFonts w:hint="cs"/>
          <w:bCs w:val="0"/>
          <w:iCs w:val="0"/>
          <w:szCs w:val="22"/>
          <w:rtl/>
        </w:rPr>
        <w:t>الاستقلالية التشغيلية لشعبة الرقابة الداخلية</w:t>
      </w:r>
      <w:bookmarkEnd w:id="51"/>
    </w:p>
    <w:p w14:paraId="5D504991" w14:textId="77777777" w:rsidR="00BE4767" w:rsidRDefault="00C46B12" w:rsidP="00BE4767">
      <w:pPr>
        <w:pStyle w:val="ONUME"/>
        <w:bidi/>
        <w:rPr>
          <w:szCs w:val="22"/>
          <w:rtl/>
        </w:rPr>
      </w:pPr>
      <w:r w:rsidRPr="00A8357F">
        <w:rPr>
          <w:rFonts w:hint="cs"/>
          <w:szCs w:val="22"/>
          <w:rtl/>
        </w:rPr>
        <w:t>يقتضي ميثاق الرقابة الداخلية</w:t>
      </w:r>
      <w:r w:rsidRPr="00A8357F">
        <w:rPr>
          <w:rStyle w:val="FootnoteReference"/>
          <w:szCs w:val="22"/>
          <w:rtl/>
        </w:rPr>
        <w:footnoteReference w:id="22"/>
      </w:r>
      <w:r w:rsidRPr="00A8357F">
        <w:rPr>
          <w:rFonts w:hint="cs"/>
          <w:szCs w:val="22"/>
          <w:rtl/>
        </w:rPr>
        <w:t xml:space="preserve"> من مدير شعبة الرقابة الداخلية أن يؤكد الاستقلالية التنظيمية لوظيفة الرقابة الداخلية ويقدِّم معلومات عن نطاق أنشطة الرقابة الداخلية ومدى ملائمة الموارد للأغراض المقصودة.</w:t>
      </w:r>
    </w:p>
    <w:p w14:paraId="69C4AD5A" w14:textId="77AA3671" w:rsidR="00C46B12" w:rsidRPr="00A8357F" w:rsidRDefault="00C46B12" w:rsidP="00BE4767">
      <w:pPr>
        <w:pStyle w:val="ONUME"/>
        <w:bidi/>
        <w:rPr>
          <w:szCs w:val="22"/>
          <w:rtl/>
        </w:rPr>
      </w:pPr>
      <w:r w:rsidRPr="00A8357F">
        <w:rPr>
          <w:rFonts w:hint="cs"/>
          <w:szCs w:val="22"/>
          <w:rtl/>
        </w:rPr>
        <w:t>وفي أثناء الفترة المشمولة بالتقرير، لم تقع أي حالة مس</w:t>
      </w:r>
      <w:r w:rsidR="0098416F">
        <w:rPr>
          <w:rFonts w:hint="cs"/>
          <w:szCs w:val="22"/>
          <w:rtl/>
        </w:rPr>
        <w:t>ّ</w:t>
      </w:r>
      <w:r w:rsidRPr="00A8357F">
        <w:rPr>
          <w:rFonts w:hint="cs"/>
          <w:szCs w:val="22"/>
          <w:rtl/>
        </w:rPr>
        <w:t>ت بالاستقلالية التشغيلية لشعبة الرقابة الداخلية ولم يحدث أي نشاط يخلّ بها.</w:t>
      </w:r>
      <w:r w:rsidR="00BE4767">
        <w:rPr>
          <w:rFonts w:hint="cs"/>
          <w:szCs w:val="22"/>
          <w:rtl/>
        </w:rPr>
        <w:t xml:space="preserve"> </w:t>
      </w:r>
      <w:r w:rsidRPr="00A8357F">
        <w:rPr>
          <w:rFonts w:hint="cs"/>
          <w:szCs w:val="22"/>
          <w:rtl/>
        </w:rPr>
        <w:t>ولم يُسجل أي تدخل فعلي أو مفترض في عمل الشعبة.</w:t>
      </w:r>
      <w:r w:rsidR="00BE4767">
        <w:rPr>
          <w:rFonts w:hint="cs"/>
          <w:szCs w:val="22"/>
          <w:rtl/>
        </w:rPr>
        <w:t xml:space="preserve"> </w:t>
      </w:r>
      <w:r w:rsidRPr="00A8357F">
        <w:rPr>
          <w:rFonts w:hint="cs"/>
          <w:szCs w:val="22"/>
          <w:rtl/>
        </w:rPr>
        <w:t>وقد حددت الشعبة نطاق أنشطتها استناداً إلى تقييم المخاطر والتعليقات والتعقيبات الواردة من إدارة الويبو واللجنة الاستشارية المستقلة للرقابة والدول الأعضاء على النحو المناسب.</w:t>
      </w:r>
      <w:bookmarkStart w:id="52" w:name="_Toc420663573"/>
    </w:p>
    <w:p w14:paraId="393B33BB" w14:textId="77777777" w:rsidR="00044A42" w:rsidRPr="00A8357F" w:rsidRDefault="002150AF" w:rsidP="00BE4767">
      <w:pPr>
        <w:pStyle w:val="Heading2"/>
        <w:bidi/>
        <w:rPr>
          <w:bCs w:val="0"/>
          <w:iCs w:val="0"/>
          <w:szCs w:val="22"/>
          <w:rtl/>
        </w:rPr>
      </w:pPr>
      <w:r w:rsidRPr="00A8357F">
        <w:rPr>
          <w:rFonts w:hint="cs"/>
          <w:bCs w:val="0"/>
          <w:iCs w:val="0"/>
          <w:szCs w:val="22"/>
          <w:rtl/>
        </w:rPr>
        <w:lastRenderedPageBreak/>
        <w:t>الرصد المستمر ومؤشرات الأداء الرئيسية</w:t>
      </w:r>
    </w:p>
    <w:p w14:paraId="0F753647" w14:textId="302C72F1" w:rsidR="00BE4767" w:rsidRDefault="00044A42" w:rsidP="004D2232">
      <w:pPr>
        <w:pStyle w:val="ONUME"/>
        <w:bidi/>
        <w:rPr>
          <w:szCs w:val="22"/>
          <w:rtl/>
        </w:rPr>
      </w:pPr>
      <w:r w:rsidRPr="00A8357F">
        <w:rPr>
          <w:rFonts w:hint="cs"/>
          <w:szCs w:val="22"/>
          <w:rtl/>
        </w:rPr>
        <w:t>يُحيل مصطلح الرصد المستمر لأداء نشاط الرقابة إلى أعمال الإشراف والمراجعة والقياس اليومية المرتبطة بنشاط التدقيق الداخلي بناءً على سياسات شعبة الرقابة الداخلية وأدلتها وإجراءاتها المعتادة.</w:t>
      </w:r>
      <w:r w:rsidR="00BE4767">
        <w:rPr>
          <w:rFonts w:hint="cs"/>
          <w:szCs w:val="22"/>
          <w:rtl/>
        </w:rPr>
        <w:t xml:space="preserve"> </w:t>
      </w:r>
      <w:r w:rsidRPr="00A8357F">
        <w:rPr>
          <w:rFonts w:hint="cs"/>
          <w:szCs w:val="22"/>
          <w:rtl/>
        </w:rPr>
        <w:t>وإضافةً إلى ذلك، يُستخدم نظام لإدارة المهام (</w:t>
      </w:r>
      <w:proofErr w:type="spellStart"/>
      <w:r w:rsidRPr="00A8357F">
        <w:rPr>
          <w:szCs w:val="22"/>
        </w:rPr>
        <w:t>TeamMate</w:t>
      </w:r>
      <w:proofErr w:type="spellEnd"/>
      <w:r w:rsidRPr="00BE4767">
        <w:rPr>
          <w:rFonts w:hint="cs"/>
          <w:szCs w:val="22"/>
        </w:rPr>
        <w:t>+</w:t>
      </w:r>
      <w:r w:rsidRPr="00A8357F">
        <w:rPr>
          <w:rFonts w:hint="cs"/>
          <w:szCs w:val="22"/>
          <w:rtl/>
        </w:rPr>
        <w:t>) في تنفيذ الأدلة والإجراءات بما في ذلك حفظ المستندات الداعمة وإضفاء الطابع المادي على المراجعات والموافقات ومتابعة التوصيات وإعداد التقارير.</w:t>
      </w:r>
    </w:p>
    <w:p w14:paraId="3B032E51" w14:textId="517C0F6F" w:rsidR="0066080A" w:rsidRPr="00A8357F" w:rsidRDefault="00044A42" w:rsidP="00BE4767">
      <w:pPr>
        <w:pStyle w:val="ONUME"/>
        <w:bidi/>
        <w:rPr>
          <w:szCs w:val="22"/>
          <w:rtl/>
        </w:rPr>
      </w:pPr>
      <w:r w:rsidRPr="00A8357F">
        <w:rPr>
          <w:rFonts w:hint="cs"/>
          <w:szCs w:val="22"/>
          <w:rtl/>
        </w:rPr>
        <w:t>وفضلاً عن ذلك، وضعت شعبة الرقابة الداخلية مؤشرات أداء لقياس فعالية أنشطة الرقابة وكفاءتها وأهميتها.</w:t>
      </w:r>
      <w:r w:rsidR="00BE4767">
        <w:rPr>
          <w:rFonts w:hint="cs"/>
          <w:szCs w:val="22"/>
          <w:rtl/>
        </w:rPr>
        <w:t xml:space="preserve"> </w:t>
      </w:r>
      <w:r w:rsidRPr="00A8357F">
        <w:rPr>
          <w:rFonts w:hint="cs"/>
          <w:szCs w:val="22"/>
          <w:rtl/>
        </w:rPr>
        <w:t>وتشمل هذه المؤشرات بخاصةٍ إنجاز التزامات الرقابة وتقديم التقارير بشأنها في الوقت المناسب، وتصور الإدارة لعمل شعبة الرقابة الداخلية، ومستوى قبول توصيات الشعبة وأهميتها.</w:t>
      </w:r>
      <w:r w:rsidR="00BE4767">
        <w:rPr>
          <w:rFonts w:hint="cs"/>
          <w:szCs w:val="22"/>
          <w:rtl/>
        </w:rPr>
        <w:t xml:space="preserve"> </w:t>
      </w:r>
      <w:r w:rsidRPr="00A8357F">
        <w:rPr>
          <w:rFonts w:hint="cs"/>
          <w:szCs w:val="22"/>
          <w:rtl/>
        </w:rPr>
        <w:t>ويلخص الجدول التالي النتائج.</w:t>
      </w:r>
    </w:p>
    <w:p w14:paraId="17EA59EC" w14:textId="37256CDE" w:rsidR="003E5E33" w:rsidRPr="00A8357F" w:rsidRDefault="00585D10" w:rsidP="00BE4767">
      <w:pPr>
        <w:pStyle w:val="ONUME"/>
        <w:numPr>
          <w:ilvl w:val="0"/>
          <w:numId w:val="0"/>
        </w:numPr>
        <w:bidi/>
        <w:spacing w:after="0"/>
        <w:ind w:left="1701" w:firstLine="567"/>
        <w:rPr>
          <w:rFonts w:eastAsia="Times New Roman"/>
          <w:b/>
          <w:bCs/>
          <w:sz w:val="18"/>
          <w:szCs w:val="18"/>
          <w:rtl/>
        </w:rPr>
      </w:pPr>
      <w:r w:rsidRPr="00A8357F">
        <w:rPr>
          <w:rFonts w:hint="cs"/>
          <w:b/>
          <w:bCs/>
          <w:sz w:val="18"/>
          <w:szCs w:val="18"/>
          <w:rtl/>
        </w:rPr>
        <w:t>الجدول 3 - مؤشرات أداء شعبة الرقابة الداخلية 2020/2021</w:t>
      </w:r>
    </w:p>
    <w:tbl>
      <w:tblPr>
        <w:tblStyle w:val="TableGridLight"/>
        <w:bidiVisual/>
        <w:tblW w:w="9220" w:type="dxa"/>
        <w:tblLook w:val="04A0" w:firstRow="1" w:lastRow="0" w:firstColumn="1" w:lastColumn="0" w:noHBand="0" w:noVBand="1"/>
        <w:tblCaption w:val="الجدول 3"/>
        <w:tblDescription w:val="مؤشرات أداء شعبة الرقابة الداخلية 2020/2021"/>
      </w:tblPr>
      <w:tblGrid>
        <w:gridCol w:w="3100"/>
        <w:gridCol w:w="6120"/>
      </w:tblGrid>
      <w:tr w:rsidR="00585D10" w:rsidRPr="00A8357F" w14:paraId="43EAB67E" w14:textId="77777777" w:rsidTr="00A46039">
        <w:trPr>
          <w:trHeight w:val="20"/>
          <w:tblHeader/>
        </w:trPr>
        <w:tc>
          <w:tcPr>
            <w:tcW w:w="3100" w:type="dxa"/>
            <w:shd w:val="clear" w:color="auto" w:fill="DBE5F1" w:themeFill="accent1" w:themeFillTint="33"/>
            <w:noWrap/>
            <w:hideMark/>
          </w:tcPr>
          <w:p w14:paraId="5EB8823B" w14:textId="77777777" w:rsidR="00585D10" w:rsidRPr="00A8357F" w:rsidRDefault="00585D10" w:rsidP="009632CE">
            <w:pPr>
              <w:bidi/>
              <w:rPr>
                <w:rFonts w:eastAsia="Times New Roman"/>
                <w:b/>
                <w:bCs/>
                <w:color w:val="000000"/>
                <w:sz w:val="20"/>
                <w:rtl/>
              </w:rPr>
            </w:pPr>
            <w:r w:rsidRPr="00A8357F">
              <w:rPr>
                <w:rFonts w:hint="cs"/>
                <w:b/>
                <w:bCs/>
                <w:color w:val="000000"/>
                <w:sz w:val="20"/>
                <w:rtl/>
              </w:rPr>
              <w:t>مؤشر الأداء</w:t>
            </w:r>
          </w:p>
        </w:tc>
        <w:tc>
          <w:tcPr>
            <w:tcW w:w="6120" w:type="dxa"/>
            <w:shd w:val="clear" w:color="auto" w:fill="DBE5F1" w:themeFill="accent1" w:themeFillTint="33"/>
            <w:noWrap/>
            <w:hideMark/>
          </w:tcPr>
          <w:p w14:paraId="67690B7D" w14:textId="77777777" w:rsidR="00585D10" w:rsidRPr="00A8357F" w:rsidRDefault="00585D10" w:rsidP="009632CE">
            <w:pPr>
              <w:bidi/>
              <w:rPr>
                <w:rFonts w:eastAsia="Times New Roman"/>
                <w:b/>
                <w:bCs/>
                <w:color w:val="000000"/>
                <w:sz w:val="20"/>
                <w:rtl/>
              </w:rPr>
            </w:pPr>
            <w:r w:rsidRPr="00A8357F">
              <w:rPr>
                <w:rFonts w:hint="cs"/>
                <w:b/>
                <w:bCs/>
                <w:color w:val="000000"/>
                <w:sz w:val="20"/>
                <w:rtl/>
              </w:rPr>
              <w:t>النتائج</w:t>
            </w:r>
          </w:p>
        </w:tc>
      </w:tr>
      <w:tr w:rsidR="00585D10" w:rsidRPr="00A8357F" w14:paraId="018F4D85" w14:textId="77777777" w:rsidTr="00A46039">
        <w:trPr>
          <w:trHeight w:val="20"/>
        </w:trPr>
        <w:tc>
          <w:tcPr>
            <w:tcW w:w="3100" w:type="dxa"/>
            <w:hideMark/>
          </w:tcPr>
          <w:p w14:paraId="1E67D1D3" w14:textId="77777777" w:rsidR="00585D10" w:rsidRPr="00A8357F" w:rsidRDefault="00585D10" w:rsidP="009632CE">
            <w:pPr>
              <w:bidi/>
              <w:rPr>
                <w:rFonts w:eastAsia="Times New Roman"/>
                <w:color w:val="000000"/>
                <w:sz w:val="20"/>
                <w:rtl/>
              </w:rPr>
            </w:pPr>
            <w:r w:rsidRPr="00A8357F">
              <w:rPr>
                <w:rFonts w:hint="cs"/>
                <w:color w:val="000000"/>
                <w:sz w:val="20"/>
                <w:rtl/>
              </w:rPr>
              <w:t>عدم تدخل كبار الجهات المعنية ومراعاتها للاستقلالية</w:t>
            </w:r>
          </w:p>
        </w:tc>
        <w:tc>
          <w:tcPr>
            <w:tcW w:w="6120" w:type="dxa"/>
            <w:noWrap/>
            <w:hideMark/>
          </w:tcPr>
          <w:p w14:paraId="0FE93B29" w14:textId="77777777" w:rsidR="00585D10" w:rsidRPr="00A8357F" w:rsidRDefault="00585D10" w:rsidP="009632CE">
            <w:pPr>
              <w:bidi/>
              <w:rPr>
                <w:rFonts w:eastAsia="Times New Roman"/>
                <w:color w:val="000000"/>
                <w:sz w:val="20"/>
                <w:rtl/>
              </w:rPr>
            </w:pPr>
            <w:r w:rsidRPr="00A8357F">
              <w:rPr>
                <w:rFonts w:hint="cs"/>
                <w:color w:val="000000"/>
                <w:sz w:val="20"/>
                <w:rtl/>
              </w:rPr>
              <w:t>لم يلاحظ أي تدخل في أثناء الفترة المشمولة بالتقرير</w:t>
            </w:r>
          </w:p>
        </w:tc>
      </w:tr>
      <w:tr w:rsidR="00585D10" w:rsidRPr="00A8357F" w14:paraId="237A94B3" w14:textId="77777777" w:rsidTr="00EE4D9D">
        <w:trPr>
          <w:trHeight w:val="20"/>
        </w:trPr>
        <w:tc>
          <w:tcPr>
            <w:tcW w:w="3100" w:type="dxa"/>
            <w:tcBorders>
              <w:bottom w:val="nil"/>
            </w:tcBorders>
            <w:hideMark/>
          </w:tcPr>
          <w:p w14:paraId="719D8E93" w14:textId="77777777" w:rsidR="00585D10" w:rsidRPr="00A8357F" w:rsidRDefault="00585D10" w:rsidP="009632CE">
            <w:pPr>
              <w:bidi/>
              <w:rPr>
                <w:rFonts w:eastAsia="Times New Roman"/>
                <w:color w:val="000000"/>
                <w:sz w:val="20"/>
                <w:rtl/>
              </w:rPr>
            </w:pPr>
            <w:r w:rsidRPr="00A8357F">
              <w:rPr>
                <w:rFonts w:hint="cs"/>
                <w:color w:val="000000"/>
                <w:sz w:val="20"/>
                <w:rtl/>
              </w:rPr>
              <w:t>نسبة العمل الرقابي المنجز والتي صدرت تقارير بشأنه في المواعيد المناسبة</w:t>
            </w:r>
          </w:p>
        </w:tc>
        <w:tc>
          <w:tcPr>
            <w:tcW w:w="6120" w:type="dxa"/>
            <w:noWrap/>
            <w:hideMark/>
          </w:tcPr>
          <w:p w14:paraId="4473A480" w14:textId="77777777" w:rsidR="00585D10" w:rsidRPr="00A8357F" w:rsidRDefault="00585D10" w:rsidP="009632CE">
            <w:pPr>
              <w:bidi/>
              <w:rPr>
                <w:rFonts w:eastAsia="Times New Roman"/>
                <w:sz w:val="20"/>
                <w:rtl/>
              </w:rPr>
            </w:pPr>
            <w:r w:rsidRPr="00A8357F">
              <w:rPr>
                <w:rFonts w:hint="cs"/>
                <w:sz w:val="20"/>
                <w:rtl/>
              </w:rPr>
              <w:t>67% من تقارير التدقيق صدرت في غضون 4 أشهر</w:t>
            </w:r>
          </w:p>
        </w:tc>
      </w:tr>
      <w:tr w:rsidR="00585D10" w:rsidRPr="00A8357F" w14:paraId="71034C9D" w14:textId="77777777" w:rsidTr="00EE4D9D">
        <w:trPr>
          <w:trHeight w:val="20"/>
        </w:trPr>
        <w:tc>
          <w:tcPr>
            <w:tcW w:w="3100" w:type="dxa"/>
            <w:tcBorders>
              <w:top w:val="nil"/>
              <w:left w:val="single" w:sz="4" w:space="0" w:color="BFBFBF" w:themeColor="background1" w:themeShade="BF"/>
              <w:bottom w:val="nil"/>
              <w:right w:val="single" w:sz="4" w:space="0" w:color="BFBFBF" w:themeColor="background1" w:themeShade="BF"/>
            </w:tcBorders>
            <w:hideMark/>
          </w:tcPr>
          <w:p w14:paraId="30A75478" w14:textId="77777777" w:rsidR="00585D10" w:rsidRPr="00A8357F" w:rsidRDefault="00585D10" w:rsidP="009632CE">
            <w:pPr>
              <w:bidi/>
              <w:rPr>
                <w:rFonts w:eastAsia="Times New Roman"/>
                <w:color w:val="000000"/>
                <w:sz w:val="20"/>
                <w:lang w:eastAsia="en-US"/>
              </w:rPr>
            </w:pPr>
            <w:bookmarkStart w:id="53" w:name="_GoBack"/>
            <w:bookmarkEnd w:id="53"/>
          </w:p>
        </w:tc>
        <w:tc>
          <w:tcPr>
            <w:tcW w:w="6120" w:type="dxa"/>
            <w:tcBorders>
              <w:left w:val="single" w:sz="4" w:space="0" w:color="BFBFBF" w:themeColor="background1" w:themeShade="BF"/>
            </w:tcBorders>
            <w:noWrap/>
            <w:hideMark/>
          </w:tcPr>
          <w:p w14:paraId="1E605756" w14:textId="77777777" w:rsidR="00585D10" w:rsidRPr="00A8357F" w:rsidRDefault="00585D10" w:rsidP="009632CE">
            <w:pPr>
              <w:bidi/>
              <w:rPr>
                <w:rFonts w:eastAsia="Times New Roman"/>
                <w:sz w:val="20"/>
                <w:rtl/>
              </w:rPr>
            </w:pPr>
            <w:r w:rsidRPr="00A8357F">
              <w:rPr>
                <w:rFonts w:hint="cs"/>
                <w:sz w:val="20"/>
                <w:rtl/>
              </w:rPr>
              <w:t>71% من تقارير التقييم صدرت في غضون 6 أشهر</w:t>
            </w:r>
          </w:p>
        </w:tc>
      </w:tr>
      <w:tr w:rsidR="00585D10" w:rsidRPr="00A8357F" w14:paraId="44C44CDC" w14:textId="77777777" w:rsidTr="00EE4D9D">
        <w:trPr>
          <w:trHeight w:val="20"/>
        </w:trPr>
        <w:tc>
          <w:tcPr>
            <w:tcW w:w="310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9F2317" w14:textId="77777777" w:rsidR="00585D10" w:rsidRPr="00A8357F" w:rsidRDefault="00585D10" w:rsidP="009632CE">
            <w:pPr>
              <w:bidi/>
              <w:rPr>
                <w:rFonts w:eastAsia="Times New Roman"/>
                <w:color w:val="000000"/>
                <w:sz w:val="20"/>
                <w:lang w:eastAsia="en-US"/>
              </w:rPr>
            </w:pPr>
          </w:p>
        </w:tc>
        <w:tc>
          <w:tcPr>
            <w:tcW w:w="6120" w:type="dxa"/>
            <w:tcBorders>
              <w:left w:val="single" w:sz="4" w:space="0" w:color="BFBFBF" w:themeColor="background1" w:themeShade="BF"/>
            </w:tcBorders>
            <w:noWrap/>
            <w:hideMark/>
          </w:tcPr>
          <w:p w14:paraId="4211ED2A" w14:textId="77777777" w:rsidR="00585D10" w:rsidRPr="00A8357F" w:rsidRDefault="00585D10" w:rsidP="009632CE">
            <w:pPr>
              <w:bidi/>
              <w:rPr>
                <w:rFonts w:eastAsia="Times New Roman"/>
                <w:sz w:val="20"/>
                <w:rtl/>
              </w:rPr>
            </w:pPr>
            <w:r w:rsidRPr="00A8357F">
              <w:rPr>
                <w:rFonts w:hint="cs"/>
                <w:sz w:val="20"/>
                <w:rtl/>
              </w:rPr>
              <w:t>80% من التحقيقات أُغلقت وصدرت تقارير بشأنها في غضون 6 أشهر</w:t>
            </w:r>
          </w:p>
        </w:tc>
      </w:tr>
      <w:tr w:rsidR="00585D10" w:rsidRPr="00A8357F" w14:paraId="62DAB208" w14:textId="77777777" w:rsidTr="00EE4D9D">
        <w:trPr>
          <w:trHeight w:val="20"/>
        </w:trPr>
        <w:tc>
          <w:tcPr>
            <w:tcW w:w="3100" w:type="dxa"/>
            <w:tcBorders>
              <w:top w:val="single" w:sz="4" w:space="0" w:color="BFBFBF" w:themeColor="background1" w:themeShade="BF"/>
            </w:tcBorders>
            <w:hideMark/>
          </w:tcPr>
          <w:p w14:paraId="39C55D47" w14:textId="77777777" w:rsidR="00585D10" w:rsidRPr="00A8357F" w:rsidRDefault="00585D10" w:rsidP="009632CE">
            <w:pPr>
              <w:bidi/>
              <w:rPr>
                <w:rFonts w:eastAsia="Times New Roman"/>
                <w:color w:val="000000"/>
                <w:sz w:val="20"/>
                <w:rtl/>
              </w:rPr>
            </w:pPr>
            <w:r w:rsidRPr="00A8357F">
              <w:rPr>
                <w:rFonts w:hint="cs"/>
                <w:color w:val="000000"/>
                <w:sz w:val="20"/>
                <w:rtl/>
              </w:rPr>
              <w:t>نسبة الجهات المعنية الداخلية التي ترى أن توصيات شعبة الرقابة الداخلية مُحدَّدة وقابلة للقياس ويمكن تحقيقها وعملية المنحى ومُحدَّدة المدة</w:t>
            </w:r>
          </w:p>
        </w:tc>
        <w:tc>
          <w:tcPr>
            <w:tcW w:w="6120" w:type="dxa"/>
            <w:noWrap/>
            <w:hideMark/>
          </w:tcPr>
          <w:p w14:paraId="63983FF6" w14:textId="77777777" w:rsidR="00585D10" w:rsidRPr="00A8357F" w:rsidRDefault="00585D10" w:rsidP="009632CE">
            <w:pPr>
              <w:bidi/>
              <w:rPr>
                <w:rFonts w:eastAsia="Times New Roman"/>
                <w:sz w:val="20"/>
                <w:rtl/>
              </w:rPr>
            </w:pPr>
            <w:r w:rsidRPr="00A8357F">
              <w:rPr>
                <w:rFonts w:hint="cs"/>
                <w:sz w:val="20"/>
                <w:rtl/>
              </w:rPr>
              <w:t>83% من المديرين رأوا أن توصيات شعبة الرقابة الداخلية مُحدَّدة وقابلة للقياس ويمكن تحقيقها وعملية المنحى ومُحدَّدة المدة</w:t>
            </w:r>
          </w:p>
        </w:tc>
      </w:tr>
      <w:tr w:rsidR="00585D10" w:rsidRPr="00A8357F" w14:paraId="3B664731" w14:textId="77777777" w:rsidTr="00A46039">
        <w:trPr>
          <w:trHeight w:val="20"/>
        </w:trPr>
        <w:tc>
          <w:tcPr>
            <w:tcW w:w="3100" w:type="dxa"/>
            <w:hideMark/>
          </w:tcPr>
          <w:p w14:paraId="7AECCBCC" w14:textId="77777777" w:rsidR="00585D10" w:rsidRPr="00A8357F" w:rsidRDefault="00585D10" w:rsidP="009632CE">
            <w:pPr>
              <w:bidi/>
              <w:rPr>
                <w:rFonts w:eastAsia="Times New Roman"/>
                <w:color w:val="000000"/>
                <w:sz w:val="20"/>
                <w:rtl/>
              </w:rPr>
            </w:pPr>
            <w:r w:rsidRPr="00A8357F">
              <w:rPr>
                <w:rFonts w:hint="cs"/>
                <w:color w:val="000000"/>
                <w:sz w:val="20"/>
                <w:rtl/>
              </w:rPr>
              <w:t>نسبة الجهات المعنية الداخلية التي ترى أن أعمال الرقابة مجدية</w:t>
            </w:r>
          </w:p>
        </w:tc>
        <w:tc>
          <w:tcPr>
            <w:tcW w:w="6120" w:type="dxa"/>
            <w:noWrap/>
            <w:hideMark/>
          </w:tcPr>
          <w:p w14:paraId="69534AB7" w14:textId="77777777" w:rsidR="00585D10" w:rsidRPr="00A8357F" w:rsidRDefault="00585D10" w:rsidP="009632CE">
            <w:pPr>
              <w:bidi/>
              <w:rPr>
                <w:rFonts w:eastAsia="Times New Roman"/>
                <w:sz w:val="20"/>
                <w:rtl/>
              </w:rPr>
            </w:pPr>
            <w:r w:rsidRPr="00A8357F">
              <w:rPr>
                <w:rFonts w:hint="cs"/>
                <w:sz w:val="20"/>
                <w:rtl/>
              </w:rPr>
              <w:t>80% من المجيبين رأوا أن أعمال الرقابة مجدية</w:t>
            </w:r>
          </w:p>
        </w:tc>
      </w:tr>
      <w:tr w:rsidR="00585D10" w:rsidRPr="00A8357F" w14:paraId="311328BE" w14:textId="77777777" w:rsidTr="00A46039">
        <w:trPr>
          <w:trHeight w:val="20"/>
        </w:trPr>
        <w:tc>
          <w:tcPr>
            <w:tcW w:w="3100" w:type="dxa"/>
            <w:hideMark/>
          </w:tcPr>
          <w:p w14:paraId="5DC5EE2D" w14:textId="77777777" w:rsidR="00585D10" w:rsidRPr="00A8357F" w:rsidRDefault="00585D10" w:rsidP="009632CE">
            <w:pPr>
              <w:bidi/>
              <w:rPr>
                <w:rFonts w:eastAsia="Times New Roman"/>
                <w:color w:val="000000"/>
                <w:sz w:val="20"/>
                <w:rtl/>
              </w:rPr>
            </w:pPr>
            <w:r w:rsidRPr="00A8357F">
              <w:rPr>
                <w:rFonts w:hint="cs"/>
                <w:color w:val="000000"/>
                <w:sz w:val="20"/>
                <w:rtl/>
              </w:rPr>
              <w:t>نسبة توصيات الرقابة المقبولة</w:t>
            </w:r>
            <w:r w:rsidRPr="00A8357F">
              <w:rPr>
                <w:rFonts w:hint="cs"/>
                <w:rtl/>
              </w:rPr>
              <w:t xml:space="preserve"> </w:t>
            </w:r>
          </w:p>
        </w:tc>
        <w:tc>
          <w:tcPr>
            <w:tcW w:w="6120" w:type="dxa"/>
            <w:noWrap/>
            <w:hideMark/>
          </w:tcPr>
          <w:p w14:paraId="0D4F2A37" w14:textId="77777777" w:rsidR="00585D10" w:rsidRPr="00A8357F" w:rsidRDefault="00585D10" w:rsidP="009632CE">
            <w:pPr>
              <w:bidi/>
              <w:rPr>
                <w:rFonts w:eastAsia="Times New Roman"/>
                <w:sz w:val="20"/>
                <w:rtl/>
              </w:rPr>
            </w:pPr>
            <w:r w:rsidRPr="00A8357F">
              <w:rPr>
                <w:rFonts w:hint="cs"/>
                <w:sz w:val="20"/>
                <w:rtl/>
              </w:rPr>
              <w:t>100% من توصيات شعبة الرقابة الداخلية قُبلت</w:t>
            </w:r>
          </w:p>
        </w:tc>
      </w:tr>
    </w:tbl>
    <w:p w14:paraId="0E2C2CF0" w14:textId="77777777" w:rsidR="00B23737" w:rsidRPr="00A8357F" w:rsidRDefault="00B23737" w:rsidP="00BE4767">
      <w:pPr>
        <w:pStyle w:val="ONUME"/>
        <w:numPr>
          <w:ilvl w:val="0"/>
          <w:numId w:val="0"/>
        </w:numPr>
        <w:bidi/>
        <w:spacing w:after="0"/>
        <w:rPr>
          <w:sz w:val="16"/>
          <w:szCs w:val="16"/>
        </w:rPr>
      </w:pPr>
    </w:p>
    <w:p w14:paraId="1A2C27E7" w14:textId="13BAD033" w:rsidR="00BE4767" w:rsidRPr="004D2232" w:rsidRDefault="005F7359" w:rsidP="008C3FFF">
      <w:pPr>
        <w:pStyle w:val="ONUME"/>
        <w:bidi/>
        <w:rPr>
          <w:szCs w:val="22"/>
          <w:rtl/>
        </w:rPr>
      </w:pPr>
      <w:r w:rsidRPr="00A8357F">
        <w:rPr>
          <w:rFonts w:hint="cs"/>
          <w:szCs w:val="22"/>
          <w:rtl/>
        </w:rPr>
        <w:t xml:space="preserve">ولا تزال المؤشرات تظهر </w:t>
      </w:r>
      <w:r w:rsidR="004D2232">
        <w:rPr>
          <w:rFonts w:hint="cs"/>
          <w:szCs w:val="22"/>
          <w:rtl/>
        </w:rPr>
        <w:t>قبولاً</w:t>
      </w:r>
      <w:r w:rsidRPr="00A8357F">
        <w:rPr>
          <w:rFonts w:hint="cs"/>
          <w:szCs w:val="22"/>
          <w:rtl/>
        </w:rPr>
        <w:t xml:space="preserve"> عالياً لأهمية عمل شعبة الرقابة الداخلية، وأهمية التوصيات المقدَّمة.</w:t>
      </w:r>
      <w:r w:rsidR="00BE4767">
        <w:rPr>
          <w:rFonts w:hint="cs"/>
          <w:szCs w:val="22"/>
          <w:rtl/>
        </w:rPr>
        <w:t xml:space="preserve"> </w:t>
      </w:r>
      <w:r w:rsidRPr="00A8357F">
        <w:rPr>
          <w:rFonts w:hint="cs"/>
          <w:szCs w:val="22"/>
          <w:rtl/>
        </w:rPr>
        <w:t xml:space="preserve">وقد تأثر </w:t>
      </w:r>
      <w:r w:rsidR="004D2232">
        <w:rPr>
          <w:rFonts w:hint="cs"/>
          <w:szCs w:val="22"/>
          <w:rtl/>
        </w:rPr>
        <w:t>توقيت صدور تقارير التدقيق والتقييم</w:t>
      </w:r>
      <w:r w:rsidR="008C3FFF">
        <w:rPr>
          <w:rFonts w:hint="cs"/>
          <w:szCs w:val="22"/>
          <w:rtl/>
        </w:rPr>
        <w:t xml:space="preserve"> بأمور عديدة من بينها: "1"</w:t>
      </w:r>
      <w:r w:rsidR="008C3FFF">
        <w:rPr>
          <w:rFonts w:hint="cs"/>
          <w:szCs w:val="22"/>
          <w:rtl/>
          <w:lang w:bidi="ar-SY"/>
        </w:rPr>
        <w:t>تمديد</w:t>
      </w:r>
      <w:r w:rsidR="004D2232">
        <w:rPr>
          <w:rFonts w:hint="cs"/>
          <w:szCs w:val="22"/>
          <w:rtl/>
        </w:rPr>
        <w:t xml:space="preserve"> المهل الزمنية لتلقي ردود الإدارة ولا سيما بعد عمليات الرقابة المشتركة؛ "2" و</w:t>
      </w:r>
      <w:r w:rsidRPr="004D2232">
        <w:rPr>
          <w:rFonts w:hint="cs"/>
          <w:szCs w:val="22"/>
          <w:rtl/>
        </w:rPr>
        <w:t>إعادة توجيه الموارد</w:t>
      </w:r>
      <w:r w:rsidR="004D2232">
        <w:rPr>
          <w:rFonts w:hint="cs"/>
          <w:szCs w:val="22"/>
          <w:rtl/>
        </w:rPr>
        <w:t xml:space="preserve"> الداخلية</w:t>
      </w:r>
      <w:r w:rsidRPr="004D2232">
        <w:rPr>
          <w:rFonts w:hint="cs"/>
          <w:szCs w:val="22"/>
          <w:rtl/>
        </w:rPr>
        <w:t xml:space="preserve"> ل</w:t>
      </w:r>
      <w:r w:rsidR="004D2232">
        <w:rPr>
          <w:rFonts w:hint="cs"/>
          <w:szCs w:val="22"/>
          <w:rtl/>
        </w:rPr>
        <w:t>إكمال ا</w:t>
      </w:r>
      <w:r w:rsidRPr="004D2232">
        <w:rPr>
          <w:rFonts w:hint="cs"/>
          <w:szCs w:val="22"/>
          <w:rtl/>
        </w:rPr>
        <w:t>لانتقال إلى النظام الجدي</w:t>
      </w:r>
      <w:r w:rsidR="008C3FFF">
        <w:rPr>
          <w:rFonts w:hint="cs"/>
          <w:szCs w:val="22"/>
          <w:rtl/>
        </w:rPr>
        <w:t>د لإدارة مهام التدقيق والتوصيات</w:t>
      </w:r>
      <w:r w:rsidRPr="004D2232">
        <w:rPr>
          <w:rFonts w:hint="cs"/>
          <w:szCs w:val="22"/>
          <w:rtl/>
        </w:rPr>
        <w:t>، وإنجاز مشروع تحليل البيانات والتدقيق المستمر.</w:t>
      </w:r>
    </w:p>
    <w:p w14:paraId="0DE1FCD7" w14:textId="3E774599" w:rsidR="00BE4767" w:rsidRDefault="007C3613" w:rsidP="00BE4767">
      <w:pPr>
        <w:pStyle w:val="Heading1"/>
        <w:bidi/>
        <w:rPr>
          <w:szCs w:val="22"/>
          <w:rtl/>
        </w:rPr>
      </w:pPr>
      <w:bookmarkStart w:id="54" w:name="_Toc39071256"/>
      <w:bookmarkStart w:id="55" w:name="_Toc99122814"/>
      <w:r w:rsidRPr="00A8357F">
        <w:rPr>
          <w:rFonts w:hint="cs"/>
          <w:szCs w:val="22"/>
          <w:rtl/>
        </w:rPr>
        <w:t>موارد الرقابة</w:t>
      </w:r>
      <w:bookmarkEnd w:id="52"/>
      <w:bookmarkEnd w:id="54"/>
      <w:bookmarkEnd w:id="55"/>
    </w:p>
    <w:p w14:paraId="2A955936" w14:textId="28A64641" w:rsidR="00C46B12" w:rsidRPr="00A8357F" w:rsidRDefault="00C46B12" w:rsidP="00BE4767">
      <w:pPr>
        <w:pStyle w:val="Heading2"/>
        <w:bidi/>
        <w:rPr>
          <w:bCs w:val="0"/>
          <w:iCs w:val="0"/>
          <w:szCs w:val="22"/>
          <w:rtl/>
        </w:rPr>
      </w:pPr>
      <w:r w:rsidRPr="00A8357F">
        <w:rPr>
          <w:rFonts w:hint="cs"/>
          <w:bCs w:val="0"/>
          <w:iCs w:val="0"/>
          <w:szCs w:val="22"/>
          <w:rtl/>
        </w:rPr>
        <w:t>الميزانية والموظفون</w:t>
      </w:r>
    </w:p>
    <w:p w14:paraId="7D942857" w14:textId="1375C576" w:rsidR="005F7359" w:rsidRPr="00A8357F" w:rsidRDefault="005F7359" w:rsidP="00BE4767">
      <w:pPr>
        <w:pStyle w:val="ONUME"/>
        <w:bidi/>
        <w:rPr>
          <w:szCs w:val="22"/>
          <w:rtl/>
        </w:rPr>
      </w:pPr>
      <w:r w:rsidRPr="00A8357F">
        <w:rPr>
          <w:rFonts w:hint="cs"/>
          <w:szCs w:val="22"/>
          <w:rtl/>
        </w:rPr>
        <w:t>خُصصت لشعبة الرقابة الداخلية ميزانية للثنائية قدرها 5.270 مليون فرنك سويسري، أي ما يعادل 0.69 في المئة</w:t>
      </w:r>
      <w:r w:rsidRPr="00A8357F">
        <w:rPr>
          <w:rStyle w:val="FootnoteReference"/>
          <w:szCs w:val="22"/>
          <w:rtl/>
        </w:rPr>
        <w:footnoteReference w:id="23"/>
      </w:r>
      <w:r w:rsidRPr="00A8357F">
        <w:rPr>
          <w:rFonts w:hint="cs"/>
          <w:szCs w:val="22"/>
          <w:rtl/>
        </w:rPr>
        <w:t xml:space="preserve"> من ميزانية الويبو للثنائية 2020/2021 لتنفيذ ولايتها.</w:t>
      </w:r>
      <w:r w:rsidR="00BE4767">
        <w:rPr>
          <w:rFonts w:hint="cs"/>
          <w:szCs w:val="22"/>
          <w:rtl/>
        </w:rPr>
        <w:t xml:space="preserve"> </w:t>
      </w:r>
      <w:r w:rsidRPr="00A8357F">
        <w:rPr>
          <w:rFonts w:hint="cs"/>
          <w:szCs w:val="22"/>
          <w:rtl/>
        </w:rPr>
        <w:t>وكان مستوى الموارد البشرية والمالية ملائما</w:t>
      </w:r>
      <w:r w:rsidR="00616038">
        <w:rPr>
          <w:rFonts w:hint="cs"/>
          <w:szCs w:val="22"/>
          <w:rtl/>
        </w:rPr>
        <w:t>ً</w:t>
      </w:r>
      <w:r w:rsidRPr="00A8357F">
        <w:rPr>
          <w:rFonts w:hint="cs"/>
          <w:szCs w:val="22"/>
          <w:rtl/>
        </w:rPr>
        <w:t xml:space="preserve"> كي تغطي الشعبة بفعالية المجالات ذات الأولوية المحددة في خطط عملها.</w:t>
      </w:r>
      <w:r w:rsidR="00BE4767">
        <w:rPr>
          <w:rFonts w:hint="cs"/>
          <w:szCs w:val="22"/>
          <w:rtl/>
        </w:rPr>
        <w:t xml:space="preserve"> </w:t>
      </w:r>
      <w:r w:rsidRPr="00A8357F">
        <w:rPr>
          <w:rFonts w:hint="cs"/>
          <w:szCs w:val="22"/>
          <w:rtl/>
        </w:rPr>
        <w:t>وساهم تبادل خطط الرقابة والتنسيق المستمر لأنشطة الرقابة مع المدققين الخارجيين والاستخدام الفعال لأدوات تكنولوجيا المعلومات في تحقيق المزيد من الفعالية والكفاءة في تغطية المجالات التي تنطوي على المخاطر.</w:t>
      </w:r>
    </w:p>
    <w:p w14:paraId="24D5384F" w14:textId="066159BB" w:rsidR="005F7359" w:rsidRPr="00A8357F" w:rsidRDefault="005F7359" w:rsidP="008A196F">
      <w:pPr>
        <w:pStyle w:val="NormalWeb"/>
        <w:keepNext/>
        <w:keepLines/>
        <w:bidi/>
        <w:spacing w:before="0" w:beforeAutospacing="0" w:after="220" w:afterAutospacing="0"/>
        <w:jc w:val="center"/>
        <w:rPr>
          <w:b/>
          <w:bCs/>
          <w:rtl/>
        </w:rPr>
      </w:pPr>
      <w:r w:rsidRPr="00A8357F">
        <w:rPr>
          <w:rFonts w:hint="cs"/>
          <w:b/>
          <w:bCs/>
          <w:rtl/>
        </w:rPr>
        <w:t>الجدول 4 - ميزانية ونفقات شعبة الرقابة الداخلية</w:t>
      </w:r>
      <w:r w:rsidR="00C13D4D">
        <w:rPr>
          <w:rFonts w:hint="cs"/>
          <w:b/>
          <w:bCs/>
          <w:rtl/>
        </w:rPr>
        <w:t xml:space="preserve"> </w:t>
      </w:r>
      <w:r w:rsidRPr="00A8357F">
        <w:rPr>
          <w:rFonts w:hint="cs"/>
          <w:b/>
          <w:bCs/>
          <w:rtl/>
        </w:rPr>
        <w:t>2020/2021</w:t>
      </w:r>
      <w:r w:rsidRPr="00A8357F">
        <w:rPr>
          <w:vertAlign w:val="superscript"/>
          <w:rtl/>
        </w:rPr>
        <w:footnoteReference w:id="24"/>
      </w:r>
    </w:p>
    <w:tbl>
      <w:tblPr>
        <w:tblStyle w:val="GridTable4-Accent1"/>
        <w:bidiVisual/>
        <w:tblW w:w="8624" w:type="dxa"/>
        <w:tblLook w:val="04A0" w:firstRow="1" w:lastRow="0" w:firstColumn="1" w:lastColumn="0" w:noHBand="0" w:noVBand="1"/>
        <w:tblCaption w:val="الجدول 4"/>
        <w:tblDescription w:val="ميزانية ونفقات شعبة الرقابة الداخلية 2020/2021"/>
      </w:tblPr>
      <w:tblGrid>
        <w:gridCol w:w="2470"/>
        <w:gridCol w:w="1347"/>
        <w:gridCol w:w="1347"/>
        <w:gridCol w:w="1730"/>
        <w:gridCol w:w="1730"/>
      </w:tblGrid>
      <w:tr w:rsidR="005F7359" w:rsidRPr="00A8357F" w14:paraId="1C596C83" w14:textId="77777777" w:rsidTr="00A9506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81D68C9" w14:textId="77777777" w:rsidR="005F7359" w:rsidRPr="00A8357F" w:rsidRDefault="005F7359" w:rsidP="00BE4767">
            <w:pPr>
              <w:bidi/>
              <w:rPr>
                <w:color w:val="000000"/>
                <w:sz w:val="18"/>
                <w:szCs w:val="18"/>
                <w:rtl/>
              </w:rPr>
            </w:pPr>
            <w:r w:rsidRPr="00A8357F">
              <w:rPr>
                <w:rFonts w:hint="cs"/>
                <w:color w:val="000000"/>
                <w:sz w:val="18"/>
                <w:szCs w:val="18"/>
                <w:rtl/>
              </w:rPr>
              <w:t> </w:t>
            </w:r>
          </w:p>
        </w:tc>
        <w:tc>
          <w:tcPr>
            <w:tcW w:w="1347" w:type="dxa"/>
            <w:hideMark/>
          </w:tcPr>
          <w:p w14:paraId="5B49A91B" w14:textId="77777777" w:rsidR="005F7359" w:rsidRPr="00A8357F" w:rsidRDefault="005F7359" w:rsidP="00BE4767">
            <w:pPr>
              <w:bidi/>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tl/>
              </w:rPr>
            </w:pPr>
            <w:r w:rsidRPr="00A8357F">
              <w:rPr>
                <w:rFonts w:hint="cs"/>
                <w:b w:val="0"/>
                <w:bCs w:val="0"/>
                <w:color w:val="000000"/>
                <w:sz w:val="18"/>
                <w:szCs w:val="18"/>
                <w:rtl/>
              </w:rPr>
              <w:t>الميزانية المعتمدة 2020/2021</w:t>
            </w:r>
          </w:p>
        </w:tc>
        <w:tc>
          <w:tcPr>
            <w:tcW w:w="1347" w:type="dxa"/>
            <w:hideMark/>
          </w:tcPr>
          <w:p w14:paraId="19124645" w14:textId="07919D35" w:rsidR="005F7359" w:rsidRPr="00A8357F" w:rsidRDefault="005F7359" w:rsidP="008A196F">
            <w:pPr>
              <w:bidi/>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tl/>
              </w:rPr>
            </w:pPr>
            <w:r w:rsidRPr="00A8357F">
              <w:rPr>
                <w:rFonts w:hint="cs"/>
                <w:b w:val="0"/>
                <w:bCs w:val="0"/>
                <w:color w:val="000000"/>
                <w:sz w:val="18"/>
                <w:szCs w:val="18"/>
                <w:rtl/>
              </w:rPr>
              <w:t>الميزانية بعد التحويلات</w:t>
            </w:r>
            <w:r w:rsidR="008A196F">
              <w:rPr>
                <w:rFonts w:hint="cs"/>
                <w:b w:val="0"/>
                <w:bCs w:val="0"/>
                <w:color w:val="000000"/>
                <w:sz w:val="18"/>
                <w:szCs w:val="18"/>
                <w:rtl/>
              </w:rPr>
              <w:t xml:space="preserve"> </w:t>
            </w:r>
            <w:r w:rsidR="008A196F" w:rsidRPr="00A8357F">
              <w:rPr>
                <w:rFonts w:hint="cs"/>
                <w:b w:val="0"/>
                <w:bCs w:val="0"/>
                <w:color w:val="000000"/>
                <w:sz w:val="18"/>
                <w:szCs w:val="18"/>
                <w:rtl/>
              </w:rPr>
              <w:t>2020/21</w:t>
            </w:r>
          </w:p>
        </w:tc>
        <w:tc>
          <w:tcPr>
            <w:tcW w:w="1730" w:type="dxa"/>
            <w:hideMark/>
          </w:tcPr>
          <w:p w14:paraId="48789656" w14:textId="0E08AB22" w:rsidR="008A196F" w:rsidRPr="008A196F" w:rsidRDefault="005F7359" w:rsidP="008A196F">
            <w:pPr>
              <w:bidi/>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tl/>
              </w:rPr>
            </w:pPr>
            <w:r w:rsidRPr="00A8357F">
              <w:rPr>
                <w:rFonts w:hint="cs"/>
                <w:b w:val="0"/>
                <w:bCs w:val="0"/>
                <w:color w:val="000000"/>
                <w:sz w:val="18"/>
                <w:szCs w:val="18"/>
                <w:rtl/>
              </w:rPr>
              <w:t>النفقات</w:t>
            </w:r>
            <w:r w:rsidR="008A196F">
              <w:rPr>
                <w:rFonts w:hint="cs"/>
                <w:color w:val="000000"/>
                <w:sz w:val="18"/>
                <w:szCs w:val="18"/>
                <w:rtl/>
              </w:rPr>
              <w:t xml:space="preserve"> </w:t>
            </w:r>
            <w:r w:rsidR="008A196F">
              <w:rPr>
                <w:color w:val="000000"/>
                <w:sz w:val="18"/>
                <w:szCs w:val="18"/>
                <w:rtl/>
              </w:rPr>
              <w:br/>
            </w:r>
            <w:r w:rsidR="008A196F" w:rsidRPr="00A8357F">
              <w:rPr>
                <w:rFonts w:hint="cs"/>
                <w:b w:val="0"/>
                <w:bCs w:val="0"/>
                <w:color w:val="000000"/>
                <w:sz w:val="18"/>
                <w:szCs w:val="18"/>
                <w:rtl/>
              </w:rPr>
              <w:t>2020/21</w:t>
            </w:r>
          </w:p>
        </w:tc>
        <w:tc>
          <w:tcPr>
            <w:tcW w:w="1730" w:type="dxa"/>
          </w:tcPr>
          <w:p w14:paraId="552C377C" w14:textId="77777777" w:rsidR="005F7359" w:rsidRPr="00A8357F" w:rsidRDefault="005F7359" w:rsidP="00BE4767">
            <w:pPr>
              <w:bidi/>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tl/>
              </w:rPr>
            </w:pPr>
            <w:r w:rsidRPr="00A8357F">
              <w:rPr>
                <w:rFonts w:hint="cs"/>
                <w:b w:val="0"/>
                <w:bCs w:val="0"/>
                <w:color w:val="000000"/>
                <w:sz w:val="18"/>
                <w:szCs w:val="18"/>
                <w:rtl/>
              </w:rPr>
              <w:t>معدل الاستخدام (%)</w:t>
            </w:r>
          </w:p>
        </w:tc>
      </w:tr>
      <w:tr w:rsidR="005F7359" w:rsidRPr="00A8357F" w14:paraId="515C14D2" w14:textId="77777777" w:rsidTr="00A950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DA4969D" w14:textId="0338B9B9" w:rsidR="005F7359" w:rsidRPr="00A8357F" w:rsidRDefault="005F7359" w:rsidP="00BE4767">
            <w:pPr>
              <w:bidi/>
              <w:rPr>
                <w:color w:val="000000"/>
                <w:sz w:val="18"/>
                <w:szCs w:val="18"/>
                <w:rtl/>
              </w:rPr>
            </w:pPr>
            <w:r w:rsidRPr="00A8357F">
              <w:rPr>
                <w:rFonts w:hint="cs"/>
                <w:color w:val="000000"/>
                <w:sz w:val="18"/>
                <w:szCs w:val="18"/>
                <w:rtl/>
              </w:rPr>
              <w:t>موارد الموظفين</w:t>
            </w:r>
            <w:r w:rsidR="00BE4767">
              <w:rPr>
                <w:rFonts w:hint="cs"/>
                <w:color w:val="000000"/>
                <w:sz w:val="18"/>
                <w:szCs w:val="18"/>
                <w:rtl/>
              </w:rPr>
              <w:t xml:space="preserve"> </w:t>
            </w:r>
          </w:p>
        </w:tc>
        <w:tc>
          <w:tcPr>
            <w:tcW w:w="1347" w:type="dxa"/>
            <w:hideMark/>
          </w:tcPr>
          <w:p w14:paraId="1E32C148"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color w:val="000000"/>
                <w:sz w:val="18"/>
                <w:szCs w:val="18"/>
                <w:rtl/>
              </w:rPr>
            </w:pPr>
            <w:r w:rsidRPr="00A8357F">
              <w:rPr>
                <w:rFonts w:hint="cs"/>
                <w:color w:val="000000"/>
                <w:sz w:val="18"/>
                <w:szCs w:val="18"/>
                <w:rtl/>
              </w:rPr>
              <w:t>4,356,000</w:t>
            </w:r>
          </w:p>
        </w:tc>
        <w:tc>
          <w:tcPr>
            <w:tcW w:w="1347" w:type="dxa"/>
            <w:hideMark/>
          </w:tcPr>
          <w:p w14:paraId="1C2D9C22"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color w:val="000000"/>
                <w:sz w:val="18"/>
                <w:szCs w:val="18"/>
                <w:rtl/>
              </w:rPr>
            </w:pPr>
            <w:r w:rsidRPr="00A8357F">
              <w:rPr>
                <w:rFonts w:hint="cs"/>
                <w:color w:val="000000"/>
                <w:sz w:val="18"/>
                <w:szCs w:val="18"/>
                <w:rtl/>
              </w:rPr>
              <w:t>4,471,500</w:t>
            </w:r>
          </w:p>
        </w:tc>
        <w:tc>
          <w:tcPr>
            <w:tcW w:w="1730" w:type="dxa"/>
            <w:hideMark/>
          </w:tcPr>
          <w:p w14:paraId="1CCB87F0"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rtl/>
              </w:rPr>
            </w:pPr>
            <w:r w:rsidRPr="00A8357F">
              <w:rPr>
                <w:rFonts w:hint="cs"/>
                <w:color w:val="000000"/>
                <w:sz w:val="18"/>
                <w:szCs w:val="18"/>
                <w:rtl/>
              </w:rPr>
              <w:t>4,638,344</w:t>
            </w:r>
          </w:p>
        </w:tc>
        <w:tc>
          <w:tcPr>
            <w:tcW w:w="1730" w:type="dxa"/>
          </w:tcPr>
          <w:p w14:paraId="472AD5E2"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color w:val="000000"/>
                <w:sz w:val="18"/>
                <w:szCs w:val="18"/>
                <w:rtl/>
              </w:rPr>
            </w:pPr>
            <w:r w:rsidRPr="00A8357F">
              <w:rPr>
                <w:rFonts w:hint="cs"/>
                <w:color w:val="000000"/>
                <w:sz w:val="18"/>
                <w:szCs w:val="18"/>
                <w:rtl/>
              </w:rPr>
              <w:t>104%</w:t>
            </w:r>
          </w:p>
        </w:tc>
      </w:tr>
      <w:tr w:rsidR="005F7359" w:rsidRPr="00A8357F" w14:paraId="63527167" w14:textId="77777777" w:rsidTr="00A9506F">
        <w:trPr>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54978E56" w14:textId="77777777" w:rsidR="005F7359" w:rsidRPr="00A8357F" w:rsidRDefault="005F7359" w:rsidP="00BE4767">
            <w:pPr>
              <w:bidi/>
              <w:rPr>
                <w:color w:val="000000"/>
                <w:sz w:val="18"/>
                <w:szCs w:val="18"/>
                <w:rtl/>
              </w:rPr>
            </w:pPr>
            <w:r w:rsidRPr="00A8357F">
              <w:rPr>
                <w:rFonts w:hint="cs"/>
                <w:color w:val="000000"/>
                <w:sz w:val="18"/>
                <w:szCs w:val="18"/>
                <w:rtl/>
              </w:rPr>
              <w:t>موارد خلاف الموظفين</w:t>
            </w:r>
            <w:r w:rsidRPr="00A8357F">
              <w:rPr>
                <w:rFonts w:hint="cs"/>
                <w:szCs w:val="18"/>
                <w:rtl/>
              </w:rPr>
              <w:t xml:space="preserve"> </w:t>
            </w:r>
          </w:p>
        </w:tc>
        <w:tc>
          <w:tcPr>
            <w:tcW w:w="1347" w:type="dxa"/>
            <w:hideMark/>
          </w:tcPr>
          <w:p w14:paraId="553C4F1C" w14:textId="77777777" w:rsidR="005F7359" w:rsidRPr="00A8357F"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tl/>
              </w:rPr>
            </w:pPr>
            <w:r w:rsidRPr="00A8357F">
              <w:rPr>
                <w:rFonts w:hint="cs"/>
                <w:color w:val="000000"/>
                <w:sz w:val="18"/>
                <w:szCs w:val="18"/>
                <w:rtl/>
              </w:rPr>
              <w:t>835,421</w:t>
            </w:r>
          </w:p>
        </w:tc>
        <w:tc>
          <w:tcPr>
            <w:tcW w:w="1347" w:type="dxa"/>
            <w:hideMark/>
          </w:tcPr>
          <w:p w14:paraId="05B3C529" w14:textId="77777777" w:rsidR="005F7359" w:rsidRPr="00A8357F"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tl/>
              </w:rPr>
            </w:pPr>
            <w:r w:rsidRPr="00A8357F">
              <w:rPr>
                <w:rFonts w:hint="cs"/>
                <w:color w:val="000000"/>
                <w:sz w:val="18"/>
                <w:szCs w:val="18"/>
                <w:rtl/>
              </w:rPr>
              <w:t>798,999</w:t>
            </w:r>
          </w:p>
        </w:tc>
        <w:tc>
          <w:tcPr>
            <w:tcW w:w="1730" w:type="dxa"/>
            <w:hideMark/>
          </w:tcPr>
          <w:p w14:paraId="5C9F5D28" w14:textId="77777777" w:rsidR="005F7359" w:rsidRPr="00A8357F"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rtl/>
              </w:rPr>
            </w:pPr>
            <w:r w:rsidRPr="00A8357F">
              <w:rPr>
                <w:rFonts w:hint="cs"/>
                <w:color w:val="000000"/>
                <w:sz w:val="18"/>
                <w:szCs w:val="18"/>
                <w:rtl/>
              </w:rPr>
              <w:t>629,398</w:t>
            </w:r>
          </w:p>
        </w:tc>
        <w:tc>
          <w:tcPr>
            <w:tcW w:w="1730" w:type="dxa"/>
          </w:tcPr>
          <w:p w14:paraId="68C5A843" w14:textId="77777777" w:rsidR="005F7359" w:rsidRPr="00A8357F"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tl/>
              </w:rPr>
            </w:pPr>
            <w:r w:rsidRPr="00A8357F">
              <w:rPr>
                <w:rFonts w:hint="cs"/>
                <w:color w:val="000000"/>
                <w:sz w:val="18"/>
                <w:szCs w:val="18"/>
                <w:rtl/>
              </w:rPr>
              <w:t>79%</w:t>
            </w:r>
          </w:p>
          <w:p w14:paraId="01D4FF4A" w14:textId="77777777" w:rsidR="005F7359" w:rsidRPr="00A8357F"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tc>
      </w:tr>
      <w:tr w:rsidR="005F7359" w:rsidRPr="00A8357F" w14:paraId="6861E555" w14:textId="77777777" w:rsidTr="00A950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6CD56D1C" w14:textId="6D999319" w:rsidR="005F7359" w:rsidRPr="00A8357F" w:rsidRDefault="005F7359" w:rsidP="00BE4767">
            <w:pPr>
              <w:bidi/>
              <w:jc w:val="right"/>
              <w:rPr>
                <w:b w:val="0"/>
                <w:bCs w:val="0"/>
                <w:color w:val="000000"/>
                <w:sz w:val="18"/>
                <w:szCs w:val="18"/>
                <w:rtl/>
              </w:rPr>
            </w:pPr>
            <w:r w:rsidRPr="00A8357F">
              <w:rPr>
                <w:rFonts w:hint="cs"/>
                <w:b w:val="0"/>
                <w:bCs w:val="0"/>
                <w:color w:val="000000"/>
                <w:sz w:val="18"/>
                <w:szCs w:val="18"/>
                <w:rtl/>
              </w:rPr>
              <w:t>المجموع</w:t>
            </w:r>
          </w:p>
        </w:tc>
        <w:tc>
          <w:tcPr>
            <w:tcW w:w="1347" w:type="dxa"/>
            <w:hideMark/>
          </w:tcPr>
          <w:p w14:paraId="52C7C335"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b/>
                <w:bCs/>
                <w:color w:val="000000"/>
                <w:sz w:val="18"/>
                <w:szCs w:val="18"/>
                <w:rtl/>
              </w:rPr>
            </w:pPr>
            <w:r w:rsidRPr="00A8357F">
              <w:rPr>
                <w:rFonts w:hint="cs"/>
                <w:color w:val="000000"/>
                <w:sz w:val="18"/>
                <w:szCs w:val="18"/>
                <w:rtl/>
              </w:rPr>
              <w:t>5,191,421</w:t>
            </w:r>
          </w:p>
        </w:tc>
        <w:tc>
          <w:tcPr>
            <w:tcW w:w="1347" w:type="dxa"/>
            <w:hideMark/>
          </w:tcPr>
          <w:p w14:paraId="5498A1CB"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b/>
                <w:bCs/>
                <w:color w:val="000000"/>
                <w:sz w:val="18"/>
                <w:szCs w:val="18"/>
                <w:rtl/>
              </w:rPr>
            </w:pPr>
            <w:r w:rsidRPr="00A8357F">
              <w:rPr>
                <w:rFonts w:hint="cs"/>
                <w:color w:val="000000"/>
                <w:sz w:val="18"/>
                <w:szCs w:val="18"/>
                <w:rtl/>
              </w:rPr>
              <w:t>5,270,499</w:t>
            </w:r>
          </w:p>
        </w:tc>
        <w:tc>
          <w:tcPr>
            <w:tcW w:w="1730" w:type="dxa"/>
            <w:hideMark/>
          </w:tcPr>
          <w:p w14:paraId="7E83C4E8"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b/>
                <w:bCs/>
                <w:color w:val="000000"/>
                <w:sz w:val="18"/>
                <w:szCs w:val="18"/>
                <w:highlight w:val="yellow"/>
                <w:rtl/>
              </w:rPr>
            </w:pPr>
            <w:r w:rsidRPr="00A8357F">
              <w:rPr>
                <w:rFonts w:hint="cs"/>
                <w:color w:val="000000"/>
                <w:sz w:val="18"/>
                <w:szCs w:val="18"/>
                <w:rtl/>
              </w:rPr>
              <w:t>5,267,741</w:t>
            </w:r>
          </w:p>
        </w:tc>
        <w:tc>
          <w:tcPr>
            <w:tcW w:w="1730" w:type="dxa"/>
          </w:tcPr>
          <w:p w14:paraId="2025E228" w14:textId="77777777" w:rsidR="005F7359" w:rsidRPr="00A8357F" w:rsidRDefault="005F7359" w:rsidP="00BE4767">
            <w:pPr>
              <w:bidi/>
              <w:jc w:val="center"/>
              <w:cnfStyle w:val="000000100000" w:firstRow="0" w:lastRow="0" w:firstColumn="0" w:lastColumn="0" w:oddVBand="0" w:evenVBand="0" w:oddHBand="1" w:evenHBand="0" w:firstRowFirstColumn="0" w:firstRowLastColumn="0" w:lastRowFirstColumn="0" w:lastRowLastColumn="0"/>
              <w:rPr>
                <w:b/>
                <w:bCs/>
                <w:color w:val="000000"/>
                <w:sz w:val="18"/>
                <w:szCs w:val="18"/>
                <w:rtl/>
              </w:rPr>
            </w:pPr>
            <w:r w:rsidRPr="00A8357F">
              <w:rPr>
                <w:rFonts w:hint="cs"/>
                <w:color w:val="000000"/>
                <w:sz w:val="18"/>
                <w:szCs w:val="18"/>
                <w:rtl/>
              </w:rPr>
              <w:t>100%</w:t>
            </w:r>
          </w:p>
        </w:tc>
      </w:tr>
      <w:tr w:rsidR="005F7359" w:rsidRPr="00A8357F" w14:paraId="699148A5" w14:textId="77777777" w:rsidTr="00A9506F">
        <w:trPr>
          <w:trHeight w:val="225"/>
        </w:trPr>
        <w:tc>
          <w:tcPr>
            <w:cnfStyle w:val="001000000000" w:firstRow="0" w:lastRow="0" w:firstColumn="1" w:lastColumn="0" w:oddVBand="0" w:evenVBand="0" w:oddHBand="0" w:evenHBand="0" w:firstRowFirstColumn="0" w:firstRowLastColumn="0" w:lastRowFirstColumn="0" w:lastRowLastColumn="0"/>
            <w:tcW w:w="2470" w:type="dxa"/>
            <w:noWrap/>
          </w:tcPr>
          <w:p w14:paraId="0EA7CEB1" w14:textId="77777777" w:rsidR="005F7359" w:rsidRPr="00A8357F" w:rsidRDefault="005F7359" w:rsidP="00BE4767">
            <w:pPr>
              <w:bidi/>
              <w:rPr>
                <w:color w:val="000000"/>
                <w:sz w:val="18"/>
                <w:szCs w:val="18"/>
                <w:rtl/>
              </w:rPr>
            </w:pPr>
            <w:r w:rsidRPr="00A8357F">
              <w:rPr>
                <w:rFonts w:hint="cs"/>
                <w:color w:val="000000"/>
                <w:sz w:val="18"/>
                <w:szCs w:val="18"/>
                <w:rtl/>
              </w:rPr>
              <w:t xml:space="preserve">مخصصات الشعبة كنسبة مئوية من الميزانية الإجمالية </w:t>
            </w:r>
            <w:proofErr w:type="spellStart"/>
            <w:r w:rsidRPr="00A8357F">
              <w:rPr>
                <w:rFonts w:hint="cs"/>
                <w:color w:val="000000"/>
                <w:sz w:val="18"/>
                <w:szCs w:val="18"/>
                <w:rtl/>
              </w:rPr>
              <w:t>للويبو</w:t>
            </w:r>
            <w:proofErr w:type="spellEnd"/>
          </w:p>
        </w:tc>
        <w:tc>
          <w:tcPr>
            <w:tcW w:w="1347" w:type="dxa"/>
          </w:tcPr>
          <w:p w14:paraId="56B1037D" w14:textId="77777777" w:rsidR="005F7359" w:rsidRPr="00A8357F"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tl/>
              </w:rPr>
            </w:pPr>
            <w:r w:rsidRPr="00A8357F">
              <w:rPr>
                <w:rFonts w:hint="cs"/>
                <w:color w:val="000000"/>
                <w:sz w:val="18"/>
                <w:szCs w:val="18"/>
                <w:rtl/>
              </w:rPr>
              <w:t>0.68%</w:t>
            </w:r>
          </w:p>
        </w:tc>
        <w:tc>
          <w:tcPr>
            <w:tcW w:w="1347" w:type="dxa"/>
          </w:tcPr>
          <w:p w14:paraId="5FDFAC2C" w14:textId="77777777" w:rsidR="005F7359" w:rsidRPr="00A8357F" w:rsidDel="000225E7"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tl/>
              </w:rPr>
            </w:pPr>
            <w:r w:rsidRPr="00A8357F">
              <w:rPr>
                <w:rFonts w:hint="cs"/>
                <w:color w:val="000000"/>
                <w:sz w:val="18"/>
                <w:szCs w:val="18"/>
                <w:rtl/>
              </w:rPr>
              <w:t>0.69%</w:t>
            </w:r>
          </w:p>
        </w:tc>
        <w:tc>
          <w:tcPr>
            <w:tcW w:w="1730" w:type="dxa"/>
          </w:tcPr>
          <w:p w14:paraId="22DD050E" w14:textId="77777777" w:rsidR="005F7359" w:rsidRPr="00A8357F" w:rsidDel="000225E7"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tl/>
              </w:rPr>
            </w:pPr>
            <w:r w:rsidRPr="00A8357F">
              <w:rPr>
                <w:rFonts w:hint="cs"/>
                <w:color w:val="000000"/>
                <w:sz w:val="18"/>
                <w:szCs w:val="18"/>
                <w:rtl/>
              </w:rPr>
              <w:t>0.78%</w:t>
            </w:r>
          </w:p>
        </w:tc>
        <w:tc>
          <w:tcPr>
            <w:tcW w:w="1730" w:type="dxa"/>
          </w:tcPr>
          <w:p w14:paraId="1417A13C" w14:textId="77777777" w:rsidR="005F7359" w:rsidRPr="00A8357F" w:rsidDel="000225E7" w:rsidRDefault="005F7359" w:rsidP="00BE4767">
            <w:pPr>
              <w:bidi/>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tc>
      </w:tr>
    </w:tbl>
    <w:p w14:paraId="59024528" w14:textId="6247CDD8" w:rsidR="00C46B12" w:rsidRPr="00A8357F" w:rsidRDefault="00C46B12" w:rsidP="00BE4767">
      <w:pPr>
        <w:pStyle w:val="Heading2"/>
        <w:bidi/>
        <w:rPr>
          <w:bCs w:val="0"/>
          <w:iCs w:val="0"/>
          <w:szCs w:val="22"/>
          <w:rtl/>
        </w:rPr>
      </w:pPr>
      <w:r w:rsidRPr="00A8357F">
        <w:rPr>
          <w:rFonts w:hint="cs"/>
          <w:bCs w:val="0"/>
          <w:iCs w:val="0"/>
          <w:szCs w:val="22"/>
          <w:rtl/>
        </w:rPr>
        <w:lastRenderedPageBreak/>
        <w:t>التدريب والتعليم المهني المستمر</w:t>
      </w:r>
    </w:p>
    <w:p w14:paraId="24A1A311" w14:textId="66C61637" w:rsidR="00BE4767" w:rsidRDefault="003038D9" w:rsidP="00BE4767">
      <w:pPr>
        <w:pStyle w:val="ONUME"/>
        <w:bidi/>
        <w:rPr>
          <w:szCs w:val="22"/>
          <w:rtl/>
        </w:rPr>
      </w:pPr>
      <w:r w:rsidRPr="00A8357F">
        <w:rPr>
          <w:rFonts w:hint="cs"/>
          <w:szCs w:val="22"/>
          <w:rtl/>
        </w:rPr>
        <w:t>إن التطوير المهني المستمر لموظفي شعبة الرقابة الداخلية ضروري لضمان قدرة الشعبة على تقديم الخدمات للمنظمة ودعمها بفعالية.</w:t>
      </w:r>
      <w:r w:rsidR="00BE4767">
        <w:rPr>
          <w:rFonts w:hint="cs"/>
          <w:szCs w:val="22"/>
          <w:rtl/>
        </w:rPr>
        <w:t xml:space="preserve"> </w:t>
      </w:r>
      <w:r w:rsidRPr="00A8357F">
        <w:rPr>
          <w:rFonts w:hint="cs"/>
          <w:szCs w:val="22"/>
          <w:rtl/>
        </w:rPr>
        <w:t>ووفقاً لسياسة الويبو التدريبية، التحق موظفو شعبة الرقابة الداخلية بصفوف أنشطة تدريبية مختلفة لاكتساب معارف جديدة ومهارات تقنية وكفاءات أخرى لزيادة الفعالية التشغيلية للشعبة وكفاءتها في الاضطلاع بمهام الرقابة.</w:t>
      </w:r>
    </w:p>
    <w:p w14:paraId="6C68A6E0" w14:textId="10F43D38" w:rsidR="00BE4767" w:rsidRDefault="00C46B12" w:rsidP="00BE4767">
      <w:pPr>
        <w:pStyle w:val="ONUME"/>
        <w:bidi/>
        <w:rPr>
          <w:szCs w:val="22"/>
          <w:rtl/>
        </w:rPr>
      </w:pPr>
      <w:r w:rsidRPr="00A8357F">
        <w:rPr>
          <w:rFonts w:hint="cs"/>
          <w:szCs w:val="22"/>
          <w:rtl/>
        </w:rPr>
        <w:t>وفي المتوسط، حضر كل موظف في شعبة الرقابة الداخلية 10 أيام من التدريب على موضوعات مثل ما يلي:</w:t>
      </w:r>
      <w:r w:rsidR="00BE4767">
        <w:rPr>
          <w:rFonts w:hint="cs"/>
          <w:szCs w:val="22"/>
          <w:rtl/>
        </w:rPr>
        <w:t xml:space="preserve"> </w:t>
      </w:r>
      <w:r w:rsidRPr="00A8357F">
        <w:rPr>
          <w:rFonts w:hint="cs"/>
          <w:szCs w:val="22"/>
          <w:rtl/>
        </w:rPr>
        <w:t>تحليل البيانات</w:t>
      </w:r>
      <w:r w:rsidR="00E03F20" w:rsidRPr="00E03F20">
        <w:rPr>
          <w:rFonts w:hint="cs"/>
          <w:szCs w:val="22"/>
          <w:rtl/>
        </w:rPr>
        <w:t xml:space="preserve"> </w:t>
      </w:r>
      <w:r w:rsidR="00E03F20" w:rsidRPr="00A8357F">
        <w:rPr>
          <w:rFonts w:hint="cs"/>
          <w:szCs w:val="22"/>
          <w:rtl/>
        </w:rPr>
        <w:t>وتقديم</w:t>
      </w:r>
      <w:r w:rsidR="00E03F20">
        <w:rPr>
          <w:rFonts w:hint="cs"/>
          <w:szCs w:val="22"/>
          <w:rtl/>
        </w:rPr>
        <w:t>ها</w:t>
      </w:r>
      <w:r w:rsidRPr="00A8357F">
        <w:rPr>
          <w:rFonts w:hint="cs"/>
          <w:szCs w:val="22"/>
          <w:rtl/>
        </w:rPr>
        <w:t xml:space="preserve">، واتخاذ القرارات، وعلم الأعصاب التطبيقي، وتحليلات </w:t>
      </w:r>
      <w:r w:rsidRPr="00A8357F">
        <w:rPr>
          <w:szCs w:val="22"/>
        </w:rPr>
        <w:t>ACL</w:t>
      </w:r>
      <w:r w:rsidRPr="00A8357F">
        <w:rPr>
          <w:rFonts w:hint="cs"/>
          <w:szCs w:val="22"/>
          <w:rtl/>
        </w:rPr>
        <w:t xml:space="preserve">، وتحليلات </w:t>
      </w:r>
      <w:proofErr w:type="spellStart"/>
      <w:r w:rsidRPr="00A8357F">
        <w:rPr>
          <w:szCs w:val="22"/>
        </w:rPr>
        <w:t>TeamMate</w:t>
      </w:r>
      <w:proofErr w:type="spellEnd"/>
      <w:r w:rsidRPr="00A8357F">
        <w:rPr>
          <w:rFonts w:hint="cs"/>
          <w:szCs w:val="22"/>
          <w:rtl/>
        </w:rPr>
        <w:t xml:space="preserve">، وشهادات التدقيق الداخلي، والبحث عبر الإنترنت، والتكنولوجيات الناشئة، وإعداد التقارير المالية المتكاملة، وإطار </w:t>
      </w:r>
      <w:r w:rsidRPr="00A8357F">
        <w:rPr>
          <w:szCs w:val="22"/>
        </w:rPr>
        <w:t>COBIT 5</w:t>
      </w:r>
      <w:r w:rsidRPr="00A8357F">
        <w:rPr>
          <w:rFonts w:hint="cs"/>
          <w:szCs w:val="22"/>
          <w:rtl/>
        </w:rPr>
        <w:t xml:space="preserve">، والأمن </w:t>
      </w:r>
      <w:proofErr w:type="spellStart"/>
      <w:r w:rsidRPr="00A8357F">
        <w:rPr>
          <w:rFonts w:hint="cs"/>
          <w:szCs w:val="22"/>
          <w:rtl/>
        </w:rPr>
        <w:t>السيبراني</w:t>
      </w:r>
      <w:proofErr w:type="spellEnd"/>
      <w:r w:rsidRPr="00A8357F">
        <w:rPr>
          <w:rFonts w:hint="cs"/>
          <w:szCs w:val="22"/>
          <w:rtl/>
        </w:rPr>
        <w:t>، ومهارات إجراء المقابلات.</w:t>
      </w:r>
    </w:p>
    <w:p w14:paraId="1509FA86" w14:textId="67F99226" w:rsidR="00044A42" w:rsidRPr="00A8357F" w:rsidRDefault="002150AF" w:rsidP="00BE4767">
      <w:pPr>
        <w:pStyle w:val="Heading2"/>
        <w:bidi/>
        <w:rPr>
          <w:bCs w:val="0"/>
          <w:iCs w:val="0"/>
          <w:szCs w:val="22"/>
          <w:rtl/>
        </w:rPr>
      </w:pPr>
      <w:r w:rsidRPr="00A8357F">
        <w:rPr>
          <w:rFonts w:hint="cs"/>
          <w:bCs w:val="0"/>
          <w:iCs w:val="0"/>
          <w:szCs w:val="22"/>
          <w:rtl/>
        </w:rPr>
        <w:t>استقصاء الرضا</w:t>
      </w:r>
    </w:p>
    <w:p w14:paraId="1CCAFF48" w14:textId="0AE83E00" w:rsidR="00BE4767" w:rsidRDefault="00044A42" w:rsidP="00BE4767">
      <w:pPr>
        <w:pStyle w:val="ONUME"/>
        <w:bidi/>
        <w:rPr>
          <w:szCs w:val="22"/>
          <w:rtl/>
        </w:rPr>
      </w:pPr>
      <w:r w:rsidRPr="00A8357F">
        <w:rPr>
          <w:rFonts w:hint="cs"/>
          <w:szCs w:val="22"/>
          <w:rtl/>
        </w:rPr>
        <w:t>واصلت شعبة الرقابة الداخلية استقصاء رضا الزملاء من وحدات الويبو</w:t>
      </w:r>
      <w:r w:rsidR="004D2232">
        <w:rPr>
          <w:rFonts w:hint="cs"/>
          <w:szCs w:val="22"/>
          <w:rtl/>
        </w:rPr>
        <w:t xml:space="preserve"> التنظيمية</w:t>
      </w:r>
      <w:r w:rsidRPr="00A8357F">
        <w:rPr>
          <w:rFonts w:hint="cs"/>
          <w:szCs w:val="22"/>
          <w:rtl/>
        </w:rPr>
        <w:t xml:space="preserve"> الخاضعة للتدقيق أو التقييم عن طريق استقصاء رضا الزبائن عقب كل مهمة.</w:t>
      </w:r>
      <w:r w:rsidR="00BE4767">
        <w:rPr>
          <w:rFonts w:hint="cs"/>
          <w:szCs w:val="22"/>
          <w:rtl/>
        </w:rPr>
        <w:t xml:space="preserve"> </w:t>
      </w:r>
      <w:r w:rsidRPr="00A8357F">
        <w:rPr>
          <w:rFonts w:hint="cs"/>
          <w:szCs w:val="22"/>
          <w:rtl/>
        </w:rPr>
        <w:t>ويهدف ذلك إلى الحصول على آراء الزملاء في العمل الرقابي وتحليلها.</w:t>
      </w:r>
      <w:r w:rsidR="00BE4767">
        <w:rPr>
          <w:rFonts w:hint="cs"/>
          <w:szCs w:val="22"/>
          <w:rtl/>
        </w:rPr>
        <w:t xml:space="preserve"> </w:t>
      </w:r>
      <w:r w:rsidRPr="00A8357F">
        <w:rPr>
          <w:rFonts w:hint="cs"/>
          <w:szCs w:val="22"/>
          <w:rtl/>
        </w:rPr>
        <w:t>وفي نهاية عام 2021، بلغت نسبة الرضا 83 في المئة وفقاً للتحليل الموحد لنتائج الاستقصاء.</w:t>
      </w:r>
    </w:p>
    <w:p w14:paraId="298D5C47" w14:textId="77777777" w:rsidR="00BE4767" w:rsidRDefault="00044A42" w:rsidP="00BE4767">
      <w:pPr>
        <w:pStyle w:val="ONUME"/>
        <w:bidi/>
        <w:rPr>
          <w:szCs w:val="22"/>
          <w:rtl/>
        </w:rPr>
      </w:pPr>
      <w:r w:rsidRPr="00A8357F">
        <w:rPr>
          <w:rFonts w:hint="cs"/>
          <w:szCs w:val="22"/>
          <w:rtl/>
        </w:rPr>
        <w:t>وأشارت نتائج الاستقصاء، التي أجريت بعد سنة من تنفيذ المهام والتي استخدمت لقياس أثر العمل الرقابي، إلى نسبة رضا متوسطة تبلغ 80 في المئة.</w:t>
      </w:r>
    </w:p>
    <w:p w14:paraId="2E5D8560" w14:textId="65E7CDB1" w:rsidR="006D40D5" w:rsidRPr="00A8357F" w:rsidRDefault="00C53813" w:rsidP="00BE4767">
      <w:pPr>
        <w:pStyle w:val="ONUME"/>
        <w:bidi/>
        <w:rPr>
          <w:szCs w:val="22"/>
          <w:rtl/>
        </w:rPr>
      </w:pPr>
      <w:r w:rsidRPr="00A8357F">
        <w:rPr>
          <w:rFonts w:hint="cs"/>
          <w:szCs w:val="22"/>
          <w:rtl/>
        </w:rPr>
        <w:t>وساعدت التعليقات الإضافية، التي أرسلتها الوحدات التي خضعت للتدقيق/التقييم من خلال الاستقصاء، شعبة الرقابة الداخلية على تحديد أوجه القصور والعمل على اتخاذ إجراءات تصحيحية.</w:t>
      </w:r>
      <w:r w:rsidR="00BE4767">
        <w:rPr>
          <w:rFonts w:hint="cs"/>
          <w:szCs w:val="22"/>
          <w:rtl/>
        </w:rPr>
        <w:t xml:space="preserve"> </w:t>
      </w:r>
      <w:r w:rsidRPr="00A8357F">
        <w:rPr>
          <w:rFonts w:hint="cs"/>
          <w:szCs w:val="22"/>
          <w:rtl/>
        </w:rPr>
        <w:t>وستسعى الشعبة جاهدة إلى تحسين أثر عملها الرقابي استناداً إلى آراء الزملاء.</w:t>
      </w:r>
    </w:p>
    <w:p w14:paraId="25BACC70" w14:textId="77777777" w:rsidR="007C3613" w:rsidRPr="00A8357F" w:rsidRDefault="002150AF" w:rsidP="00BE4767">
      <w:pPr>
        <w:pStyle w:val="Heading2"/>
        <w:bidi/>
        <w:rPr>
          <w:bCs w:val="0"/>
          <w:iCs w:val="0"/>
          <w:szCs w:val="22"/>
          <w:rtl/>
        </w:rPr>
      </w:pPr>
      <w:r w:rsidRPr="00A8357F">
        <w:rPr>
          <w:rFonts w:hint="cs"/>
          <w:bCs w:val="0"/>
          <w:iCs w:val="0"/>
          <w:szCs w:val="22"/>
          <w:rtl/>
        </w:rPr>
        <w:t>التقييم الداخلي والخارجي الدوري</w:t>
      </w:r>
    </w:p>
    <w:p w14:paraId="0AFD58E3" w14:textId="7CBD75ED" w:rsidR="00BE4767" w:rsidRDefault="007C3613" w:rsidP="00BE4767">
      <w:pPr>
        <w:pStyle w:val="ONUME"/>
        <w:bidi/>
        <w:rPr>
          <w:szCs w:val="22"/>
          <w:rtl/>
        </w:rPr>
      </w:pPr>
      <w:r w:rsidRPr="00A8357F">
        <w:rPr>
          <w:rFonts w:hint="cs"/>
          <w:szCs w:val="22"/>
          <w:rtl/>
        </w:rPr>
        <w:t>تجري كل وظيفة من وظائف شعبة الرقابة الداخلية عمليات تقييم ذاتية و/أو خارجية كل خمس سنوات لتحديد ما إذا كانت وظائف الشعبة تؤدي واجباتها بكفاءة وفعالية، وبما يتفق مع المعايير والممارسات المهنية ومدونة الأخلاقيات في مجالات عملها.</w:t>
      </w:r>
      <w:r w:rsidR="00BE4767">
        <w:rPr>
          <w:rFonts w:hint="cs"/>
          <w:szCs w:val="22"/>
          <w:rtl/>
        </w:rPr>
        <w:t xml:space="preserve"> </w:t>
      </w:r>
      <w:r w:rsidRPr="00A8357F">
        <w:rPr>
          <w:rFonts w:hint="cs"/>
          <w:szCs w:val="22"/>
          <w:rtl/>
        </w:rPr>
        <w:t>ويمكن الاطلاع على عناصر برنامج الجودة لشعبة الرقابة الداخلية في الكتيبات والمبادئ التوجيهية وإجراءات التشغيل الوجيهة.</w:t>
      </w:r>
      <w:r w:rsidR="00BE4767">
        <w:rPr>
          <w:rFonts w:hint="cs"/>
          <w:szCs w:val="22"/>
          <w:rtl/>
        </w:rPr>
        <w:t xml:space="preserve"> </w:t>
      </w:r>
      <w:r w:rsidRPr="00A8357F">
        <w:rPr>
          <w:rFonts w:hint="cs"/>
          <w:szCs w:val="22"/>
          <w:rtl/>
        </w:rPr>
        <w:t>وترد نتائج عمليات التقييم الخارجية التي أُجريت فيما يخص كل وظيفة من وظائف شعبة الرقابة الداخلية في التقرير السنوي لعام 2020، ويجري تنفيذ التوصيات المنبثقة من ذلك التقرير.</w:t>
      </w:r>
      <w:r w:rsidR="00BE4767">
        <w:rPr>
          <w:rFonts w:hint="cs"/>
          <w:szCs w:val="22"/>
          <w:rtl/>
        </w:rPr>
        <w:t xml:space="preserve"> </w:t>
      </w:r>
      <w:r w:rsidRPr="00A8357F">
        <w:rPr>
          <w:rFonts w:hint="cs"/>
          <w:szCs w:val="22"/>
          <w:rtl/>
        </w:rPr>
        <w:t>ولم يجرَ أي تقييم خارجي في عام 2021، ومن المقرر إجراء التقييم الذاتي المقبل للثنائية لوظيفة التدقيق الداخلي في أوائل عام 2023، وسيغطي عامَي 2021 و2022.</w:t>
      </w:r>
    </w:p>
    <w:p w14:paraId="7A654FDD" w14:textId="2F19C73E" w:rsidR="007D131F" w:rsidRPr="00B866A3" w:rsidRDefault="007D131F" w:rsidP="00B866A3">
      <w:pPr>
        <w:pStyle w:val="Endofdocument-Annex"/>
        <w:bidi/>
        <w:rPr>
          <w:sz w:val="24"/>
          <w:szCs w:val="22"/>
          <w:rtl/>
        </w:rPr>
      </w:pPr>
      <w:r w:rsidRPr="00B866A3">
        <w:rPr>
          <w:rFonts w:hint="cs"/>
          <w:sz w:val="24"/>
          <w:szCs w:val="22"/>
          <w:rtl/>
        </w:rPr>
        <w:t>[يلي ذلك المرفق]</w:t>
      </w:r>
    </w:p>
    <w:p w14:paraId="1BB5DA7B" w14:textId="77777777" w:rsidR="00C46B12" w:rsidRPr="00B866A3" w:rsidRDefault="00C46B12" w:rsidP="00BE4767">
      <w:pPr>
        <w:keepLines/>
        <w:tabs>
          <w:tab w:val="left" w:pos="5529"/>
          <w:tab w:val="left" w:pos="6930"/>
          <w:tab w:val="right" w:pos="9355"/>
        </w:tabs>
        <w:bidi/>
        <w:rPr>
          <w:sz w:val="24"/>
          <w:szCs w:val="24"/>
        </w:rPr>
      </w:pPr>
    </w:p>
    <w:p w14:paraId="2A8B6AA4" w14:textId="77777777" w:rsidR="00C46B12" w:rsidRPr="00A8357F" w:rsidRDefault="00C46B12" w:rsidP="00BE4767">
      <w:pPr>
        <w:pStyle w:val="ONUME"/>
        <w:keepLines/>
        <w:numPr>
          <w:ilvl w:val="0"/>
          <w:numId w:val="0"/>
        </w:numPr>
        <w:bidi/>
        <w:jc w:val="right"/>
        <w:rPr>
          <w:szCs w:val="22"/>
        </w:rPr>
        <w:sectPr w:rsidR="00C46B12" w:rsidRPr="00A8357F" w:rsidSect="00E6051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305" w:right="1134" w:bottom="1418" w:left="1418" w:header="510" w:footer="1021" w:gutter="0"/>
          <w:pgNumType w:start="1"/>
          <w:cols w:space="720"/>
          <w:titlePg/>
          <w:docGrid w:linePitch="299"/>
        </w:sectPr>
      </w:pPr>
    </w:p>
    <w:p w14:paraId="4186D3C5" w14:textId="77777777" w:rsidR="00C46B12" w:rsidRPr="00A8357F" w:rsidRDefault="00994D8C" w:rsidP="00BE4767">
      <w:pPr>
        <w:keepLines/>
        <w:bidi/>
        <w:spacing w:after="120"/>
        <w:jc w:val="center"/>
        <w:rPr>
          <w:szCs w:val="22"/>
          <w:rtl/>
        </w:rPr>
      </w:pPr>
      <w:bookmarkStart w:id="56" w:name="ANNEX"/>
      <w:r w:rsidRPr="00A8357F">
        <w:rPr>
          <w:rFonts w:hint="cs"/>
          <w:b/>
          <w:bCs/>
          <w:szCs w:val="22"/>
          <w:rtl/>
        </w:rPr>
        <w:lastRenderedPageBreak/>
        <w:t>المرفق - قائمة تقارير شعبة الرقابة الداخلية</w:t>
      </w:r>
    </w:p>
    <w:tbl>
      <w:tblPr>
        <w:tblStyle w:val="TableGridLight"/>
        <w:bidiVisual/>
        <w:tblW w:w="0" w:type="auto"/>
        <w:tblLook w:val="04A0" w:firstRow="1" w:lastRow="0" w:firstColumn="1" w:lastColumn="0" w:noHBand="0" w:noVBand="1"/>
        <w:tblCaption w:val="المرفق"/>
        <w:tblDescription w:val="قائمة تقارير شعبة الرقابة الداخلية الصادرة من 1 يناير 2021 إلى 31 ديسمبر 2021&#10;"/>
      </w:tblPr>
      <w:tblGrid>
        <w:gridCol w:w="7508"/>
        <w:gridCol w:w="1837"/>
      </w:tblGrid>
      <w:tr w:rsidR="00783303" w:rsidRPr="00A8357F" w14:paraId="210CE5DF" w14:textId="77777777" w:rsidTr="00783303">
        <w:trPr>
          <w:trHeight w:val="851"/>
          <w:tblHeader/>
        </w:trPr>
        <w:tc>
          <w:tcPr>
            <w:tcW w:w="7508" w:type="dxa"/>
            <w:shd w:val="clear" w:color="auto" w:fill="D9D9D9" w:themeFill="background1" w:themeFillShade="D9"/>
            <w:vAlign w:val="center"/>
          </w:tcPr>
          <w:bookmarkEnd w:id="56"/>
          <w:p w14:paraId="6C76FD43" w14:textId="77777777" w:rsidR="00783303" w:rsidRPr="00A8357F" w:rsidRDefault="00783303" w:rsidP="00BE4767">
            <w:pPr>
              <w:pStyle w:val="ONUME"/>
              <w:numPr>
                <w:ilvl w:val="0"/>
                <w:numId w:val="0"/>
              </w:numPr>
              <w:bidi/>
              <w:spacing w:after="240"/>
              <w:rPr>
                <w:rFonts w:eastAsia="Times New Roman"/>
                <w:color w:val="000000"/>
                <w:sz w:val="24"/>
                <w:szCs w:val="24"/>
                <w:rtl/>
              </w:rPr>
            </w:pPr>
            <w:r w:rsidRPr="00A8357F">
              <w:rPr>
                <w:rFonts w:hint="cs"/>
                <w:b/>
                <w:bCs/>
                <w:color w:val="000000"/>
                <w:sz w:val="24"/>
                <w:szCs w:val="24"/>
                <w:rtl/>
              </w:rPr>
              <w:t>تقارير شعبة الرقابة الداخلية الصادرة من 1 يناير 2021 إلى 31 ديسمبر 2021</w:t>
            </w:r>
          </w:p>
        </w:tc>
        <w:tc>
          <w:tcPr>
            <w:tcW w:w="1837" w:type="dxa"/>
            <w:shd w:val="clear" w:color="auto" w:fill="D9D9D9" w:themeFill="background1" w:themeFillShade="D9"/>
            <w:vAlign w:val="center"/>
          </w:tcPr>
          <w:p w14:paraId="2BDEE53B" w14:textId="77777777" w:rsidR="00783303" w:rsidRPr="00A8357F" w:rsidRDefault="00783303" w:rsidP="00BE4767">
            <w:pPr>
              <w:pStyle w:val="ONUME"/>
              <w:numPr>
                <w:ilvl w:val="0"/>
                <w:numId w:val="0"/>
              </w:numPr>
              <w:bidi/>
              <w:ind w:left="34"/>
              <w:jc w:val="center"/>
              <w:rPr>
                <w:rFonts w:eastAsia="Times New Roman"/>
                <w:b/>
                <w:bCs/>
                <w:color w:val="000000"/>
                <w:sz w:val="24"/>
                <w:szCs w:val="24"/>
                <w:rtl/>
              </w:rPr>
            </w:pPr>
            <w:r w:rsidRPr="00A8357F">
              <w:rPr>
                <w:rFonts w:hint="cs"/>
                <w:b/>
                <w:bCs/>
                <w:color w:val="000000"/>
                <w:sz w:val="24"/>
                <w:szCs w:val="24"/>
                <w:rtl/>
              </w:rPr>
              <w:t>الرقم المرجعي</w:t>
            </w:r>
          </w:p>
        </w:tc>
      </w:tr>
      <w:tr w:rsidR="00FF003D" w:rsidRPr="00A8357F" w14:paraId="723560B3" w14:textId="77777777" w:rsidTr="0010783D">
        <w:trPr>
          <w:trHeight w:val="584"/>
          <w:tblHeader/>
        </w:trPr>
        <w:tc>
          <w:tcPr>
            <w:tcW w:w="7508" w:type="dxa"/>
            <w:vAlign w:val="center"/>
          </w:tcPr>
          <w:p w14:paraId="06DB62E6" w14:textId="77777777" w:rsidR="00FF003D" w:rsidRPr="00A8357F" w:rsidRDefault="00721BDA" w:rsidP="00BE4767">
            <w:pPr>
              <w:pStyle w:val="ONUME"/>
              <w:numPr>
                <w:ilvl w:val="0"/>
                <w:numId w:val="0"/>
              </w:numPr>
              <w:bidi/>
              <w:jc w:val="center"/>
              <w:rPr>
                <w:szCs w:val="22"/>
                <w:rtl/>
              </w:rPr>
            </w:pPr>
            <w:r w:rsidRPr="00A8357F">
              <w:rPr>
                <w:rFonts w:hint="cs"/>
                <w:color w:val="000000"/>
                <w:sz w:val="24"/>
                <w:szCs w:val="24"/>
                <w:rtl/>
              </w:rPr>
              <w:t>التدقيق واستعراض النزاهة في إدارة حالات الغياب</w:t>
            </w:r>
          </w:p>
        </w:tc>
        <w:tc>
          <w:tcPr>
            <w:tcW w:w="1837" w:type="dxa"/>
            <w:vAlign w:val="center"/>
          </w:tcPr>
          <w:p w14:paraId="296DBE97" w14:textId="77777777" w:rsidR="00FF003D" w:rsidRPr="00A8357F" w:rsidRDefault="00FF003D" w:rsidP="00B6500B">
            <w:pPr>
              <w:pStyle w:val="ONUME"/>
              <w:numPr>
                <w:ilvl w:val="0"/>
                <w:numId w:val="0"/>
              </w:numPr>
              <w:ind w:left="34"/>
              <w:jc w:val="center"/>
              <w:rPr>
                <w:szCs w:val="22"/>
                <w:rtl/>
              </w:rPr>
            </w:pPr>
            <w:r w:rsidRPr="00A8357F">
              <w:rPr>
                <w:color w:val="000000"/>
                <w:sz w:val="24"/>
                <w:szCs w:val="24"/>
              </w:rPr>
              <w:t>IA 2020-02</w:t>
            </w:r>
          </w:p>
        </w:tc>
      </w:tr>
      <w:tr w:rsidR="00FF003D" w:rsidRPr="00A8357F" w14:paraId="4832E85E" w14:textId="77777777" w:rsidTr="0010783D">
        <w:trPr>
          <w:trHeight w:val="620"/>
        </w:trPr>
        <w:tc>
          <w:tcPr>
            <w:tcW w:w="7508" w:type="dxa"/>
            <w:vAlign w:val="center"/>
          </w:tcPr>
          <w:p w14:paraId="04CB9590" w14:textId="77777777" w:rsidR="00FF003D" w:rsidRPr="00A8357F" w:rsidRDefault="00FF003D" w:rsidP="00BE4767">
            <w:pPr>
              <w:pStyle w:val="ONUME"/>
              <w:numPr>
                <w:ilvl w:val="0"/>
                <w:numId w:val="0"/>
              </w:numPr>
              <w:bidi/>
              <w:jc w:val="center"/>
              <w:rPr>
                <w:rFonts w:eastAsia="Times New Roman"/>
                <w:color w:val="3B3B3B"/>
                <w:sz w:val="24"/>
                <w:szCs w:val="24"/>
                <w:rtl/>
              </w:rPr>
            </w:pPr>
            <w:r w:rsidRPr="00A8357F">
              <w:rPr>
                <w:rFonts w:hint="cs"/>
                <w:sz w:val="24"/>
                <w:szCs w:val="24"/>
                <w:rtl/>
              </w:rPr>
              <w:t>تدقيق إدارة أمن الفضاء الإلكتروني في الويبو</w:t>
            </w:r>
          </w:p>
        </w:tc>
        <w:tc>
          <w:tcPr>
            <w:tcW w:w="1837" w:type="dxa"/>
            <w:vAlign w:val="center"/>
          </w:tcPr>
          <w:p w14:paraId="11356366" w14:textId="77777777" w:rsidR="00FF003D" w:rsidRPr="00A8357F" w:rsidRDefault="00FF003D" w:rsidP="00B6500B">
            <w:pPr>
              <w:pStyle w:val="ONUME"/>
              <w:numPr>
                <w:ilvl w:val="0"/>
                <w:numId w:val="0"/>
              </w:numPr>
              <w:ind w:left="34"/>
              <w:jc w:val="center"/>
              <w:rPr>
                <w:rFonts w:eastAsia="Times New Roman"/>
                <w:color w:val="000000"/>
                <w:sz w:val="24"/>
                <w:szCs w:val="24"/>
                <w:rtl/>
              </w:rPr>
            </w:pPr>
            <w:r w:rsidRPr="00A8357F">
              <w:rPr>
                <w:color w:val="000000"/>
                <w:sz w:val="24"/>
                <w:szCs w:val="24"/>
              </w:rPr>
              <w:t>IA 2020-04</w:t>
            </w:r>
          </w:p>
        </w:tc>
      </w:tr>
      <w:tr w:rsidR="00FF003D" w:rsidRPr="00A8357F" w14:paraId="3B1B8F0B" w14:textId="77777777" w:rsidTr="0010783D">
        <w:trPr>
          <w:trHeight w:val="620"/>
        </w:trPr>
        <w:tc>
          <w:tcPr>
            <w:tcW w:w="7508" w:type="dxa"/>
            <w:vAlign w:val="center"/>
          </w:tcPr>
          <w:p w14:paraId="64092D59" w14:textId="77777777" w:rsidR="00FF003D" w:rsidRPr="00A8357F" w:rsidRDefault="00C4224C" w:rsidP="00BE4767">
            <w:pPr>
              <w:pStyle w:val="ONUME"/>
              <w:numPr>
                <w:ilvl w:val="0"/>
                <w:numId w:val="0"/>
              </w:numPr>
              <w:bidi/>
              <w:jc w:val="center"/>
              <w:rPr>
                <w:szCs w:val="22"/>
                <w:rtl/>
              </w:rPr>
            </w:pPr>
            <w:r w:rsidRPr="00A8357F">
              <w:rPr>
                <w:rFonts w:hint="cs"/>
                <w:color w:val="000000"/>
                <w:sz w:val="24"/>
                <w:szCs w:val="24"/>
                <w:rtl/>
              </w:rPr>
              <w:t>استعراض إدارة الويبو للأزمات في أثناء الجائحة</w:t>
            </w:r>
          </w:p>
        </w:tc>
        <w:tc>
          <w:tcPr>
            <w:tcW w:w="1837" w:type="dxa"/>
            <w:vAlign w:val="center"/>
          </w:tcPr>
          <w:p w14:paraId="4F1D88F2" w14:textId="77777777" w:rsidR="00FF003D" w:rsidRPr="00A8357F" w:rsidRDefault="00FF003D" w:rsidP="00B6500B">
            <w:pPr>
              <w:pStyle w:val="ONUME"/>
              <w:numPr>
                <w:ilvl w:val="0"/>
                <w:numId w:val="0"/>
              </w:numPr>
              <w:ind w:left="34"/>
              <w:jc w:val="center"/>
              <w:rPr>
                <w:szCs w:val="22"/>
                <w:rtl/>
              </w:rPr>
            </w:pPr>
            <w:r w:rsidRPr="00A8357F">
              <w:rPr>
                <w:color w:val="000000"/>
                <w:sz w:val="24"/>
                <w:szCs w:val="24"/>
              </w:rPr>
              <w:t>IA 2020-05</w:t>
            </w:r>
          </w:p>
        </w:tc>
      </w:tr>
      <w:tr w:rsidR="00783303" w:rsidRPr="00A8357F" w14:paraId="613F7983" w14:textId="77777777" w:rsidTr="0010783D">
        <w:trPr>
          <w:trHeight w:val="620"/>
        </w:trPr>
        <w:tc>
          <w:tcPr>
            <w:tcW w:w="7508" w:type="dxa"/>
            <w:vAlign w:val="center"/>
          </w:tcPr>
          <w:p w14:paraId="2B4B7EC0" w14:textId="77777777" w:rsidR="00783303" w:rsidRPr="00A8357F" w:rsidRDefault="00783303"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استعراض إدارة الأداء وتطوير الموظفين في الويبو</w:t>
            </w:r>
          </w:p>
        </w:tc>
        <w:tc>
          <w:tcPr>
            <w:tcW w:w="1837" w:type="dxa"/>
            <w:vAlign w:val="center"/>
          </w:tcPr>
          <w:p w14:paraId="0A4A58DB" w14:textId="77777777" w:rsidR="00783303" w:rsidRPr="00A8357F" w:rsidRDefault="00783303" w:rsidP="00B6500B">
            <w:pPr>
              <w:pStyle w:val="ONUME"/>
              <w:numPr>
                <w:ilvl w:val="0"/>
                <w:numId w:val="0"/>
              </w:numPr>
              <w:ind w:left="34"/>
              <w:jc w:val="center"/>
              <w:rPr>
                <w:rFonts w:eastAsia="Times New Roman"/>
                <w:color w:val="000000"/>
                <w:sz w:val="24"/>
                <w:szCs w:val="24"/>
                <w:rtl/>
              </w:rPr>
            </w:pPr>
            <w:r w:rsidRPr="00A8357F">
              <w:rPr>
                <w:color w:val="000000"/>
                <w:sz w:val="24"/>
                <w:szCs w:val="24"/>
              </w:rPr>
              <w:t>IA 2021-06</w:t>
            </w:r>
          </w:p>
        </w:tc>
      </w:tr>
      <w:tr w:rsidR="001C0BFD" w:rsidRPr="00A8357F" w14:paraId="3581FB3F" w14:textId="77777777" w:rsidTr="0010783D">
        <w:trPr>
          <w:trHeight w:val="647"/>
        </w:trPr>
        <w:tc>
          <w:tcPr>
            <w:tcW w:w="7508" w:type="dxa"/>
            <w:vAlign w:val="center"/>
          </w:tcPr>
          <w:p w14:paraId="5B257A05" w14:textId="77777777" w:rsidR="001C0BFD" w:rsidRPr="00A8357F" w:rsidRDefault="001C0BFD"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تقييم شعبة البلدان العربية</w:t>
            </w:r>
          </w:p>
        </w:tc>
        <w:tc>
          <w:tcPr>
            <w:tcW w:w="1837" w:type="dxa"/>
            <w:vAlign w:val="center"/>
          </w:tcPr>
          <w:p w14:paraId="47C6ED14" w14:textId="77777777" w:rsidR="001C0BFD" w:rsidRPr="00A8357F" w:rsidRDefault="001C0BFD" w:rsidP="00B6500B">
            <w:pPr>
              <w:pStyle w:val="ONUME"/>
              <w:numPr>
                <w:ilvl w:val="0"/>
                <w:numId w:val="0"/>
              </w:numPr>
              <w:ind w:left="34"/>
              <w:jc w:val="center"/>
              <w:rPr>
                <w:rFonts w:eastAsia="Times New Roman"/>
                <w:color w:val="000000"/>
                <w:sz w:val="24"/>
                <w:szCs w:val="24"/>
                <w:rtl/>
              </w:rPr>
            </w:pPr>
            <w:r w:rsidRPr="00A8357F">
              <w:rPr>
                <w:color w:val="000000"/>
                <w:sz w:val="24"/>
                <w:szCs w:val="24"/>
              </w:rPr>
              <w:t>EVAL 2020-01</w:t>
            </w:r>
          </w:p>
        </w:tc>
      </w:tr>
      <w:tr w:rsidR="001C0BFD" w:rsidRPr="00A8357F" w14:paraId="497B46DD" w14:textId="77777777" w:rsidTr="0010783D">
        <w:trPr>
          <w:trHeight w:val="530"/>
        </w:trPr>
        <w:tc>
          <w:tcPr>
            <w:tcW w:w="7508" w:type="dxa"/>
            <w:vAlign w:val="center"/>
          </w:tcPr>
          <w:p w14:paraId="569077B4" w14:textId="77777777" w:rsidR="001C0BFD" w:rsidRPr="00A8357F" w:rsidRDefault="001C0BFD"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 xml:space="preserve">تقييم برنامج </w:t>
            </w:r>
            <w:r w:rsidRPr="00A8357F">
              <w:rPr>
                <w:color w:val="000000"/>
                <w:sz w:val="24"/>
                <w:szCs w:val="24"/>
              </w:rPr>
              <w:t>WIPO Match</w:t>
            </w:r>
          </w:p>
        </w:tc>
        <w:tc>
          <w:tcPr>
            <w:tcW w:w="1837" w:type="dxa"/>
            <w:vAlign w:val="center"/>
          </w:tcPr>
          <w:p w14:paraId="7F4D09BB" w14:textId="77777777" w:rsidR="001C0BFD" w:rsidRPr="00A8357F" w:rsidRDefault="001C0BFD" w:rsidP="00B6500B">
            <w:pPr>
              <w:pStyle w:val="ONUME"/>
              <w:numPr>
                <w:ilvl w:val="0"/>
                <w:numId w:val="0"/>
              </w:numPr>
              <w:ind w:left="34"/>
              <w:jc w:val="center"/>
              <w:rPr>
                <w:rFonts w:eastAsia="Times New Roman"/>
                <w:color w:val="000000"/>
                <w:sz w:val="24"/>
                <w:szCs w:val="24"/>
                <w:rtl/>
              </w:rPr>
            </w:pPr>
            <w:r w:rsidRPr="00A8357F">
              <w:rPr>
                <w:color w:val="000000"/>
                <w:sz w:val="24"/>
                <w:szCs w:val="24"/>
              </w:rPr>
              <w:t>EVAL 2020-05</w:t>
            </w:r>
          </w:p>
        </w:tc>
      </w:tr>
      <w:tr w:rsidR="001C0BFD" w:rsidRPr="00A8357F" w14:paraId="4AB10382" w14:textId="77777777" w:rsidTr="0010783D">
        <w:trPr>
          <w:trHeight w:val="620"/>
        </w:trPr>
        <w:tc>
          <w:tcPr>
            <w:tcW w:w="7508" w:type="dxa"/>
            <w:vAlign w:val="center"/>
          </w:tcPr>
          <w:p w14:paraId="195A76E9" w14:textId="64777C55" w:rsidR="001C0BFD" w:rsidRPr="00A8357F" w:rsidRDefault="001C0BFD"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تقييم تنفيذ توصيات قسم التقييم التابع لشعبة الرقابة الداخلية والوقوف على آثارها</w:t>
            </w:r>
            <w:r w:rsidRPr="00A8357F">
              <w:rPr>
                <w:rFonts w:hint="cs"/>
                <w:szCs w:val="24"/>
                <w:rtl/>
              </w:rPr>
              <w:t xml:space="preserve"> </w:t>
            </w:r>
          </w:p>
        </w:tc>
        <w:tc>
          <w:tcPr>
            <w:tcW w:w="1837" w:type="dxa"/>
            <w:vAlign w:val="center"/>
          </w:tcPr>
          <w:p w14:paraId="3E908E54" w14:textId="77777777" w:rsidR="001C0BFD" w:rsidRPr="00A8357F" w:rsidRDefault="001C0BFD" w:rsidP="00B6500B">
            <w:pPr>
              <w:pStyle w:val="ONUME"/>
              <w:numPr>
                <w:ilvl w:val="0"/>
                <w:numId w:val="0"/>
              </w:numPr>
              <w:ind w:left="34"/>
              <w:jc w:val="center"/>
              <w:rPr>
                <w:rFonts w:eastAsia="Times New Roman"/>
                <w:color w:val="000000"/>
                <w:sz w:val="24"/>
                <w:szCs w:val="24"/>
                <w:rtl/>
              </w:rPr>
            </w:pPr>
            <w:r w:rsidRPr="00A8357F">
              <w:rPr>
                <w:color w:val="000000"/>
                <w:sz w:val="24"/>
                <w:szCs w:val="24"/>
              </w:rPr>
              <w:t>EVAL 2020-03</w:t>
            </w:r>
          </w:p>
        </w:tc>
      </w:tr>
      <w:tr w:rsidR="00FF003D" w:rsidRPr="00A8357F" w14:paraId="1C468BAD" w14:textId="77777777" w:rsidTr="0010783D">
        <w:trPr>
          <w:trHeight w:val="620"/>
        </w:trPr>
        <w:tc>
          <w:tcPr>
            <w:tcW w:w="7508" w:type="dxa"/>
            <w:vAlign w:val="center"/>
          </w:tcPr>
          <w:p w14:paraId="03E067A6" w14:textId="77777777" w:rsidR="00FF003D" w:rsidRPr="00A8357F" w:rsidRDefault="00140918"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إسداء المشورة في عمليات التقييم الذاتي للاستراتيجيات الوطنية للملكية الفكرية</w:t>
            </w:r>
          </w:p>
        </w:tc>
        <w:tc>
          <w:tcPr>
            <w:tcW w:w="1837" w:type="dxa"/>
            <w:vAlign w:val="center"/>
          </w:tcPr>
          <w:p w14:paraId="52F5017A" w14:textId="77777777" w:rsidR="00FF003D" w:rsidRPr="00A8357F" w:rsidRDefault="00140918" w:rsidP="00B6500B">
            <w:pPr>
              <w:pStyle w:val="ONUME"/>
              <w:numPr>
                <w:ilvl w:val="0"/>
                <w:numId w:val="0"/>
              </w:numPr>
              <w:ind w:left="34"/>
              <w:jc w:val="center"/>
              <w:rPr>
                <w:rFonts w:eastAsia="Times New Roman"/>
                <w:color w:val="000000"/>
                <w:sz w:val="24"/>
                <w:szCs w:val="24"/>
                <w:rtl/>
              </w:rPr>
            </w:pPr>
            <w:r w:rsidRPr="00A8357F">
              <w:rPr>
                <w:color w:val="000000"/>
                <w:sz w:val="24"/>
                <w:szCs w:val="24"/>
              </w:rPr>
              <w:t>EVAL 2021-02</w:t>
            </w:r>
          </w:p>
        </w:tc>
      </w:tr>
      <w:tr w:rsidR="00FF003D" w:rsidRPr="00A8357F" w14:paraId="58791143" w14:textId="77777777" w:rsidTr="0010783D">
        <w:trPr>
          <w:trHeight w:val="800"/>
        </w:trPr>
        <w:tc>
          <w:tcPr>
            <w:tcW w:w="7508" w:type="dxa"/>
            <w:vAlign w:val="center"/>
          </w:tcPr>
          <w:p w14:paraId="596923F8" w14:textId="78723B2E" w:rsidR="00FF003D" w:rsidRPr="00A8357F" w:rsidRDefault="00FF003D" w:rsidP="00BE4767">
            <w:pPr>
              <w:pStyle w:val="ONUME"/>
              <w:numPr>
                <w:ilvl w:val="0"/>
                <w:numId w:val="0"/>
              </w:numPr>
              <w:bidi/>
              <w:jc w:val="center"/>
              <w:rPr>
                <w:szCs w:val="22"/>
                <w:rtl/>
              </w:rPr>
            </w:pPr>
            <w:r w:rsidRPr="00A8357F">
              <w:rPr>
                <w:rFonts w:hint="cs"/>
                <w:color w:val="000000"/>
                <w:sz w:val="24"/>
                <w:szCs w:val="24"/>
                <w:rtl/>
              </w:rPr>
              <w:t>تقرير التبعات الإدارية بشأن البيانات الشخصية وقضايا الخصوصية المتعلقة برسائل الويبو الإلكترونية إلى المستخدمين الخارجيين</w:t>
            </w:r>
          </w:p>
        </w:tc>
        <w:tc>
          <w:tcPr>
            <w:tcW w:w="1837" w:type="dxa"/>
            <w:vAlign w:val="center"/>
          </w:tcPr>
          <w:p w14:paraId="3195BCCF" w14:textId="77777777" w:rsidR="00FF003D" w:rsidRPr="00A8357F" w:rsidRDefault="00FF003D" w:rsidP="00B6500B">
            <w:pPr>
              <w:pStyle w:val="ONUME"/>
              <w:numPr>
                <w:ilvl w:val="0"/>
                <w:numId w:val="0"/>
              </w:numPr>
              <w:ind w:left="34"/>
              <w:jc w:val="center"/>
              <w:rPr>
                <w:szCs w:val="22"/>
                <w:rtl/>
              </w:rPr>
            </w:pPr>
            <w:r w:rsidRPr="00A8357F">
              <w:rPr>
                <w:color w:val="000000"/>
                <w:sz w:val="24"/>
                <w:szCs w:val="24"/>
              </w:rPr>
              <w:t>MIR 2020-17</w:t>
            </w:r>
          </w:p>
        </w:tc>
      </w:tr>
      <w:tr w:rsidR="00F45565" w:rsidRPr="00A8357F" w14:paraId="3CDD1D0B" w14:textId="77777777" w:rsidTr="0010783D">
        <w:trPr>
          <w:trHeight w:val="710"/>
        </w:trPr>
        <w:tc>
          <w:tcPr>
            <w:tcW w:w="7508" w:type="dxa"/>
            <w:vAlign w:val="center"/>
          </w:tcPr>
          <w:p w14:paraId="37981CCB" w14:textId="3D985E53" w:rsidR="00F45565" w:rsidRPr="00A8357F" w:rsidRDefault="00783303"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تقرير التبعات الإدارية بشأن المعلومات المنشورة على الموقع الإلكتروني لركن البراءات</w:t>
            </w:r>
          </w:p>
        </w:tc>
        <w:tc>
          <w:tcPr>
            <w:tcW w:w="1837" w:type="dxa"/>
            <w:vAlign w:val="center"/>
          </w:tcPr>
          <w:p w14:paraId="61956F56" w14:textId="77777777" w:rsidR="00F45565" w:rsidRPr="00A8357F" w:rsidRDefault="00783303" w:rsidP="00B6500B">
            <w:pPr>
              <w:jc w:val="center"/>
              <w:rPr>
                <w:rFonts w:eastAsia="Times New Roman"/>
                <w:color w:val="000000"/>
                <w:sz w:val="24"/>
                <w:szCs w:val="24"/>
                <w:rtl/>
              </w:rPr>
            </w:pPr>
            <w:r w:rsidRPr="00A8357F">
              <w:rPr>
                <w:color w:val="000000"/>
                <w:sz w:val="24"/>
                <w:szCs w:val="24"/>
              </w:rPr>
              <w:t>MIR 2021-12</w:t>
            </w:r>
          </w:p>
        </w:tc>
      </w:tr>
      <w:tr w:rsidR="00783303" w:rsidRPr="00A8357F" w14:paraId="32F02717" w14:textId="77777777" w:rsidTr="00783303">
        <w:trPr>
          <w:trHeight w:val="851"/>
        </w:trPr>
        <w:tc>
          <w:tcPr>
            <w:tcW w:w="7508" w:type="dxa"/>
            <w:shd w:val="clear" w:color="auto" w:fill="D9D9D9" w:themeFill="background1" w:themeFillShade="D9"/>
            <w:vAlign w:val="center"/>
          </w:tcPr>
          <w:p w14:paraId="09B010EE" w14:textId="77777777" w:rsidR="00783303" w:rsidRPr="00A8357F" w:rsidRDefault="00783303" w:rsidP="00BE4767">
            <w:pPr>
              <w:pStyle w:val="ONUME"/>
              <w:numPr>
                <w:ilvl w:val="0"/>
                <w:numId w:val="0"/>
              </w:numPr>
              <w:bidi/>
              <w:jc w:val="center"/>
              <w:rPr>
                <w:rFonts w:eastAsia="Times New Roman"/>
                <w:color w:val="000000"/>
                <w:sz w:val="24"/>
                <w:szCs w:val="24"/>
                <w:rtl/>
              </w:rPr>
            </w:pPr>
            <w:r w:rsidRPr="00A8357F">
              <w:rPr>
                <w:rFonts w:hint="cs"/>
                <w:b/>
                <w:bCs/>
                <w:color w:val="000000"/>
                <w:sz w:val="24"/>
                <w:szCs w:val="24"/>
                <w:rtl/>
              </w:rPr>
              <w:t>تقارير شعبة الرقابة الداخلية الصادرة في أوائل عام 2022</w:t>
            </w:r>
          </w:p>
        </w:tc>
        <w:tc>
          <w:tcPr>
            <w:tcW w:w="1837" w:type="dxa"/>
            <w:shd w:val="clear" w:color="auto" w:fill="D9D9D9" w:themeFill="background1" w:themeFillShade="D9"/>
            <w:vAlign w:val="center"/>
          </w:tcPr>
          <w:p w14:paraId="42863D72" w14:textId="77777777" w:rsidR="00783303" w:rsidRPr="00A8357F" w:rsidRDefault="00783303" w:rsidP="00B6500B">
            <w:pPr>
              <w:jc w:val="center"/>
              <w:rPr>
                <w:rFonts w:eastAsia="Times New Roman"/>
                <w:color w:val="000000"/>
                <w:sz w:val="24"/>
                <w:szCs w:val="24"/>
                <w:lang w:eastAsia="en-US"/>
              </w:rPr>
            </w:pPr>
          </w:p>
        </w:tc>
      </w:tr>
      <w:tr w:rsidR="00783303" w:rsidRPr="00A8357F" w14:paraId="7E698504" w14:textId="77777777" w:rsidTr="00F64BB1">
        <w:trPr>
          <w:trHeight w:val="692"/>
        </w:trPr>
        <w:tc>
          <w:tcPr>
            <w:tcW w:w="7508" w:type="dxa"/>
            <w:vAlign w:val="center"/>
          </w:tcPr>
          <w:p w14:paraId="42186DAE" w14:textId="77777777" w:rsidR="00783303" w:rsidRPr="00A8357F" w:rsidRDefault="00783303" w:rsidP="00BE4767">
            <w:pPr>
              <w:pStyle w:val="ONUME"/>
              <w:numPr>
                <w:ilvl w:val="0"/>
                <w:numId w:val="0"/>
              </w:numPr>
              <w:bidi/>
              <w:spacing w:after="0"/>
              <w:jc w:val="center"/>
              <w:rPr>
                <w:rFonts w:eastAsia="Times New Roman"/>
                <w:color w:val="000000"/>
                <w:sz w:val="24"/>
                <w:szCs w:val="24"/>
                <w:rtl/>
              </w:rPr>
            </w:pPr>
            <w:r w:rsidRPr="00A8357F">
              <w:rPr>
                <w:rFonts w:hint="cs"/>
                <w:color w:val="000000"/>
                <w:sz w:val="24"/>
                <w:szCs w:val="24"/>
                <w:rtl/>
              </w:rPr>
              <w:t>التدقيق في مشروع منصة لاهاي</w:t>
            </w:r>
          </w:p>
        </w:tc>
        <w:tc>
          <w:tcPr>
            <w:tcW w:w="1837" w:type="dxa"/>
            <w:vAlign w:val="center"/>
          </w:tcPr>
          <w:p w14:paraId="3E347B43" w14:textId="77777777" w:rsidR="00783303" w:rsidRPr="00A8357F" w:rsidRDefault="00783303" w:rsidP="00B6500B">
            <w:pPr>
              <w:jc w:val="center"/>
              <w:rPr>
                <w:rFonts w:eastAsia="Times New Roman"/>
                <w:color w:val="000000"/>
                <w:sz w:val="24"/>
                <w:szCs w:val="24"/>
                <w:rtl/>
              </w:rPr>
            </w:pPr>
            <w:r w:rsidRPr="00A8357F">
              <w:rPr>
                <w:color w:val="000000"/>
                <w:sz w:val="24"/>
                <w:szCs w:val="24"/>
              </w:rPr>
              <w:t>IA 2021-02</w:t>
            </w:r>
          </w:p>
        </w:tc>
      </w:tr>
      <w:tr w:rsidR="001D5827" w:rsidRPr="00A8357F" w14:paraId="50CEB50C" w14:textId="77777777" w:rsidTr="00F64BB1">
        <w:trPr>
          <w:trHeight w:val="620"/>
        </w:trPr>
        <w:tc>
          <w:tcPr>
            <w:tcW w:w="7508" w:type="dxa"/>
            <w:vAlign w:val="center"/>
          </w:tcPr>
          <w:p w14:paraId="3120D5D4" w14:textId="77777777" w:rsidR="001D5827" w:rsidRPr="00A8357F" w:rsidRDefault="00900A69" w:rsidP="00BE4767">
            <w:pPr>
              <w:pStyle w:val="ONUME"/>
              <w:numPr>
                <w:ilvl w:val="0"/>
                <w:numId w:val="0"/>
              </w:numPr>
              <w:bidi/>
              <w:spacing w:after="0"/>
              <w:jc w:val="center"/>
              <w:rPr>
                <w:rFonts w:eastAsia="Times New Roman"/>
                <w:color w:val="000000"/>
                <w:sz w:val="24"/>
                <w:szCs w:val="24"/>
                <w:rtl/>
              </w:rPr>
            </w:pPr>
            <w:r w:rsidRPr="00A8357F">
              <w:rPr>
                <w:rFonts w:hint="cs"/>
                <w:color w:val="000000"/>
                <w:sz w:val="24"/>
                <w:szCs w:val="24"/>
                <w:rtl/>
              </w:rPr>
              <w:t>التدقيق في إدارة المخاطر المؤسسية</w:t>
            </w:r>
            <w:r w:rsidRPr="00A8357F">
              <w:rPr>
                <w:rFonts w:hint="cs"/>
                <w:szCs w:val="24"/>
                <w:rtl/>
              </w:rPr>
              <w:t xml:space="preserve"> </w:t>
            </w:r>
          </w:p>
        </w:tc>
        <w:tc>
          <w:tcPr>
            <w:tcW w:w="1837" w:type="dxa"/>
            <w:vAlign w:val="center"/>
          </w:tcPr>
          <w:p w14:paraId="53B7E4BB" w14:textId="77777777" w:rsidR="001D5827" w:rsidRPr="00A8357F" w:rsidRDefault="00F64BB1" w:rsidP="00B6500B">
            <w:pPr>
              <w:jc w:val="center"/>
              <w:rPr>
                <w:rFonts w:eastAsia="Times New Roman"/>
                <w:color w:val="000000"/>
                <w:sz w:val="24"/>
                <w:szCs w:val="24"/>
                <w:rtl/>
              </w:rPr>
            </w:pPr>
            <w:r w:rsidRPr="00A8357F">
              <w:rPr>
                <w:color w:val="000000"/>
                <w:sz w:val="24"/>
                <w:szCs w:val="24"/>
              </w:rPr>
              <w:t>IA 2021-03</w:t>
            </w:r>
          </w:p>
        </w:tc>
      </w:tr>
      <w:tr w:rsidR="001D5827" w:rsidRPr="00A8357F" w14:paraId="12ECC1EB" w14:textId="77777777" w:rsidTr="00F64BB1">
        <w:trPr>
          <w:trHeight w:val="710"/>
        </w:trPr>
        <w:tc>
          <w:tcPr>
            <w:tcW w:w="7508" w:type="dxa"/>
            <w:vAlign w:val="center"/>
          </w:tcPr>
          <w:p w14:paraId="25046268" w14:textId="3C4F4ACE" w:rsidR="001D5827" w:rsidRPr="00A8357F" w:rsidRDefault="00F64BB1" w:rsidP="00B866A3">
            <w:pPr>
              <w:pStyle w:val="Heading2"/>
              <w:bidi/>
              <w:jc w:val="center"/>
              <w:rPr>
                <w:rFonts w:eastAsia="Times New Roman"/>
                <w:bCs w:val="0"/>
                <w:iCs w:val="0"/>
                <w:color w:val="000000"/>
                <w:sz w:val="24"/>
                <w:szCs w:val="24"/>
                <w:rtl/>
              </w:rPr>
            </w:pPr>
            <w:r w:rsidRPr="00A8357F">
              <w:rPr>
                <w:rFonts w:hint="cs"/>
                <w:bCs w:val="0"/>
                <w:iCs w:val="0"/>
                <w:caps w:val="0"/>
                <w:color w:val="000000"/>
                <w:sz w:val="24"/>
                <w:szCs w:val="24"/>
                <w:rtl/>
              </w:rPr>
              <w:t>التدقيق في إدارة الأصول واللوازم والمواد</w:t>
            </w:r>
          </w:p>
        </w:tc>
        <w:tc>
          <w:tcPr>
            <w:tcW w:w="1837" w:type="dxa"/>
            <w:vAlign w:val="center"/>
          </w:tcPr>
          <w:p w14:paraId="343FE97A" w14:textId="77777777" w:rsidR="001D5827" w:rsidRPr="00A8357F" w:rsidRDefault="00F64BB1" w:rsidP="00B6500B">
            <w:pPr>
              <w:jc w:val="center"/>
              <w:rPr>
                <w:rFonts w:eastAsia="Times New Roman"/>
                <w:color w:val="000000"/>
                <w:sz w:val="24"/>
                <w:szCs w:val="24"/>
                <w:rtl/>
              </w:rPr>
            </w:pPr>
            <w:r w:rsidRPr="00A8357F">
              <w:rPr>
                <w:color w:val="000000"/>
                <w:sz w:val="24"/>
                <w:szCs w:val="24"/>
              </w:rPr>
              <w:t>IA 2021-04</w:t>
            </w:r>
          </w:p>
        </w:tc>
      </w:tr>
      <w:tr w:rsidR="00783303" w:rsidRPr="00A8357F" w14:paraId="5C523935" w14:textId="77777777" w:rsidTr="00F64BB1">
        <w:trPr>
          <w:trHeight w:val="620"/>
        </w:trPr>
        <w:tc>
          <w:tcPr>
            <w:tcW w:w="7508" w:type="dxa"/>
            <w:vAlign w:val="center"/>
          </w:tcPr>
          <w:p w14:paraId="1FD80A9F" w14:textId="3018B054" w:rsidR="009B65CA" w:rsidRPr="00A8357F" w:rsidRDefault="009B65CA" w:rsidP="00BE4767">
            <w:pPr>
              <w:pStyle w:val="ONUME"/>
              <w:numPr>
                <w:ilvl w:val="0"/>
                <w:numId w:val="0"/>
              </w:numPr>
              <w:bidi/>
              <w:spacing w:after="0"/>
              <w:jc w:val="center"/>
              <w:rPr>
                <w:rFonts w:eastAsia="Times New Roman"/>
                <w:color w:val="000000"/>
                <w:sz w:val="24"/>
                <w:szCs w:val="24"/>
                <w:rtl/>
              </w:rPr>
            </w:pPr>
            <w:r w:rsidRPr="00A8357F">
              <w:rPr>
                <w:rFonts w:hint="cs"/>
                <w:color w:val="000000"/>
                <w:sz w:val="24"/>
                <w:szCs w:val="24"/>
                <w:rtl/>
              </w:rPr>
              <w:t>تقييم لجان الويبو الدائمة</w:t>
            </w:r>
          </w:p>
        </w:tc>
        <w:tc>
          <w:tcPr>
            <w:tcW w:w="1837" w:type="dxa"/>
            <w:vAlign w:val="center"/>
          </w:tcPr>
          <w:p w14:paraId="3E1C3CB8" w14:textId="01C85A2A" w:rsidR="00783303" w:rsidRPr="00A8357F" w:rsidRDefault="009B65CA" w:rsidP="00B6500B">
            <w:pPr>
              <w:jc w:val="center"/>
              <w:rPr>
                <w:rFonts w:eastAsia="Times New Roman"/>
                <w:color w:val="000000"/>
                <w:sz w:val="24"/>
                <w:szCs w:val="24"/>
                <w:rtl/>
              </w:rPr>
            </w:pPr>
            <w:r w:rsidRPr="00A8357F">
              <w:rPr>
                <w:color w:val="000000"/>
                <w:sz w:val="24"/>
                <w:szCs w:val="24"/>
              </w:rPr>
              <w:t>EVAL 2020-02</w:t>
            </w:r>
          </w:p>
        </w:tc>
      </w:tr>
      <w:tr w:rsidR="00783303" w:rsidRPr="00A8357F" w14:paraId="63644070" w14:textId="77777777" w:rsidTr="00F64BB1">
        <w:trPr>
          <w:trHeight w:val="620"/>
        </w:trPr>
        <w:tc>
          <w:tcPr>
            <w:tcW w:w="7508" w:type="dxa"/>
            <w:vAlign w:val="center"/>
          </w:tcPr>
          <w:p w14:paraId="59698257" w14:textId="3B023CC5" w:rsidR="00783303" w:rsidRPr="00A8357F" w:rsidRDefault="001B628C"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التحليل التجميعي لنتائج عمليات تقييم الشعب الإقليمية</w:t>
            </w:r>
          </w:p>
        </w:tc>
        <w:tc>
          <w:tcPr>
            <w:tcW w:w="1837" w:type="dxa"/>
            <w:vAlign w:val="center"/>
          </w:tcPr>
          <w:p w14:paraId="3FBA2683" w14:textId="77777777" w:rsidR="00783303" w:rsidRPr="00A8357F" w:rsidRDefault="00D301AF" w:rsidP="00B6500B">
            <w:pPr>
              <w:jc w:val="center"/>
              <w:rPr>
                <w:rFonts w:eastAsia="Times New Roman"/>
                <w:color w:val="000000"/>
                <w:sz w:val="24"/>
                <w:szCs w:val="24"/>
                <w:rtl/>
              </w:rPr>
            </w:pPr>
            <w:r w:rsidRPr="00A8357F">
              <w:rPr>
                <w:color w:val="000000"/>
                <w:sz w:val="24"/>
                <w:szCs w:val="24"/>
              </w:rPr>
              <w:t>EVAL 2021-04</w:t>
            </w:r>
          </w:p>
        </w:tc>
      </w:tr>
      <w:tr w:rsidR="009C17F1" w:rsidRPr="00A8357F" w14:paraId="4265026B" w14:textId="77777777" w:rsidTr="00F64BB1">
        <w:trPr>
          <w:trHeight w:val="620"/>
        </w:trPr>
        <w:tc>
          <w:tcPr>
            <w:tcW w:w="7508" w:type="dxa"/>
            <w:vAlign w:val="center"/>
          </w:tcPr>
          <w:p w14:paraId="1808E228" w14:textId="77777777" w:rsidR="009C17F1" w:rsidRPr="00A8357F" w:rsidRDefault="00F116F1" w:rsidP="00BE4767">
            <w:pPr>
              <w:pStyle w:val="ONUME"/>
              <w:numPr>
                <w:ilvl w:val="0"/>
                <w:numId w:val="0"/>
              </w:numPr>
              <w:bidi/>
              <w:jc w:val="center"/>
              <w:rPr>
                <w:rFonts w:eastAsia="Times New Roman"/>
                <w:color w:val="000000"/>
                <w:sz w:val="24"/>
                <w:szCs w:val="24"/>
                <w:rtl/>
              </w:rPr>
            </w:pPr>
            <w:r w:rsidRPr="00A8357F">
              <w:rPr>
                <w:rFonts w:hint="cs"/>
                <w:color w:val="000000"/>
                <w:sz w:val="24"/>
                <w:szCs w:val="24"/>
                <w:rtl/>
              </w:rPr>
              <w:t>مهمة استشارية - استعراض منهجية شعبة الرقابة الداخلية للتحقق من صحة تقارير أداء الويبو</w:t>
            </w:r>
          </w:p>
        </w:tc>
        <w:tc>
          <w:tcPr>
            <w:tcW w:w="1837" w:type="dxa"/>
            <w:vAlign w:val="center"/>
          </w:tcPr>
          <w:p w14:paraId="27D8C75D" w14:textId="77777777" w:rsidR="009C17F1" w:rsidRPr="00A8357F" w:rsidRDefault="00F116F1" w:rsidP="00B6500B">
            <w:pPr>
              <w:jc w:val="center"/>
              <w:rPr>
                <w:rFonts w:eastAsia="Times New Roman"/>
                <w:color w:val="000000"/>
                <w:sz w:val="24"/>
                <w:szCs w:val="24"/>
                <w:rtl/>
              </w:rPr>
            </w:pPr>
            <w:r w:rsidRPr="00A8357F">
              <w:rPr>
                <w:color w:val="000000"/>
                <w:sz w:val="24"/>
                <w:szCs w:val="24"/>
              </w:rPr>
              <w:t>EVAL 2021-06</w:t>
            </w:r>
          </w:p>
        </w:tc>
      </w:tr>
    </w:tbl>
    <w:p w14:paraId="78B38173" w14:textId="5FE236F1" w:rsidR="00EA028E" w:rsidRPr="00A8357F" w:rsidRDefault="00C46B12" w:rsidP="00B6500B">
      <w:pPr>
        <w:keepLines/>
        <w:bidi/>
        <w:spacing w:before="660"/>
        <w:ind w:left="5533"/>
        <w:rPr>
          <w:rFonts w:eastAsia="Times New Roman"/>
          <w:sz w:val="20"/>
          <w:rtl/>
        </w:rPr>
      </w:pPr>
      <w:r w:rsidRPr="00A8357F">
        <w:rPr>
          <w:rFonts w:hint="cs"/>
          <w:szCs w:val="22"/>
          <w:rtl/>
        </w:rPr>
        <w:t>[نهاية المرفق والوثيقة]</w:t>
      </w:r>
    </w:p>
    <w:sectPr w:rsidR="00EA028E" w:rsidRPr="00A8357F" w:rsidSect="00E60513">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413E" w14:textId="77777777" w:rsidR="000F7BFF" w:rsidRDefault="000F7BFF">
      <w:r>
        <w:separator/>
      </w:r>
    </w:p>
  </w:endnote>
  <w:endnote w:type="continuationSeparator" w:id="0">
    <w:p w14:paraId="19F643F7" w14:textId="77777777" w:rsidR="000F7BFF" w:rsidRDefault="000F7BFF" w:rsidP="003B38C1">
      <w:r>
        <w:separator/>
      </w:r>
    </w:p>
    <w:p w14:paraId="179A139B" w14:textId="77777777" w:rsidR="000F7BFF" w:rsidRPr="003B38C1" w:rsidRDefault="000F7BFF" w:rsidP="003B38C1">
      <w:pPr>
        <w:spacing w:after="60"/>
        <w:rPr>
          <w:sz w:val="17"/>
        </w:rPr>
      </w:pPr>
      <w:r>
        <w:rPr>
          <w:sz w:val="17"/>
        </w:rPr>
        <w:t>[Endnote continued from previous page]</w:t>
      </w:r>
    </w:p>
  </w:endnote>
  <w:endnote w:type="continuationNotice" w:id="1">
    <w:p w14:paraId="409F9D9D" w14:textId="77777777" w:rsidR="000F7BFF" w:rsidRPr="003B38C1" w:rsidRDefault="000F7B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FF1B" w14:textId="77777777" w:rsidR="00CE3659" w:rsidRPr="00CD472C" w:rsidRDefault="00CE3659"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D04B" w14:textId="77777777" w:rsidR="00CE3659" w:rsidRPr="00B91FC4" w:rsidRDefault="00CE3659" w:rsidP="00B91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99FB" w14:textId="77777777" w:rsidR="00CE3659" w:rsidRPr="00CD472C" w:rsidRDefault="00CE3659"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0E0D8" w14:textId="77777777" w:rsidR="000F7BFF" w:rsidRDefault="000F7BFF" w:rsidP="00BE4767">
      <w:pPr>
        <w:bidi/>
      </w:pPr>
      <w:r>
        <w:separator/>
      </w:r>
    </w:p>
  </w:footnote>
  <w:footnote w:type="continuationSeparator" w:id="0">
    <w:p w14:paraId="79B180F5" w14:textId="77777777" w:rsidR="000F7BFF" w:rsidRDefault="000F7BFF" w:rsidP="008B60B2">
      <w:r>
        <w:separator/>
      </w:r>
    </w:p>
    <w:p w14:paraId="29AD3975" w14:textId="77777777" w:rsidR="000F7BFF" w:rsidRPr="00ED77FB" w:rsidRDefault="000F7BFF" w:rsidP="008B60B2">
      <w:pPr>
        <w:spacing w:after="60"/>
        <w:rPr>
          <w:sz w:val="17"/>
          <w:szCs w:val="17"/>
        </w:rPr>
      </w:pPr>
      <w:r w:rsidRPr="00ED77FB">
        <w:rPr>
          <w:sz w:val="17"/>
          <w:szCs w:val="17"/>
        </w:rPr>
        <w:t>[Footnote continued from previous page]</w:t>
      </w:r>
    </w:p>
  </w:footnote>
  <w:footnote w:type="continuationNotice" w:id="1">
    <w:p w14:paraId="16654F15" w14:textId="77777777" w:rsidR="000F7BFF" w:rsidRPr="009B037F" w:rsidRDefault="000F7BFF" w:rsidP="009B037F">
      <w:pPr>
        <w:pStyle w:val="Footer"/>
      </w:pPr>
    </w:p>
  </w:footnote>
  <w:footnote w:id="2">
    <w:p w14:paraId="4225678D" w14:textId="77777777" w:rsidR="00CE3659" w:rsidRPr="001C0542" w:rsidRDefault="00CE3659" w:rsidP="00C46B12">
      <w:pPr>
        <w:pStyle w:val="FootnoteText"/>
        <w:bidi/>
        <w:rPr>
          <w:rtl/>
        </w:rPr>
      </w:pPr>
      <w:r>
        <w:rPr>
          <w:rStyle w:val="FootnoteReference"/>
          <w:rtl/>
        </w:rPr>
        <w:footnoteRef/>
      </w:r>
      <w:r>
        <w:rPr>
          <w:rFonts w:hint="cs"/>
          <w:rtl/>
        </w:rPr>
        <w:tab/>
        <w:t>انظر الفقرتين 47 و48 من ميثاق الرقابة الداخلية.</w:t>
      </w:r>
    </w:p>
  </w:footnote>
  <w:footnote w:id="3">
    <w:p w14:paraId="076A4291" w14:textId="5FDCF7FF" w:rsidR="00CE3659" w:rsidRDefault="00CE3659" w:rsidP="00ED4EC6">
      <w:pPr>
        <w:pStyle w:val="FootnoteText"/>
        <w:bidi/>
        <w:rPr>
          <w:lang w:bidi="ar-SY"/>
        </w:rPr>
      </w:pPr>
      <w:r>
        <w:rPr>
          <w:rStyle w:val="FootnoteReference"/>
        </w:rPr>
        <w:footnoteRef/>
      </w:r>
      <w:r>
        <w:t xml:space="preserve"> </w:t>
      </w:r>
      <w:r>
        <w:rPr>
          <w:rFonts w:hint="cs"/>
          <w:rtl/>
          <w:lang w:bidi="ar-SY"/>
        </w:rPr>
        <w:tab/>
      </w:r>
      <w:r>
        <w:rPr>
          <w:rtl/>
          <w:lang w:bidi="ar-SY"/>
        </w:rPr>
        <w:t xml:space="preserve">يستخدم مصطلح </w:t>
      </w:r>
      <w:r w:rsidRPr="00ED4EC6">
        <w:rPr>
          <w:rFonts w:hint="cs"/>
          <w:b/>
          <w:bCs/>
          <w:rtl/>
          <w:lang w:bidi="ar-SY"/>
        </w:rPr>
        <w:t>المشورة</w:t>
      </w:r>
      <w:r>
        <w:rPr>
          <w:rtl/>
          <w:lang w:bidi="ar-SY"/>
        </w:rPr>
        <w:t xml:space="preserve"> عندما </w:t>
      </w:r>
      <w:r>
        <w:rPr>
          <w:rFonts w:hint="cs"/>
          <w:rtl/>
          <w:lang w:bidi="ar-SY"/>
        </w:rPr>
        <w:t>ت</w:t>
      </w:r>
      <w:r>
        <w:rPr>
          <w:rtl/>
          <w:lang w:bidi="ar-SY"/>
        </w:rPr>
        <w:t xml:space="preserve">دعم </w:t>
      </w:r>
      <w:r>
        <w:rPr>
          <w:rFonts w:hint="cs"/>
          <w:rtl/>
          <w:lang w:bidi="ar-SY"/>
        </w:rPr>
        <w:t>شعبة الرقابة الداخلية</w:t>
      </w:r>
      <w:r>
        <w:rPr>
          <w:rtl/>
          <w:lang w:bidi="ar-SY"/>
        </w:rPr>
        <w:t xml:space="preserve"> العميل من خلال تقديم المشورة وإبداء التعليقات، لكنه</w:t>
      </w:r>
      <w:r>
        <w:rPr>
          <w:rFonts w:hint="cs"/>
          <w:rtl/>
          <w:lang w:bidi="ar-SY"/>
        </w:rPr>
        <w:t>ا</w:t>
      </w:r>
      <w:r>
        <w:rPr>
          <w:rtl/>
          <w:lang w:bidi="ar-SY"/>
        </w:rPr>
        <w:t xml:space="preserve"> لا </w:t>
      </w:r>
      <w:r>
        <w:rPr>
          <w:rFonts w:hint="cs"/>
          <w:rtl/>
          <w:lang w:bidi="ar-SY"/>
        </w:rPr>
        <w:t>تؤخذ</w:t>
      </w:r>
      <w:r>
        <w:rPr>
          <w:rtl/>
          <w:lang w:bidi="ar-SY"/>
        </w:rPr>
        <w:t xml:space="preserve"> زمام المبادرة في إدارة النشاط أو </w:t>
      </w:r>
      <w:r>
        <w:rPr>
          <w:rFonts w:hint="cs"/>
          <w:rtl/>
          <w:lang w:bidi="ar-SY"/>
        </w:rPr>
        <w:t>تسليم ناتج</w:t>
      </w:r>
      <w:r>
        <w:rPr>
          <w:rtl/>
          <w:lang w:bidi="ar-SY"/>
        </w:rPr>
        <w:t xml:space="preserve"> رسمي.</w:t>
      </w:r>
    </w:p>
    <w:p w14:paraId="50F99E6E" w14:textId="4A95D6A8" w:rsidR="00CE3659" w:rsidRDefault="00CE3659" w:rsidP="00ED4EC6">
      <w:pPr>
        <w:pStyle w:val="FootnoteText"/>
        <w:bidi/>
        <w:rPr>
          <w:rtl/>
          <w:lang w:bidi="ar-SY"/>
        </w:rPr>
      </w:pPr>
      <w:r>
        <w:rPr>
          <w:rFonts w:hint="cs"/>
          <w:rtl/>
          <w:lang w:bidi="ar-SY"/>
        </w:rPr>
        <w:t>و</w:t>
      </w:r>
      <w:r>
        <w:rPr>
          <w:rtl/>
          <w:lang w:bidi="ar-SY"/>
        </w:rPr>
        <w:t xml:space="preserve">يستخدم مصطلح </w:t>
      </w:r>
      <w:r w:rsidRPr="00ED4EC6">
        <w:rPr>
          <w:b/>
          <w:bCs/>
          <w:rtl/>
          <w:lang w:bidi="ar-SY"/>
        </w:rPr>
        <w:t>الاستشارات</w:t>
      </w:r>
      <w:r>
        <w:rPr>
          <w:rtl/>
          <w:lang w:bidi="ar-SY"/>
        </w:rPr>
        <w:t xml:space="preserve"> عندما </w:t>
      </w:r>
      <w:r>
        <w:rPr>
          <w:rFonts w:hint="cs"/>
          <w:rtl/>
          <w:lang w:bidi="ar-SY"/>
        </w:rPr>
        <w:t>تأخذ شعبة الرقابة الداخلية</w:t>
      </w:r>
      <w:r>
        <w:rPr>
          <w:rtl/>
          <w:lang w:bidi="ar-SY"/>
        </w:rPr>
        <w:t xml:space="preserve"> زمام المبادرة في تقديم خدمة تم الاتفاق على طبيعتها ونطاقها مع العميل</w:t>
      </w:r>
      <w:r>
        <w:rPr>
          <w:rFonts w:hint="cs"/>
          <w:rtl/>
          <w:lang w:bidi="ar-SY"/>
        </w:rPr>
        <w:t>،</w:t>
      </w:r>
      <w:r>
        <w:rPr>
          <w:rtl/>
          <w:lang w:bidi="ar-SY"/>
        </w:rPr>
        <w:t xml:space="preserve"> </w:t>
      </w:r>
      <w:r>
        <w:rPr>
          <w:rFonts w:hint="cs"/>
          <w:rtl/>
          <w:lang w:bidi="ar-SY"/>
        </w:rPr>
        <w:t>وتسليم</w:t>
      </w:r>
      <w:r>
        <w:rPr>
          <w:rtl/>
          <w:lang w:bidi="ar-SY"/>
        </w:rPr>
        <w:t xml:space="preserve"> </w:t>
      </w:r>
      <w:r>
        <w:rPr>
          <w:rFonts w:hint="cs"/>
          <w:rtl/>
          <w:lang w:bidi="ar-SY"/>
        </w:rPr>
        <w:t>ناتج</w:t>
      </w:r>
      <w:r>
        <w:rPr>
          <w:rtl/>
          <w:lang w:bidi="ar-SY"/>
        </w:rPr>
        <w:t xml:space="preserve"> رسم</w:t>
      </w:r>
      <w:r>
        <w:rPr>
          <w:rFonts w:hint="cs"/>
          <w:rtl/>
          <w:lang w:bidi="ar-SY"/>
        </w:rPr>
        <w:t>ي</w:t>
      </w:r>
      <w:r>
        <w:rPr>
          <w:rtl/>
          <w:lang w:bidi="ar-SY"/>
        </w:rPr>
        <w:t xml:space="preserve"> في هذا الصدد.</w:t>
      </w:r>
    </w:p>
  </w:footnote>
  <w:footnote w:id="4">
    <w:p w14:paraId="48C161A0" w14:textId="1056817C" w:rsidR="00CE3659" w:rsidRDefault="00CE3659" w:rsidP="00CE6359">
      <w:pPr>
        <w:pStyle w:val="FootnoteText"/>
        <w:bidi/>
        <w:rPr>
          <w:rtl/>
        </w:rPr>
      </w:pPr>
      <w:r>
        <w:rPr>
          <w:rStyle w:val="FootnoteReference"/>
          <w:rtl/>
        </w:rPr>
        <w:footnoteRef/>
      </w:r>
      <w:r>
        <w:rPr>
          <w:rFonts w:hint="cs"/>
          <w:rtl/>
        </w:rPr>
        <w:tab/>
        <w:t>تحدد الفقرة 28 من ميثاق الرقابة الداخلية المهام وأساليب العمل التي تشمل شرطاً مفاده أن: "يقدِّم مدير الشعبة مشروع خطة عمل الرقابة الداخلية، قبل وضع الصيغة النهائية لها، إلى اللجنة الاستشارية المستقلة للرقابة لمراجعتها وإبداء الرأي فيها."</w:t>
      </w:r>
    </w:p>
  </w:footnote>
  <w:footnote w:id="5">
    <w:p w14:paraId="065E32A2" w14:textId="6A1ECA31" w:rsidR="00CE3659" w:rsidRDefault="00CE3659" w:rsidP="00A04FDB">
      <w:pPr>
        <w:pStyle w:val="FootnoteText"/>
        <w:bidi/>
        <w:rPr>
          <w:rtl/>
          <w:lang w:bidi="ar-SY"/>
        </w:rPr>
      </w:pPr>
      <w:r>
        <w:rPr>
          <w:rStyle w:val="FootnoteReference"/>
        </w:rPr>
        <w:footnoteRef/>
      </w:r>
      <w:r>
        <w:t xml:space="preserve"> </w:t>
      </w:r>
      <w:r>
        <w:rPr>
          <w:rtl/>
          <w:lang w:bidi="ar-SY"/>
        </w:rPr>
        <w:tab/>
      </w:r>
      <w:r w:rsidRPr="00B67B54">
        <w:rPr>
          <w:rtl/>
          <w:lang w:bidi="ar-SY"/>
        </w:rPr>
        <w:t>وافقت الأمم المتحدة منذ عام 2021 على خطة العمل التاريخية على مستوى منظومة الأمم المتحدة بشأن الم</w:t>
      </w:r>
      <w:r>
        <w:rPr>
          <w:rtl/>
          <w:lang w:bidi="ar-SY"/>
        </w:rPr>
        <w:t>ساواة بين الجنسين وتمكين المرأة</w:t>
      </w:r>
      <w:r>
        <w:rPr>
          <w:rFonts w:hint="cs"/>
          <w:rtl/>
          <w:lang w:bidi="ar-SY"/>
        </w:rPr>
        <w:t xml:space="preserve"> </w:t>
      </w:r>
      <w:r>
        <w:rPr>
          <w:lang w:val="fr-CH" w:bidi="ar-SY"/>
        </w:rPr>
        <w:t>(</w:t>
      </w:r>
      <w:r w:rsidRPr="00B67B54">
        <w:rPr>
          <w:lang w:bidi="ar-SY"/>
        </w:rPr>
        <w:t>UN-SWAP</w:t>
      </w:r>
      <w:r>
        <w:rPr>
          <w:lang w:bidi="ar-SY"/>
        </w:rPr>
        <w:t>)</w:t>
      </w:r>
      <w:r w:rsidRPr="00B67B54">
        <w:rPr>
          <w:rtl/>
          <w:lang w:bidi="ar-SY"/>
        </w:rPr>
        <w:t>، لتنفيذ سياسة المساواة بين</w:t>
      </w:r>
      <w:r>
        <w:rPr>
          <w:rtl/>
          <w:lang w:bidi="ar-SY"/>
        </w:rPr>
        <w:t xml:space="preserve"> الجنسين لأعلى هيئة تنفيذية لها</w:t>
      </w:r>
      <w:r w:rsidRPr="00B67B54">
        <w:rPr>
          <w:rtl/>
          <w:lang w:bidi="ar-SY"/>
        </w:rPr>
        <w:t xml:space="preserve">، </w:t>
      </w:r>
      <w:r>
        <w:rPr>
          <w:rFonts w:hint="cs"/>
          <w:rtl/>
          <w:lang w:bidi="ar-SY"/>
        </w:rPr>
        <w:t xml:space="preserve">أي </w:t>
      </w:r>
      <w:r w:rsidRPr="00B67B54">
        <w:rPr>
          <w:rtl/>
          <w:lang w:bidi="ar-SY"/>
        </w:rPr>
        <w:t>مجلس ا</w:t>
      </w:r>
      <w:r>
        <w:rPr>
          <w:rtl/>
          <w:lang w:bidi="ar-SY"/>
        </w:rPr>
        <w:t>لرؤساء التنفيذيين للأمم المتحدة</w:t>
      </w:r>
      <w:r w:rsidRPr="00B67B54">
        <w:rPr>
          <w:rtl/>
          <w:lang w:bidi="ar-SY"/>
        </w:rPr>
        <w:t xml:space="preserve">، برئاسة الأمين </w:t>
      </w:r>
      <w:r>
        <w:rPr>
          <w:rtl/>
          <w:lang w:bidi="ar-SY"/>
        </w:rPr>
        <w:t>العام</w:t>
      </w:r>
      <w:r>
        <w:rPr>
          <w:rFonts w:hint="cs"/>
          <w:rtl/>
          <w:lang w:bidi="ar-SY"/>
        </w:rPr>
        <w:t>. و</w:t>
      </w:r>
      <w:r w:rsidRPr="00B67B54">
        <w:rPr>
          <w:rtl/>
          <w:lang w:bidi="ar-SY"/>
        </w:rPr>
        <w:t>بق</w:t>
      </w:r>
      <w:r>
        <w:rPr>
          <w:rtl/>
          <w:lang w:bidi="ar-SY"/>
        </w:rPr>
        <w:t>يادة هيئة الأمم المتحدة للمرأة</w:t>
      </w:r>
      <w:r>
        <w:rPr>
          <w:rFonts w:hint="cs"/>
          <w:rtl/>
          <w:lang w:bidi="ar-SY"/>
        </w:rPr>
        <w:t>،</w:t>
      </w:r>
      <w:r w:rsidRPr="00B67B54">
        <w:rPr>
          <w:rtl/>
          <w:lang w:bidi="ar-SY"/>
        </w:rPr>
        <w:t xml:space="preserve"> تحدد خطة العمل </w:t>
      </w:r>
      <w:r>
        <w:rPr>
          <w:lang w:val="fr-CH" w:bidi="ar-SY"/>
        </w:rPr>
        <w:t>(UN-SWAP)</w:t>
      </w:r>
      <w:r>
        <w:rPr>
          <w:rFonts w:hint="cs"/>
          <w:rtl/>
          <w:lang w:val="fr-CH" w:bidi="ar-SY"/>
        </w:rPr>
        <w:t xml:space="preserve"> </w:t>
      </w:r>
      <w:r w:rsidRPr="00B67B54">
        <w:rPr>
          <w:rtl/>
          <w:lang w:bidi="ar-SY"/>
        </w:rPr>
        <w:t xml:space="preserve">لأول مرة معايير أداء مشتركة للعمل </w:t>
      </w:r>
      <w:r>
        <w:rPr>
          <w:rFonts w:hint="cs"/>
          <w:rtl/>
          <w:lang w:bidi="ar-SY"/>
        </w:rPr>
        <w:t>ذي الصلة</w:t>
      </w:r>
      <w:r w:rsidRPr="00B67B54">
        <w:rPr>
          <w:rtl/>
          <w:lang w:bidi="ar-SY"/>
        </w:rPr>
        <w:t xml:space="preserve"> بالنوع الاجتم</w:t>
      </w:r>
      <w:r>
        <w:rPr>
          <w:rtl/>
          <w:lang w:bidi="ar-SY"/>
        </w:rPr>
        <w:t>اعي ل</w:t>
      </w:r>
      <w:r>
        <w:rPr>
          <w:rFonts w:hint="cs"/>
          <w:rtl/>
          <w:lang w:bidi="ar-SY"/>
        </w:rPr>
        <w:t xml:space="preserve">فائدة </w:t>
      </w:r>
      <w:r>
        <w:rPr>
          <w:rtl/>
          <w:lang w:bidi="ar-SY"/>
        </w:rPr>
        <w:t>جميع كيانات الأمم المتحدة</w:t>
      </w:r>
      <w:r>
        <w:rPr>
          <w:rFonts w:hint="cs"/>
          <w:rtl/>
          <w:lang w:bidi="ar-SY"/>
        </w:rPr>
        <w:t>،</w:t>
      </w:r>
      <w:r w:rsidRPr="00B67B54">
        <w:rPr>
          <w:rtl/>
          <w:lang w:bidi="ar-SY"/>
        </w:rPr>
        <w:t xml:space="preserve"> مما يضمن </w:t>
      </w:r>
      <w:r>
        <w:rPr>
          <w:rFonts w:hint="cs"/>
          <w:rtl/>
          <w:lang w:bidi="ar-SY"/>
        </w:rPr>
        <w:t>قدراً</w:t>
      </w:r>
      <w:r w:rsidRPr="00B67B54">
        <w:rPr>
          <w:rtl/>
          <w:lang w:bidi="ar-SY"/>
        </w:rPr>
        <w:t xml:space="preserve"> أكبر من الاتساق والمساءلة.</w:t>
      </w:r>
    </w:p>
  </w:footnote>
  <w:footnote w:id="6">
    <w:p w14:paraId="30026B4F" w14:textId="77777777" w:rsidR="00CE3659" w:rsidRDefault="00CE3659" w:rsidP="00C46B12">
      <w:pPr>
        <w:pStyle w:val="FootnoteText"/>
        <w:bidi/>
        <w:rPr>
          <w:rtl/>
        </w:rPr>
      </w:pPr>
      <w:r>
        <w:rPr>
          <w:rStyle w:val="FootnoteReference"/>
          <w:rtl/>
        </w:rPr>
        <w:footnoteRef/>
      </w:r>
      <w:r>
        <w:rPr>
          <w:rFonts w:hint="cs"/>
          <w:rtl/>
        </w:rPr>
        <w:tab/>
        <w:t>ترد قائمة التقارير في المرفق.</w:t>
      </w:r>
    </w:p>
  </w:footnote>
  <w:footnote w:id="7">
    <w:p w14:paraId="67DB7C6E" w14:textId="66FEA643" w:rsidR="00CE3659" w:rsidRDefault="00CE3659" w:rsidP="00A04FDB">
      <w:pPr>
        <w:pStyle w:val="FootnoteText"/>
        <w:bidi/>
        <w:rPr>
          <w:rtl/>
        </w:rPr>
      </w:pPr>
      <w:r>
        <w:rPr>
          <w:rStyle w:val="FootnoteReference"/>
          <w:rtl/>
        </w:rPr>
        <w:footnoteRef/>
      </w:r>
      <w:r>
        <w:rPr>
          <w:rFonts w:hint="cs"/>
          <w:rtl/>
        </w:rPr>
        <w:tab/>
      </w:r>
      <w:proofErr w:type="spellStart"/>
      <w:r>
        <w:t>TeamMate</w:t>
      </w:r>
      <w:proofErr w:type="spellEnd"/>
      <w:r>
        <w:t>+</w:t>
      </w:r>
      <w:r>
        <w:rPr>
          <w:rFonts w:hint="cs"/>
          <w:rtl/>
        </w:rPr>
        <w:t xml:space="preserve"> هو برمجية متخصصة لإدارة التدقيق تغطي جملة أمور منها عالم التدقيق وتقييم المخاطر، وتخطيط المهام، وأوراق العمل الإلكترونية، وإدارة التوصيات.</w:t>
      </w:r>
    </w:p>
  </w:footnote>
  <w:footnote w:id="8">
    <w:p w14:paraId="6A4173C8" w14:textId="77777777" w:rsidR="00CE3659" w:rsidRPr="00F02EF4" w:rsidRDefault="00CE3659" w:rsidP="001D59E1">
      <w:pPr>
        <w:pStyle w:val="FootnoteText"/>
        <w:bidi/>
        <w:rPr>
          <w:rtl/>
        </w:rPr>
      </w:pPr>
      <w:r>
        <w:rPr>
          <w:rStyle w:val="FootnoteReference"/>
          <w:rtl/>
        </w:rPr>
        <w:footnoteRef/>
      </w:r>
      <w:r>
        <w:rPr>
          <w:rFonts w:hint="cs"/>
          <w:rtl/>
        </w:rPr>
        <w:tab/>
      </w:r>
      <w:r>
        <w:t>WO/PBC/29/5</w:t>
      </w:r>
    </w:p>
  </w:footnote>
  <w:footnote w:id="9">
    <w:p w14:paraId="6C03A81B" w14:textId="77777777" w:rsidR="00CE3659" w:rsidRPr="00F02EF4" w:rsidRDefault="00CE3659" w:rsidP="001D59E1">
      <w:pPr>
        <w:pStyle w:val="FootnoteText"/>
        <w:bidi/>
        <w:rPr>
          <w:rtl/>
        </w:rPr>
      </w:pPr>
      <w:r>
        <w:rPr>
          <w:rStyle w:val="FootnoteReference"/>
          <w:rtl/>
        </w:rPr>
        <w:footnoteRef/>
      </w:r>
      <w:r>
        <w:rPr>
          <w:rFonts w:hint="cs"/>
          <w:rtl/>
        </w:rPr>
        <w:tab/>
        <w:t>التعميم الإداري 41/2017</w:t>
      </w:r>
    </w:p>
  </w:footnote>
  <w:footnote w:id="10">
    <w:p w14:paraId="6354F597" w14:textId="77777777" w:rsidR="00CE3659" w:rsidRDefault="00CE3659" w:rsidP="006905B2">
      <w:pPr>
        <w:pStyle w:val="FootnoteText"/>
        <w:bidi/>
        <w:rPr>
          <w:rtl/>
        </w:rPr>
      </w:pPr>
      <w:r>
        <w:rPr>
          <w:rStyle w:val="FootnoteReference"/>
          <w:rtl/>
        </w:rPr>
        <w:footnoteRef/>
      </w:r>
      <w:r>
        <w:rPr>
          <w:rFonts w:hint="cs"/>
          <w:rtl/>
        </w:rPr>
        <w:tab/>
        <w:t xml:space="preserve">التدقيق في إدارة المخاطر المؤسسية الذي أُجري في عام 2016 - </w:t>
      </w:r>
      <w:r>
        <w:t>IA 2016-08</w:t>
      </w:r>
    </w:p>
  </w:footnote>
  <w:footnote w:id="11">
    <w:p w14:paraId="4D5E7D58" w14:textId="77777777" w:rsidR="00CE3659" w:rsidRPr="00CC620E" w:rsidRDefault="00CE3659">
      <w:pPr>
        <w:pStyle w:val="FootnoteText"/>
        <w:bidi/>
        <w:rPr>
          <w:rtl/>
        </w:rPr>
      </w:pPr>
      <w:r>
        <w:rPr>
          <w:rStyle w:val="FootnoteReference"/>
          <w:rtl/>
        </w:rPr>
        <w:footnoteRef/>
      </w:r>
      <w:r>
        <w:rPr>
          <w:rFonts w:hint="cs"/>
          <w:rtl/>
        </w:rPr>
        <w:tab/>
        <w:t>باستثناء الحالات التي ظلت "عالقة" ريثما تتخذ أطراف خارج شعبة الرقابة الداخلية إجراء بشأنها أو بسبب الغياب المطول للموظفين الذين يتعين مقابلتهم.</w:t>
      </w:r>
    </w:p>
  </w:footnote>
  <w:footnote w:id="12">
    <w:p w14:paraId="76595E7E" w14:textId="260844B7" w:rsidR="00CE3659" w:rsidRPr="000932D7" w:rsidRDefault="00CE3659" w:rsidP="000932D7">
      <w:pPr>
        <w:pStyle w:val="FootnoteText"/>
        <w:bidi/>
        <w:rPr>
          <w:rtl/>
          <w:lang w:val="fr-CH" w:bidi="ar-SY"/>
        </w:rPr>
      </w:pPr>
      <w:r>
        <w:rPr>
          <w:rStyle w:val="FootnoteReference"/>
        </w:rPr>
        <w:footnoteRef/>
      </w:r>
      <w:r>
        <w:t xml:space="preserve"> </w:t>
      </w:r>
      <w:r>
        <w:rPr>
          <w:lang w:val="fr-CH"/>
        </w:rPr>
        <w:tab/>
      </w:r>
      <w:r>
        <w:rPr>
          <w:rFonts w:hint="cs"/>
          <w:rtl/>
          <w:lang w:val="fr-CH"/>
        </w:rPr>
        <w:t>الفقرة 33 من سياسة التحقيق.</w:t>
      </w:r>
    </w:p>
  </w:footnote>
  <w:footnote w:id="13">
    <w:p w14:paraId="3CFB6A7E" w14:textId="77777777" w:rsidR="00CE3659" w:rsidRPr="006B640C" w:rsidRDefault="00CE3659" w:rsidP="00C46B12">
      <w:pPr>
        <w:pStyle w:val="FootnoteText"/>
        <w:bidi/>
        <w:rPr>
          <w:rtl/>
        </w:rPr>
      </w:pPr>
      <w:r>
        <w:rPr>
          <w:rStyle w:val="FootnoteReference"/>
          <w:rtl/>
        </w:rPr>
        <w:footnoteRef/>
      </w:r>
      <w:r>
        <w:rPr>
          <w:rFonts w:hint="cs"/>
          <w:rtl/>
        </w:rPr>
        <w:tab/>
        <w:t>الفقرات 20 و21 و23 و24 و25 من ميثاق الرقابة الداخلية.</w:t>
      </w:r>
    </w:p>
  </w:footnote>
  <w:footnote w:id="14">
    <w:p w14:paraId="14312F3B" w14:textId="77777777" w:rsidR="00CE3659" w:rsidRPr="00342383" w:rsidRDefault="00CE3659" w:rsidP="00245CCA">
      <w:pPr>
        <w:pStyle w:val="FootnoteText"/>
        <w:bidi/>
        <w:rPr>
          <w:rtl/>
        </w:rPr>
      </w:pPr>
      <w:r>
        <w:rPr>
          <w:rStyle w:val="FootnoteReference"/>
          <w:rtl/>
        </w:rPr>
        <w:footnoteRef/>
      </w:r>
      <w:r>
        <w:rPr>
          <w:rFonts w:hint="cs"/>
          <w:rtl/>
        </w:rPr>
        <w:tab/>
        <w:t>الفقرة 48(ب) من ميثاق الرقابة الداخلية.</w:t>
      </w:r>
    </w:p>
  </w:footnote>
  <w:footnote w:id="15">
    <w:p w14:paraId="3DED9A8A" w14:textId="77777777" w:rsidR="00CE3659" w:rsidRPr="00F87F84" w:rsidRDefault="00CE3659" w:rsidP="00C46B12">
      <w:pPr>
        <w:pStyle w:val="FootnoteText"/>
        <w:bidi/>
        <w:spacing w:after="20"/>
        <w:rPr>
          <w:rtl/>
        </w:rPr>
      </w:pPr>
      <w:r>
        <w:rPr>
          <w:rStyle w:val="FootnoteReference"/>
          <w:szCs w:val="18"/>
          <w:rtl/>
        </w:rPr>
        <w:footnoteRef/>
      </w:r>
      <w:r>
        <w:rPr>
          <w:rFonts w:hint="cs"/>
          <w:rtl/>
        </w:rPr>
        <w:tab/>
        <w:t>الفقرة 45 من ميثاق الرقابة الداخلية.</w:t>
      </w:r>
    </w:p>
  </w:footnote>
  <w:footnote w:id="16">
    <w:p w14:paraId="5F4E6B22" w14:textId="77777777" w:rsidR="00CE3659" w:rsidRPr="003C0543" w:rsidRDefault="00CE3659" w:rsidP="00C46B12">
      <w:pPr>
        <w:pStyle w:val="FootnoteText"/>
        <w:bidi/>
        <w:spacing w:after="20"/>
        <w:rPr>
          <w:rtl/>
        </w:rPr>
      </w:pPr>
      <w:r>
        <w:rPr>
          <w:rStyle w:val="FootnoteReference"/>
          <w:szCs w:val="18"/>
          <w:rtl/>
        </w:rPr>
        <w:footnoteRef/>
      </w:r>
      <w:r>
        <w:rPr>
          <w:rFonts w:hint="cs"/>
          <w:rtl/>
        </w:rPr>
        <w:tab/>
        <w:t>الفقرة 7 من التعميم الإداري 16/2010.</w:t>
      </w:r>
    </w:p>
  </w:footnote>
  <w:footnote w:id="17">
    <w:p w14:paraId="5E70F0BC" w14:textId="77777777" w:rsidR="00CE3659" w:rsidRPr="006B640C" w:rsidRDefault="00CE3659" w:rsidP="00C46B12">
      <w:pPr>
        <w:bidi/>
        <w:spacing w:after="20"/>
        <w:rPr>
          <w:rtl/>
        </w:rPr>
      </w:pPr>
      <w:r>
        <w:rPr>
          <w:rStyle w:val="FootnoteReference"/>
          <w:sz w:val="18"/>
          <w:szCs w:val="18"/>
          <w:rtl/>
        </w:rPr>
        <w:footnoteRef/>
      </w:r>
      <w:r>
        <w:rPr>
          <w:rFonts w:hint="cs"/>
          <w:sz w:val="18"/>
          <w:szCs w:val="18"/>
          <w:rtl/>
        </w:rPr>
        <w:tab/>
        <w:t>الفقرة 8 من التعميم الإداري 16/2010.</w:t>
      </w:r>
    </w:p>
  </w:footnote>
  <w:footnote w:id="18">
    <w:p w14:paraId="2DD04007" w14:textId="77777777" w:rsidR="00CE3659" w:rsidRPr="003F2F86" w:rsidRDefault="00CE3659">
      <w:pPr>
        <w:pStyle w:val="FootnoteText"/>
        <w:bidi/>
        <w:rPr>
          <w:rtl/>
        </w:rPr>
      </w:pPr>
      <w:r>
        <w:rPr>
          <w:rStyle w:val="FootnoteReference"/>
          <w:rtl/>
        </w:rPr>
        <w:footnoteRef/>
      </w:r>
      <w:r>
        <w:rPr>
          <w:rFonts w:hint="cs"/>
          <w:rtl/>
        </w:rPr>
        <w:tab/>
      </w:r>
      <w:r>
        <w:t>WO/PBC/30/14</w:t>
      </w:r>
      <w:r>
        <w:rPr>
          <w:rFonts w:hint="cs"/>
          <w:rtl/>
        </w:rPr>
        <w:t xml:space="preserve"> ‏- 18 يونيو 2019.</w:t>
      </w:r>
    </w:p>
  </w:footnote>
  <w:footnote w:id="19">
    <w:p w14:paraId="29351D51" w14:textId="0EACEA87" w:rsidR="00CE3659" w:rsidRPr="00C70269" w:rsidRDefault="00CE3659">
      <w:pPr>
        <w:pStyle w:val="FootnoteText"/>
        <w:bidi/>
        <w:rPr>
          <w:rtl/>
        </w:rPr>
      </w:pPr>
      <w:r>
        <w:rPr>
          <w:rStyle w:val="FootnoteReference"/>
          <w:rtl/>
        </w:rPr>
        <w:footnoteRef/>
      </w:r>
      <w:r>
        <w:rPr>
          <w:rFonts w:hint="cs"/>
          <w:rtl/>
        </w:rPr>
        <w:tab/>
      </w:r>
      <w:r>
        <w:rPr>
          <w:rFonts w:hint="cs"/>
          <w:b/>
          <w:bCs/>
          <w:rtl/>
        </w:rPr>
        <w:t>البرنامج 5</w:t>
      </w:r>
      <w:r>
        <w:rPr>
          <w:rFonts w:hint="cs"/>
          <w:rtl/>
        </w:rPr>
        <w:t xml:space="preserve"> - نظام معاهدة التعاون بشأن البراءات، و</w:t>
      </w:r>
      <w:r>
        <w:rPr>
          <w:rFonts w:hint="cs"/>
          <w:b/>
          <w:bCs/>
          <w:rtl/>
        </w:rPr>
        <w:t>البرنامج 6</w:t>
      </w:r>
      <w:r>
        <w:rPr>
          <w:rFonts w:hint="cs"/>
          <w:rtl/>
        </w:rPr>
        <w:t xml:space="preserve"> - نظام مدريد، و</w:t>
      </w:r>
      <w:r>
        <w:rPr>
          <w:rFonts w:hint="cs"/>
          <w:b/>
          <w:bCs/>
          <w:rtl/>
        </w:rPr>
        <w:t>البرنامج 9</w:t>
      </w:r>
      <w:r>
        <w:rPr>
          <w:rFonts w:hint="cs"/>
          <w:rtl/>
        </w:rPr>
        <w:t xml:space="preserve"> - البلدان الأفريقية والعربية وبلدان آسيا والمحيط الهادئ وأمريكا اللاتينية والكاريبي والبلدان الأقل نمواً، و</w:t>
      </w:r>
      <w:r>
        <w:rPr>
          <w:rFonts w:hint="cs"/>
          <w:b/>
          <w:bCs/>
          <w:rtl/>
        </w:rPr>
        <w:t>البرنامج 13</w:t>
      </w:r>
      <w:r>
        <w:rPr>
          <w:rFonts w:hint="cs"/>
          <w:rtl/>
        </w:rPr>
        <w:t xml:space="preserve"> - قواعد البيانات العالمية، و</w:t>
      </w:r>
      <w:r>
        <w:rPr>
          <w:rFonts w:hint="cs"/>
          <w:b/>
          <w:bCs/>
          <w:rtl/>
        </w:rPr>
        <w:t>البرنامج 17</w:t>
      </w:r>
      <w:r>
        <w:rPr>
          <w:rFonts w:hint="cs"/>
          <w:rtl/>
        </w:rPr>
        <w:t xml:space="preserve"> - إذكاء الاحترام للملكية الفكرية، و</w:t>
      </w:r>
      <w:r>
        <w:rPr>
          <w:rFonts w:hint="cs"/>
          <w:b/>
          <w:bCs/>
          <w:rtl/>
        </w:rPr>
        <w:t>البرنامج 19</w:t>
      </w:r>
      <w:r>
        <w:rPr>
          <w:rFonts w:hint="cs"/>
          <w:rtl/>
        </w:rPr>
        <w:t xml:space="preserve"> - التواصل، و</w:t>
      </w:r>
      <w:r>
        <w:rPr>
          <w:rFonts w:hint="cs"/>
          <w:b/>
          <w:bCs/>
          <w:rtl/>
        </w:rPr>
        <w:t>البرنامج 20</w:t>
      </w:r>
      <w:r>
        <w:rPr>
          <w:rFonts w:hint="cs"/>
          <w:rtl/>
        </w:rPr>
        <w:t xml:space="preserve"> - العلاقات الخارجية والشراكات والمكاتب الخارجية، و</w:t>
      </w:r>
      <w:r>
        <w:rPr>
          <w:rFonts w:hint="cs"/>
          <w:b/>
          <w:bCs/>
          <w:rtl/>
        </w:rPr>
        <w:t>البرنامج 21</w:t>
      </w:r>
      <w:r>
        <w:rPr>
          <w:rFonts w:hint="cs"/>
          <w:rtl/>
        </w:rPr>
        <w:t xml:space="preserve"> - الإدارة التنفيذية، و</w:t>
      </w:r>
      <w:r>
        <w:rPr>
          <w:rFonts w:hint="cs"/>
          <w:b/>
          <w:bCs/>
          <w:rtl/>
        </w:rPr>
        <w:t>البرنامج 22</w:t>
      </w:r>
      <w:r>
        <w:rPr>
          <w:rFonts w:hint="cs"/>
          <w:rtl/>
        </w:rPr>
        <w:t xml:space="preserve"> - إدارة البرامج والموارد، و</w:t>
      </w:r>
      <w:r>
        <w:rPr>
          <w:rFonts w:hint="cs"/>
          <w:b/>
          <w:bCs/>
          <w:rtl/>
        </w:rPr>
        <w:t>البرنامج 23</w:t>
      </w:r>
      <w:r>
        <w:rPr>
          <w:rFonts w:hint="cs"/>
          <w:rtl/>
        </w:rPr>
        <w:t xml:space="preserve"> - إدارة الموارد البشرية وتطويرها، و</w:t>
      </w:r>
      <w:r>
        <w:rPr>
          <w:rFonts w:hint="cs"/>
          <w:b/>
          <w:bCs/>
          <w:rtl/>
        </w:rPr>
        <w:t>البرنامج 24</w:t>
      </w:r>
      <w:r>
        <w:rPr>
          <w:rFonts w:hint="cs"/>
          <w:rtl/>
        </w:rPr>
        <w:t xml:space="preserve"> - خدمات الدعم العامة، و</w:t>
      </w:r>
      <w:r>
        <w:rPr>
          <w:rFonts w:hint="cs"/>
          <w:b/>
          <w:bCs/>
          <w:rtl/>
        </w:rPr>
        <w:t>البرنامج 25</w:t>
      </w:r>
      <w:r>
        <w:rPr>
          <w:rFonts w:hint="cs"/>
          <w:rtl/>
        </w:rPr>
        <w:t xml:space="preserve"> - تكنولوجيا المعلومات والاتصالات، و</w:t>
      </w:r>
      <w:r>
        <w:rPr>
          <w:rFonts w:hint="cs"/>
          <w:b/>
          <w:bCs/>
          <w:rtl/>
        </w:rPr>
        <w:t>البرنامج 26</w:t>
      </w:r>
      <w:r>
        <w:rPr>
          <w:rFonts w:hint="cs"/>
          <w:rtl/>
        </w:rPr>
        <w:t xml:space="preserve"> - شعبة الرقابة الداخلية، و</w:t>
      </w:r>
      <w:r>
        <w:rPr>
          <w:rFonts w:hint="cs"/>
          <w:b/>
          <w:bCs/>
          <w:rtl/>
        </w:rPr>
        <w:t>البرنامج 27</w:t>
      </w:r>
      <w:r>
        <w:rPr>
          <w:rFonts w:hint="cs"/>
          <w:rtl/>
        </w:rPr>
        <w:t xml:space="preserve"> - خدمات المؤتمرات واللغات، و</w:t>
      </w:r>
      <w:r>
        <w:rPr>
          <w:rFonts w:hint="cs"/>
          <w:b/>
          <w:bCs/>
          <w:rtl/>
        </w:rPr>
        <w:t>البرنامج 28</w:t>
      </w:r>
      <w:r>
        <w:rPr>
          <w:rFonts w:hint="cs"/>
          <w:rtl/>
        </w:rPr>
        <w:t xml:space="preserve"> - تأمين المعلومات والسلامة والأمن، و</w:t>
      </w:r>
      <w:r>
        <w:rPr>
          <w:rFonts w:hint="cs"/>
          <w:b/>
          <w:bCs/>
          <w:rtl/>
        </w:rPr>
        <w:t>البرنامج 32</w:t>
      </w:r>
      <w:r>
        <w:rPr>
          <w:rFonts w:hint="cs"/>
          <w:rtl/>
        </w:rPr>
        <w:t xml:space="preserve"> - نظام لشبونة.</w:t>
      </w:r>
    </w:p>
  </w:footnote>
  <w:footnote w:id="20">
    <w:p w14:paraId="75B27EEB" w14:textId="77777777" w:rsidR="00CE3659" w:rsidRPr="00072495" w:rsidRDefault="00CE3659" w:rsidP="00C46B12">
      <w:pPr>
        <w:pStyle w:val="FootnoteText"/>
        <w:bidi/>
        <w:rPr>
          <w:rtl/>
        </w:rPr>
      </w:pPr>
      <w:r>
        <w:rPr>
          <w:rStyle w:val="FootnoteReference"/>
          <w:rtl/>
        </w:rPr>
        <w:footnoteRef/>
      </w:r>
      <w:r>
        <w:rPr>
          <w:rFonts w:hint="cs"/>
          <w:rtl/>
        </w:rPr>
        <w:tab/>
        <w:t>الفقرة 28(ز) من ميثاق الرقابة الداخلية.</w:t>
      </w:r>
    </w:p>
  </w:footnote>
  <w:footnote w:id="21">
    <w:p w14:paraId="5BBBFD0C" w14:textId="77777777" w:rsidR="00CE3659" w:rsidRDefault="00CE3659" w:rsidP="00550057">
      <w:pPr>
        <w:pStyle w:val="FootnoteText"/>
        <w:bidi/>
        <w:rPr>
          <w:rtl/>
        </w:rPr>
      </w:pPr>
      <w:r>
        <w:rPr>
          <w:rStyle w:val="FootnoteReference"/>
          <w:rtl/>
        </w:rPr>
        <w:footnoteRef/>
      </w:r>
      <w:r>
        <w:rPr>
          <w:rFonts w:hint="cs"/>
          <w:rtl/>
        </w:rPr>
        <w:tab/>
        <w:t>تشمل الجهات المعنية الرئيسية المدير العام ومديري الويبو واللجنة الاستشارية المستقلة للرقابة والدول الأعضاء والمدققين الخارجيين والجمهور بشكل عام.</w:t>
      </w:r>
    </w:p>
  </w:footnote>
  <w:footnote w:id="22">
    <w:p w14:paraId="55E7A2FA" w14:textId="77777777" w:rsidR="00CE3659" w:rsidRDefault="00CE3659" w:rsidP="00C46B12">
      <w:pPr>
        <w:pStyle w:val="FootnoteText"/>
        <w:bidi/>
        <w:rPr>
          <w:rtl/>
        </w:rPr>
      </w:pPr>
      <w:r>
        <w:rPr>
          <w:rStyle w:val="FootnoteReference"/>
          <w:rtl/>
        </w:rPr>
        <w:footnoteRef/>
      </w:r>
      <w:r>
        <w:rPr>
          <w:rFonts w:hint="cs"/>
          <w:rtl/>
        </w:rPr>
        <w:tab/>
        <w:t>انظر الفقرة 48(ط) من ميثاق الرقابة الداخلية.</w:t>
      </w:r>
    </w:p>
  </w:footnote>
  <w:footnote w:id="23">
    <w:p w14:paraId="059CD795" w14:textId="548875F8" w:rsidR="00CE3659" w:rsidRPr="00283D9B" w:rsidRDefault="00CE3659" w:rsidP="004D2232">
      <w:pPr>
        <w:pStyle w:val="FootnoteText"/>
        <w:bidi/>
        <w:rPr>
          <w:rtl/>
        </w:rPr>
      </w:pPr>
      <w:r>
        <w:rPr>
          <w:rStyle w:val="FootnoteReference"/>
          <w:rtl/>
        </w:rPr>
        <w:footnoteRef/>
      </w:r>
      <w:r>
        <w:rPr>
          <w:rFonts w:hint="cs"/>
          <w:rtl/>
        </w:rPr>
        <w:tab/>
        <w:t>تستند هذه النسبة المئوية إلى الميزانية بعد التحويلات إلى شعبة الرقابة الداخلية.</w:t>
      </w:r>
    </w:p>
  </w:footnote>
  <w:footnote w:id="24">
    <w:p w14:paraId="6D072959" w14:textId="68CCDDE4" w:rsidR="00CE3659" w:rsidRDefault="00CE3659" w:rsidP="004D2232">
      <w:pPr>
        <w:bidi/>
        <w:spacing w:after="40"/>
        <w:rPr>
          <w:rtl/>
        </w:rPr>
      </w:pPr>
      <w:r>
        <w:rPr>
          <w:rStyle w:val="FootnoteReference"/>
          <w:sz w:val="16"/>
          <w:szCs w:val="16"/>
          <w:rtl/>
        </w:rPr>
        <w:footnoteRef/>
      </w:r>
      <w:r>
        <w:rPr>
          <w:rFonts w:hint="cs"/>
          <w:sz w:val="18"/>
          <w:szCs w:val="18"/>
          <w:rtl/>
        </w:rPr>
        <w:tab/>
      </w:r>
      <w:r w:rsidRPr="004D2232">
        <w:rPr>
          <w:rFonts w:hint="cs"/>
          <w:sz w:val="20"/>
          <w:rtl/>
        </w:rPr>
        <w:t>ترد المبالغ بالفرنكات السويسرية.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2E7DE" w14:textId="77777777" w:rsidR="00CE3659" w:rsidRDefault="00CE365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CFB2" w14:textId="77777777" w:rsidR="00CE3659" w:rsidRPr="00F87303" w:rsidRDefault="00CE3659" w:rsidP="002670C4">
    <w:pPr>
      <w:bidi/>
      <w:jc w:val="right"/>
      <w:rPr>
        <w:rtl/>
      </w:rPr>
    </w:pPr>
    <w:r>
      <w:t>WO/PBC/28/5</w:t>
    </w:r>
  </w:p>
  <w:p w14:paraId="4EB2B35C" w14:textId="77777777" w:rsidR="00CE3659" w:rsidRPr="00E365E6" w:rsidRDefault="00CE3659" w:rsidP="002670C4">
    <w:pPr>
      <w:pStyle w:val="Header"/>
      <w:bidi/>
      <w:jc w:val="right"/>
      <w:rPr>
        <w:rtl/>
      </w:rPr>
    </w:pPr>
    <w:r>
      <w:rPr>
        <w:rFonts w:hint="cs"/>
        <w:rtl/>
      </w:rPr>
      <w:t>الصفحة 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1847" w14:textId="77777777" w:rsidR="00CE3659" w:rsidRPr="005E3DE5" w:rsidRDefault="00CE3659" w:rsidP="005E3DE5">
    <w:pPr>
      <w:rPr>
        <w:rFonts w:cs="Arial"/>
        <w:lang w:bidi="ar-SA"/>
      </w:rPr>
    </w:pPr>
    <w:r w:rsidRPr="005E3DE5">
      <w:rPr>
        <w:rFonts w:cs="Arial"/>
        <w:lang w:bidi="ar-SA"/>
      </w:rPr>
      <w:t>WO/PBC/34/5</w:t>
    </w:r>
  </w:p>
  <w:p w14:paraId="43F53901" w14:textId="46652844" w:rsidR="00CE3659" w:rsidRPr="005E3DE5" w:rsidRDefault="00CE3659" w:rsidP="005E3DE5">
    <w:pPr>
      <w:tabs>
        <w:tab w:val="center" w:pos="4536"/>
        <w:tab w:val="right" w:pos="9072"/>
      </w:tabs>
      <w:rPr>
        <w:rFonts w:cs="Arial"/>
        <w:lang w:bidi="ar-SA"/>
      </w:rPr>
    </w:pPr>
    <w:r w:rsidRPr="005E3DE5">
      <w:rPr>
        <w:rFonts w:cs="Arial"/>
        <w:lang w:bidi="ar-SA"/>
      </w:rPr>
      <w:fldChar w:fldCharType="begin"/>
    </w:r>
    <w:r w:rsidRPr="005E3DE5">
      <w:rPr>
        <w:rFonts w:cs="Arial"/>
        <w:lang w:bidi="ar-SA"/>
      </w:rPr>
      <w:instrText xml:space="preserve"> PAGE   \* MERGEFORMAT </w:instrText>
    </w:r>
    <w:r w:rsidRPr="005E3DE5">
      <w:rPr>
        <w:rFonts w:cs="Arial"/>
        <w:lang w:bidi="ar-SA"/>
      </w:rPr>
      <w:fldChar w:fldCharType="separate"/>
    </w:r>
    <w:r w:rsidR="008D0985">
      <w:rPr>
        <w:rFonts w:cs="Arial"/>
        <w:noProof/>
        <w:lang w:bidi="ar-SA"/>
      </w:rPr>
      <w:t>4</w:t>
    </w:r>
    <w:r w:rsidRPr="005E3DE5">
      <w:rPr>
        <w:rFonts w:cs="Arial"/>
        <w:noProof/>
        <w:lang w:bidi="ar-S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01AF" w14:textId="77777777" w:rsidR="00CE3659" w:rsidRPr="003E573F" w:rsidRDefault="00CE365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952" w14:textId="77777777" w:rsidR="00CE3659" w:rsidRPr="00282208" w:rsidRDefault="00CE3659" w:rsidP="00477D6B">
    <w:pPr>
      <w:bidi/>
      <w:jc w:val="right"/>
      <w:rPr>
        <w:rtl/>
      </w:rPr>
    </w:pPr>
    <w:bookmarkStart w:id="57" w:name="Code2"/>
    <w:bookmarkEnd w:id="57"/>
    <w:r>
      <w:t>WO/GA/52/4WO/PBC/31/</w:t>
    </w:r>
  </w:p>
  <w:p w14:paraId="59B8C1BC" w14:textId="77777777" w:rsidR="00CE3659" w:rsidRPr="00282208" w:rsidRDefault="00CE3659" w:rsidP="00477D6B">
    <w:pPr>
      <w:bidi/>
      <w:jc w:val="right"/>
      <w:rPr>
        <w:rtl/>
      </w:rPr>
    </w:pPr>
    <w:r>
      <w:rPr>
        <w:rFonts w:hint="cs"/>
        <w:rtl/>
      </w:rPr>
      <w:t>الصفحة 20</w:t>
    </w:r>
  </w:p>
  <w:p w14:paraId="1FED260F" w14:textId="77777777" w:rsidR="00CE3659" w:rsidRPr="00282208" w:rsidRDefault="00CE3659" w:rsidP="00477D6B">
    <w:pPr>
      <w:jc w:val="right"/>
      <w:rPr>
        <w:lang w:val="de-DE"/>
      </w:rPr>
    </w:pPr>
  </w:p>
  <w:p w14:paraId="67D9E257" w14:textId="77777777" w:rsidR="00CE3659" w:rsidRPr="00282208" w:rsidRDefault="00CE365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7B31" w14:textId="5C64FCBA" w:rsidR="00CE3659" w:rsidRDefault="00CE3659" w:rsidP="00282208">
    <w:pPr>
      <w:bidi/>
      <w:jc w:val="right"/>
      <w:rPr>
        <w:rtl/>
      </w:rPr>
    </w:pPr>
    <w:r>
      <w:t>WO/PBC/34/5</w:t>
    </w:r>
  </w:p>
  <w:p w14:paraId="2940518D" w14:textId="13CD0BED" w:rsidR="00CE3659" w:rsidRPr="00524915" w:rsidRDefault="00CE3659" w:rsidP="00B866A3">
    <w:pPr>
      <w:bidi/>
      <w:jc w:val="right"/>
    </w:pPr>
    <w:r>
      <w:t>ANNEX</w:t>
    </w:r>
  </w:p>
  <w:p w14:paraId="5A71E2A9" w14:textId="77777777" w:rsidR="00CE3659" w:rsidRPr="00524915" w:rsidRDefault="00CE3659" w:rsidP="00282208">
    <w:pPr>
      <w:pStyle w:val="Header"/>
      <w:bidi/>
      <w:jc w:val="right"/>
      <w:rPr>
        <w:rtl/>
      </w:rPr>
    </w:pPr>
    <w:r>
      <w:rPr>
        <w:rFonts w:hint="cs"/>
        <w:rtl/>
      </w:rPr>
      <w:t>المرفق</w:t>
    </w:r>
  </w:p>
  <w:p w14:paraId="5E1161C2" w14:textId="77777777" w:rsidR="00CE3659" w:rsidRPr="003E573F" w:rsidRDefault="00CE365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54C855C"/>
    <w:lvl w:ilvl="0">
      <w:start w:val="2"/>
      <w:numFmt w:val="decimal"/>
      <w:lvlRestart w:val="0"/>
      <w:pStyle w:val="ONUME"/>
      <w:lvlText w:val="%1."/>
      <w:lvlJc w:val="left"/>
      <w:pPr>
        <w:tabs>
          <w:tab w:val="num" w:pos="567"/>
        </w:tabs>
        <w:ind w:left="0" w:firstLine="0"/>
      </w:pPr>
      <w:rPr>
        <w:rFonts w:hint="default"/>
        <w:b w:val="0"/>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ar-EG" w:vendorID="64" w:dllVersion="0" w:nlCheck="1" w:checkStyle="0"/>
  <w:activeWritingStyle w:appName="MSWord" w:lang="ar-SA"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ar-EG" w:vendorID="64" w:dllVersion="4096" w:nlCheck="1" w:checkStyle="0"/>
  <w:activeWritingStyle w:appName="MSWord" w:lang="ar-EG" w:vendorID="64" w:dllVersion="131078" w:nlCheck="1" w:checkStyle="0"/>
  <w:activeWritingStyle w:appName="MSWord" w:lang="ar-SA" w:vendorID="64" w:dllVersion="131078" w:nlCheck="1" w:checkStyle="0"/>
  <w:activeWritingStyle w:appName="MSWord" w:lang="ar-SY"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4205"/>
    <w:rsid w:val="000074CD"/>
    <w:rsid w:val="00007C8D"/>
    <w:rsid w:val="00012A0C"/>
    <w:rsid w:val="0001407C"/>
    <w:rsid w:val="00017479"/>
    <w:rsid w:val="000174F2"/>
    <w:rsid w:val="000259B5"/>
    <w:rsid w:val="00025D07"/>
    <w:rsid w:val="0002678A"/>
    <w:rsid w:val="000269CE"/>
    <w:rsid w:val="00027788"/>
    <w:rsid w:val="00027A0B"/>
    <w:rsid w:val="000331AB"/>
    <w:rsid w:val="00037140"/>
    <w:rsid w:val="0003750A"/>
    <w:rsid w:val="00041DCF"/>
    <w:rsid w:val="00043CAA"/>
    <w:rsid w:val="000449A2"/>
    <w:rsid w:val="00044A42"/>
    <w:rsid w:val="00050B9C"/>
    <w:rsid w:val="00050F76"/>
    <w:rsid w:val="0005230C"/>
    <w:rsid w:val="00053BE8"/>
    <w:rsid w:val="00055464"/>
    <w:rsid w:val="00056816"/>
    <w:rsid w:val="00057F57"/>
    <w:rsid w:val="00060C46"/>
    <w:rsid w:val="00063D19"/>
    <w:rsid w:val="000649AF"/>
    <w:rsid w:val="00065037"/>
    <w:rsid w:val="00066818"/>
    <w:rsid w:val="00067B6A"/>
    <w:rsid w:val="00075432"/>
    <w:rsid w:val="00080C25"/>
    <w:rsid w:val="00083212"/>
    <w:rsid w:val="00083433"/>
    <w:rsid w:val="00083553"/>
    <w:rsid w:val="00087F87"/>
    <w:rsid w:val="00091904"/>
    <w:rsid w:val="00091943"/>
    <w:rsid w:val="000920C6"/>
    <w:rsid w:val="000932D7"/>
    <w:rsid w:val="00094B31"/>
    <w:rsid w:val="0009532F"/>
    <w:rsid w:val="000953B4"/>
    <w:rsid w:val="000968ED"/>
    <w:rsid w:val="00097EB8"/>
    <w:rsid w:val="000A003F"/>
    <w:rsid w:val="000A07F8"/>
    <w:rsid w:val="000A0B7A"/>
    <w:rsid w:val="000A18E8"/>
    <w:rsid w:val="000A2877"/>
    <w:rsid w:val="000A3D97"/>
    <w:rsid w:val="000A6E18"/>
    <w:rsid w:val="000A7A2D"/>
    <w:rsid w:val="000B1CEC"/>
    <w:rsid w:val="000B53FC"/>
    <w:rsid w:val="000C4041"/>
    <w:rsid w:val="000C4E21"/>
    <w:rsid w:val="000C4E9C"/>
    <w:rsid w:val="000C5D71"/>
    <w:rsid w:val="000C60CF"/>
    <w:rsid w:val="000D18B9"/>
    <w:rsid w:val="000D1D00"/>
    <w:rsid w:val="000D26D8"/>
    <w:rsid w:val="000D62DD"/>
    <w:rsid w:val="000D6D2A"/>
    <w:rsid w:val="000D7F45"/>
    <w:rsid w:val="000E04C7"/>
    <w:rsid w:val="000E0D1B"/>
    <w:rsid w:val="000E1DB8"/>
    <w:rsid w:val="000E2BF2"/>
    <w:rsid w:val="000E3787"/>
    <w:rsid w:val="000E52CD"/>
    <w:rsid w:val="000F16E2"/>
    <w:rsid w:val="000F18C3"/>
    <w:rsid w:val="000F1ACD"/>
    <w:rsid w:val="000F2726"/>
    <w:rsid w:val="000F3D7B"/>
    <w:rsid w:val="000F5D67"/>
    <w:rsid w:val="000F5E56"/>
    <w:rsid w:val="000F6132"/>
    <w:rsid w:val="000F6DA2"/>
    <w:rsid w:val="000F7A31"/>
    <w:rsid w:val="000F7BFF"/>
    <w:rsid w:val="000F7F6B"/>
    <w:rsid w:val="00101D72"/>
    <w:rsid w:val="00104BDC"/>
    <w:rsid w:val="001052E2"/>
    <w:rsid w:val="0010783D"/>
    <w:rsid w:val="00107F8C"/>
    <w:rsid w:val="0011081D"/>
    <w:rsid w:val="001123FB"/>
    <w:rsid w:val="001160CB"/>
    <w:rsid w:val="0012193A"/>
    <w:rsid w:val="00121CCE"/>
    <w:rsid w:val="00131D66"/>
    <w:rsid w:val="00132EAC"/>
    <w:rsid w:val="001362EE"/>
    <w:rsid w:val="00140150"/>
    <w:rsid w:val="00140918"/>
    <w:rsid w:val="0014384A"/>
    <w:rsid w:val="0014654C"/>
    <w:rsid w:val="00152E1F"/>
    <w:rsid w:val="00154248"/>
    <w:rsid w:val="001542CE"/>
    <w:rsid w:val="001547C8"/>
    <w:rsid w:val="001569F2"/>
    <w:rsid w:val="001635B5"/>
    <w:rsid w:val="00163E3E"/>
    <w:rsid w:val="001643D3"/>
    <w:rsid w:val="001647D5"/>
    <w:rsid w:val="001661F3"/>
    <w:rsid w:val="00167E24"/>
    <w:rsid w:val="00173ECB"/>
    <w:rsid w:val="001750C8"/>
    <w:rsid w:val="001775CE"/>
    <w:rsid w:val="0018317E"/>
    <w:rsid w:val="001832A6"/>
    <w:rsid w:val="001904F7"/>
    <w:rsid w:val="00191379"/>
    <w:rsid w:val="00191B90"/>
    <w:rsid w:val="001936B0"/>
    <w:rsid w:val="00193A11"/>
    <w:rsid w:val="00194BF6"/>
    <w:rsid w:val="00195170"/>
    <w:rsid w:val="001952B7"/>
    <w:rsid w:val="00196CD2"/>
    <w:rsid w:val="001A4443"/>
    <w:rsid w:val="001A5DC5"/>
    <w:rsid w:val="001A6515"/>
    <w:rsid w:val="001A67A1"/>
    <w:rsid w:val="001A6CA0"/>
    <w:rsid w:val="001A7272"/>
    <w:rsid w:val="001B058F"/>
    <w:rsid w:val="001B2E69"/>
    <w:rsid w:val="001B343A"/>
    <w:rsid w:val="001B4533"/>
    <w:rsid w:val="001B628C"/>
    <w:rsid w:val="001B7D41"/>
    <w:rsid w:val="001C0BFD"/>
    <w:rsid w:val="001C0E37"/>
    <w:rsid w:val="001C123D"/>
    <w:rsid w:val="001C12DE"/>
    <w:rsid w:val="001C22A3"/>
    <w:rsid w:val="001C2473"/>
    <w:rsid w:val="001C669F"/>
    <w:rsid w:val="001C6CA4"/>
    <w:rsid w:val="001D01A8"/>
    <w:rsid w:val="001D1177"/>
    <w:rsid w:val="001D4107"/>
    <w:rsid w:val="001D5827"/>
    <w:rsid w:val="001D59E1"/>
    <w:rsid w:val="001E003B"/>
    <w:rsid w:val="001E1CA7"/>
    <w:rsid w:val="001E225B"/>
    <w:rsid w:val="001E2BD8"/>
    <w:rsid w:val="001E2CA2"/>
    <w:rsid w:val="001E65D0"/>
    <w:rsid w:val="001E6CF4"/>
    <w:rsid w:val="001E6F62"/>
    <w:rsid w:val="001F21C8"/>
    <w:rsid w:val="001F5477"/>
    <w:rsid w:val="001F799A"/>
    <w:rsid w:val="002026BC"/>
    <w:rsid w:val="00203D24"/>
    <w:rsid w:val="00203F43"/>
    <w:rsid w:val="002059E7"/>
    <w:rsid w:val="00205EA1"/>
    <w:rsid w:val="00210B06"/>
    <w:rsid w:val="0021217E"/>
    <w:rsid w:val="002150AF"/>
    <w:rsid w:val="0021563A"/>
    <w:rsid w:val="00217391"/>
    <w:rsid w:val="0021774E"/>
    <w:rsid w:val="00222C8D"/>
    <w:rsid w:val="00224AED"/>
    <w:rsid w:val="0022519E"/>
    <w:rsid w:val="002264CD"/>
    <w:rsid w:val="0022679E"/>
    <w:rsid w:val="002279F2"/>
    <w:rsid w:val="0023262B"/>
    <w:rsid w:val="0023270A"/>
    <w:rsid w:val="002327F8"/>
    <w:rsid w:val="002415DC"/>
    <w:rsid w:val="0024327F"/>
    <w:rsid w:val="00243430"/>
    <w:rsid w:val="002435DF"/>
    <w:rsid w:val="00243DD8"/>
    <w:rsid w:val="002446E9"/>
    <w:rsid w:val="00245CCA"/>
    <w:rsid w:val="0024667F"/>
    <w:rsid w:val="00247252"/>
    <w:rsid w:val="00252695"/>
    <w:rsid w:val="0025359D"/>
    <w:rsid w:val="002545F9"/>
    <w:rsid w:val="00255686"/>
    <w:rsid w:val="002562E7"/>
    <w:rsid w:val="00257602"/>
    <w:rsid w:val="002630EC"/>
    <w:rsid w:val="002634C4"/>
    <w:rsid w:val="0026534C"/>
    <w:rsid w:val="002654AF"/>
    <w:rsid w:val="002670C4"/>
    <w:rsid w:val="00267852"/>
    <w:rsid w:val="002717D1"/>
    <w:rsid w:val="002778F8"/>
    <w:rsid w:val="00282208"/>
    <w:rsid w:val="002830FF"/>
    <w:rsid w:val="00284537"/>
    <w:rsid w:val="00284EFC"/>
    <w:rsid w:val="0028603B"/>
    <w:rsid w:val="0028626A"/>
    <w:rsid w:val="00286456"/>
    <w:rsid w:val="00286DAC"/>
    <w:rsid w:val="0029118F"/>
    <w:rsid w:val="002928D3"/>
    <w:rsid w:val="002936F1"/>
    <w:rsid w:val="002A1916"/>
    <w:rsid w:val="002A213E"/>
    <w:rsid w:val="002A21AE"/>
    <w:rsid w:val="002B10B9"/>
    <w:rsid w:val="002B7C36"/>
    <w:rsid w:val="002C23BF"/>
    <w:rsid w:val="002C3215"/>
    <w:rsid w:val="002C3EE1"/>
    <w:rsid w:val="002C485D"/>
    <w:rsid w:val="002C4C35"/>
    <w:rsid w:val="002D34FF"/>
    <w:rsid w:val="002D5739"/>
    <w:rsid w:val="002D6743"/>
    <w:rsid w:val="002D6986"/>
    <w:rsid w:val="002E1846"/>
    <w:rsid w:val="002E2DFD"/>
    <w:rsid w:val="002E3A72"/>
    <w:rsid w:val="002E69EB"/>
    <w:rsid w:val="002F07CD"/>
    <w:rsid w:val="002F1C84"/>
    <w:rsid w:val="002F1FE6"/>
    <w:rsid w:val="002F4E68"/>
    <w:rsid w:val="002F5395"/>
    <w:rsid w:val="002F5B33"/>
    <w:rsid w:val="002F5D8D"/>
    <w:rsid w:val="002F69AD"/>
    <w:rsid w:val="0030012B"/>
    <w:rsid w:val="0030017C"/>
    <w:rsid w:val="00300C2C"/>
    <w:rsid w:val="00300D4D"/>
    <w:rsid w:val="0030244D"/>
    <w:rsid w:val="00302505"/>
    <w:rsid w:val="0030340A"/>
    <w:rsid w:val="003038D9"/>
    <w:rsid w:val="00307D39"/>
    <w:rsid w:val="0031229D"/>
    <w:rsid w:val="003124BB"/>
    <w:rsid w:val="00312F7F"/>
    <w:rsid w:val="00314917"/>
    <w:rsid w:val="00315F3C"/>
    <w:rsid w:val="00317396"/>
    <w:rsid w:val="0032452C"/>
    <w:rsid w:val="00326E2A"/>
    <w:rsid w:val="00331F89"/>
    <w:rsid w:val="00335B35"/>
    <w:rsid w:val="0033685D"/>
    <w:rsid w:val="00337A88"/>
    <w:rsid w:val="00342383"/>
    <w:rsid w:val="003453CA"/>
    <w:rsid w:val="00347735"/>
    <w:rsid w:val="00350525"/>
    <w:rsid w:val="0035095D"/>
    <w:rsid w:val="00352C83"/>
    <w:rsid w:val="0035401B"/>
    <w:rsid w:val="00360261"/>
    <w:rsid w:val="00361450"/>
    <w:rsid w:val="0036177F"/>
    <w:rsid w:val="003652CE"/>
    <w:rsid w:val="003673CF"/>
    <w:rsid w:val="00371CD2"/>
    <w:rsid w:val="003728F8"/>
    <w:rsid w:val="0037708F"/>
    <w:rsid w:val="0038146E"/>
    <w:rsid w:val="00383799"/>
    <w:rsid w:val="003845C1"/>
    <w:rsid w:val="00392CEA"/>
    <w:rsid w:val="00393E59"/>
    <w:rsid w:val="0039415E"/>
    <w:rsid w:val="00395824"/>
    <w:rsid w:val="0039651E"/>
    <w:rsid w:val="003967ED"/>
    <w:rsid w:val="003A6DF8"/>
    <w:rsid w:val="003A6F89"/>
    <w:rsid w:val="003B0312"/>
    <w:rsid w:val="003B06F4"/>
    <w:rsid w:val="003B2024"/>
    <w:rsid w:val="003B38C1"/>
    <w:rsid w:val="003B4645"/>
    <w:rsid w:val="003C34E9"/>
    <w:rsid w:val="003C4165"/>
    <w:rsid w:val="003C526E"/>
    <w:rsid w:val="003C5909"/>
    <w:rsid w:val="003D125E"/>
    <w:rsid w:val="003D3A2A"/>
    <w:rsid w:val="003D6E1D"/>
    <w:rsid w:val="003E5E33"/>
    <w:rsid w:val="003F2F86"/>
    <w:rsid w:val="003F3B76"/>
    <w:rsid w:val="003F48D8"/>
    <w:rsid w:val="003F6C0B"/>
    <w:rsid w:val="00411441"/>
    <w:rsid w:val="00411D92"/>
    <w:rsid w:val="00412F47"/>
    <w:rsid w:val="0041494C"/>
    <w:rsid w:val="00422A71"/>
    <w:rsid w:val="00422B7D"/>
    <w:rsid w:val="00423823"/>
    <w:rsid w:val="00423E3E"/>
    <w:rsid w:val="00424E8A"/>
    <w:rsid w:val="00425CF3"/>
    <w:rsid w:val="00427AF4"/>
    <w:rsid w:val="004362BA"/>
    <w:rsid w:val="00436316"/>
    <w:rsid w:val="0044093E"/>
    <w:rsid w:val="004428AF"/>
    <w:rsid w:val="004448FF"/>
    <w:rsid w:val="00446ABF"/>
    <w:rsid w:val="004479A8"/>
    <w:rsid w:val="00447C4F"/>
    <w:rsid w:val="00450494"/>
    <w:rsid w:val="00450C38"/>
    <w:rsid w:val="00451AF4"/>
    <w:rsid w:val="0045233C"/>
    <w:rsid w:val="0045409D"/>
    <w:rsid w:val="00454D28"/>
    <w:rsid w:val="004647CB"/>
    <w:rsid w:val="004647DA"/>
    <w:rsid w:val="00467574"/>
    <w:rsid w:val="00470D9D"/>
    <w:rsid w:val="0047206B"/>
    <w:rsid w:val="00474062"/>
    <w:rsid w:val="00475956"/>
    <w:rsid w:val="00477CDB"/>
    <w:rsid w:val="00477D6B"/>
    <w:rsid w:val="00482650"/>
    <w:rsid w:val="00484B9E"/>
    <w:rsid w:val="00484ED0"/>
    <w:rsid w:val="004854FF"/>
    <w:rsid w:val="00491135"/>
    <w:rsid w:val="00491D39"/>
    <w:rsid w:val="0049212C"/>
    <w:rsid w:val="004B0B41"/>
    <w:rsid w:val="004B5CF4"/>
    <w:rsid w:val="004B6D5C"/>
    <w:rsid w:val="004C0258"/>
    <w:rsid w:val="004C40F4"/>
    <w:rsid w:val="004C6FCB"/>
    <w:rsid w:val="004D2232"/>
    <w:rsid w:val="004D2547"/>
    <w:rsid w:val="004D2AF2"/>
    <w:rsid w:val="004D4B87"/>
    <w:rsid w:val="004D6E26"/>
    <w:rsid w:val="004D794F"/>
    <w:rsid w:val="004E566A"/>
    <w:rsid w:val="004F0DAE"/>
    <w:rsid w:val="004F4316"/>
    <w:rsid w:val="004F5E6B"/>
    <w:rsid w:val="00500A24"/>
    <w:rsid w:val="00500D6F"/>
    <w:rsid w:val="005019FF"/>
    <w:rsid w:val="005033FF"/>
    <w:rsid w:val="0050351D"/>
    <w:rsid w:val="00504BBB"/>
    <w:rsid w:val="005101A6"/>
    <w:rsid w:val="005120F1"/>
    <w:rsid w:val="005121A0"/>
    <w:rsid w:val="005143D7"/>
    <w:rsid w:val="00515A65"/>
    <w:rsid w:val="00516C1E"/>
    <w:rsid w:val="00520248"/>
    <w:rsid w:val="005214D5"/>
    <w:rsid w:val="0052183D"/>
    <w:rsid w:val="00524F64"/>
    <w:rsid w:val="00526790"/>
    <w:rsid w:val="00526EA2"/>
    <w:rsid w:val="005272E2"/>
    <w:rsid w:val="00530377"/>
    <w:rsid w:val="0053057A"/>
    <w:rsid w:val="00531A5E"/>
    <w:rsid w:val="005328C2"/>
    <w:rsid w:val="005361A2"/>
    <w:rsid w:val="005370EC"/>
    <w:rsid w:val="0054355C"/>
    <w:rsid w:val="005463D1"/>
    <w:rsid w:val="00550057"/>
    <w:rsid w:val="00552A6D"/>
    <w:rsid w:val="00556076"/>
    <w:rsid w:val="005602A7"/>
    <w:rsid w:val="00560574"/>
    <w:rsid w:val="005608DA"/>
    <w:rsid w:val="00560A29"/>
    <w:rsid w:val="0056310C"/>
    <w:rsid w:val="0056698E"/>
    <w:rsid w:val="00567C6A"/>
    <w:rsid w:val="00570CA2"/>
    <w:rsid w:val="00571086"/>
    <w:rsid w:val="00576426"/>
    <w:rsid w:val="00576937"/>
    <w:rsid w:val="00577A7A"/>
    <w:rsid w:val="00577B3F"/>
    <w:rsid w:val="00577C00"/>
    <w:rsid w:val="005820E9"/>
    <w:rsid w:val="00582879"/>
    <w:rsid w:val="00582C73"/>
    <w:rsid w:val="0058527F"/>
    <w:rsid w:val="00585D10"/>
    <w:rsid w:val="005925C7"/>
    <w:rsid w:val="00592A69"/>
    <w:rsid w:val="00593329"/>
    <w:rsid w:val="00594F1D"/>
    <w:rsid w:val="00596A85"/>
    <w:rsid w:val="00597B4C"/>
    <w:rsid w:val="005A291B"/>
    <w:rsid w:val="005A5B3D"/>
    <w:rsid w:val="005A6DE0"/>
    <w:rsid w:val="005B12AC"/>
    <w:rsid w:val="005C40A8"/>
    <w:rsid w:val="005C4457"/>
    <w:rsid w:val="005C514B"/>
    <w:rsid w:val="005C5E28"/>
    <w:rsid w:val="005C6649"/>
    <w:rsid w:val="005C7795"/>
    <w:rsid w:val="005C77AE"/>
    <w:rsid w:val="005D13DE"/>
    <w:rsid w:val="005D2036"/>
    <w:rsid w:val="005D2437"/>
    <w:rsid w:val="005D3901"/>
    <w:rsid w:val="005E0F48"/>
    <w:rsid w:val="005E1266"/>
    <w:rsid w:val="005E1B27"/>
    <w:rsid w:val="005E27B1"/>
    <w:rsid w:val="005E3DE5"/>
    <w:rsid w:val="005F7359"/>
    <w:rsid w:val="00605827"/>
    <w:rsid w:val="00610A13"/>
    <w:rsid w:val="00614FCE"/>
    <w:rsid w:val="00615DF1"/>
    <w:rsid w:val="00616038"/>
    <w:rsid w:val="00620A74"/>
    <w:rsid w:val="00620FF9"/>
    <w:rsid w:val="00622355"/>
    <w:rsid w:val="0062686A"/>
    <w:rsid w:val="006268E6"/>
    <w:rsid w:val="00634350"/>
    <w:rsid w:val="0063583F"/>
    <w:rsid w:val="006377D1"/>
    <w:rsid w:val="00637E53"/>
    <w:rsid w:val="00642BF8"/>
    <w:rsid w:val="00642F0F"/>
    <w:rsid w:val="00644DC3"/>
    <w:rsid w:val="00646050"/>
    <w:rsid w:val="006460F7"/>
    <w:rsid w:val="00646244"/>
    <w:rsid w:val="00650E6D"/>
    <w:rsid w:val="00652BD9"/>
    <w:rsid w:val="00653C33"/>
    <w:rsid w:val="00655B44"/>
    <w:rsid w:val="00657DBC"/>
    <w:rsid w:val="0066080A"/>
    <w:rsid w:val="00660F45"/>
    <w:rsid w:val="006713CA"/>
    <w:rsid w:val="0067209C"/>
    <w:rsid w:val="00673284"/>
    <w:rsid w:val="00673685"/>
    <w:rsid w:val="00676C5C"/>
    <w:rsid w:val="006775DF"/>
    <w:rsid w:val="006775E3"/>
    <w:rsid w:val="006806A8"/>
    <w:rsid w:val="00682FAF"/>
    <w:rsid w:val="00684D26"/>
    <w:rsid w:val="006876B9"/>
    <w:rsid w:val="00690482"/>
    <w:rsid w:val="006905B2"/>
    <w:rsid w:val="00690622"/>
    <w:rsid w:val="00690ABA"/>
    <w:rsid w:val="00690DEC"/>
    <w:rsid w:val="006918F6"/>
    <w:rsid w:val="00694F63"/>
    <w:rsid w:val="006955C9"/>
    <w:rsid w:val="006956E4"/>
    <w:rsid w:val="00696001"/>
    <w:rsid w:val="006961B9"/>
    <w:rsid w:val="00697F4C"/>
    <w:rsid w:val="006B09EC"/>
    <w:rsid w:val="006B0C65"/>
    <w:rsid w:val="006B108F"/>
    <w:rsid w:val="006B1846"/>
    <w:rsid w:val="006B314B"/>
    <w:rsid w:val="006B3DA0"/>
    <w:rsid w:val="006B41F2"/>
    <w:rsid w:val="006B5E74"/>
    <w:rsid w:val="006B640C"/>
    <w:rsid w:val="006B668C"/>
    <w:rsid w:val="006C4A8E"/>
    <w:rsid w:val="006C54CF"/>
    <w:rsid w:val="006C6F42"/>
    <w:rsid w:val="006C749E"/>
    <w:rsid w:val="006D0503"/>
    <w:rsid w:val="006D09F2"/>
    <w:rsid w:val="006D40D5"/>
    <w:rsid w:val="006D6571"/>
    <w:rsid w:val="006F0074"/>
    <w:rsid w:val="006F02D3"/>
    <w:rsid w:val="006F2103"/>
    <w:rsid w:val="006F5456"/>
    <w:rsid w:val="006F55BD"/>
    <w:rsid w:val="006F5D79"/>
    <w:rsid w:val="006F69B0"/>
    <w:rsid w:val="007001E2"/>
    <w:rsid w:val="00700FA0"/>
    <w:rsid w:val="007035FD"/>
    <w:rsid w:val="00710BBE"/>
    <w:rsid w:val="00711B10"/>
    <w:rsid w:val="00711EC7"/>
    <w:rsid w:val="007159D2"/>
    <w:rsid w:val="00716C15"/>
    <w:rsid w:val="00720EFD"/>
    <w:rsid w:val="00721010"/>
    <w:rsid w:val="00721BDA"/>
    <w:rsid w:val="00721FE7"/>
    <w:rsid w:val="0072225C"/>
    <w:rsid w:val="00724AC0"/>
    <w:rsid w:val="00726D19"/>
    <w:rsid w:val="007271E8"/>
    <w:rsid w:val="00736FE9"/>
    <w:rsid w:val="00740D7A"/>
    <w:rsid w:val="0074206A"/>
    <w:rsid w:val="00746F3D"/>
    <w:rsid w:val="007470B1"/>
    <w:rsid w:val="00761EC4"/>
    <w:rsid w:val="007656CA"/>
    <w:rsid w:val="0076638D"/>
    <w:rsid w:val="00772DD9"/>
    <w:rsid w:val="00772E15"/>
    <w:rsid w:val="00775974"/>
    <w:rsid w:val="00780A64"/>
    <w:rsid w:val="00780B2D"/>
    <w:rsid w:val="00783303"/>
    <w:rsid w:val="007853D0"/>
    <w:rsid w:val="00791098"/>
    <w:rsid w:val="00793476"/>
    <w:rsid w:val="00793A7C"/>
    <w:rsid w:val="007960E4"/>
    <w:rsid w:val="00796EE3"/>
    <w:rsid w:val="007A1143"/>
    <w:rsid w:val="007A398A"/>
    <w:rsid w:val="007A6956"/>
    <w:rsid w:val="007B496E"/>
    <w:rsid w:val="007B4FA8"/>
    <w:rsid w:val="007B5CF7"/>
    <w:rsid w:val="007B6CC3"/>
    <w:rsid w:val="007B7E12"/>
    <w:rsid w:val="007C21BD"/>
    <w:rsid w:val="007C2EFC"/>
    <w:rsid w:val="007C3096"/>
    <w:rsid w:val="007C3613"/>
    <w:rsid w:val="007C4E26"/>
    <w:rsid w:val="007C6ADE"/>
    <w:rsid w:val="007D131F"/>
    <w:rsid w:val="007D1432"/>
    <w:rsid w:val="007D1613"/>
    <w:rsid w:val="007D44F7"/>
    <w:rsid w:val="007E0A5F"/>
    <w:rsid w:val="007E406E"/>
    <w:rsid w:val="007E4C0E"/>
    <w:rsid w:val="007E5351"/>
    <w:rsid w:val="007E59F9"/>
    <w:rsid w:val="007E6F3C"/>
    <w:rsid w:val="007E72F5"/>
    <w:rsid w:val="007F08E2"/>
    <w:rsid w:val="007F54B6"/>
    <w:rsid w:val="00800123"/>
    <w:rsid w:val="00800748"/>
    <w:rsid w:val="008053D2"/>
    <w:rsid w:val="00805BD5"/>
    <w:rsid w:val="008071F1"/>
    <w:rsid w:val="00807E32"/>
    <w:rsid w:val="00814CBD"/>
    <w:rsid w:val="008179C7"/>
    <w:rsid w:val="008220D7"/>
    <w:rsid w:val="0082437A"/>
    <w:rsid w:val="0082532C"/>
    <w:rsid w:val="00826314"/>
    <w:rsid w:val="00831998"/>
    <w:rsid w:val="00836944"/>
    <w:rsid w:val="0084012E"/>
    <w:rsid w:val="008460BA"/>
    <w:rsid w:val="0085055B"/>
    <w:rsid w:val="0085084F"/>
    <w:rsid w:val="008509E4"/>
    <w:rsid w:val="00851AEC"/>
    <w:rsid w:val="00852119"/>
    <w:rsid w:val="00852669"/>
    <w:rsid w:val="008551E3"/>
    <w:rsid w:val="008552F9"/>
    <w:rsid w:val="0086216D"/>
    <w:rsid w:val="008631A1"/>
    <w:rsid w:val="00863C7B"/>
    <w:rsid w:val="00865548"/>
    <w:rsid w:val="008657A1"/>
    <w:rsid w:val="00865FD8"/>
    <w:rsid w:val="008707B4"/>
    <w:rsid w:val="00870D38"/>
    <w:rsid w:val="00873384"/>
    <w:rsid w:val="00875495"/>
    <w:rsid w:val="0087559C"/>
    <w:rsid w:val="008759ED"/>
    <w:rsid w:val="00877E1A"/>
    <w:rsid w:val="00881564"/>
    <w:rsid w:val="00882193"/>
    <w:rsid w:val="00885265"/>
    <w:rsid w:val="0089039C"/>
    <w:rsid w:val="008905D3"/>
    <w:rsid w:val="008936EE"/>
    <w:rsid w:val="008A0104"/>
    <w:rsid w:val="008A134B"/>
    <w:rsid w:val="008A196F"/>
    <w:rsid w:val="008A3D8D"/>
    <w:rsid w:val="008A40B3"/>
    <w:rsid w:val="008A4807"/>
    <w:rsid w:val="008A551C"/>
    <w:rsid w:val="008B04A1"/>
    <w:rsid w:val="008B2CC1"/>
    <w:rsid w:val="008B60B2"/>
    <w:rsid w:val="008B627C"/>
    <w:rsid w:val="008B7A29"/>
    <w:rsid w:val="008C096D"/>
    <w:rsid w:val="008C0D32"/>
    <w:rsid w:val="008C3FFF"/>
    <w:rsid w:val="008C5E1F"/>
    <w:rsid w:val="008C784C"/>
    <w:rsid w:val="008D0985"/>
    <w:rsid w:val="008D2128"/>
    <w:rsid w:val="008D2A34"/>
    <w:rsid w:val="008D2FE8"/>
    <w:rsid w:val="008D6E1E"/>
    <w:rsid w:val="008E0230"/>
    <w:rsid w:val="008E49F1"/>
    <w:rsid w:val="008E4DD8"/>
    <w:rsid w:val="008F07CD"/>
    <w:rsid w:val="008F1B61"/>
    <w:rsid w:val="008F5DE9"/>
    <w:rsid w:val="008F70F3"/>
    <w:rsid w:val="008F7571"/>
    <w:rsid w:val="00900737"/>
    <w:rsid w:val="00900A69"/>
    <w:rsid w:val="00902985"/>
    <w:rsid w:val="009041C5"/>
    <w:rsid w:val="00904446"/>
    <w:rsid w:val="00904664"/>
    <w:rsid w:val="009061F3"/>
    <w:rsid w:val="0090731E"/>
    <w:rsid w:val="00914F3A"/>
    <w:rsid w:val="00916EE2"/>
    <w:rsid w:val="009208BA"/>
    <w:rsid w:val="0092308C"/>
    <w:rsid w:val="0092671C"/>
    <w:rsid w:val="00932445"/>
    <w:rsid w:val="0093250A"/>
    <w:rsid w:val="00933438"/>
    <w:rsid w:val="00935002"/>
    <w:rsid w:val="009354A8"/>
    <w:rsid w:val="0093644C"/>
    <w:rsid w:val="00940DDF"/>
    <w:rsid w:val="00940E3D"/>
    <w:rsid w:val="0094451C"/>
    <w:rsid w:val="0094491F"/>
    <w:rsid w:val="00945948"/>
    <w:rsid w:val="0094679E"/>
    <w:rsid w:val="0095085A"/>
    <w:rsid w:val="00950C25"/>
    <w:rsid w:val="00957033"/>
    <w:rsid w:val="0096186F"/>
    <w:rsid w:val="00962784"/>
    <w:rsid w:val="009632CE"/>
    <w:rsid w:val="009641EB"/>
    <w:rsid w:val="00964E17"/>
    <w:rsid w:val="009668BA"/>
    <w:rsid w:val="00966A22"/>
    <w:rsid w:val="0096722F"/>
    <w:rsid w:val="0097182C"/>
    <w:rsid w:val="00971938"/>
    <w:rsid w:val="00973648"/>
    <w:rsid w:val="00975222"/>
    <w:rsid w:val="00980843"/>
    <w:rsid w:val="00982C02"/>
    <w:rsid w:val="00983C6F"/>
    <w:rsid w:val="0098416F"/>
    <w:rsid w:val="0098489C"/>
    <w:rsid w:val="00986C01"/>
    <w:rsid w:val="00990147"/>
    <w:rsid w:val="009922EC"/>
    <w:rsid w:val="00994D8C"/>
    <w:rsid w:val="00995589"/>
    <w:rsid w:val="0099711F"/>
    <w:rsid w:val="009A1B3C"/>
    <w:rsid w:val="009A1BB2"/>
    <w:rsid w:val="009A5C31"/>
    <w:rsid w:val="009B0214"/>
    <w:rsid w:val="009B037F"/>
    <w:rsid w:val="009B18A2"/>
    <w:rsid w:val="009B1B9D"/>
    <w:rsid w:val="009B35A7"/>
    <w:rsid w:val="009B65CA"/>
    <w:rsid w:val="009C0896"/>
    <w:rsid w:val="009C17F1"/>
    <w:rsid w:val="009C7B6D"/>
    <w:rsid w:val="009C7E22"/>
    <w:rsid w:val="009D0E5C"/>
    <w:rsid w:val="009D1DB4"/>
    <w:rsid w:val="009D48B9"/>
    <w:rsid w:val="009D5455"/>
    <w:rsid w:val="009D772F"/>
    <w:rsid w:val="009E1F25"/>
    <w:rsid w:val="009E2791"/>
    <w:rsid w:val="009E2DB6"/>
    <w:rsid w:val="009E3F6F"/>
    <w:rsid w:val="009E7258"/>
    <w:rsid w:val="009E7402"/>
    <w:rsid w:val="009F0FFC"/>
    <w:rsid w:val="009F4247"/>
    <w:rsid w:val="009F4424"/>
    <w:rsid w:val="009F499F"/>
    <w:rsid w:val="00A03857"/>
    <w:rsid w:val="00A03DA4"/>
    <w:rsid w:val="00A04FDB"/>
    <w:rsid w:val="00A078D7"/>
    <w:rsid w:val="00A12755"/>
    <w:rsid w:val="00A12A77"/>
    <w:rsid w:val="00A13D9E"/>
    <w:rsid w:val="00A14287"/>
    <w:rsid w:val="00A16D3F"/>
    <w:rsid w:val="00A20873"/>
    <w:rsid w:val="00A22087"/>
    <w:rsid w:val="00A33BEA"/>
    <w:rsid w:val="00A35641"/>
    <w:rsid w:val="00A372C6"/>
    <w:rsid w:val="00A37342"/>
    <w:rsid w:val="00A37B48"/>
    <w:rsid w:val="00A40699"/>
    <w:rsid w:val="00A42DAF"/>
    <w:rsid w:val="00A45BD8"/>
    <w:rsid w:val="00A46039"/>
    <w:rsid w:val="00A54660"/>
    <w:rsid w:val="00A54708"/>
    <w:rsid w:val="00A55ACE"/>
    <w:rsid w:val="00A567DF"/>
    <w:rsid w:val="00A57458"/>
    <w:rsid w:val="00A61861"/>
    <w:rsid w:val="00A624AA"/>
    <w:rsid w:val="00A64648"/>
    <w:rsid w:val="00A64E8D"/>
    <w:rsid w:val="00A65650"/>
    <w:rsid w:val="00A66032"/>
    <w:rsid w:val="00A66C8A"/>
    <w:rsid w:val="00A703E2"/>
    <w:rsid w:val="00A70901"/>
    <w:rsid w:val="00A71BEF"/>
    <w:rsid w:val="00A739FE"/>
    <w:rsid w:val="00A77B1F"/>
    <w:rsid w:val="00A81401"/>
    <w:rsid w:val="00A8357F"/>
    <w:rsid w:val="00A83C19"/>
    <w:rsid w:val="00A8602C"/>
    <w:rsid w:val="00A869B7"/>
    <w:rsid w:val="00A92D24"/>
    <w:rsid w:val="00A93860"/>
    <w:rsid w:val="00A94048"/>
    <w:rsid w:val="00A942E3"/>
    <w:rsid w:val="00A9506F"/>
    <w:rsid w:val="00AA0381"/>
    <w:rsid w:val="00AA0C8C"/>
    <w:rsid w:val="00AA1ADA"/>
    <w:rsid w:val="00AA7133"/>
    <w:rsid w:val="00AB0BEF"/>
    <w:rsid w:val="00AB1AFA"/>
    <w:rsid w:val="00AB20B9"/>
    <w:rsid w:val="00AB3197"/>
    <w:rsid w:val="00AC205C"/>
    <w:rsid w:val="00AC2FB1"/>
    <w:rsid w:val="00AC3480"/>
    <w:rsid w:val="00AC38B6"/>
    <w:rsid w:val="00AC48BE"/>
    <w:rsid w:val="00AC4D8D"/>
    <w:rsid w:val="00AD14A2"/>
    <w:rsid w:val="00AD5C7E"/>
    <w:rsid w:val="00AD7F19"/>
    <w:rsid w:val="00AE2165"/>
    <w:rsid w:val="00AE2528"/>
    <w:rsid w:val="00AE2D6A"/>
    <w:rsid w:val="00AE3A27"/>
    <w:rsid w:val="00AE70FA"/>
    <w:rsid w:val="00AF0A6B"/>
    <w:rsid w:val="00AF0B22"/>
    <w:rsid w:val="00AF1399"/>
    <w:rsid w:val="00AF3780"/>
    <w:rsid w:val="00AF6463"/>
    <w:rsid w:val="00AF7277"/>
    <w:rsid w:val="00B02801"/>
    <w:rsid w:val="00B0338B"/>
    <w:rsid w:val="00B05A69"/>
    <w:rsid w:val="00B11BEF"/>
    <w:rsid w:val="00B129CD"/>
    <w:rsid w:val="00B12CD7"/>
    <w:rsid w:val="00B15707"/>
    <w:rsid w:val="00B15935"/>
    <w:rsid w:val="00B16E03"/>
    <w:rsid w:val="00B170D6"/>
    <w:rsid w:val="00B17D9C"/>
    <w:rsid w:val="00B227BC"/>
    <w:rsid w:val="00B22BC0"/>
    <w:rsid w:val="00B23737"/>
    <w:rsid w:val="00B2412F"/>
    <w:rsid w:val="00B24F96"/>
    <w:rsid w:val="00B250D0"/>
    <w:rsid w:val="00B2634B"/>
    <w:rsid w:val="00B3232C"/>
    <w:rsid w:val="00B33273"/>
    <w:rsid w:val="00B365FC"/>
    <w:rsid w:val="00B36CEC"/>
    <w:rsid w:val="00B409E9"/>
    <w:rsid w:val="00B40EA4"/>
    <w:rsid w:val="00B55958"/>
    <w:rsid w:val="00B601F0"/>
    <w:rsid w:val="00B6500B"/>
    <w:rsid w:val="00B65673"/>
    <w:rsid w:val="00B67B54"/>
    <w:rsid w:val="00B7018C"/>
    <w:rsid w:val="00B70223"/>
    <w:rsid w:val="00B708A8"/>
    <w:rsid w:val="00B7173D"/>
    <w:rsid w:val="00B75269"/>
    <w:rsid w:val="00B75281"/>
    <w:rsid w:val="00B75BCA"/>
    <w:rsid w:val="00B76083"/>
    <w:rsid w:val="00B7799A"/>
    <w:rsid w:val="00B8093E"/>
    <w:rsid w:val="00B822AC"/>
    <w:rsid w:val="00B82A9D"/>
    <w:rsid w:val="00B85CAE"/>
    <w:rsid w:val="00B866A3"/>
    <w:rsid w:val="00B87F6E"/>
    <w:rsid w:val="00B91019"/>
    <w:rsid w:val="00B91FC4"/>
    <w:rsid w:val="00B92F1F"/>
    <w:rsid w:val="00B92F5E"/>
    <w:rsid w:val="00B95BA9"/>
    <w:rsid w:val="00B9734B"/>
    <w:rsid w:val="00BA22D6"/>
    <w:rsid w:val="00BA30E2"/>
    <w:rsid w:val="00BA348D"/>
    <w:rsid w:val="00BA62FC"/>
    <w:rsid w:val="00BB0E08"/>
    <w:rsid w:val="00BB11D9"/>
    <w:rsid w:val="00BB2312"/>
    <w:rsid w:val="00BB5A5A"/>
    <w:rsid w:val="00BB7D92"/>
    <w:rsid w:val="00BC0925"/>
    <w:rsid w:val="00BC1267"/>
    <w:rsid w:val="00BC172E"/>
    <w:rsid w:val="00BC6543"/>
    <w:rsid w:val="00BD0B7C"/>
    <w:rsid w:val="00BD3FA3"/>
    <w:rsid w:val="00BD6418"/>
    <w:rsid w:val="00BE1D92"/>
    <w:rsid w:val="00BE33BC"/>
    <w:rsid w:val="00BE4767"/>
    <w:rsid w:val="00BE6EDF"/>
    <w:rsid w:val="00BE7078"/>
    <w:rsid w:val="00BE73D1"/>
    <w:rsid w:val="00BF1689"/>
    <w:rsid w:val="00BF16F0"/>
    <w:rsid w:val="00BF1D4E"/>
    <w:rsid w:val="00BF4D62"/>
    <w:rsid w:val="00BF7A39"/>
    <w:rsid w:val="00C0041B"/>
    <w:rsid w:val="00C01E21"/>
    <w:rsid w:val="00C02DCA"/>
    <w:rsid w:val="00C0396C"/>
    <w:rsid w:val="00C053FF"/>
    <w:rsid w:val="00C11BFE"/>
    <w:rsid w:val="00C1223E"/>
    <w:rsid w:val="00C124DC"/>
    <w:rsid w:val="00C13D4D"/>
    <w:rsid w:val="00C17588"/>
    <w:rsid w:val="00C17C52"/>
    <w:rsid w:val="00C23379"/>
    <w:rsid w:val="00C25618"/>
    <w:rsid w:val="00C274D7"/>
    <w:rsid w:val="00C3033F"/>
    <w:rsid w:val="00C307A5"/>
    <w:rsid w:val="00C31A2C"/>
    <w:rsid w:val="00C32317"/>
    <w:rsid w:val="00C33688"/>
    <w:rsid w:val="00C35620"/>
    <w:rsid w:val="00C41E78"/>
    <w:rsid w:val="00C4224C"/>
    <w:rsid w:val="00C43C60"/>
    <w:rsid w:val="00C43CB4"/>
    <w:rsid w:val="00C44E81"/>
    <w:rsid w:val="00C46B12"/>
    <w:rsid w:val="00C5068F"/>
    <w:rsid w:val="00C53813"/>
    <w:rsid w:val="00C5455D"/>
    <w:rsid w:val="00C558D0"/>
    <w:rsid w:val="00C61062"/>
    <w:rsid w:val="00C61183"/>
    <w:rsid w:val="00C64AF6"/>
    <w:rsid w:val="00C65348"/>
    <w:rsid w:val="00C668ED"/>
    <w:rsid w:val="00C715E8"/>
    <w:rsid w:val="00C7367F"/>
    <w:rsid w:val="00C765BA"/>
    <w:rsid w:val="00C80DAE"/>
    <w:rsid w:val="00C816E2"/>
    <w:rsid w:val="00C82F50"/>
    <w:rsid w:val="00C844BE"/>
    <w:rsid w:val="00C84D33"/>
    <w:rsid w:val="00C86D74"/>
    <w:rsid w:val="00C871E5"/>
    <w:rsid w:val="00C90461"/>
    <w:rsid w:val="00C93184"/>
    <w:rsid w:val="00C94A70"/>
    <w:rsid w:val="00C95197"/>
    <w:rsid w:val="00C965B7"/>
    <w:rsid w:val="00C96BC5"/>
    <w:rsid w:val="00CA33F3"/>
    <w:rsid w:val="00CA3BE7"/>
    <w:rsid w:val="00CA41A8"/>
    <w:rsid w:val="00CA55F0"/>
    <w:rsid w:val="00CA69D4"/>
    <w:rsid w:val="00CB08D9"/>
    <w:rsid w:val="00CB17DC"/>
    <w:rsid w:val="00CB337A"/>
    <w:rsid w:val="00CB3542"/>
    <w:rsid w:val="00CB362E"/>
    <w:rsid w:val="00CB5EF2"/>
    <w:rsid w:val="00CB769A"/>
    <w:rsid w:val="00CC113C"/>
    <w:rsid w:val="00CC3F53"/>
    <w:rsid w:val="00CC620E"/>
    <w:rsid w:val="00CC6D3E"/>
    <w:rsid w:val="00CD04F1"/>
    <w:rsid w:val="00CD0EC5"/>
    <w:rsid w:val="00CD4CC9"/>
    <w:rsid w:val="00CD624E"/>
    <w:rsid w:val="00CE050E"/>
    <w:rsid w:val="00CE3659"/>
    <w:rsid w:val="00CE575B"/>
    <w:rsid w:val="00CE6359"/>
    <w:rsid w:val="00CE642C"/>
    <w:rsid w:val="00CE6BD7"/>
    <w:rsid w:val="00CF1A78"/>
    <w:rsid w:val="00CF4270"/>
    <w:rsid w:val="00CF5EDD"/>
    <w:rsid w:val="00CF681A"/>
    <w:rsid w:val="00D01BEE"/>
    <w:rsid w:val="00D03EA0"/>
    <w:rsid w:val="00D04C35"/>
    <w:rsid w:val="00D04C9C"/>
    <w:rsid w:val="00D06ECF"/>
    <w:rsid w:val="00D07C78"/>
    <w:rsid w:val="00D1023B"/>
    <w:rsid w:val="00D129A2"/>
    <w:rsid w:val="00D13999"/>
    <w:rsid w:val="00D173B8"/>
    <w:rsid w:val="00D21352"/>
    <w:rsid w:val="00D236A5"/>
    <w:rsid w:val="00D23C1C"/>
    <w:rsid w:val="00D25480"/>
    <w:rsid w:val="00D301AF"/>
    <w:rsid w:val="00D305BA"/>
    <w:rsid w:val="00D3268D"/>
    <w:rsid w:val="00D32887"/>
    <w:rsid w:val="00D351C7"/>
    <w:rsid w:val="00D45252"/>
    <w:rsid w:val="00D4733C"/>
    <w:rsid w:val="00D47FE4"/>
    <w:rsid w:val="00D5023D"/>
    <w:rsid w:val="00D51D69"/>
    <w:rsid w:val="00D56594"/>
    <w:rsid w:val="00D6001A"/>
    <w:rsid w:val="00D61B5E"/>
    <w:rsid w:val="00D62562"/>
    <w:rsid w:val="00D6368E"/>
    <w:rsid w:val="00D63C5C"/>
    <w:rsid w:val="00D71B4D"/>
    <w:rsid w:val="00D73FC8"/>
    <w:rsid w:val="00D77D44"/>
    <w:rsid w:val="00D80074"/>
    <w:rsid w:val="00D809FD"/>
    <w:rsid w:val="00D83DC1"/>
    <w:rsid w:val="00D845F1"/>
    <w:rsid w:val="00D846D5"/>
    <w:rsid w:val="00D9184E"/>
    <w:rsid w:val="00D93D55"/>
    <w:rsid w:val="00D93F6D"/>
    <w:rsid w:val="00D96D6A"/>
    <w:rsid w:val="00D970DC"/>
    <w:rsid w:val="00DA01C2"/>
    <w:rsid w:val="00DA56C7"/>
    <w:rsid w:val="00DB336B"/>
    <w:rsid w:val="00DB694A"/>
    <w:rsid w:val="00DC0370"/>
    <w:rsid w:val="00DC24EC"/>
    <w:rsid w:val="00DC4458"/>
    <w:rsid w:val="00DC57C6"/>
    <w:rsid w:val="00DC7B07"/>
    <w:rsid w:val="00DD3E97"/>
    <w:rsid w:val="00DD6B0E"/>
    <w:rsid w:val="00DD7B73"/>
    <w:rsid w:val="00DD7B7F"/>
    <w:rsid w:val="00DE2269"/>
    <w:rsid w:val="00DE394D"/>
    <w:rsid w:val="00DE3BBF"/>
    <w:rsid w:val="00DE3E0C"/>
    <w:rsid w:val="00DE5CAE"/>
    <w:rsid w:val="00DE6CEB"/>
    <w:rsid w:val="00DE7DA7"/>
    <w:rsid w:val="00DE7E1E"/>
    <w:rsid w:val="00DF4AF1"/>
    <w:rsid w:val="00E0083A"/>
    <w:rsid w:val="00E0105B"/>
    <w:rsid w:val="00E02027"/>
    <w:rsid w:val="00E03F20"/>
    <w:rsid w:val="00E0626D"/>
    <w:rsid w:val="00E0644D"/>
    <w:rsid w:val="00E10D43"/>
    <w:rsid w:val="00E10EAE"/>
    <w:rsid w:val="00E1424C"/>
    <w:rsid w:val="00E14D25"/>
    <w:rsid w:val="00E15015"/>
    <w:rsid w:val="00E16FEA"/>
    <w:rsid w:val="00E259C3"/>
    <w:rsid w:val="00E3019C"/>
    <w:rsid w:val="00E32B16"/>
    <w:rsid w:val="00E335FE"/>
    <w:rsid w:val="00E37665"/>
    <w:rsid w:val="00E41652"/>
    <w:rsid w:val="00E437E1"/>
    <w:rsid w:val="00E4458C"/>
    <w:rsid w:val="00E47803"/>
    <w:rsid w:val="00E47E02"/>
    <w:rsid w:val="00E50A30"/>
    <w:rsid w:val="00E5144A"/>
    <w:rsid w:val="00E51F5D"/>
    <w:rsid w:val="00E53E78"/>
    <w:rsid w:val="00E55C84"/>
    <w:rsid w:val="00E60513"/>
    <w:rsid w:val="00E65304"/>
    <w:rsid w:val="00E676FB"/>
    <w:rsid w:val="00E74A3E"/>
    <w:rsid w:val="00E74D75"/>
    <w:rsid w:val="00E74D89"/>
    <w:rsid w:val="00E74FD4"/>
    <w:rsid w:val="00E752A8"/>
    <w:rsid w:val="00E76583"/>
    <w:rsid w:val="00E808C0"/>
    <w:rsid w:val="00E84238"/>
    <w:rsid w:val="00E87EB0"/>
    <w:rsid w:val="00E90850"/>
    <w:rsid w:val="00E90997"/>
    <w:rsid w:val="00E93A06"/>
    <w:rsid w:val="00E96445"/>
    <w:rsid w:val="00E967B7"/>
    <w:rsid w:val="00EA028E"/>
    <w:rsid w:val="00EA6140"/>
    <w:rsid w:val="00EA7D6E"/>
    <w:rsid w:val="00EB2F76"/>
    <w:rsid w:val="00EC4E49"/>
    <w:rsid w:val="00EC61F1"/>
    <w:rsid w:val="00EC7735"/>
    <w:rsid w:val="00ED0B56"/>
    <w:rsid w:val="00ED0F4C"/>
    <w:rsid w:val="00ED30C5"/>
    <w:rsid w:val="00ED3A15"/>
    <w:rsid w:val="00ED4EC6"/>
    <w:rsid w:val="00ED636E"/>
    <w:rsid w:val="00ED77FB"/>
    <w:rsid w:val="00EE45FA"/>
    <w:rsid w:val="00EE4D9D"/>
    <w:rsid w:val="00EE53F8"/>
    <w:rsid w:val="00EE7A8B"/>
    <w:rsid w:val="00EF4A05"/>
    <w:rsid w:val="00EF58B2"/>
    <w:rsid w:val="00EF6F83"/>
    <w:rsid w:val="00F01160"/>
    <w:rsid w:val="00F0277B"/>
    <w:rsid w:val="00F043DE"/>
    <w:rsid w:val="00F0451A"/>
    <w:rsid w:val="00F062F0"/>
    <w:rsid w:val="00F10E5A"/>
    <w:rsid w:val="00F116F1"/>
    <w:rsid w:val="00F20B82"/>
    <w:rsid w:val="00F217CC"/>
    <w:rsid w:val="00F21960"/>
    <w:rsid w:val="00F236D9"/>
    <w:rsid w:val="00F23C3A"/>
    <w:rsid w:val="00F249C0"/>
    <w:rsid w:val="00F24F0D"/>
    <w:rsid w:val="00F272E8"/>
    <w:rsid w:val="00F277D5"/>
    <w:rsid w:val="00F362BB"/>
    <w:rsid w:val="00F40886"/>
    <w:rsid w:val="00F4478C"/>
    <w:rsid w:val="00F45565"/>
    <w:rsid w:val="00F46A11"/>
    <w:rsid w:val="00F52CE2"/>
    <w:rsid w:val="00F55571"/>
    <w:rsid w:val="00F620D5"/>
    <w:rsid w:val="00F631B4"/>
    <w:rsid w:val="00F64BB1"/>
    <w:rsid w:val="00F652AD"/>
    <w:rsid w:val="00F657DF"/>
    <w:rsid w:val="00F65CF1"/>
    <w:rsid w:val="00F66152"/>
    <w:rsid w:val="00F72FC9"/>
    <w:rsid w:val="00F736B0"/>
    <w:rsid w:val="00F74E1F"/>
    <w:rsid w:val="00F75053"/>
    <w:rsid w:val="00F82156"/>
    <w:rsid w:val="00F85D10"/>
    <w:rsid w:val="00F85E97"/>
    <w:rsid w:val="00F87F84"/>
    <w:rsid w:val="00F9165B"/>
    <w:rsid w:val="00F93086"/>
    <w:rsid w:val="00F93631"/>
    <w:rsid w:val="00F953FF"/>
    <w:rsid w:val="00F96818"/>
    <w:rsid w:val="00F96D87"/>
    <w:rsid w:val="00FA3957"/>
    <w:rsid w:val="00FA4B1E"/>
    <w:rsid w:val="00FB1841"/>
    <w:rsid w:val="00FB223F"/>
    <w:rsid w:val="00FB344D"/>
    <w:rsid w:val="00FB3B81"/>
    <w:rsid w:val="00FB7100"/>
    <w:rsid w:val="00FC0155"/>
    <w:rsid w:val="00FC1072"/>
    <w:rsid w:val="00FC254A"/>
    <w:rsid w:val="00FC2D24"/>
    <w:rsid w:val="00FC7E97"/>
    <w:rsid w:val="00FC7FEC"/>
    <w:rsid w:val="00FD01E5"/>
    <w:rsid w:val="00FD61F4"/>
    <w:rsid w:val="00FD7B5C"/>
    <w:rsid w:val="00FE3AAF"/>
    <w:rsid w:val="00FE4AB7"/>
    <w:rsid w:val="00FE600B"/>
    <w:rsid w:val="00FF003D"/>
    <w:rsid w:val="00FF11BD"/>
    <w:rsid w:val="00FF148B"/>
    <w:rsid w:val="00FF1E2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sz w:val="18"/>
      <w:szCs w:val="18"/>
    </w:rPr>
  </w:style>
  <w:style w:type="character" w:customStyle="1" w:styleId="BalloonTextChar">
    <w:name w:val="Balloon Text Char"/>
    <w:basedOn w:val="DefaultParagraphFont"/>
    <w:link w:val="BalloonText"/>
    <w:rsid w:val="006961B9"/>
    <w:rPr>
      <w:rFonts w:ascii="Segoe UI" w:eastAsia="SimSun" w:hAnsi="Segoe UI" w:cs="Calibri"/>
      <w:sz w:val="18"/>
      <w:szCs w:val="18"/>
      <w:lang w:val="en-US" w:eastAsia="zh-CN"/>
    </w:rPr>
  </w:style>
  <w:style w:type="character" w:customStyle="1" w:styleId="ONUMEChar">
    <w:name w:val="ONUM E Char"/>
    <w:link w:val="ONUME"/>
    <w:locked/>
    <w:rsid w:val="00FC7E97"/>
    <w:rPr>
      <w:rFonts w:ascii="Arial" w:eastAsia="SimSun" w:hAnsi="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Calibri"/>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Calibri"/>
      <w:sz w:val="22"/>
      <w:lang w:val="en-US" w:eastAsia="zh-CN"/>
    </w:rPr>
  </w:style>
  <w:style w:type="character" w:customStyle="1" w:styleId="CaptionChar">
    <w:name w:val="Caption Char"/>
    <w:basedOn w:val="DefaultParagraphFont"/>
    <w:link w:val="Caption"/>
    <w:rsid w:val="00C46B12"/>
    <w:rPr>
      <w:rFonts w:ascii="Arial" w:eastAsia="SimSun" w:hAnsi="Arial" w:cs="Calibri"/>
      <w:b/>
      <w:bCs/>
      <w:sz w:val="18"/>
      <w:lang w:val="en-US" w:eastAsia="zh-CN"/>
    </w:rPr>
  </w:style>
  <w:style w:type="character" w:customStyle="1" w:styleId="CommentTextChar">
    <w:name w:val="Comment Text Char"/>
    <w:basedOn w:val="DefaultParagraphFont"/>
    <w:semiHidden/>
    <w:rsid w:val="00C46B12"/>
    <w:rPr>
      <w:rFonts w:ascii="Arial" w:eastAsia="SimSun" w:hAnsi="Arial" w:cs="Calibri"/>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Calibri"/>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Calibri"/>
      <w:sz w:val="18"/>
      <w:lang w:val="en-US" w:eastAsia="zh-CN"/>
    </w:rPr>
  </w:style>
  <w:style w:type="character" w:customStyle="1" w:styleId="HeaderChar">
    <w:name w:val="Header Char"/>
    <w:link w:val="Header"/>
    <w:uiPriority w:val="99"/>
    <w:locked/>
    <w:rsid w:val="00C46B12"/>
    <w:rPr>
      <w:rFonts w:ascii="Arial" w:eastAsia="SimSun" w:hAnsi="Arial" w:cs="Calibri"/>
      <w:sz w:val="22"/>
      <w:lang w:val="en-US" w:eastAsia="zh-CN"/>
    </w:rPr>
  </w:style>
  <w:style w:type="paragraph" w:styleId="NoSpacing">
    <w:name w:val="No Spacing"/>
    <w:uiPriority w:val="1"/>
    <w:qFormat/>
    <w:rsid w:val="00C46B12"/>
    <w:rPr>
      <w:rFonts w:ascii="Arial" w:eastAsia="SimSun" w:hAnsi="Arial"/>
      <w:sz w:val="22"/>
      <w:lang w:val="en-US" w:eastAsia="zh-CN"/>
    </w:rPr>
  </w:style>
  <w:style w:type="paragraph" w:styleId="TOC1">
    <w:name w:val="toc 1"/>
    <w:basedOn w:val="Normal"/>
    <w:next w:val="Normal"/>
    <w:autoRedefine/>
    <w:uiPriority w:val="39"/>
    <w:qFormat/>
    <w:rsid w:val="008A196F"/>
    <w:pPr>
      <w:tabs>
        <w:tab w:val="left" w:pos="440"/>
        <w:tab w:val="right" w:leader="dot" w:pos="9345"/>
      </w:tabs>
      <w:bidi/>
      <w:spacing w:before="240" w:after="240"/>
    </w:pPr>
    <w:rPr>
      <w:caps/>
      <w:noProof/>
      <w:kern w:val="32"/>
      <w:szCs w:val="22"/>
    </w:r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alibri"/>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Calibri"/>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Calibri"/>
      <w:sz w:val="18"/>
      <w:lang w:val="en-US" w:eastAsia="zh-CN"/>
    </w:rPr>
  </w:style>
  <w:style w:type="character" w:customStyle="1" w:styleId="CommentSubjectChar">
    <w:name w:val="Comment Subject Char"/>
    <w:basedOn w:val="CommentTextChar1"/>
    <w:link w:val="CommentSubject"/>
    <w:rsid w:val="00C46B12"/>
    <w:rPr>
      <w:rFonts w:ascii="Arial" w:eastAsia="SimSun" w:hAnsi="Arial" w:cs="Calibri"/>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cs="Calibri"/>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sz w:val="20"/>
      <w:vertAlign w:val="superscript"/>
      <w:lang w:val="fr-CH" w:eastAsia="fr-CH"/>
    </w:rPr>
  </w:style>
  <w:style w:type="paragraph" w:styleId="Revision">
    <w:name w:val="Revision"/>
    <w:hidden/>
    <w:uiPriority w:val="99"/>
    <w:semiHidden/>
    <w:rsid w:val="00C46B12"/>
    <w:rPr>
      <w:rFonts w:ascii="Arial" w:eastAsia="SimSun" w:hAnsi="Arial"/>
      <w:sz w:val="22"/>
      <w:lang w:val="en-US" w:eastAsia="zh-CN"/>
    </w:rPr>
  </w:style>
  <w:style w:type="character" w:customStyle="1" w:styleId="Heading1Char">
    <w:name w:val="Heading 1 Char"/>
    <w:basedOn w:val="DefaultParagraphFont"/>
    <w:link w:val="Heading1"/>
    <w:rsid w:val="00C46B12"/>
    <w:rPr>
      <w:rFonts w:ascii="Arial" w:eastAsia="SimSun" w:hAnsi="Arial" w:cs="Calibri"/>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Calibri"/>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cs="Calibri"/>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5E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5508699">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E7D9-7283-4125-80E7-52169118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7760</Words>
  <Characters>44236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51893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WO/GA/55/9</dc:title>
  <dc:subject/>
  <dc:creator>IOD</dc:creator>
  <cp:keywords>PUBLIC</cp:keywords>
  <dc:description/>
  <cp:lastModifiedBy>HAGE Christel</cp:lastModifiedBy>
  <cp:revision>31</cp:revision>
  <cp:lastPrinted>2022-04-29T08:55:00Z</cp:lastPrinted>
  <dcterms:created xsi:type="dcterms:W3CDTF">2022-04-22T08:46:00Z</dcterms:created>
  <dcterms:modified xsi:type="dcterms:W3CDTF">2022-04-29T08:56:00Z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79eb491a-e776-4e60-be0a-fe85442f2834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