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4F3E6D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9A5ED7" w:rsidP="00223ACC">
      <w:pPr>
        <w:bidi w:val="0"/>
        <w:rPr>
          <w:rFonts w:ascii="Arial Black" w:hAnsi="Arial Black"/>
          <w:caps/>
          <w:sz w:val="15"/>
          <w:szCs w:val="15"/>
        </w:rPr>
      </w:pPr>
      <w:r w:rsidRPr="009A5ED7">
        <w:rPr>
          <w:rFonts w:ascii="Arial Black" w:hAnsi="Arial Black"/>
          <w:caps/>
          <w:sz w:val="15"/>
          <w:szCs w:val="15"/>
        </w:rPr>
        <w:t>WO/GA</w:t>
      </w:r>
      <w:r w:rsidR="00D90B96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5</w:t>
      </w:r>
      <w:r w:rsidR="00A71BE6">
        <w:rPr>
          <w:rFonts w:ascii="Arial Black" w:hAnsi="Arial Black"/>
          <w:caps/>
          <w:sz w:val="15"/>
          <w:szCs w:val="15"/>
        </w:rPr>
        <w:t>5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223ACC">
        <w:rPr>
          <w:rFonts w:ascii="Arial Black" w:hAnsi="Arial Black"/>
          <w:caps/>
          <w:sz w:val="15"/>
          <w:szCs w:val="15"/>
        </w:rPr>
        <w:t>11</w:t>
      </w:r>
    </w:p>
    <w:p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  <w:rtl/>
          <w:lang w:bidi="ar-EG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23ACC">
        <w:rPr>
          <w:rFonts w:asciiTheme="minorHAnsi" w:hAnsiTheme="minorHAnsi" w:cstheme="minorHAnsi" w:hint="cs"/>
          <w:caps/>
          <w:sz w:val="15"/>
          <w:szCs w:val="15"/>
          <w:rtl/>
          <w:lang w:bidi="ar-EG"/>
        </w:rPr>
        <w:t>بالإنكليزية</w:t>
      </w:r>
    </w:p>
    <w:p w:rsidR="008B2CC1" w:rsidRPr="00CC3E2D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23AC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 يوليو 2022</w:t>
      </w:r>
    </w:p>
    <w:bookmarkEnd w:id="3"/>
    <w:p w:rsidR="008B2CC1" w:rsidRPr="00D67EAE" w:rsidRDefault="009A5ED7" w:rsidP="0019592A">
      <w:pPr>
        <w:pStyle w:val="Heading1"/>
      </w:pPr>
      <w:r>
        <w:rPr>
          <w:rFonts w:hint="cs"/>
          <w:rtl/>
        </w:rPr>
        <w:t>الجمعية العامة للويبو</w:t>
      </w:r>
    </w:p>
    <w:p w:rsidR="00A71BE6" w:rsidRPr="00D67EAE" w:rsidRDefault="00A71BE6" w:rsidP="00A71BE6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bookmarkStart w:id="4" w:name="TitleOfDoc"/>
      <w:r w:rsidRPr="00C905AC">
        <w:rPr>
          <w:rFonts w:asciiTheme="minorHAnsi" w:hAnsiTheme="minorHAnsi"/>
          <w:bCs/>
          <w:sz w:val="24"/>
          <w:szCs w:val="24"/>
          <w:rtl/>
        </w:rPr>
        <w:t>الدورة الخامسة والخمسون (الدورة الاستثنائية الثلاثون)</w:t>
      </w:r>
    </w:p>
    <w:p w:rsidR="00A71BE6" w:rsidRPr="00D67EAE" w:rsidRDefault="00A71BE6" w:rsidP="00A71BE6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22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>يوليو 2022</w:t>
      </w:r>
    </w:p>
    <w:p w:rsidR="008B2CC1" w:rsidRPr="00D67EAE" w:rsidRDefault="00223ACC" w:rsidP="00223AC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r w:rsidRPr="00223ACC">
        <w:rPr>
          <w:rFonts w:asciiTheme="minorHAnsi" w:hAnsiTheme="minorHAnsi"/>
          <w:caps/>
          <w:sz w:val="28"/>
          <w:szCs w:val="24"/>
          <w:rtl/>
        </w:rPr>
        <w:t>اقتراح للسير قدما بجدول أعمال الويبو المعياري بخصوص موضوعي الموارد الوراثية المرتبطة بالمعارف التقليدية، ومعاهدة قانون التصاميم</w:t>
      </w:r>
    </w:p>
    <w:p w:rsidR="002928D3" w:rsidRDefault="00254E57" w:rsidP="001D4107">
      <w:pPr>
        <w:spacing w:after="1040"/>
        <w:rPr>
          <w:rFonts w:asciiTheme="minorHAnsi" w:hAnsiTheme="minorHAnsi" w:cstheme="minorHAnsi"/>
          <w:iCs/>
          <w:rtl/>
          <w:lang w:bidi="ar-EG"/>
        </w:rPr>
      </w:pPr>
      <w:bookmarkStart w:id="5" w:name="Prepared"/>
      <w:bookmarkEnd w:id="4"/>
      <w:bookmarkEnd w:id="5"/>
      <w:r>
        <w:rPr>
          <w:rFonts w:asciiTheme="minorHAnsi" w:hAnsiTheme="minorHAnsi" w:cstheme="minorHAnsi" w:hint="cs"/>
          <w:iCs/>
          <w:rtl/>
          <w:lang w:bidi="ar-EG"/>
        </w:rPr>
        <w:t>من تقديم مجموعة أفريقيا</w:t>
      </w:r>
    </w:p>
    <w:p w:rsidR="009B0855" w:rsidRDefault="00254E57" w:rsidP="00254E57">
      <w:pPr>
        <w:pStyle w:val="BodyText"/>
        <w:rPr>
          <w:rtl/>
          <w:lang w:bidi="ar-EG"/>
        </w:rPr>
      </w:pPr>
      <w:r>
        <w:rPr>
          <w:rFonts w:hint="cs"/>
          <w:rtl/>
          <w:lang w:bidi="ar-EG"/>
        </w:rPr>
        <w:t>قدّمت مجموعة أفريقيا الاقتراح المرفق طيه في سياق البند 9 من جدول الأعمال، وتحديدا البند 9"4" المعنون "</w:t>
      </w:r>
      <w:r w:rsidRPr="00254E57">
        <w:rPr>
          <w:rtl/>
          <w:lang w:bidi="ar-EG"/>
        </w:rPr>
        <w:t>مسائل تتعلق بالدعوة إلى عقد مؤتمر دبلوماسي لاعتماد معاهدة بشأن قانون التصاميم</w:t>
      </w:r>
      <w:r>
        <w:rPr>
          <w:rFonts w:hint="cs"/>
          <w:rtl/>
          <w:lang w:bidi="ar-EG"/>
        </w:rPr>
        <w:t>" والبند 9"6" المعنون "</w:t>
      </w:r>
      <w:r w:rsidRPr="00254E57">
        <w:rPr>
          <w:rtl/>
          <w:lang w:bidi="ar-EG"/>
        </w:rPr>
        <w:t>اللجنة الحكومية الدولية المعنية بالملكية الفكرية والموارد الوراثية والمعارف التقليدية والفولكلور (لجنة المعارف)</w:t>
      </w:r>
      <w:r>
        <w:rPr>
          <w:rFonts w:hint="cs"/>
          <w:rtl/>
          <w:lang w:bidi="ar-EG"/>
        </w:rPr>
        <w:t>".</w:t>
      </w:r>
    </w:p>
    <w:p w:rsidR="00254E57" w:rsidRDefault="00254E57" w:rsidP="00254E57">
      <w:pPr>
        <w:pStyle w:val="BodyText"/>
        <w:rPr>
          <w:rtl/>
          <w:lang w:bidi="ar-EG"/>
        </w:rPr>
      </w:pPr>
    </w:p>
    <w:p w:rsidR="00254E57" w:rsidRDefault="00254E57" w:rsidP="00254E57">
      <w:pPr>
        <w:pStyle w:val="Endofdocument-Annex"/>
        <w:rPr>
          <w:lang w:bidi="ar-EG"/>
        </w:rPr>
      </w:pPr>
      <w:r>
        <w:rPr>
          <w:rFonts w:hint="cs"/>
          <w:rtl/>
          <w:lang w:bidi="ar-EG"/>
        </w:rPr>
        <w:t>[يلي ذلك المرفق]</w:t>
      </w:r>
    </w:p>
    <w:p w:rsidR="009B0855" w:rsidRDefault="009B0855" w:rsidP="00D60B2C">
      <w:pPr>
        <w:pStyle w:val="BodyText"/>
      </w:pPr>
    </w:p>
    <w:p w:rsidR="00254E57" w:rsidRDefault="00254E57" w:rsidP="009A5ED7">
      <w:pPr>
        <w:pStyle w:val="BodyText"/>
        <w:rPr>
          <w:rtl/>
        </w:rPr>
        <w:sectPr w:rsidR="00254E57" w:rsidSect="00CC3E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3D6938" w:rsidRPr="006046C1" w:rsidRDefault="003D6938" w:rsidP="003D6938">
      <w:pPr>
        <w:spacing w:after="120"/>
        <w:jc w:val="center"/>
        <w:rPr>
          <w:b/>
          <w:bCs/>
          <w:rtl/>
          <w:lang w:bidi="ar-EG"/>
        </w:rPr>
      </w:pPr>
      <w:r w:rsidRPr="006046C1">
        <w:rPr>
          <w:b/>
          <w:bCs/>
          <w:rtl/>
          <w:lang w:bidi="ar-EG"/>
        </w:rPr>
        <w:lastRenderedPageBreak/>
        <w:t xml:space="preserve">اقتراح مجموعة أفريقيا </w:t>
      </w:r>
      <w:r w:rsidRPr="006046C1">
        <w:rPr>
          <w:rFonts w:hint="cs"/>
          <w:b/>
          <w:bCs/>
          <w:rtl/>
          <w:lang w:bidi="ar-EG"/>
        </w:rPr>
        <w:t>للسير قدما ب</w:t>
      </w:r>
      <w:r w:rsidRPr="006046C1">
        <w:rPr>
          <w:b/>
          <w:bCs/>
          <w:rtl/>
          <w:lang w:bidi="ar-EG"/>
        </w:rPr>
        <w:t xml:space="preserve">جدول أعمال الويبو المعياري </w:t>
      </w:r>
      <w:r w:rsidRPr="006046C1">
        <w:rPr>
          <w:rFonts w:hint="cs"/>
          <w:b/>
          <w:bCs/>
          <w:rtl/>
          <w:lang w:bidi="ar-EG"/>
        </w:rPr>
        <w:t>بخصوص موضوعي</w:t>
      </w:r>
      <w:r>
        <w:rPr>
          <w:b/>
          <w:bCs/>
          <w:rtl/>
          <w:lang w:bidi="ar-EG"/>
        </w:rPr>
        <w:br/>
      </w:r>
      <w:r w:rsidRPr="006046C1">
        <w:rPr>
          <w:b/>
          <w:bCs/>
          <w:rtl/>
          <w:lang w:bidi="ar-EG"/>
        </w:rPr>
        <w:t>الموارد الوراثية المرتبطة بالمعارف التقليدية، ومعاهدة قانون التص</w:t>
      </w:r>
      <w:r w:rsidRPr="006046C1">
        <w:rPr>
          <w:rFonts w:hint="cs"/>
          <w:b/>
          <w:bCs/>
          <w:rtl/>
          <w:lang w:bidi="ar-EG"/>
        </w:rPr>
        <w:t>ا</w:t>
      </w:r>
      <w:r w:rsidRPr="006046C1">
        <w:rPr>
          <w:b/>
          <w:bCs/>
          <w:rtl/>
          <w:lang w:bidi="ar-EG"/>
        </w:rPr>
        <w:t>ميم</w:t>
      </w:r>
      <w:r>
        <w:rPr>
          <w:b/>
          <w:bCs/>
          <w:rtl/>
          <w:lang w:bidi="ar-EG"/>
        </w:rPr>
        <w:br/>
      </w:r>
      <w:r w:rsidRPr="006046C1">
        <w:rPr>
          <w:b/>
          <w:bCs/>
          <w:rtl/>
          <w:lang w:bidi="ar-EG"/>
        </w:rPr>
        <w:t>في الدورة الخامسة والخمسين (</w:t>
      </w:r>
      <w:r>
        <w:rPr>
          <w:rFonts w:hint="cs"/>
          <w:b/>
          <w:bCs/>
          <w:rtl/>
          <w:lang w:bidi="ar-EG"/>
        </w:rPr>
        <w:t xml:space="preserve">الدورة </w:t>
      </w:r>
      <w:r w:rsidRPr="006046C1">
        <w:rPr>
          <w:b/>
          <w:bCs/>
          <w:rtl/>
          <w:lang w:bidi="ar-EG"/>
        </w:rPr>
        <w:t>الاستثنائية الثلاثين)</w:t>
      </w:r>
      <w:r>
        <w:rPr>
          <w:b/>
          <w:bCs/>
          <w:rtl/>
          <w:lang w:bidi="ar-EG"/>
        </w:rPr>
        <w:br/>
      </w:r>
      <w:r w:rsidRPr="006046C1">
        <w:rPr>
          <w:rFonts w:hint="cs"/>
          <w:b/>
          <w:bCs/>
          <w:rtl/>
          <w:lang w:bidi="ar-EG"/>
        </w:rPr>
        <w:t>لل</w:t>
      </w:r>
      <w:r w:rsidRPr="006046C1">
        <w:rPr>
          <w:b/>
          <w:bCs/>
          <w:rtl/>
          <w:lang w:bidi="ar-EG"/>
        </w:rPr>
        <w:t xml:space="preserve">جمعية </w:t>
      </w:r>
      <w:r w:rsidRPr="006046C1">
        <w:rPr>
          <w:rFonts w:hint="cs"/>
          <w:b/>
          <w:bCs/>
          <w:rtl/>
          <w:lang w:bidi="ar-EG"/>
        </w:rPr>
        <w:t>العامة ل</w:t>
      </w:r>
      <w:r w:rsidRPr="006046C1">
        <w:rPr>
          <w:b/>
          <w:bCs/>
          <w:rtl/>
          <w:lang w:bidi="ar-EG"/>
        </w:rPr>
        <w:t>لويبو</w:t>
      </w:r>
      <w:r w:rsidRPr="006046C1">
        <w:rPr>
          <w:rFonts w:hint="cs"/>
          <w:b/>
          <w:bCs/>
          <w:rtl/>
          <w:lang w:bidi="ar-EG"/>
        </w:rPr>
        <w:t>،</w:t>
      </w:r>
      <w:r>
        <w:rPr>
          <w:b/>
          <w:bCs/>
          <w:rtl/>
          <w:lang w:bidi="ar-EG"/>
        </w:rPr>
        <w:t xml:space="preserve"> 14-22 يوليو 2022، جنيف</w:t>
      </w:r>
      <w:r w:rsidRPr="006046C1">
        <w:rPr>
          <w:b/>
          <w:bCs/>
          <w:rtl/>
          <w:lang w:bidi="ar-EG"/>
        </w:rPr>
        <w:t>، سويسرا</w:t>
      </w:r>
    </w:p>
    <w:p w:rsidR="003D6938" w:rsidRDefault="003D6938" w:rsidP="003D6938">
      <w:pPr>
        <w:spacing w:after="120"/>
        <w:jc w:val="center"/>
        <w:rPr>
          <w:b/>
          <w:bCs/>
          <w:rtl/>
          <w:lang w:bidi="ar-EG"/>
        </w:rPr>
      </w:pPr>
    </w:p>
    <w:p w:rsidR="003D6938" w:rsidRPr="006046C1" w:rsidRDefault="003D6938" w:rsidP="003D6938">
      <w:pPr>
        <w:spacing w:after="120"/>
        <w:jc w:val="center"/>
        <w:rPr>
          <w:b/>
          <w:bCs/>
          <w:rtl/>
          <w:lang w:bidi="ar-EG"/>
        </w:rPr>
      </w:pP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Pr="00E44984" w:rsidRDefault="003D6938" w:rsidP="003D6938">
      <w:pPr>
        <w:spacing w:after="120"/>
        <w:rPr>
          <w:b/>
          <w:bCs/>
          <w:rtl/>
          <w:lang w:bidi="ar-EG"/>
        </w:rPr>
      </w:pPr>
      <w:r>
        <w:rPr>
          <w:b/>
          <w:bCs/>
          <w:rtl/>
          <w:lang w:bidi="ar-EG"/>
        </w:rPr>
        <w:t>البند 9"6" من جدول الأعمال:</w:t>
      </w:r>
      <w:r>
        <w:rPr>
          <w:rFonts w:hint="cs"/>
          <w:b/>
          <w:bCs/>
          <w:rtl/>
          <w:lang w:bidi="ar-EG"/>
        </w:rPr>
        <w:t xml:space="preserve"> </w:t>
      </w:r>
      <w:r w:rsidRPr="00E44984">
        <w:rPr>
          <w:b/>
          <w:bCs/>
          <w:rtl/>
          <w:lang w:bidi="ar-EG"/>
        </w:rPr>
        <w:t>اللجنة الحكومية الدولية المعنية بالملكية الفكرية والموارد الوراثية والمعارف التقليدية والفولكلور (لجنة المعارف)</w:t>
      </w:r>
      <w:r>
        <w:rPr>
          <w:rFonts w:hint="cs"/>
          <w:b/>
          <w:bCs/>
          <w:rtl/>
          <w:lang w:bidi="ar-EG"/>
        </w:rPr>
        <w:t>.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rPr>
          <w:lang w:bidi="ar-EG"/>
        </w:rPr>
      </w:pPr>
      <w:r>
        <w:rPr>
          <w:rtl/>
          <w:lang w:bidi="ar-EG"/>
        </w:rPr>
        <w:t>وافقت الجمعية العامة للويبو، في دورتها الرابعة والخمسين (</w:t>
      </w:r>
      <w:r>
        <w:rPr>
          <w:rFonts w:hint="cs"/>
          <w:rtl/>
          <w:lang w:bidi="ar-EG"/>
        </w:rPr>
        <w:t xml:space="preserve">الدورة </w:t>
      </w:r>
      <w:r>
        <w:rPr>
          <w:rtl/>
          <w:lang w:bidi="ar-EG"/>
        </w:rPr>
        <w:t xml:space="preserve">العادية الخامسة والعشرين) </w:t>
      </w:r>
      <w:r>
        <w:rPr>
          <w:rFonts w:hint="cs"/>
          <w:rtl/>
          <w:lang w:bidi="ar-EG"/>
        </w:rPr>
        <w:t xml:space="preserve">المعقودة </w:t>
      </w:r>
      <w:r>
        <w:rPr>
          <w:rtl/>
          <w:lang w:bidi="ar-EG"/>
        </w:rPr>
        <w:t xml:space="preserve">في أكتوبر 2021، على ولاية </w:t>
      </w:r>
      <w:r>
        <w:rPr>
          <w:rFonts w:hint="cs"/>
          <w:rtl/>
          <w:lang w:bidi="ar-EG"/>
        </w:rPr>
        <w:t>لجنة المعارف للثنائية</w:t>
      </w:r>
      <w:r>
        <w:rPr>
          <w:rtl/>
          <w:lang w:bidi="ar-EG"/>
        </w:rPr>
        <w:t xml:space="preserve"> 2022/2023 ، على النحو المبي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ن في الوثيقة </w:t>
      </w:r>
      <w:r>
        <w:rPr>
          <w:lang w:bidi="ar-EG"/>
        </w:rPr>
        <w:t>WO/GA/54/10</w:t>
      </w:r>
      <w:r>
        <w:rPr>
          <w:rtl/>
          <w:lang w:bidi="ar-EG"/>
        </w:rPr>
        <w:t xml:space="preserve"> ،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تسريع عملها، بناءً على العمل </w:t>
      </w:r>
      <w:r>
        <w:rPr>
          <w:rFonts w:hint="cs"/>
          <w:rtl/>
          <w:lang w:bidi="ar-EG"/>
        </w:rPr>
        <w:t xml:space="preserve">القائم </w:t>
      </w:r>
      <w:r>
        <w:rPr>
          <w:rtl/>
          <w:lang w:bidi="ar-EG"/>
        </w:rPr>
        <w:t xml:space="preserve">الذي </w:t>
      </w:r>
      <w:r>
        <w:rPr>
          <w:rFonts w:hint="cs"/>
          <w:rtl/>
          <w:lang w:bidi="ar-EG"/>
        </w:rPr>
        <w:t xml:space="preserve">تضطلع به </w:t>
      </w:r>
      <w:r>
        <w:rPr>
          <w:rtl/>
          <w:lang w:bidi="ar-EG"/>
        </w:rPr>
        <w:t xml:space="preserve">اللجنة، </w:t>
      </w:r>
      <w:r>
        <w:rPr>
          <w:rFonts w:hint="cs"/>
          <w:rtl/>
          <w:lang w:bidi="ar-EG"/>
        </w:rPr>
        <w:t xml:space="preserve">من أجل </w:t>
      </w:r>
      <w:r>
        <w:rPr>
          <w:rtl/>
          <w:lang w:bidi="ar-EG"/>
        </w:rPr>
        <w:t xml:space="preserve">تضييق الفجوات القائمة والتوصل إلى تفاهم مشترك حول القضايا الأساسية، بهدف </w:t>
      </w:r>
      <w:r>
        <w:rPr>
          <w:rFonts w:hint="cs"/>
          <w:rtl/>
          <w:lang w:bidi="ar-EG"/>
        </w:rPr>
        <w:t>وضع الصيغة النهائية ل</w:t>
      </w:r>
      <w:r>
        <w:rPr>
          <w:rtl/>
          <w:lang w:bidi="ar-EG"/>
        </w:rPr>
        <w:t xml:space="preserve">اتفاق بشأن صك </w:t>
      </w:r>
      <w:r>
        <w:rPr>
          <w:rFonts w:hint="cs"/>
          <w:rtl/>
          <w:lang w:bidi="ar-EG"/>
        </w:rPr>
        <w:t xml:space="preserve">(صكوك) </w:t>
      </w:r>
      <w:r>
        <w:rPr>
          <w:rtl/>
          <w:lang w:bidi="ar-EG"/>
        </w:rPr>
        <w:t>قانوني دولي (</w:t>
      </w:r>
      <w:r>
        <w:rPr>
          <w:rFonts w:hint="cs"/>
          <w:rtl/>
          <w:lang w:bidi="ar-EG"/>
        </w:rPr>
        <w:t>قانونية دولية</w:t>
      </w:r>
      <w:r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 xml:space="preserve">لضمان </w:t>
      </w:r>
      <w:r>
        <w:rPr>
          <w:rtl/>
          <w:lang w:bidi="ar-EG"/>
        </w:rPr>
        <w:t xml:space="preserve">الحماية المتوازنة والفعالة للموارد </w:t>
      </w:r>
      <w:r>
        <w:rPr>
          <w:rFonts w:hint="cs"/>
          <w:rtl/>
          <w:lang w:bidi="ar-EG"/>
        </w:rPr>
        <w:t xml:space="preserve">الوراثية </w:t>
      </w:r>
      <w:r>
        <w:rPr>
          <w:rtl/>
          <w:lang w:bidi="ar-EG"/>
        </w:rPr>
        <w:t>والمعارف التقليدية وأشكال التعبير الثقافي التقليدي.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أكملت </w:t>
      </w:r>
      <w:r>
        <w:rPr>
          <w:rFonts w:hint="cs"/>
          <w:rtl/>
          <w:lang w:bidi="ar-EG"/>
        </w:rPr>
        <w:t>لجنة المعارف</w:t>
      </w:r>
      <w:r>
        <w:rPr>
          <w:rtl/>
          <w:lang w:bidi="ar-EG"/>
        </w:rPr>
        <w:t xml:space="preserve">، في دورتيها الثانية والأربعين والثالثة والأربعين المعقودتين في عام 2022، دوراتها المخصصة بشأن الموارد الوراثية والمعارف التقليدية المرتبطة بها </w:t>
      </w:r>
      <w:r>
        <w:rPr>
          <w:rFonts w:hint="cs"/>
          <w:rtl/>
          <w:lang w:bidi="ar-EG"/>
        </w:rPr>
        <w:t xml:space="preserve">للثنائية </w:t>
      </w:r>
      <w:r>
        <w:rPr>
          <w:rtl/>
          <w:lang w:bidi="ar-EG"/>
        </w:rPr>
        <w:t xml:space="preserve">2022/2023.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أحرزت كلتا الدورتين تقدما </w:t>
      </w:r>
      <w:r>
        <w:rPr>
          <w:rFonts w:hint="cs"/>
          <w:rtl/>
          <w:lang w:bidi="ar-EG"/>
        </w:rPr>
        <w:t>ملحوظا</w:t>
      </w:r>
      <w:r>
        <w:rPr>
          <w:rtl/>
          <w:lang w:bidi="ar-EG"/>
        </w:rPr>
        <w:t xml:space="preserve"> وحققت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تقاربا كبيرا حول الوثيقة</w:t>
      </w:r>
      <w:r>
        <w:rPr>
          <w:rFonts w:hint="cs"/>
          <w:rtl/>
          <w:lang w:bidi="ar-EG"/>
        </w:rPr>
        <w:t> </w:t>
      </w:r>
      <w:r>
        <w:rPr>
          <w:lang w:bidi="ar-EG"/>
        </w:rPr>
        <w:t>WIPO/GRTKF/IC/43/5</w:t>
      </w:r>
      <w:r>
        <w:rPr>
          <w:rtl/>
          <w:lang w:bidi="ar-EG"/>
        </w:rPr>
        <w:t xml:space="preserve"> (</w:t>
      </w:r>
      <w:r w:rsidRPr="006046C1">
        <w:rPr>
          <w:rtl/>
          <w:lang w:bidi="ar-EG"/>
        </w:rPr>
        <w:t xml:space="preserve">نص الرئيس </w:t>
      </w:r>
      <w:r w:rsidRPr="006046C1">
        <w:rPr>
          <w:i/>
          <w:iCs/>
          <w:rtl/>
          <w:lang w:bidi="ar-EG"/>
        </w:rPr>
        <w:t>لمشروع صك قانوني دولي بشأن الملكية الفكرية والموارد الوراثية والمعارف التقليدية المرتبطة بالموارد الوراثية</w:t>
      </w:r>
      <w:r>
        <w:rPr>
          <w:rtl/>
          <w:lang w:bidi="ar-EG"/>
        </w:rPr>
        <w:t xml:space="preserve">) باعتبارها </w:t>
      </w:r>
      <w:r>
        <w:rPr>
          <w:rFonts w:hint="cs"/>
          <w:rtl/>
          <w:lang w:bidi="ar-EG"/>
        </w:rPr>
        <w:t xml:space="preserve">أساسا </w:t>
      </w:r>
      <w:r>
        <w:rPr>
          <w:rtl/>
          <w:lang w:bidi="ar-EG"/>
        </w:rPr>
        <w:t>مرك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ز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وفعال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متوازن</w:t>
      </w:r>
      <w:r>
        <w:rPr>
          <w:rFonts w:hint="cs"/>
          <w:rtl/>
          <w:lang w:bidi="ar-EG"/>
        </w:rPr>
        <w:t>ا</w:t>
      </w:r>
      <w:r>
        <w:rPr>
          <w:rtl/>
          <w:lang w:bidi="ar-EG"/>
        </w:rPr>
        <w:t xml:space="preserve"> لمزيد من </w:t>
      </w:r>
      <w:r>
        <w:rPr>
          <w:rFonts w:hint="cs"/>
          <w:rtl/>
          <w:lang w:bidi="ar-EG"/>
        </w:rPr>
        <w:t>المشاركة في العمل</w:t>
      </w:r>
      <w:r>
        <w:rPr>
          <w:rtl/>
          <w:lang w:bidi="ar-EG"/>
        </w:rPr>
        <w:t>.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rPr>
          <w:rtl/>
          <w:lang w:bidi="ar-EG"/>
        </w:rPr>
      </w:pPr>
      <w:r>
        <w:rPr>
          <w:rtl/>
          <w:lang w:bidi="ar-EG"/>
        </w:rPr>
        <w:t>وعلى هذا الأساس، فإن الجمعية العامة للويبو: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>قر</w:t>
      </w:r>
      <w:r>
        <w:rPr>
          <w:rFonts w:hint="cs"/>
          <w:rtl/>
        </w:rPr>
        <w:t>ّ</w:t>
      </w:r>
      <w:r>
        <w:rPr>
          <w:rtl/>
          <w:lang w:bidi="ar-EG"/>
        </w:rPr>
        <w:t xml:space="preserve">ر عقد مؤتمر دبلوماسي لإبرام صك قانوني دولي </w:t>
      </w:r>
      <w:r>
        <w:rPr>
          <w:rFonts w:hint="cs"/>
          <w:rtl/>
          <w:lang w:bidi="ar-EG"/>
        </w:rPr>
        <w:t xml:space="preserve">بشأن </w:t>
      </w:r>
      <w:r>
        <w:rPr>
          <w:rtl/>
          <w:lang w:bidi="ar-EG"/>
        </w:rPr>
        <w:t>الملكية الفكرية والموارد الوراثية والمعارف التقليدية المرتبطة بالموارد</w:t>
      </w:r>
      <w:r>
        <w:rPr>
          <w:rFonts w:hint="cs"/>
          <w:rtl/>
          <w:lang w:bidi="ar-EG"/>
        </w:rPr>
        <w:t xml:space="preserve"> الوراثية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استنادا إلى </w:t>
      </w:r>
      <w:r>
        <w:rPr>
          <w:rtl/>
          <w:lang w:bidi="ar-EG"/>
        </w:rPr>
        <w:t xml:space="preserve">الوثيقة </w:t>
      </w:r>
      <w:r>
        <w:rPr>
          <w:lang w:bidi="ar-EG"/>
        </w:rPr>
        <w:t>WIPO/GRTKF/IC/43/5</w:t>
      </w:r>
      <w:r>
        <w:rPr>
          <w:rtl/>
          <w:lang w:bidi="ar-EG"/>
        </w:rPr>
        <w:t xml:space="preserve"> وأي</w:t>
      </w:r>
      <w:r>
        <w:rPr>
          <w:rFonts w:hint="cs"/>
          <w:rtl/>
          <w:lang w:bidi="ar-EG"/>
        </w:rPr>
        <w:t xml:space="preserve">ة صيغ مراجَعة </w:t>
      </w:r>
      <w:r>
        <w:rPr>
          <w:rtl/>
          <w:lang w:bidi="ar-EG"/>
        </w:rPr>
        <w:t xml:space="preserve">متفق عليها وفقًا للفقرة (4) أدناه، </w:t>
      </w:r>
      <w:r>
        <w:rPr>
          <w:rFonts w:hint="cs"/>
          <w:rtl/>
          <w:lang w:bidi="ar-EG"/>
        </w:rPr>
        <w:t xml:space="preserve">على أن يُنظَّم </w:t>
      </w:r>
      <w:r>
        <w:rPr>
          <w:rtl/>
          <w:lang w:bidi="ar-EG"/>
        </w:rPr>
        <w:t>في موعد أقصاه النصف الثاني من عام 2023: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ب)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>قر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ر عقد اجتماع ل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 xml:space="preserve">جنة تحضيرية في النصف الثاني من عام </w:t>
      </w:r>
      <w:r>
        <w:rPr>
          <w:rFonts w:hint="cs"/>
          <w:rtl/>
          <w:lang w:bidi="ar-EG"/>
        </w:rPr>
        <w:t>2023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من أجل </w:t>
      </w:r>
      <w:r>
        <w:rPr>
          <w:rtl/>
          <w:lang w:bidi="ar-EG"/>
        </w:rPr>
        <w:t xml:space="preserve">وضع </w:t>
      </w:r>
      <w:r w:rsidRPr="006046C1">
        <w:rPr>
          <w:rtl/>
          <w:lang w:bidi="ar-EG"/>
        </w:rPr>
        <w:t xml:space="preserve">الترتيبات اللازمة </w:t>
      </w:r>
      <w:r>
        <w:rPr>
          <w:rtl/>
          <w:lang w:bidi="ar-EG"/>
        </w:rPr>
        <w:t xml:space="preserve">للمؤتمر الدبلوماسي.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ستنظر اللجنة التحضيرية </w:t>
      </w:r>
      <w:r>
        <w:rPr>
          <w:rFonts w:hint="cs"/>
          <w:rtl/>
          <w:lang w:bidi="ar-EG"/>
        </w:rPr>
        <w:t>حينها</w:t>
      </w:r>
      <w:r>
        <w:rPr>
          <w:rtl/>
          <w:lang w:bidi="ar-EG"/>
        </w:rPr>
        <w:t xml:space="preserve"> في مشروع النظام الداخلي الذي </w:t>
      </w:r>
      <w:r>
        <w:rPr>
          <w:rFonts w:hint="cs"/>
          <w:rtl/>
          <w:lang w:bidi="ar-EG"/>
        </w:rPr>
        <w:t xml:space="preserve">سيقدَّم </w:t>
      </w:r>
      <w:r>
        <w:rPr>
          <w:rtl/>
          <w:lang w:bidi="ar-EG"/>
        </w:rPr>
        <w:t>إلى المؤتمر الدبلوماسي</w:t>
      </w:r>
      <w:r w:rsidRPr="00CF3BC5">
        <w:rPr>
          <w:rtl/>
          <w:lang w:bidi="ar-EG"/>
        </w:rPr>
        <w:t xml:space="preserve"> </w:t>
      </w:r>
      <w:r>
        <w:rPr>
          <w:rtl/>
          <w:lang w:bidi="ar-EG"/>
        </w:rPr>
        <w:t xml:space="preserve">لاعتماده، وقائمة المدعوين للمشاركة في المؤتمر، ونص </w:t>
      </w:r>
      <w:r>
        <w:rPr>
          <w:rFonts w:hint="cs"/>
          <w:rtl/>
          <w:lang w:bidi="ar-EG"/>
        </w:rPr>
        <w:t xml:space="preserve">مشروعات </w:t>
      </w:r>
      <w:r>
        <w:rPr>
          <w:rtl/>
          <w:lang w:bidi="ar-EG"/>
        </w:rPr>
        <w:t>خطابات الدعو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، بالإضافة إلى أي وثيقة أخرى أو مسألة تنظيمية </w:t>
      </w:r>
      <w:r>
        <w:rPr>
          <w:rFonts w:hint="cs"/>
          <w:rtl/>
          <w:lang w:bidi="ar-EG"/>
        </w:rPr>
        <w:t xml:space="preserve">ذات صلة </w:t>
      </w:r>
      <w:r>
        <w:rPr>
          <w:rtl/>
          <w:lang w:bidi="ar-EG"/>
        </w:rPr>
        <w:t xml:space="preserve">بالمؤتمر الدبلوماسي.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ستوافق اللجنة التحضيرية أيضًا على الاقتراح الأساسي للأحكام الإدارية </w:t>
      </w:r>
      <w:r>
        <w:rPr>
          <w:rFonts w:hint="cs"/>
          <w:rtl/>
          <w:lang w:bidi="ar-EG"/>
        </w:rPr>
        <w:t xml:space="preserve">والختامية </w:t>
      </w:r>
      <w:r>
        <w:rPr>
          <w:rtl/>
          <w:lang w:bidi="ar-EG"/>
        </w:rPr>
        <w:t>للمعاهدة: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ج)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ترح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ب مع الامتنان بعرض جنوب أفريقيا 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استضافة المؤتمر الدبلوماسي في النصف الثاني من عام 2023: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د)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وتو</w:t>
      </w:r>
      <w:r>
        <w:rPr>
          <w:rtl/>
          <w:lang w:bidi="ar-EG"/>
        </w:rPr>
        <w:t>ج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ه </w:t>
      </w:r>
      <w:r>
        <w:rPr>
          <w:rFonts w:hint="cs"/>
          <w:rtl/>
          <w:lang w:bidi="ar-EG"/>
        </w:rPr>
        <w:t xml:space="preserve">لجنة المعارف </w:t>
      </w:r>
      <w:r>
        <w:rPr>
          <w:rtl/>
          <w:lang w:bidi="ar-EG"/>
        </w:rPr>
        <w:t xml:space="preserve">إلى الاجتماع في دورة </w:t>
      </w:r>
      <w:r>
        <w:rPr>
          <w:rFonts w:hint="cs"/>
          <w:rtl/>
          <w:lang w:bidi="ar-EG"/>
        </w:rPr>
        <w:t>استثنائية</w:t>
      </w:r>
      <w:r>
        <w:rPr>
          <w:rtl/>
          <w:lang w:bidi="ar-EG"/>
        </w:rPr>
        <w:t xml:space="preserve"> لمدة خمسة أيام في النصف الثاني من عام 2023، قبل انعقاد </w:t>
      </w:r>
      <w:r>
        <w:rPr>
          <w:rFonts w:hint="cs"/>
          <w:rtl/>
          <w:lang w:bidi="ar-EG"/>
        </w:rPr>
        <w:t xml:space="preserve">اجتماع </w:t>
      </w:r>
      <w:r>
        <w:rPr>
          <w:rtl/>
          <w:lang w:bidi="ar-EG"/>
        </w:rPr>
        <w:t>اللجنة التحضيرية، ل</w:t>
      </w:r>
      <w:r>
        <w:rPr>
          <w:rFonts w:hint="cs"/>
          <w:rtl/>
          <w:lang w:bidi="ar-EG"/>
        </w:rPr>
        <w:t xml:space="preserve">مواصلة </w:t>
      </w:r>
      <w:r>
        <w:rPr>
          <w:rtl/>
          <w:lang w:bidi="ar-EG"/>
        </w:rPr>
        <w:t>سد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 أي</w:t>
      </w:r>
      <w:r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ثغرات قائمة </w:t>
      </w:r>
      <w:r>
        <w:rPr>
          <w:rFonts w:hint="cs"/>
          <w:rtl/>
          <w:lang w:bidi="ar-EG"/>
        </w:rPr>
        <w:t>ب</w:t>
      </w:r>
      <w:r>
        <w:rPr>
          <w:rtl/>
          <w:lang w:bidi="ar-EG"/>
        </w:rPr>
        <w:t xml:space="preserve">مستوى كاف.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من المفهوم أن اللجنة التحضيرية ستدعو الوفود المراقبة والمراقبين: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هـ)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 xml:space="preserve">وافق على أن الوثيقة </w:t>
      </w:r>
      <w:r>
        <w:rPr>
          <w:lang w:bidi="ar-EG"/>
        </w:rPr>
        <w:t>WIPO/GRTKF/IC/43/5</w:t>
      </w:r>
      <w:r>
        <w:rPr>
          <w:rtl/>
          <w:lang w:bidi="ar-EG"/>
        </w:rPr>
        <w:t>،</w:t>
      </w:r>
      <w:r>
        <w:rPr>
          <w:rFonts w:hint="cs"/>
          <w:rtl/>
          <w:lang w:bidi="ar-EG"/>
        </w:rPr>
        <w:t xml:space="preserve"> المعنونة</w:t>
      </w:r>
      <w:r>
        <w:rPr>
          <w:rtl/>
          <w:lang w:bidi="ar-EG"/>
        </w:rPr>
        <w:t xml:space="preserve"> </w:t>
      </w:r>
      <w:r w:rsidRPr="006046C1">
        <w:rPr>
          <w:rtl/>
          <w:lang w:bidi="ar-EG"/>
        </w:rPr>
        <w:t xml:space="preserve">نص الرئيس </w:t>
      </w:r>
      <w:r w:rsidRPr="006046C1">
        <w:rPr>
          <w:i/>
          <w:iCs/>
          <w:rtl/>
          <w:lang w:bidi="ar-EG"/>
        </w:rPr>
        <w:t>لمشروع صك قانوني دولي بشأن الملكية الفكرية والموارد الوراثية والمعارف التقليدية المرتبطة بالموارد الوراثية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ستكون بمثابة المواد </w:t>
      </w:r>
      <w:r>
        <w:rPr>
          <w:rtl/>
          <w:lang w:bidi="ar-EG"/>
        </w:rPr>
        <w:t xml:space="preserve">الموضوعية للاقتراح الأساسي </w:t>
      </w:r>
      <w:r>
        <w:rPr>
          <w:rFonts w:hint="cs"/>
          <w:rtl/>
          <w:lang w:bidi="ar-EG"/>
        </w:rPr>
        <w:t>لأغراض المؤتمر الدبلوماسي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وس</w:t>
      </w:r>
      <w:r>
        <w:rPr>
          <w:rtl/>
          <w:lang w:bidi="ar-EG"/>
        </w:rPr>
        <w:t xml:space="preserve">تُدرج اللجنة التحضيرية في الاقتراح الأساسي </w:t>
      </w:r>
      <w:r>
        <w:rPr>
          <w:rFonts w:hint="cs"/>
          <w:rtl/>
          <w:lang w:bidi="ar-EG"/>
        </w:rPr>
        <w:t xml:space="preserve">أية </w:t>
      </w:r>
      <w:r>
        <w:rPr>
          <w:rtl/>
          <w:lang w:bidi="ar-EG"/>
        </w:rPr>
        <w:t xml:space="preserve">اتفاقات إضافية 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توصل إليها </w:t>
      </w:r>
      <w:r>
        <w:rPr>
          <w:rFonts w:hint="cs"/>
          <w:rtl/>
          <w:lang w:bidi="ar-EG"/>
        </w:rPr>
        <w:t xml:space="preserve">لجنة المعارف </w:t>
      </w:r>
      <w:r>
        <w:rPr>
          <w:rtl/>
          <w:lang w:bidi="ar-EG"/>
        </w:rPr>
        <w:t xml:space="preserve">وفقاً للفقرة (د) أعلاه، على أن يكون </w:t>
      </w:r>
      <w:r>
        <w:rPr>
          <w:rFonts w:hint="cs"/>
          <w:rtl/>
          <w:lang w:bidi="ar-EG"/>
        </w:rPr>
        <w:t xml:space="preserve">من المفهوم </w:t>
      </w:r>
      <w:r>
        <w:rPr>
          <w:rtl/>
          <w:lang w:bidi="ar-EG"/>
        </w:rPr>
        <w:t>أنه يجوز لأي دولة عضو و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لوفد الخاص للاتحاد الأوروبي تقديم اقتراحات في المؤتمر الدبلوماسي؛</w:t>
      </w:r>
    </w:p>
    <w:p w:rsidR="003D6938" w:rsidRDefault="003D6938" w:rsidP="003D6938">
      <w:pPr>
        <w:keepNext/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lastRenderedPageBreak/>
        <w:t>و)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>وافق على عقد دورة استثنائية للجمعية العامة للويبو (</w:t>
      </w:r>
      <w:r>
        <w:rPr>
          <w:rFonts w:hint="cs"/>
          <w:rtl/>
          <w:lang w:bidi="ar-EG"/>
        </w:rPr>
        <w:t>بشكل هجين)</w:t>
      </w:r>
      <w:r>
        <w:rPr>
          <w:rtl/>
          <w:lang w:bidi="ar-EG"/>
        </w:rPr>
        <w:t xml:space="preserve">، إذا لزم الأمر، </w:t>
      </w:r>
      <w:r>
        <w:rPr>
          <w:rFonts w:hint="cs"/>
          <w:rtl/>
          <w:lang w:bidi="ar-EG"/>
        </w:rPr>
        <w:t xml:space="preserve">بغرض </w:t>
      </w:r>
      <w:r>
        <w:rPr>
          <w:rtl/>
          <w:lang w:bidi="ar-EG"/>
        </w:rPr>
        <w:t xml:space="preserve">اعتماد القرارات والأعمال التحضيرية المؤدية إلى المؤتمر الدبلوماسي في النصف الثاني من عام 2023، وتوجيه الأمانة إلى </w:t>
      </w:r>
      <w:r>
        <w:rPr>
          <w:rFonts w:hint="cs"/>
          <w:rtl/>
          <w:lang w:bidi="ar-EG"/>
        </w:rPr>
        <w:t xml:space="preserve">أن تجعل من </w:t>
      </w:r>
      <w:r>
        <w:rPr>
          <w:rtl/>
          <w:lang w:bidi="ar-EG"/>
        </w:rPr>
        <w:t xml:space="preserve">الوثيقة الناتجة </w:t>
      </w:r>
      <w:r>
        <w:rPr>
          <w:rFonts w:hint="cs"/>
          <w:rtl/>
          <w:lang w:bidi="ar-EG"/>
        </w:rPr>
        <w:t xml:space="preserve">عن ذلك بمثابة </w:t>
      </w:r>
      <w:r>
        <w:rPr>
          <w:rtl/>
          <w:lang w:bidi="ar-EG"/>
        </w:rPr>
        <w:t>الاقتراح الأساسي للأحكام الموضوعية التي سينظر فيها المؤتمر الدبلوماسي.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Pr="00E44984" w:rsidRDefault="003D6938" w:rsidP="003D6938">
      <w:pPr>
        <w:keepNext/>
        <w:spacing w:after="120"/>
        <w:rPr>
          <w:b/>
          <w:bCs/>
          <w:rtl/>
          <w:lang w:bidi="ar-EG"/>
        </w:rPr>
      </w:pPr>
      <w:r w:rsidRPr="00E44984">
        <w:rPr>
          <w:b/>
          <w:bCs/>
          <w:rtl/>
          <w:lang w:bidi="ar-EG"/>
        </w:rPr>
        <w:t>البند 9</w:t>
      </w:r>
      <w:r>
        <w:rPr>
          <w:b/>
          <w:bCs/>
          <w:rtl/>
          <w:lang w:bidi="ar-EG"/>
        </w:rPr>
        <w:t xml:space="preserve">"4" من جدول الأعمال: </w:t>
      </w:r>
      <w:r w:rsidRPr="00E44984">
        <w:rPr>
          <w:b/>
          <w:bCs/>
          <w:rtl/>
          <w:lang w:bidi="ar-EG"/>
        </w:rPr>
        <w:t>مسائل تتعلق بالدعوة إلى عقد مؤتمر دبلوماسي لاعتماد معاهدة بشأن قانون التصاميم</w:t>
      </w:r>
      <w:r>
        <w:rPr>
          <w:rFonts w:hint="cs"/>
          <w:b/>
          <w:bCs/>
          <w:rtl/>
          <w:lang w:bidi="ar-EG"/>
        </w:rPr>
        <w:t>.</w:t>
      </w:r>
    </w:p>
    <w:p w:rsidR="003D6938" w:rsidRDefault="003D6938" w:rsidP="003D6938">
      <w:pPr>
        <w:keepNext/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rPr>
          <w:rtl/>
          <w:lang w:bidi="ar-EG"/>
        </w:rPr>
      </w:pPr>
      <w:r>
        <w:rPr>
          <w:rtl/>
          <w:lang w:bidi="ar-EG"/>
        </w:rPr>
        <w:t>إن الجمعية العامة مدعوة إلى:</w:t>
      </w:r>
    </w:p>
    <w:p w:rsidR="003D6938" w:rsidRDefault="003D6938" w:rsidP="003D6938">
      <w:pPr>
        <w:spacing w:after="120"/>
        <w:rPr>
          <w:rtl/>
          <w:lang w:bidi="ar-EG"/>
        </w:rPr>
      </w:pP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أن تنظر </w:t>
      </w:r>
      <w:r>
        <w:rPr>
          <w:rtl/>
          <w:lang w:bidi="ar-EG"/>
        </w:rPr>
        <w:t xml:space="preserve">في </w:t>
      </w:r>
      <w:r>
        <w:rPr>
          <w:rFonts w:hint="cs"/>
          <w:rtl/>
          <w:lang w:bidi="ar-EG"/>
        </w:rPr>
        <w:t xml:space="preserve">مضمون </w:t>
      </w:r>
      <w:r>
        <w:rPr>
          <w:rtl/>
          <w:lang w:bidi="ar-EG"/>
        </w:rPr>
        <w:t xml:space="preserve">الوثيقة </w:t>
      </w:r>
      <w:r>
        <w:rPr>
          <w:lang w:bidi="ar-EG"/>
        </w:rPr>
        <w:t>WO/GA/55/4</w:t>
      </w:r>
      <w:r>
        <w:rPr>
          <w:rtl/>
          <w:lang w:bidi="ar-EG"/>
        </w:rPr>
        <w:t>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ب)</w:t>
      </w:r>
      <w:r>
        <w:rPr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>قر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ر عقد مؤتمر دبلوماسي لإبرام واعتماد معاهدة قانون التصميم</w:t>
      </w:r>
      <w:r>
        <w:rPr>
          <w:rFonts w:hint="cs"/>
          <w:rtl/>
          <w:lang w:bidi="ar-EG"/>
        </w:rPr>
        <w:t>،</w:t>
      </w:r>
      <w:r>
        <w:rPr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 xml:space="preserve">أن يُنظَّم في أجل ليس قبل </w:t>
      </w:r>
      <w:r>
        <w:rPr>
          <w:rtl/>
          <w:lang w:bidi="ar-EG"/>
        </w:rPr>
        <w:t>النصف الثاني من عام 2023: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ج)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>قر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 xml:space="preserve">ر عقد اجتماع للجنة تحضيرية في النصف الثاني من عام </w:t>
      </w:r>
      <w:r>
        <w:rPr>
          <w:rFonts w:hint="cs"/>
          <w:rtl/>
          <w:lang w:bidi="ar-EG"/>
        </w:rPr>
        <w:t>2023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من أجل </w:t>
      </w:r>
      <w:r>
        <w:rPr>
          <w:rtl/>
          <w:lang w:bidi="ar-EG"/>
        </w:rPr>
        <w:t xml:space="preserve">وضع </w:t>
      </w:r>
      <w:r w:rsidRPr="006046C1">
        <w:rPr>
          <w:rtl/>
          <w:lang w:bidi="ar-EG"/>
        </w:rPr>
        <w:t xml:space="preserve">الترتيبات اللازمة </w:t>
      </w:r>
      <w:r>
        <w:rPr>
          <w:rtl/>
          <w:lang w:bidi="ar-EG"/>
        </w:rPr>
        <w:t xml:space="preserve">للمؤتمر الدبلوماسي.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ستنظر اللجنة التحضيرية </w:t>
      </w:r>
      <w:r>
        <w:rPr>
          <w:rFonts w:hint="cs"/>
          <w:rtl/>
          <w:lang w:bidi="ar-EG"/>
        </w:rPr>
        <w:t>حينها</w:t>
      </w:r>
      <w:r>
        <w:rPr>
          <w:rtl/>
          <w:lang w:bidi="ar-EG"/>
        </w:rPr>
        <w:t xml:space="preserve"> في مشروع النظام الداخلي الذي </w:t>
      </w:r>
      <w:r>
        <w:rPr>
          <w:rFonts w:hint="cs"/>
          <w:rtl/>
          <w:lang w:bidi="ar-EG"/>
        </w:rPr>
        <w:t xml:space="preserve">سيقدَّم إلى </w:t>
      </w:r>
      <w:r>
        <w:rPr>
          <w:rtl/>
          <w:lang w:bidi="ar-EG"/>
        </w:rPr>
        <w:t>المؤتمر الدبلوماسي</w:t>
      </w:r>
      <w:r w:rsidRPr="00CF3BC5">
        <w:rPr>
          <w:rtl/>
          <w:lang w:bidi="ar-EG"/>
        </w:rPr>
        <w:t xml:space="preserve"> </w:t>
      </w:r>
      <w:r>
        <w:rPr>
          <w:rtl/>
          <w:lang w:bidi="ar-EG"/>
        </w:rPr>
        <w:t xml:space="preserve">لاعتماده، وقائمة المدعوين للمشاركة في المؤتمر، ونص </w:t>
      </w:r>
      <w:r>
        <w:rPr>
          <w:rFonts w:hint="cs"/>
          <w:rtl/>
          <w:lang w:bidi="ar-EG"/>
        </w:rPr>
        <w:t xml:space="preserve">مشروعات </w:t>
      </w:r>
      <w:r>
        <w:rPr>
          <w:rtl/>
          <w:lang w:bidi="ar-EG"/>
        </w:rPr>
        <w:t>خطابات الدعو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، بالإضافة إلى أي وثيقة أخرى أو مسألة تنظيمية </w:t>
      </w:r>
      <w:r>
        <w:rPr>
          <w:rFonts w:hint="cs"/>
          <w:rtl/>
          <w:lang w:bidi="ar-EG"/>
        </w:rPr>
        <w:t xml:space="preserve">ذات صلة </w:t>
      </w:r>
      <w:r>
        <w:rPr>
          <w:rtl/>
          <w:lang w:bidi="ar-EG"/>
        </w:rPr>
        <w:t xml:space="preserve">بالمؤتمر الدبلوماسي.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ستوافق اللجنة التحضيرية أيضًا على الاقتراح الأساسي للأحكام الإدارية </w:t>
      </w:r>
      <w:r>
        <w:rPr>
          <w:rFonts w:hint="cs"/>
          <w:rtl/>
          <w:lang w:bidi="ar-EG"/>
        </w:rPr>
        <w:t xml:space="preserve">والختامية </w:t>
      </w:r>
      <w:r>
        <w:rPr>
          <w:rtl/>
          <w:lang w:bidi="ar-EG"/>
        </w:rPr>
        <w:t>للمعاهدة: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د)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ترح</w:t>
      </w:r>
      <w:r>
        <w:rPr>
          <w:rFonts w:hint="cs"/>
          <w:rtl/>
          <w:lang w:bidi="ar-EG"/>
        </w:rPr>
        <w:t>ّ</w:t>
      </w:r>
      <w:r>
        <w:rPr>
          <w:rtl/>
          <w:lang w:bidi="ar-EG"/>
        </w:rPr>
        <w:t>ب مع الامتنان بعر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ض </w:t>
      </w:r>
      <w:r w:rsidRPr="00CF3BC5">
        <w:rPr>
          <w:b/>
          <w:bCs/>
          <w:rtl/>
          <w:lang w:bidi="ar-EG"/>
        </w:rPr>
        <w:t>بعض الدول الأعضاء</w:t>
      </w:r>
      <w:r>
        <w:rPr>
          <w:rtl/>
          <w:lang w:bidi="ar-EG"/>
        </w:rPr>
        <w:t xml:space="preserve"> لاستضافة المؤتمر الدبلوماسي في النصف الثاني من عام 2023: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tl/>
          <w:lang w:bidi="ar-EG"/>
        </w:rPr>
        <w:t>هـ)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</w:t>
      </w:r>
      <w:r w:rsidRPr="00CF3BC5">
        <w:rPr>
          <w:rtl/>
          <w:lang w:bidi="ar-EG"/>
        </w:rPr>
        <w:t>توج</w:t>
      </w:r>
      <w:r>
        <w:rPr>
          <w:rFonts w:hint="cs"/>
          <w:rtl/>
          <w:lang w:bidi="ar-EG"/>
        </w:rPr>
        <w:t>ّ</w:t>
      </w:r>
      <w:r w:rsidRPr="00CF3BC5">
        <w:rPr>
          <w:rtl/>
          <w:lang w:bidi="ar-EG"/>
        </w:rPr>
        <w:t xml:space="preserve">ه لجنة </w:t>
      </w:r>
      <w:r>
        <w:rPr>
          <w:rFonts w:hint="cs"/>
          <w:rtl/>
          <w:lang w:bidi="ar-EG"/>
        </w:rPr>
        <w:t>العلامات</w:t>
      </w:r>
      <w:r w:rsidRPr="00CF3BC5">
        <w:rPr>
          <w:rtl/>
          <w:lang w:bidi="ar-EG"/>
        </w:rPr>
        <w:t xml:space="preserve"> إلى الاجتماع في دورة </w:t>
      </w:r>
      <w:r>
        <w:rPr>
          <w:rFonts w:hint="cs"/>
          <w:rtl/>
          <w:lang w:bidi="ar-EG"/>
        </w:rPr>
        <w:t>استثنائية</w:t>
      </w:r>
      <w:r w:rsidRPr="00CF3BC5">
        <w:rPr>
          <w:rtl/>
          <w:lang w:bidi="ar-EG"/>
        </w:rPr>
        <w:t xml:space="preserve"> لمدة خمسة أيام في النصف الثاني من عام 2023، قبل انعقاد </w:t>
      </w:r>
      <w:r>
        <w:rPr>
          <w:rFonts w:hint="cs"/>
          <w:rtl/>
          <w:lang w:bidi="ar-EG"/>
        </w:rPr>
        <w:t xml:space="preserve">اجتماع </w:t>
      </w:r>
      <w:r w:rsidRPr="00CF3BC5">
        <w:rPr>
          <w:rtl/>
          <w:lang w:bidi="ar-EG"/>
        </w:rPr>
        <w:t>اللجنة التحضيرية، ل</w:t>
      </w:r>
      <w:r>
        <w:rPr>
          <w:rFonts w:hint="cs"/>
          <w:rtl/>
          <w:lang w:bidi="ar-EG"/>
        </w:rPr>
        <w:t xml:space="preserve">مواصلة </w:t>
      </w:r>
      <w:r w:rsidRPr="00CF3BC5">
        <w:rPr>
          <w:rtl/>
          <w:lang w:bidi="ar-EG"/>
        </w:rPr>
        <w:t>سد</w:t>
      </w:r>
      <w:r>
        <w:rPr>
          <w:rFonts w:hint="cs"/>
          <w:rtl/>
          <w:lang w:bidi="ar-EG"/>
        </w:rPr>
        <w:t>ّ</w:t>
      </w:r>
      <w:r w:rsidRPr="00CF3BC5">
        <w:rPr>
          <w:rtl/>
          <w:lang w:bidi="ar-EG"/>
        </w:rPr>
        <w:t xml:space="preserve"> أية ثغرات قائمة بمستوى كاف. ومن المفهوم أن اللجنة التحضيرية س</w:t>
      </w:r>
      <w:r>
        <w:rPr>
          <w:rtl/>
          <w:lang w:bidi="ar-EG"/>
        </w:rPr>
        <w:t>تدعو الوفود المراقبة والمراقبين</w:t>
      </w:r>
      <w:r w:rsidRPr="00CF3BC5">
        <w:rPr>
          <w:rtl/>
          <w:lang w:bidi="ar-EG"/>
        </w:rPr>
        <w:t>: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>وت</w:t>
      </w:r>
      <w:r>
        <w:rPr>
          <w:rtl/>
          <w:lang w:bidi="ar-EG"/>
        </w:rPr>
        <w:t xml:space="preserve">وافق على أن الوثيقتين </w:t>
      </w:r>
      <w:r>
        <w:rPr>
          <w:lang w:bidi="ar-EG"/>
        </w:rPr>
        <w:t>SCT/35/2</w:t>
      </w:r>
      <w:r>
        <w:rPr>
          <w:rtl/>
          <w:lang w:bidi="ar-EG"/>
        </w:rPr>
        <w:t xml:space="preserve"> و</w:t>
      </w:r>
      <w:r>
        <w:rPr>
          <w:lang w:bidi="ar-EG"/>
        </w:rPr>
        <w:t>SCT/35/3</w:t>
      </w:r>
      <w:r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بشأن مشروع المواد ومشروع اللائحة التنفيذية بشأن قانون التصاميم الصناعية وممارساته، ستكونان بمثابة المواد </w:t>
      </w:r>
      <w:r>
        <w:rPr>
          <w:rtl/>
          <w:lang w:bidi="ar-EG"/>
        </w:rPr>
        <w:t xml:space="preserve">الموضوعية للاقتراح الأساسي </w:t>
      </w:r>
      <w:r>
        <w:rPr>
          <w:rFonts w:hint="cs"/>
          <w:rtl/>
          <w:lang w:bidi="ar-EG"/>
        </w:rPr>
        <w:t>لأغراض المؤتمر الدبلوماسي</w:t>
      </w:r>
      <w:r>
        <w:rPr>
          <w:rtl/>
          <w:lang w:bidi="ar-EG"/>
        </w:rPr>
        <w:t xml:space="preserve">. </w:t>
      </w:r>
      <w:r>
        <w:rPr>
          <w:rFonts w:hint="cs"/>
          <w:rtl/>
          <w:lang w:bidi="ar-EG"/>
        </w:rPr>
        <w:t>وس</w:t>
      </w:r>
      <w:r>
        <w:rPr>
          <w:rtl/>
          <w:lang w:bidi="ar-EG"/>
        </w:rPr>
        <w:t xml:space="preserve">تُدرج اللجنة التحضيرية في الاقتراح الأساسي </w:t>
      </w:r>
      <w:r>
        <w:rPr>
          <w:rFonts w:hint="cs"/>
          <w:rtl/>
          <w:lang w:bidi="ar-EG"/>
        </w:rPr>
        <w:t xml:space="preserve">أية </w:t>
      </w:r>
      <w:r>
        <w:rPr>
          <w:rtl/>
          <w:lang w:bidi="ar-EG"/>
        </w:rPr>
        <w:t xml:space="preserve">اتفاقات إضافية </w:t>
      </w:r>
      <w:r>
        <w:rPr>
          <w:rFonts w:hint="cs"/>
          <w:rtl/>
          <w:lang w:bidi="ar-EG"/>
        </w:rPr>
        <w:t>ت</w:t>
      </w:r>
      <w:r>
        <w:rPr>
          <w:rtl/>
          <w:lang w:bidi="ar-EG"/>
        </w:rPr>
        <w:t xml:space="preserve">توصل إليها </w:t>
      </w:r>
      <w:r>
        <w:rPr>
          <w:rFonts w:hint="cs"/>
          <w:rtl/>
          <w:lang w:bidi="ar-EG"/>
        </w:rPr>
        <w:t xml:space="preserve">لجنة العلامات </w:t>
      </w:r>
      <w:r>
        <w:rPr>
          <w:rtl/>
          <w:lang w:bidi="ar-EG"/>
        </w:rPr>
        <w:t>وفقاً للفقرة (</w:t>
      </w:r>
      <w:r>
        <w:rPr>
          <w:rFonts w:hint="cs"/>
          <w:rtl/>
          <w:lang w:bidi="ar-EG"/>
        </w:rPr>
        <w:t>ه</w:t>
      </w:r>
      <w:r>
        <w:rPr>
          <w:rtl/>
          <w:lang w:bidi="ar-EG"/>
        </w:rPr>
        <w:t xml:space="preserve">) أعلاه، على أن يكون </w:t>
      </w:r>
      <w:r>
        <w:rPr>
          <w:rFonts w:hint="cs"/>
          <w:rtl/>
          <w:lang w:bidi="ar-EG"/>
        </w:rPr>
        <w:t xml:space="preserve">من المفهوم </w:t>
      </w:r>
      <w:r>
        <w:rPr>
          <w:rtl/>
          <w:lang w:bidi="ar-EG"/>
        </w:rPr>
        <w:t>أنه يجوز لأي دولة عضو و</w:t>
      </w:r>
      <w:r>
        <w:rPr>
          <w:rFonts w:hint="cs"/>
          <w:rtl/>
          <w:lang w:bidi="ar-EG"/>
        </w:rPr>
        <w:t>ل</w:t>
      </w:r>
      <w:r>
        <w:rPr>
          <w:rtl/>
          <w:lang w:bidi="ar-EG"/>
        </w:rPr>
        <w:t>لوفد الخاص للاتحاد الأوروبي تقديم اقتراحات في المؤتمر الدبلوماسي</w:t>
      </w:r>
      <w:r>
        <w:rPr>
          <w:rFonts w:hint="cs"/>
          <w:rtl/>
          <w:lang w:bidi="ar-EG"/>
        </w:rPr>
        <w:t>.</w:t>
      </w:r>
    </w:p>
    <w:p w:rsidR="003D6938" w:rsidRDefault="003D6938" w:rsidP="003D6938">
      <w:pPr>
        <w:spacing w:after="120"/>
        <w:ind w:left="991" w:hanging="425"/>
        <w:rPr>
          <w:rtl/>
          <w:lang w:bidi="ar-EG"/>
        </w:rPr>
      </w:pPr>
    </w:p>
    <w:p w:rsidR="003D6938" w:rsidRPr="00CF3BC5" w:rsidRDefault="003D6938" w:rsidP="003D6938">
      <w:pPr>
        <w:spacing w:after="120"/>
        <w:ind w:left="5811"/>
        <w:rPr>
          <w:i/>
          <w:iCs/>
          <w:rtl/>
          <w:lang w:bidi="ar-EG"/>
        </w:rPr>
      </w:pPr>
      <w:r w:rsidRPr="00CF3BC5">
        <w:rPr>
          <w:i/>
          <w:iCs/>
          <w:rtl/>
          <w:lang w:bidi="ar-EG"/>
        </w:rPr>
        <w:t xml:space="preserve">إن الجمعية العامة للويبو مدعوة إلى النظر </w:t>
      </w:r>
      <w:r>
        <w:rPr>
          <w:rFonts w:hint="cs"/>
          <w:i/>
          <w:iCs/>
          <w:rtl/>
          <w:lang w:bidi="ar-EG"/>
        </w:rPr>
        <w:t xml:space="preserve">في الموافقة على </w:t>
      </w:r>
      <w:r w:rsidRPr="00CF3BC5">
        <w:rPr>
          <w:i/>
          <w:iCs/>
          <w:rtl/>
          <w:lang w:bidi="ar-EG"/>
        </w:rPr>
        <w:t xml:space="preserve">عقد مؤتمر دبلوماسي لإبرام </w:t>
      </w:r>
      <w:r w:rsidRPr="00CF3BC5">
        <w:rPr>
          <w:b/>
          <w:bCs/>
          <w:i/>
          <w:iCs/>
          <w:rtl/>
          <w:lang w:bidi="ar-EG"/>
        </w:rPr>
        <w:t xml:space="preserve">واعتماد صكوك قانونية دولية </w:t>
      </w:r>
      <w:r w:rsidRPr="00CF3BC5">
        <w:rPr>
          <w:rFonts w:hint="cs"/>
          <w:b/>
          <w:bCs/>
          <w:i/>
          <w:iCs/>
          <w:rtl/>
          <w:lang w:bidi="ar-EG"/>
        </w:rPr>
        <w:t xml:space="preserve">بشأن </w:t>
      </w:r>
      <w:r w:rsidRPr="00CF3BC5">
        <w:rPr>
          <w:b/>
          <w:bCs/>
          <w:i/>
          <w:iCs/>
          <w:rtl/>
          <w:lang w:bidi="ar-EG"/>
        </w:rPr>
        <w:t>الملكية الفكرية والموارد الوراثية والمعارف التقليدية المرتبطة بالموارد الوراثية</w:t>
      </w:r>
      <w:r w:rsidRPr="0000427A">
        <w:rPr>
          <w:rFonts w:hint="cs"/>
          <w:i/>
          <w:iCs/>
          <w:rtl/>
          <w:lang w:bidi="ar-EG"/>
        </w:rPr>
        <w:t>،</w:t>
      </w:r>
      <w:r w:rsidRPr="0000427A">
        <w:rPr>
          <w:i/>
          <w:iCs/>
          <w:rtl/>
          <w:lang w:bidi="ar-EG"/>
        </w:rPr>
        <w:t xml:space="preserve"> </w:t>
      </w:r>
      <w:r w:rsidRPr="00CF3BC5">
        <w:rPr>
          <w:i/>
          <w:iCs/>
          <w:rtl/>
          <w:lang w:bidi="ar-EG"/>
        </w:rPr>
        <w:t>و</w:t>
      </w:r>
      <w:r w:rsidRPr="00CF3BC5">
        <w:rPr>
          <w:b/>
          <w:bCs/>
          <w:i/>
          <w:iCs/>
          <w:rtl/>
          <w:lang w:bidi="ar-EG"/>
        </w:rPr>
        <w:t>معاهدة</w:t>
      </w:r>
      <w:r>
        <w:rPr>
          <w:rFonts w:hint="cs"/>
          <w:b/>
          <w:bCs/>
          <w:i/>
          <w:iCs/>
          <w:rtl/>
          <w:lang w:bidi="ar-EG"/>
        </w:rPr>
        <w:t xml:space="preserve"> بشأن</w:t>
      </w:r>
      <w:r w:rsidRPr="00CF3BC5">
        <w:rPr>
          <w:b/>
          <w:bCs/>
          <w:i/>
          <w:iCs/>
          <w:rtl/>
          <w:lang w:bidi="ar-EG"/>
        </w:rPr>
        <w:t xml:space="preserve"> قانون التص</w:t>
      </w:r>
      <w:r>
        <w:rPr>
          <w:rFonts w:hint="cs"/>
          <w:b/>
          <w:bCs/>
          <w:i/>
          <w:iCs/>
          <w:rtl/>
          <w:lang w:bidi="ar-EG"/>
        </w:rPr>
        <w:t>ا</w:t>
      </w:r>
      <w:r w:rsidRPr="00CF3BC5">
        <w:rPr>
          <w:b/>
          <w:bCs/>
          <w:i/>
          <w:iCs/>
          <w:rtl/>
          <w:lang w:bidi="ar-EG"/>
        </w:rPr>
        <w:t>ميم</w:t>
      </w:r>
      <w:r w:rsidRPr="00CF3BC5">
        <w:rPr>
          <w:i/>
          <w:iCs/>
          <w:rtl/>
          <w:lang w:bidi="ar-EG"/>
        </w:rPr>
        <w:t xml:space="preserve">، في </w:t>
      </w:r>
      <w:r>
        <w:rPr>
          <w:rFonts w:hint="cs"/>
          <w:i/>
          <w:iCs/>
          <w:rtl/>
          <w:lang w:bidi="ar-EG"/>
        </w:rPr>
        <w:t>أجل</w:t>
      </w:r>
      <w:r w:rsidRPr="00CF3BC5">
        <w:rPr>
          <w:i/>
          <w:iCs/>
          <w:rtl/>
          <w:lang w:bidi="ar-EG"/>
        </w:rPr>
        <w:t xml:space="preserve"> </w:t>
      </w:r>
      <w:r>
        <w:rPr>
          <w:rFonts w:hint="cs"/>
          <w:i/>
          <w:iCs/>
          <w:rtl/>
          <w:lang w:bidi="ar-EG"/>
        </w:rPr>
        <w:t xml:space="preserve">ليس قبل </w:t>
      </w:r>
      <w:r w:rsidRPr="004973C6">
        <w:rPr>
          <w:b/>
          <w:bCs/>
          <w:i/>
          <w:iCs/>
          <w:rtl/>
          <w:lang w:bidi="ar-EG"/>
        </w:rPr>
        <w:t>النصف الثاني</w:t>
      </w:r>
      <w:r w:rsidRPr="004973C6">
        <w:rPr>
          <w:rFonts w:hint="cs"/>
          <w:b/>
          <w:bCs/>
          <w:i/>
          <w:iCs/>
          <w:rtl/>
          <w:lang w:bidi="ar-EG"/>
        </w:rPr>
        <w:t xml:space="preserve"> من </w:t>
      </w:r>
      <w:r w:rsidRPr="004973C6">
        <w:rPr>
          <w:b/>
          <w:bCs/>
          <w:i/>
          <w:iCs/>
          <w:rtl/>
          <w:lang w:bidi="ar-EG"/>
        </w:rPr>
        <w:t>عام 2023</w:t>
      </w:r>
      <w:r w:rsidRPr="00CF3BC5">
        <w:rPr>
          <w:i/>
          <w:iCs/>
          <w:rtl/>
          <w:lang w:bidi="ar-EG"/>
        </w:rPr>
        <w:t>.</w:t>
      </w:r>
    </w:p>
    <w:p w:rsidR="009A5ED7" w:rsidRDefault="009A5ED7" w:rsidP="009A5ED7">
      <w:pPr>
        <w:pStyle w:val="BodyText"/>
        <w:rPr>
          <w:rtl/>
        </w:rPr>
      </w:pPr>
    </w:p>
    <w:p w:rsidR="00254E57" w:rsidRDefault="003D6938" w:rsidP="003D6938">
      <w:pPr>
        <w:pStyle w:val="Endofdocument-Annex"/>
        <w:rPr>
          <w:rtl/>
        </w:rPr>
      </w:pPr>
      <w:r>
        <w:rPr>
          <w:rFonts w:hint="cs"/>
          <w:rtl/>
        </w:rPr>
        <w:t>[نهاية المرفق والوثيقة]</w:t>
      </w:r>
    </w:p>
    <w:p w:rsidR="00254E57" w:rsidRPr="009A5ED7" w:rsidRDefault="00254E57" w:rsidP="009A5ED7">
      <w:pPr>
        <w:pStyle w:val="BodyText"/>
      </w:pPr>
    </w:p>
    <w:sectPr w:rsidR="00254E57" w:rsidRPr="009A5ED7" w:rsidSect="003D6938">
      <w:headerReference w:type="default" r:id="rId18"/>
      <w:headerReference w:type="first" r:id="rId19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ACC" w:rsidRDefault="00223ACC">
      <w:r>
        <w:separator/>
      </w:r>
    </w:p>
  </w:endnote>
  <w:endnote w:type="continuationSeparator" w:id="0">
    <w:p w:rsidR="00223ACC" w:rsidRDefault="00223ACC" w:rsidP="003B38C1">
      <w:r>
        <w:separator/>
      </w:r>
    </w:p>
    <w:p w:rsidR="00223ACC" w:rsidRPr="003B38C1" w:rsidRDefault="00223A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3ACC" w:rsidRPr="003B38C1" w:rsidRDefault="00223A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38" w:rsidRDefault="00162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38" w:rsidRDefault="00162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38" w:rsidRDefault="00162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ACC" w:rsidRDefault="00223ACC">
      <w:r>
        <w:separator/>
      </w:r>
    </w:p>
  </w:footnote>
  <w:footnote w:type="continuationSeparator" w:id="0">
    <w:p w:rsidR="00223ACC" w:rsidRDefault="00223ACC" w:rsidP="008B60B2">
      <w:r>
        <w:separator/>
      </w:r>
    </w:p>
    <w:p w:rsidR="00223ACC" w:rsidRPr="00ED77FB" w:rsidRDefault="00223A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3ACC" w:rsidRPr="00ED77FB" w:rsidRDefault="00223A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38" w:rsidRDefault="00162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9A5ED7" w:rsidP="00A71BE6">
    <w:pPr>
      <w:bidi w:val="0"/>
      <w:rPr>
        <w:caps/>
      </w:rPr>
    </w:pPr>
    <w:r w:rsidRPr="009A5ED7">
      <w:rPr>
        <w:caps/>
      </w:rPr>
      <w:t>WO/GA</w:t>
    </w:r>
    <w:r w:rsidR="005E7B89">
      <w:rPr>
        <w:caps/>
      </w:rPr>
      <w:t>/</w:t>
    </w:r>
    <w:r>
      <w:rPr>
        <w:caps/>
      </w:rPr>
      <w:t>5</w:t>
    </w:r>
    <w:r w:rsidR="00A71BE6">
      <w:rPr>
        <w:caps/>
      </w:rPr>
      <w:t>5</w:t>
    </w:r>
    <w:r w:rsidR="00210D5F">
      <w:rPr>
        <w:caps/>
      </w:rPr>
      <w:t>/-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936405">
      <w:rPr>
        <w:noProof/>
      </w:rPr>
      <w:t>1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838" w:rsidRDefault="001628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938" w:rsidRDefault="003D6938" w:rsidP="003D6938">
    <w:pPr>
      <w:bidi w:val="0"/>
      <w:rPr>
        <w:caps/>
      </w:rPr>
    </w:pPr>
    <w:r w:rsidRPr="009A5ED7">
      <w:rPr>
        <w:caps/>
      </w:rPr>
      <w:t>WO/GA</w:t>
    </w:r>
    <w:r>
      <w:rPr>
        <w:caps/>
      </w:rPr>
      <w:t>/55/11</w:t>
    </w:r>
  </w:p>
  <w:p w:rsidR="003D6938" w:rsidRPr="003D6938" w:rsidRDefault="006B4028" w:rsidP="006B4028">
    <w:pPr>
      <w:bidi w:val="0"/>
      <w:rPr>
        <w:caps/>
        <w:lang w:val="fr-CH"/>
      </w:rPr>
    </w:pPr>
    <w:r>
      <w:t>Annex</w:t>
    </w:r>
  </w:p>
  <w:p w:rsidR="003D6938" w:rsidRDefault="003D693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62838">
      <w:rPr>
        <w:noProof/>
      </w:rPr>
      <w:t>2</w:t>
    </w:r>
    <w:r>
      <w:fldChar w:fldCharType="end"/>
    </w:r>
  </w:p>
  <w:p w:rsidR="003D6938" w:rsidRDefault="003D6938" w:rsidP="00210D5F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57" w:rsidRDefault="00254E57" w:rsidP="00254E57">
    <w:pPr>
      <w:bidi w:val="0"/>
      <w:rPr>
        <w:caps/>
      </w:rPr>
    </w:pPr>
    <w:r w:rsidRPr="009A5ED7">
      <w:rPr>
        <w:caps/>
      </w:rPr>
      <w:t>WO/GA</w:t>
    </w:r>
    <w:r>
      <w:rPr>
        <w:caps/>
      </w:rPr>
      <w:t>/55/</w:t>
    </w:r>
    <w:r>
      <w:rPr>
        <w:rFonts w:hint="cs"/>
        <w:caps/>
        <w:rtl/>
      </w:rPr>
      <w:t>11</w:t>
    </w:r>
  </w:p>
  <w:p w:rsidR="003D6938" w:rsidRPr="003D6938" w:rsidRDefault="003D6938" w:rsidP="003D6938">
    <w:pPr>
      <w:bidi w:val="0"/>
      <w:rPr>
        <w:caps/>
        <w:rtl/>
        <w:lang w:bidi="ar-EG"/>
      </w:rPr>
    </w:pPr>
    <w:r>
      <w:rPr>
        <w:caps/>
      </w:rPr>
      <w:t>ANNEX</w:t>
    </w:r>
  </w:p>
  <w:p w:rsidR="00254E57" w:rsidRPr="003D6938" w:rsidRDefault="003D6938" w:rsidP="00254E57">
    <w:pPr>
      <w:bidi w:val="0"/>
      <w:rPr>
        <w:rtl/>
        <w:lang w:bidi="ar-EG"/>
      </w:rPr>
    </w:pPr>
    <w:r>
      <w:rPr>
        <w:rFonts w:hint="cs"/>
        <w:rtl/>
        <w:lang w:bidi="ar-EG"/>
      </w:rPr>
      <w:t>المرفق</w:t>
    </w:r>
  </w:p>
  <w:p w:rsidR="00254E57" w:rsidRDefault="00254E57" w:rsidP="00254E57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CC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2838"/>
    <w:rsid w:val="001647D5"/>
    <w:rsid w:val="001832A6"/>
    <w:rsid w:val="0019592A"/>
    <w:rsid w:val="001D4107"/>
    <w:rsid w:val="00203D24"/>
    <w:rsid w:val="00210D5F"/>
    <w:rsid w:val="0021217E"/>
    <w:rsid w:val="00223ACC"/>
    <w:rsid w:val="002326AB"/>
    <w:rsid w:val="00243430"/>
    <w:rsid w:val="00254E57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34E9"/>
    <w:rsid w:val="003D6938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B4028"/>
    <w:rsid w:val="006B5C12"/>
    <w:rsid w:val="00720EFD"/>
    <w:rsid w:val="007854AF"/>
    <w:rsid w:val="00793A7C"/>
    <w:rsid w:val="007A398A"/>
    <w:rsid w:val="007C4902"/>
    <w:rsid w:val="007D1613"/>
    <w:rsid w:val="007E4C0E"/>
    <w:rsid w:val="007F2029"/>
    <w:rsid w:val="008A134B"/>
    <w:rsid w:val="008B2CC1"/>
    <w:rsid w:val="008B60B2"/>
    <w:rsid w:val="0090731E"/>
    <w:rsid w:val="00916EE2"/>
    <w:rsid w:val="00936405"/>
    <w:rsid w:val="00966A22"/>
    <w:rsid w:val="0096722F"/>
    <w:rsid w:val="00980843"/>
    <w:rsid w:val="009A5ED7"/>
    <w:rsid w:val="009B0855"/>
    <w:rsid w:val="009E2791"/>
    <w:rsid w:val="009E3F6F"/>
    <w:rsid w:val="009F499F"/>
    <w:rsid w:val="00A37342"/>
    <w:rsid w:val="00A42DAF"/>
    <w:rsid w:val="00A45BD8"/>
    <w:rsid w:val="00A71BE6"/>
    <w:rsid w:val="00A869B7"/>
    <w:rsid w:val="00A90F0A"/>
    <w:rsid w:val="00AC205C"/>
    <w:rsid w:val="00AF0A6B"/>
    <w:rsid w:val="00B05A69"/>
    <w:rsid w:val="00B3111E"/>
    <w:rsid w:val="00B42CA9"/>
    <w:rsid w:val="00B51FF7"/>
    <w:rsid w:val="00B75281"/>
    <w:rsid w:val="00B92F1F"/>
    <w:rsid w:val="00B9734B"/>
    <w:rsid w:val="00BA30E2"/>
    <w:rsid w:val="00C11BFE"/>
    <w:rsid w:val="00C5068F"/>
    <w:rsid w:val="00C86D74"/>
    <w:rsid w:val="00CB3DBA"/>
    <w:rsid w:val="00CC3E2D"/>
    <w:rsid w:val="00CD04F1"/>
    <w:rsid w:val="00CE19F8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6591B779-9A13-405F-8F8D-E09165A2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A5A4-AD8E-451E-ACAB-CF1F8A47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847</Words>
  <Characters>4855</Characters>
  <Application>Microsoft Office Word</Application>
  <DocSecurity>0</DocSecurity>
  <Lines>92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  (Arabic)</vt:lpstr>
    </vt:vector>
  </TitlesOfParts>
  <Company>WIPO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WO/GA/55/11  (Arabic)</dc:title>
  <dc:creator>WIPO</dc:creator>
  <cp:keywords>PUBLIC</cp:keywords>
  <cp:lastModifiedBy>HÄFLIGER Patience</cp:lastModifiedBy>
  <cp:revision>6</cp:revision>
  <cp:lastPrinted>2022-07-21T06:36:00Z</cp:lastPrinted>
  <dcterms:created xsi:type="dcterms:W3CDTF">2022-07-21T06:18:00Z</dcterms:created>
  <dcterms:modified xsi:type="dcterms:W3CDTF">2022-07-21T06:41:00Z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