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5290E3A" w14:textId="77777777" w:rsidR="00810A8D" w:rsidRPr="00810A8D" w:rsidRDefault="00810A8D" w:rsidP="00810A8D">
      <w:pPr>
        <w:pBdr>
          <w:bottom w:val="single" w:sz="4" w:space="10" w:color="auto"/>
        </w:pBdr>
        <w:spacing w:after="120"/>
        <w:rPr>
          <w:b/>
          <w:bCs/>
          <w:sz w:val="32"/>
          <w:szCs w:val="32"/>
          <w:lang w:bidi="ar-SA"/>
        </w:rPr>
      </w:pPr>
      <w:r w:rsidRPr="00810A8D">
        <w:rPr>
          <w:b/>
          <w:bCs/>
          <w:noProof/>
          <w:sz w:val="32"/>
          <w:szCs w:val="32"/>
          <w:lang w:eastAsia="en-US" w:bidi="ar-SA"/>
        </w:rPr>
        <mc:AlternateContent>
          <mc:Choice Requires="wpg">
            <w:drawing>
              <wp:inline distT="0" distB="0" distL="0" distR="0" wp14:anchorId="5243E4FB" wp14:editId="11B4490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F56D8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">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3139CCA" w14:textId="73834839" w:rsidR="00810A8D" w:rsidRPr="00810A8D" w:rsidRDefault="00810A8D" w:rsidP="00810A8D">
      <w:pPr>
        <w:rPr>
          <w:rFonts w:ascii="Arial Black" w:hAnsi="Arial Black"/>
          <w:caps/>
          <w:sz w:val="15"/>
          <w:szCs w:val="15"/>
          <w:lang w:bidi="ar-SA"/>
        </w:rPr>
      </w:pPr>
      <w:r w:rsidRPr="00810A8D">
        <w:rPr>
          <w:rFonts w:ascii="Arial Black" w:hAnsi="Arial Black"/>
          <w:caps/>
          <w:sz w:val="15"/>
          <w:szCs w:val="15"/>
          <w:lang w:bidi="ar-SA"/>
        </w:rPr>
        <w:t>WO/GA/54/14</w:t>
      </w:r>
    </w:p>
    <w:p w14:paraId="3272C36E" w14:textId="2456293D" w:rsidR="00810A8D" w:rsidRPr="00810A8D" w:rsidRDefault="00810A8D" w:rsidP="00810A8D">
      <w:pPr>
        <w:bidi/>
        <w:jc w:val="right"/>
        <w:rPr>
          <w:b/>
          <w:bCs/>
          <w:caps/>
          <w:sz w:val="15"/>
          <w:szCs w:val="15"/>
          <w:lang w:bidi="ar-SA"/>
        </w:rPr>
      </w:pPr>
      <w:r w:rsidRPr="00810A8D">
        <w:rPr>
          <w:rFonts w:hint="cs"/>
          <w:b/>
          <w:bCs/>
          <w:caps/>
          <w:sz w:val="15"/>
          <w:szCs w:val="15"/>
          <w:rtl/>
          <w:lang w:bidi="ar-SA"/>
        </w:rPr>
        <w:t>الأصل: بالإنكليزية</w:t>
      </w:r>
    </w:p>
    <w:p w14:paraId="77C028D3" w14:textId="674EB45C" w:rsidR="00810A8D" w:rsidRPr="00810A8D" w:rsidRDefault="00810A8D" w:rsidP="00810A8D">
      <w:pPr>
        <w:bidi/>
        <w:spacing w:after="1200"/>
        <w:jc w:val="right"/>
        <w:rPr>
          <w:b/>
          <w:bCs/>
          <w:caps/>
          <w:sz w:val="15"/>
          <w:szCs w:val="15"/>
          <w:lang w:bidi="ar-SA"/>
        </w:rPr>
      </w:pPr>
      <w:r w:rsidRPr="00810A8D">
        <w:rPr>
          <w:rFonts w:hint="cs"/>
          <w:b/>
          <w:bCs/>
          <w:caps/>
          <w:sz w:val="15"/>
          <w:szCs w:val="15"/>
          <w:rtl/>
          <w:lang w:bidi="ar-SA"/>
        </w:rPr>
        <w:t>التاريخ: 23 أغسطس 2021</w:t>
      </w:r>
    </w:p>
    <w:p w14:paraId="0D6EF88B" w14:textId="77777777" w:rsidR="00810A8D" w:rsidRPr="00D67EAE" w:rsidRDefault="00810A8D" w:rsidP="00810A8D">
      <w:pPr>
        <w:pStyle w:val="Heading1"/>
        <w:bidi/>
      </w:pPr>
      <w:r>
        <w:rPr>
          <w:rFonts w:hint="cs"/>
          <w:rtl/>
        </w:rPr>
        <w:t>الجمعية العامة للويبو</w:t>
      </w:r>
    </w:p>
    <w:p w14:paraId="75419807" w14:textId="77777777" w:rsidR="00810A8D" w:rsidRPr="00D67EAE" w:rsidRDefault="00810A8D" w:rsidP="00810A8D">
      <w:pPr>
        <w:bidi/>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الرابعة والخمسون (الدورة العادية الخامسة والعشرون)</w:t>
      </w:r>
    </w:p>
    <w:p w14:paraId="707232D6" w14:textId="77777777" w:rsidR="00810A8D" w:rsidRPr="00D67EAE" w:rsidRDefault="00810A8D" w:rsidP="00810A8D">
      <w:pPr>
        <w:bidi/>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14:paraId="7D593064" w14:textId="3CAB92EB" w:rsidR="00810A8D" w:rsidRPr="00DA2E16" w:rsidRDefault="00810A8D" w:rsidP="00810A8D">
      <w:pPr>
        <w:bidi/>
        <w:spacing w:after="360"/>
        <w:outlineLvl w:val="0"/>
        <w:rPr>
          <w:rFonts w:asciiTheme="minorHAnsi" w:hAnsiTheme="minorHAnsi" w:cstheme="minorHAnsi"/>
          <w:caps/>
          <w:sz w:val="24"/>
          <w:szCs w:val="24"/>
          <w:lang w:bidi="ar-SA"/>
        </w:rPr>
      </w:pPr>
      <w:r w:rsidRPr="00810A8D">
        <w:rPr>
          <w:rFonts w:hint="cs"/>
          <w:caps/>
          <w:sz w:val="24"/>
          <w:szCs w:val="24"/>
          <w:rtl/>
          <w:lang w:bidi="ar-SA"/>
        </w:rPr>
        <w:t xml:space="preserve">مسائل متعلقة بتاريخ تنفيذ </w:t>
      </w:r>
      <w:r w:rsidRPr="00DA2E16">
        <w:rPr>
          <w:rFonts w:asciiTheme="minorHAnsi" w:hAnsiTheme="minorHAnsi" w:cstheme="minorHAnsi"/>
          <w:caps/>
          <w:sz w:val="24"/>
          <w:szCs w:val="24"/>
          <w:rtl/>
          <w:lang w:bidi="ar-SA"/>
        </w:rPr>
        <w:t xml:space="preserve">معيار الويبو </w:t>
      </w:r>
      <w:r w:rsidRPr="00DA2E16">
        <w:rPr>
          <w:rFonts w:asciiTheme="minorHAnsi" w:hAnsiTheme="minorHAnsi" w:cstheme="minorHAnsi"/>
          <w:caps/>
          <w:sz w:val="24"/>
          <w:szCs w:val="24"/>
          <w:lang w:bidi="ar-SA"/>
        </w:rPr>
        <w:t>ST.26</w:t>
      </w:r>
    </w:p>
    <w:p w14:paraId="61A270F3" w14:textId="23EBACF4" w:rsidR="00810A8D" w:rsidRPr="00810A8D" w:rsidRDefault="00810A8D" w:rsidP="00810A8D">
      <w:pPr>
        <w:bidi/>
        <w:spacing w:after="1040"/>
        <w:rPr>
          <w:i/>
          <w:iCs/>
          <w:szCs w:val="22"/>
          <w:rtl/>
        </w:rPr>
      </w:pPr>
      <w:r w:rsidRPr="00810A8D">
        <w:rPr>
          <w:rFonts w:hint="cs"/>
          <w:i/>
          <w:iCs/>
          <w:szCs w:val="22"/>
          <w:rtl/>
          <w:lang w:bidi="ar-SA"/>
        </w:rPr>
        <w:t>وثيقة من إعدا</w:t>
      </w:r>
      <w:r w:rsidRPr="00084CA6">
        <w:rPr>
          <w:rFonts w:hint="cs"/>
          <w:i/>
          <w:iCs/>
          <w:szCs w:val="22"/>
          <w:rtl/>
          <w:lang w:bidi="ar-SA"/>
        </w:rPr>
        <w:t>د الأمانة</w:t>
      </w:r>
    </w:p>
    <w:p w14:paraId="6CAF2047" w14:textId="77777777" w:rsidR="00595DCF" w:rsidRPr="00810A8D" w:rsidRDefault="00595DCF" w:rsidP="00BB3906">
      <w:pPr>
        <w:pStyle w:val="Heading2"/>
        <w:bidi/>
        <w:spacing w:before="0"/>
        <w:rPr>
          <w:bCs w:val="0"/>
          <w:iCs w:val="0"/>
          <w:szCs w:val="22"/>
          <w:rtl/>
        </w:rPr>
      </w:pPr>
      <w:bookmarkStart w:id="1" w:name="TitleOfDoc"/>
      <w:bookmarkStart w:id="2" w:name="Prepared"/>
      <w:bookmarkEnd w:id="1"/>
      <w:bookmarkEnd w:id="2"/>
      <w:r w:rsidRPr="00810A8D">
        <w:rPr>
          <w:rFonts w:hint="cs"/>
          <w:bCs w:val="0"/>
          <w:iCs w:val="0"/>
          <w:szCs w:val="22"/>
          <w:rtl/>
        </w:rPr>
        <w:t>المقدمة</w:t>
      </w:r>
    </w:p>
    <w:p w14:paraId="039E3EB2" w14:textId="77777777" w:rsidR="00810A8D" w:rsidRDefault="00602E1F" w:rsidP="00BB3906">
      <w:pPr>
        <w:pStyle w:val="ONUME"/>
        <w:tabs>
          <w:tab w:val="clear" w:pos="567"/>
        </w:tabs>
        <w:bidi/>
        <w:rPr>
          <w:szCs w:val="22"/>
        </w:rPr>
      </w:pPr>
      <w:r w:rsidRPr="00810A8D">
        <w:rPr>
          <w:rFonts w:hint="cs"/>
          <w:szCs w:val="22"/>
          <w:rtl/>
        </w:rPr>
        <w:t xml:space="preserve">اعتمدت لجنة المعايير، إبّان دورتها الرابعة المجتمعة مجدداً في مارس 2016، معيار الويبو </w:t>
      </w:r>
      <w:r w:rsidRPr="00810A8D">
        <w:rPr>
          <w:szCs w:val="22"/>
        </w:rPr>
        <w:t>ST.26</w:t>
      </w:r>
      <w:r w:rsidRPr="00810A8D">
        <w:rPr>
          <w:rFonts w:hint="cs"/>
          <w:szCs w:val="22"/>
          <w:rtl/>
        </w:rPr>
        <w:t xml:space="preserve"> "توصية بشأن عرض قوائم تسلسل النوويدات والأحماض الأمينية باستخدام لغة الترميز الموسعة (</w:t>
      </w:r>
      <w:r w:rsidRPr="00810A8D">
        <w:rPr>
          <w:szCs w:val="22"/>
        </w:rPr>
        <w:t>XML</w:t>
      </w:r>
      <w:r w:rsidRPr="00810A8D">
        <w:rPr>
          <w:rFonts w:hint="cs"/>
          <w:szCs w:val="22"/>
          <w:rtl/>
        </w:rPr>
        <w:t>)".</w:t>
      </w:r>
    </w:p>
    <w:p w14:paraId="401488B0" w14:textId="77777777" w:rsidR="00810A8D" w:rsidRDefault="002A7EBC" w:rsidP="00BB3906">
      <w:pPr>
        <w:pStyle w:val="ONUME"/>
        <w:tabs>
          <w:tab w:val="clear" w:pos="567"/>
        </w:tabs>
        <w:bidi/>
        <w:rPr>
          <w:szCs w:val="22"/>
        </w:rPr>
      </w:pPr>
      <w:r w:rsidRPr="00810A8D">
        <w:rPr>
          <w:rFonts w:hint="cs"/>
          <w:szCs w:val="22"/>
          <w:rtl/>
        </w:rPr>
        <w:t xml:space="preserve">وسعياً إلى دعم تنفيذ معيار الويبو </w:t>
      </w:r>
      <w:r w:rsidRPr="00810A8D">
        <w:rPr>
          <w:szCs w:val="22"/>
        </w:rPr>
        <w:t>ST.26</w:t>
      </w:r>
      <w:r w:rsidRPr="00810A8D">
        <w:rPr>
          <w:rFonts w:hint="cs"/>
          <w:szCs w:val="22"/>
          <w:rtl/>
        </w:rPr>
        <w:t xml:space="preserve">، ما انفك المكتب الدولي يعمل بالتعاون مع فرقة العمل المعنية بقوائم التسلسل والتابعة للجنة المعايير على تطوير حزمة أداة </w:t>
      </w:r>
      <w:r w:rsidRPr="00810A8D">
        <w:rPr>
          <w:szCs w:val="22"/>
        </w:rPr>
        <w:t>WIPO Sequence</w:t>
      </w:r>
      <w:r w:rsidRPr="00810A8D">
        <w:rPr>
          <w:rFonts w:hint="cs"/>
          <w:szCs w:val="22"/>
          <w:rtl/>
        </w:rPr>
        <w:t xml:space="preserve"> (أداة الويبو للتسلسل).</w:t>
      </w:r>
      <w:r w:rsidR="00810A8D">
        <w:rPr>
          <w:rFonts w:hint="cs"/>
          <w:szCs w:val="22"/>
          <w:rtl/>
        </w:rPr>
        <w:t xml:space="preserve"> </w:t>
      </w:r>
      <w:r w:rsidRPr="00810A8D">
        <w:rPr>
          <w:rFonts w:hint="cs"/>
          <w:szCs w:val="22"/>
          <w:rtl/>
        </w:rPr>
        <w:t xml:space="preserve">وتشمل الحزمة أداة </w:t>
      </w:r>
      <w:r w:rsidRPr="00810A8D">
        <w:rPr>
          <w:szCs w:val="22"/>
        </w:rPr>
        <w:t>WIPO Sequence</w:t>
      </w:r>
      <w:r w:rsidRPr="00810A8D">
        <w:rPr>
          <w:rFonts w:hint="cs"/>
          <w:szCs w:val="22"/>
          <w:rtl/>
        </w:rPr>
        <w:t xml:space="preserve"> - وهي أداة حاسوب مكتبي تتيح لمودعي البراءات إعداد قوائم تسلسل للأحماض الأمينية والنوويدات تمتثل لمعيار الويبو </w:t>
      </w:r>
      <w:r w:rsidRPr="00810A8D">
        <w:rPr>
          <w:szCs w:val="22"/>
        </w:rPr>
        <w:t>ST.26</w:t>
      </w:r>
      <w:r w:rsidRPr="00810A8D">
        <w:rPr>
          <w:rFonts w:hint="cs"/>
          <w:szCs w:val="22"/>
          <w:rtl/>
        </w:rPr>
        <w:t xml:space="preserve">؛ وأداة </w:t>
      </w:r>
      <w:r w:rsidRPr="00810A8D">
        <w:rPr>
          <w:szCs w:val="22"/>
        </w:rPr>
        <w:t>WIPO Sequence Validator</w:t>
      </w:r>
      <w:r w:rsidRPr="00810A8D">
        <w:rPr>
          <w:rFonts w:hint="cs"/>
          <w:szCs w:val="22"/>
          <w:rtl/>
        </w:rPr>
        <w:t xml:space="preserve"> (مثبت أداة الويبو للتسلسل) - وهي خدمة شبكية تدعم المكاتب في التحقق من امتثال قوائم التسلسل المودعة للمعيار نفسه.</w:t>
      </w:r>
    </w:p>
    <w:p w14:paraId="4CAA39EC" w14:textId="68D7F666" w:rsidR="002A7EBC" w:rsidRPr="00810A8D" w:rsidRDefault="002A7EBC" w:rsidP="00BB3906">
      <w:pPr>
        <w:pStyle w:val="ONUME"/>
        <w:tabs>
          <w:tab w:val="clear" w:pos="567"/>
        </w:tabs>
        <w:bidi/>
        <w:rPr>
          <w:szCs w:val="22"/>
          <w:rtl/>
        </w:rPr>
      </w:pPr>
      <w:r w:rsidRPr="00810A8D">
        <w:rPr>
          <w:rFonts w:hint="cs"/>
          <w:szCs w:val="22"/>
          <w:rtl/>
        </w:rPr>
        <w:t xml:space="preserve">واتفقت الدول الأعضاء، إبّان الدورة الخامسة للجنة المعايير المعقودة في عام 2017، على تنفيذ معيار الويبو </w:t>
      </w:r>
      <w:r w:rsidRPr="00810A8D">
        <w:rPr>
          <w:szCs w:val="22"/>
        </w:rPr>
        <w:t>ST.26</w:t>
      </w:r>
      <w:r w:rsidRPr="00810A8D">
        <w:rPr>
          <w:rFonts w:hint="cs"/>
          <w:szCs w:val="22"/>
          <w:rtl/>
        </w:rPr>
        <w:t xml:space="preserve"> في آن واحد على المستوى الوطني والإقليمي والدولي في 1 يناير 2022 (ويُشار إلى ذلك التاريخ فيما يلي بعبارة "تاريخ القطيعة"، انظر الفقرات 42 إلى 44 من الوثيقة </w:t>
      </w:r>
      <w:r w:rsidRPr="00810A8D">
        <w:rPr>
          <w:szCs w:val="22"/>
        </w:rPr>
        <w:t>CWS/5/22</w:t>
      </w:r>
      <w:r w:rsidRPr="00810A8D">
        <w:rPr>
          <w:rFonts w:hint="cs"/>
          <w:szCs w:val="22"/>
          <w:rtl/>
        </w:rPr>
        <w:t>).</w:t>
      </w:r>
    </w:p>
    <w:p w14:paraId="398CD64E" w14:textId="77777777" w:rsidR="00810A8D" w:rsidRDefault="00763E38" w:rsidP="00BB3906">
      <w:pPr>
        <w:pStyle w:val="ONUME"/>
        <w:tabs>
          <w:tab w:val="clear" w:pos="567"/>
        </w:tabs>
        <w:bidi/>
        <w:rPr>
          <w:szCs w:val="22"/>
          <w:rtl/>
        </w:rPr>
      </w:pPr>
      <w:r w:rsidRPr="00810A8D">
        <w:rPr>
          <w:rFonts w:hint="cs"/>
          <w:szCs w:val="22"/>
          <w:rtl/>
        </w:rPr>
        <w:t xml:space="preserve">ونظراً لقصر الوقت المتاح لتنفيذ التعديلات المدخلة على اللائحة التنفيذية لمعاهدة البراءات من أجل تنفيذ معيار الويبو </w:t>
      </w:r>
      <w:r w:rsidRPr="00810A8D">
        <w:rPr>
          <w:szCs w:val="22"/>
        </w:rPr>
        <w:t>ST.26</w:t>
      </w:r>
      <w:r w:rsidRPr="00810A8D">
        <w:rPr>
          <w:rFonts w:hint="cs"/>
          <w:szCs w:val="22"/>
          <w:rtl/>
        </w:rPr>
        <w:t>، والتي يتوقع اعتمادها إبّان جمعية معاهدة البراءات المقرر عقدها في أكتوبر 2021، أخطرت بعض المكاتب المكتب الدولي بأنها ستواجه صعوبة في استكمال الأعمال التحضيرية اللازمة قبل 1 يناير 2022 إما من حيث الاعتراف بالتعديلات التي أُدخلت على اللائحة التنفيذية لمعاهدة البراءات وإما من حيث تعديل لوائحها الخاصة لتنفيذ العمليات الوطنية استناداً إلى عمليات معاهدة البراءات المنصوص عليها في اللائحة التنفيذية والتعليمات الإدارية.</w:t>
      </w:r>
    </w:p>
    <w:p w14:paraId="09220E5A" w14:textId="6ECC9569" w:rsidR="004D52F7" w:rsidRPr="00810A8D" w:rsidRDefault="00E14F34" w:rsidP="00BB3906">
      <w:pPr>
        <w:pStyle w:val="ONUME"/>
        <w:tabs>
          <w:tab w:val="clear" w:pos="567"/>
        </w:tabs>
        <w:bidi/>
        <w:rPr>
          <w:szCs w:val="22"/>
          <w:rtl/>
        </w:rPr>
      </w:pPr>
      <w:r w:rsidRPr="00810A8D">
        <w:rPr>
          <w:rFonts w:hint="cs"/>
          <w:szCs w:val="22"/>
          <w:rtl/>
        </w:rPr>
        <w:t>وبناءً على ذلك، وافقت فرقة العمل المعنية بقوائم التسلسل على اقتراح تأجيل تاريخ القطيعة إلى 1 يوليو 2022.</w:t>
      </w:r>
      <w:r w:rsidR="00810A8D">
        <w:rPr>
          <w:rFonts w:hint="cs"/>
          <w:szCs w:val="22"/>
          <w:rtl/>
        </w:rPr>
        <w:t xml:space="preserve"> </w:t>
      </w:r>
      <w:r w:rsidRPr="00810A8D">
        <w:rPr>
          <w:rFonts w:hint="cs"/>
          <w:szCs w:val="22"/>
          <w:rtl/>
        </w:rPr>
        <w:t>ومن ثم، يُقترح أن تدخل تعديلات اللائحة التنفيذية لمعاهدة البراءات حيز النفاذ في 1 يوليو 2022 عوضاً عن 1 يناير 2022 كما أُوصي سابقاً، وأن تغير الدول الأعضاء ترتيباتها كي تدخل قوانينها الوطنية ونظمها المعلوماتية حيز التنفيذ اعتباراً من التاريخ نفسه.</w:t>
      </w:r>
    </w:p>
    <w:p w14:paraId="69680AE6" w14:textId="77777777" w:rsidR="00810A8D" w:rsidRDefault="002125B5" w:rsidP="00BB3906">
      <w:pPr>
        <w:pStyle w:val="ONUME"/>
        <w:tabs>
          <w:tab w:val="clear" w:pos="567"/>
        </w:tabs>
        <w:bidi/>
        <w:rPr>
          <w:szCs w:val="22"/>
        </w:rPr>
      </w:pPr>
      <w:r w:rsidRPr="00810A8D">
        <w:rPr>
          <w:rFonts w:hint="cs"/>
          <w:szCs w:val="22"/>
          <w:rtl/>
        </w:rPr>
        <w:lastRenderedPageBreak/>
        <w:t xml:space="preserve">وسعياً إلى جمع التعليقات على اقتراح مكاتب البراءات، أصدر المكتب الدولي </w:t>
      </w:r>
      <w:hyperlink r:id="rId12" w:history="1">
        <w:r w:rsidRPr="00810A8D">
          <w:rPr>
            <w:rStyle w:val="Hyperlink"/>
            <w:rFonts w:hint="cs"/>
            <w:szCs w:val="22"/>
            <w:rtl/>
          </w:rPr>
          <w:t xml:space="preserve">التعميم </w:t>
        </w:r>
        <w:r w:rsidRPr="00810A8D">
          <w:rPr>
            <w:rStyle w:val="Hyperlink"/>
            <w:szCs w:val="22"/>
          </w:rPr>
          <w:t>C. PCT 1626</w:t>
        </w:r>
        <w:r w:rsidRPr="00810A8D">
          <w:rPr>
            <w:rStyle w:val="Hyperlink"/>
            <w:rFonts w:hint="cs"/>
            <w:szCs w:val="22"/>
            <w:rtl/>
          </w:rPr>
          <w:t>‏/</w:t>
        </w:r>
        <w:r w:rsidRPr="00810A8D">
          <w:rPr>
            <w:rStyle w:val="Hyperlink"/>
            <w:szCs w:val="22"/>
          </w:rPr>
          <w:t>C. CWS. 150</w:t>
        </w:r>
      </w:hyperlink>
      <w:r w:rsidRPr="00810A8D">
        <w:rPr>
          <w:rFonts w:hint="cs"/>
          <w:szCs w:val="22"/>
          <w:rtl/>
        </w:rPr>
        <w:t xml:space="preserve"> ودعا فيه المكاتب إلى إبداء تعليقاتها على توصية تأجيل تاريخ القطيعة الخاص بتنفيذ معيار الويبو </w:t>
      </w:r>
      <w:r w:rsidRPr="00810A8D">
        <w:rPr>
          <w:szCs w:val="22"/>
        </w:rPr>
        <w:t>ST.26</w:t>
      </w:r>
      <w:r w:rsidRPr="00810A8D">
        <w:rPr>
          <w:rFonts w:hint="cs"/>
          <w:szCs w:val="22"/>
          <w:rtl/>
        </w:rPr>
        <w:t xml:space="preserve"> على كل المستويات.</w:t>
      </w:r>
    </w:p>
    <w:p w14:paraId="1B19FD05" w14:textId="6B063D3C" w:rsidR="001B2962" w:rsidRPr="00810A8D" w:rsidRDefault="00276FA2" w:rsidP="00BB3906">
      <w:pPr>
        <w:pStyle w:val="Heading2"/>
        <w:bidi/>
        <w:spacing w:before="0"/>
        <w:rPr>
          <w:bCs w:val="0"/>
          <w:iCs w:val="0"/>
          <w:szCs w:val="22"/>
          <w:rtl/>
        </w:rPr>
      </w:pPr>
      <w:r w:rsidRPr="00810A8D">
        <w:rPr>
          <w:rFonts w:hint="cs"/>
          <w:bCs w:val="0"/>
          <w:iCs w:val="0"/>
          <w:szCs w:val="22"/>
          <w:rtl/>
        </w:rPr>
        <w:t>ملخص الردود على التعميم</w:t>
      </w:r>
    </w:p>
    <w:p w14:paraId="4F0C56E6" w14:textId="65244314" w:rsidR="00650216" w:rsidRPr="00810A8D" w:rsidRDefault="00DA6B4B" w:rsidP="00BB3906">
      <w:pPr>
        <w:pStyle w:val="ONUME"/>
        <w:tabs>
          <w:tab w:val="clear" w:pos="567"/>
        </w:tabs>
        <w:bidi/>
        <w:rPr>
          <w:szCs w:val="22"/>
          <w:rtl/>
        </w:rPr>
      </w:pPr>
      <w:r w:rsidRPr="00810A8D">
        <w:rPr>
          <w:rFonts w:hint="cs"/>
          <w:szCs w:val="22"/>
          <w:rtl/>
        </w:rPr>
        <w:t>تلقى المكتب الدولي ردوداً على التعميم المذكور آنفاً من مكاتب الدول الأعضاء والمكاتب الإقليمية التسعة والعشرين التالية:</w:t>
      </w:r>
      <w:r w:rsidR="00810A8D">
        <w:rPr>
          <w:rFonts w:hint="cs"/>
          <w:szCs w:val="22"/>
          <w:rtl/>
        </w:rPr>
        <w:t xml:space="preserve"> </w:t>
      </w:r>
      <w:r w:rsidRPr="00810A8D">
        <w:rPr>
          <w:rFonts w:hint="cs"/>
          <w:szCs w:val="22"/>
          <w:rtl/>
        </w:rPr>
        <w:t>النمسا، والبرازيل، وبلغاريا، وكندا، وشيلي، والصين، وكرواتيا، والدانمرك، وألمانيا، وهنغاريا، وإسرائيل، واليابان، وقيرغيزستان، وليتوانيا، والمكسيك، ونيوزيلندا، والنرويج، وبيرو، والبرتغال، وجمهورية كوريا، والاتحاد الروسي، وسنغافورة، وسلوفاكيا، والسويد، وأوكرانيا، والمملكة المتحدة، والولايات المتحدة الأمريكية، والمكتب الأوروبي الآسيوي للبراءات، والمكتب الأوروبي للبراءات.</w:t>
      </w:r>
    </w:p>
    <w:p w14:paraId="0D410EE1" w14:textId="77777777" w:rsidR="00810A8D" w:rsidRDefault="00836DAA" w:rsidP="00BB3906">
      <w:pPr>
        <w:pStyle w:val="ONUME"/>
        <w:tabs>
          <w:tab w:val="clear" w:pos="567"/>
        </w:tabs>
        <w:bidi/>
        <w:rPr>
          <w:szCs w:val="22"/>
        </w:rPr>
      </w:pPr>
      <w:r w:rsidRPr="00810A8D">
        <w:rPr>
          <w:rFonts w:hint="cs"/>
          <w:szCs w:val="22"/>
          <w:rtl/>
        </w:rPr>
        <w:t xml:space="preserve">وتؤيد جميع الردود توصية تأجيل تاريخ القطيعة الخاص بتنفيذ معيار الويبو </w:t>
      </w:r>
      <w:r w:rsidRPr="00810A8D">
        <w:rPr>
          <w:szCs w:val="22"/>
        </w:rPr>
        <w:t>ST.26</w:t>
      </w:r>
      <w:r w:rsidRPr="00810A8D">
        <w:rPr>
          <w:rFonts w:hint="cs"/>
          <w:szCs w:val="22"/>
          <w:rtl/>
        </w:rPr>
        <w:t xml:space="preserve"> على المستوى الوطني والإقليمي والدولي إلى 1 يوليو 2022.</w:t>
      </w:r>
      <w:r w:rsidR="00810A8D">
        <w:rPr>
          <w:rFonts w:hint="cs"/>
          <w:szCs w:val="22"/>
          <w:rtl/>
        </w:rPr>
        <w:t xml:space="preserve"> </w:t>
      </w:r>
      <w:r w:rsidRPr="00810A8D">
        <w:rPr>
          <w:rFonts w:hint="cs"/>
          <w:szCs w:val="22"/>
          <w:rtl/>
        </w:rPr>
        <w:t xml:space="preserve">وذكرت بعض المكاتب أنها مستعدة لتنفيذ المعيار </w:t>
      </w:r>
      <w:r w:rsidRPr="00810A8D">
        <w:rPr>
          <w:szCs w:val="22"/>
        </w:rPr>
        <w:t>ST.26</w:t>
      </w:r>
      <w:r w:rsidRPr="00810A8D">
        <w:rPr>
          <w:rFonts w:hint="cs"/>
          <w:szCs w:val="22"/>
          <w:rtl/>
        </w:rPr>
        <w:t xml:space="preserve"> في تاريخ التنفيذ الأصلي، ولكنها تؤيد التأجيل لأنها ترى أن الأهم هو الانتقال المنسق والمتزامن من المعيار </w:t>
      </w:r>
      <w:r w:rsidRPr="00810A8D">
        <w:rPr>
          <w:szCs w:val="22"/>
        </w:rPr>
        <w:t>ST.25</w:t>
      </w:r>
      <w:r w:rsidRPr="00810A8D">
        <w:rPr>
          <w:rFonts w:hint="cs"/>
          <w:szCs w:val="22"/>
          <w:rtl/>
        </w:rPr>
        <w:t xml:space="preserve"> إلى المعيار </w:t>
      </w:r>
      <w:r w:rsidRPr="00810A8D">
        <w:rPr>
          <w:szCs w:val="22"/>
        </w:rPr>
        <w:t>ST.26</w:t>
      </w:r>
      <w:r w:rsidRPr="00810A8D">
        <w:rPr>
          <w:rFonts w:hint="cs"/>
          <w:szCs w:val="22"/>
          <w:rtl/>
        </w:rPr>
        <w:t xml:space="preserve"> في التاريخ المتفق عليه</w:t>
      </w:r>
      <w:r w:rsidR="00810A8D">
        <w:rPr>
          <w:rFonts w:hint="cs"/>
          <w:szCs w:val="22"/>
          <w:rtl/>
        </w:rPr>
        <w:t xml:space="preserve"> </w:t>
      </w:r>
      <w:r w:rsidRPr="00810A8D">
        <w:rPr>
          <w:rFonts w:hint="cs"/>
          <w:szCs w:val="22"/>
          <w:rtl/>
        </w:rPr>
        <w:t xml:space="preserve">بغية تفادي خلط المودعين بين متطلبات الإيداع المختلفة بحسب المكاتب، والحد من المعالجة الموازية لملفات المعيار </w:t>
      </w:r>
      <w:r w:rsidRPr="00810A8D">
        <w:rPr>
          <w:szCs w:val="22"/>
        </w:rPr>
        <w:t>ST.25</w:t>
      </w:r>
      <w:r w:rsidRPr="00810A8D">
        <w:rPr>
          <w:rFonts w:hint="cs"/>
          <w:szCs w:val="22"/>
          <w:rtl/>
        </w:rPr>
        <w:t xml:space="preserve"> والمعيار </w:t>
      </w:r>
      <w:r w:rsidRPr="00810A8D">
        <w:rPr>
          <w:szCs w:val="22"/>
        </w:rPr>
        <w:t>ST.26</w:t>
      </w:r>
      <w:r w:rsidRPr="00810A8D">
        <w:rPr>
          <w:rFonts w:hint="cs"/>
          <w:szCs w:val="22"/>
          <w:rtl/>
        </w:rPr>
        <w:t>.</w:t>
      </w:r>
    </w:p>
    <w:p w14:paraId="55D39AA2" w14:textId="57770D2B" w:rsidR="00466BD7" w:rsidRPr="00810A8D" w:rsidRDefault="00B07887" w:rsidP="00BB3906">
      <w:pPr>
        <w:pStyle w:val="ONUME"/>
        <w:tabs>
          <w:tab w:val="clear" w:pos="567"/>
        </w:tabs>
        <w:bidi/>
        <w:rPr>
          <w:szCs w:val="22"/>
          <w:rtl/>
        </w:rPr>
      </w:pPr>
      <w:r w:rsidRPr="00810A8D">
        <w:rPr>
          <w:rFonts w:hint="cs"/>
          <w:szCs w:val="22"/>
          <w:rtl/>
        </w:rPr>
        <w:t xml:space="preserve">وذكرت بعض المكاتب أيضاً أن التأجيل سيتيح الفرصة لجميع المكاتب لمواصلة تقديم تعليقاتها على حزمة أداة </w:t>
      </w:r>
      <w:r w:rsidRPr="00810A8D">
        <w:rPr>
          <w:szCs w:val="22"/>
        </w:rPr>
        <w:t>WIPO Sequence</w:t>
      </w:r>
      <w:r w:rsidRPr="00810A8D">
        <w:rPr>
          <w:rFonts w:hint="cs"/>
          <w:szCs w:val="22"/>
          <w:rtl/>
        </w:rPr>
        <w:t xml:space="preserve"> لضمان توفير جميع الوظائف اللازمة للمودعين والمكاتب، فضلاً عن توفير مهلة إضافية للمكاتب والمستخدمين من أجل التعرف أكثر على الحزمة.</w:t>
      </w:r>
    </w:p>
    <w:p w14:paraId="4071AA53" w14:textId="77777777" w:rsidR="00810A8D" w:rsidRDefault="00BC017D" w:rsidP="00BB3906">
      <w:pPr>
        <w:pStyle w:val="ONUME"/>
        <w:tabs>
          <w:tab w:val="clear" w:pos="567"/>
        </w:tabs>
        <w:bidi/>
        <w:rPr>
          <w:szCs w:val="22"/>
        </w:rPr>
      </w:pPr>
      <w:r w:rsidRPr="00810A8D">
        <w:rPr>
          <w:rFonts w:hint="cs"/>
          <w:szCs w:val="22"/>
          <w:rtl/>
        </w:rPr>
        <w:t>وأشار أحد المكاتب إلى ضرورة أن ينظِّم المكتب الدولي دورة تدريبية "تنشيطية" للأطراف المعنية في تاريخ أقرب إلى تاريخ التنفيذ الجديد.</w:t>
      </w:r>
      <w:r w:rsidR="00810A8D">
        <w:rPr>
          <w:rFonts w:hint="cs"/>
          <w:szCs w:val="22"/>
          <w:rtl/>
        </w:rPr>
        <w:t xml:space="preserve"> </w:t>
      </w:r>
      <w:r w:rsidRPr="00810A8D">
        <w:rPr>
          <w:rFonts w:hint="cs"/>
          <w:szCs w:val="22"/>
          <w:rtl/>
        </w:rPr>
        <w:t>إذ يمكن أن يؤدي تنظيم الدورة مبكراً (بالإنكليزية)، بالإضافة إلى قبول هذا التأخير البالغة مدته ستة أشهر، إلى احتياج بعض المستخدمين إلى المزيد من التدريب.</w:t>
      </w:r>
      <w:r w:rsidR="00810A8D">
        <w:rPr>
          <w:rFonts w:hint="cs"/>
          <w:szCs w:val="22"/>
          <w:rtl/>
        </w:rPr>
        <w:t xml:space="preserve"> </w:t>
      </w:r>
      <w:r w:rsidRPr="00810A8D">
        <w:rPr>
          <w:rFonts w:hint="cs"/>
          <w:szCs w:val="22"/>
          <w:rtl/>
        </w:rPr>
        <w:t>ومع مراعاة هذا الاقتراح والطلبات الواردة من جهات أخرى، يعتزم المكتب الدولي توفير التدريب المطلوب قبل تاريخ التنفيذ المقترح حديثاً.</w:t>
      </w:r>
      <w:r w:rsidR="00810A8D">
        <w:rPr>
          <w:rFonts w:hint="cs"/>
          <w:szCs w:val="22"/>
          <w:rtl/>
        </w:rPr>
        <w:t xml:space="preserve"> </w:t>
      </w:r>
      <w:r w:rsidRPr="00810A8D">
        <w:rPr>
          <w:rFonts w:hint="cs"/>
          <w:szCs w:val="22"/>
          <w:rtl/>
        </w:rPr>
        <w:t xml:space="preserve">وطلب المكتب أيضاً إضافة المزيد من التفاصيل إلى دليل المستخدم ودليل العمليات الخاص بحزمة أداة </w:t>
      </w:r>
      <w:r w:rsidRPr="00810A8D">
        <w:rPr>
          <w:szCs w:val="22"/>
        </w:rPr>
        <w:t>WIPO Sequence</w:t>
      </w:r>
      <w:r w:rsidRPr="00810A8D">
        <w:rPr>
          <w:rFonts w:hint="cs"/>
          <w:szCs w:val="22"/>
          <w:rtl/>
        </w:rPr>
        <w:t>.</w:t>
      </w:r>
      <w:r w:rsidR="00810A8D">
        <w:rPr>
          <w:rFonts w:hint="cs"/>
          <w:szCs w:val="22"/>
          <w:rtl/>
        </w:rPr>
        <w:t xml:space="preserve"> </w:t>
      </w:r>
      <w:r w:rsidRPr="00810A8D">
        <w:rPr>
          <w:rFonts w:hint="cs"/>
          <w:szCs w:val="22"/>
          <w:rtl/>
        </w:rPr>
        <w:t>وينتظر المكتب الدولي الحصول على التعليقات بشأن المعلومات الإضافية التي ينبغي إضافتها إلى الدليلين.</w:t>
      </w:r>
    </w:p>
    <w:p w14:paraId="7C31425B" w14:textId="13E48291" w:rsidR="001B2962" w:rsidRPr="00810A8D" w:rsidRDefault="00BC017D" w:rsidP="00BB3906">
      <w:pPr>
        <w:pStyle w:val="ONUME"/>
        <w:tabs>
          <w:tab w:val="clear" w:pos="567"/>
        </w:tabs>
        <w:bidi/>
        <w:rPr>
          <w:szCs w:val="22"/>
          <w:rtl/>
        </w:rPr>
      </w:pPr>
      <w:r w:rsidRPr="00810A8D">
        <w:rPr>
          <w:rFonts w:hint="cs"/>
          <w:szCs w:val="22"/>
          <w:rtl/>
        </w:rPr>
        <w:t>وطلب مكتب آخر تأكيد عدم إمكانية العودة إلى تاريخ الانتقال الأصلي عقب اتفاق الدول الأعضاء على تاريخ الانتقال المؤجَّل.</w:t>
      </w:r>
      <w:r w:rsidR="00810A8D">
        <w:rPr>
          <w:rFonts w:hint="cs"/>
          <w:szCs w:val="22"/>
          <w:rtl/>
        </w:rPr>
        <w:t xml:space="preserve"> </w:t>
      </w:r>
      <w:r w:rsidRPr="00810A8D">
        <w:rPr>
          <w:rFonts w:hint="cs"/>
          <w:szCs w:val="22"/>
          <w:rtl/>
        </w:rPr>
        <w:t xml:space="preserve">وذكر أن الويبو (والدول الأعضاء) تسلِّم بأنه لا خيار أمامها بوصفها إدارة للبحث الدولي في إطار معاهدة البراءات سوى استخدام الاستمارة المنقحة </w:t>
      </w:r>
      <w:r w:rsidRPr="00810A8D">
        <w:rPr>
          <w:szCs w:val="22"/>
        </w:rPr>
        <w:t>ISA/202</w:t>
      </w:r>
      <w:r w:rsidRPr="00810A8D">
        <w:rPr>
          <w:rFonts w:hint="cs"/>
          <w:szCs w:val="22"/>
          <w:rtl/>
        </w:rPr>
        <w:t>.</w:t>
      </w:r>
      <w:r w:rsidR="00810A8D">
        <w:rPr>
          <w:rFonts w:hint="cs"/>
          <w:szCs w:val="22"/>
          <w:rtl/>
        </w:rPr>
        <w:t xml:space="preserve"> </w:t>
      </w:r>
      <w:r w:rsidRPr="00810A8D">
        <w:rPr>
          <w:rFonts w:hint="cs"/>
          <w:szCs w:val="22"/>
          <w:rtl/>
        </w:rPr>
        <w:t>وستُستخدم تلك الاستمارة اعتباراً من 1 يناير 2022 بغض النظر عن تأجيل تاريخ الانتقال وحتى قبل دخوله حيز النفاذ رسمياً نظراً للقيود المرتبطة بتحديث نظام تكنولوجيا المعلومات والاتصالات.</w:t>
      </w:r>
    </w:p>
    <w:p w14:paraId="08CBA92E" w14:textId="77777777" w:rsidR="00595DCF" w:rsidRPr="00810A8D" w:rsidRDefault="00276FA2" w:rsidP="00BB3906">
      <w:pPr>
        <w:pStyle w:val="Heading2"/>
        <w:bidi/>
        <w:spacing w:before="0"/>
        <w:rPr>
          <w:bCs w:val="0"/>
          <w:iCs w:val="0"/>
          <w:szCs w:val="22"/>
          <w:rtl/>
        </w:rPr>
      </w:pPr>
      <w:r w:rsidRPr="00810A8D">
        <w:rPr>
          <w:rFonts w:hint="cs"/>
          <w:bCs w:val="0"/>
          <w:iCs w:val="0"/>
          <w:szCs w:val="22"/>
          <w:rtl/>
        </w:rPr>
        <w:t>الاقتراح</w:t>
      </w:r>
    </w:p>
    <w:p w14:paraId="0E495D54" w14:textId="77777777" w:rsidR="00810A8D" w:rsidRDefault="00B71E89" w:rsidP="00BB3906">
      <w:pPr>
        <w:pStyle w:val="ONUME"/>
        <w:keepNext/>
        <w:tabs>
          <w:tab w:val="clear" w:pos="567"/>
        </w:tabs>
        <w:bidi/>
        <w:rPr>
          <w:szCs w:val="22"/>
          <w:rtl/>
        </w:rPr>
      </w:pPr>
      <w:r w:rsidRPr="00810A8D">
        <w:rPr>
          <w:rFonts w:hint="cs"/>
          <w:szCs w:val="22"/>
          <w:rtl/>
        </w:rPr>
        <w:t xml:space="preserve">نظراً إلى كل الردود الإيجابية على التعميم المذكور آنفاً، يُقترح تأجيل تاريخ القطيعة الخاص بتنفيذ معيار الويبو </w:t>
      </w:r>
      <w:r w:rsidRPr="00810A8D">
        <w:rPr>
          <w:szCs w:val="22"/>
        </w:rPr>
        <w:t>ST.26</w:t>
      </w:r>
      <w:r w:rsidRPr="00810A8D">
        <w:rPr>
          <w:rFonts w:hint="cs"/>
          <w:szCs w:val="22"/>
          <w:rtl/>
        </w:rPr>
        <w:t xml:space="preserve"> على المستوى الوطني والإقليمي والدولي من 1 يناير 2022 إلى 1 يوليو 2022.</w:t>
      </w:r>
    </w:p>
    <w:p w14:paraId="328C01D6" w14:textId="6209BEDF" w:rsidR="00595DCF" w:rsidRPr="00810A8D" w:rsidRDefault="00595DCF" w:rsidP="00BB3906">
      <w:pPr>
        <w:pStyle w:val="ONUME"/>
        <w:keepLines/>
        <w:tabs>
          <w:tab w:val="clear" w:pos="567"/>
        </w:tabs>
        <w:bidi/>
        <w:ind w:left="5533"/>
        <w:rPr>
          <w:i/>
          <w:iCs/>
          <w:szCs w:val="22"/>
          <w:rtl/>
        </w:rPr>
      </w:pPr>
      <w:r w:rsidRPr="00810A8D">
        <w:rPr>
          <w:rFonts w:hint="cs"/>
          <w:i/>
          <w:iCs/>
          <w:szCs w:val="22"/>
          <w:rtl/>
        </w:rPr>
        <w:t xml:space="preserve">إن الجمعية العامة للويبو مدعوة إلى الإحاطة علماً بمضمون هذه الوثيقة، والنظر في تاريخ القطيعة الجديد الخاص بتنفيذ معيار الويبو </w:t>
      </w:r>
      <w:r w:rsidRPr="00810A8D">
        <w:rPr>
          <w:i/>
          <w:iCs/>
          <w:szCs w:val="22"/>
        </w:rPr>
        <w:t>ST.26</w:t>
      </w:r>
      <w:r w:rsidRPr="00810A8D">
        <w:rPr>
          <w:rFonts w:hint="cs"/>
          <w:i/>
          <w:iCs/>
          <w:szCs w:val="22"/>
          <w:rtl/>
        </w:rPr>
        <w:t xml:space="preserve"> على المستوى الوطني والإقليمي والدولي في 1 يوليو 2022</w:t>
      </w:r>
      <w:r w:rsidR="00682C62">
        <w:rPr>
          <w:rFonts w:hint="cs"/>
          <w:i/>
          <w:iCs/>
          <w:szCs w:val="22"/>
          <w:rtl/>
        </w:rPr>
        <w:t xml:space="preserve"> كما هو </w:t>
      </w:r>
      <w:r w:rsidRPr="00810A8D">
        <w:rPr>
          <w:rFonts w:hint="cs"/>
          <w:i/>
          <w:iCs/>
          <w:szCs w:val="22"/>
          <w:rtl/>
        </w:rPr>
        <w:t xml:space="preserve">مقترح في الفقرة 12 </w:t>
      </w:r>
      <w:r w:rsidR="00407DF3">
        <w:rPr>
          <w:rFonts w:hint="cs"/>
          <w:i/>
          <w:iCs/>
          <w:szCs w:val="22"/>
          <w:rtl/>
        </w:rPr>
        <w:t>السابقة</w:t>
      </w:r>
      <w:r w:rsidRPr="00810A8D">
        <w:rPr>
          <w:rFonts w:hint="cs"/>
          <w:i/>
          <w:iCs/>
          <w:szCs w:val="22"/>
          <w:rtl/>
        </w:rPr>
        <w:t>، والموافقة</w:t>
      </w:r>
      <w:r w:rsidR="00DA2E16">
        <w:rPr>
          <w:rFonts w:hint="eastAsia"/>
          <w:i/>
          <w:iCs/>
          <w:szCs w:val="22"/>
          <w:rtl/>
        </w:rPr>
        <w:t> </w:t>
      </w:r>
      <w:r w:rsidRPr="00810A8D">
        <w:rPr>
          <w:rFonts w:hint="cs"/>
          <w:i/>
          <w:iCs/>
          <w:szCs w:val="22"/>
          <w:rtl/>
        </w:rPr>
        <w:t>عليه.</w:t>
      </w:r>
    </w:p>
    <w:p w14:paraId="452EE160" w14:textId="77A1167E" w:rsidR="000F31A6" w:rsidRPr="00810A8D" w:rsidRDefault="00595DCF" w:rsidP="00BB3906">
      <w:pPr>
        <w:pStyle w:val="Endofdocument-Annex"/>
        <w:bidi/>
        <w:spacing w:before="660" w:after="220"/>
        <w:ind w:left="5533"/>
        <w:rPr>
          <w:szCs w:val="22"/>
          <w:rtl/>
        </w:rPr>
      </w:pPr>
      <w:r w:rsidRPr="00810A8D">
        <w:rPr>
          <w:rFonts w:hint="cs"/>
          <w:szCs w:val="22"/>
          <w:rtl/>
        </w:rPr>
        <w:t>[نهاية الوثيقة]</w:t>
      </w:r>
    </w:p>
    <w:sectPr w:rsidR="000F31A6" w:rsidRPr="00810A8D" w:rsidSect="00810A8D">
      <w:headerReference w:type="even" r:id="rId13"/>
      <w:headerReference w:type="default" r:id="rId14"/>
      <w:footerReference w:type="even" r:id="rId15"/>
      <w:endnotePr>
        <w:numFmt w:val="decimal"/>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87589" w14:textId="77777777" w:rsidR="00566137" w:rsidRDefault="00566137">
      <w:r>
        <w:separator/>
      </w:r>
    </w:p>
  </w:endnote>
  <w:endnote w:type="continuationSeparator" w:id="0">
    <w:p w14:paraId="7A9B71E3" w14:textId="77777777" w:rsidR="00566137" w:rsidRDefault="00566137" w:rsidP="003B38C1">
      <w:r>
        <w:separator/>
      </w:r>
    </w:p>
    <w:p w14:paraId="386D10B2" w14:textId="77777777" w:rsidR="00566137" w:rsidRPr="003B38C1" w:rsidRDefault="00566137" w:rsidP="003B38C1">
      <w:pPr>
        <w:spacing w:after="60"/>
        <w:rPr>
          <w:sz w:val="17"/>
        </w:rPr>
      </w:pPr>
      <w:r>
        <w:rPr>
          <w:sz w:val="17"/>
        </w:rPr>
        <w:t>[Endnote continued from previous page]</w:t>
      </w:r>
    </w:p>
  </w:endnote>
  <w:endnote w:type="continuationNotice" w:id="1">
    <w:p w14:paraId="158A0A4D" w14:textId="77777777" w:rsidR="00566137" w:rsidRPr="003B38C1" w:rsidRDefault="005661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12107" w14:textId="77777777" w:rsidR="004A437F" w:rsidRDefault="008A1618" w:rsidP="004A437F">
    <w:pPr>
      <w:pStyle w:val="Footer"/>
    </w:pPr>
  </w:p>
  <w:p w14:paraId="435CCB68" w14:textId="77777777" w:rsidR="004A437F" w:rsidRDefault="008A1618" w:rsidP="004A4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CF507" w14:textId="77777777" w:rsidR="00566137" w:rsidRDefault="00566137">
      <w:r>
        <w:separator/>
      </w:r>
    </w:p>
  </w:footnote>
  <w:footnote w:type="continuationSeparator" w:id="0">
    <w:p w14:paraId="045795B8" w14:textId="77777777" w:rsidR="00566137" w:rsidRDefault="00566137" w:rsidP="008B60B2">
      <w:r>
        <w:separator/>
      </w:r>
    </w:p>
    <w:p w14:paraId="2F1760CD" w14:textId="77777777" w:rsidR="00566137" w:rsidRPr="00ED77FB" w:rsidRDefault="00566137" w:rsidP="008B60B2">
      <w:pPr>
        <w:spacing w:after="60"/>
        <w:rPr>
          <w:sz w:val="17"/>
          <w:szCs w:val="17"/>
        </w:rPr>
      </w:pPr>
      <w:r w:rsidRPr="00ED77FB">
        <w:rPr>
          <w:sz w:val="17"/>
          <w:szCs w:val="17"/>
        </w:rPr>
        <w:t>[Footnote continued from previous page]</w:t>
      </w:r>
    </w:p>
  </w:footnote>
  <w:footnote w:type="continuationNotice" w:id="1">
    <w:p w14:paraId="4CBC39C5" w14:textId="77777777" w:rsidR="00566137" w:rsidRPr="00ED77FB" w:rsidRDefault="005661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D6D9" w14:textId="77777777" w:rsidR="004A437F" w:rsidRDefault="00B138FC" w:rsidP="004A437F">
    <w:pPr>
      <w:bidi/>
      <w:jc w:val="right"/>
      <w:rPr>
        <w:rtl/>
      </w:rPr>
    </w:pPr>
    <w:r>
      <w:t>CWS/8/22</w:t>
    </w:r>
  </w:p>
  <w:p w14:paraId="1D8D2C2F" w14:textId="77777777" w:rsidR="004A437F" w:rsidRDefault="00B138FC" w:rsidP="00DE5A7B">
    <w:pPr>
      <w:bidi/>
      <w:jc w:val="right"/>
      <w:rPr>
        <w:rtl/>
      </w:rPr>
    </w:pPr>
    <w:r>
      <w:rPr>
        <w:rFonts w:hint="cs"/>
        <w:rtl/>
      </w:rPr>
      <w:t xml:space="preserve">الصفحة </w:t>
    </w: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4BE4C963" w14:textId="77777777" w:rsidR="004A437F" w:rsidRDefault="008A1618" w:rsidP="00DE5A7B">
    <w:pPr>
      <w:jc w:val="right"/>
    </w:pPr>
  </w:p>
  <w:p w14:paraId="230EAB4A" w14:textId="77777777" w:rsidR="004A437F" w:rsidRDefault="008A1618">
    <w:pPr>
      <w:jc w:val="right"/>
    </w:pPr>
  </w:p>
  <w:p w14:paraId="04CE04F0" w14:textId="77777777" w:rsidR="004A437F" w:rsidRDefault="008A1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7B97" w14:textId="72B0B742" w:rsidR="00810A8D" w:rsidRPr="002326AB" w:rsidRDefault="00810A8D" w:rsidP="00810A8D">
    <w:pPr>
      <w:rPr>
        <w:caps/>
      </w:rPr>
    </w:pPr>
    <w:r w:rsidRPr="009A5ED7">
      <w:rPr>
        <w:caps/>
      </w:rPr>
      <w:t>WO/GA</w:t>
    </w:r>
    <w:r>
      <w:rPr>
        <w:caps/>
      </w:rPr>
      <w:t>/54/14</w:t>
    </w:r>
  </w:p>
  <w:p w14:paraId="2CC73D41" w14:textId="17880E1A" w:rsidR="00810A8D" w:rsidRDefault="00810A8D" w:rsidP="00810A8D">
    <w:r>
      <w:fldChar w:fldCharType="begin"/>
    </w:r>
    <w:r>
      <w:instrText xml:space="preserve"> PAGE  \* MERGEFORMAT </w:instrText>
    </w:r>
    <w:r>
      <w:fldChar w:fldCharType="separate"/>
    </w:r>
    <w:r w:rsidR="008A1618">
      <w:rPr>
        <w:noProof/>
      </w:rPr>
      <w:t>2</w:t>
    </w:r>
    <w:r>
      <w:fldChar w:fldCharType="end"/>
    </w:r>
  </w:p>
  <w:p w14:paraId="7285A194" w14:textId="77777777" w:rsidR="00810A8D" w:rsidRDefault="00810A8D" w:rsidP="00810A8D"/>
  <w:p w14:paraId="0B94A919" w14:textId="77777777" w:rsidR="00810A8D" w:rsidRDefault="00810A8D" w:rsidP="00810A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2.5pt" o:bullet="t">
        <v:imagedata r:id="rId1" o:title="artBD1D"/>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0F16EA"/>
    <w:multiLevelType w:val="hybridMultilevel"/>
    <w:tmpl w:val="8B083C6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611703"/>
    <w:multiLevelType w:val="hybridMultilevel"/>
    <w:tmpl w:val="0BE25FF0"/>
    <w:lvl w:ilvl="0" w:tplc="FCDC1358">
      <w:start w:val="1"/>
      <w:numFmt w:val="bullet"/>
      <w:lvlText w:val=""/>
      <w:lvlPicBulletId w:val="0"/>
      <w:lvlJc w:val="left"/>
      <w:pPr>
        <w:tabs>
          <w:tab w:val="num" w:pos="720"/>
        </w:tabs>
        <w:ind w:left="720" w:hanging="360"/>
      </w:pPr>
      <w:rPr>
        <w:rFonts w:ascii="Symbol" w:hAnsi="Symbol" w:hint="default"/>
      </w:rPr>
    </w:lvl>
    <w:lvl w:ilvl="1" w:tplc="867CB3FE">
      <w:start w:val="1"/>
      <w:numFmt w:val="bullet"/>
      <w:lvlText w:val=""/>
      <w:lvlPicBulletId w:val="0"/>
      <w:lvlJc w:val="left"/>
      <w:pPr>
        <w:tabs>
          <w:tab w:val="num" w:pos="1440"/>
        </w:tabs>
        <w:ind w:left="1440" w:hanging="360"/>
      </w:pPr>
      <w:rPr>
        <w:rFonts w:ascii="Symbol" w:hAnsi="Symbol" w:hint="default"/>
      </w:rPr>
    </w:lvl>
    <w:lvl w:ilvl="2" w:tplc="A964F51A" w:tentative="1">
      <w:start w:val="1"/>
      <w:numFmt w:val="bullet"/>
      <w:lvlText w:val=""/>
      <w:lvlPicBulletId w:val="0"/>
      <w:lvlJc w:val="left"/>
      <w:pPr>
        <w:tabs>
          <w:tab w:val="num" w:pos="2160"/>
        </w:tabs>
        <w:ind w:left="2160" w:hanging="360"/>
      </w:pPr>
      <w:rPr>
        <w:rFonts w:ascii="Symbol" w:hAnsi="Symbol" w:hint="default"/>
      </w:rPr>
    </w:lvl>
    <w:lvl w:ilvl="3" w:tplc="A17826AA" w:tentative="1">
      <w:start w:val="1"/>
      <w:numFmt w:val="bullet"/>
      <w:lvlText w:val=""/>
      <w:lvlPicBulletId w:val="0"/>
      <w:lvlJc w:val="left"/>
      <w:pPr>
        <w:tabs>
          <w:tab w:val="num" w:pos="2880"/>
        </w:tabs>
        <w:ind w:left="2880" w:hanging="360"/>
      </w:pPr>
      <w:rPr>
        <w:rFonts w:ascii="Symbol" w:hAnsi="Symbol" w:hint="default"/>
      </w:rPr>
    </w:lvl>
    <w:lvl w:ilvl="4" w:tplc="AA5AE62A" w:tentative="1">
      <w:start w:val="1"/>
      <w:numFmt w:val="bullet"/>
      <w:lvlText w:val=""/>
      <w:lvlPicBulletId w:val="0"/>
      <w:lvlJc w:val="left"/>
      <w:pPr>
        <w:tabs>
          <w:tab w:val="num" w:pos="3600"/>
        </w:tabs>
        <w:ind w:left="3600" w:hanging="360"/>
      </w:pPr>
      <w:rPr>
        <w:rFonts w:ascii="Symbol" w:hAnsi="Symbol" w:hint="default"/>
      </w:rPr>
    </w:lvl>
    <w:lvl w:ilvl="5" w:tplc="7A50E808" w:tentative="1">
      <w:start w:val="1"/>
      <w:numFmt w:val="bullet"/>
      <w:lvlText w:val=""/>
      <w:lvlPicBulletId w:val="0"/>
      <w:lvlJc w:val="left"/>
      <w:pPr>
        <w:tabs>
          <w:tab w:val="num" w:pos="4320"/>
        </w:tabs>
        <w:ind w:left="4320" w:hanging="360"/>
      </w:pPr>
      <w:rPr>
        <w:rFonts w:ascii="Symbol" w:hAnsi="Symbol" w:hint="default"/>
      </w:rPr>
    </w:lvl>
    <w:lvl w:ilvl="6" w:tplc="0858820A" w:tentative="1">
      <w:start w:val="1"/>
      <w:numFmt w:val="bullet"/>
      <w:lvlText w:val=""/>
      <w:lvlPicBulletId w:val="0"/>
      <w:lvlJc w:val="left"/>
      <w:pPr>
        <w:tabs>
          <w:tab w:val="num" w:pos="5040"/>
        </w:tabs>
        <w:ind w:left="5040" w:hanging="360"/>
      </w:pPr>
      <w:rPr>
        <w:rFonts w:ascii="Symbol" w:hAnsi="Symbol" w:hint="default"/>
      </w:rPr>
    </w:lvl>
    <w:lvl w:ilvl="7" w:tplc="22F6782E" w:tentative="1">
      <w:start w:val="1"/>
      <w:numFmt w:val="bullet"/>
      <w:lvlText w:val=""/>
      <w:lvlPicBulletId w:val="0"/>
      <w:lvlJc w:val="left"/>
      <w:pPr>
        <w:tabs>
          <w:tab w:val="num" w:pos="5760"/>
        </w:tabs>
        <w:ind w:left="5760" w:hanging="360"/>
      </w:pPr>
      <w:rPr>
        <w:rFonts w:ascii="Symbol" w:hAnsi="Symbol" w:hint="default"/>
      </w:rPr>
    </w:lvl>
    <w:lvl w:ilvl="8" w:tplc="E456331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D7453"/>
    <w:multiLevelType w:val="multilevel"/>
    <w:tmpl w:val="ABF6923E"/>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40B17C40"/>
    <w:multiLevelType w:val="hybridMultilevel"/>
    <w:tmpl w:val="4E9C0C98"/>
    <w:lvl w:ilvl="0" w:tplc="719275B6">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A358DD"/>
    <w:multiLevelType w:val="hybridMultilevel"/>
    <w:tmpl w:val="4160753A"/>
    <w:lvl w:ilvl="0" w:tplc="51603708">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47571063"/>
    <w:multiLevelType w:val="multilevel"/>
    <w:tmpl w:val="AE684E9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9264D"/>
    <w:multiLevelType w:val="multilevel"/>
    <w:tmpl w:val="2F0652E8"/>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5"/>
  </w:num>
  <w:num w:numId="5">
    <w:abstractNumId w:val="2"/>
  </w:num>
  <w:num w:numId="6">
    <w:abstractNumId w:val="6"/>
  </w:num>
  <w:num w:numId="7">
    <w:abstractNumId w:val="1"/>
  </w:num>
  <w:num w:numId="8">
    <w:abstractNumId w:val="3"/>
  </w:num>
  <w:num w:numId="9">
    <w:abstractNumId w:val="13"/>
  </w:num>
  <w:num w:numId="10">
    <w:abstractNumId w:val="2"/>
  </w:num>
  <w:num w:numId="11">
    <w:abstractNumId w:val="17"/>
  </w:num>
  <w:num w:numId="12">
    <w:abstractNumId w:val="7"/>
  </w:num>
  <w:num w:numId="13">
    <w:abstractNumId w:val="5"/>
  </w:num>
  <w:num w:numId="14">
    <w:abstractNumId w:val="16"/>
  </w:num>
  <w:num w:numId="15">
    <w:abstractNumId w:val="10"/>
  </w:num>
  <w:num w:numId="16">
    <w:abstractNumId w:val="9"/>
  </w:num>
  <w:num w:numId="17">
    <w:abstractNumId w:val="8"/>
  </w:num>
  <w:num w:numId="1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0"/>
  <w:activeWritingStyle w:appName="MSWord" w:lang="en-GB" w:vendorID="64" w:dllVersion="6" w:nlCheck="1" w:checkStyle="0"/>
  <w:activeWritingStyle w:appName="MSWord" w:lang="ar-EG" w:vendorID="64" w:dllVersion="0" w:nlCheck="1" w:checkStyle="0"/>
  <w:activeWritingStyle w:appName="MSWord" w:lang="en-US" w:vendorID="64" w:dllVersion="0" w:nlCheck="1" w:checkStyle="0"/>
  <w:activeWritingStyle w:appName="MSWord" w:lang="ar-SA" w:vendorID="64" w:dllVersion="0"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F"/>
    <w:rsid w:val="000206C8"/>
    <w:rsid w:val="00036FFD"/>
    <w:rsid w:val="00043CAA"/>
    <w:rsid w:val="00054698"/>
    <w:rsid w:val="00074B8A"/>
    <w:rsid w:val="00075432"/>
    <w:rsid w:val="0007595F"/>
    <w:rsid w:val="000765C4"/>
    <w:rsid w:val="00084CA6"/>
    <w:rsid w:val="000873F7"/>
    <w:rsid w:val="000968ED"/>
    <w:rsid w:val="000C117A"/>
    <w:rsid w:val="000E6FDE"/>
    <w:rsid w:val="000F31A6"/>
    <w:rsid w:val="000F5E56"/>
    <w:rsid w:val="00100020"/>
    <w:rsid w:val="0010331B"/>
    <w:rsid w:val="001103A0"/>
    <w:rsid w:val="00130EA5"/>
    <w:rsid w:val="001362EE"/>
    <w:rsid w:val="00155A1A"/>
    <w:rsid w:val="00156693"/>
    <w:rsid w:val="001647D5"/>
    <w:rsid w:val="001670C9"/>
    <w:rsid w:val="001832A6"/>
    <w:rsid w:val="00193DD0"/>
    <w:rsid w:val="001968D9"/>
    <w:rsid w:val="001B2962"/>
    <w:rsid w:val="001C3A53"/>
    <w:rsid w:val="001E1E0B"/>
    <w:rsid w:val="001E4E00"/>
    <w:rsid w:val="00203BA1"/>
    <w:rsid w:val="002051FE"/>
    <w:rsid w:val="002101B8"/>
    <w:rsid w:val="0021217E"/>
    <w:rsid w:val="002125B5"/>
    <w:rsid w:val="00214A27"/>
    <w:rsid w:val="00231BB0"/>
    <w:rsid w:val="00256318"/>
    <w:rsid w:val="002634C4"/>
    <w:rsid w:val="00270CA1"/>
    <w:rsid w:val="00276FA2"/>
    <w:rsid w:val="00282ECF"/>
    <w:rsid w:val="002928D3"/>
    <w:rsid w:val="002A3B46"/>
    <w:rsid w:val="002A7EBC"/>
    <w:rsid w:val="002E3F4B"/>
    <w:rsid w:val="002F1FE6"/>
    <w:rsid w:val="002F4E68"/>
    <w:rsid w:val="00300A87"/>
    <w:rsid w:val="00312F7F"/>
    <w:rsid w:val="003162BF"/>
    <w:rsid w:val="003178BA"/>
    <w:rsid w:val="0034707D"/>
    <w:rsid w:val="00350AE2"/>
    <w:rsid w:val="00361450"/>
    <w:rsid w:val="003666DE"/>
    <w:rsid w:val="003673CF"/>
    <w:rsid w:val="003845C1"/>
    <w:rsid w:val="00386706"/>
    <w:rsid w:val="00387B39"/>
    <w:rsid w:val="003A5EFD"/>
    <w:rsid w:val="003A63CD"/>
    <w:rsid w:val="003A6F89"/>
    <w:rsid w:val="003B38C1"/>
    <w:rsid w:val="003C377F"/>
    <w:rsid w:val="003D2030"/>
    <w:rsid w:val="003D57B0"/>
    <w:rsid w:val="003D64F1"/>
    <w:rsid w:val="003F6114"/>
    <w:rsid w:val="00407DF3"/>
    <w:rsid w:val="00412556"/>
    <w:rsid w:val="00423E3E"/>
    <w:rsid w:val="00427AF4"/>
    <w:rsid w:val="00445CE7"/>
    <w:rsid w:val="00455CCA"/>
    <w:rsid w:val="004647DA"/>
    <w:rsid w:val="00466BD7"/>
    <w:rsid w:val="00474062"/>
    <w:rsid w:val="00477D6B"/>
    <w:rsid w:val="004923BE"/>
    <w:rsid w:val="004B19E1"/>
    <w:rsid w:val="004B35F9"/>
    <w:rsid w:val="004B7BE8"/>
    <w:rsid w:val="004C46E1"/>
    <w:rsid w:val="004D061E"/>
    <w:rsid w:val="004D52F7"/>
    <w:rsid w:val="004F01A3"/>
    <w:rsid w:val="004F55A5"/>
    <w:rsid w:val="005019FF"/>
    <w:rsid w:val="00522E69"/>
    <w:rsid w:val="00523A4D"/>
    <w:rsid w:val="00527EB2"/>
    <w:rsid w:val="0053057A"/>
    <w:rsid w:val="00537C1F"/>
    <w:rsid w:val="00554072"/>
    <w:rsid w:val="00560A29"/>
    <w:rsid w:val="00566137"/>
    <w:rsid w:val="00595DCF"/>
    <w:rsid w:val="005C29E3"/>
    <w:rsid w:val="005C6649"/>
    <w:rsid w:val="005E3125"/>
    <w:rsid w:val="005F2EC3"/>
    <w:rsid w:val="00602E1F"/>
    <w:rsid w:val="00605827"/>
    <w:rsid w:val="00612CD9"/>
    <w:rsid w:val="0062306D"/>
    <w:rsid w:val="00637D83"/>
    <w:rsid w:val="00646050"/>
    <w:rsid w:val="00650216"/>
    <w:rsid w:val="006713CA"/>
    <w:rsid w:val="00676C5C"/>
    <w:rsid w:val="00677F48"/>
    <w:rsid w:val="00681EB9"/>
    <w:rsid w:val="0068201D"/>
    <w:rsid w:val="00682C62"/>
    <w:rsid w:val="00692CAB"/>
    <w:rsid w:val="00692EE0"/>
    <w:rsid w:val="006936FB"/>
    <w:rsid w:val="006A00F1"/>
    <w:rsid w:val="006B748F"/>
    <w:rsid w:val="006D173A"/>
    <w:rsid w:val="006D6194"/>
    <w:rsid w:val="006D6B32"/>
    <w:rsid w:val="006E4F5F"/>
    <w:rsid w:val="006F5C3F"/>
    <w:rsid w:val="00711AE2"/>
    <w:rsid w:val="00715E85"/>
    <w:rsid w:val="00716427"/>
    <w:rsid w:val="007270AE"/>
    <w:rsid w:val="007507A1"/>
    <w:rsid w:val="00763E38"/>
    <w:rsid w:val="007726C9"/>
    <w:rsid w:val="00781721"/>
    <w:rsid w:val="00781C69"/>
    <w:rsid w:val="007C7409"/>
    <w:rsid w:val="007D1613"/>
    <w:rsid w:val="007E445E"/>
    <w:rsid w:val="007E4C0E"/>
    <w:rsid w:val="007F52E5"/>
    <w:rsid w:val="00810A8D"/>
    <w:rsid w:val="00830996"/>
    <w:rsid w:val="00836DAA"/>
    <w:rsid w:val="00842A1B"/>
    <w:rsid w:val="00860454"/>
    <w:rsid w:val="00860537"/>
    <w:rsid w:val="00875AEE"/>
    <w:rsid w:val="00876638"/>
    <w:rsid w:val="00877718"/>
    <w:rsid w:val="008979B7"/>
    <w:rsid w:val="008A134B"/>
    <w:rsid w:val="008A1618"/>
    <w:rsid w:val="008B2CC1"/>
    <w:rsid w:val="008B60B2"/>
    <w:rsid w:val="00905AED"/>
    <w:rsid w:val="009061DF"/>
    <w:rsid w:val="0090731E"/>
    <w:rsid w:val="00916EE2"/>
    <w:rsid w:val="00924086"/>
    <w:rsid w:val="00944097"/>
    <w:rsid w:val="00952CCB"/>
    <w:rsid w:val="00965BF1"/>
    <w:rsid w:val="00966A22"/>
    <w:rsid w:val="0096722F"/>
    <w:rsid w:val="00980843"/>
    <w:rsid w:val="009877BC"/>
    <w:rsid w:val="00987D8C"/>
    <w:rsid w:val="00992551"/>
    <w:rsid w:val="00994E1F"/>
    <w:rsid w:val="0099545B"/>
    <w:rsid w:val="009B6777"/>
    <w:rsid w:val="009C07B2"/>
    <w:rsid w:val="009C127D"/>
    <w:rsid w:val="009E2791"/>
    <w:rsid w:val="009E3F6F"/>
    <w:rsid w:val="009F3221"/>
    <w:rsid w:val="009F499F"/>
    <w:rsid w:val="009F7DB0"/>
    <w:rsid w:val="00A000C5"/>
    <w:rsid w:val="00A05DF3"/>
    <w:rsid w:val="00A2745F"/>
    <w:rsid w:val="00A36407"/>
    <w:rsid w:val="00A37342"/>
    <w:rsid w:val="00A41419"/>
    <w:rsid w:val="00A42DAF"/>
    <w:rsid w:val="00A45BD8"/>
    <w:rsid w:val="00A508CC"/>
    <w:rsid w:val="00A55CA4"/>
    <w:rsid w:val="00A802ED"/>
    <w:rsid w:val="00A869B7"/>
    <w:rsid w:val="00AA0EA9"/>
    <w:rsid w:val="00AA2DD4"/>
    <w:rsid w:val="00AA57E6"/>
    <w:rsid w:val="00AC19B7"/>
    <w:rsid w:val="00AC205C"/>
    <w:rsid w:val="00AE251F"/>
    <w:rsid w:val="00AE4360"/>
    <w:rsid w:val="00AF0A6B"/>
    <w:rsid w:val="00B0044B"/>
    <w:rsid w:val="00B05A69"/>
    <w:rsid w:val="00B07887"/>
    <w:rsid w:val="00B138FC"/>
    <w:rsid w:val="00B1750B"/>
    <w:rsid w:val="00B414C9"/>
    <w:rsid w:val="00B54C98"/>
    <w:rsid w:val="00B61109"/>
    <w:rsid w:val="00B63C0B"/>
    <w:rsid w:val="00B66BE8"/>
    <w:rsid w:val="00B71A4E"/>
    <w:rsid w:val="00B71E89"/>
    <w:rsid w:val="00B73B3B"/>
    <w:rsid w:val="00B9734B"/>
    <w:rsid w:val="00BA0A0A"/>
    <w:rsid w:val="00BA30E2"/>
    <w:rsid w:val="00BA40E5"/>
    <w:rsid w:val="00BB3906"/>
    <w:rsid w:val="00BC017D"/>
    <w:rsid w:val="00BC323D"/>
    <w:rsid w:val="00BD4D1C"/>
    <w:rsid w:val="00BD7085"/>
    <w:rsid w:val="00BF6B53"/>
    <w:rsid w:val="00C11BFE"/>
    <w:rsid w:val="00C145C7"/>
    <w:rsid w:val="00C2443A"/>
    <w:rsid w:val="00C32AC9"/>
    <w:rsid w:val="00C361C9"/>
    <w:rsid w:val="00C5068F"/>
    <w:rsid w:val="00C51D25"/>
    <w:rsid w:val="00C526FB"/>
    <w:rsid w:val="00C63872"/>
    <w:rsid w:val="00C765FA"/>
    <w:rsid w:val="00C86D74"/>
    <w:rsid w:val="00C96DCF"/>
    <w:rsid w:val="00CA4B89"/>
    <w:rsid w:val="00CB2D9D"/>
    <w:rsid w:val="00CD04F1"/>
    <w:rsid w:val="00CD7F59"/>
    <w:rsid w:val="00CF3127"/>
    <w:rsid w:val="00D13862"/>
    <w:rsid w:val="00D23139"/>
    <w:rsid w:val="00D24BED"/>
    <w:rsid w:val="00D25A3B"/>
    <w:rsid w:val="00D34CD4"/>
    <w:rsid w:val="00D44A0B"/>
    <w:rsid w:val="00D45252"/>
    <w:rsid w:val="00D55AAE"/>
    <w:rsid w:val="00D66E37"/>
    <w:rsid w:val="00D67C0D"/>
    <w:rsid w:val="00D71B4D"/>
    <w:rsid w:val="00D810CD"/>
    <w:rsid w:val="00D93D55"/>
    <w:rsid w:val="00DA2E16"/>
    <w:rsid w:val="00DA6B4B"/>
    <w:rsid w:val="00DB1D38"/>
    <w:rsid w:val="00DC0E7C"/>
    <w:rsid w:val="00DD3E55"/>
    <w:rsid w:val="00DE137D"/>
    <w:rsid w:val="00DF023A"/>
    <w:rsid w:val="00DF383E"/>
    <w:rsid w:val="00E00A66"/>
    <w:rsid w:val="00E06F1F"/>
    <w:rsid w:val="00E13F3B"/>
    <w:rsid w:val="00E14F34"/>
    <w:rsid w:val="00E15015"/>
    <w:rsid w:val="00E20E2F"/>
    <w:rsid w:val="00E25010"/>
    <w:rsid w:val="00E335FE"/>
    <w:rsid w:val="00E46CE2"/>
    <w:rsid w:val="00E5566B"/>
    <w:rsid w:val="00E729A3"/>
    <w:rsid w:val="00E85557"/>
    <w:rsid w:val="00E95270"/>
    <w:rsid w:val="00EA7D6E"/>
    <w:rsid w:val="00EB2210"/>
    <w:rsid w:val="00EC3DCD"/>
    <w:rsid w:val="00EC4325"/>
    <w:rsid w:val="00EC446E"/>
    <w:rsid w:val="00EC4E49"/>
    <w:rsid w:val="00ED03BE"/>
    <w:rsid w:val="00ED77FB"/>
    <w:rsid w:val="00EE45FA"/>
    <w:rsid w:val="00EE6BB6"/>
    <w:rsid w:val="00EF6055"/>
    <w:rsid w:val="00F02DAD"/>
    <w:rsid w:val="00F33538"/>
    <w:rsid w:val="00F55ED7"/>
    <w:rsid w:val="00F561E6"/>
    <w:rsid w:val="00F646BF"/>
    <w:rsid w:val="00F66152"/>
    <w:rsid w:val="00F66F3E"/>
    <w:rsid w:val="00F670BD"/>
    <w:rsid w:val="00F77475"/>
    <w:rsid w:val="00F9212D"/>
    <w:rsid w:val="00F967F0"/>
    <w:rsid w:val="00FA41DE"/>
    <w:rsid w:val="00FD53CC"/>
    <w:rsid w:val="00FD62A7"/>
    <w:rsid w:val="00FE324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929A2"/>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B19E1"/>
    <w:pPr>
      <w:keepNext/>
      <w:spacing w:before="240" w:after="220"/>
      <w:outlineLvl w:val="1"/>
    </w:pPr>
    <w:rPr>
      <w:bCs/>
      <w:iCs/>
      <w:caps/>
      <w:szCs w:val="28"/>
    </w:rPr>
  </w:style>
  <w:style w:type="paragraph" w:styleId="Heading3">
    <w:name w:val="heading 3"/>
    <w:basedOn w:val="Normal"/>
    <w:next w:val="Normal"/>
    <w:autoRedefine/>
    <w:qFormat/>
    <w:rsid w:val="00B1750B"/>
    <w:pPr>
      <w:keepNext/>
      <w:spacing w:before="240" w:after="220"/>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sz w:val="16"/>
      <w:szCs w:val="16"/>
    </w:rPr>
  </w:style>
  <w:style w:type="character" w:customStyle="1" w:styleId="BalloonTextChar">
    <w:name w:val="Balloon Text Char"/>
    <w:basedOn w:val="DefaultParagraphFont"/>
    <w:link w:val="BalloonText"/>
    <w:rsid w:val="00DF023A"/>
    <w:rPr>
      <w:rFonts w:ascii="Tahoma" w:eastAsia="SimSun" w:hAnsi="Tahoma" w:cs="Calibri"/>
      <w:sz w:val="16"/>
      <w:szCs w:val="16"/>
      <w:lang w:val="en-US" w:eastAsia="zh-CN"/>
    </w:rPr>
  </w:style>
  <w:style w:type="paragraph" w:styleId="NoSpacing">
    <w:name w:val="No Spacing"/>
    <w:uiPriority w:val="1"/>
    <w:qFormat/>
    <w:rsid w:val="009C127D"/>
    <w:rPr>
      <w:rFonts w:ascii="Arial" w:eastAsia="SimSun" w:hAnsi="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Calibri"/>
      <w:sz w:val="22"/>
      <w:lang w:val="en-US"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Calibri"/>
      <w:sz w:val="22"/>
      <w:lang w:val="en-US" w:eastAsia="zh-CN"/>
    </w:rPr>
  </w:style>
  <w:style w:type="character" w:customStyle="1" w:styleId="FootnoteTextChar">
    <w:name w:val="Footnote Text Char"/>
    <w:basedOn w:val="DefaultParagraphFont"/>
    <w:link w:val="FootnoteText"/>
    <w:semiHidden/>
    <w:rsid w:val="00595DCF"/>
    <w:rPr>
      <w:rFonts w:ascii="Arial" w:eastAsia="SimSun" w:hAnsi="Arial" w:cs="Calibri"/>
      <w:sz w:val="18"/>
      <w:lang w:val="en-US" w:eastAsia="zh-CN"/>
    </w:rPr>
  </w:style>
  <w:style w:type="character" w:customStyle="1" w:styleId="HeaderChar">
    <w:name w:val="Header Char"/>
    <w:basedOn w:val="DefaultParagraphFont"/>
    <w:link w:val="Header"/>
    <w:uiPriority w:val="99"/>
    <w:rsid w:val="00595DCF"/>
    <w:rPr>
      <w:rFonts w:ascii="Arial" w:eastAsia="SimSun" w:hAnsi="Arial" w:cs="Calibri"/>
      <w:sz w:val="22"/>
      <w:lang w:val="en-US" w:eastAsia="zh-CN"/>
    </w:rPr>
  </w:style>
  <w:style w:type="character" w:styleId="FootnoteReference">
    <w:name w:val="footnote reference"/>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D34CD4"/>
    <w:rPr>
      <w:sz w:val="16"/>
      <w:szCs w:val="16"/>
    </w:rPr>
  </w:style>
  <w:style w:type="paragraph" w:styleId="CommentSubject">
    <w:name w:val="annotation subject"/>
    <w:basedOn w:val="CommentText"/>
    <w:next w:val="CommentText"/>
    <w:link w:val="CommentSubjectChar"/>
    <w:semiHidden/>
    <w:unhideWhenUsed/>
    <w:rsid w:val="00D34CD4"/>
    <w:rPr>
      <w:b/>
      <w:bCs/>
      <w:sz w:val="20"/>
    </w:rPr>
  </w:style>
  <w:style w:type="character" w:customStyle="1" w:styleId="CommentTextChar">
    <w:name w:val="Comment Text Char"/>
    <w:basedOn w:val="DefaultParagraphFont"/>
    <w:link w:val="CommentText"/>
    <w:semiHidden/>
    <w:rsid w:val="00D34CD4"/>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D34CD4"/>
    <w:rPr>
      <w:rFonts w:ascii="Arial" w:eastAsia="SimSun" w:hAnsi="Arial" w:cs="Calibri"/>
      <w:b/>
      <w:bCs/>
      <w:sz w:val="18"/>
      <w:lang w:val="en-US" w:eastAsia="zh-CN"/>
    </w:rPr>
  </w:style>
  <w:style w:type="paragraph" w:customStyle="1" w:styleId="DecPara">
    <w:name w:val="Dec Para"/>
    <w:basedOn w:val="Normal"/>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ListParagraph">
    <w:name w:val="List Paragraph"/>
    <w:basedOn w:val="Normal"/>
    <w:uiPriority w:val="34"/>
    <w:qFormat/>
    <w:rsid w:val="0068201D"/>
    <w:pPr>
      <w:ind w:left="720"/>
      <w:contextualSpacing/>
    </w:pPr>
  </w:style>
  <w:style w:type="character" w:customStyle="1" w:styleId="FooterChar">
    <w:name w:val="Footer Char"/>
    <w:basedOn w:val="DefaultParagraphFont"/>
    <w:link w:val="Footer"/>
    <w:uiPriority w:val="99"/>
    <w:rsid w:val="00716427"/>
    <w:rPr>
      <w:rFonts w:ascii="Arial" w:eastAsia="SimSun" w:hAnsi="Arial" w:cs="Calibri"/>
      <w:sz w:val="22"/>
      <w:lang w:val="en-US" w:eastAsia="zh-CN"/>
    </w:rPr>
  </w:style>
  <w:style w:type="character" w:styleId="FollowedHyperlink">
    <w:name w:val="FollowedHyperlink"/>
    <w:basedOn w:val="DefaultParagraphFont"/>
    <w:semiHidden/>
    <w:unhideWhenUsed/>
    <w:rsid w:val="00836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12942942">
      <w:bodyDiv w:val="1"/>
      <w:marLeft w:val="0"/>
      <w:marRight w:val="0"/>
      <w:marTop w:val="0"/>
      <w:marBottom w:val="0"/>
      <w:divBdr>
        <w:top w:val="none" w:sz="0" w:space="0" w:color="auto"/>
        <w:left w:val="none" w:sz="0" w:space="0" w:color="auto"/>
        <w:bottom w:val="none" w:sz="0" w:space="0" w:color="auto"/>
        <w:right w:val="none" w:sz="0" w:space="0" w:color="auto"/>
      </w:divBdr>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614483532">
      <w:bodyDiv w:val="1"/>
      <w:marLeft w:val="0"/>
      <w:marRight w:val="0"/>
      <w:marTop w:val="0"/>
      <w:marBottom w:val="0"/>
      <w:divBdr>
        <w:top w:val="none" w:sz="0" w:space="0" w:color="auto"/>
        <w:left w:val="none" w:sz="0" w:space="0" w:color="auto"/>
        <w:bottom w:val="none" w:sz="0" w:space="0" w:color="auto"/>
        <w:right w:val="none" w:sz="0" w:space="0" w:color="auto"/>
      </w:divBdr>
    </w:div>
    <w:div w:id="175072919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cws/en/circulars/files/cws_15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2D9D-D268-46D9-8909-0E3BF648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785</Words>
  <Characters>4293</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WO/GA/54/14 (Arabic)</vt:lpstr>
    </vt:vector>
  </TitlesOfParts>
  <Company>WIPO</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WO/GA/54/14 (Arabic)</dc:title>
  <dc:subject>Matters Concerning the Implementation date of WIPO Standard ST.26</dc:subject>
  <dc:creator>WIPO</dc:creator>
  <cp:keywords>PUBLIC</cp:keywords>
  <dc:description/>
  <cp:lastModifiedBy>HÄFLIGER Patience</cp:lastModifiedBy>
  <cp:revision>20</cp:revision>
  <cp:lastPrinted>2021-08-27T14:24:00Z</cp:lastPrinted>
  <dcterms:created xsi:type="dcterms:W3CDTF">2021-08-23T14:32:00Z</dcterms:created>
  <dcterms:modified xsi:type="dcterms:W3CDTF">2021-08-30T08:47:00Z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972280d7-1796-413c-a003-c27ed2581a1f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