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EECDA3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2B73F0">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54</w:t>
      </w:r>
      <w:r w:rsidR="00D90B96">
        <w:rPr>
          <w:rFonts w:ascii="Arial Black" w:hAnsi="Arial Black"/>
          <w:caps/>
          <w:sz w:val="15"/>
          <w:szCs w:val="15"/>
        </w:rPr>
        <w:t>/</w:t>
      </w:r>
      <w:bookmarkStart w:id="1" w:name="Code"/>
      <w:bookmarkEnd w:id="1"/>
      <w:r w:rsidR="000C311C">
        <w:rPr>
          <w:rFonts w:ascii="Arial Black" w:hAnsi="Arial Black"/>
          <w:caps/>
          <w:sz w:val="15"/>
          <w:szCs w:val="15"/>
        </w:rPr>
        <w:t>11</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2B73F0">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B73F0">
        <w:rPr>
          <w:rFonts w:asciiTheme="minorHAnsi" w:hAnsiTheme="minorHAnsi" w:cstheme="minorHAnsi" w:hint="cs"/>
          <w:b/>
          <w:bCs/>
          <w:caps/>
          <w:sz w:val="15"/>
          <w:szCs w:val="15"/>
          <w:rtl/>
        </w:rPr>
        <w:t>2 يوليو 2021</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9A5ED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الرابعة والخمسون (الدورة العادية الخامسة والعشرون)</w:t>
      </w:r>
    </w:p>
    <w:p w:rsidR="008B2CC1" w:rsidRPr="00D67EAE" w:rsidRDefault="00D67EAE" w:rsidP="009A5ED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9A5ED7">
        <w:rPr>
          <w:rFonts w:asciiTheme="minorHAnsi" w:hAnsiTheme="minorHAnsi" w:cstheme="minorHAnsi" w:hint="cs"/>
          <w:bCs/>
          <w:sz w:val="24"/>
          <w:szCs w:val="24"/>
          <w:rtl/>
        </w:rPr>
        <w:t>4</w:t>
      </w:r>
      <w:r w:rsidRPr="00D67EAE">
        <w:rPr>
          <w:rFonts w:asciiTheme="minorHAnsi" w:hAnsiTheme="minorHAnsi" w:cstheme="minorHAnsi" w:hint="cs"/>
          <w:bCs/>
          <w:sz w:val="24"/>
          <w:szCs w:val="24"/>
          <w:rtl/>
        </w:rPr>
        <w:t xml:space="preserve"> إلى </w:t>
      </w:r>
      <w:r w:rsidR="009A5ED7">
        <w:rPr>
          <w:rFonts w:asciiTheme="minorHAnsi" w:hAnsiTheme="minorHAnsi" w:cstheme="minorHAnsi" w:hint="cs"/>
          <w:bCs/>
          <w:sz w:val="24"/>
          <w:szCs w:val="24"/>
          <w:rtl/>
        </w:rPr>
        <w:t>8</w:t>
      </w:r>
      <w:r w:rsidRPr="00D67EAE">
        <w:rPr>
          <w:rFonts w:asciiTheme="minorHAnsi" w:hAnsiTheme="minorHAnsi" w:cstheme="minorHAnsi" w:hint="cs"/>
          <w:bCs/>
          <w:sz w:val="24"/>
          <w:szCs w:val="24"/>
          <w:rtl/>
        </w:rPr>
        <w:t xml:space="preserve"> </w:t>
      </w:r>
      <w:r w:rsidR="009A5ED7">
        <w:rPr>
          <w:rFonts w:asciiTheme="minorHAnsi" w:hAnsiTheme="minorHAnsi" w:cstheme="minorHAnsi" w:hint="cs"/>
          <w:bCs/>
          <w:sz w:val="24"/>
          <w:szCs w:val="24"/>
          <w:rtl/>
        </w:rPr>
        <w:t>أكتوبر</w:t>
      </w:r>
      <w:r w:rsidRPr="00D67EAE">
        <w:rPr>
          <w:rFonts w:asciiTheme="minorHAnsi" w:hAnsiTheme="minorHAnsi" w:cstheme="minorHAnsi" w:hint="cs"/>
          <w:bCs/>
          <w:sz w:val="24"/>
          <w:szCs w:val="24"/>
          <w:rtl/>
        </w:rPr>
        <w:t xml:space="preserve"> 2021</w:t>
      </w:r>
    </w:p>
    <w:p w:rsidR="008B2CC1" w:rsidRPr="00D67EAE" w:rsidRDefault="00484B0E" w:rsidP="008854AB">
      <w:pPr>
        <w:spacing w:after="360"/>
        <w:outlineLvl w:val="0"/>
        <w:rPr>
          <w:rFonts w:asciiTheme="minorHAnsi" w:hAnsiTheme="minorHAnsi" w:cstheme="minorHAnsi"/>
          <w:caps/>
          <w:sz w:val="24"/>
          <w:rtl/>
          <w:lang w:bidi="ar-SY"/>
        </w:rPr>
      </w:pPr>
      <w:bookmarkStart w:id="4" w:name="TitleOfDoc"/>
      <w:r>
        <w:rPr>
          <w:rFonts w:asciiTheme="minorHAnsi" w:hAnsiTheme="minorHAnsi" w:cstheme="minorHAnsi" w:hint="cs"/>
          <w:caps/>
          <w:sz w:val="28"/>
          <w:szCs w:val="24"/>
          <w:rtl/>
        </w:rPr>
        <w:t xml:space="preserve">تقرير عن اللجنة المعنية </w:t>
      </w:r>
      <w:r w:rsidR="008854AB">
        <w:rPr>
          <w:rFonts w:asciiTheme="minorHAnsi" w:hAnsiTheme="minorHAnsi" w:cstheme="minorHAnsi" w:hint="cs"/>
          <w:caps/>
          <w:sz w:val="28"/>
          <w:szCs w:val="24"/>
          <w:rtl/>
          <w:lang w:bidi="ar-SY"/>
        </w:rPr>
        <w:t>بمعايير الويبو</w:t>
      </w:r>
    </w:p>
    <w:p w:rsidR="002928D3" w:rsidRDefault="008854AB" w:rsidP="001D4107">
      <w:pPr>
        <w:spacing w:after="1040"/>
        <w:rPr>
          <w:rFonts w:asciiTheme="minorHAnsi" w:hAnsiTheme="minorHAnsi" w:cstheme="minorHAnsi"/>
          <w:iCs/>
          <w:rtl/>
        </w:rPr>
      </w:pPr>
      <w:bookmarkStart w:id="5" w:name="Prepared"/>
      <w:bookmarkEnd w:id="4"/>
      <w:bookmarkEnd w:id="5"/>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484B0E">
        <w:rPr>
          <w:rFonts w:asciiTheme="minorHAnsi" w:hAnsiTheme="minorHAnsi" w:cstheme="minorHAnsi" w:hint="cs"/>
          <w:iCs/>
          <w:rtl/>
        </w:rPr>
        <w:t xml:space="preserve"> الأمانة</w:t>
      </w:r>
    </w:p>
    <w:p w:rsidR="008854AB" w:rsidRPr="006144EE" w:rsidRDefault="002A70CF" w:rsidP="008854AB">
      <w:pPr>
        <w:pStyle w:val="Heading1"/>
        <w:rPr>
          <w:sz w:val="24"/>
          <w:szCs w:val="24"/>
          <w:rtl/>
        </w:rPr>
      </w:pPr>
      <w:r>
        <w:rPr>
          <w:rFonts w:hint="cs"/>
          <w:sz w:val="24"/>
          <w:szCs w:val="24"/>
          <w:rtl/>
        </w:rPr>
        <w:t>ال</w:t>
      </w:r>
      <w:r w:rsidR="008854AB" w:rsidRPr="006144EE">
        <w:rPr>
          <w:rFonts w:hint="cs"/>
          <w:sz w:val="24"/>
          <w:szCs w:val="24"/>
          <w:rtl/>
        </w:rPr>
        <w:t>مقدمة</w:t>
      </w:r>
    </w:p>
    <w:p w:rsidR="009B0855" w:rsidRDefault="00A06641" w:rsidP="008854AB">
      <w:pPr>
        <w:pStyle w:val="ONUMA"/>
        <w:rPr>
          <w:lang w:bidi="ar-EG"/>
        </w:rPr>
      </w:pPr>
      <w:r w:rsidRPr="00A06641">
        <w:rPr>
          <w:rtl/>
        </w:rPr>
        <w:t>خلال الفترة قيد النظر</w:t>
      </w:r>
      <w:r>
        <w:rPr>
          <w:rFonts w:hint="cs"/>
          <w:rtl/>
        </w:rPr>
        <w:t xml:space="preserve">، </w:t>
      </w:r>
      <w:r w:rsidRPr="00A06641">
        <w:rPr>
          <w:rtl/>
        </w:rPr>
        <w:t xml:space="preserve">عقدت اللجنة المعنية </w:t>
      </w:r>
      <w:r w:rsidR="008854AB">
        <w:rPr>
          <w:rFonts w:hint="cs"/>
          <w:rtl/>
        </w:rPr>
        <w:t>بمعايير الويبو</w:t>
      </w:r>
      <w:r>
        <w:rPr>
          <w:rFonts w:hint="cs"/>
          <w:rtl/>
        </w:rPr>
        <w:t xml:space="preserve"> (لجنة </w:t>
      </w:r>
      <w:r w:rsidR="008854AB">
        <w:rPr>
          <w:rFonts w:hint="cs"/>
          <w:rtl/>
        </w:rPr>
        <w:t>المعايير</w:t>
      </w:r>
      <w:r>
        <w:rPr>
          <w:rFonts w:hint="cs"/>
          <w:rtl/>
        </w:rPr>
        <w:t xml:space="preserve">) </w:t>
      </w:r>
      <w:r w:rsidR="008854AB">
        <w:rPr>
          <w:rFonts w:hint="cs"/>
          <w:rtl/>
        </w:rPr>
        <w:t>دورت</w:t>
      </w:r>
      <w:r w:rsidR="00695DBB">
        <w:rPr>
          <w:rFonts w:hint="cs"/>
          <w:rtl/>
        </w:rPr>
        <w:t>ها</w:t>
      </w:r>
      <w:r w:rsidRPr="00A06641">
        <w:rPr>
          <w:rFonts w:hint="cs"/>
          <w:rtl/>
        </w:rPr>
        <w:t xml:space="preserve"> </w:t>
      </w:r>
      <w:r w:rsidR="008854AB">
        <w:rPr>
          <w:rFonts w:hint="cs"/>
          <w:rtl/>
        </w:rPr>
        <w:t>الثامنة</w:t>
      </w:r>
      <w:r>
        <w:rPr>
          <w:rFonts w:hint="cs"/>
          <w:rtl/>
        </w:rPr>
        <w:t xml:space="preserve"> </w:t>
      </w:r>
      <w:r w:rsidR="008854AB">
        <w:rPr>
          <w:rFonts w:hint="cs"/>
          <w:rtl/>
        </w:rPr>
        <w:t xml:space="preserve">في الفترة </w:t>
      </w:r>
      <w:r w:rsidRPr="00A06641">
        <w:rPr>
          <w:rFonts w:hint="cs"/>
          <w:rtl/>
        </w:rPr>
        <w:t xml:space="preserve">من </w:t>
      </w:r>
      <w:r w:rsidR="008854AB">
        <w:rPr>
          <w:rFonts w:hint="cs"/>
          <w:rtl/>
        </w:rPr>
        <w:t>30 نوفمبر</w:t>
      </w:r>
      <w:r w:rsidRPr="00A06641">
        <w:rPr>
          <w:rFonts w:hint="cs"/>
          <w:rtl/>
        </w:rPr>
        <w:t xml:space="preserve"> إلى </w:t>
      </w:r>
      <w:r w:rsidR="008854AB">
        <w:rPr>
          <w:rFonts w:hint="cs"/>
          <w:rtl/>
        </w:rPr>
        <w:t>4</w:t>
      </w:r>
      <w:r w:rsidRPr="00A06641">
        <w:rPr>
          <w:rFonts w:hint="cs"/>
          <w:rtl/>
        </w:rPr>
        <w:t xml:space="preserve"> </w:t>
      </w:r>
      <w:r w:rsidR="008854AB">
        <w:rPr>
          <w:rFonts w:hint="cs"/>
          <w:rtl/>
        </w:rPr>
        <w:t>ديسمبر</w:t>
      </w:r>
      <w:r w:rsidRPr="00A06641">
        <w:rPr>
          <w:rFonts w:hint="cs"/>
          <w:rtl/>
        </w:rPr>
        <w:t xml:space="preserve"> </w:t>
      </w:r>
      <w:r w:rsidR="008854AB">
        <w:rPr>
          <w:rFonts w:hint="cs"/>
          <w:rtl/>
        </w:rPr>
        <w:t>2020، والتي تولى</w:t>
      </w:r>
      <w:r>
        <w:rPr>
          <w:rFonts w:hint="cs"/>
          <w:rtl/>
        </w:rPr>
        <w:t xml:space="preserve"> </w:t>
      </w:r>
      <w:r w:rsidRPr="00A06641">
        <w:rPr>
          <w:rtl/>
        </w:rPr>
        <w:t xml:space="preserve">السيد </w:t>
      </w:r>
      <w:r w:rsidR="008854AB">
        <w:rPr>
          <w:rFonts w:hint="cs"/>
          <w:rtl/>
        </w:rPr>
        <w:t>جان-شارل داوست (كندا) رئاستها.</w:t>
      </w:r>
    </w:p>
    <w:p w:rsidR="008854AB" w:rsidRDefault="008854AB" w:rsidP="0086498B">
      <w:pPr>
        <w:pStyle w:val="ONUMA"/>
      </w:pPr>
      <w:r>
        <w:rPr>
          <w:rFonts w:hint="cs"/>
          <w:rtl/>
        </w:rPr>
        <w:t xml:space="preserve">وواصلت </w:t>
      </w:r>
      <w:r w:rsidR="0086498B">
        <w:rPr>
          <w:rFonts w:hint="cs"/>
          <w:rtl/>
        </w:rPr>
        <w:t>الوفود خلال الدورة</w:t>
      </w:r>
      <w:r>
        <w:rPr>
          <w:rFonts w:hint="cs"/>
          <w:rtl/>
        </w:rPr>
        <w:t xml:space="preserve"> تبادل الآراء حول </w:t>
      </w:r>
      <w:r w:rsidR="0086498B">
        <w:rPr>
          <w:rFonts w:hint="cs"/>
          <w:rtl/>
        </w:rPr>
        <w:t>وضع معايير الويبو، وتنفيذ</w:t>
      </w:r>
      <w:r>
        <w:rPr>
          <w:rFonts w:hint="cs"/>
          <w:rtl/>
        </w:rPr>
        <w:t xml:space="preserve"> مجتمع الملكية الفكرية للمعايير، </w:t>
      </w:r>
      <w:r w:rsidR="0086498B">
        <w:rPr>
          <w:rFonts w:hint="cs"/>
          <w:rtl/>
        </w:rPr>
        <w:t>وكذلك بشأن</w:t>
      </w:r>
      <w:r>
        <w:rPr>
          <w:rFonts w:hint="cs"/>
          <w:rtl/>
        </w:rPr>
        <w:t xml:space="preserve"> المسائل الأخرى ذات الصلة بالملكية الفكرية. ونظرت لجنة المعايير  في إمكانية استخدام التكنولوجيات الناشئة، مثل</w:t>
      </w:r>
      <w:r w:rsidR="0086498B">
        <w:rPr>
          <w:rFonts w:hint="cs"/>
          <w:rtl/>
        </w:rPr>
        <w:t xml:space="preserve"> سلاسل الكتل، في إطار عملها ومشاريعها.</w:t>
      </w:r>
      <w:r>
        <w:rPr>
          <w:rFonts w:hint="cs"/>
          <w:rtl/>
        </w:rPr>
        <w:t xml:space="preserve"> </w:t>
      </w:r>
    </w:p>
    <w:p w:rsidR="0086498B" w:rsidRDefault="0086498B" w:rsidP="0086498B">
      <w:pPr>
        <w:pStyle w:val="ONUMA"/>
        <w:rPr>
          <w:rtl/>
        </w:rPr>
        <w:sectPr w:rsidR="0086498B"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rPr>
        <w:t>ويتاح على موقع الويبو الشبكي، التقرير المعتمد خلال الدورة الثامنة</w:t>
      </w:r>
      <w:r>
        <w:rPr>
          <w:rStyle w:val="FootnoteReference"/>
          <w:rtl/>
        </w:rPr>
        <w:footnoteReference w:id="2"/>
      </w:r>
      <w:r>
        <w:rPr>
          <w:rFonts w:hint="cs"/>
          <w:rtl/>
        </w:rPr>
        <w:t xml:space="preserve">. </w:t>
      </w:r>
    </w:p>
    <w:p w:rsidR="00695DBB" w:rsidRPr="00E41128" w:rsidRDefault="0086498B" w:rsidP="006144EE">
      <w:pPr>
        <w:pStyle w:val="Heading2"/>
        <w:spacing w:after="240"/>
        <w:rPr>
          <w:b/>
          <w:bCs w:val="0"/>
          <w:i/>
          <w:iCs w:val="0"/>
          <w:sz w:val="24"/>
          <w:szCs w:val="24"/>
          <w:rtl/>
          <w:lang w:bidi="ar-SY"/>
        </w:rPr>
      </w:pPr>
      <w:r w:rsidRPr="00E41128">
        <w:rPr>
          <w:rFonts w:hint="cs"/>
          <w:b/>
          <w:bCs w:val="0"/>
          <w:i/>
          <w:iCs w:val="0"/>
          <w:sz w:val="24"/>
          <w:szCs w:val="24"/>
          <w:rtl/>
          <w:lang w:bidi="ar-SY"/>
        </w:rPr>
        <w:lastRenderedPageBreak/>
        <w:t>وضع معايير الويبو</w:t>
      </w:r>
    </w:p>
    <w:p w:rsidR="009A5ED7" w:rsidRDefault="0086498B" w:rsidP="00164664">
      <w:pPr>
        <w:pStyle w:val="ONUMA"/>
      </w:pPr>
      <w:r>
        <w:rPr>
          <w:rFonts w:hint="cs"/>
          <w:rtl/>
        </w:rPr>
        <w:t>نظرت لجنة المعايير في في المقترحات الواردة لوضع معايير جديدة أو تنقيح معايير قائمة لتلبية الطلبات الجديدة لمكاتب الملكية الفكرية وأصحاب المصلحة الآخرين ومستخدمي الملكية الفكرية.</w:t>
      </w:r>
      <w:r w:rsidR="002760FD">
        <w:rPr>
          <w:rFonts w:hint="cs"/>
          <w:rtl/>
        </w:rPr>
        <w:t xml:space="preserve"> ورغم القيود المفروضة على العمل في نسق هجين، اعتمدت اللجنة، خلال دورتها الثامنة، أربعة معايير جديدة للويبو لتبرز متطلبات العصر الرقمي، ووافقت على تنقيح ثلاثة معايير قائمة.</w:t>
      </w:r>
    </w:p>
    <w:p w:rsidR="002760FD" w:rsidRPr="00E41128" w:rsidRDefault="002760FD" w:rsidP="006144EE">
      <w:pPr>
        <w:pStyle w:val="Heading3"/>
        <w:spacing w:after="240"/>
        <w:rPr>
          <w:b/>
          <w:bCs w:val="0"/>
          <w:sz w:val="24"/>
          <w:szCs w:val="24"/>
        </w:rPr>
      </w:pPr>
      <w:r w:rsidRPr="00E41128">
        <w:rPr>
          <w:rFonts w:hint="cs"/>
          <w:b/>
          <w:bCs w:val="0"/>
          <w:sz w:val="24"/>
          <w:szCs w:val="24"/>
          <w:rtl/>
        </w:rPr>
        <w:t>معايير الويبو الجديدة المعتمدة</w:t>
      </w:r>
    </w:p>
    <w:p w:rsidR="00E44583" w:rsidRDefault="00E44583" w:rsidP="00E44583">
      <w:pPr>
        <w:pStyle w:val="ONUMA"/>
      </w:pPr>
      <w:r>
        <w:rPr>
          <w:rFonts w:hint="cs"/>
          <w:rtl/>
          <w:lang w:bidi="ar-SY"/>
        </w:rPr>
        <w:t>تتاح على موقع الويبو الإلكتروني</w:t>
      </w:r>
      <w:r w:rsidR="00384716">
        <w:rPr>
          <w:rStyle w:val="FootnoteReference"/>
          <w:rtl/>
          <w:lang w:bidi="ar-SY"/>
        </w:rPr>
        <w:footnoteReference w:id="3"/>
      </w:r>
      <w:r>
        <w:rPr>
          <w:rFonts w:hint="cs"/>
          <w:rtl/>
          <w:lang w:bidi="ar-SY"/>
        </w:rPr>
        <w:t xml:space="preserve">، معايير الويبو الجديد الأربعة، ويمكن تلخيصها على النحو التالي: </w:t>
      </w:r>
    </w:p>
    <w:p w:rsidR="00E44583" w:rsidRDefault="00E44583" w:rsidP="00E44583">
      <w:pPr>
        <w:pStyle w:val="bodyindent"/>
        <w:rPr>
          <w:rtl/>
        </w:rPr>
      </w:pPr>
      <w:r w:rsidRPr="00E44583">
        <w:rPr>
          <w:rFonts w:hint="cs"/>
          <w:rtl/>
          <w:lang w:bidi="ar-SY"/>
        </w:rPr>
        <w:t>(</w:t>
      </w:r>
      <w:r w:rsidRPr="00E44583">
        <w:rPr>
          <w:rFonts w:hint="cs"/>
          <w:rtl/>
        </w:rPr>
        <w:t>أ</w:t>
      </w:r>
      <w:r>
        <w:rPr>
          <w:rFonts w:hint="cs"/>
          <w:rtl/>
        </w:rPr>
        <w:t>)</w:t>
      </w:r>
      <w:r>
        <w:rPr>
          <w:rFonts w:hint="cs"/>
          <w:rtl/>
        </w:rPr>
        <w:tab/>
        <w:t xml:space="preserve">معيار الويبو </w:t>
      </w:r>
      <w:r>
        <w:rPr>
          <w:lang w:val="fr-CH"/>
        </w:rPr>
        <w:t>ST.90</w:t>
      </w:r>
      <w:r>
        <w:rPr>
          <w:rFonts w:hint="cs"/>
          <w:rtl/>
          <w:lang w:val="fr-CH" w:bidi="ar-SY"/>
        </w:rPr>
        <w:t xml:space="preserve"> بشأن واجهات برمجة التطبيقات على الويب: </w:t>
      </w:r>
      <w:r w:rsidRPr="00E44583">
        <w:rPr>
          <w:rFonts w:hint="cs"/>
          <w:rtl/>
        </w:rPr>
        <w:t xml:space="preserve">يقدم </w:t>
      </w:r>
      <w:r w:rsidRPr="00E44583">
        <w:rPr>
          <w:rtl/>
        </w:rPr>
        <w:t>توصيات لتسهيل معالجة بيانات الملكية الفكرية وتبادلها عبر التواصل بين الأجهزة على الويب</w:t>
      </w:r>
      <w:r w:rsidRPr="00E44583">
        <w:t>.</w:t>
      </w:r>
      <w:r>
        <w:rPr>
          <w:rFonts w:hint="cs"/>
          <w:rtl/>
        </w:rPr>
        <w:t xml:space="preserve"> </w:t>
      </w:r>
      <w:r w:rsidRPr="00E44583">
        <w:rPr>
          <w:rtl/>
        </w:rPr>
        <w:t>وسيعزز المعيار الاتساق من خلال وضع مبادئ موحدة لتصميم خدمات الويب وإمكانية التشغيل البيني بين شركاء خدمة الويب في مجتمع الملكية الفكرية</w:t>
      </w:r>
      <w:r w:rsidRPr="00E44583">
        <w:t>.</w:t>
      </w:r>
    </w:p>
    <w:p w:rsidR="00E44583" w:rsidRDefault="00E44583" w:rsidP="00E44583">
      <w:pPr>
        <w:pStyle w:val="bodyindent"/>
        <w:rPr>
          <w:rtl/>
        </w:rPr>
      </w:pPr>
      <w:r>
        <w:rPr>
          <w:rFonts w:hint="cs"/>
          <w:rtl/>
        </w:rPr>
        <w:t>(ب)</w:t>
      </w:r>
      <w:r>
        <w:rPr>
          <w:rFonts w:hint="cs"/>
          <w:rtl/>
        </w:rPr>
        <w:tab/>
        <w:t>معيا</w:t>
      </w:r>
      <w:r w:rsidRPr="00E44583">
        <w:rPr>
          <w:rFonts w:hint="cs"/>
          <w:rtl/>
        </w:rPr>
        <w:t xml:space="preserve">ر الويبو </w:t>
      </w:r>
      <w:r w:rsidRPr="00E44583">
        <w:t>ST.69</w:t>
      </w:r>
      <w:r w:rsidRPr="00E44583">
        <w:rPr>
          <w:rtl/>
        </w:rPr>
        <w:t xml:space="preserve"> بشأن علامات الوسائط المتعددة</w:t>
      </w:r>
      <w:r>
        <w:rPr>
          <w:rFonts w:hint="cs"/>
          <w:rtl/>
        </w:rPr>
        <w:t>: يقدم</w:t>
      </w:r>
      <w:r w:rsidRPr="00E44583">
        <w:rPr>
          <w:rtl/>
        </w:rPr>
        <w:t xml:space="preserve"> توصيات بشأن تقديم طلبات </w:t>
      </w:r>
      <w:r>
        <w:rPr>
          <w:rFonts w:hint="cs"/>
          <w:rtl/>
        </w:rPr>
        <w:t>للإدارة الإلكترونية</w:t>
      </w:r>
      <w:r w:rsidRPr="00E44583">
        <w:rPr>
          <w:rtl/>
        </w:rPr>
        <w:t xml:space="preserve"> </w:t>
      </w:r>
      <w:r>
        <w:rPr>
          <w:rFonts w:hint="cs"/>
          <w:rtl/>
        </w:rPr>
        <w:t>ل</w:t>
      </w:r>
      <w:r w:rsidRPr="00E44583">
        <w:rPr>
          <w:rtl/>
        </w:rPr>
        <w:t>علامات الحركة والوسائط المتعددة.</w:t>
      </w:r>
      <w:r w:rsidRPr="00E44583">
        <w:rPr>
          <w:rFonts w:hint="cs"/>
          <w:rtl/>
        </w:rPr>
        <w:t xml:space="preserve"> </w:t>
      </w:r>
      <w:r w:rsidRPr="00E44583">
        <w:rPr>
          <w:rtl/>
        </w:rPr>
        <w:t>ويساعد المعيار مودعي الطلبات ومكاتب الملكية الفكرية على الاتفاق على صيغ وممارسات بشأن وسائط متعددة مشتركة لمعالجة ملفات الوسائط المتعددة ونشرها.</w:t>
      </w:r>
    </w:p>
    <w:p w:rsidR="00E44583" w:rsidRDefault="00E44583" w:rsidP="00756DDD">
      <w:pPr>
        <w:pStyle w:val="bodyindent"/>
        <w:rPr>
          <w:rtl/>
          <w:lang w:val="fr-CH" w:bidi="ar-SY"/>
        </w:rPr>
      </w:pPr>
      <w:r>
        <w:rPr>
          <w:rFonts w:hint="cs"/>
          <w:rtl/>
        </w:rPr>
        <w:t>(ج)</w:t>
      </w:r>
      <w:r>
        <w:rPr>
          <w:rFonts w:hint="cs"/>
          <w:rtl/>
        </w:rPr>
        <w:tab/>
      </w:r>
      <w:r w:rsidRPr="00E44583">
        <w:rPr>
          <w:rtl/>
        </w:rPr>
        <w:t>معيار الويبو</w:t>
      </w:r>
      <w:r w:rsidRPr="00E44583">
        <w:t xml:space="preserve"> ST.61 </w:t>
      </w:r>
      <w:r w:rsidRPr="00E44583">
        <w:rPr>
          <w:rtl/>
        </w:rPr>
        <w:t xml:space="preserve">بشأن بيانات </w:t>
      </w:r>
      <w:r>
        <w:rPr>
          <w:rtl/>
        </w:rPr>
        <w:t>الوضع القانوني للعلامات التجار</w:t>
      </w:r>
      <w:r>
        <w:rPr>
          <w:rFonts w:hint="cs"/>
          <w:rtl/>
        </w:rPr>
        <w:t>ية: يقدم</w:t>
      </w:r>
      <w:r w:rsidRPr="00E44583">
        <w:t xml:space="preserve"> </w:t>
      </w:r>
      <w:r w:rsidRPr="00E44583">
        <w:rPr>
          <w:rtl/>
        </w:rPr>
        <w:t>توصيات تهدف إلى تحسين توافر البيانات الخاصة بالوضع القانوني للعلامات التجارية وتحسين موثوقيتها وإمكانية مقارنتها عبر الولايات القضائية، بما في ذلك نظام مدريد</w:t>
      </w:r>
      <w:r w:rsidRPr="00E44583">
        <w:t>.</w:t>
      </w:r>
      <w:r w:rsidR="00756DDD" w:rsidRPr="00756DDD">
        <w:rPr>
          <w:rFonts w:cs="Arial"/>
          <w:color w:val="008800"/>
          <w:shd w:val="clear" w:color="auto" w:fill="FFFFFF"/>
          <w:rtl/>
        </w:rPr>
        <w:t xml:space="preserve"> </w:t>
      </w:r>
      <w:r w:rsidR="00756DDD" w:rsidRPr="00756DDD">
        <w:rPr>
          <w:rtl/>
        </w:rPr>
        <w:t>وفور تنفيذه، سيستفيد</w:t>
      </w:r>
      <w:r w:rsidR="00756DDD">
        <w:rPr>
          <w:rFonts w:hint="cs"/>
          <w:rtl/>
        </w:rPr>
        <w:t xml:space="preserve"> جميع </w:t>
      </w:r>
      <w:r w:rsidR="00756DDD" w:rsidRPr="00756DDD">
        <w:rPr>
          <w:rtl/>
        </w:rPr>
        <w:t xml:space="preserve">مقدمي </w:t>
      </w:r>
      <w:r w:rsidR="00756DDD">
        <w:rPr>
          <w:rFonts w:hint="cs"/>
          <w:rtl/>
        </w:rPr>
        <w:t>معلومات</w:t>
      </w:r>
      <w:r w:rsidR="00756DDD" w:rsidRPr="00756DDD">
        <w:rPr>
          <w:rtl/>
        </w:rPr>
        <w:t xml:space="preserve"> الملكية الصناعية </w:t>
      </w:r>
      <w:r w:rsidR="00756DDD">
        <w:rPr>
          <w:rFonts w:hint="cs"/>
          <w:rtl/>
        </w:rPr>
        <w:t>و</w:t>
      </w:r>
      <w:r w:rsidR="00756DDD">
        <w:rPr>
          <w:rtl/>
        </w:rPr>
        <w:t>مستخدم</w:t>
      </w:r>
      <w:r w:rsidR="00756DDD">
        <w:rPr>
          <w:rFonts w:hint="cs"/>
          <w:rtl/>
        </w:rPr>
        <w:t>يها</w:t>
      </w:r>
      <w:r w:rsidR="00756DDD" w:rsidRPr="00756DDD">
        <w:rPr>
          <w:rtl/>
        </w:rPr>
        <w:t xml:space="preserve"> من سهولة </w:t>
      </w:r>
      <w:r w:rsidR="00756DDD">
        <w:rPr>
          <w:rFonts w:hint="cs"/>
          <w:rtl/>
        </w:rPr>
        <w:t>النفاذ</w:t>
      </w:r>
      <w:r w:rsidR="00756DDD" w:rsidRPr="00756DDD">
        <w:rPr>
          <w:rtl/>
        </w:rPr>
        <w:t xml:space="preserve"> إلى البيانات المتعلقة ب</w:t>
      </w:r>
      <w:r w:rsidR="00756DDD">
        <w:rPr>
          <w:rFonts w:hint="cs"/>
          <w:rtl/>
        </w:rPr>
        <w:t>الوضع القانوني ل</w:t>
      </w:r>
      <w:r w:rsidR="00756DDD" w:rsidRPr="00756DDD">
        <w:rPr>
          <w:rtl/>
        </w:rPr>
        <w:t>إيداعات العلامات التجارية وتسجيلاتها.</w:t>
      </w:r>
      <w:r w:rsidR="00756DDD" w:rsidRPr="00756DDD">
        <w:rPr>
          <w:rFonts w:hint="cs"/>
          <w:rtl/>
        </w:rPr>
        <w:t xml:space="preserve"> </w:t>
      </w:r>
      <w:r w:rsidR="00756DDD" w:rsidRPr="00756DDD">
        <w:rPr>
          <w:rtl/>
        </w:rPr>
        <w:t xml:space="preserve">وبالموافقة عليه، تكتمل مجموعة معايير الوضع القانوني الثلاثة للأنواع الرئيسية للملكية الصناعية: البراءات </w:t>
      </w:r>
      <w:r w:rsidR="00756DDD">
        <w:rPr>
          <w:rFonts w:hint="cs"/>
          <w:rtl/>
        </w:rPr>
        <w:t xml:space="preserve">(معيار الويبو </w:t>
      </w:r>
      <w:r w:rsidR="00756DDD">
        <w:rPr>
          <w:lang w:val="fr-CH"/>
        </w:rPr>
        <w:t>ST.27</w:t>
      </w:r>
      <w:r w:rsidR="00756DDD">
        <w:rPr>
          <w:rFonts w:hint="cs"/>
          <w:rtl/>
        </w:rPr>
        <w:t xml:space="preserve">) </w:t>
      </w:r>
      <w:r w:rsidR="00756DDD" w:rsidRPr="00756DDD">
        <w:rPr>
          <w:rtl/>
        </w:rPr>
        <w:t xml:space="preserve">والتصاميم الصناعية </w:t>
      </w:r>
      <w:r w:rsidR="00756DDD">
        <w:rPr>
          <w:rFonts w:hint="cs"/>
          <w:rtl/>
        </w:rPr>
        <w:t>(</w:t>
      </w:r>
      <w:r w:rsidR="00756DDD">
        <w:rPr>
          <w:rFonts w:hint="cs"/>
          <w:rtl/>
          <w:lang w:bidi="ar-SY"/>
        </w:rPr>
        <w:t xml:space="preserve">معيار الويبو </w:t>
      </w:r>
      <w:r w:rsidR="00756DDD">
        <w:rPr>
          <w:lang w:val="fr-CH" w:bidi="ar-SY"/>
        </w:rPr>
        <w:t>ST.87</w:t>
      </w:r>
      <w:r w:rsidR="00756DDD">
        <w:rPr>
          <w:rFonts w:hint="cs"/>
          <w:rtl/>
        </w:rPr>
        <w:t xml:space="preserve">) </w:t>
      </w:r>
      <w:r w:rsidR="00756DDD" w:rsidRPr="00756DDD">
        <w:rPr>
          <w:rtl/>
        </w:rPr>
        <w:t xml:space="preserve">والعلامات التجارية (هذا المعيار الجديد، معيار الويبو </w:t>
      </w:r>
      <w:r w:rsidR="00756DDD">
        <w:rPr>
          <w:lang w:val="fr-CH"/>
        </w:rPr>
        <w:t>ST.61</w:t>
      </w:r>
      <w:r w:rsidR="00756DDD">
        <w:rPr>
          <w:rFonts w:hint="cs"/>
          <w:rtl/>
          <w:lang w:val="fr-CH" w:bidi="ar-SY"/>
        </w:rPr>
        <w:t>).</w:t>
      </w:r>
    </w:p>
    <w:p w:rsidR="00756DDD" w:rsidRDefault="00756DDD" w:rsidP="00756DDD">
      <w:pPr>
        <w:pStyle w:val="bodyindent"/>
        <w:rPr>
          <w:rtl/>
        </w:rPr>
      </w:pPr>
      <w:r>
        <w:rPr>
          <w:rFonts w:hint="cs"/>
          <w:rtl/>
          <w:lang w:val="fr-CH" w:bidi="ar-SY"/>
        </w:rPr>
        <w:t>(د)</w:t>
      </w:r>
      <w:r>
        <w:rPr>
          <w:rFonts w:hint="cs"/>
          <w:rtl/>
          <w:lang w:val="fr-CH" w:bidi="ar-SY"/>
        </w:rPr>
        <w:tab/>
      </w:r>
      <w:r w:rsidRPr="00756DDD">
        <w:rPr>
          <w:rtl/>
        </w:rPr>
        <w:t xml:space="preserve">معيار الويبو </w:t>
      </w:r>
      <w:r w:rsidRPr="00756DDD">
        <w:t>ST.88</w:t>
      </w:r>
      <w:r w:rsidRPr="00756DDD">
        <w:rPr>
          <w:rtl/>
        </w:rPr>
        <w:t xml:space="preserve"> بشأن التصاوير المرئية الإلكترونية للتصاميم</w:t>
      </w:r>
      <w:r>
        <w:rPr>
          <w:rFonts w:hint="cs"/>
          <w:rtl/>
        </w:rPr>
        <w:t>:</w:t>
      </w:r>
      <w:r w:rsidRPr="00756DDD">
        <w:rPr>
          <w:rtl/>
        </w:rPr>
        <w:t xml:space="preserve"> </w:t>
      </w:r>
      <w:r>
        <w:rPr>
          <w:rFonts w:hint="cs"/>
          <w:rtl/>
        </w:rPr>
        <w:t xml:space="preserve">يقدم </w:t>
      </w:r>
      <w:r w:rsidRPr="00756DDD">
        <w:rPr>
          <w:rtl/>
        </w:rPr>
        <w:t>توصيات بشأن طريقة إنشاء التصاوير والفيديوهات الإلكترونية للتصاميم الصناعية وتخزينها وعرضها وإدارتها ونشرها وتبادلها.</w:t>
      </w:r>
      <w:r>
        <w:rPr>
          <w:rFonts w:hint="cs"/>
          <w:rtl/>
        </w:rPr>
        <w:t xml:space="preserve"> </w:t>
      </w:r>
      <w:r w:rsidRPr="00756DDD">
        <w:rPr>
          <w:rtl/>
        </w:rPr>
        <w:t>ويساعد المعيار مودعي الطلبات ومكاتب الملكية الفكرية على الاتفاق على صيغ مشتركة لتبسيط إيداع نفس التصميم لدى عدة مكاتب.</w:t>
      </w:r>
      <w:r>
        <w:rPr>
          <w:rFonts w:hint="cs"/>
          <w:rtl/>
        </w:rPr>
        <w:t xml:space="preserve"> </w:t>
      </w:r>
      <w:r w:rsidRPr="00756DDD">
        <w:rPr>
          <w:rtl/>
        </w:rPr>
        <w:t>ويوفر المعيار مبادئ توجيهية مشتركة لمكاتب الملكية الفكرية بشأن تبادل البيانات ونشر وتعزيز البحث الآلي للصور ومقاطع الفيديو للتصاميم.</w:t>
      </w:r>
    </w:p>
    <w:p w:rsidR="00384716" w:rsidRPr="00E41128" w:rsidRDefault="00384716" w:rsidP="006144EE">
      <w:pPr>
        <w:pStyle w:val="Heading3"/>
        <w:spacing w:after="240"/>
        <w:rPr>
          <w:b/>
          <w:bCs w:val="0"/>
          <w:sz w:val="24"/>
          <w:szCs w:val="24"/>
          <w:rtl/>
          <w:lang w:val="fr-CH" w:bidi="ar-SY"/>
        </w:rPr>
      </w:pPr>
      <w:r w:rsidRPr="00E41128">
        <w:rPr>
          <w:rFonts w:hint="cs"/>
          <w:b/>
          <w:bCs w:val="0"/>
          <w:sz w:val="24"/>
          <w:szCs w:val="24"/>
          <w:rtl/>
          <w:lang w:val="fr-CH" w:bidi="ar-SY"/>
        </w:rPr>
        <w:t>معايير الويبو المنقحة</w:t>
      </w:r>
    </w:p>
    <w:p w:rsidR="00D509EC" w:rsidRDefault="00384716" w:rsidP="0002628E">
      <w:pPr>
        <w:pStyle w:val="ONUMA"/>
      </w:pPr>
      <w:r>
        <w:rPr>
          <w:rFonts w:hint="cs"/>
          <w:rtl/>
        </w:rPr>
        <w:t>وافقت لجنة المعايير على تنقيح المعايير الثلاثة التالية:</w:t>
      </w:r>
    </w:p>
    <w:p w:rsidR="00384716" w:rsidRPr="00600A40" w:rsidRDefault="00384716" w:rsidP="00600A40">
      <w:pPr>
        <w:pStyle w:val="BodyText"/>
        <w:numPr>
          <w:ilvl w:val="0"/>
          <w:numId w:val="17"/>
        </w:numPr>
        <w:rPr>
          <w:lang w:bidi="ar-SY"/>
        </w:rPr>
      </w:pPr>
      <w:r w:rsidRPr="00600A40">
        <w:rPr>
          <w:rtl/>
        </w:rPr>
        <w:t>معيار الويبو</w:t>
      </w:r>
      <w:r w:rsidRPr="00600A40">
        <w:rPr>
          <w:rFonts w:hint="cs"/>
          <w:rtl/>
        </w:rPr>
        <w:t xml:space="preserve"> </w:t>
      </w:r>
      <w:r w:rsidRPr="00600A40">
        <w:t>ST.26</w:t>
      </w:r>
      <w:r w:rsidRPr="00600A40">
        <w:rPr>
          <w:rFonts w:hint="cs"/>
          <w:rtl/>
          <w:lang w:bidi="ar-SY"/>
        </w:rPr>
        <w:t xml:space="preserve"> (</w:t>
      </w:r>
      <w:r w:rsidRPr="00600A40">
        <w:rPr>
          <w:rtl/>
        </w:rPr>
        <w:t>قوائم تسلسل النوويدات والأحماض الأمينية باستخدام لغة الترميز الموسعة</w:t>
      </w:r>
      <w:r w:rsidRPr="00600A40">
        <w:rPr>
          <w:rFonts w:hint="cs"/>
          <w:rtl/>
        </w:rPr>
        <w:t xml:space="preserve"> </w:t>
      </w:r>
      <w:r w:rsidRPr="00600A40">
        <w:t>(XML)</w:t>
      </w:r>
      <w:r w:rsidRPr="00600A40">
        <w:rPr>
          <w:rFonts w:hint="cs"/>
          <w:rtl/>
        </w:rPr>
        <w:t>)</w:t>
      </w:r>
      <w:r w:rsidRPr="00600A40">
        <w:rPr>
          <w:rFonts w:hint="cs"/>
          <w:rtl/>
          <w:lang w:bidi="ar-SY"/>
        </w:rPr>
        <w:t>؛</w:t>
      </w:r>
    </w:p>
    <w:p w:rsidR="00384716" w:rsidRPr="00600A40" w:rsidRDefault="00384716" w:rsidP="00600A40">
      <w:pPr>
        <w:pStyle w:val="BodyText"/>
        <w:numPr>
          <w:ilvl w:val="0"/>
          <w:numId w:val="17"/>
        </w:numPr>
      </w:pPr>
      <w:r w:rsidRPr="00600A40">
        <w:rPr>
          <w:rtl/>
        </w:rPr>
        <w:t>معيار الويبو</w:t>
      </w:r>
      <w:r w:rsidRPr="00600A40">
        <w:t xml:space="preserve"> ST.27 </w:t>
      </w:r>
      <w:r w:rsidRPr="00600A40">
        <w:rPr>
          <w:rFonts w:hint="cs"/>
          <w:rtl/>
        </w:rPr>
        <w:t>(</w:t>
      </w:r>
      <w:r w:rsidRPr="00600A40">
        <w:rPr>
          <w:rtl/>
        </w:rPr>
        <w:t>تبادل بيانات عن الوضع القانوني للبراءات)؛</w:t>
      </w:r>
    </w:p>
    <w:p w:rsidR="00384716" w:rsidRPr="00384716" w:rsidRDefault="00384716" w:rsidP="00600A40">
      <w:pPr>
        <w:pStyle w:val="BodyText"/>
        <w:numPr>
          <w:ilvl w:val="0"/>
          <w:numId w:val="17"/>
        </w:numPr>
        <w:rPr>
          <w:rtl/>
        </w:rPr>
      </w:pPr>
      <w:r w:rsidRPr="00600A40">
        <w:rPr>
          <w:rFonts w:hint="cs"/>
          <w:rtl/>
        </w:rPr>
        <w:t xml:space="preserve">معيار الويبو </w:t>
      </w:r>
      <w:r w:rsidRPr="00600A40">
        <w:t>ST.37</w:t>
      </w:r>
      <w:r w:rsidRPr="00600A40">
        <w:rPr>
          <w:rFonts w:hint="cs"/>
          <w:rtl/>
          <w:lang w:bidi="ar-SY"/>
        </w:rPr>
        <w:t xml:space="preserve"> (</w:t>
      </w:r>
      <w:r w:rsidRPr="00600A40">
        <w:rPr>
          <w:rtl/>
        </w:rPr>
        <w:t>ملف الإدارة فيما يخص وثائق البراءات المنشورة</w:t>
      </w:r>
      <w:r w:rsidRPr="00600A40">
        <w:rPr>
          <w:rFonts w:hint="cs"/>
          <w:rtl/>
          <w:lang w:bidi="ar-SY"/>
        </w:rPr>
        <w:t>).</w:t>
      </w:r>
    </w:p>
    <w:p w:rsidR="00384716" w:rsidRDefault="00384716" w:rsidP="00A92137">
      <w:pPr>
        <w:pStyle w:val="ONUMA"/>
      </w:pPr>
      <w:r w:rsidRPr="00384716">
        <w:rPr>
          <w:rtl/>
        </w:rPr>
        <w:t xml:space="preserve">ولاحظت اللجنة أن </w:t>
      </w:r>
      <w:r w:rsidR="00A92137">
        <w:rPr>
          <w:rFonts w:hint="cs"/>
          <w:rtl/>
        </w:rPr>
        <w:t>تنقيح</w:t>
      </w:r>
      <w:r w:rsidRPr="00384716">
        <w:rPr>
          <w:rtl/>
        </w:rPr>
        <w:t xml:space="preserve"> معيار الويبو </w:t>
      </w:r>
      <w:r w:rsidRPr="00384716">
        <w:t>ST.96</w:t>
      </w:r>
      <w:r w:rsidRPr="00384716">
        <w:rPr>
          <w:rtl/>
        </w:rPr>
        <w:t xml:space="preserve"> قد </w:t>
      </w:r>
      <w:r w:rsidR="00A92137">
        <w:rPr>
          <w:rFonts w:hint="cs"/>
          <w:rtl/>
        </w:rPr>
        <w:t>وافقت عليه</w:t>
      </w:r>
      <w:r w:rsidRPr="00384716">
        <w:rPr>
          <w:rtl/>
        </w:rPr>
        <w:t xml:space="preserve"> </w:t>
      </w:r>
      <w:r w:rsidR="00A92137">
        <w:rPr>
          <w:rtl/>
        </w:rPr>
        <w:t xml:space="preserve">فرقة </w:t>
      </w:r>
      <w:r w:rsidRPr="00384716">
        <w:rPr>
          <w:rtl/>
        </w:rPr>
        <w:t xml:space="preserve">عمل </w:t>
      </w:r>
      <w:r w:rsidRPr="00384716">
        <w:t>XML4IP</w:t>
      </w:r>
      <w:r w:rsidRPr="00384716">
        <w:rPr>
          <w:rtl/>
        </w:rPr>
        <w:t xml:space="preserve"> </w:t>
      </w:r>
      <w:r w:rsidR="00A92137">
        <w:rPr>
          <w:rFonts w:hint="cs"/>
          <w:rtl/>
        </w:rPr>
        <w:t xml:space="preserve">التابعة لها، </w:t>
      </w:r>
      <w:r w:rsidRPr="00384716">
        <w:rPr>
          <w:rtl/>
        </w:rPr>
        <w:t>في عام</w:t>
      </w:r>
      <w:r w:rsidR="00A92137">
        <w:rPr>
          <w:rtl/>
        </w:rPr>
        <w:t xml:space="preserve"> 2020 وأن الإصدار الأخير هو 4.0، وفق</w:t>
      </w:r>
      <w:r w:rsidR="00A92137">
        <w:rPr>
          <w:rFonts w:hint="cs"/>
          <w:rtl/>
        </w:rPr>
        <w:t>اً</w:t>
      </w:r>
      <w:r w:rsidR="00A92137">
        <w:rPr>
          <w:rtl/>
        </w:rPr>
        <w:t xml:space="preserve"> للترتيب الخاص ل</w:t>
      </w:r>
      <w:r w:rsidRPr="00384716">
        <w:rPr>
          <w:rtl/>
        </w:rPr>
        <w:t xml:space="preserve">جنة المعايير الذي يُصرح لفريق عمل </w:t>
      </w:r>
      <w:r w:rsidRPr="00384716">
        <w:t>XML4IP</w:t>
      </w:r>
      <w:r w:rsidR="00A92137">
        <w:rPr>
          <w:rtl/>
        </w:rPr>
        <w:t xml:space="preserve"> مؤقت</w:t>
      </w:r>
      <w:r w:rsidR="00A92137">
        <w:rPr>
          <w:rFonts w:hint="cs"/>
          <w:rtl/>
        </w:rPr>
        <w:t>اً</w:t>
      </w:r>
      <w:r w:rsidRPr="00384716">
        <w:rPr>
          <w:rtl/>
        </w:rPr>
        <w:t xml:space="preserve"> بالموافقة على </w:t>
      </w:r>
      <w:r w:rsidR="00A92137">
        <w:rPr>
          <w:rFonts w:hint="cs"/>
          <w:rtl/>
        </w:rPr>
        <w:t>تنقيح</w:t>
      </w:r>
      <w:r w:rsidR="00A92137">
        <w:rPr>
          <w:rtl/>
        </w:rPr>
        <w:t xml:space="preserve"> معيار الويبو</w:t>
      </w:r>
      <w:r w:rsidR="00A92137">
        <w:rPr>
          <w:rFonts w:hint="cs"/>
          <w:rtl/>
        </w:rPr>
        <w:t xml:space="preserve"> </w:t>
      </w:r>
      <w:r w:rsidRPr="00384716">
        <w:t>ST.96</w:t>
      </w:r>
      <w:r w:rsidRPr="00384716">
        <w:rPr>
          <w:rtl/>
        </w:rPr>
        <w:t xml:space="preserve"> لتسريع عملية </w:t>
      </w:r>
      <w:r w:rsidR="00A92137">
        <w:rPr>
          <w:rFonts w:hint="cs"/>
          <w:rtl/>
        </w:rPr>
        <w:t>التنقيح</w:t>
      </w:r>
      <w:r w:rsidRPr="00384716">
        <w:rPr>
          <w:rtl/>
        </w:rPr>
        <w:t>.</w:t>
      </w:r>
      <w:r w:rsidR="00A92137">
        <w:rPr>
          <w:rFonts w:hint="cs"/>
          <w:rtl/>
        </w:rPr>
        <w:t xml:space="preserve"> و</w:t>
      </w:r>
      <w:r w:rsidRPr="00384716">
        <w:rPr>
          <w:rtl/>
        </w:rPr>
        <w:t xml:space="preserve">تتمثل إحدى النتائج المهمة لهذا الإصدار الجديد في توسيع نطاق المعيار </w:t>
      </w:r>
      <w:r w:rsidRPr="00384716">
        <w:t>ST.96</w:t>
      </w:r>
      <w:r w:rsidRPr="00384716">
        <w:rPr>
          <w:rtl/>
        </w:rPr>
        <w:t xml:space="preserve"> ليشمل البيانات الوصفية المتعلقة بالمؤشرات الجغرافية </w:t>
      </w:r>
      <w:r w:rsidR="00A92137">
        <w:rPr>
          <w:rFonts w:hint="cs"/>
          <w:rtl/>
        </w:rPr>
        <w:t>ومصنفات حق المؤلف</w:t>
      </w:r>
      <w:r w:rsidR="00A92137">
        <w:rPr>
          <w:rtl/>
        </w:rPr>
        <w:t xml:space="preserve"> اليتيمة</w:t>
      </w:r>
      <w:r w:rsidRPr="00384716">
        <w:rPr>
          <w:rtl/>
        </w:rPr>
        <w:t xml:space="preserve">، </w:t>
      </w:r>
      <w:r w:rsidR="00A92137">
        <w:rPr>
          <w:rFonts w:hint="cs"/>
          <w:rtl/>
        </w:rPr>
        <w:t>وفي تعديل</w:t>
      </w:r>
      <w:r w:rsidRPr="00384716">
        <w:rPr>
          <w:rtl/>
        </w:rPr>
        <w:t xml:space="preserve"> عنوان</w:t>
      </w:r>
      <w:r w:rsidR="00A92137">
        <w:rPr>
          <w:rFonts w:hint="cs"/>
          <w:rtl/>
        </w:rPr>
        <w:t xml:space="preserve"> المعيار</w:t>
      </w:r>
      <w:r w:rsidRPr="00384716">
        <w:rPr>
          <w:rtl/>
        </w:rPr>
        <w:t xml:space="preserve"> </w:t>
      </w:r>
      <w:r w:rsidRPr="00384716">
        <w:t>ST.96</w:t>
      </w:r>
      <w:r w:rsidRPr="00384716">
        <w:rPr>
          <w:rtl/>
        </w:rPr>
        <w:t xml:space="preserve"> من "الملكية </w:t>
      </w:r>
      <w:r w:rsidR="00A92137">
        <w:rPr>
          <w:rtl/>
        </w:rPr>
        <w:t>الصناعية" إلى "الملكية الفكرية"</w:t>
      </w:r>
      <w:r w:rsidR="00A92137">
        <w:rPr>
          <w:rFonts w:hint="cs"/>
          <w:rtl/>
        </w:rPr>
        <w:t xml:space="preserve"> ليُ</w:t>
      </w:r>
      <w:r w:rsidR="00A92137">
        <w:rPr>
          <w:rtl/>
        </w:rPr>
        <w:t>عكس</w:t>
      </w:r>
      <w:r w:rsidR="00A92137">
        <w:rPr>
          <w:rFonts w:hint="cs"/>
          <w:rtl/>
        </w:rPr>
        <w:t xml:space="preserve"> توسيع النطاق</w:t>
      </w:r>
      <w:r w:rsidRPr="00384716">
        <w:rPr>
          <w:rtl/>
        </w:rPr>
        <w:t>.</w:t>
      </w:r>
    </w:p>
    <w:p w:rsidR="00A92137" w:rsidRDefault="00A92137" w:rsidP="00B757B3">
      <w:pPr>
        <w:pStyle w:val="ONUMA"/>
      </w:pPr>
      <w:r w:rsidRPr="00A92137">
        <w:rPr>
          <w:rtl/>
        </w:rPr>
        <w:t>وأحاطت لجنة المعايير علماً بأنه اعتباراً من 31 مارس 2021، سيكون نسق معيار الويبو</w:t>
      </w:r>
      <w:r w:rsidRPr="00A92137">
        <w:t xml:space="preserve"> ST.96 </w:t>
      </w:r>
      <w:r>
        <w:rPr>
          <w:rFonts w:hint="cs"/>
          <w:rtl/>
        </w:rPr>
        <w:t>(</w:t>
      </w:r>
      <w:r w:rsidRPr="00A92137">
        <w:rPr>
          <w:rtl/>
        </w:rPr>
        <w:t>الإصدار 4.0 وما يليه) المصدر المعياري والمدعوم الوحيد لتبادل البيانات المهيكلة المتعلقة بنظام لاهاي بشكل ثنائي بين المكاتب والمكتب الدولي</w:t>
      </w:r>
      <w:r w:rsidRPr="00A92137">
        <w:t>.</w:t>
      </w:r>
      <w:r w:rsidRPr="00A92137">
        <w:rPr>
          <w:rFonts w:hint="cs"/>
          <w:rtl/>
        </w:rPr>
        <w:t xml:space="preserve"> </w:t>
      </w:r>
      <w:r w:rsidR="00B757B3">
        <w:rPr>
          <w:rtl/>
        </w:rPr>
        <w:br w:type="page"/>
      </w:r>
    </w:p>
    <w:p w:rsidR="00B757B3" w:rsidRPr="00E41128" w:rsidRDefault="00B757B3" w:rsidP="006144EE">
      <w:pPr>
        <w:pStyle w:val="Heading2"/>
        <w:spacing w:after="240"/>
        <w:rPr>
          <w:b/>
          <w:bCs w:val="0"/>
          <w:i/>
          <w:iCs w:val="0"/>
          <w:sz w:val="24"/>
          <w:szCs w:val="24"/>
          <w:rtl/>
        </w:rPr>
      </w:pPr>
      <w:r w:rsidRPr="00E41128">
        <w:rPr>
          <w:rFonts w:hint="cs"/>
          <w:b/>
          <w:bCs w:val="0"/>
          <w:i/>
          <w:iCs w:val="0"/>
          <w:sz w:val="24"/>
          <w:szCs w:val="24"/>
          <w:rtl/>
        </w:rPr>
        <w:lastRenderedPageBreak/>
        <w:t>تنفيذ معايير الويبو وممارسات المكاتب</w:t>
      </w:r>
    </w:p>
    <w:p w:rsidR="00CA7FCC" w:rsidRDefault="00B757B3" w:rsidP="00600A40">
      <w:pPr>
        <w:pStyle w:val="ONUMA"/>
      </w:pPr>
      <w:r>
        <w:rPr>
          <w:rFonts w:hint="cs"/>
          <w:rtl/>
        </w:rPr>
        <w:t xml:space="preserve">وافقت اللجنة على نشر نتائج </w:t>
      </w:r>
      <w:r w:rsidR="00600A40">
        <w:rPr>
          <w:rFonts w:hint="cs"/>
          <w:rtl/>
        </w:rPr>
        <w:t>الدراسات الاستقصائية</w:t>
      </w:r>
      <w:r>
        <w:rPr>
          <w:rFonts w:hint="cs"/>
          <w:rtl/>
        </w:rPr>
        <w:t xml:space="preserve"> الثلاث التالية على موقع الويبو الإلكتروني، والتي تشكل الآن جزءاً من الجزء 7 من دليل الويبو</w:t>
      </w:r>
      <w:r>
        <w:rPr>
          <w:rStyle w:val="FootnoteReference"/>
          <w:rtl/>
        </w:rPr>
        <w:footnoteReference w:id="4"/>
      </w:r>
      <w:r>
        <w:rPr>
          <w:rFonts w:hint="cs"/>
          <w:rtl/>
        </w:rPr>
        <w:t>:</w:t>
      </w:r>
    </w:p>
    <w:p w:rsidR="00B757B3" w:rsidRDefault="00B757B3" w:rsidP="00B757B3">
      <w:pPr>
        <w:pStyle w:val="ONUMA"/>
        <w:numPr>
          <w:ilvl w:val="0"/>
          <w:numId w:val="15"/>
        </w:numPr>
      </w:pPr>
      <w:r>
        <w:rPr>
          <w:rFonts w:hint="cs"/>
          <w:rtl/>
        </w:rPr>
        <w:t>النماذج والصور ثلاثية الأبعاد؛</w:t>
      </w:r>
    </w:p>
    <w:p w:rsidR="00B757B3" w:rsidRDefault="00600A40" w:rsidP="00B757B3">
      <w:pPr>
        <w:pStyle w:val="ONUMA"/>
        <w:numPr>
          <w:ilvl w:val="0"/>
          <w:numId w:val="15"/>
        </w:numPr>
      </w:pPr>
      <w:r>
        <w:rPr>
          <w:rFonts w:hint="cs"/>
          <w:rtl/>
        </w:rPr>
        <w:t>نفاذ الجمهور إلى معلومات البراءات، الجزء 1؛</w:t>
      </w:r>
    </w:p>
    <w:p w:rsidR="00600A40" w:rsidRDefault="00600A40" w:rsidP="00600A40">
      <w:pPr>
        <w:pStyle w:val="ListParagraph"/>
        <w:numPr>
          <w:ilvl w:val="0"/>
          <w:numId w:val="15"/>
        </w:numPr>
      </w:pPr>
      <w:r w:rsidRPr="00600A40">
        <w:rPr>
          <w:rtl/>
        </w:rPr>
        <w:t>أنظمة الترقيم التي تستخدمها مكاتب الملكية الفكرية فيما يخص الوثائق المنشورة والحقوق المسجلة</w:t>
      </w:r>
      <w:r w:rsidRPr="00600A40">
        <w:rPr>
          <w:rFonts w:hint="cs"/>
          <w:rtl/>
        </w:rPr>
        <w:t>.</w:t>
      </w:r>
    </w:p>
    <w:p w:rsidR="00600A40" w:rsidRPr="00600A40" w:rsidRDefault="00600A40" w:rsidP="00600A40"/>
    <w:p w:rsidR="00236477" w:rsidRDefault="00600A40" w:rsidP="00236477">
      <w:pPr>
        <w:pStyle w:val="ONUMA"/>
      </w:pPr>
      <w:r>
        <w:rPr>
          <w:rFonts w:hint="cs"/>
          <w:rtl/>
        </w:rPr>
        <w:t>واستجابة</w:t>
      </w:r>
      <w:r w:rsidR="00CD3D4A">
        <w:rPr>
          <w:rtl/>
        </w:rPr>
        <w:t xml:space="preserve"> </w:t>
      </w:r>
      <w:r w:rsidRPr="00600A40">
        <w:rPr>
          <w:rtl/>
        </w:rPr>
        <w:t>لطلبات</w:t>
      </w:r>
      <w:r w:rsidR="00CD3D4A">
        <w:rPr>
          <w:rFonts w:hint="cs"/>
          <w:rtl/>
        </w:rPr>
        <w:t xml:space="preserve"> التدريب المقدمة خلال الدورة</w:t>
      </w:r>
      <w:r w:rsidRPr="00600A40">
        <w:rPr>
          <w:rtl/>
        </w:rPr>
        <w:t xml:space="preserve"> </w:t>
      </w:r>
      <w:r w:rsidR="00CD3D4A">
        <w:rPr>
          <w:rFonts w:hint="cs"/>
          <w:rtl/>
        </w:rPr>
        <w:t>لمرافقة</w:t>
      </w:r>
      <w:r w:rsidRPr="00600A40">
        <w:rPr>
          <w:rtl/>
        </w:rPr>
        <w:t xml:space="preserve"> الانتقال من المعيار </w:t>
      </w:r>
      <w:r w:rsidRPr="00600A40">
        <w:t>ST.25</w:t>
      </w:r>
      <w:r w:rsidRPr="00600A40">
        <w:rPr>
          <w:rtl/>
        </w:rPr>
        <w:t xml:space="preserve"> إلى المعيار </w:t>
      </w:r>
      <w:r w:rsidRPr="00600A40">
        <w:t>ST.26</w:t>
      </w:r>
      <w:r w:rsidR="00CD3D4A">
        <w:rPr>
          <w:rFonts w:hint="cs"/>
          <w:rtl/>
        </w:rPr>
        <w:t>،</w:t>
      </w:r>
      <w:r w:rsidRPr="00600A40">
        <w:rPr>
          <w:rtl/>
        </w:rPr>
        <w:t xml:space="preserve"> </w:t>
      </w:r>
      <w:r w:rsidR="00CD3D4A">
        <w:rPr>
          <w:rFonts w:hint="cs"/>
          <w:rtl/>
        </w:rPr>
        <w:t>حدد</w:t>
      </w:r>
      <w:r w:rsidRPr="00600A40">
        <w:rPr>
          <w:rtl/>
        </w:rPr>
        <w:t xml:space="preserve"> المكتب الدولي أربع ندوات تدريبية عبر الإنترنت </w:t>
      </w:r>
      <w:r w:rsidR="00CD3D4A">
        <w:rPr>
          <w:rFonts w:hint="cs"/>
          <w:rtl/>
        </w:rPr>
        <w:t>وحلقة</w:t>
      </w:r>
      <w:r w:rsidRPr="00600A40">
        <w:rPr>
          <w:rtl/>
        </w:rPr>
        <w:t xml:space="preserve"> عمل واحدة باللغة الإنجليزية خلال شهري أبريل ومايو 2021. </w:t>
      </w:r>
      <w:r w:rsidR="00CD3D4A">
        <w:rPr>
          <w:rFonts w:hint="cs"/>
          <w:rtl/>
        </w:rPr>
        <w:t>وتتاح</w:t>
      </w:r>
      <w:r w:rsidR="00CD3D4A">
        <w:rPr>
          <w:rtl/>
        </w:rPr>
        <w:t xml:space="preserve"> </w:t>
      </w:r>
      <w:r w:rsidR="00CD3D4A">
        <w:rPr>
          <w:rFonts w:hint="cs"/>
          <w:rtl/>
        </w:rPr>
        <w:t>تسجيلات</w:t>
      </w:r>
      <w:r w:rsidR="00CD3D4A">
        <w:rPr>
          <w:rtl/>
        </w:rPr>
        <w:t xml:space="preserve"> </w:t>
      </w:r>
      <w:r w:rsidR="00CD3D4A">
        <w:rPr>
          <w:rFonts w:hint="cs"/>
          <w:rtl/>
        </w:rPr>
        <w:t>ال</w:t>
      </w:r>
      <w:r w:rsidRPr="00600A40">
        <w:rPr>
          <w:rtl/>
        </w:rPr>
        <w:t xml:space="preserve">ندوات </w:t>
      </w:r>
      <w:r w:rsidR="00CD3D4A">
        <w:rPr>
          <w:rFonts w:hint="cs"/>
          <w:rtl/>
        </w:rPr>
        <w:t>الإلكترونية</w:t>
      </w:r>
      <w:r w:rsidRPr="00600A40">
        <w:rPr>
          <w:rtl/>
        </w:rPr>
        <w:t xml:space="preserve"> و</w:t>
      </w:r>
      <w:r w:rsidR="00CD3D4A">
        <w:rPr>
          <w:rFonts w:hint="cs"/>
          <w:rtl/>
        </w:rPr>
        <w:t>ال</w:t>
      </w:r>
      <w:r w:rsidRPr="00600A40">
        <w:rPr>
          <w:rtl/>
        </w:rPr>
        <w:t xml:space="preserve">عروض </w:t>
      </w:r>
      <w:r w:rsidR="00CD3D4A">
        <w:rPr>
          <w:rFonts w:hint="cs"/>
          <w:rtl/>
        </w:rPr>
        <w:t>ال</w:t>
      </w:r>
      <w:r w:rsidRPr="00600A40">
        <w:rPr>
          <w:rtl/>
        </w:rPr>
        <w:t>تقديمية و</w:t>
      </w:r>
      <w:r w:rsidR="00CD3D4A">
        <w:rPr>
          <w:rFonts w:hint="cs"/>
          <w:rtl/>
        </w:rPr>
        <w:t>ال</w:t>
      </w:r>
      <w:r w:rsidRPr="00600A40">
        <w:rPr>
          <w:rtl/>
        </w:rPr>
        <w:t xml:space="preserve">مواد </w:t>
      </w:r>
      <w:r w:rsidR="00CD3D4A">
        <w:rPr>
          <w:rFonts w:hint="cs"/>
          <w:rtl/>
        </w:rPr>
        <w:t>ال</w:t>
      </w:r>
      <w:r w:rsidRPr="00600A40">
        <w:rPr>
          <w:rtl/>
        </w:rPr>
        <w:t xml:space="preserve">تدريبية </w:t>
      </w:r>
      <w:r w:rsidR="00CD3D4A">
        <w:rPr>
          <w:rFonts w:hint="cs"/>
          <w:rtl/>
        </w:rPr>
        <w:t>ال</w:t>
      </w:r>
      <w:r w:rsidR="00CD3D4A">
        <w:rPr>
          <w:rtl/>
        </w:rPr>
        <w:t>أخرى</w:t>
      </w:r>
      <w:r w:rsidR="00CD3D4A">
        <w:t xml:space="preserve"> </w:t>
      </w:r>
      <w:r w:rsidRPr="00600A40">
        <w:rPr>
          <w:rtl/>
        </w:rPr>
        <w:t>على موقع الويبو</w:t>
      </w:r>
      <w:r w:rsidR="00CD3D4A">
        <w:rPr>
          <w:rStyle w:val="FootnoteReference"/>
          <w:rtl/>
        </w:rPr>
        <w:footnoteReference w:id="5"/>
      </w:r>
      <w:r w:rsidRPr="00600A40">
        <w:rPr>
          <w:rtl/>
        </w:rPr>
        <w:t xml:space="preserve">. </w:t>
      </w:r>
      <w:r w:rsidR="00236477">
        <w:rPr>
          <w:rFonts w:hint="cs"/>
          <w:rtl/>
          <w:lang w:bidi="ar-SY"/>
        </w:rPr>
        <w:t>و</w:t>
      </w:r>
      <w:r w:rsidR="00236477">
        <w:rPr>
          <w:rtl/>
        </w:rPr>
        <w:t xml:space="preserve">علاوة على ذلك، </w:t>
      </w:r>
      <w:r w:rsidRPr="00600A40">
        <w:rPr>
          <w:rtl/>
        </w:rPr>
        <w:t xml:space="preserve">ستُنشر الأسئلة المتكررة </w:t>
      </w:r>
      <w:r w:rsidR="00236477">
        <w:rPr>
          <w:lang w:val="fr-CH"/>
        </w:rPr>
        <w:t>(</w:t>
      </w:r>
      <w:proofErr w:type="spellStart"/>
      <w:r w:rsidR="00236477">
        <w:rPr>
          <w:lang w:val="fr-CH"/>
        </w:rPr>
        <w:t>FAQs</w:t>
      </w:r>
      <w:proofErr w:type="spellEnd"/>
      <w:r w:rsidR="00236477">
        <w:rPr>
          <w:lang w:val="fr-CH"/>
        </w:rPr>
        <w:t>)</w:t>
      </w:r>
      <w:r w:rsidR="00236477">
        <w:rPr>
          <w:rFonts w:hint="cs"/>
          <w:rtl/>
          <w:lang w:val="fr-CH" w:bidi="ar-SY"/>
        </w:rPr>
        <w:t xml:space="preserve"> </w:t>
      </w:r>
      <w:r w:rsidR="00236477">
        <w:rPr>
          <w:rtl/>
        </w:rPr>
        <w:t>على موقع الويبو الإلكتروني</w:t>
      </w:r>
      <w:r w:rsidR="00236477">
        <w:rPr>
          <w:rFonts w:hint="cs"/>
          <w:rtl/>
        </w:rPr>
        <w:t xml:space="preserve"> ب</w:t>
      </w:r>
      <w:r w:rsidRPr="00600A40">
        <w:rPr>
          <w:rtl/>
        </w:rPr>
        <w:t>اللغات العشر لمعاهدة التعاون بشأن البراءات</w:t>
      </w:r>
      <w:r w:rsidR="00236477">
        <w:rPr>
          <w:rFonts w:hint="cs"/>
          <w:rtl/>
        </w:rPr>
        <w:t>، م</w:t>
      </w:r>
      <w:r w:rsidR="00236477" w:rsidRPr="00600A40">
        <w:rPr>
          <w:rtl/>
        </w:rPr>
        <w:t xml:space="preserve">ن أجل دعم تنفيذ المعيار </w:t>
      </w:r>
      <w:r w:rsidR="00236477" w:rsidRPr="00600A40">
        <w:t>ST.26</w:t>
      </w:r>
      <w:r w:rsidRPr="00600A40">
        <w:rPr>
          <w:rtl/>
        </w:rPr>
        <w:t>.</w:t>
      </w:r>
    </w:p>
    <w:p w:rsidR="003D6E72" w:rsidRDefault="00236477" w:rsidP="00236477">
      <w:pPr>
        <w:pStyle w:val="ONUMA"/>
      </w:pPr>
      <w:r>
        <w:rPr>
          <w:rtl/>
        </w:rPr>
        <w:t>وفيما يتعلق بالمع</w:t>
      </w:r>
      <w:r>
        <w:rPr>
          <w:rFonts w:hint="cs"/>
          <w:rtl/>
        </w:rPr>
        <w:t xml:space="preserve">يار </w:t>
      </w:r>
      <w:r>
        <w:rPr>
          <w:lang w:val="fr-CH"/>
        </w:rPr>
        <w:t>ST.96</w:t>
      </w:r>
      <w:r>
        <w:rPr>
          <w:rFonts w:hint="cs"/>
          <w:rtl/>
          <w:lang w:val="fr-CH" w:bidi="ar-SY"/>
        </w:rPr>
        <w:t xml:space="preserve"> (</w:t>
      </w:r>
      <w:r w:rsidRPr="00236477">
        <w:rPr>
          <w:rtl/>
        </w:rPr>
        <w:t xml:space="preserve">معالجة بيانات الملكية الفكرية باستخدام لغة الترميز </w:t>
      </w:r>
      <w:r>
        <w:rPr>
          <w:rFonts w:hint="cs"/>
          <w:rtl/>
        </w:rPr>
        <w:t xml:space="preserve">الموسعة </w:t>
      </w:r>
      <w:r>
        <w:rPr>
          <w:lang w:val="fr-CH"/>
        </w:rPr>
        <w:t>(XML)</w:t>
      </w:r>
      <w:r>
        <w:rPr>
          <w:rFonts w:hint="cs"/>
          <w:rtl/>
          <w:lang w:val="fr-CH" w:bidi="ar-SY"/>
        </w:rPr>
        <w:t>)</w:t>
      </w:r>
      <w:r w:rsidRPr="00236477">
        <w:rPr>
          <w:rtl/>
        </w:rPr>
        <w:t>، أحاطت لجنة المعايير علماً بأهمية التنفيذ المشترك للمعيار</w:t>
      </w:r>
      <w:r w:rsidRPr="00236477">
        <w:t xml:space="preserve"> ST.96 </w:t>
      </w:r>
      <w:r w:rsidRPr="00236477">
        <w:rPr>
          <w:rtl/>
        </w:rPr>
        <w:t>من طرف مكاتب الملكية الفكرية، ووافقت على أن يستضيف المكتب الدولي المستودع المركزي الذي يجمع سبل تنفيذ المعيار</w:t>
      </w:r>
      <w:r w:rsidRPr="00236477">
        <w:t xml:space="preserve"> ST.96 </w:t>
      </w:r>
      <w:r w:rsidRPr="00236477">
        <w:rPr>
          <w:rtl/>
        </w:rPr>
        <w:t>الخاصة بكل مكتب معني</w:t>
      </w:r>
      <w:r w:rsidRPr="00236477">
        <w:t>.</w:t>
      </w:r>
    </w:p>
    <w:p w:rsidR="008F2CCB" w:rsidRPr="00E41128" w:rsidRDefault="008F2CCB" w:rsidP="006144EE">
      <w:pPr>
        <w:pStyle w:val="Heading3"/>
        <w:spacing w:after="240"/>
        <w:rPr>
          <w:b/>
          <w:bCs w:val="0"/>
          <w:sz w:val="24"/>
          <w:szCs w:val="24"/>
        </w:rPr>
      </w:pPr>
      <w:r w:rsidRPr="00E41128">
        <w:rPr>
          <w:b/>
          <w:bCs w:val="0"/>
          <w:sz w:val="24"/>
          <w:szCs w:val="24"/>
          <w:rtl/>
        </w:rPr>
        <w:t xml:space="preserve">المشورة والمساعدة التقنيتين من أجل تكوين </w:t>
      </w:r>
      <w:r w:rsidRPr="00E41128">
        <w:rPr>
          <w:rFonts w:hint="cs"/>
          <w:b/>
          <w:bCs w:val="0"/>
          <w:sz w:val="24"/>
          <w:szCs w:val="24"/>
          <w:rtl/>
        </w:rPr>
        <w:t>ال</w:t>
      </w:r>
      <w:r w:rsidRPr="00E41128">
        <w:rPr>
          <w:b/>
          <w:bCs w:val="0"/>
          <w:sz w:val="24"/>
          <w:szCs w:val="24"/>
          <w:rtl/>
        </w:rPr>
        <w:t>كفاءات</w:t>
      </w:r>
    </w:p>
    <w:p w:rsidR="008F2CCB" w:rsidRPr="008F2CCB" w:rsidRDefault="008F2CCB" w:rsidP="008F2CCB">
      <w:pPr>
        <w:pStyle w:val="ONUMA"/>
        <w:rPr>
          <w:rtl/>
        </w:rPr>
      </w:pPr>
      <w:r w:rsidRPr="008F2CCB">
        <w:rPr>
          <w:rtl/>
        </w:rPr>
        <w:t xml:space="preserve">فيما يتعلق بتقديم المشورة والمساعدة التقنيتين من أجل تكوين الكفاءات لدى مكاتب الملكية الفكرية فيما يتعلق بمعايير الويبو، أحاطت لجنة المعايير علماً </w:t>
      </w:r>
      <w:r>
        <w:rPr>
          <w:rFonts w:hint="cs"/>
          <w:rtl/>
        </w:rPr>
        <w:t>بالتقرير (</w:t>
      </w:r>
      <w:r>
        <w:rPr>
          <w:rtl/>
        </w:rPr>
        <w:t>انظر الوثيق</w:t>
      </w:r>
      <w:r>
        <w:rPr>
          <w:rFonts w:hint="cs"/>
          <w:rtl/>
        </w:rPr>
        <w:t>ة</w:t>
      </w:r>
      <w:r w:rsidRPr="008F2CCB">
        <w:rPr>
          <w:rtl/>
        </w:rPr>
        <w:t xml:space="preserve"> </w:t>
      </w:r>
      <w:r>
        <w:rPr>
          <w:rFonts w:hint="cs"/>
          <w:rtl/>
        </w:rPr>
        <w:t xml:space="preserve">المرفقة </w:t>
      </w:r>
      <w:r>
        <w:t>CWS/8/22</w:t>
      </w:r>
      <w:r>
        <w:rPr>
          <w:rFonts w:hint="cs"/>
          <w:rtl/>
          <w:lang w:bidi="ar-SY"/>
        </w:rPr>
        <w:t xml:space="preserve">) بشأن </w:t>
      </w:r>
      <w:r w:rsidRPr="008F2CCB">
        <w:rPr>
          <w:rtl/>
        </w:rPr>
        <w:t>الأنشطة التي ا</w:t>
      </w:r>
      <w:r>
        <w:rPr>
          <w:rtl/>
        </w:rPr>
        <w:t>ضطلع بها المكتب الدولي خلال عام</w:t>
      </w:r>
      <w:r w:rsidRPr="008F2CCB">
        <w:rPr>
          <w:rtl/>
        </w:rPr>
        <w:t xml:space="preserve"> </w:t>
      </w:r>
      <w:r>
        <w:rPr>
          <w:rFonts w:hint="cs"/>
          <w:rtl/>
        </w:rPr>
        <w:t>2019</w:t>
      </w:r>
      <w:r w:rsidRPr="008F2CCB">
        <w:rPr>
          <w:rtl/>
        </w:rPr>
        <w:t>، بناءً على طلب الجمعية العامة للويبو في دورتها الأربعين المعقودة في أكتوبر 2011</w:t>
      </w:r>
      <w:r w:rsidRPr="008F2CCB">
        <w:t>.</w:t>
      </w:r>
      <w:r w:rsidRPr="008F2CCB">
        <w:rPr>
          <w:rFonts w:hint="cs"/>
          <w:rtl/>
        </w:rPr>
        <w:t xml:space="preserve"> </w:t>
      </w:r>
    </w:p>
    <w:p w:rsidR="00020B1D" w:rsidRDefault="00E41128" w:rsidP="006144EE">
      <w:pPr>
        <w:pStyle w:val="Heading2"/>
        <w:spacing w:after="240"/>
        <w:rPr>
          <w:b/>
          <w:bCs w:val="0"/>
          <w:i/>
          <w:iCs w:val="0"/>
          <w:sz w:val="24"/>
          <w:szCs w:val="24"/>
          <w:rtl/>
        </w:rPr>
      </w:pPr>
      <w:r>
        <w:rPr>
          <w:rFonts w:hint="cs"/>
          <w:b/>
          <w:bCs w:val="0"/>
          <w:i/>
          <w:iCs w:val="0"/>
          <w:sz w:val="24"/>
          <w:szCs w:val="24"/>
          <w:rtl/>
        </w:rPr>
        <w:t>برنامج العمل والأنشطة البارزة الأخرى</w:t>
      </w:r>
    </w:p>
    <w:p w:rsidR="00E41128" w:rsidRPr="00E41128" w:rsidRDefault="00E41128" w:rsidP="006144EE">
      <w:pPr>
        <w:pStyle w:val="Heading3"/>
        <w:spacing w:after="240"/>
        <w:rPr>
          <w:b/>
          <w:bCs w:val="0"/>
          <w:sz w:val="24"/>
          <w:szCs w:val="24"/>
        </w:rPr>
      </w:pPr>
      <w:r w:rsidRPr="00E41128">
        <w:rPr>
          <w:rFonts w:hint="cs"/>
          <w:b/>
          <w:bCs w:val="0"/>
          <w:sz w:val="24"/>
          <w:szCs w:val="24"/>
          <w:rtl/>
        </w:rPr>
        <w:t>مهام لجنة المعايير</w:t>
      </w:r>
    </w:p>
    <w:p w:rsidR="00E41128" w:rsidRDefault="00E41128" w:rsidP="00E41128">
      <w:pPr>
        <w:pStyle w:val="ONUMA"/>
      </w:pPr>
      <w:r>
        <w:rPr>
          <w:rFonts w:hint="cs"/>
          <w:rtl/>
        </w:rPr>
        <w:t>توجد حالياً</w:t>
      </w:r>
      <w:r w:rsidRPr="00E41128">
        <w:rPr>
          <w:rtl/>
        </w:rPr>
        <w:t xml:space="preserve"> 27 مهمة و 17 فرقة عمل في إطار اللجنة. </w:t>
      </w:r>
      <w:r>
        <w:rPr>
          <w:rFonts w:hint="cs"/>
          <w:rtl/>
        </w:rPr>
        <w:t>و</w:t>
      </w:r>
      <w:r w:rsidRPr="00E41128">
        <w:rPr>
          <w:rtl/>
        </w:rPr>
        <w:t>فيما يلي ملخص التعدي</w:t>
      </w:r>
      <w:r>
        <w:rPr>
          <w:rtl/>
        </w:rPr>
        <w:t xml:space="preserve">لات المتفق عليها </w:t>
      </w:r>
      <w:r>
        <w:rPr>
          <w:rFonts w:hint="cs"/>
          <w:rtl/>
        </w:rPr>
        <w:t xml:space="preserve">في </w:t>
      </w:r>
      <w:r w:rsidRPr="00E41128">
        <w:rPr>
          <w:rtl/>
        </w:rPr>
        <w:t>برنامج العمل</w:t>
      </w:r>
      <w:r w:rsidRPr="00E41128">
        <w:t>:</w:t>
      </w:r>
      <w:r>
        <w:rPr>
          <w:rFonts w:hint="cs"/>
          <w:rtl/>
        </w:rPr>
        <w:t xml:space="preserve"> </w:t>
      </w:r>
    </w:p>
    <w:p w:rsidR="00E41128" w:rsidRDefault="00E41128" w:rsidP="005F023E">
      <w:pPr>
        <w:pStyle w:val="bodyindent"/>
        <w:rPr>
          <w:rtl/>
        </w:rPr>
      </w:pPr>
      <w:r w:rsidRPr="00E41128">
        <w:rPr>
          <w:rtl/>
        </w:rPr>
        <w:t xml:space="preserve">(أ) </w:t>
      </w:r>
      <w:r w:rsidR="005F023E">
        <w:rPr>
          <w:rFonts w:hint="cs"/>
          <w:rtl/>
        </w:rPr>
        <w:t>أُنهيت</w:t>
      </w:r>
      <w:r>
        <w:rPr>
          <w:rtl/>
        </w:rPr>
        <w:t xml:space="preserve"> </w:t>
      </w:r>
      <w:r>
        <w:rPr>
          <w:rFonts w:hint="cs"/>
          <w:rtl/>
        </w:rPr>
        <w:t>ال</w:t>
      </w:r>
      <w:r>
        <w:rPr>
          <w:rtl/>
        </w:rPr>
        <w:t>مهمت</w:t>
      </w:r>
      <w:r w:rsidR="005F023E">
        <w:rPr>
          <w:rFonts w:hint="cs"/>
          <w:rtl/>
        </w:rPr>
        <w:t>ا</w:t>
      </w:r>
      <w:r w:rsidRPr="00E41128">
        <w:rPr>
          <w:rtl/>
        </w:rPr>
        <w:t>ن رقم 49 (</w:t>
      </w:r>
      <w:r>
        <w:rPr>
          <w:rFonts w:hint="cs"/>
          <w:rtl/>
        </w:rPr>
        <w:t>وضع</w:t>
      </w:r>
      <w:r w:rsidRPr="00E41128">
        <w:rPr>
          <w:rtl/>
        </w:rPr>
        <w:t xml:space="preserve"> معيار جديد </w:t>
      </w:r>
      <w:r>
        <w:rPr>
          <w:rFonts w:hint="cs"/>
          <w:rtl/>
        </w:rPr>
        <w:t>ل</w:t>
      </w:r>
      <w:r w:rsidRPr="00E41128">
        <w:rPr>
          <w:rtl/>
        </w:rPr>
        <w:t>لعلامات متعددة الوسائط) ورقم 53 (تطوير لغة الترميز الموسعة</w:t>
      </w:r>
      <w:r>
        <w:rPr>
          <w:rFonts w:hint="cs"/>
          <w:rtl/>
        </w:rPr>
        <w:t xml:space="preserve"> </w:t>
      </w:r>
      <w:r>
        <w:rPr>
          <w:lang w:val="fr-CH"/>
        </w:rPr>
        <w:t>(XML)</w:t>
      </w:r>
      <w:r w:rsidRPr="00E41128">
        <w:rPr>
          <w:rtl/>
        </w:rPr>
        <w:t xml:space="preserve"> </w:t>
      </w:r>
      <w:r>
        <w:rPr>
          <w:rFonts w:hint="cs"/>
          <w:rtl/>
        </w:rPr>
        <w:t>من أجل المؤشرات</w:t>
      </w:r>
      <w:r>
        <w:rPr>
          <w:rtl/>
        </w:rPr>
        <w:t xml:space="preserve"> الجغرافية) عند ا</w:t>
      </w:r>
      <w:r>
        <w:rPr>
          <w:rFonts w:hint="cs"/>
          <w:rtl/>
        </w:rPr>
        <w:t>ست</w:t>
      </w:r>
      <w:r>
        <w:rPr>
          <w:rtl/>
        </w:rPr>
        <w:t xml:space="preserve">كمالهما؛ </w:t>
      </w:r>
    </w:p>
    <w:p w:rsidR="005F023E" w:rsidRDefault="00E41128" w:rsidP="005F023E">
      <w:pPr>
        <w:pStyle w:val="bodyindent"/>
        <w:rPr>
          <w:rtl/>
        </w:rPr>
      </w:pPr>
      <w:r w:rsidRPr="00E41128">
        <w:rPr>
          <w:rtl/>
        </w:rPr>
        <w:t xml:space="preserve">(ب) </w:t>
      </w:r>
      <w:r w:rsidR="005F023E">
        <w:rPr>
          <w:rFonts w:hint="cs"/>
          <w:rtl/>
        </w:rPr>
        <w:t>نُقّحت</w:t>
      </w:r>
      <w:r w:rsidRPr="00E41128">
        <w:rPr>
          <w:rtl/>
        </w:rPr>
        <w:t xml:space="preserve"> </w:t>
      </w:r>
      <w:r w:rsidR="005F023E">
        <w:rPr>
          <w:rFonts w:hint="cs"/>
          <w:rtl/>
        </w:rPr>
        <w:t>اختصاصات</w:t>
      </w:r>
      <w:r w:rsidR="005F023E">
        <w:rPr>
          <w:rtl/>
        </w:rPr>
        <w:t xml:space="preserve"> </w:t>
      </w:r>
      <w:r w:rsidR="005F023E">
        <w:rPr>
          <w:rFonts w:hint="cs"/>
          <w:rtl/>
        </w:rPr>
        <w:t xml:space="preserve">خمس </w:t>
      </w:r>
      <w:r w:rsidRPr="00E41128">
        <w:rPr>
          <w:rtl/>
        </w:rPr>
        <w:t xml:space="preserve">مهام </w:t>
      </w:r>
      <w:r w:rsidR="005F023E">
        <w:rPr>
          <w:rFonts w:hint="cs"/>
          <w:rtl/>
        </w:rPr>
        <w:t>لتأخذ في الاعتبار</w:t>
      </w:r>
      <w:r w:rsidR="005F023E">
        <w:rPr>
          <w:rtl/>
        </w:rPr>
        <w:t xml:space="preserve"> ال</w:t>
      </w:r>
      <w:r w:rsidR="005F023E">
        <w:rPr>
          <w:rFonts w:hint="cs"/>
          <w:rtl/>
        </w:rPr>
        <w:t>مت</w:t>
      </w:r>
      <w:r w:rsidR="005F023E">
        <w:rPr>
          <w:rtl/>
        </w:rPr>
        <w:t>طلبات الجديدة</w:t>
      </w:r>
      <w:r w:rsidR="005F023E">
        <w:rPr>
          <w:rFonts w:hint="cs"/>
          <w:rtl/>
        </w:rPr>
        <w:t xml:space="preserve"> ونصوص </w:t>
      </w:r>
      <w:r w:rsidRPr="00E41128">
        <w:rPr>
          <w:rtl/>
        </w:rPr>
        <w:t>الأوصاف الجديدة المتفق عليها على النحو التالي</w:t>
      </w:r>
      <w:r w:rsidRPr="00E41128">
        <w:t>:</w:t>
      </w:r>
    </w:p>
    <w:p w:rsidR="005F023E" w:rsidRDefault="005F023E" w:rsidP="005F023E">
      <w:pPr>
        <w:pStyle w:val="ListParagraph"/>
        <w:numPr>
          <w:ilvl w:val="0"/>
          <w:numId w:val="21"/>
        </w:numPr>
      </w:pPr>
      <w:r w:rsidRPr="005F023E">
        <w:rPr>
          <w:rtl/>
        </w:rPr>
        <w:t xml:space="preserve">المهمة رقم 47: ضمان المراجعات والتحديثات الضرورية لمعايير الويبو </w:t>
      </w:r>
      <w:r w:rsidRPr="005F023E">
        <w:t>ST.27</w:t>
      </w:r>
      <w:r w:rsidRPr="005F023E">
        <w:rPr>
          <w:rtl/>
        </w:rPr>
        <w:t xml:space="preserve"> و</w:t>
      </w:r>
      <w:r w:rsidRPr="005F023E">
        <w:t>ST.87</w:t>
      </w:r>
      <w:r w:rsidRPr="005F023E">
        <w:rPr>
          <w:rtl/>
        </w:rPr>
        <w:t xml:space="preserve"> و</w:t>
      </w:r>
      <w:r w:rsidRPr="005F023E">
        <w:t>ST.61</w:t>
      </w:r>
      <w:r w:rsidRPr="005F023E">
        <w:rPr>
          <w:rtl/>
        </w:rPr>
        <w:t xml:space="preserve"> وإعداد مواد مساعدة لتسهيل استخدام تلك المعايير في مجتمع الملكية الفكرية؛ وتحليل إمكانية دمج المعايير الثلاثة </w:t>
      </w:r>
      <w:r w:rsidRPr="005F023E">
        <w:t>ST.27</w:t>
      </w:r>
      <w:r w:rsidRPr="005F023E">
        <w:rPr>
          <w:rtl/>
        </w:rPr>
        <w:t xml:space="preserve"> و</w:t>
      </w:r>
      <w:r w:rsidRPr="005F023E">
        <w:t>ST.87</w:t>
      </w:r>
      <w:r w:rsidRPr="005F023E">
        <w:rPr>
          <w:rtl/>
        </w:rPr>
        <w:t xml:space="preserve"> و</w:t>
      </w:r>
      <w:r w:rsidRPr="005F023E">
        <w:t>ST.61</w:t>
      </w:r>
      <w:r w:rsidRPr="005F023E">
        <w:rPr>
          <w:rtl/>
        </w:rPr>
        <w:t xml:space="preserve">؛ ودعم فرقة عمل </w:t>
      </w:r>
      <w:r w:rsidRPr="005F023E">
        <w:t>XML4IP</w:t>
      </w:r>
      <w:r w:rsidRPr="005F023E">
        <w:rPr>
          <w:rtl/>
        </w:rPr>
        <w:t xml:space="preserve"> لتطوير مكونات </w:t>
      </w:r>
      <w:r w:rsidRPr="005F023E">
        <w:t>XML</w:t>
      </w:r>
      <w:r w:rsidRPr="005F023E">
        <w:rPr>
          <w:rtl/>
        </w:rPr>
        <w:t xml:space="preserve"> لبيانات أحداث الوضع القانوني</w:t>
      </w:r>
      <w:r>
        <w:rPr>
          <w:rFonts w:hint="cs"/>
          <w:rtl/>
        </w:rPr>
        <w:t>.</w:t>
      </w:r>
    </w:p>
    <w:p w:rsidR="005F023E" w:rsidRDefault="005F023E" w:rsidP="005F023E">
      <w:pPr>
        <w:pStyle w:val="ListParagraph"/>
        <w:numPr>
          <w:ilvl w:val="0"/>
          <w:numId w:val="21"/>
        </w:numPr>
      </w:pPr>
      <w:r w:rsidRPr="005F023E">
        <w:rPr>
          <w:rtl/>
        </w:rPr>
        <w:t xml:space="preserve">المهمة رقم 56: ضمان إدخال التعديلات والتحديثات اللازمة على معيار الويبو </w:t>
      </w:r>
      <w:r w:rsidRPr="005F023E">
        <w:t>ST.90</w:t>
      </w:r>
      <w:r w:rsidRPr="005F023E">
        <w:rPr>
          <w:rtl/>
        </w:rPr>
        <w:t xml:space="preserve">؛ ودعم المكتب الدولي في تطوير فهرس موحد يضم واجهات برمجة التطبيقات التي تتيحها المكاتب؛ ودعم المكتب الدولي في تعزيز وتنفيذ معيار الويبو </w:t>
      </w:r>
      <w:r w:rsidRPr="005F023E">
        <w:t>ST.90</w:t>
      </w:r>
      <w:r>
        <w:rPr>
          <w:rFonts w:hint="cs"/>
          <w:rtl/>
        </w:rPr>
        <w:t>.</w:t>
      </w:r>
    </w:p>
    <w:p w:rsidR="005F023E" w:rsidRDefault="005F023E" w:rsidP="005F023E">
      <w:pPr>
        <w:pStyle w:val="ListParagraph"/>
        <w:numPr>
          <w:ilvl w:val="0"/>
          <w:numId w:val="21"/>
        </w:numPr>
      </w:pPr>
      <w:r w:rsidRPr="005F023E">
        <w:rPr>
          <w:rtl/>
        </w:rPr>
        <w:t xml:space="preserve">المهمة رقم 57: ضمان المراجعات والتحديثات اللازمة لمعيار الويبو </w:t>
      </w:r>
      <w:r w:rsidRPr="005F023E">
        <w:t>ST.88.</w:t>
      </w:r>
      <w:r>
        <w:rPr>
          <w:rFonts w:hint="cs"/>
          <w:rtl/>
        </w:rPr>
        <w:t>.</w:t>
      </w:r>
    </w:p>
    <w:p w:rsidR="005F023E" w:rsidRDefault="005F023E" w:rsidP="005F023E">
      <w:pPr>
        <w:pStyle w:val="ListParagraph"/>
        <w:numPr>
          <w:ilvl w:val="0"/>
          <w:numId w:val="21"/>
        </w:numPr>
      </w:pPr>
      <w:r w:rsidRPr="005F023E">
        <w:rPr>
          <w:rtl/>
        </w:rPr>
        <w:t>المهمة رقم 61: اقتراح توصيات بشأن النماذج والصور الرقمية ثلاثية الأبعاد، بما في ذلك طرق البحث عن النماذج ثلاثية الأبعاد والصور ثلاثية الأبعاد.</w:t>
      </w:r>
    </w:p>
    <w:p w:rsidR="008C1023" w:rsidRPr="005F023E" w:rsidRDefault="005F023E" w:rsidP="005F023E">
      <w:pPr>
        <w:pStyle w:val="ListParagraph"/>
        <w:numPr>
          <w:ilvl w:val="0"/>
          <w:numId w:val="21"/>
        </w:numPr>
        <w:rPr>
          <w:rtl/>
        </w:rPr>
      </w:pPr>
      <w:r w:rsidRPr="005F023E">
        <w:rPr>
          <w:rtl/>
        </w:rPr>
        <w:t xml:space="preserve">المهمة رقم 62: استعراض معايير الويبو التالية: </w:t>
      </w:r>
      <w:r w:rsidRPr="005F023E">
        <w:t>ST.6</w:t>
      </w:r>
      <w:r w:rsidRPr="005F023E">
        <w:rPr>
          <w:rtl/>
        </w:rPr>
        <w:t xml:space="preserve"> و</w:t>
      </w:r>
      <w:r w:rsidRPr="005F023E">
        <w:t>ST.8</w:t>
      </w:r>
      <w:r w:rsidRPr="005F023E">
        <w:rPr>
          <w:rtl/>
        </w:rPr>
        <w:t xml:space="preserve"> و</w:t>
      </w:r>
      <w:r w:rsidRPr="005F023E">
        <w:t>ST.10</w:t>
      </w:r>
      <w:r w:rsidRPr="005F023E">
        <w:rPr>
          <w:rtl/>
        </w:rPr>
        <w:t xml:space="preserve"> و</w:t>
      </w:r>
      <w:r w:rsidRPr="005F023E">
        <w:t>ST.11</w:t>
      </w:r>
      <w:r w:rsidRPr="005F023E">
        <w:rPr>
          <w:rtl/>
        </w:rPr>
        <w:t xml:space="preserve"> و</w:t>
      </w:r>
      <w:r w:rsidRPr="005F023E">
        <w:t>ST.15</w:t>
      </w:r>
      <w:r w:rsidRPr="005F023E">
        <w:rPr>
          <w:rtl/>
        </w:rPr>
        <w:t xml:space="preserve"> و</w:t>
      </w:r>
      <w:r w:rsidRPr="005F023E">
        <w:t>ST.17</w:t>
      </w:r>
      <w:r w:rsidRPr="005F023E">
        <w:rPr>
          <w:rtl/>
        </w:rPr>
        <w:t xml:space="preserve"> و</w:t>
      </w:r>
      <w:r w:rsidRPr="005F023E">
        <w:t>ST.18</w:t>
      </w:r>
      <w:r w:rsidRPr="005F023E">
        <w:rPr>
          <w:rtl/>
        </w:rPr>
        <w:t xml:space="preserve"> و</w:t>
      </w:r>
      <w:r w:rsidRPr="005F023E">
        <w:t>ST.63</w:t>
      </w:r>
      <w:r w:rsidRPr="005F023E">
        <w:rPr>
          <w:rtl/>
        </w:rPr>
        <w:t xml:space="preserve"> و</w:t>
      </w:r>
      <w:r w:rsidRPr="005F023E">
        <w:t>ST.81</w:t>
      </w:r>
      <w:r w:rsidRPr="005F023E">
        <w:rPr>
          <w:rtl/>
        </w:rPr>
        <w:t>، والجزء 6 من دليل الويبو، لأغراض النشر الإلكتروني لوثائق الملكية الفكرية؛ واقتراح تعديلات على تلك المعايير والمواد عند الاقتضاء</w:t>
      </w:r>
      <w:r>
        <w:rPr>
          <w:rFonts w:hint="cs"/>
          <w:rtl/>
        </w:rPr>
        <w:t>.</w:t>
      </w:r>
      <w:r w:rsidR="008C1023" w:rsidRPr="005F023E">
        <w:rPr>
          <w:rtl/>
        </w:rPr>
        <w:br w:type="page"/>
      </w:r>
    </w:p>
    <w:p w:rsidR="005F023E" w:rsidRDefault="005F023E" w:rsidP="005F023E">
      <w:pPr>
        <w:pStyle w:val="ONUMA"/>
      </w:pPr>
      <w:r>
        <w:rPr>
          <w:rFonts w:hint="cs"/>
          <w:rtl/>
        </w:rPr>
        <w:lastRenderedPageBreak/>
        <w:t>و</w:t>
      </w:r>
      <w:r>
        <w:rPr>
          <w:rtl/>
        </w:rPr>
        <w:t>وافقت اللجنة أيض</w:t>
      </w:r>
      <w:r>
        <w:rPr>
          <w:rFonts w:hint="cs"/>
          <w:rtl/>
        </w:rPr>
        <w:t xml:space="preserve">اً </w:t>
      </w:r>
      <w:r w:rsidRPr="005F023E">
        <w:rPr>
          <w:rtl/>
        </w:rPr>
        <w:t xml:space="preserve">على مواصلة العمل </w:t>
      </w:r>
      <w:r>
        <w:rPr>
          <w:rFonts w:hint="cs"/>
          <w:rtl/>
        </w:rPr>
        <w:t>على</w:t>
      </w:r>
      <w:r w:rsidRPr="005F023E">
        <w:rPr>
          <w:rtl/>
        </w:rPr>
        <w:t xml:space="preserve"> المهام الثمانية التالية:</w:t>
      </w:r>
    </w:p>
    <w:p w:rsidR="005F023E" w:rsidRDefault="005F023E" w:rsidP="005F023E">
      <w:pPr>
        <w:pStyle w:val="ONUMA"/>
        <w:numPr>
          <w:ilvl w:val="0"/>
          <w:numId w:val="22"/>
        </w:numPr>
      </w:pPr>
      <w:r>
        <w:rPr>
          <w:rFonts w:hint="cs"/>
          <w:rtl/>
        </w:rPr>
        <w:t>دعم وضع برمجية الويبو للتسلسل والمراجعة ا</w:t>
      </w:r>
      <w:r w:rsidRPr="005F023E">
        <w:rPr>
          <w:rtl/>
        </w:rPr>
        <w:t>للاحقة للتعليمات الإدارية لمعاهدة التعاون بشأن البراءات؛ وإعداد المراجعات اللازمة لمعيار الويبو</w:t>
      </w:r>
      <w:r w:rsidRPr="005F023E">
        <w:t xml:space="preserve"> ST.26</w:t>
      </w:r>
      <w:r>
        <w:rPr>
          <w:rFonts w:hint="cs"/>
          <w:rtl/>
        </w:rPr>
        <w:t xml:space="preserve"> (المهمة رقم 44)؛</w:t>
      </w:r>
    </w:p>
    <w:p w:rsidR="00456015" w:rsidRDefault="00456015" w:rsidP="00456015">
      <w:pPr>
        <w:pStyle w:val="ONUMA"/>
        <w:numPr>
          <w:ilvl w:val="0"/>
          <w:numId w:val="22"/>
        </w:numPr>
      </w:pPr>
      <w:r>
        <w:rPr>
          <w:rFonts w:hint="cs"/>
          <w:rtl/>
          <w:lang w:bidi="ar-SY"/>
        </w:rPr>
        <w:t xml:space="preserve">إجراء </w:t>
      </w:r>
      <w:r w:rsidR="005F023E">
        <w:rPr>
          <w:rFonts w:hint="cs"/>
          <w:rtl/>
        </w:rPr>
        <w:t xml:space="preserve">دراسة استقصائية بشأن </w:t>
      </w:r>
      <w:r>
        <w:rPr>
          <w:rFonts w:hint="cs"/>
          <w:rtl/>
        </w:rPr>
        <w:t>معلومات البراءات المتاحة للجمهور وإعداد توصيات بشأن أنظمة النفاذ إلى تلك المعلومات (المهمة رقم 52)؛</w:t>
      </w:r>
    </w:p>
    <w:p w:rsidR="00185EA7" w:rsidRDefault="00185EA7" w:rsidP="00456015">
      <w:pPr>
        <w:pStyle w:val="ONUMA"/>
        <w:numPr>
          <w:ilvl w:val="0"/>
          <w:numId w:val="22"/>
        </w:numPr>
      </w:pPr>
      <w:r>
        <w:rPr>
          <w:rFonts w:hint="cs"/>
          <w:rtl/>
        </w:rPr>
        <w:t>توحيد أسماء المودعين في الوثائق المتعلقة بالملكية الفكرية (المهمة رقم 55)؛</w:t>
      </w:r>
    </w:p>
    <w:p w:rsidR="00456015" w:rsidRDefault="00456015" w:rsidP="00456015">
      <w:pPr>
        <w:pStyle w:val="ONUMA"/>
        <w:numPr>
          <w:ilvl w:val="0"/>
          <w:numId w:val="22"/>
        </w:numPr>
      </w:pPr>
      <w:r w:rsidRPr="00456015">
        <w:rPr>
          <w:rtl/>
        </w:rPr>
        <w:t>استراتيجيات تكنولوجيا المعلومات والاتصالات ومعايير الويبو لتمكين أوساط الملكية الفكرية من إنتاج بيانات الملكية الصناعية وتبادلها واستخدامها بفعالية (المهمة رقم 58)؛</w:t>
      </w:r>
    </w:p>
    <w:p w:rsidR="00456015" w:rsidRDefault="00456015" w:rsidP="00456015">
      <w:pPr>
        <w:pStyle w:val="ONUMA"/>
        <w:numPr>
          <w:ilvl w:val="0"/>
          <w:numId w:val="22"/>
        </w:numPr>
      </w:pPr>
      <w:r w:rsidRPr="00456015">
        <w:rPr>
          <w:rFonts w:hint="cs"/>
          <w:rtl/>
        </w:rPr>
        <w:t>استخدام</w:t>
      </w:r>
      <w:r>
        <w:rPr>
          <w:rFonts w:hint="cs"/>
          <w:rtl/>
        </w:rPr>
        <w:t xml:space="preserve"> نظام</w:t>
      </w:r>
      <w:r w:rsidRPr="00456015">
        <w:rPr>
          <w:rFonts w:hint="cs"/>
          <w:rtl/>
        </w:rPr>
        <w:t xml:space="preserve"> </w:t>
      </w:r>
      <w:r w:rsidRPr="00456015">
        <w:rPr>
          <w:rtl/>
        </w:rPr>
        <w:t>سلسلة الكتل في مجال الملكية الفكرية لتوفير الحماية بموجب حقوق المؤلف ومعالجة المعلومات المتعلقة بعناصر الملكية الفكرية واستخدامها (المهمة رقم 59)؛</w:t>
      </w:r>
    </w:p>
    <w:p w:rsidR="00456015" w:rsidRPr="00456015" w:rsidRDefault="00456015" w:rsidP="00456015">
      <w:pPr>
        <w:pStyle w:val="ONUMA"/>
        <w:numPr>
          <w:ilvl w:val="0"/>
          <w:numId w:val="22"/>
        </w:numPr>
      </w:pPr>
      <w:r w:rsidRPr="00456015">
        <w:rPr>
          <w:rFonts w:ascii="Calibri" w:hAnsi="Calibri"/>
          <w:shd w:val="clear" w:color="auto" w:fill="FFFFFF"/>
          <w:rtl/>
        </w:rPr>
        <w:t>رموز الأرقام المتفق عليها دولياً في تحديد البيانات (البيبليوغرافية) لأنواع العلامات التجارية الجديدة (المهمة رقم 60)؛</w:t>
      </w:r>
    </w:p>
    <w:p w:rsidR="00456015" w:rsidRPr="00456015" w:rsidRDefault="00456015" w:rsidP="00456015">
      <w:pPr>
        <w:pStyle w:val="ONUMA"/>
        <w:numPr>
          <w:ilvl w:val="0"/>
          <w:numId w:val="22"/>
        </w:numPr>
      </w:pPr>
      <w:r>
        <w:rPr>
          <w:rFonts w:ascii="Calibri" w:hAnsi="Calibri" w:hint="cs"/>
          <w:shd w:val="clear" w:color="auto" w:fill="FFFFFF"/>
          <w:rtl/>
        </w:rPr>
        <w:t>التصوير المرئي للبيانات بلغة الترميز الموسعة بالاستناد إلى معايير الويبو الخاصة بلغة الترميز الموسعة (المهمة رقم 63)؛</w:t>
      </w:r>
    </w:p>
    <w:p w:rsidR="00456015" w:rsidRPr="00456015" w:rsidRDefault="00456015" w:rsidP="00456015">
      <w:pPr>
        <w:pStyle w:val="ONUMA"/>
        <w:numPr>
          <w:ilvl w:val="0"/>
          <w:numId w:val="22"/>
        </w:numPr>
      </w:pPr>
      <w:r w:rsidRPr="00456015">
        <w:rPr>
          <w:rtl/>
        </w:rPr>
        <w:t>التوصيات الخاصة بموارد نسق ترقيم عناصر جافاسكريبت</w:t>
      </w:r>
      <w:r w:rsidRPr="00456015">
        <w:t xml:space="preserve"> (JSON) </w:t>
      </w:r>
      <w:r w:rsidRPr="00456015">
        <w:rPr>
          <w:rtl/>
        </w:rPr>
        <w:t>التي تتوافق مع المعيار</w:t>
      </w:r>
      <w:r w:rsidRPr="00456015">
        <w:t xml:space="preserve"> ST.96</w:t>
      </w:r>
      <w:r w:rsidRPr="00456015">
        <w:rPr>
          <w:rtl/>
        </w:rPr>
        <w:t>، كي يستخدم النسق لإيداع المعلومات المتعلقة بالملكية الفكرية ومعالجتها و/أو نشرها و/أو تبادلها</w:t>
      </w:r>
      <w:r>
        <w:rPr>
          <w:rFonts w:hint="cs"/>
          <w:rtl/>
        </w:rPr>
        <w:t xml:space="preserve"> (المهمة رقم 64).</w:t>
      </w:r>
    </w:p>
    <w:p w:rsidR="00456015" w:rsidRPr="00456015" w:rsidRDefault="00456015" w:rsidP="006144EE">
      <w:pPr>
        <w:pStyle w:val="Heading3"/>
        <w:spacing w:after="240"/>
        <w:rPr>
          <w:b/>
          <w:bCs w:val="0"/>
          <w:sz w:val="24"/>
          <w:szCs w:val="24"/>
        </w:rPr>
      </w:pPr>
      <w:r w:rsidRPr="00456015">
        <w:rPr>
          <w:rFonts w:hint="cs"/>
          <w:b/>
          <w:bCs w:val="0"/>
          <w:sz w:val="24"/>
          <w:szCs w:val="24"/>
          <w:rtl/>
        </w:rPr>
        <w:t>فرق العمل والأنشطة الأخرى</w:t>
      </w:r>
    </w:p>
    <w:p w:rsidR="00456015" w:rsidRDefault="0017373B" w:rsidP="0017373B">
      <w:pPr>
        <w:pStyle w:val="ONUMA"/>
      </w:pPr>
      <w:r w:rsidRPr="0017373B">
        <w:rPr>
          <w:rtl/>
        </w:rPr>
        <w:t xml:space="preserve">تلقت </w:t>
      </w:r>
      <w:r>
        <w:rPr>
          <w:rFonts w:hint="cs"/>
          <w:rtl/>
          <w:lang w:bidi="ar-SY"/>
        </w:rPr>
        <w:t>لجنة المعايير</w:t>
      </w:r>
      <w:r w:rsidRPr="0017373B">
        <w:rPr>
          <w:rtl/>
        </w:rPr>
        <w:t xml:space="preserve"> تقارير مرحلية </w:t>
      </w:r>
      <w:r>
        <w:rPr>
          <w:rFonts w:hint="cs"/>
          <w:rtl/>
          <w:lang w:bidi="ar-SY"/>
        </w:rPr>
        <w:t>عن الأنشطة التي تضطلع بها</w:t>
      </w:r>
      <w:r>
        <w:rPr>
          <w:rtl/>
        </w:rPr>
        <w:t xml:space="preserve"> فرق العمل التسعة التابعة لها</w:t>
      </w:r>
      <w:r>
        <w:rPr>
          <w:rFonts w:hint="cs"/>
          <w:rtl/>
        </w:rPr>
        <w:t xml:space="preserve"> والمعنية ب</w:t>
      </w:r>
      <w:r w:rsidRPr="0017373B">
        <w:rPr>
          <w:rtl/>
        </w:rPr>
        <w:t>استراتيجية تكنولوجيا</w:t>
      </w:r>
      <w:r>
        <w:rPr>
          <w:rtl/>
        </w:rPr>
        <w:t xml:space="preserve"> المعلومات والاتصالات للمعايير</w:t>
      </w:r>
      <w:r>
        <w:rPr>
          <w:rFonts w:hint="cs"/>
          <w:rtl/>
        </w:rPr>
        <w:t>،</w:t>
      </w:r>
      <w:r w:rsidRPr="0017373B">
        <w:rPr>
          <w:rtl/>
        </w:rPr>
        <w:t xml:space="preserve"> </w:t>
      </w:r>
      <w:r>
        <w:rPr>
          <w:rFonts w:hint="cs"/>
          <w:rtl/>
        </w:rPr>
        <w:t>و</w:t>
      </w:r>
      <w:r w:rsidRPr="0017373B">
        <w:t>XML4IP</w:t>
      </w:r>
      <w:r w:rsidRPr="0017373B">
        <w:rPr>
          <w:rtl/>
        </w:rPr>
        <w:t xml:space="preserve">، </w:t>
      </w:r>
      <w:r>
        <w:rPr>
          <w:rFonts w:hint="cs"/>
          <w:rtl/>
        </w:rPr>
        <w:t>وسلاسل الكتل</w:t>
      </w:r>
      <w:r>
        <w:rPr>
          <w:rtl/>
        </w:rPr>
        <w:t xml:space="preserve">، </w:t>
      </w:r>
      <w:r>
        <w:rPr>
          <w:rFonts w:hint="cs"/>
          <w:rtl/>
        </w:rPr>
        <w:t>و</w:t>
      </w:r>
      <w:r>
        <w:rPr>
          <w:rtl/>
        </w:rPr>
        <w:t xml:space="preserve">توحيد </w:t>
      </w:r>
      <w:r>
        <w:rPr>
          <w:rFonts w:hint="cs"/>
          <w:rtl/>
        </w:rPr>
        <w:t>أسماء المودعين</w:t>
      </w:r>
      <w:r w:rsidRPr="0017373B">
        <w:rPr>
          <w:rtl/>
        </w:rPr>
        <w:t xml:space="preserve">، </w:t>
      </w:r>
      <w:r>
        <w:rPr>
          <w:rFonts w:hint="cs"/>
          <w:rtl/>
        </w:rPr>
        <w:t>والنماذج والصور ثلاثية الأبعاد</w:t>
      </w:r>
      <w:r>
        <w:rPr>
          <w:rtl/>
        </w:rPr>
        <w:t xml:space="preserve">، </w:t>
      </w:r>
      <w:r>
        <w:rPr>
          <w:rFonts w:hint="cs"/>
          <w:rtl/>
        </w:rPr>
        <w:t>و</w:t>
      </w:r>
      <w:r>
        <w:rPr>
          <w:rtl/>
        </w:rPr>
        <w:t xml:space="preserve">التحول الرقمي، </w:t>
      </w:r>
      <w:r>
        <w:rPr>
          <w:rFonts w:hint="cs"/>
          <w:rtl/>
        </w:rPr>
        <w:t>و</w:t>
      </w:r>
      <w:r>
        <w:rPr>
          <w:rtl/>
        </w:rPr>
        <w:t>الوضع</w:t>
      </w:r>
      <w:r>
        <w:rPr>
          <w:rFonts w:hint="cs"/>
          <w:rtl/>
        </w:rPr>
        <w:t xml:space="preserve"> القانوني، وت</w:t>
      </w:r>
      <w:r>
        <w:rPr>
          <w:rtl/>
        </w:rPr>
        <w:t>وحيد العلامات التجارية</w:t>
      </w:r>
      <w:r>
        <w:rPr>
          <w:rFonts w:hint="cs"/>
          <w:rtl/>
        </w:rPr>
        <w:t>،</w:t>
      </w:r>
      <w:r>
        <w:rPr>
          <w:rtl/>
        </w:rPr>
        <w:t xml:space="preserve"> </w:t>
      </w:r>
      <w:r>
        <w:rPr>
          <w:rFonts w:hint="cs"/>
          <w:rtl/>
        </w:rPr>
        <w:t>ونفاذ الجمهور</w:t>
      </w:r>
      <w:r w:rsidRPr="0017373B">
        <w:rPr>
          <w:rtl/>
        </w:rPr>
        <w:t xml:space="preserve"> </w:t>
      </w:r>
      <w:r>
        <w:rPr>
          <w:rtl/>
        </w:rPr>
        <w:t>إلى معلومات البراءات</w:t>
      </w:r>
      <w:r>
        <w:rPr>
          <w:rFonts w:hint="cs"/>
          <w:rtl/>
        </w:rPr>
        <w:t>.</w:t>
      </w:r>
    </w:p>
    <w:p w:rsidR="0017373B" w:rsidRDefault="0017373B" w:rsidP="0017373B">
      <w:pPr>
        <w:pStyle w:val="ONUMA"/>
      </w:pPr>
      <w:r>
        <w:rPr>
          <w:rFonts w:hint="cs"/>
          <w:rtl/>
        </w:rPr>
        <w:t>وطلبت اللجنة ما يلي:</w:t>
      </w:r>
    </w:p>
    <w:p w:rsidR="0017373B" w:rsidRDefault="0017373B" w:rsidP="0017373B">
      <w:pPr>
        <w:pStyle w:val="bodyindent"/>
        <w:rPr>
          <w:rtl/>
        </w:rPr>
      </w:pPr>
      <w:r w:rsidRPr="0017373B">
        <w:rPr>
          <w:rFonts w:hint="cs"/>
          <w:rtl/>
        </w:rPr>
        <w:t>(أ</w:t>
      </w:r>
      <w:r>
        <w:rPr>
          <w:rFonts w:hint="cs"/>
          <w:rtl/>
        </w:rPr>
        <w:t>)</w:t>
      </w:r>
      <w:r>
        <w:rPr>
          <w:rFonts w:hint="cs"/>
          <w:rtl/>
        </w:rPr>
        <w:tab/>
      </w:r>
      <w:r w:rsidRPr="0017373B">
        <w:rPr>
          <w:rFonts w:hint="cs"/>
          <w:rtl/>
        </w:rPr>
        <w:t>أن تقدم</w:t>
      </w:r>
      <w:r w:rsidR="003B58A4">
        <w:rPr>
          <w:rFonts w:hint="cs"/>
          <w:rtl/>
        </w:rPr>
        <w:t xml:space="preserve"> لها</w:t>
      </w:r>
      <w:r w:rsidRPr="0017373B">
        <w:rPr>
          <w:rFonts w:hint="cs"/>
          <w:rtl/>
        </w:rPr>
        <w:t xml:space="preserve"> </w:t>
      </w:r>
      <w:r w:rsidRPr="0017373B">
        <w:rPr>
          <w:rtl/>
        </w:rPr>
        <w:t>فرقة عم</w:t>
      </w:r>
      <w:r w:rsidRPr="0017373B">
        <w:rPr>
          <w:rFonts w:hint="cs"/>
          <w:rtl/>
        </w:rPr>
        <w:t xml:space="preserve">ل </w:t>
      </w:r>
      <w:r w:rsidRPr="0017373B">
        <w:t>XML4IP</w:t>
      </w:r>
      <w:r w:rsidRPr="0017373B">
        <w:rPr>
          <w:rFonts w:hint="cs"/>
          <w:rtl/>
        </w:rPr>
        <w:t xml:space="preserve">، </w:t>
      </w:r>
      <w:r w:rsidRPr="0017373B">
        <w:rPr>
          <w:rtl/>
        </w:rPr>
        <w:t xml:space="preserve">في دورتها </w:t>
      </w:r>
      <w:r w:rsidRPr="0017373B">
        <w:rPr>
          <w:rFonts w:hint="cs"/>
          <w:rtl/>
        </w:rPr>
        <w:t xml:space="preserve">التاسعة، </w:t>
      </w:r>
      <w:r w:rsidRPr="0017373B">
        <w:rPr>
          <w:rtl/>
        </w:rPr>
        <w:t>اقتراح</w:t>
      </w:r>
      <w:r w:rsidRPr="0017373B">
        <w:rPr>
          <w:rFonts w:hint="cs"/>
          <w:rtl/>
        </w:rPr>
        <w:t>اً</w:t>
      </w:r>
      <w:r w:rsidRPr="0017373B">
        <w:rPr>
          <w:rtl/>
        </w:rPr>
        <w:t xml:space="preserve"> </w:t>
      </w:r>
      <w:r w:rsidRPr="0017373B">
        <w:rPr>
          <w:rFonts w:hint="cs"/>
          <w:rtl/>
        </w:rPr>
        <w:t>بشأن المنصة الملائمة للتواصل مع المطورين الخ</w:t>
      </w:r>
      <w:r w:rsidR="003B58A4">
        <w:rPr>
          <w:rFonts w:hint="cs"/>
          <w:rtl/>
        </w:rPr>
        <w:t>ارجيين؛</w:t>
      </w:r>
    </w:p>
    <w:p w:rsidR="0017373B" w:rsidRDefault="0017373B" w:rsidP="0017373B">
      <w:pPr>
        <w:pStyle w:val="bodyindent"/>
        <w:rPr>
          <w:rtl/>
          <w:lang w:val="fr-CH" w:bidi="ar-SY"/>
        </w:rPr>
      </w:pPr>
      <w:r>
        <w:rPr>
          <w:rFonts w:hint="cs"/>
          <w:rtl/>
        </w:rPr>
        <w:t>(ب)</w:t>
      </w:r>
      <w:r>
        <w:rPr>
          <w:rFonts w:hint="cs"/>
          <w:rtl/>
        </w:rPr>
        <w:tab/>
        <w:t>أن تُعدّ فرقة العمل المعنية بتوحيد الأسماء، لأغراض الدورة القادمة للجنة، ت</w:t>
      </w:r>
      <w:r w:rsidRPr="0017373B">
        <w:rPr>
          <w:rtl/>
        </w:rPr>
        <w:t>وصيات مقترحة بخصوص جودة بيانات المودعين من أجل دعم توحيد الأسماء، كما</w:t>
      </w:r>
      <w:r>
        <w:rPr>
          <w:rtl/>
        </w:rPr>
        <w:t xml:space="preserve"> هو مذكور في الفقرة 4 م</w:t>
      </w:r>
      <w:r>
        <w:rPr>
          <w:rFonts w:hint="cs"/>
          <w:rtl/>
        </w:rPr>
        <w:t xml:space="preserve">ن الوثيقة </w:t>
      </w:r>
      <w:r>
        <w:rPr>
          <w:lang w:val="fr-CH"/>
        </w:rPr>
        <w:t>CWS/8/16</w:t>
      </w:r>
      <w:r w:rsidR="003B58A4">
        <w:rPr>
          <w:rFonts w:hint="cs"/>
          <w:rtl/>
          <w:lang w:val="fr-CH" w:bidi="ar-SY"/>
        </w:rPr>
        <w:t>؛</w:t>
      </w:r>
    </w:p>
    <w:p w:rsidR="0017373B" w:rsidRDefault="0017373B" w:rsidP="0017373B">
      <w:pPr>
        <w:pStyle w:val="bodyindent"/>
        <w:rPr>
          <w:rtl/>
          <w:lang w:val="fr-CH" w:bidi="ar-SY"/>
        </w:rPr>
      </w:pPr>
      <w:r>
        <w:rPr>
          <w:rFonts w:hint="cs"/>
          <w:rtl/>
          <w:lang w:val="fr-CH" w:bidi="ar-SY"/>
        </w:rPr>
        <w:t>(ج)</w:t>
      </w:r>
      <w:r>
        <w:rPr>
          <w:rFonts w:hint="cs"/>
          <w:rtl/>
          <w:lang w:val="fr-CH" w:bidi="ar-SY"/>
        </w:rPr>
        <w:tab/>
        <w:t>أن تقدم</w:t>
      </w:r>
      <w:r w:rsidR="003B58A4">
        <w:rPr>
          <w:rFonts w:hint="cs"/>
          <w:rtl/>
          <w:lang w:val="fr-CH" w:bidi="ar-SY"/>
        </w:rPr>
        <w:t xml:space="preserve"> لها</w:t>
      </w:r>
      <w:r>
        <w:rPr>
          <w:rFonts w:hint="cs"/>
          <w:rtl/>
          <w:lang w:val="fr-CH" w:bidi="ar-SY"/>
        </w:rPr>
        <w:t xml:space="preserve"> فرقة العمل المعنية بالوضع القانوني، في دورتها المقبلة، </w:t>
      </w:r>
      <w:r w:rsidRPr="0017373B">
        <w:rPr>
          <w:rtl/>
        </w:rPr>
        <w:t>اقتراحاً بشأن استخدام الرموز المخصصة في معيار الويبو</w:t>
      </w:r>
      <w:r>
        <w:rPr>
          <w:rFonts w:hint="cs"/>
          <w:rtl/>
        </w:rPr>
        <w:t xml:space="preserve">  </w:t>
      </w:r>
      <w:r>
        <w:rPr>
          <w:lang w:val="fr-CH"/>
        </w:rPr>
        <w:t>ST.27</w:t>
      </w:r>
      <w:r w:rsidR="003B58A4">
        <w:rPr>
          <w:rFonts w:hint="cs"/>
          <w:rtl/>
          <w:lang w:val="fr-CH" w:bidi="ar-SY"/>
        </w:rPr>
        <w:t>؛</w:t>
      </w:r>
    </w:p>
    <w:p w:rsidR="0017373B" w:rsidRDefault="0017373B" w:rsidP="0017373B">
      <w:pPr>
        <w:pStyle w:val="bodyindent"/>
        <w:rPr>
          <w:rtl/>
        </w:rPr>
      </w:pPr>
      <w:r>
        <w:rPr>
          <w:rFonts w:hint="cs"/>
          <w:rtl/>
          <w:lang w:val="fr-CH" w:bidi="ar-SY"/>
        </w:rPr>
        <w:t>(د)</w:t>
      </w:r>
      <w:r>
        <w:rPr>
          <w:rFonts w:hint="cs"/>
          <w:rtl/>
          <w:lang w:val="fr-CH" w:bidi="ar-SY"/>
        </w:rPr>
        <w:tab/>
        <w:t xml:space="preserve">أن تصدر الأمانة </w:t>
      </w:r>
      <w:r w:rsidRPr="0017373B">
        <w:rPr>
          <w:rtl/>
        </w:rPr>
        <w:t>تعميم</w:t>
      </w:r>
      <w:r>
        <w:rPr>
          <w:rFonts w:hint="cs"/>
          <w:rtl/>
        </w:rPr>
        <w:t>اً</w:t>
      </w:r>
      <w:r w:rsidRPr="0017373B">
        <w:rPr>
          <w:rtl/>
        </w:rPr>
        <w:t xml:space="preserve"> لدعوة كل مكتب من مكاتب الملكية الفكرية إلى تقييم ممارساته المؤسسية وأنظمته المعلوماتية فيما يتصل بمعيار الويبو </w:t>
      </w:r>
      <w:r w:rsidRPr="0017373B">
        <w:t>ST.61</w:t>
      </w:r>
      <w:r>
        <w:rPr>
          <w:rFonts w:hint="cs"/>
          <w:rtl/>
        </w:rPr>
        <w:t xml:space="preserve"> (بيانات الوضع القانوني للعلامات التجارية)،</w:t>
      </w:r>
      <w:r w:rsidRPr="0017373B">
        <w:rPr>
          <w:rtl/>
        </w:rPr>
        <w:t xml:space="preserve"> </w:t>
      </w:r>
      <w:r>
        <w:rPr>
          <w:rFonts w:hint="cs"/>
          <w:rtl/>
        </w:rPr>
        <w:t>وأن تقدم</w:t>
      </w:r>
      <w:r w:rsidRPr="0017373B">
        <w:rPr>
          <w:rtl/>
        </w:rPr>
        <w:t xml:space="preserve"> خطة ا</w:t>
      </w:r>
      <w:r w:rsidR="003B58A4">
        <w:rPr>
          <w:rtl/>
        </w:rPr>
        <w:t>لتنفيذ وجدول الخرائط الخاصين به</w:t>
      </w:r>
      <w:r w:rsidR="003B58A4">
        <w:rPr>
          <w:rFonts w:hint="cs"/>
          <w:rtl/>
        </w:rPr>
        <w:t>؛</w:t>
      </w:r>
    </w:p>
    <w:p w:rsidR="0017373B" w:rsidRDefault="0017373B" w:rsidP="003B58A4">
      <w:pPr>
        <w:pStyle w:val="bodyindent"/>
        <w:rPr>
          <w:rtl/>
          <w:lang w:val="fr-CH" w:bidi="ar-SY"/>
        </w:rPr>
      </w:pPr>
      <w:r>
        <w:rPr>
          <w:rFonts w:hint="cs"/>
          <w:rtl/>
          <w:lang w:val="fr-CH" w:bidi="ar-SY"/>
        </w:rPr>
        <w:t>(ه)</w:t>
      </w:r>
      <w:r>
        <w:rPr>
          <w:rFonts w:hint="cs"/>
          <w:rtl/>
          <w:lang w:val="fr-CH" w:bidi="ar-SY"/>
        </w:rPr>
        <w:tab/>
        <w:t>أن تقدم</w:t>
      </w:r>
      <w:r w:rsidR="003B58A4">
        <w:rPr>
          <w:rFonts w:hint="cs"/>
          <w:rtl/>
          <w:lang w:val="fr-CH" w:bidi="ar-SY"/>
        </w:rPr>
        <w:t xml:space="preserve"> لها</w:t>
      </w:r>
      <w:r>
        <w:rPr>
          <w:rFonts w:hint="cs"/>
          <w:rtl/>
          <w:lang w:val="fr-CH" w:bidi="ar-SY"/>
        </w:rPr>
        <w:t xml:space="preserve"> فرقة العمل المعنية بتوحيد العلامات التجارية</w:t>
      </w:r>
      <w:r w:rsidR="003B58A4">
        <w:rPr>
          <w:rFonts w:hint="cs"/>
          <w:rtl/>
          <w:lang w:val="fr-CH" w:bidi="ar-SY"/>
        </w:rPr>
        <w:t>، في دورتها المقبلة،</w:t>
      </w:r>
      <w:r>
        <w:rPr>
          <w:rFonts w:hint="cs"/>
          <w:rtl/>
          <w:lang w:val="fr-CH" w:bidi="ar-SY"/>
        </w:rPr>
        <w:t xml:space="preserve"> </w:t>
      </w:r>
      <w:r w:rsidRPr="0017373B">
        <w:rPr>
          <w:rtl/>
        </w:rPr>
        <w:t>توصية بشأن ما إذا كان يحب الإبقاء على الرمز 551 من نظام الأرقام المتفق عليها دولياً في تحديد البيانات الببليوغرافية</w:t>
      </w:r>
      <w:r w:rsidRPr="0017373B">
        <w:t xml:space="preserve"> (INID) </w:t>
      </w:r>
      <w:r w:rsidRPr="0017373B">
        <w:rPr>
          <w:rtl/>
        </w:rPr>
        <w:t>للعلامات الجماعية وعلامات التصديق وعلامات الضمان، على حاله أو تجزئته في معيار الويبو</w:t>
      </w:r>
      <w:r>
        <w:rPr>
          <w:rFonts w:hint="cs"/>
          <w:rtl/>
        </w:rPr>
        <w:t xml:space="preserve"> </w:t>
      </w:r>
      <w:r>
        <w:rPr>
          <w:lang w:val="fr-CH"/>
        </w:rPr>
        <w:t>ST.60</w:t>
      </w:r>
      <w:r w:rsidR="003B58A4">
        <w:rPr>
          <w:rFonts w:hint="cs"/>
          <w:rtl/>
          <w:lang w:val="fr-CH" w:bidi="ar-SY"/>
        </w:rPr>
        <w:t>؛</w:t>
      </w:r>
    </w:p>
    <w:p w:rsidR="003B58A4" w:rsidRDefault="003B58A4" w:rsidP="003B58A4">
      <w:pPr>
        <w:pStyle w:val="bodyindent"/>
        <w:rPr>
          <w:rtl/>
        </w:rPr>
      </w:pPr>
      <w:r>
        <w:rPr>
          <w:rFonts w:hint="cs"/>
          <w:rtl/>
          <w:lang w:val="fr-CH" w:bidi="ar-SY"/>
        </w:rPr>
        <w:t>(و)</w:t>
      </w:r>
      <w:r>
        <w:rPr>
          <w:rFonts w:hint="cs"/>
          <w:rtl/>
          <w:lang w:val="fr-CH" w:bidi="ar-SY"/>
        </w:rPr>
        <w:tab/>
        <w:t xml:space="preserve">أن تدعو الأمانة من جميع المكاتب </w:t>
      </w:r>
      <w:r w:rsidRPr="003B58A4">
        <w:rPr>
          <w:rtl/>
        </w:rPr>
        <w:t xml:space="preserve">إلى </w:t>
      </w:r>
      <w:r>
        <w:rPr>
          <w:rFonts w:hint="cs"/>
          <w:rtl/>
        </w:rPr>
        <w:t>استكمال</w:t>
      </w:r>
      <w:r>
        <w:rPr>
          <w:rtl/>
        </w:rPr>
        <w:t xml:space="preserve"> </w:t>
      </w:r>
      <w:r>
        <w:rPr>
          <w:rFonts w:hint="cs"/>
          <w:rtl/>
        </w:rPr>
        <w:t>ا</w:t>
      </w:r>
      <w:r w:rsidRPr="003B58A4">
        <w:rPr>
          <w:rtl/>
        </w:rPr>
        <w:t>لدراسة الاستقصائية بشأن ترتيب التوصي</w:t>
      </w:r>
      <w:r>
        <w:rPr>
          <w:rtl/>
        </w:rPr>
        <w:t xml:space="preserve">ات الأربعين بحسب الأولوية، وأن </w:t>
      </w:r>
      <w:r>
        <w:rPr>
          <w:rFonts w:hint="cs"/>
          <w:rtl/>
        </w:rPr>
        <w:t>ت</w:t>
      </w:r>
      <w:r w:rsidRPr="003B58A4">
        <w:rPr>
          <w:rtl/>
        </w:rPr>
        <w:t>قدم لها</w:t>
      </w:r>
      <w:r>
        <w:rPr>
          <w:rFonts w:hint="cs"/>
          <w:rtl/>
        </w:rPr>
        <w:t xml:space="preserve"> فرقة العمل المعنية باستراتيجية تكنولوجيا المعلومات والاتصالات للمعايير</w:t>
      </w:r>
      <w:r w:rsidRPr="003B58A4">
        <w:rPr>
          <w:rtl/>
        </w:rPr>
        <w:t xml:space="preserve"> تقريراً عن نتائج تلك الدراسة في دورتها التاسعة</w:t>
      </w:r>
      <w:r>
        <w:rPr>
          <w:rFonts w:hint="cs"/>
          <w:rtl/>
        </w:rPr>
        <w:t>؛</w:t>
      </w:r>
    </w:p>
    <w:p w:rsidR="003B58A4" w:rsidRDefault="003B58A4" w:rsidP="003B58A4">
      <w:pPr>
        <w:pStyle w:val="bodyindent"/>
        <w:rPr>
          <w:rtl/>
        </w:rPr>
      </w:pPr>
      <w:r>
        <w:rPr>
          <w:rFonts w:hint="cs"/>
          <w:rtl/>
        </w:rPr>
        <w:t>(ز)</w:t>
      </w:r>
      <w:r>
        <w:rPr>
          <w:rFonts w:hint="cs"/>
          <w:rtl/>
        </w:rPr>
        <w:tab/>
        <w:t>أن تصدر الأمانة تعميماً لدعوة مكاتب الملكية الفكرية إلى المشاركة في الجزء 2 من الدراسة الاستقصائية بشأن نفاذ الجمهور إلى معلومات البراءات؛</w:t>
      </w:r>
    </w:p>
    <w:p w:rsidR="003122A9" w:rsidRDefault="003B58A4" w:rsidP="00120227">
      <w:pPr>
        <w:pStyle w:val="bodyindent"/>
        <w:rPr>
          <w:rtl/>
        </w:rPr>
      </w:pPr>
      <w:r>
        <w:rPr>
          <w:rFonts w:hint="cs"/>
          <w:rtl/>
        </w:rPr>
        <w:lastRenderedPageBreak/>
        <w:t>(ح)</w:t>
      </w:r>
      <w:r>
        <w:rPr>
          <w:rFonts w:hint="cs"/>
          <w:rtl/>
        </w:rPr>
        <w:tab/>
      </w:r>
      <w:r w:rsidR="003122A9">
        <w:rPr>
          <w:rFonts w:hint="cs"/>
          <w:rtl/>
        </w:rPr>
        <w:t xml:space="preserve">أن </w:t>
      </w:r>
      <w:r w:rsidR="003122A9" w:rsidRPr="003122A9">
        <w:rPr>
          <w:rtl/>
        </w:rPr>
        <w:t>تصدر الأمانة تعميم</w:t>
      </w:r>
      <w:r w:rsidR="003122A9">
        <w:rPr>
          <w:rtl/>
        </w:rPr>
        <w:t xml:space="preserve">اً يدعو مكاتب الملكية الفكرية </w:t>
      </w:r>
      <w:r w:rsidR="003122A9">
        <w:rPr>
          <w:rFonts w:hint="cs"/>
          <w:rtl/>
        </w:rPr>
        <w:t>لت</w:t>
      </w:r>
      <w:r w:rsidR="003122A9" w:rsidRPr="003122A9">
        <w:rPr>
          <w:rtl/>
        </w:rPr>
        <w:t>حديث معلومات</w:t>
      </w:r>
      <w:r w:rsidR="003122A9">
        <w:rPr>
          <w:rFonts w:hint="cs"/>
          <w:rtl/>
        </w:rPr>
        <w:t>ها</w:t>
      </w:r>
      <w:r w:rsidR="003122A9" w:rsidRPr="003122A9">
        <w:rPr>
          <w:rtl/>
        </w:rPr>
        <w:t xml:space="preserve"> </w:t>
      </w:r>
      <w:r w:rsidR="003122A9">
        <w:rPr>
          <w:rFonts w:hint="cs"/>
          <w:rtl/>
        </w:rPr>
        <w:t>الخاصة</w:t>
      </w:r>
      <w:r w:rsidR="003122A9" w:rsidRPr="003122A9">
        <w:rPr>
          <w:rtl/>
        </w:rPr>
        <w:t xml:space="preserve"> </w:t>
      </w:r>
      <w:r w:rsidR="003122A9">
        <w:rPr>
          <w:rFonts w:hint="cs"/>
          <w:rtl/>
        </w:rPr>
        <w:t>بملف الإدارة</w:t>
      </w:r>
      <w:r w:rsidR="003122A9" w:rsidRPr="003122A9">
        <w:rPr>
          <w:rtl/>
        </w:rPr>
        <w:t xml:space="preserve">. </w:t>
      </w:r>
      <w:r w:rsidR="00212051">
        <w:rPr>
          <w:rFonts w:hint="cs"/>
          <w:rtl/>
        </w:rPr>
        <w:t>وبناءً على</w:t>
      </w:r>
      <w:r w:rsidR="00212051">
        <w:rPr>
          <w:rtl/>
        </w:rPr>
        <w:t xml:space="preserve"> </w:t>
      </w:r>
      <w:r w:rsidR="00212051">
        <w:rPr>
          <w:rFonts w:hint="cs"/>
          <w:rtl/>
        </w:rPr>
        <w:t>ا</w:t>
      </w:r>
      <w:r w:rsidR="003122A9" w:rsidRPr="003122A9">
        <w:rPr>
          <w:rtl/>
        </w:rPr>
        <w:t>لردود على التعميم، تم تحديث بوابة</w:t>
      </w:r>
      <w:r w:rsidR="00120227">
        <w:rPr>
          <w:rFonts w:hint="cs"/>
          <w:rtl/>
        </w:rPr>
        <w:t xml:space="preserve"> </w:t>
      </w:r>
      <w:r w:rsidR="003122A9" w:rsidRPr="003122A9">
        <w:rPr>
          <w:rtl/>
        </w:rPr>
        <w:t>ملف</w:t>
      </w:r>
      <w:r w:rsidR="003122A9">
        <w:rPr>
          <w:rtl/>
        </w:rPr>
        <w:t xml:space="preserve"> إدارة البراءات في 30 مارس 2021</w:t>
      </w:r>
      <w:r w:rsidR="003122A9" w:rsidRPr="003122A9">
        <w:rPr>
          <w:rtl/>
        </w:rPr>
        <w:t>، مع</w:t>
      </w:r>
      <w:r w:rsidR="00212051">
        <w:rPr>
          <w:rFonts w:hint="cs"/>
          <w:rtl/>
        </w:rPr>
        <w:t xml:space="preserve"> إضافة</w:t>
      </w:r>
      <w:r w:rsidR="003122A9" w:rsidRPr="003122A9">
        <w:rPr>
          <w:rtl/>
        </w:rPr>
        <w:t xml:space="preserve"> أربعة إدخالات جد</w:t>
      </w:r>
      <w:r w:rsidR="003122A9">
        <w:rPr>
          <w:rtl/>
        </w:rPr>
        <w:t>يدة ومعلومات محدثة</w:t>
      </w:r>
      <w:r w:rsidR="003122A9">
        <w:rPr>
          <w:rFonts w:hint="cs"/>
          <w:rtl/>
        </w:rPr>
        <w:t xml:space="preserve"> واردة</w:t>
      </w:r>
      <w:r w:rsidR="003122A9">
        <w:rPr>
          <w:rtl/>
        </w:rPr>
        <w:t xml:space="preserve"> من 16 مكت</w:t>
      </w:r>
      <w:r w:rsidR="003122A9">
        <w:rPr>
          <w:rFonts w:hint="cs"/>
          <w:rtl/>
        </w:rPr>
        <w:t>باً</w:t>
      </w:r>
      <w:r w:rsidR="003122A9" w:rsidRPr="003122A9">
        <w:rPr>
          <w:rtl/>
        </w:rPr>
        <w:t xml:space="preserve">، </w:t>
      </w:r>
      <w:r w:rsidR="003122A9">
        <w:rPr>
          <w:rFonts w:hint="cs"/>
          <w:rtl/>
        </w:rPr>
        <w:t>وتشمل البوابة الآن</w:t>
      </w:r>
      <w:r w:rsidR="003122A9">
        <w:rPr>
          <w:rtl/>
        </w:rPr>
        <w:t xml:space="preserve"> 25 مكتب</w:t>
      </w:r>
      <w:r w:rsidR="003122A9">
        <w:rPr>
          <w:rFonts w:hint="cs"/>
          <w:rtl/>
        </w:rPr>
        <w:t xml:space="preserve">اً. </w:t>
      </w:r>
    </w:p>
    <w:p w:rsidR="00456015" w:rsidRDefault="00CC4F6F" w:rsidP="003122A9">
      <w:pPr>
        <w:pStyle w:val="ONUMA"/>
      </w:pPr>
      <w:r>
        <w:rPr>
          <w:rFonts w:hint="cs"/>
          <w:rtl/>
        </w:rPr>
        <w:t>وأحاطت اللجنة علماً بما يلي:</w:t>
      </w:r>
    </w:p>
    <w:p w:rsidR="00CC4F6F" w:rsidRPr="00CC4F6F" w:rsidRDefault="00CC4F6F" w:rsidP="00CC4F6F">
      <w:pPr>
        <w:pStyle w:val="bodyindent"/>
        <w:rPr>
          <w:rtl/>
        </w:rPr>
      </w:pPr>
      <w:r w:rsidRPr="0017373B">
        <w:rPr>
          <w:rFonts w:hint="cs"/>
          <w:rtl/>
        </w:rPr>
        <w:t>(أ</w:t>
      </w:r>
      <w:r>
        <w:rPr>
          <w:rFonts w:hint="cs"/>
          <w:rtl/>
        </w:rPr>
        <w:t>)</w:t>
      </w:r>
      <w:r>
        <w:rPr>
          <w:rFonts w:hint="cs"/>
          <w:rtl/>
        </w:rPr>
        <w:tab/>
        <w:t xml:space="preserve">ستدعم </w:t>
      </w:r>
      <w:r w:rsidRPr="00CC4F6F">
        <w:rPr>
          <w:rtl/>
        </w:rPr>
        <w:t>فرقة العمل المعنية بواجهة التطبيقات البرمجية</w:t>
      </w:r>
      <w:r>
        <w:rPr>
          <w:rFonts w:hint="cs"/>
          <w:rtl/>
        </w:rPr>
        <w:t xml:space="preserve"> </w:t>
      </w:r>
      <w:r>
        <w:rPr>
          <w:lang w:val="fr-CH"/>
        </w:rPr>
        <w:t>(API)</w:t>
      </w:r>
      <w:r w:rsidRPr="00CC4F6F">
        <w:rPr>
          <w:rtl/>
        </w:rPr>
        <w:t xml:space="preserve"> المكتب الدولي في تطوير فهرس موحد يضم واجهات برمجة التطبيقات التي تتيحها المكاتب</w:t>
      </w:r>
      <w:r>
        <w:rPr>
          <w:rFonts w:hint="cs"/>
          <w:rtl/>
        </w:rPr>
        <w:t>؛</w:t>
      </w:r>
    </w:p>
    <w:p w:rsidR="00CC4F6F" w:rsidRDefault="00CC4F6F" w:rsidP="00CC4F6F">
      <w:pPr>
        <w:pStyle w:val="bodyindent"/>
        <w:rPr>
          <w:rtl/>
        </w:rPr>
      </w:pPr>
      <w:r>
        <w:rPr>
          <w:rFonts w:hint="cs"/>
          <w:rtl/>
        </w:rPr>
        <w:t>(ب)</w:t>
      </w:r>
      <w:r>
        <w:rPr>
          <w:rFonts w:hint="cs"/>
          <w:rtl/>
        </w:rPr>
        <w:tab/>
      </w:r>
      <w:r>
        <w:rPr>
          <w:rtl/>
        </w:rPr>
        <w:t>التقدم المحرز في تطوير</w:t>
      </w:r>
      <w:r>
        <w:rPr>
          <w:rFonts w:hint="cs"/>
          <w:rtl/>
        </w:rPr>
        <w:t xml:space="preserve"> برمجيات أداة </w:t>
      </w:r>
      <w:r w:rsidRPr="00CC4F6F">
        <w:rPr>
          <w:rtl/>
        </w:rPr>
        <w:t xml:space="preserve">الويبو للتسلسل من قبل المكتب الدولي بالتعاون الوثيق مع مكاتب </w:t>
      </w:r>
      <w:r>
        <w:rPr>
          <w:rFonts w:hint="cs"/>
          <w:rtl/>
        </w:rPr>
        <w:t>مودعي</w:t>
      </w:r>
      <w:r w:rsidRPr="00CC4F6F">
        <w:rPr>
          <w:rtl/>
        </w:rPr>
        <w:t xml:space="preserve"> طلبات البراءات والمكاتب في جميع أنحاء العالم لتأليف قوائم التسلسل المتوافقة مع المعيار </w:t>
      </w:r>
      <w:r w:rsidRPr="00CC4F6F">
        <w:t>ST.26</w:t>
      </w:r>
      <w:r>
        <w:rPr>
          <w:rtl/>
        </w:rPr>
        <w:t xml:space="preserve"> والتحقق من صحتها</w:t>
      </w:r>
      <w:r w:rsidRPr="00CC4F6F">
        <w:rPr>
          <w:rtl/>
        </w:rPr>
        <w:t>؛</w:t>
      </w:r>
    </w:p>
    <w:p w:rsidR="00CC4F6F" w:rsidRDefault="00CC4F6F" w:rsidP="00CC4F6F">
      <w:pPr>
        <w:pStyle w:val="bodyindent"/>
        <w:rPr>
          <w:rtl/>
        </w:rPr>
      </w:pPr>
      <w:r>
        <w:rPr>
          <w:rFonts w:hint="cs"/>
          <w:rtl/>
        </w:rPr>
        <w:t>(ج)</w:t>
      </w:r>
      <w:r>
        <w:rPr>
          <w:rFonts w:hint="cs"/>
          <w:rtl/>
        </w:rPr>
        <w:tab/>
      </w:r>
      <w:r w:rsidRPr="00CC4F6F">
        <w:rPr>
          <w:rtl/>
        </w:rPr>
        <w:t xml:space="preserve">تخطط فرقة العمل </w:t>
      </w:r>
      <w:r>
        <w:rPr>
          <w:rFonts w:hint="cs"/>
          <w:rtl/>
        </w:rPr>
        <w:t xml:space="preserve">المعنية بالنماذج والصور </w:t>
      </w:r>
      <w:r w:rsidRPr="00CC4F6F">
        <w:rPr>
          <w:rtl/>
        </w:rPr>
        <w:t xml:space="preserve">ثلاثية الأبعاد لتقديم </w:t>
      </w:r>
      <w:r>
        <w:rPr>
          <w:rFonts w:hint="cs"/>
          <w:rtl/>
        </w:rPr>
        <w:t>مشروع منقح</w:t>
      </w:r>
      <w:r>
        <w:rPr>
          <w:rtl/>
        </w:rPr>
        <w:t xml:space="preserve"> في عام 2021 </w:t>
      </w:r>
      <w:r>
        <w:rPr>
          <w:rFonts w:hint="cs"/>
          <w:rtl/>
        </w:rPr>
        <w:t>كي ت</w:t>
      </w:r>
      <w:r w:rsidRPr="00CC4F6F">
        <w:rPr>
          <w:rtl/>
        </w:rPr>
        <w:t xml:space="preserve">نظر </w:t>
      </w:r>
      <w:r>
        <w:rPr>
          <w:rFonts w:hint="cs"/>
          <w:rtl/>
        </w:rPr>
        <w:t xml:space="preserve">لجنة المعايير </w:t>
      </w:r>
      <w:r>
        <w:rPr>
          <w:rtl/>
        </w:rPr>
        <w:t>في اعتماده</w:t>
      </w:r>
      <w:r>
        <w:rPr>
          <w:rFonts w:hint="cs"/>
          <w:rtl/>
        </w:rPr>
        <w:t>؛</w:t>
      </w:r>
    </w:p>
    <w:p w:rsidR="00CC4F6F" w:rsidRDefault="00CC4F6F" w:rsidP="00F15097">
      <w:pPr>
        <w:pStyle w:val="bodyindent"/>
        <w:rPr>
          <w:rtl/>
        </w:rPr>
      </w:pPr>
      <w:r>
        <w:rPr>
          <w:rFonts w:hint="cs"/>
          <w:rtl/>
        </w:rPr>
        <w:t>(د)</w:t>
      </w:r>
      <w:r>
        <w:rPr>
          <w:rtl/>
        </w:rPr>
        <w:tab/>
      </w:r>
      <w:r w:rsidR="00F15097">
        <w:rPr>
          <w:rFonts w:hint="cs"/>
          <w:rtl/>
        </w:rPr>
        <w:t>يعمل</w:t>
      </w:r>
      <w:r w:rsidRPr="00CC4F6F">
        <w:rPr>
          <w:rtl/>
        </w:rPr>
        <w:t xml:space="preserve"> المكتب الدولي </w:t>
      </w:r>
      <w:r w:rsidR="00F15097">
        <w:rPr>
          <w:rFonts w:hint="cs"/>
          <w:rtl/>
        </w:rPr>
        <w:t>على إعداد</w:t>
      </w:r>
      <w:r w:rsidRPr="00CC4F6F">
        <w:rPr>
          <w:rtl/>
        </w:rPr>
        <w:t xml:space="preserve"> وثيقة تقنية </w:t>
      </w:r>
      <w:r w:rsidR="00F15097">
        <w:rPr>
          <w:rFonts w:hint="cs"/>
          <w:rtl/>
        </w:rPr>
        <w:t>حول استخدام سلاسل الكتل</w:t>
      </w:r>
      <w:r w:rsidR="00F15097">
        <w:rPr>
          <w:rtl/>
        </w:rPr>
        <w:t xml:space="preserve"> في </w:t>
      </w:r>
      <w:r w:rsidRPr="00CC4F6F">
        <w:rPr>
          <w:rtl/>
        </w:rPr>
        <w:t xml:space="preserve">نظام للملكية الفكرية والتي ستشمل </w:t>
      </w:r>
      <w:r w:rsidR="00F15097">
        <w:rPr>
          <w:rtl/>
        </w:rPr>
        <w:t>جميع أنواع حقوق الملكية الفكرية</w:t>
      </w:r>
      <w:r w:rsidRPr="00CC4F6F">
        <w:rPr>
          <w:rtl/>
        </w:rPr>
        <w:t xml:space="preserve">، </w:t>
      </w:r>
      <w:r w:rsidR="00F15097">
        <w:rPr>
          <w:rFonts w:hint="cs"/>
          <w:rtl/>
        </w:rPr>
        <w:t>ويعتزم</w:t>
      </w:r>
      <w:r w:rsidRPr="00CC4F6F">
        <w:rPr>
          <w:rtl/>
        </w:rPr>
        <w:t xml:space="preserve"> المكتب الدولي </w:t>
      </w:r>
      <w:r w:rsidR="00F15097">
        <w:rPr>
          <w:rFonts w:hint="cs"/>
          <w:rtl/>
        </w:rPr>
        <w:t xml:space="preserve">تنظيم </w:t>
      </w:r>
      <w:r w:rsidRPr="00CC4F6F">
        <w:rPr>
          <w:rtl/>
        </w:rPr>
        <w:t>ندوة</w:t>
      </w:r>
      <w:r w:rsidR="00F15097">
        <w:rPr>
          <w:rFonts w:hint="cs"/>
          <w:rtl/>
        </w:rPr>
        <w:t xml:space="preserve"> إلكترونية</w:t>
      </w:r>
      <w:r w:rsidR="00F15097">
        <w:rPr>
          <w:rtl/>
        </w:rPr>
        <w:t xml:space="preserve"> </w:t>
      </w:r>
      <w:r w:rsidRPr="00CC4F6F">
        <w:rPr>
          <w:rtl/>
        </w:rPr>
        <w:t xml:space="preserve">ثانية </w:t>
      </w:r>
      <w:r w:rsidR="00F15097">
        <w:rPr>
          <w:rFonts w:hint="cs"/>
          <w:rtl/>
        </w:rPr>
        <w:t>بشأن سلاسل الكتل</w:t>
      </w:r>
      <w:r w:rsidRPr="00CC4F6F">
        <w:rPr>
          <w:rtl/>
        </w:rPr>
        <w:t xml:space="preserve"> بمجرد </w:t>
      </w:r>
      <w:r w:rsidR="00F15097">
        <w:rPr>
          <w:rFonts w:hint="cs"/>
          <w:rtl/>
        </w:rPr>
        <w:t xml:space="preserve">الانتهاء من ورقة العمل. </w:t>
      </w:r>
    </w:p>
    <w:p w:rsidR="00456015" w:rsidRPr="006144EE" w:rsidRDefault="00456015" w:rsidP="006144EE">
      <w:pPr>
        <w:pStyle w:val="Heading1"/>
        <w:rPr>
          <w:sz w:val="24"/>
          <w:szCs w:val="24"/>
        </w:rPr>
      </w:pPr>
      <w:r w:rsidRPr="006144EE">
        <w:rPr>
          <w:rFonts w:hint="cs"/>
          <w:sz w:val="24"/>
          <w:szCs w:val="24"/>
          <w:rtl/>
        </w:rPr>
        <w:t>الاستنتاجات</w:t>
      </w:r>
    </w:p>
    <w:p w:rsidR="00456015" w:rsidRDefault="00593BCD" w:rsidP="00593BCD">
      <w:pPr>
        <w:pStyle w:val="ONUMA"/>
      </w:pPr>
      <w:r>
        <w:rPr>
          <w:rtl/>
        </w:rPr>
        <w:t>في الختام</w:t>
      </w:r>
      <w:r>
        <w:rPr>
          <w:rFonts w:hint="cs"/>
          <w:rtl/>
        </w:rPr>
        <w:t>،</w:t>
      </w:r>
      <w:r w:rsidRPr="00593BCD">
        <w:rPr>
          <w:rtl/>
        </w:rPr>
        <w:t xml:space="preserve"> أحرزت الدورة الثامنة </w:t>
      </w:r>
      <w:r>
        <w:rPr>
          <w:rFonts w:hint="cs"/>
          <w:rtl/>
        </w:rPr>
        <w:t>تقدماً ملحوظاً</w:t>
      </w:r>
      <w:r w:rsidRPr="00593BCD">
        <w:rPr>
          <w:rtl/>
        </w:rPr>
        <w:t xml:space="preserve"> </w:t>
      </w:r>
      <w:r>
        <w:rPr>
          <w:rFonts w:hint="cs"/>
          <w:rtl/>
        </w:rPr>
        <w:t>في</w:t>
      </w:r>
      <w:r w:rsidRPr="00593BCD">
        <w:rPr>
          <w:rtl/>
        </w:rPr>
        <w:t xml:space="preserve"> اع</w:t>
      </w:r>
      <w:r>
        <w:rPr>
          <w:rtl/>
        </w:rPr>
        <w:t>تماد ومراجعة سبعة معايير للويبو</w:t>
      </w:r>
      <w:r>
        <w:rPr>
          <w:rFonts w:hint="cs"/>
          <w:rtl/>
        </w:rPr>
        <w:t xml:space="preserve">، مما ساهم </w:t>
      </w:r>
      <w:r w:rsidRPr="00593BCD">
        <w:rPr>
          <w:rtl/>
        </w:rPr>
        <w:t xml:space="preserve">في </w:t>
      </w:r>
      <w:r>
        <w:rPr>
          <w:rtl/>
        </w:rPr>
        <w:t>نشر معلومات الملكية الفكرية</w:t>
      </w:r>
      <w:r w:rsidRPr="00593BCD">
        <w:rPr>
          <w:rtl/>
        </w:rPr>
        <w:t xml:space="preserve">، وتكثيف جهود الأمانة </w:t>
      </w:r>
      <w:r>
        <w:rPr>
          <w:rFonts w:hint="cs"/>
          <w:rtl/>
        </w:rPr>
        <w:t>في إذكاء الوعي</w:t>
      </w:r>
      <w:r w:rsidRPr="00593BCD">
        <w:rPr>
          <w:rtl/>
        </w:rPr>
        <w:t xml:space="preserve"> بمعايير الويبو والتوصيات الأخرى وتقديم المساعدة الت</w:t>
      </w:r>
      <w:r>
        <w:rPr>
          <w:rtl/>
        </w:rPr>
        <w:t>قنية إلى مكاتب الملكية الفكرية</w:t>
      </w:r>
      <w:r>
        <w:rPr>
          <w:rFonts w:hint="cs"/>
          <w:rtl/>
        </w:rPr>
        <w:t xml:space="preserve">، </w:t>
      </w:r>
      <w:r w:rsidRPr="00593BCD">
        <w:rPr>
          <w:rtl/>
        </w:rPr>
        <w:t>عند الطلب ورهنا</w:t>
      </w:r>
      <w:r w:rsidR="00CA547C">
        <w:rPr>
          <w:rFonts w:hint="cs"/>
          <w:rtl/>
        </w:rPr>
        <w:t>ً</w:t>
      </w:r>
      <w:r w:rsidRPr="00593BCD">
        <w:rPr>
          <w:rtl/>
        </w:rPr>
        <w:t xml:space="preserve"> بالموارد المتاحة. كما أنشأت </w:t>
      </w:r>
      <w:r>
        <w:rPr>
          <w:rFonts w:hint="cs"/>
          <w:rtl/>
        </w:rPr>
        <w:t>الدورة</w:t>
      </w:r>
      <w:r w:rsidRPr="00593BCD">
        <w:rPr>
          <w:rtl/>
        </w:rPr>
        <w:t xml:space="preserve"> أيض</w:t>
      </w:r>
      <w:r>
        <w:rPr>
          <w:rFonts w:hint="cs"/>
          <w:rtl/>
        </w:rPr>
        <w:t xml:space="preserve">اً </w:t>
      </w:r>
      <w:r>
        <w:rPr>
          <w:rtl/>
        </w:rPr>
        <w:t>برنامج عمل مستقبلي</w:t>
      </w:r>
      <w:r>
        <w:rPr>
          <w:rFonts w:hint="cs"/>
          <w:rtl/>
        </w:rPr>
        <w:t xml:space="preserve"> ثرياً للغاية</w:t>
      </w:r>
      <w:r w:rsidRPr="00593BCD">
        <w:rPr>
          <w:rtl/>
        </w:rPr>
        <w:t xml:space="preserve"> </w:t>
      </w:r>
      <w:r>
        <w:rPr>
          <w:rFonts w:hint="cs"/>
          <w:rtl/>
        </w:rPr>
        <w:t>من شأنه أن ي</w:t>
      </w:r>
      <w:r w:rsidRPr="00593BCD">
        <w:rPr>
          <w:rtl/>
        </w:rPr>
        <w:t xml:space="preserve">تيح للجنة الاستجابة للاضطرابات المحتملة التي تسببها </w:t>
      </w:r>
      <w:r>
        <w:rPr>
          <w:rFonts w:hint="cs"/>
          <w:rtl/>
        </w:rPr>
        <w:t>التكنولوجيات</w:t>
      </w:r>
      <w:r w:rsidRPr="00593BCD">
        <w:rPr>
          <w:rtl/>
        </w:rPr>
        <w:t xml:space="preserve"> الرقمية الجديدة.</w:t>
      </w:r>
    </w:p>
    <w:p w:rsidR="00880816" w:rsidRPr="00456015" w:rsidRDefault="00456015" w:rsidP="00456015">
      <w:pPr>
        <w:pStyle w:val="BodyText"/>
        <w:ind w:left="5534"/>
        <w:rPr>
          <w:rFonts w:asciiTheme="minorBidi" w:hAnsiTheme="minorBidi" w:cstheme="minorBidi"/>
          <w:rtl/>
          <w:lang w:val="fr-CH" w:bidi="ar-SY"/>
        </w:rPr>
      </w:pPr>
      <w:r>
        <w:rPr>
          <w:rFonts w:asciiTheme="minorBidi" w:hAnsiTheme="minorBidi" w:cstheme="minorBidi" w:hint="cs"/>
          <w:i/>
          <w:iCs/>
          <w:rtl/>
        </w:rPr>
        <w:t>19.</w:t>
      </w:r>
      <w:r>
        <w:rPr>
          <w:i/>
          <w:iCs/>
          <w:rtl/>
        </w:rPr>
        <w:tab/>
      </w:r>
      <w:r w:rsidR="008C1023" w:rsidRPr="002B73F0">
        <w:rPr>
          <w:rFonts w:hint="cs"/>
          <w:i/>
          <w:iCs/>
          <w:rtl/>
        </w:rPr>
        <w:t>إن الجمعية العامة للويبو مدعوة إلى ا</w:t>
      </w:r>
      <w:r>
        <w:rPr>
          <w:rFonts w:hint="cs"/>
          <w:i/>
          <w:iCs/>
          <w:rtl/>
        </w:rPr>
        <w:t>لإحاطة علماً بمضمون "تقرير عن ال</w:t>
      </w:r>
      <w:r w:rsidR="008C1023" w:rsidRPr="002B73F0">
        <w:rPr>
          <w:rFonts w:hint="cs"/>
          <w:i/>
          <w:iCs/>
          <w:rtl/>
        </w:rPr>
        <w:t xml:space="preserve">لجنة </w:t>
      </w:r>
      <w:r>
        <w:rPr>
          <w:rFonts w:hint="cs"/>
          <w:i/>
          <w:iCs/>
          <w:rtl/>
        </w:rPr>
        <w:t xml:space="preserve">بمعايير الويبو" (الوثيقة </w:t>
      </w:r>
      <w:r>
        <w:rPr>
          <w:i/>
          <w:iCs/>
          <w:lang w:val="fr-CH"/>
        </w:rPr>
        <w:t>WO/GA/54/11</w:t>
      </w:r>
      <w:r>
        <w:rPr>
          <w:rFonts w:hint="cs"/>
          <w:i/>
          <w:iCs/>
          <w:rtl/>
          <w:lang w:val="fr-CH" w:bidi="ar-SY"/>
        </w:rPr>
        <w:t>).</w:t>
      </w:r>
    </w:p>
    <w:p w:rsidR="00916267" w:rsidRDefault="002B73F0" w:rsidP="00456015">
      <w:pPr>
        <w:pStyle w:val="Endofdocument-Annex"/>
        <w:rPr>
          <w:rtl/>
        </w:rPr>
        <w:sectPr w:rsidR="00916267" w:rsidSect="00CC3E2D">
          <w:headerReference w:type="first" r:id="rId13"/>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456015">
        <w:rPr>
          <w:rFonts w:hint="cs"/>
          <w:rtl/>
        </w:rPr>
        <w:t>يلي ذلك</w:t>
      </w:r>
      <w:r>
        <w:rPr>
          <w:rFonts w:hint="cs"/>
          <w:rtl/>
        </w:rPr>
        <w:t xml:space="preserve"> الوثيقة</w:t>
      </w:r>
      <w:r w:rsidR="00456015">
        <w:rPr>
          <w:rFonts w:hint="cs"/>
          <w:rtl/>
        </w:rPr>
        <w:t xml:space="preserve"> </w:t>
      </w:r>
      <w:r w:rsidR="00456015">
        <w:rPr>
          <w:lang w:val="fr-CH"/>
        </w:rPr>
        <w:t>CWS/8/22</w:t>
      </w:r>
      <w:r>
        <w:rPr>
          <w:rFonts w:hint="cs"/>
          <w:rtl/>
        </w:rPr>
        <w:t>]</w:t>
      </w:r>
    </w:p>
    <w:p w:rsidR="00F9168A" w:rsidRPr="00F9168A" w:rsidRDefault="00F9168A" w:rsidP="00F9168A">
      <w:pPr>
        <w:widowControl w:val="0"/>
        <w:bidi w:val="0"/>
        <w:rPr>
          <w:rFonts w:ascii="Arial Bold" w:hAnsi="Arial Bold" w:cs="Arial" w:hint="eastAsia"/>
          <w:b/>
          <w:noProof/>
          <w:sz w:val="40"/>
          <w:szCs w:val="40"/>
          <w:rtl/>
        </w:rPr>
      </w:pPr>
      <w:r w:rsidRPr="00F9168A">
        <w:rPr>
          <w:rFonts w:ascii="Arial Bold" w:hAnsi="Arial Bold" w:cs="Arial"/>
          <w:b/>
          <w:noProof/>
          <w:sz w:val="40"/>
          <w:szCs w:val="40"/>
        </w:rPr>
        <w:lastRenderedPageBreak/>
        <w:t>A</w:t>
      </w:r>
    </w:p>
    <w:p w:rsidR="00F9168A" w:rsidRPr="00F9168A" w:rsidRDefault="00F9168A" w:rsidP="00F9168A">
      <w:pPr>
        <w:spacing w:after="120"/>
        <w:ind w:left="4535"/>
        <w:rPr>
          <w:rFonts w:ascii="Arabic Typesetting" w:eastAsia="Times New Roman" w:hAnsi="Arabic Typesetting" w:cs="Arabic Typesetting"/>
          <w:sz w:val="36"/>
          <w:szCs w:val="36"/>
          <w:rtl/>
          <w:lang w:eastAsia="en-US"/>
        </w:rPr>
      </w:pPr>
      <w:r w:rsidRPr="00F9168A">
        <w:rPr>
          <w:rFonts w:ascii="Arabic Typesetting" w:eastAsia="Times New Roman" w:hAnsi="Arabic Typesetting" w:cs="Arabic Typesetting"/>
          <w:noProof/>
          <w:sz w:val="36"/>
          <w:szCs w:val="36"/>
          <w:lang w:eastAsia="en-US"/>
        </w:rPr>
        <w:drawing>
          <wp:inline distT="0" distB="0" distL="0" distR="0" wp14:anchorId="4B7275B5" wp14:editId="011A8935">
            <wp:extent cx="1327150" cy="1263650"/>
            <wp:effectExtent l="0" t="0" r="6350" b="0"/>
            <wp:docPr id="5" name="Picture 5"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F9168A" w:rsidRPr="00F9168A" w:rsidRDefault="00F9168A" w:rsidP="00F9168A">
      <w:pPr>
        <w:pBdr>
          <w:top w:val="single" w:sz="4" w:space="10" w:color="auto"/>
        </w:pBdr>
        <w:bidi w:val="0"/>
        <w:rPr>
          <w:rFonts w:ascii="Arial Bold" w:hAnsi="Arial Bold" w:hint="eastAsia"/>
          <w:b/>
          <w:bCs/>
          <w:caps/>
          <w:noProof/>
          <w:sz w:val="15"/>
          <w:szCs w:val="15"/>
          <w:rtl/>
        </w:rPr>
      </w:pPr>
      <w:bookmarkStart w:id="6" w:name="Code2"/>
      <w:r w:rsidRPr="00F9168A">
        <w:rPr>
          <w:rFonts w:ascii="Arial Bold" w:hAnsi="Arial Bold"/>
          <w:b/>
          <w:bCs/>
          <w:caps/>
          <w:noProof/>
          <w:sz w:val="15"/>
          <w:szCs w:val="15"/>
        </w:rPr>
        <w:t>CWS/8/22</w:t>
      </w:r>
    </w:p>
    <w:p w:rsidR="00F9168A" w:rsidRPr="00690E4A" w:rsidRDefault="00F9168A" w:rsidP="00F9168A">
      <w:pPr>
        <w:jc w:val="right"/>
        <w:rPr>
          <w:rFonts w:ascii="Arial Bold" w:hAnsi="Arial Bold" w:hint="eastAsia"/>
          <w:b/>
          <w:bCs/>
          <w:caps/>
          <w:sz w:val="15"/>
          <w:szCs w:val="15"/>
        </w:rPr>
      </w:pPr>
      <w:bookmarkStart w:id="7" w:name="Body"/>
      <w:bookmarkEnd w:id="6"/>
      <w:bookmarkEnd w:id="7"/>
      <w:r w:rsidRPr="00690E4A">
        <w:rPr>
          <w:rFonts w:ascii="Arial Bold" w:hAnsi="Arial Bold"/>
          <w:b/>
          <w:bCs/>
          <w:caps/>
          <w:sz w:val="15"/>
          <w:szCs w:val="15"/>
          <w:rtl/>
        </w:rPr>
        <w:t>الأصل: بالإنكليزية</w:t>
      </w:r>
    </w:p>
    <w:p w:rsidR="00F9168A" w:rsidRPr="00690E4A" w:rsidRDefault="00F9168A" w:rsidP="00F9168A">
      <w:pPr>
        <w:spacing w:after="1200"/>
        <w:jc w:val="right"/>
        <w:rPr>
          <w:rFonts w:ascii="Arial Bold" w:hAnsi="Arial Bold" w:hint="eastAsia"/>
          <w:b/>
          <w:bCs/>
          <w:caps/>
          <w:sz w:val="15"/>
          <w:szCs w:val="15"/>
        </w:rPr>
      </w:pPr>
      <w:r w:rsidRPr="00690E4A">
        <w:rPr>
          <w:rFonts w:ascii="Arial Bold" w:hAnsi="Arial Bold"/>
          <w:b/>
          <w:bCs/>
          <w:caps/>
          <w:sz w:val="15"/>
          <w:szCs w:val="15"/>
          <w:rtl/>
        </w:rPr>
        <w:t>التاريخ: 15 أكتوبر 2020</w:t>
      </w:r>
    </w:p>
    <w:p w:rsidR="00F9168A" w:rsidRPr="00F9168A" w:rsidRDefault="00F9168A" w:rsidP="00F9168A">
      <w:pPr>
        <w:pStyle w:val="Heading1"/>
        <w:rPr>
          <w:rtl/>
          <w:lang w:eastAsia="en-US"/>
        </w:rPr>
      </w:pPr>
      <w:r w:rsidRPr="00F9168A">
        <w:rPr>
          <w:rFonts w:hint="eastAsia"/>
          <w:rtl/>
          <w:lang w:eastAsia="en-US"/>
        </w:rPr>
        <w:t>اللجنة</w:t>
      </w:r>
      <w:r w:rsidRPr="00F9168A">
        <w:rPr>
          <w:rtl/>
          <w:lang w:eastAsia="en-US"/>
        </w:rPr>
        <w:t xml:space="preserve"> </w:t>
      </w:r>
      <w:r w:rsidRPr="00F9168A">
        <w:rPr>
          <w:rFonts w:hint="eastAsia"/>
          <w:rtl/>
          <w:lang w:eastAsia="en-US"/>
        </w:rPr>
        <w:t>المعنية</w:t>
      </w:r>
      <w:r w:rsidRPr="00F9168A">
        <w:rPr>
          <w:rtl/>
          <w:lang w:eastAsia="en-US"/>
        </w:rPr>
        <w:t xml:space="preserve"> </w:t>
      </w:r>
      <w:r w:rsidRPr="00F9168A">
        <w:rPr>
          <w:rFonts w:hint="eastAsia"/>
          <w:rtl/>
          <w:lang w:eastAsia="en-US"/>
        </w:rPr>
        <w:t>بمعايير</w:t>
      </w:r>
      <w:r w:rsidRPr="00F9168A">
        <w:rPr>
          <w:rtl/>
          <w:lang w:eastAsia="en-US"/>
        </w:rPr>
        <w:t xml:space="preserve"> </w:t>
      </w:r>
      <w:r w:rsidRPr="00F9168A">
        <w:rPr>
          <w:rFonts w:hint="eastAsia"/>
          <w:rtl/>
          <w:lang w:eastAsia="en-US"/>
        </w:rPr>
        <w:t>الويبو</w:t>
      </w:r>
    </w:p>
    <w:p w:rsidR="00F9168A" w:rsidRPr="00D67EAE" w:rsidRDefault="00F9168A" w:rsidP="00F9168A">
      <w:pPr>
        <w:outlineLvl w:val="1"/>
        <w:rPr>
          <w:rFonts w:asciiTheme="minorHAnsi" w:hAnsiTheme="minorHAnsi" w:cstheme="minorHAnsi"/>
          <w:bCs/>
          <w:sz w:val="24"/>
          <w:szCs w:val="24"/>
        </w:rPr>
      </w:pPr>
      <w:bookmarkStart w:id="8" w:name="Session"/>
      <w:bookmarkEnd w:id="8"/>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الثامنة</w:t>
      </w:r>
    </w:p>
    <w:p w:rsidR="00F9168A" w:rsidRPr="00D67EAE" w:rsidRDefault="00F9168A" w:rsidP="00F9168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30</w:t>
      </w:r>
      <w:r w:rsidRPr="00D67EAE">
        <w:rPr>
          <w:rFonts w:asciiTheme="minorHAnsi" w:hAnsiTheme="minorHAnsi" w:cstheme="minorHAnsi" w:hint="cs"/>
          <w:bCs/>
          <w:sz w:val="24"/>
          <w:szCs w:val="24"/>
          <w:rtl/>
        </w:rPr>
        <w:t xml:space="preserve"> </w:t>
      </w:r>
      <w:r>
        <w:rPr>
          <w:rFonts w:asciiTheme="minorHAnsi" w:hAnsiTheme="minorHAnsi" w:cstheme="minorHAnsi" w:hint="cs"/>
          <w:bCs/>
          <w:sz w:val="24"/>
          <w:szCs w:val="24"/>
          <w:rtl/>
        </w:rPr>
        <w:t xml:space="preserve">نوفمبر </w:t>
      </w:r>
      <w:r w:rsidRPr="00D67EAE">
        <w:rPr>
          <w:rFonts w:asciiTheme="minorHAnsi" w:hAnsiTheme="minorHAnsi" w:cstheme="minorHAnsi" w:hint="cs"/>
          <w:bCs/>
          <w:sz w:val="24"/>
          <w:szCs w:val="24"/>
          <w:rtl/>
        </w:rPr>
        <w:t xml:space="preserve">إلى </w:t>
      </w:r>
      <w:r>
        <w:rPr>
          <w:rFonts w:asciiTheme="minorHAnsi" w:hAnsiTheme="minorHAnsi" w:cstheme="minorHAnsi" w:hint="cs"/>
          <w:bCs/>
          <w:sz w:val="24"/>
          <w:szCs w:val="24"/>
          <w:rtl/>
        </w:rPr>
        <w:t>4 ديسمبر</w:t>
      </w:r>
      <w:r w:rsidRPr="00D67EAE">
        <w:rPr>
          <w:rFonts w:asciiTheme="minorHAnsi" w:hAnsiTheme="minorHAnsi" w:cstheme="minorHAnsi" w:hint="cs"/>
          <w:bCs/>
          <w:sz w:val="24"/>
          <w:szCs w:val="24"/>
          <w:rtl/>
        </w:rPr>
        <w:t xml:space="preserve"> 2021</w:t>
      </w:r>
    </w:p>
    <w:p w:rsidR="00F9168A" w:rsidRPr="00000F0B" w:rsidRDefault="00F9168A" w:rsidP="00F9168A">
      <w:pPr>
        <w:spacing w:after="360"/>
        <w:outlineLvl w:val="0"/>
        <w:rPr>
          <w:rFonts w:ascii="Calibri" w:hAnsi="Calibri"/>
          <w:b/>
          <w:bCs/>
          <w:caps/>
          <w:sz w:val="24"/>
          <w:lang w:val="fr-CH" w:bidi="ar-SY"/>
        </w:rPr>
      </w:pPr>
      <w:r w:rsidRPr="00F9168A">
        <w:rPr>
          <w:rFonts w:ascii="Calibri" w:hAnsi="Calibri"/>
          <w:caps/>
          <w:sz w:val="28"/>
          <w:szCs w:val="24"/>
          <w:rtl/>
        </w:rPr>
        <w:t xml:space="preserve">تقرير عن </w:t>
      </w:r>
      <w:r w:rsidRPr="00F9168A">
        <w:rPr>
          <w:rFonts w:ascii="Calibri" w:eastAsia="Times New Roman" w:hAnsi="Calibri"/>
          <w:sz w:val="26"/>
          <w:szCs w:val="26"/>
          <w:rtl/>
          <w:lang w:eastAsia="en-US"/>
        </w:rPr>
        <w:t>تقديم المشورة والمساعدة التقنيتين من أجل تكوين كفاءات مكاتب الملكية الصناعية بناء على ولاية اللجنة</w:t>
      </w:r>
    </w:p>
    <w:p w:rsidR="00F9168A" w:rsidRPr="00000F0B" w:rsidRDefault="00F9168A" w:rsidP="00F9168A">
      <w:pPr>
        <w:spacing w:after="1040"/>
        <w:rPr>
          <w:rFonts w:ascii="Calibri" w:hAnsi="Calibri"/>
          <w:iCs/>
          <w:rtl/>
        </w:rPr>
      </w:pPr>
      <w:r w:rsidRPr="00000F0B">
        <w:rPr>
          <w:rFonts w:ascii="Calibri" w:hAnsi="Calibri"/>
          <w:iCs/>
          <w:rtl/>
        </w:rPr>
        <w:t>وثيقة من إعداد المكتب الدولي</w:t>
      </w:r>
    </w:p>
    <w:p w:rsidR="00F9168A" w:rsidRPr="004B0691" w:rsidRDefault="00F9168A" w:rsidP="00F9168A">
      <w:pPr>
        <w:pStyle w:val="Heading1"/>
        <w:rPr>
          <w:b w:val="0"/>
          <w:bCs w:val="0"/>
          <w:sz w:val="28"/>
          <w:szCs w:val="28"/>
          <w:rtl/>
          <w:lang w:eastAsia="en-US"/>
        </w:rPr>
      </w:pPr>
      <w:r w:rsidRPr="004B0691">
        <w:rPr>
          <w:rFonts w:hint="cs"/>
          <w:b w:val="0"/>
          <w:bCs w:val="0"/>
          <w:sz w:val="28"/>
          <w:szCs w:val="28"/>
          <w:rtl/>
          <w:lang w:eastAsia="en-US"/>
        </w:rPr>
        <w:t>المقدمة</w:t>
      </w:r>
    </w:p>
    <w:p w:rsidR="00F9168A" w:rsidRPr="00F9168A" w:rsidRDefault="00F9168A" w:rsidP="00F9168A">
      <w:pPr>
        <w:pStyle w:val="ONUMA"/>
        <w:numPr>
          <w:ilvl w:val="0"/>
          <w:numId w:val="25"/>
        </w:numPr>
        <w:rPr>
          <w:rtl/>
          <w:lang w:val="fr-CH" w:bidi="ar-SY"/>
        </w:rPr>
      </w:pPr>
      <w:r w:rsidRPr="00F9168A">
        <w:rPr>
          <w:rtl/>
        </w:rPr>
        <w:t>يهدف هذا التقرير إلى تنفيذ القرار الذي اتخذته الجمعية العامة في عام 2011 بشأن ولاية اللجنة المعنية بمعايير الويبو</w:t>
      </w:r>
      <w:r w:rsidRPr="00F9168A">
        <w:rPr>
          <w:rFonts w:hint="cs"/>
          <w:rtl/>
        </w:rPr>
        <w:t xml:space="preserve"> (لجنة المعايير)، </w:t>
      </w:r>
      <w:r w:rsidRPr="00F9168A">
        <w:rPr>
          <w:rtl/>
        </w:rPr>
        <w:t>وإلى تقديم تقارير خطية منتظمة عن تفاصيل الأنشطة المنفذة في عام</w:t>
      </w:r>
      <w:r w:rsidRPr="00F9168A">
        <w:rPr>
          <w:rFonts w:hint="cs"/>
          <w:rtl/>
        </w:rPr>
        <w:t xml:space="preserve"> 2019 التي </w:t>
      </w:r>
      <w:r w:rsidRPr="00F9168A">
        <w:rPr>
          <w:rtl/>
        </w:rPr>
        <w:t>سعى من خلالها المكتب الدولي أو الأمانة إلى "إسداء المشورة وتقديم المساعدة التقني</w:t>
      </w:r>
      <w:r w:rsidRPr="00F9168A">
        <w:rPr>
          <w:rFonts w:hint="cs"/>
          <w:rtl/>
        </w:rPr>
        <w:t>تين</w:t>
      </w:r>
      <w:r w:rsidRPr="00F9168A">
        <w:rPr>
          <w:rtl/>
        </w:rPr>
        <w:t xml:space="preserve"> لتكوين الكفاءات لفائدة مكاتب الملكية الصناعية بإنجاز مشاريع لتعميم المعلومات عن معايير الملكية </w:t>
      </w:r>
      <w:r w:rsidRPr="00F9168A">
        <w:rPr>
          <w:rFonts w:hint="cs"/>
          <w:rtl/>
        </w:rPr>
        <w:t>الصناعية</w:t>
      </w:r>
      <w:r w:rsidRPr="00F9168A">
        <w:rPr>
          <w:rtl/>
        </w:rPr>
        <w:t xml:space="preserve">" (انظر الفقرة 190 من الوثيقة </w:t>
      </w:r>
      <w:r w:rsidRPr="00F9168A">
        <w:t>WO/GA/40/19</w:t>
      </w:r>
      <w:r w:rsidRPr="00F9168A">
        <w:rPr>
          <w:rtl/>
        </w:rPr>
        <w:t>).</w:t>
      </w:r>
      <w:r w:rsidRPr="00F9168A">
        <w:t xml:space="preserve"> </w:t>
      </w:r>
      <w:r w:rsidRPr="00F9168A">
        <w:rPr>
          <w:rtl/>
        </w:rPr>
        <w:t>وترد قائمة كاملة بهذه الأنشطة في قاعدة بيانات المساعدة التقنية</w:t>
      </w:r>
      <w:r w:rsidRPr="00F9168A">
        <w:rPr>
          <w:rFonts w:hint="cs"/>
          <w:rtl/>
          <w:lang w:val="fr-CH" w:bidi="ar-SY"/>
        </w:rPr>
        <w:t xml:space="preserve"> (</w:t>
      </w:r>
      <w:hyperlink r:id="rId14" w:history="1">
        <w:r w:rsidRPr="00F9168A">
          <w:rPr>
            <w:rFonts w:eastAsia="SimSun"/>
            <w:color w:val="0000FF" w:themeColor="hyperlink"/>
            <w:u w:val="single"/>
          </w:rPr>
          <w:t>www.wipo.int/tad</w:t>
        </w:r>
      </w:hyperlink>
      <w:r w:rsidRPr="00F9168A">
        <w:rPr>
          <w:rFonts w:hint="cs"/>
          <w:rtl/>
          <w:lang w:val="fr-CH" w:bidi="ar-SY"/>
        </w:rPr>
        <w:t>).</w:t>
      </w:r>
    </w:p>
    <w:p w:rsidR="00F9168A" w:rsidRPr="00F9168A" w:rsidRDefault="00F9168A" w:rsidP="00F9168A">
      <w:pPr>
        <w:pStyle w:val="ONUMA"/>
        <w:rPr>
          <w:rtl/>
        </w:rPr>
      </w:pPr>
      <w:r w:rsidRPr="00F9168A">
        <w:rPr>
          <w:rtl/>
        </w:rPr>
        <w:t>ولما كانت معايير الويبو تنفَّذ في أنظمة وأدوات مختلفة للويبو، م</w:t>
      </w:r>
      <w:r w:rsidRPr="00F9168A">
        <w:rPr>
          <w:rFonts w:hint="cs"/>
          <w:rtl/>
        </w:rPr>
        <w:t>ن قبيل أداة الويبو للتسلسل</w:t>
      </w:r>
      <w:r w:rsidRPr="00F9168A">
        <w:rPr>
          <w:rtl/>
        </w:rPr>
        <w:t xml:space="preserve"> </w:t>
      </w:r>
      <w:r w:rsidRPr="00F9168A">
        <w:rPr>
          <w:rFonts w:hint="cs"/>
          <w:rtl/>
        </w:rPr>
        <w:t>و</w:t>
      </w:r>
      <w:r w:rsidRPr="00F9168A">
        <w:rPr>
          <w:rtl/>
        </w:rPr>
        <w:t>حلول</w:t>
      </w:r>
      <w:r w:rsidRPr="00F9168A">
        <w:rPr>
          <w:rFonts w:hint="cs"/>
          <w:rtl/>
        </w:rPr>
        <w:t xml:space="preserve"> </w:t>
      </w:r>
      <w:r w:rsidRPr="00F9168A">
        <w:rPr>
          <w:rtl/>
        </w:rPr>
        <w:t xml:space="preserve">الويبو للأعمال، فإن الأنشطة التالية تغطي أيضاً ضمنياً تعميم المعلومات عن معايير الملكية </w:t>
      </w:r>
      <w:r w:rsidRPr="00F9168A">
        <w:rPr>
          <w:rFonts w:hint="cs"/>
          <w:rtl/>
        </w:rPr>
        <w:t>الصناعية</w:t>
      </w:r>
      <w:r w:rsidRPr="00F9168A">
        <w:rPr>
          <w:rtl/>
        </w:rPr>
        <w:t>.</w:t>
      </w:r>
    </w:p>
    <w:p w:rsidR="00F9168A" w:rsidRPr="00B642B6" w:rsidRDefault="00F9168A" w:rsidP="00B642B6">
      <w:pPr>
        <w:pStyle w:val="Heading2"/>
        <w:spacing w:after="240"/>
        <w:rPr>
          <w:b/>
          <w:bCs w:val="0"/>
          <w:i/>
          <w:iCs w:val="0"/>
          <w:sz w:val="24"/>
          <w:szCs w:val="24"/>
          <w:rtl/>
        </w:rPr>
      </w:pPr>
      <w:r w:rsidRPr="00B642B6">
        <w:rPr>
          <w:b/>
          <w:bCs w:val="0"/>
          <w:i/>
          <w:iCs w:val="0"/>
          <w:sz w:val="24"/>
          <w:szCs w:val="24"/>
          <w:rtl/>
        </w:rPr>
        <w:t>التدريب والمشورة التقنية بشأن استخدام معايير الويبو</w:t>
      </w:r>
    </w:p>
    <w:p w:rsidR="00F9168A" w:rsidRPr="00F9168A" w:rsidRDefault="00F9168A" w:rsidP="00F9168A">
      <w:pPr>
        <w:pStyle w:val="ONUMA"/>
      </w:pPr>
      <w:r w:rsidRPr="00F9168A">
        <w:rPr>
          <w:rtl/>
        </w:rPr>
        <w:t xml:space="preserve">قدَّم المكتب الدولي، في عام </w:t>
      </w:r>
      <w:r w:rsidRPr="00F9168A">
        <w:rPr>
          <w:rFonts w:hint="cs"/>
          <w:rtl/>
        </w:rPr>
        <w:t>2019</w:t>
      </w:r>
      <w:r w:rsidRPr="00F9168A">
        <w:rPr>
          <w:rtl/>
        </w:rPr>
        <w:t xml:space="preserve">، </w:t>
      </w:r>
      <w:r w:rsidRPr="00F9168A">
        <w:rPr>
          <w:rFonts w:hint="cs"/>
          <w:rtl/>
        </w:rPr>
        <w:t>المشورة</w:t>
      </w:r>
      <w:r w:rsidRPr="00F9168A">
        <w:rPr>
          <w:rtl/>
        </w:rPr>
        <w:t xml:space="preserve"> </w:t>
      </w:r>
      <w:r w:rsidRPr="00F9168A">
        <w:rPr>
          <w:rFonts w:hint="cs"/>
          <w:rtl/>
        </w:rPr>
        <w:t>ال</w:t>
      </w:r>
      <w:r w:rsidRPr="00F9168A">
        <w:rPr>
          <w:rtl/>
        </w:rPr>
        <w:t xml:space="preserve">تقنية </w:t>
      </w:r>
      <w:r w:rsidRPr="00F9168A">
        <w:rPr>
          <w:rFonts w:hint="cs"/>
          <w:rtl/>
        </w:rPr>
        <w:t>لمساعدة عدة</w:t>
      </w:r>
      <w:r w:rsidRPr="00F9168A">
        <w:rPr>
          <w:rtl/>
        </w:rPr>
        <w:t xml:space="preserve"> مكاتب للملكية الصناعية ومستخدمين بشأن استعمال معايير الويبو، عن طريق </w:t>
      </w:r>
      <w:r w:rsidRPr="00F9168A">
        <w:rPr>
          <w:rFonts w:hint="cs"/>
          <w:rtl/>
        </w:rPr>
        <w:t>الرسائل</w:t>
      </w:r>
      <w:r w:rsidRPr="00F9168A">
        <w:rPr>
          <w:rtl/>
        </w:rPr>
        <w:t xml:space="preserve"> الإلكتروني</w:t>
      </w:r>
      <w:r w:rsidRPr="00F9168A">
        <w:rPr>
          <w:rFonts w:hint="cs"/>
          <w:rtl/>
        </w:rPr>
        <w:t>ة</w:t>
      </w:r>
      <w:r w:rsidRPr="00F9168A">
        <w:rPr>
          <w:rtl/>
        </w:rPr>
        <w:t xml:space="preserve"> والمؤتمرات الشبكية والاجتماعات المباشرة.</w:t>
      </w:r>
    </w:p>
    <w:p w:rsidR="00F9168A" w:rsidRPr="00F9168A" w:rsidRDefault="00F9168A" w:rsidP="00F9168A">
      <w:pPr>
        <w:pStyle w:val="ONUMA"/>
        <w:rPr>
          <w:rtl/>
        </w:rPr>
      </w:pPr>
      <w:r w:rsidRPr="00F9168A">
        <w:rPr>
          <w:rtl/>
        </w:rPr>
        <w:t>ولم تتلقَ الأمانة أي التماس لمساعدة تقنية أو تدريب بشأن معايير الويبو منذ الدورة الماضية للجنة المعايير.</w:t>
      </w:r>
      <w:r w:rsidRPr="00F9168A">
        <w:rPr>
          <w:rFonts w:hint="cs"/>
          <w:rtl/>
        </w:rPr>
        <w:t xml:space="preserve"> وستوفر</w:t>
      </w:r>
      <w:r w:rsidRPr="00F9168A">
        <w:rPr>
          <w:rtl/>
        </w:rPr>
        <w:t xml:space="preserve"> الأمانة المساعدة التقنية والتدريب بشأن معايير الويبو بناء</w:t>
      </w:r>
      <w:r w:rsidRPr="00F9168A">
        <w:rPr>
          <w:rFonts w:hint="cs"/>
          <w:rtl/>
        </w:rPr>
        <w:t>ً</w:t>
      </w:r>
      <w:r w:rsidRPr="00F9168A">
        <w:rPr>
          <w:rtl/>
        </w:rPr>
        <w:t xml:space="preserve"> على الطلب وتوفُّر الموارد اللازمة.</w:t>
      </w:r>
    </w:p>
    <w:p w:rsidR="00F9168A" w:rsidRPr="00B642B6" w:rsidRDefault="00F9168A" w:rsidP="00B642B6">
      <w:pPr>
        <w:pStyle w:val="Heading2"/>
        <w:spacing w:after="240"/>
        <w:rPr>
          <w:b/>
          <w:bCs w:val="0"/>
          <w:i/>
          <w:iCs w:val="0"/>
          <w:sz w:val="24"/>
          <w:szCs w:val="24"/>
        </w:rPr>
      </w:pPr>
      <w:r w:rsidRPr="00B642B6">
        <w:rPr>
          <w:b/>
          <w:bCs w:val="0"/>
          <w:i/>
          <w:iCs w:val="0"/>
          <w:sz w:val="24"/>
          <w:szCs w:val="24"/>
          <w:rtl/>
        </w:rPr>
        <w:lastRenderedPageBreak/>
        <w:t xml:space="preserve">المساعدة التقنية من أجل إنشاء البنية التحتية في مؤسسات الملكية </w:t>
      </w:r>
      <w:r w:rsidRPr="00B642B6">
        <w:rPr>
          <w:rFonts w:hint="cs"/>
          <w:b/>
          <w:bCs w:val="0"/>
          <w:i/>
          <w:iCs w:val="0"/>
          <w:sz w:val="24"/>
          <w:szCs w:val="24"/>
          <w:rtl/>
        </w:rPr>
        <w:t>الصناعية</w:t>
      </w:r>
      <w:r w:rsidRPr="00B642B6">
        <w:rPr>
          <w:b/>
          <w:bCs w:val="0"/>
          <w:i/>
          <w:iCs w:val="0"/>
          <w:sz w:val="24"/>
          <w:szCs w:val="24"/>
          <w:rtl/>
        </w:rPr>
        <w:t xml:space="preserve"> باستخدام معايير الويبو</w:t>
      </w:r>
    </w:p>
    <w:p w:rsidR="00F9168A" w:rsidRPr="00F9168A" w:rsidRDefault="00F9168A" w:rsidP="00F9168A">
      <w:pPr>
        <w:pStyle w:val="ONUMA"/>
      </w:pPr>
      <w:r w:rsidRPr="00F9168A">
        <w:rPr>
          <w:rtl/>
        </w:rPr>
        <w:t xml:space="preserve">يهدف البرنامج 15 إلى تحسين أنظمة أعمال مكاتب الملكية الصناعية الوطنية والإقليمية وبنيتها التحتية التقنية لمساعدتها على أن تقدم لأصحاب </w:t>
      </w:r>
      <w:r w:rsidRPr="00F9168A">
        <w:rPr>
          <w:rFonts w:hint="cs"/>
          <w:rtl/>
        </w:rPr>
        <w:t>المصلحة</w:t>
      </w:r>
      <w:r w:rsidRPr="00F9168A">
        <w:rPr>
          <w:rtl/>
        </w:rPr>
        <w:t xml:space="preserve"> لديها خدمات أعلى جودة وفعالية من حيث التكلفة.</w:t>
      </w:r>
      <w:r w:rsidRPr="00F9168A">
        <w:rPr>
          <w:rFonts w:hint="cs"/>
          <w:rtl/>
        </w:rPr>
        <w:t xml:space="preserve"> </w:t>
      </w:r>
      <w:r w:rsidRPr="00F9168A">
        <w:rPr>
          <w:rtl/>
        </w:rPr>
        <w:t>وتتماشى المساعدة المقدمة مع توصيات أجندة التنمية الرامية إلى تعزيز البنية التحتية المؤسسية والتقنية لمكاتب ومؤسسات الملكية الصناعية.</w:t>
      </w:r>
      <w:r w:rsidRPr="00F9168A">
        <w:rPr>
          <w:rFonts w:hint="cs"/>
          <w:rtl/>
        </w:rPr>
        <w:t xml:space="preserve"> </w:t>
      </w:r>
      <w:r w:rsidRPr="00F9168A">
        <w:rPr>
          <w:rtl/>
        </w:rPr>
        <w:t xml:space="preserve">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w:t>
      </w:r>
      <w:r w:rsidRPr="00F9168A">
        <w:rPr>
          <w:rFonts w:hint="cs"/>
          <w:rtl/>
        </w:rPr>
        <w:t>الصناعية</w:t>
      </w:r>
      <w:r w:rsidRPr="00F9168A">
        <w:rPr>
          <w:rtl/>
        </w:rPr>
        <w:t xml:space="preserve"> ولتبادل وثائق الأولوية ونتائج البحث والفحص، وتعميمها؛ وإنشاء قواعد بيانات للملكية الفكرية؛ والمساعدة في رقمنة سجلات الملكية </w:t>
      </w:r>
      <w:r w:rsidRPr="00F9168A">
        <w:rPr>
          <w:rFonts w:hint="cs"/>
          <w:rtl/>
        </w:rPr>
        <w:t>الصناعية</w:t>
      </w:r>
      <w:r w:rsidRPr="00F9168A">
        <w:rPr>
          <w:rtl/>
        </w:rPr>
        <w:t xml:space="preserve"> وتجهيز البيانات لنشرها على الإنترنت وتبادلها إلكترونيا</w:t>
      </w:r>
      <w:r w:rsidRPr="00F9168A">
        <w:rPr>
          <w:rFonts w:hint="cs"/>
          <w:rtl/>
        </w:rPr>
        <w:t>ً</w:t>
      </w:r>
      <w:r w:rsidRPr="00F9168A">
        <w:rPr>
          <w:rtl/>
        </w:rPr>
        <w:t xml:space="preserve">؛ والتدريب ونقل المعارف إلى موظفي مؤسسات الملكية </w:t>
      </w:r>
      <w:r w:rsidRPr="00F9168A">
        <w:rPr>
          <w:rFonts w:hint="cs"/>
          <w:rtl/>
        </w:rPr>
        <w:t>الصناعية</w:t>
      </w:r>
      <w:r w:rsidRPr="00F9168A">
        <w:rPr>
          <w:rtl/>
        </w:rPr>
        <w:t>؛ ودعم الأنظمة التي تقدمها الويبو.</w:t>
      </w:r>
      <w:r w:rsidRPr="00F9168A">
        <w:rPr>
          <w:rFonts w:hint="cs"/>
          <w:rtl/>
        </w:rPr>
        <w:t xml:space="preserve"> </w:t>
      </w:r>
      <w:r w:rsidRPr="00F9168A">
        <w:rPr>
          <w:rtl/>
        </w:rPr>
        <w:t xml:space="preserve">وتراعي المساعدة معايير الويبو المتعلقة ببيانات ومعلومات الملكية </w:t>
      </w:r>
      <w:r w:rsidRPr="00F9168A">
        <w:rPr>
          <w:rFonts w:hint="cs"/>
          <w:rtl/>
        </w:rPr>
        <w:t>الصناعية</w:t>
      </w:r>
      <w:r w:rsidRPr="00F9168A">
        <w:rPr>
          <w:rtl/>
        </w:rPr>
        <w:t xml:space="preserve"> وفق مقتضى الحال.</w:t>
      </w:r>
      <w:r w:rsidRPr="00F9168A">
        <w:rPr>
          <w:rFonts w:hint="cs"/>
          <w:rtl/>
        </w:rPr>
        <w:t xml:space="preserve"> </w:t>
      </w:r>
      <w:r w:rsidRPr="00F9168A">
        <w:rPr>
          <w:rtl/>
        </w:rPr>
        <w:t>ويحتل التدريب في الموقع والتوجيه وحلقات العمل التدريبية الإقليمية مساحة كبيرة من عمل البرنامج وكلها يؤدي دورا</w:t>
      </w:r>
      <w:r w:rsidRPr="00F9168A">
        <w:rPr>
          <w:rFonts w:hint="cs"/>
          <w:rtl/>
        </w:rPr>
        <w:t>ً</w:t>
      </w:r>
      <w:r w:rsidRPr="00F9168A">
        <w:rPr>
          <w:rtl/>
        </w:rPr>
        <w:t xml:space="preserve"> حاسما</w:t>
      </w:r>
      <w:r w:rsidRPr="00F9168A">
        <w:rPr>
          <w:rFonts w:hint="cs"/>
          <w:rtl/>
        </w:rPr>
        <w:t>ً</w:t>
      </w:r>
      <w:r w:rsidRPr="00F9168A">
        <w:rPr>
          <w:rtl/>
        </w:rPr>
        <w:t xml:space="preserve"> في تحقيق النتائج المرجوة.</w:t>
      </w:r>
    </w:p>
    <w:p w:rsidR="00F9168A" w:rsidRPr="00F9168A" w:rsidRDefault="00F9168A" w:rsidP="00F9168A">
      <w:pPr>
        <w:pStyle w:val="ONUMA"/>
      </w:pPr>
      <w:r w:rsidRPr="00F9168A">
        <w:rPr>
          <w:rFonts w:hint="cs"/>
          <w:rtl/>
        </w:rPr>
        <w:t>وبحلول نهاية عام 2019، كان 87 مكتباً للملكية الصناعية من بلدان نامية</w:t>
      </w:r>
      <w:r w:rsidRPr="00F9168A">
        <w:rPr>
          <w:rtl/>
        </w:rPr>
        <w:t xml:space="preserve"> يستخدم </w:t>
      </w:r>
      <w:r w:rsidRPr="00F9168A">
        <w:rPr>
          <w:rFonts w:hint="cs"/>
          <w:rtl/>
        </w:rPr>
        <w:t xml:space="preserve">بنشاط </w:t>
      </w:r>
      <w:r w:rsidRPr="00F9168A">
        <w:rPr>
          <w:rtl/>
        </w:rPr>
        <w:t xml:space="preserve">حلول الأعمال التي تقدمها الويبو لإدارة حقوق الملكية </w:t>
      </w:r>
      <w:r w:rsidRPr="00F9168A">
        <w:rPr>
          <w:rFonts w:hint="cs"/>
          <w:rtl/>
        </w:rPr>
        <w:t>الصناعية الخاصة بهم،</w:t>
      </w:r>
      <w:r w:rsidRPr="00F9168A">
        <w:rPr>
          <w:rtl/>
        </w:rPr>
        <w:t xml:space="preserve"> والتي تشمل معايير الويبو.</w:t>
      </w:r>
      <w:r w:rsidRPr="00F9168A">
        <w:rPr>
          <w:rFonts w:hint="cs"/>
          <w:rtl/>
        </w:rPr>
        <w:t xml:space="preserve"> ونُظمت</w:t>
      </w:r>
      <w:r w:rsidRPr="00F9168A">
        <w:rPr>
          <w:rtl/>
        </w:rPr>
        <w:t xml:space="preserve"> </w:t>
      </w:r>
      <w:r w:rsidRPr="00F9168A">
        <w:rPr>
          <w:rFonts w:hint="cs"/>
          <w:rtl/>
        </w:rPr>
        <w:t>اثنتي عشرة</w:t>
      </w:r>
      <w:r w:rsidRPr="00F9168A">
        <w:rPr>
          <w:rtl/>
        </w:rPr>
        <w:t xml:space="preserve"> حلقة عمل في جميع المناطق ب</w:t>
      </w:r>
      <w:r w:rsidRPr="00F9168A">
        <w:rPr>
          <w:rFonts w:hint="cs"/>
          <w:rtl/>
        </w:rPr>
        <w:t>مشاركة م</w:t>
      </w:r>
      <w:r w:rsidRPr="00F9168A">
        <w:rPr>
          <w:rtl/>
        </w:rPr>
        <w:t>ا مجموعه 166 مشاركا</w:t>
      </w:r>
      <w:r w:rsidRPr="00F9168A">
        <w:rPr>
          <w:rFonts w:hint="cs"/>
          <w:rtl/>
        </w:rPr>
        <w:t>ً</w:t>
      </w:r>
      <w:r w:rsidRPr="00F9168A">
        <w:rPr>
          <w:rtl/>
        </w:rPr>
        <w:t xml:space="preserve">. وشارك 44 </w:t>
      </w:r>
      <w:r w:rsidRPr="00F9168A">
        <w:rPr>
          <w:rFonts w:hint="cs"/>
          <w:rtl/>
        </w:rPr>
        <w:t xml:space="preserve">مكتباً </w:t>
      </w:r>
      <w:r w:rsidRPr="00F9168A">
        <w:rPr>
          <w:rtl/>
        </w:rPr>
        <w:t xml:space="preserve">من مكاتب الملكية الفكرية في إحدى منصات التبادل </w:t>
      </w:r>
      <w:r w:rsidRPr="00F9168A">
        <w:rPr>
          <w:rFonts w:hint="cs"/>
          <w:rtl/>
        </w:rPr>
        <w:t>الإلكترونية</w:t>
      </w:r>
      <w:r w:rsidRPr="00F9168A">
        <w:rPr>
          <w:rtl/>
        </w:rPr>
        <w:t xml:space="preserve"> التي </w:t>
      </w:r>
      <w:r w:rsidRPr="00F9168A">
        <w:rPr>
          <w:rFonts w:hint="cs"/>
          <w:rtl/>
        </w:rPr>
        <w:t>تتيحها</w:t>
      </w:r>
      <w:r w:rsidRPr="00F9168A">
        <w:rPr>
          <w:rtl/>
        </w:rPr>
        <w:t xml:space="preserve"> الويبو (</w:t>
      </w:r>
      <w:r w:rsidRPr="00F9168A">
        <w:rPr>
          <w:rFonts w:hint="cs"/>
          <w:rtl/>
        </w:rPr>
        <w:t xml:space="preserve">نظام </w:t>
      </w:r>
      <w:r w:rsidRPr="00F9168A">
        <w:rPr>
          <w:rtl/>
        </w:rPr>
        <w:t xml:space="preserve">النفاذ المركزي </w:t>
      </w:r>
      <w:r w:rsidRPr="00F9168A">
        <w:rPr>
          <w:rFonts w:hint="cs"/>
          <w:rtl/>
        </w:rPr>
        <w:t>إلى نتائج ال</w:t>
      </w:r>
      <w:r w:rsidRPr="00F9168A">
        <w:rPr>
          <w:rtl/>
        </w:rPr>
        <w:t xml:space="preserve">بحث والفحص وخدمة </w:t>
      </w:r>
      <w:r w:rsidRPr="00F9168A">
        <w:rPr>
          <w:rFonts w:hint="cs"/>
          <w:rtl/>
        </w:rPr>
        <w:t>الويبو ل</w:t>
      </w:r>
      <w:r w:rsidRPr="00F9168A">
        <w:rPr>
          <w:rtl/>
        </w:rPr>
        <w:t>لنفاذ الرقمي).</w:t>
      </w:r>
      <w:r w:rsidRPr="00F9168A">
        <w:rPr>
          <w:rFonts w:hint="cs"/>
          <w:rtl/>
        </w:rPr>
        <w:t xml:space="preserve"> </w:t>
      </w:r>
      <w:r w:rsidRPr="00F9168A">
        <w:rPr>
          <w:rtl/>
        </w:rPr>
        <w:t xml:space="preserve">وكان أحد اهتمامات البرنامج الرئيسية الارتقاء بمستوى الخدمة في مكاتب الملكية الصناعية بمساعدتها على الانتقال إلى الخدمات الشبكية في الإيداع ونشر معلومات الملكية </w:t>
      </w:r>
      <w:r w:rsidRPr="00F9168A">
        <w:rPr>
          <w:rFonts w:hint="cs"/>
          <w:rtl/>
        </w:rPr>
        <w:t>الصناعية</w:t>
      </w:r>
      <w:r w:rsidRPr="00F9168A">
        <w:rPr>
          <w:rtl/>
        </w:rPr>
        <w:t>.</w:t>
      </w:r>
      <w:r w:rsidRPr="00F9168A">
        <w:t xml:space="preserve"> </w:t>
      </w:r>
      <w:r w:rsidRPr="00F9168A">
        <w:rPr>
          <w:rtl/>
        </w:rPr>
        <w:t>وتتاح المزيد من المعلومات على الموقع الإلكتروني لبرنامج المساعدة التقنية التي تقدمها الويبو لمكاتب الملكية</w:t>
      </w:r>
      <w:r w:rsidRPr="00F9168A">
        <w:t xml:space="preserve"> </w:t>
      </w:r>
      <w:r w:rsidRPr="00F9168A">
        <w:rPr>
          <w:rFonts w:hint="cs"/>
          <w:rtl/>
          <w:lang w:bidi="ar-SY"/>
        </w:rPr>
        <w:t xml:space="preserve">الصناعية </w:t>
      </w:r>
      <w:r w:rsidR="00287F9E">
        <w:fldChar w:fldCharType="begin"/>
      </w:r>
      <w:r w:rsidR="00287F9E">
        <w:instrText xml:space="preserve"> HYPERLINK "https://www.wipo.int/coop</w:instrText>
      </w:r>
      <w:r w:rsidR="00287F9E">
        <w:instrText xml:space="preserve">eration/ar/technical_assistance/index.html" </w:instrText>
      </w:r>
      <w:r w:rsidR="00287F9E">
        <w:fldChar w:fldCharType="separate"/>
      </w:r>
      <w:r w:rsidRPr="00F9168A">
        <w:rPr>
          <w:rFonts w:eastAsia="SimSun"/>
          <w:color w:val="0000FF" w:themeColor="hyperlink"/>
          <w:u w:val="single"/>
          <w:lang w:bidi="ar-SY"/>
        </w:rPr>
        <w:t>https://www.wipo.int/cooperation/ar/technical_assistance</w:t>
      </w:r>
      <w:r w:rsidR="00287F9E">
        <w:rPr>
          <w:rFonts w:eastAsia="SimSun"/>
          <w:color w:val="0000FF" w:themeColor="hyperlink"/>
          <w:u w:val="single"/>
          <w:lang w:bidi="ar-SY"/>
        </w:rPr>
        <w:fldChar w:fldCharType="end"/>
      </w:r>
      <w:r w:rsidRPr="00F9168A">
        <w:rPr>
          <w:rFonts w:hint="cs"/>
          <w:rtl/>
          <w:lang w:bidi="ar-SY"/>
        </w:rPr>
        <w:t>.</w:t>
      </w:r>
    </w:p>
    <w:p w:rsidR="00F9168A" w:rsidRPr="00F9168A" w:rsidRDefault="00F9168A" w:rsidP="00F9168A">
      <w:pPr>
        <w:pStyle w:val="ONUMA"/>
        <w:rPr>
          <w:rtl/>
        </w:rPr>
      </w:pPr>
      <w:r w:rsidRPr="00F9168A">
        <w:rPr>
          <w:rFonts w:hint="cs"/>
          <w:rtl/>
        </w:rPr>
        <w:t>و</w:t>
      </w:r>
      <w:r w:rsidRPr="00F9168A">
        <w:rPr>
          <w:rtl/>
        </w:rPr>
        <w:t xml:space="preserve">بالإضافة إلى ذلك، </w:t>
      </w:r>
      <w:r w:rsidRPr="00F9168A">
        <w:rPr>
          <w:rFonts w:hint="cs"/>
          <w:rtl/>
        </w:rPr>
        <w:t>نفّذ</w:t>
      </w:r>
      <w:r w:rsidRPr="00F9168A">
        <w:rPr>
          <w:rtl/>
        </w:rPr>
        <w:t xml:space="preserve"> البرنامج 13 مشروع</w:t>
      </w:r>
      <w:r w:rsidRPr="00F9168A">
        <w:rPr>
          <w:rFonts w:hint="cs"/>
          <w:rtl/>
        </w:rPr>
        <w:t>اً</w:t>
      </w:r>
      <w:r w:rsidRPr="00F9168A">
        <w:rPr>
          <w:rtl/>
        </w:rPr>
        <w:t xml:space="preserve"> بالاشتراك مع المكتب الأوروبي للبراءات (</w:t>
      </w:r>
      <w:r w:rsidRPr="00F9168A">
        <w:t>EPO</w:t>
      </w:r>
      <w:r w:rsidRPr="00F9168A">
        <w:rPr>
          <w:rtl/>
        </w:rPr>
        <w:t xml:space="preserve">) لمساعدة مكاتب الملكية الفكرية </w:t>
      </w:r>
      <w:r w:rsidRPr="00F9168A">
        <w:rPr>
          <w:rFonts w:hint="cs"/>
          <w:rtl/>
        </w:rPr>
        <w:t>على</w:t>
      </w:r>
      <w:r w:rsidRPr="00F9168A">
        <w:rPr>
          <w:rtl/>
        </w:rPr>
        <w:t xml:space="preserve"> إنتاج نص</w:t>
      </w:r>
      <w:r w:rsidRPr="00F9168A">
        <w:rPr>
          <w:rFonts w:hint="cs"/>
          <w:rtl/>
        </w:rPr>
        <w:t>وص</w:t>
      </w:r>
      <w:r w:rsidRPr="00F9168A">
        <w:rPr>
          <w:rtl/>
        </w:rPr>
        <w:t xml:space="preserve"> كامل</w:t>
      </w:r>
      <w:r w:rsidRPr="00F9168A">
        <w:rPr>
          <w:rFonts w:hint="cs"/>
          <w:rtl/>
        </w:rPr>
        <w:t>ة</w:t>
      </w:r>
      <w:r w:rsidRPr="00F9168A">
        <w:rPr>
          <w:rtl/>
        </w:rPr>
        <w:t xml:space="preserve"> </w:t>
      </w:r>
      <w:r w:rsidRPr="00F9168A">
        <w:rPr>
          <w:rFonts w:hint="cs"/>
          <w:rtl/>
        </w:rPr>
        <w:t>قابلة</w:t>
      </w:r>
      <w:r w:rsidRPr="00F9168A">
        <w:rPr>
          <w:rtl/>
        </w:rPr>
        <w:t xml:space="preserve"> </w:t>
      </w:r>
      <w:r w:rsidRPr="00F9168A">
        <w:rPr>
          <w:rFonts w:hint="cs"/>
          <w:rtl/>
        </w:rPr>
        <w:t>ل</w:t>
      </w:r>
      <w:r w:rsidRPr="00F9168A">
        <w:rPr>
          <w:rtl/>
        </w:rPr>
        <w:t xml:space="preserve">لبحث من أجل </w:t>
      </w:r>
      <w:r w:rsidRPr="00F9168A">
        <w:rPr>
          <w:rFonts w:hint="cs"/>
          <w:rtl/>
        </w:rPr>
        <w:t xml:space="preserve">الملفات الأمامية لمنشورات البراءات بنسق </w:t>
      </w:r>
      <w:r w:rsidRPr="00F9168A">
        <w:rPr>
          <w:lang w:val="fr-CH"/>
        </w:rPr>
        <w:t>XML</w:t>
      </w:r>
      <w:r w:rsidRPr="00F9168A">
        <w:rPr>
          <w:rFonts w:hint="cs"/>
          <w:rtl/>
          <w:lang w:val="fr-CH"/>
        </w:rPr>
        <w:t xml:space="preserve"> </w:t>
      </w:r>
      <w:r w:rsidRPr="00F9168A">
        <w:rPr>
          <w:rFonts w:hint="cs"/>
          <w:rtl/>
        </w:rPr>
        <w:t>و</w:t>
      </w:r>
      <w:r w:rsidRPr="00F9168A">
        <w:rPr>
          <w:rtl/>
        </w:rPr>
        <w:t>صور</w:t>
      </w:r>
      <w:r w:rsidRPr="00F9168A">
        <w:rPr>
          <w:rFonts w:hint="cs"/>
          <w:rtl/>
        </w:rPr>
        <w:t xml:space="preserve"> مضمنة بنسق</w:t>
      </w:r>
      <w:r w:rsidRPr="00F9168A">
        <w:rPr>
          <w:rtl/>
        </w:rPr>
        <w:t xml:space="preserve"> </w:t>
      </w:r>
      <w:r w:rsidRPr="00F9168A">
        <w:t>TIFF</w:t>
      </w:r>
      <w:r w:rsidRPr="00F9168A">
        <w:rPr>
          <w:rtl/>
        </w:rPr>
        <w:t xml:space="preserve"> </w:t>
      </w:r>
      <w:r w:rsidRPr="00F9168A">
        <w:rPr>
          <w:rFonts w:hint="cs"/>
          <w:rtl/>
          <w:lang w:val="fr-CH"/>
        </w:rPr>
        <w:t>في إطار معيار الويبو</w:t>
      </w:r>
      <w:r w:rsidRPr="00F9168A">
        <w:t>ST.36</w:t>
      </w:r>
      <w:r w:rsidRPr="00F9168A">
        <w:rPr>
          <w:rtl/>
        </w:rPr>
        <w:t xml:space="preserve">. </w:t>
      </w:r>
      <w:r w:rsidRPr="00F9168A">
        <w:rPr>
          <w:rFonts w:hint="cs"/>
          <w:rtl/>
        </w:rPr>
        <w:t>واستحدث</w:t>
      </w:r>
      <w:r w:rsidRPr="00F9168A">
        <w:rPr>
          <w:rtl/>
        </w:rPr>
        <w:t xml:space="preserve"> المكتب الدولي </w:t>
      </w:r>
      <w:r w:rsidRPr="00F9168A">
        <w:rPr>
          <w:rFonts w:hint="cs"/>
          <w:rtl/>
        </w:rPr>
        <w:t>برمجية خاصة به</w:t>
      </w:r>
      <w:r w:rsidRPr="00F9168A">
        <w:rPr>
          <w:rtl/>
        </w:rPr>
        <w:t xml:space="preserve"> </w:t>
      </w:r>
      <w:r w:rsidRPr="00F9168A">
        <w:rPr>
          <w:rFonts w:hint="cs"/>
          <w:rtl/>
        </w:rPr>
        <w:t>ل</w:t>
      </w:r>
      <w:r w:rsidRPr="00F9168A">
        <w:rPr>
          <w:rtl/>
        </w:rPr>
        <w:t>لتعرف الضوئي على الحروف وفق</w:t>
      </w:r>
      <w:r w:rsidRPr="00F9168A">
        <w:rPr>
          <w:rFonts w:hint="cs"/>
          <w:rtl/>
        </w:rPr>
        <w:t>اً</w:t>
      </w:r>
      <w:r w:rsidRPr="00F9168A">
        <w:rPr>
          <w:rtl/>
        </w:rPr>
        <w:t xml:space="preserve"> للمتطلبات المحددة لكل مكتب مثل اللغة والتخطيط والإشارات المرجعية. </w:t>
      </w:r>
      <w:r w:rsidRPr="00F9168A">
        <w:rPr>
          <w:rFonts w:hint="cs"/>
          <w:rtl/>
        </w:rPr>
        <w:t>واستلم</w:t>
      </w:r>
      <w:r w:rsidRPr="00F9168A">
        <w:rPr>
          <w:rtl/>
        </w:rPr>
        <w:t xml:space="preserve"> 34 مكتبا</w:t>
      </w:r>
      <w:r w:rsidRPr="00F9168A">
        <w:rPr>
          <w:rFonts w:hint="cs"/>
          <w:rtl/>
        </w:rPr>
        <w:t>ً</w:t>
      </w:r>
      <w:r w:rsidRPr="00F9168A">
        <w:rPr>
          <w:rtl/>
        </w:rPr>
        <w:t xml:space="preserve"> </w:t>
      </w:r>
      <w:r w:rsidRPr="00F9168A">
        <w:rPr>
          <w:rFonts w:hint="cs"/>
          <w:rtl/>
        </w:rPr>
        <w:t>للملكية الفكرية</w:t>
      </w:r>
      <w:r w:rsidRPr="00F9168A">
        <w:rPr>
          <w:rtl/>
        </w:rPr>
        <w:t xml:space="preserve"> البرمج</w:t>
      </w:r>
      <w:r w:rsidRPr="00F9168A">
        <w:rPr>
          <w:rFonts w:hint="cs"/>
          <w:rtl/>
        </w:rPr>
        <w:t xml:space="preserve">ية وقدّمت دورات تدريبية حول </w:t>
      </w:r>
      <w:r w:rsidRPr="00F9168A">
        <w:rPr>
          <w:rtl/>
        </w:rPr>
        <w:t>استخدامه</w:t>
      </w:r>
      <w:r w:rsidRPr="00F9168A">
        <w:rPr>
          <w:rFonts w:hint="cs"/>
          <w:rtl/>
        </w:rPr>
        <w:t>ا</w:t>
      </w:r>
      <w:r w:rsidRPr="00F9168A">
        <w:rPr>
          <w:rtl/>
        </w:rPr>
        <w:t xml:space="preserve"> في السنوات الثلاث الماضية، وتمكن 12 </w:t>
      </w:r>
      <w:r w:rsidRPr="00F9168A">
        <w:rPr>
          <w:rFonts w:hint="cs"/>
          <w:rtl/>
        </w:rPr>
        <w:t>مكتباً</w:t>
      </w:r>
      <w:r w:rsidRPr="00F9168A">
        <w:rPr>
          <w:rtl/>
        </w:rPr>
        <w:t xml:space="preserve"> من إطلاق </w:t>
      </w:r>
      <w:r w:rsidRPr="00F9168A">
        <w:rPr>
          <w:rFonts w:hint="cs"/>
          <w:rtl/>
        </w:rPr>
        <w:t>إ</w:t>
      </w:r>
      <w:r w:rsidRPr="00F9168A">
        <w:rPr>
          <w:rtl/>
        </w:rPr>
        <w:t>نتاج</w:t>
      </w:r>
      <w:r w:rsidRPr="00F9168A">
        <w:rPr>
          <w:rFonts w:hint="cs"/>
          <w:rtl/>
        </w:rPr>
        <w:t>ها</w:t>
      </w:r>
      <w:r w:rsidRPr="00F9168A">
        <w:rPr>
          <w:rtl/>
        </w:rPr>
        <w:t xml:space="preserve">. ونتيجة لذلك، </w:t>
      </w:r>
      <w:r w:rsidRPr="00F9168A">
        <w:rPr>
          <w:rFonts w:hint="cs"/>
          <w:rtl/>
        </w:rPr>
        <w:t>أُدرجت</w:t>
      </w:r>
      <w:r w:rsidRPr="00F9168A">
        <w:rPr>
          <w:rtl/>
        </w:rPr>
        <w:t xml:space="preserve"> وثائق</w:t>
      </w:r>
      <w:r w:rsidRPr="00F9168A">
        <w:rPr>
          <w:rFonts w:hint="cs"/>
          <w:rtl/>
        </w:rPr>
        <w:t xml:space="preserve"> النصوص</w:t>
      </w:r>
      <w:r w:rsidRPr="00F9168A">
        <w:rPr>
          <w:rtl/>
        </w:rPr>
        <w:t xml:space="preserve"> الكاملة </w:t>
      </w:r>
      <w:r w:rsidRPr="00F9168A">
        <w:rPr>
          <w:rFonts w:hint="cs"/>
          <w:rtl/>
        </w:rPr>
        <w:t xml:space="preserve">المنتجة </w:t>
      </w:r>
      <w:r w:rsidRPr="00F9168A">
        <w:rPr>
          <w:rtl/>
        </w:rPr>
        <w:t>في ركن البراءات و</w:t>
      </w:r>
      <w:r w:rsidRPr="00F9168A">
        <w:rPr>
          <w:rFonts w:hint="cs"/>
          <w:rtl/>
        </w:rPr>
        <w:t>قاعدة بيانات</w:t>
      </w:r>
      <w:r w:rsidRPr="00F9168A">
        <w:rPr>
          <w:rtl/>
        </w:rPr>
        <w:t xml:space="preserve"> </w:t>
      </w:r>
      <w:proofErr w:type="spellStart"/>
      <w:r w:rsidRPr="00F9168A">
        <w:t>Espacenet</w:t>
      </w:r>
      <w:proofErr w:type="spellEnd"/>
      <w:r w:rsidRPr="00F9168A">
        <w:rPr>
          <w:rtl/>
        </w:rPr>
        <w:t xml:space="preserve"> </w:t>
      </w:r>
      <w:r w:rsidRPr="00F9168A">
        <w:rPr>
          <w:rFonts w:hint="cs"/>
          <w:rtl/>
        </w:rPr>
        <w:t>التابعة</w:t>
      </w:r>
      <w:r w:rsidRPr="00F9168A">
        <w:rPr>
          <w:rtl/>
        </w:rPr>
        <w:t xml:space="preserve"> </w:t>
      </w:r>
      <w:r w:rsidRPr="00F9168A">
        <w:rPr>
          <w:rFonts w:hint="cs"/>
          <w:rtl/>
        </w:rPr>
        <w:t>لل</w:t>
      </w:r>
      <w:r w:rsidRPr="00F9168A">
        <w:rPr>
          <w:rtl/>
        </w:rPr>
        <w:t>مكتب الأوروبي للبراءات</w:t>
      </w:r>
      <w:r w:rsidRPr="00F9168A">
        <w:rPr>
          <w:rFonts w:hint="cs"/>
          <w:rtl/>
        </w:rPr>
        <w:t xml:space="preserve"> ويمكن البحث فيها.</w:t>
      </w:r>
    </w:p>
    <w:p w:rsidR="00F9168A" w:rsidRPr="004B0691" w:rsidRDefault="00F9168A" w:rsidP="004B0691">
      <w:pPr>
        <w:pStyle w:val="Heading2"/>
        <w:spacing w:after="240"/>
        <w:rPr>
          <w:b/>
          <w:bCs w:val="0"/>
          <w:i/>
          <w:iCs w:val="0"/>
          <w:sz w:val="24"/>
          <w:szCs w:val="24"/>
          <w:rtl/>
        </w:rPr>
      </w:pPr>
      <w:bookmarkStart w:id="9" w:name="ExtraPara"/>
      <w:bookmarkEnd w:id="9"/>
      <w:r w:rsidRPr="004B0691">
        <w:rPr>
          <w:b/>
          <w:bCs w:val="0"/>
          <w:i/>
          <w:iCs w:val="0"/>
          <w:sz w:val="24"/>
          <w:szCs w:val="24"/>
          <w:rtl/>
        </w:rPr>
        <w:t xml:space="preserve">تكوين كفاءات الموظفين والفاحصين المعنيين بالملكية </w:t>
      </w:r>
      <w:r w:rsidRPr="004B0691">
        <w:rPr>
          <w:rFonts w:hint="cs"/>
          <w:b/>
          <w:bCs w:val="0"/>
          <w:i/>
          <w:iCs w:val="0"/>
          <w:sz w:val="24"/>
          <w:szCs w:val="24"/>
          <w:rtl/>
        </w:rPr>
        <w:t>الصناعية</w:t>
      </w:r>
      <w:r w:rsidRPr="004B0691">
        <w:rPr>
          <w:b/>
          <w:bCs w:val="0"/>
          <w:i/>
          <w:iCs w:val="0"/>
          <w:sz w:val="24"/>
          <w:szCs w:val="24"/>
          <w:rtl/>
        </w:rPr>
        <w:t xml:space="preserve"> من أجل استخدام الأدوات الدولية</w:t>
      </w:r>
    </w:p>
    <w:p w:rsidR="00F9168A" w:rsidRPr="00F9168A" w:rsidRDefault="00F9168A" w:rsidP="00F9168A">
      <w:pPr>
        <w:pStyle w:val="ONUMA"/>
      </w:pPr>
      <w:r w:rsidRPr="00F9168A">
        <w:rPr>
          <w:rFonts w:hint="cs"/>
          <w:rtl/>
        </w:rPr>
        <w:t xml:space="preserve">بالتعاون مع فرفة العمل المعنية بقوائم التسلسل </w:t>
      </w:r>
      <w:r w:rsidRPr="00F9168A">
        <w:rPr>
          <w:rFonts w:hint="cs"/>
          <w:rtl/>
          <w:lang w:val="fr-CH"/>
        </w:rPr>
        <w:t>التابعة للجنة المعايير</w:t>
      </w:r>
      <w:r w:rsidRPr="00F9168A">
        <w:rPr>
          <w:rtl/>
        </w:rPr>
        <w:t xml:space="preserve">، </w:t>
      </w:r>
      <w:r w:rsidRPr="00F9168A">
        <w:rPr>
          <w:rFonts w:hint="cs"/>
          <w:rtl/>
        </w:rPr>
        <w:t>يعمل</w:t>
      </w:r>
      <w:r w:rsidRPr="00F9168A">
        <w:rPr>
          <w:rtl/>
        </w:rPr>
        <w:t xml:space="preserve"> المكتب الدولي على استحداث أداة برمجية مشتركة</w:t>
      </w:r>
      <w:r w:rsidRPr="00F9168A">
        <w:rPr>
          <w:rFonts w:hint="cs"/>
          <w:rtl/>
        </w:rPr>
        <w:t xml:space="preserve"> مجانية، أداة الويبو للتسلسل،</w:t>
      </w:r>
      <w:r w:rsidRPr="00F9168A">
        <w:rPr>
          <w:rtl/>
        </w:rPr>
        <w:t xml:space="preserve"> </w:t>
      </w:r>
      <w:r w:rsidRPr="00F9168A">
        <w:rPr>
          <w:rFonts w:hint="cs"/>
          <w:rtl/>
        </w:rPr>
        <w:t>التي س</w:t>
      </w:r>
      <w:r w:rsidRPr="00F9168A">
        <w:rPr>
          <w:rtl/>
        </w:rPr>
        <w:t>تمكِّن مودعي البراءات</w:t>
      </w:r>
      <w:r w:rsidRPr="00F9168A">
        <w:rPr>
          <w:rFonts w:hint="cs"/>
          <w:rtl/>
        </w:rPr>
        <w:t xml:space="preserve"> من جميع أنحاء العالم</w:t>
      </w:r>
      <w:r w:rsidRPr="00F9168A">
        <w:rPr>
          <w:rtl/>
        </w:rPr>
        <w:t xml:space="preserve"> من إعداد قوائم تسلسل النكليوتيد والأحماض الأمينية وفقاً لمعيار الويبو </w:t>
      </w:r>
      <w:r w:rsidRPr="00F9168A">
        <w:t>ST.26</w:t>
      </w:r>
      <w:r w:rsidRPr="00F9168A">
        <w:rPr>
          <w:rtl/>
        </w:rPr>
        <w:t xml:space="preserve"> ودعم مكاتب الملكية الصناعية في معالجة وفحص قوائم التسلسل.</w:t>
      </w:r>
      <w:r w:rsidRPr="00F9168A">
        <w:rPr>
          <w:rFonts w:hint="cs"/>
          <w:rtl/>
        </w:rPr>
        <w:t xml:space="preserve"> وأُطلقت</w:t>
      </w:r>
      <w:r w:rsidRPr="00F9168A">
        <w:rPr>
          <w:rtl/>
        </w:rPr>
        <w:t xml:space="preserve"> </w:t>
      </w:r>
      <w:r w:rsidRPr="00F9168A">
        <w:rPr>
          <w:rFonts w:hint="cs"/>
          <w:rtl/>
        </w:rPr>
        <w:t>أداة الويبو للتسلسل (الإصدار التجريبي) في نوفمبر</w:t>
      </w:r>
      <w:r w:rsidRPr="00F9168A">
        <w:rPr>
          <w:rtl/>
        </w:rPr>
        <w:t xml:space="preserve"> 2019</w:t>
      </w:r>
      <w:r w:rsidRPr="00F9168A">
        <w:rPr>
          <w:rFonts w:hint="cs"/>
          <w:rtl/>
        </w:rPr>
        <w:t xml:space="preserve"> على موقع الويبو الإلكتروني: </w:t>
      </w:r>
      <w:hyperlink r:id="rId15" w:history="1">
        <w:r w:rsidRPr="00F9168A">
          <w:rPr>
            <w:rFonts w:eastAsia="SimSun"/>
            <w:color w:val="0000FF" w:themeColor="hyperlink"/>
            <w:u w:val="single"/>
          </w:rPr>
          <w:t>https://www.wipo.int/standards/en/sequence/index.html</w:t>
        </w:r>
      </w:hyperlink>
      <w:r w:rsidRPr="00F9168A">
        <w:rPr>
          <w:rFonts w:hint="cs"/>
          <w:rtl/>
        </w:rPr>
        <w:t>.</w:t>
      </w:r>
    </w:p>
    <w:p w:rsidR="00F9168A" w:rsidRPr="00F9168A" w:rsidRDefault="00F9168A" w:rsidP="00F9168A">
      <w:pPr>
        <w:pStyle w:val="ONUMA"/>
        <w:rPr>
          <w:rtl/>
        </w:rPr>
      </w:pPr>
      <w:r w:rsidRPr="00F9168A">
        <w:rPr>
          <w:rFonts w:hint="cs"/>
          <w:rtl/>
        </w:rPr>
        <w:t>و</w:t>
      </w:r>
      <w:r w:rsidRPr="00F9168A">
        <w:rPr>
          <w:rtl/>
        </w:rPr>
        <w:t>بناء</w:t>
      </w:r>
      <w:r w:rsidRPr="00F9168A">
        <w:rPr>
          <w:rFonts w:hint="cs"/>
          <w:rtl/>
        </w:rPr>
        <w:t>ً</w:t>
      </w:r>
      <w:r w:rsidRPr="00F9168A">
        <w:rPr>
          <w:rtl/>
        </w:rPr>
        <w:t xml:space="preserve"> على طلب </w:t>
      </w:r>
      <w:r w:rsidRPr="00F9168A">
        <w:rPr>
          <w:rFonts w:hint="cs"/>
          <w:rtl/>
        </w:rPr>
        <w:t>الجهات المعنية</w:t>
      </w:r>
      <w:r w:rsidRPr="00F9168A">
        <w:rPr>
          <w:rtl/>
        </w:rPr>
        <w:t xml:space="preserve">، قدم المكتب الدولي </w:t>
      </w:r>
      <w:r w:rsidRPr="00F9168A">
        <w:rPr>
          <w:rFonts w:hint="cs"/>
          <w:rtl/>
        </w:rPr>
        <w:t>حلقة</w:t>
      </w:r>
      <w:r w:rsidRPr="00F9168A">
        <w:rPr>
          <w:rtl/>
        </w:rPr>
        <w:t xml:space="preserve"> عمل تدريبية </w:t>
      </w:r>
      <w:r w:rsidRPr="00F9168A">
        <w:rPr>
          <w:rFonts w:hint="cs"/>
          <w:rtl/>
        </w:rPr>
        <w:t>بشأن</w:t>
      </w:r>
      <w:r w:rsidRPr="00F9168A">
        <w:rPr>
          <w:rtl/>
        </w:rPr>
        <w:t xml:space="preserve"> التصنيف الدولي للبراءات (</w:t>
      </w:r>
      <w:r w:rsidRPr="00F9168A">
        <w:t>IPC</w:t>
      </w:r>
      <w:r w:rsidRPr="00F9168A">
        <w:rPr>
          <w:rtl/>
        </w:rPr>
        <w:t>) لمسؤولين من</w:t>
      </w:r>
      <w:r w:rsidRPr="00F9168A">
        <w:rPr>
          <w:rFonts w:hint="cs"/>
          <w:rtl/>
        </w:rPr>
        <w:t xml:space="preserve"> </w:t>
      </w:r>
      <w:r w:rsidRPr="00F9168A">
        <w:rPr>
          <w:rtl/>
        </w:rPr>
        <w:t>وكالة تسجيل</w:t>
      </w:r>
      <w:r w:rsidRPr="00F9168A">
        <w:rPr>
          <w:rFonts w:hint="cs"/>
          <w:rtl/>
        </w:rPr>
        <w:t xml:space="preserve"> وترخيص</w:t>
      </w:r>
      <w:r w:rsidRPr="00F9168A">
        <w:rPr>
          <w:rtl/>
        </w:rPr>
        <w:t xml:space="preserve"> الأعمال</w:t>
      </w:r>
      <w:r w:rsidRPr="00F9168A">
        <w:rPr>
          <w:rFonts w:hint="cs"/>
          <w:rtl/>
        </w:rPr>
        <w:t xml:space="preserve"> التجارية </w:t>
      </w:r>
      <w:r w:rsidRPr="00F9168A">
        <w:rPr>
          <w:rFonts w:hint="cs"/>
          <w:rtl/>
          <w:lang w:val="fr-CH"/>
        </w:rPr>
        <w:t xml:space="preserve">في </w:t>
      </w:r>
      <w:r w:rsidRPr="00F9168A">
        <w:rPr>
          <w:rtl/>
        </w:rPr>
        <w:t xml:space="preserve">تنزانيا </w:t>
      </w:r>
      <w:r w:rsidRPr="00F9168A">
        <w:rPr>
          <w:lang w:val="fr-CH"/>
        </w:rPr>
        <w:t>(BERLA)</w:t>
      </w:r>
      <w:r w:rsidRPr="00F9168A">
        <w:rPr>
          <w:rtl/>
        </w:rPr>
        <w:t>، في جنيف في مارس 2019. وتضمن برنامج التدريب كيفية استخدام معايير الويبو ذات الصلة.</w:t>
      </w:r>
    </w:p>
    <w:p w:rsidR="00F9168A" w:rsidRPr="00F9168A" w:rsidRDefault="00F9168A" w:rsidP="00F9168A">
      <w:pPr>
        <w:pStyle w:val="ONUMA"/>
      </w:pPr>
      <w:r w:rsidRPr="00F9168A">
        <w:rPr>
          <w:rFonts w:hint="cs"/>
          <w:rtl/>
        </w:rPr>
        <w:t>وبناءً على عدد من الطلبات</w:t>
      </w:r>
      <w:r w:rsidRPr="00F9168A">
        <w:rPr>
          <w:rtl/>
        </w:rPr>
        <w:t xml:space="preserve">، </w:t>
      </w:r>
      <w:r w:rsidRPr="00F9168A">
        <w:rPr>
          <w:rFonts w:hint="cs"/>
          <w:rtl/>
        </w:rPr>
        <w:t>نُظّمت</w:t>
      </w:r>
      <w:r w:rsidRPr="00F9168A">
        <w:rPr>
          <w:rtl/>
        </w:rPr>
        <w:t xml:space="preserve"> في عام 2019</w:t>
      </w:r>
      <w:r w:rsidRPr="00F9168A">
        <w:rPr>
          <w:rFonts w:hint="cs"/>
          <w:rtl/>
        </w:rPr>
        <w:t xml:space="preserve"> </w:t>
      </w:r>
      <w:r w:rsidRPr="00F9168A">
        <w:rPr>
          <w:rtl/>
        </w:rPr>
        <w:t>الدور</w:t>
      </w:r>
      <w:r w:rsidRPr="00F9168A">
        <w:rPr>
          <w:rFonts w:hint="cs"/>
          <w:rtl/>
        </w:rPr>
        <w:t>تان</w:t>
      </w:r>
      <w:r w:rsidRPr="00F9168A">
        <w:rPr>
          <w:rtl/>
        </w:rPr>
        <w:t xml:space="preserve"> التدري</w:t>
      </w:r>
      <w:r w:rsidRPr="00F9168A">
        <w:rPr>
          <w:rFonts w:hint="cs"/>
          <w:rtl/>
        </w:rPr>
        <w:t>بيتان</w:t>
      </w:r>
      <w:r w:rsidRPr="00F9168A">
        <w:rPr>
          <w:rtl/>
        </w:rPr>
        <w:t xml:space="preserve"> </w:t>
      </w:r>
      <w:r w:rsidRPr="00F9168A">
        <w:rPr>
          <w:rFonts w:hint="cs"/>
          <w:rtl/>
        </w:rPr>
        <w:t>أدناه</w:t>
      </w:r>
      <w:r w:rsidRPr="00F9168A">
        <w:rPr>
          <w:rtl/>
        </w:rPr>
        <w:t xml:space="preserve"> بشأن استخدام التصنيفات الدولية للعلامات التجارية</w:t>
      </w:r>
      <w:r w:rsidRPr="00F9168A">
        <w:rPr>
          <w:rFonts w:hint="cs"/>
          <w:rtl/>
        </w:rPr>
        <w:t>، لفائدة</w:t>
      </w:r>
      <w:r w:rsidRPr="00F9168A">
        <w:rPr>
          <w:rtl/>
        </w:rPr>
        <w:t xml:space="preserve"> </w:t>
      </w:r>
      <w:r w:rsidRPr="00F9168A">
        <w:rPr>
          <w:rFonts w:hint="cs"/>
          <w:rtl/>
        </w:rPr>
        <w:t>ا</w:t>
      </w:r>
      <w:r w:rsidRPr="00F9168A">
        <w:rPr>
          <w:rtl/>
        </w:rPr>
        <w:t xml:space="preserve">لمسؤولين والفاحصين في مكاتب الملكية الفكرية. وفي هذا السياق، </w:t>
      </w:r>
      <w:r w:rsidRPr="00F9168A">
        <w:rPr>
          <w:rFonts w:hint="cs"/>
          <w:rtl/>
        </w:rPr>
        <w:t>قُدّم توضيح ل</w:t>
      </w:r>
      <w:r w:rsidRPr="00F9168A">
        <w:rPr>
          <w:rtl/>
        </w:rPr>
        <w:t xml:space="preserve">مدى </w:t>
      </w:r>
      <w:r w:rsidRPr="00F9168A">
        <w:rPr>
          <w:rFonts w:hint="cs"/>
          <w:rtl/>
        </w:rPr>
        <w:t>وجاهة</w:t>
      </w:r>
      <w:r w:rsidRPr="00F9168A">
        <w:rPr>
          <w:rtl/>
        </w:rPr>
        <w:t xml:space="preserve"> معايير الويبو ذات الصلة.</w:t>
      </w:r>
    </w:p>
    <w:p w:rsidR="004B0691" w:rsidRPr="004B0691" w:rsidRDefault="00F9168A" w:rsidP="004B0691">
      <w:pPr>
        <w:pStyle w:val="bodyindent"/>
        <w:numPr>
          <w:ilvl w:val="0"/>
          <w:numId w:val="27"/>
        </w:numPr>
      </w:pPr>
      <w:r w:rsidRPr="004B0691">
        <w:rPr>
          <w:rFonts w:hint="cs"/>
          <w:rtl/>
        </w:rPr>
        <w:t xml:space="preserve">دورة </w:t>
      </w:r>
      <w:r w:rsidRPr="004B0691">
        <w:rPr>
          <w:rtl/>
        </w:rPr>
        <w:t>تدريب</w:t>
      </w:r>
      <w:r w:rsidRPr="004B0691">
        <w:rPr>
          <w:rFonts w:hint="cs"/>
          <w:rtl/>
        </w:rPr>
        <w:t>ية</w:t>
      </w:r>
      <w:r w:rsidRPr="004B0691">
        <w:rPr>
          <w:rtl/>
        </w:rPr>
        <w:t xml:space="preserve"> </w:t>
      </w:r>
      <w:r w:rsidRPr="004B0691">
        <w:rPr>
          <w:rFonts w:hint="cs"/>
          <w:rtl/>
        </w:rPr>
        <w:t>بشأن</w:t>
      </w:r>
      <w:r w:rsidRPr="004B0691">
        <w:rPr>
          <w:rtl/>
        </w:rPr>
        <w:t xml:space="preserve"> تصنيف فيينا لفا</w:t>
      </w:r>
      <w:r w:rsidRPr="004B0691">
        <w:rPr>
          <w:rFonts w:hint="cs"/>
          <w:rtl/>
        </w:rPr>
        <w:t>ئدة فا</w:t>
      </w:r>
      <w:r w:rsidRPr="004B0691">
        <w:rPr>
          <w:rtl/>
        </w:rPr>
        <w:t xml:space="preserve">حصي العلامات التجارية </w:t>
      </w:r>
      <w:r w:rsidRPr="004B0691">
        <w:rPr>
          <w:rFonts w:hint="cs"/>
          <w:rtl/>
        </w:rPr>
        <w:t>من</w:t>
      </w:r>
      <w:r w:rsidRPr="004B0691">
        <w:rPr>
          <w:rtl/>
        </w:rPr>
        <w:t xml:space="preserve"> مكتب</w:t>
      </w:r>
      <w:r w:rsidRPr="004B0691">
        <w:rPr>
          <w:rFonts w:hint="cs"/>
          <w:rtl/>
        </w:rPr>
        <w:t xml:space="preserve"> تنزانيا</w:t>
      </w:r>
      <w:r w:rsidRPr="004B0691">
        <w:rPr>
          <w:rtl/>
        </w:rPr>
        <w:t xml:space="preserve"> </w:t>
      </w:r>
      <w:r w:rsidRPr="004B0691">
        <w:rPr>
          <w:rFonts w:hint="cs"/>
          <w:rtl/>
        </w:rPr>
        <w:t>لل</w:t>
      </w:r>
      <w:r w:rsidRPr="004B0691">
        <w:rPr>
          <w:rtl/>
        </w:rPr>
        <w:t>ملكية الفكرية، جنيف، من 26 إلى 28 مارس 2019</w:t>
      </w:r>
      <w:r w:rsidRPr="004B0691">
        <w:rPr>
          <w:rFonts w:hint="cs"/>
          <w:rtl/>
        </w:rPr>
        <w:t>؛</w:t>
      </w:r>
    </w:p>
    <w:p w:rsidR="00F9168A" w:rsidRPr="004B0691" w:rsidRDefault="00F9168A" w:rsidP="004B0691">
      <w:pPr>
        <w:pStyle w:val="bodyindent"/>
        <w:numPr>
          <w:ilvl w:val="0"/>
          <w:numId w:val="27"/>
        </w:numPr>
        <w:rPr>
          <w:rtl/>
        </w:rPr>
      </w:pPr>
      <w:r w:rsidRPr="004B0691">
        <w:rPr>
          <w:rFonts w:hint="cs"/>
          <w:rtl/>
        </w:rPr>
        <w:t>ودورة تدريبية بشأن</w:t>
      </w:r>
      <w:r w:rsidRPr="004B0691">
        <w:rPr>
          <w:rtl/>
        </w:rPr>
        <w:t xml:space="preserve"> تصنيف نيس ل</w:t>
      </w:r>
      <w:r w:rsidRPr="004B0691">
        <w:rPr>
          <w:rFonts w:hint="cs"/>
          <w:rtl/>
        </w:rPr>
        <w:t xml:space="preserve">فائدة </w:t>
      </w:r>
      <w:r w:rsidRPr="004B0691">
        <w:rPr>
          <w:rtl/>
        </w:rPr>
        <w:t>فاحصي العلامات التجاري</w:t>
      </w:r>
      <w:r w:rsidRPr="004B0691">
        <w:rPr>
          <w:rFonts w:hint="cs"/>
          <w:rtl/>
        </w:rPr>
        <w:t>ة</w:t>
      </w:r>
      <w:r w:rsidRPr="004B0691">
        <w:rPr>
          <w:rtl/>
        </w:rPr>
        <w:t>، أبو ظبي، الإمارات العربية المتحدة، من 9 إلى 12 سبتمبر 2019.</w:t>
      </w:r>
    </w:p>
    <w:p w:rsidR="00F9168A" w:rsidRPr="004B0691" w:rsidRDefault="00F9168A" w:rsidP="004B0691">
      <w:pPr>
        <w:pStyle w:val="Heading2"/>
        <w:spacing w:after="240"/>
        <w:rPr>
          <w:b/>
          <w:bCs w:val="0"/>
          <w:i/>
          <w:iCs w:val="0"/>
          <w:sz w:val="24"/>
          <w:szCs w:val="24"/>
          <w:rtl/>
          <w:lang w:eastAsia="en-US"/>
        </w:rPr>
      </w:pPr>
      <w:r w:rsidRPr="004B0691">
        <w:rPr>
          <w:b/>
          <w:bCs w:val="0"/>
          <w:i/>
          <w:iCs w:val="0"/>
          <w:sz w:val="24"/>
          <w:szCs w:val="24"/>
          <w:rtl/>
          <w:lang w:eastAsia="en-US"/>
        </w:rPr>
        <w:lastRenderedPageBreak/>
        <w:t xml:space="preserve">تعزيز فهم معايير الملكية </w:t>
      </w:r>
      <w:r w:rsidRPr="004B0691">
        <w:rPr>
          <w:rFonts w:hint="cs"/>
          <w:b/>
          <w:bCs w:val="0"/>
          <w:i/>
          <w:iCs w:val="0"/>
          <w:sz w:val="24"/>
          <w:szCs w:val="24"/>
          <w:rtl/>
          <w:lang w:eastAsia="en-US"/>
        </w:rPr>
        <w:t>الصناعية</w:t>
      </w:r>
    </w:p>
    <w:p w:rsidR="00F9168A" w:rsidRPr="00F9168A" w:rsidRDefault="00F9168A" w:rsidP="004B0691">
      <w:pPr>
        <w:pStyle w:val="ONUMA"/>
      </w:pPr>
      <w:r w:rsidRPr="00F9168A">
        <w:rPr>
          <w:rtl/>
        </w:rPr>
        <w:t>إن المكتب الدولي، في إطار سعيه إلى تعزيز الوعي بمعايير الويبو في البلدان النامية وتسهيل مشاركة عدد أكبر من البلدان النامية في إعداد معيار (معايير) جديد أو منقّح من معايير الويبو، وعملا</w:t>
      </w:r>
      <w:r w:rsidRPr="00F9168A">
        <w:rPr>
          <w:rFonts w:hint="cs"/>
          <w:rtl/>
        </w:rPr>
        <w:t>ً</w:t>
      </w:r>
      <w:r w:rsidRPr="00F9168A">
        <w:rPr>
          <w:rtl/>
        </w:rPr>
        <w:t xml:space="preserve"> بالقرار الذي اتخذته الجمعية العامة في أكتوبر 2011، قد موّل مشاركة سبعة بلدان من البلدان النامية أو أقل البلدان نمواً في دورة لجنة المعايير </w:t>
      </w:r>
      <w:r w:rsidRPr="00F9168A">
        <w:rPr>
          <w:rFonts w:hint="cs"/>
          <w:rtl/>
        </w:rPr>
        <w:t>السابعة</w:t>
      </w:r>
      <w:r w:rsidRPr="00F9168A">
        <w:rPr>
          <w:rtl/>
        </w:rPr>
        <w:t>.</w:t>
      </w:r>
      <w:r w:rsidRPr="00F9168A">
        <w:rPr>
          <w:rFonts w:hint="cs"/>
          <w:rtl/>
        </w:rPr>
        <w:t xml:space="preserve"> </w:t>
      </w:r>
    </w:p>
    <w:p w:rsidR="00F9168A" w:rsidRPr="004B0691" w:rsidRDefault="00F9168A" w:rsidP="004B0691">
      <w:pPr>
        <w:pStyle w:val="Heading2"/>
        <w:spacing w:after="240"/>
        <w:rPr>
          <w:b/>
          <w:bCs w:val="0"/>
          <w:i/>
          <w:iCs w:val="0"/>
          <w:sz w:val="24"/>
          <w:szCs w:val="24"/>
          <w:lang w:eastAsia="en-US"/>
        </w:rPr>
      </w:pPr>
      <w:r w:rsidRPr="004B0691">
        <w:rPr>
          <w:b/>
          <w:bCs w:val="0"/>
          <w:i/>
          <w:iCs w:val="0"/>
          <w:sz w:val="24"/>
          <w:szCs w:val="24"/>
          <w:rtl/>
          <w:lang w:eastAsia="en-US"/>
        </w:rPr>
        <w:t xml:space="preserve">تبادل بيانات الملكية </w:t>
      </w:r>
      <w:r w:rsidRPr="004B0691">
        <w:rPr>
          <w:rFonts w:hint="cs"/>
          <w:b/>
          <w:bCs w:val="0"/>
          <w:i/>
          <w:iCs w:val="0"/>
          <w:sz w:val="24"/>
          <w:szCs w:val="24"/>
          <w:rtl/>
          <w:lang w:eastAsia="en-US"/>
        </w:rPr>
        <w:t>الصناعية</w:t>
      </w:r>
    </w:p>
    <w:p w:rsidR="00F9168A" w:rsidRDefault="00F9168A" w:rsidP="004B0691">
      <w:pPr>
        <w:pStyle w:val="ONUMA"/>
        <w:rPr>
          <w:rtl/>
        </w:rPr>
      </w:pPr>
      <w:r w:rsidRPr="00F9168A">
        <w:rPr>
          <w:rtl/>
        </w:rPr>
        <w:t xml:space="preserve">تعاون المكتب الدولي مع الكثير من مكاتب الملكية الصناعية، لا سيما في بعض مجموعات البلدان النامية، لتعزيز تبادل بيانات الملكية </w:t>
      </w:r>
      <w:r w:rsidRPr="00F9168A">
        <w:rPr>
          <w:rFonts w:hint="cs"/>
          <w:rtl/>
        </w:rPr>
        <w:t>الصناعية</w:t>
      </w:r>
      <w:r w:rsidRPr="00F9168A">
        <w:rPr>
          <w:rtl/>
        </w:rPr>
        <w:t xml:space="preserve"> بهدف تعزيز نفاذ المستخدمين في تلك البلدان إلى معلومات الملكية </w:t>
      </w:r>
      <w:r w:rsidRPr="00F9168A">
        <w:rPr>
          <w:rFonts w:hint="cs"/>
          <w:rtl/>
        </w:rPr>
        <w:t>الصناعية</w:t>
      </w:r>
      <w:r w:rsidRPr="00F9168A">
        <w:rPr>
          <w:rtl/>
        </w:rPr>
        <w:t xml:space="preserve"> الواردة من تلك المكاتب.</w:t>
      </w:r>
      <w:r w:rsidRPr="00F9168A">
        <w:rPr>
          <w:rFonts w:hint="cs"/>
          <w:rtl/>
        </w:rPr>
        <w:t xml:space="preserve"> </w:t>
      </w:r>
      <w:r w:rsidRPr="00F9168A">
        <w:rPr>
          <w:rtl/>
        </w:rPr>
        <w:t xml:space="preserve">وقد نُظم تبادل المعلومات المتعلقة بالملكية </w:t>
      </w:r>
      <w:r w:rsidRPr="00F9168A">
        <w:rPr>
          <w:rFonts w:hint="cs"/>
          <w:rtl/>
        </w:rPr>
        <w:t>الصناعية</w:t>
      </w:r>
      <w:r w:rsidRPr="00F9168A">
        <w:rPr>
          <w:rtl/>
        </w:rPr>
        <w:t xml:space="preserve"> وفقا لمعايير الويبو الملائمة.</w:t>
      </w:r>
      <w:r w:rsidRPr="00F9168A">
        <w:rPr>
          <w:rFonts w:hint="cs"/>
          <w:rtl/>
        </w:rPr>
        <w:t xml:space="preserve"> </w:t>
      </w:r>
      <w:r w:rsidRPr="00F9168A">
        <w:rPr>
          <w:rtl/>
        </w:rPr>
        <w:t xml:space="preserve">وفي عام </w:t>
      </w:r>
      <w:r w:rsidRPr="00F9168A">
        <w:rPr>
          <w:rFonts w:hint="cs"/>
          <w:rtl/>
        </w:rPr>
        <w:t>2019</w:t>
      </w:r>
      <w:r w:rsidRPr="00F9168A">
        <w:rPr>
          <w:rtl/>
        </w:rPr>
        <w:t>، أُدرجت مجموعات العلامات التجارية الخاصة بالبلدان التالية في قاعدة البيانات العالمية لأدوات التوسيم</w:t>
      </w:r>
      <w:r w:rsidRPr="00F9168A">
        <w:rPr>
          <w:rFonts w:hint="cs"/>
          <w:rtl/>
        </w:rPr>
        <w:t xml:space="preserve">، حسب تسلسل زمني: كوستاريكا وبوتسوانا وإسواتيني وغامبيا وغانا وكينيا وملاوي وموزامبيق وناميبيا وزيمبابوي وأوروغواي ومدغشقر؛ </w:t>
      </w:r>
      <w:r w:rsidRPr="00F9168A">
        <w:rPr>
          <w:rtl/>
        </w:rPr>
        <w:t xml:space="preserve">وفي عام </w:t>
      </w:r>
      <w:r w:rsidRPr="00F9168A">
        <w:rPr>
          <w:rFonts w:hint="cs"/>
          <w:rtl/>
        </w:rPr>
        <w:t>2019</w:t>
      </w:r>
      <w:r w:rsidRPr="00F9168A">
        <w:rPr>
          <w:rtl/>
        </w:rPr>
        <w:t xml:space="preserve"> أُدرجت مجموعات البراءات الخاصة بالبلدان التالية في ركن البراءات</w:t>
      </w:r>
      <w:r w:rsidRPr="00F9168A">
        <w:rPr>
          <w:rFonts w:hint="cs"/>
          <w:rtl/>
        </w:rPr>
        <w:t>: اليونان ولاتفيا وليتوانيا. وفي عام 2019 أدرجت في قاعدة البيانات العالمية لأدوات التوسيم أيضاً مجموعات التصاميم الصناعية لكل من الصين وتونس وماليزيا وبوتسوانا وكينيا وموزامبيق وإيطاليا وبروني دار السلام ولاوس وكمبوديا وكوستاريكا.</w:t>
      </w:r>
    </w:p>
    <w:p w:rsidR="004B0691" w:rsidRPr="00F9168A" w:rsidRDefault="004B0691" w:rsidP="00F9168A">
      <w:pPr>
        <w:spacing w:before="200"/>
        <w:rPr>
          <w:rFonts w:ascii="Arabic Typesetting" w:hAnsi="Arabic Typesetting" w:cs="Arabic Typesetting"/>
          <w:sz w:val="36"/>
          <w:szCs w:val="36"/>
        </w:rPr>
      </w:pPr>
    </w:p>
    <w:p w:rsidR="00F9168A" w:rsidRPr="004B0691" w:rsidRDefault="004B0691" w:rsidP="004B0691">
      <w:pPr>
        <w:pStyle w:val="ONUMA"/>
        <w:numPr>
          <w:ilvl w:val="0"/>
          <w:numId w:val="0"/>
        </w:numPr>
        <w:ind w:left="5534"/>
      </w:pPr>
      <w:r w:rsidRPr="004B0691">
        <w:rPr>
          <w:rFonts w:hint="cs"/>
          <w:i/>
          <w:iCs/>
          <w:rtl/>
        </w:rPr>
        <w:t>13.</w:t>
      </w:r>
      <w:r>
        <w:rPr>
          <w:rFonts w:hint="cs"/>
          <w:rtl/>
        </w:rPr>
        <w:tab/>
      </w:r>
      <w:r w:rsidR="00F9168A" w:rsidRPr="004B0691">
        <w:rPr>
          <w:rFonts w:hint="cs"/>
          <w:i/>
          <w:iCs/>
          <w:rtl/>
        </w:rPr>
        <w:t xml:space="preserve">إن لجنة المعايير مدعوة إلى الإحاطة علماً </w:t>
      </w:r>
      <w:r w:rsidR="00F9168A" w:rsidRPr="004B0691">
        <w:rPr>
          <w:i/>
          <w:iCs/>
          <w:rtl/>
        </w:rPr>
        <w:t xml:space="preserve">بالأنشطة التي اضطلع بها المكتب الدولي في عام </w:t>
      </w:r>
      <w:r w:rsidR="00F9168A" w:rsidRPr="004B0691">
        <w:rPr>
          <w:rFonts w:hint="cs"/>
          <w:i/>
          <w:iCs/>
          <w:rtl/>
        </w:rPr>
        <w:t>2019</w:t>
      </w:r>
      <w:r w:rsidR="00F9168A" w:rsidRPr="004B0691">
        <w:rPr>
          <w:i/>
          <w:iCs/>
          <w:rtl/>
        </w:rPr>
        <w:t xml:space="preserve"> لتقديم المشورة والمساعدة التقني</w:t>
      </w:r>
      <w:r w:rsidR="00F9168A" w:rsidRPr="004B0691">
        <w:rPr>
          <w:rFonts w:hint="cs"/>
          <w:i/>
          <w:iCs/>
          <w:rtl/>
        </w:rPr>
        <w:t>تين</w:t>
      </w:r>
      <w:r w:rsidR="00F9168A" w:rsidRPr="004B0691">
        <w:rPr>
          <w:i/>
          <w:iCs/>
          <w:rtl/>
        </w:rPr>
        <w:t xml:space="preserve"> من أجل تكوين الكفاءات لدى مكاتب الملكية الصناعية، بشأن تعميم المعلومات المتعلقة بمعايير الملكية </w:t>
      </w:r>
      <w:r w:rsidR="00F9168A" w:rsidRPr="004B0691">
        <w:rPr>
          <w:rFonts w:hint="cs"/>
          <w:i/>
          <w:iCs/>
          <w:rtl/>
        </w:rPr>
        <w:t>الصناعية</w:t>
      </w:r>
      <w:r w:rsidR="00F9168A" w:rsidRPr="004B0691">
        <w:rPr>
          <w:i/>
          <w:iCs/>
          <w:rtl/>
        </w:rPr>
        <w:t>.</w:t>
      </w:r>
      <w:r w:rsidR="00F9168A" w:rsidRPr="004B0691">
        <w:rPr>
          <w:rFonts w:hint="cs"/>
          <w:i/>
          <w:iCs/>
          <w:rtl/>
        </w:rPr>
        <w:t xml:space="preserve"> </w:t>
      </w:r>
      <w:r w:rsidR="00F9168A" w:rsidRPr="004B0691">
        <w:rPr>
          <w:i/>
          <w:iCs/>
          <w:rtl/>
        </w:rPr>
        <w:t xml:space="preserve">وسوف تُستخدم هذه الوثيقة أساساً للتقرير الذي سيقدَّم إلى الجمعية العامة للويبو التي ستُعقد في عام </w:t>
      </w:r>
      <w:r w:rsidR="00F9168A" w:rsidRPr="004B0691">
        <w:rPr>
          <w:rFonts w:hint="cs"/>
          <w:i/>
          <w:iCs/>
          <w:rtl/>
        </w:rPr>
        <w:t>2020</w:t>
      </w:r>
      <w:r w:rsidR="00F9168A" w:rsidRPr="004B0691">
        <w:rPr>
          <w:i/>
          <w:iCs/>
          <w:rtl/>
        </w:rPr>
        <w:t xml:space="preserve">، كما طُلب في دورتها الأربعين التي عُقدت في أكتوبر 2011 (انظر الفقرة 190 من الوثيقة </w:t>
      </w:r>
      <w:r w:rsidR="00F9168A" w:rsidRPr="004B0691">
        <w:rPr>
          <w:i/>
          <w:iCs/>
        </w:rPr>
        <w:t>WO/GA/40/19</w:t>
      </w:r>
      <w:r w:rsidR="00F9168A" w:rsidRPr="004B0691">
        <w:rPr>
          <w:i/>
          <w:iCs/>
          <w:rtl/>
        </w:rPr>
        <w:t>).</w:t>
      </w:r>
    </w:p>
    <w:p w:rsidR="004B0691" w:rsidRDefault="004B0691" w:rsidP="004B0691">
      <w:pPr>
        <w:pStyle w:val="Endofdocument-Annex"/>
        <w:rPr>
          <w:rFonts w:eastAsia="Times New Roman"/>
          <w:rtl/>
          <w:lang w:eastAsia="en-US"/>
        </w:rPr>
      </w:pPr>
    </w:p>
    <w:p w:rsidR="00F9168A" w:rsidRPr="00F9168A" w:rsidRDefault="00F9168A" w:rsidP="004B0691">
      <w:pPr>
        <w:pStyle w:val="Endofdocument-Annex"/>
        <w:rPr>
          <w:rFonts w:eastAsia="Times New Roman"/>
          <w:rtl/>
          <w:lang w:eastAsia="en-US"/>
        </w:rPr>
      </w:pPr>
      <w:r w:rsidRPr="00F9168A">
        <w:rPr>
          <w:rFonts w:eastAsia="Times New Roman"/>
          <w:rtl/>
          <w:lang w:eastAsia="en-US"/>
        </w:rPr>
        <w:t>[</w:t>
      </w:r>
      <w:r w:rsidRPr="00F9168A">
        <w:rPr>
          <w:rFonts w:eastAsia="Times New Roman" w:hint="cs"/>
          <w:rtl/>
          <w:lang w:eastAsia="en-US"/>
        </w:rPr>
        <w:t>نهاية الوثيقة</w:t>
      </w:r>
      <w:r w:rsidRPr="00F9168A">
        <w:rPr>
          <w:rFonts w:eastAsia="Times New Roman"/>
          <w:rtl/>
          <w:lang w:eastAsia="en-US"/>
        </w:rPr>
        <w:t>]</w:t>
      </w:r>
    </w:p>
    <w:p w:rsidR="002B73F0" w:rsidRPr="002B73F0" w:rsidRDefault="002B73F0" w:rsidP="00F9168A">
      <w:pPr>
        <w:pStyle w:val="BodyText"/>
      </w:pPr>
    </w:p>
    <w:sectPr w:rsidR="002B73F0" w:rsidRPr="002B73F0" w:rsidSect="00C05675">
      <w:headerReference w:type="default" r:id="rId16"/>
      <w:headerReference w:type="first" r:id="rId17"/>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5E8" w:rsidRDefault="007255E8">
      <w:r>
        <w:separator/>
      </w:r>
    </w:p>
  </w:endnote>
  <w:endnote w:type="continuationSeparator" w:id="0">
    <w:p w:rsidR="007255E8" w:rsidRDefault="007255E8" w:rsidP="003B38C1">
      <w:r>
        <w:separator/>
      </w:r>
    </w:p>
    <w:p w:rsidR="007255E8" w:rsidRPr="003B38C1" w:rsidRDefault="007255E8" w:rsidP="003B38C1">
      <w:pPr>
        <w:spacing w:after="60"/>
        <w:rPr>
          <w:sz w:val="17"/>
        </w:rPr>
      </w:pPr>
      <w:r>
        <w:rPr>
          <w:sz w:val="17"/>
        </w:rPr>
        <w:t>[Endnote continued from previous page]</w:t>
      </w:r>
    </w:p>
  </w:endnote>
  <w:endnote w:type="continuationNotice" w:id="1">
    <w:p w:rsidR="007255E8" w:rsidRPr="003B38C1" w:rsidRDefault="007255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font>
  <w:font w:name="Arabic Typesetting">
    <w:altName w:val="Courier New"/>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5E8" w:rsidRDefault="007255E8">
      <w:r>
        <w:separator/>
      </w:r>
    </w:p>
  </w:footnote>
  <w:footnote w:type="continuationSeparator" w:id="0">
    <w:p w:rsidR="007255E8" w:rsidRDefault="007255E8" w:rsidP="008B60B2">
      <w:r>
        <w:separator/>
      </w:r>
    </w:p>
    <w:p w:rsidR="007255E8" w:rsidRPr="00ED77FB" w:rsidRDefault="007255E8" w:rsidP="008B60B2">
      <w:pPr>
        <w:spacing w:after="60"/>
        <w:rPr>
          <w:sz w:val="17"/>
          <w:szCs w:val="17"/>
        </w:rPr>
      </w:pPr>
      <w:r w:rsidRPr="00ED77FB">
        <w:rPr>
          <w:sz w:val="17"/>
          <w:szCs w:val="17"/>
        </w:rPr>
        <w:t>[Footnote continued from previous page]</w:t>
      </w:r>
    </w:p>
  </w:footnote>
  <w:footnote w:type="continuationNotice" w:id="1">
    <w:p w:rsidR="007255E8" w:rsidRPr="00ED77FB" w:rsidRDefault="007255E8" w:rsidP="008B60B2">
      <w:pPr>
        <w:spacing w:before="60"/>
        <w:jc w:val="right"/>
        <w:rPr>
          <w:sz w:val="17"/>
          <w:szCs w:val="17"/>
        </w:rPr>
      </w:pPr>
      <w:r w:rsidRPr="00ED77FB">
        <w:rPr>
          <w:sz w:val="17"/>
          <w:szCs w:val="17"/>
        </w:rPr>
        <w:t>[Footnote continued on next page]</w:t>
      </w:r>
    </w:p>
  </w:footnote>
  <w:footnote w:id="2">
    <w:p w:rsidR="00CC4F6F" w:rsidRDefault="00CC4F6F" w:rsidP="0086498B">
      <w:pPr>
        <w:pStyle w:val="FootnoteText"/>
        <w:rPr>
          <w:lang w:bidi="ar-SY"/>
        </w:rPr>
      </w:pPr>
      <w:r>
        <w:rPr>
          <w:rStyle w:val="FootnoteReference"/>
        </w:rPr>
        <w:footnoteRef/>
      </w:r>
      <w:r>
        <w:rPr>
          <w:rtl/>
        </w:rPr>
        <w:t xml:space="preserve"> </w:t>
      </w:r>
      <w:r>
        <w:rPr>
          <w:rStyle w:val="FootnoteReference"/>
        </w:rPr>
        <w:footnoteRef/>
      </w:r>
      <w:r>
        <w:t xml:space="preserve"> </w:t>
      </w:r>
      <w:hyperlink r:id="rId1" w:history="1">
        <w:r w:rsidRPr="009F148F">
          <w:rPr>
            <w:rStyle w:val="Hyperlink"/>
          </w:rPr>
          <w:t>https://www.wipo.int/meetings/ar/details.jsp?meeting_id=57089</w:t>
        </w:r>
      </w:hyperlink>
    </w:p>
  </w:footnote>
  <w:footnote w:id="3">
    <w:p w:rsidR="00CC4F6F" w:rsidRDefault="00CC4F6F" w:rsidP="00384716">
      <w:pPr>
        <w:pStyle w:val="FootnoteText"/>
        <w:rPr>
          <w:lang w:bidi="ar-SY"/>
        </w:rPr>
      </w:pPr>
      <w:r>
        <w:rPr>
          <w:rStyle w:val="FootnoteReference"/>
        </w:rPr>
        <w:footnoteRef/>
      </w:r>
      <w:r>
        <w:rPr>
          <w:rtl/>
        </w:rPr>
        <w:t xml:space="preserve"> </w:t>
      </w:r>
      <w:hyperlink r:id="rId2" w:history="1">
        <w:r w:rsidRPr="0068587F">
          <w:rPr>
            <w:rStyle w:val="Hyperlink"/>
          </w:rPr>
          <w:t>https://www.wipo.int/standards/en/part_03_standards.html</w:t>
        </w:r>
      </w:hyperlink>
    </w:p>
  </w:footnote>
  <w:footnote w:id="4">
    <w:p w:rsidR="00CC4F6F" w:rsidRPr="00B757B3" w:rsidRDefault="00CC4F6F" w:rsidP="00CD3D4A">
      <w:pPr>
        <w:pStyle w:val="FootnoteText"/>
        <w:rPr>
          <w:lang w:bidi="ar-SY"/>
        </w:rPr>
      </w:pPr>
      <w:r>
        <w:rPr>
          <w:rStyle w:val="FootnoteReference"/>
        </w:rPr>
        <w:footnoteRef/>
      </w:r>
      <w:r>
        <w:rPr>
          <w:rtl/>
        </w:rPr>
        <w:t xml:space="preserve"> </w:t>
      </w:r>
      <w:hyperlink r:id="rId3" w:history="1">
        <w:r w:rsidRPr="0068587F">
          <w:rPr>
            <w:rStyle w:val="Hyperlink"/>
          </w:rPr>
          <w:t>https://www.wipo.int/standards/en/part_07.html</w:t>
        </w:r>
      </w:hyperlink>
      <w:r>
        <w:t xml:space="preserve"> </w:t>
      </w:r>
    </w:p>
  </w:footnote>
  <w:footnote w:id="5">
    <w:p w:rsidR="00CC4F6F" w:rsidRPr="00CD3D4A" w:rsidRDefault="00CC4F6F" w:rsidP="00CD3D4A">
      <w:pPr>
        <w:pStyle w:val="FootnoteText"/>
      </w:pPr>
      <w:r>
        <w:rPr>
          <w:rStyle w:val="FootnoteReference"/>
        </w:rPr>
        <w:footnoteRef/>
      </w:r>
      <w:r>
        <w:rPr>
          <w:rtl/>
        </w:rPr>
        <w:t xml:space="preserve"> </w:t>
      </w:r>
      <w:hyperlink r:id="rId4" w:history="1">
        <w:r w:rsidRPr="009F148F">
          <w:rPr>
            <w:rStyle w:val="Hyperlink"/>
          </w:rPr>
          <w:t>https://www.wipo.int/meetings/ar/topic.jsp?group_id=330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Pr="002326AB" w:rsidRDefault="00CC4F6F" w:rsidP="00D509EC">
    <w:pPr>
      <w:bidi w:val="0"/>
      <w:rPr>
        <w:caps/>
      </w:rPr>
    </w:pPr>
    <w:r w:rsidRPr="009A5ED7">
      <w:rPr>
        <w:caps/>
      </w:rPr>
      <w:t>WO/GA</w:t>
    </w:r>
    <w:r>
      <w:rPr>
        <w:caps/>
      </w:rPr>
      <w:t>/54/7</w:t>
    </w:r>
  </w:p>
  <w:p w:rsidR="00CC4F6F" w:rsidRDefault="00CC4F6F" w:rsidP="00210D5F">
    <w:pPr>
      <w:bidi w:val="0"/>
    </w:pPr>
    <w:r>
      <w:fldChar w:fldCharType="begin"/>
    </w:r>
    <w:r>
      <w:instrText xml:space="preserve"> PAGE  \* MERGEFORMAT </w:instrText>
    </w:r>
    <w:r>
      <w:fldChar w:fldCharType="separate"/>
    </w:r>
    <w:r w:rsidR="003E28B2">
      <w:rPr>
        <w:noProof/>
      </w:rPr>
      <w:t>5</w:t>
    </w:r>
    <w:r>
      <w:fldChar w:fldCharType="end"/>
    </w:r>
  </w:p>
  <w:p w:rsidR="00CC4F6F" w:rsidRDefault="00CC4F6F" w:rsidP="00210D5F">
    <w:pPr>
      <w:bidi w:val="0"/>
    </w:pPr>
  </w:p>
  <w:p w:rsidR="00CC4F6F" w:rsidRDefault="00CC4F6F"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Pr="002326AB" w:rsidRDefault="00CC4F6F" w:rsidP="0086498B">
    <w:pPr>
      <w:bidi w:val="0"/>
      <w:rPr>
        <w:caps/>
      </w:rPr>
    </w:pPr>
    <w:r w:rsidRPr="009A5ED7">
      <w:rPr>
        <w:caps/>
      </w:rPr>
      <w:t>WO/GA</w:t>
    </w:r>
    <w:r>
      <w:rPr>
        <w:caps/>
      </w:rPr>
      <w:t>/54/11</w:t>
    </w:r>
  </w:p>
  <w:p w:rsidR="00CC4F6F" w:rsidRDefault="00CC4F6F" w:rsidP="0086498B">
    <w:pPr>
      <w:bidi w:val="0"/>
    </w:pPr>
    <w:r>
      <w:fldChar w:fldCharType="begin"/>
    </w:r>
    <w:r>
      <w:instrText xml:space="preserve"> PAGE  \* MERGEFORMAT </w:instrText>
    </w:r>
    <w:r>
      <w:fldChar w:fldCharType="separate"/>
    </w:r>
    <w:r w:rsidR="003E28B2">
      <w:rPr>
        <w:noProof/>
      </w:rPr>
      <w:t>2</w:t>
    </w:r>
    <w:r>
      <w:fldChar w:fldCharType="end"/>
    </w:r>
  </w:p>
  <w:p w:rsidR="00CC4F6F" w:rsidRDefault="00CC4F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CC4F6F" w:rsidP="00CC4F6F">
    <w:pPr>
      <w:bidi w:val="0"/>
      <w:rPr>
        <w:rFonts w:cs="Arial"/>
      </w:rPr>
    </w:pPr>
    <w:bookmarkStart w:id="10" w:name="Code3"/>
    <w:bookmarkEnd w:id="10"/>
    <w:r>
      <w:rPr>
        <w:rFonts w:cs="Arial"/>
      </w:rPr>
      <w:t>CWS/8/22</w:t>
    </w:r>
  </w:p>
  <w:p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3E28B2">
      <w:rPr>
        <w:rFonts w:cs="Arial"/>
        <w:noProof/>
        <w:lang w:bidi="ar-EG"/>
      </w:rPr>
      <w:t>3</w:t>
    </w:r>
    <w:r w:rsidRPr="00C50A61">
      <w:rPr>
        <w:rFonts w:cs="Arial"/>
      </w:rPr>
      <w:fldChar w:fldCharType="end"/>
    </w:r>
  </w:p>
  <w:p w:rsidR="00CC4F6F" w:rsidRPr="00C50A61" w:rsidRDefault="00CC4F6F" w:rsidP="00CC4F6F">
    <w:pPr>
      <w:bidi w:val="0"/>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6F" w:rsidRDefault="00CC4F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3C1F69"/>
    <w:multiLevelType w:val="hybridMultilevel"/>
    <w:tmpl w:val="6138381A"/>
    <w:lvl w:ilvl="0" w:tplc="DD80124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23294F"/>
    <w:multiLevelType w:val="hybridMultilevel"/>
    <w:tmpl w:val="E5A8F47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B08F8"/>
    <w:multiLevelType w:val="hybridMultilevel"/>
    <w:tmpl w:val="27D8D3FA"/>
    <w:lvl w:ilvl="0" w:tplc="50FE7C04">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F62B54"/>
    <w:multiLevelType w:val="hybridMultilevel"/>
    <w:tmpl w:val="C834202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B2E35"/>
    <w:multiLevelType w:val="hybridMultilevel"/>
    <w:tmpl w:val="91980F3A"/>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45D56AC"/>
    <w:multiLevelType w:val="hybridMultilevel"/>
    <w:tmpl w:val="79703354"/>
    <w:lvl w:ilvl="0" w:tplc="3D82285A">
      <w:start w:val="1"/>
      <w:numFmt w:val="bullet"/>
      <w:lvlText w:val="-"/>
      <w:lvlJc w:val="left"/>
      <w:pPr>
        <w:ind w:left="1287" w:hanging="360"/>
      </w:pPr>
      <w:rPr>
        <w:rFonts w:ascii="Arial" w:eastAsia="Malgun Gothic" w:hAnsi="Arial" w:cs="Aria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8" w15:restartNumberingAfterBreak="0">
    <w:nsid w:val="15F80820"/>
    <w:multiLevelType w:val="hybridMultilevel"/>
    <w:tmpl w:val="CAB05A98"/>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B43F9F"/>
    <w:multiLevelType w:val="hybridMultilevel"/>
    <w:tmpl w:val="E2FA27E6"/>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2F1FB1"/>
    <w:multiLevelType w:val="hybridMultilevel"/>
    <w:tmpl w:val="DFBCE206"/>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348C1A74"/>
    <w:multiLevelType w:val="hybridMultilevel"/>
    <w:tmpl w:val="12082E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47D34"/>
    <w:multiLevelType w:val="hybridMultilevel"/>
    <w:tmpl w:val="2A488520"/>
    <w:lvl w:ilvl="0" w:tplc="51603708">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6" w15:restartNumberingAfterBreak="0">
    <w:nsid w:val="396E7FA3"/>
    <w:multiLevelType w:val="hybridMultilevel"/>
    <w:tmpl w:val="A334878C"/>
    <w:lvl w:ilvl="0" w:tplc="C3DED010">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46D47E2"/>
    <w:multiLevelType w:val="hybridMultilevel"/>
    <w:tmpl w:val="DEF8612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045D2E"/>
    <w:multiLevelType w:val="hybridMultilevel"/>
    <w:tmpl w:val="9E6066D6"/>
    <w:lvl w:ilvl="0" w:tplc="D49E6E9A">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7136D89"/>
    <w:multiLevelType w:val="hybridMultilevel"/>
    <w:tmpl w:val="F1C83CE6"/>
    <w:lvl w:ilvl="0" w:tplc="763ECBB8">
      <w:start w:val="2"/>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80123C9"/>
    <w:multiLevelType w:val="hybridMultilevel"/>
    <w:tmpl w:val="8D22C3B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20061B"/>
    <w:multiLevelType w:val="multilevel"/>
    <w:tmpl w:val="FB9AE71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595F5EBA"/>
    <w:multiLevelType w:val="hybridMultilevel"/>
    <w:tmpl w:val="176E3F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B12AD7"/>
    <w:multiLevelType w:val="hybridMultilevel"/>
    <w:tmpl w:val="8136611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4236EE"/>
    <w:multiLevelType w:val="hybridMultilevel"/>
    <w:tmpl w:val="C5223AA2"/>
    <w:lvl w:ilvl="0" w:tplc="3E547D20">
      <w:start w:val="1"/>
      <w:numFmt w:val="arabicAlpha"/>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38B1ED0"/>
    <w:multiLevelType w:val="hybridMultilevel"/>
    <w:tmpl w:val="85DE2B6A"/>
    <w:lvl w:ilvl="0" w:tplc="51603708">
      <w:start w:val="1"/>
      <w:numFmt w:val="bullet"/>
      <w:lvlText w:val=""/>
      <w:lvlJc w:val="left"/>
      <w:pPr>
        <w:ind w:left="4170" w:hanging="360"/>
      </w:pPr>
      <w:rPr>
        <w:rFonts w:ascii="Symbol" w:hAnsi="Symbol" w:hint="default"/>
      </w:rPr>
    </w:lvl>
    <w:lvl w:ilvl="1" w:tplc="04090003" w:tentative="1">
      <w:start w:val="1"/>
      <w:numFmt w:val="bullet"/>
      <w:lvlText w:val="o"/>
      <w:lvlJc w:val="left"/>
      <w:pPr>
        <w:ind w:left="4890" w:hanging="360"/>
      </w:pPr>
      <w:rPr>
        <w:rFonts w:ascii="Courier New" w:hAnsi="Courier New" w:cs="Courier New" w:hint="default"/>
      </w:rPr>
    </w:lvl>
    <w:lvl w:ilvl="2" w:tplc="04090005" w:tentative="1">
      <w:start w:val="1"/>
      <w:numFmt w:val="bullet"/>
      <w:lvlText w:val=""/>
      <w:lvlJc w:val="left"/>
      <w:pPr>
        <w:ind w:left="5610" w:hanging="360"/>
      </w:pPr>
      <w:rPr>
        <w:rFonts w:ascii="Wingdings" w:hAnsi="Wingdings" w:hint="default"/>
      </w:rPr>
    </w:lvl>
    <w:lvl w:ilvl="3" w:tplc="04090001" w:tentative="1">
      <w:start w:val="1"/>
      <w:numFmt w:val="bullet"/>
      <w:lvlText w:val=""/>
      <w:lvlJc w:val="left"/>
      <w:pPr>
        <w:ind w:left="6330" w:hanging="360"/>
      </w:pPr>
      <w:rPr>
        <w:rFonts w:ascii="Symbol" w:hAnsi="Symbol" w:hint="default"/>
      </w:rPr>
    </w:lvl>
    <w:lvl w:ilvl="4" w:tplc="04090003" w:tentative="1">
      <w:start w:val="1"/>
      <w:numFmt w:val="bullet"/>
      <w:lvlText w:val="o"/>
      <w:lvlJc w:val="left"/>
      <w:pPr>
        <w:ind w:left="7050" w:hanging="360"/>
      </w:pPr>
      <w:rPr>
        <w:rFonts w:ascii="Courier New" w:hAnsi="Courier New" w:cs="Courier New" w:hint="default"/>
      </w:rPr>
    </w:lvl>
    <w:lvl w:ilvl="5" w:tplc="04090005" w:tentative="1">
      <w:start w:val="1"/>
      <w:numFmt w:val="bullet"/>
      <w:lvlText w:val=""/>
      <w:lvlJc w:val="left"/>
      <w:pPr>
        <w:ind w:left="7770" w:hanging="360"/>
      </w:pPr>
      <w:rPr>
        <w:rFonts w:ascii="Wingdings" w:hAnsi="Wingdings" w:hint="default"/>
      </w:rPr>
    </w:lvl>
    <w:lvl w:ilvl="6" w:tplc="04090001" w:tentative="1">
      <w:start w:val="1"/>
      <w:numFmt w:val="bullet"/>
      <w:lvlText w:val=""/>
      <w:lvlJc w:val="left"/>
      <w:pPr>
        <w:ind w:left="8490" w:hanging="360"/>
      </w:pPr>
      <w:rPr>
        <w:rFonts w:ascii="Symbol" w:hAnsi="Symbol" w:hint="default"/>
      </w:rPr>
    </w:lvl>
    <w:lvl w:ilvl="7" w:tplc="04090003" w:tentative="1">
      <w:start w:val="1"/>
      <w:numFmt w:val="bullet"/>
      <w:lvlText w:val="o"/>
      <w:lvlJc w:val="left"/>
      <w:pPr>
        <w:ind w:left="9210" w:hanging="360"/>
      </w:pPr>
      <w:rPr>
        <w:rFonts w:ascii="Courier New" w:hAnsi="Courier New" w:cs="Courier New" w:hint="default"/>
      </w:rPr>
    </w:lvl>
    <w:lvl w:ilvl="8" w:tplc="04090005" w:tentative="1">
      <w:start w:val="1"/>
      <w:numFmt w:val="bullet"/>
      <w:lvlText w:val=""/>
      <w:lvlJc w:val="left"/>
      <w:pPr>
        <w:ind w:left="9930" w:hanging="360"/>
      </w:pPr>
      <w:rPr>
        <w:rFonts w:ascii="Wingdings" w:hAnsi="Wingdings" w:hint="default"/>
      </w:rPr>
    </w:lvl>
  </w:abstractNum>
  <w:abstractNum w:abstractNumId="28" w15:restartNumberingAfterBreak="0">
    <w:nsid w:val="78C501C9"/>
    <w:multiLevelType w:val="hybridMultilevel"/>
    <w:tmpl w:val="1F9CF320"/>
    <w:lvl w:ilvl="0" w:tplc="36A22CF6">
      <w:start w:val="1"/>
      <w:numFmt w:val="arabicAlpha"/>
      <w:lvlText w:val="(%1)"/>
      <w:lvlJc w:val="left"/>
      <w:pPr>
        <w:ind w:left="1127" w:hanging="5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F745E17"/>
    <w:multiLevelType w:val="hybridMultilevel"/>
    <w:tmpl w:val="EBB28EA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0"/>
  </w:num>
  <w:num w:numId="4">
    <w:abstractNumId w:val="22"/>
  </w:num>
  <w:num w:numId="5">
    <w:abstractNumId w:val="2"/>
  </w:num>
  <w:num w:numId="6">
    <w:abstractNumId w:val="10"/>
  </w:num>
  <w:num w:numId="7">
    <w:abstractNumId w:val="23"/>
  </w:num>
  <w:num w:numId="8">
    <w:abstractNumId w:val="15"/>
  </w:num>
  <w:num w:numId="9">
    <w:abstractNumId w:val="23"/>
  </w:num>
  <w:num w:numId="10">
    <w:abstractNumId w:val="23"/>
  </w:num>
  <w:num w:numId="11">
    <w:abstractNumId w:val="4"/>
  </w:num>
  <w:num w:numId="12">
    <w:abstractNumId w:val="1"/>
  </w:num>
  <w:num w:numId="13">
    <w:abstractNumId w:val="3"/>
  </w:num>
  <w:num w:numId="14">
    <w:abstractNumId w:val="13"/>
  </w:num>
  <w:num w:numId="15">
    <w:abstractNumId w:val="24"/>
  </w:num>
  <w:num w:numId="16">
    <w:abstractNumId w:val="18"/>
  </w:num>
  <w:num w:numId="17">
    <w:abstractNumId w:val="25"/>
  </w:num>
  <w:num w:numId="18">
    <w:abstractNumId w:val="27"/>
  </w:num>
  <w:num w:numId="19">
    <w:abstractNumId w:val="12"/>
  </w:num>
  <w:num w:numId="20">
    <w:abstractNumId w:val="11"/>
  </w:num>
  <w:num w:numId="21">
    <w:abstractNumId w:val="5"/>
  </w:num>
  <w:num w:numId="22">
    <w:abstractNumId w:val="21"/>
  </w:num>
  <w:num w:numId="23">
    <w:abstractNumId w:val="8"/>
  </w:num>
  <w:num w:numId="24">
    <w:abstractNumId w:val="7"/>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num>
  <w:num w:numId="27">
    <w:abstractNumId w:val="6"/>
  </w:num>
  <w:num w:numId="28">
    <w:abstractNumId w:val="26"/>
  </w:num>
  <w:num w:numId="29">
    <w:abstractNumId w:val="28"/>
  </w:num>
  <w:num w:numId="30">
    <w:abstractNumId w:val="14"/>
  </w:num>
  <w:num w:numId="31">
    <w:abstractNumId w:val="19"/>
  </w:num>
  <w:num w:numId="32">
    <w:abstractNumId w:val="20"/>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D2"/>
    <w:rsid w:val="00000F0B"/>
    <w:rsid w:val="00020B1D"/>
    <w:rsid w:val="0002628E"/>
    <w:rsid w:val="00043CAA"/>
    <w:rsid w:val="00056816"/>
    <w:rsid w:val="00075432"/>
    <w:rsid w:val="000968ED"/>
    <w:rsid w:val="000A3D97"/>
    <w:rsid w:val="000C311C"/>
    <w:rsid w:val="000F5E56"/>
    <w:rsid w:val="00120227"/>
    <w:rsid w:val="001362EE"/>
    <w:rsid w:val="001406E1"/>
    <w:rsid w:val="00155D8A"/>
    <w:rsid w:val="00164664"/>
    <w:rsid w:val="001647D5"/>
    <w:rsid w:val="0017373B"/>
    <w:rsid w:val="001832A6"/>
    <w:rsid w:val="00185EA7"/>
    <w:rsid w:val="0019592A"/>
    <w:rsid w:val="001D4107"/>
    <w:rsid w:val="00203D24"/>
    <w:rsid w:val="00210D5F"/>
    <w:rsid w:val="00212051"/>
    <w:rsid w:val="0021217E"/>
    <w:rsid w:val="002326AB"/>
    <w:rsid w:val="00233D91"/>
    <w:rsid w:val="00236477"/>
    <w:rsid w:val="00243430"/>
    <w:rsid w:val="002634C4"/>
    <w:rsid w:val="002760FD"/>
    <w:rsid w:val="002928D3"/>
    <w:rsid w:val="002A70CF"/>
    <w:rsid w:val="002B73F0"/>
    <w:rsid w:val="002F1FE6"/>
    <w:rsid w:val="002F4E68"/>
    <w:rsid w:val="003122A9"/>
    <w:rsid w:val="00312F7F"/>
    <w:rsid w:val="00361450"/>
    <w:rsid w:val="003673CF"/>
    <w:rsid w:val="003845C1"/>
    <w:rsid w:val="00384716"/>
    <w:rsid w:val="003A6F89"/>
    <w:rsid w:val="003B355C"/>
    <w:rsid w:val="003B38C1"/>
    <w:rsid w:val="003B58A4"/>
    <w:rsid w:val="003C2396"/>
    <w:rsid w:val="003C34E9"/>
    <w:rsid w:val="003D6E72"/>
    <w:rsid w:val="003E28B2"/>
    <w:rsid w:val="00423E3E"/>
    <w:rsid w:val="00427AF4"/>
    <w:rsid w:val="00456015"/>
    <w:rsid w:val="004647DA"/>
    <w:rsid w:val="00474062"/>
    <w:rsid w:val="00477D6B"/>
    <w:rsid w:val="00484B0E"/>
    <w:rsid w:val="004B0691"/>
    <w:rsid w:val="005019FF"/>
    <w:rsid w:val="0053057A"/>
    <w:rsid w:val="00556076"/>
    <w:rsid w:val="00560A29"/>
    <w:rsid w:val="0058361B"/>
    <w:rsid w:val="00593BCD"/>
    <w:rsid w:val="005C6649"/>
    <w:rsid w:val="005E7B89"/>
    <w:rsid w:val="005F023E"/>
    <w:rsid w:val="00600A40"/>
    <w:rsid w:val="00605827"/>
    <w:rsid w:val="00606BD2"/>
    <w:rsid w:val="006144EE"/>
    <w:rsid w:val="00646050"/>
    <w:rsid w:val="006713CA"/>
    <w:rsid w:val="00676C5C"/>
    <w:rsid w:val="00690E4A"/>
    <w:rsid w:val="00695DBB"/>
    <w:rsid w:val="006B5C12"/>
    <w:rsid w:val="00720EFD"/>
    <w:rsid w:val="007255E8"/>
    <w:rsid w:val="00740999"/>
    <w:rsid w:val="00756DDD"/>
    <w:rsid w:val="007854AF"/>
    <w:rsid w:val="00793A7C"/>
    <w:rsid w:val="007A398A"/>
    <w:rsid w:val="007C4902"/>
    <w:rsid w:val="007D1613"/>
    <w:rsid w:val="007E4C0E"/>
    <w:rsid w:val="007F2029"/>
    <w:rsid w:val="00851032"/>
    <w:rsid w:val="0086498B"/>
    <w:rsid w:val="00880816"/>
    <w:rsid w:val="008854AB"/>
    <w:rsid w:val="008A134B"/>
    <w:rsid w:val="008B2CC1"/>
    <w:rsid w:val="008B60B2"/>
    <w:rsid w:val="008C1023"/>
    <w:rsid w:val="008F2CCB"/>
    <w:rsid w:val="0090731E"/>
    <w:rsid w:val="00916267"/>
    <w:rsid w:val="00916EE2"/>
    <w:rsid w:val="00966A22"/>
    <w:rsid w:val="0096722F"/>
    <w:rsid w:val="00980843"/>
    <w:rsid w:val="009941CE"/>
    <w:rsid w:val="009A5ED7"/>
    <w:rsid w:val="009B0855"/>
    <w:rsid w:val="009E2791"/>
    <w:rsid w:val="009E3F6F"/>
    <w:rsid w:val="009F499F"/>
    <w:rsid w:val="00A06641"/>
    <w:rsid w:val="00A37342"/>
    <w:rsid w:val="00A42DAF"/>
    <w:rsid w:val="00A45BD8"/>
    <w:rsid w:val="00A869B7"/>
    <w:rsid w:val="00A90F0A"/>
    <w:rsid w:val="00A92137"/>
    <w:rsid w:val="00AC205C"/>
    <w:rsid w:val="00AF0A6B"/>
    <w:rsid w:val="00B051F1"/>
    <w:rsid w:val="00B05A69"/>
    <w:rsid w:val="00B42CA9"/>
    <w:rsid w:val="00B51FF7"/>
    <w:rsid w:val="00B642B6"/>
    <w:rsid w:val="00B75281"/>
    <w:rsid w:val="00B757B3"/>
    <w:rsid w:val="00B92F1F"/>
    <w:rsid w:val="00B9734B"/>
    <w:rsid w:val="00BA30E2"/>
    <w:rsid w:val="00C05675"/>
    <w:rsid w:val="00C11BFE"/>
    <w:rsid w:val="00C5068F"/>
    <w:rsid w:val="00C86D74"/>
    <w:rsid w:val="00CA547C"/>
    <w:rsid w:val="00CA7FCC"/>
    <w:rsid w:val="00CB3DBA"/>
    <w:rsid w:val="00CC3E2D"/>
    <w:rsid w:val="00CC4F6F"/>
    <w:rsid w:val="00CD04F1"/>
    <w:rsid w:val="00CD3D4A"/>
    <w:rsid w:val="00CE19F8"/>
    <w:rsid w:val="00CF681A"/>
    <w:rsid w:val="00D07C78"/>
    <w:rsid w:val="00D37F86"/>
    <w:rsid w:val="00D45252"/>
    <w:rsid w:val="00D509EC"/>
    <w:rsid w:val="00D60B2C"/>
    <w:rsid w:val="00D67EAE"/>
    <w:rsid w:val="00D71B4D"/>
    <w:rsid w:val="00D90B96"/>
    <w:rsid w:val="00D93D55"/>
    <w:rsid w:val="00DD7B7F"/>
    <w:rsid w:val="00E14ECC"/>
    <w:rsid w:val="00E15015"/>
    <w:rsid w:val="00E319DF"/>
    <w:rsid w:val="00E335FE"/>
    <w:rsid w:val="00E41128"/>
    <w:rsid w:val="00E44583"/>
    <w:rsid w:val="00E66CC5"/>
    <w:rsid w:val="00E7374D"/>
    <w:rsid w:val="00EA7D6E"/>
    <w:rsid w:val="00EB2F76"/>
    <w:rsid w:val="00EC4E49"/>
    <w:rsid w:val="00ED77FB"/>
    <w:rsid w:val="00EE066C"/>
    <w:rsid w:val="00EE45FA"/>
    <w:rsid w:val="00F043DE"/>
    <w:rsid w:val="00F15097"/>
    <w:rsid w:val="00F278E6"/>
    <w:rsid w:val="00F66152"/>
    <w:rsid w:val="00F9165B"/>
    <w:rsid w:val="00F9168A"/>
    <w:rsid w:val="00FA6A52"/>
    <w:rsid w:val="00FC482F"/>
    <w:rsid w:val="00FC7FE4"/>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191AD9F8-4212-484B-8A7D-9E9BAFD1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7"/>
      </w:numPr>
    </w:pPr>
    <w:rPr>
      <w:rFonts w:eastAsia="Times New Roman"/>
      <w:lang w:eastAsia="en-US"/>
    </w:rPr>
  </w:style>
  <w:style w:type="character" w:styleId="Hyperlink">
    <w:name w:val="Hyperlink"/>
    <w:basedOn w:val="DefaultParagraphFont"/>
    <w:unhideWhenUsed/>
    <w:rsid w:val="00020B1D"/>
    <w:rPr>
      <w:color w:val="0000FF" w:themeColor="hyperlink"/>
      <w:u w:val="single"/>
    </w:rPr>
  </w:style>
  <w:style w:type="character" w:styleId="FootnoteReference">
    <w:name w:val="footnote reference"/>
    <w:basedOn w:val="DefaultParagraphFont"/>
    <w:unhideWhenUsed/>
    <w:rsid w:val="0086498B"/>
    <w:rPr>
      <w:vertAlign w:val="superscript"/>
    </w:rPr>
  </w:style>
  <w:style w:type="character" w:customStyle="1" w:styleId="FootnoteTextChar">
    <w:name w:val="Footnote Text Char"/>
    <w:basedOn w:val="DefaultParagraphFont"/>
    <w:link w:val="FootnoteText"/>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wipo.int/standards/en/sequence/index.html"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file:///D:\Users\yun\Downloads\www.wipo.int\tad"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standards/en/part_07.html" TargetMode="External"/><Relationship Id="rId2" Type="http://schemas.openxmlformats.org/officeDocument/2006/relationships/hyperlink" Target="https://www.wipo.int/standards/en/part_03_standards.html" TargetMode="External"/><Relationship Id="rId1" Type="http://schemas.openxmlformats.org/officeDocument/2006/relationships/hyperlink" Target="https://www.wipo.int/meetings/ar/details.jsp?meeting_id=57089" TargetMode="External"/><Relationship Id="rId4" Type="http://schemas.openxmlformats.org/officeDocument/2006/relationships/hyperlink" Target="https://www.wipo.int/meetings/ar/topic.jsp?group_id=3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7BCDA-1871-4D70-9FB4-4392F9B5E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8</Pages>
  <Words>2788</Words>
  <Characters>15613</Characters>
  <Application>Microsoft Office Word</Application>
  <DocSecurity>0</DocSecurity>
  <Lines>235</Lines>
  <Paragraphs>106</Paragraphs>
  <ScaleCrop>false</ScaleCrop>
  <HeadingPairs>
    <vt:vector size="2" baseType="variant">
      <vt:variant>
        <vt:lpstr>Title</vt:lpstr>
      </vt:variant>
      <vt:variant>
        <vt:i4>1</vt:i4>
      </vt:variant>
    </vt:vector>
  </HeadingPairs>
  <TitlesOfParts>
    <vt:vector size="1" baseType="lpstr">
      <vt:lpstr>WO/GA/54/7 (Arabic)</vt:lpstr>
    </vt:vector>
  </TitlesOfParts>
  <Company>WIPO</Company>
  <LinksUpToDate>false</LinksUpToDate>
  <CharactersWithSpaces>18301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 (Arabic)</dc:title>
  <dc:creator>IHADADENE Soraya</dc:creator>
  <cp:keywords>PUBLIC</cp:keywords>
  <cp:lastModifiedBy>HÄFLIGER Patience</cp:lastModifiedBy>
  <cp:revision>30</cp:revision>
  <cp:lastPrinted>2021-06-15T14:34:00Z</cp:lastPrinted>
  <dcterms:created xsi:type="dcterms:W3CDTF">2021-06-14T19:45:00Z</dcterms:created>
  <dcterms:modified xsi:type="dcterms:W3CDTF">2021-06-15T14:42:00Z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