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783FFA" w:rsidP="00B76E85">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WO/GA/5</w:t>
      </w:r>
      <w:r w:rsidR="007F613D">
        <w:rPr>
          <w:rFonts w:ascii="Arial Black" w:eastAsia="SimSun" w:hAnsi="Arial Black" w:cs="Arial"/>
          <w:b/>
          <w:caps/>
          <w:noProof/>
          <w:sz w:val="16"/>
          <w:szCs w:val="16"/>
          <w:lang w:eastAsia="zh-CN"/>
        </w:rPr>
        <w:t>3</w:t>
      </w:r>
      <w:r>
        <w:rPr>
          <w:rFonts w:ascii="Arial Black" w:eastAsia="SimSun" w:hAnsi="Arial Black" w:cs="Arial"/>
          <w:b/>
          <w:caps/>
          <w:noProof/>
          <w:sz w:val="16"/>
          <w:szCs w:val="16"/>
          <w:lang w:eastAsia="zh-CN"/>
        </w:rPr>
        <w:t>/</w:t>
      </w:r>
      <w:r w:rsidR="00B76E85">
        <w:rPr>
          <w:rFonts w:ascii="Arial Black" w:eastAsia="SimSun" w:hAnsi="Arial Black" w:cs="Arial"/>
          <w:b/>
          <w:caps/>
          <w:noProof/>
          <w:sz w:val="16"/>
          <w:szCs w:val="16"/>
          <w:lang w:eastAsia="zh-CN"/>
        </w:rPr>
        <w:t>8</w:t>
      </w:r>
    </w:p>
    <w:bookmarkEnd w:id="4"/>
    <w:p w:rsidR="003F7284" w:rsidRPr="00BB6440" w:rsidRDefault="003F7284" w:rsidP="005D79F6">
      <w:pPr>
        <w:jc w:val="right"/>
        <w:rPr>
          <w:b/>
          <w:bCs/>
          <w:sz w:val="30"/>
          <w:szCs w:val="30"/>
          <w:rtl/>
        </w:rPr>
      </w:pPr>
      <w:r w:rsidRPr="00BB6440">
        <w:rPr>
          <w:b/>
          <w:bCs/>
          <w:sz w:val="30"/>
          <w:szCs w:val="30"/>
          <w:rtl/>
        </w:rPr>
        <w:t xml:space="preserve">الأصل: </w:t>
      </w:r>
      <w:bookmarkStart w:id="5" w:name="Original"/>
      <w:bookmarkEnd w:id="5"/>
      <w:r w:rsidR="00387E94">
        <w:rPr>
          <w:rFonts w:hint="cs"/>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387E94">
        <w:rPr>
          <w:rFonts w:hint="cs"/>
          <w:b/>
          <w:bCs/>
          <w:sz w:val="30"/>
          <w:szCs w:val="30"/>
          <w:rtl/>
        </w:rPr>
        <w:t>21 يوليو 2020</w:t>
      </w:r>
    </w:p>
    <w:p w:rsidR="002E7810" w:rsidRPr="00FD6D15" w:rsidRDefault="00783FFA" w:rsidP="009B7572">
      <w:pPr>
        <w:pStyle w:val="Heading1"/>
        <w:spacing w:after="600" w:line="240" w:lineRule="auto"/>
        <w:rPr>
          <w:rtl/>
        </w:rPr>
      </w:pPr>
      <w:bookmarkStart w:id="7" w:name="Body"/>
      <w:bookmarkEnd w:id="7"/>
      <w:r>
        <w:rPr>
          <w:rFonts w:hint="eastAsia"/>
          <w:rtl/>
        </w:rPr>
        <w:t>الجمعية</w:t>
      </w:r>
      <w:r>
        <w:rPr>
          <w:rtl/>
        </w:rPr>
        <w:t xml:space="preserve"> </w:t>
      </w:r>
      <w:r>
        <w:rPr>
          <w:rFonts w:hint="eastAsia"/>
          <w:rtl/>
        </w:rPr>
        <w:t>العامة</w:t>
      </w:r>
      <w:r>
        <w:rPr>
          <w:rtl/>
        </w:rPr>
        <w:t xml:space="preserve"> </w:t>
      </w:r>
      <w:r>
        <w:rPr>
          <w:rFonts w:hint="eastAsia"/>
          <w:rtl/>
        </w:rPr>
        <w:t>للويبو</w:t>
      </w:r>
    </w:p>
    <w:p w:rsidR="002E7810" w:rsidRPr="002E7810" w:rsidRDefault="00783FFA" w:rsidP="007F613D">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7F613D">
        <w:rPr>
          <w:rFonts w:ascii="Arial Black" w:hAnsi="Arial Black" w:cs="PT Bold Heading" w:hint="cs"/>
          <w:sz w:val="30"/>
          <w:szCs w:val="30"/>
          <w:rtl/>
        </w:rPr>
        <w:t>الثالثة</w:t>
      </w:r>
      <w:r w:rsidR="00F85E5F">
        <w:rPr>
          <w:rFonts w:ascii="Arial Black" w:hAnsi="Arial Black" w:cs="PT Bold Heading" w:hint="cs"/>
          <w:sz w:val="30"/>
          <w:szCs w:val="30"/>
          <w:rtl/>
        </w:rPr>
        <w:t xml:space="preserve"> و</w:t>
      </w:r>
      <w:r>
        <w:rPr>
          <w:rFonts w:ascii="Arial Black" w:hAnsi="Arial Black" w:cs="PT Bold Heading" w:hint="eastAsia"/>
          <w:sz w:val="30"/>
          <w:szCs w:val="30"/>
          <w:rtl/>
        </w:rPr>
        <w:t>الخمسون</w:t>
      </w:r>
      <w:r>
        <w:rPr>
          <w:rFonts w:ascii="Arial Black" w:hAnsi="Arial Black" w:cs="PT Bold Heading"/>
          <w:sz w:val="30"/>
          <w:szCs w:val="30"/>
          <w:rtl/>
        </w:rPr>
        <w:t xml:space="preserve"> (</w:t>
      </w:r>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053EE2">
        <w:rPr>
          <w:rFonts w:ascii="Arial Black" w:hAnsi="Arial Black" w:cs="PT Bold Heading" w:hint="cs"/>
          <w:sz w:val="30"/>
          <w:szCs w:val="30"/>
          <w:rtl/>
        </w:rPr>
        <w:t>الاستثنائية</w:t>
      </w:r>
      <w:r>
        <w:rPr>
          <w:rFonts w:ascii="Arial Black" w:hAnsi="Arial Black" w:cs="PT Bold Heading"/>
          <w:sz w:val="30"/>
          <w:szCs w:val="30"/>
          <w:rtl/>
        </w:rPr>
        <w:t xml:space="preserve"> </w:t>
      </w:r>
      <w:r w:rsidR="007F613D">
        <w:rPr>
          <w:rFonts w:ascii="Arial Black" w:hAnsi="Arial Black" w:cs="PT Bold Heading" w:hint="cs"/>
          <w:sz w:val="30"/>
          <w:szCs w:val="30"/>
          <w:rtl/>
        </w:rPr>
        <w:t>التاسعة</w:t>
      </w:r>
      <w:r>
        <w:rPr>
          <w:rFonts w:ascii="Arial Black" w:hAnsi="Arial Black" w:cs="PT Bold Heading"/>
          <w:sz w:val="30"/>
          <w:szCs w:val="30"/>
          <w:rtl/>
        </w:rPr>
        <w:t xml:space="preserve"> </w:t>
      </w:r>
      <w:r>
        <w:rPr>
          <w:rFonts w:ascii="Arial Black" w:hAnsi="Arial Black" w:cs="PT Bold Heading" w:hint="eastAsia"/>
          <w:sz w:val="30"/>
          <w:szCs w:val="30"/>
          <w:rtl/>
        </w:rPr>
        <w:t>والعشرون</w:t>
      </w:r>
      <w:r>
        <w:rPr>
          <w:rFonts w:ascii="Arial Black" w:hAnsi="Arial Black" w:cs="PT Bold Heading"/>
          <w:sz w:val="30"/>
          <w:szCs w:val="30"/>
          <w:rtl/>
        </w:rPr>
        <w:t>)</w:t>
      </w:r>
    </w:p>
    <w:p w:rsidR="002E7810" w:rsidRPr="002E7810" w:rsidRDefault="00783FFA" w:rsidP="007F613D">
      <w:pPr>
        <w:spacing w:line="600" w:lineRule="auto"/>
        <w:rPr>
          <w:b/>
          <w:bCs/>
          <w:rtl/>
        </w:rPr>
      </w:pPr>
      <w:bookmarkStart w:id="9" w:name="Place"/>
      <w:bookmarkEnd w:id="9"/>
      <w:r>
        <w:rPr>
          <w:b/>
          <w:bCs/>
          <w:rtl/>
        </w:rPr>
        <w:t xml:space="preserve">جنيف، </w:t>
      </w:r>
      <w:r w:rsidR="007F613D">
        <w:rPr>
          <w:rFonts w:hint="cs"/>
          <w:b/>
          <w:bCs/>
          <w:rtl/>
        </w:rPr>
        <w:t>من 21</w:t>
      </w:r>
      <w:r>
        <w:rPr>
          <w:b/>
          <w:bCs/>
          <w:rtl/>
        </w:rPr>
        <w:t xml:space="preserve"> </w:t>
      </w:r>
      <w:r w:rsidR="007F613D">
        <w:rPr>
          <w:rFonts w:hint="cs"/>
          <w:b/>
          <w:bCs/>
          <w:rtl/>
        </w:rPr>
        <w:t>إلى 29</w:t>
      </w:r>
      <w:r w:rsidR="00053EE2">
        <w:rPr>
          <w:rFonts w:hint="cs"/>
          <w:b/>
          <w:bCs/>
          <w:rtl/>
        </w:rPr>
        <w:t xml:space="preserve"> </w:t>
      </w:r>
      <w:r w:rsidR="007F613D">
        <w:rPr>
          <w:rFonts w:hint="cs"/>
          <w:b/>
          <w:bCs/>
          <w:rtl/>
        </w:rPr>
        <w:t>سبتمبر</w:t>
      </w:r>
      <w:r>
        <w:rPr>
          <w:b/>
          <w:bCs/>
          <w:rtl/>
        </w:rPr>
        <w:t xml:space="preserve"> </w:t>
      </w:r>
      <w:r w:rsidR="00053EE2">
        <w:rPr>
          <w:rFonts w:hint="cs"/>
          <w:b/>
          <w:bCs/>
          <w:rtl/>
        </w:rPr>
        <w:t>2020</w:t>
      </w:r>
    </w:p>
    <w:p w:rsidR="002E7810" w:rsidRPr="002E7810" w:rsidRDefault="00387E94" w:rsidP="00387E94">
      <w:pPr>
        <w:rPr>
          <w:rFonts w:ascii="Arial Black" w:hAnsi="Arial Black" w:cs="PT Bold Heading"/>
          <w:sz w:val="26"/>
          <w:szCs w:val="26"/>
          <w:rtl/>
        </w:rPr>
      </w:pPr>
      <w:bookmarkStart w:id="10" w:name="TitleOfDoc"/>
      <w:bookmarkEnd w:id="10"/>
      <w:r w:rsidRPr="00387E94">
        <w:rPr>
          <w:rFonts w:ascii="Arial Black" w:hAnsi="Arial Black" w:cs="PT Bold Heading"/>
          <w:sz w:val="26"/>
          <w:szCs w:val="26"/>
          <w:rtl/>
        </w:rPr>
        <w:t xml:space="preserve">مركز الويبو للتحكيم والوساطة، </w:t>
      </w:r>
      <w:r w:rsidRPr="00387E94">
        <w:rPr>
          <w:rFonts w:ascii="Arial Black" w:hAnsi="Arial Black" w:cs="PT Bold Heading" w:hint="cs"/>
          <w:sz w:val="26"/>
          <w:szCs w:val="26"/>
          <w:rtl/>
        </w:rPr>
        <w:t>بما في ذلك</w:t>
      </w:r>
      <w:r w:rsidRPr="00387E94">
        <w:rPr>
          <w:rFonts w:ascii="Arial Black" w:hAnsi="Arial Black" w:cs="PT Bold Heading"/>
          <w:sz w:val="26"/>
          <w:szCs w:val="26"/>
          <w:rtl/>
        </w:rPr>
        <w:t xml:space="preserve"> أسماء الحقول</w:t>
      </w:r>
      <w:r w:rsidRPr="00387E94">
        <w:rPr>
          <w:rFonts w:ascii="Arial Black" w:hAnsi="Arial Black" w:cs="PT Bold Heading" w:hint="cs"/>
          <w:sz w:val="26"/>
          <w:szCs w:val="26"/>
          <w:rtl/>
        </w:rPr>
        <w:t xml:space="preserve"> على الإنترنت</w:t>
      </w:r>
    </w:p>
    <w:p w:rsidR="003F7284" w:rsidRPr="00BB6440" w:rsidRDefault="00387E94" w:rsidP="00874721">
      <w:pPr>
        <w:spacing w:before="200" w:after="960"/>
        <w:rPr>
          <w:i/>
          <w:iCs/>
          <w:rtl/>
        </w:rPr>
      </w:pPr>
      <w:bookmarkStart w:id="11" w:name="Doc"/>
      <w:bookmarkEnd w:id="11"/>
      <w:r>
        <w:rPr>
          <w:rFonts w:hint="cs"/>
          <w:i/>
          <w:iCs/>
          <w:rtl/>
        </w:rPr>
        <w:t xml:space="preserve">وثيقة </w:t>
      </w:r>
      <w:r w:rsidR="003F7284" w:rsidRPr="00BB6440">
        <w:rPr>
          <w:i/>
          <w:iCs/>
          <w:rtl/>
        </w:rPr>
        <w:t>من إعداد</w:t>
      </w:r>
      <w:r w:rsidR="005D79F6" w:rsidRPr="00BB6440">
        <w:rPr>
          <w:rFonts w:hint="cs"/>
          <w:i/>
          <w:iCs/>
          <w:rtl/>
        </w:rPr>
        <w:t xml:space="preserve"> </w:t>
      </w:r>
      <w:bookmarkStart w:id="12" w:name="Prepared"/>
      <w:bookmarkEnd w:id="12"/>
      <w:r>
        <w:rPr>
          <w:rFonts w:hint="cs"/>
          <w:i/>
          <w:iCs/>
          <w:rtl/>
        </w:rPr>
        <w:t>الأمانة</w:t>
      </w:r>
    </w:p>
    <w:p w:rsidR="00387E94" w:rsidRPr="00387E94" w:rsidRDefault="00387E94" w:rsidP="00387E94">
      <w:pPr>
        <w:pStyle w:val="ONUMA"/>
      </w:pPr>
      <w:r w:rsidRPr="00387E94">
        <w:rPr>
          <w:rtl/>
        </w:rPr>
        <w:t>تعرض هذه الوثيقة آخر المستجدات عن أنشطة مركز الويبو للتحكيم والوساطة ("مركز الويبو") بوصفه جهة دولية تصدر حلولاً بديلة</w:t>
      </w:r>
      <w:r w:rsidRPr="00387E94">
        <w:rPr>
          <w:rFonts w:hint="cs"/>
          <w:rtl/>
        </w:rPr>
        <w:t>ً</w:t>
      </w:r>
      <w:r w:rsidRPr="00387E94">
        <w:rPr>
          <w:rtl/>
        </w:rPr>
        <w:t xml:space="preserve"> أسرع وأوفر من التقاضي أمام المحاكم لتسوية منازعات الملكية الفكرية، وعمله مؤلف من </w:t>
      </w:r>
      <w:r w:rsidRPr="00387E94">
        <w:rPr>
          <w:rFonts w:hint="cs"/>
          <w:rtl/>
        </w:rPr>
        <w:t>الإشراف على القضايا، و</w:t>
      </w:r>
      <w:r w:rsidRPr="00387E94">
        <w:rPr>
          <w:rtl/>
        </w:rPr>
        <w:t xml:space="preserve">تقديم الخبرة القانونية والتنظيمية </w:t>
      </w:r>
      <w:r w:rsidRPr="00387E94">
        <w:rPr>
          <w:rFonts w:hint="cs"/>
          <w:rtl/>
        </w:rPr>
        <w:t>في السبل البديلة لتسوية المنازعات</w:t>
      </w:r>
      <w:r w:rsidRPr="00387E94">
        <w:rPr>
          <w:rtl/>
        </w:rPr>
        <w:t>.</w:t>
      </w:r>
    </w:p>
    <w:p w:rsidR="00387E94" w:rsidRPr="00387E94" w:rsidRDefault="00387E94" w:rsidP="00D00733">
      <w:pPr>
        <w:pStyle w:val="ONUMA"/>
      </w:pPr>
      <w:r w:rsidRPr="00387E94">
        <w:rPr>
          <w:rtl/>
        </w:rPr>
        <w:t xml:space="preserve">وتعرض هذه الوثيقة أيضاً آخر المستجدات عن أنشطة الويبو المرتبطة بأسماء الحقول كما ورد </w:t>
      </w:r>
      <w:r w:rsidRPr="00387E94">
        <w:rPr>
          <w:rtl/>
        </w:rPr>
        <w:lastRenderedPageBreak/>
        <w:t>سابقاً في الوثيقة</w:t>
      </w:r>
      <w:r w:rsidR="001354A3">
        <w:rPr>
          <w:rFonts w:hint="cs"/>
          <w:rtl/>
        </w:rPr>
        <w:t> </w:t>
      </w:r>
      <w:r w:rsidRPr="00387E94">
        <w:t>WO/GA/51/15</w:t>
      </w:r>
      <w:r w:rsidRPr="00387E94">
        <w:rPr>
          <w:rtl/>
        </w:rPr>
        <w:t>.</w:t>
      </w:r>
      <w:r w:rsidRPr="00387E94">
        <w:rPr>
          <w:sz w:val="28"/>
          <w:szCs w:val="28"/>
          <w:vertAlign w:val="superscript"/>
          <w:rtl/>
        </w:rPr>
        <w:footnoteReference w:id="1"/>
      </w:r>
      <w:r w:rsidRPr="00387E94">
        <w:rPr>
          <w:rtl/>
        </w:rPr>
        <w:t xml:space="preserve"> وتشمل إدارة مركز الويبو للمنازعات المتعلقة بأسماء الحقول على أساس السياسات العامة المختلفة والجوانب المتنوعة المتصلة بالموضوع في نظام أسماء الحقول على الإنترنت، فضلاً عن مختارات من المستجدات السياسية، </w:t>
      </w:r>
      <w:r w:rsidRPr="00387E94">
        <w:rPr>
          <w:rFonts w:hint="cs"/>
          <w:rtl/>
        </w:rPr>
        <w:t>بما في ذلك</w:t>
      </w:r>
      <w:r w:rsidRPr="00387E94">
        <w:rPr>
          <w:rtl/>
        </w:rPr>
        <w:t xml:space="preserve"> آليات حماية الحقوق من أجل استحداث حقول عليا جديدة مكوَّنة من أسماء عامة (</w:t>
      </w:r>
      <w:r w:rsidRPr="00387E94">
        <w:t>gTLDs</w:t>
      </w:r>
      <w:r w:rsidRPr="00387E94">
        <w:rPr>
          <w:rtl/>
        </w:rPr>
        <w:t>)</w:t>
      </w:r>
      <w:r w:rsidRPr="00387E94">
        <w:rPr>
          <w:rFonts w:hint="cs"/>
          <w:rtl/>
        </w:rPr>
        <w:t>،</w:t>
      </w:r>
      <w:r w:rsidRPr="00387E94">
        <w:rPr>
          <w:rtl/>
        </w:rPr>
        <w:t xml:space="preserve"> ومسألة تولي هيئة الإنترنت المعنية بالأسماء والأرقام المعيّنة (الإيكان) </w:t>
      </w:r>
      <w:r w:rsidR="00D00733">
        <w:rPr>
          <w:rFonts w:hint="cs"/>
          <w:rtl/>
        </w:rPr>
        <w:t>مراجعة</w:t>
      </w:r>
      <w:r w:rsidRPr="00387E94">
        <w:rPr>
          <w:rtl/>
        </w:rPr>
        <w:t xml:space="preserve"> السياسة الموحدة لتسوية المنازعات المتعلقة بأسماء الحقول </w:t>
      </w:r>
      <w:r w:rsidRPr="00387E94">
        <w:rPr>
          <w:rFonts w:hint="cs"/>
          <w:rtl/>
        </w:rPr>
        <w:t>و</w:t>
      </w:r>
      <w:r w:rsidRPr="00387E94">
        <w:rPr>
          <w:rtl/>
        </w:rPr>
        <w:t xml:space="preserve">آليات </w:t>
      </w:r>
      <w:r w:rsidRPr="00387E94">
        <w:rPr>
          <w:rFonts w:hint="cs"/>
          <w:rtl/>
        </w:rPr>
        <w:t>أخرى ل</w:t>
      </w:r>
      <w:r w:rsidRPr="00387E94">
        <w:rPr>
          <w:rtl/>
        </w:rPr>
        <w:t>حماية الحقوق</w:t>
      </w:r>
      <w:r w:rsidRPr="00387E94">
        <w:rPr>
          <w:rFonts w:hint="cs"/>
          <w:rtl/>
        </w:rPr>
        <w:t>،</w:t>
      </w:r>
      <w:r w:rsidRPr="00387E94">
        <w:rPr>
          <w:rtl/>
        </w:rPr>
        <w:t xml:space="preserve"> ووضع توصيات الدول الأعضاء في المنظمة في سياق مشروع الويبو الثاني بشأن مسار أسماء الحقول على الإنترنت.</w:t>
      </w:r>
    </w:p>
    <w:p w:rsidR="00387E94" w:rsidRPr="000A44CC" w:rsidRDefault="00387E94" w:rsidP="00D00733">
      <w:pPr>
        <w:pStyle w:val="Heading2"/>
        <w:rPr>
          <w:b w:val="0"/>
          <w:bCs w:val="0"/>
          <w:sz w:val="44"/>
          <w:szCs w:val="44"/>
          <w:rtl/>
          <w:lang w:bidi="ar-EG"/>
        </w:rPr>
      </w:pPr>
      <w:r w:rsidRPr="000A44CC">
        <w:rPr>
          <w:b w:val="0"/>
          <w:bCs w:val="0"/>
          <w:sz w:val="44"/>
          <w:szCs w:val="44"/>
          <w:rtl/>
          <w:lang w:bidi="ar-EG"/>
        </w:rPr>
        <w:t>أولاً.</w:t>
      </w:r>
      <w:r w:rsidRPr="000A44CC">
        <w:rPr>
          <w:b w:val="0"/>
          <w:bCs w:val="0"/>
          <w:sz w:val="44"/>
          <w:szCs w:val="44"/>
          <w:rtl/>
          <w:lang w:bidi="ar-EG"/>
        </w:rPr>
        <w:tab/>
        <w:t>التحكيم والوساطة في منازعات الملكية الفكرية</w:t>
      </w:r>
    </w:p>
    <w:p w:rsidR="00387E94" w:rsidRPr="00387E94" w:rsidRDefault="00387E94" w:rsidP="00D00733">
      <w:pPr>
        <w:pStyle w:val="Heading3"/>
        <w:ind w:left="535"/>
        <w:rPr>
          <w:lang w:bidi="ar-EG"/>
        </w:rPr>
      </w:pPr>
      <w:r w:rsidRPr="00387E94">
        <w:rPr>
          <w:rtl/>
          <w:lang w:bidi="ar-EG"/>
        </w:rPr>
        <w:t>ألف.</w:t>
      </w:r>
      <w:r w:rsidRPr="00387E94">
        <w:rPr>
          <w:rtl/>
          <w:lang w:bidi="ar-EG"/>
        </w:rPr>
        <w:tab/>
        <w:t>إدارة قضايا التحكيم والوساطة</w:t>
      </w:r>
    </w:p>
    <w:p w:rsidR="00387E94" w:rsidRPr="00387E94" w:rsidRDefault="00387E94" w:rsidP="00387E94">
      <w:pPr>
        <w:pStyle w:val="ONUMA"/>
      </w:pPr>
      <w:r w:rsidRPr="00387E94">
        <w:rPr>
          <w:rFonts w:hint="cs"/>
          <w:rtl/>
          <w:lang w:bidi="ar-EG"/>
        </w:rPr>
        <w:t>تهدف الإجراءات</w:t>
      </w:r>
      <w:r w:rsidRPr="00387E94">
        <w:rPr>
          <w:rtl/>
        </w:rPr>
        <w:t xml:space="preserve"> الخاصة بالوساطة والتحكيم</w:t>
      </w:r>
      <w:r w:rsidRPr="00387E94">
        <w:rPr>
          <w:rFonts w:hint="cs"/>
          <w:rtl/>
        </w:rPr>
        <w:t xml:space="preserve"> التي يوفرها المركز</w:t>
      </w:r>
      <w:r w:rsidRPr="00387E94">
        <w:rPr>
          <w:rtl/>
        </w:rPr>
        <w:t xml:space="preserve"> </w:t>
      </w:r>
      <w:r w:rsidRPr="00387E94">
        <w:rPr>
          <w:rFonts w:hint="cs"/>
          <w:rtl/>
        </w:rPr>
        <w:t xml:space="preserve">إلى </w:t>
      </w:r>
      <w:r w:rsidRPr="00387E94">
        <w:rPr>
          <w:rtl/>
        </w:rPr>
        <w:t xml:space="preserve">تلبية احتياجات </w:t>
      </w:r>
      <w:r w:rsidRPr="00387E94">
        <w:rPr>
          <w:rFonts w:hint="cs"/>
          <w:rtl/>
        </w:rPr>
        <w:t xml:space="preserve">الأطراف </w:t>
      </w:r>
      <w:r w:rsidRPr="00387E94">
        <w:rPr>
          <w:rtl/>
        </w:rPr>
        <w:t xml:space="preserve">من أجل تسوية المنازعات المتعلقة </w:t>
      </w:r>
      <w:r w:rsidRPr="00387E94">
        <w:rPr>
          <w:rFonts w:hint="cs"/>
          <w:rtl/>
        </w:rPr>
        <w:t>ب</w:t>
      </w:r>
      <w:r w:rsidRPr="00387E94">
        <w:rPr>
          <w:rtl/>
        </w:rPr>
        <w:t xml:space="preserve">حقوق </w:t>
      </w:r>
      <w:r w:rsidRPr="00387E94">
        <w:rPr>
          <w:rFonts w:hint="cs"/>
          <w:rtl/>
        </w:rPr>
        <w:t xml:space="preserve">الملكية الفكرية </w:t>
      </w:r>
      <w:r w:rsidRPr="00387E94">
        <w:rPr>
          <w:rtl/>
        </w:rPr>
        <w:t xml:space="preserve">بطريقة أسرع وأوفر. </w:t>
      </w:r>
      <w:r w:rsidRPr="00387E94">
        <w:rPr>
          <w:rFonts w:hint="cs"/>
          <w:rtl/>
        </w:rPr>
        <w:t>ويلتزم المركز</w:t>
      </w:r>
      <w:r w:rsidRPr="00387E94">
        <w:rPr>
          <w:rtl/>
        </w:rPr>
        <w:t xml:space="preserve"> </w:t>
      </w:r>
      <w:r w:rsidRPr="00387E94">
        <w:rPr>
          <w:rFonts w:hint="cs"/>
          <w:rtl/>
        </w:rPr>
        <w:t>ب</w:t>
      </w:r>
      <w:r w:rsidRPr="00387E94">
        <w:rPr>
          <w:rtl/>
        </w:rPr>
        <w:t>إدارة وتسوية القضايا المنظور فيها في إطار تلك الإجراءات، مما يقتضي تدريب</w:t>
      </w:r>
      <w:r w:rsidRPr="00387E94">
        <w:rPr>
          <w:sz w:val="28"/>
          <w:szCs w:val="28"/>
          <w:vertAlign w:val="superscript"/>
          <w:rtl/>
        </w:rPr>
        <w:footnoteReference w:id="2"/>
      </w:r>
      <w:r w:rsidRPr="00387E94">
        <w:rPr>
          <w:rtl/>
        </w:rPr>
        <w:t xml:space="preserve"> محك</w:t>
      </w:r>
      <w:r w:rsidRPr="00387E94">
        <w:rPr>
          <w:rFonts w:hint="cs"/>
          <w:rtl/>
        </w:rPr>
        <w:t>ّ</w:t>
      </w:r>
      <w:r w:rsidRPr="00387E94">
        <w:rPr>
          <w:rtl/>
        </w:rPr>
        <w:t xml:space="preserve">مين ووسطاء مؤهلين وتعيينهم </w:t>
      </w:r>
      <w:r w:rsidRPr="00387E94">
        <w:rPr>
          <w:rFonts w:hint="cs"/>
          <w:rtl/>
        </w:rPr>
        <w:t xml:space="preserve">ودعمهم، </w:t>
      </w:r>
      <w:r w:rsidRPr="00387E94">
        <w:rPr>
          <w:rtl/>
        </w:rPr>
        <w:t>وإبقاء بنية إدارة القضايا مواكبة للمستجدات</w:t>
      </w:r>
      <w:r w:rsidRPr="00387E94">
        <w:rPr>
          <w:rFonts w:hint="cs"/>
          <w:rtl/>
        </w:rPr>
        <w:t>.</w:t>
      </w:r>
    </w:p>
    <w:p w:rsidR="00387E94" w:rsidRPr="00387E94" w:rsidRDefault="00387E94" w:rsidP="00737015">
      <w:pPr>
        <w:pStyle w:val="ONUMA"/>
      </w:pPr>
      <w:r w:rsidRPr="00387E94">
        <w:rPr>
          <w:rtl/>
        </w:rPr>
        <w:lastRenderedPageBreak/>
        <w:t xml:space="preserve"> وشملت </w:t>
      </w:r>
      <w:r w:rsidR="00E32876">
        <w:rPr>
          <w:rFonts w:hint="cs"/>
          <w:rtl/>
        </w:rPr>
        <w:t>ال</w:t>
      </w:r>
      <w:r w:rsidRPr="00387E94">
        <w:rPr>
          <w:rtl/>
        </w:rPr>
        <w:t xml:space="preserve">قضايا </w:t>
      </w:r>
      <w:r w:rsidR="00E32876">
        <w:rPr>
          <w:rFonts w:hint="cs"/>
          <w:rtl/>
        </w:rPr>
        <w:t xml:space="preserve">المنظور فيها </w:t>
      </w:r>
      <w:r w:rsidRPr="00387E94">
        <w:rPr>
          <w:rFonts w:hint="cs"/>
          <w:rtl/>
        </w:rPr>
        <w:t xml:space="preserve">بموجب قواعد </w:t>
      </w:r>
      <w:r w:rsidRPr="00387E94">
        <w:rPr>
          <w:rtl/>
        </w:rPr>
        <w:t xml:space="preserve">الويبو </w:t>
      </w:r>
      <w:r w:rsidRPr="00387E94">
        <w:rPr>
          <w:rFonts w:hint="cs"/>
          <w:rtl/>
        </w:rPr>
        <w:t>بشأن الوساطة والتحكيم والتحكيم المعجّل منذ الدورة السابقة للجمعيات</w:t>
      </w:r>
      <w:r w:rsidRPr="00387E94">
        <w:rPr>
          <w:rtl/>
        </w:rPr>
        <w:t xml:space="preserve"> </w:t>
      </w:r>
      <w:r w:rsidR="00E32876">
        <w:rPr>
          <w:rFonts w:hint="cs"/>
          <w:rtl/>
        </w:rPr>
        <w:t>قضايا تتعلق</w:t>
      </w:r>
      <w:r w:rsidRPr="00387E94">
        <w:rPr>
          <w:rtl/>
        </w:rPr>
        <w:t xml:space="preserve"> </w:t>
      </w:r>
      <w:r w:rsidRPr="00387E94">
        <w:rPr>
          <w:rFonts w:hint="cs"/>
          <w:rtl/>
        </w:rPr>
        <w:t>باتفاقا</w:t>
      </w:r>
      <w:r w:rsidRPr="00387E94">
        <w:rPr>
          <w:rFonts w:hint="eastAsia"/>
          <w:rtl/>
        </w:rPr>
        <w:t>ت</w:t>
      </w:r>
      <w:r w:rsidR="00E32876">
        <w:rPr>
          <w:rFonts w:hint="cs"/>
          <w:rtl/>
        </w:rPr>
        <w:t xml:space="preserve"> البح</w:t>
      </w:r>
      <w:r w:rsidRPr="00387E94">
        <w:rPr>
          <w:rFonts w:hint="cs"/>
          <w:rtl/>
        </w:rPr>
        <w:t>ث والتطوير</w:t>
      </w:r>
      <w:r w:rsidR="00E32876">
        <w:rPr>
          <w:rFonts w:hint="cs"/>
          <w:rtl/>
        </w:rPr>
        <w:t>،</w:t>
      </w:r>
      <w:r w:rsidRPr="00387E94">
        <w:rPr>
          <w:rFonts w:hint="cs"/>
          <w:rtl/>
        </w:rPr>
        <w:t xml:space="preserve"> و</w:t>
      </w:r>
      <w:r w:rsidRPr="00387E94">
        <w:rPr>
          <w:rtl/>
        </w:rPr>
        <w:t>البراءات</w:t>
      </w:r>
      <w:r w:rsidR="00E32876">
        <w:rPr>
          <w:rFonts w:hint="cs"/>
          <w:rtl/>
        </w:rPr>
        <w:t>،</w:t>
      </w:r>
      <w:r w:rsidRPr="00387E94">
        <w:rPr>
          <w:rtl/>
        </w:rPr>
        <w:t xml:space="preserve"> والعلامات التجارية</w:t>
      </w:r>
      <w:r w:rsidR="00E32876">
        <w:rPr>
          <w:rFonts w:hint="cs"/>
          <w:rtl/>
        </w:rPr>
        <w:t>،</w:t>
      </w:r>
      <w:r w:rsidRPr="00387E94">
        <w:rPr>
          <w:rFonts w:hint="cs"/>
          <w:rtl/>
        </w:rPr>
        <w:t xml:space="preserve"> وترخيص حق المؤلف</w:t>
      </w:r>
      <w:r w:rsidR="00E32876">
        <w:rPr>
          <w:rFonts w:hint="cs"/>
          <w:rtl/>
        </w:rPr>
        <w:t>،</w:t>
      </w:r>
      <w:r w:rsidRPr="00387E94">
        <w:rPr>
          <w:rFonts w:hint="cs"/>
          <w:rtl/>
        </w:rPr>
        <w:t xml:space="preserve"> والإدارة الجماعية لحق المؤلف</w:t>
      </w:r>
      <w:r w:rsidR="00E32876">
        <w:rPr>
          <w:rFonts w:hint="cs"/>
          <w:rtl/>
        </w:rPr>
        <w:t>،</w:t>
      </w:r>
      <w:r w:rsidRPr="00387E94">
        <w:rPr>
          <w:rFonts w:hint="cs"/>
          <w:rtl/>
        </w:rPr>
        <w:t xml:space="preserve"> واتفاقات التوزيع</w:t>
      </w:r>
      <w:r w:rsidR="00E32876">
        <w:rPr>
          <w:rFonts w:hint="cs"/>
          <w:rtl/>
        </w:rPr>
        <w:t>،</w:t>
      </w:r>
      <w:r w:rsidRPr="00387E94">
        <w:rPr>
          <w:rFonts w:hint="cs"/>
          <w:rtl/>
        </w:rPr>
        <w:t xml:space="preserve"> وتطوير البرمجيات وترخيصها</w:t>
      </w:r>
      <w:r w:rsidR="00E32876">
        <w:rPr>
          <w:rFonts w:hint="cs"/>
          <w:rtl/>
        </w:rPr>
        <w:t>،</w:t>
      </w:r>
      <w:r w:rsidRPr="00387E94">
        <w:rPr>
          <w:rFonts w:hint="cs"/>
          <w:rtl/>
        </w:rPr>
        <w:t xml:space="preserve"> وبرامج التلفزيون. وتضمنت القضايا المشمولة </w:t>
      </w:r>
      <w:r w:rsidR="00E32876">
        <w:rPr>
          <w:rFonts w:hint="cs"/>
          <w:rtl/>
        </w:rPr>
        <w:t xml:space="preserve">التعدي على </w:t>
      </w:r>
      <w:r w:rsidRPr="00387E94">
        <w:rPr>
          <w:rFonts w:hint="cs"/>
          <w:rtl/>
        </w:rPr>
        <w:t>ال</w:t>
      </w:r>
      <w:r w:rsidRPr="00387E94">
        <w:rPr>
          <w:rtl/>
        </w:rPr>
        <w:t xml:space="preserve">براءات والعلامات التجارية </w:t>
      </w:r>
      <w:r w:rsidR="00E32876">
        <w:rPr>
          <w:rFonts w:hint="cs"/>
          <w:rtl/>
        </w:rPr>
        <w:t>و</w:t>
      </w:r>
      <w:r w:rsidR="00E32876">
        <w:rPr>
          <w:rtl/>
        </w:rPr>
        <w:t>ح</w:t>
      </w:r>
      <w:r w:rsidRPr="00387E94">
        <w:rPr>
          <w:rtl/>
        </w:rPr>
        <w:t xml:space="preserve">ق </w:t>
      </w:r>
      <w:r w:rsidRPr="00387E94">
        <w:rPr>
          <w:rFonts w:hint="cs"/>
          <w:rtl/>
        </w:rPr>
        <w:t>المؤلف</w:t>
      </w:r>
      <w:r w:rsidR="00E32876">
        <w:rPr>
          <w:rFonts w:hint="cs"/>
          <w:rtl/>
        </w:rPr>
        <w:t>،</w:t>
      </w:r>
      <w:r w:rsidRPr="00387E94">
        <w:rPr>
          <w:rtl/>
        </w:rPr>
        <w:t xml:space="preserve"> واستنفاد </w:t>
      </w:r>
      <w:r w:rsidRPr="00387E94">
        <w:rPr>
          <w:rFonts w:hint="cs"/>
          <w:rtl/>
        </w:rPr>
        <w:t>ال</w:t>
      </w:r>
      <w:r w:rsidRPr="00387E94">
        <w:rPr>
          <w:rtl/>
        </w:rPr>
        <w:t>براءات</w:t>
      </w:r>
      <w:r w:rsidR="00E32876">
        <w:rPr>
          <w:rFonts w:hint="cs"/>
          <w:rtl/>
        </w:rPr>
        <w:t>،</w:t>
      </w:r>
      <w:r w:rsidRPr="00387E94">
        <w:rPr>
          <w:rtl/>
        </w:rPr>
        <w:t xml:space="preserve"> و</w:t>
      </w:r>
      <w:r w:rsidR="00E32876">
        <w:rPr>
          <w:rFonts w:hint="cs"/>
          <w:rtl/>
        </w:rPr>
        <w:t xml:space="preserve">الاشتراك في ملكية </w:t>
      </w:r>
      <w:r w:rsidR="00737015">
        <w:rPr>
          <w:rFonts w:hint="cs"/>
          <w:rtl/>
        </w:rPr>
        <w:t>البراءات</w:t>
      </w:r>
      <w:r w:rsidR="00E32876">
        <w:rPr>
          <w:rFonts w:hint="cs"/>
          <w:rtl/>
        </w:rPr>
        <w:t xml:space="preserve">، </w:t>
      </w:r>
      <w:r w:rsidRPr="00387E94">
        <w:rPr>
          <w:rtl/>
        </w:rPr>
        <w:t>وخرق العق</w:t>
      </w:r>
      <w:r w:rsidR="00E32876">
        <w:rPr>
          <w:rFonts w:hint="cs"/>
          <w:rtl/>
        </w:rPr>
        <w:t>و</w:t>
      </w:r>
      <w:r w:rsidRPr="00387E94">
        <w:rPr>
          <w:rtl/>
        </w:rPr>
        <w:t>د</w:t>
      </w:r>
      <w:r w:rsidR="00E32876">
        <w:rPr>
          <w:rFonts w:hint="cs"/>
          <w:rtl/>
        </w:rPr>
        <w:t>،</w:t>
      </w:r>
      <w:r w:rsidRPr="00387E94">
        <w:rPr>
          <w:rtl/>
        </w:rPr>
        <w:t xml:space="preserve"> </w:t>
      </w:r>
      <w:r w:rsidR="00E32876">
        <w:rPr>
          <w:rFonts w:hint="cs"/>
          <w:rtl/>
        </w:rPr>
        <w:t>وسداد الإتاوات،</w:t>
      </w:r>
      <w:r w:rsidRPr="00387E94">
        <w:rPr>
          <w:rtl/>
        </w:rPr>
        <w:t xml:space="preserve"> وتحديد شروط ترخيص </w:t>
      </w:r>
      <w:r w:rsidRPr="00387E94">
        <w:rPr>
          <w:rFonts w:hint="cs"/>
          <w:rtl/>
        </w:rPr>
        <w:t>حق المؤلف</w:t>
      </w:r>
      <w:r w:rsidR="00E32876">
        <w:rPr>
          <w:rFonts w:hint="cs"/>
          <w:rtl/>
        </w:rPr>
        <w:t>،</w:t>
      </w:r>
      <w:r w:rsidR="00737015">
        <w:rPr>
          <w:rtl/>
        </w:rPr>
        <w:t xml:space="preserve"> وإعادة الإدماج في اتحاد </w:t>
      </w:r>
      <w:r w:rsidR="00737015">
        <w:rPr>
          <w:rFonts w:hint="cs"/>
          <w:rtl/>
        </w:rPr>
        <w:t>لل</w:t>
      </w:r>
      <w:r w:rsidRPr="00387E94">
        <w:rPr>
          <w:rtl/>
        </w:rPr>
        <w:t>بحث والتطوير</w:t>
      </w:r>
      <w:r w:rsidR="00E32876">
        <w:rPr>
          <w:rFonts w:hint="cs"/>
          <w:rtl/>
        </w:rPr>
        <w:t>،</w:t>
      </w:r>
      <w:r w:rsidR="00737015">
        <w:rPr>
          <w:rtl/>
        </w:rPr>
        <w:t xml:space="preserve"> وإزالة</w:t>
      </w:r>
      <w:r w:rsidR="00737015">
        <w:rPr>
          <w:rFonts w:hint="cs"/>
          <w:rtl/>
        </w:rPr>
        <w:t xml:space="preserve"> م</w:t>
      </w:r>
      <w:r w:rsidRPr="00387E94">
        <w:rPr>
          <w:rtl/>
        </w:rPr>
        <w:t xml:space="preserve">حتوى من منصات </w:t>
      </w:r>
      <w:r w:rsidR="00737015">
        <w:rPr>
          <w:rFonts w:hint="cs"/>
          <w:rtl/>
        </w:rPr>
        <w:t>إلكترونية،</w:t>
      </w:r>
      <w:r w:rsidR="00737015">
        <w:rPr>
          <w:rtl/>
        </w:rPr>
        <w:t xml:space="preserve"> و</w:t>
      </w:r>
      <w:r w:rsidR="00E32876">
        <w:rPr>
          <w:rtl/>
        </w:rPr>
        <w:t>أ</w:t>
      </w:r>
      <w:r w:rsidR="00E32876">
        <w:rPr>
          <w:rFonts w:hint="cs"/>
          <w:rtl/>
        </w:rPr>
        <w:t>د</w:t>
      </w:r>
      <w:r w:rsidRPr="00387E94">
        <w:rPr>
          <w:rtl/>
        </w:rPr>
        <w:t>اء</w:t>
      </w:r>
      <w:r w:rsidR="00737015">
        <w:rPr>
          <w:rFonts w:hint="cs"/>
          <w:rtl/>
        </w:rPr>
        <w:t xml:space="preserve"> </w:t>
      </w:r>
      <w:r w:rsidRPr="00387E94">
        <w:rPr>
          <w:rFonts w:hint="cs"/>
          <w:rtl/>
        </w:rPr>
        <w:t>محدد</w:t>
      </w:r>
      <w:r w:rsidR="00E32876">
        <w:rPr>
          <w:rtl/>
        </w:rPr>
        <w:t xml:space="preserve">، بما في ذلك سحب إجراء </w:t>
      </w:r>
      <w:r w:rsidRPr="00387E94">
        <w:rPr>
          <w:rtl/>
        </w:rPr>
        <w:t xml:space="preserve">قانوني، </w:t>
      </w:r>
      <w:r w:rsidR="00737015">
        <w:rPr>
          <w:rFonts w:hint="cs"/>
          <w:rtl/>
        </w:rPr>
        <w:t>وحالات اعتراض على</w:t>
      </w:r>
      <w:r w:rsidRPr="00387E94">
        <w:rPr>
          <w:rFonts w:hint="cs"/>
          <w:rtl/>
        </w:rPr>
        <w:t xml:space="preserve"> </w:t>
      </w:r>
      <w:r w:rsidR="00737015">
        <w:rPr>
          <w:rtl/>
        </w:rPr>
        <w:t xml:space="preserve">علامات تجارية </w:t>
      </w:r>
      <w:r w:rsidR="00737015">
        <w:rPr>
          <w:rFonts w:hint="cs"/>
          <w:rtl/>
        </w:rPr>
        <w:t xml:space="preserve">ظلت </w:t>
      </w:r>
      <w:r w:rsidRPr="00387E94">
        <w:rPr>
          <w:rtl/>
        </w:rPr>
        <w:t>معلقة أمام مكتب للملكية</w:t>
      </w:r>
      <w:r w:rsidR="00737015">
        <w:rPr>
          <w:rFonts w:hint="cs"/>
          <w:rtl/>
        </w:rPr>
        <w:t> </w:t>
      </w:r>
      <w:r w:rsidRPr="00387E94">
        <w:rPr>
          <w:rtl/>
        </w:rPr>
        <w:t>الفكرية.</w:t>
      </w:r>
    </w:p>
    <w:p w:rsidR="00387E94" w:rsidRPr="00387E94" w:rsidRDefault="00387E94" w:rsidP="00737015">
      <w:pPr>
        <w:pStyle w:val="ONUMA"/>
      </w:pPr>
      <w:r w:rsidRPr="00387E94">
        <w:rPr>
          <w:rFonts w:hint="cs"/>
          <w:rtl/>
        </w:rPr>
        <w:t>و</w:t>
      </w:r>
      <w:r w:rsidRPr="00387E94">
        <w:rPr>
          <w:rtl/>
        </w:rPr>
        <w:t>خلال</w:t>
      </w:r>
      <w:r w:rsidRPr="00387E94">
        <w:rPr>
          <w:rFonts w:hint="cs"/>
          <w:rtl/>
        </w:rPr>
        <w:t xml:space="preserve"> </w:t>
      </w:r>
      <w:r w:rsidRPr="00387E94">
        <w:rPr>
          <w:rtl/>
        </w:rPr>
        <w:t>الفترة</w:t>
      </w:r>
      <w:r w:rsidR="00737015">
        <w:rPr>
          <w:rFonts w:hint="cs"/>
          <w:rtl/>
        </w:rPr>
        <w:t xml:space="preserve"> المشمولة بالتقرير</w:t>
      </w:r>
      <w:r w:rsidRPr="00387E94">
        <w:rPr>
          <w:rtl/>
        </w:rPr>
        <w:t xml:space="preserve">، </w:t>
      </w:r>
      <w:r w:rsidRPr="00387E94">
        <w:rPr>
          <w:rFonts w:hint="cs"/>
          <w:rtl/>
        </w:rPr>
        <w:t>لجأت</w:t>
      </w:r>
      <w:r w:rsidRPr="00387E94">
        <w:rPr>
          <w:rtl/>
        </w:rPr>
        <w:t xml:space="preserve"> مجموعة من الشركات </w:t>
      </w:r>
      <w:r w:rsidRPr="00387E94">
        <w:rPr>
          <w:rFonts w:hint="cs"/>
          <w:rtl/>
        </w:rPr>
        <w:t>الكبرى</w:t>
      </w:r>
      <w:r w:rsidRPr="00387E94">
        <w:rPr>
          <w:rtl/>
        </w:rPr>
        <w:t xml:space="preserve"> (بما في ذلك </w:t>
      </w:r>
      <w:r w:rsidRPr="00387E94">
        <w:rPr>
          <w:rFonts w:hint="cs"/>
          <w:rtl/>
        </w:rPr>
        <w:t>بيوتيك</w:t>
      </w:r>
      <w:r w:rsidRPr="00387E94">
        <w:rPr>
          <w:rtl/>
        </w:rPr>
        <w:t xml:space="preserve">/ </w:t>
      </w:r>
      <w:r w:rsidRPr="00387E94">
        <w:rPr>
          <w:rFonts w:hint="cs"/>
          <w:rtl/>
        </w:rPr>
        <w:t xml:space="preserve">فرما </w:t>
      </w:r>
      <w:r w:rsidRPr="00387E94">
        <w:rPr>
          <w:rtl/>
        </w:rPr>
        <w:t xml:space="preserve">ومنصات إلكترونية) وشركات صغيرة ومتوسطة وجامعات </w:t>
      </w:r>
      <w:r w:rsidRPr="00387E94">
        <w:rPr>
          <w:rFonts w:hint="cs"/>
          <w:rtl/>
        </w:rPr>
        <w:t>ومنظمات</w:t>
      </w:r>
      <w:r w:rsidRPr="00387E94">
        <w:rPr>
          <w:rtl/>
        </w:rPr>
        <w:t xml:space="preserve"> </w:t>
      </w:r>
      <w:r w:rsidRPr="00387E94">
        <w:rPr>
          <w:rFonts w:hint="cs"/>
          <w:rtl/>
        </w:rPr>
        <w:t>بحثية</w:t>
      </w:r>
      <w:r w:rsidRPr="00387E94">
        <w:rPr>
          <w:rtl/>
        </w:rPr>
        <w:t xml:space="preserve"> وأفراد من 46 دولة</w:t>
      </w:r>
      <w:r w:rsidRPr="00387E94">
        <w:rPr>
          <w:rFonts w:hint="cs"/>
          <w:rtl/>
        </w:rPr>
        <w:t xml:space="preserve"> إلى</w:t>
      </w:r>
      <w:r w:rsidRPr="00387E94">
        <w:rPr>
          <w:rtl/>
        </w:rPr>
        <w:t xml:space="preserve"> إجراءات مركز</w:t>
      </w:r>
      <w:r w:rsidRPr="00387E94">
        <w:rPr>
          <w:rFonts w:hint="cs"/>
          <w:rtl/>
        </w:rPr>
        <w:t xml:space="preserve"> الويبو</w:t>
      </w:r>
      <w:r w:rsidRPr="00387E94">
        <w:rPr>
          <w:rtl/>
        </w:rPr>
        <w:t xml:space="preserve">، بما في ذلك المساعي </w:t>
      </w:r>
      <w:r w:rsidRPr="00387E94">
        <w:rPr>
          <w:rFonts w:hint="cs"/>
          <w:rtl/>
        </w:rPr>
        <w:t>الحميدة</w:t>
      </w:r>
      <w:r w:rsidRPr="00387E94">
        <w:rPr>
          <w:sz w:val="28"/>
          <w:szCs w:val="28"/>
          <w:vertAlign w:val="superscript"/>
          <w:rtl/>
        </w:rPr>
        <w:footnoteReference w:id="3"/>
      </w:r>
      <w:r w:rsidRPr="00387E94">
        <w:rPr>
          <w:rFonts w:hint="cs"/>
          <w:rtl/>
        </w:rPr>
        <w:t>.</w:t>
      </w:r>
      <w:r w:rsidRPr="00387E94">
        <w:rPr>
          <w:rtl/>
        </w:rPr>
        <w:t xml:space="preserve"> </w:t>
      </w:r>
      <w:r w:rsidRPr="00387E94">
        <w:rPr>
          <w:rFonts w:hint="cs"/>
          <w:rtl/>
        </w:rPr>
        <w:t xml:space="preserve">وعادة ما </w:t>
      </w:r>
      <w:r w:rsidRPr="00387E94">
        <w:rPr>
          <w:rtl/>
        </w:rPr>
        <w:t xml:space="preserve">تُحال القضايا إلى </w:t>
      </w:r>
      <w:r w:rsidRPr="00387E94">
        <w:rPr>
          <w:rFonts w:hint="cs"/>
          <w:rtl/>
        </w:rPr>
        <w:t>مركز الويبو</w:t>
      </w:r>
      <w:r w:rsidRPr="00387E94">
        <w:rPr>
          <w:rtl/>
        </w:rPr>
        <w:t xml:space="preserve"> </w:t>
      </w:r>
      <w:r w:rsidRPr="00387E94">
        <w:rPr>
          <w:rFonts w:hint="cs"/>
          <w:rtl/>
        </w:rPr>
        <w:t>استنادا إلى</w:t>
      </w:r>
      <w:r w:rsidRPr="00387E94">
        <w:rPr>
          <w:rtl/>
        </w:rPr>
        <w:t xml:space="preserve"> </w:t>
      </w:r>
      <w:r w:rsidRPr="00387E94">
        <w:rPr>
          <w:rFonts w:hint="cs"/>
          <w:rtl/>
        </w:rPr>
        <w:t>بنود العقود السابقة</w:t>
      </w:r>
      <w:r w:rsidRPr="00387E94">
        <w:rPr>
          <w:rtl/>
        </w:rPr>
        <w:t xml:space="preserve"> أو، </w:t>
      </w:r>
      <w:r w:rsidRPr="00387E94">
        <w:rPr>
          <w:rFonts w:hint="cs"/>
          <w:rtl/>
        </w:rPr>
        <w:t>بتواتر أقل</w:t>
      </w:r>
      <w:r w:rsidRPr="00387E94">
        <w:rPr>
          <w:rtl/>
        </w:rPr>
        <w:t>، اتفاق</w:t>
      </w:r>
      <w:r w:rsidRPr="00387E94">
        <w:rPr>
          <w:rFonts w:hint="cs"/>
          <w:rtl/>
        </w:rPr>
        <w:t>ات</w:t>
      </w:r>
      <w:r w:rsidRPr="00387E94">
        <w:rPr>
          <w:rtl/>
        </w:rPr>
        <w:t xml:space="preserve"> </w:t>
      </w:r>
      <w:r w:rsidRPr="00387E94">
        <w:rPr>
          <w:rFonts w:hint="cs"/>
          <w:rtl/>
        </w:rPr>
        <w:t>ال</w:t>
      </w:r>
      <w:r w:rsidRPr="00387E94">
        <w:rPr>
          <w:rtl/>
        </w:rPr>
        <w:t>تقديم</w:t>
      </w:r>
      <w:r w:rsidRPr="00387E94">
        <w:rPr>
          <w:rFonts w:hint="cs"/>
          <w:rtl/>
        </w:rPr>
        <w:t xml:space="preserve"> السابقة</w:t>
      </w:r>
      <w:r w:rsidRPr="00387E94">
        <w:rPr>
          <w:rtl/>
        </w:rPr>
        <w:t xml:space="preserve"> </w:t>
      </w:r>
      <w:r w:rsidRPr="00387E94">
        <w:rPr>
          <w:rFonts w:hint="cs"/>
          <w:rtl/>
        </w:rPr>
        <w:t>للمنازعة</w:t>
      </w:r>
      <w:r w:rsidRPr="00387E94">
        <w:rPr>
          <w:rtl/>
        </w:rPr>
        <w:t xml:space="preserve"> (بما في ذلك الإحالات إلى المحكمة)، وكذلك </w:t>
      </w:r>
      <w:r w:rsidRPr="00387E94">
        <w:rPr>
          <w:rFonts w:hint="cs"/>
          <w:rtl/>
        </w:rPr>
        <w:t>بموجب طلبات أحادية عملاً ب</w:t>
      </w:r>
      <w:r w:rsidRPr="00387E94">
        <w:rPr>
          <w:rtl/>
        </w:rPr>
        <w:t xml:space="preserve">المادة 4 من قواعد الويبو </w:t>
      </w:r>
      <w:r w:rsidRPr="00387E94">
        <w:rPr>
          <w:rFonts w:hint="cs"/>
          <w:rtl/>
        </w:rPr>
        <w:t>بشأن ا</w:t>
      </w:r>
      <w:r w:rsidRPr="00387E94">
        <w:rPr>
          <w:rtl/>
        </w:rPr>
        <w:t>لوساطة.</w:t>
      </w:r>
      <w:r w:rsidRPr="00387E94">
        <w:rPr>
          <w:rFonts w:hint="cs"/>
          <w:rtl/>
        </w:rPr>
        <w:t xml:space="preserve"> وضمت أكثر</w:t>
      </w:r>
      <w:r w:rsidRPr="00387E94">
        <w:rPr>
          <w:rtl/>
        </w:rPr>
        <w:t xml:space="preserve"> من 30 في المئة من </w:t>
      </w:r>
      <w:r w:rsidRPr="00387E94">
        <w:rPr>
          <w:rFonts w:hint="cs"/>
          <w:rtl/>
        </w:rPr>
        <w:t>القضايا</w:t>
      </w:r>
      <w:r w:rsidRPr="00387E94">
        <w:rPr>
          <w:rtl/>
        </w:rPr>
        <w:t xml:space="preserve"> </w:t>
      </w:r>
      <w:r w:rsidRPr="00387E94">
        <w:rPr>
          <w:rFonts w:hint="cs"/>
          <w:rtl/>
        </w:rPr>
        <w:t xml:space="preserve">منازعات بين </w:t>
      </w:r>
      <w:r w:rsidRPr="00387E94">
        <w:rPr>
          <w:rtl/>
        </w:rPr>
        <w:t xml:space="preserve">أكثر من طرفين. </w:t>
      </w:r>
      <w:r w:rsidRPr="00387E94">
        <w:rPr>
          <w:rFonts w:hint="cs"/>
          <w:rtl/>
        </w:rPr>
        <w:t>وشمل</w:t>
      </w:r>
      <w:r w:rsidRPr="00387E94">
        <w:rPr>
          <w:rtl/>
        </w:rPr>
        <w:t xml:space="preserve"> </w:t>
      </w:r>
      <w:r w:rsidRPr="00387E94">
        <w:rPr>
          <w:rFonts w:hint="cs"/>
          <w:rtl/>
        </w:rPr>
        <w:t>30</w:t>
      </w:r>
      <w:r w:rsidRPr="00387E94">
        <w:rPr>
          <w:rtl/>
        </w:rPr>
        <w:t xml:space="preserve"> بالمائة من </w:t>
      </w:r>
      <w:r w:rsidRPr="00387E94">
        <w:rPr>
          <w:rFonts w:hint="cs"/>
          <w:rtl/>
        </w:rPr>
        <w:t>القضايا</w:t>
      </w:r>
      <w:r w:rsidRPr="00387E94">
        <w:rPr>
          <w:rtl/>
        </w:rPr>
        <w:t xml:space="preserve"> أطرافًا </w:t>
      </w:r>
      <w:r w:rsidRPr="00387E94">
        <w:rPr>
          <w:rtl/>
        </w:rPr>
        <w:lastRenderedPageBreak/>
        <w:t xml:space="preserve">تستخدم أيضًا </w:t>
      </w:r>
      <w:r w:rsidRPr="00387E94">
        <w:rPr>
          <w:rFonts w:hint="cs"/>
          <w:rtl/>
        </w:rPr>
        <w:t>أنظمة</w:t>
      </w:r>
      <w:r w:rsidRPr="00387E94">
        <w:rPr>
          <w:rtl/>
        </w:rPr>
        <w:t xml:space="preserve"> معاهدة التعاون بشأن </w:t>
      </w:r>
      <w:r w:rsidRPr="00387E94">
        <w:rPr>
          <w:rFonts w:hint="cs"/>
          <w:rtl/>
        </w:rPr>
        <w:t xml:space="preserve">البراءات أو </w:t>
      </w:r>
      <w:r w:rsidRPr="00387E94">
        <w:rPr>
          <w:rtl/>
        </w:rPr>
        <w:t>لاهاي</w:t>
      </w:r>
      <w:r w:rsidRPr="00387E94">
        <w:rPr>
          <w:rFonts w:hint="cs"/>
          <w:rtl/>
        </w:rPr>
        <w:t xml:space="preserve"> أو</w:t>
      </w:r>
      <w:r w:rsidRPr="00387E94">
        <w:rPr>
          <w:rtl/>
        </w:rPr>
        <w:t xml:space="preserve"> مدريد </w:t>
      </w:r>
      <w:r w:rsidRPr="00387E94">
        <w:rPr>
          <w:rFonts w:hint="cs"/>
          <w:rtl/>
        </w:rPr>
        <w:t>التابعة للويبو</w:t>
      </w:r>
      <w:r w:rsidRPr="00387E94">
        <w:rPr>
          <w:rtl/>
        </w:rPr>
        <w:t>.</w:t>
      </w:r>
    </w:p>
    <w:p w:rsidR="00387E94" w:rsidRPr="00387E94" w:rsidRDefault="00387E94" w:rsidP="00387E94">
      <w:pPr>
        <w:pStyle w:val="ONUMA"/>
      </w:pPr>
      <w:r w:rsidRPr="00387E94">
        <w:rPr>
          <w:rFonts w:hint="cs"/>
          <w:rtl/>
        </w:rPr>
        <w:t>وواصل المركز اتخاذ مبادرات لتيسير وصول المستخدمين المحتملين إلى السبل البديلة لتسوية المنازعات التي تقدمها الويبو. وكجزء من الجهود المبذولة لتدليل العقبات أمام الأطراف المتنازعة، عمد مركز الويبو إلى الترويج لموارد إدارة القضايا عبر الأنترنيت بما في ذلك عقد اجتماعات عبر الفيديو. وحتى الآن، استخدم ما يناهز 30 في المائة من أطراف الويبو مرفق القضايا الإلكترونية</w:t>
      </w:r>
      <w:r w:rsidRPr="00387E94">
        <w:rPr>
          <w:sz w:val="28"/>
          <w:szCs w:val="28"/>
          <w:vertAlign w:val="superscript"/>
          <w:rtl/>
        </w:rPr>
        <w:footnoteReference w:id="4"/>
      </w:r>
      <w:r w:rsidRPr="00387E94">
        <w:rPr>
          <w:rFonts w:hint="cs"/>
          <w:rtl/>
        </w:rPr>
        <w:t xml:space="preserve"> - المعزز مؤخرا- للتسوية البديلة للمنازعات إلكترونيا التي تقدمها الويبو للرفع من كفاءة إجراءات التحكيم</w:t>
      </w:r>
      <w:r w:rsidRPr="00387E94">
        <w:rPr>
          <w:sz w:val="28"/>
          <w:szCs w:val="28"/>
          <w:vertAlign w:val="superscript"/>
          <w:rtl/>
        </w:rPr>
        <w:footnoteReference w:id="5"/>
      </w:r>
      <w:r w:rsidRPr="00387E94">
        <w:rPr>
          <w:rFonts w:hint="cs"/>
          <w:rtl/>
        </w:rPr>
        <w:t>.</w:t>
      </w:r>
      <w:r w:rsidRPr="00387E94">
        <w:rPr>
          <w:rtl/>
        </w:rPr>
        <w:t xml:space="preserve"> </w:t>
      </w:r>
      <w:r w:rsidRPr="00387E94">
        <w:rPr>
          <w:rFonts w:hint="cs"/>
          <w:rtl/>
        </w:rPr>
        <w:t>و</w:t>
      </w:r>
      <w:r w:rsidRPr="00387E94">
        <w:rPr>
          <w:rtl/>
        </w:rPr>
        <w:t xml:space="preserve">يوفر </w:t>
      </w:r>
      <w:r w:rsidRPr="00387E94">
        <w:rPr>
          <w:rFonts w:hint="cs"/>
          <w:rtl/>
        </w:rPr>
        <w:t>مركز الويبو</w:t>
      </w:r>
      <w:r w:rsidRPr="00387E94">
        <w:rPr>
          <w:rtl/>
        </w:rPr>
        <w:t xml:space="preserve"> أيضًا </w:t>
      </w:r>
      <w:r w:rsidRPr="00387E94">
        <w:rPr>
          <w:rFonts w:hint="cs"/>
          <w:rtl/>
        </w:rPr>
        <w:t>مُولّد البنود الإلكتروني الذي يتيح</w:t>
      </w:r>
      <w:r w:rsidRPr="00387E94">
        <w:rPr>
          <w:rtl/>
        </w:rPr>
        <w:t xml:space="preserve"> للأطراف </w:t>
      </w:r>
      <w:r w:rsidRPr="00387E94">
        <w:rPr>
          <w:rFonts w:hint="cs"/>
          <w:rtl/>
        </w:rPr>
        <w:t>إعداد</w:t>
      </w:r>
      <w:r w:rsidRPr="00387E94">
        <w:rPr>
          <w:rtl/>
        </w:rPr>
        <w:t xml:space="preserve"> البنود الأساسية واتفاقيات التقديم</w:t>
      </w:r>
      <w:r w:rsidRPr="00387E94">
        <w:rPr>
          <w:sz w:val="28"/>
          <w:szCs w:val="28"/>
          <w:vertAlign w:val="superscript"/>
          <w:rtl/>
        </w:rPr>
        <w:footnoteReference w:id="6"/>
      </w:r>
      <w:r w:rsidRPr="00387E94">
        <w:rPr>
          <w:rtl/>
        </w:rPr>
        <w:t xml:space="preserve">. </w:t>
      </w:r>
      <w:r w:rsidRPr="00387E94">
        <w:rPr>
          <w:rFonts w:hint="cs"/>
          <w:rtl/>
        </w:rPr>
        <w:t xml:space="preserve">وقد لبّت </w:t>
      </w:r>
      <w:r w:rsidRPr="00387E94">
        <w:rPr>
          <w:rtl/>
        </w:rPr>
        <w:t xml:space="preserve">هذه الموارد بالإضافة إلى مبادرات </w:t>
      </w:r>
      <w:r w:rsidRPr="00387E94">
        <w:rPr>
          <w:rFonts w:hint="cs"/>
          <w:rtl/>
        </w:rPr>
        <w:t>مركز الويبو</w:t>
      </w:r>
      <w:r w:rsidRPr="00387E94">
        <w:rPr>
          <w:rtl/>
        </w:rPr>
        <w:t xml:space="preserve"> </w:t>
      </w:r>
      <w:r w:rsidRPr="00387E94">
        <w:rPr>
          <w:rFonts w:hint="cs"/>
          <w:rtl/>
        </w:rPr>
        <w:t>الواردة في</w:t>
      </w:r>
      <w:r w:rsidRPr="00387E94">
        <w:rPr>
          <w:rtl/>
        </w:rPr>
        <w:t xml:space="preserve"> الفقرات من 14 إلى 18 الطلب المتزايد في </w:t>
      </w:r>
      <w:r w:rsidRPr="00387E94">
        <w:rPr>
          <w:rFonts w:hint="cs"/>
          <w:rtl/>
        </w:rPr>
        <w:t>ظل ال</w:t>
      </w:r>
      <w:r w:rsidRPr="00387E94">
        <w:rPr>
          <w:rtl/>
        </w:rPr>
        <w:t>ظروف</w:t>
      </w:r>
      <w:r w:rsidRPr="00387E94">
        <w:rPr>
          <w:rFonts w:hint="cs"/>
          <w:rtl/>
        </w:rPr>
        <w:t xml:space="preserve"> التي فرضها </w:t>
      </w:r>
      <w:r w:rsidRPr="00387E94">
        <w:t>COVID-19</w:t>
      </w:r>
      <w:r w:rsidRPr="00387E94">
        <w:rPr>
          <w:rtl/>
        </w:rPr>
        <w:t>.</w:t>
      </w:r>
      <w:r w:rsidRPr="00387E94">
        <w:rPr>
          <w:sz w:val="28"/>
          <w:szCs w:val="28"/>
          <w:vertAlign w:val="superscript"/>
          <w:rtl/>
        </w:rPr>
        <w:footnoteReference w:id="7"/>
      </w:r>
    </w:p>
    <w:p w:rsidR="00387E94" w:rsidRPr="00387E94" w:rsidRDefault="00387E94" w:rsidP="00387E94">
      <w:pPr>
        <w:pStyle w:val="ONUMA"/>
        <w:rPr>
          <w:rtl/>
        </w:rPr>
      </w:pPr>
      <w:r w:rsidRPr="00387E94">
        <w:rPr>
          <w:rtl/>
        </w:rPr>
        <w:lastRenderedPageBreak/>
        <w:t xml:space="preserve">ومنذ انعقاد </w:t>
      </w:r>
      <w:r w:rsidRPr="00387E94">
        <w:rPr>
          <w:rFonts w:hint="cs"/>
          <w:rtl/>
          <w:lang w:val="fr-CH" w:bidi="ar-SY"/>
        </w:rPr>
        <w:t>ال</w:t>
      </w:r>
      <w:r w:rsidRPr="00387E94">
        <w:rPr>
          <w:rtl/>
        </w:rPr>
        <w:t>جمعيات</w:t>
      </w:r>
      <w:r w:rsidRPr="00387E94">
        <w:rPr>
          <w:rFonts w:hint="cs"/>
          <w:rtl/>
        </w:rPr>
        <w:t xml:space="preserve"> في عام</w:t>
      </w:r>
      <w:r w:rsidRPr="00387E94">
        <w:rPr>
          <w:rtl/>
        </w:rPr>
        <w:t xml:space="preserve"> </w:t>
      </w:r>
      <w:r w:rsidRPr="00387E94">
        <w:rPr>
          <w:rFonts w:hint="cs"/>
          <w:rtl/>
        </w:rPr>
        <w:t>2019</w:t>
      </w:r>
      <w:r w:rsidRPr="00387E94">
        <w:rPr>
          <w:rtl/>
        </w:rPr>
        <w:t xml:space="preserve">، قام المركز بتحديث قواعد الويبو لتعكس التطورات </w:t>
      </w:r>
      <w:r w:rsidRPr="00387E94">
        <w:rPr>
          <w:rFonts w:hint="cs"/>
          <w:rtl/>
        </w:rPr>
        <w:t>على مستوى</w:t>
      </w:r>
      <w:r w:rsidRPr="00387E94">
        <w:rPr>
          <w:rtl/>
        </w:rPr>
        <w:t xml:space="preserve"> المعايير الدولية </w:t>
      </w:r>
      <w:r w:rsidRPr="00387E94">
        <w:rPr>
          <w:rFonts w:hint="cs"/>
          <w:rtl/>
        </w:rPr>
        <w:t>بشأن السبل البديلة لتسوية المنازعات</w:t>
      </w:r>
      <w:r w:rsidRPr="00387E94">
        <w:rPr>
          <w:rtl/>
        </w:rPr>
        <w:t xml:space="preserve">. </w:t>
      </w:r>
      <w:r w:rsidRPr="00387E94">
        <w:rPr>
          <w:rFonts w:hint="cs"/>
          <w:rtl/>
        </w:rPr>
        <w:t>واعتبارا</w:t>
      </w:r>
      <w:r w:rsidRPr="00387E94">
        <w:rPr>
          <w:rtl/>
        </w:rPr>
        <w:t xml:space="preserve"> من 1 يناير 2020، </w:t>
      </w:r>
      <w:r w:rsidRPr="00387E94">
        <w:rPr>
          <w:rFonts w:hint="cs"/>
          <w:rtl/>
        </w:rPr>
        <w:t>تيسّر</w:t>
      </w:r>
      <w:r w:rsidRPr="00387E94">
        <w:rPr>
          <w:rtl/>
        </w:rPr>
        <w:t xml:space="preserve"> الأحكام الجديدة </w:t>
      </w:r>
      <w:r w:rsidRPr="00387E94">
        <w:rPr>
          <w:rFonts w:hint="cs"/>
          <w:rtl/>
        </w:rPr>
        <w:t>ل</w:t>
      </w:r>
      <w:r w:rsidRPr="00387E94">
        <w:rPr>
          <w:rtl/>
        </w:rPr>
        <w:t xml:space="preserve">قواعد </w:t>
      </w:r>
      <w:r w:rsidRPr="00387E94">
        <w:rPr>
          <w:rFonts w:hint="cs"/>
          <w:rtl/>
        </w:rPr>
        <w:t>الويبو بشأن ا</w:t>
      </w:r>
      <w:r w:rsidRPr="00387E94">
        <w:rPr>
          <w:rtl/>
        </w:rPr>
        <w:t xml:space="preserve">لوساطة إنفاذ اتفاقات التسوية </w:t>
      </w:r>
      <w:r w:rsidRPr="00387E94">
        <w:rPr>
          <w:rFonts w:hint="cs"/>
          <w:rtl/>
        </w:rPr>
        <w:t>على النحو المطلوب بموجب</w:t>
      </w:r>
      <w:r w:rsidRPr="00387E94">
        <w:rPr>
          <w:rtl/>
        </w:rPr>
        <w:t xml:space="preserve"> اتفاقية سنغافورة بشأن الوساطة</w:t>
      </w:r>
      <w:r w:rsidRPr="00387E94">
        <w:rPr>
          <w:sz w:val="28"/>
          <w:szCs w:val="28"/>
          <w:vertAlign w:val="superscript"/>
          <w:rtl/>
        </w:rPr>
        <w:footnoteReference w:id="8"/>
      </w:r>
      <w:r w:rsidRPr="00387E94">
        <w:rPr>
          <w:rtl/>
        </w:rPr>
        <w:t xml:space="preserve"> المبرمة مؤخرًا. </w:t>
      </w:r>
      <w:r w:rsidRPr="00387E94">
        <w:rPr>
          <w:rFonts w:hint="cs"/>
          <w:rtl/>
        </w:rPr>
        <w:t>و</w:t>
      </w:r>
      <w:r w:rsidRPr="00387E94">
        <w:rPr>
          <w:rtl/>
        </w:rPr>
        <w:t xml:space="preserve">علاوة على ذلك، لتوضيح </w:t>
      </w:r>
      <w:r w:rsidRPr="00387E94">
        <w:rPr>
          <w:rFonts w:hint="cs"/>
          <w:rtl/>
        </w:rPr>
        <w:t>إتاحة</w:t>
      </w:r>
      <w:r w:rsidRPr="00387E94">
        <w:rPr>
          <w:rtl/>
        </w:rPr>
        <w:t xml:space="preserve"> الوساطة كخيار </w:t>
      </w:r>
      <w:r w:rsidRPr="00387E94">
        <w:rPr>
          <w:rFonts w:hint="cs"/>
          <w:rtl/>
        </w:rPr>
        <w:t>بديل لل</w:t>
      </w:r>
      <w:r w:rsidRPr="00387E94">
        <w:rPr>
          <w:rtl/>
        </w:rPr>
        <w:t xml:space="preserve">طرف في سياق إجراء التحكيم، تشير قواعد الويبو المنقحة </w:t>
      </w:r>
      <w:r w:rsidRPr="00387E94">
        <w:rPr>
          <w:rFonts w:hint="cs"/>
          <w:rtl/>
        </w:rPr>
        <w:t>بشأن ا</w:t>
      </w:r>
      <w:r w:rsidRPr="00387E94">
        <w:rPr>
          <w:rtl/>
        </w:rPr>
        <w:t xml:space="preserve">لتحكيم والتحكيم المعجل الآن صراحة إلى الوساطة، مما يزيد من حوافز التسوية </w:t>
      </w:r>
      <w:r w:rsidRPr="00387E94">
        <w:rPr>
          <w:rFonts w:hint="cs"/>
          <w:rtl/>
        </w:rPr>
        <w:t>الراهنة</w:t>
      </w:r>
      <w:r w:rsidRPr="00387E94">
        <w:rPr>
          <w:rtl/>
        </w:rPr>
        <w:t xml:space="preserve"> في قضايا الويبو. وكما هو الحال، فإن نحو 40 في المائة من عمليات التحكيم والتحكيم المعجّل </w:t>
      </w:r>
      <w:r w:rsidRPr="00387E94">
        <w:rPr>
          <w:rFonts w:hint="cs"/>
          <w:rtl/>
        </w:rPr>
        <w:t>التي تجريها الويبو</w:t>
      </w:r>
      <w:r w:rsidRPr="00387E94">
        <w:rPr>
          <w:rtl/>
        </w:rPr>
        <w:t xml:space="preserve"> تؤدي إلى تسوية النزاع قبل إصدار هيئة التحكيم قرار التحكيم</w:t>
      </w:r>
      <w:r w:rsidRPr="00387E94">
        <w:rPr>
          <w:rFonts w:hint="cs"/>
          <w:rtl/>
        </w:rPr>
        <w:t>.</w:t>
      </w:r>
    </w:p>
    <w:p w:rsidR="00387E94" w:rsidRPr="00387E94" w:rsidRDefault="00387E94" w:rsidP="00387E94">
      <w:pPr>
        <w:pStyle w:val="ONUMA"/>
        <w:rPr>
          <w:rtl/>
        </w:rPr>
      </w:pPr>
      <w:r w:rsidRPr="00387E94">
        <w:rPr>
          <w:rFonts w:hint="cs"/>
          <w:rtl/>
        </w:rPr>
        <w:t>و</w:t>
      </w:r>
      <w:r w:rsidRPr="00387E94">
        <w:rPr>
          <w:rtl/>
        </w:rPr>
        <w:t xml:space="preserve">يقدم المركز أيضا خدمات </w:t>
      </w:r>
      <w:r w:rsidRPr="00387E94">
        <w:rPr>
          <w:rFonts w:hint="cs"/>
          <w:rtl/>
        </w:rPr>
        <w:t>بشأن التسوية البديلة للمنازعات</w:t>
      </w:r>
      <w:r w:rsidRPr="00387E94">
        <w:rPr>
          <w:rtl/>
        </w:rPr>
        <w:t xml:space="preserve"> مصممة خصيصا ل</w:t>
      </w:r>
      <w:r w:rsidRPr="00387E94">
        <w:rPr>
          <w:rFonts w:hint="cs"/>
          <w:rtl/>
        </w:rPr>
        <w:t xml:space="preserve">تلبية احتياجات </w:t>
      </w:r>
      <w:r w:rsidRPr="00387E94">
        <w:rPr>
          <w:rtl/>
        </w:rPr>
        <w:t>قطاعات محددة</w:t>
      </w:r>
      <w:r w:rsidRPr="00387E94">
        <w:rPr>
          <w:rFonts w:hint="cs"/>
          <w:rtl/>
        </w:rPr>
        <w:t>؛</w:t>
      </w:r>
      <w:r w:rsidRPr="00387E94">
        <w:rPr>
          <w:rtl/>
        </w:rPr>
        <w:t xml:space="preserve"> </w:t>
      </w:r>
      <w:r w:rsidRPr="00387E94">
        <w:rPr>
          <w:rFonts w:hint="cs"/>
          <w:rtl/>
        </w:rPr>
        <w:t xml:space="preserve">إذ </w:t>
      </w:r>
      <w:r w:rsidRPr="00387E94">
        <w:rPr>
          <w:rtl/>
        </w:rPr>
        <w:t xml:space="preserve">يقدم موقع المركز لمحة </w:t>
      </w:r>
      <w:r w:rsidRPr="00387E94">
        <w:rPr>
          <w:rFonts w:hint="cs"/>
          <w:rtl/>
        </w:rPr>
        <w:t>شاملة</w:t>
      </w:r>
      <w:r w:rsidRPr="00387E94">
        <w:rPr>
          <w:rtl/>
        </w:rPr>
        <w:t xml:space="preserve"> عن نطاق هذه الخدمات</w:t>
      </w:r>
      <w:r w:rsidRPr="00387E94">
        <w:rPr>
          <w:sz w:val="28"/>
          <w:szCs w:val="28"/>
          <w:vertAlign w:val="superscript"/>
          <w:rtl/>
        </w:rPr>
        <w:footnoteReference w:id="9"/>
      </w:r>
      <w:r w:rsidRPr="00387E94">
        <w:rPr>
          <w:rtl/>
        </w:rPr>
        <w:t xml:space="preserve">. </w:t>
      </w:r>
      <w:r w:rsidRPr="00387E94">
        <w:rPr>
          <w:rFonts w:hint="cs"/>
          <w:rtl/>
        </w:rPr>
        <w:t>و</w:t>
      </w:r>
      <w:r w:rsidRPr="00387E94">
        <w:rPr>
          <w:rtl/>
        </w:rPr>
        <w:t>أحد الأمثلة على ذلك ه</w:t>
      </w:r>
      <w:r w:rsidRPr="00387E94">
        <w:rPr>
          <w:rFonts w:hint="cs"/>
          <w:rtl/>
        </w:rPr>
        <w:t>ي</w:t>
      </w:r>
      <w:r w:rsidRPr="00387E94">
        <w:rPr>
          <w:rtl/>
        </w:rPr>
        <w:t xml:space="preserve"> خدمات المركز </w:t>
      </w:r>
      <w:r w:rsidRPr="00387E94">
        <w:rPr>
          <w:rFonts w:hint="cs"/>
          <w:rtl/>
        </w:rPr>
        <w:t>بشأن المنازعات</w:t>
      </w:r>
      <w:r w:rsidRPr="00387E94">
        <w:rPr>
          <w:rtl/>
        </w:rPr>
        <w:t xml:space="preserve"> المتعلقة ب</w:t>
      </w:r>
      <w:r w:rsidRPr="00387E94">
        <w:rPr>
          <w:rFonts w:hint="cs"/>
          <w:rtl/>
        </w:rPr>
        <w:t>ال</w:t>
      </w:r>
      <w:r w:rsidRPr="00387E94">
        <w:rPr>
          <w:rtl/>
        </w:rPr>
        <w:t xml:space="preserve">شروط </w:t>
      </w:r>
      <w:r w:rsidRPr="00387E94">
        <w:rPr>
          <w:rFonts w:hint="cs"/>
          <w:rtl/>
        </w:rPr>
        <w:t>المنصفة</w:t>
      </w:r>
      <w:r w:rsidRPr="00387E94">
        <w:rPr>
          <w:rtl/>
        </w:rPr>
        <w:t xml:space="preserve"> ومعقولة </w:t>
      </w:r>
      <w:r w:rsidRPr="00387E94">
        <w:rPr>
          <w:rtl/>
        </w:rPr>
        <w:lastRenderedPageBreak/>
        <w:t>وغير تمييزية (</w:t>
      </w:r>
      <w:r w:rsidRPr="00387E94">
        <w:t>FRAND</w:t>
      </w:r>
      <w:r w:rsidRPr="00387E94">
        <w:rPr>
          <w:rtl/>
        </w:rPr>
        <w:t xml:space="preserve">) </w:t>
      </w:r>
      <w:r w:rsidRPr="00387E94">
        <w:rPr>
          <w:rFonts w:hint="cs"/>
          <w:rtl/>
        </w:rPr>
        <w:t>الخاصة بال</w:t>
      </w:r>
      <w:r w:rsidRPr="00387E94">
        <w:rPr>
          <w:rtl/>
        </w:rPr>
        <w:t xml:space="preserve">براءات </w:t>
      </w:r>
      <w:r w:rsidRPr="00387E94">
        <w:rPr>
          <w:rFonts w:hint="cs"/>
          <w:rtl/>
        </w:rPr>
        <w:t xml:space="preserve">المعيارية </w:t>
      </w:r>
      <w:r w:rsidRPr="00387E94">
        <w:rPr>
          <w:rtl/>
        </w:rPr>
        <w:t>الأساسية</w:t>
      </w:r>
      <w:r w:rsidRPr="00387E94">
        <w:rPr>
          <w:rFonts w:hint="cs"/>
          <w:rtl/>
        </w:rPr>
        <w:t xml:space="preserve"> </w:t>
      </w:r>
      <w:r w:rsidRPr="00387E94">
        <w:rPr>
          <w:rtl/>
        </w:rPr>
        <w:t>(</w:t>
      </w:r>
      <w:r w:rsidRPr="00387E94">
        <w:t>SEPs</w:t>
      </w:r>
      <w:r w:rsidRPr="00387E94">
        <w:rPr>
          <w:rtl/>
        </w:rPr>
        <w:t>)</w:t>
      </w:r>
      <w:r w:rsidRPr="00387E94">
        <w:rPr>
          <w:sz w:val="28"/>
          <w:szCs w:val="28"/>
          <w:vertAlign w:val="superscript"/>
          <w:rtl/>
        </w:rPr>
        <w:footnoteReference w:id="10"/>
      </w:r>
      <w:r w:rsidRPr="00387E94">
        <w:rPr>
          <w:rtl/>
        </w:rPr>
        <w:t>.</w:t>
      </w:r>
    </w:p>
    <w:p w:rsidR="00387E94" w:rsidRPr="00387E94" w:rsidRDefault="00387E94" w:rsidP="00CB35B7">
      <w:pPr>
        <w:pStyle w:val="Heading3"/>
        <w:ind w:left="535"/>
        <w:rPr>
          <w:rtl/>
          <w:lang w:bidi="ar-EG"/>
        </w:rPr>
      </w:pPr>
      <w:r w:rsidRPr="00387E94">
        <w:rPr>
          <w:rtl/>
          <w:lang w:bidi="ar-EG"/>
        </w:rPr>
        <w:t xml:space="preserve">باء. </w:t>
      </w:r>
      <w:r w:rsidRPr="00387E94">
        <w:rPr>
          <w:rtl/>
          <w:lang w:bidi="ar-EG"/>
        </w:rPr>
        <w:tab/>
        <w:t>التعاون مع مكاتب الملكية الفكرية</w:t>
      </w:r>
    </w:p>
    <w:p w:rsidR="00387E94" w:rsidRPr="00387E94" w:rsidRDefault="00387E94" w:rsidP="00387E94">
      <w:pPr>
        <w:pStyle w:val="ONUMA"/>
      </w:pPr>
      <w:r w:rsidRPr="00387E94">
        <w:rPr>
          <w:rFonts w:hint="cs"/>
          <w:rtl/>
        </w:rPr>
        <w:t xml:space="preserve">ويَنشط المركز في مجال أساسي آخر ألا وهو التعاون مع عدد متزايد من مكاتب الملكية الفكرية وحق المؤلف والمحاكم على وضع أطر اختيارية بشأن التسوية البديلة للمنازعات، وتنظيم برامج تدريبية وأنشطة ترويجية وإدارة القضايا حسب الاقتضاء. ومنذ انعقاد الجمعيات في عام 2019، أقام المركز علاقات تعاون مع </w:t>
      </w:r>
      <w:r w:rsidRPr="00387E94">
        <w:rPr>
          <w:rFonts w:hint="cs"/>
          <w:rtl/>
        </w:rPr>
        <w:lastRenderedPageBreak/>
        <w:t>سلطات الملكية الفكرية في ثمان دولة من الدول الأعضاء.</w:t>
      </w:r>
      <w:r w:rsidRPr="00387E94">
        <w:rPr>
          <w:sz w:val="28"/>
          <w:szCs w:val="28"/>
          <w:vertAlign w:val="superscript"/>
          <w:rtl/>
        </w:rPr>
        <w:footnoteReference w:id="11"/>
      </w:r>
    </w:p>
    <w:p w:rsidR="00387E94" w:rsidRPr="00387E94" w:rsidRDefault="00387E94" w:rsidP="00387E94">
      <w:pPr>
        <w:pStyle w:val="ONUMA"/>
      </w:pPr>
      <w:r w:rsidRPr="00387E94">
        <w:rPr>
          <w:rFonts w:hint="cs"/>
          <w:rtl/>
        </w:rPr>
        <w:t>ويتعاون المركز مع مكاتب الملكية الفكرية</w:t>
      </w:r>
      <w:r w:rsidRPr="00387E94">
        <w:rPr>
          <w:sz w:val="28"/>
          <w:szCs w:val="28"/>
          <w:vertAlign w:val="superscript"/>
          <w:rtl/>
        </w:rPr>
        <w:footnoteReference w:id="12"/>
      </w:r>
      <w:r w:rsidRPr="00387E94">
        <w:rPr>
          <w:rFonts w:hint="cs"/>
          <w:rtl/>
        </w:rPr>
        <w:t xml:space="preserve"> على إذكاء الوعي بمزايا خيارات </w:t>
      </w:r>
      <w:r w:rsidRPr="00387E94">
        <w:rPr>
          <w:rFonts w:hint="cs"/>
          <w:rtl/>
        </w:rPr>
        <w:lastRenderedPageBreak/>
        <w:t xml:space="preserve">التسوية البديلة للمنازعات لمنع وقوع المنازعات المتعلقة بالملكية الفكرية والتكنولوجيا وحل هذه المنازعات خارج المحاكم أو الهيئات القضائية الأخرى. وخلال </w:t>
      </w:r>
      <w:r w:rsidR="00CB35B7">
        <w:rPr>
          <w:rFonts w:hint="cs"/>
          <w:rtl/>
        </w:rPr>
        <w:t>الفترة المشمولة بالتقرير</w:t>
      </w:r>
      <w:r w:rsidRPr="00387E94">
        <w:rPr>
          <w:rFonts w:hint="cs"/>
          <w:rtl/>
        </w:rPr>
        <w:t>، كان هذا التعاون يتألف من إعداد مواد إعلامية مفصلة حسب احتياجات كل بلد بشأن خيارات التسوية البديلة للمنازعات، بما في ذلك إدارة القضايا عبر الإنترنت، وتنظيم دورات تدريبية وفعاليات مشتركة من أجل أصحاب المصلحة لإبلاغهم بفوائد الوساطة والتحكيم في حل منازعات الملكية الفكرية والمنازعات ذات الصلة</w:t>
      </w:r>
      <w:r w:rsidRPr="00387E94">
        <w:rPr>
          <w:sz w:val="28"/>
          <w:szCs w:val="28"/>
          <w:vertAlign w:val="superscript"/>
          <w:rtl/>
        </w:rPr>
        <w:footnoteReference w:id="13"/>
      </w:r>
      <w:r w:rsidRPr="00387E94">
        <w:rPr>
          <w:rFonts w:hint="cs"/>
          <w:rtl/>
        </w:rPr>
        <w:t xml:space="preserve">، وإحالة استفسارات الأطراف التي يتلقاها أحد مكاتب الملكية الفكرية إلى </w:t>
      </w:r>
      <w:r w:rsidRPr="00387E94">
        <w:rPr>
          <w:rFonts w:hint="cs"/>
          <w:rtl/>
        </w:rPr>
        <w:lastRenderedPageBreak/>
        <w:t>المركز للحصول على مزيد من المساعدة (لا سيما في قضايا التعدي على الحقوق).</w:t>
      </w:r>
    </w:p>
    <w:p w:rsidR="00387E94" w:rsidRPr="00387E94" w:rsidRDefault="00387E94" w:rsidP="00387E94">
      <w:pPr>
        <w:pStyle w:val="ONUMA"/>
      </w:pPr>
      <w:r w:rsidRPr="00387E94">
        <w:rPr>
          <w:rFonts w:hint="cs"/>
          <w:rtl/>
        </w:rPr>
        <w:t>ووضعت بعض مكاتب الملكية الفكرية خيارات التسوية البديلة للمنازعات أو شجعت الأطراف على استخدام هذه الخيارات، في سياق الدعاوى المعلقة التي تنظر فيها، لا سيما دعاوى الاعتراض على العلامات التجارية أو البراءات. وعمل المركز مع مكاتب الملكية الفكرية على تطوير خيارات الوساطة وقرارات الخبراء في دعاوى التسوية البديلة</w:t>
      </w:r>
      <w:r w:rsidRPr="00387E94">
        <w:t xml:space="preserve"> </w:t>
      </w:r>
      <w:r w:rsidRPr="00387E94">
        <w:rPr>
          <w:rFonts w:hint="cs"/>
          <w:rtl/>
        </w:rPr>
        <w:t>للمنازعات. وتعاون المركز أيضاً مع مكاتب الملكية الفكرية على إدارة القضايا المقدمة من الأطراف بموجب هذه المخططات.</w:t>
      </w:r>
      <w:r w:rsidRPr="00387E94">
        <w:rPr>
          <w:sz w:val="28"/>
          <w:szCs w:val="28"/>
          <w:vertAlign w:val="superscript"/>
          <w:rtl/>
        </w:rPr>
        <w:footnoteReference w:id="14"/>
      </w:r>
      <w:r w:rsidRPr="00387E94">
        <w:rPr>
          <w:rFonts w:hint="cs"/>
          <w:rtl/>
        </w:rPr>
        <w:t xml:space="preserve"> وفي مجال حق المؤلف</w:t>
      </w:r>
      <w:r w:rsidRPr="00387E94">
        <w:rPr>
          <w:rFonts w:hint="cs"/>
          <w:rtl/>
          <w:lang w:val="fr-CH" w:bidi="ar-SY"/>
        </w:rPr>
        <w:t xml:space="preserve">، تقوم بعض </w:t>
      </w:r>
      <w:r w:rsidRPr="00387E94">
        <w:rPr>
          <w:rtl/>
          <w:lang w:val="fr-CH" w:bidi="ar-SY"/>
        </w:rPr>
        <w:t>مكاتب الملكية الفكرية بإدارة إجراءات التسوية البديلة للمنازعات في المنازعات المحلية و</w:t>
      </w:r>
      <w:r w:rsidRPr="00387E94">
        <w:rPr>
          <w:rFonts w:hint="cs"/>
          <w:rtl/>
          <w:lang w:val="fr-CH" w:bidi="ar-SY"/>
        </w:rPr>
        <w:t>يُ</w:t>
      </w:r>
      <w:r w:rsidRPr="00387E94">
        <w:rPr>
          <w:rtl/>
          <w:lang w:val="fr-CH" w:bidi="ar-SY"/>
        </w:rPr>
        <w:t xml:space="preserve">عيّن المركز لإدارة القضايا التي </w:t>
      </w:r>
      <w:r w:rsidRPr="00387E94">
        <w:rPr>
          <w:rtl/>
          <w:lang w:val="fr-CH" w:bidi="ar-SY"/>
        </w:rPr>
        <w:lastRenderedPageBreak/>
        <w:t>يكون فيها أحد الطرفين أو كلاهما من المقيمين خارج البلد</w:t>
      </w:r>
      <w:r w:rsidRPr="00387E94">
        <w:rPr>
          <w:rFonts w:hint="cs"/>
          <w:rtl/>
          <w:lang w:val="fr-CH" w:bidi="ar-SY"/>
        </w:rPr>
        <w:t>.</w:t>
      </w:r>
      <w:r w:rsidRPr="00387E94">
        <w:rPr>
          <w:sz w:val="28"/>
          <w:szCs w:val="28"/>
          <w:vertAlign w:val="superscript"/>
          <w:rtl/>
          <w:lang w:val="fr-CH" w:bidi="ar-SY"/>
        </w:rPr>
        <w:footnoteReference w:id="15"/>
      </w:r>
      <w:r w:rsidRPr="00387E94">
        <w:rPr>
          <w:rFonts w:hint="cs"/>
          <w:rtl/>
          <w:lang w:bidi="ar-SY"/>
        </w:rPr>
        <w:t xml:space="preserve"> </w:t>
      </w:r>
    </w:p>
    <w:p w:rsidR="00387E94" w:rsidRPr="00387E94" w:rsidRDefault="00387E94" w:rsidP="00387E94">
      <w:pPr>
        <w:pStyle w:val="ONUMA"/>
      </w:pPr>
      <w:r w:rsidRPr="00387E94">
        <w:rPr>
          <w:rFonts w:hint="cs"/>
          <w:rtl/>
        </w:rPr>
        <w:t>وعلاوة على ذلك، تعاون المركز أيضاً مع مكاتب الملكية الفكرية على إعداد اتفاقات نموذجية بشأن البحث والتطوير، وتتضمن أحكام تسوية المنازعات المنصوص عليها في هذه الاتفاقات وساطة الويبو متبوعة بخيارات تحكيم الويبو المعجّل.</w:t>
      </w:r>
      <w:r w:rsidRPr="00387E94">
        <w:rPr>
          <w:sz w:val="28"/>
          <w:szCs w:val="28"/>
          <w:vertAlign w:val="superscript"/>
          <w:rtl/>
        </w:rPr>
        <w:footnoteReference w:id="16"/>
      </w:r>
    </w:p>
    <w:p w:rsidR="00387E94" w:rsidRPr="00387E94" w:rsidRDefault="00387E94" w:rsidP="00387E94">
      <w:pPr>
        <w:pStyle w:val="ONUMA"/>
      </w:pPr>
      <w:r w:rsidRPr="00387E94">
        <w:rPr>
          <w:rtl/>
        </w:rPr>
        <w:t xml:space="preserve">وفي ضوء هذه الخبرة المتنامية، </w:t>
      </w:r>
      <w:r w:rsidRPr="00387E94">
        <w:rPr>
          <w:rFonts w:hint="cs"/>
          <w:rtl/>
        </w:rPr>
        <w:t xml:space="preserve">يقدم </w:t>
      </w:r>
      <w:r w:rsidRPr="00387E94">
        <w:rPr>
          <w:rtl/>
        </w:rPr>
        <w:t>دليل الويبو</w:t>
      </w:r>
      <w:r w:rsidRPr="00387E94">
        <w:rPr>
          <w:rFonts w:hint="cs"/>
          <w:rtl/>
        </w:rPr>
        <w:t xml:space="preserve"> المحدّث</w:t>
      </w:r>
      <w:r w:rsidRPr="00387E94">
        <w:rPr>
          <w:rtl/>
        </w:rPr>
        <w:t xml:space="preserve"> بشأن التسوية البديلة للمنازعات لفائدة مكاتب الملكية الفكرية والمحاكم</w:t>
      </w:r>
      <w:r w:rsidRPr="00387E94">
        <w:rPr>
          <w:rFonts w:hint="cs"/>
          <w:rtl/>
        </w:rPr>
        <w:t xml:space="preserve">، </w:t>
      </w:r>
      <w:r w:rsidRPr="00387E94">
        <w:rPr>
          <w:rtl/>
        </w:rPr>
        <w:t>لمحة عامة عن سبل التسوية البديلة لمنازعات الملكية الفكرية ويُقدِّم إلى مكاتب الملكية الفكرية والمحاكم المعنية خيارات لدمج سبيل التسوية البديلة في عملياتها الحالية.</w:t>
      </w:r>
      <w:r w:rsidRPr="00387E94">
        <w:rPr>
          <w:sz w:val="28"/>
          <w:szCs w:val="28"/>
          <w:vertAlign w:val="superscript"/>
          <w:rtl/>
        </w:rPr>
        <w:footnoteReference w:id="17"/>
      </w:r>
      <w:r w:rsidRPr="00387E94">
        <w:rPr>
          <w:rFonts w:hint="cs"/>
          <w:rtl/>
        </w:rPr>
        <w:t xml:space="preserve"> ويوضح الدليل أيضاً أوجه تعاون المركز ويعرض أمثلة عن الوثائق النموذجية ذات الصلة.</w:t>
      </w:r>
    </w:p>
    <w:p w:rsidR="00387E94" w:rsidRPr="00387E94" w:rsidRDefault="00387E94" w:rsidP="00CB35B7">
      <w:pPr>
        <w:pStyle w:val="Heading3"/>
        <w:ind w:left="535"/>
        <w:rPr>
          <w:lang w:bidi="ar-EG"/>
        </w:rPr>
      </w:pPr>
      <w:r w:rsidRPr="00387E94">
        <w:rPr>
          <w:rFonts w:hint="cs"/>
          <w:rtl/>
          <w:lang w:bidi="ar-EG"/>
        </w:rPr>
        <w:lastRenderedPageBreak/>
        <w:t>جيم.</w:t>
      </w:r>
      <w:r w:rsidRPr="00387E94">
        <w:rPr>
          <w:rFonts w:hint="cs"/>
          <w:rtl/>
          <w:lang w:bidi="ar-EG"/>
        </w:rPr>
        <w:tab/>
        <w:t>مصا</w:t>
      </w:r>
      <w:r w:rsidR="00CB35B7">
        <w:rPr>
          <w:rFonts w:hint="cs"/>
          <w:rtl/>
          <w:lang w:bidi="ar-EG"/>
        </w:rPr>
        <w:t>در المعلومات ذات الصلة بالسبل</w:t>
      </w:r>
      <w:r w:rsidRPr="00387E94">
        <w:rPr>
          <w:rFonts w:hint="cs"/>
          <w:rtl/>
          <w:lang w:bidi="ar-EG"/>
        </w:rPr>
        <w:t xml:space="preserve"> البديلة لتسوية المنازعات</w:t>
      </w:r>
    </w:p>
    <w:p w:rsidR="00387E94" w:rsidRPr="00387E94" w:rsidRDefault="00387E94" w:rsidP="00387E94">
      <w:pPr>
        <w:pStyle w:val="ONUMA"/>
      </w:pPr>
      <w:r w:rsidRPr="00387E94">
        <w:rPr>
          <w:rtl/>
        </w:rPr>
        <w:t xml:space="preserve">خلال </w:t>
      </w:r>
      <w:r w:rsidR="00CB35B7">
        <w:rPr>
          <w:rFonts w:hint="cs"/>
          <w:rtl/>
        </w:rPr>
        <w:t>الفترة المشمولة بالتقرير</w:t>
      </w:r>
      <w:r w:rsidRPr="00387E94">
        <w:rPr>
          <w:rtl/>
        </w:rPr>
        <w:t xml:space="preserve">، </w:t>
      </w:r>
      <w:r w:rsidRPr="00387E94">
        <w:rPr>
          <w:rFonts w:hint="cs"/>
          <w:rtl/>
        </w:rPr>
        <w:t>و</w:t>
      </w:r>
      <w:r w:rsidRPr="00387E94">
        <w:rPr>
          <w:rtl/>
        </w:rPr>
        <w:t xml:space="preserve">تلبية </w:t>
      </w:r>
      <w:r w:rsidRPr="00387E94">
        <w:rPr>
          <w:rFonts w:hint="cs"/>
          <w:rtl/>
        </w:rPr>
        <w:t>ل</w:t>
      </w:r>
      <w:r w:rsidRPr="00387E94">
        <w:rPr>
          <w:rtl/>
        </w:rPr>
        <w:t xml:space="preserve">لطلب المتزايد على موارد </w:t>
      </w:r>
      <w:r w:rsidRPr="00387E94">
        <w:rPr>
          <w:rFonts w:hint="cs"/>
          <w:rtl/>
        </w:rPr>
        <w:t>التسوية البديلة للمنازعات إلكترونيا وتنظيم دورات تدريبية</w:t>
      </w:r>
      <w:r w:rsidRPr="00387E94">
        <w:rPr>
          <w:rtl/>
        </w:rPr>
        <w:t xml:space="preserve">، واصل المركز </w:t>
      </w:r>
      <w:r w:rsidRPr="00387E94">
        <w:rPr>
          <w:rFonts w:hint="cs"/>
          <w:rtl/>
        </w:rPr>
        <w:t xml:space="preserve">تسخير </w:t>
      </w:r>
      <w:r w:rsidRPr="00387E94">
        <w:rPr>
          <w:rtl/>
        </w:rPr>
        <w:t>قنوات</w:t>
      </w:r>
      <w:r w:rsidRPr="00387E94">
        <w:rPr>
          <w:rFonts w:hint="cs"/>
          <w:rtl/>
        </w:rPr>
        <w:t>ه</w:t>
      </w:r>
      <w:r w:rsidRPr="00387E94">
        <w:rPr>
          <w:rtl/>
        </w:rPr>
        <w:t xml:space="preserve"> التواصل</w:t>
      </w:r>
      <w:r w:rsidRPr="00387E94">
        <w:rPr>
          <w:rFonts w:hint="cs"/>
          <w:rtl/>
        </w:rPr>
        <w:t>ية</w:t>
      </w:r>
      <w:r w:rsidRPr="00387E94">
        <w:rPr>
          <w:rtl/>
        </w:rPr>
        <w:t xml:space="preserve"> </w:t>
      </w:r>
      <w:r w:rsidRPr="00387E94">
        <w:rPr>
          <w:rFonts w:hint="cs"/>
          <w:rtl/>
        </w:rPr>
        <w:t>القائمة</w:t>
      </w:r>
      <w:r w:rsidRPr="00387E94">
        <w:rPr>
          <w:rtl/>
        </w:rPr>
        <w:t xml:space="preserve">، مثل </w:t>
      </w:r>
      <w:r w:rsidRPr="00387E94">
        <w:rPr>
          <w:rFonts w:hint="cs"/>
          <w:rtl/>
        </w:rPr>
        <w:t>الصحيفة</w:t>
      </w:r>
      <w:r w:rsidRPr="00387E94">
        <w:rPr>
          <w:rtl/>
        </w:rPr>
        <w:t xml:space="preserve"> الفصلية</w:t>
      </w:r>
      <w:r w:rsidRPr="00387E94">
        <w:rPr>
          <w:sz w:val="28"/>
          <w:szCs w:val="28"/>
          <w:vertAlign w:val="superscript"/>
          <w:rtl/>
        </w:rPr>
        <w:footnoteReference w:id="18"/>
      </w:r>
      <w:r w:rsidRPr="00387E94">
        <w:rPr>
          <w:rtl/>
        </w:rPr>
        <w:t xml:space="preserve"> </w:t>
      </w:r>
      <w:r w:rsidRPr="00387E94">
        <w:rPr>
          <w:rFonts w:hint="cs"/>
          <w:rtl/>
        </w:rPr>
        <w:t xml:space="preserve">بشأن السبل البديلة لتسوية المنازعات، إلى جانب </w:t>
      </w:r>
      <w:r w:rsidRPr="00387E94">
        <w:rPr>
          <w:rtl/>
        </w:rPr>
        <w:t>توسيع أو فتح</w:t>
      </w:r>
      <w:r w:rsidRPr="00387E94">
        <w:rPr>
          <w:rFonts w:hint="cs"/>
          <w:rtl/>
        </w:rPr>
        <w:t xml:space="preserve"> صفحات على</w:t>
      </w:r>
      <w:r w:rsidRPr="00387E94">
        <w:rPr>
          <w:rtl/>
        </w:rPr>
        <w:t xml:space="preserve"> وسائط اجتماعية ووسائط أخرى جديدة للمستخدمين أو المستخدمين المحتملين </w:t>
      </w:r>
      <w:r w:rsidRPr="00387E94">
        <w:rPr>
          <w:rFonts w:hint="cs"/>
          <w:rtl/>
        </w:rPr>
        <w:t>المعنيين بالسبل البديلة التي تقدمها ا</w:t>
      </w:r>
      <w:r w:rsidRPr="00387E94">
        <w:rPr>
          <w:rtl/>
        </w:rPr>
        <w:t>لويبو.</w:t>
      </w:r>
    </w:p>
    <w:p w:rsidR="00387E94" w:rsidRPr="009F7B4E" w:rsidRDefault="000A44CC" w:rsidP="000A44CC">
      <w:pPr>
        <w:pStyle w:val="BodyText"/>
        <w:keepNext/>
        <w:ind w:left="1255"/>
      </w:pPr>
      <w:r>
        <w:rPr>
          <w:rFonts w:hint="cs"/>
          <w:rtl/>
        </w:rPr>
        <w:t>(أ)</w:t>
      </w:r>
      <w:r>
        <w:rPr>
          <w:rtl/>
        </w:rPr>
        <w:tab/>
      </w:r>
      <w:r w:rsidR="00387E94" w:rsidRPr="000A44CC">
        <w:rPr>
          <w:rFonts w:hint="cs"/>
          <w:u w:val="single"/>
          <w:rtl/>
        </w:rPr>
        <w:t>الندوات الإلكترونية</w:t>
      </w:r>
    </w:p>
    <w:p w:rsidR="00387E94" w:rsidRDefault="00387E94" w:rsidP="009F7B4E">
      <w:pPr>
        <w:pStyle w:val="ONUMA"/>
        <w:numPr>
          <w:ilvl w:val="0"/>
          <w:numId w:val="11"/>
        </w:numPr>
      </w:pPr>
      <w:r w:rsidRPr="00387E94">
        <w:rPr>
          <w:rFonts w:hint="cs"/>
          <w:rtl/>
          <w:lang w:bidi="ar-SY"/>
        </w:rPr>
        <w:t>ي</w:t>
      </w:r>
      <w:r w:rsidRPr="00387E94">
        <w:rPr>
          <w:rtl/>
        </w:rPr>
        <w:t xml:space="preserve">عمل المركز بشكل متزايد </w:t>
      </w:r>
      <w:r w:rsidRPr="00387E94">
        <w:rPr>
          <w:rFonts w:hint="cs"/>
          <w:rtl/>
        </w:rPr>
        <w:t>من خلال تقديم</w:t>
      </w:r>
      <w:r w:rsidRPr="00387E94">
        <w:rPr>
          <w:rtl/>
        </w:rPr>
        <w:t xml:space="preserve"> </w:t>
      </w:r>
      <w:r w:rsidRPr="00387E94">
        <w:rPr>
          <w:rFonts w:hint="cs"/>
          <w:rtl/>
        </w:rPr>
        <w:t>ال</w:t>
      </w:r>
      <w:r w:rsidRPr="00387E94">
        <w:rPr>
          <w:rtl/>
        </w:rPr>
        <w:t xml:space="preserve">ندوات </w:t>
      </w:r>
      <w:r w:rsidRPr="00387E94">
        <w:rPr>
          <w:rFonts w:hint="cs"/>
          <w:rtl/>
        </w:rPr>
        <w:t>الإلكترونية</w:t>
      </w:r>
      <w:r w:rsidRPr="00387E94">
        <w:rPr>
          <w:rtl/>
        </w:rPr>
        <w:t>، مما يجعله متاح</w:t>
      </w:r>
      <w:r w:rsidRPr="00387E94">
        <w:rPr>
          <w:rFonts w:hint="cs"/>
          <w:rtl/>
        </w:rPr>
        <w:t>اً</w:t>
      </w:r>
      <w:r w:rsidRPr="00387E94">
        <w:rPr>
          <w:rtl/>
        </w:rPr>
        <w:t xml:space="preserve"> لأصحاب المصلحة بمحتوى مخصص لمجال اهتمامهم</w:t>
      </w:r>
      <w:r w:rsidRPr="00387E94">
        <w:rPr>
          <w:rFonts w:hint="cs"/>
          <w:rtl/>
        </w:rPr>
        <w:t xml:space="preserve"> بمجموعة من اللغات</w:t>
      </w:r>
      <w:r w:rsidRPr="00387E94">
        <w:rPr>
          <w:sz w:val="28"/>
          <w:szCs w:val="28"/>
          <w:vertAlign w:val="superscript"/>
          <w:rtl/>
        </w:rPr>
        <w:footnoteReference w:id="19"/>
      </w:r>
      <w:r w:rsidRPr="00387E94">
        <w:rPr>
          <w:rtl/>
        </w:rPr>
        <w:t xml:space="preserve">. </w:t>
      </w:r>
      <w:r w:rsidRPr="00387E94">
        <w:rPr>
          <w:rFonts w:hint="cs"/>
          <w:rtl/>
        </w:rPr>
        <w:t xml:space="preserve">ومنذ جمعيات </w:t>
      </w:r>
      <w:r w:rsidRPr="00387E94">
        <w:rPr>
          <w:rtl/>
        </w:rPr>
        <w:t xml:space="preserve">عام </w:t>
      </w:r>
      <w:r w:rsidRPr="00387E94">
        <w:rPr>
          <w:rFonts w:hint="cs"/>
          <w:rtl/>
        </w:rPr>
        <w:t>2019، نظم المركز أو شارك في تنظيم حوالي 30 ندوة إلكترونية بتسجيل أكثر من 10،500 مشارك من 170 بلدا.</w:t>
      </w:r>
    </w:p>
    <w:p w:rsidR="009F7B4E" w:rsidRPr="000A44CC" w:rsidRDefault="000A44CC" w:rsidP="000A44CC">
      <w:pPr>
        <w:pStyle w:val="BodyText"/>
        <w:keepNext/>
        <w:ind w:left="1255"/>
        <w:rPr>
          <w:u w:val="single"/>
        </w:rPr>
      </w:pPr>
      <w:r w:rsidRPr="000A44CC">
        <w:rPr>
          <w:rFonts w:hint="cs"/>
          <w:rtl/>
        </w:rPr>
        <w:lastRenderedPageBreak/>
        <w:t>(ب)</w:t>
      </w:r>
      <w:r w:rsidRPr="000A44CC">
        <w:rPr>
          <w:rtl/>
        </w:rPr>
        <w:tab/>
      </w:r>
      <w:r w:rsidR="00387E94" w:rsidRPr="000A44CC">
        <w:rPr>
          <w:rFonts w:hint="cs"/>
          <w:u w:val="single"/>
          <w:rtl/>
        </w:rPr>
        <w:t>دراسة استقصائية بشأن المن</w:t>
      </w:r>
      <w:r w:rsidR="00CB35B7" w:rsidRPr="000A44CC">
        <w:rPr>
          <w:rFonts w:hint="cs"/>
          <w:u w:val="single"/>
          <w:rtl/>
        </w:rPr>
        <w:t>ازعات في مجال حق المؤلف الرقمي</w:t>
      </w:r>
    </w:p>
    <w:p w:rsidR="00387E94" w:rsidRPr="00387E94" w:rsidRDefault="00387E94" w:rsidP="00387E94">
      <w:pPr>
        <w:pStyle w:val="ONUMA"/>
      </w:pPr>
      <w:r w:rsidRPr="00387E94">
        <w:rPr>
          <w:rtl/>
        </w:rPr>
        <w:t xml:space="preserve">لاحظ المركز ازدياد المنازعات </w:t>
      </w:r>
      <w:r w:rsidRPr="00387E94">
        <w:rPr>
          <w:rFonts w:hint="cs"/>
          <w:rtl/>
        </w:rPr>
        <w:t>في مجال</w:t>
      </w:r>
      <w:r w:rsidRPr="00387E94">
        <w:rPr>
          <w:rtl/>
        </w:rPr>
        <w:t xml:space="preserve"> حق المؤلف الرقمي في </w:t>
      </w:r>
      <w:r w:rsidRPr="00387E94">
        <w:rPr>
          <w:rFonts w:hint="cs"/>
          <w:rtl/>
        </w:rPr>
        <w:t>القضايا التي ينظر فيها</w:t>
      </w:r>
      <w:r w:rsidRPr="00387E94">
        <w:rPr>
          <w:rtl/>
        </w:rPr>
        <w:t xml:space="preserve">، وأجرى مركز </w:t>
      </w:r>
      <w:r w:rsidRPr="00387E94">
        <w:rPr>
          <w:rFonts w:hint="cs"/>
          <w:rtl/>
        </w:rPr>
        <w:t xml:space="preserve">الويبو </w:t>
      </w:r>
      <w:r w:rsidRPr="00387E94">
        <w:rPr>
          <w:rtl/>
        </w:rPr>
        <w:t xml:space="preserve">دراسة استقصائية </w:t>
      </w:r>
      <w:r w:rsidRPr="00387E94">
        <w:rPr>
          <w:rFonts w:hint="cs"/>
          <w:rtl/>
        </w:rPr>
        <w:t xml:space="preserve">بالتعاون مع </w:t>
      </w:r>
      <w:r w:rsidRPr="00387E94">
        <w:rPr>
          <w:rtl/>
        </w:rPr>
        <w:t>ووزارة الثقافة والرياضة والسياحة في جمهورية كوريا (</w:t>
      </w:r>
      <w:r w:rsidRPr="00387E94">
        <w:t>MCST</w:t>
      </w:r>
      <w:r w:rsidRPr="00387E94">
        <w:rPr>
          <w:rtl/>
        </w:rPr>
        <w:t xml:space="preserve">) </w:t>
      </w:r>
      <w:r w:rsidRPr="00387E94">
        <w:rPr>
          <w:rFonts w:hint="cs"/>
          <w:rtl/>
        </w:rPr>
        <w:t>بشأن</w:t>
      </w:r>
      <w:r w:rsidRPr="00387E94">
        <w:rPr>
          <w:rtl/>
        </w:rPr>
        <w:t xml:space="preserve"> استخدام </w:t>
      </w:r>
      <w:r w:rsidRPr="00387E94">
        <w:rPr>
          <w:rFonts w:hint="cs"/>
          <w:rtl/>
        </w:rPr>
        <w:t>ال</w:t>
      </w:r>
      <w:r w:rsidRPr="00387E94">
        <w:rPr>
          <w:rtl/>
        </w:rPr>
        <w:t>آليات</w:t>
      </w:r>
      <w:r w:rsidRPr="00387E94">
        <w:rPr>
          <w:rFonts w:hint="cs"/>
          <w:rtl/>
        </w:rPr>
        <w:t xml:space="preserve"> البديلة</w:t>
      </w:r>
      <w:r w:rsidRPr="00387E94">
        <w:rPr>
          <w:rtl/>
        </w:rPr>
        <w:t xml:space="preserve"> </w:t>
      </w:r>
      <w:r w:rsidRPr="00387E94">
        <w:rPr>
          <w:rFonts w:hint="cs"/>
          <w:rtl/>
        </w:rPr>
        <w:t>ل</w:t>
      </w:r>
      <w:r w:rsidRPr="00387E94">
        <w:rPr>
          <w:rtl/>
        </w:rPr>
        <w:t xml:space="preserve">تسوية المنازعات </w:t>
      </w:r>
      <w:r w:rsidRPr="00387E94">
        <w:rPr>
          <w:rFonts w:hint="cs"/>
          <w:rtl/>
        </w:rPr>
        <w:t>بين المؤسسات</w:t>
      </w:r>
      <w:r w:rsidRPr="00387E94">
        <w:rPr>
          <w:rtl/>
        </w:rPr>
        <w:t xml:space="preserve"> (</w:t>
      </w:r>
      <w:r w:rsidRPr="00387E94">
        <w:t>B2B</w:t>
      </w:r>
      <w:r w:rsidRPr="00387E94">
        <w:rPr>
          <w:rtl/>
        </w:rPr>
        <w:t xml:space="preserve">) </w:t>
      </w:r>
      <w:r w:rsidRPr="00387E94">
        <w:rPr>
          <w:rFonts w:hint="cs"/>
          <w:rtl/>
        </w:rPr>
        <w:t xml:space="preserve">في مجال </w:t>
      </w:r>
      <w:r w:rsidRPr="00387E94">
        <w:rPr>
          <w:rtl/>
        </w:rPr>
        <w:t xml:space="preserve">حق المؤلف الرقمي </w:t>
      </w:r>
      <w:r w:rsidRPr="00387E94">
        <w:rPr>
          <w:rFonts w:hint="cs"/>
          <w:rtl/>
        </w:rPr>
        <w:t>و</w:t>
      </w:r>
      <w:r w:rsidRPr="00387E94">
        <w:rPr>
          <w:rtl/>
        </w:rPr>
        <w:t>المحتوى</w:t>
      </w:r>
      <w:r w:rsidRPr="00387E94">
        <w:rPr>
          <w:rFonts w:hint="cs"/>
          <w:rtl/>
        </w:rPr>
        <w:t xml:space="preserve">. وقد عرفت الدراسة مشاركة </w:t>
      </w:r>
      <w:r w:rsidRPr="00387E94">
        <w:rPr>
          <w:rtl/>
        </w:rPr>
        <w:t xml:space="preserve">أكثر من 1000 مشارك في عدة لغات. </w:t>
      </w:r>
      <w:r w:rsidRPr="00387E94">
        <w:rPr>
          <w:rFonts w:hint="cs"/>
          <w:rtl/>
        </w:rPr>
        <w:t>وسيصدر</w:t>
      </w:r>
      <w:r w:rsidRPr="00387E94">
        <w:rPr>
          <w:rtl/>
        </w:rPr>
        <w:t xml:space="preserve"> تقرير </w:t>
      </w:r>
      <w:r w:rsidRPr="00387E94">
        <w:rPr>
          <w:rFonts w:hint="cs"/>
          <w:rtl/>
        </w:rPr>
        <w:t>بشأن</w:t>
      </w:r>
      <w:r w:rsidRPr="00387E94">
        <w:rPr>
          <w:rtl/>
        </w:rPr>
        <w:t xml:space="preserve"> نتائج </w:t>
      </w:r>
      <w:r w:rsidRPr="00387E94">
        <w:rPr>
          <w:rFonts w:hint="cs"/>
          <w:rtl/>
        </w:rPr>
        <w:t>الدراسة الاستقصائية</w:t>
      </w:r>
      <w:r w:rsidRPr="00387E94">
        <w:rPr>
          <w:rtl/>
        </w:rPr>
        <w:t xml:space="preserve"> </w:t>
      </w:r>
      <w:r w:rsidRPr="00387E94">
        <w:rPr>
          <w:rFonts w:hint="cs"/>
          <w:rtl/>
        </w:rPr>
        <w:t>لتسليط الضوء على</w:t>
      </w:r>
      <w:r w:rsidRPr="00387E94">
        <w:rPr>
          <w:rtl/>
        </w:rPr>
        <w:t xml:space="preserve"> مثل هذه </w:t>
      </w:r>
      <w:r w:rsidRPr="00387E94">
        <w:rPr>
          <w:rFonts w:hint="cs"/>
          <w:rtl/>
        </w:rPr>
        <w:t>المنازعات</w:t>
      </w:r>
      <w:r w:rsidRPr="00387E94">
        <w:rPr>
          <w:rtl/>
        </w:rPr>
        <w:t xml:space="preserve"> </w:t>
      </w:r>
      <w:r w:rsidRPr="00387E94">
        <w:rPr>
          <w:rFonts w:hint="cs"/>
          <w:rtl/>
        </w:rPr>
        <w:t>بين المؤسسات</w:t>
      </w:r>
      <w:r w:rsidRPr="00387E94">
        <w:rPr>
          <w:rtl/>
        </w:rPr>
        <w:t xml:space="preserve"> الصناع</w:t>
      </w:r>
      <w:r w:rsidRPr="00387E94">
        <w:rPr>
          <w:rFonts w:hint="cs"/>
          <w:rtl/>
        </w:rPr>
        <w:t>ية</w:t>
      </w:r>
      <w:r w:rsidRPr="00387E94">
        <w:rPr>
          <w:rtl/>
        </w:rPr>
        <w:t xml:space="preserve"> على الصعيد الدولي، بما في ذلك </w:t>
      </w:r>
      <w:r w:rsidRPr="00387E94">
        <w:rPr>
          <w:rFonts w:hint="cs"/>
          <w:rtl/>
        </w:rPr>
        <w:t>اللجوء</w:t>
      </w:r>
      <w:r w:rsidRPr="00387E94">
        <w:rPr>
          <w:rtl/>
        </w:rPr>
        <w:t xml:space="preserve"> </w:t>
      </w:r>
      <w:r w:rsidRPr="00387E94">
        <w:rPr>
          <w:rFonts w:hint="cs"/>
          <w:rtl/>
        </w:rPr>
        <w:t>حاليا</w:t>
      </w:r>
      <w:r w:rsidRPr="00387E94">
        <w:rPr>
          <w:rtl/>
        </w:rPr>
        <w:t xml:space="preserve"> لإجراءات مثل الوساطة والتحكيم مقارنةً بالتقاضي أمام المحاكم </w:t>
      </w:r>
      <w:r w:rsidRPr="00387E94">
        <w:rPr>
          <w:rFonts w:hint="cs"/>
          <w:rtl/>
        </w:rPr>
        <w:t>لتسوية</w:t>
      </w:r>
      <w:r w:rsidRPr="00387E94">
        <w:rPr>
          <w:rtl/>
        </w:rPr>
        <w:t xml:space="preserve"> مثل هذه </w:t>
      </w:r>
      <w:r w:rsidRPr="00387E94">
        <w:rPr>
          <w:rFonts w:hint="cs"/>
          <w:rtl/>
        </w:rPr>
        <w:t>المنازعات</w:t>
      </w:r>
      <w:r w:rsidRPr="00387E94">
        <w:rPr>
          <w:rtl/>
        </w:rPr>
        <w:t xml:space="preserve">. </w:t>
      </w:r>
      <w:r w:rsidRPr="00387E94">
        <w:rPr>
          <w:rFonts w:hint="cs"/>
          <w:rtl/>
        </w:rPr>
        <w:t xml:space="preserve">وستشير الدراسة الاستقصائية </w:t>
      </w:r>
      <w:r w:rsidRPr="00387E94">
        <w:rPr>
          <w:rtl/>
        </w:rPr>
        <w:t xml:space="preserve">أيضًا </w:t>
      </w:r>
      <w:r w:rsidRPr="00387E94">
        <w:rPr>
          <w:rFonts w:hint="cs"/>
          <w:rtl/>
        </w:rPr>
        <w:t>إلى</w:t>
      </w:r>
      <w:r w:rsidRPr="00387E94">
        <w:rPr>
          <w:rtl/>
        </w:rPr>
        <w:t xml:space="preserve"> التطور المحتمل لإجراءات </w:t>
      </w:r>
      <w:r w:rsidRPr="00387E94">
        <w:rPr>
          <w:rFonts w:hint="cs"/>
          <w:rtl/>
        </w:rPr>
        <w:t>التسوية البديلة للمنازعات</w:t>
      </w:r>
      <w:r w:rsidRPr="00387E94">
        <w:rPr>
          <w:rtl/>
        </w:rPr>
        <w:t xml:space="preserve"> </w:t>
      </w:r>
      <w:r w:rsidRPr="00387E94">
        <w:rPr>
          <w:rFonts w:hint="cs"/>
          <w:rtl/>
        </w:rPr>
        <w:t>المصممة خصيصا</w:t>
      </w:r>
      <w:r w:rsidRPr="00387E94">
        <w:rPr>
          <w:rtl/>
        </w:rPr>
        <w:t xml:space="preserve"> </w:t>
      </w:r>
      <w:r w:rsidRPr="00387E94">
        <w:rPr>
          <w:rFonts w:hint="cs"/>
          <w:rtl/>
        </w:rPr>
        <w:t xml:space="preserve">لتسوية </w:t>
      </w:r>
      <w:r w:rsidRPr="00387E94">
        <w:rPr>
          <w:rtl/>
        </w:rPr>
        <w:t xml:space="preserve">هذه الأنواع من </w:t>
      </w:r>
      <w:r w:rsidRPr="00387E94">
        <w:rPr>
          <w:rFonts w:hint="cs"/>
          <w:rtl/>
        </w:rPr>
        <w:t>المنازعات.</w:t>
      </w:r>
    </w:p>
    <w:p w:rsidR="00387E94" w:rsidRPr="00387E94" w:rsidRDefault="000A44CC" w:rsidP="000A44CC">
      <w:pPr>
        <w:pStyle w:val="BodyText"/>
        <w:keepNext/>
        <w:ind w:left="1255"/>
        <w:rPr>
          <w:u w:val="single"/>
          <w:rtl/>
        </w:rPr>
      </w:pPr>
      <w:r w:rsidRPr="000A44CC">
        <w:rPr>
          <w:rFonts w:hint="cs"/>
          <w:rtl/>
        </w:rPr>
        <w:t>(ج)</w:t>
      </w:r>
      <w:r w:rsidRPr="000A44CC">
        <w:rPr>
          <w:rtl/>
        </w:rPr>
        <w:tab/>
      </w:r>
      <w:r w:rsidR="00387E94" w:rsidRPr="00387E94">
        <w:rPr>
          <w:rFonts w:hint="cs"/>
          <w:u w:val="single"/>
          <w:rtl/>
        </w:rPr>
        <w:t xml:space="preserve">صفحة المركز على تطبيق </w:t>
      </w:r>
      <w:r w:rsidR="00387E94" w:rsidRPr="00387E94">
        <w:rPr>
          <w:u w:val="single"/>
        </w:rPr>
        <w:t>LinkedIn</w:t>
      </w:r>
    </w:p>
    <w:p w:rsidR="00387E94" w:rsidRPr="00387E94" w:rsidRDefault="00387E94" w:rsidP="00387E94">
      <w:pPr>
        <w:pStyle w:val="ONUMA"/>
      </w:pPr>
      <w:r w:rsidRPr="00387E94">
        <w:rPr>
          <w:rtl/>
        </w:rPr>
        <w:t xml:space="preserve">أطلق المركز صفحة على </w:t>
      </w:r>
      <w:r w:rsidRPr="00387E94">
        <w:t>LinkedIn</w:t>
      </w:r>
      <w:r w:rsidRPr="00387E94">
        <w:rPr>
          <w:rtl/>
        </w:rPr>
        <w:t xml:space="preserve">، </w:t>
      </w:r>
      <w:r w:rsidRPr="00387E94">
        <w:rPr>
          <w:rFonts w:hint="cs"/>
          <w:rtl/>
        </w:rPr>
        <w:t>بمثابة</w:t>
      </w:r>
      <w:r w:rsidRPr="00387E94">
        <w:rPr>
          <w:rtl/>
        </w:rPr>
        <w:t xml:space="preserve"> منصة للملكية الفكرية والتكنولوجيا و</w:t>
      </w:r>
      <w:r w:rsidRPr="00387E94">
        <w:rPr>
          <w:rFonts w:hint="cs"/>
          <w:rtl/>
        </w:rPr>
        <w:t>منبر ل</w:t>
      </w:r>
      <w:r w:rsidRPr="00387E94">
        <w:rPr>
          <w:rtl/>
        </w:rPr>
        <w:t xml:space="preserve">مجتمع </w:t>
      </w:r>
      <w:r w:rsidRPr="00387E94">
        <w:rPr>
          <w:rFonts w:hint="cs"/>
          <w:rtl/>
        </w:rPr>
        <w:t>معني بالتسوية البديلة للمنازعات</w:t>
      </w:r>
      <w:r w:rsidRPr="00387E94">
        <w:rPr>
          <w:rtl/>
        </w:rPr>
        <w:t xml:space="preserve"> لمواكبة التطورات والفعاليات والمنشورات </w:t>
      </w:r>
      <w:r w:rsidRPr="00387E94">
        <w:rPr>
          <w:rFonts w:hint="cs"/>
          <w:rtl/>
        </w:rPr>
        <w:t>بشأن التسوية البديلة التي تقدمها الويبو</w:t>
      </w:r>
      <w:r w:rsidRPr="00387E94">
        <w:rPr>
          <w:rtl/>
        </w:rPr>
        <w:t xml:space="preserve">. </w:t>
      </w:r>
      <w:r w:rsidRPr="00387E94">
        <w:rPr>
          <w:rFonts w:hint="cs"/>
          <w:rtl/>
        </w:rPr>
        <w:t>وبمتابعة</w:t>
      </w:r>
      <w:r w:rsidRPr="00387E94">
        <w:rPr>
          <w:rtl/>
        </w:rPr>
        <w:t xml:space="preserve"> أكثر من 4400 </w:t>
      </w:r>
      <w:r w:rsidRPr="00387E94">
        <w:rPr>
          <w:rFonts w:hint="cs"/>
          <w:rtl/>
        </w:rPr>
        <w:t>متابع،</w:t>
      </w:r>
      <w:r w:rsidRPr="00387E94">
        <w:rPr>
          <w:rtl/>
        </w:rPr>
        <w:t xml:space="preserve"> </w:t>
      </w:r>
      <w:r w:rsidRPr="00387E94">
        <w:rPr>
          <w:rFonts w:hint="cs"/>
          <w:rtl/>
        </w:rPr>
        <w:t xml:space="preserve">يعزز </w:t>
      </w:r>
      <w:r w:rsidRPr="00387E94">
        <w:rPr>
          <w:rtl/>
        </w:rPr>
        <w:t xml:space="preserve">المركز </w:t>
      </w:r>
      <w:r w:rsidRPr="00387E94">
        <w:rPr>
          <w:rFonts w:hint="cs"/>
          <w:rtl/>
        </w:rPr>
        <w:t>حضوره</w:t>
      </w:r>
      <w:r w:rsidRPr="00387E94">
        <w:rPr>
          <w:rtl/>
        </w:rPr>
        <w:t xml:space="preserve"> على </w:t>
      </w:r>
      <w:r w:rsidRPr="00387E94">
        <w:t>LinkedIn</w:t>
      </w:r>
      <w:r w:rsidRPr="00387E94">
        <w:rPr>
          <w:rtl/>
        </w:rPr>
        <w:t xml:space="preserve"> </w:t>
      </w:r>
      <w:r w:rsidRPr="00387E94">
        <w:rPr>
          <w:rFonts w:hint="cs"/>
          <w:rtl/>
        </w:rPr>
        <w:t>ويجعل من الصفحة</w:t>
      </w:r>
      <w:r w:rsidRPr="00387E94">
        <w:rPr>
          <w:rtl/>
        </w:rPr>
        <w:t xml:space="preserve"> مورد</w:t>
      </w:r>
      <w:r w:rsidRPr="00387E94">
        <w:rPr>
          <w:rFonts w:hint="cs"/>
          <w:rtl/>
        </w:rPr>
        <w:t>ا فعالا للتسوية البديلة للمنازعات في مجال الملكية الفكرية</w:t>
      </w:r>
      <w:r w:rsidRPr="00387E94">
        <w:rPr>
          <w:sz w:val="28"/>
          <w:szCs w:val="28"/>
          <w:vertAlign w:val="superscript"/>
          <w:rtl/>
        </w:rPr>
        <w:footnoteReference w:id="20"/>
      </w:r>
      <w:r w:rsidRPr="00387E94">
        <w:rPr>
          <w:rtl/>
        </w:rPr>
        <w:t>.</w:t>
      </w:r>
    </w:p>
    <w:p w:rsidR="00387E94" w:rsidRPr="00387E94" w:rsidRDefault="000A44CC" w:rsidP="000A44CC">
      <w:pPr>
        <w:pStyle w:val="BodyText"/>
        <w:keepNext/>
        <w:ind w:left="1255"/>
        <w:rPr>
          <w:u w:val="single"/>
        </w:rPr>
      </w:pPr>
      <w:r w:rsidRPr="000A44CC">
        <w:rPr>
          <w:rFonts w:hint="cs"/>
          <w:rtl/>
        </w:rPr>
        <w:lastRenderedPageBreak/>
        <w:t>(د)</w:t>
      </w:r>
      <w:r w:rsidRPr="000A44CC">
        <w:rPr>
          <w:rtl/>
        </w:rPr>
        <w:tab/>
      </w:r>
      <w:r w:rsidR="00387E94" w:rsidRPr="00387E94">
        <w:rPr>
          <w:rFonts w:hint="cs"/>
          <w:u w:val="single"/>
          <w:rtl/>
        </w:rPr>
        <w:t>تعهد الوساطة للويبو</w:t>
      </w:r>
    </w:p>
    <w:p w:rsidR="00387E94" w:rsidRPr="00387E94" w:rsidRDefault="00387E94" w:rsidP="00387E94">
      <w:pPr>
        <w:pStyle w:val="ONUMA"/>
      </w:pPr>
      <w:r w:rsidRPr="00387E94">
        <w:rPr>
          <w:rtl/>
        </w:rPr>
        <w:t xml:space="preserve">واصل مركز الترويج لتعهد الوساطة </w:t>
      </w:r>
      <w:r w:rsidRPr="00387E94">
        <w:rPr>
          <w:rFonts w:hint="cs"/>
          <w:rtl/>
        </w:rPr>
        <w:t xml:space="preserve">للويبو </w:t>
      </w:r>
      <w:r w:rsidRPr="00387E94">
        <w:rPr>
          <w:rtl/>
        </w:rPr>
        <w:t xml:space="preserve">بشأن المنازعات </w:t>
      </w:r>
      <w:r w:rsidRPr="00387E94">
        <w:rPr>
          <w:rFonts w:hint="cs"/>
          <w:rtl/>
        </w:rPr>
        <w:t xml:space="preserve">في مجال </w:t>
      </w:r>
      <w:r w:rsidRPr="00387E94">
        <w:rPr>
          <w:rtl/>
        </w:rPr>
        <w:t xml:space="preserve">الملكية الفكرية </w:t>
      </w:r>
      <w:r w:rsidRPr="00387E94">
        <w:rPr>
          <w:rFonts w:hint="cs"/>
          <w:rtl/>
        </w:rPr>
        <w:t>و</w:t>
      </w:r>
      <w:r w:rsidRPr="00387E94">
        <w:rPr>
          <w:rtl/>
        </w:rPr>
        <w:t>التكنولوجي</w:t>
      </w:r>
      <w:r w:rsidRPr="00387E94">
        <w:rPr>
          <w:rFonts w:hint="cs"/>
          <w:rtl/>
        </w:rPr>
        <w:t>ا</w:t>
      </w:r>
      <w:r w:rsidRPr="00387E94">
        <w:rPr>
          <w:rtl/>
        </w:rPr>
        <w:t xml:space="preserve">. </w:t>
      </w:r>
      <w:r w:rsidRPr="00387E94">
        <w:rPr>
          <w:rFonts w:hint="cs"/>
          <w:rtl/>
        </w:rPr>
        <w:t>و</w:t>
      </w:r>
      <w:r w:rsidRPr="00387E94">
        <w:rPr>
          <w:rtl/>
        </w:rPr>
        <w:t xml:space="preserve">توافق الجهات الموقعة والكيانات المتعاونة على تعزيز الوساطة كبديل للتقاضي أمام المحاكم من أجل الحد من تأثير </w:t>
      </w:r>
      <w:r w:rsidRPr="00387E94">
        <w:rPr>
          <w:rFonts w:hint="cs"/>
          <w:rtl/>
        </w:rPr>
        <w:t>المنازعات</w:t>
      </w:r>
      <w:r w:rsidRPr="00387E94">
        <w:rPr>
          <w:rtl/>
        </w:rPr>
        <w:t xml:space="preserve"> في الابتكار والعمليات الإبداعية. </w:t>
      </w:r>
      <w:r w:rsidRPr="00387E94">
        <w:rPr>
          <w:rFonts w:hint="cs"/>
          <w:rtl/>
        </w:rPr>
        <w:t>و</w:t>
      </w:r>
      <w:r w:rsidRPr="00387E94">
        <w:rPr>
          <w:rtl/>
        </w:rPr>
        <w:t xml:space="preserve">يبلغ عدد المشاركين </w:t>
      </w:r>
      <w:r w:rsidRPr="00387E94">
        <w:rPr>
          <w:rFonts w:hint="cs"/>
          <w:rtl/>
        </w:rPr>
        <w:t>حاليا</w:t>
      </w:r>
      <w:r w:rsidRPr="00387E94">
        <w:rPr>
          <w:rtl/>
        </w:rPr>
        <w:t xml:space="preserve"> أكثر من 500 </w:t>
      </w:r>
      <w:r w:rsidRPr="00387E94">
        <w:rPr>
          <w:rFonts w:hint="cs"/>
          <w:rtl/>
        </w:rPr>
        <w:t>مشارك</w:t>
      </w:r>
      <w:r w:rsidRPr="00387E94">
        <w:rPr>
          <w:rtl/>
        </w:rPr>
        <w:t xml:space="preserve">، بما في ذلك حوالي 20 </w:t>
      </w:r>
      <w:r w:rsidRPr="00387E94">
        <w:rPr>
          <w:rFonts w:hint="cs"/>
          <w:rtl/>
        </w:rPr>
        <w:t xml:space="preserve">مكتبا </w:t>
      </w:r>
      <w:r w:rsidRPr="00387E94">
        <w:rPr>
          <w:rtl/>
        </w:rPr>
        <w:t xml:space="preserve">من </w:t>
      </w:r>
      <w:r w:rsidRPr="00387E94">
        <w:rPr>
          <w:rFonts w:hint="cs"/>
          <w:rtl/>
        </w:rPr>
        <w:t xml:space="preserve">مكاتب الملكية الفكرية </w:t>
      </w:r>
      <w:r w:rsidRPr="00387E94">
        <w:rPr>
          <w:rtl/>
        </w:rPr>
        <w:t xml:space="preserve">للدول الأعضاء </w:t>
      </w:r>
      <w:r w:rsidRPr="00387E94">
        <w:rPr>
          <w:rFonts w:hint="cs"/>
          <w:rtl/>
        </w:rPr>
        <w:t>و10</w:t>
      </w:r>
      <w:r w:rsidRPr="00387E94">
        <w:rPr>
          <w:rtl/>
        </w:rPr>
        <w:t xml:space="preserve"> جمعيات صناع</w:t>
      </w:r>
      <w:r w:rsidRPr="00387E94">
        <w:rPr>
          <w:rFonts w:hint="cs"/>
          <w:rtl/>
        </w:rPr>
        <w:t>ي</w:t>
      </w:r>
      <w:r w:rsidRPr="00387E94">
        <w:rPr>
          <w:rtl/>
        </w:rPr>
        <w:t xml:space="preserve">ة </w:t>
      </w:r>
      <w:r w:rsidRPr="00387E94">
        <w:rPr>
          <w:rFonts w:hint="cs"/>
          <w:rtl/>
        </w:rPr>
        <w:t>للملكية الفكرية والتسوية البديلة للمنازعات</w:t>
      </w:r>
      <w:r w:rsidRPr="00387E94">
        <w:rPr>
          <w:sz w:val="28"/>
          <w:szCs w:val="28"/>
          <w:vertAlign w:val="superscript"/>
          <w:rtl/>
        </w:rPr>
        <w:footnoteReference w:id="21"/>
      </w:r>
      <w:r w:rsidRPr="00387E94">
        <w:rPr>
          <w:rFonts w:hint="cs"/>
          <w:rtl/>
        </w:rPr>
        <w:t>.</w:t>
      </w:r>
      <w:r w:rsidRPr="00387E94">
        <w:rPr>
          <w:rtl/>
        </w:rPr>
        <w:t xml:space="preserve"> </w:t>
      </w:r>
    </w:p>
    <w:p w:rsidR="00387E94" w:rsidRPr="000A44CC" w:rsidRDefault="00387E94" w:rsidP="000A44CC">
      <w:pPr>
        <w:pStyle w:val="Heading2"/>
        <w:rPr>
          <w:b w:val="0"/>
          <w:bCs w:val="0"/>
          <w:sz w:val="44"/>
          <w:szCs w:val="44"/>
          <w:rtl/>
          <w:lang w:bidi="ar-EG"/>
        </w:rPr>
      </w:pPr>
      <w:r w:rsidRPr="000A44CC">
        <w:rPr>
          <w:rFonts w:hint="cs"/>
          <w:b w:val="0"/>
          <w:bCs w:val="0"/>
          <w:sz w:val="44"/>
          <w:szCs w:val="44"/>
          <w:rtl/>
          <w:lang w:bidi="ar-EG"/>
        </w:rPr>
        <w:t>ثانياً.</w:t>
      </w:r>
      <w:r w:rsidRPr="000A44CC">
        <w:rPr>
          <w:rFonts w:hint="cs"/>
          <w:b w:val="0"/>
          <w:bCs w:val="0"/>
          <w:sz w:val="44"/>
          <w:szCs w:val="44"/>
          <w:rtl/>
          <w:lang w:bidi="ar-EG"/>
        </w:rPr>
        <w:tab/>
        <w:t>إدارة قضايا أسماء الحقول</w:t>
      </w:r>
    </w:p>
    <w:p w:rsidR="00387E94" w:rsidRPr="00387E94" w:rsidRDefault="00387E94" w:rsidP="000A44CC">
      <w:pPr>
        <w:pStyle w:val="Heading3"/>
        <w:ind w:left="535"/>
        <w:rPr>
          <w:lang w:bidi="ar-EG"/>
        </w:rPr>
      </w:pPr>
      <w:r w:rsidRPr="00387E94">
        <w:rPr>
          <w:rFonts w:hint="cs"/>
          <w:rtl/>
          <w:lang w:bidi="ar-EG"/>
        </w:rPr>
        <w:t>ألف.</w:t>
      </w:r>
      <w:r w:rsidRPr="00387E94">
        <w:rPr>
          <w:rFonts w:hint="cs"/>
          <w:rtl/>
          <w:lang w:bidi="ar-EG"/>
        </w:rPr>
        <w:tab/>
      </w:r>
      <w:r w:rsidRPr="00387E94">
        <w:rPr>
          <w:rtl/>
          <w:lang w:bidi="ar-EG"/>
        </w:rPr>
        <w:t>السياسة الموحدة لتسوية المنازعات</w:t>
      </w:r>
    </w:p>
    <w:p w:rsidR="00387E94" w:rsidRPr="00387E94" w:rsidRDefault="00387E94" w:rsidP="00387E94">
      <w:pPr>
        <w:pStyle w:val="ONUMA"/>
      </w:pPr>
      <w:r w:rsidRPr="00387E94">
        <w:rPr>
          <w:rtl/>
        </w:rPr>
        <w:t>يطرح نظام أسماء الحقول عددا من التحديات أمام حماية الملكية الفكرية التي تقتضي اتباع مقاربة دولية لما للإنترنت من طابع عالمي. وقد دأبت الويبو على مواجهة هذه التحديات منذ عام 1998 عبر وضع حلول محددة، لا سيما في مشروعيها الأول</w:t>
      </w:r>
      <w:r w:rsidRPr="00387E94">
        <w:rPr>
          <w:sz w:val="28"/>
          <w:szCs w:val="28"/>
          <w:vertAlign w:val="superscript"/>
          <w:rtl/>
        </w:rPr>
        <w:footnoteReference w:id="22"/>
      </w:r>
      <w:r w:rsidRPr="00387E94">
        <w:rPr>
          <w:rtl/>
        </w:rPr>
        <w:t xml:space="preserve"> والثاني</w:t>
      </w:r>
      <w:r w:rsidRPr="00387E94">
        <w:rPr>
          <w:sz w:val="28"/>
          <w:szCs w:val="28"/>
          <w:vertAlign w:val="superscript"/>
          <w:rtl/>
        </w:rPr>
        <w:footnoteReference w:id="23"/>
      </w:r>
      <w:r w:rsidRPr="00387E94">
        <w:rPr>
          <w:rtl/>
        </w:rPr>
        <w:t xml:space="preserve"> بشأن أسماء </w:t>
      </w:r>
      <w:r w:rsidRPr="00387E94">
        <w:rPr>
          <w:rtl/>
        </w:rPr>
        <w:lastRenderedPageBreak/>
        <w:t>الحقول على الإنترنت. ومن خلال المركز، ت</w:t>
      </w:r>
      <w:r w:rsidRPr="00387E94">
        <w:rPr>
          <w:rFonts w:hint="cs"/>
          <w:rtl/>
        </w:rPr>
        <w:t>ُ</w:t>
      </w:r>
      <w:r w:rsidRPr="00387E94">
        <w:rPr>
          <w:rtl/>
        </w:rPr>
        <w:t>قد</w:t>
      </w:r>
      <w:r w:rsidRPr="00387E94">
        <w:rPr>
          <w:rFonts w:hint="cs"/>
          <w:rtl/>
        </w:rPr>
        <w:t>ِّ</w:t>
      </w:r>
      <w:r w:rsidRPr="00387E94">
        <w:rPr>
          <w:rtl/>
        </w:rPr>
        <w:t>م الويبو لأصحاب العلامات التجارية آليات دولية فعالة للانتصاف مِمَّنْ يعمد إلى تسجيل أسماء حقول تتطابق وحقوقهم في العلامات التجارية والانتفاع بهذه الأسماء عن سوء نية. والآلية الرئيسية التي يُشرف عليها المركز،</w:t>
      </w:r>
      <w:r w:rsidRPr="00387E94">
        <w:rPr>
          <w:rFonts w:hint="cs"/>
          <w:rtl/>
        </w:rPr>
        <w:t xml:space="preserve"> </w:t>
      </w:r>
      <w:r w:rsidRPr="00387E94">
        <w:rPr>
          <w:rtl/>
        </w:rPr>
        <w:t>هي السياسة الموحدة لتسوية المنازعات، اعتمدتها الإيكان بناء على توصيات الويبو في إطار مشروعها الأول بشأن أسماء الحقول على الإنترنت.</w:t>
      </w:r>
    </w:p>
    <w:p w:rsidR="00387E94" w:rsidRPr="00387E94" w:rsidRDefault="00387E94" w:rsidP="00387E94">
      <w:pPr>
        <w:pStyle w:val="ONUMA"/>
      </w:pPr>
      <w:r w:rsidRPr="00387E94">
        <w:rPr>
          <w:rFonts w:hint="cs"/>
          <w:rtl/>
        </w:rPr>
        <w:t>وي</w:t>
      </w:r>
      <w:r w:rsidRPr="00387E94">
        <w:rPr>
          <w:rtl/>
        </w:rPr>
        <w:t>قتصر</w:t>
      </w:r>
      <w:r w:rsidRPr="00387E94">
        <w:rPr>
          <w:rFonts w:hint="cs"/>
          <w:rtl/>
        </w:rPr>
        <w:t xml:space="preserve"> نطاق</w:t>
      </w:r>
      <w:r w:rsidRPr="00387E94">
        <w:rPr>
          <w:rtl/>
        </w:rPr>
        <w:t xml:space="preserve"> السياسة الموحدة لتسوية المنازعات على القضايا التي يكون فيها سوء النية واضحا</w:t>
      </w:r>
      <w:r w:rsidRPr="00387E94">
        <w:rPr>
          <w:rFonts w:hint="cs"/>
          <w:rtl/>
        </w:rPr>
        <w:t>ً</w:t>
      </w:r>
      <w:r w:rsidRPr="00387E94">
        <w:rPr>
          <w:rtl/>
        </w:rPr>
        <w:t>،</w:t>
      </w:r>
      <w:r w:rsidRPr="00387E94">
        <w:rPr>
          <w:rFonts w:hint="cs"/>
          <w:rtl/>
        </w:rPr>
        <w:t xml:space="preserve"> وقد ثبت ارتفاع</w:t>
      </w:r>
      <w:r w:rsidRPr="00387E94">
        <w:rPr>
          <w:rtl/>
        </w:rPr>
        <w:t xml:space="preserve"> الطلب على </w:t>
      </w:r>
      <w:r w:rsidRPr="00387E94">
        <w:rPr>
          <w:rFonts w:hint="cs"/>
          <w:rtl/>
        </w:rPr>
        <w:t xml:space="preserve">هذه </w:t>
      </w:r>
      <w:r w:rsidRPr="00387E94">
        <w:rPr>
          <w:rtl/>
        </w:rPr>
        <w:t xml:space="preserve">السياسة الموحدة من قبل </w:t>
      </w:r>
      <w:r w:rsidRPr="00387E94">
        <w:rPr>
          <w:rFonts w:hint="cs"/>
          <w:rtl/>
        </w:rPr>
        <w:t>أصحاب</w:t>
      </w:r>
      <w:r w:rsidRPr="00387E94">
        <w:rPr>
          <w:rtl/>
        </w:rPr>
        <w:t xml:space="preserve"> العلامات التجارية.</w:t>
      </w:r>
      <w:r w:rsidRPr="00387E94">
        <w:rPr>
          <w:sz w:val="28"/>
          <w:szCs w:val="28"/>
          <w:vertAlign w:val="superscript"/>
          <w:rtl/>
        </w:rPr>
        <w:footnoteReference w:id="24"/>
      </w:r>
      <w:r w:rsidRPr="00387E94">
        <w:rPr>
          <w:rtl/>
        </w:rPr>
        <w:t xml:space="preserve"> ومنذ ديسمبر 1999، أشرف المركز على </w:t>
      </w:r>
      <w:r w:rsidRPr="00387E94">
        <w:rPr>
          <w:rFonts w:hint="cs"/>
          <w:rtl/>
        </w:rPr>
        <w:t>أكثر من</w:t>
      </w:r>
      <w:r w:rsidRPr="00387E94">
        <w:rPr>
          <w:rtl/>
        </w:rPr>
        <w:t xml:space="preserve"> </w:t>
      </w:r>
      <w:r w:rsidRPr="00387E94">
        <w:t>48,000</w:t>
      </w:r>
      <w:r w:rsidRPr="00387E94">
        <w:rPr>
          <w:rFonts w:hint="cs"/>
          <w:rtl/>
        </w:rPr>
        <w:t xml:space="preserve"> </w:t>
      </w:r>
      <w:r w:rsidRPr="00387E94">
        <w:rPr>
          <w:rtl/>
        </w:rPr>
        <w:t>قضية قائمة على السياسة الموحدة لتسوية المنازعات.</w:t>
      </w:r>
      <w:r w:rsidRPr="00387E94">
        <w:rPr>
          <w:sz w:val="28"/>
          <w:szCs w:val="28"/>
          <w:vertAlign w:val="superscript"/>
          <w:rtl/>
        </w:rPr>
        <w:footnoteReference w:id="25"/>
      </w:r>
      <w:r w:rsidRPr="00387E94">
        <w:rPr>
          <w:rtl/>
        </w:rPr>
        <w:t xml:space="preserve"> وفي عام </w:t>
      </w:r>
      <w:r w:rsidRPr="00387E94">
        <w:t>2019</w:t>
      </w:r>
      <w:r w:rsidRPr="00387E94">
        <w:rPr>
          <w:rtl/>
        </w:rPr>
        <w:t xml:space="preserve">، قدَّم أصحاب </w:t>
      </w:r>
      <w:r w:rsidRPr="00387E94">
        <w:rPr>
          <w:rFonts w:hint="cs"/>
          <w:rtl/>
        </w:rPr>
        <w:t>العلامات التجارية</w:t>
      </w:r>
      <w:r w:rsidRPr="00387E94">
        <w:rPr>
          <w:rtl/>
        </w:rPr>
        <w:t xml:space="preserve"> إلى المركز </w:t>
      </w:r>
      <w:r w:rsidRPr="00387E94">
        <w:t>3,693</w:t>
      </w:r>
      <w:r w:rsidRPr="00387E94">
        <w:rPr>
          <w:rFonts w:hint="cs"/>
          <w:rtl/>
        </w:rPr>
        <w:t xml:space="preserve"> </w:t>
      </w:r>
      <w:r w:rsidRPr="00387E94">
        <w:rPr>
          <w:rtl/>
        </w:rPr>
        <w:t>شكوى قائمة على السياسة الموحدة لتسوية المنازعات،</w:t>
      </w:r>
      <w:r w:rsidRPr="00387E94">
        <w:rPr>
          <w:rFonts w:hint="cs"/>
          <w:rtl/>
        </w:rPr>
        <w:t xml:space="preserve"> </w:t>
      </w:r>
      <w:r w:rsidRPr="00387E94">
        <w:rPr>
          <w:rtl/>
        </w:rPr>
        <w:t xml:space="preserve">نظراً لأن الشركات تقاوم انتشار المواقع الإلكترونية المستخدمة لمبيعات السلع المقلّدة وأعمال الغش والانتحال وغيرها من </w:t>
      </w:r>
      <w:r w:rsidRPr="00387E94">
        <w:rPr>
          <w:rtl/>
        </w:rPr>
        <w:lastRenderedPageBreak/>
        <w:t>أشكال انتهاك العلامات التجارية. و</w:t>
      </w:r>
      <w:r w:rsidRPr="00387E94">
        <w:rPr>
          <w:rFonts w:hint="cs"/>
          <w:rtl/>
        </w:rPr>
        <w:t xml:space="preserve">في </w:t>
      </w:r>
      <w:r w:rsidRPr="00387E94">
        <w:rPr>
          <w:rtl/>
        </w:rPr>
        <w:t xml:space="preserve">يونيو </w:t>
      </w:r>
      <w:r w:rsidRPr="00387E94">
        <w:rPr>
          <w:rFonts w:hint="cs"/>
          <w:rtl/>
        </w:rPr>
        <w:t>2019</w:t>
      </w:r>
      <w:r w:rsidRPr="00387E94">
        <w:rPr>
          <w:rtl/>
        </w:rPr>
        <w:t xml:space="preserve">، </w:t>
      </w:r>
      <w:r w:rsidRPr="00387E94">
        <w:rPr>
          <w:rFonts w:hint="cs"/>
          <w:rtl/>
        </w:rPr>
        <w:t>تجاوز</w:t>
      </w:r>
      <w:r w:rsidRPr="00387E94">
        <w:rPr>
          <w:rtl/>
        </w:rPr>
        <w:t xml:space="preserve"> إجمالي عدد أسماء الحقول المتنازع عليها في قضايا الويبو </w:t>
      </w:r>
      <w:r w:rsidRPr="00387E94">
        <w:rPr>
          <w:rFonts w:hint="cs"/>
          <w:rtl/>
        </w:rPr>
        <w:t xml:space="preserve">القائمة على </w:t>
      </w:r>
      <w:r w:rsidRPr="00387E94">
        <w:rPr>
          <w:rtl/>
        </w:rPr>
        <w:t>السياسة الموحدة</w:t>
      </w:r>
      <w:r w:rsidRPr="00387E94">
        <w:rPr>
          <w:rFonts w:hint="cs"/>
          <w:rtl/>
        </w:rPr>
        <w:t xml:space="preserve"> </w:t>
      </w:r>
      <w:r w:rsidRPr="00387E94">
        <w:t>88,000</w:t>
      </w:r>
      <w:r w:rsidRPr="00387E94">
        <w:rPr>
          <w:rFonts w:hint="cs"/>
          <w:rtl/>
        </w:rPr>
        <w:t xml:space="preserve"> </w:t>
      </w:r>
      <w:r w:rsidRPr="00387E94">
        <w:rPr>
          <w:rtl/>
        </w:rPr>
        <w:t>اسم.</w:t>
      </w:r>
    </w:p>
    <w:p w:rsidR="00387E94" w:rsidRPr="00387E94" w:rsidRDefault="00387E94" w:rsidP="00387E94">
      <w:pPr>
        <w:pStyle w:val="ONUMA"/>
      </w:pPr>
      <w:r w:rsidRPr="00387E94">
        <w:rPr>
          <w:rFonts w:hint="cs"/>
          <w:rtl/>
        </w:rPr>
        <w:t>وخلّدت</w:t>
      </w:r>
      <w:r w:rsidRPr="00387E94">
        <w:rPr>
          <w:rtl/>
        </w:rPr>
        <w:t xml:space="preserve"> الويبو الذكرى العشرين </w:t>
      </w:r>
      <w:r w:rsidRPr="00387E94">
        <w:rPr>
          <w:rFonts w:hint="cs"/>
          <w:rtl/>
        </w:rPr>
        <w:t>لتأسيس آلية</w:t>
      </w:r>
      <w:r w:rsidRPr="00387E94">
        <w:rPr>
          <w:rtl/>
        </w:rPr>
        <w:t xml:space="preserve"> السياسة الموحدة لتسوية المنازعات بعقد مؤتمر في جنيف في أكتوبر</w:t>
      </w:r>
      <w:r w:rsidRPr="00387E94">
        <w:rPr>
          <w:sz w:val="28"/>
          <w:szCs w:val="28"/>
          <w:vertAlign w:val="superscript"/>
          <w:rtl/>
        </w:rPr>
        <w:footnoteReference w:id="26"/>
      </w:r>
      <w:r w:rsidRPr="00387E94">
        <w:rPr>
          <w:rtl/>
        </w:rPr>
        <w:t xml:space="preserve">. </w:t>
      </w:r>
      <w:r w:rsidRPr="00387E94">
        <w:rPr>
          <w:rFonts w:hint="cs"/>
          <w:rtl/>
        </w:rPr>
        <w:t>و</w:t>
      </w:r>
      <w:r w:rsidRPr="00387E94">
        <w:rPr>
          <w:rtl/>
        </w:rPr>
        <w:t>حضر هذ</w:t>
      </w:r>
      <w:r w:rsidRPr="00387E94">
        <w:rPr>
          <w:rFonts w:hint="cs"/>
          <w:rtl/>
        </w:rPr>
        <w:t xml:space="preserve">ه الفعالية </w:t>
      </w:r>
      <w:r w:rsidRPr="00387E94">
        <w:rPr>
          <w:rtl/>
        </w:rPr>
        <w:t xml:space="preserve">أكثر من 140 </w:t>
      </w:r>
      <w:r w:rsidRPr="00387E94">
        <w:rPr>
          <w:rFonts w:hint="cs"/>
          <w:rtl/>
        </w:rPr>
        <w:t xml:space="preserve">محكّما </w:t>
      </w:r>
      <w:r w:rsidRPr="00387E94">
        <w:rPr>
          <w:rtl/>
        </w:rPr>
        <w:t xml:space="preserve">من </w:t>
      </w:r>
      <w:r w:rsidRPr="00387E94">
        <w:rPr>
          <w:rFonts w:hint="cs"/>
          <w:rtl/>
        </w:rPr>
        <w:t>محكمّي</w:t>
      </w:r>
      <w:r w:rsidRPr="00387E94">
        <w:rPr>
          <w:rtl/>
        </w:rPr>
        <w:t xml:space="preserve"> الويبو بالإضافة إلى حوالي 100 من أصحاب العلامات التجارية وممارسي العلامات التجارية والمستشارين وغيرهم من </w:t>
      </w:r>
      <w:r w:rsidRPr="00387E94">
        <w:rPr>
          <w:rFonts w:hint="cs"/>
          <w:rtl/>
        </w:rPr>
        <w:t>الجهات المعنية</w:t>
      </w:r>
      <w:r w:rsidRPr="00387E94">
        <w:rPr>
          <w:rtl/>
        </w:rPr>
        <w:t xml:space="preserve"> </w:t>
      </w:r>
      <w:r w:rsidRPr="00387E94">
        <w:rPr>
          <w:rFonts w:hint="cs"/>
          <w:rtl/>
        </w:rPr>
        <w:t>ب</w:t>
      </w:r>
      <w:r w:rsidRPr="00387E94">
        <w:rPr>
          <w:rtl/>
        </w:rPr>
        <w:t xml:space="preserve">الإنترنت، الذين قاموا </w:t>
      </w:r>
      <w:r w:rsidRPr="00387E94">
        <w:rPr>
          <w:rFonts w:hint="cs"/>
          <w:rtl/>
        </w:rPr>
        <w:t>باستحضار دروس الماضي</w:t>
      </w:r>
      <w:r w:rsidRPr="00387E94">
        <w:rPr>
          <w:rtl/>
        </w:rPr>
        <w:t xml:space="preserve"> </w:t>
      </w:r>
      <w:r w:rsidRPr="00387E94">
        <w:rPr>
          <w:rFonts w:hint="cs"/>
          <w:rtl/>
        </w:rPr>
        <w:t>واستشراف آفاق المستقبل</w:t>
      </w:r>
      <w:r w:rsidRPr="00387E94">
        <w:rPr>
          <w:rtl/>
        </w:rPr>
        <w:t xml:space="preserve"> </w:t>
      </w:r>
      <w:r w:rsidRPr="00387E94">
        <w:rPr>
          <w:rFonts w:hint="cs"/>
          <w:rtl/>
        </w:rPr>
        <w:t xml:space="preserve">فيما يتعلق بالسوابق القضائية في </w:t>
      </w:r>
      <w:r w:rsidRPr="00387E94">
        <w:rPr>
          <w:rtl/>
        </w:rPr>
        <w:t xml:space="preserve">السياسة الموحدة لتسوية المنازعات وتصميم نظام </w:t>
      </w:r>
      <w:r w:rsidRPr="00387E94">
        <w:rPr>
          <w:rFonts w:hint="cs"/>
          <w:rtl/>
        </w:rPr>
        <w:t>التسوية البديلة للمنازعات</w:t>
      </w:r>
      <w:r w:rsidRPr="00387E94">
        <w:rPr>
          <w:rtl/>
        </w:rPr>
        <w:t xml:space="preserve"> وتطورات الإنترنت ذات الصلة. </w:t>
      </w:r>
      <w:r w:rsidRPr="00387E94">
        <w:rPr>
          <w:rFonts w:hint="cs"/>
          <w:rtl/>
        </w:rPr>
        <w:t>و</w:t>
      </w:r>
      <w:r w:rsidRPr="00387E94">
        <w:rPr>
          <w:rtl/>
        </w:rPr>
        <w:t xml:space="preserve">في افتتاح المؤتمر، أشاد المدير العام </w:t>
      </w:r>
      <w:r w:rsidRPr="00387E94">
        <w:rPr>
          <w:rFonts w:hint="cs"/>
          <w:rtl/>
        </w:rPr>
        <w:t>بالمحكمّين</w:t>
      </w:r>
      <w:r w:rsidRPr="00387E94">
        <w:rPr>
          <w:rtl/>
        </w:rPr>
        <w:t xml:space="preserve"> على خدمتهم لقضية مكافحة إساءة استخدام العلامات التجارية عبر الإنترنت. وأشار المدير العام كذلك إلى النجاح الاستثنائي الذي حقق</w:t>
      </w:r>
      <w:r w:rsidRPr="00387E94">
        <w:rPr>
          <w:rFonts w:hint="cs"/>
          <w:rtl/>
        </w:rPr>
        <w:t>ت</w:t>
      </w:r>
      <w:r w:rsidRPr="00387E94">
        <w:rPr>
          <w:rtl/>
        </w:rPr>
        <w:t xml:space="preserve">ه السياسة الموحدة لتسوية المنازعات كحل دولي دائم عالج مشكلة عالمية بشكل فعال وساعد </w:t>
      </w:r>
      <w:r w:rsidRPr="00387E94">
        <w:rPr>
          <w:rFonts w:hint="cs"/>
          <w:rtl/>
        </w:rPr>
        <w:t>على</w:t>
      </w:r>
      <w:r w:rsidRPr="00387E94">
        <w:rPr>
          <w:rtl/>
        </w:rPr>
        <w:t xml:space="preserve"> بناء</w:t>
      </w:r>
      <w:r w:rsidRPr="00387E94">
        <w:rPr>
          <w:rFonts w:hint="cs"/>
          <w:rtl/>
        </w:rPr>
        <w:t xml:space="preserve"> </w:t>
      </w:r>
      <w:r w:rsidRPr="00387E94">
        <w:rPr>
          <w:rtl/>
        </w:rPr>
        <w:t xml:space="preserve">ثقة </w:t>
      </w:r>
      <w:r w:rsidRPr="00387E94">
        <w:rPr>
          <w:rFonts w:hint="cs"/>
          <w:rtl/>
        </w:rPr>
        <w:t>ا</w:t>
      </w:r>
      <w:r w:rsidRPr="00387E94">
        <w:rPr>
          <w:rtl/>
        </w:rPr>
        <w:t>لمعاملات التجارية في الإنترنت.</w:t>
      </w:r>
    </w:p>
    <w:p w:rsidR="00387E94" w:rsidRPr="00387E94" w:rsidRDefault="00387E94" w:rsidP="00387E94">
      <w:pPr>
        <w:pStyle w:val="ONUMA"/>
      </w:pPr>
      <w:r w:rsidRPr="00387E94">
        <w:rPr>
          <w:rFonts w:hint="cs"/>
          <w:rtl/>
        </w:rPr>
        <w:t>و</w:t>
      </w:r>
      <w:r w:rsidRPr="00387E94">
        <w:rPr>
          <w:rtl/>
        </w:rPr>
        <w:t xml:space="preserve">استعانت جهات شتّى من شركات ومؤسسات وأفراد بإجراءات </w:t>
      </w:r>
      <w:r w:rsidRPr="00387E94">
        <w:rPr>
          <w:rFonts w:hint="cs"/>
          <w:rtl/>
        </w:rPr>
        <w:t>ال</w:t>
      </w:r>
      <w:r w:rsidRPr="00387E94">
        <w:rPr>
          <w:rtl/>
        </w:rPr>
        <w:t>مركز لتسوية المنازعات</w:t>
      </w:r>
      <w:r w:rsidRPr="00387E94">
        <w:rPr>
          <w:rFonts w:hint="cs"/>
          <w:rtl/>
        </w:rPr>
        <w:t xml:space="preserve"> بشأن أسماء الحقول</w:t>
      </w:r>
      <w:r w:rsidRPr="00387E94">
        <w:rPr>
          <w:rtl/>
        </w:rPr>
        <w:t xml:space="preserve"> في عام </w:t>
      </w:r>
      <w:r w:rsidRPr="00387E94">
        <w:rPr>
          <w:rFonts w:hint="cs"/>
          <w:rtl/>
        </w:rPr>
        <w:t>2019</w:t>
      </w:r>
      <w:r w:rsidRPr="00387E94">
        <w:rPr>
          <w:rtl/>
        </w:rPr>
        <w:t xml:space="preserve">. وكانت القطاعات الرئيسية التي تعمل فيها الجهات المتظلمة هي التكنولوجيا الحيوية والمواد </w:t>
      </w:r>
      <w:r w:rsidRPr="00387E94">
        <w:rPr>
          <w:rtl/>
        </w:rPr>
        <w:lastRenderedPageBreak/>
        <w:t>الصيدلانية، والإنترنت وتكنولوجيا المعلومات،</w:t>
      </w:r>
      <w:r w:rsidRPr="00387E94">
        <w:rPr>
          <w:rFonts w:hint="cs"/>
          <w:rtl/>
        </w:rPr>
        <w:t xml:space="preserve"> و</w:t>
      </w:r>
      <w:r w:rsidRPr="00387E94">
        <w:rPr>
          <w:rtl/>
        </w:rPr>
        <w:t>الأعمال المصرفية والمالية</w:t>
      </w:r>
      <w:r w:rsidRPr="00387E94">
        <w:rPr>
          <w:rFonts w:hint="cs"/>
          <w:rtl/>
        </w:rPr>
        <w:t xml:space="preserve">، والأزياء، </w:t>
      </w:r>
      <w:r w:rsidRPr="00387E94">
        <w:rPr>
          <w:rtl/>
        </w:rPr>
        <w:t>والبيع بالتجزئة</w:t>
      </w:r>
      <w:r w:rsidRPr="00387E94">
        <w:rPr>
          <w:rFonts w:hint="cs"/>
          <w:rtl/>
        </w:rPr>
        <w:t>.</w:t>
      </w:r>
    </w:p>
    <w:p w:rsidR="00387E94" w:rsidRPr="00387E94" w:rsidRDefault="00387E94" w:rsidP="00387E94">
      <w:pPr>
        <w:pStyle w:val="ONUMA"/>
      </w:pPr>
      <w:r w:rsidRPr="00387E94">
        <w:rPr>
          <w:rtl/>
        </w:rPr>
        <w:t>و</w:t>
      </w:r>
      <w:r w:rsidRPr="00387E94">
        <w:rPr>
          <w:rFonts w:hint="cs"/>
          <w:rtl/>
        </w:rPr>
        <w:t xml:space="preserve">مما </w:t>
      </w:r>
      <w:r w:rsidRPr="00387E94">
        <w:rPr>
          <w:rtl/>
        </w:rPr>
        <w:t xml:space="preserve">يدل على النطاق العالمي </w:t>
      </w:r>
      <w:r w:rsidRPr="00387E94">
        <w:rPr>
          <w:rFonts w:hint="cs"/>
          <w:rtl/>
        </w:rPr>
        <w:t>ل</w:t>
      </w:r>
      <w:r w:rsidRPr="00387E94">
        <w:rPr>
          <w:rtl/>
        </w:rPr>
        <w:t xml:space="preserve">آلية تسوية المنازعات </w:t>
      </w:r>
      <w:r w:rsidRPr="00387E94">
        <w:rPr>
          <w:rFonts w:hint="cs"/>
          <w:rtl/>
        </w:rPr>
        <w:t>أن</w:t>
      </w:r>
      <w:r w:rsidRPr="00387E94">
        <w:rPr>
          <w:rtl/>
        </w:rPr>
        <w:t xml:space="preserve"> الأطراف في قضايا الويبو</w:t>
      </w:r>
      <w:r w:rsidRPr="00387E94">
        <w:rPr>
          <w:rFonts w:hint="cs"/>
          <w:rtl/>
        </w:rPr>
        <w:t xml:space="preserve"> في </w:t>
      </w:r>
      <w:r w:rsidRPr="00387E94">
        <w:rPr>
          <w:rtl/>
        </w:rPr>
        <w:t xml:space="preserve">عام </w:t>
      </w:r>
      <w:r w:rsidRPr="00387E94">
        <w:rPr>
          <w:rFonts w:hint="cs"/>
          <w:rtl/>
        </w:rPr>
        <w:t>2019</w:t>
      </w:r>
      <w:r w:rsidRPr="00387E94">
        <w:rPr>
          <w:rtl/>
        </w:rPr>
        <w:t xml:space="preserve"> كانوا يمثلون </w:t>
      </w:r>
      <w:r w:rsidRPr="00387E94">
        <w:rPr>
          <w:rFonts w:hint="cs"/>
          <w:rtl/>
        </w:rPr>
        <w:t>122</w:t>
      </w:r>
      <w:r w:rsidRPr="00387E94">
        <w:rPr>
          <w:rtl/>
        </w:rPr>
        <w:t xml:space="preserve"> بلدا</w:t>
      </w:r>
      <w:r w:rsidRPr="00387E94">
        <w:rPr>
          <w:rFonts w:hint="cs"/>
          <w:rtl/>
        </w:rPr>
        <w:t>، من مجموع 180 بلداً منذ استهلال السياسة الموحدة لتسوية المنازعات</w:t>
      </w:r>
      <w:r w:rsidRPr="00387E94">
        <w:rPr>
          <w:rtl/>
        </w:rPr>
        <w:t xml:space="preserve">. </w:t>
      </w:r>
      <w:r w:rsidRPr="00387E94">
        <w:rPr>
          <w:rFonts w:hint="cs"/>
          <w:rtl/>
        </w:rPr>
        <w:t xml:space="preserve">أما </w:t>
      </w:r>
      <w:r w:rsidRPr="00387E94">
        <w:rPr>
          <w:rtl/>
        </w:rPr>
        <w:t xml:space="preserve">من حيث لغة اتفاق تسجيل اسم الحقل المعني، فقد بلغ عدد اللغات المستخدمة في إجراءات </w:t>
      </w:r>
      <w:r w:rsidRPr="00387E94">
        <w:rPr>
          <w:rFonts w:hint="cs"/>
          <w:rtl/>
        </w:rPr>
        <w:t xml:space="preserve">سياسة </w:t>
      </w:r>
      <w:r w:rsidRPr="00387E94">
        <w:rPr>
          <w:rtl/>
        </w:rPr>
        <w:t>الويبو</w:t>
      </w:r>
      <w:r w:rsidRPr="00387E94">
        <w:rPr>
          <w:rFonts w:hint="cs"/>
          <w:rtl/>
        </w:rPr>
        <w:t xml:space="preserve"> الموحدة لتسوية المنازعات </w:t>
      </w:r>
      <w:r w:rsidRPr="00387E94">
        <w:rPr>
          <w:rtl/>
        </w:rPr>
        <w:t>21 لغة</w:t>
      </w:r>
      <w:r w:rsidRPr="00387E94">
        <w:rPr>
          <w:rFonts w:hint="cs"/>
          <w:rtl/>
        </w:rPr>
        <w:t xml:space="preserve"> حتى </w:t>
      </w:r>
      <w:r w:rsidRPr="00387E94">
        <w:rPr>
          <w:rtl/>
        </w:rPr>
        <w:t>الآن.</w:t>
      </w:r>
      <w:r w:rsidRPr="00387E94">
        <w:rPr>
          <w:sz w:val="28"/>
          <w:szCs w:val="28"/>
          <w:vertAlign w:val="superscript"/>
          <w:rtl/>
        </w:rPr>
        <w:footnoteReference w:id="27"/>
      </w:r>
    </w:p>
    <w:p w:rsidR="00387E94" w:rsidRPr="00387E94" w:rsidRDefault="00387E94" w:rsidP="00387E94">
      <w:pPr>
        <w:pStyle w:val="ONUMA"/>
      </w:pPr>
      <w:r w:rsidRPr="00387E94">
        <w:rPr>
          <w:rtl/>
        </w:rPr>
        <w:t xml:space="preserve">وتُنشر جميع قرارات هيئة محكمي الويبو في السياسة الموحدة على </w:t>
      </w:r>
      <w:r w:rsidRPr="00387E94">
        <w:rPr>
          <w:rFonts w:hint="cs"/>
          <w:rtl/>
        </w:rPr>
        <w:t>ال</w:t>
      </w:r>
      <w:r w:rsidRPr="00387E94">
        <w:rPr>
          <w:rtl/>
        </w:rPr>
        <w:t>موقع</w:t>
      </w:r>
      <w:r w:rsidRPr="00387E94">
        <w:rPr>
          <w:rFonts w:hint="cs"/>
          <w:rtl/>
        </w:rPr>
        <w:t xml:space="preserve"> الإلكتروني</w:t>
      </w:r>
      <w:r w:rsidRPr="00387E94">
        <w:rPr>
          <w:rtl/>
        </w:rPr>
        <w:t xml:space="preserve"> </w:t>
      </w:r>
      <w:r w:rsidRPr="00387E94">
        <w:rPr>
          <w:rFonts w:hint="cs"/>
          <w:rtl/>
        </w:rPr>
        <w:t>لل</w:t>
      </w:r>
      <w:r w:rsidRPr="00387E94">
        <w:rPr>
          <w:rtl/>
        </w:rPr>
        <w:t xml:space="preserve">مركز. </w:t>
      </w:r>
      <w:r w:rsidRPr="00387E94">
        <w:rPr>
          <w:rFonts w:hint="cs"/>
          <w:rtl/>
        </w:rPr>
        <w:t>ويبقى</w:t>
      </w:r>
      <w:r w:rsidRPr="00387E94">
        <w:rPr>
          <w:rtl/>
        </w:rPr>
        <w:t xml:space="preserve"> استعراض</w:t>
      </w:r>
      <w:r w:rsidRPr="00387E94">
        <w:rPr>
          <w:rFonts w:hint="cs"/>
          <w:rtl/>
        </w:rPr>
        <w:t xml:space="preserve"> الويبو عبر الإنترنت</w:t>
      </w:r>
      <w:r w:rsidRPr="00387E94">
        <w:rPr>
          <w:rtl/>
        </w:rPr>
        <w:t xml:space="preserve"> </w:t>
      </w:r>
      <w:r w:rsidRPr="00387E94">
        <w:rPr>
          <w:rFonts w:hint="cs"/>
          <w:rtl/>
        </w:rPr>
        <w:t>ل</w:t>
      </w:r>
      <w:r w:rsidRPr="00387E94">
        <w:rPr>
          <w:rtl/>
        </w:rPr>
        <w:t>آراء هيئة محكمي الويبو في مسائل مختارة في سياق السياسة الموحدة (استعراض الويبو 3.0)،</w:t>
      </w:r>
      <w:r w:rsidRPr="00387E94">
        <w:rPr>
          <w:rFonts w:hint="cs"/>
          <w:rtl/>
        </w:rPr>
        <w:t xml:space="preserve"> هو</w:t>
      </w:r>
      <w:r w:rsidRPr="00387E94">
        <w:rPr>
          <w:rtl/>
        </w:rPr>
        <w:t xml:space="preserve"> </w:t>
      </w:r>
      <w:r w:rsidRPr="00387E94">
        <w:rPr>
          <w:rFonts w:hint="cs"/>
          <w:rtl/>
        </w:rPr>
        <w:t>الاستعراض ال</w:t>
      </w:r>
      <w:r w:rsidRPr="00387E94">
        <w:rPr>
          <w:rtl/>
        </w:rPr>
        <w:t>متاح على الإنترنت و</w:t>
      </w:r>
      <w:r w:rsidRPr="00387E94">
        <w:rPr>
          <w:rFonts w:hint="cs"/>
          <w:rtl/>
        </w:rPr>
        <w:t>ال</w:t>
      </w:r>
      <w:r w:rsidRPr="00387E94">
        <w:rPr>
          <w:rtl/>
        </w:rPr>
        <w:t>مستخدم عالميا</w:t>
      </w:r>
      <w:r w:rsidRPr="00387E94">
        <w:rPr>
          <w:rFonts w:hint="cs"/>
          <w:rtl/>
        </w:rPr>
        <w:t>ً</w:t>
      </w:r>
      <w:r w:rsidRPr="00387E94">
        <w:rPr>
          <w:rtl/>
        </w:rPr>
        <w:t xml:space="preserve"> للتوجهات العامة في القرارات بشأن قضايا مهمة </w:t>
      </w:r>
      <w:r w:rsidRPr="00387E94">
        <w:rPr>
          <w:rFonts w:hint="cs"/>
          <w:rtl/>
        </w:rPr>
        <w:t>تغطي</w:t>
      </w:r>
      <w:r w:rsidRPr="00387E94">
        <w:rPr>
          <w:rtl/>
        </w:rPr>
        <w:t xml:space="preserve"> أكثر من 100 موضوع</w:t>
      </w:r>
      <w:r w:rsidRPr="00387E94">
        <w:rPr>
          <w:rFonts w:hint="cs"/>
          <w:rtl/>
        </w:rPr>
        <w:t>، بما في ذلك</w:t>
      </w:r>
      <w:r w:rsidRPr="00387E94">
        <w:rPr>
          <w:rtl/>
        </w:rPr>
        <w:t xml:space="preserve"> إشار</w:t>
      </w:r>
      <w:r w:rsidRPr="00387E94">
        <w:rPr>
          <w:rFonts w:hint="cs"/>
          <w:rtl/>
        </w:rPr>
        <w:t>ة</w:t>
      </w:r>
      <w:r w:rsidRPr="00387E94">
        <w:rPr>
          <w:rtl/>
        </w:rPr>
        <w:t xml:space="preserve"> إلى ما يقرب </w:t>
      </w:r>
      <w:r w:rsidRPr="00387E94">
        <w:rPr>
          <w:rFonts w:hint="cs"/>
          <w:rtl/>
        </w:rPr>
        <w:t>من 1000</w:t>
      </w:r>
      <w:r w:rsidRPr="00387E94">
        <w:rPr>
          <w:rtl/>
        </w:rPr>
        <w:t xml:space="preserve"> قرار تمثيلي صادر عن</w:t>
      </w:r>
      <w:r w:rsidRPr="00387E94">
        <w:rPr>
          <w:rFonts w:hint="cs"/>
          <w:rtl/>
        </w:rPr>
        <w:t xml:space="preserve"> أكثر من</w:t>
      </w:r>
      <w:r w:rsidRPr="00387E94">
        <w:rPr>
          <w:rtl/>
        </w:rPr>
        <w:t xml:space="preserve"> 265 محكّما تابعا</w:t>
      </w:r>
      <w:r w:rsidRPr="00387E94">
        <w:rPr>
          <w:rFonts w:hint="cs"/>
          <w:rtl/>
        </w:rPr>
        <w:t>ً</w:t>
      </w:r>
      <w:r w:rsidRPr="00387E94">
        <w:rPr>
          <w:rtl/>
        </w:rPr>
        <w:t xml:space="preserve"> للويبو.</w:t>
      </w:r>
      <w:r w:rsidRPr="00387E94">
        <w:rPr>
          <w:sz w:val="28"/>
          <w:szCs w:val="28"/>
          <w:vertAlign w:val="superscript"/>
          <w:rtl/>
        </w:rPr>
        <w:footnoteReference w:id="28"/>
      </w:r>
      <w:r w:rsidRPr="00387E94">
        <w:rPr>
          <w:rFonts w:hint="cs"/>
          <w:rtl/>
        </w:rPr>
        <w:t xml:space="preserve"> </w:t>
      </w:r>
      <w:r w:rsidRPr="00387E94">
        <w:rPr>
          <w:rtl/>
        </w:rPr>
        <w:t xml:space="preserve">ولتيسير الاطلاع على </w:t>
      </w:r>
      <w:r w:rsidRPr="00387E94">
        <w:rPr>
          <w:rFonts w:hint="cs"/>
          <w:rtl/>
        </w:rPr>
        <w:t xml:space="preserve">كل </w:t>
      </w:r>
      <w:r w:rsidRPr="00387E94">
        <w:rPr>
          <w:rtl/>
        </w:rPr>
        <w:t xml:space="preserve">القرارات وفق موضوعها، </w:t>
      </w:r>
      <w:r w:rsidRPr="00387E94">
        <w:rPr>
          <w:rtl/>
        </w:rPr>
        <w:lastRenderedPageBreak/>
        <w:t>يقدم المركز أيضا فهرسا قانونيا للبحث الإلكتروني عن قرارات الويبو في إطار السياسة الموحدة.</w:t>
      </w:r>
      <w:r w:rsidRPr="00387E94">
        <w:rPr>
          <w:sz w:val="28"/>
          <w:szCs w:val="28"/>
          <w:vertAlign w:val="superscript"/>
          <w:rtl/>
        </w:rPr>
        <w:footnoteReference w:id="29"/>
      </w:r>
      <w:r w:rsidRPr="00387E94">
        <w:rPr>
          <w:rtl/>
        </w:rPr>
        <w:t xml:space="preserve"> وموارد الويبو هذه متاحة للنفاذ إليها مجانا.</w:t>
      </w:r>
    </w:p>
    <w:p w:rsidR="00387E94" w:rsidRPr="00387E94" w:rsidRDefault="00387E94" w:rsidP="00387E94">
      <w:pPr>
        <w:pStyle w:val="ONUMA"/>
      </w:pPr>
      <w:r w:rsidRPr="00387E94">
        <w:rPr>
          <w:rtl/>
        </w:rPr>
        <w:t>ونظرا إلى الدور التأسيسي للويبو في السياسة الموحدة، يرصد المركز مستجدات نظام أسماء الحقول بغية تكييف موارده وممارساته.</w:t>
      </w:r>
      <w:r w:rsidRPr="00387E94">
        <w:rPr>
          <w:sz w:val="28"/>
          <w:szCs w:val="28"/>
          <w:vertAlign w:val="superscript"/>
          <w:rtl/>
        </w:rPr>
        <w:footnoteReference w:id="30"/>
      </w:r>
      <w:r w:rsidRPr="00387E94">
        <w:rPr>
          <w:rtl/>
        </w:rPr>
        <w:t xml:space="preserve"> وينظم المركز بانتظام حلقات عمل بشأن تسوية المنازعات على أسماء الحقول تقدم مستجدات </w:t>
      </w:r>
      <w:r w:rsidRPr="00387E94">
        <w:rPr>
          <w:rFonts w:hint="cs"/>
          <w:rtl/>
        </w:rPr>
        <w:t xml:space="preserve">الأمور </w:t>
      </w:r>
      <w:r w:rsidRPr="00387E94">
        <w:rPr>
          <w:rtl/>
        </w:rPr>
        <w:t>لفائدة الأطراف المعنية،</w:t>
      </w:r>
      <w:r w:rsidRPr="00387E94">
        <w:rPr>
          <w:sz w:val="28"/>
          <w:szCs w:val="28"/>
          <w:vertAlign w:val="superscript"/>
          <w:rtl/>
        </w:rPr>
        <w:footnoteReference w:id="31"/>
      </w:r>
      <w:r w:rsidRPr="00387E94">
        <w:rPr>
          <w:rtl/>
        </w:rPr>
        <w:t xml:space="preserve"> كما ينظم اجتماعات لمحكميه ووسطائه في مجال أسماء الحقول.</w:t>
      </w:r>
    </w:p>
    <w:p w:rsidR="00387E94" w:rsidRPr="00387E94" w:rsidRDefault="00387E94" w:rsidP="000A44CC">
      <w:pPr>
        <w:pStyle w:val="Heading3"/>
        <w:ind w:left="535"/>
        <w:rPr>
          <w:lang w:bidi="ar-EG"/>
        </w:rPr>
      </w:pPr>
      <w:r w:rsidRPr="00387E94">
        <w:rPr>
          <w:rFonts w:hint="cs"/>
          <w:rtl/>
          <w:lang w:bidi="ar-EG"/>
        </w:rPr>
        <w:t>باء.</w:t>
      </w:r>
      <w:r w:rsidRPr="00387E94">
        <w:rPr>
          <w:rFonts w:hint="cs"/>
          <w:rtl/>
          <w:lang w:bidi="ar-EG"/>
        </w:rPr>
        <w:tab/>
        <w:t>الحقول العليا المكونة من رموز البلدان</w:t>
      </w:r>
    </w:p>
    <w:p w:rsidR="00387E94" w:rsidRPr="00387E94" w:rsidRDefault="00387E94" w:rsidP="00387E94">
      <w:pPr>
        <w:pStyle w:val="ONUMA"/>
      </w:pPr>
      <w:r w:rsidRPr="00387E94">
        <w:rPr>
          <w:rtl/>
        </w:rPr>
        <w:t xml:space="preserve">يقتصر التطبيق الإلزامي للسياسة الموحدة على الأسماء المسجلة في الحقول العليا المكوّنة من أسماء عامة </w:t>
      </w:r>
      <w:r w:rsidRPr="00387E94">
        <w:rPr>
          <w:rFonts w:hint="cs"/>
          <w:rtl/>
        </w:rPr>
        <w:t>(</w:t>
      </w:r>
      <w:r w:rsidRPr="00387E94">
        <w:rPr>
          <w:rtl/>
        </w:rPr>
        <w:t>مثل</w:t>
      </w:r>
      <w:r w:rsidRPr="00387E94">
        <w:t>.com</w:t>
      </w:r>
      <w:r w:rsidRPr="00387E94">
        <w:rPr>
          <w:rFonts w:hint="cs"/>
          <w:rtl/>
        </w:rPr>
        <w:t>)</w:t>
      </w:r>
      <w:r w:rsidRPr="00387E94">
        <w:rPr>
          <w:rtl/>
        </w:rPr>
        <w:t xml:space="preserve"> وما أُدرج حديثا من أسماء في هذه الحقول، إلا أن </w:t>
      </w:r>
      <w:r w:rsidRPr="00387E94">
        <w:rPr>
          <w:rFonts w:hint="cs"/>
          <w:rtl/>
        </w:rPr>
        <w:t>ال</w:t>
      </w:r>
      <w:r w:rsidRPr="00387E94">
        <w:rPr>
          <w:rtl/>
        </w:rPr>
        <w:t xml:space="preserve">مركز يساعد أيضا العديد من مكاتب تسجيل الأسماء في الحقول العليا المكونة من رموز البلدان على صياغة شروط التسجيل وإجراءات تسوية المنازعات بما يفي بالممارسات المثلى في مجال إدارة السجلات </w:t>
      </w:r>
      <w:r w:rsidRPr="00387E94">
        <w:rPr>
          <w:rtl/>
        </w:rPr>
        <w:lastRenderedPageBreak/>
        <w:t>وحماية الملكية الفكرية.</w:t>
      </w:r>
      <w:r w:rsidRPr="00387E94">
        <w:rPr>
          <w:sz w:val="28"/>
          <w:szCs w:val="28"/>
          <w:vertAlign w:val="superscript"/>
          <w:rtl/>
        </w:rPr>
        <w:footnoteReference w:id="32"/>
      </w:r>
      <w:r w:rsidRPr="00387E94">
        <w:rPr>
          <w:rFonts w:hint="cs"/>
          <w:rtl/>
        </w:rPr>
        <w:t xml:space="preserve"> و</w:t>
      </w:r>
      <w:r w:rsidRPr="00387E94">
        <w:rPr>
          <w:rtl/>
        </w:rPr>
        <w:t>بعض سجلات أسماء الحقول العليا المكوّنة من</w:t>
      </w:r>
      <w:r w:rsidRPr="00387E94">
        <w:rPr>
          <w:rFonts w:hint="cs"/>
          <w:rtl/>
        </w:rPr>
        <w:t xml:space="preserve"> رموز البلدان </w:t>
      </w:r>
      <w:r w:rsidRPr="00387E94">
        <w:rPr>
          <w:rtl/>
        </w:rPr>
        <w:t>تعتمد</w:t>
      </w:r>
      <w:r w:rsidRPr="00387E94">
        <w:rPr>
          <w:rFonts w:hint="cs"/>
          <w:rtl/>
        </w:rPr>
        <w:t xml:space="preserve"> السياسة الموحدة</w:t>
      </w:r>
      <w:r w:rsidRPr="00387E94">
        <w:rPr>
          <w:rtl/>
        </w:rPr>
        <w:t xml:space="preserve"> بشكل مباشر، بينما </w:t>
      </w:r>
      <w:r w:rsidRPr="00387E94">
        <w:rPr>
          <w:rFonts w:hint="cs"/>
          <w:rtl/>
        </w:rPr>
        <w:t xml:space="preserve">اعتمدت سجلات أخرى </w:t>
      </w:r>
      <w:r w:rsidRPr="00387E94">
        <w:rPr>
          <w:rtl/>
        </w:rPr>
        <w:t xml:space="preserve">إجراءات قائمة على </w:t>
      </w:r>
      <w:r w:rsidRPr="00387E94">
        <w:rPr>
          <w:rFonts w:hint="cs"/>
          <w:rtl/>
        </w:rPr>
        <w:t>السياسة الموحدة تراعي</w:t>
      </w:r>
      <w:r w:rsidRPr="00387E94">
        <w:rPr>
          <w:rtl/>
        </w:rPr>
        <w:t xml:space="preserve"> الظروف والاحتياجات الخاصة </w:t>
      </w:r>
      <w:r w:rsidRPr="00387E94">
        <w:rPr>
          <w:rFonts w:hint="cs"/>
          <w:rtl/>
        </w:rPr>
        <w:t>ل</w:t>
      </w:r>
      <w:r w:rsidRPr="00387E94">
        <w:rPr>
          <w:rtl/>
        </w:rPr>
        <w:t xml:space="preserve">كل حقل من الحقول العليا المكونة من رموز البلدان. </w:t>
      </w:r>
      <w:r w:rsidRPr="00387E94">
        <w:rPr>
          <w:rFonts w:hint="cs"/>
          <w:rtl/>
        </w:rPr>
        <w:t>و</w:t>
      </w:r>
      <w:r w:rsidRPr="00387E94">
        <w:rPr>
          <w:rtl/>
        </w:rPr>
        <w:t xml:space="preserve">يقدم المركز خدمات </w:t>
      </w:r>
      <w:r w:rsidRPr="00387E94">
        <w:rPr>
          <w:rFonts w:hint="cs"/>
          <w:rtl/>
        </w:rPr>
        <w:t xml:space="preserve">تسوية منازعات أسماء الحقول </w:t>
      </w:r>
      <w:r w:rsidRPr="00387E94">
        <w:rPr>
          <w:rtl/>
        </w:rPr>
        <w:t xml:space="preserve">إلى أكثر من </w:t>
      </w:r>
      <w:r w:rsidRPr="00387E94">
        <w:rPr>
          <w:rFonts w:hint="cs"/>
          <w:rtl/>
        </w:rPr>
        <w:t>75</w:t>
      </w:r>
      <w:r w:rsidRPr="00387E94">
        <w:rPr>
          <w:rtl/>
        </w:rPr>
        <w:t xml:space="preserve"> سجل</w:t>
      </w:r>
      <w:r w:rsidRPr="00387E94">
        <w:rPr>
          <w:rFonts w:hint="cs"/>
          <w:rtl/>
        </w:rPr>
        <w:t>اً من</w:t>
      </w:r>
      <w:r w:rsidRPr="00387E94">
        <w:rPr>
          <w:rtl/>
        </w:rPr>
        <w:t xml:space="preserve"> سجلات أسماء الحقول العليا المكوّنة من</w:t>
      </w:r>
      <w:r w:rsidRPr="00387E94">
        <w:rPr>
          <w:rFonts w:hint="cs"/>
          <w:rtl/>
        </w:rPr>
        <w:t xml:space="preserve"> رموز البلدان،</w:t>
      </w:r>
      <w:r w:rsidRPr="00387E94">
        <w:rPr>
          <w:rtl/>
        </w:rPr>
        <w:t xml:space="preserve"> </w:t>
      </w:r>
      <w:r w:rsidRPr="00387E94">
        <w:rPr>
          <w:rFonts w:hint="cs"/>
          <w:rtl/>
        </w:rPr>
        <w:t xml:space="preserve">بما في ذلك </w:t>
      </w:r>
      <w:r w:rsidRPr="00387E94">
        <w:t xml:space="preserve"> CN </w:t>
      </w:r>
      <w:r w:rsidRPr="00387E94">
        <w:rPr>
          <w:rFonts w:hint="cs"/>
          <w:rtl/>
          <w:lang w:val="fr-CH" w:bidi="ar-SY"/>
        </w:rPr>
        <w:t xml:space="preserve">و </w:t>
      </w:r>
      <w:r w:rsidRPr="000A44CC">
        <w:rPr>
          <w:rFonts w:hint="eastAsia"/>
          <w:sz w:val="24"/>
          <w:szCs w:val="24"/>
          <w:lang w:val="fr-CH" w:bidi="ar-SY"/>
        </w:rPr>
        <w:t>中国</w:t>
      </w:r>
      <w:r w:rsidRPr="00387E94">
        <w:rPr>
          <w:rFonts w:hint="cs"/>
          <w:rtl/>
          <w:lang w:val="fr-CH" w:bidi="ar-SY"/>
        </w:rPr>
        <w:t xml:space="preserve">(الصين) </w:t>
      </w:r>
      <w:r w:rsidRPr="00387E94">
        <w:rPr>
          <w:rFonts w:hint="cs"/>
          <w:rtl/>
        </w:rPr>
        <w:t>التي</w:t>
      </w:r>
      <w:r w:rsidRPr="00387E94">
        <w:rPr>
          <w:rtl/>
        </w:rPr>
        <w:t xml:space="preserve"> </w:t>
      </w:r>
      <w:r w:rsidRPr="00387E94">
        <w:rPr>
          <w:rFonts w:hint="cs"/>
          <w:rtl/>
        </w:rPr>
        <w:t>أُضيفت في الجزء الأخير من عام</w:t>
      </w:r>
      <w:r w:rsidRPr="00387E94">
        <w:rPr>
          <w:rtl/>
        </w:rPr>
        <w:t xml:space="preserve"> 20</w:t>
      </w:r>
      <w:r w:rsidRPr="00387E94">
        <w:rPr>
          <w:rFonts w:hint="cs"/>
          <w:rtl/>
        </w:rPr>
        <w:t>19</w:t>
      </w:r>
      <w:r w:rsidRPr="00387E94">
        <w:rPr>
          <w:rtl/>
        </w:rPr>
        <w:t>.</w:t>
      </w:r>
      <w:r w:rsidRPr="00387E94">
        <w:rPr>
          <w:sz w:val="28"/>
          <w:szCs w:val="28"/>
          <w:vertAlign w:val="superscript"/>
          <w:rtl/>
        </w:rPr>
        <w:footnoteReference w:id="33"/>
      </w:r>
    </w:p>
    <w:p w:rsidR="00387E94" w:rsidRPr="00387E94" w:rsidRDefault="00387E94" w:rsidP="00387E94">
      <w:pPr>
        <w:pStyle w:val="ONUMA"/>
      </w:pPr>
      <w:r w:rsidRPr="00387E94">
        <w:rPr>
          <w:rFonts w:hint="cs"/>
          <w:rtl/>
        </w:rPr>
        <w:t xml:space="preserve">وفيما يخص </w:t>
      </w:r>
      <w:r w:rsidRPr="00387E94">
        <w:rPr>
          <w:rtl/>
        </w:rPr>
        <w:t xml:space="preserve">جميع أسماء الحقول العليا المعنية المكوَّنة من رموز البلدان، </w:t>
      </w:r>
      <w:r w:rsidRPr="00387E94">
        <w:rPr>
          <w:rFonts w:hint="cs"/>
          <w:rtl/>
          <w:lang w:val="fr-CH" w:bidi="ar-SY"/>
        </w:rPr>
        <w:t>يقدم</w:t>
      </w:r>
      <w:r w:rsidRPr="00387E94">
        <w:rPr>
          <w:rtl/>
        </w:rPr>
        <w:t xml:space="preserve"> المركز </w:t>
      </w:r>
      <w:r w:rsidRPr="00387E94">
        <w:rPr>
          <w:rFonts w:hint="cs"/>
          <w:rtl/>
        </w:rPr>
        <w:t>للأطراف</w:t>
      </w:r>
      <w:r w:rsidRPr="00387E94">
        <w:rPr>
          <w:rtl/>
        </w:rPr>
        <w:t xml:space="preserve"> موارد</w:t>
      </w:r>
      <w:r w:rsidRPr="00387E94">
        <w:rPr>
          <w:rFonts w:hint="cs"/>
          <w:rtl/>
        </w:rPr>
        <w:t xml:space="preserve"> موسعة بشكل كبير عبر الإنترنت</w:t>
      </w:r>
      <w:r w:rsidRPr="00387E94">
        <w:rPr>
          <w:rtl/>
        </w:rPr>
        <w:t xml:space="preserve">، بما في ذلك معايير الأهلية للتسجيل، </w:t>
      </w:r>
      <w:r w:rsidRPr="00387E94">
        <w:rPr>
          <w:rFonts w:hint="cs"/>
          <w:rtl/>
        </w:rPr>
        <w:t>والحروف</w:t>
      </w:r>
      <w:r w:rsidRPr="00387E94">
        <w:rPr>
          <w:rtl/>
        </w:rPr>
        <w:t xml:space="preserve"> المدعومة، و</w:t>
      </w:r>
      <w:r w:rsidRPr="00387E94">
        <w:rPr>
          <w:rFonts w:hint="cs"/>
          <w:rtl/>
        </w:rPr>
        <w:t>ال</w:t>
      </w:r>
      <w:r w:rsidRPr="00387E94">
        <w:rPr>
          <w:rtl/>
        </w:rPr>
        <w:t xml:space="preserve">مذكرات </w:t>
      </w:r>
      <w:r w:rsidRPr="00387E94">
        <w:rPr>
          <w:rFonts w:hint="cs"/>
          <w:rtl/>
        </w:rPr>
        <w:t>ال</w:t>
      </w:r>
      <w:r w:rsidRPr="00387E94">
        <w:rPr>
          <w:rtl/>
        </w:rPr>
        <w:t>نم</w:t>
      </w:r>
      <w:r w:rsidRPr="00387E94">
        <w:rPr>
          <w:rFonts w:hint="cs"/>
          <w:rtl/>
        </w:rPr>
        <w:t>و</w:t>
      </w:r>
      <w:r w:rsidRPr="00387E94">
        <w:rPr>
          <w:rtl/>
        </w:rPr>
        <w:t>ذج</w:t>
      </w:r>
      <w:r w:rsidRPr="00387E94">
        <w:rPr>
          <w:rFonts w:hint="cs"/>
          <w:rtl/>
        </w:rPr>
        <w:t>ية</w:t>
      </w:r>
      <w:r w:rsidRPr="00387E94">
        <w:rPr>
          <w:rtl/>
        </w:rPr>
        <w:t xml:space="preserve"> </w:t>
      </w:r>
      <w:r w:rsidRPr="00387E94">
        <w:rPr>
          <w:rFonts w:hint="cs"/>
          <w:rtl/>
        </w:rPr>
        <w:t>ال</w:t>
      </w:r>
      <w:r w:rsidRPr="00387E94">
        <w:rPr>
          <w:rtl/>
        </w:rPr>
        <w:t>متعددة اللغات</w:t>
      </w:r>
      <w:r w:rsidRPr="00387E94">
        <w:rPr>
          <w:rFonts w:hint="cs"/>
          <w:rtl/>
        </w:rPr>
        <w:t>،</w:t>
      </w:r>
      <w:r w:rsidRPr="00387E94">
        <w:rPr>
          <w:rtl/>
        </w:rPr>
        <w:t xml:space="preserve"> ومعلومات الإيداع،</w:t>
      </w:r>
      <w:r w:rsidRPr="00387E94">
        <w:rPr>
          <w:sz w:val="28"/>
          <w:szCs w:val="28"/>
          <w:vertAlign w:val="superscript"/>
          <w:rtl/>
        </w:rPr>
        <w:footnoteReference w:id="34"/>
      </w:r>
      <w:r w:rsidRPr="00387E94">
        <w:rPr>
          <w:rtl/>
        </w:rPr>
        <w:t xml:space="preserve"> بالإضافة إلى ملخصات </w:t>
      </w:r>
      <w:r w:rsidRPr="00387E94">
        <w:rPr>
          <w:rFonts w:hint="cs"/>
          <w:rtl/>
        </w:rPr>
        <w:t>لأوجه ا</w:t>
      </w:r>
      <w:r w:rsidRPr="00387E94">
        <w:rPr>
          <w:rtl/>
        </w:rPr>
        <w:t xml:space="preserve">لاختلاف ذات الصلة بين </w:t>
      </w:r>
      <w:r w:rsidRPr="00387E94">
        <w:rPr>
          <w:rFonts w:hint="cs"/>
          <w:rtl/>
        </w:rPr>
        <w:t xml:space="preserve">السياسة الموحدة وكل سياسة من </w:t>
      </w:r>
      <w:r w:rsidRPr="00387E94">
        <w:rPr>
          <w:rtl/>
        </w:rPr>
        <w:t>سياسات أسماء الحقول العليا القائمة على</w:t>
      </w:r>
      <w:r w:rsidRPr="00387E94">
        <w:rPr>
          <w:rFonts w:hint="cs"/>
          <w:rtl/>
        </w:rPr>
        <w:t xml:space="preserve"> السياسة الموحدة.</w:t>
      </w:r>
      <w:r w:rsidRPr="00387E94">
        <w:rPr>
          <w:sz w:val="28"/>
          <w:szCs w:val="28"/>
          <w:vertAlign w:val="superscript"/>
          <w:rtl/>
        </w:rPr>
        <w:footnoteReference w:id="35"/>
      </w:r>
      <w:r w:rsidRPr="00387E94">
        <w:rPr>
          <w:rtl/>
        </w:rPr>
        <w:t xml:space="preserve"> </w:t>
      </w:r>
      <w:r w:rsidRPr="00387E94">
        <w:rPr>
          <w:rFonts w:hint="cs"/>
          <w:rtl/>
        </w:rPr>
        <w:t>ولخّصت</w:t>
      </w:r>
      <w:r w:rsidRPr="00387E94">
        <w:rPr>
          <w:rtl/>
        </w:rPr>
        <w:t xml:space="preserve"> هذه المعلومات في دليل خدمات الويبو </w:t>
      </w:r>
      <w:r w:rsidRPr="00387E94">
        <w:rPr>
          <w:rtl/>
        </w:rPr>
        <w:lastRenderedPageBreak/>
        <w:t xml:space="preserve">لسجلات </w:t>
      </w:r>
      <w:r w:rsidRPr="00387E94">
        <w:rPr>
          <w:rFonts w:hint="cs"/>
          <w:rtl/>
        </w:rPr>
        <w:t xml:space="preserve">الحقول العليا المكونة من </w:t>
      </w:r>
      <w:r w:rsidRPr="00387E94">
        <w:rPr>
          <w:rtl/>
        </w:rPr>
        <w:t>رموز البلدان</w:t>
      </w:r>
      <w:r w:rsidRPr="00387E94">
        <w:rPr>
          <w:rFonts w:hint="cs"/>
          <w:rtl/>
        </w:rPr>
        <w:t>.</w:t>
      </w:r>
      <w:r w:rsidRPr="00387E94">
        <w:rPr>
          <w:sz w:val="28"/>
          <w:szCs w:val="28"/>
          <w:vertAlign w:val="superscript"/>
          <w:rtl/>
        </w:rPr>
        <w:footnoteReference w:id="36"/>
      </w:r>
    </w:p>
    <w:p w:rsidR="00387E94" w:rsidRPr="000D6BFE" w:rsidRDefault="00387E94" w:rsidP="000D6BFE">
      <w:pPr>
        <w:pStyle w:val="Heading2"/>
        <w:rPr>
          <w:b w:val="0"/>
          <w:bCs w:val="0"/>
          <w:sz w:val="44"/>
          <w:szCs w:val="44"/>
          <w:lang w:bidi="ar-EG"/>
        </w:rPr>
      </w:pPr>
      <w:r w:rsidRPr="000D6BFE">
        <w:rPr>
          <w:rFonts w:hint="cs"/>
          <w:b w:val="0"/>
          <w:bCs w:val="0"/>
          <w:sz w:val="44"/>
          <w:szCs w:val="44"/>
          <w:rtl/>
          <w:lang w:bidi="ar-EG"/>
        </w:rPr>
        <w:t>ثالثاً.</w:t>
      </w:r>
      <w:r w:rsidRPr="000D6BFE">
        <w:rPr>
          <w:b w:val="0"/>
          <w:bCs w:val="0"/>
          <w:sz w:val="44"/>
          <w:szCs w:val="44"/>
          <w:rtl/>
          <w:lang w:bidi="ar-EG"/>
        </w:rPr>
        <w:tab/>
        <w:t>مستجدات السياسة العامة المتصلة بنظام أسماء الحقول</w:t>
      </w:r>
    </w:p>
    <w:p w:rsidR="00387E94" w:rsidRPr="00387E94" w:rsidRDefault="00387E94" w:rsidP="00387E94">
      <w:pPr>
        <w:pStyle w:val="ONUMA"/>
      </w:pPr>
      <w:r w:rsidRPr="00387E94">
        <w:rPr>
          <w:rtl/>
        </w:rPr>
        <w:t xml:space="preserve">لقد طرأ على الإيكان عدد من المستجدات السياسية التي تتيح فرصا لمالكي حقوق الملكية الفكرية وللمنتفعين بها بل وتطرح أمامهم تحديات. ويتعلق أحد هذه المستجدات بقيام الإيكان باستحداث </w:t>
      </w:r>
      <w:r w:rsidRPr="00387E94">
        <w:rPr>
          <w:rFonts w:hint="cs"/>
          <w:rtl/>
        </w:rPr>
        <w:t xml:space="preserve">عدد كبير من </w:t>
      </w:r>
      <w:r w:rsidRPr="00387E94">
        <w:rPr>
          <w:rtl/>
        </w:rPr>
        <w:t xml:space="preserve">الحقول العليا الجديدة المكوَّنة من أسماء عامة. وأسماء الحقول هذه يمكن أن تكون "مفتوحة" طبيعتها (تشبه </w:t>
      </w:r>
      <w:r w:rsidRPr="00387E94">
        <w:t>.com</w:t>
      </w:r>
      <w:r w:rsidRPr="00387E94">
        <w:rPr>
          <w:rtl/>
        </w:rPr>
        <w:t xml:space="preserve">) أو تتخذ خصائص محددة أو مقيدة بقدر أكبر، كأن تتخذ مثلا شكل [علامة] أو [مدينة] </w:t>
      </w:r>
      <w:r w:rsidRPr="00387E94">
        <w:rPr>
          <w:rFonts w:hint="cs"/>
          <w:rtl/>
        </w:rPr>
        <w:t xml:space="preserve">أو. </w:t>
      </w:r>
      <w:r w:rsidRPr="00387E94">
        <w:rPr>
          <w:rtl/>
        </w:rPr>
        <w:t xml:space="preserve">[مجتمع] </w:t>
      </w:r>
      <w:r w:rsidRPr="00387E94">
        <w:rPr>
          <w:rFonts w:hint="cs"/>
          <w:rtl/>
        </w:rPr>
        <w:t xml:space="preserve">أو. </w:t>
      </w:r>
      <w:r w:rsidRPr="00387E94">
        <w:rPr>
          <w:rtl/>
        </w:rPr>
        <w:t xml:space="preserve">[ثقافة] </w:t>
      </w:r>
      <w:r w:rsidRPr="00387E94">
        <w:rPr>
          <w:rFonts w:hint="cs"/>
          <w:rtl/>
        </w:rPr>
        <w:t xml:space="preserve">أو. </w:t>
      </w:r>
      <w:r w:rsidRPr="00387E94">
        <w:rPr>
          <w:rtl/>
        </w:rPr>
        <w:t xml:space="preserve">[صناعة] </w:t>
      </w:r>
      <w:r w:rsidRPr="00387E94">
        <w:rPr>
          <w:rFonts w:hint="cs"/>
          <w:rtl/>
        </w:rPr>
        <w:t xml:space="preserve">أو. </w:t>
      </w:r>
      <w:r w:rsidRPr="00387E94">
        <w:rPr>
          <w:rtl/>
        </w:rPr>
        <w:t xml:space="preserve">[لغة]. </w:t>
      </w:r>
      <w:r w:rsidRPr="00387E94">
        <w:rPr>
          <w:rFonts w:hint="cs"/>
          <w:rtl/>
        </w:rPr>
        <w:t>وأحد العناصر الجديرة بالذكر في نمو</w:t>
      </w:r>
      <w:r w:rsidRPr="00387E94">
        <w:rPr>
          <w:rFonts w:hint="cs"/>
          <w:rtl/>
          <w:lang w:val="fr-CH" w:bidi="ar-SY"/>
        </w:rPr>
        <w:t xml:space="preserve"> نظام أسماء الحقول</w:t>
      </w:r>
      <w:r w:rsidRPr="00387E94">
        <w:rPr>
          <w:rFonts w:hint="cs"/>
          <w:rtl/>
        </w:rPr>
        <w:t xml:space="preserve"> يتعلق </w:t>
      </w:r>
      <w:r w:rsidRPr="00387E94">
        <w:rPr>
          <w:rtl/>
        </w:rPr>
        <w:t>باستحداث أسماء حقول عليا دولية.</w:t>
      </w:r>
      <w:r w:rsidRPr="00387E94">
        <w:rPr>
          <w:rFonts w:hint="cs"/>
          <w:rtl/>
        </w:rPr>
        <w:t xml:space="preserve"> - </w:t>
      </w:r>
      <w:r w:rsidRPr="00387E94">
        <w:rPr>
          <w:rtl/>
        </w:rPr>
        <w:t xml:space="preserve">توسيع </w:t>
      </w:r>
      <w:r w:rsidRPr="00387E94">
        <w:rPr>
          <w:rFonts w:hint="cs"/>
          <w:rtl/>
        </w:rPr>
        <w:t>نظام أسماء الحقول</w:t>
      </w:r>
      <w:r w:rsidRPr="00387E94">
        <w:rPr>
          <w:rtl/>
        </w:rPr>
        <w:t xml:space="preserve"> </w:t>
      </w:r>
      <w:r w:rsidRPr="00387E94">
        <w:rPr>
          <w:rFonts w:hint="cs"/>
          <w:rtl/>
        </w:rPr>
        <w:t xml:space="preserve">من الناحية </w:t>
      </w:r>
      <w:r w:rsidRPr="00387E94">
        <w:rPr>
          <w:rtl/>
        </w:rPr>
        <w:t>اللغوي</w:t>
      </w:r>
      <w:r w:rsidRPr="00387E94">
        <w:rPr>
          <w:rFonts w:hint="cs"/>
          <w:rtl/>
        </w:rPr>
        <w:t>ة -</w:t>
      </w:r>
      <w:r w:rsidRPr="00387E94">
        <w:rPr>
          <w:rtl/>
        </w:rPr>
        <w:t xml:space="preserve"> و</w:t>
      </w:r>
      <w:r w:rsidRPr="00387E94">
        <w:rPr>
          <w:rFonts w:hint="cs"/>
          <w:rtl/>
        </w:rPr>
        <w:t xml:space="preserve">أيضاً توسيع </w:t>
      </w:r>
      <w:r w:rsidRPr="00387E94">
        <w:rPr>
          <w:rtl/>
        </w:rPr>
        <w:t xml:space="preserve">الإيكان </w:t>
      </w:r>
      <w:r w:rsidRPr="00387E94">
        <w:rPr>
          <w:rFonts w:hint="cs"/>
          <w:rtl/>
        </w:rPr>
        <w:t>ل</w:t>
      </w:r>
      <w:r w:rsidRPr="00387E94">
        <w:rPr>
          <w:rtl/>
        </w:rPr>
        <w:t xml:space="preserve">نطاق أسماء الحقول الدولية </w:t>
      </w:r>
      <w:r w:rsidRPr="00387E94">
        <w:rPr>
          <w:rFonts w:hint="cs"/>
          <w:rtl/>
        </w:rPr>
        <w:t xml:space="preserve">يطرح </w:t>
      </w:r>
      <w:r w:rsidRPr="00387E94">
        <w:rPr>
          <w:rtl/>
        </w:rPr>
        <w:t>مسائل تتعلق بحماية الحقوق في إطار مشروع الويبو الثاني الخاص بأسماء الحقول على الإنترنت.</w:t>
      </w:r>
    </w:p>
    <w:p w:rsidR="00387E94" w:rsidRPr="000D6BFE" w:rsidRDefault="00387E94" w:rsidP="000D6BFE">
      <w:pPr>
        <w:pStyle w:val="Heading3"/>
        <w:ind w:left="535"/>
        <w:rPr>
          <w:lang w:bidi="ar-EG"/>
        </w:rPr>
      </w:pPr>
      <w:r w:rsidRPr="000D6BFE">
        <w:rPr>
          <w:rFonts w:hint="cs"/>
          <w:rtl/>
          <w:lang w:bidi="ar-EG"/>
        </w:rPr>
        <w:t xml:space="preserve">ألف. </w:t>
      </w:r>
      <w:r w:rsidRPr="000D6BFE">
        <w:rPr>
          <w:rtl/>
          <w:lang w:bidi="ar-EG"/>
        </w:rPr>
        <w:tab/>
      </w:r>
      <w:r w:rsidRPr="000D6BFE">
        <w:rPr>
          <w:rFonts w:hint="cs"/>
          <w:rtl/>
          <w:lang w:bidi="ar-EG"/>
        </w:rPr>
        <w:t>الحقول العليا الجديدة المكونة من أسماء</w:t>
      </w:r>
      <w:r w:rsidR="000D6BFE">
        <w:rPr>
          <w:rFonts w:hint="cs"/>
          <w:rtl/>
          <w:lang w:bidi="ar-EG"/>
        </w:rPr>
        <w:t xml:space="preserve"> عامة</w:t>
      </w:r>
    </w:p>
    <w:p w:rsidR="00387E94" w:rsidRPr="00387E94" w:rsidRDefault="00387E94" w:rsidP="00387E94">
      <w:pPr>
        <w:pStyle w:val="ONUMA"/>
      </w:pPr>
      <w:r w:rsidRPr="00387E94">
        <w:rPr>
          <w:rFonts w:hint="cs"/>
          <w:rtl/>
        </w:rPr>
        <w:t>يُ</w:t>
      </w:r>
      <w:r w:rsidRPr="00387E94">
        <w:rPr>
          <w:rtl/>
        </w:rPr>
        <w:t xml:space="preserve">فصَّل برنامج هيئة الإيكان لتنفيذ برنامج الحقول العليا الجديدة المكوَّنة من أسماء عامة </w:t>
      </w:r>
      <w:r w:rsidRPr="00387E94">
        <w:rPr>
          <w:rtl/>
        </w:rPr>
        <w:lastRenderedPageBreak/>
        <w:t>الذي اعتمدته رسميا</w:t>
      </w:r>
      <w:r w:rsidRPr="00387E94">
        <w:rPr>
          <w:rFonts w:hint="cs"/>
          <w:rtl/>
        </w:rPr>
        <w:t>ً</w:t>
      </w:r>
      <w:r w:rsidRPr="00387E94">
        <w:rPr>
          <w:rtl/>
        </w:rPr>
        <w:t xml:space="preserve"> في يونيو 2011</w:t>
      </w:r>
      <w:r w:rsidRPr="00387E94">
        <w:rPr>
          <w:sz w:val="28"/>
          <w:szCs w:val="28"/>
          <w:vertAlign w:val="superscript"/>
          <w:rtl/>
        </w:rPr>
        <w:footnoteReference w:id="37"/>
      </w:r>
      <w:r w:rsidRPr="00387E94">
        <w:rPr>
          <w:rtl/>
        </w:rPr>
        <w:t xml:space="preserve"> في "دليل مودع طلب التسجيل"</w:t>
      </w:r>
      <w:r w:rsidRPr="00387E94">
        <w:rPr>
          <w:sz w:val="28"/>
          <w:szCs w:val="28"/>
          <w:vertAlign w:val="superscript"/>
          <w:rtl/>
        </w:rPr>
        <w:footnoteReference w:id="38"/>
      </w:r>
      <w:r w:rsidRPr="00387E94">
        <w:rPr>
          <w:rtl/>
        </w:rPr>
        <w:t xml:space="preserve"> الخاص بالإيكان الذي خضع لكثير من التعديلات. ومُنح أول حقل من الحقول العليا الجديدة المكوَّنة من أسماء عامة لإدخاله منطقة جذر الإنترنت في أكتوبر 2013، ومُنح بحلول يونيو </w:t>
      </w:r>
      <w:r w:rsidRPr="00387E94">
        <w:rPr>
          <w:rFonts w:hint="cs"/>
          <w:rtl/>
        </w:rPr>
        <w:t>2019 حوالي 1200</w:t>
      </w:r>
      <w:r w:rsidRPr="00387E94">
        <w:rPr>
          <w:rtl/>
        </w:rPr>
        <w:t xml:space="preserve"> حقل </w:t>
      </w:r>
      <w:r w:rsidRPr="00387E94">
        <w:rPr>
          <w:rFonts w:hint="cs"/>
          <w:rtl/>
        </w:rPr>
        <w:t>فريد</w:t>
      </w:r>
      <w:r w:rsidRPr="00387E94">
        <w:rPr>
          <w:rtl/>
        </w:rPr>
        <w:t xml:space="preserve"> من الحقول العليا الجديدة المكوَّنة من أسماء عامة.</w:t>
      </w:r>
      <w:r w:rsidRPr="00387E94">
        <w:rPr>
          <w:sz w:val="28"/>
          <w:szCs w:val="28"/>
          <w:vertAlign w:val="superscript"/>
          <w:rtl/>
        </w:rPr>
        <w:footnoteReference w:id="39"/>
      </w:r>
      <w:r w:rsidRPr="00387E94">
        <w:rPr>
          <w:rFonts w:hint="cs"/>
          <w:rtl/>
        </w:rPr>
        <w:t xml:space="preserve"> وتخطط الإيكان</w:t>
      </w:r>
      <w:r w:rsidRPr="00387E94">
        <w:rPr>
          <w:rtl/>
        </w:rPr>
        <w:t xml:space="preserve"> </w:t>
      </w:r>
      <w:r w:rsidRPr="00387E94">
        <w:rPr>
          <w:rFonts w:hint="cs"/>
          <w:rtl/>
        </w:rPr>
        <w:t xml:space="preserve">إطلاق مجموعة </w:t>
      </w:r>
      <w:r w:rsidRPr="00387E94">
        <w:rPr>
          <w:rtl/>
        </w:rPr>
        <w:t xml:space="preserve">أخرى من </w:t>
      </w:r>
      <w:r w:rsidRPr="00387E94">
        <w:rPr>
          <w:rFonts w:hint="cs"/>
          <w:rtl/>
        </w:rPr>
        <w:t xml:space="preserve">الحقول العليا </w:t>
      </w:r>
      <w:r w:rsidRPr="00387E94">
        <w:rPr>
          <w:rtl/>
        </w:rPr>
        <w:t>الجديدة المكوَّنة من أسماء عامة في السنوات القليلة المقبلة</w:t>
      </w:r>
      <w:r w:rsidRPr="00387E94">
        <w:rPr>
          <w:rFonts w:hint="cs"/>
          <w:rtl/>
        </w:rPr>
        <w:t>،</w:t>
      </w:r>
      <w:r w:rsidRPr="00387E94">
        <w:rPr>
          <w:rtl/>
        </w:rPr>
        <w:t xml:space="preserve"> على الأرجح.</w:t>
      </w:r>
    </w:p>
    <w:p w:rsidR="00387E94" w:rsidRPr="00387E94" w:rsidRDefault="00387E94" w:rsidP="00387E94">
      <w:pPr>
        <w:pStyle w:val="ONUMA"/>
      </w:pPr>
      <w:r w:rsidRPr="00387E94">
        <w:rPr>
          <w:rtl/>
        </w:rPr>
        <w:t xml:space="preserve">ولا يزال المركز ملتزما بالتعاون مع أصحاب المصلحة </w:t>
      </w:r>
      <w:r w:rsidRPr="00387E94">
        <w:rPr>
          <w:rFonts w:hint="cs"/>
          <w:rtl/>
        </w:rPr>
        <w:t>سعياً منه</w:t>
      </w:r>
      <w:r w:rsidRPr="00387E94">
        <w:rPr>
          <w:rtl/>
        </w:rPr>
        <w:t xml:space="preserve"> إلى الحفاظ على الامتثال للمبادئ العامة لحماية الملكية الفكرية في الحقول العليا الجديدة المكونة من أسماء عامة. وقد نشأ عدد من آليات حماية الحقوق عن سلسلة من اجتماعات لجان الإيكان وعملياتها المعنية بالحقول العليا الجديدة المكونة من أسماء عامة.</w:t>
      </w:r>
      <w:r w:rsidRPr="00387E94">
        <w:rPr>
          <w:sz w:val="28"/>
          <w:szCs w:val="28"/>
          <w:vertAlign w:val="superscript"/>
          <w:rtl/>
        </w:rPr>
        <w:footnoteReference w:id="40"/>
      </w:r>
      <w:r w:rsidRPr="00387E94">
        <w:rPr>
          <w:rtl/>
        </w:rPr>
        <w:t xml:space="preserve"> وفيما يلي وصف مستفيض لهذه الآليات الخاصة بالإيكان، فيما يتعلق بالدرجة الأولى والدرجة الثانية على التوالي.</w:t>
      </w:r>
    </w:p>
    <w:p w:rsidR="00387E94" w:rsidRPr="00387E94" w:rsidRDefault="00BF040A" w:rsidP="00BF040A">
      <w:pPr>
        <w:pStyle w:val="Heading4"/>
        <w:ind w:left="1255"/>
        <w:rPr>
          <w:rFonts w:eastAsia="SimSun"/>
          <w:lang w:eastAsia="zh-CN"/>
        </w:rPr>
      </w:pPr>
      <w:r w:rsidRPr="00BF040A">
        <w:rPr>
          <w:rFonts w:eastAsia="SimSun" w:hint="cs"/>
          <w:u w:val="none"/>
          <w:rtl/>
          <w:lang w:eastAsia="zh-CN"/>
        </w:rPr>
        <w:lastRenderedPageBreak/>
        <w:t>(أ)</w:t>
      </w:r>
      <w:r w:rsidRPr="00BF040A">
        <w:rPr>
          <w:rFonts w:eastAsia="SimSun"/>
          <w:u w:val="none"/>
          <w:rtl/>
          <w:lang w:eastAsia="zh-CN"/>
        </w:rPr>
        <w:tab/>
      </w:r>
      <w:r w:rsidR="00387E94" w:rsidRPr="00387E94">
        <w:rPr>
          <w:rFonts w:eastAsia="SimSun" w:hint="cs"/>
          <w:rtl/>
          <w:lang w:eastAsia="zh-CN"/>
        </w:rPr>
        <w:t>آليات حماية الحقوق من الدرجة الأولى</w:t>
      </w:r>
    </w:p>
    <w:p w:rsidR="00387E94" w:rsidRPr="00BF040A" w:rsidRDefault="00BF040A" w:rsidP="00BF040A">
      <w:pPr>
        <w:pStyle w:val="Heading5"/>
        <w:ind w:left="1705"/>
        <w:rPr>
          <w:rStyle w:val="Heading5Char"/>
          <w:rFonts w:eastAsia="SimSun"/>
          <w:u w:val="single"/>
          <w:rtl/>
        </w:rPr>
      </w:pPr>
      <w:r w:rsidRPr="00BF040A">
        <w:rPr>
          <w:rFonts w:eastAsia="SimSun" w:hint="cs"/>
          <w:i w:val="0"/>
          <w:iCs w:val="0"/>
          <w:rtl/>
          <w:lang w:eastAsia="zh-CN"/>
        </w:rPr>
        <w:t>"1"</w:t>
      </w:r>
      <w:r w:rsidRPr="00BF040A">
        <w:rPr>
          <w:rFonts w:eastAsia="SimSun"/>
          <w:i w:val="0"/>
          <w:iCs w:val="0"/>
          <w:rtl/>
          <w:lang w:eastAsia="zh-CN"/>
        </w:rPr>
        <w:tab/>
      </w:r>
      <w:r w:rsidR="00387E94" w:rsidRPr="00BF040A">
        <w:rPr>
          <w:rStyle w:val="Heading5Char"/>
          <w:rFonts w:eastAsia="SimSun" w:hint="cs"/>
          <w:u w:val="single"/>
          <w:rtl/>
        </w:rPr>
        <w:t>إجراءات تسوية المنازعات قبل منح أسماء الحقول العليا</w:t>
      </w:r>
    </w:p>
    <w:p w:rsidR="00387E94" w:rsidRPr="00387E94" w:rsidRDefault="00387E94" w:rsidP="00387E94">
      <w:pPr>
        <w:pStyle w:val="ONUMA"/>
      </w:pPr>
      <w:r w:rsidRPr="00387E94">
        <w:rPr>
          <w:rtl/>
        </w:rPr>
        <w:t>سمحت هذه الآلية لأصحاب العلامات التجارية بالتقدم باعتراضات قائمة على الحقوق القانونية ضد طلبات الحقول العليا الجديدة المكونة من أسماء عامة من الدرجة الأولى حيث تحققت معايير موضوعية معينة.</w:t>
      </w:r>
      <w:r w:rsidRPr="00387E94">
        <w:rPr>
          <w:sz w:val="28"/>
          <w:szCs w:val="28"/>
          <w:vertAlign w:val="superscript"/>
          <w:rtl/>
        </w:rPr>
        <w:footnoteReference w:id="41"/>
      </w:r>
      <w:r w:rsidRPr="00387E94">
        <w:rPr>
          <w:rtl/>
        </w:rPr>
        <w:t xml:space="preserve"> وقد ساعد مركز الويبو الإيكان </w:t>
      </w:r>
      <w:r w:rsidRPr="00387E94">
        <w:rPr>
          <w:rFonts w:hint="cs"/>
          <w:rtl/>
        </w:rPr>
        <w:t>على</w:t>
      </w:r>
      <w:r w:rsidRPr="00387E94">
        <w:rPr>
          <w:rtl/>
        </w:rPr>
        <w:t xml:space="preserve"> </w:t>
      </w:r>
      <w:r w:rsidRPr="00387E94">
        <w:rPr>
          <w:rFonts w:hint="cs"/>
          <w:rtl/>
        </w:rPr>
        <w:t>وضع</w:t>
      </w:r>
      <w:r w:rsidRPr="00387E94">
        <w:rPr>
          <w:rtl/>
        </w:rPr>
        <w:t xml:space="preserve"> هذه المعايير بناءً على "توصية الويبو المشتركة بشأن الأحكام المتعلقة بحماية العلامات وغيرها من حقوق الملكية الصناعية في الإشارات على الإنترنت".</w:t>
      </w:r>
      <w:r w:rsidRPr="00387E94">
        <w:rPr>
          <w:sz w:val="28"/>
          <w:szCs w:val="28"/>
          <w:vertAlign w:val="superscript"/>
          <w:rtl/>
        </w:rPr>
        <w:footnoteReference w:id="42"/>
      </w:r>
    </w:p>
    <w:p w:rsidR="00387E94" w:rsidRPr="00387E94" w:rsidRDefault="00387E94" w:rsidP="00387E94">
      <w:pPr>
        <w:pStyle w:val="ONUMA"/>
      </w:pPr>
      <w:r w:rsidRPr="00387E94">
        <w:rPr>
          <w:rtl/>
        </w:rPr>
        <w:t>وبعد أن عيَّنت الإيكان المركز باعتباره الجهة الوحيدة لتقديم خدمات تسوية منازعات الاعتراضات القائمة على الحقوق القانونية،</w:t>
      </w:r>
      <w:r w:rsidRPr="00387E94">
        <w:rPr>
          <w:sz w:val="28"/>
          <w:szCs w:val="28"/>
          <w:vertAlign w:val="superscript"/>
          <w:rtl/>
        </w:rPr>
        <w:footnoteReference w:id="43"/>
      </w:r>
      <w:r w:rsidRPr="00387E94">
        <w:rPr>
          <w:rtl/>
        </w:rPr>
        <w:t xml:space="preserve"> </w:t>
      </w:r>
      <w:r w:rsidRPr="00387E94">
        <w:rPr>
          <w:rtl/>
        </w:rPr>
        <w:lastRenderedPageBreak/>
        <w:t>تلقى المركز 69 اعتراضا قائما على الحقوق القانونية ويلبي الشروط، واكتملت معالجة مركز الويبو للاعتراضات بحلول سبتمبر 2013</w:t>
      </w:r>
      <w:r w:rsidRPr="00387E94">
        <w:rPr>
          <w:rFonts w:hint="cs"/>
          <w:rtl/>
        </w:rPr>
        <w:t>.</w:t>
      </w:r>
      <w:r w:rsidRPr="00387E94">
        <w:rPr>
          <w:sz w:val="28"/>
          <w:szCs w:val="28"/>
          <w:vertAlign w:val="superscript"/>
          <w:rtl/>
        </w:rPr>
        <w:footnoteReference w:id="44"/>
      </w:r>
      <w:r w:rsidRPr="00387E94">
        <w:rPr>
          <w:rtl/>
        </w:rPr>
        <w:t xml:space="preserve"> وجميع قرارات هيئة الخبراء المعنية بالاعتراضات القائمة على الحقوق القانونية في الويبو متاحة على الموقع الإلكتروني للمركز،</w:t>
      </w:r>
      <w:r w:rsidRPr="00387E94">
        <w:rPr>
          <w:sz w:val="28"/>
          <w:szCs w:val="28"/>
          <w:vertAlign w:val="superscript"/>
          <w:rtl/>
        </w:rPr>
        <w:footnoteReference w:id="45"/>
      </w:r>
      <w:r w:rsidRPr="00387E94">
        <w:rPr>
          <w:rtl/>
        </w:rPr>
        <w:t xml:space="preserve"> ويوجد على الموقع الإلكتروني أيضا تقرير للمركز عن مسار الاعتراضات القائمة على الحقوق القانونية.</w:t>
      </w:r>
      <w:r w:rsidRPr="00387E94">
        <w:rPr>
          <w:sz w:val="28"/>
          <w:szCs w:val="28"/>
          <w:vertAlign w:val="superscript"/>
          <w:rtl/>
        </w:rPr>
        <w:footnoteReference w:id="46"/>
      </w:r>
    </w:p>
    <w:p w:rsidR="00387E94" w:rsidRPr="00BF040A" w:rsidRDefault="00BF040A" w:rsidP="00BF040A">
      <w:pPr>
        <w:pStyle w:val="Heading5"/>
        <w:ind w:left="1705"/>
        <w:rPr>
          <w:rStyle w:val="Heading5Char"/>
          <w:rFonts w:eastAsia="SimSun"/>
        </w:rPr>
      </w:pPr>
      <w:r>
        <w:rPr>
          <w:rStyle w:val="Heading5Char"/>
          <w:rFonts w:eastAsia="SimSun" w:hint="cs"/>
          <w:rtl/>
        </w:rPr>
        <w:lastRenderedPageBreak/>
        <w:t>"2"</w:t>
      </w:r>
      <w:r>
        <w:rPr>
          <w:rStyle w:val="Heading5Char"/>
          <w:rFonts w:eastAsia="SimSun"/>
          <w:rtl/>
        </w:rPr>
        <w:tab/>
      </w:r>
      <w:r w:rsidR="00387E94" w:rsidRPr="00BF040A">
        <w:rPr>
          <w:rStyle w:val="Heading5Char"/>
          <w:rFonts w:eastAsia="SimSun" w:hint="cs"/>
          <w:u w:val="single"/>
          <w:rtl/>
        </w:rPr>
        <w:t>إجراءات تسوية المنازعات بعد منح أسماء الحقول العليا</w:t>
      </w:r>
    </w:p>
    <w:p w:rsidR="00387E94" w:rsidRPr="00387E94" w:rsidRDefault="00387E94" w:rsidP="00387E94">
      <w:pPr>
        <w:pStyle w:val="ONUMA"/>
      </w:pPr>
      <w:r w:rsidRPr="00387E94">
        <w:rPr>
          <w:rtl/>
        </w:rPr>
        <w:t>في بداية عام 2009، أرسل مركز الويبو إلى الإيكان اقتراحا موضوعيا ملموسا لاعتماد خيار إداري دائم من شأنه أن يتيح إيداع الشكاوى على ما يُعتمد من حقول عليا جديدة مكونة من أسماء عامة يُزعم أن تشغيلها أو استخدامها الفعلي لدى مكتب التسجيل يتسبب في انتهاك العلامات التجارية أو يُسهم في ذلك إسهاما ماديا.</w:t>
      </w:r>
      <w:r w:rsidRPr="00387E94">
        <w:rPr>
          <w:sz w:val="28"/>
          <w:szCs w:val="28"/>
          <w:vertAlign w:val="superscript"/>
          <w:rtl/>
        </w:rPr>
        <w:footnoteReference w:id="47"/>
      </w:r>
      <w:r w:rsidRPr="00387E94">
        <w:rPr>
          <w:rtl/>
        </w:rPr>
        <w:t xml:space="preserve"> وكان الهدف من الاقتراح هو تقديم المساعدة الموحدة إلى الإيكان من أجل التزامها بمراقبة الامتثال وتزويدها ببديل إداري للتقاضي أمام المحاكم وتشجيع الجهات الفاعلة المعنية على التحلي بسلوك مسؤول بما يشمل توفير الحصانات الملائمة</w:t>
      </w:r>
      <w:r w:rsidRPr="00387E94">
        <w:rPr>
          <w:rFonts w:hint="cs"/>
          <w:rtl/>
        </w:rPr>
        <w:t xml:space="preserve"> للسجل</w:t>
      </w:r>
      <w:r w:rsidRPr="00387E94">
        <w:rPr>
          <w:rtl/>
        </w:rPr>
        <w:t>.</w:t>
      </w:r>
      <w:r w:rsidRPr="00387E94">
        <w:rPr>
          <w:sz w:val="28"/>
          <w:szCs w:val="28"/>
          <w:vertAlign w:val="superscript"/>
          <w:rtl/>
        </w:rPr>
        <w:footnoteReference w:id="48"/>
      </w:r>
    </w:p>
    <w:p w:rsidR="00387E94" w:rsidRPr="00387E94" w:rsidRDefault="00387E94" w:rsidP="00387E94">
      <w:pPr>
        <w:pStyle w:val="ONUMA"/>
      </w:pPr>
      <w:r w:rsidRPr="00387E94">
        <w:rPr>
          <w:rtl/>
        </w:rPr>
        <w:t xml:space="preserve">وبعد إجراءات عديدة للإيكان، بما في ذلك مشاورات مع المسؤولين عن التسجيل، تظل جدوى إجراءات تسوية المنازعات بعد منح أسماء الحقول العليا بالصيغة التي اعتمدتها الإيكان غير أكيدة، لا سيما نظرا لإضافة مجموعة إجراءات </w:t>
      </w:r>
      <w:r w:rsidRPr="00387E94">
        <w:rPr>
          <w:rtl/>
        </w:rPr>
        <w:lastRenderedPageBreak/>
        <w:t>متداخلة ومسائل تتعلق بالنطاق الموضوعي المقصود من هذه الآلية.</w:t>
      </w:r>
      <w:r w:rsidRPr="00387E94">
        <w:rPr>
          <w:rFonts w:hint="cs"/>
          <w:rtl/>
        </w:rPr>
        <w:t xml:space="preserve"> و</w:t>
      </w:r>
      <w:r w:rsidRPr="00387E94">
        <w:rPr>
          <w:rtl/>
        </w:rPr>
        <w:t>بشكل خاص</w:t>
      </w:r>
      <w:r w:rsidRPr="00387E94">
        <w:rPr>
          <w:rFonts w:hint="cs"/>
          <w:rtl/>
        </w:rPr>
        <w:t>،</w:t>
      </w:r>
      <w:r w:rsidRPr="00387E94">
        <w:rPr>
          <w:rtl/>
        </w:rPr>
        <w:t xml:space="preserve"> في أواخر عام 2016، اختارت مجموعة من </w:t>
      </w:r>
      <w:r w:rsidRPr="00387E94">
        <w:rPr>
          <w:rFonts w:hint="cs"/>
          <w:rtl/>
        </w:rPr>
        <w:t>أصحاب</w:t>
      </w:r>
      <w:r w:rsidRPr="00387E94">
        <w:rPr>
          <w:rtl/>
        </w:rPr>
        <w:t xml:space="preserve"> العلامات التجارية </w:t>
      </w:r>
      <w:r w:rsidRPr="00387E94">
        <w:rPr>
          <w:rFonts w:hint="cs"/>
          <w:rtl/>
        </w:rPr>
        <w:t>إحالة</w:t>
      </w:r>
      <w:r w:rsidRPr="00387E94">
        <w:rPr>
          <w:rtl/>
        </w:rPr>
        <w:t xml:space="preserve"> إجراء </w:t>
      </w:r>
      <w:r w:rsidRPr="00387E94">
        <w:rPr>
          <w:rFonts w:hint="cs"/>
          <w:rtl/>
        </w:rPr>
        <w:t>تسوية</w:t>
      </w:r>
      <w:r w:rsidRPr="00387E94">
        <w:rPr>
          <w:rtl/>
        </w:rPr>
        <w:t xml:space="preserve"> </w:t>
      </w:r>
      <w:r w:rsidRPr="00387E94">
        <w:rPr>
          <w:rFonts w:hint="cs"/>
          <w:rtl/>
        </w:rPr>
        <w:t>الم</w:t>
      </w:r>
      <w:r w:rsidRPr="00387E94">
        <w:rPr>
          <w:rtl/>
        </w:rPr>
        <w:t>ن</w:t>
      </w:r>
      <w:r w:rsidRPr="00387E94">
        <w:rPr>
          <w:rFonts w:hint="cs"/>
          <w:rtl/>
        </w:rPr>
        <w:t>ا</w:t>
      </w:r>
      <w:r w:rsidRPr="00387E94">
        <w:rPr>
          <w:rtl/>
        </w:rPr>
        <w:t xml:space="preserve">زعات </w:t>
      </w:r>
      <w:r w:rsidRPr="00387E94">
        <w:rPr>
          <w:rFonts w:hint="cs"/>
          <w:rtl/>
        </w:rPr>
        <w:t>المتعلقة</w:t>
      </w:r>
      <w:r w:rsidRPr="00387E94">
        <w:rPr>
          <w:rtl/>
        </w:rPr>
        <w:t xml:space="preserve"> </w:t>
      </w:r>
      <w:r w:rsidRPr="00387E94">
        <w:rPr>
          <w:rFonts w:hint="cs"/>
          <w:rtl/>
        </w:rPr>
        <w:t>ب</w:t>
      </w:r>
      <w:r w:rsidRPr="00387E94">
        <w:rPr>
          <w:rtl/>
        </w:rPr>
        <w:t>المصلحة العامة (</w:t>
      </w:r>
      <w:r w:rsidRPr="00387E94">
        <w:t>PICDRP</w:t>
      </w:r>
      <w:r w:rsidRPr="00387E94">
        <w:rPr>
          <w:rtl/>
        </w:rPr>
        <w:t xml:space="preserve">) بدلاً من استخدام </w:t>
      </w:r>
      <w:r w:rsidRPr="00387E94">
        <w:rPr>
          <w:rFonts w:hint="cs"/>
          <w:rtl/>
        </w:rPr>
        <w:t>ا</w:t>
      </w:r>
      <w:r w:rsidRPr="00387E94">
        <w:rPr>
          <w:rtl/>
        </w:rPr>
        <w:t>لإجراءات المتاح</w:t>
      </w:r>
      <w:r w:rsidRPr="00387E94">
        <w:rPr>
          <w:rFonts w:hint="cs"/>
          <w:rtl/>
        </w:rPr>
        <w:t>ة</w:t>
      </w:r>
      <w:r w:rsidRPr="00387E94">
        <w:rPr>
          <w:rtl/>
        </w:rPr>
        <w:t xml:space="preserve"> </w:t>
      </w:r>
      <w:r w:rsidRPr="00387E94">
        <w:rPr>
          <w:rFonts w:hint="cs"/>
          <w:rtl/>
        </w:rPr>
        <w:t>ل</w:t>
      </w:r>
      <w:r w:rsidRPr="00387E94">
        <w:rPr>
          <w:rtl/>
        </w:rPr>
        <w:t>تسوية المنازعات بعد منح أسماء الحقول</w:t>
      </w:r>
      <w:r w:rsidRPr="00387E94">
        <w:rPr>
          <w:sz w:val="28"/>
          <w:szCs w:val="28"/>
          <w:vertAlign w:val="superscript"/>
          <w:rtl/>
        </w:rPr>
        <w:footnoteReference w:id="49"/>
      </w:r>
      <w:r w:rsidRPr="00387E94">
        <w:rPr>
          <w:rFonts w:hint="cs"/>
          <w:rtl/>
        </w:rPr>
        <w:t>.</w:t>
      </w:r>
      <w:r w:rsidRPr="00387E94">
        <w:rPr>
          <w:rtl/>
        </w:rPr>
        <w:t xml:space="preserve"> وفي ضوء المصالح السياسية المعنية، اتفق مركز الويبو في عام 2013 مع الإيكان على أن يصبح م</w:t>
      </w:r>
      <w:r w:rsidRPr="00387E94">
        <w:rPr>
          <w:rFonts w:hint="cs"/>
          <w:rtl/>
        </w:rPr>
        <w:t>ُ</w:t>
      </w:r>
      <w:r w:rsidRPr="00387E94">
        <w:rPr>
          <w:rtl/>
        </w:rPr>
        <w:t>ور</w:t>
      </w:r>
      <w:r w:rsidRPr="00387E94">
        <w:rPr>
          <w:rFonts w:hint="cs"/>
          <w:rtl/>
        </w:rPr>
        <w:t>ِّ</w:t>
      </w:r>
      <w:r w:rsidRPr="00387E94">
        <w:rPr>
          <w:rtl/>
        </w:rPr>
        <w:t>دا لإجراءات تسوية المنازعات بعد منح أسماء الحقول فيما يتعلق بالعلامات التجارية.</w:t>
      </w:r>
    </w:p>
    <w:p w:rsidR="00387E94" w:rsidRPr="00BF040A" w:rsidRDefault="00BF040A" w:rsidP="00BF040A">
      <w:pPr>
        <w:pStyle w:val="Heading4"/>
        <w:ind w:left="1255"/>
        <w:rPr>
          <w:rFonts w:eastAsia="SimSun"/>
          <w:u w:val="none"/>
          <w:lang w:eastAsia="zh-CN"/>
        </w:rPr>
      </w:pPr>
      <w:r>
        <w:rPr>
          <w:rFonts w:eastAsia="SimSun" w:hint="cs"/>
          <w:u w:val="none"/>
          <w:rtl/>
          <w:lang w:eastAsia="zh-CN"/>
        </w:rPr>
        <w:t>(ب)</w:t>
      </w:r>
      <w:r>
        <w:rPr>
          <w:rFonts w:eastAsia="SimSun"/>
          <w:u w:val="none"/>
          <w:rtl/>
          <w:lang w:eastAsia="zh-CN"/>
        </w:rPr>
        <w:tab/>
      </w:r>
      <w:r w:rsidR="00387E94" w:rsidRPr="00A15EE6">
        <w:rPr>
          <w:rFonts w:eastAsia="SimSun" w:hint="cs"/>
          <w:rtl/>
          <w:lang w:eastAsia="zh-CN"/>
        </w:rPr>
        <w:t>آليات حماية الحقوق من الدرجة الثانية</w:t>
      </w:r>
    </w:p>
    <w:p w:rsidR="00387E94" w:rsidRPr="00A15EE6" w:rsidRDefault="00A15EE6" w:rsidP="00A15EE6">
      <w:pPr>
        <w:pStyle w:val="Heading5"/>
        <w:ind w:left="1705"/>
        <w:rPr>
          <w:rStyle w:val="Heading5Char"/>
          <w:rFonts w:eastAsia="SimSun"/>
        </w:rPr>
      </w:pPr>
      <w:r>
        <w:rPr>
          <w:rStyle w:val="Heading5Char"/>
          <w:rFonts w:eastAsia="SimSun" w:hint="cs"/>
          <w:rtl/>
        </w:rPr>
        <w:t>"1"</w:t>
      </w:r>
      <w:r>
        <w:rPr>
          <w:rStyle w:val="Heading5Char"/>
          <w:rFonts w:eastAsia="SimSun"/>
          <w:rtl/>
        </w:rPr>
        <w:tab/>
      </w:r>
      <w:r w:rsidR="00387E94" w:rsidRPr="00A15EE6">
        <w:rPr>
          <w:rStyle w:val="Heading5Char"/>
          <w:rFonts w:eastAsia="SimSun" w:hint="cs"/>
          <w:u w:val="single"/>
          <w:rtl/>
        </w:rPr>
        <w:t>مركز تبادل المعلومات عن العلامات التجارية</w:t>
      </w:r>
    </w:p>
    <w:p w:rsidR="00387E94" w:rsidRPr="00387E94" w:rsidRDefault="00387E94" w:rsidP="00387E94">
      <w:pPr>
        <w:pStyle w:val="ONUMA"/>
      </w:pPr>
      <w:r w:rsidRPr="00387E94">
        <w:rPr>
          <w:rtl/>
        </w:rPr>
        <w:t>يشمل برنامج الحقول العليا الجديدة المكونة من أسماء عامة الخاص بالإيكان "مركز تبادل المعلومات عن العلامات التجارية" باعتباره مستودعا مركزيا للبيانات الأصلية عن العلامات التجارية التي يمكن ذكرها على أنها أساس لتقديم الطلبات بموجب آليات حماية الحقوق في الحقول العليا الجديدة المكونة من أسماء عامة.</w:t>
      </w:r>
      <w:r w:rsidRPr="00387E94">
        <w:rPr>
          <w:sz w:val="28"/>
          <w:szCs w:val="28"/>
          <w:vertAlign w:val="superscript"/>
          <w:rtl/>
        </w:rPr>
        <w:footnoteReference w:id="50"/>
      </w:r>
      <w:r w:rsidRPr="00387E94">
        <w:rPr>
          <w:rtl/>
        </w:rPr>
        <w:t xml:space="preserve"> وعقّب المركز بأنه لا ينبغي لمركز </w:t>
      </w:r>
      <w:r w:rsidRPr="00387E94">
        <w:rPr>
          <w:rtl/>
        </w:rPr>
        <w:lastRenderedPageBreak/>
        <w:t xml:space="preserve">تبادل المعلومات أن يثقل كاهل أصحاب الحقوق على نحو غير مُنصِف عند معالجة تسجيلات العلامات التجارية الممنوحة بصفة شرعية بواسطة أنظمة الفحص والتسجيل كما هي مطبقة في أنظمة قضائية عالمية عديدة، وأنه يمكن، عند الاقتضاء، التفكير في تدابير عملية لتحديد أي ادعاءات بمطالبة غير ملائمة بالحقوق في سياقات محددة. وتشير المعلومات المتاحة إلى أنه حتى </w:t>
      </w:r>
      <w:r w:rsidRPr="00387E94">
        <w:rPr>
          <w:rFonts w:hint="cs"/>
          <w:rtl/>
        </w:rPr>
        <w:t>يونيو</w:t>
      </w:r>
      <w:r w:rsidRPr="00387E94">
        <w:rPr>
          <w:rtl/>
        </w:rPr>
        <w:t xml:space="preserve"> </w:t>
      </w:r>
      <w:r w:rsidRPr="00387E94">
        <w:rPr>
          <w:rFonts w:hint="cs"/>
          <w:rtl/>
        </w:rPr>
        <w:t>2019</w:t>
      </w:r>
      <w:r w:rsidRPr="00387E94">
        <w:rPr>
          <w:rtl/>
        </w:rPr>
        <w:t>،</w:t>
      </w:r>
      <w:r w:rsidRPr="00387E94">
        <w:rPr>
          <w:rFonts w:hint="cs"/>
          <w:rtl/>
        </w:rPr>
        <w:t xml:space="preserve"> كان</w:t>
      </w:r>
      <w:r w:rsidRPr="00387E94">
        <w:rPr>
          <w:rtl/>
        </w:rPr>
        <w:t xml:space="preserve"> مركز تبادل المعلومات </w:t>
      </w:r>
      <w:r w:rsidRPr="00387E94">
        <w:rPr>
          <w:rFonts w:hint="cs"/>
          <w:rtl/>
        </w:rPr>
        <w:t xml:space="preserve">قد </w:t>
      </w:r>
      <w:r w:rsidRPr="00387E94">
        <w:rPr>
          <w:rtl/>
        </w:rPr>
        <w:t>تلقى أكثر من</w:t>
      </w:r>
      <w:r w:rsidRPr="00387E94">
        <w:t>45,000</w:t>
      </w:r>
      <w:r w:rsidRPr="00387E94">
        <w:rPr>
          <w:rtl/>
        </w:rPr>
        <w:t xml:space="preserve"> مدخلا.</w:t>
      </w:r>
      <w:r w:rsidRPr="00387E94">
        <w:rPr>
          <w:sz w:val="28"/>
          <w:szCs w:val="28"/>
          <w:vertAlign w:val="superscript"/>
        </w:rPr>
        <w:footnoteReference w:id="51"/>
      </w:r>
    </w:p>
    <w:p w:rsidR="00A15EE6" w:rsidRPr="00A15EE6" w:rsidRDefault="00A15EE6" w:rsidP="00A15EE6">
      <w:pPr>
        <w:pStyle w:val="Heading5"/>
        <w:ind w:left="1705"/>
        <w:rPr>
          <w:rFonts w:eastAsia="SimSun"/>
          <w:i w:val="0"/>
          <w:iCs w:val="0"/>
        </w:rPr>
      </w:pPr>
      <w:r>
        <w:rPr>
          <w:rStyle w:val="Heading5Char"/>
          <w:rFonts w:eastAsia="SimSun" w:hint="cs"/>
          <w:rtl/>
        </w:rPr>
        <w:t>"2"</w:t>
      </w:r>
      <w:r>
        <w:rPr>
          <w:rStyle w:val="Heading5Char"/>
          <w:rFonts w:eastAsia="SimSun"/>
          <w:rtl/>
        </w:rPr>
        <w:tab/>
      </w:r>
      <w:r w:rsidR="00387E94" w:rsidRPr="00A15EE6">
        <w:rPr>
          <w:rStyle w:val="Heading5Char"/>
          <w:rFonts w:eastAsia="SimSun" w:hint="cs"/>
          <w:u w:val="single"/>
          <w:rtl/>
        </w:rPr>
        <w:t>الإجراء الموحد للوقف السريع</w:t>
      </w:r>
    </w:p>
    <w:p w:rsidR="00387E94" w:rsidRPr="00387E94" w:rsidRDefault="00387E94" w:rsidP="00387E94">
      <w:pPr>
        <w:pStyle w:val="ONUMA"/>
      </w:pPr>
      <w:r w:rsidRPr="00387E94">
        <w:rPr>
          <w:rtl/>
        </w:rPr>
        <w:t xml:space="preserve">على الرغم من بقاء السياسة الموحدة متاحة كأداة مجدية لتسوية منازعات الحقول العليا الجديدة المكونة من أسماء عامة والمتعلقة بنقل اسم حقل متنازع عليه إلى صاحب العلامة التجارية، فقد استحدثت الإيكان ما يقصد </w:t>
      </w:r>
      <w:r w:rsidRPr="00387E94">
        <w:rPr>
          <w:rtl/>
        </w:rPr>
        <w:lastRenderedPageBreak/>
        <w:t>به أن يكون آلية من الدرجة الثانية لحماية الحقوق تكون أخف وقعا في الحالات المعنية.</w:t>
      </w:r>
      <w:r w:rsidRPr="00387E94">
        <w:rPr>
          <w:sz w:val="28"/>
          <w:szCs w:val="28"/>
          <w:vertAlign w:val="superscript"/>
          <w:rtl/>
        </w:rPr>
        <w:footnoteReference w:id="52"/>
      </w:r>
    </w:p>
    <w:p w:rsidR="00387E94" w:rsidRPr="00387E94" w:rsidRDefault="00387E94" w:rsidP="00387E94">
      <w:pPr>
        <w:pStyle w:val="ONUMA"/>
      </w:pPr>
      <w:r w:rsidRPr="00387E94">
        <w:rPr>
          <w:rtl/>
        </w:rPr>
        <w:t>ورغم أن النظام الموحد للوقف السريع نشأ عن سلسلة من مسارات الإيكان ولجانها، فإنه لا يزال يثير عددا من التساؤلات، منها علاقته بالسياسة الموحدة لتسوية المنازعات.</w:t>
      </w:r>
      <w:r w:rsidRPr="00387E94">
        <w:rPr>
          <w:sz w:val="28"/>
          <w:szCs w:val="28"/>
          <w:vertAlign w:val="superscript"/>
          <w:rtl/>
        </w:rPr>
        <w:footnoteReference w:id="53"/>
      </w:r>
      <w:r w:rsidRPr="00387E94">
        <w:rPr>
          <w:rtl/>
        </w:rPr>
        <w:t xml:space="preserve"> وقد دعت الإيكان إلى أن يتقدم المقدمون المحتملون لخدمات الإجراء الموحد للوقف السريع بعطاءاتهم، وبعد دراسة متأنية لنموذج الإيكان الخاص بالإجراء الموحد للوقف السريع والموارد ذات الصلة، أصبح من الواضح أن مركز الويبو لم يكن في وضع يسمح له بالتقدم بأي عطاء.</w:t>
      </w:r>
      <w:r w:rsidRPr="00387E94">
        <w:rPr>
          <w:sz w:val="28"/>
          <w:szCs w:val="28"/>
          <w:vertAlign w:val="superscript"/>
          <w:rtl/>
        </w:rPr>
        <w:footnoteReference w:id="54"/>
      </w:r>
      <w:r w:rsidRPr="00387E94">
        <w:rPr>
          <w:rtl/>
        </w:rPr>
        <w:t xml:space="preserve"> وما زال المركز يرصد التطورات عن كثب.</w:t>
      </w:r>
    </w:p>
    <w:p w:rsidR="00387E94" w:rsidRPr="00A15EE6" w:rsidRDefault="00387E94" w:rsidP="00A15EE6">
      <w:pPr>
        <w:pStyle w:val="Heading3"/>
        <w:ind w:left="535"/>
        <w:rPr>
          <w:lang w:bidi="ar-EG"/>
        </w:rPr>
      </w:pPr>
      <w:r w:rsidRPr="00A15EE6">
        <w:rPr>
          <w:rFonts w:hint="cs"/>
          <w:rtl/>
          <w:lang w:bidi="ar-EG"/>
        </w:rPr>
        <w:t>باء.</w:t>
      </w:r>
      <w:r w:rsidRPr="00A15EE6">
        <w:rPr>
          <w:rtl/>
          <w:lang w:bidi="ar-EG"/>
        </w:rPr>
        <w:tab/>
        <w:t xml:space="preserve">مراجعة الإيكان المرتقبة للسياسة الموحدة لتسوية المنازعات المتعلقة بأسماء الحقول على الإنترنت التي </w:t>
      </w:r>
      <w:r w:rsidRPr="00A15EE6">
        <w:rPr>
          <w:rtl/>
          <w:lang w:bidi="ar-EG"/>
        </w:rPr>
        <w:lastRenderedPageBreak/>
        <w:t>وضعتها الويبو وغيرها من آليات حماية الحقوق</w:t>
      </w:r>
    </w:p>
    <w:p w:rsidR="00387E94" w:rsidRPr="00387E94" w:rsidRDefault="00387E94" w:rsidP="00387E94">
      <w:pPr>
        <w:pStyle w:val="ONUMA"/>
      </w:pPr>
      <w:r w:rsidRPr="00387E94">
        <w:rPr>
          <w:rtl/>
        </w:rPr>
        <w:t>إن السياسة الموحدة إذ تتكيف مع التطور المتواصل لنظام أسماء الحقول، فقد أخذت توفر بديلا</w:t>
      </w:r>
      <w:r w:rsidRPr="00387E94">
        <w:rPr>
          <w:rFonts w:hint="cs"/>
          <w:rtl/>
        </w:rPr>
        <w:t>ً</w:t>
      </w:r>
      <w:r w:rsidRPr="00387E94">
        <w:rPr>
          <w:rtl/>
        </w:rPr>
        <w:t xml:space="preserve"> </w:t>
      </w:r>
      <w:r w:rsidRPr="00387E94">
        <w:rPr>
          <w:rFonts w:hint="cs"/>
          <w:rtl/>
        </w:rPr>
        <w:t>فعاّلاً للغاية</w:t>
      </w:r>
      <w:r w:rsidRPr="00387E94">
        <w:rPr>
          <w:rtl/>
        </w:rPr>
        <w:t xml:space="preserve"> عن المقاضاة أمام المحاكم لأصحاب العلامات التجارية وأصحاب تسجيلات أسماء الحقول والمسؤولين عن التسجيل. ولكن عقب مناقشات أجريت عام 2011، رأت فيها الغالبية العظمى من المشاركين أن أي مراجعة تقوم بها الإيكان </w:t>
      </w:r>
      <w:r w:rsidRPr="00387E94">
        <w:rPr>
          <w:rFonts w:hint="cs"/>
          <w:rtl/>
        </w:rPr>
        <w:t xml:space="preserve">بوصفها هيئة تسجيل </w:t>
      </w:r>
      <w:r w:rsidRPr="00387E94">
        <w:rPr>
          <w:rtl/>
        </w:rPr>
        <w:t>للسياسة الموحدة سيكون ضررها أكثر من نفعها،</w:t>
      </w:r>
      <w:r w:rsidRPr="00387E94">
        <w:rPr>
          <w:sz w:val="28"/>
          <w:szCs w:val="28"/>
          <w:vertAlign w:val="superscript"/>
          <w:rtl/>
        </w:rPr>
        <w:footnoteReference w:id="55"/>
      </w:r>
      <w:r w:rsidRPr="00387E94">
        <w:rPr>
          <w:rtl/>
        </w:rPr>
        <w:t xml:space="preserve"> اتخذت المنظمة الداعمة للأسماء العامة التابعة للإيكان قرارا بمراجعة السياسة الموحدة عقب إطلاق حقول جديدة عليا مكونة من أسماء عامة. و</w:t>
      </w:r>
      <w:r w:rsidRPr="00387E94">
        <w:rPr>
          <w:rFonts w:hint="cs"/>
          <w:rtl/>
        </w:rPr>
        <w:t>نُشر</w:t>
      </w:r>
      <w:r w:rsidRPr="00387E94">
        <w:rPr>
          <w:rtl/>
        </w:rPr>
        <w:t xml:space="preserve"> تقرير الإيكان الأول حول هذا الموضوع في أكتوبر 2015 ووصف طائفة من المسائل الجوهرية المعقدة والمتعلقة بالعملية.</w:t>
      </w:r>
      <w:r w:rsidRPr="00387E94">
        <w:rPr>
          <w:sz w:val="28"/>
          <w:szCs w:val="28"/>
          <w:vertAlign w:val="superscript"/>
          <w:rtl/>
        </w:rPr>
        <w:footnoteReference w:id="56"/>
      </w:r>
      <w:r w:rsidRPr="00387E94">
        <w:rPr>
          <w:rtl/>
        </w:rPr>
        <w:t xml:space="preserve"> وفي هذا الصدد، قدم مركز الويبو ملاحظات تبرز</w:t>
      </w:r>
      <w:r w:rsidRPr="00387E94">
        <w:rPr>
          <w:rFonts w:hint="cs"/>
          <w:rtl/>
        </w:rPr>
        <w:t xml:space="preserve"> كلا من</w:t>
      </w:r>
      <w:r w:rsidRPr="00387E94">
        <w:rPr>
          <w:rtl/>
        </w:rPr>
        <w:t xml:space="preserve"> النجاح الطويل للسياسية الموحدة والمخاطر المرتبطة بأي محاولة من الإيكان لمراجعة السياسة الموحدة. وعقب فترة تعقيب عامة، </w:t>
      </w:r>
      <w:r w:rsidRPr="00387E94">
        <w:rPr>
          <w:rFonts w:hint="cs"/>
          <w:rtl/>
        </w:rPr>
        <w:t>نشرت</w:t>
      </w:r>
      <w:r w:rsidRPr="00387E94">
        <w:rPr>
          <w:rtl/>
        </w:rPr>
        <w:t xml:space="preserve"> الإيكان تقريرها النهائي في يناير 2016 وأوصت فيه المنظمة الداعمة للأسماء العامة بإطلاق عملية تطوير السياسات لمراجعة جميع آليات حماية الحقوق على مرحلتين، و</w:t>
      </w:r>
      <w:r w:rsidRPr="00387E94">
        <w:rPr>
          <w:rFonts w:hint="cs"/>
          <w:rtl/>
        </w:rPr>
        <w:t xml:space="preserve">لا تزال </w:t>
      </w:r>
      <w:r w:rsidRPr="00387E94">
        <w:rPr>
          <w:rtl/>
        </w:rPr>
        <w:t xml:space="preserve">المرحلة الأولى تركز على آليات حماية الحقوق المطورة من أجل البرنامج الجديد للحقول العليا المكونة من أسماء عامة، وخاصة </w:t>
      </w:r>
      <w:r w:rsidRPr="00387E94">
        <w:rPr>
          <w:rtl/>
        </w:rPr>
        <w:lastRenderedPageBreak/>
        <w:t>مركز تبادل المعلومات عن العلامات التجارية (بما يشمل آليتي حماية الحقوق "</w:t>
      </w:r>
      <w:r w:rsidRPr="00387E94">
        <w:t>Sunrise</w:t>
      </w:r>
      <w:r w:rsidRPr="00387E94">
        <w:rPr>
          <w:rtl/>
        </w:rPr>
        <w:t>" و"المطالب")، وستركز المرحلة الثانية على السياسة الموحدة.</w:t>
      </w:r>
      <w:r w:rsidRPr="00387E94">
        <w:rPr>
          <w:sz w:val="28"/>
          <w:szCs w:val="28"/>
          <w:vertAlign w:val="superscript"/>
          <w:rtl/>
        </w:rPr>
        <w:footnoteReference w:id="57"/>
      </w:r>
      <w:r w:rsidRPr="00387E94">
        <w:rPr>
          <w:rFonts w:hint="cs"/>
          <w:rtl/>
        </w:rPr>
        <w:t xml:space="preserve"> </w:t>
      </w:r>
      <w:r w:rsidRPr="00387E94">
        <w:rPr>
          <w:rtl/>
        </w:rPr>
        <w:t>وهذه المسألة مدعاة لقلق بالغ</w:t>
      </w:r>
      <w:r w:rsidRPr="00387E94">
        <w:rPr>
          <w:rFonts w:hint="cs"/>
          <w:rtl/>
        </w:rPr>
        <w:t>،</w:t>
      </w:r>
      <w:r w:rsidRPr="00387E94">
        <w:rPr>
          <w:rtl/>
        </w:rPr>
        <w:t xml:space="preserve"> ويواصل مركز الويبو متابعة نوايا أصحاب المصلحة في الإيكان عن كثب فيما يتعلق بالسياسة الموحدة وآليات حماية حقوق العلامة التجارية بوجه عام. وفي إطار هذا الجهد، يتواصل المركز عند الاقتضاء مع أصحاب المصلحة المعنيين بالعلامات التجارية مثل جمعية الاتحادات الأوروبية للعاملين في مجال العلامات التجارية (</w:t>
      </w:r>
      <w:r w:rsidRPr="00387E94">
        <w:t>ECTA</w:t>
      </w:r>
      <w:r w:rsidRPr="00387E94">
        <w:rPr>
          <w:rtl/>
        </w:rPr>
        <w:t xml:space="preserve">) </w:t>
      </w:r>
      <w:r w:rsidRPr="00387E94">
        <w:rPr>
          <w:rFonts w:hint="cs"/>
          <w:rtl/>
        </w:rPr>
        <w:t>و</w:t>
      </w:r>
      <w:r w:rsidRPr="00387E94">
        <w:rPr>
          <w:rtl/>
        </w:rPr>
        <w:t>الرابطة الدولية للعلامات التجارية (</w:t>
      </w:r>
      <w:r w:rsidRPr="00387E94">
        <w:t>INTA</w:t>
      </w:r>
      <w:r w:rsidRPr="00387E94">
        <w:rPr>
          <w:rtl/>
        </w:rPr>
        <w:t>) وجمعية مالكي العلامات التجارية الأوروبيين (</w:t>
      </w:r>
      <w:r w:rsidRPr="00387E94">
        <w:t>MARQUES</w:t>
      </w:r>
      <w:r w:rsidRPr="00387E94">
        <w:rPr>
          <w:rtl/>
        </w:rPr>
        <w:t>).</w:t>
      </w:r>
    </w:p>
    <w:p w:rsidR="00387E94" w:rsidRPr="00A15EE6" w:rsidRDefault="00387E94" w:rsidP="00A15EE6">
      <w:pPr>
        <w:pStyle w:val="Heading3"/>
        <w:ind w:left="535"/>
        <w:rPr>
          <w:lang w:bidi="ar-EG"/>
        </w:rPr>
      </w:pPr>
      <w:r w:rsidRPr="00A15EE6">
        <w:rPr>
          <w:rFonts w:hint="cs"/>
          <w:rtl/>
          <w:lang w:bidi="ar-EG"/>
        </w:rPr>
        <w:t>جيم.</w:t>
      </w:r>
      <w:r w:rsidRPr="00A15EE6">
        <w:rPr>
          <w:rtl/>
          <w:lang w:bidi="ar-EG"/>
        </w:rPr>
        <w:tab/>
      </w:r>
      <w:r w:rsidRPr="00387E94">
        <w:rPr>
          <w:rtl/>
          <w:lang w:bidi="ar-EG"/>
        </w:rPr>
        <w:t>النظام الأوروبي لحماية البيانات العامة</w:t>
      </w:r>
      <w:r w:rsidRPr="00387E94">
        <w:rPr>
          <w:rFonts w:hint="cs"/>
          <w:rtl/>
          <w:lang w:bidi="ar-EG"/>
        </w:rPr>
        <w:t xml:space="preserve"> وقاعدة بيانات </w:t>
      </w:r>
      <w:r w:rsidRPr="00387E94">
        <w:rPr>
          <w:lang w:bidi="ar-EG"/>
        </w:rPr>
        <w:t>WHOIS</w:t>
      </w:r>
    </w:p>
    <w:p w:rsidR="00387E94" w:rsidRPr="00387E94" w:rsidRDefault="00387E94" w:rsidP="00387E94">
      <w:pPr>
        <w:pStyle w:val="ONUMA"/>
      </w:pPr>
      <w:r w:rsidRPr="00387E94">
        <w:rPr>
          <w:rFonts w:hint="cs"/>
          <w:rtl/>
        </w:rPr>
        <w:t>دخل النظام الأوروبي لحماية البيانات العامة (</w:t>
      </w:r>
      <w:r w:rsidRPr="00387E94">
        <w:t>GDPR</w:t>
      </w:r>
      <w:r w:rsidRPr="00387E94">
        <w:rPr>
          <w:rFonts w:hint="cs"/>
          <w:rtl/>
        </w:rPr>
        <w:t xml:space="preserve">) حيز النفاذ </w:t>
      </w:r>
      <w:r w:rsidRPr="00387E94">
        <w:rPr>
          <w:rtl/>
        </w:rPr>
        <w:t>في 25 مايو 2018. و</w:t>
      </w:r>
      <w:r w:rsidRPr="00387E94">
        <w:rPr>
          <w:rFonts w:hint="cs"/>
          <w:rtl/>
        </w:rPr>
        <w:t xml:space="preserve">يتمثل الهدف العام لهذا النظام، كما </w:t>
      </w:r>
      <w:r w:rsidRPr="00387E94">
        <w:rPr>
          <w:rtl/>
        </w:rPr>
        <w:t>ذكر</w:t>
      </w:r>
      <w:r w:rsidRPr="00387E94">
        <w:rPr>
          <w:rFonts w:hint="cs"/>
          <w:rtl/>
        </w:rPr>
        <w:t>ت</w:t>
      </w:r>
      <w:r w:rsidRPr="00387E94">
        <w:rPr>
          <w:rtl/>
        </w:rPr>
        <w:t xml:space="preserve"> المفوضية الأوروبية، </w:t>
      </w:r>
      <w:r w:rsidRPr="00387E94">
        <w:rPr>
          <w:rFonts w:hint="cs"/>
          <w:rtl/>
        </w:rPr>
        <w:t xml:space="preserve">في </w:t>
      </w:r>
      <w:r w:rsidRPr="00387E94">
        <w:rPr>
          <w:rtl/>
        </w:rPr>
        <w:t xml:space="preserve">معالجة </w:t>
      </w:r>
      <w:r w:rsidRPr="00387E94">
        <w:rPr>
          <w:rFonts w:hint="cs"/>
          <w:rtl/>
        </w:rPr>
        <w:t>شواغل</w:t>
      </w:r>
      <w:r w:rsidRPr="00387E94">
        <w:rPr>
          <w:rtl/>
        </w:rPr>
        <w:t xml:space="preserve"> الخصوصية والبيانات، حيث يجب قياس هذه الأهداف </w:t>
      </w:r>
      <w:r w:rsidRPr="00387E94">
        <w:rPr>
          <w:rFonts w:hint="cs"/>
          <w:rtl/>
        </w:rPr>
        <w:t xml:space="preserve">في ضوء مصالح الغير المشروعة </w:t>
      </w:r>
      <w:r w:rsidRPr="00387E94">
        <w:rPr>
          <w:rtl/>
        </w:rPr>
        <w:t xml:space="preserve">مثل العقود </w:t>
      </w:r>
      <w:r w:rsidRPr="00387E94">
        <w:rPr>
          <w:rFonts w:hint="cs"/>
          <w:rtl/>
        </w:rPr>
        <w:t>والمنازعات</w:t>
      </w:r>
      <w:r w:rsidRPr="00387E94">
        <w:rPr>
          <w:rtl/>
        </w:rPr>
        <w:t xml:space="preserve"> القانونية</w:t>
      </w:r>
      <w:r w:rsidRPr="00387E94">
        <w:rPr>
          <w:rFonts w:hint="cs"/>
          <w:rtl/>
        </w:rPr>
        <w:t>.</w:t>
      </w:r>
    </w:p>
    <w:p w:rsidR="00387E94" w:rsidRPr="00387E94" w:rsidRDefault="00387E94" w:rsidP="00387E94">
      <w:pPr>
        <w:pStyle w:val="ONUMA"/>
      </w:pPr>
      <w:r w:rsidRPr="00387E94">
        <w:rPr>
          <w:rFonts w:hint="cs"/>
          <w:rtl/>
        </w:rPr>
        <w:t>و</w:t>
      </w:r>
      <w:r w:rsidRPr="00387E94">
        <w:rPr>
          <w:rtl/>
        </w:rPr>
        <w:t xml:space="preserve">بعد 25 مايو 2018، لم تعد بيانات </w:t>
      </w:r>
      <w:r w:rsidRPr="00387E94">
        <w:t>WhoIs</w:t>
      </w:r>
      <w:r w:rsidRPr="00387E94">
        <w:rPr>
          <w:rtl/>
        </w:rPr>
        <w:t xml:space="preserve"> المتاحة </w:t>
      </w:r>
      <w:r w:rsidRPr="00387E94">
        <w:rPr>
          <w:rFonts w:hint="cs"/>
          <w:rtl/>
        </w:rPr>
        <w:t xml:space="preserve">لعامة الناس </w:t>
      </w:r>
      <w:r w:rsidRPr="00387E94">
        <w:rPr>
          <w:rtl/>
        </w:rPr>
        <w:t xml:space="preserve">تتضمن </w:t>
      </w:r>
      <w:r w:rsidRPr="00387E94">
        <w:rPr>
          <w:rFonts w:hint="cs"/>
          <w:rtl/>
        </w:rPr>
        <w:t xml:space="preserve">إلى حد بعيد بيانات </w:t>
      </w:r>
      <w:r w:rsidRPr="00387E94">
        <w:rPr>
          <w:rtl/>
        </w:rPr>
        <w:t xml:space="preserve">الاتصال الكاملة </w:t>
      </w:r>
      <w:r w:rsidRPr="00387E94">
        <w:rPr>
          <w:rFonts w:hint="cs"/>
          <w:rtl/>
        </w:rPr>
        <w:t>لصاحب تسجيل</w:t>
      </w:r>
      <w:r w:rsidRPr="00387E94">
        <w:rPr>
          <w:rtl/>
        </w:rPr>
        <w:t xml:space="preserve"> اسم ال</w:t>
      </w:r>
      <w:r w:rsidRPr="00387E94">
        <w:rPr>
          <w:rFonts w:hint="cs"/>
          <w:rtl/>
        </w:rPr>
        <w:t>حقل</w:t>
      </w:r>
      <w:r w:rsidRPr="00387E94">
        <w:rPr>
          <w:rtl/>
        </w:rPr>
        <w:t xml:space="preserve">. </w:t>
      </w:r>
      <w:r w:rsidRPr="00387E94">
        <w:rPr>
          <w:rFonts w:hint="cs"/>
          <w:rtl/>
        </w:rPr>
        <w:t xml:space="preserve">بل أصبحت </w:t>
      </w:r>
      <w:r w:rsidRPr="00387E94">
        <w:rPr>
          <w:rtl/>
        </w:rPr>
        <w:t xml:space="preserve">بيانات </w:t>
      </w:r>
      <w:r w:rsidRPr="00387E94">
        <w:t>WhoIs</w:t>
      </w:r>
      <w:r w:rsidRPr="00387E94">
        <w:rPr>
          <w:rtl/>
        </w:rPr>
        <w:t xml:space="preserve"> المتاحة </w:t>
      </w:r>
      <w:r w:rsidRPr="00387E94">
        <w:rPr>
          <w:rFonts w:hint="cs"/>
          <w:rtl/>
        </w:rPr>
        <w:t xml:space="preserve">لعامة الناس </w:t>
      </w:r>
      <w:r w:rsidRPr="00387E94">
        <w:rPr>
          <w:rtl/>
        </w:rPr>
        <w:t>تقتصر</w:t>
      </w:r>
      <w:r w:rsidRPr="00387E94">
        <w:rPr>
          <w:rFonts w:hint="cs"/>
          <w:rtl/>
        </w:rPr>
        <w:t xml:space="preserve"> بوجه عام</w:t>
      </w:r>
      <w:r w:rsidRPr="00387E94">
        <w:rPr>
          <w:rtl/>
        </w:rPr>
        <w:t xml:space="preserve"> على "منظمة </w:t>
      </w:r>
      <w:r w:rsidRPr="00387E94">
        <w:rPr>
          <w:rFonts w:hint="cs"/>
          <w:rtl/>
        </w:rPr>
        <w:t>صاحب التسجيل</w:t>
      </w:r>
      <w:r w:rsidRPr="00387E94">
        <w:rPr>
          <w:rtl/>
        </w:rPr>
        <w:t xml:space="preserve">" والبلد. ومن الجدير بالذكر أن اسم </w:t>
      </w:r>
      <w:r w:rsidRPr="00387E94">
        <w:rPr>
          <w:rFonts w:hint="cs"/>
          <w:rtl/>
        </w:rPr>
        <w:lastRenderedPageBreak/>
        <w:t>صاحب التسجيل</w:t>
      </w:r>
      <w:r w:rsidRPr="00387E94">
        <w:rPr>
          <w:rtl/>
        </w:rPr>
        <w:t xml:space="preserve"> وعنوان بريد</w:t>
      </w:r>
      <w:r w:rsidRPr="00387E94">
        <w:rPr>
          <w:rFonts w:hint="cs"/>
          <w:rtl/>
        </w:rPr>
        <w:t>ه</w:t>
      </w:r>
      <w:r w:rsidRPr="00387E94">
        <w:rPr>
          <w:rtl/>
        </w:rPr>
        <w:t xml:space="preserve"> الإلكتروني لن يكونا مرئيين</w:t>
      </w:r>
      <w:r w:rsidRPr="00387E94">
        <w:rPr>
          <w:rFonts w:hint="cs"/>
          <w:rtl/>
        </w:rPr>
        <w:t xml:space="preserve"> </w:t>
      </w:r>
      <w:r w:rsidRPr="00387E94">
        <w:rPr>
          <w:rtl/>
        </w:rPr>
        <w:t xml:space="preserve">في معظم الحالات. </w:t>
      </w:r>
      <w:r w:rsidRPr="00387E94">
        <w:rPr>
          <w:rFonts w:hint="cs"/>
          <w:rtl/>
        </w:rPr>
        <w:t>ولكن</w:t>
      </w:r>
      <w:r w:rsidRPr="00387E94">
        <w:rPr>
          <w:rtl/>
        </w:rPr>
        <w:t xml:space="preserve">، لتسهيل الاتصال </w:t>
      </w:r>
      <w:r w:rsidRPr="00387E94">
        <w:rPr>
          <w:rFonts w:hint="cs"/>
          <w:rtl/>
        </w:rPr>
        <w:t>بصاحب تسجيل</w:t>
      </w:r>
      <w:r w:rsidRPr="00387E94">
        <w:rPr>
          <w:rtl/>
        </w:rPr>
        <w:t xml:space="preserve"> اسم ال</w:t>
      </w:r>
      <w:r w:rsidRPr="00387E94">
        <w:rPr>
          <w:rFonts w:hint="cs"/>
          <w:rtl/>
        </w:rPr>
        <w:t>حقل</w:t>
      </w:r>
      <w:r w:rsidRPr="00387E94">
        <w:rPr>
          <w:rtl/>
        </w:rPr>
        <w:t>، يُطلب من الم</w:t>
      </w:r>
      <w:r w:rsidRPr="00387E94">
        <w:rPr>
          <w:rFonts w:hint="cs"/>
          <w:rtl/>
        </w:rPr>
        <w:t>ُ</w:t>
      </w:r>
      <w:r w:rsidRPr="00387E94">
        <w:rPr>
          <w:rtl/>
        </w:rPr>
        <w:t>سج</w:t>
      </w:r>
      <w:r w:rsidRPr="00387E94">
        <w:rPr>
          <w:rFonts w:hint="cs"/>
          <w:rtl/>
        </w:rPr>
        <w:t>ِّ</w:t>
      </w:r>
      <w:r w:rsidRPr="00387E94">
        <w:rPr>
          <w:rtl/>
        </w:rPr>
        <w:t>ل المعني ت</w:t>
      </w:r>
      <w:r w:rsidRPr="00387E94">
        <w:rPr>
          <w:rFonts w:hint="cs"/>
          <w:rtl/>
        </w:rPr>
        <w:t xml:space="preserve">قديم </w:t>
      </w:r>
      <w:r w:rsidRPr="00387E94">
        <w:rPr>
          <w:rtl/>
        </w:rPr>
        <w:t>عنوان بريد إلكتروني "غير م</w:t>
      </w:r>
      <w:r w:rsidRPr="00387E94">
        <w:rPr>
          <w:rFonts w:hint="cs"/>
          <w:rtl/>
        </w:rPr>
        <w:t>ُ</w:t>
      </w:r>
      <w:r w:rsidRPr="00387E94">
        <w:rPr>
          <w:rtl/>
        </w:rPr>
        <w:t>حد</w:t>
      </w:r>
      <w:r w:rsidRPr="00387E94">
        <w:rPr>
          <w:rFonts w:hint="cs"/>
          <w:rtl/>
        </w:rPr>
        <w:t>ِّ</w:t>
      </w:r>
      <w:r w:rsidRPr="00387E94">
        <w:rPr>
          <w:rtl/>
        </w:rPr>
        <w:t xml:space="preserve">د للهوية" أو </w:t>
      </w:r>
      <w:r w:rsidRPr="00387E94">
        <w:rPr>
          <w:rFonts w:hint="cs"/>
          <w:rtl/>
        </w:rPr>
        <w:t xml:space="preserve">استمارة تواصل </w:t>
      </w:r>
      <w:r w:rsidRPr="00387E94">
        <w:rPr>
          <w:rtl/>
        </w:rPr>
        <w:t xml:space="preserve">عبر الإنترنت. </w:t>
      </w:r>
      <w:r w:rsidRPr="00387E94">
        <w:rPr>
          <w:rFonts w:hint="cs"/>
          <w:rtl/>
        </w:rPr>
        <w:t>و</w:t>
      </w:r>
      <w:r w:rsidRPr="00387E94">
        <w:rPr>
          <w:rtl/>
        </w:rPr>
        <w:t xml:space="preserve">رغم هذه القيود العامة، </w:t>
      </w:r>
      <w:r w:rsidRPr="00387E94">
        <w:rPr>
          <w:rFonts w:hint="cs"/>
          <w:rtl/>
        </w:rPr>
        <w:t xml:space="preserve">إذا قُدِّمت </w:t>
      </w:r>
      <w:r w:rsidRPr="00387E94">
        <w:rPr>
          <w:rtl/>
        </w:rPr>
        <w:t>شكوى بناء على السياسة الموحدة</w:t>
      </w:r>
      <w:r w:rsidRPr="00387E94">
        <w:rPr>
          <w:rFonts w:hint="cs"/>
          <w:rtl/>
        </w:rPr>
        <w:t xml:space="preserve"> لتسوية المنازعات إلى أحد </w:t>
      </w:r>
      <w:r w:rsidRPr="00387E94">
        <w:rPr>
          <w:rtl/>
        </w:rPr>
        <w:t>م</w:t>
      </w:r>
      <w:r w:rsidRPr="00387E94">
        <w:rPr>
          <w:rFonts w:hint="cs"/>
          <w:rtl/>
        </w:rPr>
        <w:t>ُ</w:t>
      </w:r>
      <w:r w:rsidRPr="00387E94">
        <w:rPr>
          <w:rtl/>
        </w:rPr>
        <w:t>قد</w:t>
      </w:r>
      <w:r w:rsidRPr="00387E94">
        <w:rPr>
          <w:rFonts w:hint="cs"/>
          <w:rtl/>
        </w:rPr>
        <w:t>ِّ</w:t>
      </w:r>
      <w:r w:rsidRPr="00387E94">
        <w:rPr>
          <w:rtl/>
        </w:rPr>
        <w:t xml:space="preserve">مي الخدمات في إطار السياسة الموحدة، </w:t>
      </w:r>
      <w:r w:rsidRPr="00387E94">
        <w:rPr>
          <w:rFonts w:hint="cs"/>
          <w:rtl/>
        </w:rPr>
        <w:t xml:space="preserve">فسوف يقدم </w:t>
      </w:r>
      <w:r w:rsidRPr="00387E94">
        <w:rPr>
          <w:rtl/>
        </w:rPr>
        <w:t>م</w:t>
      </w:r>
      <w:r w:rsidRPr="00387E94">
        <w:rPr>
          <w:rFonts w:hint="cs"/>
          <w:rtl/>
        </w:rPr>
        <w:t>ُ</w:t>
      </w:r>
      <w:r w:rsidRPr="00387E94">
        <w:rPr>
          <w:rtl/>
        </w:rPr>
        <w:t>سج</w:t>
      </w:r>
      <w:r w:rsidRPr="00387E94">
        <w:rPr>
          <w:rFonts w:hint="cs"/>
          <w:rtl/>
        </w:rPr>
        <w:t>ِّ</w:t>
      </w:r>
      <w:r w:rsidRPr="00387E94">
        <w:rPr>
          <w:rtl/>
        </w:rPr>
        <w:t>لو</w:t>
      </w:r>
      <w:r w:rsidRPr="00387E94">
        <w:rPr>
          <w:rFonts w:hint="cs"/>
          <w:rtl/>
        </w:rPr>
        <w:t xml:space="preserve"> شكاوى </w:t>
      </w:r>
      <w:r w:rsidRPr="00387E94">
        <w:rPr>
          <w:rtl/>
        </w:rPr>
        <w:t xml:space="preserve">الإيكان </w:t>
      </w:r>
      <w:r w:rsidRPr="00387E94">
        <w:rPr>
          <w:rFonts w:hint="cs"/>
          <w:rtl/>
        </w:rPr>
        <w:t xml:space="preserve">في الأحوال العادية </w:t>
      </w:r>
      <w:r w:rsidRPr="00387E94">
        <w:rPr>
          <w:rtl/>
        </w:rPr>
        <w:t xml:space="preserve">معلومات </w:t>
      </w:r>
      <w:r w:rsidRPr="00387E94">
        <w:t>WhoIs</w:t>
      </w:r>
      <w:r w:rsidRPr="00387E94">
        <w:rPr>
          <w:rtl/>
        </w:rPr>
        <w:t xml:space="preserve"> بناءً على طلب من هذ</w:t>
      </w:r>
      <w:r w:rsidRPr="00387E94">
        <w:rPr>
          <w:rFonts w:hint="cs"/>
          <w:rtl/>
        </w:rPr>
        <w:t>ه الجهة المُقدِّمة للخدمات</w:t>
      </w:r>
      <w:r w:rsidRPr="00387E94">
        <w:rPr>
          <w:rtl/>
        </w:rPr>
        <w:t xml:space="preserve"> (و</w:t>
      </w:r>
      <w:r w:rsidRPr="00387E94">
        <w:rPr>
          <w:rFonts w:hint="cs"/>
          <w:rtl/>
        </w:rPr>
        <w:t xml:space="preserve">سوف يقومون </w:t>
      </w:r>
      <w:r w:rsidRPr="00387E94">
        <w:rPr>
          <w:rtl/>
        </w:rPr>
        <w:t>في الوقت</w:t>
      </w:r>
      <w:r w:rsidRPr="00387E94">
        <w:rPr>
          <w:rFonts w:hint="cs"/>
          <w:rtl/>
        </w:rPr>
        <w:t xml:space="preserve"> نفسه</w:t>
      </w:r>
      <w:r w:rsidRPr="00387E94">
        <w:rPr>
          <w:rtl/>
        </w:rPr>
        <w:t xml:space="preserve"> "</w:t>
      </w:r>
      <w:r w:rsidRPr="00387E94">
        <w:rPr>
          <w:rFonts w:hint="cs"/>
          <w:rtl/>
        </w:rPr>
        <w:t>بغلق</w:t>
      </w:r>
      <w:r w:rsidRPr="00387E94">
        <w:rPr>
          <w:rtl/>
        </w:rPr>
        <w:t xml:space="preserve">" تسجيل </w:t>
      </w:r>
      <w:r w:rsidRPr="00387E94">
        <w:rPr>
          <w:rFonts w:hint="cs"/>
          <w:rtl/>
        </w:rPr>
        <w:t>اسم الحقل وبيانات المُسجِّل</w:t>
      </w:r>
      <w:r w:rsidRPr="00387E94">
        <w:rPr>
          <w:rtl/>
        </w:rPr>
        <w:t xml:space="preserve">)، </w:t>
      </w:r>
      <w:r w:rsidRPr="00387E94">
        <w:rPr>
          <w:rFonts w:hint="cs"/>
          <w:rtl/>
        </w:rPr>
        <w:t xml:space="preserve">بالإضافة إلى </w:t>
      </w:r>
      <w:r w:rsidRPr="00387E94">
        <w:rPr>
          <w:rtl/>
        </w:rPr>
        <w:t xml:space="preserve">متطلبات الإجراءات السليمة المدونة في قواعد </w:t>
      </w:r>
      <w:r w:rsidRPr="00387E94">
        <w:rPr>
          <w:rFonts w:hint="cs"/>
          <w:rtl/>
        </w:rPr>
        <w:t>السياسة الموحدة لتسوية المنازعات</w:t>
      </w:r>
      <w:r w:rsidRPr="00387E94">
        <w:rPr>
          <w:rtl/>
        </w:rPr>
        <w:t>. إن "</w:t>
      </w:r>
      <w:r w:rsidRPr="00387E94">
        <w:rPr>
          <w:rFonts w:hint="cs"/>
          <w:rtl/>
        </w:rPr>
        <w:t>ال</w:t>
      </w:r>
      <w:r w:rsidRPr="00387E94">
        <w:rPr>
          <w:rtl/>
        </w:rPr>
        <w:t xml:space="preserve">مواصفات </w:t>
      </w:r>
      <w:r w:rsidRPr="00387E94">
        <w:rPr>
          <w:rFonts w:hint="cs"/>
          <w:rtl/>
        </w:rPr>
        <w:t xml:space="preserve">[التعاقدية] </w:t>
      </w:r>
      <w:r w:rsidRPr="00387E94">
        <w:rPr>
          <w:rtl/>
        </w:rPr>
        <w:t>المؤقتة</w:t>
      </w:r>
      <w:r w:rsidRPr="00387E94">
        <w:rPr>
          <w:rFonts w:hint="cs"/>
          <w:rtl/>
        </w:rPr>
        <w:t>"</w:t>
      </w:r>
      <w:r w:rsidRPr="00387E94">
        <w:rPr>
          <w:rtl/>
        </w:rPr>
        <w:t xml:space="preserve"> الخاصة بالإيكان لبيانات تسجيل الحقول العليا الجديدة المكونة من أسماء عامة ت</w:t>
      </w:r>
      <w:r w:rsidRPr="00387E94">
        <w:rPr>
          <w:rFonts w:hint="cs"/>
          <w:rtl/>
        </w:rPr>
        <w:t xml:space="preserve">ُقرّ </w:t>
      </w:r>
      <w:r w:rsidRPr="00387E94">
        <w:rPr>
          <w:rtl/>
        </w:rPr>
        <w:t>صراحة بأن الم</w:t>
      </w:r>
      <w:r w:rsidRPr="00387E94">
        <w:rPr>
          <w:rFonts w:hint="cs"/>
          <w:rtl/>
        </w:rPr>
        <w:t>ُ</w:t>
      </w:r>
      <w:r w:rsidRPr="00387E94">
        <w:rPr>
          <w:rtl/>
        </w:rPr>
        <w:t>سج</w:t>
      </w:r>
      <w:r w:rsidRPr="00387E94">
        <w:rPr>
          <w:rFonts w:hint="cs"/>
          <w:rtl/>
        </w:rPr>
        <w:t>ِّ</w:t>
      </w:r>
      <w:r w:rsidRPr="00387E94">
        <w:rPr>
          <w:rtl/>
        </w:rPr>
        <w:t xml:space="preserve">لين يجب أن يقدموا </w:t>
      </w:r>
      <w:r w:rsidRPr="00387E94">
        <w:rPr>
          <w:rFonts w:hint="cs"/>
          <w:rtl/>
        </w:rPr>
        <w:t>"</w:t>
      </w:r>
      <w:r w:rsidRPr="00387E94">
        <w:rPr>
          <w:rtl/>
        </w:rPr>
        <w:t>بيانات تسجيل"</w:t>
      </w:r>
      <w:r w:rsidRPr="00387E94">
        <w:rPr>
          <w:rFonts w:hint="cs"/>
          <w:rtl/>
        </w:rPr>
        <w:t xml:space="preserve"> </w:t>
      </w:r>
      <w:r w:rsidRPr="00387E94">
        <w:rPr>
          <w:rtl/>
        </w:rPr>
        <w:t xml:space="preserve">كاملة </w:t>
      </w:r>
      <w:r w:rsidRPr="00387E94">
        <w:rPr>
          <w:rFonts w:hint="cs"/>
          <w:rtl/>
        </w:rPr>
        <w:t xml:space="preserve">إلى </w:t>
      </w:r>
      <w:r w:rsidRPr="00387E94">
        <w:rPr>
          <w:rtl/>
        </w:rPr>
        <w:t>م</w:t>
      </w:r>
      <w:r w:rsidRPr="00387E94">
        <w:rPr>
          <w:rFonts w:hint="cs"/>
          <w:rtl/>
        </w:rPr>
        <w:t>ُ</w:t>
      </w:r>
      <w:r w:rsidRPr="00387E94">
        <w:rPr>
          <w:rtl/>
        </w:rPr>
        <w:t>قد</w:t>
      </w:r>
      <w:r w:rsidRPr="00387E94">
        <w:rPr>
          <w:rFonts w:hint="cs"/>
          <w:rtl/>
        </w:rPr>
        <w:t>ِّ</w:t>
      </w:r>
      <w:r w:rsidRPr="00387E94">
        <w:rPr>
          <w:rtl/>
        </w:rPr>
        <w:t>مي الخدمات في إطار السياسة الموحدة.</w:t>
      </w:r>
      <w:r w:rsidRPr="00387E94">
        <w:rPr>
          <w:sz w:val="28"/>
          <w:szCs w:val="28"/>
          <w:vertAlign w:val="superscript"/>
          <w:rtl/>
        </w:rPr>
        <w:footnoteReference w:id="58"/>
      </w:r>
      <w:r w:rsidRPr="00387E94">
        <w:rPr>
          <w:rtl/>
        </w:rPr>
        <w:t xml:space="preserve"> </w:t>
      </w:r>
      <w:r w:rsidRPr="00387E94">
        <w:rPr>
          <w:rFonts w:hint="cs"/>
          <w:rtl/>
        </w:rPr>
        <w:t>و</w:t>
      </w:r>
      <w:r w:rsidRPr="00387E94">
        <w:rPr>
          <w:rtl/>
        </w:rPr>
        <w:t xml:space="preserve">يبدو أن هذا </w:t>
      </w:r>
      <w:r w:rsidRPr="00387E94">
        <w:rPr>
          <w:rFonts w:hint="cs"/>
          <w:rtl/>
        </w:rPr>
        <w:t xml:space="preserve">يستند إلى التسليم </w:t>
      </w:r>
      <w:r w:rsidRPr="00387E94">
        <w:rPr>
          <w:rtl/>
        </w:rPr>
        <w:t>بأن م</w:t>
      </w:r>
      <w:r w:rsidRPr="00387E94">
        <w:rPr>
          <w:rFonts w:hint="cs"/>
          <w:rtl/>
        </w:rPr>
        <w:t>ُ</w:t>
      </w:r>
      <w:r w:rsidRPr="00387E94">
        <w:rPr>
          <w:rtl/>
        </w:rPr>
        <w:t>قد</w:t>
      </w:r>
      <w:r w:rsidRPr="00387E94">
        <w:rPr>
          <w:rFonts w:hint="cs"/>
          <w:rtl/>
        </w:rPr>
        <w:t>ِّ</w:t>
      </w:r>
      <w:r w:rsidRPr="00387E94">
        <w:rPr>
          <w:rtl/>
        </w:rPr>
        <w:t xml:space="preserve">مي الخدمات في إطار السياسة الموحدة يستوفون </w:t>
      </w:r>
      <w:r w:rsidRPr="00387E94">
        <w:rPr>
          <w:rFonts w:hint="cs"/>
          <w:rtl/>
        </w:rPr>
        <w:t>معايير</w:t>
      </w:r>
      <w:r w:rsidRPr="00387E94">
        <w:rPr>
          <w:rtl/>
        </w:rPr>
        <w:t xml:space="preserve"> المادة 6(1)(و) "الأغراض المشروعة" والمادة 6(1)(ب) "أداء العقد" </w:t>
      </w:r>
      <w:r w:rsidRPr="00387E94">
        <w:rPr>
          <w:rFonts w:hint="cs"/>
          <w:rtl/>
        </w:rPr>
        <w:t>من النظام الأوروبي لحماية البيانات العامة</w:t>
      </w:r>
      <w:r w:rsidRPr="00387E94">
        <w:rPr>
          <w:rtl/>
        </w:rPr>
        <w:t>، بحيث يمكن</w:t>
      </w:r>
      <w:r w:rsidRPr="00387E94">
        <w:rPr>
          <w:rFonts w:hint="cs"/>
          <w:rtl/>
        </w:rPr>
        <w:t>، بل ينبغي،</w:t>
      </w:r>
      <w:r w:rsidRPr="00387E94">
        <w:rPr>
          <w:rtl/>
        </w:rPr>
        <w:t xml:space="preserve"> للمُسج</w:t>
      </w:r>
      <w:r w:rsidRPr="00387E94">
        <w:rPr>
          <w:rFonts w:hint="cs"/>
          <w:rtl/>
        </w:rPr>
        <w:t>ِّ</w:t>
      </w:r>
      <w:r w:rsidRPr="00387E94">
        <w:rPr>
          <w:rtl/>
        </w:rPr>
        <w:t xml:space="preserve">لين </w:t>
      </w:r>
      <w:r w:rsidRPr="00387E94">
        <w:rPr>
          <w:rFonts w:hint="cs"/>
          <w:rtl/>
        </w:rPr>
        <w:t xml:space="preserve">أن يقدموا بيانات </w:t>
      </w:r>
      <w:r w:rsidRPr="00387E94">
        <w:t>WhoIs</w:t>
      </w:r>
      <w:r w:rsidRPr="00387E94">
        <w:rPr>
          <w:rtl/>
        </w:rPr>
        <w:t xml:space="preserve"> إلى م</w:t>
      </w:r>
      <w:r w:rsidRPr="00387E94">
        <w:rPr>
          <w:rFonts w:hint="cs"/>
          <w:rtl/>
        </w:rPr>
        <w:t>ُ</w:t>
      </w:r>
      <w:r w:rsidRPr="00387E94">
        <w:rPr>
          <w:rtl/>
        </w:rPr>
        <w:t>قد</w:t>
      </w:r>
      <w:r w:rsidRPr="00387E94">
        <w:rPr>
          <w:rFonts w:hint="cs"/>
          <w:rtl/>
        </w:rPr>
        <w:t>ِّ</w:t>
      </w:r>
      <w:r w:rsidRPr="00387E94">
        <w:rPr>
          <w:rtl/>
        </w:rPr>
        <w:t>مي الخدمات في إطار السياسة الموحدة</w:t>
      </w:r>
      <w:r w:rsidRPr="00387E94">
        <w:rPr>
          <w:rFonts w:hint="cs"/>
          <w:rtl/>
        </w:rPr>
        <w:t>.</w:t>
      </w:r>
    </w:p>
    <w:p w:rsidR="00387E94" w:rsidRPr="00387E94" w:rsidRDefault="00387E94" w:rsidP="00387E94">
      <w:pPr>
        <w:pStyle w:val="ONUMA"/>
      </w:pPr>
      <w:r w:rsidRPr="00387E94">
        <w:rPr>
          <w:rFonts w:hint="cs"/>
          <w:rtl/>
        </w:rPr>
        <w:t xml:space="preserve">ويواصل </w:t>
      </w:r>
      <w:r w:rsidRPr="00387E94">
        <w:rPr>
          <w:rtl/>
        </w:rPr>
        <w:t xml:space="preserve">المركز </w:t>
      </w:r>
      <w:r w:rsidRPr="00387E94">
        <w:rPr>
          <w:rFonts w:hint="cs"/>
          <w:rtl/>
        </w:rPr>
        <w:t>رصده عن كثب ل</w:t>
      </w:r>
      <w:r w:rsidRPr="00387E94">
        <w:rPr>
          <w:rtl/>
        </w:rPr>
        <w:t xml:space="preserve">تأثير </w:t>
      </w:r>
      <w:r w:rsidRPr="00387E94">
        <w:rPr>
          <w:rFonts w:hint="cs"/>
          <w:rtl/>
        </w:rPr>
        <w:t>النظام الأوروبي لحماية البيانات العامة</w:t>
      </w:r>
      <w:r w:rsidRPr="00387E94">
        <w:rPr>
          <w:rtl/>
        </w:rPr>
        <w:t xml:space="preserve"> على إجراءات</w:t>
      </w:r>
      <w:r w:rsidRPr="00387E94">
        <w:rPr>
          <w:rFonts w:hint="cs"/>
          <w:rtl/>
        </w:rPr>
        <w:t xml:space="preserve"> السياسة الموحدة</w:t>
      </w:r>
      <w:r w:rsidRPr="00387E94">
        <w:rPr>
          <w:rtl/>
        </w:rPr>
        <w:t xml:space="preserve">. </w:t>
      </w:r>
      <w:r w:rsidRPr="00387E94">
        <w:rPr>
          <w:rFonts w:hint="cs"/>
          <w:rtl/>
        </w:rPr>
        <w:t xml:space="preserve">وبمعزل عن مهمة </w:t>
      </w:r>
      <w:r w:rsidRPr="00387E94">
        <w:rPr>
          <w:rFonts w:hint="cs"/>
          <w:rtl/>
        </w:rPr>
        <w:lastRenderedPageBreak/>
        <w:t>المركز الخاصة بالسياسة الموحدة</w:t>
      </w:r>
      <w:r w:rsidRPr="00387E94">
        <w:rPr>
          <w:rtl/>
        </w:rPr>
        <w:t xml:space="preserve">، </w:t>
      </w:r>
      <w:r w:rsidRPr="00387E94">
        <w:rPr>
          <w:rFonts w:hint="cs"/>
          <w:rtl/>
        </w:rPr>
        <w:t xml:space="preserve">وبغية </w:t>
      </w:r>
      <w:r w:rsidRPr="00387E94">
        <w:rPr>
          <w:rtl/>
        </w:rPr>
        <w:t xml:space="preserve">معالجة </w:t>
      </w:r>
      <w:r w:rsidRPr="00387E94">
        <w:rPr>
          <w:rFonts w:hint="cs"/>
          <w:rtl/>
        </w:rPr>
        <w:t xml:space="preserve">ما يتعلق بإنفاذ الملكية الفكرية من شواغل أوسع نطاقا </w:t>
      </w:r>
      <w:r w:rsidRPr="00387E94">
        <w:rPr>
          <w:rtl/>
        </w:rPr>
        <w:t xml:space="preserve">ناجمة عن تنفيذ </w:t>
      </w:r>
      <w:r w:rsidRPr="00387E94">
        <w:rPr>
          <w:rFonts w:hint="cs"/>
          <w:rtl/>
        </w:rPr>
        <w:t>النظام الأوروبي لحماية البيانات العامة</w:t>
      </w:r>
      <w:r w:rsidRPr="00387E94">
        <w:rPr>
          <w:rtl/>
        </w:rPr>
        <w:t xml:space="preserve">، </w:t>
      </w:r>
      <w:r w:rsidRPr="00387E94">
        <w:rPr>
          <w:rFonts w:hint="cs"/>
          <w:rtl/>
        </w:rPr>
        <w:t xml:space="preserve">يُجري أصحاب المصلحة حاليا </w:t>
      </w:r>
      <w:r w:rsidRPr="00387E94">
        <w:rPr>
          <w:rtl/>
        </w:rPr>
        <w:t xml:space="preserve">مناقشات </w:t>
      </w:r>
      <w:r w:rsidRPr="00387E94">
        <w:rPr>
          <w:rFonts w:hint="cs"/>
          <w:rtl/>
        </w:rPr>
        <w:t xml:space="preserve">مهمة بشأن </w:t>
      </w:r>
      <w:r w:rsidRPr="00387E94">
        <w:rPr>
          <w:rtl/>
        </w:rPr>
        <w:t>نموذج</w:t>
      </w:r>
      <w:r w:rsidRPr="00387E94">
        <w:rPr>
          <w:rFonts w:hint="cs"/>
          <w:rtl/>
        </w:rPr>
        <w:t xml:space="preserve"> محتمل</w:t>
      </w:r>
      <w:r w:rsidRPr="00387E94">
        <w:rPr>
          <w:rtl/>
        </w:rPr>
        <w:t xml:space="preserve"> </w:t>
      </w:r>
      <w:r w:rsidRPr="00387E94">
        <w:rPr>
          <w:rFonts w:hint="cs"/>
          <w:rtl/>
        </w:rPr>
        <w:t>"ل</w:t>
      </w:r>
      <w:r w:rsidRPr="00387E94">
        <w:rPr>
          <w:rtl/>
        </w:rPr>
        <w:t>اعتماد</w:t>
      </w:r>
      <w:r w:rsidRPr="00387E94">
        <w:rPr>
          <w:rFonts w:hint="cs"/>
          <w:rtl/>
        </w:rPr>
        <w:t xml:space="preserve"> بيانات</w:t>
      </w:r>
      <w:r w:rsidRPr="00387E94">
        <w:rPr>
          <w:rtl/>
        </w:rPr>
        <w:t xml:space="preserve"> </w:t>
      </w:r>
      <w:r w:rsidRPr="00387E94">
        <w:t>WhoIs</w:t>
      </w:r>
      <w:r w:rsidRPr="00387E94">
        <w:rPr>
          <w:rtl/>
        </w:rPr>
        <w:t xml:space="preserve"> </w:t>
      </w:r>
      <w:r w:rsidRPr="00387E94">
        <w:rPr>
          <w:rFonts w:hint="cs"/>
          <w:rtl/>
        </w:rPr>
        <w:t>والنفاذ إليها"</w:t>
      </w:r>
      <w:r w:rsidRPr="00387E94">
        <w:rPr>
          <w:rtl/>
        </w:rPr>
        <w:t xml:space="preserve">، بما في ذلك دور الويبو المحتمل للتصديق على </w:t>
      </w:r>
      <w:r w:rsidRPr="00387E94">
        <w:rPr>
          <w:rFonts w:hint="cs"/>
          <w:rtl/>
        </w:rPr>
        <w:t xml:space="preserve">حقوق </w:t>
      </w:r>
      <w:r w:rsidRPr="00387E94">
        <w:rPr>
          <w:rtl/>
        </w:rPr>
        <w:t xml:space="preserve">أصحاب الملكية الفكرية </w:t>
      </w:r>
      <w:r w:rsidRPr="00387E94">
        <w:rPr>
          <w:rFonts w:hint="cs"/>
          <w:rtl/>
        </w:rPr>
        <w:t xml:space="preserve">في </w:t>
      </w:r>
      <w:r w:rsidRPr="00387E94">
        <w:rPr>
          <w:rtl/>
        </w:rPr>
        <w:t>هذا ال</w:t>
      </w:r>
      <w:r w:rsidRPr="00387E94">
        <w:rPr>
          <w:rFonts w:hint="cs"/>
          <w:rtl/>
        </w:rPr>
        <w:t>نفاذ</w:t>
      </w:r>
      <w:r w:rsidRPr="00387E94">
        <w:rPr>
          <w:rtl/>
        </w:rPr>
        <w:t>.</w:t>
      </w:r>
      <w:r w:rsidRPr="00387E94">
        <w:rPr>
          <w:sz w:val="28"/>
          <w:szCs w:val="28"/>
          <w:vertAlign w:val="superscript"/>
          <w:rtl/>
        </w:rPr>
        <w:footnoteReference w:id="59"/>
      </w:r>
      <w:r w:rsidRPr="00387E94">
        <w:rPr>
          <w:rtl/>
        </w:rPr>
        <w:t xml:space="preserve"> </w:t>
      </w:r>
      <w:r w:rsidRPr="00387E94">
        <w:rPr>
          <w:rFonts w:hint="cs"/>
          <w:rtl/>
        </w:rPr>
        <w:t>وتواصل الإيكان</w:t>
      </w:r>
      <w:r w:rsidRPr="00387E94">
        <w:rPr>
          <w:rtl/>
        </w:rPr>
        <w:t xml:space="preserve"> </w:t>
      </w:r>
      <w:r w:rsidRPr="00387E94">
        <w:rPr>
          <w:rFonts w:hint="cs"/>
          <w:rtl/>
        </w:rPr>
        <w:t>النقاش فيما يتعلق ب</w:t>
      </w:r>
      <w:r w:rsidRPr="00387E94">
        <w:rPr>
          <w:rtl/>
        </w:rPr>
        <w:t xml:space="preserve">تفاصيل ما كان يُطلق عليه أيضًا </w:t>
      </w:r>
      <w:r w:rsidRPr="00387E94">
        <w:rPr>
          <w:rFonts w:hint="cs"/>
          <w:rtl/>
        </w:rPr>
        <w:t>ال</w:t>
      </w:r>
      <w:r w:rsidRPr="00387E94">
        <w:rPr>
          <w:rtl/>
        </w:rPr>
        <w:t xml:space="preserve">نظام </w:t>
      </w:r>
      <w:r w:rsidRPr="00387E94">
        <w:rPr>
          <w:rFonts w:hint="cs"/>
          <w:rtl/>
        </w:rPr>
        <w:t>الموحد للنفاذ أو</w:t>
      </w:r>
      <w:r w:rsidRPr="00387E94">
        <w:rPr>
          <w:rtl/>
        </w:rPr>
        <w:t xml:space="preserve"> الكشف</w:t>
      </w:r>
      <w:r w:rsidRPr="00387E94">
        <w:rPr>
          <w:rFonts w:hint="cs"/>
          <w:rtl/>
        </w:rPr>
        <w:t>،</w:t>
      </w:r>
      <w:r w:rsidRPr="00387E94">
        <w:rPr>
          <w:rtl/>
        </w:rPr>
        <w:t xml:space="preserve"> إلى </w:t>
      </w:r>
      <w:r w:rsidRPr="00387E94">
        <w:rPr>
          <w:rFonts w:hint="cs"/>
          <w:rtl/>
        </w:rPr>
        <w:t xml:space="preserve">نظام </w:t>
      </w:r>
      <w:r w:rsidRPr="00387E94">
        <w:rPr>
          <w:rtl/>
        </w:rPr>
        <w:t>بيانات تسجيل الحقول العليا الجديدة المكونة من أسماء عامة غير العامة</w:t>
      </w:r>
      <w:r w:rsidRPr="00387E94">
        <w:rPr>
          <w:sz w:val="28"/>
          <w:szCs w:val="28"/>
          <w:vertAlign w:val="superscript"/>
          <w:rtl/>
        </w:rPr>
        <w:footnoteReference w:id="60"/>
      </w:r>
      <w:r w:rsidRPr="00387E94">
        <w:rPr>
          <w:rtl/>
        </w:rPr>
        <w:t xml:space="preserve"> </w:t>
      </w:r>
      <w:r w:rsidRPr="00387E94">
        <w:rPr>
          <w:rFonts w:hint="cs"/>
          <w:rtl/>
        </w:rPr>
        <w:t>.</w:t>
      </w:r>
    </w:p>
    <w:p w:rsidR="00387E94" w:rsidRPr="00A15EE6" w:rsidRDefault="00387E94" w:rsidP="00A15EE6">
      <w:pPr>
        <w:pStyle w:val="Heading3"/>
        <w:ind w:left="535"/>
        <w:rPr>
          <w:lang w:bidi="ar-EG"/>
        </w:rPr>
      </w:pPr>
      <w:r w:rsidRPr="00A15EE6">
        <w:rPr>
          <w:rFonts w:hint="cs"/>
          <w:rtl/>
          <w:lang w:bidi="ar-EG"/>
        </w:rPr>
        <w:t>دال.</w:t>
      </w:r>
      <w:r w:rsidRPr="00A15EE6">
        <w:rPr>
          <w:rtl/>
          <w:lang w:bidi="ar-EG"/>
        </w:rPr>
        <w:tab/>
      </w:r>
      <w:r w:rsidRPr="00A15EE6">
        <w:rPr>
          <w:rFonts w:hint="cs"/>
          <w:rtl/>
          <w:lang w:bidi="ar-EG"/>
        </w:rPr>
        <w:t>أسماء الحقول الدولية</w:t>
      </w:r>
    </w:p>
    <w:p w:rsidR="00387E94" w:rsidRPr="00387E94" w:rsidRDefault="00387E94" w:rsidP="00387E94">
      <w:pPr>
        <w:pStyle w:val="ONUMA"/>
      </w:pPr>
      <w:r w:rsidRPr="00387E94">
        <w:rPr>
          <w:rtl/>
        </w:rPr>
        <w:t xml:space="preserve">كما </w:t>
      </w:r>
      <w:r w:rsidRPr="00387E94">
        <w:rPr>
          <w:rFonts w:hint="cs"/>
          <w:rtl/>
        </w:rPr>
        <w:t>تبيّن</w:t>
      </w:r>
      <w:r w:rsidRPr="00387E94">
        <w:rPr>
          <w:rtl/>
        </w:rPr>
        <w:t xml:space="preserve"> في الفقرة </w:t>
      </w:r>
      <w:r w:rsidRPr="00387E94">
        <w:rPr>
          <w:rFonts w:hint="cs"/>
          <w:rtl/>
        </w:rPr>
        <w:t xml:space="preserve">28، </w:t>
      </w:r>
      <w:r w:rsidRPr="00387E94">
        <w:rPr>
          <w:rtl/>
        </w:rPr>
        <w:t>من المستجدات المتعلقة بالسياسات في نظام أسماء الحقول</w:t>
      </w:r>
      <w:r w:rsidRPr="00387E94">
        <w:rPr>
          <w:rFonts w:hint="cs"/>
          <w:rtl/>
        </w:rPr>
        <w:t xml:space="preserve"> والجديرة بالذكر</w:t>
      </w:r>
      <w:r w:rsidRPr="00387E94">
        <w:rPr>
          <w:rtl/>
        </w:rPr>
        <w:t xml:space="preserve"> هو بدء العمل بأسماء حقول دولية (بخط غير لاتيني) في الحقول العليا.</w:t>
      </w:r>
      <w:r w:rsidRPr="00387E94">
        <w:rPr>
          <w:sz w:val="28"/>
          <w:szCs w:val="28"/>
          <w:vertAlign w:val="superscript"/>
          <w:rtl/>
        </w:rPr>
        <w:footnoteReference w:id="61"/>
      </w:r>
      <w:r w:rsidRPr="00387E94">
        <w:rPr>
          <w:rtl/>
        </w:rPr>
        <w:t xml:space="preserve"> </w:t>
      </w:r>
      <w:r w:rsidRPr="00387E94">
        <w:rPr>
          <w:rtl/>
        </w:rPr>
        <w:lastRenderedPageBreak/>
        <w:t>وكان كثير منها ضمن أول الحقول العليا الجديدة المكونة من أسماء عامة التي تعلن الإيكان عن منحها في جذر نظام أسماء الحقول.</w:t>
      </w:r>
    </w:p>
    <w:p w:rsidR="00387E94" w:rsidRPr="00A15EE6" w:rsidRDefault="00387E94" w:rsidP="00A15EE6">
      <w:pPr>
        <w:pStyle w:val="Heading3"/>
        <w:ind w:left="535"/>
        <w:rPr>
          <w:lang w:bidi="ar-EG"/>
        </w:rPr>
      </w:pPr>
      <w:r w:rsidRPr="00A15EE6">
        <w:rPr>
          <w:rFonts w:hint="cs"/>
          <w:rtl/>
          <w:lang w:bidi="ar-EG"/>
        </w:rPr>
        <w:t>هاء.</w:t>
      </w:r>
      <w:r w:rsidRPr="00A15EE6">
        <w:rPr>
          <w:rtl/>
          <w:lang w:bidi="ar-EG"/>
        </w:rPr>
        <w:tab/>
        <w:t>أدوات تعريف أخرى</w:t>
      </w:r>
    </w:p>
    <w:p w:rsidR="00387E94" w:rsidRPr="00387E94" w:rsidRDefault="00387E94" w:rsidP="00387E94">
      <w:pPr>
        <w:pStyle w:val="ONUMA"/>
      </w:pPr>
      <w:r w:rsidRPr="00387E94">
        <w:rPr>
          <w:rtl/>
        </w:rPr>
        <w:t>علاوة على المستجدات المذكورة آنفا وفيما يتعلق بها، تشهد هيئة الإيكان مستجدات إضافية مرتبطة بحماية أدوات تعريف العلامات غير التجارية.</w:t>
      </w:r>
    </w:p>
    <w:p w:rsidR="00387E94" w:rsidRPr="00A15EE6" w:rsidRDefault="00A15EE6" w:rsidP="00A15EE6">
      <w:pPr>
        <w:pStyle w:val="Heading4"/>
        <w:ind w:left="1255"/>
        <w:rPr>
          <w:rFonts w:eastAsia="SimSun"/>
          <w:u w:val="none"/>
          <w:lang w:eastAsia="zh-CN"/>
        </w:rPr>
      </w:pPr>
      <w:r>
        <w:rPr>
          <w:rFonts w:eastAsia="SimSun" w:hint="cs"/>
          <w:u w:val="none"/>
          <w:rtl/>
          <w:lang w:eastAsia="zh-CN"/>
        </w:rPr>
        <w:t>(أ)</w:t>
      </w:r>
      <w:r>
        <w:rPr>
          <w:rFonts w:eastAsia="SimSun"/>
          <w:u w:val="none"/>
          <w:rtl/>
          <w:lang w:eastAsia="zh-CN"/>
        </w:rPr>
        <w:tab/>
      </w:r>
      <w:r w:rsidR="00387E94" w:rsidRPr="00A15EE6">
        <w:rPr>
          <w:rFonts w:eastAsia="SimSun"/>
          <w:rtl/>
          <w:lang w:eastAsia="zh-CN"/>
        </w:rPr>
        <w:t>المنظمات الحكومية الدولية</w:t>
      </w:r>
    </w:p>
    <w:p w:rsidR="00387E94" w:rsidRPr="00387E94" w:rsidRDefault="00387E94" w:rsidP="00387E94">
      <w:pPr>
        <w:pStyle w:val="ONUMA"/>
      </w:pPr>
      <w:r w:rsidRPr="00387E94">
        <w:rPr>
          <w:rtl/>
        </w:rPr>
        <w:t>من الجدير بالذكر أن مشروع الويبو الأول بشأن أسماء الحقول تناول العلاقة بين أسماء الحقول والعلامات التجارية. وتناول مشروع الويبو الثاني بشأن أسماء الحقول العلاقة بين أسماء الحقول وأنواع أخرى من أدوات التعريف لم يسبق تناولها، منها أسماء البلدان وأسماء المنظمات الحكومية الدولية ومختصراتها.</w:t>
      </w:r>
    </w:p>
    <w:p w:rsidR="00387E94" w:rsidRPr="00387E94" w:rsidRDefault="00387E94" w:rsidP="00387E94">
      <w:pPr>
        <w:pStyle w:val="ONUMA"/>
      </w:pPr>
      <w:r w:rsidRPr="00387E94">
        <w:rPr>
          <w:rtl/>
        </w:rPr>
        <w:t>وأوصت الجمعية العامة للويبو لعام 2002 بتعديل السياسة الموحدة بغية حماية أسماء البلدان وأسماء المنظمات الحكومية الدولية ومختصراتها.</w:t>
      </w:r>
      <w:r w:rsidRPr="00387E94">
        <w:rPr>
          <w:sz w:val="28"/>
          <w:szCs w:val="28"/>
          <w:vertAlign w:val="superscript"/>
          <w:rtl/>
        </w:rPr>
        <w:footnoteReference w:id="62"/>
      </w:r>
      <w:r w:rsidRPr="00387E94">
        <w:rPr>
          <w:rtl/>
        </w:rPr>
        <w:t xml:space="preserve"> وأحالت أمانة الويبو هذه التوصيات إلى الإيكان في فبراير 2003</w:t>
      </w:r>
      <w:r w:rsidRPr="00387E94">
        <w:rPr>
          <w:rFonts w:hint="cs"/>
          <w:rtl/>
        </w:rPr>
        <w:t>.</w:t>
      </w:r>
      <w:r w:rsidRPr="00387E94">
        <w:rPr>
          <w:sz w:val="28"/>
          <w:szCs w:val="28"/>
          <w:vertAlign w:val="superscript"/>
          <w:rtl/>
        </w:rPr>
        <w:footnoteReference w:id="63"/>
      </w:r>
    </w:p>
    <w:p w:rsidR="00387E94" w:rsidRPr="00387E94" w:rsidRDefault="00387E94" w:rsidP="00387E94">
      <w:pPr>
        <w:pStyle w:val="ONUMA"/>
      </w:pPr>
      <w:r w:rsidRPr="00387E94">
        <w:rPr>
          <w:rtl/>
        </w:rPr>
        <w:lastRenderedPageBreak/>
        <w:t>وعقب مداولات في الإيكان،</w:t>
      </w:r>
      <w:r w:rsidRPr="00387E94">
        <w:rPr>
          <w:sz w:val="28"/>
          <w:szCs w:val="28"/>
          <w:vertAlign w:val="superscript"/>
          <w:rtl/>
        </w:rPr>
        <w:footnoteReference w:id="64"/>
      </w:r>
      <w:r w:rsidRPr="00387E94">
        <w:rPr>
          <w:rtl/>
        </w:rPr>
        <w:t xml:space="preserve"> أصبح دليل مودع طلب التسجيل الخاص بالحقول العليا الجديدة المكونة من أسماء عامة التابع للإيكان يقتصر، في موضوع حماية أسماء المنظمات الحكومية الدولية ومختصراتها على توفير إمكانية الانتصاف من خلال إجراءات الاعتراض قبل المنح المتعلقة بالدرجة الأولى (أي</w:t>
      </w:r>
      <w:r w:rsidRPr="00387E94">
        <w:rPr>
          <w:rFonts w:hint="cs"/>
          <w:rtl/>
        </w:rPr>
        <w:t>ْ</w:t>
      </w:r>
      <w:r w:rsidRPr="00387E94">
        <w:rPr>
          <w:rtl/>
        </w:rPr>
        <w:t xml:space="preserve"> المطبقة على الحقول العليا)، وهذا ما ناقشته الفقرتان </w:t>
      </w:r>
      <w:r w:rsidRPr="00387E94">
        <w:rPr>
          <w:rFonts w:hint="cs"/>
          <w:rtl/>
        </w:rPr>
        <w:t>31</w:t>
      </w:r>
      <w:r w:rsidRPr="00387E94">
        <w:rPr>
          <w:rtl/>
        </w:rPr>
        <w:t xml:space="preserve"> </w:t>
      </w:r>
      <w:r w:rsidRPr="00387E94">
        <w:rPr>
          <w:rFonts w:hint="cs"/>
          <w:rtl/>
        </w:rPr>
        <w:t>و32</w:t>
      </w:r>
      <w:r w:rsidRPr="00387E94">
        <w:rPr>
          <w:rtl/>
        </w:rPr>
        <w:t xml:space="preserve"> أعلاه. إلا أنه بعد جهود متواصلة من المنظمات الحكومية الدولية، أشارت اللجنة الاستشارية الحكومية التابعة للإيكان على مجلس الإيكان بأن تُمنح الحماية لأدوات تعريف المنظمات الحكومية الدولية ضد التسجيل غير الملائم من قبل الغير في نظام أسماء الحقول قبل منح أي حقل من الحقول العليا الجديدة المكونة من أسماء عامة.</w:t>
      </w:r>
      <w:r w:rsidRPr="00387E94">
        <w:rPr>
          <w:sz w:val="28"/>
          <w:szCs w:val="28"/>
          <w:vertAlign w:val="superscript"/>
          <w:rtl/>
        </w:rPr>
        <w:footnoteReference w:id="65"/>
      </w:r>
      <w:r w:rsidRPr="00387E94">
        <w:rPr>
          <w:rtl/>
        </w:rPr>
        <w:t xml:space="preserve"> وأشارت اللجنة الاستشارية الحكومية على مجلس الإيكان أيضا بأنه، استنادا إلى المعايير القائمة لتسجيلات "</w:t>
      </w:r>
      <w:r w:rsidRPr="00387E94">
        <w:t>.int</w:t>
      </w:r>
      <w:r w:rsidRPr="00387E94">
        <w:rPr>
          <w:rtl/>
        </w:rPr>
        <w:t xml:space="preserve">" التي من الدرجة الثانية، يمكن التعاون مع المنظمات الحكومية الدولية لإعداد قائمة بأسماء المنظمات الحكومية الدولية ومختصراتها التي ينبغي حمايتها من التسجيل على الأقل بالمرحلة الحالية للحقول العليا الجديدة المكونة من أسماء عامة. كما أشارت اللجنة الاستشارية الحكومية على مجلس الإيكان أيضا بأنه، في انتظار العمل على التنفيذ، ينبغي منح حماية مؤقتة لأسماء المنظمات الحكومية الدولية ومختصراتها من خلال تعليق تسجيلات </w:t>
      </w:r>
      <w:r w:rsidRPr="00387E94">
        <w:rPr>
          <w:rtl/>
        </w:rPr>
        <w:lastRenderedPageBreak/>
        <w:t>الغير؛ و</w:t>
      </w:r>
      <w:r w:rsidRPr="00387E94">
        <w:rPr>
          <w:rFonts w:hint="cs"/>
          <w:rtl/>
        </w:rPr>
        <w:t xml:space="preserve">رغم إحراز </w:t>
      </w:r>
      <w:r w:rsidRPr="00387E94">
        <w:rPr>
          <w:rtl/>
        </w:rPr>
        <w:t>تقدم في التنفيذ، لا يزال يُعمل بهذا التعليق.</w:t>
      </w:r>
    </w:p>
    <w:p w:rsidR="00387E94" w:rsidRPr="00387E94" w:rsidRDefault="00387E94" w:rsidP="00387E94">
      <w:pPr>
        <w:pStyle w:val="ONUMA"/>
      </w:pPr>
      <w:r w:rsidRPr="00387E94">
        <w:rPr>
          <w:rtl/>
        </w:rPr>
        <w:t>ورد</w:t>
      </w:r>
      <w:r w:rsidRPr="00387E94">
        <w:rPr>
          <w:rFonts w:hint="cs"/>
          <w:rtl/>
        </w:rPr>
        <w:t>َّ</w:t>
      </w:r>
      <w:r w:rsidRPr="00387E94">
        <w:rPr>
          <w:rtl/>
        </w:rPr>
        <w:t xml:space="preserve"> مجلس الإيكان على اللجنة الاستشارية الحكومية قائلا إنه كان قد اعتمد قرارا يضع الأساس لهذه الحماية المؤقتة من الدرجة الثانية استنادا إلى معايير "</w:t>
      </w:r>
      <w:r w:rsidRPr="00387E94">
        <w:t>.int</w:t>
      </w:r>
      <w:r w:rsidRPr="00387E94">
        <w:rPr>
          <w:rtl/>
        </w:rPr>
        <w:t>" القائمة، وذلك عبر قائمة احتياطية أعدتها الإيكان لأدوات تعريف المنظمات الحكومية الدولية، لكي يمنع على الغير تسجيلها من خلال اتفاق سجل الحقول العليا الجديدة المكونة من أسماء عامة. ودعت الإيكان المنظمات الحكومية الدولية المؤهلة إلى تعريف الإيكان بنفسها، وطلبت أيضا أن تقدم اللجنة الاستشارية الحكومية (مع المنظمات الحكومية الدولية) باقة منظمات حكومية دولية مجمعة تشمل المعايير وقائمة أسماء المنظمات الحكومية الدولية ومختصراتها التي أوصت اللجنة الاستشارية الحكومية بحمايتها.</w:t>
      </w:r>
      <w:r w:rsidRPr="00387E94">
        <w:rPr>
          <w:sz w:val="28"/>
          <w:szCs w:val="28"/>
          <w:vertAlign w:val="superscript"/>
          <w:rtl/>
        </w:rPr>
        <w:footnoteReference w:id="66"/>
      </w:r>
      <w:r w:rsidRPr="00387E94">
        <w:rPr>
          <w:rtl/>
        </w:rPr>
        <w:t xml:space="preserve"> وردا على ذلك، وضع ائتلاف من المنظمات الحكومية الدولية معايير تستند إلى معايير "</w:t>
      </w:r>
      <w:r w:rsidRPr="00387E94">
        <w:t>.int</w:t>
      </w:r>
      <w:r w:rsidRPr="00387E94">
        <w:rPr>
          <w:rtl/>
        </w:rPr>
        <w:t>" لحماية المنظمات الحكومية الدولية وقائمة مصاحبة للمنظمات الحكومية الدولية، قدمها ائتلاف المنظمات الحكومية الدولية إلى مجلس الإيكان في فبراير 2013. وقد أعقب هذا تبليغ من اللجنة الاستشارية الحكومية إلى مجلس الإيكان بمشورة اللجنة الاستشارية الحكومية بشأن معايير الأهلية لحماية المنظمات الحكومية الدولية</w:t>
      </w:r>
      <w:r w:rsidRPr="00387E94">
        <w:rPr>
          <w:sz w:val="28"/>
          <w:szCs w:val="28"/>
          <w:vertAlign w:val="superscript"/>
          <w:rtl/>
        </w:rPr>
        <w:footnoteReference w:id="67"/>
      </w:r>
      <w:r w:rsidRPr="00387E94">
        <w:rPr>
          <w:rtl/>
        </w:rPr>
        <w:t xml:space="preserve">، إلى جانب قائمة بأسماء المنظمات </w:t>
      </w:r>
      <w:r w:rsidRPr="00387E94">
        <w:rPr>
          <w:rtl/>
        </w:rPr>
        <w:lastRenderedPageBreak/>
        <w:t>الحكومية الدولية ومختصراتها التي يمكن حمايتها.</w:t>
      </w:r>
      <w:r w:rsidRPr="00387E94">
        <w:rPr>
          <w:sz w:val="28"/>
          <w:szCs w:val="28"/>
          <w:vertAlign w:val="superscript"/>
          <w:rtl/>
        </w:rPr>
        <w:footnoteReference w:id="68"/>
      </w:r>
    </w:p>
    <w:p w:rsidR="00387E94" w:rsidRPr="00387E94" w:rsidRDefault="00387E94" w:rsidP="00387E94">
      <w:pPr>
        <w:pStyle w:val="ONUMA"/>
      </w:pPr>
      <w:r w:rsidRPr="00387E94">
        <w:rPr>
          <w:rtl/>
        </w:rPr>
        <w:t>وفي 1 أبريل 2013، أبلغ المجلس اللجنة الاستشارية الحكومية بشواغله بشأن كيفية التوفيق بين حماية مختصرات المنظمات الحكومية الدولية ومحاولات الغير التي من المحتمل أن تكون مشروعة لتسجيل أسماء حقول تتطابق مع مختصر لمنظمة حكومية دولية يتمتع بالحماية، وسأل كيف يمكن التعامل على أرض الواقع مع حالات الاستخدام المتزامن التي من المحتمل أن تكون مشروعة.</w:t>
      </w:r>
      <w:r w:rsidRPr="00387E94">
        <w:rPr>
          <w:sz w:val="28"/>
          <w:szCs w:val="28"/>
          <w:vertAlign w:val="superscript"/>
          <w:rtl/>
        </w:rPr>
        <w:footnoteReference w:id="69"/>
      </w:r>
      <w:r w:rsidRPr="00387E94">
        <w:rPr>
          <w:rtl/>
        </w:rPr>
        <w:t xml:space="preserve"> وفي يوليو 2013، عقب المناقشات الإضافية التي أجريت مع الإيكان والجهود المضنية التي بذلتها المنظمات الحكومية الدولية، أصدرت اللجنة الاستشارية مشورة لمجلس الإيكان تؤكد من جديد الحاجة إلى حماية وقائية خاصة لأسماء المنظمات الحكومية ومختصراتها في نظام أسماء الحقول.</w:t>
      </w:r>
      <w:r w:rsidRPr="00387E94">
        <w:rPr>
          <w:sz w:val="28"/>
          <w:szCs w:val="28"/>
          <w:vertAlign w:val="superscript"/>
          <w:rtl/>
        </w:rPr>
        <w:footnoteReference w:id="70"/>
      </w:r>
      <w:r w:rsidRPr="00387E94">
        <w:rPr>
          <w:rtl/>
        </w:rPr>
        <w:t xml:space="preserve"> وعقب إصدار هذه المشورة</w:t>
      </w:r>
      <w:r w:rsidRPr="00387E94">
        <w:rPr>
          <w:rFonts w:hint="cs"/>
          <w:rtl/>
        </w:rPr>
        <w:t>،</w:t>
      </w:r>
      <w:r w:rsidRPr="00387E94">
        <w:rPr>
          <w:rtl/>
        </w:rPr>
        <w:t xml:space="preserve"> </w:t>
      </w:r>
      <w:r w:rsidRPr="00387E94">
        <w:rPr>
          <w:rtl/>
        </w:rPr>
        <w:lastRenderedPageBreak/>
        <w:t>أصدر مجلس الإيكان قرارا يمدد به الحماية المؤقتة للمنظمات الحكومية الدولية إلى حين عقد الاجتماع الأول للجنة برنامج الحقول العليا الجديدة المكوَّنة من أسماء عامة التابعة لمجلس الإيكان بعد عقد اجتماع الإيكان في نوفمبر 2013</w:t>
      </w:r>
      <w:r w:rsidRPr="00387E94">
        <w:rPr>
          <w:rFonts w:hint="cs"/>
          <w:rtl/>
        </w:rPr>
        <w:t>.</w:t>
      </w:r>
      <w:r w:rsidRPr="00387E94">
        <w:rPr>
          <w:sz w:val="28"/>
          <w:szCs w:val="28"/>
          <w:vertAlign w:val="superscript"/>
          <w:rtl/>
        </w:rPr>
        <w:footnoteReference w:id="71"/>
      </w:r>
    </w:p>
    <w:p w:rsidR="00387E94" w:rsidRPr="00387E94" w:rsidRDefault="00387E94" w:rsidP="00387E94">
      <w:pPr>
        <w:pStyle w:val="ONUMA"/>
      </w:pPr>
      <w:r w:rsidRPr="00387E94">
        <w:rPr>
          <w:rtl/>
        </w:rPr>
        <w:t>وفي أكتوبر 2013، تقدمت لجنة برنامج الحقول العليا الجديدة المكوَّنة من أسماء عامة باقتراح لحماية مختصرات المنظمات الحكومية الدولية في الدرجة الثانية، وكان ذلك الاقتراح بعيدا عن تزويد مختصرات المنظمات الحكومية الدولية بالحماية الوقائية الدائمة المتوخاة في البلاغات السابقة للجنة الاستشارية الحكومية.</w:t>
      </w:r>
      <w:r w:rsidRPr="00387E94">
        <w:rPr>
          <w:sz w:val="28"/>
          <w:szCs w:val="28"/>
          <w:vertAlign w:val="superscript"/>
          <w:rtl/>
        </w:rPr>
        <w:footnoteReference w:id="72"/>
      </w:r>
    </w:p>
    <w:p w:rsidR="00387E94" w:rsidRPr="00387E94" w:rsidRDefault="00387E94" w:rsidP="00387E94">
      <w:pPr>
        <w:pStyle w:val="ONUMA"/>
      </w:pPr>
      <w:r w:rsidRPr="00387E94">
        <w:rPr>
          <w:rtl/>
        </w:rPr>
        <w:t>وإلى جانب الجهود التي بذلتها لجنة برنامج الحقول العليا الجديدة المكوَّنة من أسماء عامة واللجنة الاستشارية الحكومية والمنظمات الحكومية الدولية،</w:t>
      </w:r>
      <w:r w:rsidRPr="00387E94">
        <w:rPr>
          <w:sz w:val="28"/>
          <w:szCs w:val="28"/>
          <w:vertAlign w:val="superscript"/>
          <w:rtl/>
        </w:rPr>
        <w:footnoteReference w:id="73"/>
      </w:r>
      <w:r w:rsidRPr="00387E94">
        <w:rPr>
          <w:rtl/>
        </w:rPr>
        <w:t xml:space="preserve"> شرعت المنظمة الداعمة للأسماء العامة التابعة للإيكان في عملية وضع السياسات بخصوص حماية المنظمات الحكومية الدولية، وقد شارك المركز مع ممثلي بعض المنظمات الحكومية الدولية الأخرى في تلك العملية. وعلاوة على اعتراضات المنظمات الحكومية الدولية، رفضت العملية التي شرعت فيها المنظمة الداعمة للأسماء العامة بشكل </w:t>
      </w:r>
      <w:r w:rsidRPr="00387E94">
        <w:rPr>
          <w:rtl/>
        </w:rPr>
        <w:lastRenderedPageBreak/>
        <w:t>واسع الحماية الوقائية لأسماء المنظمات الحكومية الدولية ومختصراتها من الدرجة الثانية. وبدلا من ذلك، أوصت بالاقتصار على آليات توفر حماية وقائية لمختصرات المنظمات الحكومية الدولية، وإزالة الحماية المؤقتة السارية على مختصرات المنظمات الحكومية الدولية. واعتمد مجلس المنظمة الداعمة للأسماء العامة هاتين التوصيتين بالإجماع في نوفمبر 2013. وفي أبريل 2014، قرر مجلس الإيكان اعتماد توصيات مجلس المنظمة الداعمة للأسماء العامة التي لا تتعارض مع مشورة اللجنة الاستشارية الحكومية، وتحديدا، عدم تسجيل الأسماء الكاملة للمنظمات الحكومية الدولية في المستويين الأول والثاني بلغتين.</w:t>
      </w:r>
    </w:p>
    <w:p w:rsidR="00387E94" w:rsidRPr="00387E94" w:rsidRDefault="00387E94" w:rsidP="00387E94">
      <w:pPr>
        <w:pStyle w:val="ONUMA"/>
      </w:pPr>
      <w:r w:rsidRPr="00387E94">
        <w:rPr>
          <w:rtl/>
        </w:rPr>
        <w:t xml:space="preserve">ورغم مشورة اللجنة الاستشارية الحكومية ومواقف المنظمات الحكومية الدولية، صوت مجلس المنظمة الداعمة للأسماء العامة، في يونيو 2014، على الشروع في عملية ثانية لوضع السياسات بشأن الرغبة في منح المنظمات الحكومية الدولية إمكانية الانتفاع بآليات علاجية لحماية الحقوق (مثل السياسة الموحدة أو الإجراء الموحد للوقف السريع) لمعالجة التسجيلات التعسفية لمختصرات المنظمات الحكومية الدولية أو لأسمائها الكاملة التي لا يشملها الاستثناء المذكور آنفا. </w:t>
      </w:r>
      <w:r w:rsidRPr="00387E94">
        <w:rPr>
          <w:rFonts w:hint="cs"/>
          <w:rtl/>
        </w:rPr>
        <w:t>و</w:t>
      </w:r>
      <w:r w:rsidRPr="00387E94">
        <w:rPr>
          <w:rtl/>
        </w:rPr>
        <w:t xml:space="preserve">تسببت توصية </w:t>
      </w:r>
      <w:r w:rsidRPr="00387E94">
        <w:rPr>
          <w:rFonts w:hint="cs"/>
          <w:rtl/>
        </w:rPr>
        <w:t>الفريق العامل</w:t>
      </w:r>
      <w:r w:rsidRPr="00387E94">
        <w:rPr>
          <w:rtl/>
        </w:rPr>
        <w:t xml:space="preserve"> النهائية في مخاوف </w:t>
      </w:r>
      <w:r w:rsidRPr="00387E94">
        <w:rPr>
          <w:rFonts w:hint="cs"/>
          <w:rtl/>
        </w:rPr>
        <w:t>في صفوف المنظمات الحكومية الدولية</w:t>
      </w:r>
      <w:r w:rsidRPr="00387E94">
        <w:rPr>
          <w:rtl/>
        </w:rPr>
        <w:t xml:space="preserve"> و</w:t>
      </w:r>
      <w:r w:rsidRPr="00387E94">
        <w:rPr>
          <w:rFonts w:hint="cs"/>
          <w:rtl/>
        </w:rPr>
        <w:t>اللجنة الاستشارية الحكومية</w:t>
      </w:r>
      <w:r w:rsidRPr="00387E94">
        <w:rPr>
          <w:rtl/>
        </w:rPr>
        <w:t xml:space="preserve">، بالإضافة إلى الحصول على موافقة مجلس </w:t>
      </w:r>
      <w:r w:rsidRPr="00387E94">
        <w:rPr>
          <w:rFonts w:hint="cs"/>
          <w:rtl/>
        </w:rPr>
        <w:t>المنظمة الداعمة للأسماء العامة</w:t>
      </w:r>
      <w:r w:rsidRPr="00387E94">
        <w:rPr>
          <w:rtl/>
        </w:rPr>
        <w:t xml:space="preserve"> التي لم تكن بالإجماع (على عكس تصويتها المعتاد على تقارير </w:t>
      </w:r>
      <w:r w:rsidRPr="00387E94">
        <w:rPr>
          <w:rFonts w:hint="cs"/>
          <w:rtl/>
        </w:rPr>
        <w:t>الفريق</w:t>
      </w:r>
      <w:r w:rsidRPr="00387E94">
        <w:rPr>
          <w:rtl/>
        </w:rPr>
        <w:t xml:space="preserve"> </w:t>
      </w:r>
      <w:r w:rsidRPr="00387E94">
        <w:rPr>
          <w:rFonts w:hint="cs"/>
          <w:rtl/>
        </w:rPr>
        <w:t>العامل</w:t>
      </w:r>
      <w:r w:rsidRPr="00387E94">
        <w:rPr>
          <w:rtl/>
        </w:rPr>
        <w:t>).</w:t>
      </w:r>
      <w:r w:rsidRPr="00387E94">
        <w:rPr>
          <w:rFonts w:hint="cs"/>
          <w:rtl/>
        </w:rPr>
        <w:t xml:space="preserve">  مما يتطلب مزيدا من العمل على وضع السياسات باعتماد توصية واحدة على الأقل؛ وناقش مجلس </w:t>
      </w:r>
      <w:r w:rsidRPr="00387E94">
        <w:rPr>
          <w:rtl/>
        </w:rPr>
        <w:t>المنظمة الداعمة للأسماء العام</w:t>
      </w:r>
      <w:r w:rsidRPr="00387E94">
        <w:rPr>
          <w:rFonts w:hint="cs"/>
          <w:rtl/>
        </w:rPr>
        <w:t xml:space="preserve">ة ذلك دون التوصل إلى وضع ملامح لهذه </w:t>
      </w:r>
      <w:r w:rsidRPr="00387E94">
        <w:rPr>
          <w:rFonts w:hint="cs"/>
          <w:rtl/>
        </w:rPr>
        <w:lastRenderedPageBreak/>
        <w:t>السياسات الإضافية</w:t>
      </w:r>
      <w:r w:rsidRPr="00387E94">
        <w:rPr>
          <w:sz w:val="28"/>
          <w:szCs w:val="28"/>
          <w:vertAlign w:val="superscript"/>
          <w:rtl/>
        </w:rPr>
        <w:footnoteReference w:id="74"/>
      </w:r>
      <w:r w:rsidRPr="00387E94">
        <w:rPr>
          <w:rFonts w:hint="cs"/>
          <w:rtl/>
        </w:rPr>
        <w:t xml:space="preserve">. وفي غضون ذلك، أكدت </w:t>
      </w:r>
      <w:r w:rsidRPr="00387E94">
        <w:rPr>
          <w:rtl/>
        </w:rPr>
        <w:t>اللجنة الاستشارية الحكومية</w:t>
      </w:r>
      <w:r w:rsidRPr="00387E94">
        <w:rPr>
          <w:rFonts w:hint="cs"/>
          <w:rtl/>
        </w:rPr>
        <w:t xml:space="preserve"> مجددا أن أي </w:t>
      </w:r>
      <w:r w:rsidRPr="00387E94">
        <w:rPr>
          <w:rtl/>
        </w:rPr>
        <w:t xml:space="preserve">آلية </w:t>
      </w:r>
      <w:r w:rsidRPr="00387E94">
        <w:rPr>
          <w:rFonts w:hint="cs"/>
          <w:rtl/>
        </w:rPr>
        <w:t xml:space="preserve">لحماية الحقوق </w:t>
      </w:r>
      <w:r w:rsidRPr="00387E94">
        <w:rPr>
          <w:rtl/>
        </w:rPr>
        <w:t xml:space="preserve">خاصة </w:t>
      </w:r>
      <w:r w:rsidRPr="00387E94">
        <w:rPr>
          <w:rFonts w:hint="cs"/>
          <w:rtl/>
        </w:rPr>
        <w:t>ب</w:t>
      </w:r>
      <w:r w:rsidRPr="00387E94">
        <w:rPr>
          <w:rtl/>
        </w:rPr>
        <w:t>منظمة حكومية دولية</w:t>
      </w:r>
      <w:r w:rsidRPr="00387E94">
        <w:rPr>
          <w:rFonts w:hint="cs"/>
          <w:rtl/>
        </w:rPr>
        <w:t xml:space="preserve"> على غرار السياسة الموحدة القائمة ينبغي أن تراعي وضع المنظمة الحكومية الدولية بموجب القانون الدولي، ولكن ينبغي ألا تُعدِّل السياسة الموحدة القائمة.</w:t>
      </w:r>
      <w:r w:rsidRPr="00387E94">
        <w:rPr>
          <w:rtl/>
        </w:rPr>
        <w:t xml:space="preserve"> كما أقر مجلس الإيكان ب</w:t>
      </w:r>
      <w:r w:rsidRPr="00387E94">
        <w:rPr>
          <w:rFonts w:hint="cs"/>
          <w:rtl/>
        </w:rPr>
        <w:t>ال</w:t>
      </w:r>
      <w:r w:rsidRPr="00387E94">
        <w:rPr>
          <w:rtl/>
        </w:rPr>
        <w:t>مشورة السابقة للجنة الحكومية الاستشاري</w:t>
      </w:r>
      <w:r w:rsidRPr="00387E94">
        <w:rPr>
          <w:rFonts w:hint="cs"/>
          <w:rtl/>
        </w:rPr>
        <w:t>ة</w:t>
      </w:r>
      <w:r w:rsidRPr="00387E94">
        <w:rPr>
          <w:rtl/>
        </w:rPr>
        <w:t xml:space="preserve"> </w:t>
      </w:r>
      <w:r w:rsidRPr="00387E94">
        <w:rPr>
          <w:rFonts w:hint="cs"/>
          <w:rtl/>
        </w:rPr>
        <w:t xml:space="preserve">بشأن </w:t>
      </w:r>
      <w:r w:rsidRPr="00387E94">
        <w:rPr>
          <w:rtl/>
        </w:rPr>
        <w:t xml:space="preserve">الحاجة إلى حماية مختصرات المنظمات الحكومية الدولية </w:t>
      </w:r>
      <w:r w:rsidRPr="00387E94">
        <w:rPr>
          <w:rFonts w:hint="cs"/>
          <w:rtl/>
        </w:rPr>
        <w:t xml:space="preserve">في </w:t>
      </w:r>
      <w:r w:rsidRPr="00387E94">
        <w:rPr>
          <w:rtl/>
        </w:rPr>
        <w:t>نظام أسماء الحقول.</w:t>
      </w:r>
      <w:r w:rsidRPr="00387E94">
        <w:rPr>
          <w:sz w:val="28"/>
          <w:szCs w:val="28"/>
          <w:vertAlign w:val="superscript"/>
          <w:rtl/>
        </w:rPr>
        <w:footnoteReference w:id="75"/>
      </w:r>
      <w:r w:rsidRPr="00387E94">
        <w:rPr>
          <w:rtl/>
        </w:rPr>
        <w:t xml:space="preserve"> </w:t>
      </w:r>
      <w:r w:rsidRPr="00387E94">
        <w:rPr>
          <w:rFonts w:hint="cs"/>
          <w:rtl/>
        </w:rPr>
        <w:t>و</w:t>
      </w:r>
      <w:r w:rsidRPr="00387E94">
        <w:rPr>
          <w:rtl/>
        </w:rPr>
        <w:t xml:space="preserve">بالتعاون مع منظمات حكومية دولية معنية أخرى، يواصل المركز </w:t>
      </w:r>
      <w:r w:rsidRPr="00387E94">
        <w:rPr>
          <w:rFonts w:hint="cs"/>
          <w:rtl/>
        </w:rPr>
        <w:t>رصده عن كثب لما يحدث من تطورات ف</w:t>
      </w:r>
      <w:r w:rsidRPr="00387E94">
        <w:rPr>
          <w:rtl/>
        </w:rPr>
        <w:t xml:space="preserve">ي </w:t>
      </w:r>
      <w:r w:rsidRPr="00387E94">
        <w:rPr>
          <w:rFonts w:hint="cs"/>
          <w:rtl/>
        </w:rPr>
        <w:t>هذا ال</w:t>
      </w:r>
      <w:r w:rsidRPr="00387E94">
        <w:rPr>
          <w:rtl/>
        </w:rPr>
        <w:t>ملف</w:t>
      </w:r>
      <w:r w:rsidRPr="00387E94">
        <w:rPr>
          <w:rFonts w:hint="cs"/>
          <w:rtl/>
        </w:rPr>
        <w:t xml:space="preserve"> القديم من ملفات</w:t>
      </w:r>
      <w:r w:rsidRPr="00387E94">
        <w:rPr>
          <w:rtl/>
        </w:rPr>
        <w:t xml:space="preserve"> الإيكان. </w:t>
      </w:r>
      <w:r w:rsidRPr="00387E94">
        <w:rPr>
          <w:rFonts w:hint="cs"/>
          <w:rtl/>
        </w:rPr>
        <w:t>و</w:t>
      </w:r>
      <w:r w:rsidRPr="00387E94">
        <w:rPr>
          <w:rtl/>
        </w:rPr>
        <w:t xml:space="preserve">في نهاية المطاف، </w:t>
      </w:r>
      <w:r w:rsidRPr="00387E94">
        <w:rPr>
          <w:rFonts w:hint="cs"/>
          <w:rtl/>
        </w:rPr>
        <w:t xml:space="preserve">ربما يُدعى </w:t>
      </w:r>
      <w:r w:rsidRPr="00387E94">
        <w:rPr>
          <w:rtl/>
        </w:rPr>
        <w:t xml:space="preserve">مجلس الإيكان </w:t>
      </w:r>
      <w:r w:rsidRPr="00387E94">
        <w:rPr>
          <w:rFonts w:hint="cs"/>
          <w:rtl/>
        </w:rPr>
        <w:t>إلى ا</w:t>
      </w:r>
      <w:r w:rsidRPr="00387E94">
        <w:rPr>
          <w:rtl/>
        </w:rPr>
        <w:t xml:space="preserve">لتوفيق بين </w:t>
      </w:r>
      <w:r w:rsidRPr="00387E94">
        <w:rPr>
          <w:rFonts w:hint="cs"/>
          <w:rtl/>
        </w:rPr>
        <w:t xml:space="preserve">أوجه </w:t>
      </w:r>
      <w:r w:rsidRPr="00387E94">
        <w:rPr>
          <w:rtl/>
        </w:rPr>
        <w:t>الاختلاف بين مشورة اللجنة الحكومية الاستشارية وتوصيات المنظمة الداعمة للأسماء العامة فيما يخص آليات حماية الحقوق المرتبطة بالمنظمات الحكومية الدولية.</w:t>
      </w:r>
      <w:r w:rsidRPr="00387E94">
        <w:rPr>
          <w:sz w:val="28"/>
          <w:szCs w:val="28"/>
          <w:vertAlign w:val="superscript"/>
          <w:rtl/>
        </w:rPr>
        <w:footnoteReference w:id="76"/>
      </w:r>
    </w:p>
    <w:p w:rsidR="00387E94" w:rsidRPr="00A15EE6" w:rsidRDefault="00387E94" w:rsidP="00A15EE6">
      <w:pPr>
        <w:pStyle w:val="Heading4"/>
        <w:ind w:left="1255"/>
        <w:rPr>
          <w:rFonts w:eastAsia="SimSun"/>
          <w:u w:val="none"/>
          <w:lang w:eastAsia="zh-CN"/>
        </w:rPr>
      </w:pPr>
      <w:r w:rsidRPr="00A15EE6">
        <w:rPr>
          <w:rFonts w:eastAsia="SimSun" w:hint="cs"/>
          <w:u w:val="none"/>
          <w:rtl/>
          <w:lang w:eastAsia="zh-CN"/>
        </w:rPr>
        <w:lastRenderedPageBreak/>
        <w:t>(ب)</w:t>
      </w:r>
      <w:r w:rsidRPr="00A15EE6">
        <w:rPr>
          <w:rFonts w:eastAsia="SimSun" w:hint="cs"/>
          <w:u w:val="none"/>
          <w:rtl/>
          <w:lang w:eastAsia="zh-CN"/>
        </w:rPr>
        <w:tab/>
      </w:r>
      <w:r w:rsidRPr="00A15EE6">
        <w:rPr>
          <w:rFonts w:eastAsia="SimSun"/>
          <w:rtl/>
          <w:lang w:eastAsia="zh-CN"/>
        </w:rPr>
        <w:t>المصطلحات الجغرافية</w:t>
      </w:r>
    </w:p>
    <w:p w:rsidR="00387E94" w:rsidRPr="00387E94" w:rsidRDefault="00387E94" w:rsidP="00387E94">
      <w:pPr>
        <w:pStyle w:val="ONUMA"/>
      </w:pPr>
      <w:r w:rsidRPr="00387E94">
        <w:rPr>
          <w:rtl/>
        </w:rPr>
        <w:t>أعربت اللجنة الاستشارية الحكومية</w:t>
      </w:r>
      <w:r w:rsidRPr="00387E94">
        <w:rPr>
          <w:rFonts w:hint="cs"/>
          <w:rtl/>
        </w:rPr>
        <w:t xml:space="preserve"> على وجه الخصوص</w:t>
      </w:r>
      <w:r w:rsidRPr="00387E94">
        <w:rPr>
          <w:rtl/>
        </w:rPr>
        <w:t xml:space="preserve"> عن قلق</w:t>
      </w:r>
      <w:r w:rsidRPr="00387E94">
        <w:rPr>
          <w:rFonts w:hint="cs"/>
          <w:rtl/>
        </w:rPr>
        <w:t>ها</w:t>
      </w:r>
      <w:r w:rsidRPr="00387E94">
        <w:rPr>
          <w:rtl/>
        </w:rPr>
        <w:t xml:space="preserve"> بشأن استخدام وحماية المصطلحات الجغرافية في الحقول العليا الجديدة المكونة من أسماء عامة.</w:t>
      </w:r>
      <w:r w:rsidRPr="00387E94">
        <w:rPr>
          <w:sz w:val="28"/>
          <w:szCs w:val="28"/>
          <w:vertAlign w:val="superscript"/>
          <w:rtl/>
        </w:rPr>
        <w:footnoteReference w:id="77"/>
      </w:r>
      <w:r w:rsidRPr="00387E94">
        <w:rPr>
          <w:rtl/>
        </w:rPr>
        <w:t xml:space="preserve"> و</w:t>
      </w:r>
      <w:r w:rsidRPr="00387E94">
        <w:rPr>
          <w:rFonts w:hint="cs"/>
          <w:rtl/>
        </w:rPr>
        <w:t xml:space="preserve">فيما يخص </w:t>
      </w:r>
      <w:r w:rsidRPr="00387E94">
        <w:rPr>
          <w:rtl/>
        </w:rPr>
        <w:t>أسماء الحقول العليا،</w:t>
      </w:r>
      <w:r w:rsidRPr="00387E94">
        <w:rPr>
          <w:sz w:val="28"/>
          <w:szCs w:val="28"/>
          <w:vertAlign w:val="superscript"/>
          <w:rtl/>
        </w:rPr>
        <w:footnoteReference w:id="78"/>
      </w:r>
      <w:r w:rsidRPr="00387E94">
        <w:rPr>
          <w:rtl/>
        </w:rPr>
        <w:t xml:space="preserve"> يوضح دليل مودع الطلب الذي وضعته الإيكان أن "الطلبات المتعلقة بسلسلة الحروف التي تخص أسماء البلدان والأراضي لن تحظى بالموافقة لأنها غير متاحة في إطار برنامج الحقول العليا الجديدة المكونة </w:t>
      </w:r>
      <w:r w:rsidRPr="00387E94">
        <w:rPr>
          <w:rtl/>
        </w:rPr>
        <w:lastRenderedPageBreak/>
        <w:t>من أسماء عامة في مرحلة التطبيق هذه".</w:t>
      </w:r>
      <w:r w:rsidRPr="00387E94">
        <w:rPr>
          <w:sz w:val="28"/>
          <w:szCs w:val="28"/>
          <w:vertAlign w:val="superscript"/>
          <w:rtl/>
        </w:rPr>
        <w:footnoteReference w:id="79"/>
      </w:r>
      <w:r w:rsidRPr="00387E94">
        <w:rPr>
          <w:rtl/>
        </w:rPr>
        <w:t xml:space="preserve"> وينبغي لسلسلة الحروف التي تقدم بشأنها طلبات والتي ترى الإيكان أنها أسماء جغرافية معينة أخرى، مثل أسماء العواصم، أن تكون مصحوبة بالوثائق الداعمة أو النافية لاعتراض الحكومات أو السلطات العامة المعنية.</w:t>
      </w:r>
      <w:r w:rsidRPr="00387E94">
        <w:rPr>
          <w:sz w:val="28"/>
          <w:szCs w:val="28"/>
          <w:vertAlign w:val="superscript"/>
          <w:rtl/>
        </w:rPr>
        <w:footnoteReference w:id="80"/>
      </w:r>
    </w:p>
    <w:p w:rsidR="00387E94" w:rsidRPr="00387E94" w:rsidRDefault="00387E94" w:rsidP="00387E94">
      <w:pPr>
        <w:pStyle w:val="ONUMA"/>
      </w:pPr>
      <w:r w:rsidRPr="00387E94">
        <w:rPr>
          <w:rtl/>
        </w:rPr>
        <w:t>وأعرب أعضاء اللجنة الاستشارية الحكومية عن تحفظات أخرى بشأن عدد من طلبات الحقول العليا الجديدة المكونة من أسماء عامة على أساس التوافق مع المصطلحات الجغرافية أو غيرها من المصطلحات "الحساسة"، وأشارت على مجلس الإيكان بألا يواصل العمل بعد التقييم الأولي لها، وطلبت من المجلس مزيدا من التوضيح بشأن النطاق المسموح لمودعي الطلبات فيه بتعديل طلباتهم التي أودعوها لحقول عليا جديدة مكونة من أسماء عامة استجابة لمخاوف معينة تشعر بها اللجنة الاستشارية الحكومية.</w:t>
      </w:r>
      <w:r w:rsidRPr="00387E94">
        <w:rPr>
          <w:sz w:val="28"/>
          <w:szCs w:val="28"/>
          <w:vertAlign w:val="superscript"/>
          <w:rtl/>
        </w:rPr>
        <w:footnoteReference w:id="81"/>
      </w:r>
    </w:p>
    <w:p w:rsidR="00387E94" w:rsidRPr="00387E94" w:rsidRDefault="00387E94" w:rsidP="00387E94">
      <w:pPr>
        <w:pStyle w:val="ONUMA"/>
      </w:pPr>
      <w:r w:rsidRPr="00387E94">
        <w:rPr>
          <w:rtl/>
        </w:rPr>
        <w:lastRenderedPageBreak/>
        <w:t>وفي ديسمبر 2016، سمحت الإيكان بإتاحة كل أسماء الحقول المحجوزة المكونة من حرفين على المستوى الثاني في الحقول العليا المكوّنة من أسماء عامة على أن يمهل القائمون على التسجيل الحكومات المعنية ثلاثين يوما لشراء أسماء الحقول المعنية؛ وأن يلزموا المسجل له الإقرار بعدم الإيحاء زورا بأي طابع حكومي في استخدام تلك الأسماء المكونة من حرفين؛ وأن يتيحوا إجراء لرفع الشكاوى بعد التسجيل.</w:t>
      </w:r>
      <w:r w:rsidRPr="00387E94">
        <w:rPr>
          <w:sz w:val="28"/>
          <w:szCs w:val="28"/>
          <w:vertAlign w:val="superscript"/>
          <w:rtl/>
        </w:rPr>
        <w:footnoteReference w:id="82"/>
      </w:r>
      <w:r w:rsidRPr="00387E94">
        <w:rPr>
          <w:rtl/>
        </w:rPr>
        <w:t xml:space="preserve"> وفي هذا السياق، قدم مركز الويبو تعليقات إلى الإيكان أشار فيها إلى أن مشروع الويبو الثاني الخاص بأسماء الحقول على الإنترنت نظر في إمكانية استكشاف تدابير تمكّن من تطبيق السياسة الموحدة على التسجيلات من الدرجة الثالثة بغرض </w:t>
      </w:r>
      <w:r w:rsidRPr="00387E94">
        <w:rPr>
          <w:rtl/>
        </w:rPr>
        <w:lastRenderedPageBreak/>
        <w:t>الحد من احتمال انتهاك العلامات التجارية.</w:t>
      </w:r>
      <w:r w:rsidRPr="00387E94">
        <w:rPr>
          <w:sz w:val="28"/>
          <w:szCs w:val="28"/>
          <w:vertAlign w:val="superscript"/>
          <w:rtl/>
        </w:rPr>
        <w:footnoteReference w:id="83"/>
      </w:r>
      <w:r w:rsidRPr="00387E94">
        <w:rPr>
          <w:rFonts w:hint="cs"/>
          <w:rtl/>
        </w:rPr>
        <w:t xml:space="preserve"> و</w:t>
      </w:r>
      <w:r w:rsidRPr="00387E94">
        <w:rPr>
          <w:rtl/>
        </w:rPr>
        <w:t xml:space="preserve">في مناقشات </w:t>
      </w:r>
      <w:r w:rsidRPr="00387E94">
        <w:rPr>
          <w:rFonts w:hint="cs"/>
          <w:rtl/>
        </w:rPr>
        <w:t xml:space="preserve">أُجريت في الآونة </w:t>
      </w:r>
      <w:r w:rsidRPr="00387E94">
        <w:rPr>
          <w:rtl/>
        </w:rPr>
        <w:t xml:space="preserve">الأخيرة، طلب أعضاء اللجنة الاستشارية الحكومية </w:t>
      </w:r>
      <w:r w:rsidRPr="00387E94">
        <w:rPr>
          <w:rFonts w:hint="cs"/>
          <w:rtl/>
        </w:rPr>
        <w:t xml:space="preserve">أن تقدم </w:t>
      </w:r>
      <w:r w:rsidRPr="00387E94">
        <w:rPr>
          <w:rtl/>
        </w:rPr>
        <w:t>الإيكان معلومات م</w:t>
      </w:r>
      <w:r w:rsidRPr="00387E94">
        <w:rPr>
          <w:rFonts w:hint="cs"/>
          <w:rtl/>
        </w:rPr>
        <w:t>ُ</w:t>
      </w:r>
      <w:r w:rsidRPr="00387E94">
        <w:rPr>
          <w:rtl/>
        </w:rPr>
        <w:t>نس</w:t>
      </w:r>
      <w:r w:rsidRPr="00387E94">
        <w:rPr>
          <w:rFonts w:hint="cs"/>
          <w:rtl/>
        </w:rPr>
        <w:t>َّ</w:t>
      </w:r>
      <w:r w:rsidRPr="00387E94">
        <w:rPr>
          <w:rtl/>
        </w:rPr>
        <w:t xml:space="preserve">قة </w:t>
      </w:r>
      <w:r w:rsidRPr="00387E94">
        <w:rPr>
          <w:rFonts w:hint="cs"/>
          <w:rtl/>
        </w:rPr>
        <w:t xml:space="preserve">بشأن </w:t>
      </w:r>
      <w:r w:rsidRPr="00387E94">
        <w:rPr>
          <w:rtl/>
        </w:rPr>
        <w:t xml:space="preserve">الطلبات </w:t>
      </w:r>
      <w:r w:rsidRPr="00387E94">
        <w:rPr>
          <w:rFonts w:hint="cs"/>
          <w:rtl/>
        </w:rPr>
        <w:t>والتفويضات</w:t>
      </w:r>
      <w:r w:rsidRPr="00387E94">
        <w:rPr>
          <w:rtl/>
        </w:rPr>
        <w:t xml:space="preserve"> ذات الصلة.</w:t>
      </w:r>
      <w:r w:rsidRPr="00387E94">
        <w:rPr>
          <w:sz w:val="28"/>
          <w:szCs w:val="28"/>
          <w:vertAlign w:val="superscript"/>
          <w:rtl/>
        </w:rPr>
        <w:footnoteReference w:id="84"/>
      </w:r>
    </w:p>
    <w:p w:rsidR="00387E94" w:rsidRPr="00387E94" w:rsidRDefault="00387E94" w:rsidP="00387E94">
      <w:pPr>
        <w:pStyle w:val="ONUMA"/>
      </w:pPr>
      <w:r w:rsidRPr="00387E94">
        <w:rPr>
          <w:rtl/>
        </w:rPr>
        <w:t>وقد سعى المركز إجمالا بشأن هذه المسائل و</w:t>
      </w:r>
      <w:r w:rsidRPr="00387E94">
        <w:rPr>
          <w:rFonts w:hint="cs"/>
          <w:rtl/>
        </w:rPr>
        <w:t xml:space="preserve">غيرها من </w:t>
      </w:r>
      <w:r w:rsidRPr="00387E94">
        <w:rPr>
          <w:rtl/>
        </w:rPr>
        <w:t>المسائل المتعلقة بنظام أسماء الحقول إلى تقييم القطاعات المعنية داخل الأمانة، بما في ذلك دعم عمل اللجنة الدائمة المعنية ب</w:t>
      </w:r>
      <w:r w:rsidRPr="00387E94">
        <w:rPr>
          <w:rFonts w:hint="cs"/>
          <w:rtl/>
        </w:rPr>
        <w:t xml:space="preserve">قانون </w:t>
      </w:r>
      <w:r w:rsidRPr="00387E94">
        <w:rPr>
          <w:rtl/>
        </w:rPr>
        <w:t>العلامات التجارية وال</w:t>
      </w:r>
      <w:r w:rsidRPr="00387E94">
        <w:rPr>
          <w:rFonts w:hint="cs"/>
          <w:rtl/>
        </w:rPr>
        <w:t xml:space="preserve">تصاميم </w:t>
      </w:r>
      <w:r w:rsidRPr="00387E94">
        <w:rPr>
          <w:rtl/>
        </w:rPr>
        <w:t>الصناعية وال</w:t>
      </w:r>
      <w:r w:rsidRPr="00387E94">
        <w:rPr>
          <w:rFonts w:hint="cs"/>
          <w:rtl/>
        </w:rPr>
        <w:t xml:space="preserve">مؤشرات </w:t>
      </w:r>
      <w:r w:rsidRPr="00387E94">
        <w:rPr>
          <w:rtl/>
        </w:rPr>
        <w:t>الجغرافية</w:t>
      </w:r>
      <w:r w:rsidRPr="00387E94">
        <w:rPr>
          <w:rFonts w:hint="cs"/>
          <w:rtl/>
        </w:rPr>
        <w:t xml:space="preserve"> (</w:t>
      </w:r>
      <w:r w:rsidRPr="00387E94">
        <w:rPr>
          <w:rtl/>
        </w:rPr>
        <w:t>لجنة العلامات</w:t>
      </w:r>
      <w:r w:rsidRPr="00387E94">
        <w:rPr>
          <w:rFonts w:hint="cs"/>
          <w:rtl/>
        </w:rPr>
        <w:t>)</w:t>
      </w:r>
      <w:r w:rsidRPr="00387E94">
        <w:rPr>
          <w:rtl/>
        </w:rPr>
        <w:t>.</w:t>
      </w:r>
      <w:r w:rsidRPr="00387E94">
        <w:rPr>
          <w:sz w:val="28"/>
          <w:szCs w:val="28"/>
          <w:vertAlign w:val="superscript"/>
          <w:rtl/>
        </w:rPr>
        <w:footnoteReference w:id="85"/>
      </w:r>
      <w:r w:rsidRPr="00387E94">
        <w:rPr>
          <w:rtl/>
        </w:rPr>
        <w:t xml:space="preserve"> وستوا</w:t>
      </w:r>
      <w:r w:rsidRPr="00387E94">
        <w:rPr>
          <w:rFonts w:hint="cs"/>
          <w:rtl/>
        </w:rPr>
        <w:t>صل</w:t>
      </w:r>
      <w:r w:rsidRPr="00387E94">
        <w:rPr>
          <w:rtl/>
        </w:rPr>
        <w:t xml:space="preserve"> الأمانة </w:t>
      </w:r>
      <w:r w:rsidRPr="00387E94">
        <w:rPr>
          <w:rFonts w:hint="cs"/>
          <w:rtl/>
        </w:rPr>
        <w:t xml:space="preserve">رصد </w:t>
      </w:r>
      <w:r w:rsidRPr="00387E94">
        <w:rPr>
          <w:rtl/>
        </w:rPr>
        <w:t xml:space="preserve">هذه التطورات وستساهم فيها </w:t>
      </w:r>
      <w:r w:rsidRPr="00387E94">
        <w:rPr>
          <w:rFonts w:hint="cs"/>
          <w:rtl/>
        </w:rPr>
        <w:t>حسب مقتضى الحال</w:t>
      </w:r>
      <w:r w:rsidRPr="00387E94">
        <w:rPr>
          <w:rtl/>
        </w:rPr>
        <w:t>.</w:t>
      </w:r>
    </w:p>
    <w:p w:rsidR="00387E94" w:rsidRPr="00387E94" w:rsidRDefault="00387E94" w:rsidP="00B76E85">
      <w:pPr>
        <w:pStyle w:val="Decision"/>
        <w:rPr>
          <w:rtl/>
        </w:rPr>
      </w:pPr>
      <w:r w:rsidRPr="00387E94">
        <w:rPr>
          <w:rtl/>
        </w:rPr>
        <w:t>إن الجمعية العامة للويبو مدعوة إلى الإحاطة علما ب</w:t>
      </w:r>
      <w:r w:rsidRPr="00387E94">
        <w:rPr>
          <w:rFonts w:hint="cs"/>
          <w:rtl/>
        </w:rPr>
        <w:t>ال</w:t>
      </w:r>
      <w:r w:rsidRPr="00387E94">
        <w:rPr>
          <w:rtl/>
        </w:rPr>
        <w:t>وثيقة</w:t>
      </w:r>
      <w:r w:rsidRPr="00387E94">
        <w:rPr>
          <w:rFonts w:hint="cs"/>
          <w:rtl/>
        </w:rPr>
        <w:t xml:space="preserve"> المعنونة</w:t>
      </w:r>
      <w:r w:rsidRPr="00387E94">
        <w:rPr>
          <w:rtl/>
        </w:rPr>
        <w:t xml:space="preserve"> "مركز الويبو للتحكيم والوساطة، </w:t>
      </w:r>
      <w:r w:rsidRPr="00387E94">
        <w:rPr>
          <w:rFonts w:hint="cs"/>
          <w:rtl/>
        </w:rPr>
        <w:t xml:space="preserve">بما في ذلك </w:t>
      </w:r>
      <w:r w:rsidRPr="00387E94">
        <w:rPr>
          <w:rtl/>
        </w:rPr>
        <w:t xml:space="preserve">أسماء </w:t>
      </w:r>
      <w:r w:rsidR="00FE5883">
        <w:rPr>
          <w:rFonts w:hint="cs"/>
          <w:rtl/>
        </w:rPr>
        <w:t>ال</w:t>
      </w:r>
      <w:r w:rsidRPr="00387E94">
        <w:rPr>
          <w:rtl/>
        </w:rPr>
        <w:t>حقول</w:t>
      </w:r>
      <w:r w:rsidR="00FE5883">
        <w:rPr>
          <w:rFonts w:hint="cs"/>
          <w:rtl/>
        </w:rPr>
        <w:t xml:space="preserve"> على</w:t>
      </w:r>
      <w:r w:rsidRPr="00387E94">
        <w:rPr>
          <w:rFonts w:hint="cs"/>
          <w:rtl/>
        </w:rPr>
        <w:t xml:space="preserve"> الإنترنت</w:t>
      </w:r>
      <w:r w:rsidRPr="00387E94">
        <w:rPr>
          <w:rtl/>
        </w:rPr>
        <w:t>" (الوثيقة</w:t>
      </w:r>
      <w:r w:rsidRPr="00387E94">
        <w:rPr>
          <w:rFonts w:hint="cs"/>
          <w:rtl/>
        </w:rPr>
        <w:t> </w:t>
      </w:r>
      <w:r w:rsidRPr="00387E94">
        <w:t>WO/GA/53/</w:t>
      </w:r>
      <w:r w:rsidR="00B76E85">
        <w:t>8</w:t>
      </w:r>
      <w:r w:rsidRPr="00387E94">
        <w:rPr>
          <w:rtl/>
        </w:rPr>
        <w:t>).</w:t>
      </w:r>
    </w:p>
    <w:p w:rsidR="00387E94" w:rsidRPr="00387E94" w:rsidRDefault="00387E94" w:rsidP="00387E94">
      <w:pPr>
        <w:tabs>
          <w:tab w:val="left" w:pos="567"/>
        </w:tabs>
        <w:spacing w:before="240" w:after="60"/>
        <w:ind w:left="5534"/>
        <w:rPr>
          <w:rtl/>
        </w:rPr>
      </w:pPr>
      <w:r w:rsidRPr="00387E94">
        <w:rPr>
          <w:rtl/>
        </w:rPr>
        <w:lastRenderedPageBreak/>
        <w:t>[نهاية الوثيقة]</w:t>
      </w:r>
    </w:p>
    <w:sectPr w:rsidR="00387E94" w:rsidRPr="00387E94" w:rsidSect="00D864BD">
      <w:headerReference w:type="even" r:id="rId9"/>
      <w:headerReference w:type="default" r:id="rId10"/>
      <w:footerReference w:type="even" r:id="rId11"/>
      <w:footerReference w:type="default" r:id="rId12"/>
      <w:headerReference w:type="first" r:id="rId13"/>
      <w:footerReference w:type="first" r:id="rId14"/>
      <w:pgSz w:w="11907" w:h="16840" w:code="9"/>
      <w:pgMar w:top="567" w:right="1418" w:bottom="1418" w:left="1134" w:header="510" w:footer="1021" w:gutter="0"/>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E94" w:rsidRDefault="00387E94">
      <w:r>
        <w:separator/>
      </w:r>
    </w:p>
  </w:endnote>
  <w:endnote w:type="continuationSeparator" w:id="0">
    <w:p w:rsidR="00387E94" w:rsidRDefault="00387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Arial"/>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4BD" w:rsidRDefault="00D864BD" w:rsidP="00D864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4BD" w:rsidRDefault="00D864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4BD" w:rsidRDefault="00D864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E94" w:rsidRDefault="00387E94" w:rsidP="009622BF">
      <w:bookmarkStart w:id="0" w:name="OLE_LINK1"/>
      <w:bookmarkStart w:id="1" w:name="OLE_LINK2"/>
      <w:r>
        <w:separator/>
      </w:r>
      <w:bookmarkEnd w:id="0"/>
      <w:bookmarkEnd w:id="1"/>
    </w:p>
  </w:footnote>
  <w:footnote w:type="continuationSeparator" w:id="0">
    <w:p w:rsidR="00387E94" w:rsidRDefault="00387E94" w:rsidP="009622BF">
      <w:r>
        <w:separator/>
      </w:r>
    </w:p>
  </w:footnote>
  <w:footnote w:id="1">
    <w:p w:rsidR="00387E94" w:rsidRPr="00F7129C" w:rsidRDefault="00387E94" w:rsidP="00DD2AC8">
      <w:pPr>
        <w:pStyle w:val="FootnoteText"/>
        <w:rPr>
          <w:rtl/>
        </w:rPr>
      </w:pPr>
      <w:r w:rsidRPr="00F7129C">
        <w:rPr>
          <w:rStyle w:val="FootnoteReference"/>
        </w:rPr>
        <w:footnoteRef/>
      </w:r>
      <w:r w:rsidR="00F13182">
        <w:rPr>
          <w:rtl/>
        </w:rPr>
        <w:tab/>
      </w:r>
      <w:r w:rsidRPr="00F7129C">
        <w:rPr>
          <w:rtl/>
        </w:rPr>
        <w:t xml:space="preserve">انظر الموقع الإلكتروني التالي: </w:t>
      </w:r>
      <w:r w:rsidRPr="00AB574F">
        <w:t>https://www.wipo.int/edocs/mdocs/govbody/</w:t>
      </w:r>
      <w:r w:rsidR="00DD2AC8">
        <w:t>ar</w:t>
      </w:r>
      <w:r w:rsidRPr="00AB574F">
        <w:t>/wo_ga_51/wo_ga_51_15.pdf</w:t>
      </w:r>
      <w:r w:rsidRPr="00AB574F">
        <w:rPr>
          <w:rtl/>
        </w:rPr>
        <w:t>.</w:t>
      </w:r>
    </w:p>
  </w:footnote>
  <w:footnote w:id="2">
    <w:p w:rsidR="00387E94" w:rsidRPr="00F7129C" w:rsidRDefault="00387E94" w:rsidP="00387E94">
      <w:pPr>
        <w:pStyle w:val="FootnoteText"/>
        <w:rPr>
          <w:rtl/>
        </w:rPr>
      </w:pPr>
      <w:r w:rsidRPr="00F7129C">
        <w:rPr>
          <w:rStyle w:val="FootnoteReference"/>
        </w:rPr>
        <w:footnoteRef/>
      </w:r>
      <w:r w:rsidR="00F13182">
        <w:rPr>
          <w:rtl/>
        </w:rPr>
        <w:tab/>
      </w:r>
      <w:r w:rsidRPr="00F7129C">
        <w:rPr>
          <w:rtl/>
        </w:rPr>
        <w:t>ترد قائمة بجميع حلقات</w:t>
      </w:r>
      <w:r w:rsidR="00E32876">
        <w:rPr>
          <w:rtl/>
        </w:rPr>
        <w:t xml:space="preserve"> العمل والاجتماعات الأخرى التي </w:t>
      </w:r>
      <w:r w:rsidR="00E32876">
        <w:rPr>
          <w:rFonts w:hint="cs"/>
          <w:rtl/>
        </w:rPr>
        <w:t>ين</w:t>
      </w:r>
      <w:r w:rsidRPr="00F7129C">
        <w:rPr>
          <w:rtl/>
        </w:rPr>
        <w:t xml:space="preserve">ظمها مركز الويبو على الموقع الإلكتروني التالي: </w:t>
      </w:r>
      <w:hyperlink r:id="rId1" w:history="1">
        <w:r w:rsidRPr="00E32876">
          <w:rPr>
            <w:rStyle w:val="Hyperlink"/>
            <w:color w:val="auto"/>
            <w:u w:val="none"/>
          </w:rPr>
          <w:t>http://www.wipo.int/amc/en/events</w:t>
        </w:r>
      </w:hyperlink>
      <w:r>
        <w:rPr>
          <w:rFonts w:hint="cs"/>
          <w:rtl/>
        </w:rPr>
        <w:t xml:space="preserve"> </w:t>
      </w:r>
    </w:p>
  </w:footnote>
  <w:footnote w:id="3">
    <w:p w:rsidR="00387E94" w:rsidRDefault="00387E94" w:rsidP="00387E94">
      <w:pPr>
        <w:pStyle w:val="FootnoteText"/>
      </w:pPr>
      <w:r>
        <w:rPr>
          <w:rStyle w:val="FootnoteReference"/>
        </w:rPr>
        <w:footnoteRef/>
      </w:r>
      <w:r w:rsidR="00F13182">
        <w:rPr>
          <w:rtl/>
        </w:rPr>
        <w:tab/>
      </w:r>
      <w:r w:rsidRPr="0015546C">
        <w:rPr>
          <w:rtl/>
        </w:rPr>
        <w:t xml:space="preserve">يقدم المركز المساعدة الإجرائية (المساعي الحميدة) إلى الأطراف المعنية في نزاع حول الملكية الفكرية أو التكنولوجيا، </w:t>
      </w:r>
      <w:r>
        <w:rPr>
          <w:rFonts w:hint="cs"/>
          <w:rtl/>
        </w:rPr>
        <w:t>لتيسير</w:t>
      </w:r>
      <w:r w:rsidRPr="0015546C">
        <w:rPr>
          <w:rtl/>
        </w:rPr>
        <w:t xml:space="preserve"> التسوية المباشرة بينهم أو </w:t>
      </w:r>
      <w:r>
        <w:rPr>
          <w:rFonts w:hint="cs"/>
          <w:rtl/>
        </w:rPr>
        <w:t>تسوية</w:t>
      </w:r>
      <w:r w:rsidRPr="0015546C">
        <w:rPr>
          <w:rtl/>
        </w:rPr>
        <w:t xml:space="preserve"> نزاعهم </w:t>
      </w:r>
      <w:r>
        <w:rPr>
          <w:rFonts w:hint="cs"/>
          <w:rtl/>
        </w:rPr>
        <w:t>عبر</w:t>
      </w:r>
      <w:r w:rsidRPr="0015546C">
        <w:rPr>
          <w:rtl/>
        </w:rPr>
        <w:t xml:space="preserve"> وساطة أو تحكيم الويبو، كبدائل للتقاضي أمام المحاكم</w:t>
      </w:r>
    </w:p>
  </w:footnote>
  <w:footnote w:id="4">
    <w:p w:rsidR="00387E94" w:rsidRPr="00F13182" w:rsidRDefault="00387E94" w:rsidP="00F13182">
      <w:pPr>
        <w:pStyle w:val="FootnoteText"/>
        <w:rPr>
          <w:lang w:bidi="ar-SA"/>
        </w:rPr>
      </w:pPr>
      <w:r>
        <w:rPr>
          <w:rStyle w:val="FootnoteReference"/>
        </w:rPr>
        <w:footnoteRef/>
      </w:r>
      <w:r w:rsidR="00F13182">
        <w:rPr>
          <w:rtl/>
        </w:rPr>
        <w:tab/>
      </w:r>
      <w:r>
        <w:rPr>
          <w:rFonts w:hint="cs"/>
          <w:rtl/>
        </w:rPr>
        <w:t>تتيح</w:t>
      </w:r>
      <w:r w:rsidRPr="00A67183">
        <w:rPr>
          <w:rtl/>
        </w:rPr>
        <w:t xml:space="preserve"> </w:t>
      </w:r>
      <w:r>
        <w:rPr>
          <w:rFonts w:hint="cs"/>
          <w:rtl/>
        </w:rPr>
        <w:t xml:space="preserve">منصة الويبو </w:t>
      </w:r>
      <w:r w:rsidRPr="00A67183">
        <w:rPr>
          <w:rFonts w:hint="cs"/>
          <w:rtl/>
        </w:rPr>
        <w:t xml:space="preserve">لتسوية </w:t>
      </w:r>
      <w:r>
        <w:rPr>
          <w:rFonts w:hint="cs"/>
          <w:rtl/>
        </w:rPr>
        <w:t>القضايا إلكترونيا</w:t>
      </w:r>
      <w:r w:rsidRPr="00A67183">
        <w:rPr>
          <w:rFonts w:hint="cs"/>
          <w:rtl/>
        </w:rPr>
        <w:t xml:space="preserve"> </w:t>
      </w:r>
      <w:r w:rsidRPr="00A67183">
        <w:t>eADR</w:t>
      </w:r>
      <w:r w:rsidRPr="00A67183">
        <w:rPr>
          <w:rtl/>
        </w:rPr>
        <w:t xml:space="preserve"> </w:t>
      </w:r>
      <w:r>
        <w:t>WIPO</w:t>
      </w:r>
      <w:r>
        <w:rPr>
          <w:rFonts w:hint="cs"/>
          <w:rtl/>
        </w:rPr>
        <w:t>،</w:t>
      </w:r>
      <w:r w:rsidRPr="00A67183">
        <w:rPr>
          <w:rtl/>
        </w:rPr>
        <w:t xml:space="preserve"> </w:t>
      </w:r>
      <w:r>
        <w:rPr>
          <w:rFonts w:hint="cs"/>
          <w:rtl/>
        </w:rPr>
        <w:t>المعروفة سابقا</w:t>
      </w:r>
      <w:r w:rsidRPr="00A67183">
        <w:rPr>
          <w:rtl/>
        </w:rPr>
        <w:t xml:space="preserve"> </w:t>
      </w:r>
      <w:r>
        <w:rPr>
          <w:rFonts w:hint="cs"/>
          <w:rtl/>
        </w:rPr>
        <w:t>بمرفق تسوية القضايا إلكترونيا</w:t>
      </w:r>
      <w:r w:rsidRPr="00A67183">
        <w:rPr>
          <w:rtl/>
        </w:rPr>
        <w:t xml:space="preserve"> </w:t>
      </w:r>
      <w:r w:rsidRPr="00A67183">
        <w:t>WIPO ECAF</w:t>
      </w:r>
      <w:r>
        <w:rPr>
          <w:rFonts w:hint="cs"/>
          <w:rtl/>
        </w:rPr>
        <w:t>، التبليغ عن القضايا</w:t>
      </w:r>
      <w:r w:rsidRPr="00A67183">
        <w:rPr>
          <w:rtl/>
        </w:rPr>
        <w:t xml:space="preserve"> وتخزين </w:t>
      </w:r>
      <w:r>
        <w:rPr>
          <w:rFonts w:hint="cs"/>
          <w:rtl/>
        </w:rPr>
        <w:t>الوثائق</w:t>
      </w:r>
      <w:r w:rsidRPr="00A67183">
        <w:rPr>
          <w:rtl/>
        </w:rPr>
        <w:t xml:space="preserve"> </w:t>
      </w:r>
      <w:r>
        <w:rPr>
          <w:rFonts w:hint="cs"/>
          <w:rtl/>
        </w:rPr>
        <w:t>ما</w:t>
      </w:r>
      <w:r w:rsidRPr="00A67183">
        <w:rPr>
          <w:rtl/>
        </w:rPr>
        <w:t xml:space="preserve"> </w:t>
      </w:r>
      <w:r>
        <w:rPr>
          <w:rFonts w:hint="cs"/>
          <w:rtl/>
        </w:rPr>
        <w:t>تيسر</w:t>
      </w:r>
      <w:r w:rsidRPr="00A67183">
        <w:rPr>
          <w:rtl/>
        </w:rPr>
        <w:t xml:space="preserve"> </w:t>
      </w:r>
      <w:r>
        <w:rPr>
          <w:rFonts w:hint="cs"/>
          <w:rtl/>
        </w:rPr>
        <w:t xml:space="preserve">اتخاد </w:t>
      </w:r>
      <w:r w:rsidRPr="00A67183">
        <w:rPr>
          <w:rtl/>
        </w:rPr>
        <w:t xml:space="preserve">إجراءات الوساطة </w:t>
      </w:r>
      <w:r w:rsidRPr="00A67183">
        <w:rPr>
          <w:rFonts w:hint="cs"/>
          <w:rtl/>
        </w:rPr>
        <w:t xml:space="preserve">والتحكيم </w:t>
      </w:r>
      <w:r>
        <w:rPr>
          <w:rFonts w:hint="cs"/>
          <w:rtl/>
        </w:rPr>
        <w:t>على نحو أوفر وأسرع</w:t>
      </w:r>
      <w:r w:rsidRPr="00A67183">
        <w:rPr>
          <w:rtl/>
        </w:rPr>
        <w:t>. انظر</w:t>
      </w:r>
      <w:r>
        <w:rPr>
          <w:rFonts w:hint="cs"/>
          <w:rtl/>
        </w:rPr>
        <w:t xml:space="preserve"> الرابط التالي</w:t>
      </w:r>
      <w:r w:rsidRPr="00F13182">
        <w:rPr>
          <w:rFonts w:hint="cs"/>
          <w:rtl/>
        </w:rPr>
        <w:t>:</w:t>
      </w:r>
      <w:r w:rsidR="00F13182">
        <w:rPr>
          <w:rFonts w:hint="cs"/>
          <w:rtl/>
        </w:rPr>
        <w:t xml:space="preserve"> </w:t>
      </w:r>
      <w:hyperlink r:id="rId2" w:history="1">
        <w:r w:rsidR="00F13182" w:rsidRPr="00F13182">
          <w:rPr>
            <w:rStyle w:val="Hyperlink"/>
            <w:color w:val="auto"/>
            <w:u w:val="none"/>
          </w:rPr>
          <w:t>https://www.wipo.int/amc/en/eadr</w:t>
        </w:r>
      </w:hyperlink>
      <w:r w:rsidR="00F13182">
        <w:rPr>
          <w:rFonts w:hint="cs"/>
          <w:rtl/>
        </w:rPr>
        <w:t>.</w:t>
      </w:r>
    </w:p>
  </w:footnote>
  <w:footnote w:id="5">
    <w:p w:rsidR="00387E94" w:rsidRDefault="00387E94" w:rsidP="00F13182">
      <w:pPr>
        <w:pStyle w:val="FootnoteText"/>
      </w:pPr>
      <w:r>
        <w:rPr>
          <w:rStyle w:val="FootnoteReference"/>
        </w:rPr>
        <w:footnoteRef/>
      </w:r>
      <w:r w:rsidR="00F13182">
        <w:rPr>
          <w:rtl/>
        </w:rPr>
        <w:tab/>
      </w:r>
      <w:r>
        <w:rPr>
          <w:rtl/>
        </w:rPr>
        <w:t xml:space="preserve">في </w:t>
      </w:r>
      <w:r>
        <w:rPr>
          <w:rFonts w:hint="cs"/>
          <w:rtl/>
        </w:rPr>
        <w:t>الفترة</w:t>
      </w:r>
      <w:r w:rsidR="00F13182">
        <w:rPr>
          <w:rFonts w:hint="cs"/>
          <w:rtl/>
        </w:rPr>
        <w:t xml:space="preserve"> المشمولة بالتقرير</w:t>
      </w:r>
      <w:r>
        <w:rPr>
          <w:rFonts w:hint="cs"/>
          <w:rtl/>
        </w:rPr>
        <w:t>،</w:t>
      </w:r>
      <w:r>
        <w:rPr>
          <w:rtl/>
        </w:rPr>
        <w:t xml:space="preserve"> واصلت هيئة التحكيم في كأس أمريكا (</w:t>
      </w:r>
      <w:r>
        <w:t>ACAP</w:t>
      </w:r>
      <w:r>
        <w:rPr>
          <w:rtl/>
        </w:rPr>
        <w:t xml:space="preserve">) إجراء عمليات التحكيم والوساطة الناشئة عن </w:t>
      </w:r>
      <w:r>
        <w:rPr>
          <w:rFonts w:hint="cs"/>
          <w:rtl/>
        </w:rPr>
        <w:t>الطبعة</w:t>
      </w:r>
      <w:r>
        <w:rPr>
          <w:rtl/>
        </w:rPr>
        <w:t xml:space="preserve"> </w:t>
      </w:r>
      <w:r>
        <w:rPr>
          <w:rFonts w:hint="cs"/>
          <w:rtl/>
        </w:rPr>
        <w:t>36</w:t>
      </w:r>
      <w:r>
        <w:rPr>
          <w:rtl/>
        </w:rPr>
        <w:t xml:space="preserve"> الجاري</w:t>
      </w:r>
      <w:r>
        <w:rPr>
          <w:rFonts w:hint="cs"/>
          <w:rtl/>
        </w:rPr>
        <w:t>ة لكأس أمريكا</w:t>
      </w:r>
      <w:r>
        <w:rPr>
          <w:rtl/>
        </w:rPr>
        <w:t xml:space="preserve"> </w:t>
      </w:r>
      <w:r>
        <w:rPr>
          <w:rFonts w:hint="cs"/>
          <w:rtl/>
        </w:rPr>
        <w:t>ل</w:t>
      </w:r>
      <w:r>
        <w:rPr>
          <w:rtl/>
        </w:rPr>
        <w:t xml:space="preserve">سلسلة سباقات </w:t>
      </w:r>
      <w:r>
        <w:rPr>
          <w:rFonts w:hint="cs"/>
          <w:rtl/>
        </w:rPr>
        <w:t>الزوارق الشراعية</w:t>
      </w:r>
      <w:r>
        <w:rPr>
          <w:rtl/>
        </w:rPr>
        <w:t xml:space="preserve"> باستخدام نسخة مخصصة من</w:t>
      </w:r>
      <w:r w:rsidRPr="00453BE0">
        <w:rPr>
          <w:rFonts w:hint="cs"/>
          <w:rtl/>
        </w:rPr>
        <w:t xml:space="preserve"> </w:t>
      </w:r>
      <w:r>
        <w:rPr>
          <w:rFonts w:hint="cs"/>
          <w:rtl/>
        </w:rPr>
        <w:t>أداته ل</w:t>
      </w:r>
      <w:r w:rsidRPr="00A67183">
        <w:rPr>
          <w:rFonts w:hint="cs"/>
          <w:rtl/>
        </w:rPr>
        <w:t xml:space="preserve">تسوية </w:t>
      </w:r>
      <w:r>
        <w:rPr>
          <w:rFonts w:hint="cs"/>
          <w:rtl/>
        </w:rPr>
        <w:t>القضايا إلكترونيا</w:t>
      </w:r>
      <w:r>
        <w:rPr>
          <w:rtl/>
        </w:rPr>
        <w:t xml:space="preserve"> </w:t>
      </w:r>
      <w:r>
        <w:t>eADR</w:t>
      </w:r>
      <w:r>
        <w:rPr>
          <w:rtl/>
        </w:rPr>
        <w:t xml:space="preserve"> قدمها المركز إلى هيئة تحكيم كأس أمريكا.</w:t>
      </w:r>
    </w:p>
  </w:footnote>
  <w:footnote w:id="6">
    <w:p w:rsidR="00387E94" w:rsidRDefault="00387E94" w:rsidP="00387E94">
      <w:pPr>
        <w:pStyle w:val="FootnoteText"/>
      </w:pPr>
      <w:r>
        <w:rPr>
          <w:rStyle w:val="FootnoteReference"/>
        </w:rPr>
        <w:footnoteRef/>
      </w:r>
      <w:r w:rsidR="00F13182">
        <w:rPr>
          <w:rtl/>
        </w:rPr>
        <w:tab/>
      </w:r>
      <w:r>
        <w:rPr>
          <w:rtl/>
        </w:rPr>
        <w:t xml:space="preserve">مُولِّد </w:t>
      </w:r>
      <w:r>
        <w:rPr>
          <w:rFonts w:hint="cs"/>
          <w:rtl/>
        </w:rPr>
        <w:t>البنود الخاص بالويبو</w:t>
      </w:r>
      <w:r>
        <w:rPr>
          <w:rtl/>
        </w:rPr>
        <w:t xml:space="preserve"> متاح على </w:t>
      </w:r>
      <w:r>
        <w:rPr>
          <w:rFonts w:hint="cs"/>
          <w:rtl/>
        </w:rPr>
        <w:t>الرابط التالي:</w:t>
      </w:r>
      <w:r>
        <w:rPr>
          <w:rtl/>
        </w:rPr>
        <w:t xml:space="preserve"> </w:t>
      </w:r>
      <w:hyperlink r:id="rId3" w:history="1">
        <w:r w:rsidRPr="00F13182">
          <w:rPr>
            <w:rStyle w:val="Hyperlink"/>
            <w:color w:val="auto"/>
            <w:u w:val="none"/>
          </w:rPr>
          <w:t>http://www.wipo.int/amc-apps/clause-generator</w:t>
        </w:r>
      </w:hyperlink>
      <w:r w:rsidR="00F13182">
        <w:rPr>
          <w:rStyle w:val="Hyperlink"/>
          <w:rFonts w:hint="cs"/>
          <w:rtl/>
        </w:rPr>
        <w:t>.</w:t>
      </w:r>
    </w:p>
  </w:footnote>
  <w:footnote w:id="7">
    <w:p w:rsidR="00387E94" w:rsidRDefault="00387E94" w:rsidP="00387E94">
      <w:pPr>
        <w:pStyle w:val="FootnoteText"/>
      </w:pPr>
      <w:r>
        <w:rPr>
          <w:rStyle w:val="FootnoteReference"/>
        </w:rPr>
        <w:footnoteRef/>
      </w:r>
      <w:r w:rsidR="00F13182">
        <w:rPr>
          <w:rtl/>
        </w:rPr>
        <w:tab/>
      </w:r>
      <w:r w:rsidRPr="00453BE0">
        <w:rPr>
          <w:rtl/>
        </w:rPr>
        <w:t xml:space="preserve">ظلت خدمات الويبو للوساطة والتحكيم وتسوية المنازعات المتعلقة بأسماء الحقول قائمة ومستمرة </w:t>
      </w:r>
      <w:r>
        <w:rPr>
          <w:rFonts w:hint="cs"/>
          <w:rtl/>
        </w:rPr>
        <w:t>رغم</w:t>
      </w:r>
      <w:r w:rsidRPr="00453BE0">
        <w:rPr>
          <w:rtl/>
        </w:rPr>
        <w:t xml:space="preserve"> العواقب المترتبة على </w:t>
      </w:r>
      <w:r w:rsidRPr="00453BE0">
        <w:t>COVID-19</w:t>
      </w:r>
      <w:r w:rsidRPr="00453BE0">
        <w:rPr>
          <w:rtl/>
        </w:rPr>
        <w:t xml:space="preserve">. بالنسبة للأطراف والممثلين، نشر المركز معلومات لوجستية </w:t>
      </w:r>
      <w:r>
        <w:rPr>
          <w:rFonts w:hint="cs"/>
          <w:rtl/>
        </w:rPr>
        <w:t>لتيسير</w:t>
      </w:r>
      <w:r w:rsidRPr="00453BE0">
        <w:rPr>
          <w:rtl/>
        </w:rPr>
        <w:t xml:space="preserve"> الإجراءات الفعالة في ظل هذه الظروف. </w:t>
      </w:r>
      <w:r>
        <w:rPr>
          <w:rFonts w:hint="cs"/>
          <w:rtl/>
        </w:rPr>
        <w:t>انظر الرابطان التاليان:</w:t>
      </w:r>
      <w:r w:rsidRPr="00453BE0">
        <w:rPr>
          <w:rtl/>
        </w:rPr>
        <w:t xml:space="preserve"> </w:t>
      </w:r>
      <w:hyperlink r:id="rId4" w:history="1">
        <w:r w:rsidRPr="00F13182">
          <w:rPr>
            <w:rStyle w:val="Hyperlink"/>
            <w:color w:val="auto"/>
          </w:rPr>
          <w:t>https://www.wipo.int/amc/en/center/wipoupdate.html</w:t>
        </w:r>
      </w:hyperlink>
      <w:r w:rsidRPr="00F13182">
        <w:rPr>
          <w:rFonts w:hint="cs"/>
          <w:rtl/>
        </w:rPr>
        <w:t xml:space="preserve"> </w:t>
      </w:r>
      <w:r w:rsidRPr="00453BE0">
        <w:rPr>
          <w:rtl/>
        </w:rPr>
        <w:t xml:space="preserve">و </w:t>
      </w:r>
      <w:hyperlink r:id="rId5" w:history="1">
        <w:r w:rsidRPr="00F13182">
          <w:rPr>
            <w:rStyle w:val="Hyperlink"/>
            <w:color w:val="auto"/>
            <w:u w:val="none"/>
          </w:rPr>
          <w:t>https://www.wipo.int/amc/en/center/wipocenterupdate.html</w:t>
        </w:r>
      </w:hyperlink>
      <w:r w:rsidRPr="00F13182">
        <w:rPr>
          <w:rFonts w:hint="cs"/>
          <w:rtl/>
        </w:rPr>
        <w:t xml:space="preserve"> </w:t>
      </w:r>
    </w:p>
  </w:footnote>
  <w:footnote w:id="8">
    <w:p w:rsidR="00387E94" w:rsidRPr="00F13182" w:rsidRDefault="00387E94" w:rsidP="00387E94">
      <w:pPr>
        <w:pStyle w:val="FootnoteText"/>
      </w:pPr>
      <w:r>
        <w:rPr>
          <w:rStyle w:val="FootnoteReference"/>
        </w:rPr>
        <w:footnoteRef/>
      </w:r>
      <w:r w:rsidR="00F13182">
        <w:rPr>
          <w:rtl/>
        </w:rPr>
        <w:tab/>
      </w:r>
      <w:r>
        <w:rPr>
          <w:rtl/>
        </w:rPr>
        <w:t xml:space="preserve">رسمياً، اتفاقية الأمم المتحدة </w:t>
      </w:r>
      <w:r>
        <w:rPr>
          <w:rFonts w:hint="cs"/>
          <w:rtl/>
        </w:rPr>
        <w:t xml:space="preserve">بشأن </w:t>
      </w:r>
      <w:r>
        <w:rPr>
          <w:rtl/>
        </w:rPr>
        <w:t>اتفاقات التسوية الدولية الناتجة عن الوساطة.</w:t>
      </w:r>
      <w:r>
        <w:rPr>
          <w:rFonts w:hint="cs"/>
          <w:rtl/>
        </w:rPr>
        <w:t xml:space="preserve"> انظر الرابط التالي:</w:t>
      </w:r>
      <w:r>
        <w:rPr>
          <w:rtl/>
        </w:rPr>
        <w:t xml:space="preserve"> </w:t>
      </w:r>
      <w:hyperlink r:id="rId6" w:history="1">
        <w:r w:rsidRPr="00F13182">
          <w:rPr>
            <w:rStyle w:val="Hyperlink"/>
            <w:color w:val="auto"/>
            <w:u w:val="none"/>
          </w:rPr>
          <w:t>https://www.wipo.int/amc/en/center/specific-sectors</w:t>
        </w:r>
        <w:r w:rsidRPr="00F13182">
          <w:rPr>
            <w:rStyle w:val="Hyperlink"/>
            <w:color w:val="auto"/>
            <w:u w:val="none"/>
            <w:rtl/>
          </w:rPr>
          <w:t>/</w:t>
        </w:r>
      </w:hyperlink>
      <w:r w:rsidR="00F13182">
        <w:rPr>
          <w:rFonts w:hint="cs"/>
          <w:rtl/>
        </w:rPr>
        <w:t>.</w:t>
      </w:r>
    </w:p>
  </w:footnote>
  <w:footnote w:id="9">
    <w:p w:rsidR="00387E94" w:rsidRDefault="00387E94" w:rsidP="00387E94">
      <w:pPr>
        <w:pStyle w:val="FootnoteText"/>
      </w:pPr>
      <w:r>
        <w:rPr>
          <w:rStyle w:val="FootnoteReference"/>
        </w:rPr>
        <w:footnoteRef/>
      </w:r>
      <w:r w:rsidR="00F13182">
        <w:rPr>
          <w:rtl/>
        </w:rPr>
        <w:tab/>
      </w:r>
      <w:r>
        <w:rPr>
          <w:rFonts w:hint="cs"/>
          <w:rtl/>
        </w:rPr>
        <w:t xml:space="preserve">انظر الرابط التالي: </w:t>
      </w:r>
      <w:r w:rsidRPr="001260E2">
        <w:rPr>
          <w:rtl/>
        </w:rPr>
        <w:t xml:space="preserve"> </w:t>
      </w:r>
      <w:hyperlink r:id="rId7" w:history="1">
        <w:r w:rsidRPr="00F13182">
          <w:rPr>
            <w:rStyle w:val="Hyperlink"/>
            <w:color w:val="auto"/>
            <w:u w:val="none"/>
          </w:rPr>
          <w:t>https://www.wipo.int/amc/en/center/specific-sectors</w:t>
        </w:r>
      </w:hyperlink>
      <w:r w:rsidR="00F13182">
        <w:rPr>
          <w:rFonts w:hint="cs"/>
          <w:rtl/>
        </w:rPr>
        <w:t>.</w:t>
      </w:r>
    </w:p>
  </w:footnote>
  <w:footnote w:id="10">
    <w:p w:rsidR="00387E94" w:rsidRPr="001260E2" w:rsidRDefault="00387E94" w:rsidP="00F13182">
      <w:pPr>
        <w:pStyle w:val="ONUMA"/>
        <w:numPr>
          <w:ilvl w:val="0"/>
          <w:numId w:val="0"/>
        </w:numPr>
        <w:tabs>
          <w:tab w:val="left" w:pos="566"/>
          <w:tab w:val="left" w:pos="1133"/>
        </w:tabs>
        <w:rPr>
          <w:sz w:val="28"/>
          <w:szCs w:val="28"/>
        </w:rPr>
      </w:pPr>
      <w:r>
        <w:rPr>
          <w:rStyle w:val="FootnoteReference"/>
        </w:rPr>
        <w:footnoteRef/>
      </w:r>
      <w:r w:rsidR="00F13182">
        <w:rPr>
          <w:rtl/>
        </w:rPr>
        <w:tab/>
      </w:r>
      <w:r w:rsidRPr="001260E2">
        <w:rPr>
          <w:sz w:val="28"/>
          <w:szCs w:val="28"/>
          <w:rtl/>
        </w:rPr>
        <w:t>انظر</w:t>
      </w:r>
      <w:r w:rsidRPr="001260E2">
        <w:rPr>
          <w:rFonts w:hint="cs"/>
          <w:sz w:val="28"/>
          <w:szCs w:val="28"/>
          <w:rtl/>
        </w:rPr>
        <w:t xml:space="preserve"> الرابط التالي</w:t>
      </w:r>
      <w:r w:rsidRPr="001260E2">
        <w:rPr>
          <w:sz w:val="28"/>
          <w:szCs w:val="28"/>
          <w:rtl/>
        </w:rPr>
        <w:t xml:space="preserve"> </w:t>
      </w:r>
      <w:hyperlink r:id="rId8" w:history="1">
        <w:r w:rsidRPr="00F13182">
          <w:rPr>
            <w:rStyle w:val="Hyperlink"/>
            <w:color w:val="auto"/>
            <w:sz w:val="28"/>
            <w:szCs w:val="28"/>
            <w:u w:val="none"/>
          </w:rPr>
          <w:t>https://www.wipo.int/amc/en/center/specific-sectors/ict/frand</w:t>
        </w:r>
      </w:hyperlink>
      <w:r w:rsidRPr="001260E2">
        <w:rPr>
          <w:sz w:val="28"/>
          <w:szCs w:val="28"/>
          <w:rtl/>
        </w:rPr>
        <w:t>. قام المركز بالتعاون مع أصحاب المصلحة في</w:t>
      </w:r>
      <w:r w:rsidRPr="001260E2">
        <w:rPr>
          <w:rFonts w:hint="cs"/>
          <w:sz w:val="28"/>
          <w:szCs w:val="28"/>
          <w:rtl/>
        </w:rPr>
        <w:t xml:space="preserve"> مجال</w:t>
      </w:r>
      <w:r w:rsidRPr="001260E2">
        <w:rPr>
          <w:sz w:val="28"/>
          <w:szCs w:val="28"/>
          <w:rtl/>
        </w:rPr>
        <w:t xml:space="preserve"> الاتصالات وخبراء التحكيم في مجال البراءات بوضع إرشادات بشأن سُبل الويبو البديلة لتسوية المنازعات المتعلقة ب</w:t>
      </w:r>
      <w:r w:rsidRPr="001260E2">
        <w:rPr>
          <w:rFonts w:hint="cs"/>
          <w:sz w:val="28"/>
          <w:szCs w:val="28"/>
          <w:rtl/>
        </w:rPr>
        <w:t>ال</w:t>
      </w:r>
      <w:r w:rsidRPr="001260E2">
        <w:rPr>
          <w:sz w:val="28"/>
          <w:szCs w:val="28"/>
          <w:rtl/>
        </w:rPr>
        <w:t xml:space="preserve">شروط </w:t>
      </w:r>
      <w:r w:rsidRPr="001260E2">
        <w:rPr>
          <w:rFonts w:hint="cs"/>
          <w:sz w:val="28"/>
          <w:szCs w:val="28"/>
          <w:rtl/>
        </w:rPr>
        <w:t>ا</w:t>
      </w:r>
      <w:r w:rsidRPr="001260E2">
        <w:rPr>
          <w:sz w:val="28"/>
          <w:szCs w:val="28"/>
          <w:rtl/>
        </w:rPr>
        <w:t>ل</w:t>
      </w:r>
      <w:r w:rsidRPr="001260E2">
        <w:rPr>
          <w:rFonts w:hint="cs"/>
          <w:sz w:val="28"/>
          <w:szCs w:val="28"/>
          <w:rtl/>
        </w:rPr>
        <w:t xml:space="preserve">منصفة </w:t>
      </w:r>
      <w:r w:rsidRPr="001260E2">
        <w:rPr>
          <w:sz w:val="28"/>
          <w:szCs w:val="28"/>
          <w:rtl/>
        </w:rPr>
        <w:t xml:space="preserve">والمعقولة وغير التمييزية. </w:t>
      </w:r>
      <w:r w:rsidRPr="001260E2">
        <w:rPr>
          <w:rFonts w:hint="cs"/>
          <w:sz w:val="28"/>
          <w:szCs w:val="28"/>
          <w:rtl/>
        </w:rPr>
        <w:t>و</w:t>
      </w:r>
      <w:r w:rsidRPr="001260E2">
        <w:rPr>
          <w:sz w:val="28"/>
          <w:szCs w:val="28"/>
          <w:rtl/>
        </w:rPr>
        <w:t>نُشر</w:t>
      </w:r>
      <w:r w:rsidRPr="001260E2">
        <w:rPr>
          <w:rFonts w:hint="cs"/>
          <w:sz w:val="28"/>
          <w:szCs w:val="28"/>
          <w:rtl/>
        </w:rPr>
        <w:t>ت</w:t>
      </w:r>
      <w:r w:rsidRPr="001260E2">
        <w:rPr>
          <w:sz w:val="28"/>
          <w:szCs w:val="28"/>
          <w:rtl/>
        </w:rPr>
        <w:t xml:space="preserve"> </w:t>
      </w:r>
      <w:r w:rsidRPr="001260E2">
        <w:rPr>
          <w:rFonts w:hint="cs"/>
          <w:sz w:val="28"/>
          <w:szCs w:val="28"/>
          <w:rtl/>
        </w:rPr>
        <w:t xml:space="preserve">هذه الإرشادات </w:t>
      </w:r>
      <w:r w:rsidRPr="001260E2">
        <w:rPr>
          <w:sz w:val="28"/>
          <w:szCs w:val="28"/>
          <w:rtl/>
        </w:rPr>
        <w:t xml:space="preserve">في أواخر عام 2017، </w:t>
      </w:r>
      <w:r w:rsidRPr="001260E2">
        <w:rPr>
          <w:rFonts w:hint="cs"/>
          <w:sz w:val="28"/>
          <w:szCs w:val="28"/>
          <w:rtl/>
        </w:rPr>
        <w:t>وت</w:t>
      </w:r>
      <w:r w:rsidRPr="001260E2">
        <w:rPr>
          <w:sz w:val="28"/>
          <w:szCs w:val="28"/>
          <w:rtl/>
        </w:rPr>
        <w:t xml:space="preserve">هدف إلى مساعدة الأطراف والمحايدين على </w:t>
      </w:r>
      <w:r w:rsidRPr="001260E2">
        <w:rPr>
          <w:rFonts w:hint="cs"/>
          <w:sz w:val="28"/>
          <w:szCs w:val="28"/>
          <w:rtl/>
        </w:rPr>
        <w:t>تحسين فهمهم ل</w:t>
      </w:r>
      <w:r w:rsidRPr="001260E2">
        <w:rPr>
          <w:sz w:val="28"/>
          <w:szCs w:val="28"/>
          <w:rtl/>
        </w:rPr>
        <w:t xml:space="preserve">خيارات </w:t>
      </w:r>
      <w:r w:rsidRPr="001260E2">
        <w:rPr>
          <w:rFonts w:hint="cs"/>
          <w:sz w:val="28"/>
          <w:szCs w:val="28"/>
          <w:rtl/>
        </w:rPr>
        <w:t xml:space="preserve">تسوية </w:t>
      </w:r>
      <w:r w:rsidRPr="001260E2">
        <w:rPr>
          <w:sz w:val="28"/>
          <w:szCs w:val="28"/>
          <w:rtl/>
        </w:rPr>
        <w:t>ال</w:t>
      </w:r>
      <w:r w:rsidRPr="001260E2">
        <w:rPr>
          <w:rFonts w:hint="cs"/>
          <w:sz w:val="28"/>
          <w:szCs w:val="28"/>
          <w:rtl/>
        </w:rPr>
        <w:t xml:space="preserve">منازعات </w:t>
      </w:r>
      <w:r w:rsidRPr="001260E2">
        <w:rPr>
          <w:sz w:val="28"/>
          <w:szCs w:val="28"/>
          <w:rtl/>
        </w:rPr>
        <w:t>المتاحة واستفاد</w:t>
      </w:r>
      <w:r w:rsidRPr="001260E2">
        <w:rPr>
          <w:rFonts w:hint="cs"/>
          <w:sz w:val="28"/>
          <w:szCs w:val="28"/>
          <w:rtl/>
        </w:rPr>
        <w:t>تهم</w:t>
      </w:r>
      <w:r w:rsidRPr="001260E2">
        <w:rPr>
          <w:sz w:val="28"/>
          <w:szCs w:val="28"/>
          <w:rtl/>
        </w:rPr>
        <w:t xml:space="preserve"> </w:t>
      </w:r>
      <w:r w:rsidRPr="001260E2">
        <w:rPr>
          <w:rFonts w:hint="cs"/>
          <w:sz w:val="28"/>
          <w:szCs w:val="28"/>
          <w:rtl/>
        </w:rPr>
        <w:t xml:space="preserve">منها </w:t>
      </w:r>
      <w:r w:rsidRPr="001260E2">
        <w:rPr>
          <w:sz w:val="28"/>
          <w:szCs w:val="28"/>
          <w:rtl/>
        </w:rPr>
        <w:t xml:space="preserve">عند التفاوض </w:t>
      </w:r>
      <w:r w:rsidRPr="001260E2">
        <w:rPr>
          <w:rFonts w:hint="cs"/>
          <w:sz w:val="28"/>
          <w:szCs w:val="28"/>
          <w:rtl/>
        </w:rPr>
        <w:t>بشأن</w:t>
      </w:r>
      <w:r w:rsidRPr="001260E2">
        <w:rPr>
          <w:sz w:val="28"/>
          <w:szCs w:val="28"/>
          <w:rtl/>
        </w:rPr>
        <w:t xml:space="preserve"> اتفاقات </w:t>
      </w:r>
      <w:r w:rsidRPr="001260E2">
        <w:rPr>
          <w:rFonts w:hint="cs"/>
          <w:sz w:val="28"/>
          <w:szCs w:val="28"/>
          <w:rtl/>
        </w:rPr>
        <w:t>ال</w:t>
      </w:r>
      <w:r w:rsidRPr="001260E2">
        <w:rPr>
          <w:sz w:val="28"/>
          <w:szCs w:val="28"/>
          <w:rtl/>
        </w:rPr>
        <w:t>ترخيص</w:t>
      </w:r>
      <w:r w:rsidRPr="001260E2">
        <w:rPr>
          <w:rFonts w:hint="cs"/>
          <w:sz w:val="28"/>
          <w:szCs w:val="28"/>
          <w:rtl/>
        </w:rPr>
        <w:t xml:space="preserve"> بشروط منصفة ومعقولة وغير تمييزية </w:t>
      </w:r>
      <w:r w:rsidRPr="001260E2">
        <w:rPr>
          <w:sz w:val="28"/>
          <w:szCs w:val="28"/>
          <w:rtl/>
        </w:rPr>
        <w:t>أو</w:t>
      </w:r>
      <w:r w:rsidRPr="001260E2">
        <w:rPr>
          <w:rFonts w:hint="cs"/>
          <w:sz w:val="28"/>
          <w:szCs w:val="28"/>
          <w:rtl/>
        </w:rPr>
        <w:t xml:space="preserve"> عند</w:t>
      </w:r>
      <w:r w:rsidRPr="001260E2">
        <w:rPr>
          <w:sz w:val="28"/>
          <w:szCs w:val="28"/>
          <w:rtl/>
        </w:rPr>
        <w:t xml:space="preserve"> صياغ</w:t>
      </w:r>
      <w:r w:rsidRPr="001260E2">
        <w:rPr>
          <w:rFonts w:hint="cs"/>
          <w:sz w:val="28"/>
          <w:szCs w:val="28"/>
          <w:rtl/>
        </w:rPr>
        <w:t>ة هذه الاتفاقات</w:t>
      </w:r>
      <w:r w:rsidRPr="001260E2">
        <w:rPr>
          <w:sz w:val="28"/>
          <w:szCs w:val="28"/>
          <w:rtl/>
        </w:rPr>
        <w:t xml:space="preserve">. </w:t>
      </w:r>
      <w:r w:rsidRPr="001260E2">
        <w:rPr>
          <w:rFonts w:hint="cs"/>
          <w:sz w:val="28"/>
          <w:szCs w:val="28"/>
          <w:rtl/>
        </w:rPr>
        <w:t xml:space="preserve">وتشمل </w:t>
      </w:r>
      <w:r w:rsidRPr="001260E2">
        <w:rPr>
          <w:sz w:val="28"/>
          <w:szCs w:val="28"/>
          <w:rtl/>
        </w:rPr>
        <w:t>الوثيقة عناصر أساسية قد ت</w:t>
      </w:r>
      <w:r w:rsidRPr="001260E2">
        <w:rPr>
          <w:rFonts w:hint="cs"/>
          <w:sz w:val="28"/>
          <w:szCs w:val="28"/>
          <w:rtl/>
        </w:rPr>
        <w:t>رغب</w:t>
      </w:r>
      <w:r w:rsidRPr="001260E2">
        <w:rPr>
          <w:sz w:val="28"/>
          <w:szCs w:val="28"/>
          <w:rtl/>
        </w:rPr>
        <w:t xml:space="preserve"> الأطراف </w:t>
      </w:r>
      <w:r w:rsidRPr="001260E2">
        <w:rPr>
          <w:rFonts w:hint="cs"/>
          <w:sz w:val="28"/>
          <w:szCs w:val="28"/>
          <w:rtl/>
        </w:rPr>
        <w:t xml:space="preserve">في </w:t>
      </w:r>
      <w:r w:rsidRPr="001260E2">
        <w:rPr>
          <w:sz w:val="28"/>
          <w:szCs w:val="28"/>
          <w:rtl/>
        </w:rPr>
        <w:t xml:space="preserve">النظر فيها لتشكيل عملية </w:t>
      </w:r>
      <w:r w:rsidRPr="001260E2">
        <w:rPr>
          <w:rFonts w:hint="cs"/>
          <w:sz w:val="28"/>
          <w:szCs w:val="28"/>
          <w:rtl/>
        </w:rPr>
        <w:t>التسوية البديلة</w:t>
      </w:r>
      <w:r w:rsidRPr="001260E2">
        <w:rPr>
          <w:sz w:val="28"/>
          <w:szCs w:val="28"/>
          <w:rtl/>
        </w:rPr>
        <w:t xml:space="preserve">، لا سيما من أجل التعامل مع </w:t>
      </w:r>
      <w:r w:rsidRPr="001260E2">
        <w:rPr>
          <w:rFonts w:hint="cs"/>
          <w:sz w:val="28"/>
          <w:szCs w:val="28"/>
          <w:rtl/>
        </w:rPr>
        <w:t>ال</w:t>
      </w:r>
      <w:r w:rsidRPr="001260E2">
        <w:rPr>
          <w:sz w:val="28"/>
          <w:szCs w:val="28"/>
          <w:rtl/>
        </w:rPr>
        <w:t xml:space="preserve">حافظات </w:t>
      </w:r>
      <w:r w:rsidRPr="001260E2">
        <w:rPr>
          <w:rFonts w:hint="cs"/>
          <w:sz w:val="28"/>
          <w:szCs w:val="28"/>
          <w:rtl/>
        </w:rPr>
        <w:t>الكبيرة ل</w:t>
      </w:r>
      <w:r w:rsidRPr="001260E2">
        <w:rPr>
          <w:sz w:val="28"/>
          <w:szCs w:val="28"/>
          <w:rtl/>
        </w:rPr>
        <w:t>لبراءات المعيارية الأساسية</w:t>
      </w:r>
      <w:r w:rsidRPr="001260E2">
        <w:rPr>
          <w:rFonts w:hint="cs"/>
          <w:sz w:val="28"/>
          <w:szCs w:val="28"/>
          <w:rtl/>
          <w:lang w:val="fr-CH" w:bidi="ar-SY"/>
        </w:rPr>
        <w:t xml:space="preserve"> في قطاعات الاتصالات وإنترنت الأشياء وخدمات النقل الموصولة</w:t>
      </w:r>
      <w:r w:rsidRPr="001260E2">
        <w:rPr>
          <w:rFonts w:hint="cs"/>
          <w:sz w:val="28"/>
          <w:szCs w:val="28"/>
          <w:rtl/>
        </w:rPr>
        <w:t>،</w:t>
      </w:r>
      <w:r w:rsidRPr="001260E2">
        <w:rPr>
          <w:sz w:val="28"/>
          <w:szCs w:val="28"/>
          <w:rtl/>
        </w:rPr>
        <w:t xml:space="preserve"> و</w:t>
      </w:r>
      <w:r w:rsidRPr="001260E2">
        <w:rPr>
          <w:rFonts w:hint="cs"/>
          <w:sz w:val="28"/>
          <w:szCs w:val="28"/>
          <w:rtl/>
        </w:rPr>
        <w:t>ل</w:t>
      </w:r>
      <w:r w:rsidRPr="001260E2">
        <w:rPr>
          <w:sz w:val="28"/>
          <w:szCs w:val="28"/>
          <w:rtl/>
        </w:rPr>
        <w:t>إدارة وقت</w:t>
      </w:r>
      <w:r w:rsidRPr="001260E2">
        <w:rPr>
          <w:rFonts w:hint="cs"/>
          <w:sz w:val="28"/>
          <w:szCs w:val="28"/>
          <w:rtl/>
        </w:rPr>
        <w:t xml:space="preserve"> الدعاوى</w:t>
      </w:r>
      <w:r w:rsidRPr="001260E2">
        <w:rPr>
          <w:sz w:val="28"/>
          <w:szCs w:val="28"/>
          <w:rtl/>
        </w:rPr>
        <w:t xml:space="preserve"> وتكلف</w:t>
      </w:r>
      <w:r w:rsidRPr="001260E2">
        <w:rPr>
          <w:rFonts w:hint="cs"/>
          <w:sz w:val="28"/>
          <w:szCs w:val="28"/>
          <w:rtl/>
        </w:rPr>
        <w:t>تها</w:t>
      </w:r>
      <w:r w:rsidRPr="001260E2">
        <w:rPr>
          <w:sz w:val="28"/>
          <w:szCs w:val="28"/>
          <w:rtl/>
        </w:rPr>
        <w:t xml:space="preserve">. </w:t>
      </w:r>
      <w:r w:rsidRPr="001260E2">
        <w:rPr>
          <w:rFonts w:hint="cs"/>
          <w:sz w:val="28"/>
          <w:szCs w:val="28"/>
          <w:rtl/>
        </w:rPr>
        <w:t>وت</w:t>
      </w:r>
      <w:r w:rsidRPr="001260E2">
        <w:rPr>
          <w:sz w:val="28"/>
          <w:szCs w:val="28"/>
          <w:rtl/>
        </w:rPr>
        <w:t xml:space="preserve">تضمن </w:t>
      </w:r>
      <w:r w:rsidRPr="001260E2">
        <w:rPr>
          <w:rFonts w:hint="cs"/>
          <w:sz w:val="28"/>
          <w:szCs w:val="28"/>
          <w:rtl/>
        </w:rPr>
        <w:t xml:space="preserve">أيضا </w:t>
      </w:r>
      <w:r w:rsidRPr="001260E2">
        <w:rPr>
          <w:sz w:val="28"/>
          <w:szCs w:val="28"/>
          <w:rtl/>
        </w:rPr>
        <w:t xml:space="preserve">اتفاقات </w:t>
      </w:r>
      <w:r w:rsidRPr="001260E2">
        <w:rPr>
          <w:rFonts w:hint="cs"/>
          <w:sz w:val="28"/>
          <w:szCs w:val="28"/>
          <w:rtl/>
        </w:rPr>
        <w:t xml:space="preserve">إذعان </w:t>
      </w:r>
      <w:r w:rsidRPr="001260E2">
        <w:rPr>
          <w:sz w:val="28"/>
          <w:szCs w:val="28"/>
          <w:rtl/>
        </w:rPr>
        <w:t>نموذج</w:t>
      </w:r>
      <w:r w:rsidRPr="001260E2">
        <w:rPr>
          <w:rFonts w:hint="cs"/>
          <w:sz w:val="28"/>
          <w:szCs w:val="28"/>
          <w:rtl/>
        </w:rPr>
        <w:t>ية</w:t>
      </w:r>
      <w:r w:rsidRPr="001260E2">
        <w:rPr>
          <w:sz w:val="28"/>
          <w:szCs w:val="28"/>
          <w:rtl/>
        </w:rPr>
        <w:t xml:space="preserve"> مصممة خصيصا لمساعدة الأطراف على إحالة </w:t>
      </w:r>
      <w:r w:rsidRPr="001260E2">
        <w:rPr>
          <w:rFonts w:hint="cs"/>
          <w:sz w:val="28"/>
          <w:szCs w:val="28"/>
          <w:rtl/>
        </w:rPr>
        <w:t xml:space="preserve">أي </w:t>
      </w:r>
      <w:r w:rsidRPr="001260E2">
        <w:rPr>
          <w:sz w:val="28"/>
          <w:szCs w:val="28"/>
          <w:rtl/>
        </w:rPr>
        <w:t xml:space="preserve">نزاع </w:t>
      </w:r>
      <w:r w:rsidRPr="001260E2">
        <w:rPr>
          <w:rFonts w:hint="cs"/>
          <w:sz w:val="28"/>
          <w:szCs w:val="28"/>
          <w:rtl/>
        </w:rPr>
        <w:t xml:space="preserve">يرتبط بشروط الترخيص المنصفة والمعقولة وغير التمييزية </w:t>
      </w:r>
      <w:r w:rsidRPr="001260E2">
        <w:rPr>
          <w:sz w:val="28"/>
          <w:szCs w:val="28"/>
          <w:rtl/>
        </w:rPr>
        <w:t>إلى وساطة الويبو أو تحكيمها.</w:t>
      </w:r>
      <w:r w:rsidRPr="001260E2">
        <w:rPr>
          <w:rFonts w:hint="cs"/>
          <w:sz w:val="28"/>
          <w:szCs w:val="28"/>
          <w:rtl/>
        </w:rPr>
        <w:t xml:space="preserve"> ويتعاون المركز مؤخرا مع محكمة ميونيخ الإقليمية في ألمانيا لإذكاء الوعي بسبل الويبو البديلة لتسوية المنازعات المتعلقة بالشروط المنصفة والمعقولة وغير التمييزية. انظر الرابط التالي:</w:t>
      </w:r>
      <w:r w:rsidRPr="001260E2">
        <w:rPr>
          <w:sz w:val="28"/>
          <w:szCs w:val="28"/>
          <w:rtl/>
        </w:rPr>
        <w:t xml:space="preserve"> </w:t>
      </w:r>
      <w:hyperlink r:id="rId9" w:history="1">
        <w:r w:rsidRPr="00F13182">
          <w:rPr>
            <w:rStyle w:val="Hyperlink"/>
            <w:color w:val="auto"/>
            <w:sz w:val="28"/>
            <w:szCs w:val="28"/>
            <w:u w:val="none"/>
          </w:rPr>
          <w:t>https://www.wipo.int/amc/en/clauses/national_court.html</w:t>
        </w:r>
      </w:hyperlink>
      <w:r w:rsidRPr="001260E2">
        <w:rPr>
          <w:sz w:val="28"/>
          <w:szCs w:val="28"/>
          <w:rtl/>
        </w:rPr>
        <w:t>.</w:t>
      </w:r>
    </w:p>
  </w:footnote>
  <w:footnote w:id="11">
    <w:p w:rsidR="00387E94" w:rsidRPr="00F13182" w:rsidRDefault="00387E94" w:rsidP="00387E94">
      <w:pPr>
        <w:pStyle w:val="NormalParaAR"/>
        <w:ind w:left="-5"/>
        <w:rPr>
          <w:sz w:val="28"/>
          <w:szCs w:val="28"/>
          <w:rtl/>
        </w:rPr>
      </w:pPr>
      <w:r>
        <w:rPr>
          <w:rStyle w:val="FootnoteReference"/>
        </w:rPr>
        <w:footnoteRef/>
      </w:r>
      <w:r w:rsidR="00F13182">
        <w:rPr>
          <w:rtl/>
        </w:rPr>
        <w:tab/>
      </w:r>
      <w:r w:rsidRPr="001260E2">
        <w:rPr>
          <w:sz w:val="28"/>
          <w:szCs w:val="28"/>
          <w:rtl/>
        </w:rPr>
        <w:t>تشمل</w:t>
      </w:r>
      <w:r w:rsidRPr="001260E2">
        <w:rPr>
          <w:rFonts w:hint="cs"/>
          <w:sz w:val="28"/>
          <w:szCs w:val="28"/>
          <w:rtl/>
        </w:rPr>
        <w:t xml:space="preserve"> هذه السلطات </w:t>
      </w:r>
      <w:r w:rsidRPr="001260E2">
        <w:rPr>
          <w:sz w:val="28"/>
          <w:szCs w:val="28"/>
          <w:rtl/>
        </w:rPr>
        <w:t>المركز الوطني للملكية الفكرية في بيلاروس (</w:t>
      </w:r>
      <w:r w:rsidRPr="001260E2">
        <w:rPr>
          <w:sz w:val="28"/>
          <w:szCs w:val="28"/>
        </w:rPr>
        <w:t>NCIP</w:t>
      </w:r>
      <w:r w:rsidRPr="001260E2">
        <w:rPr>
          <w:sz w:val="28"/>
          <w:szCs w:val="28"/>
          <w:rtl/>
        </w:rPr>
        <w:t xml:space="preserve">)، </w:t>
      </w:r>
      <w:r>
        <w:rPr>
          <w:rFonts w:hint="cs"/>
          <w:sz w:val="28"/>
          <w:szCs w:val="28"/>
          <w:rtl/>
        </w:rPr>
        <w:t>و</w:t>
      </w:r>
      <w:r w:rsidRPr="001260E2">
        <w:rPr>
          <w:sz w:val="28"/>
          <w:szCs w:val="28"/>
          <w:rtl/>
        </w:rPr>
        <w:t xml:space="preserve">هيئة </w:t>
      </w:r>
      <w:r w:rsidRPr="001260E2">
        <w:rPr>
          <w:rFonts w:hint="cs"/>
          <w:sz w:val="28"/>
          <w:szCs w:val="28"/>
          <w:rtl/>
        </w:rPr>
        <w:t>الإشراف</w:t>
      </w:r>
      <w:r w:rsidRPr="001260E2">
        <w:rPr>
          <w:sz w:val="28"/>
          <w:szCs w:val="28"/>
          <w:rtl/>
        </w:rPr>
        <w:t xml:space="preserve"> على الصناعة والتجارة في كولومبيا (</w:t>
      </w:r>
      <w:r w:rsidRPr="001260E2">
        <w:rPr>
          <w:sz w:val="28"/>
          <w:szCs w:val="28"/>
        </w:rPr>
        <w:t>SIC</w:t>
      </w:r>
      <w:r w:rsidRPr="001260E2">
        <w:rPr>
          <w:sz w:val="28"/>
          <w:szCs w:val="28"/>
          <w:rtl/>
        </w:rPr>
        <w:t xml:space="preserve">)، </w:t>
      </w:r>
      <w:r>
        <w:rPr>
          <w:rFonts w:hint="cs"/>
          <w:sz w:val="28"/>
          <w:szCs w:val="28"/>
          <w:rtl/>
        </w:rPr>
        <w:t>و</w:t>
      </w:r>
      <w:r w:rsidRPr="001260E2">
        <w:rPr>
          <w:sz w:val="28"/>
          <w:szCs w:val="28"/>
          <w:rtl/>
        </w:rPr>
        <w:t>المنظمة الأوروبية الآسيوية للبراءات (</w:t>
      </w:r>
      <w:r w:rsidRPr="001260E2">
        <w:rPr>
          <w:sz w:val="28"/>
          <w:szCs w:val="28"/>
        </w:rPr>
        <w:t>EAPO</w:t>
      </w:r>
      <w:r w:rsidRPr="001260E2">
        <w:rPr>
          <w:sz w:val="28"/>
          <w:szCs w:val="28"/>
          <w:rtl/>
        </w:rPr>
        <w:t xml:space="preserve">) (الدول الأعضاء في </w:t>
      </w:r>
      <w:r w:rsidRPr="001260E2">
        <w:rPr>
          <w:sz w:val="28"/>
          <w:szCs w:val="28"/>
        </w:rPr>
        <w:t>EAPO</w:t>
      </w:r>
      <w:r w:rsidRPr="001260E2">
        <w:rPr>
          <w:sz w:val="28"/>
          <w:szCs w:val="28"/>
          <w:rtl/>
        </w:rPr>
        <w:t xml:space="preserve">)، </w:t>
      </w:r>
      <w:r>
        <w:rPr>
          <w:rFonts w:hint="cs"/>
          <w:sz w:val="28"/>
          <w:szCs w:val="28"/>
          <w:rtl/>
        </w:rPr>
        <w:t>و</w:t>
      </w:r>
      <w:r w:rsidRPr="001260E2">
        <w:rPr>
          <w:sz w:val="28"/>
          <w:szCs w:val="28"/>
          <w:rtl/>
        </w:rPr>
        <w:t>المكتب الإيطالي للبراءات والعلامات التجارية (</w:t>
      </w:r>
      <w:r w:rsidRPr="001260E2">
        <w:rPr>
          <w:sz w:val="28"/>
          <w:szCs w:val="28"/>
        </w:rPr>
        <w:t>UIBM</w:t>
      </w:r>
      <w:r w:rsidRPr="001260E2">
        <w:rPr>
          <w:sz w:val="28"/>
          <w:szCs w:val="28"/>
          <w:rtl/>
        </w:rPr>
        <w:t xml:space="preserve">)، </w:t>
      </w:r>
      <w:r>
        <w:rPr>
          <w:rFonts w:hint="cs"/>
          <w:sz w:val="28"/>
          <w:szCs w:val="28"/>
          <w:rtl/>
        </w:rPr>
        <w:t>و</w:t>
      </w:r>
      <w:r w:rsidRPr="001260E2">
        <w:rPr>
          <w:sz w:val="28"/>
          <w:szCs w:val="28"/>
          <w:rtl/>
        </w:rPr>
        <w:t>وزارة العدل لجمهورية كازاخستان (كازاخستان)، والمعهد الوطني لحق المؤلف في المكسيك (</w:t>
      </w:r>
      <w:r w:rsidRPr="001260E2">
        <w:rPr>
          <w:sz w:val="28"/>
          <w:szCs w:val="28"/>
        </w:rPr>
        <w:t>INDAUTOR</w:t>
      </w:r>
      <w:r w:rsidRPr="001260E2">
        <w:rPr>
          <w:sz w:val="28"/>
          <w:szCs w:val="28"/>
          <w:rtl/>
        </w:rPr>
        <w:t>)، والمكتب المغربي للملكية الصناعية والتجارية (</w:t>
      </w:r>
      <w:r w:rsidRPr="001260E2">
        <w:rPr>
          <w:sz w:val="28"/>
          <w:szCs w:val="28"/>
        </w:rPr>
        <w:t>OMPIC</w:t>
      </w:r>
      <w:r w:rsidRPr="001260E2">
        <w:rPr>
          <w:sz w:val="28"/>
          <w:szCs w:val="28"/>
          <w:rtl/>
        </w:rPr>
        <w:t>)، ومحكمة العدل العليا في باراغواي (</w:t>
      </w:r>
      <w:r w:rsidRPr="001260E2">
        <w:rPr>
          <w:sz w:val="28"/>
          <w:szCs w:val="28"/>
        </w:rPr>
        <w:t>CSJ</w:t>
      </w:r>
      <w:r w:rsidRPr="001260E2">
        <w:rPr>
          <w:sz w:val="28"/>
          <w:szCs w:val="28"/>
          <w:rtl/>
        </w:rPr>
        <w:t xml:space="preserve">). تتوفر قائمة كاملة بتعاون المركز مع </w:t>
      </w:r>
      <w:r w:rsidRPr="001260E2">
        <w:rPr>
          <w:rFonts w:hint="cs"/>
          <w:sz w:val="28"/>
          <w:szCs w:val="28"/>
          <w:rtl/>
        </w:rPr>
        <w:t>مكاتب الملكية الفكرية</w:t>
      </w:r>
      <w:r w:rsidRPr="001260E2">
        <w:rPr>
          <w:sz w:val="28"/>
          <w:szCs w:val="28"/>
          <w:rtl/>
        </w:rPr>
        <w:t xml:space="preserve"> على </w:t>
      </w:r>
      <w:r w:rsidRPr="001260E2">
        <w:rPr>
          <w:rFonts w:hint="cs"/>
          <w:sz w:val="28"/>
          <w:szCs w:val="28"/>
          <w:rtl/>
        </w:rPr>
        <w:t xml:space="preserve">الرابط التالي: </w:t>
      </w:r>
      <w:hyperlink r:id="rId10" w:history="1">
        <w:r w:rsidRPr="00F13182">
          <w:rPr>
            <w:rStyle w:val="Hyperlink"/>
            <w:color w:val="auto"/>
            <w:sz w:val="28"/>
            <w:szCs w:val="28"/>
            <w:u w:val="none"/>
          </w:rPr>
          <w:t>http://www.wipo.int/amc/en/center/specific-sectors/ipoffices</w:t>
        </w:r>
      </w:hyperlink>
      <w:r w:rsidR="00F13182">
        <w:rPr>
          <w:rFonts w:hint="cs"/>
          <w:sz w:val="28"/>
          <w:szCs w:val="28"/>
          <w:rtl/>
        </w:rPr>
        <w:t>.</w:t>
      </w:r>
    </w:p>
  </w:footnote>
  <w:footnote w:id="12">
    <w:p w:rsidR="00387E94" w:rsidRPr="001260E2" w:rsidRDefault="00387E94" w:rsidP="00387E94">
      <w:pPr>
        <w:pStyle w:val="FootnoteText"/>
        <w:rPr>
          <w:rtl/>
          <w:lang w:val="fr-CH"/>
        </w:rPr>
      </w:pPr>
      <w:r>
        <w:rPr>
          <w:rStyle w:val="FootnoteReference"/>
        </w:rPr>
        <w:footnoteRef/>
      </w:r>
      <w:r w:rsidR="00F13182">
        <w:rPr>
          <w:rtl/>
        </w:rPr>
        <w:tab/>
      </w:r>
      <w:r>
        <w:rPr>
          <w:rFonts w:hint="cs"/>
          <w:rtl/>
        </w:rPr>
        <w:t xml:space="preserve">تشمل هذه المكاتب المعهد الوطني للملكية الصناعية في الأرجنتين </w:t>
      </w:r>
      <w:r>
        <w:t>(INPI)</w:t>
      </w:r>
      <w:r>
        <w:rPr>
          <w:rFonts w:hint="cs"/>
          <w:rtl/>
          <w:lang w:val="fr-CH" w:bidi="ar-SY"/>
        </w:rPr>
        <w:t>، ومكتب أستراليا للملكية الفكرية، و</w:t>
      </w:r>
      <w:r w:rsidRPr="001260E2">
        <w:rPr>
          <w:rtl/>
        </w:rPr>
        <w:t>المركز الوطني للملكية الفكرية في بيلاروس (</w:t>
      </w:r>
      <w:r w:rsidRPr="001260E2">
        <w:t>NCIP</w:t>
      </w:r>
      <w:r w:rsidRPr="001260E2">
        <w:rPr>
          <w:rtl/>
        </w:rPr>
        <w:t xml:space="preserve">)، </w:t>
      </w:r>
      <w:r>
        <w:rPr>
          <w:rFonts w:hint="cs"/>
          <w:rtl/>
          <w:lang w:val="fr-CH" w:bidi="ar-SY"/>
        </w:rPr>
        <w:t xml:space="preserve">والمعهد الوطني البرازيلي للملكية الصناعية </w:t>
      </w:r>
      <w:r>
        <w:rPr>
          <w:lang w:bidi="ar-SY"/>
        </w:rPr>
        <w:t>(INPI-BR)</w:t>
      </w:r>
      <w:r>
        <w:rPr>
          <w:rFonts w:hint="cs"/>
          <w:rtl/>
          <w:lang w:val="fr-CH" w:bidi="ar-SY"/>
        </w:rPr>
        <w:t xml:space="preserve">، والمعهد الوطني الشيلي للملكية الصناعية </w:t>
      </w:r>
      <w:r>
        <w:rPr>
          <w:lang w:bidi="ar-SY"/>
        </w:rPr>
        <w:t>(INAPI)</w:t>
      </w:r>
      <w:r>
        <w:rPr>
          <w:rFonts w:hint="cs"/>
          <w:rtl/>
          <w:lang w:val="fr-CH" w:bidi="ar-SY"/>
        </w:rPr>
        <w:t xml:space="preserve">، وإدارة الصين الوطنية للملكية الفكرية </w:t>
      </w:r>
      <w:r>
        <w:rPr>
          <w:lang w:bidi="ar-SY"/>
        </w:rPr>
        <w:t>(CNIPA)</w:t>
      </w:r>
      <w:r>
        <w:rPr>
          <w:rFonts w:hint="cs"/>
          <w:rtl/>
          <w:lang w:val="fr-CH" w:bidi="ar-SY"/>
        </w:rPr>
        <w:t xml:space="preserve">، والمديرية الوطنية لحقوق المؤلف في كولومبيا </w:t>
      </w:r>
      <w:r>
        <w:rPr>
          <w:lang w:bidi="ar-SY"/>
        </w:rPr>
        <w:t>(DNDA)</w:t>
      </w:r>
      <w:r>
        <w:rPr>
          <w:rFonts w:hint="cs"/>
          <w:rtl/>
          <w:lang w:val="fr-CH" w:bidi="ar-SY"/>
        </w:rPr>
        <w:t xml:space="preserve">، </w:t>
      </w:r>
      <w:r>
        <w:rPr>
          <w:rFonts w:hint="cs"/>
          <w:rtl/>
        </w:rPr>
        <w:t>و</w:t>
      </w:r>
      <w:r w:rsidRPr="001260E2">
        <w:rPr>
          <w:rtl/>
        </w:rPr>
        <w:t xml:space="preserve">هيئة </w:t>
      </w:r>
      <w:r w:rsidRPr="001260E2">
        <w:rPr>
          <w:rFonts w:hint="cs"/>
          <w:rtl/>
        </w:rPr>
        <w:t>الإشراف</w:t>
      </w:r>
      <w:r w:rsidRPr="001260E2">
        <w:rPr>
          <w:rtl/>
        </w:rPr>
        <w:t xml:space="preserve"> على الصناعة والتجارة في كولومبيا (</w:t>
      </w:r>
      <w:r w:rsidRPr="001260E2">
        <w:t>SIC</w:t>
      </w:r>
      <w:r w:rsidRPr="001260E2">
        <w:rPr>
          <w:rtl/>
        </w:rPr>
        <w:t>)</w:t>
      </w:r>
      <w:r>
        <w:rPr>
          <w:rFonts w:hint="cs"/>
          <w:rtl/>
        </w:rPr>
        <w:t xml:space="preserve"> </w:t>
      </w:r>
      <w:r>
        <w:rPr>
          <w:rFonts w:hint="cs"/>
          <w:rtl/>
          <w:lang w:val="fr-CH" w:bidi="ar-SY"/>
        </w:rPr>
        <w:t xml:space="preserve">وسجل كوستاريكا الوطني، والمكتب الكوبي للملكية الصناعية </w:t>
      </w:r>
      <w:r>
        <w:rPr>
          <w:lang w:bidi="ar-SY"/>
        </w:rPr>
        <w:t>(OCPI)</w:t>
      </w:r>
      <w:r>
        <w:rPr>
          <w:rFonts w:hint="cs"/>
          <w:rtl/>
          <w:lang w:val="fr-CH" w:bidi="ar-SY"/>
        </w:rPr>
        <w:t xml:space="preserve">، </w:t>
      </w:r>
      <w:r w:rsidRPr="00AD7BE2">
        <w:rPr>
          <w:rFonts w:hint="cs"/>
          <w:rtl/>
        </w:rPr>
        <w:t>و</w:t>
      </w:r>
      <w:r w:rsidRPr="00AD7BE2">
        <w:rPr>
          <w:rtl/>
        </w:rPr>
        <w:t>المكتب الوطني لحق المؤلف في الجمهورية الدومينيكية (</w:t>
      </w:r>
      <w:r w:rsidRPr="00AD7BE2">
        <w:t>ONDA</w:t>
      </w:r>
      <w:r w:rsidRPr="00AD7BE2">
        <w:rPr>
          <w:rtl/>
        </w:rPr>
        <w:t>)،</w:t>
      </w:r>
      <w:r>
        <w:t xml:space="preserve"> </w:t>
      </w:r>
      <w:r>
        <w:rPr>
          <w:rFonts w:hint="cs"/>
          <w:rtl/>
          <w:lang w:val="fr-CH" w:bidi="ar-SY"/>
        </w:rPr>
        <w:t xml:space="preserve">والدائرة الوطنية للحقوق الفكرية في إكوادور </w:t>
      </w:r>
      <w:r>
        <w:rPr>
          <w:lang w:bidi="ar-SY"/>
        </w:rPr>
        <w:t>(SENADI)</w:t>
      </w:r>
      <w:r>
        <w:rPr>
          <w:rFonts w:hint="cs"/>
          <w:rtl/>
          <w:lang w:val="fr-CH" w:bidi="ar-SY"/>
        </w:rPr>
        <w:t>،</w:t>
      </w:r>
      <w:r w:rsidRPr="00AD7BE2">
        <w:rPr>
          <w:rtl/>
        </w:rPr>
        <w:t xml:space="preserve"> </w:t>
      </w:r>
      <w:r w:rsidRPr="00AD7BE2">
        <w:rPr>
          <w:rFonts w:hint="cs"/>
          <w:rtl/>
        </w:rPr>
        <w:t>و</w:t>
      </w:r>
      <w:r w:rsidRPr="00AD7BE2">
        <w:rPr>
          <w:rtl/>
        </w:rPr>
        <w:t>مركز السلفادور الوطني للسجلات (</w:t>
      </w:r>
      <w:r w:rsidRPr="00AD7BE2">
        <w:t>CNR</w:t>
      </w:r>
      <w:r w:rsidRPr="00AD7BE2">
        <w:rPr>
          <w:rtl/>
        </w:rPr>
        <w:t>)،</w:t>
      </w:r>
      <w:r>
        <w:rPr>
          <w:rFonts w:hint="cs"/>
          <w:rtl/>
        </w:rPr>
        <w:t xml:space="preserve"> و</w:t>
      </w:r>
      <w:r w:rsidRPr="001260E2">
        <w:rPr>
          <w:rtl/>
        </w:rPr>
        <w:t>المنظمة الأوروبية الآسيوية للبراءات (</w:t>
      </w:r>
      <w:r w:rsidRPr="001260E2">
        <w:t>EAPO</w:t>
      </w:r>
      <w:r w:rsidRPr="001260E2">
        <w:rPr>
          <w:rtl/>
        </w:rPr>
        <w:t xml:space="preserve">) (الدول الأعضاء في </w:t>
      </w:r>
      <w:r w:rsidRPr="001260E2">
        <w:t>EAPO</w:t>
      </w:r>
      <w:r w:rsidRPr="001260E2">
        <w:rPr>
          <w:rtl/>
        </w:rPr>
        <w:t>)،</w:t>
      </w:r>
      <w:r>
        <w:rPr>
          <w:rFonts w:hint="cs"/>
          <w:rtl/>
        </w:rPr>
        <w:t xml:space="preserve"> و</w:t>
      </w:r>
      <w:r>
        <w:rPr>
          <w:rFonts w:hint="cs"/>
          <w:rtl/>
          <w:lang w:val="fr-CH" w:bidi="ar-SY"/>
        </w:rPr>
        <w:t xml:space="preserve">المكتب الهنغاري للملكية الفكرية </w:t>
      </w:r>
      <w:r>
        <w:rPr>
          <w:lang w:bidi="ar-SY"/>
        </w:rPr>
        <w:t>(HIPO)</w:t>
      </w:r>
      <w:r>
        <w:rPr>
          <w:rFonts w:hint="cs"/>
          <w:rtl/>
        </w:rPr>
        <w:t xml:space="preserve">، </w:t>
      </w:r>
      <w:r w:rsidRPr="00AD7BE2">
        <w:rPr>
          <w:rFonts w:hint="cs"/>
          <w:rtl/>
        </w:rPr>
        <w:t>و</w:t>
      </w:r>
      <w:r w:rsidRPr="00AD7BE2">
        <w:rPr>
          <w:rtl/>
        </w:rPr>
        <w:t>المديرية العامة للملكية الفكرية في إندونيسيا (</w:t>
      </w:r>
      <w:r w:rsidRPr="00AD7BE2">
        <w:t>DGIP</w:t>
      </w:r>
      <w:r w:rsidRPr="00AD7BE2">
        <w:rPr>
          <w:rtl/>
        </w:rPr>
        <w:t>)، ومكتب البراءات الإسرائيلي (</w:t>
      </w:r>
      <w:r w:rsidRPr="00AD7BE2">
        <w:t>ILPO</w:t>
      </w:r>
      <w:r w:rsidRPr="00AD7BE2">
        <w:rPr>
          <w:rtl/>
        </w:rPr>
        <w:t xml:space="preserve">)، </w:t>
      </w:r>
      <w:r>
        <w:rPr>
          <w:rFonts w:hint="cs"/>
          <w:rtl/>
        </w:rPr>
        <w:t>و</w:t>
      </w:r>
      <w:r w:rsidRPr="001260E2">
        <w:rPr>
          <w:rtl/>
        </w:rPr>
        <w:t>المكتب الإيطالي للبراءات والعلامات التجارية (</w:t>
      </w:r>
      <w:r w:rsidRPr="001260E2">
        <w:t>UIBM</w:t>
      </w:r>
      <w:r w:rsidRPr="001260E2">
        <w:rPr>
          <w:rtl/>
        </w:rPr>
        <w:t xml:space="preserve">)، </w:t>
      </w:r>
      <w:r w:rsidRPr="00AD7BE2">
        <w:rPr>
          <w:rtl/>
        </w:rPr>
        <w:t>و</w:t>
      </w:r>
      <w:r w:rsidRPr="00AD7BE2">
        <w:rPr>
          <w:rFonts w:hint="cs"/>
          <w:rtl/>
        </w:rPr>
        <w:t>ال</w:t>
      </w:r>
      <w:r w:rsidRPr="00AD7BE2">
        <w:rPr>
          <w:rtl/>
        </w:rPr>
        <w:t>مج</w:t>
      </w:r>
      <w:r w:rsidRPr="00AD7BE2">
        <w:rPr>
          <w:rFonts w:hint="cs"/>
          <w:rtl/>
        </w:rPr>
        <w:t xml:space="preserve">لس </w:t>
      </w:r>
      <w:r w:rsidRPr="00AD7BE2">
        <w:rPr>
          <w:rtl/>
        </w:rPr>
        <w:t>الكيني</w:t>
      </w:r>
      <w:r w:rsidRPr="00AD7BE2">
        <w:rPr>
          <w:rFonts w:hint="cs"/>
          <w:rtl/>
        </w:rPr>
        <w:t xml:space="preserve"> لحق المؤلف</w:t>
      </w:r>
      <w:r w:rsidRPr="00AD7BE2">
        <w:rPr>
          <w:rtl/>
        </w:rPr>
        <w:t xml:space="preserve"> (</w:t>
      </w:r>
      <w:r w:rsidRPr="00AD7BE2">
        <w:t>KECOBO</w:t>
      </w:r>
      <w:r w:rsidRPr="00AD7BE2">
        <w:rPr>
          <w:rtl/>
        </w:rPr>
        <w:t>)، ووزارة الثقافة والرياضة والسياحة في جمهورية كوريا (</w:t>
      </w:r>
      <w:r w:rsidRPr="00AD7BE2">
        <w:t>MCST</w:t>
      </w:r>
      <w:r w:rsidRPr="00AD7BE2">
        <w:rPr>
          <w:rtl/>
        </w:rPr>
        <w:t>)، و</w:t>
      </w:r>
      <w:r w:rsidRPr="00AD7BE2">
        <w:rPr>
          <w:rFonts w:hint="cs"/>
          <w:rtl/>
        </w:rPr>
        <w:t>ال</w:t>
      </w:r>
      <w:r w:rsidRPr="00AD7BE2">
        <w:rPr>
          <w:rtl/>
        </w:rPr>
        <w:t xml:space="preserve">مكتب </w:t>
      </w:r>
      <w:r w:rsidRPr="00AD7BE2">
        <w:rPr>
          <w:rFonts w:hint="cs"/>
          <w:rtl/>
        </w:rPr>
        <w:t>ال</w:t>
      </w:r>
      <w:r w:rsidRPr="00AD7BE2">
        <w:rPr>
          <w:rtl/>
        </w:rPr>
        <w:t>كوري للملكية الفكرية (</w:t>
      </w:r>
      <w:r w:rsidRPr="00AD7BE2">
        <w:t>KIPO</w:t>
      </w:r>
      <w:r w:rsidRPr="00AD7BE2">
        <w:rPr>
          <w:rtl/>
        </w:rPr>
        <w:t>)،</w:t>
      </w:r>
      <w:r w:rsidRPr="00A117A0">
        <w:rPr>
          <w:rFonts w:hint="cs"/>
          <w:rtl/>
          <w:lang w:val="fr-CH" w:bidi="ar-SY"/>
        </w:rPr>
        <w:t xml:space="preserve"> </w:t>
      </w:r>
      <w:r>
        <w:rPr>
          <w:rFonts w:hint="cs"/>
          <w:rtl/>
          <w:lang w:val="fr-CH" w:bidi="ar-SY"/>
        </w:rPr>
        <w:t xml:space="preserve">ودائرة الملكية الفكرية والابتكار لحكومة جمهورية قيرغيزستان </w:t>
      </w:r>
      <w:r>
        <w:rPr>
          <w:lang w:val="fr-CH" w:bidi="ar-SY"/>
        </w:rPr>
        <w:t>(Kyrgyzpatent)</w:t>
      </w:r>
      <w:r>
        <w:rPr>
          <w:rFonts w:hint="cs"/>
          <w:rtl/>
          <w:lang w:val="fr-CH" w:bidi="ar-SY"/>
        </w:rPr>
        <w:t>،</w:t>
      </w:r>
      <w:r w:rsidRPr="00AD7BE2">
        <w:rPr>
          <w:rtl/>
        </w:rPr>
        <w:t xml:space="preserve"> ووزارة الثقافة </w:t>
      </w:r>
      <w:r>
        <w:rPr>
          <w:rFonts w:hint="cs"/>
          <w:rtl/>
        </w:rPr>
        <w:t xml:space="preserve">في </w:t>
      </w:r>
      <w:r w:rsidRPr="00AD7BE2">
        <w:rPr>
          <w:rtl/>
        </w:rPr>
        <w:t>جمهورية ليتوانيا، والمعهد المكسيكي للملكية الصناعية (</w:t>
      </w:r>
      <w:r w:rsidRPr="00AD7BE2">
        <w:t>IMPI Mexico</w:t>
      </w:r>
      <w:r w:rsidRPr="00AD7BE2">
        <w:rPr>
          <w:rtl/>
        </w:rPr>
        <w:t>)،</w:t>
      </w:r>
      <w:r w:rsidRPr="001260E2">
        <w:rPr>
          <w:rtl/>
        </w:rPr>
        <w:t xml:space="preserve"> والمعهد الوطني لحق المؤلف في المكسيك (</w:t>
      </w:r>
      <w:r w:rsidRPr="001260E2">
        <w:t>INDAUTOR</w:t>
      </w:r>
      <w:r w:rsidRPr="001260E2">
        <w:rPr>
          <w:rtl/>
        </w:rPr>
        <w:t>)، والمكتب المغربي للملكية الصناعية والتجارية (</w:t>
      </w:r>
      <w:r w:rsidRPr="001260E2">
        <w:t>OMPIC</w:t>
      </w:r>
      <w:r w:rsidRPr="001260E2">
        <w:rPr>
          <w:rtl/>
        </w:rPr>
        <w:t>)،</w:t>
      </w:r>
      <w:r w:rsidRPr="00AD7BE2">
        <w:rPr>
          <w:rtl/>
        </w:rPr>
        <w:t xml:space="preserve"> والمديرية الوطنية للملكية الفكرية في باراغواي (</w:t>
      </w:r>
      <w:r w:rsidRPr="00AD7BE2">
        <w:t>DINAPI</w:t>
      </w:r>
      <w:r w:rsidRPr="00AD7BE2">
        <w:rPr>
          <w:rtl/>
        </w:rPr>
        <w:t xml:space="preserve">)، </w:t>
      </w:r>
      <w:r w:rsidRPr="001260E2">
        <w:rPr>
          <w:rtl/>
        </w:rPr>
        <w:t>ومحكمة العدل العليا في باراغواي (</w:t>
      </w:r>
      <w:r w:rsidRPr="001260E2">
        <w:t>CSJ</w:t>
      </w:r>
      <w:r w:rsidRPr="001260E2">
        <w:rPr>
          <w:rtl/>
        </w:rPr>
        <w:t>)</w:t>
      </w:r>
      <w:r>
        <w:rPr>
          <w:rFonts w:hint="cs"/>
          <w:rtl/>
        </w:rPr>
        <w:t xml:space="preserve"> </w:t>
      </w:r>
      <w:r w:rsidRPr="00AD7BE2">
        <w:rPr>
          <w:rtl/>
        </w:rPr>
        <w:t>ومكتب الملكية الفكرية في الفلبين (</w:t>
      </w:r>
      <w:r w:rsidRPr="00AD7BE2">
        <w:t>IPOPHL</w:t>
      </w:r>
      <w:r w:rsidRPr="00AD7BE2">
        <w:rPr>
          <w:rtl/>
        </w:rPr>
        <w:t>)،</w:t>
      </w:r>
      <w:r>
        <w:rPr>
          <w:rFonts w:hint="cs"/>
          <w:rtl/>
        </w:rPr>
        <w:t xml:space="preserve"> </w:t>
      </w:r>
      <w:r w:rsidRPr="00AD7BE2">
        <w:rPr>
          <w:rtl/>
        </w:rPr>
        <w:t xml:space="preserve">ومكتب </w:t>
      </w:r>
      <w:r w:rsidRPr="00AD7BE2">
        <w:rPr>
          <w:rFonts w:hint="cs"/>
          <w:rtl/>
        </w:rPr>
        <w:t xml:space="preserve">البراءات في </w:t>
      </w:r>
      <w:r w:rsidRPr="00AD7BE2">
        <w:rPr>
          <w:rtl/>
        </w:rPr>
        <w:t>جمهورية بولندا (</w:t>
      </w:r>
      <w:r>
        <w:t>PPO</w:t>
      </w:r>
      <w:r w:rsidRPr="00AD7BE2">
        <w:rPr>
          <w:rtl/>
        </w:rPr>
        <w:t>)، والمكتب الروماني لحق المؤلف (</w:t>
      </w:r>
      <w:r w:rsidRPr="00AD7BE2">
        <w:t>ORDA</w:t>
      </w:r>
      <w:r w:rsidRPr="00AD7BE2">
        <w:rPr>
          <w:rtl/>
        </w:rPr>
        <w:t>)، وال</w:t>
      </w:r>
      <w:r w:rsidRPr="00AD7BE2">
        <w:rPr>
          <w:rFonts w:hint="cs"/>
          <w:rtl/>
        </w:rPr>
        <w:t xml:space="preserve">دائرة </w:t>
      </w:r>
      <w:r w:rsidRPr="00AD7BE2">
        <w:rPr>
          <w:rtl/>
        </w:rPr>
        <w:t xml:space="preserve">الاتحادية للملكية الفكرية </w:t>
      </w:r>
      <w:r w:rsidRPr="00AD7BE2">
        <w:rPr>
          <w:rFonts w:hint="cs"/>
          <w:rtl/>
        </w:rPr>
        <w:t>في ا</w:t>
      </w:r>
      <w:r w:rsidRPr="00AD7BE2">
        <w:rPr>
          <w:rtl/>
        </w:rPr>
        <w:t>لاتحاد الروسي (</w:t>
      </w:r>
      <w:r w:rsidRPr="00AD7BE2">
        <w:t>ROSPATENT</w:t>
      </w:r>
      <w:r w:rsidRPr="00AD7BE2">
        <w:rPr>
          <w:rtl/>
        </w:rPr>
        <w:t xml:space="preserve">)، ومكتب الملكية الفكرية </w:t>
      </w:r>
      <w:r w:rsidRPr="00AD7BE2">
        <w:rPr>
          <w:rFonts w:hint="cs"/>
          <w:rtl/>
        </w:rPr>
        <w:t xml:space="preserve">في </w:t>
      </w:r>
      <w:r w:rsidRPr="00AD7BE2">
        <w:rPr>
          <w:rtl/>
        </w:rPr>
        <w:t>جمهورية صربيا، ومكتب الملكية الفكرية في سنغافورة (</w:t>
      </w:r>
      <w:r w:rsidRPr="00AD7BE2">
        <w:t>IPOS</w:t>
      </w:r>
      <w:r w:rsidRPr="00AD7BE2">
        <w:rPr>
          <w:rtl/>
        </w:rPr>
        <w:t xml:space="preserve">)، </w:t>
      </w:r>
      <w:r w:rsidRPr="00AD7BE2">
        <w:rPr>
          <w:rFonts w:hint="cs"/>
          <w:rtl/>
        </w:rPr>
        <w:t>و</w:t>
      </w:r>
      <w:r w:rsidRPr="00AD7BE2">
        <w:rPr>
          <w:rtl/>
        </w:rPr>
        <w:t>المكتب الإسباني للبراءات والعلامات التجارية (</w:t>
      </w:r>
      <w:r w:rsidRPr="00AD7BE2">
        <w:t>OEPM</w:t>
      </w:r>
      <w:r w:rsidRPr="00AD7BE2">
        <w:rPr>
          <w:rtl/>
        </w:rPr>
        <w:t xml:space="preserve">)، </w:t>
      </w:r>
      <w:r w:rsidRPr="00AD7BE2">
        <w:rPr>
          <w:rFonts w:hint="cs"/>
          <w:rtl/>
        </w:rPr>
        <w:t>و</w:t>
      </w:r>
      <w:r w:rsidRPr="00AD7BE2">
        <w:rPr>
          <w:rtl/>
        </w:rPr>
        <w:t>المعهد الفيدرالي السويسري للملكية الفكرية (</w:t>
      </w:r>
      <w:r w:rsidRPr="00AD7BE2">
        <w:t>IPI</w:t>
      </w:r>
      <w:r w:rsidRPr="00AD7BE2">
        <w:rPr>
          <w:rtl/>
        </w:rPr>
        <w:t>)،</w:t>
      </w:r>
      <w:r>
        <w:rPr>
          <w:rFonts w:hint="cs"/>
          <w:rtl/>
        </w:rPr>
        <w:t xml:space="preserve"> </w:t>
      </w:r>
      <w:r>
        <w:rPr>
          <w:rFonts w:hint="cs"/>
          <w:rtl/>
          <w:lang w:val="fr-CH" w:bidi="ar-SY"/>
        </w:rPr>
        <w:t xml:space="preserve">وجمعية حق المؤلف في جمهورية تنزانيا </w:t>
      </w:r>
      <w:r>
        <w:rPr>
          <w:lang w:bidi="ar-SY"/>
        </w:rPr>
        <w:t>(COSOTA)</w:t>
      </w:r>
      <w:r>
        <w:rPr>
          <w:rFonts w:hint="cs"/>
          <w:rtl/>
        </w:rPr>
        <w:t>، و</w:t>
      </w:r>
      <w:r w:rsidRPr="00301058">
        <w:rPr>
          <w:rtl/>
        </w:rPr>
        <w:t>المحكمة المركزية للملكية الفكرية والتجارة الدولية</w:t>
      </w:r>
      <w:r>
        <w:rPr>
          <w:rFonts w:hint="cs"/>
          <w:rtl/>
        </w:rPr>
        <w:t xml:space="preserve"> في تايلند</w:t>
      </w:r>
      <w:r w:rsidRPr="00301058">
        <w:rPr>
          <w:rtl/>
        </w:rPr>
        <w:t xml:space="preserve"> (</w:t>
      </w:r>
      <w:r w:rsidRPr="00301058">
        <w:t>CIPITC</w:t>
      </w:r>
      <w:r>
        <w:rPr>
          <w:rtl/>
        </w:rPr>
        <w:t>)</w:t>
      </w:r>
      <w:r>
        <w:rPr>
          <w:rFonts w:hint="cs"/>
          <w:rtl/>
        </w:rPr>
        <w:t xml:space="preserve">، </w:t>
      </w:r>
      <w:r>
        <w:rPr>
          <w:rFonts w:hint="cs"/>
          <w:rtl/>
          <w:lang w:val="fr-CH" w:bidi="ar-SY"/>
        </w:rPr>
        <w:t xml:space="preserve">ومكتب الملكية الفكرية في ترينيداد وتوباغو، ووزارة التنمية الاقتصادية والتجارة في أوكرانيا </w:t>
      </w:r>
      <w:r>
        <w:rPr>
          <w:lang w:bidi="ar-SY"/>
        </w:rPr>
        <w:t>(MEDT)</w:t>
      </w:r>
      <w:r>
        <w:rPr>
          <w:rFonts w:hint="cs"/>
          <w:rtl/>
          <w:lang w:bidi="ar-SY"/>
        </w:rPr>
        <w:t>،</w:t>
      </w:r>
      <w:r w:rsidRPr="00301058">
        <w:rPr>
          <w:rFonts w:hint="cs"/>
          <w:rtl/>
        </w:rPr>
        <w:t xml:space="preserve"> </w:t>
      </w:r>
      <w:r w:rsidRPr="00AD7BE2">
        <w:rPr>
          <w:rFonts w:hint="cs"/>
          <w:rtl/>
        </w:rPr>
        <w:t>و</w:t>
      </w:r>
      <w:r w:rsidRPr="00AD7BE2">
        <w:rPr>
          <w:rtl/>
        </w:rPr>
        <w:t>مكتب المملكة المتحدة للملكية الفكرية (</w:t>
      </w:r>
      <w:r w:rsidRPr="00AD7BE2">
        <w:t>UKIPO</w:t>
      </w:r>
      <w:r w:rsidRPr="00AD7BE2">
        <w:rPr>
          <w:rtl/>
        </w:rPr>
        <w:t>)، ومكتب الولايات المتحدة للبراءات والعلامات التجارية (</w:t>
      </w:r>
      <w:r w:rsidRPr="00AD7BE2">
        <w:t>USPTO</w:t>
      </w:r>
      <w:r w:rsidRPr="00AD7BE2">
        <w:rPr>
          <w:rtl/>
        </w:rPr>
        <w:t>).</w:t>
      </w:r>
      <w:r>
        <w:rPr>
          <w:rFonts w:hint="cs"/>
          <w:rtl/>
        </w:rPr>
        <w:t xml:space="preserve">  </w:t>
      </w:r>
    </w:p>
  </w:footnote>
  <w:footnote w:id="13">
    <w:p w:rsidR="00387E94" w:rsidRPr="00203A11" w:rsidRDefault="00387E94" w:rsidP="00F13182">
      <w:pPr>
        <w:pStyle w:val="FootnoteText"/>
      </w:pPr>
      <w:r>
        <w:rPr>
          <w:rStyle w:val="FootnoteReference"/>
        </w:rPr>
        <w:footnoteRef/>
      </w:r>
      <w:r w:rsidR="00F13182">
        <w:rPr>
          <w:rtl/>
        </w:rPr>
        <w:tab/>
      </w:r>
      <w:r w:rsidRPr="00AD7BE2">
        <w:rPr>
          <w:rtl/>
        </w:rPr>
        <w:t xml:space="preserve">للاطلاع على أمثلة </w:t>
      </w:r>
      <w:r w:rsidRPr="00AD7BE2">
        <w:rPr>
          <w:rFonts w:hint="cs"/>
          <w:rtl/>
        </w:rPr>
        <w:t>على ا</w:t>
      </w:r>
      <w:r w:rsidRPr="00AD7BE2">
        <w:rPr>
          <w:rtl/>
        </w:rPr>
        <w:t>ل</w:t>
      </w:r>
      <w:r w:rsidRPr="00AD7BE2">
        <w:rPr>
          <w:rFonts w:hint="cs"/>
          <w:rtl/>
        </w:rPr>
        <w:t xml:space="preserve">فعاليات </w:t>
      </w:r>
      <w:r w:rsidRPr="00AD7BE2">
        <w:rPr>
          <w:rtl/>
        </w:rPr>
        <w:t>التي نظمها المركز بالتعاون</w:t>
      </w:r>
      <w:r w:rsidR="00F13182">
        <w:rPr>
          <w:rtl/>
        </w:rPr>
        <w:t xml:space="preserve"> مع مكاتب الملكية الفكرية، انظر</w:t>
      </w:r>
      <w:r>
        <w:t xml:space="preserve"> </w:t>
      </w:r>
      <w:hyperlink r:id="rId11" w:history="1">
        <w:r w:rsidRPr="00F13182">
          <w:rPr>
            <w:rStyle w:val="Hyperlink"/>
            <w:color w:val="auto"/>
            <w:u w:val="none"/>
          </w:rPr>
          <w:t>http://www.wipo.int/amc/en/center/specific-sectors/ipoffices/</w:t>
        </w:r>
      </w:hyperlink>
      <w:r w:rsidRPr="00AD7BE2">
        <w:rPr>
          <w:rtl/>
        </w:rPr>
        <w:t xml:space="preserve">. </w:t>
      </w:r>
      <w:r w:rsidRPr="00AD7BE2">
        <w:rPr>
          <w:rFonts w:hint="cs"/>
          <w:rtl/>
        </w:rPr>
        <w:t>والتسوية البديلة للمنازعات مُدرجة أيضا</w:t>
      </w:r>
      <w:r>
        <w:rPr>
          <w:rFonts w:hint="cs"/>
          <w:rtl/>
        </w:rPr>
        <w:t>ً</w:t>
      </w:r>
      <w:r w:rsidRPr="00AD7BE2">
        <w:rPr>
          <w:rFonts w:hint="cs"/>
          <w:rtl/>
        </w:rPr>
        <w:t xml:space="preserve"> </w:t>
      </w:r>
      <w:r w:rsidRPr="00AD7BE2">
        <w:rPr>
          <w:rtl/>
        </w:rPr>
        <w:t>في برامج ندوات الويبو الجوالة التي</w:t>
      </w:r>
      <w:r w:rsidRPr="00AD7BE2">
        <w:rPr>
          <w:rFonts w:hint="cs"/>
          <w:rtl/>
        </w:rPr>
        <w:t xml:space="preserve"> تُنظَّم </w:t>
      </w:r>
      <w:r w:rsidRPr="00AD7BE2">
        <w:rPr>
          <w:rtl/>
        </w:rPr>
        <w:t xml:space="preserve">بالتعاون مع مكاتب الملكية الفكرية. انظر </w:t>
      </w:r>
      <w:hyperlink r:id="rId12" w:history="1">
        <w:r w:rsidRPr="00F13182">
          <w:rPr>
            <w:rStyle w:val="Hyperlink"/>
            <w:color w:val="auto"/>
            <w:u w:val="none"/>
          </w:rPr>
          <w:t>http://www.wipo.int/dcea/en/roving_seminars/</w:t>
        </w:r>
      </w:hyperlink>
      <w:r w:rsidRPr="00F13182">
        <w:rPr>
          <w:rtl/>
        </w:rPr>
        <w:t>.</w:t>
      </w:r>
    </w:p>
  </w:footnote>
  <w:footnote w:id="14">
    <w:p w:rsidR="00387E94" w:rsidRDefault="00387E94" w:rsidP="00387E94">
      <w:pPr>
        <w:pStyle w:val="FootnoteText"/>
        <w:rPr>
          <w:lang w:bidi="ar-SY"/>
        </w:rPr>
      </w:pPr>
      <w:r>
        <w:rPr>
          <w:rStyle w:val="FootnoteReference"/>
        </w:rPr>
        <w:footnoteRef/>
      </w:r>
      <w:r w:rsidR="00F13182">
        <w:rPr>
          <w:rtl/>
        </w:rPr>
        <w:tab/>
      </w:r>
      <w:r w:rsidRPr="00AD7BE2">
        <w:rPr>
          <w:rtl/>
        </w:rPr>
        <w:t>على سبيل المثال، شارك المركز، في إطار تعاونه مع مك</w:t>
      </w:r>
      <w:r>
        <w:rPr>
          <w:rFonts w:hint="cs"/>
          <w:rtl/>
        </w:rPr>
        <w:t>ا</w:t>
      </w:r>
      <w:r w:rsidRPr="00AD7BE2">
        <w:rPr>
          <w:rtl/>
        </w:rPr>
        <w:t xml:space="preserve">تب </w:t>
      </w:r>
      <w:r w:rsidRPr="00AD7BE2">
        <w:rPr>
          <w:rFonts w:hint="cs"/>
          <w:rtl/>
        </w:rPr>
        <w:t>ا</w:t>
      </w:r>
      <w:r>
        <w:rPr>
          <w:rtl/>
        </w:rPr>
        <w:t>لملكية الفكرية</w:t>
      </w:r>
      <w:r w:rsidRPr="00AD7BE2">
        <w:rPr>
          <w:rtl/>
        </w:rPr>
        <w:t xml:space="preserve">، في وضع خيار </w:t>
      </w:r>
      <w:r w:rsidRPr="00AD7BE2">
        <w:rPr>
          <w:rFonts w:hint="cs"/>
          <w:rtl/>
        </w:rPr>
        <w:t>لل</w:t>
      </w:r>
      <w:r w:rsidRPr="00AD7BE2">
        <w:rPr>
          <w:rtl/>
        </w:rPr>
        <w:t xml:space="preserve">وساطة </w:t>
      </w:r>
      <w:r w:rsidRPr="00AD7BE2">
        <w:rPr>
          <w:rFonts w:hint="cs"/>
          <w:rtl/>
        </w:rPr>
        <w:t xml:space="preserve">في دعاوى </w:t>
      </w:r>
      <w:r w:rsidRPr="00AD7BE2">
        <w:rPr>
          <w:rtl/>
        </w:rPr>
        <w:t xml:space="preserve">العلامات التجارية </w:t>
      </w:r>
      <w:r>
        <w:rPr>
          <w:rFonts w:hint="cs"/>
          <w:rtl/>
        </w:rPr>
        <w:t>وغيرها</w:t>
      </w:r>
      <w:r w:rsidRPr="00AD7BE2">
        <w:rPr>
          <w:rtl/>
        </w:rPr>
        <w:t xml:space="preserve">، وخيار </w:t>
      </w:r>
      <w:r w:rsidRPr="00AD7BE2">
        <w:rPr>
          <w:rFonts w:hint="cs"/>
          <w:rtl/>
        </w:rPr>
        <w:t>لقرارات الخبراء في دعاوى</w:t>
      </w:r>
      <w:r w:rsidRPr="00AD7BE2">
        <w:rPr>
          <w:rtl/>
        </w:rPr>
        <w:t xml:space="preserve"> البراءات المعلقة</w:t>
      </w:r>
      <w:r w:rsidRPr="00AD7BE2">
        <w:rPr>
          <w:rFonts w:hint="cs"/>
          <w:rtl/>
        </w:rPr>
        <w:t xml:space="preserve"> التي ينظر فيها</w:t>
      </w:r>
      <w:r w:rsidRPr="00AD7BE2">
        <w:rPr>
          <w:rtl/>
        </w:rPr>
        <w:t xml:space="preserve"> مكتب </w:t>
      </w:r>
      <w:r w:rsidRPr="00AD7BE2">
        <w:rPr>
          <w:rFonts w:hint="cs"/>
          <w:rtl/>
        </w:rPr>
        <w:t>ا</w:t>
      </w:r>
      <w:r w:rsidRPr="00AD7BE2">
        <w:rPr>
          <w:rtl/>
        </w:rPr>
        <w:t xml:space="preserve">لملكية الفكرية </w:t>
      </w:r>
      <w:r w:rsidRPr="00AD7BE2">
        <w:rPr>
          <w:rFonts w:hint="cs"/>
          <w:rtl/>
        </w:rPr>
        <w:t xml:space="preserve">في </w:t>
      </w:r>
      <w:r w:rsidRPr="00AD7BE2">
        <w:rPr>
          <w:rtl/>
        </w:rPr>
        <w:t>سنغافورة، ويدير</w:t>
      </w:r>
      <w:r w:rsidRPr="00AD7BE2">
        <w:rPr>
          <w:rFonts w:hint="cs"/>
          <w:rtl/>
        </w:rPr>
        <w:t xml:space="preserve"> المركز</w:t>
      </w:r>
      <w:r w:rsidRPr="00AD7BE2">
        <w:rPr>
          <w:rtl/>
        </w:rPr>
        <w:t xml:space="preserve"> هذه ال</w:t>
      </w:r>
      <w:r w:rsidRPr="00AD7BE2">
        <w:rPr>
          <w:rFonts w:hint="cs"/>
          <w:rtl/>
        </w:rPr>
        <w:t>دعاوى</w:t>
      </w:r>
      <w:r w:rsidRPr="00AD7BE2">
        <w:rPr>
          <w:rtl/>
        </w:rPr>
        <w:t xml:space="preserve">. </w:t>
      </w:r>
      <w:r w:rsidRPr="00AD7BE2">
        <w:rPr>
          <w:rFonts w:hint="cs"/>
          <w:rtl/>
        </w:rPr>
        <w:t>و</w:t>
      </w:r>
      <w:r w:rsidRPr="00AD7BE2">
        <w:rPr>
          <w:rtl/>
        </w:rPr>
        <w:t xml:space="preserve">يتعاون المركز </w:t>
      </w:r>
      <w:r w:rsidRPr="00AD7BE2">
        <w:rPr>
          <w:rFonts w:hint="cs"/>
          <w:rtl/>
        </w:rPr>
        <w:t xml:space="preserve">أيضا </w:t>
      </w:r>
      <w:r w:rsidRPr="00AD7BE2">
        <w:rPr>
          <w:rtl/>
        </w:rPr>
        <w:t>مع مكتب الفلبين للملكية الفكرية (</w:t>
      </w:r>
      <w:r w:rsidRPr="00AD7BE2">
        <w:t>IPOPHL</w:t>
      </w:r>
      <w:r w:rsidRPr="00AD7BE2">
        <w:rPr>
          <w:rtl/>
        </w:rPr>
        <w:t xml:space="preserve">) فيما يتعلق بإدارة </w:t>
      </w:r>
      <w:r w:rsidRPr="00AD7BE2">
        <w:rPr>
          <w:rFonts w:hint="cs"/>
          <w:rtl/>
        </w:rPr>
        <w:t xml:space="preserve">دعاوى </w:t>
      </w:r>
      <w:r w:rsidRPr="00AD7BE2">
        <w:rPr>
          <w:rtl/>
        </w:rPr>
        <w:t>الوساطة التي تنطوي على حقوق ملكية فكرية في الفلبين. ويشجع مجلس المحاكمة والطعن في مجال العلامات التجارية (</w:t>
      </w:r>
      <w:r w:rsidRPr="00AD7BE2">
        <w:t>TTAB</w:t>
      </w:r>
      <w:r w:rsidRPr="00AD7BE2">
        <w:rPr>
          <w:rtl/>
        </w:rPr>
        <w:t xml:space="preserve">) ومجلس المحاكمة والطعن في مجال </w:t>
      </w:r>
      <w:r w:rsidRPr="00AD7BE2">
        <w:rPr>
          <w:rFonts w:hint="cs"/>
          <w:rtl/>
        </w:rPr>
        <w:t>البراءات</w:t>
      </w:r>
      <w:r w:rsidRPr="00AD7BE2">
        <w:rPr>
          <w:rtl/>
        </w:rPr>
        <w:t xml:space="preserve"> (</w:t>
      </w:r>
      <w:r w:rsidRPr="00AD7BE2">
        <w:t>PTAB</w:t>
      </w:r>
      <w:r w:rsidRPr="00AD7BE2">
        <w:rPr>
          <w:rtl/>
        </w:rPr>
        <w:t>) التابع</w:t>
      </w:r>
      <w:r w:rsidRPr="00AD7BE2">
        <w:rPr>
          <w:rFonts w:hint="cs"/>
          <w:rtl/>
        </w:rPr>
        <w:t>ان</w:t>
      </w:r>
      <w:r w:rsidRPr="00AD7BE2">
        <w:rPr>
          <w:rtl/>
        </w:rPr>
        <w:t xml:space="preserve"> لمكتب الولايات المتحدة للبراءات والعلامات التجارية (</w:t>
      </w:r>
      <w:r w:rsidRPr="00AD7BE2">
        <w:t>USPTO</w:t>
      </w:r>
      <w:r w:rsidRPr="00AD7BE2">
        <w:rPr>
          <w:rtl/>
        </w:rPr>
        <w:t>) –</w:t>
      </w:r>
      <w:r w:rsidRPr="00AD7BE2">
        <w:rPr>
          <w:rFonts w:hint="cs"/>
          <w:rtl/>
        </w:rPr>
        <w:t xml:space="preserve"> يشجعان </w:t>
      </w:r>
      <w:r w:rsidRPr="00AD7BE2">
        <w:rPr>
          <w:rtl/>
        </w:rPr>
        <w:t xml:space="preserve">الأطراف على </w:t>
      </w:r>
      <w:r w:rsidRPr="00AD7BE2">
        <w:rPr>
          <w:rFonts w:hint="cs"/>
          <w:rtl/>
        </w:rPr>
        <w:t xml:space="preserve">النظر في التسوية البديلة للمنازعات </w:t>
      </w:r>
      <w:r w:rsidRPr="00AD7BE2">
        <w:rPr>
          <w:rtl/>
        </w:rPr>
        <w:t>كوسيلة لتسوية ال</w:t>
      </w:r>
      <w:r w:rsidRPr="00AD7BE2">
        <w:rPr>
          <w:rFonts w:hint="cs"/>
          <w:rtl/>
        </w:rPr>
        <w:t xml:space="preserve">مسائل </w:t>
      </w:r>
      <w:r w:rsidRPr="00AD7BE2">
        <w:rPr>
          <w:rtl/>
        </w:rPr>
        <w:t>المثارة في تلك ال</w:t>
      </w:r>
      <w:r w:rsidRPr="00AD7BE2">
        <w:rPr>
          <w:rFonts w:hint="cs"/>
          <w:rtl/>
        </w:rPr>
        <w:t>دعاوى</w:t>
      </w:r>
      <w:r w:rsidRPr="00AD7BE2">
        <w:rPr>
          <w:rtl/>
        </w:rPr>
        <w:t xml:space="preserve">. </w:t>
      </w:r>
      <w:r w:rsidRPr="00AD7BE2">
        <w:rPr>
          <w:rFonts w:hint="cs"/>
          <w:rtl/>
        </w:rPr>
        <w:t xml:space="preserve">ويُعدّ </w:t>
      </w:r>
      <w:r w:rsidRPr="00AD7BE2">
        <w:rPr>
          <w:rtl/>
        </w:rPr>
        <w:t xml:space="preserve">المركز </w:t>
      </w:r>
      <w:r w:rsidRPr="00AD7BE2">
        <w:rPr>
          <w:rFonts w:hint="cs"/>
          <w:rtl/>
        </w:rPr>
        <w:t>من الجهات ال</w:t>
      </w:r>
      <w:r w:rsidRPr="00AD7BE2">
        <w:rPr>
          <w:rtl/>
        </w:rPr>
        <w:t>مُسَجَّل</w:t>
      </w:r>
      <w:r w:rsidRPr="00AD7BE2">
        <w:rPr>
          <w:rFonts w:hint="cs"/>
          <w:rtl/>
        </w:rPr>
        <w:t>ة</w:t>
      </w:r>
      <w:r w:rsidRPr="00AD7BE2">
        <w:rPr>
          <w:rtl/>
        </w:rPr>
        <w:t xml:space="preserve"> </w:t>
      </w:r>
      <w:r w:rsidRPr="00AD7BE2">
        <w:rPr>
          <w:rFonts w:hint="cs"/>
          <w:rtl/>
        </w:rPr>
        <w:t xml:space="preserve">التي تقدم </w:t>
      </w:r>
      <w:r w:rsidRPr="00AD7BE2">
        <w:rPr>
          <w:rtl/>
        </w:rPr>
        <w:t xml:space="preserve">خدمات </w:t>
      </w:r>
      <w:r w:rsidRPr="00AD7BE2">
        <w:rPr>
          <w:rFonts w:hint="cs"/>
          <w:rtl/>
        </w:rPr>
        <w:t>تسوية المنازعات</w:t>
      </w:r>
      <w:r w:rsidRPr="00AD7BE2">
        <w:rPr>
          <w:rtl/>
        </w:rPr>
        <w:t xml:space="preserve">. </w:t>
      </w:r>
      <w:r w:rsidRPr="00AD7BE2">
        <w:rPr>
          <w:rFonts w:hint="cs"/>
          <w:rtl/>
        </w:rPr>
        <w:t>و</w:t>
      </w:r>
      <w:r w:rsidRPr="00AD7BE2">
        <w:rPr>
          <w:rtl/>
        </w:rPr>
        <w:t>في إطار تعاون</w:t>
      </w:r>
      <w:r w:rsidRPr="00AD7BE2">
        <w:rPr>
          <w:rFonts w:hint="cs"/>
          <w:rtl/>
        </w:rPr>
        <w:t xml:space="preserve"> المركز</w:t>
      </w:r>
      <w:r w:rsidRPr="00AD7BE2">
        <w:rPr>
          <w:rtl/>
        </w:rPr>
        <w:t xml:space="preserve"> مع مكتب </w:t>
      </w:r>
      <w:r w:rsidRPr="00AD7BE2">
        <w:rPr>
          <w:rFonts w:hint="cs"/>
          <w:rtl/>
        </w:rPr>
        <w:t>ال</w:t>
      </w:r>
      <w:r w:rsidRPr="00AD7BE2">
        <w:rPr>
          <w:rtl/>
        </w:rPr>
        <w:t xml:space="preserve">براءات </w:t>
      </w:r>
      <w:r w:rsidRPr="00AD7BE2">
        <w:rPr>
          <w:rFonts w:hint="cs"/>
          <w:rtl/>
        </w:rPr>
        <w:t xml:space="preserve">في </w:t>
      </w:r>
      <w:r w:rsidRPr="00AD7BE2">
        <w:rPr>
          <w:rtl/>
        </w:rPr>
        <w:t>جمهورية بولندا (</w:t>
      </w:r>
      <w:r w:rsidRPr="0087665D">
        <w:t>PPO</w:t>
      </w:r>
      <w:r w:rsidRPr="00AD7BE2">
        <w:rPr>
          <w:rtl/>
        </w:rPr>
        <w:t xml:space="preserve">)، شارك المركز في </w:t>
      </w:r>
      <w:r w:rsidRPr="00AD7BE2">
        <w:rPr>
          <w:rFonts w:hint="cs"/>
          <w:rtl/>
        </w:rPr>
        <w:t xml:space="preserve">إعداد </w:t>
      </w:r>
      <w:r w:rsidRPr="00AD7BE2">
        <w:rPr>
          <w:rtl/>
        </w:rPr>
        <w:t xml:space="preserve">خيار </w:t>
      </w:r>
      <w:r w:rsidRPr="00AD7BE2">
        <w:rPr>
          <w:rFonts w:hint="cs"/>
          <w:rtl/>
        </w:rPr>
        <w:t>لل</w:t>
      </w:r>
      <w:r w:rsidRPr="00AD7BE2">
        <w:rPr>
          <w:rtl/>
        </w:rPr>
        <w:t xml:space="preserve">وساطة </w:t>
      </w:r>
      <w:r w:rsidRPr="00AD7BE2">
        <w:rPr>
          <w:rFonts w:hint="cs"/>
          <w:rtl/>
        </w:rPr>
        <w:t>في الدعاوى المعلقة الخاصة بالاعتراض على</w:t>
      </w:r>
      <w:r w:rsidRPr="00AD7BE2">
        <w:rPr>
          <w:rtl/>
        </w:rPr>
        <w:t xml:space="preserve"> العلامات التجارية، و</w:t>
      </w:r>
      <w:r w:rsidRPr="00AD7BE2">
        <w:rPr>
          <w:rFonts w:hint="cs"/>
          <w:rtl/>
        </w:rPr>
        <w:t xml:space="preserve">سيتولى </w:t>
      </w:r>
      <w:r w:rsidRPr="00AD7BE2">
        <w:rPr>
          <w:rtl/>
        </w:rPr>
        <w:t>إدارة هذه ا</w:t>
      </w:r>
      <w:r w:rsidRPr="00AD7BE2">
        <w:rPr>
          <w:rFonts w:hint="cs"/>
          <w:rtl/>
        </w:rPr>
        <w:t>لدعاوى</w:t>
      </w:r>
      <w:r w:rsidRPr="00AD7BE2">
        <w:rPr>
          <w:rtl/>
        </w:rPr>
        <w:t>.</w:t>
      </w:r>
      <w:r>
        <w:rPr>
          <w:rFonts w:hint="cs"/>
          <w:rtl/>
        </w:rPr>
        <w:t xml:space="preserve"> </w:t>
      </w:r>
    </w:p>
  </w:footnote>
  <w:footnote w:id="15">
    <w:p w:rsidR="00387E94" w:rsidRDefault="00387E94" w:rsidP="00675F33">
      <w:pPr>
        <w:pStyle w:val="FootnoteText"/>
      </w:pPr>
      <w:r>
        <w:rPr>
          <w:rStyle w:val="FootnoteReference"/>
        </w:rPr>
        <w:footnoteRef/>
      </w:r>
      <w:r w:rsidR="00F13182">
        <w:rPr>
          <w:rtl/>
        </w:rPr>
        <w:tab/>
      </w:r>
      <w:r w:rsidRPr="00AD7BE2">
        <w:rPr>
          <w:rtl/>
        </w:rPr>
        <w:t>يتعلق هذا</w:t>
      </w:r>
      <w:r w:rsidRPr="00AD7BE2">
        <w:rPr>
          <w:rFonts w:hint="cs"/>
          <w:rtl/>
        </w:rPr>
        <w:t xml:space="preserve"> على وجه الخصوص </w:t>
      </w:r>
      <w:r w:rsidRPr="00AD7BE2">
        <w:rPr>
          <w:rtl/>
        </w:rPr>
        <w:t>ب</w:t>
      </w:r>
      <w:r w:rsidRPr="00AD7BE2">
        <w:rPr>
          <w:rFonts w:hint="cs"/>
          <w:rtl/>
        </w:rPr>
        <w:t xml:space="preserve">علاقات </w:t>
      </w:r>
      <w:r w:rsidRPr="00AD7BE2">
        <w:rPr>
          <w:rtl/>
        </w:rPr>
        <w:t>التعاون بين المركز والمديرية الوطنية لحق المؤلف في كولومبيا (</w:t>
      </w:r>
      <w:r w:rsidRPr="00AD7BE2">
        <w:t>DNDA</w:t>
      </w:r>
      <w:r w:rsidRPr="00AD7BE2">
        <w:rPr>
          <w:rtl/>
        </w:rPr>
        <w:t>)، و</w:t>
      </w:r>
      <w:r w:rsidRPr="00AD7BE2">
        <w:rPr>
          <w:rFonts w:hint="cs"/>
          <w:rtl/>
        </w:rPr>
        <w:t>ال</w:t>
      </w:r>
      <w:r w:rsidRPr="00AD7BE2">
        <w:rPr>
          <w:rtl/>
        </w:rPr>
        <w:t>لجنة الكورية</w:t>
      </w:r>
      <w:r w:rsidRPr="00AD7BE2">
        <w:rPr>
          <w:rFonts w:hint="cs"/>
          <w:rtl/>
        </w:rPr>
        <w:t xml:space="preserve"> لحق المؤلف</w:t>
      </w:r>
      <w:r w:rsidRPr="00AD7BE2">
        <w:rPr>
          <w:rtl/>
        </w:rPr>
        <w:t xml:space="preserve"> (</w:t>
      </w:r>
      <w:r w:rsidRPr="00AD7BE2">
        <w:t>KCC</w:t>
      </w:r>
      <w:r w:rsidRPr="00AD7BE2">
        <w:rPr>
          <w:rtl/>
        </w:rPr>
        <w:t>)، والوكالة الكورية للمحتوى الإبداعي (</w:t>
      </w:r>
      <w:r w:rsidRPr="00AD7BE2">
        <w:t>KOCCA</w:t>
      </w:r>
      <w:r w:rsidRPr="00AD7BE2">
        <w:rPr>
          <w:rtl/>
        </w:rPr>
        <w:t>). انظر</w:t>
      </w:r>
      <w:r>
        <w:rPr>
          <w:rFonts w:hint="cs"/>
          <w:rtl/>
        </w:rPr>
        <w:t xml:space="preserve"> الرابط التالي:</w:t>
      </w:r>
      <w:r w:rsidR="00F13182">
        <w:rPr>
          <w:rtl/>
        </w:rPr>
        <w:br/>
      </w:r>
      <w:hyperlink r:id="rId13" w:history="1">
        <w:r w:rsidRPr="00F13182">
          <w:rPr>
            <w:rStyle w:val="Hyperlink"/>
            <w:color w:val="auto"/>
            <w:u w:val="none"/>
          </w:rPr>
          <w:t>http://www.wipo.int/amc/en/center/specific-sectors/ipoffices/</w:t>
        </w:r>
      </w:hyperlink>
      <w:r w:rsidRPr="00AD7BE2">
        <w:rPr>
          <w:rtl/>
        </w:rPr>
        <w:t>.</w:t>
      </w:r>
    </w:p>
  </w:footnote>
  <w:footnote w:id="16">
    <w:p w:rsidR="00387E94" w:rsidRDefault="00387E94" w:rsidP="00387E94">
      <w:pPr>
        <w:pStyle w:val="FootnoteText"/>
        <w:rPr>
          <w:lang w:bidi="ar-SY"/>
        </w:rPr>
      </w:pPr>
      <w:r>
        <w:rPr>
          <w:rStyle w:val="FootnoteReference"/>
        </w:rPr>
        <w:footnoteRef/>
      </w:r>
      <w:r w:rsidR="00675F33">
        <w:rPr>
          <w:rtl/>
        </w:rPr>
        <w:tab/>
      </w:r>
      <w:r w:rsidRPr="00AD7BE2">
        <w:rPr>
          <w:rtl/>
        </w:rPr>
        <w:t>على سبيل المثال، أنتج المركز هذه النماذج مع المكتب الإسباني للبراءات والعلامات التجارية (</w:t>
      </w:r>
      <w:r w:rsidRPr="00AD7BE2">
        <w:t>OEPM</w:t>
      </w:r>
      <w:r w:rsidRPr="00AD7BE2">
        <w:rPr>
          <w:rtl/>
        </w:rPr>
        <w:t>). وتشمل الاتفاقات</w:t>
      </w:r>
      <w:r w:rsidRPr="00AD7BE2">
        <w:rPr>
          <w:rFonts w:hint="cs"/>
          <w:rtl/>
        </w:rPr>
        <w:t xml:space="preserve"> النموذجية</w:t>
      </w:r>
      <w:r w:rsidRPr="00AD7BE2">
        <w:rPr>
          <w:rtl/>
        </w:rPr>
        <w:t xml:space="preserve"> الأخرى </w:t>
      </w:r>
      <w:r w:rsidRPr="00AD7BE2">
        <w:rPr>
          <w:rFonts w:hint="cs"/>
          <w:rtl/>
        </w:rPr>
        <w:t>ل</w:t>
      </w:r>
      <w:r w:rsidRPr="00AD7BE2">
        <w:rPr>
          <w:rtl/>
        </w:rPr>
        <w:t>لبحث والتطوير التي توصي بوساطة الويبو</w:t>
      </w:r>
      <w:r>
        <w:rPr>
          <w:rFonts w:hint="cs"/>
          <w:rtl/>
        </w:rPr>
        <w:t xml:space="preserve"> التي</w:t>
      </w:r>
      <w:r w:rsidRPr="00AD7BE2">
        <w:rPr>
          <w:rtl/>
        </w:rPr>
        <w:t xml:space="preserve"> يتبعها التحكيم </w:t>
      </w:r>
      <w:r>
        <w:rPr>
          <w:rtl/>
        </w:rPr>
        <w:t>[</w:t>
      </w:r>
      <w:r w:rsidRPr="00AD7BE2">
        <w:rPr>
          <w:rtl/>
        </w:rPr>
        <w:t>المعج</w:t>
      </w:r>
      <w:r>
        <w:rPr>
          <w:rFonts w:hint="cs"/>
          <w:rtl/>
        </w:rPr>
        <w:t>ّ</w:t>
      </w:r>
      <w:r w:rsidRPr="00AD7BE2">
        <w:rPr>
          <w:rtl/>
        </w:rPr>
        <w:t>ل</w:t>
      </w:r>
      <w:r>
        <w:rPr>
          <w:rtl/>
        </w:rPr>
        <w:t>]</w:t>
      </w:r>
      <w:r w:rsidRPr="00AD7BE2">
        <w:rPr>
          <w:rFonts w:hint="cs"/>
          <w:rtl/>
        </w:rPr>
        <w:t>:</w:t>
      </w:r>
      <w:r w:rsidRPr="00AD7BE2">
        <w:rPr>
          <w:rtl/>
        </w:rPr>
        <w:t xml:space="preserve"> اتفاق الاتحاد الأوروبي</w:t>
      </w:r>
      <w:r w:rsidRPr="00AD7BE2">
        <w:rPr>
          <w:rFonts w:hint="cs"/>
          <w:rtl/>
        </w:rPr>
        <w:t xml:space="preserve"> </w:t>
      </w:r>
      <w:r w:rsidRPr="00AD7BE2">
        <w:rPr>
          <w:rtl/>
        </w:rPr>
        <w:t xml:space="preserve">النموذجي </w:t>
      </w:r>
      <w:r w:rsidRPr="00AD7BE2">
        <w:rPr>
          <w:rFonts w:hint="cs"/>
          <w:rtl/>
        </w:rPr>
        <w:t xml:space="preserve">التضامني </w:t>
      </w:r>
      <w:r w:rsidRPr="00AD7BE2">
        <w:t>DESCA 2020</w:t>
      </w:r>
      <w:r w:rsidRPr="00AD7BE2">
        <w:rPr>
          <w:rFonts w:hint="cs"/>
          <w:rtl/>
        </w:rPr>
        <w:t>،</w:t>
      </w:r>
      <w:r w:rsidRPr="00AD7BE2">
        <w:rPr>
          <w:rtl/>
        </w:rPr>
        <w:t xml:space="preserve"> </w:t>
      </w:r>
      <w:r w:rsidRPr="00AD7BE2">
        <w:rPr>
          <w:rFonts w:hint="cs"/>
          <w:rtl/>
        </w:rPr>
        <w:t>و</w:t>
      </w:r>
      <w:r w:rsidRPr="00AD7BE2">
        <w:rPr>
          <w:rtl/>
        </w:rPr>
        <w:t>الاتفاقات النموذجية</w:t>
      </w:r>
      <w:r w:rsidRPr="00AD7BE2">
        <w:rPr>
          <w:rFonts w:hint="cs"/>
          <w:rtl/>
        </w:rPr>
        <w:t xml:space="preserve"> </w:t>
      </w:r>
      <w:r w:rsidRPr="00AD7BE2">
        <w:rPr>
          <w:rtl/>
        </w:rPr>
        <w:t>لدليل اتفاق الملكية الفكرية (</w:t>
      </w:r>
      <w:r w:rsidRPr="00AD7BE2">
        <w:t>IPAG</w:t>
      </w:r>
      <w:r w:rsidRPr="00AD7BE2">
        <w:rPr>
          <w:rtl/>
        </w:rPr>
        <w:t>) في النمسا</w:t>
      </w:r>
      <w:r w:rsidRPr="00AD7BE2">
        <w:rPr>
          <w:rFonts w:hint="cs"/>
          <w:rtl/>
        </w:rPr>
        <w:t>،</w:t>
      </w:r>
      <w:r w:rsidRPr="00AD7BE2">
        <w:rPr>
          <w:rtl/>
        </w:rPr>
        <w:t xml:space="preserve"> والاتفاقيات النموذجية للتعاون </w:t>
      </w:r>
      <w:r w:rsidRPr="00AD7BE2">
        <w:rPr>
          <w:rFonts w:hint="cs"/>
          <w:rtl/>
        </w:rPr>
        <w:t xml:space="preserve">على </w:t>
      </w:r>
      <w:r w:rsidRPr="00AD7BE2">
        <w:rPr>
          <w:rtl/>
        </w:rPr>
        <w:t>البحث والتطوير في ألمانيا. لمزيد من المعلومات، انظر</w:t>
      </w:r>
      <w:r>
        <w:rPr>
          <w:rFonts w:hint="cs"/>
          <w:rtl/>
        </w:rPr>
        <w:t xml:space="preserve"> الرابط التالي:</w:t>
      </w:r>
      <w:r w:rsidRPr="00AD7BE2">
        <w:rPr>
          <w:rtl/>
        </w:rPr>
        <w:t xml:space="preserve"> </w:t>
      </w:r>
      <w:hyperlink r:id="rId14" w:history="1">
        <w:r w:rsidRPr="00F13182">
          <w:rPr>
            <w:rStyle w:val="Hyperlink"/>
            <w:color w:val="auto"/>
          </w:rPr>
          <w:t>http://www.wipo.int/amc/en/center/specific-sectors/rd/</w:t>
        </w:r>
      </w:hyperlink>
      <w:r w:rsidR="00F13182" w:rsidRPr="00F13182">
        <w:rPr>
          <w:rFonts w:hint="cs"/>
          <w:u w:val="single"/>
          <w:rtl/>
        </w:rPr>
        <w:t>.</w:t>
      </w:r>
    </w:p>
  </w:footnote>
  <w:footnote w:id="17">
    <w:p w:rsidR="00387E94" w:rsidRDefault="00387E94" w:rsidP="00387E94">
      <w:pPr>
        <w:pStyle w:val="FootnoteText"/>
        <w:rPr>
          <w:lang w:bidi="ar-SY"/>
        </w:rPr>
      </w:pPr>
      <w:r w:rsidRPr="004B432E">
        <w:rPr>
          <w:rStyle w:val="FootnoteReference"/>
        </w:rPr>
        <w:footnoteRef/>
      </w:r>
      <w:r w:rsidR="00675F33">
        <w:rPr>
          <w:rtl/>
        </w:rPr>
        <w:tab/>
      </w:r>
      <w:r w:rsidRPr="004B432E">
        <w:rPr>
          <w:rFonts w:hint="cs"/>
          <w:rtl/>
          <w:lang w:bidi="ar-SY"/>
        </w:rPr>
        <w:t xml:space="preserve">تتاح النسخة الثانية من الدليل على </w:t>
      </w:r>
      <w:r>
        <w:rPr>
          <w:rFonts w:hint="cs"/>
          <w:rtl/>
          <w:lang w:bidi="ar-SY"/>
        </w:rPr>
        <w:t>الرابط</w:t>
      </w:r>
      <w:r w:rsidRPr="004B432E">
        <w:rPr>
          <w:rFonts w:hint="cs"/>
          <w:rtl/>
          <w:lang w:bidi="ar-SY"/>
        </w:rPr>
        <w:t xml:space="preserve"> التالي: </w:t>
      </w:r>
      <w:hyperlink r:id="rId15" w:history="1">
        <w:r w:rsidRPr="00675F33">
          <w:rPr>
            <w:rStyle w:val="Hyperlink"/>
            <w:color w:val="auto"/>
            <w:u w:val="none"/>
          </w:rPr>
          <w:t>http://www.wipo.int/export/sites/www/amc/en/docs/adrguidejuly2015.pdf</w:t>
        </w:r>
      </w:hyperlink>
      <w:r w:rsidR="00F13182" w:rsidRPr="00675F33">
        <w:rPr>
          <w:rFonts w:hint="cs"/>
          <w:rtl/>
          <w:lang w:bidi="ar-SY"/>
        </w:rPr>
        <w:t>.</w:t>
      </w:r>
    </w:p>
  </w:footnote>
  <w:footnote w:id="18">
    <w:p w:rsidR="00387E94" w:rsidRDefault="00387E94" w:rsidP="00387E94">
      <w:pPr>
        <w:pStyle w:val="FootnoteText"/>
      </w:pPr>
      <w:r>
        <w:rPr>
          <w:rStyle w:val="FootnoteReference"/>
        </w:rPr>
        <w:footnoteRef/>
      </w:r>
      <w:r w:rsidR="00675F33">
        <w:rPr>
          <w:rtl/>
        </w:rPr>
        <w:tab/>
      </w:r>
      <w:r w:rsidRPr="00203A11">
        <w:rPr>
          <w:rtl/>
        </w:rPr>
        <w:t xml:space="preserve">زاد عدد المشتركين في </w:t>
      </w:r>
      <w:r>
        <w:rPr>
          <w:rFonts w:hint="cs"/>
          <w:rtl/>
        </w:rPr>
        <w:t>الصحيفة الفصلية بشأن السبل البديلة لتسوية المنازعات</w:t>
      </w:r>
      <w:r w:rsidRPr="00203A11">
        <w:rPr>
          <w:rtl/>
        </w:rPr>
        <w:t xml:space="preserve"> </w:t>
      </w:r>
      <w:r w:rsidRPr="00203A11">
        <w:t>ADR</w:t>
      </w:r>
      <w:r w:rsidRPr="00203A11">
        <w:rPr>
          <w:rtl/>
        </w:rPr>
        <w:t xml:space="preserve"> </w:t>
      </w:r>
      <w:r>
        <w:rPr>
          <w:rFonts w:hint="cs"/>
          <w:rtl/>
        </w:rPr>
        <w:t>التي تقدمها ا</w:t>
      </w:r>
      <w:r w:rsidRPr="00203A11">
        <w:rPr>
          <w:rFonts w:hint="cs"/>
          <w:rtl/>
        </w:rPr>
        <w:t>لويبو</w:t>
      </w:r>
      <w:r>
        <w:rPr>
          <w:rFonts w:hint="cs"/>
          <w:rtl/>
        </w:rPr>
        <w:t xml:space="preserve"> عن </w:t>
      </w:r>
      <w:r w:rsidRPr="00203A11">
        <w:rPr>
          <w:rtl/>
        </w:rPr>
        <w:t xml:space="preserve">أكثر من 7500 </w:t>
      </w:r>
      <w:r>
        <w:rPr>
          <w:rFonts w:hint="cs"/>
          <w:rtl/>
        </w:rPr>
        <w:t xml:space="preserve">مشترك </w:t>
      </w:r>
      <w:r w:rsidRPr="00203A11">
        <w:rPr>
          <w:rtl/>
        </w:rPr>
        <w:t>خلال</w:t>
      </w:r>
      <w:r>
        <w:rPr>
          <w:rFonts w:hint="cs"/>
          <w:rtl/>
        </w:rPr>
        <w:t xml:space="preserve"> هذه</w:t>
      </w:r>
      <w:r w:rsidRPr="00203A11">
        <w:rPr>
          <w:rtl/>
        </w:rPr>
        <w:t xml:space="preserve"> الفترة؛ جميع الإصدارات متاحة على</w:t>
      </w:r>
      <w:r>
        <w:rPr>
          <w:rFonts w:hint="cs"/>
          <w:rtl/>
        </w:rPr>
        <w:t xml:space="preserve"> الرابط التالي:</w:t>
      </w:r>
      <w:r w:rsidRPr="00203A11">
        <w:rPr>
          <w:rtl/>
        </w:rPr>
        <w:t xml:space="preserve"> </w:t>
      </w:r>
      <w:hyperlink r:id="rId16" w:history="1">
        <w:r w:rsidRPr="00675F33">
          <w:rPr>
            <w:rStyle w:val="Hyperlink"/>
            <w:color w:val="auto"/>
            <w:u w:val="none"/>
          </w:rPr>
          <w:t>https://www.wipo.int/newsletters-archive/en/adr_highlights.html</w:t>
        </w:r>
      </w:hyperlink>
      <w:r w:rsidR="00675F33">
        <w:rPr>
          <w:rFonts w:hint="cs"/>
          <w:rtl/>
        </w:rPr>
        <w:t>.</w:t>
      </w:r>
    </w:p>
  </w:footnote>
  <w:footnote w:id="19">
    <w:p w:rsidR="00387E94" w:rsidRDefault="00387E94" w:rsidP="00387E94">
      <w:pPr>
        <w:pStyle w:val="FootnoteText"/>
      </w:pPr>
      <w:r>
        <w:rPr>
          <w:rStyle w:val="FootnoteReference"/>
        </w:rPr>
        <w:footnoteRef/>
      </w:r>
      <w:r w:rsidR="00675F33">
        <w:rPr>
          <w:rtl/>
        </w:rPr>
        <w:tab/>
      </w:r>
      <w:r w:rsidRPr="00C45B1C">
        <w:rPr>
          <w:rtl/>
        </w:rPr>
        <w:t xml:space="preserve">حتى الآن، </w:t>
      </w:r>
      <w:r>
        <w:rPr>
          <w:rFonts w:hint="cs"/>
          <w:rtl/>
        </w:rPr>
        <w:t xml:space="preserve">قدم </w:t>
      </w:r>
      <w:r w:rsidRPr="00C45B1C">
        <w:rPr>
          <w:rFonts w:hint="cs"/>
          <w:rtl/>
        </w:rPr>
        <w:t>المركز</w:t>
      </w:r>
      <w:r w:rsidRPr="00C45B1C">
        <w:rPr>
          <w:rtl/>
        </w:rPr>
        <w:t xml:space="preserve"> ندوات على الإنترنت باللغات الصينية والإنجليزية والفرنسية واليابانية والروسية والإسبانية. </w:t>
      </w:r>
      <w:r>
        <w:rPr>
          <w:rFonts w:hint="cs"/>
          <w:rtl/>
        </w:rPr>
        <w:t>وللاطلاع على</w:t>
      </w:r>
      <w:r w:rsidRPr="00C45B1C">
        <w:rPr>
          <w:rtl/>
        </w:rPr>
        <w:t xml:space="preserve"> </w:t>
      </w:r>
      <w:r>
        <w:rPr>
          <w:rFonts w:hint="cs"/>
          <w:rtl/>
        </w:rPr>
        <w:t>ال</w:t>
      </w:r>
      <w:r w:rsidRPr="00C45B1C">
        <w:rPr>
          <w:rtl/>
        </w:rPr>
        <w:t xml:space="preserve">معلومات حول </w:t>
      </w:r>
      <w:r>
        <w:rPr>
          <w:rFonts w:hint="cs"/>
          <w:rtl/>
        </w:rPr>
        <w:t>ال</w:t>
      </w:r>
      <w:r w:rsidRPr="00C45B1C">
        <w:rPr>
          <w:rtl/>
        </w:rPr>
        <w:t xml:space="preserve">ندوات </w:t>
      </w:r>
      <w:r>
        <w:rPr>
          <w:rFonts w:hint="cs"/>
          <w:rtl/>
        </w:rPr>
        <w:t xml:space="preserve">الإلكترونية </w:t>
      </w:r>
      <w:r w:rsidRPr="00C45B1C">
        <w:rPr>
          <w:rtl/>
        </w:rPr>
        <w:t xml:space="preserve">القادمة (والتسجيلات السابقة) </w:t>
      </w:r>
      <w:r>
        <w:rPr>
          <w:rFonts w:hint="cs"/>
          <w:rtl/>
        </w:rPr>
        <w:t>يرجى النظر في الرابط التالي</w:t>
      </w:r>
      <w:r w:rsidRPr="00675F33">
        <w:rPr>
          <w:rFonts w:hint="cs"/>
          <w:rtl/>
        </w:rPr>
        <w:t>:</w:t>
      </w:r>
      <w:r w:rsidRPr="00675F33">
        <w:rPr>
          <w:rtl/>
        </w:rPr>
        <w:t xml:space="preserve"> </w:t>
      </w:r>
      <w:hyperlink r:id="rId17" w:history="1">
        <w:r w:rsidRPr="00675F33">
          <w:rPr>
            <w:rStyle w:val="Hyperlink"/>
            <w:color w:val="auto"/>
            <w:u w:val="none"/>
          </w:rPr>
          <w:t>https://www.wipo.int/amc/en/events/webinar.html</w:t>
        </w:r>
      </w:hyperlink>
      <w:r w:rsidR="00675F33">
        <w:rPr>
          <w:rFonts w:hint="cs"/>
          <w:rtl/>
        </w:rPr>
        <w:t>.</w:t>
      </w:r>
    </w:p>
  </w:footnote>
  <w:footnote w:id="20">
    <w:p w:rsidR="00387E94" w:rsidRDefault="00387E94" w:rsidP="00675F33">
      <w:pPr>
        <w:pStyle w:val="FootnoteText"/>
      </w:pPr>
      <w:r>
        <w:rPr>
          <w:rStyle w:val="FootnoteReference"/>
        </w:rPr>
        <w:footnoteRef/>
      </w:r>
      <w:r w:rsidR="00675F33">
        <w:rPr>
          <w:rtl/>
        </w:rPr>
        <w:tab/>
      </w:r>
      <w:r>
        <w:rPr>
          <w:rFonts w:hint="cs"/>
          <w:rtl/>
        </w:rPr>
        <w:t>انظر الرابط التالي:</w:t>
      </w:r>
      <w:r w:rsidR="00675F33">
        <w:rPr>
          <w:rtl/>
        </w:rPr>
        <w:br/>
      </w:r>
      <w:hyperlink r:id="rId18" w:history="1">
        <w:r w:rsidRPr="00675F33">
          <w:rPr>
            <w:rStyle w:val="Hyperlink"/>
            <w:color w:val="auto"/>
            <w:u w:val="none"/>
          </w:rPr>
          <w:t>https://www.linkedin.com/showcase/wipo-arbitration-and-mediation-center/?originalSubdomain=ch</w:t>
        </w:r>
      </w:hyperlink>
      <w:r w:rsidR="00675F33">
        <w:rPr>
          <w:rFonts w:hint="cs"/>
          <w:rtl/>
        </w:rPr>
        <w:t>.</w:t>
      </w:r>
    </w:p>
  </w:footnote>
  <w:footnote w:id="21">
    <w:p w:rsidR="00387E94" w:rsidRDefault="00387E94" w:rsidP="00387E94">
      <w:pPr>
        <w:pStyle w:val="FootnoteText"/>
      </w:pPr>
      <w:r>
        <w:rPr>
          <w:rStyle w:val="FootnoteReference"/>
        </w:rPr>
        <w:footnoteRef/>
      </w:r>
      <w:r w:rsidR="00675F33">
        <w:rPr>
          <w:rtl/>
        </w:rPr>
        <w:tab/>
      </w:r>
      <w:r>
        <w:rPr>
          <w:rFonts w:hint="cs"/>
          <w:rtl/>
        </w:rPr>
        <w:t xml:space="preserve">انظر الرابط التالي: </w:t>
      </w:r>
      <w:hyperlink r:id="rId19" w:history="1">
        <w:r w:rsidRPr="00675F33">
          <w:rPr>
            <w:rStyle w:val="Hyperlink"/>
            <w:color w:val="auto"/>
            <w:u w:val="none"/>
          </w:rPr>
          <w:t>https://www.wipo.int/amc/en/mediation/pledge.html</w:t>
        </w:r>
      </w:hyperlink>
      <w:r w:rsidR="00675F33">
        <w:rPr>
          <w:rFonts w:hint="cs"/>
          <w:rtl/>
        </w:rPr>
        <w:t>.</w:t>
      </w:r>
    </w:p>
  </w:footnote>
  <w:footnote w:id="22">
    <w:p w:rsidR="00387E94" w:rsidRPr="00AD7BE2" w:rsidRDefault="00387E94" w:rsidP="00387E94">
      <w:pPr>
        <w:pStyle w:val="FootnoteText"/>
        <w:rPr>
          <w:rtl/>
        </w:rPr>
      </w:pPr>
      <w:r w:rsidRPr="00AD7BE2">
        <w:rPr>
          <w:rStyle w:val="FootnoteReference"/>
        </w:rPr>
        <w:footnoteRef/>
      </w:r>
      <w:r w:rsidR="00675F33">
        <w:rPr>
          <w:rtl/>
        </w:rPr>
        <w:tab/>
      </w:r>
      <w:r w:rsidRPr="00AD7BE2">
        <w:rPr>
          <w:rtl/>
        </w:rPr>
        <w:t xml:space="preserve">إدارة الأسماء والعناوين على الإنترنت: قضايا الملكية الفكرية – التقرير النهائي لمشروع الويبو </w:t>
      </w:r>
      <w:r w:rsidRPr="00AD7BE2">
        <w:rPr>
          <w:rFonts w:hint="cs"/>
          <w:rtl/>
        </w:rPr>
        <w:t xml:space="preserve">الأول </w:t>
      </w:r>
      <w:r w:rsidRPr="00AD7BE2">
        <w:rPr>
          <w:rtl/>
        </w:rPr>
        <w:t xml:space="preserve">بشأن أسماء الحقول على الإنترنت، منشور الويبو رقم 439، </w:t>
      </w:r>
      <w:r w:rsidRPr="00AD7BE2">
        <w:rPr>
          <w:rFonts w:hint="cs"/>
          <w:rtl/>
        </w:rPr>
        <w:t xml:space="preserve">وهو </w:t>
      </w:r>
      <w:r w:rsidRPr="00AD7BE2">
        <w:rPr>
          <w:rtl/>
        </w:rPr>
        <w:t>مت</w:t>
      </w:r>
      <w:r w:rsidRPr="00AD7BE2">
        <w:rPr>
          <w:rFonts w:hint="cs"/>
          <w:rtl/>
        </w:rPr>
        <w:t xml:space="preserve">اح </w:t>
      </w:r>
      <w:r w:rsidRPr="00AD7BE2">
        <w:rPr>
          <w:rtl/>
        </w:rPr>
        <w:t>أيضا</w:t>
      </w:r>
      <w:r>
        <w:rPr>
          <w:rFonts w:hint="cs"/>
          <w:rtl/>
        </w:rPr>
        <w:t>ً</w:t>
      </w:r>
      <w:r w:rsidRPr="00AD7BE2">
        <w:rPr>
          <w:rtl/>
        </w:rPr>
        <w:t xml:space="preserve"> على الرابط التالي:</w:t>
      </w:r>
      <w:r w:rsidRPr="00AD7BE2">
        <w:rPr>
          <w:rFonts w:hint="cs"/>
          <w:rtl/>
        </w:rPr>
        <w:t xml:space="preserve"> </w:t>
      </w:r>
      <w:hyperlink r:id="rId20" w:history="1">
        <w:r w:rsidRPr="00675F33">
          <w:rPr>
            <w:rStyle w:val="Hyperlink"/>
            <w:color w:val="auto"/>
            <w:u w:val="none"/>
          </w:rPr>
          <w:t>http://www.wipo.int/amc/en/processes/process1/report</w:t>
        </w:r>
      </w:hyperlink>
      <w:r w:rsidRPr="00AD7BE2">
        <w:rPr>
          <w:rFonts w:hint="cs"/>
          <w:rtl/>
        </w:rPr>
        <w:t>.</w:t>
      </w:r>
    </w:p>
  </w:footnote>
  <w:footnote w:id="23">
    <w:p w:rsidR="00387E94" w:rsidRPr="00AD7BE2" w:rsidRDefault="00387E94" w:rsidP="00387E94">
      <w:pPr>
        <w:pStyle w:val="FootnoteText"/>
        <w:rPr>
          <w:rtl/>
        </w:rPr>
      </w:pPr>
      <w:r w:rsidRPr="00AD7BE2">
        <w:rPr>
          <w:rStyle w:val="FootnoteReference"/>
        </w:rPr>
        <w:footnoteRef/>
      </w:r>
      <w:r w:rsidR="00675F33">
        <w:rPr>
          <w:rtl/>
        </w:rPr>
        <w:tab/>
      </w:r>
      <w:r w:rsidRPr="00AD7BE2">
        <w:rPr>
          <w:rtl/>
        </w:rPr>
        <w:t xml:space="preserve">الإقرار بالحقوق والانتفاع بالأسماء في نظام أسماء الحقول على الإنترنت – تقرير مشروع الويبو الثاني بشأن أسماء الحقول على الإنترنت، منشور الويبو رقم 843. </w:t>
      </w:r>
      <w:r w:rsidRPr="00AD7BE2">
        <w:rPr>
          <w:rFonts w:hint="cs"/>
          <w:rtl/>
        </w:rPr>
        <w:t xml:space="preserve">وهو متاح </w:t>
      </w:r>
      <w:r w:rsidRPr="00AD7BE2">
        <w:rPr>
          <w:rtl/>
        </w:rPr>
        <w:t>أيضا</w:t>
      </w:r>
      <w:r>
        <w:rPr>
          <w:rFonts w:hint="cs"/>
          <w:rtl/>
        </w:rPr>
        <w:t>ً</w:t>
      </w:r>
      <w:r w:rsidRPr="00AD7BE2">
        <w:rPr>
          <w:rFonts w:hint="cs"/>
          <w:rtl/>
        </w:rPr>
        <w:t xml:space="preserve"> على</w:t>
      </w:r>
      <w:r w:rsidRPr="00AD7BE2">
        <w:rPr>
          <w:rtl/>
        </w:rPr>
        <w:t xml:space="preserve"> الرابط التالي:</w:t>
      </w:r>
      <w:r w:rsidRPr="00AD7BE2">
        <w:rPr>
          <w:rFonts w:hint="cs"/>
          <w:rtl/>
        </w:rPr>
        <w:t xml:space="preserve"> </w:t>
      </w:r>
      <w:hyperlink r:id="rId21" w:history="1">
        <w:r w:rsidRPr="00675F33">
          <w:rPr>
            <w:rStyle w:val="Hyperlink"/>
            <w:color w:val="auto"/>
            <w:u w:val="none"/>
          </w:rPr>
          <w:t>http://www.wipo.int/amc/en/processes/process2/report</w:t>
        </w:r>
      </w:hyperlink>
      <w:r w:rsidRPr="00675F33">
        <w:rPr>
          <w:rFonts w:hint="cs"/>
          <w:rtl/>
        </w:rPr>
        <w:t>.</w:t>
      </w:r>
    </w:p>
  </w:footnote>
  <w:footnote w:id="24">
    <w:p w:rsidR="00387E94" w:rsidRPr="00AD7BE2" w:rsidRDefault="00387E94" w:rsidP="00387E94">
      <w:pPr>
        <w:pStyle w:val="FootnoteText"/>
        <w:rPr>
          <w:rtl/>
        </w:rPr>
      </w:pPr>
      <w:r w:rsidRPr="00AD7BE2">
        <w:rPr>
          <w:rStyle w:val="FootnoteReference"/>
        </w:rPr>
        <w:footnoteRef/>
      </w:r>
      <w:r w:rsidR="00675F33">
        <w:rPr>
          <w:rtl/>
        </w:rPr>
        <w:tab/>
      </w:r>
      <w:r w:rsidRPr="00AD7BE2">
        <w:rPr>
          <w:rtl/>
        </w:rPr>
        <w:t>لا تمنع السياسة الموحدة</w:t>
      </w:r>
      <w:r w:rsidRPr="00AD7BE2">
        <w:rPr>
          <w:rFonts w:hint="cs"/>
          <w:rtl/>
        </w:rPr>
        <w:t xml:space="preserve"> لتسوية المنازعات</w:t>
      </w:r>
      <w:r w:rsidRPr="00AD7BE2">
        <w:rPr>
          <w:rtl/>
        </w:rPr>
        <w:t xml:space="preserve"> أي طرف من إحالة منازعة إلى محكمة مختصة، ولكن عددا قليلا جدا من القضايا التي تم البت فيها بموجب السياسة الموحدة قد أُحيل إلى </w:t>
      </w:r>
      <w:r w:rsidRPr="00AD7BE2">
        <w:rPr>
          <w:rFonts w:hint="cs"/>
          <w:rtl/>
        </w:rPr>
        <w:t>القضاء</w:t>
      </w:r>
      <w:r w:rsidRPr="00AD7BE2">
        <w:rPr>
          <w:rtl/>
        </w:rPr>
        <w:t>. انظر مختارات من قضايا المحاكم المتعلقة بالسياسة الموحدة على الرابط التالي:</w:t>
      </w:r>
      <w:r w:rsidRPr="00AD7BE2">
        <w:rPr>
          <w:rFonts w:hint="cs"/>
          <w:rtl/>
        </w:rPr>
        <w:t xml:space="preserve"> </w:t>
      </w:r>
      <w:hyperlink r:id="rId22" w:history="1">
        <w:r w:rsidRPr="00675F33">
          <w:rPr>
            <w:rStyle w:val="Hyperlink"/>
            <w:color w:val="auto"/>
            <w:u w:val="none"/>
          </w:rPr>
          <w:t>http://www.wipo.int/amc/en/domains/challenged</w:t>
        </w:r>
      </w:hyperlink>
      <w:r w:rsidRPr="00AD7BE2">
        <w:rPr>
          <w:rFonts w:hint="cs"/>
          <w:rtl/>
        </w:rPr>
        <w:t>.</w:t>
      </w:r>
    </w:p>
  </w:footnote>
  <w:footnote w:id="25">
    <w:p w:rsidR="00387E94" w:rsidRPr="00AD7BE2" w:rsidRDefault="00387E94" w:rsidP="00387E94">
      <w:pPr>
        <w:pStyle w:val="FootnoteText"/>
        <w:rPr>
          <w:rtl/>
        </w:rPr>
      </w:pPr>
      <w:r w:rsidRPr="00AD7BE2">
        <w:rPr>
          <w:rStyle w:val="FootnoteReference"/>
        </w:rPr>
        <w:footnoteRef/>
      </w:r>
      <w:r w:rsidR="00E6402E">
        <w:rPr>
          <w:rtl/>
        </w:rPr>
        <w:tab/>
      </w:r>
      <w:r w:rsidRPr="00AD7BE2">
        <w:rPr>
          <w:rtl/>
        </w:rPr>
        <w:t xml:space="preserve">ينشر المركز على صفحات موقعه الإلكتروني إحصائيات آنية بغية مساعدة الأطراف في قضايا الويبو في إطار السياسة الموحدة والوسطاء ووكلاء العلامات التجارية ومسجلي أسماء الحقول وواضعي السياسات في مجال أسماء الحقول ووسائل الإعلام والأوساط الأكاديمية. وتشمل </w:t>
      </w:r>
      <w:r>
        <w:rPr>
          <w:rFonts w:hint="cs"/>
          <w:rtl/>
          <w:lang w:bidi="ar-SY"/>
        </w:rPr>
        <w:t>المعلومات</w:t>
      </w:r>
      <w:r w:rsidRPr="00AD7BE2">
        <w:rPr>
          <w:rtl/>
        </w:rPr>
        <w:t xml:space="preserve"> المتاحة فئات عديدة مثل "مجال</w:t>
      </w:r>
      <w:r w:rsidRPr="00AD7BE2">
        <w:rPr>
          <w:rFonts w:hint="cs"/>
          <w:rtl/>
        </w:rPr>
        <w:t>ات</w:t>
      </w:r>
      <w:r w:rsidRPr="00AD7BE2">
        <w:rPr>
          <w:rtl/>
        </w:rPr>
        <w:t xml:space="preserve"> عمل المدّعين" أو "نوعية حروف اسم الحقل" أو "القرارات الخمسة والعشرين الأكثر ذكرا في الشكاوى". انظر الرابط التالي:</w:t>
      </w:r>
      <w:r w:rsidRPr="00AD7BE2">
        <w:rPr>
          <w:rFonts w:hint="cs"/>
          <w:rtl/>
        </w:rPr>
        <w:t xml:space="preserve"> </w:t>
      </w:r>
      <w:hyperlink r:id="rId23" w:history="1">
        <w:r w:rsidRPr="00E6402E">
          <w:rPr>
            <w:rStyle w:val="Hyperlink"/>
            <w:color w:val="auto"/>
            <w:u w:val="none"/>
          </w:rPr>
          <w:t>http://www.wipo.int/amc/en/domains/statistics</w:t>
        </w:r>
      </w:hyperlink>
      <w:r w:rsidRPr="00E6402E">
        <w:rPr>
          <w:rFonts w:hint="cs"/>
          <w:rtl/>
        </w:rPr>
        <w:t>.</w:t>
      </w:r>
    </w:p>
  </w:footnote>
  <w:footnote w:id="26">
    <w:p w:rsidR="00387E94" w:rsidRDefault="00387E94" w:rsidP="00387E94">
      <w:pPr>
        <w:pStyle w:val="FootnoteText"/>
      </w:pPr>
      <w:r>
        <w:rPr>
          <w:rStyle w:val="FootnoteReference"/>
        </w:rPr>
        <w:footnoteRef/>
      </w:r>
      <w:r w:rsidR="00E6402E">
        <w:rPr>
          <w:rtl/>
        </w:rPr>
        <w:tab/>
      </w:r>
      <w:r w:rsidRPr="00852D83">
        <w:rPr>
          <w:rtl/>
        </w:rPr>
        <w:t xml:space="preserve">انظر مؤتمر الويبو </w:t>
      </w:r>
      <w:r>
        <w:rPr>
          <w:rFonts w:hint="cs"/>
          <w:rtl/>
        </w:rPr>
        <w:t xml:space="preserve">الذي خلّد </w:t>
      </w:r>
      <w:r w:rsidRPr="000428BA">
        <w:rPr>
          <w:rtl/>
        </w:rPr>
        <w:t xml:space="preserve">الذكرى العشرين </w:t>
      </w:r>
      <w:r>
        <w:rPr>
          <w:rFonts w:hint="cs"/>
          <w:rtl/>
        </w:rPr>
        <w:t>لتأسيس آلية</w:t>
      </w:r>
      <w:r w:rsidRPr="000428BA">
        <w:rPr>
          <w:rtl/>
        </w:rPr>
        <w:t xml:space="preserve"> </w:t>
      </w:r>
      <w:r w:rsidRPr="003608CD">
        <w:rPr>
          <w:rtl/>
        </w:rPr>
        <w:t>السياسة الموحدة لتسوية المنازعات</w:t>
      </w:r>
      <w:r w:rsidRPr="00852D83">
        <w:rPr>
          <w:rtl/>
        </w:rPr>
        <w:t xml:space="preserve">: </w:t>
      </w:r>
      <w:r>
        <w:rPr>
          <w:rFonts w:hint="cs"/>
          <w:rtl/>
        </w:rPr>
        <w:t>استحضار دروس الماضي واستشراف آفاق المستقبل</w:t>
      </w:r>
      <w:r w:rsidRPr="00852D83">
        <w:rPr>
          <w:rtl/>
        </w:rPr>
        <w:t xml:space="preserve"> </w:t>
      </w:r>
      <w:hyperlink r:id="rId24" w:history="1">
        <w:r w:rsidRPr="00E6402E">
          <w:rPr>
            <w:rStyle w:val="Hyperlink"/>
            <w:color w:val="auto"/>
            <w:u w:val="none"/>
          </w:rPr>
          <w:t>https://www.wipo.int/portal/en/news/2019/article_0050.html</w:t>
        </w:r>
      </w:hyperlink>
      <w:r w:rsidRPr="00852D83">
        <w:rPr>
          <w:rtl/>
        </w:rPr>
        <w:t>.</w:t>
      </w:r>
    </w:p>
  </w:footnote>
  <w:footnote w:id="27">
    <w:p w:rsidR="00387E94" w:rsidRPr="00AD7BE2" w:rsidRDefault="00387E94" w:rsidP="00387E94">
      <w:pPr>
        <w:pStyle w:val="FootnoteText"/>
        <w:rPr>
          <w:rtl/>
        </w:rPr>
      </w:pPr>
      <w:r w:rsidRPr="00AD7BE2">
        <w:rPr>
          <w:rStyle w:val="FootnoteReference"/>
        </w:rPr>
        <w:footnoteRef/>
      </w:r>
      <w:r w:rsidR="00E6402E">
        <w:rPr>
          <w:rtl/>
        </w:rPr>
        <w:tab/>
      </w:r>
      <w:r w:rsidRPr="00AD7BE2">
        <w:rPr>
          <w:rFonts w:hint="cs"/>
          <w:rtl/>
        </w:rPr>
        <w:t xml:space="preserve">هذه اللغات هي، </w:t>
      </w:r>
      <w:r w:rsidRPr="00AD7BE2">
        <w:rPr>
          <w:rtl/>
        </w:rPr>
        <w:t>حسب الترتيب الأبجدي</w:t>
      </w:r>
      <w:r w:rsidRPr="00AD7BE2">
        <w:rPr>
          <w:rFonts w:hint="cs"/>
          <w:rtl/>
        </w:rPr>
        <w:t>:</w:t>
      </w:r>
      <w:r w:rsidRPr="00AD7BE2">
        <w:rPr>
          <w:rtl/>
        </w:rPr>
        <w:t xml:space="preserve"> الإسبانية </w:t>
      </w:r>
      <w:r w:rsidRPr="00AD7BE2">
        <w:rPr>
          <w:rFonts w:hint="cs"/>
          <w:rtl/>
        </w:rPr>
        <w:t>و</w:t>
      </w:r>
      <w:r w:rsidRPr="00AD7BE2">
        <w:rPr>
          <w:rtl/>
        </w:rPr>
        <w:t xml:space="preserve">الألمانية </w:t>
      </w:r>
      <w:r w:rsidRPr="00AD7BE2">
        <w:rPr>
          <w:rFonts w:hint="cs"/>
          <w:rtl/>
        </w:rPr>
        <w:t>و</w:t>
      </w:r>
      <w:r w:rsidRPr="00AD7BE2">
        <w:rPr>
          <w:rtl/>
        </w:rPr>
        <w:t xml:space="preserve">الإنكليزية </w:t>
      </w:r>
      <w:r w:rsidRPr="00AD7BE2">
        <w:rPr>
          <w:rFonts w:hint="cs"/>
          <w:rtl/>
        </w:rPr>
        <w:t>و</w:t>
      </w:r>
      <w:r w:rsidRPr="00AD7BE2">
        <w:rPr>
          <w:rtl/>
        </w:rPr>
        <w:t xml:space="preserve">الإيطالية </w:t>
      </w:r>
      <w:r w:rsidRPr="00AD7BE2">
        <w:rPr>
          <w:rFonts w:hint="cs"/>
          <w:rtl/>
        </w:rPr>
        <w:t>و</w:t>
      </w:r>
      <w:r w:rsidRPr="00AD7BE2">
        <w:rPr>
          <w:rtl/>
        </w:rPr>
        <w:t xml:space="preserve">البرتغالية </w:t>
      </w:r>
      <w:r w:rsidRPr="00AD7BE2">
        <w:rPr>
          <w:rFonts w:hint="cs"/>
          <w:rtl/>
        </w:rPr>
        <w:t>و</w:t>
      </w:r>
      <w:r w:rsidRPr="00AD7BE2">
        <w:rPr>
          <w:rtl/>
        </w:rPr>
        <w:t xml:space="preserve">البولندية </w:t>
      </w:r>
      <w:r w:rsidRPr="00AD7BE2">
        <w:rPr>
          <w:rFonts w:hint="cs"/>
          <w:rtl/>
        </w:rPr>
        <w:t>و</w:t>
      </w:r>
      <w:r w:rsidRPr="00AD7BE2">
        <w:rPr>
          <w:rtl/>
        </w:rPr>
        <w:t xml:space="preserve">التركية </w:t>
      </w:r>
      <w:r w:rsidRPr="00AD7BE2">
        <w:rPr>
          <w:rFonts w:hint="cs"/>
          <w:rtl/>
        </w:rPr>
        <w:t>و</w:t>
      </w:r>
      <w:r w:rsidRPr="00AD7BE2">
        <w:rPr>
          <w:rtl/>
        </w:rPr>
        <w:t xml:space="preserve">التشيكية </w:t>
      </w:r>
      <w:r w:rsidRPr="00AD7BE2">
        <w:rPr>
          <w:rFonts w:hint="cs"/>
          <w:rtl/>
        </w:rPr>
        <w:t>و</w:t>
      </w:r>
      <w:r w:rsidRPr="00AD7BE2">
        <w:rPr>
          <w:rtl/>
        </w:rPr>
        <w:t>الدنم</w:t>
      </w:r>
      <w:r w:rsidRPr="00AD7BE2">
        <w:rPr>
          <w:rFonts w:hint="cs"/>
          <w:rtl/>
        </w:rPr>
        <w:t>ا</w:t>
      </w:r>
      <w:r w:rsidRPr="00AD7BE2">
        <w:rPr>
          <w:rtl/>
        </w:rPr>
        <w:t xml:space="preserve">ركية </w:t>
      </w:r>
      <w:r w:rsidRPr="00AD7BE2">
        <w:rPr>
          <w:rFonts w:hint="cs"/>
          <w:rtl/>
        </w:rPr>
        <w:t>و</w:t>
      </w:r>
      <w:r w:rsidRPr="00AD7BE2">
        <w:rPr>
          <w:rtl/>
        </w:rPr>
        <w:t xml:space="preserve">الروسية </w:t>
      </w:r>
      <w:r w:rsidRPr="00AD7BE2">
        <w:rPr>
          <w:rFonts w:hint="cs"/>
          <w:rtl/>
        </w:rPr>
        <w:t>و</w:t>
      </w:r>
      <w:r w:rsidRPr="00AD7BE2">
        <w:rPr>
          <w:rtl/>
        </w:rPr>
        <w:t xml:space="preserve">الرومانية </w:t>
      </w:r>
      <w:r w:rsidRPr="00AD7BE2">
        <w:rPr>
          <w:rFonts w:hint="cs"/>
          <w:rtl/>
        </w:rPr>
        <w:t>و</w:t>
      </w:r>
      <w:r w:rsidRPr="00AD7BE2">
        <w:rPr>
          <w:rtl/>
        </w:rPr>
        <w:t xml:space="preserve">السلوفاكية </w:t>
      </w:r>
      <w:r w:rsidRPr="00AD7BE2">
        <w:rPr>
          <w:rFonts w:hint="cs"/>
          <w:rtl/>
        </w:rPr>
        <w:t>و</w:t>
      </w:r>
      <w:r w:rsidRPr="00AD7BE2">
        <w:rPr>
          <w:rtl/>
        </w:rPr>
        <w:t xml:space="preserve">السويدية </w:t>
      </w:r>
      <w:r w:rsidRPr="00AD7BE2">
        <w:rPr>
          <w:rFonts w:hint="cs"/>
          <w:rtl/>
        </w:rPr>
        <w:t>و</w:t>
      </w:r>
      <w:r w:rsidRPr="00AD7BE2">
        <w:rPr>
          <w:rtl/>
        </w:rPr>
        <w:t xml:space="preserve">الصينية </w:t>
      </w:r>
      <w:r w:rsidRPr="00AD7BE2">
        <w:rPr>
          <w:rFonts w:hint="cs"/>
          <w:rtl/>
        </w:rPr>
        <w:t>و</w:t>
      </w:r>
      <w:r w:rsidRPr="00AD7BE2">
        <w:rPr>
          <w:rtl/>
        </w:rPr>
        <w:t xml:space="preserve">العبرية </w:t>
      </w:r>
      <w:r w:rsidRPr="00AD7BE2">
        <w:rPr>
          <w:rFonts w:hint="cs"/>
          <w:rtl/>
        </w:rPr>
        <w:t>و</w:t>
      </w:r>
      <w:r w:rsidRPr="00AD7BE2">
        <w:rPr>
          <w:rtl/>
        </w:rPr>
        <w:t xml:space="preserve">الفرنسية </w:t>
      </w:r>
      <w:r w:rsidRPr="00AD7BE2">
        <w:rPr>
          <w:rFonts w:hint="cs"/>
          <w:rtl/>
        </w:rPr>
        <w:t>و</w:t>
      </w:r>
      <w:r w:rsidRPr="00AD7BE2">
        <w:rPr>
          <w:rtl/>
        </w:rPr>
        <w:t xml:space="preserve">الكورية </w:t>
      </w:r>
      <w:r w:rsidRPr="00AD7BE2">
        <w:rPr>
          <w:rFonts w:hint="cs"/>
          <w:rtl/>
        </w:rPr>
        <w:t>و</w:t>
      </w:r>
      <w:r w:rsidRPr="00AD7BE2">
        <w:rPr>
          <w:rtl/>
        </w:rPr>
        <w:t xml:space="preserve">النرويجية </w:t>
      </w:r>
      <w:r w:rsidRPr="00AD7BE2">
        <w:rPr>
          <w:rFonts w:hint="cs"/>
          <w:rtl/>
        </w:rPr>
        <w:t>و</w:t>
      </w:r>
      <w:r w:rsidRPr="00AD7BE2">
        <w:rPr>
          <w:rtl/>
        </w:rPr>
        <w:t xml:space="preserve">الهولندية </w:t>
      </w:r>
      <w:r w:rsidRPr="00AD7BE2">
        <w:rPr>
          <w:rFonts w:hint="cs"/>
          <w:rtl/>
        </w:rPr>
        <w:t>و</w:t>
      </w:r>
      <w:r w:rsidRPr="00AD7BE2">
        <w:rPr>
          <w:rtl/>
        </w:rPr>
        <w:t xml:space="preserve">الفيتنامية </w:t>
      </w:r>
      <w:r w:rsidRPr="00AD7BE2">
        <w:rPr>
          <w:rFonts w:hint="cs"/>
          <w:rtl/>
        </w:rPr>
        <w:t>و</w:t>
      </w:r>
      <w:r w:rsidRPr="00AD7BE2">
        <w:rPr>
          <w:rtl/>
        </w:rPr>
        <w:t>اليابانية.</w:t>
      </w:r>
    </w:p>
  </w:footnote>
  <w:footnote w:id="28">
    <w:p w:rsidR="00387E94" w:rsidRDefault="00387E94" w:rsidP="00E6402E">
      <w:pPr>
        <w:pStyle w:val="FootnoteText"/>
      </w:pPr>
      <w:r>
        <w:rPr>
          <w:rStyle w:val="FootnoteReference"/>
        </w:rPr>
        <w:footnoteRef/>
      </w:r>
      <w:r w:rsidR="00E6402E">
        <w:rPr>
          <w:rtl/>
        </w:rPr>
        <w:tab/>
      </w:r>
      <w:r w:rsidRPr="00AD7BE2">
        <w:rPr>
          <w:rtl/>
        </w:rPr>
        <w:t>نظر</w:t>
      </w:r>
      <w:r w:rsidRPr="00E6402E">
        <w:rPr>
          <w:rFonts w:hint="cs"/>
          <w:rtl/>
        </w:rPr>
        <w:t xml:space="preserve"> </w:t>
      </w:r>
      <w:hyperlink r:id="rId25" w:history="1">
        <w:r w:rsidRPr="00E6402E">
          <w:rPr>
            <w:rStyle w:val="Hyperlink"/>
            <w:color w:val="auto"/>
            <w:u w:val="none"/>
          </w:rPr>
          <w:t>http://www.wipo.int/amc/en/domains/search/overview3.0/</w:t>
        </w:r>
      </w:hyperlink>
      <w:r w:rsidRPr="00AD7BE2">
        <w:rPr>
          <w:rtl/>
        </w:rPr>
        <w:t>. النطاق المتزايد ل</w:t>
      </w:r>
      <w:r w:rsidRPr="00AD7BE2">
        <w:rPr>
          <w:rFonts w:hint="cs"/>
          <w:rtl/>
        </w:rPr>
        <w:t>استعراض ا</w:t>
      </w:r>
      <w:r w:rsidRPr="00AD7BE2">
        <w:rPr>
          <w:rtl/>
        </w:rPr>
        <w:t>لويبو 3.0 منذ نشر الإصدار 2.0 في عام 2011 يعكس تطور مجموعة من قضايا أسماء الحقول والسياسة الموحدة لتسوية المنازعات قارب ضعف القضايا التي أشرف عليها المركز منذ ذلك الحين. ولاستعراض الويبو دور رئيسي في تنمية اتساق اجتهادات الويبو القانونية في إطار السياسة الموحدة لتسوية المنازعات والحفاظ عليه.</w:t>
      </w:r>
    </w:p>
  </w:footnote>
  <w:footnote w:id="29">
    <w:p w:rsidR="00387E94" w:rsidRPr="00AD7BE2" w:rsidRDefault="00387E94" w:rsidP="00387E94">
      <w:pPr>
        <w:pStyle w:val="FootnoteText"/>
        <w:rPr>
          <w:rtl/>
        </w:rPr>
      </w:pPr>
      <w:r w:rsidRPr="00AD7BE2">
        <w:rPr>
          <w:rStyle w:val="FootnoteReference"/>
        </w:rPr>
        <w:footnoteRef/>
      </w:r>
      <w:r w:rsidR="00E6402E">
        <w:rPr>
          <w:rtl/>
        </w:rPr>
        <w:tab/>
      </w:r>
      <w:r w:rsidRPr="00AD7BE2">
        <w:rPr>
          <w:rFonts w:hint="cs"/>
          <w:rtl/>
        </w:rPr>
        <w:t>انظر</w:t>
      </w:r>
      <w:r>
        <w:rPr>
          <w:rFonts w:hint="cs"/>
          <w:rtl/>
        </w:rPr>
        <w:t xml:space="preserve"> الرابط التالي:</w:t>
      </w:r>
      <w:r w:rsidRPr="00AD7BE2">
        <w:rPr>
          <w:rFonts w:hint="cs"/>
          <w:rtl/>
        </w:rPr>
        <w:t xml:space="preserve"> </w:t>
      </w:r>
      <w:hyperlink r:id="rId26" w:history="1">
        <w:r w:rsidRPr="00E6402E">
          <w:rPr>
            <w:rStyle w:val="Hyperlink"/>
            <w:color w:val="auto"/>
            <w:u w:val="none"/>
          </w:rPr>
          <w:t>http://www.wipo.int/amc/en/domains/search/legalindex/</w:t>
        </w:r>
      </w:hyperlink>
      <w:r w:rsidRPr="00E6402E">
        <w:rPr>
          <w:rFonts w:hint="cs"/>
          <w:rtl/>
        </w:rPr>
        <w:t>.</w:t>
      </w:r>
    </w:p>
  </w:footnote>
  <w:footnote w:id="30">
    <w:p w:rsidR="00387E94" w:rsidRPr="00AD7BE2" w:rsidRDefault="00387E94" w:rsidP="00387E94">
      <w:pPr>
        <w:pStyle w:val="FootnoteText"/>
        <w:rPr>
          <w:rtl/>
        </w:rPr>
      </w:pPr>
      <w:r w:rsidRPr="00AD7BE2">
        <w:rPr>
          <w:rStyle w:val="FootnoteReference"/>
        </w:rPr>
        <w:footnoteRef/>
      </w:r>
      <w:r w:rsidR="00E6402E">
        <w:rPr>
          <w:rtl/>
        </w:rPr>
        <w:tab/>
      </w:r>
      <w:r w:rsidRPr="00AD7BE2">
        <w:rPr>
          <w:rtl/>
        </w:rPr>
        <w:t>في عام 2018، نشر المركز توجيهات</w:t>
      </w:r>
      <w:r w:rsidRPr="00AD7BE2">
        <w:rPr>
          <w:rFonts w:hint="cs"/>
          <w:rtl/>
        </w:rPr>
        <w:t xml:space="preserve"> الويبو</w:t>
      </w:r>
      <w:r w:rsidRPr="00AD7BE2">
        <w:rPr>
          <w:rtl/>
        </w:rPr>
        <w:t xml:space="preserve"> غير </w:t>
      </w:r>
      <w:r w:rsidRPr="00AD7BE2">
        <w:rPr>
          <w:rFonts w:hint="cs"/>
          <w:rtl/>
        </w:rPr>
        <w:t>ال</w:t>
      </w:r>
      <w:r w:rsidRPr="00AD7BE2">
        <w:rPr>
          <w:rtl/>
        </w:rPr>
        <w:t xml:space="preserve">رسمية </w:t>
      </w:r>
      <w:r w:rsidRPr="00AD7BE2">
        <w:rPr>
          <w:rFonts w:hint="cs"/>
          <w:rtl/>
        </w:rPr>
        <w:t>الموجهة إلى ا</w:t>
      </w:r>
      <w:r w:rsidRPr="00AD7BE2">
        <w:rPr>
          <w:rtl/>
        </w:rPr>
        <w:t xml:space="preserve">لأطراف بشأن الأثر العملي </w:t>
      </w:r>
      <w:r w:rsidRPr="00AD7BE2">
        <w:rPr>
          <w:rFonts w:hint="cs"/>
          <w:rtl/>
        </w:rPr>
        <w:t>ل</w:t>
      </w:r>
      <w:r w:rsidRPr="00AD7BE2">
        <w:rPr>
          <w:rtl/>
        </w:rPr>
        <w:t>لنظام الأوروبي لحماية البيانات العامة (</w:t>
      </w:r>
      <w:r w:rsidRPr="00AD7BE2">
        <w:t>GDPR</w:t>
      </w:r>
      <w:r w:rsidRPr="00AD7BE2">
        <w:rPr>
          <w:rtl/>
        </w:rPr>
        <w:t xml:space="preserve">) على </w:t>
      </w:r>
      <w:r w:rsidRPr="00AD7BE2">
        <w:rPr>
          <w:rFonts w:hint="cs"/>
          <w:rtl/>
        </w:rPr>
        <w:t>دعاوى السياسة الموجدة لتسوية المنازعات</w:t>
      </w:r>
      <w:r w:rsidRPr="00AD7BE2">
        <w:rPr>
          <w:rtl/>
        </w:rPr>
        <w:t xml:space="preserve">. انظر الفقرات </w:t>
      </w:r>
      <w:r w:rsidRPr="00AD7BE2">
        <w:rPr>
          <w:rFonts w:hint="cs"/>
          <w:rtl/>
        </w:rPr>
        <w:t xml:space="preserve">من </w:t>
      </w:r>
      <w:r>
        <w:rPr>
          <w:rFonts w:hint="cs"/>
          <w:rtl/>
        </w:rPr>
        <w:t>39</w:t>
      </w:r>
      <w:r w:rsidRPr="00AD7BE2">
        <w:rPr>
          <w:rtl/>
        </w:rPr>
        <w:t xml:space="preserve"> إلى </w:t>
      </w:r>
      <w:r>
        <w:rPr>
          <w:rFonts w:hint="cs"/>
          <w:rtl/>
        </w:rPr>
        <w:t>41</w:t>
      </w:r>
      <w:r w:rsidRPr="00AD7BE2">
        <w:rPr>
          <w:rtl/>
        </w:rPr>
        <w:t xml:space="preserve"> أدناه. </w:t>
      </w:r>
      <w:r w:rsidRPr="00AD7BE2">
        <w:rPr>
          <w:rFonts w:hint="cs"/>
          <w:rtl/>
        </w:rPr>
        <w:t>و</w:t>
      </w:r>
      <w:r w:rsidRPr="00AD7BE2">
        <w:rPr>
          <w:rtl/>
        </w:rPr>
        <w:t xml:space="preserve">انظر أيضا الفقرة 30 </w:t>
      </w:r>
      <w:r w:rsidRPr="00AD7BE2">
        <w:rPr>
          <w:rFonts w:hint="cs"/>
          <w:rtl/>
        </w:rPr>
        <w:t>في الوثيقة</w:t>
      </w:r>
      <w:r w:rsidRPr="00AD7BE2">
        <w:rPr>
          <w:rtl/>
        </w:rPr>
        <w:t xml:space="preserve"> </w:t>
      </w:r>
      <w:r w:rsidRPr="00AD7BE2">
        <w:t>WO/GA/47/14</w:t>
      </w:r>
      <w:r w:rsidRPr="00AD7BE2">
        <w:rPr>
          <w:rtl/>
        </w:rPr>
        <w:t xml:space="preserve"> </w:t>
      </w:r>
      <w:r w:rsidRPr="00AD7BE2">
        <w:rPr>
          <w:rFonts w:hint="cs"/>
          <w:rtl/>
        </w:rPr>
        <w:t>والفقرات من 14 إلى 16 في الوثيقة</w:t>
      </w:r>
      <w:r w:rsidRPr="00AD7BE2">
        <w:rPr>
          <w:rtl/>
        </w:rPr>
        <w:t xml:space="preserve"> </w:t>
      </w:r>
      <w:r w:rsidRPr="00AD7BE2">
        <w:t>WO/GA/41/17 Rev.2</w:t>
      </w:r>
      <w:r w:rsidRPr="00AD7BE2">
        <w:rPr>
          <w:rtl/>
        </w:rPr>
        <w:t>.</w:t>
      </w:r>
    </w:p>
  </w:footnote>
  <w:footnote w:id="31">
    <w:p w:rsidR="00387E94" w:rsidRPr="00AD7BE2" w:rsidRDefault="00387E94" w:rsidP="00387E94">
      <w:pPr>
        <w:pStyle w:val="FootnoteText"/>
        <w:rPr>
          <w:rtl/>
        </w:rPr>
      </w:pPr>
      <w:r w:rsidRPr="00AD7BE2">
        <w:rPr>
          <w:rStyle w:val="FootnoteReference"/>
        </w:rPr>
        <w:footnoteRef/>
      </w:r>
      <w:r w:rsidR="00E6402E">
        <w:rPr>
          <w:rtl/>
        </w:rPr>
        <w:tab/>
      </w:r>
      <w:r w:rsidRPr="00AD7BE2">
        <w:rPr>
          <w:rFonts w:hint="cs"/>
          <w:rtl/>
        </w:rPr>
        <w:t>انظر الحاشية 2 أعلاه.</w:t>
      </w:r>
    </w:p>
  </w:footnote>
  <w:footnote w:id="32">
    <w:p w:rsidR="00387E94" w:rsidRPr="00AD7BE2" w:rsidRDefault="00387E94" w:rsidP="00387E94">
      <w:pPr>
        <w:pStyle w:val="FootnoteText"/>
      </w:pPr>
      <w:r w:rsidRPr="00AD7BE2">
        <w:rPr>
          <w:rStyle w:val="FootnoteReference"/>
        </w:rPr>
        <w:footnoteRef/>
      </w:r>
      <w:r w:rsidR="00E6402E">
        <w:rPr>
          <w:rtl/>
        </w:rPr>
        <w:tab/>
      </w:r>
      <w:r w:rsidRPr="00AD7BE2">
        <w:rPr>
          <w:rFonts w:hint="cs"/>
          <w:rtl/>
        </w:rPr>
        <w:t>انظر</w:t>
      </w:r>
      <w:r>
        <w:rPr>
          <w:rFonts w:hint="cs"/>
          <w:rtl/>
        </w:rPr>
        <w:t xml:space="preserve"> الرابط التالي:</w:t>
      </w:r>
      <w:r w:rsidRPr="00AD7BE2">
        <w:rPr>
          <w:rFonts w:hint="cs"/>
          <w:rtl/>
        </w:rPr>
        <w:t xml:space="preserve"> </w:t>
      </w:r>
      <w:r w:rsidRPr="00AD7BE2">
        <w:t>http://www.wipo.int/amc/en/new/eu.html</w:t>
      </w:r>
      <w:r w:rsidRPr="00AD7BE2">
        <w:rPr>
          <w:rFonts w:hint="cs"/>
          <w:rtl/>
        </w:rPr>
        <w:t>.</w:t>
      </w:r>
    </w:p>
  </w:footnote>
  <w:footnote w:id="33">
    <w:p w:rsidR="00387E94" w:rsidRPr="00AD7BE2" w:rsidRDefault="00387E94" w:rsidP="00387E94">
      <w:pPr>
        <w:pStyle w:val="FootnoteText"/>
      </w:pPr>
      <w:r w:rsidRPr="00AD7BE2">
        <w:rPr>
          <w:rStyle w:val="FootnoteReference"/>
        </w:rPr>
        <w:footnoteRef/>
      </w:r>
      <w:r w:rsidR="00E6402E">
        <w:rPr>
          <w:rtl/>
        </w:rPr>
        <w:tab/>
      </w:r>
      <w:r w:rsidRPr="00AD7BE2">
        <w:rPr>
          <w:rtl/>
        </w:rPr>
        <w:t>يمكن الاطلاع على القائمة الكاملة للحقول العليا المكو</w:t>
      </w:r>
      <w:r>
        <w:rPr>
          <w:rFonts w:hint="cs"/>
          <w:rtl/>
        </w:rPr>
        <w:t>ّ</w:t>
      </w:r>
      <w:r w:rsidRPr="00AD7BE2">
        <w:rPr>
          <w:rtl/>
        </w:rPr>
        <w:t xml:space="preserve">نة من رموز البلدان والتي احتفظت بمركز الويبو كجهة لتسوية منازعات أسماء الحقول على الرابط التالي: </w:t>
      </w:r>
      <w:hyperlink r:id="rId27" w:history="1">
        <w:r w:rsidRPr="00CB35B7">
          <w:rPr>
            <w:rStyle w:val="Hyperlink"/>
            <w:color w:val="auto"/>
            <w:u w:val="none"/>
          </w:rPr>
          <w:t>http://www.wipo.int/amc/en/domains/cctld</w:t>
        </w:r>
      </w:hyperlink>
      <w:r w:rsidRPr="00AD7BE2">
        <w:rPr>
          <w:rtl/>
        </w:rPr>
        <w:t>.</w:t>
      </w:r>
    </w:p>
  </w:footnote>
  <w:footnote w:id="34">
    <w:p w:rsidR="00387E94" w:rsidRPr="00AD7BE2" w:rsidRDefault="00387E94" w:rsidP="00387E94">
      <w:pPr>
        <w:pStyle w:val="FootnoteText"/>
        <w:rPr>
          <w:rtl/>
        </w:rPr>
      </w:pPr>
      <w:r w:rsidRPr="00AD7BE2">
        <w:rPr>
          <w:rStyle w:val="FootnoteReference"/>
        </w:rPr>
        <w:footnoteRef/>
      </w:r>
      <w:r w:rsidR="00E6402E">
        <w:rPr>
          <w:rtl/>
        </w:rPr>
        <w:tab/>
      </w:r>
      <w:r w:rsidRPr="00AD7BE2">
        <w:rPr>
          <w:rtl/>
        </w:rPr>
        <w:t xml:space="preserve">على سبيل المثال، صفحة المركز المخصصة للحقل </w:t>
      </w:r>
      <w:r w:rsidRPr="00AD7BE2">
        <w:t>.CH</w:t>
      </w:r>
      <w:r w:rsidRPr="00AD7BE2">
        <w:rPr>
          <w:rtl/>
        </w:rPr>
        <w:t xml:space="preserve"> (سويسرا) متاحة الآن باللغتين الألمانية والإيطالية، بالإضافة إلى الإنكليزية والفرنسية والإسبانية.</w:t>
      </w:r>
    </w:p>
  </w:footnote>
  <w:footnote w:id="35">
    <w:p w:rsidR="00387E94" w:rsidRPr="00AD7BE2" w:rsidRDefault="00387E94" w:rsidP="00387E94">
      <w:pPr>
        <w:pStyle w:val="FootnoteText"/>
        <w:rPr>
          <w:rtl/>
        </w:rPr>
      </w:pPr>
      <w:r w:rsidRPr="00AD7BE2">
        <w:rPr>
          <w:rStyle w:val="FootnoteReference"/>
        </w:rPr>
        <w:footnoteRef/>
      </w:r>
      <w:r w:rsidR="00E6402E">
        <w:rPr>
          <w:rtl/>
        </w:rPr>
        <w:tab/>
      </w:r>
      <w:r w:rsidRPr="00AD7BE2">
        <w:rPr>
          <w:rtl/>
        </w:rPr>
        <w:t>انظر</w:t>
      </w:r>
      <w:r>
        <w:rPr>
          <w:rFonts w:hint="cs"/>
          <w:rtl/>
        </w:rPr>
        <w:t xml:space="preserve"> الرابط التالي:</w:t>
      </w:r>
      <w:r w:rsidRPr="00AD7BE2">
        <w:rPr>
          <w:rtl/>
        </w:rPr>
        <w:t xml:space="preserve"> </w:t>
      </w:r>
      <w:hyperlink r:id="rId28" w:history="1">
        <w:r w:rsidRPr="00E6402E">
          <w:rPr>
            <w:rStyle w:val="Hyperlink"/>
            <w:color w:val="auto"/>
            <w:u w:val="none"/>
          </w:rPr>
          <w:t>http://www.wipo.int/amc/en/domains/cctld/</w:t>
        </w:r>
      </w:hyperlink>
      <w:r w:rsidRPr="00E6402E">
        <w:rPr>
          <w:rtl/>
        </w:rPr>
        <w:t>.</w:t>
      </w:r>
    </w:p>
  </w:footnote>
  <w:footnote w:id="36">
    <w:p w:rsidR="00387E94" w:rsidRDefault="00387E94" w:rsidP="00387E94">
      <w:pPr>
        <w:pStyle w:val="FootnoteText"/>
        <w:rPr>
          <w:rtl/>
        </w:rPr>
      </w:pPr>
      <w:r>
        <w:rPr>
          <w:rStyle w:val="FootnoteReference"/>
        </w:rPr>
        <w:footnoteRef/>
      </w:r>
      <w:r w:rsidR="00E6402E">
        <w:rPr>
          <w:rtl/>
        </w:rPr>
        <w:tab/>
      </w:r>
      <w:r>
        <w:rPr>
          <w:rFonts w:hint="cs"/>
          <w:rtl/>
        </w:rPr>
        <w:t xml:space="preserve">انظر الرابط التالي: </w:t>
      </w:r>
      <w:hyperlink r:id="rId29" w:history="1">
        <w:r w:rsidRPr="00E6402E">
          <w:rPr>
            <w:rStyle w:val="Hyperlink"/>
            <w:color w:val="auto"/>
            <w:u w:val="none"/>
          </w:rPr>
          <w:t>https://www.wipo.int/edocs/pubdocs/en/wipo_pub_1069.pdf</w:t>
        </w:r>
      </w:hyperlink>
      <w:r w:rsidR="00E6402E" w:rsidRPr="00E6402E">
        <w:rPr>
          <w:rFonts w:hint="cs"/>
          <w:rtl/>
        </w:rPr>
        <w:t>.</w:t>
      </w:r>
    </w:p>
  </w:footnote>
  <w:footnote w:id="37">
    <w:p w:rsidR="00387E94" w:rsidRPr="00AD7BE2" w:rsidRDefault="00387E94" w:rsidP="00E6402E">
      <w:pPr>
        <w:pStyle w:val="FootnoteText"/>
        <w:rPr>
          <w:rtl/>
        </w:rPr>
      </w:pPr>
      <w:r w:rsidRPr="00AD7BE2">
        <w:rPr>
          <w:rStyle w:val="FootnoteReference"/>
        </w:rPr>
        <w:footnoteRef/>
      </w:r>
      <w:r w:rsidR="00E6402E">
        <w:rPr>
          <w:rtl/>
        </w:rPr>
        <w:tab/>
      </w:r>
      <w:r w:rsidRPr="0002248F">
        <w:rPr>
          <w:rtl/>
        </w:rPr>
        <w:t xml:space="preserve">انظر </w:t>
      </w:r>
      <w:hyperlink r:id="rId30" w:history="1">
        <w:r w:rsidRPr="00E6402E">
          <w:rPr>
            <w:rStyle w:val="Hyperlink"/>
            <w:color w:val="auto"/>
            <w:u w:val="none"/>
          </w:rPr>
          <w:t>http://www.icann.org/en/minutes/resolutions-20jun11-en.htm</w:t>
        </w:r>
      </w:hyperlink>
      <w:r w:rsidRPr="00E6402E">
        <w:rPr>
          <w:rtl/>
        </w:rPr>
        <w:t xml:space="preserve">. </w:t>
      </w:r>
      <w:r w:rsidRPr="0002248F">
        <w:rPr>
          <w:rtl/>
        </w:rPr>
        <w:t xml:space="preserve">لمزيد من المعلومات الخلفية بما في ذلك المراجع، انظر الوثيقة </w:t>
      </w:r>
      <w:r w:rsidRPr="0002248F">
        <w:t>WO/GA/39/10</w:t>
      </w:r>
      <w:r w:rsidRPr="0002248F">
        <w:rPr>
          <w:rtl/>
        </w:rPr>
        <w:t>، ولا سيما الفقرة 14</w:t>
      </w:r>
      <w:r>
        <w:rPr>
          <w:rFonts w:hint="cs"/>
          <w:rtl/>
        </w:rPr>
        <w:t>.</w:t>
      </w:r>
    </w:p>
  </w:footnote>
  <w:footnote w:id="38">
    <w:p w:rsidR="00387E94" w:rsidRPr="00AD7BE2" w:rsidRDefault="00387E94" w:rsidP="00387E94">
      <w:pPr>
        <w:pStyle w:val="FootnoteText"/>
        <w:rPr>
          <w:rtl/>
        </w:rPr>
      </w:pPr>
      <w:r w:rsidRPr="00AD7BE2">
        <w:rPr>
          <w:rStyle w:val="FootnoteReference"/>
        </w:rPr>
        <w:footnoteRef/>
      </w:r>
      <w:r w:rsidR="00E6402E">
        <w:rPr>
          <w:rtl/>
        </w:rPr>
        <w:tab/>
      </w:r>
      <w:r w:rsidRPr="00AD7BE2">
        <w:rPr>
          <w:rtl/>
        </w:rPr>
        <w:t xml:space="preserve">دليل مودع طلب التسجيل الخاص بالإيكان متاح على الرابط التالي: </w:t>
      </w:r>
      <w:hyperlink r:id="rId31" w:history="1">
        <w:r w:rsidRPr="00E6402E">
          <w:rPr>
            <w:rStyle w:val="Hyperlink"/>
            <w:color w:val="auto"/>
            <w:u w:val="none"/>
          </w:rPr>
          <w:t>http://newgtlds.icann.org/en/applicants/agb</w:t>
        </w:r>
      </w:hyperlink>
      <w:r w:rsidRPr="00E6402E">
        <w:rPr>
          <w:rtl/>
        </w:rPr>
        <w:t>.</w:t>
      </w:r>
    </w:p>
  </w:footnote>
  <w:footnote w:id="39">
    <w:p w:rsidR="00387E94" w:rsidRPr="00AD7BE2" w:rsidRDefault="00387E94" w:rsidP="00E6402E">
      <w:pPr>
        <w:pStyle w:val="FootnoteText"/>
      </w:pPr>
      <w:r w:rsidRPr="00AD7BE2">
        <w:rPr>
          <w:rStyle w:val="FootnoteReference"/>
        </w:rPr>
        <w:footnoteRef/>
      </w:r>
      <w:r w:rsidR="00E6402E">
        <w:rPr>
          <w:rtl/>
        </w:rPr>
        <w:tab/>
      </w:r>
      <w:r w:rsidRPr="00AD7BE2">
        <w:rPr>
          <w:rtl/>
        </w:rPr>
        <w:t>ترد قائمة بما مُنح من أسماء الحقول العليا الجديدة المكوَّنة من أسماء عامة على الرابط التالي:</w:t>
      </w:r>
      <w:r w:rsidR="00E6402E">
        <w:rPr>
          <w:rtl/>
        </w:rPr>
        <w:br/>
      </w:r>
      <w:hyperlink r:id="rId32" w:history="1">
        <w:r w:rsidRPr="00E6402E">
          <w:rPr>
            <w:rStyle w:val="Hyperlink"/>
            <w:color w:val="auto"/>
            <w:u w:val="none"/>
          </w:rPr>
          <w:t>http://newgtlds.icann.org/en/program-status/delegated-strings</w:t>
        </w:r>
      </w:hyperlink>
      <w:r w:rsidRPr="00AD7BE2">
        <w:rPr>
          <w:rtl/>
        </w:rPr>
        <w:t>.</w:t>
      </w:r>
    </w:p>
  </w:footnote>
  <w:footnote w:id="40">
    <w:p w:rsidR="00387E94" w:rsidRPr="008A1EDB" w:rsidRDefault="00387E94" w:rsidP="00387E94">
      <w:pPr>
        <w:pStyle w:val="FootnoteText"/>
        <w:rPr>
          <w:rtl/>
        </w:rPr>
      </w:pPr>
      <w:r w:rsidRPr="008A1EDB">
        <w:rPr>
          <w:rStyle w:val="FootnoteReference"/>
        </w:rPr>
        <w:footnoteRef/>
      </w:r>
      <w:r w:rsidR="00E6402E">
        <w:rPr>
          <w:rtl/>
        </w:rPr>
        <w:tab/>
      </w:r>
      <w:r w:rsidRPr="008A1EDB">
        <w:rPr>
          <w:rtl/>
        </w:rPr>
        <w:t xml:space="preserve">لمزيد من المعلومات الأساسية بما فيها المراجع، انظر الوثيقة </w:t>
      </w:r>
      <w:r w:rsidRPr="008A1EDB">
        <w:t>WO/GA/39/10</w:t>
      </w:r>
      <w:r w:rsidRPr="008A1EDB">
        <w:rPr>
          <w:rtl/>
        </w:rPr>
        <w:t xml:space="preserve"> وتحديدا</w:t>
      </w:r>
      <w:r>
        <w:rPr>
          <w:rFonts w:hint="cs"/>
          <w:rtl/>
        </w:rPr>
        <w:t>ً</w:t>
      </w:r>
      <w:r w:rsidRPr="008A1EDB">
        <w:rPr>
          <w:rtl/>
        </w:rPr>
        <w:t xml:space="preserve"> الفقرات من 23 إلى 30. ويُشار هنا إلى أن الإيكان قد رفضت اقتراحا</w:t>
      </w:r>
      <w:r>
        <w:rPr>
          <w:rFonts w:hint="cs"/>
          <w:rtl/>
        </w:rPr>
        <w:t>ً</w:t>
      </w:r>
      <w:r w:rsidRPr="008A1EDB">
        <w:rPr>
          <w:rtl/>
        </w:rPr>
        <w:t xml:space="preserve"> بشأن وضع " قائمة بالعلامات المحمية عالميا</w:t>
      </w:r>
      <w:r>
        <w:rPr>
          <w:rFonts w:hint="cs"/>
          <w:rtl/>
        </w:rPr>
        <w:t>ً</w:t>
      </w:r>
      <w:r w:rsidRPr="008A1EDB">
        <w:rPr>
          <w:rtl/>
        </w:rPr>
        <w:t>".</w:t>
      </w:r>
      <w:r>
        <w:rPr>
          <w:rFonts w:hint="cs"/>
          <w:rtl/>
        </w:rPr>
        <w:t xml:space="preserve"> </w:t>
      </w:r>
    </w:p>
  </w:footnote>
  <w:footnote w:id="41">
    <w:p w:rsidR="00387E94" w:rsidRPr="008A1EDB" w:rsidRDefault="00387E94" w:rsidP="00387E94">
      <w:pPr>
        <w:pStyle w:val="FootnoteText"/>
        <w:rPr>
          <w:rtl/>
        </w:rPr>
      </w:pPr>
      <w:r w:rsidRPr="008A1EDB">
        <w:rPr>
          <w:rStyle w:val="FootnoteReference"/>
        </w:rPr>
        <w:footnoteRef/>
      </w:r>
      <w:r w:rsidR="00E6402E">
        <w:rPr>
          <w:rtl/>
        </w:rPr>
        <w:tab/>
      </w:r>
      <w:r w:rsidRPr="008A1EDB">
        <w:rPr>
          <w:rtl/>
        </w:rPr>
        <w:t>أسباب الاعتراضات الأخرى التي أقرّتها الإيكان هي: "الاعتراضات القائمة على اللبس في التسلسل" و"اعتراضات الجماعات" و"الاعتراضات القائمة على مبدأ مراعاة حدود المصالح العامة". ويحتوي دليل مودع الطلب أيضا على عدد من الإجراءات الأخرى التي يجوز أن تضعها الحكومات لفائدتها تبعا لإعلان الإيكان الخاص بالطلبات بشأن الحقول العليا الجديدة المكونة من أسماء عامة. وتحديدا الفقرة 4.2.1.1 التي تنص على "الإنذار المبكر للجنة الاستشارية الحكومية للإيكان" والفقرة 7.2.1.1 التي تنص على "تلقي مشورة اللجنة الاستشارية الحكومية للإيكان بشأن الحقول العليا الجديدة المكونة من أسماء عامة" لكي ينظر فيها مجلس الإيكان.</w:t>
      </w:r>
    </w:p>
  </w:footnote>
  <w:footnote w:id="42">
    <w:p w:rsidR="00387E94" w:rsidRPr="008A1EDB" w:rsidRDefault="00387E94" w:rsidP="00387E94">
      <w:pPr>
        <w:pStyle w:val="FootnoteText"/>
        <w:rPr>
          <w:rtl/>
        </w:rPr>
      </w:pPr>
      <w:r w:rsidRPr="008A1EDB">
        <w:rPr>
          <w:rStyle w:val="FootnoteReference"/>
        </w:rPr>
        <w:footnoteRef/>
      </w:r>
      <w:r w:rsidR="00E6402E">
        <w:rPr>
          <w:rtl/>
        </w:rPr>
        <w:tab/>
      </w:r>
      <w:r w:rsidRPr="008A1EDB">
        <w:rPr>
          <w:rtl/>
        </w:rPr>
        <w:t>اعتمدتها الجمعية العامة للويبو في سبتمبر 2001، انظر الرابط التالي:</w:t>
      </w:r>
      <w:r w:rsidRPr="008A1EDB">
        <w:rPr>
          <w:rFonts w:hint="cs"/>
          <w:rtl/>
        </w:rPr>
        <w:t xml:space="preserve"> </w:t>
      </w:r>
      <w:hyperlink r:id="rId33" w:history="1">
        <w:r w:rsidRPr="00E6402E">
          <w:rPr>
            <w:rStyle w:val="Hyperlink"/>
            <w:color w:val="auto"/>
            <w:u w:val="none"/>
          </w:rPr>
          <w:t>http://www.wipo.int/edocs/pubdocs/en/marks/845/pub845.pdf</w:t>
        </w:r>
      </w:hyperlink>
      <w:r w:rsidRPr="008A1EDB">
        <w:rPr>
          <w:rFonts w:hint="cs"/>
          <w:rtl/>
        </w:rPr>
        <w:t>.</w:t>
      </w:r>
    </w:p>
  </w:footnote>
  <w:footnote w:id="43">
    <w:p w:rsidR="00387E94" w:rsidRPr="008A1EDB" w:rsidRDefault="00387E94" w:rsidP="00387E94">
      <w:pPr>
        <w:pStyle w:val="FootnoteText"/>
        <w:rPr>
          <w:rtl/>
        </w:rPr>
      </w:pPr>
      <w:r w:rsidRPr="008A1EDB">
        <w:rPr>
          <w:rStyle w:val="FootnoteReference"/>
        </w:rPr>
        <w:footnoteRef/>
      </w:r>
      <w:r w:rsidR="00E6402E">
        <w:rPr>
          <w:rtl/>
        </w:rPr>
        <w:tab/>
      </w:r>
      <w:r w:rsidRPr="008A1EDB">
        <w:rPr>
          <w:rtl/>
        </w:rPr>
        <w:t>انظر القسم 2.3 من دليل مودع طلب التسجيل الخاص بالإيكان على الرابط التالي:</w:t>
      </w:r>
      <w:r w:rsidRPr="008A1EDB">
        <w:rPr>
          <w:rFonts w:hint="cs"/>
          <w:rtl/>
        </w:rPr>
        <w:t xml:space="preserve"> </w:t>
      </w:r>
      <w:r w:rsidRPr="008A1EDB">
        <w:t>http://newgtlds.icann.org/en/applicants/agb/objection procedures-04jun12-en.pdf</w:t>
      </w:r>
      <w:r w:rsidRPr="008A1EDB">
        <w:rPr>
          <w:rFonts w:hint="cs"/>
          <w:rtl/>
        </w:rPr>
        <w:t>.</w:t>
      </w:r>
    </w:p>
  </w:footnote>
  <w:footnote w:id="44">
    <w:p w:rsidR="00387E94" w:rsidRPr="008A1EDB" w:rsidRDefault="00387E94" w:rsidP="00387E94">
      <w:pPr>
        <w:pStyle w:val="FootnoteText"/>
        <w:rPr>
          <w:rtl/>
        </w:rPr>
      </w:pPr>
      <w:r w:rsidRPr="008A1EDB">
        <w:rPr>
          <w:rStyle w:val="FootnoteReference"/>
        </w:rPr>
        <w:footnoteRef/>
      </w:r>
      <w:r w:rsidR="00E6402E">
        <w:rPr>
          <w:rtl/>
        </w:rPr>
        <w:tab/>
      </w:r>
      <w:r w:rsidRPr="008A1EDB">
        <w:rPr>
          <w:rtl/>
        </w:rPr>
        <w:t xml:space="preserve">انظر </w:t>
      </w:r>
      <w:r>
        <w:rPr>
          <w:rFonts w:hint="cs"/>
          <w:rtl/>
        </w:rPr>
        <w:t>قواعد</w:t>
      </w:r>
      <w:r w:rsidRPr="008A1EDB">
        <w:rPr>
          <w:rtl/>
        </w:rPr>
        <w:t xml:space="preserve"> الويبو بشأن تسوية المنازعات المتعلقة بالحقول العليا (</w:t>
      </w:r>
      <w:r w:rsidRPr="008A1EDB">
        <w:t>gTLD</w:t>
      </w:r>
      <w:r w:rsidRPr="008A1EDB">
        <w:rPr>
          <w:rtl/>
        </w:rPr>
        <w:t>) الجديدة وجدول الرسوم والتكاليف بالتوالي على الرابطين التاليين:</w:t>
      </w:r>
      <w:r w:rsidRPr="008A1EDB">
        <w:rPr>
          <w:rFonts w:hint="cs"/>
          <w:rtl/>
        </w:rPr>
        <w:t xml:space="preserve"> </w:t>
      </w:r>
      <w:hyperlink r:id="rId34" w:history="1">
        <w:r w:rsidRPr="00E6402E">
          <w:rPr>
            <w:rStyle w:val="Hyperlink"/>
            <w:color w:val="auto"/>
            <w:u w:val="none"/>
          </w:rPr>
          <w:t>http://www.wipo.int/amc/en/docs/wipolrorules.pdf</w:t>
        </w:r>
      </w:hyperlink>
      <w:r>
        <w:rPr>
          <w:rFonts w:hint="cs"/>
          <w:rtl/>
        </w:rPr>
        <w:t xml:space="preserve"> </w:t>
      </w:r>
      <w:r w:rsidRPr="008A1EDB">
        <w:rPr>
          <w:rFonts w:hint="cs"/>
          <w:rtl/>
        </w:rPr>
        <w:t>و</w:t>
      </w:r>
      <w:r>
        <w:rPr>
          <w:rFonts w:hint="cs"/>
          <w:rtl/>
        </w:rPr>
        <w:t xml:space="preserve"> </w:t>
      </w:r>
      <w:hyperlink r:id="rId35" w:history="1">
        <w:r w:rsidRPr="00E6402E">
          <w:rPr>
            <w:rStyle w:val="Hyperlink"/>
            <w:color w:val="auto"/>
            <w:u w:val="none"/>
          </w:rPr>
          <w:t>http://www.wipo.int/amc/en/domains/lro/fees/</w:t>
        </w:r>
      </w:hyperlink>
      <w:r w:rsidRPr="00E6402E">
        <w:rPr>
          <w:rFonts w:hint="cs"/>
          <w:rtl/>
        </w:rPr>
        <w:t xml:space="preserve">، </w:t>
      </w:r>
      <w:r w:rsidRPr="008A1EDB">
        <w:rPr>
          <w:rtl/>
        </w:rPr>
        <w:t>وانظر القضايا المسجلة لدى الويبو بشأن الاعتراض على التعدي على الحقوق من خلال الرابط التالي:</w:t>
      </w:r>
      <w:r w:rsidRPr="008A1EDB">
        <w:rPr>
          <w:rFonts w:hint="cs"/>
          <w:rtl/>
        </w:rPr>
        <w:t xml:space="preserve"> </w:t>
      </w:r>
      <w:hyperlink r:id="rId36" w:history="1">
        <w:r w:rsidRPr="00E6402E">
          <w:rPr>
            <w:rStyle w:val="Hyperlink"/>
            <w:color w:val="auto"/>
            <w:u w:val="none"/>
          </w:rPr>
          <w:t>http://www.wipo.int/amc/en/domains/lro/cases/</w:t>
        </w:r>
      </w:hyperlink>
      <w:r w:rsidRPr="00E6402E">
        <w:rPr>
          <w:rFonts w:hint="cs"/>
          <w:rtl/>
        </w:rPr>
        <w:t xml:space="preserve">. </w:t>
      </w:r>
    </w:p>
  </w:footnote>
  <w:footnote w:id="45">
    <w:p w:rsidR="00387E94" w:rsidRPr="008A1EDB" w:rsidRDefault="00387E94" w:rsidP="00387E94">
      <w:pPr>
        <w:pStyle w:val="FootnoteText"/>
        <w:rPr>
          <w:rtl/>
        </w:rPr>
      </w:pPr>
      <w:r w:rsidRPr="008A1EDB">
        <w:rPr>
          <w:rStyle w:val="FootnoteReference"/>
        </w:rPr>
        <w:footnoteRef/>
      </w:r>
      <w:r w:rsidR="00E6402E">
        <w:rPr>
          <w:rtl/>
        </w:rPr>
        <w:tab/>
      </w:r>
      <w:r w:rsidRPr="008A1EDB">
        <w:rPr>
          <w:rtl/>
        </w:rPr>
        <w:t>انظر الرابط التالي:</w:t>
      </w:r>
      <w:r w:rsidRPr="008A1EDB">
        <w:rPr>
          <w:rFonts w:hint="cs"/>
          <w:rtl/>
        </w:rPr>
        <w:t xml:space="preserve"> </w:t>
      </w:r>
      <w:hyperlink r:id="rId37" w:history="1">
        <w:r w:rsidRPr="00E6402E">
          <w:rPr>
            <w:rStyle w:val="Hyperlink"/>
            <w:color w:val="auto"/>
            <w:u w:val="none"/>
          </w:rPr>
          <w:t>http://www.wipo.int/amc/en/domains/lro/cases/</w:t>
        </w:r>
      </w:hyperlink>
      <w:r w:rsidRPr="008A1EDB">
        <w:rPr>
          <w:rFonts w:hint="cs"/>
          <w:rtl/>
        </w:rPr>
        <w:t>.</w:t>
      </w:r>
    </w:p>
  </w:footnote>
  <w:footnote w:id="46">
    <w:p w:rsidR="00387E94" w:rsidRPr="008A1EDB" w:rsidRDefault="00387E94" w:rsidP="00387E94">
      <w:pPr>
        <w:pStyle w:val="FootnoteText"/>
        <w:rPr>
          <w:rtl/>
        </w:rPr>
      </w:pPr>
      <w:r w:rsidRPr="008A1EDB">
        <w:rPr>
          <w:rStyle w:val="FootnoteReference"/>
        </w:rPr>
        <w:footnoteRef/>
      </w:r>
      <w:r w:rsidR="00E6402E">
        <w:rPr>
          <w:rtl/>
        </w:rPr>
        <w:tab/>
      </w:r>
      <w:r w:rsidRPr="008A1EDB">
        <w:rPr>
          <w:rtl/>
        </w:rPr>
        <w:t xml:space="preserve">يشير تقرير الويبو إلى أن الغالبية العظمى من تلك الاعتراضات أودعت ضد الطلبات الخاصة بسلسلة الحروف ذات المعنى الوصفي أو القاموسي للحقول العليا المكوَّنة من أسماء عامة. وقد خلص كثير من هيئات الخبراء إلى أنه في الحالات التي يكون قد اعتمد فيها مالك </w:t>
      </w:r>
      <w:r w:rsidRPr="008A1EDB">
        <w:rPr>
          <w:rFonts w:hint="cs"/>
          <w:rtl/>
        </w:rPr>
        <w:t>ال</w:t>
      </w:r>
      <w:r w:rsidRPr="008A1EDB">
        <w:rPr>
          <w:rtl/>
        </w:rPr>
        <w:t>علامة</w:t>
      </w:r>
      <w:r w:rsidRPr="008A1EDB">
        <w:rPr>
          <w:rFonts w:hint="cs"/>
          <w:rtl/>
        </w:rPr>
        <w:t xml:space="preserve"> التجارية</w:t>
      </w:r>
      <w:r w:rsidRPr="008A1EDB">
        <w:rPr>
          <w:rtl/>
        </w:rPr>
        <w:t xml:space="preserve"> مصطلحا عاما من مصطلحات القاموس كعلامة تجارية، فإن طلب حقل عال مكون من اسم عام لغرض الاستفادة من المعنى العام لذلك المصطلح لا يُعتبر، في حد ذاته، انتهاكا لمعايير تسوية المنازعات فيما يخص الاعتراضات القائمة على الحقوق القانونية. وفي بعض الحالات تناولت هيئات الخبراء تسجيلات العلامات التجارية التي اكتُسبت أساسا لأغراض دعم طلب الحصول على حقل عال جديد مكون من اسم عام و/أو اعتراض قائم على الحقوق القانونية، دون إثبات استخدام قليل لتلك العلامات أو أي استخدام لها في السابق. انظر الرابط التالي:</w:t>
      </w:r>
      <w:r w:rsidRPr="008A1EDB">
        <w:rPr>
          <w:rFonts w:hint="cs"/>
          <w:rtl/>
        </w:rPr>
        <w:t xml:space="preserve"> </w:t>
      </w:r>
      <w:hyperlink r:id="rId38" w:history="1">
        <w:r w:rsidRPr="001A3DA3">
          <w:rPr>
            <w:rStyle w:val="Hyperlink"/>
            <w:color w:val="auto"/>
            <w:u w:val="none"/>
          </w:rPr>
          <w:t>http://www.wipo.int/amc/en/docs/lroreport.pdf</w:t>
        </w:r>
      </w:hyperlink>
      <w:r w:rsidRPr="008A1EDB">
        <w:rPr>
          <w:rFonts w:hint="cs"/>
          <w:rtl/>
        </w:rPr>
        <w:t>.</w:t>
      </w:r>
    </w:p>
  </w:footnote>
  <w:footnote w:id="47">
    <w:p w:rsidR="00387E94" w:rsidRPr="001A3DA3" w:rsidRDefault="00387E94" w:rsidP="00387E94">
      <w:pPr>
        <w:pStyle w:val="FootnoteText"/>
        <w:rPr>
          <w:rtl/>
        </w:rPr>
      </w:pPr>
      <w:r w:rsidRPr="008A1EDB">
        <w:rPr>
          <w:rStyle w:val="FootnoteReference"/>
        </w:rPr>
        <w:footnoteRef/>
      </w:r>
      <w:r w:rsidR="001A3DA3">
        <w:rPr>
          <w:rtl/>
        </w:rPr>
        <w:tab/>
      </w:r>
      <w:r w:rsidRPr="008A1EDB">
        <w:rPr>
          <w:rtl/>
        </w:rPr>
        <w:t>انظر الرابط التالي:</w:t>
      </w:r>
      <w:r w:rsidRPr="008A1EDB">
        <w:rPr>
          <w:rFonts w:hint="cs"/>
          <w:rtl/>
        </w:rPr>
        <w:t xml:space="preserve"> </w:t>
      </w:r>
      <w:hyperlink r:id="rId39" w:history="1">
        <w:r w:rsidRPr="001A3DA3">
          <w:rPr>
            <w:rStyle w:val="Hyperlink"/>
            <w:color w:val="auto"/>
            <w:u w:val="none"/>
          </w:rPr>
          <w:t>http://www.wipo.int/amc/en/docs/icann130309.pdf</w:t>
        </w:r>
      </w:hyperlink>
      <w:r w:rsidRPr="001A3DA3">
        <w:rPr>
          <w:rFonts w:hint="cs"/>
          <w:rtl/>
        </w:rPr>
        <w:t>.</w:t>
      </w:r>
    </w:p>
  </w:footnote>
  <w:footnote w:id="48">
    <w:p w:rsidR="00387E94" w:rsidRPr="008A1EDB" w:rsidRDefault="00387E94" w:rsidP="00387E94">
      <w:pPr>
        <w:pStyle w:val="FootnoteText"/>
        <w:rPr>
          <w:rtl/>
        </w:rPr>
      </w:pPr>
      <w:r w:rsidRPr="008A1EDB">
        <w:rPr>
          <w:rStyle w:val="FootnoteReference"/>
        </w:rPr>
        <w:footnoteRef/>
      </w:r>
      <w:r w:rsidR="001A3DA3">
        <w:rPr>
          <w:rtl/>
        </w:rPr>
        <w:tab/>
      </w:r>
      <w:r w:rsidRPr="008A1EDB">
        <w:rPr>
          <w:rtl/>
        </w:rPr>
        <w:t xml:space="preserve">نظرا </w:t>
      </w:r>
      <w:r>
        <w:rPr>
          <w:rFonts w:hint="cs"/>
          <w:rtl/>
        </w:rPr>
        <w:t>ل</w:t>
      </w:r>
      <w:r w:rsidRPr="008A1EDB">
        <w:rPr>
          <w:rtl/>
        </w:rPr>
        <w:t>لتقارب الملاحظ بين أدوار مكاتب التسجيل وأمناء التسجيل وأصحاب التسجيلات في إطار نظام أسماء الحقول، أوصى المركز أيضا</w:t>
      </w:r>
      <w:r>
        <w:rPr>
          <w:rFonts w:hint="cs"/>
          <w:rtl/>
        </w:rPr>
        <w:t>ً</w:t>
      </w:r>
      <w:r w:rsidRPr="008A1EDB">
        <w:rPr>
          <w:rFonts w:hint="cs"/>
          <w:rtl/>
        </w:rPr>
        <w:t>، من ضمن ما أوصى،</w:t>
      </w:r>
      <w:r w:rsidRPr="008A1EDB">
        <w:rPr>
          <w:rtl/>
        </w:rPr>
        <w:t xml:space="preserve"> بأن تنظر الإيكان في توسيع نطاق إجراءات تسوية المنازعات بعد المنح لكي تنسحب أيضا على سلوك أمناء التسجيل في مكاتب التسجيل (انظر الرابط التالي:</w:t>
      </w:r>
      <w:r>
        <w:rPr>
          <w:rFonts w:hint="cs"/>
          <w:rtl/>
        </w:rPr>
        <w:t xml:space="preserve">  </w:t>
      </w:r>
      <w:r w:rsidRPr="008A1EDB">
        <w:t>http://www.wipo.int/amc/en/docs/icann260310rap.pdf</w:t>
      </w:r>
      <w:r w:rsidRPr="008A1EDB">
        <w:rPr>
          <w:rtl/>
        </w:rPr>
        <w:t xml:space="preserve"> </w:t>
      </w:r>
      <w:r>
        <w:rPr>
          <w:rFonts w:hint="cs"/>
          <w:rtl/>
        </w:rPr>
        <w:t xml:space="preserve"> </w:t>
      </w:r>
      <w:r w:rsidRPr="008A1EDB">
        <w:rPr>
          <w:rtl/>
        </w:rPr>
        <w:t>على سبيل المثال)</w:t>
      </w:r>
      <w:r>
        <w:rPr>
          <w:rFonts w:hint="cs"/>
          <w:rtl/>
        </w:rPr>
        <w:t xml:space="preserve"> </w:t>
      </w:r>
      <w:r w:rsidRPr="008A1EDB">
        <w:rPr>
          <w:rtl/>
        </w:rPr>
        <w:t xml:space="preserve"> مع مراعاة الخبرات التي اكتسبها المركز استنادا إلى السياسة الموحدة لتسوية المنازعات المتعلقة بأسماء الحقول وقرار الإيكان بإتاحة المشاركة في الملكية بين مكاتب التسجيل وأمناء التسجيل (انظر الرابط التالي:</w:t>
      </w:r>
      <w:r w:rsidRPr="008A1EDB">
        <w:rPr>
          <w:rFonts w:hint="cs"/>
          <w:rtl/>
        </w:rPr>
        <w:t xml:space="preserve"> </w:t>
      </w:r>
      <w:r w:rsidRPr="008A1EDB">
        <w:t>http://www.icann.org/en/minutes/resolutions 05nov10 en.htm</w:t>
      </w:r>
      <w:r w:rsidRPr="008A1EDB">
        <w:rPr>
          <w:rFonts w:hint="cs"/>
          <w:rtl/>
        </w:rPr>
        <w:t>).</w:t>
      </w:r>
      <w:r>
        <w:rPr>
          <w:rFonts w:hint="cs"/>
          <w:rtl/>
        </w:rPr>
        <w:t xml:space="preserve"> </w:t>
      </w:r>
    </w:p>
  </w:footnote>
  <w:footnote w:id="49">
    <w:p w:rsidR="00387E94" w:rsidRDefault="00387E94" w:rsidP="00387E94">
      <w:pPr>
        <w:pStyle w:val="FootnoteText"/>
      </w:pPr>
      <w:r>
        <w:rPr>
          <w:rStyle w:val="FootnoteReference"/>
        </w:rPr>
        <w:footnoteRef/>
      </w:r>
      <w:r w:rsidR="001A3DA3">
        <w:rPr>
          <w:rtl/>
        </w:rPr>
        <w:tab/>
      </w:r>
      <w:hyperlink r:id="rId40" w:history="1">
        <w:r w:rsidRPr="001A3DA3">
          <w:rPr>
            <w:rStyle w:val="Hyperlink"/>
            <w:color w:val="auto"/>
            <w:u w:val="none"/>
          </w:rPr>
          <w:t>https://www.icann.org/en/system/files/files/feedback-picdrp-panel-report-14mar17-en.pdf</w:t>
        </w:r>
      </w:hyperlink>
      <w:r w:rsidR="001A3DA3">
        <w:rPr>
          <w:rFonts w:hint="cs"/>
          <w:rtl/>
        </w:rPr>
        <w:t>.</w:t>
      </w:r>
    </w:p>
  </w:footnote>
  <w:footnote w:id="50">
    <w:p w:rsidR="00387E94" w:rsidRPr="008A1EDB" w:rsidRDefault="00387E94" w:rsidP="00387E94">
      <w:pPr>
        <w:pStyle w:val="FootnoteText"/>
        <w:rPr>
          <w:rtl/>
        </w:rPr>
      </w:pPr>
      <w:r w:rsidRPr="008A1EDB">
        <w:rPr>
          <w:rStyle w:val="FootnoteReference"/>
        </w:rPr>
        <w:footnoteRef/>
      </w:r>
      <w:r w:rsidR="001A3DA3">
        <w:rPr>
          <w:rtl/>
        </w:rPr>
        <w:tab/>
      </w:r>
      <w:r w:rsidRPr="008A1EDB">
        <w:rPr>
          <w:rtl/>
        </w:rPr>
        <w:t>يتيح مركز تبادل المعلومات إدراج الكلمات الدالة على العلامات المسجلة والكلمات الدالة على العلامات والمحمية بنظام أو معاهدة أو مثبتة بقرار محكمة وأيضا "علامات أخرى تعتبر ملكية فكرية" (ولم تحدد هذه العلامات). وفيما يتعلق بآليات حماية الحقوق التي تستخدم بيانات مركز تبادل المعلومات، فإن توفر خدمات "</w:t>
      </w:r>
      <w:r w:rsidRPr="008A1EDB">
        <w:t>Sunrise</w:t>
      </w:r>
      <w:r w:rsidRPr="008A1EDB">
        <w:rPr>
          <w:rtl/>
        </w:rPr>
        <w:t>" (أي</w:t>
      </w:r>
      <w:r w:rsidRPr="008A1EDB">
        <w:rPr>
          <w:rFonts w:hint="cs"/>
          <w:rtl/>
        </w:rPr>
        <w:t>ْ</w:t>
      </w:r>
      <w:r w:rsidRPr="008A1EDB">
        <w:rPr>
          <w:rtl/>
        </w:rPr>
        <w:t xml:space="preserve"> فرصة لمالك العلامة التجارية لكي يكون له السبق في تسجيل رابط صحيح لعلامته اسما لحقله مقابل دفع رسم على ذلك) يقتصر على تلك العلامات التجارية التي يمكن إثبات استخدامها الجاري. وسواء ثبت دليل على الاستخدام الجاري للعلامات التجارية أو لم يثبت، سيظل أيضا أصحاب العلامات التجارية مؤهلين للمشاركة في خدمة "المطالب" المحددة بوقت معين (أي</w:t>
      </w:r>
      <w:r w:rsidRPr="008A1EDB">
        <w:rPr>
          <w:rFonts w:hint="cs"/>
          <w:rtl/>
        </w:rPr>
        <w:t>ْ</w:t>
      </w:r>
      <w:r w:rsidRPr="008A1EDB">
        <w:rPr>
          <w:rtl/>
        </w:rPr>
        <w:t xml:space="preserve"> إشعار مسجل اسم الحقل المحتمل بوجود حق متنازع عليه في العلامة التجارية، وإشعار لصاحب العلامة التجارية المعني (أو الأصحاب المعنيين) في حالة استمرار المسجل رغم ذلك في إجراءات تسجيل اسم الحقل). والحد الأقصى، كما وضعته الإيكان، لمدة إتاحة خدمة المطالب هو 90 يوما بعد فتح أحد الحقول العليا الجديدة المكونة من أسماء عامة لتسجيل الجمهور العام، ولكن يتسنى لمستخدمي مركز تبادل المعلومات اختيار تلقي إشعارات مدى الحياة. وينطبق مبدأ إثبات استخدام العلامات التجارية اللازم لخدمات "</w:t>
      </w:r>
      <w:r w:rsidRPr="008A1EDB">
        <w:t>Sunrise</w:t>
      </w:r>
      <w:r w:rsidRPr="008A1EDB">
        <w:rPr>
          <w:rtl/>
        </w:rPr>
        <w:t>" المبكرة كذلك على التمسك بالعلامات التجارية باعتبارها أساسا لتقديم تظلم في إطار "الإجراء الموحد للوقف السريع" الخاص بآليات حماية الحقوق المبيّنة في هذه الوثيقة.</w:t>
      </w:r>
    </w:p>
  </w:footnote>
  <w:footnote w:id="51">
    <w:p w:rsidR="00387E94" w:rsidRPr="008A1EDB" w:rsidRDefault="00387E94" w:rsidP="00387E94">
      <w:pPr>
        <w:pStyle w:val="FootnoteText"/>
        <w:rPr>
          <w:rtl/>
        </w:rPr>
      </w:pPr>
      <w:r w:rsidRPr="008A1EDB">
        <w:rPr>
          <w:rStyle w:val="FootnoteReference"/>
        </w:rPr>
        <w:footnoteRef/>
      </w:r>
      <w:r w:rsidR="001A3DA3">
        <w:rPr>
          <w:rtl/>
        </w:rPr>
        <w:tab/>
      </w:r>
      <w:r w:rsidRPr="008A1EDB">
        <w:rPr>
          <w:rFonts w:hint="cs"/>
          <w:rtl/>
        </w:rPr>
        <w:t>انظر</w:t>
      </w:r>
      <w:r>
        <w:rPr>
          <w:rFonts w:hint="cs"/>
          <w:rtl/>
          <w:lang w:bidi="ar-SY"/>
        </w:rPr>
        <w:t xml:space="preserve"> الرابط التالي:</w:t>
      </w:r>
      <w:r w:rsidRPr="008A1EDB">
        <w:rPr>
          <w:rFonts w:hint="cs"/>
          <w:rtl/>
        </w:rPr>
        <w:t xml:space="preserve"> </w:t>
      </w:r>
      <w:hyperlink r:id="rId41" w:history="1">
        <w:r w:rsidRPr="001A3DA3">
          <w:rPr>
            <w:rStyle w:val="Hyperlink"/>
            <w:color w:val="auto"/>
            <w:u w:val="none"/>
          </w:rPr>
          <w:t>http://trademark-clearinghouse.com/content/tmch-stats</w:t>
        </w:r>
      </w:hyperlink>
      <w:r w:rsidRPr="008A1EDB">
        <w:rPr>
          <w:rFonts w:hint="cs"/>
          <w:rtl/>
        </w:rPr>
        <w:t>.</w:t>
      </w:r>
    </w:p>
  </w:footnote>
  <w:footnote w:id="52">
    <w:p w:rsidR="00387E94" w:rsidRPr="008A1EDB" w:rsidRDefault="00387E94" w:rsidP="00387E94">
      <w:pPr>
        <w:pStyle w:val="FootnoteText"/>
        <w:rPr>
          <w:rtl/>
        </w:rPr>
      </w:pPr>
      <w:r w:rsidRPr="008A1EDB">
        <w:rPr>
          <w:rStyle w:val="FootnoteReference"/>
        </w:rPr>
        <w:footnoteRef/>
      </w:r>
      <w:r w:rsidR="001A3DA3">
        <w:rPr>
          <w:rtl/>
        </w:rPr>
        <w:tab/>
      </w:r>
      <w:r w:rsidRPr="008A1EDB">
        <w:rPr>
          <w:rtl/>
        </w:rPr>
        <w:t xml:space="preserve">أبلغ المركز، من جانبه، الإيكان في أبريل 2009 بمشروع مناقشة بشأن "آلية للوقف السريع (أسماء الحقول)" (انظر </w:t>
      </w:r>
      <w:r w:rsidRPr="008A1EDB">
        <w:t>http://www.wipo.int/amc/en/docs/icann030409.pdf</w:t>
      </w:r>
      <w:r w:rsidRPr="008A1EDB">
        <w:rPr>
          <w:rtl/>
        </w:rPr>
        <w:t xml:space="preserve">) وقدم اقتراحات لاحقة لآلية معممة استنادا إلى هذا النموذج في اجتماعي الإيكان (انظر </w:t>
      </w:r>
      <w:r w:rsidRPr="008A1EDB">
        <w:t>http://prague44.icann.org/node/31773</w:t>
      </w:r>
      <w:r w:rsidRPr="008A1EDB">
        <w:rPr>
          <w:rtl/>
        </w:rPr>
        <w:t xml:space="preserve"> و</w:t>
      </w:r>
      <w:r w:rsidRPr="008A1EDB">
        <w:t>http://toronto45.icann.org/node/34325</w:t>
      </w:r>
      <w:r w:rsidRPr="008A1EDB">
        <w:rPr>
          <w:rtl/>
        </w:rPr>
        <w:t>). وقد راعت هذه الاقتراحات ضرورة إقامة توازن بين حماية حقوق العلامات التجارية التي يقر بها القانون والمصالح العملية للمسؤولين عن مكاتب التسجيل حسن النية للحد من أعبائهم التشغيلية والتطلعات المشروعة لأصحاب أسماء الحقول المسجلة عن حسن نية.</w:t>
      </w:r>
    </w:p>
  </w:footnote>
  <w:footnote w:id="53">
    <w:p w:rsidR="00387E94" w:rsidRPr="008A1EDB" w:rsidRDefault="00387E94" w:rsidP="00387E94">
      <w:pPr>
        <w:pStyle w:val="FootnoteText"/>
        <w:rPr>
          <w:rtl/>
        </w:rPr>
      </w:pPr>
      <w:r w:rsidRPr="008A1EDB">
        <w:rPr>
          <w:rStyle w:val="FootnoteReference"/>
        </w:rPr>
        <w:footnoteRef/>
      </w:r>
      <w:r w:rsidR="001A3DA3">
        <w:rPr>
          <w:rtl/>
        </w:rPr>
        <w:tab/>
      </w:r>
      <w:r w:rsidRPr="008A1EDB">
        <w:rPr>
          <w:rtl/>
        </w:rPr>
        <w:t xml:space="preserve">ترد، من بين أمور أخرى، قائمة مفصلّة بهذه المسائل في الخطاب الذي أرسله مركز الويبو إلى الإيكان بتاريخ 2 ديسمبر 2010 والمنشور على الرابط التالي: </w:t>
      </w:r>
      <w:r w:rsidRPr="008A1EDB">
        <w:t>http://www.wipo.int/amc/en/docs/icann021210.pdf</w:t>
      </w:r>
      <w:r w:rsidRPr="008A1EDB">
        <w:rPr>
          <w:rtl/>
        </w:rPr>
        <w:t>.</w:t>
      </w:r>
    </w:p>
  </w:footnote>
  <w:footnote w:id="54">
    <w:p w:rsidR="00387E94" w:rsidRPr="008A1EDB" w:rsidRDefault="00387E94" w:rsidP="00387E94">
      <w:pPr>
        <w:pStyle w:val="FootnoteText"/>
        <w:rPr>
          <w:rtl/>
        </w:rPr>
      </w:pPr>
      <w:r w:rsidRPr="008A1EDB">
        <w:rPr>
          <w:rStyle w:val="FootnoteReference"/>
        </w:rPr>
        <w:footnoteRef/>
      </w:r>
      <w:r w:rsidR="001A3DA3">
        <w:rPr>
          <w:rtl/>
        </w:rPr>
        <w:tab/>
      </w:r>
      <w:r w:rsidRPr="008A1EDB">
        <w:rPr>
          <w:rtl/>
        </w:rPr>
        <w:t xml:space="preserve">مسألة اعتماد مقدمي الخدمة تثير المخاوف بشأن استقرار آليات حماية الحقوق؛ وأعربت الويبو عن قلقها إزاء الأمر ذاته منذ </w:t>
      </w:r>
      <w:r w:rsidRPr="008A1EDB">
        <w:rPr>
          <w:rFonts w:hint="cs"/>
          <w:rtl/>
        </w:rPr>
        <w:t xml:space="preserve">أوائل </w:t>
      </w:r>
      <w:r w:rsidRPr="008A1EDB">
        <w:rPr>
          <w:rtl/>
        </w:rPr>
        <w:t xml:space="preserve">عام 2007 في سياق السياسة الموحدة (انظر </w:t>
      </w:r>
      <w:r w:rsidRPr="008A1EDB">
        <w:t>http://www.wipo.int/amc/en/docs/icann040707.pdf</w:t>
      </w:r>
      <w:r w:rsidRPr="008A1EDB">
        <w:rPr>
          <w:rtl/>
        </w:rPr>
        <w:t>).</w:t>
      </w:r>
    </w:p>
  </w:footnote>
  <w:footnote w:id="55">
    <w:p w:rsidR="00387E94" w:rsidRPr="008A1EDB" w:rsidRDefault="00387E94" w:rsidP="00387E94">
      <w:pPr>
        <w:pStyle w:val="FootnoteText"/>
        <w:rPr>
          <w:rtl/>
        </w:rPr>
      </w:pPr>
      <w:r w:rsidRPr="008A1EDB">
        <w:rPr>
          <w:rStyle w:val="FootnoteReference"/>
        </w:rPr>
        <w:footnoteRef/>
      </w:r>
      <w:r w:rsidR="001A3DA3">
        <w:rPr>
          <w:rtl/>
        </w:rPr>
        <w:tab/>
      </w:r>
      <w:r w:rsidRPr="008A1EDB">
        <w:rPr>
          <w:rtl/>
        </w:rPr>
        <w:t xml:space="preserve">انظر الرابط التالي: </w:t>
      </w:r>
      <w:hyperlink r:id="rId42" w:history="1">
        <w:r w:rsidRPr="001A3DA3">
          <w:rPr>
            <w:rStyle w:val="Hyperlink"/>
            <w:color w:val="auto"/>
            <w:u w:val="none"/>
          </w:rPr>
          <w:t>https://community.icann.org/display/gnsoudrpdt/Webinar+on+the+Current+State+of+the+UDRP</w:t>
        </w:r>
      </w:hyperlink>
      <w:r w:rsidRPr="008A1EDB">
        <w:rPr>
          <w:rtl/>
        </w:rPr>
        <w:t>.</w:t>
      </w:r>
      <w:r>
        <w:rPr>
          <w:rFonts w:hint="cs"/>
          <w:rtl/>
        </w:rPr>
        <w:t xml:space="preserve"> </w:t>
      </w:r>
      <w:r w:rsidRPr="008A1EDB">
        <w:rPr>
          <w:rtl/>
        </w:rPr>
        <w:t>ويمكن عموما</w:t>
      </w:r>
      <w:r>
        <w:rPr>
          <w:rFonts w:hint="cs"/>
          <w:rtl/>
        </w:rPr>
        <w:t>ً</w:t>
      </w:r>
      <w:r w:rsidRPr="008A1EDB">
        <w:rPr>
          <w:rtl/>
        </w:rPr>
        <w:t xml:space="preserve"> الاطلاع أيضا</w:t>
      </w:r>
      <w:r>
        <w:rPr>
          <w:rFonts w:hint="cs"/>
          <w:rtl/>
        </w:rPr>
        <w:t>ً</w:t>
      </w:r>
      <w:r w:rsidRPr="008A1EDB">
        <w:rPr>
          <w:rtl/>
        </w:rPr>
        <w:t xml:space="preserve"> على الفقرة 31 من الوثيقة </w:t>
      </w:r>
      <w:r w:rsidRPr="008A1EDB">
        <w:t>WO/GA/39/10</w:t>
      </w:r>
      <w:r w:rsidRPr="008A1EDB">
        <w:rPr>
          <w:rtl/>
        </w:rPr>
        <w:t>.</w:t>
      </w:r>
    </w:p>
  </w:footnote>
  <w:footnote w:id="56">
    <w:p w:rsidR="00387E94" w:rsidRPr="008A1EDB" w:rsidRDefault="00387E94" w:rsidP="00387E94">
      <w:pPr>
        <w:pStyle w:val="FootnoteText"/>
        <w:rPr>
          <w:rtl/>
        </w:rPr>
      </w:pPr>
      <w:r w:rsidRPr="008A1EDB">
        <w:rPr>
          <w:rStyle w:val="FootnoteReference"/>
        </w:rPr>
        <w:footnoteRef/>
      </w:r>
      <w:r w:rsidR="001A3DA3">
        <w:rPr>
          <w:rtl/>
        </w:rPr>
        <w:tab/>
      </w:r>
      <w:r w:rsidRPr="008A1EDB">
        <w:rPr>
          <w:rFonts w:hint="cs"/>
          <w:rtl/>
        </w:rPr>
        <w:t xml:space="preserve">انظر </w:t>
      </w:r>
      <w:hyperlink r:id="rId43" w:history="1">
        <w:r w:rsidRPr="001A3DA3">
          <w:rPr>
            <w:rStyle w:val="Hyperlink"/>
            <w:color w:val="auto"/>
            <w:u w:val="none"/>
          </w:rPr>
          <w:t>http://gnso.icann.org/en/issues/new-gtlds/rpm-prelim-issue-09oct15-en.pdf</w:t>
        </w:r>
      </w:hyperlink>
      <w:r w:rsidRPr="008A1EDB">
        <w:rPr>
          <w:rFonts w:hint="cs"/>
          <w:rtl/>
        </w:rPr>
        <w:t>.</w:t>
      </w:r>
    </w:p>
  </w:footnote>
  <w:footnote w:id="57">
    <w:p w:rsidR="00387E94" w:rsidRPr="008A1EDB" w:rsidRDefault="00387E94" w:rsidP="00387E94">
      <w:pPr>
        <w:pStyle w:val="FootnoteText"/>
      </w:pPr>
      <w:r w:rsidRPr="008A1EDB">
        <w:rPr>
          <w:rStyle w:val="FootnoteReference"/>
        </w:rPr>
        <w:footnoteRef/>
      </w:r>
      <w:r w:rsidR="001A3DA3">
        <w:rPr>
          <w:rtl/>
        </w:rPr>
        <w:tab/>
      </w:r>
      <w:r w:rsidRPr="008A1EDB">
        <w:rPr>
          <w:rFonts w:hint="cs"/>
          <w:rtl/>
        </w:rPr>
        <w:t>انظر</w:t>
      </w:r>
      <w:r>
        <w:rPr>
          <w:rFonts w:hint="cs"/>
          <w:rtl/>
        </w:rPr>
        <w:t xml:space="preserve"> الرابط التالي:</w:t>
      </w:r>
      <w:r w:rsidRPr="008A1EDB">
        <w:rPr>
          <w:rFonts w:hint="cs"/>
          <w:rtl/>
        </w:rPr>
        <w:t xml:space="preserve"> </w:t>
      </w:r>
      <w:hyperlink r:id="rId44" w:history="1">
        <w:r w:rsidRPr="001A3DA3">
          <w:rPr>
            <w:rStyle w:val="Hyperlink"/>
            <w:color w:val="auto"/>
            <w:u w:val="none"/>
          </w:rPr>
          <w:t>https://gnso.icann.org/en/issues/new-gtlds/rpm-final-issue-11jan16-en.pdf</w:t>
        </w:r>
      </w:hyperlink>
      <w:r w:rsidRPr="001A3DA3">
        <w:rPr>
          <w:rFonts w:hint="cs"/>
          <w:rtl/>
        </w:rPr>
        <w:t>.</w:t>
      </w:r>
    </w:p>
  </w:footnote>
  <w:footnote w:id="58">
    <w:p w:rsidR="00387E94" w:rsidRPr="008A1EDB" w:rsidRDefault="00387E94" w:rsidP="00387E94">
      <w:pPr>
        <w:pStyle w:val="FootnoteText"/>
        <w:rPr>
          <w:rtl/>
        </w:rPr>
      </w:pPr>
      <w:r w:rsidRPr="008A1EDB">
        <w:rPr>
          <w:rStyle w:val="FootnoteReference"/>
        </w:rPr>
        <w:footnoteRef/>
      </w:r>
      <w:r w:rsidR="001A3DA3">
        <w:rPr>
          <w:rtl/>
        </w:rPr>
        <w:tab/>
      </w:r>
      <w:r w:rsidRPr="008A1EDB">
        <w:rPr>
          <w:rFonts w:hint="cs"/>
          <w:rtl/>
        </w:rPr>
        <w:t>انظر</w:t>
      </w:r>
      <w:r>
        <w:rPr>
          <w:rFonts w:hint="cs"/>
          <w:rtl/>
        </w:rPr>
        <w:t xml:space="preserve"> الرابط التالي: </w:t>
      </w:r>
      <w:hyperlink r:id="rId45" w:history="1">
        <w:r w:rsidRPr="001A3DA3">
          <w:rPr>
            <w:rStyle w:val="Hyperlink"/>
            <w:color w:val="auto"/>
            <w:u w:val="none"/>
          </w:rPr>
          <w:t>https://www.icann.org/resources/pages/gtld-registration-data-specs-en</w:t>
        </w:r>
      </w:hyperlink>
      <w:r w:rsidRPr="008A1EDB">
        <w:rPr>
          <w:rFonts w:hint="cs"/>
          <w:rtl/>
        </w:rPr>
        <w:t>،</w:t>
      </w:r>
      <w:r>
        <w:t xml:space="preserve"> </w:t>
      </w:r>
      <w:r w:rsidRPr="008A1EDB">
        <w:rPr>
          <w:rFonts w:hint="cs"/>
          <w:rtl/>
        </w:rPr>
        <w:t>في المرفق واو.</w:t>
      </w:r>
    </w:p>
  </w:footnote>
  <w:footnote w:id="59">
    <w:p w:rsidR="00387E94" w:rsidRPr="008A1EDB" w:rsidRDefault="00387E94" w:rsidP="001A3DA3">
      <w:pPr>
        <w:pStyle w:val="FootnoteText"/>
        <w:rPr>
          <w:rtl/>
        </w:rPr>
      </w:pPr>
      <w:r w:rsidRPr="008A1EDB">
        <w:rPr>
          <w:rStyle w:val="FootnoteReference"/>
        </w:rPr>
        <w:footnoteRef/>
      </w:r>
      <w:r w:rsidR="001A3DA3">
        <w:rPr>
          <w:rtl/>
        </w:rPr>
        <w:tab/>
      </w:r>
      <w:r w:rsidRPr="008A1EDB">
        <w:rPr>
          <w:rFonts w:hint="cs"/>
          <w:rtl/>
        </w:rPr>
        <w:t>انظر</w:t>
      </w:r>
      <w:r>
        <w:rPr>
          <w:rFonts w:hint="cs"/>
          <w:rtl/>
        </w:rPr>
        <w:t xml:space="preserve"> الرابط التالي:</w:t>
      </w:r>
      <w:r w:rsidRPr="008A1EDB">
        <w:rPr>
          <w:rFonts w:hint="cs"/>
          <w:rtl/>
        </w:rPr>
        <w:t xml:space="preserve"> </w:t>
      </w:r>
      <w:r w:rsidR="001A3DA3">
        <w:rPr>
          <w:rtl/>
        </w:rPr>
        <w:br/>
      </w:r>
      <w:hyperlink r:id="rId46" w:history="1">
        <w:r w:rsidRPr="001A3DA3">
          <w:rPr>
            <w:rStyle w:val="Hyperlink"/>
            <w:color w:val="auto"/>
            <w:u w:val="none"/>
          </w:rPr>
          <w:t>https://www.icann.org/en/system/files/files/framework-elements-unified-access-model-for-discussion-18jun18-en.pdf</w:t>
        </w:r>
      </w:hyperlink>
      <w:r w:rsidRPr="001A3DA3">
        <w:rPr>
          <w:rFonts w:hint="cs"/>
          <w:rtl/>
        </w:rPr>
        <w:t>.</w:t>
      </w:r>
    </w:p>
  </w:footnote>
  <w:footnote w:id="60">
    <w:p w:rsidR="00387E94" w:rsidRDefault="00387E94" w:rsidP="001A3DA3">
      <w:pPr>
        <w:pStyle w:val="FootnoteText"/>
      </w:pPr>
      <w:r>
        <w:rPr>
          <w:rStyle w:val="FootnoteReference"/>
        </w:rPr>
        <w:footnoteRef/>
      </w:r>
      <w:r w:rsidR="001A3DA3">
        <w:rPr>
          <w:rtl/>
        </w:rPr>
        <w:tab/>
      </w:r>
      <w:r>
        <w:rPr>
          <w:rFonts w:hint="cs"/>
          <w:rtl/>
        </w:rPr>
        <w:t>انظر</w:t>
      </w:r>
      <w:r w:rsidRPr="00447DDC">
        <w:rPr>
          <w:rtl/>
        </w:rPr>
        <w:t xml:space="preserve"> التقرير الأولي لعملية تطوير السياسة </w:t>
      </w:r>
      <w:r>
        <w:rPr>
          <w:rFonts w:hint="cs"/>
          <w:rtl/>
        </w:rPr>
        <w:t>المعجلة</w:t>
      </w:r>
      <w:r w:rsidRPr="00447DDC">
        <w:rPr>
          <w:rtl/>
        </w:rPr>
        <w:t xml:space="preserve"> (</w:t>
      </w:r>
      <w:r w:rsidRPr="00447DDC">
        <w:t>EPDP</w:t>
      </w:r>
      <w:r w:rsidRPr="00447DDC">
        <w:rPr>
          <w:rtl/>
        </w:rPr>
        <w:t xml:space="preserve">) </w:t>
      </w:r>
      <w:r>
        <w:rPr>
          <w:rFonts w:hint="cs"/>
          <w:rtl/>
        </w:rPr>
        <w:t>بشأن</w:t>
      </w:r>
      <w:r w:rsidRPr="00447DDC">
        <w:rPr>
          <w:rtl/>
        </w:rPr>
        <w:t xml:space="preserve"> المواصفات المؤقتة </w:t>
      </w:r>
      <w:r>
        <w:rPr>
          <w:rtl/>
        </w:rPr>
        <w:t xml:space="preserve">الخاصة </w:t>
      </w:r>
      <w:r>
        <w:rPr>
          <w:rFonts w:hint="cs"/>
          <w:rtl/>
        </w:rPr>
        <w:t xml:space="preserve">بفريق </w:t>
      </w:r>
      <w:r w:rsidRPr="00AF4D13">
        <w:rPr>
          <w:rtl/>
        </w:rPr>
        <w:t xml:space="preserve">بيانات تسجيل </w:t>
      </w:r>
      <w:r w:rsidRPr="002A79BA">
        <w:rPr>
          <w:rtl/>
        </w:rPr>
        <w:t xml:space="preserve">الحقول العليا الجديدة المكونة من أسماء عامة </w:t>
      </w:r>
      <w:r w:rsidRPr="00447DDC">
        <w:rPr>
          <w:rtl/>
        </w:rPr>
        <w:t xml:space="preserve">- المرحلة </w:t>
      </w:r>
      <w:r w:rsidRPr="00447DDC">
        <w:rPr>
          <w:rFonts w:hint="cs"/>
          <w:rtl/>
        </w:rPr>
        <w:t>2،</w:t>
      </w:r>
      <w:r w:rsidRPr="00447DDC">
        <w:rPr>
          <w:rtl/>
        </w:rPr>
        <w:t xml:space="preserve"> بما في ذلك التعليقات العامة على:</w:t>
      </w:r>
      <w:r w:rsidR="001A3DA3">
        <w:rPr>
          <w:rtl/>
        </w:rPr>
        <w:br/>
      </w:r>
      <w:r w:rsidRPr="00447DDC">
        <w:t>https://www.icann.org/public-comments/epdp-phase-2 -initial-2020-02-07-ar</w:t>
      </w:r>
      <w:r w:rsidRPr="00447DDC">
        <w:rPr>
          <w:rtl/>
        </w:rPr>
        <w:t>.</w:t>
      </w:r>
      <w:r>
        <w:t xml:space="preserve"> </w:t>
      </w:r>
      <w:r>
        <w:rPr>
          <w:rFonts w:hint="cs"/>
          <w:rtl/>
        </w:rPr>
        <w:t>و</w:t>
      </w:r>
      <w:r w:rsidRPr="00447DDC">
        <w:rPr>
          <w:rtl/>
        </w:rPr>
        <w:t xml:space="preserve">انظر كذلك </w:t>
      </w:r>
      <w:r>
        <w:rPr>
          <w:rFonts w:hint="cs"/>
          <w:rtl/>
        </w:rPr>
        <w:t>أجندة</w:t>
      </w:r>
      <w:r w:rsidRPr="00447DDC">
        <w:rPr>
          <w:rtl/>
        </w:rPr>
        <w:t xml:space="preserve"> اجتماع </w:t>
      </w:r>
      <w:r>
        <w:rPr>
          <w:rFonts w:hint="cs"/>
          <w:rtl/>
        </w:rPr>
        <w:t>الإيكان</w:t>
      </w:r>
      <w:r w:rsidRPr="00447DDC">
        <w:rPr>
          <w:rtl/>
        </w:rPr>
        <w:t xml:space="preserve"> في يونيو 2020 على</w:t>
      </w:r>
      <w:r>
        <w:rPr>
          <w:rFonts w:hint="cs"/>
          <w:rtl/>
        </w:rPr>
        <w:t xml:space="preserve"> الرابط</w:t>
      </w:r>
      <w:r w:rsidRPr="00447DDC">
        <w:rPr>
          <w:rtl/>
        </w:rPr>
        <w:t xml:space="preserve"> </w:t>
      </w:r>
      <w:hyperlink r:id="rId47" w:history="1">
        <w:r w:rsidRPr="001A3DA3">
          <w:rPr>
            <w:rStyle w:val="Hyperlink"/>
            <w:color w:val="auto"/>
            <w:u w:val="none"/>
          </w:rPr>
          <w:t>https://68.schedule.icann.org</w:t>
        </w:r>
        <w:r w:rsidRPr="001A3DA3">
          <w:rPr>
            <w:rStyle w:val="Hyperlink"/>
            <w:color w:val="auto"/>
            <w:u w:val="none"/>
            <w:rtl/>
          </w:rPr>
          <w:t>/</w:t>
        </w:r>
      </w:hyperlink>
      <w:r w:rsidRPr="00447DDC">
        <w:rPr>
          <w:rtl/>
        </w:rPr>
        <w:t>.</w:t>
      </w:r>
    </w:p>
  </w:footnote>
  <w:footnote w:id="61">
    <w:p w:rsidR="00387E94" w:rsidRPr="008A1EDB" w:rsidRDefault="00387E94" w:rsidP="00387E94">
      <w:pPr>
        <w:pStyle w:val="FootnoteText"/>
        <w:rPr>
          <w:rtl/>
        </w:rPr>
      </w:pPr>
      <w:r w:rsidRPr="008A1EDB">
        <w:rPr>
          <w:rStyle w:val="FootnoteReference"/>
        </w:rPr>
        <w:footnoteRef/>
      </w:r>
      <w:r w:rsidR="001A3DA3">
        <w:rPr>
          <w:rtl/>
        </w:rPr>
        <w:tab/>
      </w:r>
      <w:r w:rsidRPr="00D360BD">
        <w:rPr>
          <w:rtl/>
        </w:rPr>
        <w:t>انظر أيضا</w:t>
      </w:r>
      <w:r w:rsidRPr="00D360BD">
        <w:rPr>
          <w:rFonts w:hint="cs"/>
          <w:rtl/>
        </w:rPr>
        <w:t>ً</w:t>
      </w:r>
      <w:r w:rsidRPr="00D360BD">
        <w:rPr>
          <w:rtl/>
        </w:rPr>
        <w:t xml:space="preserve"> الخطة النهائية</w:t>
      </w:r>
      <w:r w:rsidRPr="008A1EDB">
        <w:rPr>
          <w:rtl/>
        </w:rPr>
        <w:t xml:space="preserve"> لتنفيذ الإجراء العاجل لتحديد أسماء الحقول الدولية المدرجة في الحقول العليا المكونة من رموز البلدان التي نُشرت في نوفمبر 2009 (انظر</w:t>
      </w:r>
      <w:hyperlink r:id="rId48" w:history="1">
        <w:r w:rsidRPr="001A3DA3">
          <w:rPr>
            <w:rStyle w:val="Hyperlink"/>
            <w:color w:val="auto"/>
            <w:u w:val="none"/>
          </w:rPr>
          <w:t>https://www.icann.org/en/system/files/files/idn-cctld-implementation-plan-16nov09-en.pdf</w:t>
        </w:r>
      </w:hyperlink>
      <w:r w:rsidRPr="001A3DA3">
        <w:t xml:space="preserve"> </w:t>
      </w:r>
      <w:r w:rsidRPr="008A1EDB">
        <w:rPr>
          <w:rtl/>
        </w:rPr>
        <w:t xml:space="preserve">). وهذا ما أتاح منذ ذلك الحين استحداث أسماء حقول دولية مدرجة في الحقول العليا المكونة من رموز البلدان في سياق الرموز ثنائية الحروف الواردة في المعيار </w:t>
      </w:r>
      <w:r w:rsidRPr="008A1EDB">
        <w:t>ISO 3166-1</w:t>
      </w:r>
      <w:r w:rsidRPr="008A1EDB">
        <w:rPr>
          <w:rtl/>
        </w:rPr>
        <w:t>. (انظر</w:t>
      </w:r>
      <w:r>
        <w:rPr>
          <w:rFonts w:hint="cs"/>
          <w:rtl/>
        </w:rPr>
        <w:t xml:space="preserve"> الرابط التالي:</w:t>
      </w:r>
      <w:r w:rsidRPr="008A1EDB">
        <w:rPr>
          <w:rtl/>
        </w:rPr>
        <w:t xml:space="preserve"> </w:t>
      </w:r>
      <w:hyperlink r:id="rId49" w:history="1">
        <w:r w:rsidRPr="001A3DA3">
          <w:rPr>
            <w:rStyle w:val="Hyperlink"/>
            <w:color w:val="auto"/>
            <w:u w:val="none"/>
          </w:rPr>
          <w:t>http://www.iso.org/iso/english_country_names_and_code_elements</w:t>
        </w:r>
      </w:hyperlink>
      <w:r w:rsidRPr="008A1EDB">
        <w:rPr>
          <w:rtl/>
        </w:rPr>
        <w:t>).</w:t>
      </w:r>
    </w:p>
  </w:footnote>
  <w:footnote w:id="62">
    <w:p w:rsidR="00387E94" w:rsidRPr="008A1EDB" w:rsidRDefault="00387E94" w:rsidP="00387E94">
      <w:pPr>
        <w:pStyle w:val="FootnoteText"/>
        <w:rPr>
          <w:rtl/>
        </w:rPr>
      </w:pPr>
      <w:r w:rsidRPr="008A1EDB">
        <w:rPr>
          <w:rStyle w:val="FootnoteReference"/>
        </w:rPr>
        <w:footnoteRef/>
      </w:r>
      <w:r w:rsidR="001A3DA3">
        <w:rPr>
          <w:rtl/>
        </w:rPr>
        <w:tab/>
      </w:r>
      <w:r w:rsidRPr="00BE19BD">
        <w:rPr>
          <w:rtl/>
        </w:rPr>
        <w:t xml:space="preserve">انظر الرابط التالي: </w:t>
      </w:r>
      <w:r w:rsidRPr="00BE19BD">
        <w:t>http://www.wipo.int/edocs/mdocs/govbody/en/wo_ga_28/wo_ga_28_3.pdf</w:t>
      </w:r>
      <w:r w:rsidRPr="00BE19BD">
        <w:rPr>
          <w:rtl/>
        </w:rPr>
        <w:t>، وانظر أيضا</w:t>
      </w:r>
      <w:r w:rsidRPr="00BE19BD">
        <w:rPr>
          <w:rFonts w:hint="cs"/>
          <w:rtl/>
        </w:rPr>
        <w:t>ً</w:t>
      </w:r>
      <w:r w:rsidRPr="00BE19BD">
        <w:rPr>
          <w:rtl/>
        </w:rPr>
        <w:t xml:space="preserve"> الفقرات من 6 إلى 11 في الوثيقة </w:t>
      </w:r>
      <w:r w:rsidRPr="00BE19BD">
        <w:t>SCT/9/8</w:t>
      </w:r>
      <w:r w:rsidRPr="00BE19BD">
        <w:rPr>
          <w:rtl/>
        </w:rPr>
        <w:t xml:space="preserve"> والفقرة 149 في الوثيقة</w:t>
      </w:r>
      <w:r w:rsidRPr="008A1EDB">
        <w:rPr>
          <w:rtl/>
        </w:rPr>
        <w:t xml:space="preserve"> </w:t>
      </w:r>
      <w:r w:rsidRPr="008A1EDB">
        <w:t>SCT/9/9</w:t>
      </w:r>
      <w:r w:rsidRPr="008A1EDB">
        <w:rPr>
          <w:rtl/>
        </w:rPr>
        <w:t>.</w:t>
      </w:r>
    </w:p>
  </w:footnote>
  <w:footnote w:id="63">
    <w:p w:rsidR="00387E94" w:rsidRPr="008A1EDB" w:rsidRDefault="00387E94" w:rsidP="00387E94">
      <w:pPr>
        <w:pStyle w:val="FootnoteText"/>
        <w:rPr>
          <w:rtl/>
        </w:rPr>
      </w:pPr>
      <w:r w:rsidRPr="008A1EDB">
        <w:rPr>
          <w:rStyle w:val="FootnoteReference"/>
        </w:rPr>
        <w:footnoteRef/>
      </w:r>
      <w:r w:rsidR="001A3DA3">
        <w:rPr>
          <w:rtl/>
        </w:rPr>
        <w:tab/>
      </w:r>
      <w:r w:rsidRPr="008A1EDB">
        <w:rPr>
          <w:rFonts w:hint="cs"/>
          <w:rtl/>
        </w:rPr>
        <w:t>انظر</w:t>
      </w:r>
      <w:r>
        <w:rPr>
          <w:rFonts w:hint="cs"/>
          <w:rtl/>
        </w:rPr>
        <w:t xml:space="preserve"> الرابط التالي:</w:t>
      </w:r>
      <w:r w:rsidRPr="008A1EDB">
        <w:rPr>
          <w:rFonts w:hint="cs"/>
          <w:rtl/>
        </w:rPr>
        <w:t xml:space="preserve"> </w:t>
      </w:r>
      <w:hyperlink r:id="rId50" w:history="1">
        <w:r w:rsidRPr="001A3DA3">
          <w:rPr>
            <w:rStyle w:val="Hyperlink"/>
            <w:color w:val="auto"/>
            <w:u w:val="none"/>
          </w:rPr>
          <w:t>http://www.wipo.int/amc/en/docs/wipo.doc</w:t>
        </w:r>
      </w:hyperlink>
      <w:r w:rsidRPr="008A1EDB">
        <w:rPr>
          <w:rFonts w:hint="cs"/>
          <w:rtl/>
        </w:rPr>
        <w:t>.</w:t>
      </w:r>
    </w:p>
  </w:footnote>
  <w:footnote w:id="64">
    <w:p w:rsidR="00387E94" w:rsidRPr="008A1EDB" w:rsidRDefault="00387E94" w:rsidP="00387E94">
      <w:pPr>
        <w:pStyle w:val="FootnoteText"/>
        <w:rPr>
          <w:rtl/>
        </w:rPr>
      </w:pPr>
      <w:r w:rsidRPr="008A1EDB">
        <w:rPr>
          <w:rStyle w:val="FootnoteReference"/>
        </w:rPr>
        <w:footnoteRef/>
      </w:r>
      <w:r w:rsidR="001A3DA3">
        <w:rPr>
          <w:rtl/>
        </w:rPr>
        <w:tab/>
      </w:r>
      <w:r w:rsidRPr="008A1EDB">
        <w:rPr>
          <w:rtl/>
        </w:rPr>
        <w:t xml:space="preserve">للاطلاع على المعلومات الأساسية، انظر الوثيقة </w:t>
      </w:r>
      <w:r w:rsidRPr="008A1EDB">
        <w:t>WO/GA/41/17 Rev.2</w:t>
      </w:r>
      <w:r w:rsidRPr="008A1EDB">
        <w:rPr>
          <w:rtl/>
        </w:rPr>
        <w:t>، وتحديدا</w:t>
      </w:r>
      <w:r>
        <w:rPr>
          <w:rFonts w:hint="cs"/>
          <w:rtl/>
        </w:rPr>
        <w:t>ً</w:t>
      </w:r>
      <w:r w:rsidRPr="008A1EDB">
        <w:rPr>
          <w:rtl/>
        </w:rPr>
        <w:t xml:space="preserve"> الفقرتين 40 و41.</w:t>
      </w:r>
    </w:p>
  </w:footnote>
  <w:footnote w:id="65">
    <w:p w:rsidR="00387E94" w:rsidRPr="001A3DA3" w:rsidRDefault="00387E94" w:rsidP="00387E94">
      <w:pPr>
        <w:pStyle w:val="FootnoteText"/>
        <w:rPr>
          <w:rtl/>
        </w:rPr>
      </w:pPr>
      <w:r w:rsidRPr="008A1EDB">
        <w:rPr>
          <w:rStyle w:val="FootnoteReference"/>
        </w:rPr>
        <w:footnoteRef/>
      </w:r>
      <w:r w:rsidR="001A3DA3">
        <w:rPr>
          <w:rtl/>
        </w:rPr>
        <w:tab/>
      </w:r>
      <w:r w:rsidRPr="008A1EDB">
        <w:rPr>
          <w:rFonts w:hint="cs"/>
          <w:rtl/>
        </w:rPr>
        <w:t>انظر</w:t>
      </w:r>
      <w:r>
        <w:rPr>
          <w:rFonts w:hint="cs"/>
          <w:rtl/>
        </w:rPr>
        <w:t xml:space="preserve"> الرابط التالي:</w:t>
      </w:r>
      <w:r w:rsidRPr="008A1EDB">
        <w:rPr>
          <w:rFonts w:hint="cs"/>
          <w:rtl/>
        </w:rPr>
        <w:t xml:space="preserve"> </w:t>
      </w:r>
      <w:hyperlink r:id="rId51" w:history="1">
        <w:r w:rsidRPr="001A3DA3">
          <w:rPr>
            <w:rStyle w:val="Hyperlink"/>
            <w:color w:val="auto"/>
            <w:u w:val="none"/>
          </w:rPr>
          <w:t>https://gacweb.icann.org/download/attachments/27132070/FINAL_Toronto_Communique_20121017.pdf?version=1&amp;modificationDate=1354149148000&amp;api=v2</w:t>
        </w:r>
      </w:hyperlink>
      <w:r w:rsidRPr="001A3DA3">
        <w:rPr>
          <w:rFonts w:hint="cs"/>
          <w:rtl/>
        </w:rPr>
        <w:t>.</w:t>
      </w:r>
    </w:p>
  </w:footnote>
  <w:footnote w:id="66">
    <w:p w:rsidR="00387E94" w:rsidRPr="008A1EDB" w:rsidRDefault="00387E94" w:rsidP="00387E94">
      <w:pPr>
        <w:pStyle w:val="FootnoteText"/>
        <w:rPr>
          <w:rtl/>
        </w:rPr>
      </w:pPr>
      <w:r w:rsidRPr="008A1EDB">
        <w:rPr>
          <w:rStyle w:val="FootnoteReference"/>
        </w:rPr>
        <w:footnoteRef/>
      </w:r>
      <w:r w:rsidR="001A3DA3">
        <w:rPr>
          <w:rtl/>
        </w:rPr>
        <w:tab/>
      </w:r>
      <w:r w:rsidRPr="008A1EDB">
        <w:rPr>
          <w:rFonts w:hint="cs"/>
          <w:rtl/>
        </w:rPr>
        <w:t>انظر</w:t>
      </w:r>
      <w:r>
        <w:rPr>
          <w:rFonts w:hint="cs"/>
          <w:rtl/>
        </w:rPr>
        <w:t xml:space="preserve"> الرابط التالي:</w:t>
      </w:r>
      <w:r w:rsidRPr="008A1EDB">
        <w:rPr>
          <w:rFonts w:hint="cs"/>
          <w:rtl/>
        </w:rPr>
        <w:t xml:space="preserve"> </w:t>
      </w:r>
      <w:hyperlink r:id="rId52" w:history="1">
        <w:r w:rsidRPr="001A3DA3">
          <w:rPr>
            <w:rStyle w:val="Hyperlink"/>
            <w:color w:val="auto"/>
            <w:u w:val="none"/>
          </w:rPr>
          <w:t>https://www.icann.org/en/system/files/correspondence/crocker-to-dryden-16jan13-en.pdf</w:t>
        </w:r>
      </w:hyperlink>
      <w:r w:rsidRPr="008A1EDB">
        <w:rPr>
          <w:rFonts w:hint="cs"/>
          <w:rtl/>
        </w:rPr>
        <w:t>.</w:t>
      </w:r>
    </w:p>
  </w:footnote>
  <w:footnote w:id="67">
    <w:p w:rsidR="00387E94" w:rsidRPr="008A1EDB" w:rsidRDefault="00387E94" w:rsidP="00387E94">
      <w:pPr>
        <w:pStyle w:val="FootnoteText"/>
        <w:rPr>
          <w:rtl/>
        </w:rPr>
      </w:pPr>
      <w:r w:rsidRPr="008A1EDB">
        <w:rPr>
          <w:rStyle w:val="FootnoteReference"/>
        </w:rPr>
        <w:footnoteRef/>
      </w:r>
      <w:r w:rsidR="001A3DA3">
        <w:rPr>
          <w:rtl/>
        </w:rPr>
        <w:tab/>
      </w:r>
      <w:r w:rsidRPr="008A1EDB">
        <w:rPr>
          <w:rtl/>
        </w:rPr>
        <w:t>تشمل هذه المعايير المنظمات الحكومية الدولية القائمة على المعاهدات ذات الشخصية القانونية الدولية، أو العاملة كمراقبين تابعين للأمم المتحدة، أو العاملة كصناديق أو برامج تابعة للأمم المتحدة.</w:t>
      </w:r>
      <w:r>
        <w:t xml:space="preserve"> </w:t>
      </w:r>
    </w:p>
  </w:footnote>
  <w:footnote w:id="68">
    <w:p w:rsidR="00387E94" w:rsidRPr="008A1EDB" w:rsidRDefault="00387E94" w:rsidP="00387E94">
      <w:pPr>
        <w:pStyle w:val="FootnoteText"/>
        <w:rPr>
          <w:rtl/>
        </w:rPr>
      </w:pPr>
      <w:r w:rsidRPr="008A1EDB">
        <w:rPr>
          <w:rStyle w:val="FootnoteReference"/>
        </w:rPr>
        <w:footnoteRef/>
      </w:r>
      <w:r w:rsidR="001A3DA3">
        <w:rPr>
          <w:rtl/>
        </w:rPr>
        <w:tab/>
      </w:r>
      <w:r w:rsidRPr="008A1EDB">
        <w:rPr>
          <w:rFonts w:hint="cs"/>
          <w:rtl/>
        </w:rPr>
        <w:t>انظر</w:t>
      </w:r>
      <w:r>
        <w:rPr>
          <w:rFonts w:hint="cs"/>
          <w:rtl/>
        </w:rPr>
        <w:t xml:space="preserve"> الرابط التالي:</w:t>
      </w:r>
      <w:r w:rsidRPr="008A1EDB">
        <w:rPr>
          <w:rFonts w:hint="cs"/>
          <w:rtl/>
        </w:rPr>
        <w:t xml:space="preserve"> </w:t>
      </w:r>
      <w:hyperlink r:id="rId53" w:history="1">
        <w:r w:rsidRPr="001A3DA3">
          <w:rPr>
            <w:rStyle w:val="Hyperlink"/>
            <w:color w:val="auto"/>
            <w:u w:val="none"/>
          </w:rPr>
          <w:t>http://www.icann.org/en/news/correspondence/dryden-to-crocker-chalaby-22mar13-en</w:t>
        </w:r>
      </w:hyperlink>
      <w:r w:rsidRPr="008A1EDB">
        <w:rPr>
          <w:rFonts w:hint="cs"/>
          <w:rtl/>
        </w:rPr>
        <w:t>.</w:t>
      </w:r>
    </w:p>
  </w:footnote>
  <w:footnote w:id="69">
    <w:p w:rsidR="00387E94" w:rsidRPr="008A1EDB" w:rsidRDefault="00387E94" w:rsidP="001A3DA3">
      <w:pPr>
        <w:pStyle w:val="FootnoteText"/>
        <w:rPr>
          <w:rtl/>
        </w:rPr>
      </w:pPr>
      <w:r w:rsidRPr="008A1EDB">
        <w:rPr>
          <w:rStyle w:val="FootnoteReference"/>
        </w:rPr>
        <w:footnoteRef/>
      </w:r>
      <w:r w:rsidR="001A3DA3">
        <w:rPr>
          <w:rtl/>
        </w:rPr>
        <w:tab/>
      </w:r>
      <w:r w:rsidRPr="008A1EDB">
        <w:rPr>
          <w:rtl/>
        </w:rPr>
        <w:t>طلب المجلس أيضا</w:t>
      </w:r>
      <w:r>
        <w:rPr>
          <w:rFonts w:hint="cs"/>
          <w:rtl/>
        </w:rPr>
        <w:t>ً</w:t>
      </w:r>
      <w:r w:rsidRPr="008A1EDB">
        <w:rPr>
          <w:rtl/>
        </w:rPr>
        <w:t xml:space="preserve"> توضيح المقصود بالوسيلة الممكنة لإجراء مراجعة دورية للقائمة بمزيد من التحديد، وتوضيح أية لغات إضافية يُطلب توفير حماية أسماء المنظمات الحكومية الدولية ومختصراتها بها. انظر الرابط التالي:</w:t>
      </w:r>
      <w:r w:rsidR="001A3DA3">
        <w:rPr>
          <w:rtl/>
        </w:rPr>
        <w:br/>
      </w:r>
      <w:hyperlink r:id="rId54" w:history="1">
        <w:r w:rsidRPr="001A3DA3">
          <w:rPr>
            <w:rStyle w:val="Hyperlink"/>
            <w:color w:val="auto"/>
            <w:u w:val="none"/>
          </w:rPr>
          <w:t>http://www.icann.org/en/news/correspondence/crocker-to-dryden-01apr13-en</w:t>
        </w:r>
      </w:hyperlink>
      <w:r w:rsidRPr="001A3DA3">
        <w:rPr>
          <w:rtl/>
        </w:rPr>
        <w:t>.</w:t>
      </w:r>
    </w:p>
  </w:footnote>
  <w:footnote w:id="70">
    <w:p w:rsidR="00387E94" w:rsidRPr="008A1EDB" w:rsidRDefault="00387E94" w:rsidP="00387E94">
      <w:pPr>
        <w:pStyle w:val="FootnoteText"/>
        <w:rPr>
          <w:rtl/>
        </w:rPr>
      </w:pPr>
      <w:r w:rsidRPr="008A1EDB">
        <w:rPr>
          <w:rStyle w:val="FootnoteReference"/>
        </w:rPr>
        <w:footnoteRef/>
      </w:r>
      <w:r w:rsidR="001A3DA3">
        <w:rPr>
          <w:rtl/>
        </w:rPr>
        <w:tab/>
      </w:r>
      <w:r w:rsidRPr="008A1EDB">
        <w:rPr>
          <w:rtl/>
        </w:rPr>
        <w:t xml:space="preserve">أشارت اللجنة الاستشارية الحكومية أيضا </w:t>
      </w:r>
      <w:r w:rsidRPr="008A1EDB">
        <w:rPr>
          <w:rFonts w:hint="cs"/>
          <w:rtl/>
        </w:rPr>
        <w:t xml:space="preserve">إلى </w:t>
      </w:r>
      <w:r w:rsidRPr="008A1EDB">
        <w:rPr>
          <w:rtl/>
        </w:rPr>
        <w:t>أنه</w:t>
      </w:r>
      <w:r w:rsidRPr="008A1EDB">
        <w:rPr>
          <w:rFonts w:hint="cs"/>
          <w:rtl/>
        </w:rPr>
        <w:t>ا</w:t>
      </w:r>
      <w:r w:rsidRPr="008A1EDB">
        <w:rPr>
          <w:rtl/>
        </w:rPr>
        <w:t xml:space="preserve"> تفترض صراحة أن مجلس الإيكان مستعد لتنفيذ مشورتها بالكامل والتركيز على التنفيذ العملي والفعال للحماية الوقائية من الدرجة الثانية في الحقول العليا الجديدة المكوّنة من أسماء عامة، وأن تظل الحماية المؤقتة لأسماء المنظمات الحكومية الدولية ومختصراتها سارية حتى يستكمل الحوار بين اللجنة والإيكان والمنظمات الحكومية الدولية. انظر الرابط التالي: </w:t>
      </w:r>
      <w:hyperlink r:id="rId55" w:history="1">
        <w:r w:rsidRPr="001A3DA3">
          <w:rPr>
            <w:rStyle w:val="Hyperlink"/>
            <w:color w:val="auto"/>
            <w:u w:val="none"/>
          </w:rPr>
          <w:t>http://durban47.icann.org/meetings/durban2013/presentation-gac-communique-18jul13-en.pdf</w:t>
        </w:r>
      </w:hyperlink>
      <w:r w:rsidRPr="001A3DA3">
        <w:rPr>
          <w:rtl/>
        </w:rPr>
        <w:t>.</w:t>
      </w:r>
    </w:p>
  </w:footnote>
  <w:footnote w:id="71">
    <w:p w:rsidR="00387E94" w:rsidRPr="008A1EDB" w:rsidRDefault="00387E94" w:rsidP="00387E94">
      <w:pPr>
        <w:pStyle w:val="FootnoteText"/>
        <w:rPr>
          <w:rtl/>
        </w:rPr>
      </w:pPr>
      <w:r w:rsidRPr="008A1EDB">
        <w:rPr>
          <w:rStyle w:val="FootnoteReference"/>
        </w:rPr>
        <w:footnoteRef/>
      </w:r>
      <w:r w:rsidR="001A3DA3">
        <w:rPr>
          <w:rtl/>
        </w:rPr>
        <w:tab/>
      </w:r>
      <w:r w:rsidRPr="008A1EDB">
        <w:rPr>
          <w:rFonts w:hint="cs"/>
          <w:rtl/>
        </w:rPr>
        <w:t>انظر</w:t>
      </w:r>
      <w:r>
        <w:rPr>
          <w:rFonts w:hint="cs"/>
          <w:rtl/>
        </w:rPr>
        <w:t xml:space="preserve"> الرابط التالي:</w:t>
      </w:r>
      <w:r w:rsidRPr="008A1EDB">
        <w:rPr>
          <w:rFonts w:hint="cs"/>
          <w:rtl/>
        </w:rPr>
        <w:t xml:space="preserve"> </w:t>
      </w:r>
      <w:hyperlink r:id="rId56" w:anchor="1.a" w:history="1">
        <w:r w:rsidRPr="001A3DA3">
          <w:rPr>
            <w:rStyle w:val="Hyperlink"/>
            <w:color w:val="auto"/>
            <w:u w:val="none"/>
          </w:rPr>
          <w:t>https://www.icann.org/resources/board-material/resolutions-new-gtld-2013-07-17-en#1.a</w:t>
        </w:r>
      </w:hyperlink>
      <w:r w:rsidRPr="008A1EDB">
        <w:rPr>
          <w:rFonts w:hint="cs"/>
          <w:rtl/>
        </w:rPr>
        <w:t>.</w:t>
      </w:r>
    </w:p>
  </w:footnote>
  <w:footnote w:id="72">
    <w:p w:rsidR="00387E94" w:rsidRPr="008A1EDB" w:rsidRDefault="00387E94" w:rsidP="00387E94">
      <w:pPr>
        <w:pStyle w:val="FootnoteText"/>
        <w:rPr>
          <w:rtl/>
        </w:rPr>
      </w:pPr>
      <w:r w:rsidRPr="008A1EDB">
        <w:rPr>
          <w:rStyle w:val="FootnoteReference"/>
        </w:rPr>
        <w:footnoteRef/>
      </w:r>
      <w:r w:rsidR="001A3DA3">
        <w:rPr>
          <w:rtl/>
        </w:rPr>
        <w:tab/>
      </w:r>
      <w:r w:rsidRPr="008A1EDB">
        <w:rPr>
          <w:rtl/>
        </w:rPr>
        <w:t>كانت اللجنة الاستشارية الحكومية ولجنة برنامج الحقول العليا الجديدة المكوَّنة من أسماء عامة قد ألغيتا مشاركتهما في اجتماع اقترحت المنظمات الحكومية الدولية عقده في 30 سبتمبر.</w:t>
      </w:r>
    </w:p>
  </w:footnote>
  <w:footnote w:id="73">
    <w:p w:rsidR="00387E94" w:rsidRPr="008A1EDB" w:rsidRDefault="00387E94" w:rsidP="00387E94">
      <w:pPr>
        <w:pStyle w:val="FootnoteText"/>
        <w:rPr>
          <w:rtl/>
        </w:rPr>
      </w:pPr>
      <w:r w:rsidRPr="008A1EDB">
        <w:rPr>
          <w:rStyle w:val="FootnoteReference"/>
        </w:rPr>
        <w:footnoteRef/>
      </w:r>
      <w:r w:rsidR="001A3DA3">
        <w:rPr>
          <w:rtl/>
        </w:rPr>
        <w:tab/>
      </w:r>
      <w:r w:rsidRPr="008A1EDB">
        <w:rPr>
          <w:rtl/>
        </w:rPr>
        <w:t xml:space="preserve">للاطلاع على موجز كامل، انظر الوثيقة </w:t>
      </w:r>
      <w:r w:rsidRPr="008A1EDB">
        <w:t>WO/GA/48/12 Rev.</w:t>
      </w:r>
      <w:r w:rsidRPr="008A1EDB">
        <w:rPr>
          <w:rtl/>
        </w:rPr>
        <w:t>، الفقرات من 42 إلى 45.</w:t>
      </w:r>
    </w:p>
  </w:footnote>
  <w:footnote w:id="74">
    <w:p w:rsidR="00387E94" w:rsidRPr="00D360BD" w:rsidRDefault="00387E94" w:rsidP="00387E94">
      <w:pPr>
        <w:pStyle w:val="FootnoteText"/>
        <w:rPr>
          <w:rtl/>
        </w:rPr>
      </w:pPr>
      <w:r>
        <w:rPr>
          <w:rStyle w:val="FootnoteReference"/>
        </w:rPr>
        <w:footnoteRef/>
      </w:r>
      <w:r w:rsidR="001A3DA3">
        <w:rPr>
          <w:rtl/>
        </w:rPr>
        <w:tab/>
      </w:r>
      <w:r>
        <w:rPr>
          <w:rFonts w:hint="cs"/>
          <w:rtl/>
        </w:rPr>
        <w:t xml:space="preserve">انظر الرابط التالي: </w:t>
      </w:r>
      <w:hyperlink r:id="rId57" w:anchor="201905" w:history="1">
        <w:r w:rsidRPr="001A3DA3">
          <w:rPr>
            <w:rStyle w:val="Hyperlink"/>
            <w:color w:val="auto"/>
            <w:u w:val="none"/>
          </w:rPr>
          <w:t>https://gnso.icann.org/en/council/resolutions#201905</w:t>
        </w:r>
      </w:hyperlink>
      <w:r w:rsidR="001A3DA3">
        <w:rPr>
          <w:rFonts w:hint="cs"/>
          <w:rtl/>
        </w:rPr>
        <w:t>.</w:t>
      </w:r>
    </w:p>
  </w:footnote>
  <w:footnote w:id="75">
    <w:p w:rsidR="00387E94" w:rsidRPr="008A1EDB" w:rsidRDefault="00387E94" w:rsidP="001A3DA3">
      <w:pPr>
        <w:pStyle w:val="FootnoteText"/>
      </w:pPr>
      <w:r w:rsidRPr="008A1EDB">
        <w:rPr>
          <w:rStyle w:val="FootnoteReference"/>
        </w:rPr>
        <w:footnoteRef/>
      </w:r>
      <w:r w:rsidR="001A3DA3">
        <w:rPr>
          <w:rtl/>
        </w:rPr>
        <w:tab/>
      </w:r>
      <w:r w:rsidRPr="008A1EDB">
        <w:rPr>
          <w:rFonts w:hint="cs"/>
          <w:rtl/>
        </w:rPr>
        <w:t>انظر</w:t>
      </w:r>
      <w:r>
        <w:rPr>
          <w:rFonts w:hint="cs"/>
          <w:rtl/>
        </w:rPr>
        <w:t xml:space="preserve"> الرابط التالي:</w:t>
      </w:r>
      <w:r w:rsidR="001A3DA3">
        <w:rPr>
          <w:rtl/>
        </w:rPr>
        <w:br/>
      </w:r>
      <w:hyperlink r:id="rId58" w:history="1">
        <w:r w:rsidRPr="001A3DA3">
          <w:rPr>
            <w:rStyle w:val="Hyperlink"/>
            <w:color w:val="auto"/>
            <w:u w:val="none"/>
          </w:rPr>
          <w:t>https://www.icann.org/en/system/files/files/resolutions-abudhabi60-gac-advice-scorecard-04feb18-en.pdf</w:t>
        </w:r>
      </w:hyperlink>
      <w:r w:rsidRPr="001A3DA3">
        <w:rPr>
          <w:rFonts w:hint="cs"/>
          <w:rtl/>
        </w:rPr>
        <w:t>.</w:t>
      </w:r>
    </w:p>
  </w:footnote>
  <w:footnote w:id="76">
    <w:p w:rsidR="00387E94" w:rsidRDefault="00387E94" w:rsidP="001A3DA3">
      <w:pPr>
        <w:pStyle w:val="FootnoteText"/>
      </w:pPr>
      <w:r>
        <w:rPr>
          <w:rStyle w:val="FootnoteReference"/>
        </w:rPr>
        <w:footnoteRef/>
      </w:r>
      <w:r w:rsidR="001A3DA3">
        <w:rPr>
          <w:rtl/>
        </w:rPr>
        <w:tab/>
      </w:r>
      <w:r>
        <w:rPr>
          <w:rtl/>
        </w:rPr>
        <w:t>انظر الرابط</w:t>
      </w:r>
      <w:r>
        <w:rPr>
          <w:rFonts w:hint="cs"/>
          <w:rtl/>
        </w:rPr>
        <w:t xml:space="preserve"> التالي</w:t>
      </w:r>
      <w:r>
        <w:rPr>
          <w:rtl/>
        </w:rPr>
        <w:t xml:space="preserve">: </w:t>
      </w:r>
      <w:hyperlink r:id="rId59" w:history="1">
        <w:r w:rsidRPr="001A3DA3">
          <w:rPr>
            <w:rStyle w:val="Hyperlink"/>
            <w:color w:val="auto"/>
            <w:u w:val="none"/>
          </w:rPr>
          <w:t>www.icann.org/resources/pages/igo-ingo-protection-policy-2018-01-16-en</w:t>
        </w:r>
      </w:hyperlink>
      <w:r>
        <w:rPr>
          <w:rtl/>
        </w:rPr>
        <w:t>،</w:t>
      </w:r>
      <w:r>
        <w:rPr>
          <w:rFonts w:hint="cs"/>
          <w:rtl/>
        </w:rPr>
        <w:t xml:space="preserve"> </w:t>
      </w:r>
      <w:r>
        <w:rPr>
          <w:rtl/>
        </w:rPr>
        <w:t>والرابط:</w:t>
      </w:r>
      <w:r w:rsidR="001A3DA3">
        <w:rPr>
          <w:rFonts w:hint="cs"/>
          <w:rtl/>
        </w:rPr>
        <w:t> </w:t>
      </w:r>
      <w:hyperlink r:id="rId60" w:anchor="2.d" w:history="1">
        <w:r w:rsidRPr="001A3DA3">
          <w:rPr>
            <w:rStyle w:val="Hyperlink"/>
            <w:color w:val="auto"/>
            <w:u w:val="none"/>
          </w:rPr>
          <w:t>www.icann.org/resources/board-material/resolutions-2018-02-04-en#2.d</w:t>
        </w:r>
      </w:hyperlink>
      <w:r>
        <w:rPr>
          <w:rtl/>
        </w:rPr>
        <w:t>،</w:t>
      </w:r>
      <w:r>
        <w:rPr>
          <w:rFonts w:hint="cs"/>
          <w:rtl/>
        </w:rPr>
        <w:t xml:space="preserve"> </w:t>
      </w:r>
      <w:r>
        <w:rPr>
          <w:rtl/>
        </w:rPr>
        <w:t>والرابط:</w:t>
      </w:r>
      <w:r w:rsidR="001A3DA3">
        <w:rPr>
          <w:rFonts w:hint="cs"/>
          <w:rtl/>
        </w:rPr>
        <w:t> </w:t>
      </w:r>
      <w:hyperlink r:id="rId61" w:history="1">
        <w:r w:rsidRPr="001A3DA3">
          <w:rPr>
            <w:rStyle w:val="Hyperlink"/>
            <w:color w:val="auto"/>
            <w:u w:val="none"/>
          </w:rPr>
          <w:t>www.icann.org/en/system/files/files/resolutions-abudhabi60-gac-advice-scorecard-04feb18-en.pdf</w:t>
        </w:r>
      </w:hyperlink>
      <w:r w:rsidRPr="001A3DA3">
        <w:rPr>
          <w:rtl/>
        </w:rPr>
        <w:t>.</w:t>
      </w:r>
      <w:r w:rsidRPr="001A3DA3">
        <w:rPr>
          <w:rFonts w:hint="cs"/>
          <w:rtl/>
        </w:rPr>
        <w:t xml:space="preserve"> </w:t>
      </w:r>
    </w:p>
    <w:p w:rsidR="00387E94" w:rsidRDefault="00387E94" w:rsidP="00387E94">
      <w:pPr>
        <w:pStyle w:val="FootnoteText"/>
      </w:pPr>
      <w:r>
        <w:rPr>
          <w:rtl/>
        </w:rPr>
        <w:t xml:space="preserve">أرسل الأمين العام المساعد للأمم المتحدة المسؤول عن مكتب الشؤون القانونية نيابة عن العديد من المنظمات الحكومية الدولية (ومنها الويبو) رسالة في يوليو 2018 إلى مجلس إدارة الآيكان يعرب فيها عن قلقه بعد التقرير النهائي لعملية تطوير سياسة الإجراءات (انظر الرابط: </w:t>
      </w:r>
      <w:hyperlink r:id="rId62" w:history="1">
        <w:r w:rsidRPr="001A3DA3">
          <w:rPr>
            <w:rStyle w:val="Hyperlink"/>
            <w:color w:val="auto"/>
            <w:u w:val="none"/>
          </w:rPr>
          <w:t>www.icann.org/en/system/files/correspondence/mathias-to-board-27jul18-en.pdf</w:t>
        </w:r>
      </w:hyperlink>
      <w:r>
        <w:rPr>
          <w:rtl/>
        </w:rPr>
        <w:t>).</w:t>
      </w:r>
      <w:r>
        <w:rPr>
          <w:rFonts w:hint="cs"/>
          <w:rtl/>
        </w:rPr>
        <w:t xml:space="preserve"> </w:t>
      </w:r>
      <w:r>
        <w:rPr>
          <w:rtl/>
        </w:rPr>
        <w:t xml:space="preserve">ودافع الفريق العامل المعني بالعملية عن نتائج التقرير في خطاب أرسل في أغسطس 2018 إلى مجلس إدارة الآيكان (انظر: </w:t>
      </w:r>
      <w:hyperlink r:id="rId63" w:history="1">
        <w:r w:rsidRPr="00CF7EC8">
          <w:rPr>
            <w:rStyle w:val="Hyperlink"/>
            <w:color w:val="auto"/>
            <w:szCs w:val="18"/>
            <w:u w:val="none"/>
            <w:lang w:eastAsia="fr-CH"/>
          </w:rPr>
          <w:t>www.icann.org/en/system/files/correspondence/igo-ingo-wg-to-icann-board-16aug18-en.pdf</w:t>
        </w:r>
      </w:hyperlink>
      <w:r>
        <w:rPr>
          <w:rtl/>
        </w:rPr>
        <w:t>).</w:t>
      </w:r>
      <w:r>
        <w:rPr>
          <w:rFonts w:hint="cs"/>
          <w:rtl/>
        </w:rPr>
        <w:t xml:space="preserve"> </w:t>
      </w:r>
      <w:r>
        <w:rPr>
          <w:rtl/>
        </w:rPr>
        <w:t xml:space="preserve">وانظر إلى مناقشات إضافية دارت في اجتماع الآيكان في </w:t>
      </w:r>
      <w:r>
        <w:rPr>
          <w:rFonts w:hint="cs"/>
          <w:rtl/>
        </w:rPr>
        <w:t>نوفمبر</w:t>
      </w:r>
      <w:r>
        <w:rPr>
          <w:rtl/>
        </w:rPr>
        <w:t xml:space="preserve"> </w:t>
      </w:r>
      <w:r>
        <w:rPr>
          <w:rFonts w:hint="cs"/>
          <w:rtl/>
        </w:rPr>
        <w:t>2020</w:t>
      </w:r>
      <w:r>
        <w:rPr>
          <w:rtl/>
        </w:rPr>
        <w:t xml:space="preserve"> على الرابط: </w:t>
      </w:r>
      <w:hyperlink r:id="rId64" w:history="1">
        <w:r w:rsidRPr="00CF7EC8">
          <w:rPr>
            <w:rStyle w:val="Hyperlink"/>
            <w:color w:val="auto"/>
            <w:u w:val="none"/>
          </w:rPr>
          <w:t>https://icann66.pathable.com/meetings/1116847</w:t>
        </w:r>
      </w:hyperlink>
      <w:r w:rsidRPr="00CF7EC8">
        <w:rPr>
          <w:rtl/>
        </w:rPr>
        <w:t>.</w:t>
      </w:r>
    </w:p>
  </w:footnote>
  <w:footnote w:id="77">
    <w:p w:rsidR="00387E94" w:rsidRPr="008A1EDB" w:rsidRDefault="00387E94" w:rsidP="00387E94">
      <w:pPr>
        <w:pStyle w:val="FootnoteText"/>
        <w:rPr>
          <w:rtl/>
        </w:rPr>
      </w:pPr>
      <w:r w:rsidRPr="008A1EDB">
        <w:rPr>
          <w:rStyle w:val="FootnoteReference"/>
        </w:rPr>
        <w:footnoteRef/>
      </w:r>
      <w:r w:rsidR="001A3DA3">
        <w:rPr>
          <w:rtl/>
        </w:rPr>
        <w:tab/>
      </w:r>
      <w:r w:rsidRPr="008A1EDB">
        <w:rPr>
          <w:rtl/>
        </w:rPr>
        <w:t>أصدرت اللجنة الاستشارية الحكومية في عام 2007 "مبادئها بشأن الحقول العليا الجديدة المكونة من أسماء عامة" التي تنص</w:t>
      </w:r>
      <w:r w:rsidRPr="008A1EDB">
        <w:rPr>
          <w:rFonts w:hint="cs"/>
          <w:rtl/>
        </w:rPr>
        <w:t>،</w:t>
      </w:r>
      <w:r w:rsidRPr="008A1EDB">
        <w:rPr>
          <w:rtl/>
        </w:rPr>
        <w:t xml:space="preserve"> </w:t>
      </w:r>
      <w:r w:rsidRPr="008A1EDB">
        <w:rPr>
          <w:rFonts w:hint="cs"/>
          <w:rtl/>
        </w:rPr>
        <w:t>من ضمن ما تنص،</w:t>
      </w:r>
      <w:r w:rsidRPr="008A1EDB">
        <w:rPr>
          <w:rtl/>
        </w:rPr>
        <w:t xml:space="preserve"> على أنه ينبغي للإيكان أن تتلافى منح الحقول العليا الجديدة المكونة من أسماء عامة فيما يتعلق بأسماء البلدان أو الأراضي أو الأماكن واللغات الإقليمية أو أوصاف الشعوب، ما لم يكن ذلك بالاتفاق مع الحكومات أو السلطات العامة المعنية. وتنص هذه المبادئ أيضا</w:t>
      </w:r>
      <w:r>
        <w:rPr>
          <w:rFonts w:hint="cs"/>
          <w:rtl/>
        </w:rPr>
        <w:t>ً</w:t>
      </w:r>
      <w:r w:rsidRPr="008A1EDB">
        <w:rPr>
          <w:rtl/>
        </w:rPr>
        <w:t xml:space="preserve"> على أن التسجيلات الجديدة ينبغي أن تعتمد إجراءات لمنع تسجيل/</w:t>
      </w:r>
      <w:r w:rsidRPr="008A1EDB">
        <w:rPr>
          <w:rFonts w:hint="cs"/>
          <w:rtl/>
        </w:rPr>
        <w:t>ا</w:t>
      </w:r>
      <w:r w:rsidRPr="008A1EDB">
        <w:rPr>
          <w:rtl/>
        </w:rPr>
        <w:t xml:space="preserve">لطعن في تسجيل الأسماء ذات المغزى الوطني أو الجغرافي في الحقول الدنيا بطلب من الحكومات. انظر الرابط التالي: </w:t>
      </w:r>
      <w:hyperlink r:id="rId65" w:history="1">
        <w:r w:rsidRPr="00CF7EC8">
          <w:rPr>
            <w:rStyle w:val="Hyperlink"/>
            <w:color w:val="auto"/>
            <w:u w:val="none"/>
          </w:rPr>
          <w:t>https://archive.icann.org/en/topics/new-gtlds/gac-principles-regarding-new-gtlds-28mar07-en.pdf</w:t>
        </w:r>
      </w:hyperlink>
      <w:r w:rsidRPr="008A1EDB">
        <w:rPr>
          <w:rtl/>
        </w:rPr>
        <w:t>.</w:t>
      </w:r>
      <w:r>
        <w:rPr>
          <w:rFonts w:hint="cs"/>
          <w:rtl/>
        </w:rPr>
        <w:t xml:space="preserve"> </w:t>
      </w:r>
    </w:p>
  </w:footnote>
  <w:footnote w:id="78">
    <w:p w:rsidR="00387E94" w:rsidRPr="008A1EDB" w:rsidRDefault="00387E94" w:rsidP="00387E94">
      <w:pPr>
        <w:pStyle w:val="FootnoteText"/>
        <w:rPr>
          <w:rtl/>
        </w:rPr>
      </w:pPr>
      <w:r w:rsidRPr="008A1EDB">
        <w:rPr>
          <w:rStyle w:val="FootnoteReference"/>
        </w:rPr>
        <w:footnoteRef/>
      </w:r>
      <w:r w:rsidR="001A3DA3">
        <w:rPr>
          <w:rtl/>
        </w:rPr>
        <w:tab/>
      </w:r>
      <w:r w:rsidRPr="008A1EDB">
        <w:rPr>
          <w:rtl/>
        </w:rPr>
        <w:t xml:space="preserve">بالنسبة إلى التسجيلات من الدرجة الثانية، فإن اتفاق التسجيل الأساسي للإيكان يشمل "جدول الأسماء المحجوزة من الدرجة الثانية في مكاتب تسجيل الحقول العليا المكونة من أسماء عامة"، وهذا الاتفاق ينص على أسماء معينة لبلدان وأراض. انظر الرابط التالي: </w:t>
      </w:r>
      <w:hyperlink r:id="rId66" w:history="1">
        <w:r w:rsidRPr="00CF7EC8">
          <w:rPr>
            <w:rStyle w:val="Hyperlink"/>
            <w:color w:val="auto"/>
            <w:u w:val="none"/>
          </w:rPr>
          <w:t>http://newgtlds.icann.org/en/applicants/agb/base-agreement-specs-04jun12-en.pdf</w:t>
        </w:r>
      </w:hyperlink>
      <w:r w:rsidRPr="008A1EDB">
        <w:rPr>
          <w:rtl/>
        </w:rPr>
        <w:t>، النقطة 5.</w:t>
      </w:r>
    </w:p>
  </w:footnote>
  <w:footnote w:id="79">
    <w:p w:rsidR="00387E94" w:rsidRPr="008A1EDB" w:rsidRDefault="00387E94" w:rsidP="00387E94">
      <w:pPr>
        <w:pStyle w:val="FootnoteText"/>
        <w:rPr>
          <w:rtl/>
        </w:rPr>
      </w:pPr>
      <w:r w:rsidRPr="008A1EDB">
        <w:rPr>
          <w:rStyle w:val="FootnoteReference"/>
        </w:rPr>
        <w:footnoteRef/>
      </w:r>
      <w:r w:rsidR="001A3DA3">
        <w:rPr>
          <w:rtl/>
        </w:rPr>
        <w:tab/>
      </w:r>
      <w:r w:rsidRPr="008A1EDB">
        <w:rPr>
          <w:rtl/>
        </w:rPr>
        <w:t xml:space="preserve">انظر الرابط التالي: </w:t>
      </w:r>
      <w:hyperlink r:id="rId67" w:history="1">
        <w:r w:rsidRPr="00CF7EC8">
          <w:rPr>
            <w:rStyle w:val="Hyperlink"/>
            <w:color w:val="auto"/>
            <w:u w:val="none"/>
          </w:rPr>
          <w:t>http://newgtlds.icann.org/en/applicants/agb/evaluation-procedures-04jun12-en.pdf</w:t>
        </w:r>
      </w:hyperlink>
      <w:r w:rsidRPr="008A1EDB">
        <w:rPr>
          <w:rtl/>
        </w:rPr>
        <w:t>،</w:t>
      </w:r>
      <w:r>
        <w:rPr>
          <w:rFonts w:hint="cs"/>
          <w:rtl/>
        </w:rPr>
        <w:t xml:space="preserve"> </w:t>
      </w:r>
      <w:r w:rsidRPr="008A1EDB">
        <w:rPr>
          <w:rtl/>
        </w:rPr>
        <w:t>من الفقرة 1.4.1.2.2 "معالجة أسماء البلدان أو الأراضي".</w:t>
      </w:r>
    </w:p>
  </w:footnote>
  <w:footnote w:id="80">
    <w:p w:rsidR="00387E94" w:rsidRPr="008A1EDB" w:rsidRDefault="00387E94" w:rsidP="00387E94">
      <w:pPr>
        <w:pStyle w:val="FootnoteText"/>
        <w:rPr>
          <w:rtl/>
        </w:rPr>
      </w:pPr>
      <w:r w:rsidRPr="008A1EDB">
        <w:rPr>
          <w:rStyle w:val="FootnoteReference"/>
        </w:rPr>
        <w:footnoteRef/>
      </w:r>
      <w:r w:rsidR="001A3DA3">
        <w:rPr>
          <w:rtl/>
        </w:rPr>
        <w:tab/>
      </w:r>
      <w:r w:rsidRPr="008A1EDB">
        <w:rPr>
          <w:rtl/>
        </w:rPr>
        <w:t xml:space="preserve">انظر الرابط التالي: </w:t>
      </w:r>
      <w:hyperlink r:id="rId68" w:history="1">
        <w:r w:rsidRPr="00CF7EC8">
          <w:rPr>
            <w:rStyle w:val="Hyperlink"/>
            <w:color w:val="auto"/>
            <w:u w:val="none"/>
          </w:rPr>
          <w:t>http://newgtlds.icann.org/en/applicants/agb/evaluation-procedures-04jun12-en.pdf</w:t>
        </w:r>
      </w:hyperlink>
      <w:r w:rsidRPr="008A1EDB">
        <w:rPr>
          <w:rtl/>
        </w:rPr>
        <w:t>،</w:t>
      </w:r>
      <w:r>
        <w:rPr>
          <w:rFonts w:hint="cs"/>
          <w:rtl/>
        </w:rPr>
        <w:t xml:space="preserve"> </w:t>
      </w:r>
      <w:r w:rsidRPr="008A1EDB">
        <w:rPr>
          <w:rtl/>
        </w:rPr>
        <w:t>من الفقرة 2.4.1.2.2 "الأسماء الجغرافية التي تتطلب دعم الحكومات".</w:t>
      </w:r>
    </w:p>
  </w:footnote>
  <w:footnote w:id="81">
    <w:p w:rsidR="00387E94" w:rsidRPr="00CF7EC8" w:rsidRDefault="00387E94" w:rsidP="00387E94">
      <w:pPr>
        <w:pStyle w:val="FootnoteText"/>
        <w:rPr>
          <w:rtl/>
        </w:rPr>
      </w:pPr>
      <w:r w:rsidRPr="008A1EDB">
        <w:rPr>
          <w:rStyle w:val="FootnoteReference"/>
        </w:rPr>
        <w:footnoteRef/>
      </w:r>
      <w:r w:rsidR="00CF7EC8">
        <w:rPr>
          <w:rtl/>
        </w:rPr>
        <w:tab/>
      </w:r>
      <w:r w:rsidRPr="008A1EDB">
        <w:rPr>
          <w:rtl/>
        </w:rPr>
        <w:t xml:space="preserve">انظر </w:t>
      </w:r>
      <w:r>
        <w:rPr>
          <w:rFonts w:hint="cs"/>
          <w:rtl/>
        </w:rPr>
        <w:t>الرابط</w:t>
      </w:r>
      <w:r w:rsidRPr="008A1EDB">
        <w:rPr>
          <w:rtl/>
        </w:rPr>
        <w:t xml:space="preserve"> التالي: </w:t>
      </w:r>
      <w:hyperlink r:id="rId69" w:history="1">
        <w:r w:rsidRPr="00CF7EC8">
          <w:rPr>
            <w:rStyle w:val="Hyperlink"/>
            <w:color w:val="auto"/>
            <w:u w:val="none"/>
          </w:rPr>
          <w:t>https://www.icann.org/en/system/files/correspondence/gac-to-board-27mar14-en.pdf</w:t>
        </w:r>
      </w:hyperlink>
      <w:r w:rsidRPr="008A1EDB">
        <w:rPr>
          <w:rtl/>
        </w:rPr>
        <w:t>،</w:t>
      </w:r>
      <w:r>
        <w:rPr>
          <w:rFonts w:hint="cs"/>
          <w:rtl/>
        </w:rPr>
        <w:t xml:space="preserve"> </w:t>
      </w:r>
      <w:r w:rsidRPr="008A1EDB">
        <w:rPr>
          <w:rtl/>
        </w:rPr>
        <w:t xml:space="preserve">النقطة 4. </w:t>
      </w:r>
      <w:r w:rsidRPr="008A1EDB">
        <w:rPr>
          <w:rFonts w:hint="cs"/>
          <w:rtl/>
        </w:rPr>
        <w:t>"</w:t>
      </w:r>
      <w:r w:rsidRPr="008A1EDB">
        <w:t>Specific Strings</w:t>
      </w:r>
      <w:r w:rsidRPr="008A1EDB">
        <w:rPr>
          <w:rFonts w:hint="cs"/>
          <w:rtl/>
        </w:rPr>
        <w:t>"</w:t>
      </w:r>
      <w:r w:rsidRPr="008A1EDB">
        <w:rPr>
          <w:rtl/>
        </w:rPr>
        <w:t xml:space="preserve"> (سلسلة حروف محددة). ورغم أن المجلس قَبِلَ مشورة اللجنة الاستشارية الحكومية المعارضة للاستمرار في إجراءات بعض الطلبات، فإنه طلب مزيدا من المعلومات من اللجنة الاستشارية الحكومية</w:t>
      </w:r>
      <w:r w:rsidRPr="008A1EDB">
        <w:rPr>
          <w:rFonts w:hint="cs"/>
          <w:rtl/>
        </w:rPr>
        <w:t xml:space="preserve">، بالإضافة إلى تعليقات </w:t>
      </w:r>
      <w:r w:rsidRPr="008A1EDB">
        <w:rPr>
          <w:rtl/>
        </w:rPr>
        <w:t>الجمهور</w:t>
      </w:r>
      <w:r w:rsidRPr="008A1EDB">
        <w:rPr>
          <w:rFonts w:hint="cs"/>
          <w:rtl/>
        </w:rPr>
        <w:t>،</w:t>
      </w:r>
      <w:r w:rsidRPr="008A1EDB">
        <w:rPr>
          <w:rtl/>
        </w:rPr>
        <w:t xml:space="preserve"> بشأن طائفة من الإجراءات الوقائية الإضافية التي طلبتها اللجنة الاستشارية الحكومية فيما يخص عدة فئات واسعة من طلبات الحقول العليا الجديدة المكونة من أسماء عامة مثل أسماء الحقول العليا الجديدة المكوّنة من أسماء عامة التي تتوافق مع الصناعات المنظمة أو المصطلحات القاموسية. انظر الرابط التالي: </w:t>
      </w:r>
      <w:hyperlink r:id="rId70" w:history="1">
        <w:r w:rsidRPr="00CF7EC8">
          <w:rPr>
            <w:rStyle w:val="Hyperlink"/>
            <w:color w:val="auto"/>
            <w:u w:val="none"/>
          </w:rPr>
          <w:t>https://www.icann.org/en/system/files/correspondence/gac-to-board-11apr13-en.pdf</w:t>
        </w:r>
      </w:hyperlink>
      <w:r w:rsidRPr="008A1EDB">
        <w:rPr>
          <w:rtl/>
        </w:rPr>
        <w:t xml:space="preserve">. وقد وضع فريق فرعي معني بالأسماء الجغرافية تابع للجنة الاستشارية الحكومية (فريق فرعي معني بأسماء الحقول العليا الجديدة المستقبلية المكوّنة من أسماء عامة تابع للفريق العامل للجنة الاستشارية الحكومية) مشروع وثيقة للمراحل المقبلة للحقول العليا الجديدة المكونة من أسماء عامة، ويوضح مشروع الوثيقة بإيجاز جوانب عديدة للسياسة العامة المتعلقة بالأسماء الجغرافية ويخضع حاليا لمزيد من المناقشات في الإيكان. انظر الرابط التالي: </w:t>
      </w:r>
      <w:hyperlink r:id="rId71" w:history="1">
        <w:r w:rsidRPr="00CF7EC8">
          <w:rPr>
            <w:rStyle w:val="Hyperlink"/>
            <w:color w:val="auto"/>
            <w:u w:val="none"/>
          </w:rPr>
          <w:t>https://gacweb.icann.org/download/attachments/27132037/Geo%20names%20in%20new%20gTLDs%20Updated%20%20V3%20%2029%20august%202014%5B4%5D.pdf?version=1&amp;modificationDate=1411549935000&amp;api=v2</w:t>
        </w:r>
      </w:hyperlink>
      <w:r w:rsidRPr="0072238E">
        <w:rPr>
          <w:rtl/>
        </w:rPr>
        <w:t>.</w:t>
      </w:r>
      <w:r w:rsidR="00CF7EC8">
        <w:rPr>
          <w:rFonts w:hint="cs"/>
          <w:rtl/>
        </w:rPr>
        <w:t xml:space="preserve"> </w:t>
      </w:r>
      <w:r>
        <w:rPr>
          <w:rFonts w:hint="cs"/>
          <w:rtl/>
        </w:rPr>
        <w:t xml:space="preserve">وانظر أيضا: </w:t>
      </w:r>
      <w:hyperlink r:id="rId72" w:anchor="1.c" w:history="1">
        <w:r w:rsidRPr="00CF7EC8">
          <w:rPr>
            <w:rStyle w:val="Hyperlink"/>
            <w:color w:val="auto"/>
            <w:u w:val="none"/>
          </w:rPr>
          <w:t>https://www.icann.org/resources/board-material/resolutions-2019-05-15-en#1.c</w:t>
        </w:r>
      </w:hyperlink>
      <w:r w:rsidR="00CF7EC8" w:rsidRPr="00CF7EC8">
        <w:rPr>
          <w:rFonts w:hint="cs"/>
          <w:rtl/>
        </w:rPr>
        <w:t>.</w:t>
      </w:r>
    </w:p>
  </w:footnote>
  <w:footnote w:id="82">
    <w:p w:rsidR="00387E94" w:rsidRPr="0072238E" w:rsidRDefault="00387E94" w:rsidP="00387E94">
      <w:pPr>
        <w:pStyle w:val="FootnoteText"/>
        <w:rPr>
          <w:rtl/>
        </w:rPr>
      </w:pPr>
      <w:r w:rsidRPr="0072238E">
        <w:rPr>
          <w:rStyle w:val="FootnoteReference"/>
        </w:rPr>
        <w:footnoteRef/>
      </w:r>
      <w:r w:rsidR="00CF7EC8">
        <w:rPr>
          <w:rtl/>
        </w:rPr>
        <w:tab/>
      </w:r>
      <w:r w:rsidRPr="0072238E">
        <w:rPr>
          <w:rtl/>
        </w:rPr>
        <w:t xml:space="preserve">تشمل هذه الإجراءات مجتمعة </w:t>
      </w:r>
      <w:r w:rsidRPr="0072238E">
        <w:rPr>
          <w:rFonts w:hint="cs"/>
          <w:rtl/>
        </w:rPr>
        <w:t xml:space="preserve">خطط الإيكان </w:t>
      </w:r>
      <w:r w:rsidRPr="0072238E">
        <w:rPr>
          <w:rtl/>
        </w:rPr>
        <w:t>المسماة "تبديد الالتباس".</w:t>
      </w:r>
      <w:r w:rsidRPr="0072238E">
        <w:rPr>
          <w:rFonts w:hint="cs"/>
          <w:rtl/>
        </w:rPr>
        <w:t xml:space="preserve"> انظر</w:t>
      </w:r>
      <w:r>
        <w:rPr>
          <w:rFonts w:hint="cs"/>
          <w:rtl/>
        </w:rPr>
        <w:t xml:space="preserve"> الرابط التالي:</w:t>
      </w:r>
      <w:r w:rsidRPr="0072238E">
        <w:rPr>
          <w:rFonts w:hint="cs"/>
          <w:rtl/>
        </w:rPr>
        <w:t xml:space="preserve"> </w:t>
      </w:r>
      <w:hyperlink r:id="rId73" w:history="1">
        <w:r w:rsidRPr="00CF7EC8">
          <w:rPr>
            <w:rStyle w:val="Hyperlink"/>
            <w:color w:val="auto"/>
            <w:u w:val="none"/>
          </w:rPr>
          <w:t>https://www.icann.org/en/system/files/files/two-character-ltr-ltr-authorization-release-13dec16-en.pdf</w:t>
        </w:r>
      </w:hyperlink>
      <w:r w:rsidRPr="0072238E">
        <w:rPr>
          <w:rFonts w:hint="cs"/>
          <w:rtl/>
        </w:rPr>
        <w:t>.</w:t>
      </w:r>
    </w:p>
  </w:footnote>
  <w:footnote w:id="83">
    <w:p w:rsidR="00387E94" w:rsidRPr="0072238E" w:rsidRDefault="00387E94" w:rsidP="00CF7EC8">
      <w:pPr>
        <w:pStyle w:val="FootnoteText"/>
        <w:rPr>
          <w:rtl/>
        </w:rPr>
      </w:pPr>
      <w:r w:rsidRPr="0072238E">
        <w:rPr>
          <w:rStyle w:val="FootnoteReference"/>
        </w:rPr>
        <w:footnoteRef/>
      </w:r>
      <w:r w:rsidR="00CF7EC8">
        <w:rPr>
          <w:rtl/>
        </w:rPr>
        <w:tab/>
      </w:r>
      <w:r w:rsidRPr="0072238E">
        <w:rPr>
          <w:rFonts w:hint="cs"/>
          <w:rtl/>
        </w:rPr>
        <w:t>انظر</w:t>
      </w:r>
      <w:r>
        <w:rPr>
          <w:rFonts w:hint="cs"/>
          <w:rtl/>
        </w:rPr>
        <w:t xml:space="preserve"> الرابط التالي:</w:t>
      </w:r>
      <w:r w:rsidR="00CF7EC8">
        <w:rPr>
          <w:rtl/>
        </w:rPr>
        <w:br/>
      </w:r>
      <w:hyperlink r:id="rId74" w:history="1">
        <w:r w:rsidRPr="00CF7EC8">
          <w:rPr>
            <w:rStyle w:val="Hyperlink"/>
            <w:color w:val="auto"/>
            <w:u w:val="none"/>
          </w:rPr>
          <w:t>https://forum.icann.org/lists/comments-proposed-measures-two-char-08jul16/pdfECmcS9knuk.pdf</w:t>
        </w:r>
      </w:hyperlink>
      <w:r w:rsidRPr="0072238E">
        <w:rPr>
          <w:rFonts w:hint="cs"/>
          <w:rtl/>
        </w:rPr>
        <w:t>.</w:t>
      </w:r>
    </w:p>
  </w:footnote>
  <w:footnote w:id="84">
    <w:p w:rsidR="00387E94" w:rsidRPr="0072238E" w:rsidRDefault="00387E94" w:rsidP="00387E94">
      <w:pPr>
        <w:pStyle w:val="FootnoteText"/>
      </w:pPr>
      <w:r w:rsidRPr="0072238E">
        <w:rPr>
          <w:rStyle w:val="FootnoteReference"/>
        </w:rPr>
        <w:footnoteRef/>
      </w:r>
      <w:r w:rsidR="00CF7EC8">
        <w:rPr>
          <w:rtl/>
        </w:rPr>
        <w:tab/>
      </w:r>
      <w:r w:rsidRPr="0072238E">
        <w:rPr>
          <w:rFonts w:hint="cs"/>
          <w:rtl/>
        </w:rPr>
        <w:t>انظر</w:t>
      </w:r>
      <w:r>
        <w:rPr>
          <w:rFonts w:hint="cs"/>
          <w:rtl/>
        </w:rPr>
        <w:t xml:space="preserve"> الرابط التالي:</w:t>
      </w:r>
      <w:r w:rsidRPr="0072238E">
        <w:rPr>
          <w:rFonts w:hint="cs"/>
          <w:rtl/>
        </w:rPr>
        <w:t xml:space="preserve"> </w:t>
      </w:r>
      <w:hyperlink r:id="rId75" w:history="1">
        <w:r w:rsidRPr="00CF7EC8">
          <w:rPr>
            <w:rStyle w:val="Hyperlink"/>
            <w:color w:val="auto"/>
            <w:u w:val="none"/>
          </w:rPr>
          <w:t>https://static.ptbl.co/static/attachments/169910/1521228229.pdf?1521228229</w:t>
        </w:r>
      </w:hyperlink>
      <w:r w:rsidRPr="0072238E">
        <w:rPr>
          <w:rFonts w:hint="cs"/>
          <w:rtl/>
        </w:rPr>
        <w:t>.</w:t>
      </w:r>
    </w:p>
  </w:footnote>
  <w:footnote w:id="85">
    <w:p w:rsidR="00387E94" w:rsidRPr="0072238E" w:rsidRDefault="00387E94" w:rsidP="00387E94">
      <w:pPr>
        <w:pStyle w:val="FootnoteText"/>
        <w:rPr>
          <w:rtl/>
        </w:rPr>
      </w:pPr>
      <w:r w:rsidRPr="0072238E">
        <w:rPr>
          <w:rStyle w:val="FootnoteReference"/>
        </w:rPr>
        <w:footnoteRef/>
      </w:r>
      <w:r w:rsidR="00CF7EC8">
        <w:rPr>
          <w:rtl/>
        </w:rPr>
        <w:tab/>
      </w:r>
      <w:r w:rsidRPr="0072238E">
        <w:rPr>
          <w:rtl/>
        </w:rPr>
        <w:t>انظر مثلا</w:t>
      </w:r>
      <w:r>
        <w:rPr>
          <w:rFonts w:hint="cs"/>
          <w:rtl/>
        </w:rPr>
        <w:t>ً</w:t>
      </w:r>
      <w:r w:rsidRPr="0072238E">
        <w:rPr>
          <w:rtl/>
        </w:rPr>
        <w:t xml:space="preserve"> الوثائق </w:t>
      </w:r>
      <w:r w:rsidRPr="0072238E">
        <w:t>SCT/37/4</w:t>
      </w:r>
      <w:r w:rsidRPr="0072238E">
        <w:rPr>
          <w:rFonts w:hint="cs"/>
          <w:rtl/>
        </w:rPr>
        <w:t>، و</w:t>
      </w:r>
      <w:r w:rsidRPr="0072238E">
        <w:t>SCT/37/5</w:t>
      </w:r>
      <w:r w:rsidRPr="0072238E">
        <w:rPr>
          <w:rFonts w:hint="cs"/>
          <w:rtl/>
        </w:rPr>
        <w:t>، و</w:t>
      </w:r>
      <w:r w:rsidRPr="0072238E">
        <w:t>SCT/38/3</w:t>
      </w:r>
      <w:r w:rsidRPr="0072238E">
        <w:rPr>
          <w:rFonts w:hint="cs"/>
          <w:rtl/>
        </w:rPr>
        <w:t>، و</w:t>
      </w:r>
      <w:r w:rsidRPr="0072238E">
        <w:t>SCT/39/5</w:t>
      </w:r>
      <w:r>
        <w:rPr>
          <w:rFonts w:hint="cs"/>
          <w:rtl/>
        </w:rPr>
        <w:t xml:space="preserve"> </w:t>
      </w:r>
      <w:r w:rsidRPr="0072238E">
        <w:rPr>
          <w:rFonts w:hint="cs"/>
          <w:rtl/>
        </w:rPr>
        <w:t>و</w:t>
      </w:r>
      <w:r w:rsidRPr="0072238E">
        <w:t>SCT/</w:t>
      </w:r>
      <w:r>
        <w:t>40</w:t>
      </w:r>
      <w:r w:rsidRPr="0072238E">
        <w:t>/</w:t>
      </w:r>
      <w:r>
        <w:t>4</w:t>
      </w:r>
      <w:r>
        <w:rPr>
          <w:rFonts w:hint="cs"/>
          <w:rtl/>
        </w:rPr>
        <w:t xml:space="preserve"> </w:t>
      </w:r>
      <w:r w:rsidRPr="0072238E">
        <w:rPr>
          <w:rFonts w:hint="cs"/>
          <w:rtl/>
        </w:rPr>
        <w:t>و</w:t>
      </w:r>
      <w:r w:rsidRPr="0072238E">
        <w:t>SCT/</w:t>
      </w:r>
      <w:r>
        <w:t>41</w:t>
      </w:r>
      <w:r w:rsidRPr="0072238E">
        <w:t>/5</w:t>
      </w:r>
      <w:r w:rsidRPr="0072238E">
        <w:rPr>
          <w:rtl/>
        </w:rPr>
        <w:t xml:space="preserve">. </w:t>
      </w:r>
      <w:r w:rsidRPr="0072238E">
        <w:rPr>
          <w:rFonts w:hint="cs"/>
          <w:rtl/>
        </w:rPr>
        <w:t>و</w:t>
      </w:r>
      <w:r w:rsidRPr="0072238E">
        <w:rPr>
          <w:rtl/>
        </w:rPr>
        <w:t>انظر أيضا</w:t>
      </w:r>
      <w:r>
        <w:rPr>
          <w:rFonts w:hint="cs"/>
          <w:rtl/>
        </w:rPr>
        <w:t>ً</w:t>
      </w:r>
      <w:r w:rsidRPr="0072238E">
        <w:rPr>
          <w:rtl/>
        </w:rPr>
        <w:t xml:space="preserve"> الاجتماع </w:t>
      </w:r>
      <w:r w:rsidRPr="0072238E">
        <w:t>SCT/IS/GEO/GE/17</w:t>
      </w:r>
      <w:r w:rsidRPr="0072238E">
        <w:rPr>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4BD" w:rsidRDefault="00D864BD" w:rsidP="00D864BD">
    <w:pPr>
      <w:bidi w:val="0"/>
      <w:rPr>
        <w:rFonts w:ascii="Arial" w:hAnsi="Arial" w:cs="Arial"/>
        <w:sz w:val="22"/>
        <w:szCs w:val="22"/>
      </w:rPr>
    </w:pPr>
    <w:r w:rsidRPr="00387E94">
      <w:rPr>
        <w:rFonts w:ascii="Arial" w:hAnsi="Arial" w:cs="Arial"/>
        <w:sz w:val="22"/>
        <w:szCs w:val="22"/>
      </w:rPr>
      <w:t>WO/GA/</w:t>
    </w:r>
    <w:r w:rsidRPr="00387E94">
      <w:rPr>
        <w:rFonts w:ascii="Arial" w:hAnsi="Arial" w:cs="Arial" w:hint="cs"/>
        <w:sz w:val="22"/>
        <w:szCs w:val="22"/>
        <w:rtl/>
      </w:rPr>
      <w:t>53</w:t>
    </w:r>
    <w:r w:rsidRPr="00387E94">
      <w:rPr>
        <w:rFonts w:ascii="Arial" w:hAnsi="Arial" w:cs="Arial"/>
        <w:sz w:val="22"/>
        <w:szCs w:val="22"/>
      </w:rPr>
      <w:t>/</w:t>
    </w:r>
    <w:r>
      <w:rPr>
        <w:rFonts w:ascii="Arial" w:hAnsi="Arial" w:cs="Arial"/>
        <w:sz w:val="22"/>
        <w:szCs w:val="22"/>
      </w:rPr>
      <w:t>8</w:t>
    </w:r>
  </w:p>
  <w:p w:rsidR="00D864BD" w:rsidRPr="00C50A61" w:rsidRDefault="00D864BD" w:rsidP="00D864BD">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20</w:t>
    </w:r>
    <w:r w:rsidRPr="00C50A61">
      <w:rPr>
        <w:rFonts w:ascii="Arial" w:hAnsi="Arial" w:cs="Arial"/>
        <w:sz w:val="22"/>
        <w:szCs w:val="22"/>
      </w:rPr>
      <w:fldChar w:fldCharType="end"/>
    </w:r>
  </w:p>
  <w:p w:rsidR="00D864BD" w:rsidRPr="00C50A61" w:rsidRDefault="00D864BD" w:rsidP="00D864BD">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E85" w:rsidRDefault="00387E94" w:rsidP="00B76E85">
    <w:pPr>
      <w:bidi w:val="0"/>
      <w:rPr>
        <w:rFonts w:ascii="Arial" w:hAnsi="Arial" w:cs="Arial"/>
        <w:sz w:val="22"/>
        <w:szCs w:val="22"/>
      </w:rPr>
    </w:pPr>
    <w:r w:rsidRPr="00387E94">
      <w:rPr>
        <w:rFonts w:ascii="Arial" w:hAnsi="Arial" w:cs="Arial"/>
        <w:sz w:val="22"/>
        <w:szCs w:val="22"/>
      </w:rPr>
      <w:t>WO/GA/</w:t>
    </w:r>
    <w:r w:rsidRPr="00387E94">
      <w:rPr>
        <w:rFonts w:ascii="Arial" w:hAnsi="Arial" w:cs="Arial" w:hint="cs"/>
        <w:sz w:val="22"/>
        <w:szCs w:val="22"/>
        <w:rtl/>
      </w:rPr>
      <w:t>53</w:t>
    </w:r>
    <w:r w:rsidRPr="00387E94">
      <w:rPr>
        <w:rFonts w:ascii="Arial" w:hAnsi="Arial" w:cs="Arial"/>
        <w:sz w:val="22"/>
        <w:szCs w:val="22"/>
      </w:rPr>
      <w:t>/</w:t>
    </w:r>
    <w:r w:rsidR="00B76E85">
      <w:rPr>
        <w:rFonts w:ascii="Arial" w:hAnsi="Arial" w:cs="Arial"/>
        <w:sz w:val="22"/>
        <w:szCs w:val="22"/>
      </w:rPr>
      <w:t>8</w:t>
    </w:r>
  </w:p>
  <w:p w:rsidR="004C495B" w:rsidRPr="00C50A61" w:rsidRDefault="004C495B" w:rsidP="00387E94">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D864BD">
      <w:rPr>
        <w:rFonts w:ascii="Arial" w:hAnsi="Arial" w:cs="Arial"/>
        <w:noProof/>
        <w:sz w:val="22"/>
        <w:szCs w:val="22"/>
        <w:lang w:bidi="ar-EG"/>
      </w:rPr>
      <w:t>19</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4BD" w:rsidRDefault="00D864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13761AC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0" w15:restartNumberingAfterBreak="0">
    <w:nsid w:val="139F5D33"/>
    <w:multiLevelType w:val="hybridMultilevel"/>
    <w:tmpl w:val="AA3AE416"/>
    <w:lvl w:ilvl="0" w:tplc="F3861EC0">
      <w:start w:val="1"/>
      <w:numFmt w:val="none"/>
      <w:lvlText w:val="&quot;د&quot;"/>
      <w:lvlJc w:val="left"/>
      <w:pPr>
        <w:ind w:left="715" w:hanging="360"/>
      </w:pPr>
      <w:rPr>
        <w:rFonts w:hint="default"/>
      </w:rPr>
    </w:lvl>
    <w:lvl w:ilvl="1" w:tplc="D766E3AA">
      <w:start w:val="1"/>
      <w:numFmt w:val="none"/>
      <w:lvlText w:val="(د)"/>
      <w:lvlJc w:val="left"/>
      <w:pPr>
        <w:ind w:left="715"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4A35ADE"/>
    <w:multiLevelType w:val="hybridMultilevel"/>
    <w:tmpl w:val="57FCBBA2"/>
    <w:lvl w:ilvl="0" w:tplc="5DEEF8C2">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1D37B6"/>
    <w:multiLevelType w:val="hybridMultilevel"/>
    <w:tmpl w:val="71D8FF10"/>
    <w:lvl w:ilvl="0" w:tplc="1E286DC6">
      <w:start w:val="1"/>
      <w:numFmt w:val="none"/>
      <w:lvlText w:val="&quot;2&quot;"/>
      <w:lvlJc w:val="left"/>
      <w:pPr>
        <w:ind w:left="1853"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4" w15:restartNumberingAfterBreak="0">
    <w:nsid w:val="6202318F"/>
    <w:multiLevelType w:val="hybridMultilevel"/>
    <w:tmpl w:val="E9421DD4"/>
    <w:lvl w:ilvl="0" w:tplc="BEFEBCB4">
      <w:start w:val="1"/>
      <w:numFmt w:val="none"/>
      <w:lvlText w:val="(ج)"/>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4113771"/>
    <w:multiLevelType w:val="hybridMultilevel"/>
    <w:tmpl w:val="22E8954E"/>
    <w:lvl w:ilvl="0" w:tplc="2098C808">
      <w:start w:val="1"/>
      <w:numFmt w:val="none"/>
      <w:lvlText w:val="&quot;1&quot;"/>
      <w:lvlJc w:val="left"/>
      <w:pPr>
        <w:ind w:left="1853" w:hanging="360"/>
      </w:pPr>
      <w:rPr>
        <w:rFonts w:hint="default"/>
      </w:rPr>
    </w:lvl>
    <w:lvl w:ilvl="1" w:tplc="040C0019" w:tentative="1">
      <w:start w:val="1"/>
      <w:numFmt w:val="lowerLetter"/>
      <w:lvlText w:val="%2."/>
      <w:lvlJc w:val="left"/>
      <w:pPr>
        <w:ind w:left="2573" w:hanging="360"/>
      </w:pPr>
    </w:lvl>
    <w:lvl w:ilvl="2" w:tplc="040C001B" w:tentative="1">
      <w:start w:val="1"/>
      <w:numFmt w:val="lowerRoman"/>
      <w:lvlText w:val="%3."/>
      <w:lvlJc w:val="right"/>
      <w:pPr>
        <w:ind w:left="3293" w:hanging="180"/>
      </w:pPr>
    </w:lvl>
    <w:lvl w:ilvl="3" w:tplc="040C000F" w:tentative="1">
      <w:start w:val="1"/>
      <w:numFmt w:val="decimal"/>
      <w:lvlText w:val="%4."/>
      <w:lvlJc w:val="left"/>
      <w:pPr>
        <w:ind w:left="4013" w:hanging="360"/>
      </w:pPr>
    </w:lvl>
    <w:lvl w:ilvl="4" w:tplc="040C0019" w:tentative="1">
      <w:start w:val="1"/>
      <w:numFmt w:val="lowerLetter"/>
      <w:lvlText w:val="%5."/>
      <w:lvlJc w:val="left"/>
      <w:pPr>
        <w:ind w:left="4733" w:hanging="360"/>
      </w:pPr>
    </w:lvl>
    <w:lvl w:ilvl="5" w:tplc="040C001B" w:tentative="1">
      <w:start w:val="1"/>
      <w:numFmt w:val="lowerRoman"/>
      <w:lvlText w:val="%6."/>
      <w:lvlJc w:val="right"/>
      <w:pPr>
        <w:ind w:left="5453" w:hanging="180"/>
      </w:pPr>
    </w:lvl>
    <w:lvl w:ilvl="6" w:tplc="040C000F" w:tentative="1">
      <w:start w:val="1"/>
      <w:numFmt w:val="decimal"/>
      <w:lvlText w:val="%7."/>
      <w:lvlJc w:val="left"/>
      <w:pPr>
        <w:ind w:left="6173" w:hanging="360"/>
      </w:pPr>
    </w:lvl>
    <w:lvl w:ilvl="7" w:tplc="040C0019" w:tentative="1">
      <w:start w:val="1"/>
      <w:numFmt w:val="lowerLetter"/>
      <w:lvlText w:val="%8."/>
      <w:lvlJc w:val="left"/>
      <w:pPr>
        <w:ind w:left="6893" w:hanging="360"/>
      </w:pPr>
    </w:lvl>
    <w:lvl w:ilvl="8" w:tplc="040C001B" w:tentative="1">
      <w:start w:val="1"/>
      <w:numFmt w:val="lowerRoman"/>
      <w:lvlText w:val="%9."/>
      <w:lvlJc w:val="right"/>
      <w:pPr>
        <w:ind w:left="7613" w:hanging="180"/>
      </w:pPr>
    </w:lvl>
  </w:abstractNum>
  <w:abstractNum w:abstractNumId="16" w15:restartNumberingAfterBreak="0">
    <w:nsid w:val="67FE507F"/>
    <w:multiLevelType w:val="hybridMultilevel"/>
    <w:tmpl w:val="DF7630F2"/>
    <w:lvl w:ilvl="0" w:tplc="26EC9BCC">
      <w:start w:val="1"/>
      <w:numFmt w:val="none"/>
      <w:lvlText w:val="(أ)"/>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8D50DD4"/>
    <w:multiLevelType w:val="hybridMultilevel"/>
    <w:tmpl w:val="99A28858"/>
    <w:lvl w:ilvl="0" w:tplc="247AADBE">
      <w:start w:val="1"/>
      <w:numFmt w:val="none"/>
      <w:lvlText w:val="(ب)"/>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num w:numId="1">
    <w:abstractNumId w:val="18"/>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13"/>
  </w:num>
  <w:num w:numId="13">
    <w:abstractNumId w:val="11"/>
  </w:num>
  <w:num w:numId="14">
    <w:abstractNumId w:val="16"/>
  </w:num>
  <w:num w:numId="15">
    <w:abstractNumId w:val="10"/>
  </w:num>
  <w:num w:numId="16">
    <w:abstractNumId w:val="14"/>
  </w:num>
  <w:num w:numId="17">
    <w:abstractNumId w:val="17"/>
  </w:num>
  <w:num w:numId="18">
    <w:abstractNumId w:val="15"/>
  </w:num>
  <w:num w:numId="19">
    <w:abstractNumId w:val="12"/>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lvlOverride w:ilvl="0">
      <w:startOverride w:val="17"/>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E94"/>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3EE2"/>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44CC"/>
    <w:rsid w:val="000A53C5"/>
    <w:rsid w:val="000A5408"/>
    <w:rsid w:val="000A6510"/>
    <w:rsid w:val="000A6D68"/>
    <w:rsid w:val="000A7CF7"/>
    <w:rsid w:val="000B010C"/>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6BFE"/>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4A3"/>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3DA3"/>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87E94"/>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3FD6"/>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5F9"/>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5F33"/>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015"/>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3FFA"/>
    <w:rsid w:val="00785BD7"/>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13D"/>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471A"/>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344E"/>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9F7B4E"/>
    <w:rsid w:val="00A0042C"/>
    <w:rsid w:val="00A00495"/>
    <w:rsid w:val="00A01368"/>
    <w:rsid w:val="00A01925"/>
    <w:rsid w:val="00A01DEB"/>
    <w:rsid w:val="00A06D32"/>
    <w:rsid w:val="00A07545"/>
    <w:rsid w:val="00A13947"/>
    <w:rsid w:val="00A13E2B"/>
    <w:rsid w:val="00A1562A"/>
    <w:rsid w:val="00A15901"/>
    <w:rsid w:val="00A15EE6"/>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4FE7"/>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0CEE"/>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2BCD"/>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6E85"/>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40A"/>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259"/>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5B7"/>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EC8"/>
    <w:rsid w:val="00D00733"/>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4A55"/>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64BD"/>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2AC8"/>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2876"/>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02E"/>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8DE"/>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18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5E5F"/>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883"/>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E5BDAEF7-AD26-4480-AFC8-2A97FD416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918DE"/>
    <w:pPr>
      <w:bidi/>
    </w:pPr>
  </w:style>
  <w:style w:type="paragraph" w:styleId="Heading1">
    <w:name w:val="heading 1"/>
    <w:basedOn w:val="Normal"/>
    <w:next w:val="BodyText"/>
    <w:link w:val="Heading1Char"/>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rsid w:val="009B7572"/>
    <w:rPr>
      <w:rFonts w:ascii="Arial Black" w:hAnsi="Arial Black" w:cs="PT Bold Heading"/>
      <w:sz w:val="34"/>
      <w:szCs w:val="34"/>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rsid w:val="0023693F"/>
    <w:rPr>
      <w:rFonts w:ascii="Tahoma" w:hAnsi="Tahoma" w:cs="Tahoma"/>
      <w:sz w:val="16"/>
      <w:szCs w:val="16"/>
    </w:rPr>
  </w:style>
  <w:style w:type="character" w:customStyle="1" w:styleId="BalloonTextChar">
    <w:name w:val="Balloon Text Char"/>
    <w:basedOn w:val="DefaultParagraphFont"/>
    <w:link w:val="BalloonText"/>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5"/>
      </w:numPr>
    </w:pPr>
    <w:rPr>
      <w:rFonts w:eastAsia="SimSun"/>
      <w:lang w:eastAsia="zh-CN" w:bidi="ar-SA"/>
    </w:rPr>
  </w:style>
  <w:style w:type="paragraph" w:styleId="BodyText">
    <w:name w:val="Body Text"/>
    <w:link w:val="BodyTextChar"/>
    <w:uiPriority w:val="99"/>
    <w:rsid w:val="00BB6440"/>
    <w:pPr>
      <w:bidi/>
      <w:spacing w:before="200"/>
    </w:pPr>
    <w:rPr>
      <w:lang w:bidi="ar-EG"/>
    </w:rPr>
  </w:style>
  <w:style w:type="character" w:customStyle="1" w:styleId="BodyTextChar">
    <w:name w:val="Body Text Char"/>
    <w:basedOn w:val="DefaultParagraphFont"/>
    <w:link w:val="BodyText"/>
    <w:uiPriority w:val="99"/>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link w:val="TOC1Char"/>
    <w:autoRedefine/>
    <w:uiPriority w:val="39"/>
    <w:qFormat/>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uiPriority w:val="99"/>
    <w:rsid w:val="00D47077"/>
    <w:pPr>
      <w:ind w:left="567"/>
    </w:pPr>
  </w:style>
  <w:style w:type="character" w:customStyle="1" w:styleId="BodyTextFirstIndentChar">
    <w:name w:val="Body Text First Indent Char"/>
    <w:basedOn w:val="BodyTextChar"/>
    <w:link w:val="BodyTextFirstIndent"/>
    <w:uiPriority w:val="99"/>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numbering" w:customStyle="1" w:styleId="NoList1">
    <w:name w:val="No List1"/>
    <w:next w:val="NoList"/>
    <w:uiPriority w:val="99"/>
    <w:semiHidden/>
    <w:unhideWhenUsed/>
    <w:rsid w:val="00387E94"/>
  </w:style>
  <w:style w:type="character" w:customStyle="1" w:styleId="TOC1Char">
    <w:name w:val="TOC 1 Char"/>
    <w:basedOn w:val="DefaultParagraphFont"/>
    <w:link w:val="TOC1"/>
    <w:uiPriority w:val="39"/>
    <w:rsid w:val="00387E94"/>
    <w:rPr>
      <w:b/>
      <w:bCs/>
      <w:noProof/>
    </w:rPr>
  </w:style>
  <w:style w:type="character" w:customStyle="1" w:styleId="HeaderChar">
    <w:name w:val="Header Char"/>
    <w:basedOn w:val="DefaultParagraphFont"/>
    <w:link w:val="Header"/>
    <w:semiHidden/>
    <w:rsid w:val="00387E94"/>
  </w:style>
  <w:style w:type="character" w:customStyle="1" w:styleId="FooterChar">
    <w:name w:val="Footer Char"/>
    <w:basedOn w:val="DefaultParagraphFont"/>
    <w:link w:val="Footer"/>
    <w:semiHidden/>
    <w:rsid w:val="00387E94"/>
  </w:style>
  <w:style w:type="character" w:customStyle="1" w:styleId="SalutationChar">
    <w:name w:val="Salutation Char"/>
    <w:basedOn w:val="DefaultParagraphFont"/>
    <w:link w:val="Salutation"/>
    <w:semiHidden/>
    <w:rsid w:val="00387E94"/>
  </w:style>
  <w:style w:type="character" w:customStyle="1" w:styleId="SignatureChar">
    <w:name w:val="Signature Char"/>
    <w:basedOn w:val="DefaultParagraphFont"/>
    <w:link w:val="Signature"/>
    <w:semiHidden/>
    <w:rsid w:val="00387E94"/>
  </w:style>
  <w:style w:type="paragraph" w:customStyle="1" w:styleId="NormalParaAR">
    <w:name w:val="Normal_Para_AR"/>
    <w:rsid w:val="00387E94"/>
    <w:pPr>
      <w:bidi/>
      <w:spacing w:after="240" w:line="360" w:lineRule="exact"/>
    </w:pPr>
  </w:style>
  <w:style w:type="character" w:customStyle="1" w:styleId="EndnoteTextChar">
    <w:name w:val="Endnote Text Char"/>
    <w:basedOn w:val="DefaultParagraphFont"/>
    <w:link w:val="EndnoteText"/>
    <w:semiHidden/>
    <w:rsid w:val="00387E94"/>
    <w:rPr>
      <w:sz w:val="18"/>
    </w:rPr>
  </w:style>
  <w:style w:type="paragraph" w:customStyle="1" w:styleId="NumberedParaAR">
    <w:name w:val="Numbered_Para_AR"/>
    <w:basedOn w:val="NormalParaAR"/>
    <w:rsid w:val="00387E94"/>
    <w:pPr>
      <w:tabs>
        <w:tab w:val="num" w:pos="567"/>
      </w:tabs>
    </w:pPr>
  </w:style>
  <w:style w:type="table" w:customStyle="1" w:styleId="TableGrid1">
    <w:name w:val="Table Grid1"/>
    <w:basedOn w:val="TableNormal"/>
    <w:next w:val="TableGrid"/>
    <w:rsid w:val="00387E94"/>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CodeAR">
    <w:name w:val="Document_Code_AR"/>
    <w:basedOn w:val="Normal"/>
    <w:next w:val="DocumentLanguageAR"/>
    <w:rsid w:val="00387E94"/>
    <w:pPr>
      <w:bidi w:val="0"/>
      <w:jc w:val="right"/>
    </w:pPr>
    <w:rPr>
      <w:rFonts w:ascii="Arial Black" w:hAnsi="Arial Black"/>
      <w:b/>
      <w:bCs/>
      <w:sz w:val="16"/>
      <w:szCs w:val="16"/>
    </w:rPr>
  </w:style>
  <w:style w:type="paragraph" w:customStyle="1" w:styleId="DocumentLanguageAR">
    <w:name w:val="Document_Language_AR"/>
    <w:basedOn w:val="Normal"/>
    <w:next w:val="DocumentDateAR"/>
    <w:rsid w:val="00387E94"/>
    <w:pPr>
      <w:bidi w:val="0"/>
      <w:spacing w:line="240" w:lineRule="exact"/>
      <w:jc w:val="right"/>
    </w:pPr>
    <w:rPr>
      <w:b/>
      <w:bCs/>
      <w:sz w:val="30"/>
      <w:szCs w:val="30"/>
    </w:rPr>
  </w:style>
  <w:style w:type="paragraph" w:customStyle="1" w:styleId="DocumentDateAR">
    <w:name w:val="Document_Date_AR"/>
    <w:basedOn w:val="Normal"/>
    <w:next w:val="NormalParaAR"/>
    <w:rsid w:val="00387E94"/>
    <w:pPr>
      <w:bidi w:val="0"/>
      <w:jc w:val="right"/>
    </w:pPr>
    <w:rPr>
      <w:b/>
      <w:bCs/>
      <w:sz w:val="30"/>
      <w:szCs w:val="30"/>
    </w:rPr>
  </w:style>
  <w:style w:type="paragraph" w:customStyle="1" w:styleId="MeetingTitleAR">
    <w:name w:val="Meeting_Title_AR"/>
    <w:basedOn w:val="Normal"/>
    <w:next w:val="NormalParaAR"/>
    <w:rsid w:val="00387E94"/>
    <w:pPr>
      <w:bidi w:val="0"/>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387E94"/>
    <w:pPr>
      <w:bidi w:val="0"/>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387E94"/>
    <w:pPr>
      <w:bidi w:val="0"/>
      <w:spacing w:line="360" w:lineRule="exact"/>
    </w:pPr>
    <w:rPr>
      <w:b/>
      <w:bCs/>
    </w:rPr>
  </w:style>
  <w:style w:type="paragraph" w:customStyle="1" w:styleId="DocumentTitleAR">
    <w:name w:val="Document_Title_AR"/>
    <w:basedOn w:val="Normal"/>
    <w:next w:val="PreparedbyAR"/>
    <w:rsid w:val="00387E94"/>
    <w:pPr>
      <w:bidi w:val="0"/>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387E94"/>
    <w:pPr>
      <w:bidi w:val="0"/>
      <w:spacing w:before="240" w:after="840" w:line="360" w:lineRule="exact"/>
    </w:pPr>
    <w:rPr>
      <w:i/>
      <w:iCs/>
    </w:rPr>
  </w:style>
  <w:style w:type="paragraph" w:customStyle="1" w:styleId="DecisionParaAR">
    <w:name w:val="Decision_Para_AR"/>
    <w:basedOn w:val="NumberedParaAR"/>
    <w:rsid w:val="00387E94"/>
    <w:pPr>
      <w:ind w:left="5534"/>
    </w:pPr>
    <w:rPr>
      <w:i/>
      <w:iCs/>
    </w:rPr>
  </w:style>
  <w:style w:type="paragraph" w:customStyle="1" w:styleId="EndofDocumentAR">
    <w:name w:val="End_of_Document_AR"/>
    <w:basedOn w:val="NormalParaAR"/>
    <w:next w:val="NormalParaAR"/>
    <w:rsid w:val="00387E94"/>
    <w:pPr>
      <w:ind w:left="5534"/>
    </w:pPr>
  </w:style>
  <w:style w:type="paragraph" w:customStyle="1" w:styleId="Heading1AR">
    <w:name w:val="Heading_1_AR"/>
    <w:basedOn w:val="NormalParaAR"/>
    <w:next w:val="NormalParaAR"/>
    <w:rsid w:val="00387E94"/>
    <w:pPr>
      <w:keepNext/>
      <w:spacing w:before="240" w:after="60" w:line="400" w:lineRule="exact"/>
    </w:pPr>
    <w:rPr>
      <w:bCs/>
      <w:sz w:val="40"/>
      <w:szCs w:val="40"/>
    </w:rPr>
  </w:style>
  <w:style w:type="paragraph" w:customStyle="1" w:styleId="Heading2AR">
    <w:name w:val="Heading_2_AR"/>
    <w:basedOn w:val="Heading1AR"/>
    <w:next w:val="NormalParaAR"/>
    <w:rsid w:val="00387E94"/>
    <w:rPr>
      <w:bCs w:val="0"/>
    </w:rPr>
  </w:style>
  <w:style w:type="paragraph" w:customStyle="1" w:styleId="Heading3AR">
    <w:name w:val="Heading_3_AR"/>
    <w:basedOn w:val="Heading2AR"/>
    <w:next w:val="NormalParaAR"/>
    <w:rsid w:val="00387E94"/>
    <w:pPr>
      <w:spacing w:before="120" w:line="360" w:lineRule="exact"/>
    </w:pPr>
    <w:rPr>
      <w:sz w:val="36"/>
      <w:szCs w:val="36"/>
      <w:u w:val="single"/>
    </w:rPr>
  </w:style>
  <w:style w:type="paragraph" w:customStyle="1" w:styleId="Heading4AR">
    <w:name w:val="Heading_4_AR"/>
    <w:basedOn w:val="Heading3AR"/>
    <w:next w:val="NormalParaAR"/>
    <w:rsid w:val="00387E94"/>
    <w:rPr>
      <w:iCs/>
      <w:u w:val="none"/>
    </w:rPr>
  </w:style>
  <w:style w:type="character" w:customStyle="1" w:styleId="FollowedHyperlink1">
    <w:name w:val="FollowedHyperlink1"/>
    <w:basedOn w:val="DefaultParagraphFont"/>
    <w:semiHidden/>
    <w:unhideWhenUsed/>
    <w:rsid w:val="00387E94"/>
    <w:rPr>
      <w:color w:val="954F72"/>
      <w:u w:val="single"/>
    </w:rPr>
  </w:style>
  <w:style w:type="paragraph" w:styleId="ListParagraph">
    <w:name w:val="List Paragraph"/>
    <w:basedOn w:val="Normal"/>
    <w:uiPriority w:val="34"/>
    <w:qFormat/>
    <w:rsid w:val="00387E94"/>
    <w:pPr>
      <w:bidi w:val="0"/>
      <w:ind w:left="720"/>
      <w:contextualSpacing/>
    </w:pPr>
    <w:rPr>
      <w:rFonts w:ascii="Arial" w:hAnsi="Arial" w:cs="Arial"/>
      <w:sz w:val="22"/>
      <w:szCs w:val="20"/>
    </w:rPr>
  </w:style>
  <w:style w:type="character" w:customStyle="1" w:styleId="UnresolvedMention">
    <w:name w:val="Unresolved Mention"/>
    <w:basedOn w:val="DefaultParagraphFont"/>
    <w:uiPriority w:val="99"/>
    <w:semiHidden/>
    <w:unhideWhenUsed/>
    <w:rsid w:val="00387E94"/>
    <w:rPr>
      <w:color w:val="605E5C"/>
      <w:shd w:val="clear" w:color="auto" w:fill="E1DFDD"/>
    </w:rPr>
  </w:style>
  <w:style w:type="character" w:styleId="FollowedHyperlink">
    <w:name w:val="FollowedHyperlink"/>
    <w:basedOn w:val="DefaultParagraphFont"/>
    <w:semiHidden/>
    <w:unhideWhenUsed/>
    <w:rsid w:val="00387E9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6" Type="http://schemas.openxmlformats.org/officeDocument/2006/relationships/hyperlink" Target="http://www.wipo.int/amc/en/domains/search/legalindex/" TargetMode="External"/><Relationship Id="rId21" Type="http://schemas.openxmlformats.org/officeDocument/2006/relationships/hyperlink" Target="http://www.wipo.int/amc/en/processes/process2/report" TargetMode="External"/><Relationship Id="rId42" Type="http://schemas.openxmlformats.org/officeDocument/2006/relationships/hyperlink" Target="https://community.icann.org/display/gnsoudrpdt/Webinar+on+the+Current+State+of+the+UDRP" TargetMode="External"/><Relationship Id="rId47" Type="http://schemas.openxmlformats.org/officeDocument/2006/relationships/hyperlink" Target="https://68.schedule.icann.org/" TargetMode="External"/><Relationship Id="rId63" Type="http://schemas.openxmlformats.org/officeDocument/2006/relationships/hyperlink" Target="http://www.icann.org/en/system/files/correspondence/igo-ingo-wg-to-icann-board-16aug18-en.pdf" TargetMode="External"/><Relationship Id="rId68" Type="http://schemas.openxmlformats.org/officeDocument/2006/relationships/hyperlink" Target="http://newgtlds.icann.org/en/applicants/agb/evaluation-procedures-04jun12-en.pdf" TargetMode="External"/><Relationship Id="rId2" Type="http://schemas.openxmlformats.org/officeDocument/2006/relationships/hyperlink" Target="https://www.wipo.int/amc/en/eadr" TargetMode="External"/><Relationship Id="rId16" Type="http://schemas.openxmlformats.org/officeDocument/2006/relationships/hyperlink" Target="https://www.wipo.int/newsletters-archive/en/adr_highlights.html" TargetMode="External"/><Relationship Id="rId29" Type="http://schemas.openxmlformats.org/officeDocument/2006/relationships/hyperlink" Target="https://www.wipo.int/edocs/pubdocs/en/wipo_pub_1069.pdf" TargetMode="External"/><Relationship Id="rId11" Type="http://schemas.openxmlformats.org/officeDocument/2006/relationships/hyperlink" Target="http://www.wipo.int/amc/en/center/specific-sectors/ipoffices/" TargetMode="External"/><Relationship Id="rId24" Type="http://schemas.openxmlformats.org/officeDocument/2006/relationships/hyperlink" Target="https://www.wipo.int/portal/en/news/2019/article_0050.html" TargetMode="External"/><Relationship Id="rId32" Type="http://schemas.openxmlformats.org/officeDocument/2006/relationships/hyperlink" Target="http://newgtlds.icann.org/en/program-status/delegated-strings" TargetMode="External"/><Relationship Id="rId37" Type="http://schemas.openxmlformats.org/officeDocument/2006/relationships/hyperlink" Target="http://www.wipo.int/amc/en/domains/lro/cases/" TargetMode="External"/><Relationship Id="rId40" Type="http://schemas.openxmlformats.org/officeDocument/2006/relationships/hyperlink" Target="https://www.icann.org/en/system/files/files/feedback-picdrp-panel-report-14mar17-en.pdf" TargetMode="External"/><Relationship Id="rId45" Type="http://schemas.openxmlformats.org/officeDocument/2006/relationships/hyperlink" Target="https://www.icann.org/resources/pages/gtld-registration-data-specs-en" TargetMode="External"/><Relationship Id="rId53" Type="http://schemas.openxmlformats.org/officeDocument/2006/relationships/hyperlink" Target="http://www.icann.org/en/news/correspondence/dryden-to-crocker-chalaby-22mar13-en" TargetMode="External"/><Relationship Id="rId58" Type="http://schemas.openxmlformats.org/officeDocument/2006/relationships/hyperlink" Target="https://www.icann.org/en/system/files/files/resolutions-abudhabi60-gac-advice-scorecard-04feb18-en.pdf" TargetMode="External"/><Relationship Id="rId66" Type="http://schemas.openxmlformats.org/officeDocument/2006/relationships/hyperlink" Target="http://newgtlds.icann.org/en/applicants/agb/base-agreement-specs-04jun12-en.pdf" TargetMode="External"/><Relationship Id="rId74" Type="http://schemas.openxmlformats.org/officeDocument/2006/relationships/hyperlink" Target="https://forum.icann.org/lists/comments-proposed-measures-two-char-08jul16/pdfECmcS9knuk.pdf" TargetMode="External"/><Relationship Id="rId5" Type="http://schemas.openxmlformats.org/officeDocument/2006/relationships/hyperlink" Target="https://www.wipo.int/amc/en/center/wipocenterupdate.html" TargetMode="External"/><Relationship Id="rId61" Type="http://schemas.openxmlformats.org/officeDocument/2006/relationships/hyperlink" Target="http://www.icann.org/en/system/files/files/resolutions-abudhabi60-gac-advice-scorecard-04feb18-en.pdf" TargetMode="External"/><Relationship Id="rId19" Type="http://schemas.openxmlformats.org/officeDocument/2006/relationships/hyperlink" Target="https://www.wipo.int/amc/en/mediation/pledge.html" TargetMode="External"/><Relationship Id="rId14" Type="http://schemas.openxmlformats.org/officeDocument/2006/relationships/hyperlink" Target="http://www.wipo.int/amc/en/center/specific-sectors/rd/" TargetMode="External"/><Relationship Id="rId22" Type="http://schemas.openxmlformats.org/officeDocument/2006/relationships/hyperlink" Target="http://www.wipo.int/amc/en/domains/challenged" TargetMode="External"/><Relationship Id="rId27" Type="http://schemas.openxmlformats.org/officeDocument/2006/relationships/hyperlink" Target="http://www.wipo.int/amc/en/domains/cctld" TargetMode="External"/><Relationship Id="rId30" Type="http://schemas.openxmlformats.org/officeDocument/2006/relationships/hyperlink" Target="http://www.icann.org/en/minutes/resolutions-20jun11-en.htm" TargetMode="External"/><Relationship Id="rId35" Type="http://schemas.openxmlformats.org/officeDocument/2006/relationships/hyperlink" Target="http://www.wipo.int/amc/en/domains/lro/fees/" TargetMode="External"/><Relationship Id="rId43" Type="http://schemas.openxmlformats.org/officeDocument/2006/relationships/hyperlink" Target="http://gnso.icann.org/en/issues/new-gtlds/rpm-prelim-issue-09oct15-en.pdf" TargetMode="External"/><Relationship Id="rId48" Type="http://schemas.openxmlformats.org/officeDocument/2006/relationships/hyperlink" Target="https://www.icann.org/en/system/files/files/idn-cctld-implementation-plan-16nov09-en.pdf" TargetMode="External"/><Relationship Id="rId56" Type="http://schemas.openxmlformats.org/officeDocument/2006/relationships/hyperlink" Target="https://www.icann.org/resources/board-material/resolutions-new-gtld-2013-07-17-en" TargetMode="External"/><Relationship Id="rId64" Type="http://schemas.openxmlformats.org/officeDocument/2006/relationships/hyperlink" Target="https://icann66.pathable.com/meetings/1116847" TargetMode="External"/><Relationship Id="rId69" Type="http://schemas.openxmlformats.org/officeDocument/2006/relationships/hyperlink" Target="https://www.icann.org/en/system/files/correspondence/gac-to-board-27mar14-en.pdf" TargetMode="External"/><Relationship Id="rId8" Type="http://schemas.openxmlformats.org/officeDocument/2006/relationships/hyperlink" Target="https://www.wipo.int/amc/en/center/specific-sectors/ict/frand" TargetMode="External"/><Relationship Id="rId51" Type="http://schemas.openxmlformats.org/officeDocument/2006/relationships/hyperlink" Target="https://gacweb.icann.org/download/attachments/27132070/FINAL_Toronto_Communique_20121017.pdf?version=1&amp;modificationDate=1354149148000&amp;api=v2" TargetMode="External"/><Relationship Id="rId72" Type="http://schemas.openxmlformats.org/officeDocument/2006/relationships/hyperlink" Target="https://www.icann.org/resources/board-material/resolutions-2019-05-15-en" TargetMode="External"/><Relationship Id="rId3" Type="http://schemas.openxmlformats.org/officeDocument/2006/relationships/hyperlink" Target="http://www.wipo.int/amc-apps/clause-generator" TargetMode="External"/><Relationship Id="rId12" Type="http://schemas.openxmlformats.org/officeDocument/2006/relationships/hyperlink" Target="http://www.wipo.int/dcea/en/roving_seminars/" TargetMode="External"/><Relationship Id="rId17" Type="http://schemas.openxmlformats.org/officeDocument/2006/relationships/hyperlink" Target="https://www.wipo.int/amc/en/events/webinar.html" TargetMode="External"/><Relationship Id="rId25" Type="http://schemas.openxmlformats.org/officeDocument/2006/relationships/hyperlink" Target="http://www.wipo.int/amc/en/domains/search/overview3.0/" TargetMode="External"/><Relationship Id="rId33" Type="http://schemas.openxmlformats.org/officeDocument/2006/relationships/hyperlink" Target="http://www.wipo.int/edocs/pubdocs/en/marks/845/pub845.pdf" TargetMode="External"/><Relationship Id="rId38" Type="http://schemas.openxmlformats.org/officeDocument/2006/relationships/hyperlink" Target="http://www.wipo.int/amc/en/docs/lroreport.pdf" TargetMode="External"/><Relationship Id="rId46" Type="http://schemas.openxmlformats.org/officeDocument/2006/relationships/hyperlink" Target="https://www.icann.org/en/system/files/files/framework-elements-unified-access-model-for-discussion-18jun18-en.pdf" TargetMode="External"/><Relationship Id="rId59" Type="http://schemas.openxmlformats.org/officeDocument/2006/relationships/hyperlink" Target="http://www.icann.org/resources/pages/igo-ingo-protection-policy-2018-01-16-en" TargetMode="External"/><Relationship Id="rId67" Type="http://schemas.openxmlformats.org/officeDocument/2006/relationships/hyperlink" Target="http://newgtlds.icann.org/en/applicants/agb/evaluation-procedures-04jun12-en.pdf" TargetMode="External"/><Relationship Id="rId20" Type="http://schemas.openxmlformats.org/officeDocument/2006/relationships/hyperlink" Target="http://www.wipo.int/amc/en/processes/process1/report" TargetMode="External"/><Relationship Id="rId41" Type="http://schemas.openxmlformats.org/officeDocument/2006/relationships/hyperlink" Target="http://trademark-clearinghouse.com/content/tmch-stats" TargetMode="External"/><Relationship Id="rId54" Type="http://schemas.openxmlformats.org/officeDocument/2006/relationships/hyperlink" Target="http://www.icann.org/en/news/correspondence/crocker-to-dryden-01apr13-en" TargetMode="External"/><Relationship Id="rId62" Type="http://schemas.openxmlformats.org/officeDocument/2006/relationships/hyperlink" Target="http://www.icann.org/en/system/files/correspondence/mathias-to-board-27jul18-en.pdf" TargetMode="External"/><Relationship Id="rId70" Type="http://schemas.openxmlformats.org/officeDocument/2006/relationships/hyperlink" Target="https://www.icann.org/en/system/files/correspondence/gac-to-board-11apr13-en.pdf" TargetMode="External"/><Relationship Id="rId75" Type="http://schemas.openxmlformats.org/officeDocument/2006/relationships/hyperlink" Target="https://static.ptbl.co/static/attachments/169910/1521228229.pdf?1521228229" TargetMode="External"/><Relationship Id="rId1" Type="http://schemas.openxmlformats.org/officeDocument/2006/relationships/hyperlink" Target="http://www.wipo.int/amc/en/events" TargetMode="External"/><Relationship Id="rId6" Type="http://schemas.openxmlformats.org/officeDocument/2006/relationships/hyperlink" Target="https://www.wipo.int/amc/en/center/specific-sectors/" TargetMode="External"/><Relationship Id="rId15" Type="http://schemas.openxmlformats.org/officeDocument/2006/relationships/hyperlink" Target="http://www.wipo.int/export/sites/www/amc/en/docs/adrguidejuly2015.pdf" TargetMode="External"/><Relationship Id="rId23" Type="http://schemas.openxmlformats.org/officeDocument/2006/relationships/hyperlink" Target="http://www.wipo.int/amc/en/domains/statistics" TargetMode="External"/><Relationship Id="rId28" Type="http://schemas.openxmlformats.org/officeDocument/2006/relationships/hyperlink" Target="http://www.wipo.int/amc/en/domains/cctld/" TargetMode="External"/><Relationship Id="rId36" Type="http://schemas.openxmlformats.org/officeDocument/2006/relationships/hyperlink" Target="http://www.wipo.int/amc/en/domains/lro/cases/" TargetMode="External"/><Relationship Id="rId49" Type="http://schemas.openxmlformats.org/officeDocument/2006/relationships/hyperlink" Target="http://www.iso.org/iso/english_country_names_and_code_elements" TargetMode="External"/><Relationship Id="rId57" Type="http://schemas.openxmlformats.org/officeDocument/2006/relationships/hyperlink" Target="https://gnso.icann.org/en/council/resolutions" TargetMode="External"/><Relationship Id="rId10" Type="http://schemas.openxmlformats.org/officeDocument/2006/relationships/hyperlink" Target="http://www.wipo.int/amc/en/center/specific-sectors/ipoffices" TargetMode="External"/><Relationship Id="rId31" Type="http://schemas.openxmlformats.org/officeDocument/2006/relationships/hyperlink" Target="http://newgtlds.icann.org/en/applicants/agb" TargetMode="External"/><Relationship Id="rId44" Type="http://schemas.openxmlformats.org/officeDocument/2006/relationships/hyperlink" Target="https://gnso.icann.org/en/issues/new-gtlds/rpm-final-issue-11jan16-en.pdf" TargetMode="External"/><Relationship Id="rId52" Type="http://schemas.openxmlformats.org/officeDocument/2006/relationships/hyperlink" Target="https://www.icann.org/en/system/files/correspondence/crocker-to-dryden-16jan13-en.pdf" TargetMode="External"/><Relationship Id="rId60" Type="http://schemas.openxmlformats.org/officeDocument/2006/relationships/hyperlink" Target="http://www.icann.org/resources/board-material/resolutions-2018-02-04-en" TargetMode="External"/><Relationship Id="rId65" Type="http://schemas.openxmlformats.org/officeDocument/2006/relationships/hyperlink" Target="https://archive.icann.org/en/topics/new-gtlds/gac-principles-regarding-new-gtlds-28mar07-en.pdf" TargetMode="External"/><Relationship Id="rId73" Type="http://schemas.openxmlformats.org/officeDocument/2006/relationships/hyperlink" Target="https://www.icann.org/en/system/files/files/two-character-ltr-ltr-authorization-release-13dec16-en.pdf" TargetMode="External"/><Relationship Id="rId4" Type="http://schemas.openxmlformats.org/officeDocument/2006/relationships/hyperlink" Target="https://www.wipo.int/amc/en/center/wipoupdate.html" TargetMode="External"/><Relationship Id="rId9" Type="http://schemas.openxmlformats.org/officeDocument/2006/relationships/hyperlink" Target="https://www.wipo.int/amc/en/clauses/national_court.html" TargetMode="External"/><Relationship Id="rId13" Type="http://schemas.openxmlformats.org/officeDocument/2006/relationships/hyperlink" Target="http://www.wipo.int/amc/en/center/specific-sectors/ipoffices/" TargetMode="External"/><Relationship Id="rId18" Type="http://schemas.openxmlformats.org/officeDocument/2006/relationships/hyperlink" Target="https://www.linkedin.com/showcase/wipo-arbitration-and-mediation-center/?originalSubdomain=ch" TargetMode="External"/><Relationship Id="rId39" Type="http://schemas.openxmlformats.org/officeDocument/2006/relationships/hyperlink" Target="http://www.wipo.int/amc/en/docs/icann130309.pdf" TargetMode="External"/><Relationship Id="rId34" Type="http://schemas.openxmlformats.org/officeDocument/2006/relationships/hyperlink" Target="http://www.wipo.int/amc/en/docs/wipolrorules.pdf" TargetMode="External"/><Relationship Id="rId50" Type="http://schemas.openxmlformats.org/officeDocument/2006/relationships/hyperlink" Target="http://www.wipo.int/amc/en/docs/wipo.doc" TargetMode="External"/><Relationship Id="rId55" Type="http://schemas.openxmlformats.org/officeDocument/2006/relationships/hyperlink" Target="http://durban47.icann.org/meetings/durban2013/presentation-gac-communique-18jul13-en.pdf" TargetMode="External"/><Relationship Id="rId7" Type="http://schemas.openxmlformats.org/officeDocument/2006/relationships/hyperlink" Target="https://www.wipo.int/amc/en/center/specific-sectors" TargetMode="External"/><Relationship Id="rId71" Type="http://schemas.openxmlformats.org/officeDocument/2006/relationships/hyperlink" Target="https://gacweb.icann.org/download/attachments/27132037/Geo%20names%20in%20new%20gTLDs%20Updated%20%20V3%20%2029%20august%202014%5B4%5D.pdf?version=1&amp;modificationDate=1411549935000&amp;api=v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A49AD-DDEB-4E9B-832A-3A7356622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915</TotalTime>
  <Pages>42</Pages>
  <Words>5185</Words>
  <Characters>28045</Characters>
  <Application>Microsoft Office Word</Application>
  <DocSecurity>0</DocSecurity>
  <Lines>846</Lines>
  <Paragraphs>91</Paragraphs>
  <ScaleCrop>false</ScaleCrop>
  <HeadingPairs>
    <vt:vector size="2" baseType="variant">
      <vt:variant>
        <vt:lpstr>Title</vt:lpstr>
      </vt:variant>
      <vt:variant>
        <vt:i4>1</vt:i4>
      </vt:variant>
    </vt:vector>
  </HeadingPairs>
  <TitlesOfParts>
    <vt:vector size="1" baseType="lpstr">
      <vt:lpstr>WO/GA/53/10 (Arabic)</vt:lpstr>
    </vt:vector>
  </TitlesOfParts>
  <Company>World Intellectual Property Organization</Company>
  <LinksUpToDate>false</LinksUpToDate>
  <CharactersWithSpaces>33131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WO/GA/53/10 (Arabic)</dc:title>
  <dc:creator>MERZOUK Fawzi</dc:creator>
  <cp:keywords>PUBLIC</cp:keywords>
  <cp:lastModifiedBy>HÄFLIGER Patience</cp:lastModifiedBy>
  <cp:revision>25</cp:revision>
  <cp:lastPrinted>2020-07-17T10:40:00Z</cp:lastPrinted>
  <dcterms:created xsi:type="dcterms:W3CDTF">2020-07-07T12:26:00Z</dcterms:created>
  <dcterms:modified xsi:type="dcterms:W3CDTF">2020-07-17T12:28:00Z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64e17eac-79f1-4717-99e2-3b1f6c4f0074</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