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783FFA" w:rsidP="00F85E5F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WO/GA/5</w:t>
      </w:r>
      <w:r w:rsidR="00F85E5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636EA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636EA8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636EA8">
        <w:rPr>
          <w:rFonts w:hint="cs"/>
          <w:b/>
          <w:bCs/>
          <w:sz w:val="30"/>
          <w:szCs w:val="30"/>
          <w:rtl/>
        </w:rPr>
        <w:t>28 يونيو 2019</w:t>
      </w:r>
    </w:p>
    <w:p w:rsidR="002E7810" w:rsidRPr="00FD6D15" w:rsidRDefault="00783FFA" w:rsidP="009B7572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الجمعية</w:t>
      </w:r>
      <w:r>
        <w:rPr>
          <w:rtl/>
        </w:rPr>
        <w:t xml:space="preserve"> </w:t>
      </w:r>
      <w:r>
        <w:rPr>
          <w:rFonts w:hint="eastAsia"/>
          <w:rtl/>
        </w:rPr>
        <w:t>العامة</w:t>
      </w:r>
      <w:r>
        <w:rPr>
          <w:rtl/>
        </w:rPr>
        <w:t xml:space="preserve"> </w:t>
      </w:r>
      <w:r>
        <w:rPr>
          <w:rFonts w:hint="eastAsia"/>
          <w:rtl/>
        </w:rPr>
        <w:t>للويبو</w:t>
      </w:r>
    </w:p>
    <w:p w:rsidR="002E7810" w:rsidRPr="002E7810" w:rsidRDefault="00783FFA" w:rsidP="00F85E5F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F85E5F">
        <w:rPr>
          <w:rFonts w:ascii="Arial Black" w:hAnsi="Arial Black" w:cs="PT Bold Heading" w:hint="cs"/>
          <w:sz w:val="30"/>
          <w:szCs w:val="30"/>
          <w:rtl/>
        </w:rPr>
        <w:t>الحادية و</w:t>
      </w:r>
      <w:r>
        <w:rPr>
          <w:rFonts w:ascii="Arial Black" w:hAnsi="Arial Black" w:cs="PT Bold Heading" w:hint="eastAsia"/>
          <w:sz w:val="30"/>
          <w:szCs w:val="30"/>
          <w:rtl/>
        </w:rPr>
        <w:t>الخمسون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F85E5F">
        <w:rPr>
          <w:rFonts w:ascii="Arial Black" w:hAnsi="Arial Black" w:cs="PT Bold Heading" w:hint="cs"/>
          <w:sz w:val="30"/>
          <w:szCs w:val="30"/>
          <w:rtl/>
        </w:rPr>
        <w:t>العادية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F85E5F">
        <w:rPr>
          <w:rFonts w:ascii="Arial Black" w:hAnsi="Arial Black" w:cs="PT Bold Heading" w:hint="cs"/>
          <w:sz w:val="30"/>
          <w:szCs w:val="30"/>
          <w:rtl/>
        </w:rPr>
        <w:t>الرابعة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783FFA" w:rsidP="00F85E5F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F85E5F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F85E5F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F85E5F">
        <w:rPr>
          <w:rFonts w:hint="cs"/>
          <w:b/>
          <w:bCs/>
          <w:rtl/>
        </w:rPr>
        <w:t>2019</w:t>
      </w:r>
    </w:p>
    <w:p w:rsidR="002E7810" w:rsidRPr="002E7810" w:rsidRDefault="00636EA8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فتح مكاتب خارجية جديدة للويبو خلال الثنائية 2018/19</w:t>
      </w:r>
    </w:p>
    <w:p w:rsidR="003F7284" w:rsidRPr="00BB6440" w:rsidRDefault="00636EA8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الأمانة</w:t>
      </w:r>
    </w:p>
    <w:p w:rsidR="00636EA8" w:rsidRDefault="00636EA8" w:rsidP="00636EA8">
      <w:pPr>
        <w:pStyle w:val="NumberedParaAR"/>
        <w:numPr>
          <w:ilvl w:val="0"/>
          <w:numId w:val="11"/>
        </w:numPr>
        <w:rPr>
          <w:rtl/>
        </w:rPr>
      </w:pPr>
      <w:r>
        <w:rPr>
          <w:rFonts w:hint="cs"/>
          <w:rtl/>
        </w:rPr>
        <w:t>تناولت الجمعية العامة للويبو، في دورتها الخمسين (دورتها الاستثنائية السابعة والعشرين) (من 24</w:t>
      </w:r>
      <w:r>
        <w:rPr>
          <w:rFonts w:hint="eastAsia"/>
          <w:rtl/>
        </w:rPr>
        <w:t> </w:t>
      </w:r>
      <w:r>
        <w:rPr>
          <w:rFonts w:hint="cs"/>
          <w:rtl/>
        </w:rPr>
        <w:t>سبتمبر إلى 2</w:t>
      </w:r>
      <w:r>
        <w:rPr>
          <w:rFonts w:hint="eastAsia"/>
          <w:rtl/>
        </w:rPr>
        <w:t> </w:t>
      </w:r>
      <w:r>
        <w:rPr>
          <w:rFonts w:hint="cs"/>
          <w:rtl/>
        </w:rPr>
        <w:t>أكتوبر 2018)، مسألة فتح مكاتب خارجية جديدة للويبو وقرّرت ما يلي فيما يخص تلك المسألة:</w:t>
      </w:r>
      <w:r>
        <w:rPr>
          <w:rtl/>
        </w:rPr>
        <w:br/>
      </w:r>
      <w:r>
        <w:rPr>
          <w:rFonts w:hint="cs"/>
          <w:rtl/>
        </w:rPr>
        <w:t xml:space="preserve">(يُرجى الرجوع إلى الفقرة 77 من الوثيقة </w:t>
      </w:r>
      <w:r w:rsidRPr="00636EA8">
        <w:rPr>
          <w:lang w:val="en"/>
        </w:rPr>
        <w:t>WO/GA/50/15</w:t>
      </w:r>
      <w:r>
        <w:rPr>
          <w:rFonts w:hint="cs"/>
          <w:rtl/>
          <w:lang w:val="en"/>
        </w:rPr>
        <w:t>).</w:t>
      </w:r>
    </w:p>
    <w:p w:rsidR="00636EA8" w:rsidRDefault="00636EA8" w:rsidP="00636EA8">
      <w:pPr>
        <w:pStyle w:val="NormalParaAR"/>
        <w:ind w:left="566"/>
        <w:rPr>
          <w:rtl/>
        </w:rPr>
      </w:pPr>
      <w:r>
        <w:rPr>
          <w:rFonts w:hint="cs"/>
          <w:rtl/>
        </w:rPr>
        <w:t>"</w:t>
      </w:r>
      <w:r w:rsidRPr="002B70FC">
        <w:rPr>
          <w:rFonts w:ascii="Arial" w:hAnsi="Arial" w:cs="Arial" w:hint="cs"/>
          <w:sz w:val="22"/>
          <w:szCs w:val="20"/>
          <w:rtl/>
        </w:rPr>
        <w:t xml:space="preserve"> </w:t>
      </w:r>
      <w:r w:rsidRPr="00636EA8">
        <w:rPr>
          <w:rFonts w:hint="cs"/>
          <w:rtl/>
        </w:rPr>
        <w:t>قرّرت الجمعية العامة للويبو أن تطلب من رئيس الجمعية العامة للويبو مواصلة المشاورات بغرض تقديم توصية إلى</w:t>
      </w:r>
      <w:r w:rsidRPr="00636EA8">
        <w:rPr>
          <w:rFonts w:hint="eastAsia"/>
          <w:rtl/>
        </w:rPr>
        <w:t> </w:t>
      </w:r>
      <w:r w:rsidRPr="00636EA8">
        <w:rPr>
          <w:rFonts w:hint="cs"/>
          <w:rtl/>
        </w:rPr>
        <w:t>الجمعية العامة لعام 2019 بشأن فتح ما يبلغ أربعة مكاتب خارجية للويبو في الثنائية 2018/2019، بما في ذلك في</w:t>
      </w:r>
      <w:r w:rsidRPr="00636EA8">
        <w:rPr>
          <w:rFonts w:hint="eastAsia"/>
          <w:rtl/>
        </w:rPr>
        <w:t> </w:t>
      </w:r>
      <w:r w:rsidRPr="00636EA8">
        <w:rPr>
          <w:rFonts w:hint="cs"/>
          <w:rtl/>
        </w:rPr>
        <w:t>كولومبيا.</w:t>
      </w:r>
      <w:r>
        <w:rPr>
          <w:rFonts w:hint="cs"/>
          <w:rtl/>
        </w:rPr>
        <w:t>"</w:t>
      </w:r>
    </w:p>
    <w:p w:rsidR="00636EA8" w:rsidRDefault="00636EA8" w:rsidP="00070058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lastRenderedPageBreak/>
        <w:t>و</w:t>
      </w:r>
      <w:r w:rsidR="00070058">
        <w:rPr>
          <w:rFonts w:hint="cs"/>
          <w:rtl/>
        </w:rPr>
        <w:t>طبقا للإجراء المبيّن في ’المبادئ</w:t>
      </w:r>
      <w:r>
        <w:rPr>
          <w:rFonts w:hint="cs"/>
          <w:rtl/>
        </w:rPr>
        <w:t xml:space="preserve"> التوجيهية بشأن مكاتب الويبو الخارجية‘ (يُرجى الرجوع إلى الوثيقة</w:t>
      </w:r>
      <w:r>
        <w:rPr>
          <w:rFonts w:hint="eastAsia"/>
          <w:rtl/>
        </w:rPr>
        <w:t> </w:t>
      </w:r>
      <w:r w:rsidRPr="00B97907">
        <w:t>A/55/13</w:t>
      </w:r>
      <w:r>
        <w:rPr>
          <w:rFonts w:hint="cs"/>
          <w:rtl/>
        </w:rPr>
        <w:t>، التقرير العام الذي اعتمدته جمعيات الويبو)، قدّمت تسع دول أعضاء اقتراحات لفتح مكتب خارجي خلال الثنائية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2018/2019، وهي </w:t>
      </w:r>
      <w:r w:rsidRPr="009D4BEA">
        <w:rPr>
          <w:rtl/>
        </w:rPr>
        <w:t>أذربيجان والهند وإيران (جمهورية - الإسلامية) وع</w:t>
      </w:r>
      <w:r>
        <w:rPr>
          <w:rFonts w:hint="cs"/>
          <w:rtl/>
        </w:rPr>
        <w:t>ُ</w:t>
      </w:r>
      <w:r w:rsidRPr="009D4BEA">
        <w:rPr>
          <w:rtl/>
        </w:rPr>
        <w:t>مان وجمهورية كوريا ورومانيا</w:t>
      </w:r>
      <w:r>
        <w:rPr>
          <w:rFonts w:hint="cs"/>
          <w:rtl/>
        </w:rPr>
        <w:t xml:space="preserve"> </w:t>
      </w:r>
      <w:r w:rsidRPr="009D4BEA">
        <w:rPr>
          <w:rtl/>
        </w:rPr>
        <w:t>والمملكة</w:t>
      </w:r>
      <w:r>
        <w:rPr>
          <w:rFonts w:hint="cs"/>
          <w:rtl/>
        </w:rPr>
        <w:t> </w:t>
      </w:r>
      <w:r w:rsidRPr="009D4BEA">
        <w:rPr>
          <w:rtl/>
        </w:rPr>
        <w:t>العربية</w:t>
      </w:r>
      <w:r>
        <w:rPr>
          <w:rFonts w:hint="cs"/>
          <w:rtl/>
        </w:rPr>
        <w:t> </w:t>
      </w:r>
      <w:r w:rsidRPr="009D4BEA">
        <w:rPr>
          <w:rtl/>
        </w:rPr>
        <w:t>السعودية وتركيا والإمارات العربية المتحدة</w:t>
      </w:r>
      <w:r>
        <w:rPr>
          <w:rFonts w:hint="cs"/>
          <w:rtl/>
        </w:rPr>
        <w:t xml:space="preserve"> (بالترتيب الأبجدي الإنكليزي). ويمكن الاطلاع على تلك الاقتراحات على الموقع الإلكتروني للويبو تحت الدورة السادسة والعشرين للجنة الويبو للبرنامج والميزانية على الرابط التالي: </w:t>
      </w:r>
      <w:hyperlink r:id="rId9" w:history="1">
        <w:r w:rsidR="00070058" w:rsidRPr="00070058">
          <w:rPr>
            <w:rStyle w:val="Hyperlink"/>
            <w:color w:val="auto"/>
            <w:u w:val="none"/>
          </w:rPr>
          <w:t>http://www.wipo.int/meetings/ar/details.jsp?meeting_id=42294</w:t>
        </w:r>
      </w:hyperlink>
      <w:r>
        <w:rPr>
          <w:rFonts w:hint="cs"/>
          <w:rtl/>
        </w:rPr>
        <w:t xml:space="preserve">. ويرد التقرير الوقائعي والتقني الذي أعدته </w:t>
      </w:r>
      <w:r w:rsidR="00070058">
        <w:rPr>
          <w:rFonts w:hint="cs"/>
          <w:rtl/>
        </w:rPr>
        <w:t>أمانة الويبو</w:t>
      </w:r>
      <w:r>
        <w:rPr>
          <w:rFonts w:hint="cs"/>
          <w:rtl/>
        </w:rPr>
        <w:t xml:space="preserve"> على حدة بخصوص تلك الاقتراحات في الوثيقة</w:t>
      </w:r>
      <w:r>
        <w:rPr>
          <w:rFonts w:hint="eastAsia"/>
          <w:rtl/>
        </w:rPr>
        <w:t> </w:t>
      </w:r>
      <w:r w:rsidRPr="009D4BEA">
        <w:t>WO/PBC/26/7</w:t>
      </w:r>
      <w:r>
        <w:rPr>
          <w:rFonts w:hint="cs"/>
          <w:rtl/>
        </w:rPr>
        <w:t>.</w:t>
      </w:r>
    </w:p>
    <w:p w:rsidR="00636EA8" w:rsidRDefault="00636EA8" w:rsidP="00070058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وعلاوة على ذلك، قرّرت الجمعية العامة للويبو أنه ينبغي النظر أيضا في اقتراح فتح مكتب خارجي للويبو في كولومبيا لأغراض الثنائية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2018/2019. ويمكن الاطلاع على اقتراح كولومبيا، المُقدم طبقا للإجراء المبيّن في </w:t>
      </w:r>
      <w:r w:rsidRPr="002531E9">
        <w:rPr>
          <w:rFonts w:hint="cs"/>
          <w:rtl/>
        </w:rPr>
        <w:t>’المبادئ التوجيهية بشأن مكاتب الويبو الخارجية‘</w:t>
      </w:r>
      <w:r>
        <w:rPr>
          <w:rFonts w:hint="cs"/>
          <w:rtl/>
        </w:rPr>
        <w:t xml:space="preserve"> لأغراض الثنائية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2016/2017، على الموقع الإلكتروني للويبو تحت </w:t>
      </w:r>
      <w:r w:rsidRPr="002531E9">
        <w:rPr>
          <w:rFonts w:hint="cs"/>
          <w:rtl/>
        </w:rPr>
        <w:t xml:space="preserve">الدورة </w:t>
      </w:r>
      <w:r>
        <w:rPr>
          <w:rFonts w:hint="cs"/>
          <w:rtl/>
        </w:rPr>
        <w:t>الخامسة</w:t>
      </w:r>
      <w:r w:rsidRPr="002531E9">
        <w:rPr>
          <w:rFonts w:hint="cs"/>
          <w:rtl/>
        </w:rPr>
        <w:t xml:space="preserve"> والعشرين للجنة الويبو للبرنامج والميزانية على الرابط التالي:</w:t>
      </w:r>
      <w:r>
        <w:rPr>
          <w:rFonts w:hint="cs"/>
          <w:rtl/>
        </w:rPr>
        <w:t xml:space="preserve"> </w:t>
      </w:r>
      <w:hyperlink r:id="rId10" w:history="1">
        <w:r w:rsidR="00070058" w:rsidRPr="00070058">
          <w:rPr>
            <w:rStyle w:val="Hyperlink"/>
            <w:color w:val="auto"/>
            <w:u w:val="none"/>
          </w:rPr>
          <w:t>http://www.wipo.int/meetings/ar/details.jsp?meeting_id=39942</w:t>
        </w:r>
      </w:hyperlink>
      <w:r w:rsidRPr="0007005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2531E9">
        <w:rPr>
          <w:rFonts w:hint="cs"/>
          <w:rtl/>
        </w:rPr>
        <w:t xml:space="preserve">ويرد التقرير الوقائعي والتقني الذي أعدته </w:t>
      </w:r>
      <w:r w:rsidR="00070058">
        <w:rPr>
          <w:rFonts w:hint="cs"/>
          <w:rtl/>
        </w:rPr>
        <w:t>أمانة الويبو</w:t>
      </w:r>
      <w:r w:rsidRPr="002531E9">
        <w:rPr>
          <w:rFonts w:hint="cs"/>
          <w:rtl/>
        </w:rPr>
        <w:t xml:space="preserve"> على حدة بخصوص </w:t>
      </w:r>
      <w:r>
        <w:rPr>
          <w:rFonts w:hint="cs"/>
          <w:rtl/>
        </w:rPr>
        <w:t>ذلك الاقتراح في الوثيقة</w:t>
      </w:r>
      <w:r>
        <w:rPr>
          <w:rFonts w:hint="eastAsia"/>
          <w:rtl/>
        </w:rPr>
        <w:t> </w:t>
      </w:r>
      <w:r w:rsidRPr="002531E9">
        <w:t>WO/PBC/25/12</w:t>
      </w:r>
      <w:r>
        <w:rPr>
          <w:rFonts w:hint="cs"/>
          <w:rtl/>
        </w:rPr>
        <w:t>.</w:t>
      </w:r>
    </w:p>
    <w:p w:rsidR="00636EA8" w:rsidRDefault="00636EA8" w:rsidP="003E19BA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 xml:space="preserve">وبناء عليه، تُعرض الاقتراحات المُقدمة من الدول الأعضاء العشر التالية على الدورة </w:t>
      </w:r>
      <w:r w:rsidR="003E19BA">
        <w:rPr>
          <w:rFonts w:hint="cs"/>
          <w:rtl/>
        </w:rPr>
        <w:t>الحادية و</w:t>
      </w:r>
      <w:r>
        <w:rPr>
          <w:rFonts w:hint="cs"/>
          <w:rtl/>
        </w:rPr>
        <w:t xml:space="preserve">الخمسين (الدورة </w:t>
      </w:r>
      <w:r w:rsidR="003E19BA">
        <w:rPr>
          <w:rFonts w:hint="cs"/>
          <w:rtl/>
        </w:rPr>
        <w:t>العادية</w:t>
      </w:r>
      <w:r>
        <w:rPr>
          <w:rFonts w:hint="cs"/>
          <w:rtl/>
        </w:rPr>
        <w:t xml:space="preserve"> </w:t>
      </w:r>
      <w:r w:rsidR="003E19BA">
        <w:rPr>
          <w:rFonts w:hint="cs"/>
          <w:rtl/>
        </w:rPr>
        <w:t>الرابعة</w:t>
      </w:r>
      <w:r>
        <w:rPr>
          <w:rFonts w:hint="cs"/>
          <w:rtl/>
        </w:rPr>
        <w:t xml:space="preserve"> والعشرين) للجمعية العامة للويبو كي تنظر فيها بخصوص فتح </w:t>
      </w:r>
      <w:r w:rsidRPr="00A15960">
        <w:rPr>
          <w:rFonts w:hint="cs"/>
          <w:rtl/>
        </w:rPr>
        <w:t xml:space="preserve">ما يبلغ أربعة مكاتب خارجية </w:t>
      </w:r>
      <w:r w:rsidRPr="00A15960">
        <w:rPr>
          <w:rFonts w:hint="cs"/>
          <w:rtl/>
        </w:rPr>
        <w:lastRenderedPageBreak/>
        <w:t xml:space="preserve">للويبو </w:t>
      </w:r>
      <w:r>
        <w:rPr>
          <w:rFonts w:hint="cs"/>
          <w:rtl/>
        </w:rPr>
        <w:t>في</w:t>
      </w:r>
      <w:r>
        <w:rPr>
          <w:rFonts w:hint="eastAsia"/>
          <w:rtl/>
        </w:rPr>
        <w:t> </w:t>
      </w:r>
      <w:r w:rsidRPr="00A15960">
        <w:rPr>
          <w:rFonts w:hint="cs"/>
          <w:rtl/>
        </w:rPr>
        <w:t>الثنائية</w:t>
      </w:r>
      <w:r w:rsidRPr="00A15960">
        <w:rPr>
          <w:rFonts w:hint="eastAsia"/>
          <w:rtl/>
        </w:rPr>
        <w:t> </w:t>
      </w:r>
      <w:r w:rsidRPr="00A15960">
        <w:rPr>
          <w:rFonts w:hint="cs"/>
          <w:rtl/>
        </w:rPr>
        <w:t>2018/2019</w:t>
      </w:r>
      <w:r>
        <w:rPr>
          <w:rFonts w:hint="cs"/>
          <w:rtl/>
        </w:rPr>
        <w:t xml:space="preserve"> (</w:t>
      </w:r>
      <w:r w:rsidRPr="00A15960">
        <w:rPr>
          <w:rFonts w:hint="cs"/>
          <w:rtl/>
        </w:rPr>
        <w:t>بالترتيب الأبجدي الإنكليزي</w:t>
      </w:r>
      <w:r>
        <w:rPr>
          <w:rFonts w:hint="cs"/>
          <w:rtl/>
        </w:rPr>
        <w:t>):</w:t>
      </w:r>
    </w:p>
    <w:p w:rsidR="00636EA8" w:rsidRDefault="00636EA8" w:rsidP="00636EA8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1.</w:t>
      </w:r>
      <w:r>
        <w:rPr>
          <w:rtl/>
        </w:rPr>
        <w:tab/>
      </w:r>
      <w:r w:rsidRPr="0036174A">
        <w:rPr>
          <w:rtl/>
        </w:rPr>
        <w:t>أذربيجان</w:t>
      </w:r>
    </w:p>
    <w:p w:rsidR="00636EA8" w:rsidRDefault="00636EA8" w:rsidP="00636EA8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2.</w:t>
      </w:r>
      <w:r>
        <w:rPr>
          <w:rtl/>
        </w:rPr>
        <w:tab/>
      </w:r>
      <w:r>
        <w:rPr>
          <w:rFonts w:hint="cs"/>
          <w:rtl/>
        </w:rPr>
        <w:t>كولومبيا</w:t>
      </w:r>
    </w:p>
    <w:p w:rsidR="00636EA8" w:rsidRDefault="00636EA8" w:rsidP="00636EA8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3.</w:t>
      </w:r>
      <w:r>
        <w:rPr>
          <w:rtl/>
        </w:rPr>
        <w:tab/>
      </w:r>
      <w:r>
        <w:rPr>
          <w:rFonts w:hint="cs"/>
          <w:rtl/>
        </w:rPr>
        <w:t>الهند</w:t>
      </w:r>
    </w:p>
    <w:p w:rsidR="00636EA8" w:rsidRDefault="00636EA8" w:rsidP="00636EA8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4.</w:t>
      </w:r>
      <w:r>
        <w:rPr>
          <w:rtl/>
        </w:rPr>
        <w:tab/>
      </w:r>
      <w:r w:rsidRPr="0036174A">
        <w:rPr>
          <w:rtl/>
        </w:rPr>
        <w:t>إيران (جمهورية - الإسلامية)</w:t>
      </w:r>
    </w:p>
    <w:p w:rsidR="00636EA8" w:rsidRDefault="00636EA8" w:rsidP="00636EA8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5.</w:t>
      </w:r>
      <w:r>
        <w:rPr>
          <w:rtl/>
        </w:rPr>
        <w:tab/>
      </w:r>
      <w:r w:rsidRPr="0036174A">
        <w:rPr>
          <w:rtl/>
        </w:rPr>
        <w:t>ع</w:t>
      </w:r>
      <w:r w:rsidRPr="0036174A">
        <w:rPr>
          <w:rFonts w:hint="cs"/>
          <w:rtl/>
        </w:rPr>
        <w:t>ُ</w:t>
      </w:r>
      <w:r w:rsidRPr="0036174A">
        <w:rPr>
          <w:rtl/>
        </w:rPr>
        <w:t>مان</w:t>
      </w:r>
    </w:p>
    <w:p w:rsidR="00636EA8" w:rsidRDefault="00636EA8" w:rsidP="00636EA8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6.</w:t>
      </w:r>
      <w:r>
        <w:rPr>
          <w:rtl/>
        </w:rPr>
        <w:tab/>
      </w:r>
      <w:r w:rsidRPr="0036174A">
        <w:rPr>
          <w:rtl/>
        </w:rPr>
        <w:t>جمهورية كوريا</w:t>
      </w:r>
    </w:p>
    <w:p w:rsidR="00636EA8" w:rsidRDefault="00636EA8" w:rsidP="00636EA8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7.</w:t>
      </w:r>
      <w:r>
        <w:rPr>
          <w:rtl/>
        </w:rPr>
        <w:tab/>
      </w:r>
      <w:r w:rsidRPr="0036174A">
        <w:rPr>
          <w:rtl/>
        </w:rPr>
        <w:t>رومانيا</w:t>
      </w:r>
    </w:p>
    <w:p w:rsidR="00636EA8" w:rsidRDefault="00636EA8" w:rsidP="00636EA8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8.</w:t>
      </w:r>
      <w:r>
        <w:rPr>
          <w:rtl/>
        </w:rPr>
        <w:tab/>
      </w:r>
      <w:r w:rsidRPr="0036174A">
        <w:rPr>
          <w:rtl/>
        </w:rPr>
        <w:t>المملكة</w:t>
      </w:r>
      <w:r>
        <w:rPr>
          <w:rFonts w:hint="cs"/>
          <w:rtl/>
        </w:rPr>
        <w:t xml:space="preserve"> </w:t>
      </w:r>
      <w:r w:rsidRPr="0036174A">
        <w:rPr>
          <w:rtl/>
        </w:rPr>
        <w:t>العربية</w:t>
      </w:r>
      <w:r>
        <w:rPr>
          <w:rFonts w:hint="cs"/>
          <w:rtl/>
        </w:rPr>
        <w:t xml:space="preserve"> </w:t>
      </w:r>
      <w:r w:rsidRPr="0036174A">
        <w:rPr>
          <w:rtl/>
        </w:rPr>
        <w:t>السعودية</w:t>
      </w:r>
    </w:p>
    <w:p w:rsidR="00636EA8" w:rsidRDefault="00636EA8" w:rsidP="00636EA8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9.</w:t>
      </w:r>
      <w:r>
        <w:rPr>
          <w:rtl/>
        </w:rPr>
        <w:tab/>
      </w:r>
      <w:r w:rsidRPr="0036174A">
        <w:rPr>
          <w:rtl/>
        </w:rPr>
        <w:t>تركيا</w:t>
      </w:r>
    </w:p>
    <w:p w:rsidR="00636EA8" w:rsidRDefault="00636EA8" w:rsidP="00636EA8">
      <w:pPr>
        <w:pStyle w:val="NormalParaAR"/>
        <w:ind w:left="566"/>
        <w:rPr>
          <w:rtl/>
        </w:rPr>
      </w:pPr>
      <w:r>
        <w:rPr>
          <w:rFonts w:hint="cs"/>
          <w:rtl/>
        </w:rPr>
        <w:t>10.</w:t>
      </w:r>
      <w:r>
        <w:rPr>
          <w:rtl/>
        </w:rPr>
        <w:tab/>
      </w:r>
      <w:r w:rsidRPr="0036174A">
        <w:rPr>
          <w:rtl/>
        </w:rPr>
        <w:t>الإمارات العربية المتحدة</w:t>
      </w:r>
    </w:p>
    <w:p w:rsidR="00636EA8" w:rsidRDefault="00636EA8" w:rsidP="00636EA8">
      <w:pPr>
        <w:pStyle w:val="DecisionParaAR"/>
        <w:numPr>
          <w:ilvl w:val="0"/>
          <w:numId w:val="11"/>
        </w:numPr>
        <w:spacing w:after="480"/>
        <w:ind w:left="5534"/>
      </w:pPr>
      <w:r>
        <w:rPr>
          <w:rFonts w:hint="cs"/>
          <w:rtl/>
        </w:rPr>
        <w:t>إن الجمعية العامة للويبو مدعوة إلى النظر في فتح ما يبلغ أربعة مكاتب خارجية للويبو في</w:t>
      </w:r>
      <w:r>
        <w:rPr>
          <w:rFonts w:hint="eastAsia"/>
          <w:rtl/>
        </w:rPr>
        <w:t> </w:t>
      </w:r>
      <w:r>
        <w:rPr>
          <w:rFonts w:hint="cs"/>
          <w:rtl/>
        </w:rPr>
        <w:t>الثنائية 2018/2019.</w:t>
      </w:r>
    </w:p>
    <w:p w:rsidR="00E3612C" w:rsidRPr="00FD6D15" w:rsidRDefault="00636EA8" w:rsidP="00636EA8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E3612C" w:rsidRPr="00FD6D15" w:rsidSect="001A35D4">
      <w:headerReference w:type="even" r:id="rId11"/>
      <w:headerReference w:type="default" r:id="rId12"/>
      <w:headerReference w:type="first" r:id="rId13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88" w:rsidRDefault="00231288">
      <w:r>
        <w:separator/>
      </w:r>
    </w:p>
  </w:endnote>
  <w:endnote w:type="continuationSeparator" w:id="0">
    <w:p w:rsidR="00231288" w:rsidRDefault="0023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88" w:rsidRDefault="00231288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31288" w:rsidRDefault="00231288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5D4" w:rsidRDefault="001A35D4" w:rsidP="001A35D4">
    <w:pPr>
      <w:bidi w:val="0"/>
      <w:rPr>
        <w:rFonts w:ascii="Arial" w:hAnsi="Arial" w:cs="Arial"/>
        <w:sz w:val="22"/>
        <w:szCs w:val="22"/>
      </w:rPr>
    </w:pPr>
    <w:r w:rsidRPr="00070058">
      <w:rPr>
        <w:rFonts w:ascii="Arial" w:hAnsi="Arial" w:cs="Arial"/>
        <w:sz w:val="22"/>
        <w:szCs w:val="22"/>
      </w:rPr>
      <w:t>WO/GA/51/4</w:t>
    </w:r>
  </w:p>
  <w:p w:rsidR="001A35D4" w:rsidRPr="00C50A61" w:rsidRDefault="001A35D4" w:rsidP="001A35D4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1A35D4" w:rsidRPr="00C50A61" w:rsidRDefault="001A35D4" w:rsidP="001A35D4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058" w:rsidRDefault="00070058" w:rsidP="00070058">
    <w:pPr>
      <w:bidi w:val="0"/>
      <w:rPr>
        <w:rFonts w:ascii="Arial" w:hAnsi="Arial" w:cs="Arial"/>
        <w:sz w:val="22"/>
        <w:szCs w:val="22"/>
      </w:rPr>
    </w:pPr>
    <w:r w:rsidRPr="00070058">
      <w:rPr>
        <w:rFonts w:ascii="Arial" w:hAnsi="Arial" w:cs="Arial"/>
        <w:sz w:val="22"/>
        <w:szCs w:val="22"/>
      </w:rPr>
      <w:t>WO/GA/51/4</w:t>
    </w:r>
  </w:p>
  <w:p w:rsidR="004C495B" w:rsidRPr="00C50A61" w:rsidRDefault="004C495B" w:rsidP="00070058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1A35D4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5D4" w:rsidRDefault="001A3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88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0058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5D4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288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9BA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264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3FD6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A8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172F4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3FFA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723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259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8DE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5E5F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87FE6C96-4BFF-42FD-8AC1-281AA535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918DE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rsid w:val="00636EA8"/>
    <w:pPr>
      <w:bidi/>
      <w:spacing w:after="240" w:line="360" w:lineRule="exact"/>
    </w:pPr>
  </w:style>
  <w:style w:type="paragraph" w:customStyle="1" w:styleId="NumberedParaAR">
    <w:name w:val="Numbered_Para_AR"/>
    <w:basedOn w:val="NormalParaAR"/>
    <w:rsid w:val="00636EA8"/>
    <w:pPr>
      <w:tabs>
        <w:tab w:val="num" w:pos="567"/>
      </w:tabs>
    </w:pPr>
  </w:style>
  <w:style w:type="paragraph" w:customStyle="1" w:styleId="DecisionParaAR">
    <w:name w:val="Decision_Para_AR"/>
    <w:basedOn w:val="NumberedParaAR"/>
    <w:rsid w:val="00636EA8"/>
    <w:pPr>
      <w:ind w:left="5534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ipo.int/meetings/ar/details.jsp?meeting_id=399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ar/details.jsp?meeting_id=422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B64A5-4027-46AB-8B95-DE3DD13C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2164</Characters>
  <Application>Microsoft Office Word</Application>
  <DocSecurity>0</DocSecurity>
  <Lines>80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WO/GA/51/4 (Arabic)</vt:lpstr>
    </vt:vector>
  </TitlesOfParts>
  <Company>World Intellectual Property Organization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WO/GA/51/4 (Arabic)</dc:title>
  <dc:creator>MERZOUK Fawzi</dc:creator>
  <cp:keywords>PUBLIC</cp:keywords>
  <cp:lastModifiedBy>HÄFLIGER Patience</cp:lastModifiedBy>
  <cp:revision>4</cp:revision>
  <cp:lastPrinted>2019-05-22T10:35:00Z</cp:lastPrinted>
  <dcterms:created xsi:type="dcterms:W3CDTF">2019-06-06T11:40:00Z</dcterms:created>
  <dcterms:modified xsi:type="dcterms:W3CDTF">2019-08-13T14:02:00Z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ca2ef768-3805-485a-a88d-96c1d725188c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