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F85E5F">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WO/GA/5</w:t>
      </w:r>
      <w:r w:rsidR="00F85E5F">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EC7C2E">
        <w:rPr>
          <w:rFonts w:ascii="Arial Black" w:eastAsia="SimSun" w:hAnsi="Arial Black" w:cs="Arial"/>
          <w:b/>
          <w:caps/>
          <w:noProof/>
          <w:sz w:val="16"/>
          <w:szCs w:val="16"/>
          <w:lang w:eastAsia="zh-CN"/>
        </w:rPr>
        <w:t>17</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EC7C2E">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EC7C2E">
        <w:rPr>
          <w:rFonts w:hint="cs"/>
          <w:b/>
          <w:bCs/>
          <w:sz w:val="30"/>
          <w:szCs w:val="30"/>
          <w:rtl/>
        </w:rPr>
        <w:t>24 سبتمبر 2019</w:t>
      </w:r>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F85E5F">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العادية</w:t>
      </w:r>
      <w:r>
        <w:rPr>
          <w:rFonts w:ascii="Arial Black" w:hAnsi="Arial Black" w:cs="PT Bold Heading"/>
          <w:sz w:val="30"/>
          <w:szCs w:val="30"/>
          <w:rtl/>
        </w:rPr>
        <w:t xml:space="preserve"> </w:t>
      </w:r>
      <w:r w:rsidR="00F85E5F">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F85E5F">
      <w:pPr>
        <w:spacing w:line="600" w:lineRule="auto"/>
        <w:rPr>
          <w:b/>
          <w:bCs/>
          <w:rtl/>
        </w:rPr>
      </w:pPr>
      <w:bookmarkStart w:id="9" w:name="Place"/>
      <w:bookmarkEnd w:id="9"/>
      <w:r>
        <w:rPr>
          <w:b/>
          <w:bCs/>
          <w:rtl/>
        </w:rPr>
        <w:t xml:space="preserve">جنيف، من </w:t>
      </w:r>
      <w:r w:rsidR="00F85E5F">
        <w:rPr>
          <w:rFonts w:hint="cs"/>
          <w:b/>
          <w:bCs/>
          <w:rtl/>
        </w:rPr>
        <w:t>30</w:t>
      </w:r>
      <w:r>
        <w:rPr>
          <w:b/>
          <w:bCs/>
          <w:rtl/>
        </w:rPr>
        <w:t xml:space="preserve"> سبتمبر إلى </w:t>
      </w:r>
      <w:r w:rsidR="00F85E5F">
        <w:rPr>
          <w:rFonts w:hint="cs"/>
          <w:b/>
          <w:bCs/>
          <w:rtl/>
        </w:rPr>
        <w:t>9</w:t>
      </w:r>
      <w:r>
        <w:rPr>
          <w:b/>
          <w:bCs/>
          <w:rtl/>
        </w:rPr>
        <w:t xml:space="preserve"> أكتوبر </w:t>
      </w:r>
      <w:r w:rsidR="00F85E5F">
        <w:rPr>
          <w:rFonts w:hint="cs"/>
          <w:b/>
          <w:bCs/>
          <w:rtl/>
        </w:rPr>
        <w:t>2019</w:t>
      </w:r>
    </w:p>
    <w:p w:rsidR="002E7810" w:rsidRPr="002E7810" w:rsidRDefault="006B4CF4" w:rsidP="00874721">
      <w:pPr>
        <w:rPr>
          <w:rFonts w:ascii="Arial Black" w:hAnsi="Arial Black" w:cs="PT Bold Heading"/>
          <w:sz w:val="26"/>
          <w:szCs w:val="26"/>
          <w:rtl/>
        </w:rPr>
      </w:pPr>
      <w:bookmarkStart w:id="10" w:name="TitleOfDoc"/>
      <w:bookmarkEnd w:id="10"/>
      <w:r w:rsidRPr="006B4CF4">
        <w:rPr>
          <w:rFonts w:ascii="Arial Black" w:hAnsi="Arial Black" w:cs="PT Bold Heading"/>
          <w:sz w:val="26"/>
          <w:szCs w:val="26"/>
          <w:rtl/>
        </w:rPr>
        <w:t>مقترح مجموعة بلدان آسيا والمحيط الهادئ بشأن تكوين لجنة البرنامج والميزانية</w:t>
      </w:r>
    </w:p>
    <w:p w:rsidR="003F7284" w:rsidRPr="00BB6440" w:rsidRDefault="006B4CF4" w:rsidP="00874721">
      <w:pPr>
        <w:spacing w:before="200" w:after="960"/>
        <w:rPr>
          <w:i/>
          <w:iCs/>
          <w:rtl/>
        </w:rPr>
      </w:pPr>
      <w:bookmarkStart w:id="11" w:name="Doc"/>
      <w:bookmarkEnd w:id="11"/>
      <w:r>
        <w:rPr>
          <w:rFonts w:hint="cs"/>
          <w:i/>
          <w:iCs/>
          <w:rtl/>
        </w:rPr>
        <w:t>مقدَّم من مجموعة بلدان آسيا والمحيط الهادئ</w:t>
      </w:r>
      <w:bookmarkStart w:id="12" w:name="Prepared"/>
      <w:bookmarkEnd w:id="12"/>
    </w:p>
    <w:p w:rsidR="00E3612C" w:rsidRPr="00FD6D15" w:rsidRDefault="006B4CF4" w:rsidP="006B4CF4">
      <w:pPr>
        <w:pStyle w:val="BodyText"/>
        <w:rPr>
          <w:rtl/>
        </w:rPr>
      </w:pPr>
      <w:r w:rsidRPr="001305C3">
        <w:rPr>
          <w:rtl/>
        </w:rPr>
        <w:t>في</w:t>
      </w:r>
      <w:r>
        <w:rPr>
          <w:rtl/>
        </w:rPr>
        <w:t xml:space="preserve"> </w:t>
      </w:r>
      <w:r w:rsidRPr="001305C3">
        <w:rPr>
          <w:rtl/>
        </w:rPr>
        <w:t>تبليغ</w:t>
      </w:r>
      <w:r>
        <w:rPr>
          <w:rtl/>
        </w:rPr>
        <w:t xml:space="preserve"> </w:t>
      </w:r>
      <w:r w:rsidRPr="001305C3">
        <w:rPr>
          <w:rtl/>
        </w:rPr>
        <w:t>استلمته</w:t>
      </w:r>
      <w:r>
        <w:rPr>
          <w:rtl/>
        </w:rPr>
        <w:t xml:space="preserve"> </w:t>
      </w:r>
      <w:r w:rsidRPr="001305C3">
        <w:rPr>
          <w:rtl/>
        </w:rPr>
        <w:t>الأمانة</w:t>
      </w:r>
      <w:r>
        <w:rPr>
          <w:rtl/>
        </w:rPr>
        <w:t xml:space="preserve"> </w:t>
      </w:r>
      <w:r w:rsidRPr="001305C3">
        <w:rPr>
          <w:rtl/>
        </w:rPr>
        <w:t>بتاريخ</w:t>
      </w:r>
      <w:r>
        <w:rPr>
          <w:rtl/>
        </w:rPr>
        <w:t xml:space="preserve"> </w:t>
      </w:r>
      <w:r>
        <w:rPr>
          <w:rFonts w:hint="cs"/>
          <w:rtl/>
        </w:rPr>
        <w:t>19</w:t>
      </w:r>
      <w:r>
        <w:rPr>
          <w:rtl/>
        </w:rPr>
        <w:t xml:space="preserve"> </w:t>
      </w:r>
      <w:r w:rsidRPr="001305C3">
        <w:rPr>
          <w:rtl/>
        </w:rPr>
        <w:t>سبتمبر</w:t>
      </w:r>
      <w:r>
        <w:rPr>
          <w:rtl/>
        </w:rPr>
        <w:t xml:space="preserve"> </w:t>
      </w:r>
      <w:r>
        <w:rPr>
          <w:rFonts w:hint="cs"/>
          <w:rtl/>
        </w:rPr>
        <w:t>2019</w:t>
      </w:r>
      <w:r w:rsidRPr="001305C3">
        <w:rPr>
          <w:rtl/>
        </w:rPr>
        <w:t>،</w:t>
      </w:r>
      <w:r>
        <w:rPr>
          <w:rtl/>
        </w:rPr>
        <w:t xml:space="preserve"> </w:t>
      </w:r>
      <w:r w:rsidRPr="001305C3">
        <w:rPr>
          <w:rtl/>
        </w:rPr>
        <w:t>قدم</w:t>
      </w:r>
      <w:r>
        <w:rPr>
          <w:rtl/>
        </w:rPr>
        <w:t xml:space="preserve"> </w:t>
      </w:r>
      <w:r w:rsidRPr="001305C3">
        <w:rPr>
          <w:rtl/>
        </w:rPr>
        <w:t>وفد</w:t>
      </w:r>
      <w:r>
        <w:rPr>
          <w:rtl/>
        </w:rPr>
        <w:t xml:space="preserve"> </w:t>
      </w:r>
      <w:r>
        <w:rPr>
          <w:rFonts w:hint="cs"/>
          <w:rtl/>
        </w:rPr>
        <w:t>سنغافورة</w:t>
      </w:r>
      <w:r w:rsidRPr="001305C3">
        <w:rPr>
          <w:rtl/>
        </w:rPr>
        <w:t>،</w:t>
      </w:r>
      <w:r>
        <w:rPr>
          <w:rtl/>
        </w:rPr>
        <w:t xml:space="preserve"> </w:t>
      </w:r>
      <w:r w:rsidRPr="001305C3">
        <w:rPr>
          <w:rtl/>
        </w:rPr>
        <w:t>باسم</w:t>
      </w:r>
      <w:r>
        <w:rPr>
          <w:rtl/>
        </w:rPr>
        <w:t xml:space="preserve"> </w:t>
      </w:r>
      <w:r w:rsidRPr="001305C3">
        <w:rPr>
          <w:rtl/>
        </w:rPr>
        <w:t>مجموعة</w:t>
      </w:r>
      <w:r>
        <w:rPr>
          <w:rtl/>
        </w:rPr>
        <w:t xml:space="preserve"> </w:t>
      </w:r>
      <w:r w:rsidRPr="001305C3">
        <w:rPr>
          <w:rtl/>
        </w:rPr>
        <w:t>بلدان</w:t>
      </w:r>
      <w:r>
        <w:rPr>
          <w:rtl/>
        </w:rPr>
        <w:t xml:space="preserve"> </w:t>
      </w:r>
      <w:r w:rsidRPr="001305C3">
        <w:rPr>
          <w:rtl/>
        </w:rPr>
        <w:t>آسيا</w:t>
      </w:r>
      <w:r>
        <w:rPr>
          <w:rtl/>
        </w:rPr>
        <w:t xml:space="preserve"> </w:t>
      </w:r>
      <w:r w:rsidRPr="001305C3">
        <w:rPr>
          <w:rtl/>
        </w:rPr>
        <w:t>والمحيط</w:t>
      </w:r>
      <w:r>
        <w:rPr>
          <w:rtl/>
        </w:rPr>
        <w:t xml:space="preserve"> </w:t>
      </w:r>
      <w:r w:rsidRPr="001305C3">
        <w:rPr>
          <w:rtl/>
        </w:rPr>
        <w:t>الهادئ،</w:t>
      </w:r>
      <w:r>
        <w:rPr>
          <w:rtl/>
        </w:rPr>
        <w:t xml:space="preserve"> </w:t>
      </w:r>
      <w:r w:rsidRPr="001305C3">
        <w:rPr>
          <w:rtl/>
        </w:rPr>
        <w:t>المقترح</w:t>
      </w:r>
      <w:r>
        <w:rPr>
          <w:rtl/>
        </w:rPr>
        <w:t xml:space="preserve"> </w:t>
      </w:r>
      <w:r w:rsidRPr="001305C3">
        <w:rPr>
          <w:rtl/>
        </w:rPr>
        <w:t>الوارد</w:t>
      </w:r>
      <w:r>
        <w:rPr>
          <w:rtl/>
        </w:rPr>
        <w:t xml:space="preserve"> </w:t>
      </w:r>
      <w:r w:rsidRPr="001305C3">
        <w:rPr>
          <w:rtl/>
        </w:rPr>
        <w:t>في</w:t>
      </w:r>
      <w:r>
        <w:rPr>
          <w:rtl/>
        </w:rPr>
        <w:t xml:space="preserve"> </w:t>
      </w:r>
      <w:r w:rsidRPr="001305C3">
        <w:rPr>
          <w:rtl/>
        </w:rPr>
        <w:t>المرفق</w:t>
      </w:r>
      <w:r>
        <w:rPr>
          <w:rtl/>
        </w:rPr>
        <w:t xml:space="preserve"> </w:t>
      </w:r>
      <w:r w:rsidRPr="001305C3">
        <w:rPr>
          <w:rtl/>
        </w:rPr>
        <w:t>طيه</w:t>
      </w:r>
      <w:r>
        <w:rPr>
          <w:rtl/>
        </w:rPr>
        <w:t xml:space="preserve"> </w:t>
      </w:r>
      <w:r w:rsidRPr="001305C3">
        <w:rPr>
          <w:rtl/>
        </w:rPr>
        <w:t>في</w:t>
      </w:r>
      <w:r>
        <w:rPr>
          <w:rtl/>
        </w:rPr>
        <w:t xml:space="preserve"> </w:t>
      </w:r>
      <w:r w:rsidRPr="001305C3">
        <w:rPr>
          <w:rtl/>
        </w:rPr>
        <w:t>إطار</w:t>
      </w:r>
      <w:r>
        <w:rPr>
          <w:rtl/>
        </w:rPr>
        <w:t xml:space="preserve"> </w:t>
      </w:r>
      <w:r w:rsidRPr="001305C3">
        <w:rPr>
          <w:rtl/>
        </w:rPr>
        <w:t>البند</w:t>
      </w:r>
      <w:r>
        <w:rPr>
          <w:rtl/>
        </w:rPr>
        <w:t xml:space="preserve"> </w:t>
      </w:r>
      <w:r>
        <w:rPr>
          <w:rFonts w:hint="cs"/>
          <w:rtl/>
        </w:rPr>
        <w:t>10</w:t>
      </w:r>
      <w:r>
        <w:rPr>
          <w:rtl/>
        </w:rPr>
        <w:t xml:space="preserve"> </w:t>
      </w:r>
      <w:r w:rsidRPr="001305C3">
        <w:rPr>
          <w:rtl/>
        </w:rPr>
        <w:t>من</w:t>
      </w:r>
      <w:r>
        <w:rPr>
          <w:rtl/>
        </w:rPr>
        <w:t xml:space="preserve"> </w:t>
      </w:r>
      <w:r w:rsidRPr="001305C3">
        <w:rPr>
          <w:rtl/>
        </w:rPr>
        <w:t>جدول</w:t>
      </w:r>
      <w:r>
        <w:rPr>
          <w:rtl/>
        </w:rPr>
        <w:t xml:space="preserve"> </w:t>
      </w:r>
      <w:r w:rsidRPr="001305C3">
        <w:rPr>
          <w:rtl/>
        </w:rPr>
        <w:t>الأعمال،</w:t>
      </w:r>
      <w:r>
        <w:rPr>
          <w:rtl/>
        </w:rPr>
        <w:t xml:space="preserve"> </w:t>
      </w:r>
      <w:r w:rsidRPr="001305C3">
        <w:rPr>
          <w:rtl/>
        </w:rPr>
        <w:t>"تكوين</w:t>
      </w:r>
      <w:r>
        <w:rPr>
          <w:rtl/>
        </w:rPr>
        <w:t xml:space="preserve"> </w:t>
      </w:r>
      <w:r w:rsidRPr="001305C3">
        <w:rPr>
          <w:rtl/>
        </w:rPr>
        <w:t>لجنة</w:t>
      </w:r>
      <w:r>
        <w:rPr>
          <w:rtl/>
        </w:rPr>
        <w:t xml:space="preserve"> </w:t>
      </w:r>
      <w:r>
        <w:rPr>
          <w:rFonts w:hint="cs"/>
          <w:rtl/>
        </w:rPr>
        <w:t>البرنامج والميزانية</w:t>
      </w:r>
      <w:r w:rsidRPr="001305C3">
        <w:rPr>
          <w:rtl/>
        </w:rPr>
        <w:t>"</w:t>
      </w:r>
      <w:r w:rsidRPr="001305C3">
        <w:rPr>
          <w:rFonts w:hint="cs"/>
          <w:rtl/>
        </w:rPr>
        <w:t>.</w:t>
      </w:r>
    </w:p>
    <w:p w:rsidR="006B4CF4" w:rsidRDefault="006B4CF4" w:rsidP="006B4CF4">
      <w:pPr>
        <w:pStyle w:val="Endofdocument-Annex"/>
        <w:rPr>
          <w:rtl/>
        </w:rPr>
        <w:sectPr w:rsidR="006B4CF4" w:rsidSect="00EB7752">
          <w:headerReference w:type="default" r:id="rId9"/>
          <w:pgSz w:w="11907" w:h="16840" w:code="9"/>
          <w:pgMar w:top="567" w:right="1418" w:bottom="1418" w:left="1134" w:header="510" w:footer="1021" w:gutter="0"/>
          <w:cols w:space="720"/>
          <w:titlePg/>
          <w:docGrid w:linePitch="299"/>
        </w:sectPr>
      </w:pPr>
      <w:r>
        <w:rPr>
          <w:rFonts w:hint="cs"/>
          <w:rtl/>
        </w:rPr>
        <w:t>[يلي ذلك المرفق]</w:t>
      </w:r>
    </w:p>
    <w:p w:rsidR="006B4CF4" w:rsidRPr="006B4CF4" w:rsidRDefault="006B4CF4" w:rsidP="006B4CF4">
      <w:pPr>
        <w:spacing w:after="240" w:line="360" w:lineRule="exact"/>
        <w:rPr>
          <w:b/>
          <w:bCs/>
          <w:rtl/>
        </w:rPr>
      </w:pPr>
      <w:r w:rsidRPr="006B4CF4">
        <w:rPr>
          <w:rFonts w:hint="cs"/>
          <w:b/>
          <w:bCs/>
          <w:rtl/>
        </w:rPr>
        <w:lastRenderedPageBreak/>
        <w:t>مقترح مجموعة بلدان آسيا والمحيط الهادئ</w:t>
      </w:r>
    </w:p>
    <w:p w:rsidR="006B4CF4" w:rsidRPr="006B4CF4" w:rsidRDefault="00F170A8" w:rsidP="006B4CF4">
      <w:pPr>
        <w:spacing w:after="240" w:line="360" w:lineRule="exact"/>
        <w:rPr>
          <w:b/>
          <w:bCs/>
          <w:sz w:val="40"/>
          <w:szCs w:val="40"/>
          <w:rtl/>
        </w:rPr>
      </w:pPr>
      <w:r>
        <w:rPr>
          <w:rFonts w:hint="cs"/>
          <w:b/>
          <w:bCs/>
          <w:sz w:val="40"/>
          <w:szCs w:val="40"/>
          <w:rtl/>
        </w:rPr>
        <w:t xml:space="preserve">البند 10 من جدول الأعمال - </w:t>
      </w:r>
      <w:r w:rsidR="006B4CF4" w:rsidRPr="006B4CF4">
        <w:rPr>
          <w:b/>
          <w:bCs/>
          <w:sz w:val="40"/>
          <w:szCs w:val="40"/>
          <w:rtl/>
        </w:rPr>
        <w:t>تكوين لجنة البرنامج والميزانية</w:t>
      </w:r>
    </w:p>
    <w:p w:rsidR="006B4CF4" w:rsidRPr="006B4CF4" w:rsidRDefault="00283847" w:rsidP="00283847">
      <w:pPr>
        <w:pStyle w:val="ONUMA"/>
      </w:pPr>
      <w:r>
        <w:rPr>
          <w:rFonts w:hint="cs"/>
          <w:rtl/>
        </w:rPr>
        <w:t>تشير</w:t>
      </w:r>
      <w:r w:rsidR="006B4CF4" w:rsidRPr="006B4CF4">
        <w:rPr>
          <w:rFonts w:hint="cs"/>
          <w:rtl/>
        </w:rPr>
        <w:t xml:space="preserve"> مجموعة بلدان آسيا والمحيط </w:t>
      </w:r>
      <w:r>
        <w:rPr>
          <w:rFonts w:hint="cs"/>
          <w:rtl/>
        </w:rPr>
        <w:t xml:space="preserve">الهادئ (المجموعة) إلى </w:t>
      </w:r>
      <w:r w:rsidR="00F170A8">
        <w:rPr>
          <w:rFonts w:hint="cs"/>
          <w:rtl/>
        </w:rPr>
        <w:t xml:space="preserve">التوضيحات المقدمة من </w:t>
      </w:r>
      <w:r w:rsidR="006B4CF4" w:rsidRPr="006B4CF4">
        <w:rPr>
          <w:rFonts w:hint="cs"/>
          <w:rtl/>
        </w:rPr>
        <w:t>المستشار القانوني، أثناء مشاورة أجرتها معه، والتي مفادها أنه لا توجد قواعد تحكم بشكل عام تكوين لجنة</w:t>
      </w:r>
      <w:r w:rsidR="00F170A8">
        <w:rPr>
          <w:rFonts w:hint="cs"/>
          <w:rtl/>
        </w:rPr>
        <w:t xml:space="preserve"> البرنامج و</w:t>
      </w:r>
      <w:r w:rsidR="006B4CF4" w:rsidRPr="006B4CF4">
        <w:rPr>
          <w:rFonts w:hint="cs"/>
          <w:rtl/>
        </w:rPr>
        <w:t xml:space="preserve">الميزانية </w:t>
      </w:r>
      <w:r w:rsidR="00F170A8">
        <w:rPr>
          <w:rFonts w:hint="cs"/>
          <w:rtl/>
        </w:rPr>
        <w:t xml:space="preserve">(لجنة الميزانية) </w:t>
      </w:r>
      <w:r w:rsidR="006B4CF4" w:rsidRPr="006B4CF4">
        <w:rPr>
          <w:rFonts w:hint="cs"/>
          <w:rtl/>
        </w:rPr>
        <w:t>أو</w:t>
      </w:r>
      <w:r w:rsidR="006B4CF4" w:rsidRPr="006B4CF4">
        <w:rPr>
          <w:rFonts w:hint="eastAsia"/>
          <w:rtl/>
        </w:rPr>
        <w:t> </w:t>
      </w:r>
      <w:r w:rsidR="006B4CF4" w:rsidRPr="006B4CF4">
        <w:rPr>
          <w:rFonts w:hint="cs"/>
          <w:rtl/>
        </w:rPr>
        <w:t>انتخاب أعضائها، وأنه في حين شهدت لجنة الميزانية نموا للتحوّل من 33 عضوا إلى 53 عضوا، لا يوجد أساس قانوني لتحديد عدد مقاعدها</w:t>
      </w:r>
      <w:r w:rsidR="00F170A8">
        <w:rPr>
          <w:rFonts w:hint="cs"/>
          <w:rtl/>
        </w:rPr>
        <w:t xml:space="preserve"> الإجمالي</w:t>
      </w:r>
      <w:r w:rsidR="006B4CF4" w:rsidRPr="006B4CF4">
        <w:rPr>
          <w:rFonts w:hint="cs"/>
          <w:rtl/>
        </w:rPr>
        <w:t xml:space="preserve">، ولا لتخصيص المقاعد لكل مجموعة إقليمية. </w:t>
      </w:r>
      <w:r>
        <w:rPr>
          <w:rFonts w:hint="cs"/>
          <w:rtl/>
        </w:rPr>
        <w:t>وتشير</w:t>
      </w:r>
      <w:r w:rsidR="00F170A8">
        <w:rPr>
          <w:rFonts w:hint="cs"/>
          <w:rtl/>
        </w:rPr>
        <w:t xml:space="preserve"> المجموعة كذلك </w:t>
      </w:r>
      <w:r>
        <w:rPr>
          <w:rFonts w:hint="cs"/>
          <w:rtl/>
        </w:rPr>
        <w:t xml:space="preserve">إلى </w:t>
      </w:r>
      <w:r w:rsidR="00F170A8">
        <w:rPr>
          <w:rFonts w:hint="cs"/>
          <w:rtl/>
        </w:rPr>
        <w:t xml:space="preserve">أن التخصيص الحالي </w:t>
      </w:r>
      <w:r w:rsidR="006B4CF4" w:rsidRPr="006B4CF4">
        <w:rPr>
          <w:rFonts w:hint="cs"/>
          <w:rtl/>
        </w:rPr>
        <w:t>لا</w:t>
      </w:r>
      <w:r w:rsidR="00F170A8">
        <w:rPr>
          <w:rFonts w:hint="cs"/>
          <w:rtl/>
        </w:rPr>
        <w:t xml:space="preserve"> </w:t>
      </w:r>
      <w:r w:rsidR="006B4CF4" w:rsidRPr="006B4CF4">
        <w:rPr>
          <w:rFonts w:hint="cs"/>
          <w:rtl/>
        </w:rPr>
        <w:t>يعكس إنصافا من حيث التناسب والتمثيل لحجم المجموعات الإقليمية في الويبو.</w:t>
      </w:r>
    </w:p>
    <w:p w:rsidR="006B4CF4" w:rsidRPr="006B4CF4" w:rsidRDefault="00F170A8" w:rsidP="00F170A8">
      <w:pPr>
        <w:pStyle w:val="ONUMA"/>
      </w:pPr>
      <w:r>
        <w:rPr>
          <w:rFonts w:hint="cs"/>
          <w:rtl/>
        </w:rPr>
        <w:t>وبناء عليه، تدعو</w:t>
      </w:r>
      <w:r w:rsidR="006B4CF4" w:rsidRPr="006B4CF4">
        <w:rPr>
          <w:rFonts w:hint="cs"/>
          <w:rtl/>
        </w:rPr>
        <w:t xml:space="preserve"> المجموعة المجموعات الإقليمية والدول الأعضاء </w:t>
      </w:r>
      <w:r>
        <w:rPr>
          <w:rFonts w:hint="cs"/>
          <w:rtl/>
        </w:rPr>
        <w:t>إلى مناقشة</w:t>
      </w:r>
      <w:r w:rsidR="006B4CF4" w:rsidRPr="006B4CF4">
        <w:rPr>
          <w:rFonts w:hint="cs"/>
          <w:rtl/>
        </w:rPr>
        <w:t xml:space="preserve"> ما يلي:</w:t>
      </w:r>
    </w:p>
    <w:p w:rsidR="006B4CF4" w:rsidRPr="006B4CF4" w:rsidRDefault="006B4CF4" w:rsidP="006B4CF4">
      <w:pPr>
        <w:numPr>
          <w:ilvl w:val="2"/>
          <w:numId w:val="24"/>
        </w:numPr>
        <w:spacing w:before="200"/>
        <w:rPr>
          <w:rFonts w:eastAsia="SimSun"/>
          <w:lang w:eastAsia="zh-CN"/>
        </w:rPr>
      </w:pPr>
      <w:r w:rsidRPr="006B4CF4">
        <w:rPr>
          <w:rFonts w:eastAsia="SimSun" w:hint="cs"/>
          <w:rtl/>
          <w:lang w:eastAsia="zh-CN"/>
        </w:rPr>
        <w:t xml:space="preserve">ينبغي أن تكون لجنة الميزانية مفتوحة أمام جميع الدول الأعضاء </w:t>
      </w:r>
      <w:r w:rsidR="00F170A8">
        <w:rPr>
          <w:rFonts w:eastAsia="SimSun" w:hint="cs"/>
          <w:rtl/>
          <w:lang w:eastAsia="zh-CN"/>
        </w:rPr>
        <w:t xml:space="preserve">المهتمة </w:t>
      </w:r>
      <w:r w:rsidRPr="006B4CF4">
        <w:rPr>
          <w:rFonts w:eastAsia="SimSun" w:hint="cs"/>
          <w:rtl/>
          <w:lang w:eastAsia="zh-CN"/>
        </w:rPr>
        <w:t xml:space="preserve">لتمكينها من المشاركة فيها مشاركة تامة. ذلك أن القرارات التي تتخذها لجنة الميزانية </w:t>
      </w:r>
      <w:r w:rsidRPr="006B4CF4">
        <w:rPr>
          <w:rFonts w:eastAsia="SimSun"/>
          <w:rtl/>
          <w:lang w:eastAsia="zh-CN"/>
        </w:rPr>
        <w:t>–</w:t>
      </w:r>
      <w:r w:rsidRPr="006B4CF4">
        <w:rPr>
          <w:rFonts w:eastAsia="SimSun" w:hint="cs"/>
          <w:rtl/>
          <w:lang w:eastAsia="zh-CN"/>
        </w:rPr>
        <w:t>وهي من أهمّ هيئات الويبو الرئاسية</w:t>
      </w:r>
      <w:r w:rsidRPr="006B4CF4">
        <w:rPr>
          <w:rFonts w:eastAsia="SimSun"/>
          <w:rtl/>
          <w:lang w:eastAsia="zh-CN"/>
        </w:rPr>
        <w:t>–</w:t>
      </w:r>
      <w:r w:rsidRPr="006B4CF4">
        <w:rPr>
          <w:rFonts w:eastAsia="SimSun" w:hint="cs"/>
          <w:rtl/>
          <w:lang w:eastAsia="zh-CN"/>
        </w:rPr>
        <w:t xml:space="preserve"> لها</w:t>
      </w:r>
      <w:r w:rsidRPr="006B4CF4">
        <w:rPr>
          <w:rFonts w:eastAsia="SimSun" w:hint="eastAsia"/>
          <w:rtl/>
          <w:lang w:eastAsia="zh-CN"/>
        </w:rPr>
        <w:t> </w:t>
      </w:r>
      <w:r w:rsidRPr="006B4CF4">
        <w:rPr>
          <w:rFonts w:eastAsia="SimSun" w:hint="cs"/>
          <w:rtl/>
          <w:lang w:eastAsia="zh-CN"/>
        </w:rPr>
        <w:t>أثر مباشر على كل الأعضاء. وعليه، ينبغي تمكين كل الأعضاء المهتمة من المشاركة بشكل كامل، لأنه لا توجد قواعد إجرائية للويبو ولا</w:t>
      </w:r>
      <w:r w:rsidRPr="006B4CF4">
        <w:rPr>
          <w:rFonts w:eastAsia="SimSun" w:hint="eastAsia"/>
          <w:rtl/>
          <w:lang w:eastAsia="zh-CN"/>
        </w:rPr>
        <w:t> </w:t>
      </w:r>
      <w:r w:rsidRPr="006B4CF4">
        <w:rPr>
          <w:rFonts w:eastAsia="SimSun" w:hint="cs"/>
          <w:rtl/>
          <w:lang w:eastAsia="zh-CN"/>
        </w:rPr>
        <w:t xml:space="preserve">مبادئ توجيهية سارية بما يوفر أساسا قانونيا للحدود الراهنة </w:t>
      </w:r>
      <w:r w:rsidRPr="006B4CF4">
        <w:rPr>
          <w:rFonts w:eastAsia="SimSun" w:hint="cs"/>
          <w:rtl/>
          <w:lang w:eastAsia="zh-CN"/>
        </w:rPr>
        <w:lastRenderedPageBreak/>
        <w:t>بشأن كل من عدد المقاعد في لجنة الميزانية أو تخصيص المقاعد لكل مجموعة إقليمية.</w:t>
      </w:r>
    </w:p>
    <w:p w:rsidR="006B4CF4" w:rsidRPr="006B4CF4" w:rsidRDefault="006B4CF4" w:rsidP="00283847">
      <w:pPr>
        <w:numPr>
          <w:ilvl w:val="2"/>
          <w:numId w:val="24"/>
        </w:numPr>
        <w:spacing w:before="200"/>
        <w:rPr>
          <w:rFonts w:eastAsia="SimSun"/>
          <w:lang w:eastAsia="zh-CN"/>
        </w:rPr>
      </w:pPr>
      <w:r w:rsidRPr="006B4CF4">
        <w:rPr>
          <w:rFonts w:eastAsia="SimSun" w:hint="cs"/>
          <w:rtl/>
          <w:lang w:eastAsia="zh-CN"/>
        </w:rPr>
        <w:t xml:space="preserve">ولكن المجموعة تأخذ في اعتبارها حاجة الأعضاء المحتملة إلى مزيد من الوقت للنظر فيما سبق ذكره، وعليه </w:t>
      </w:r>
      <w:r w:rsidR="00283847">
        <w:rPr>
          <w:rFonts w:eastAsia="SimSun" w:hint="cs"/>
          <w:rtl/>
          <w:lang w:eastAsia="zh-CN"/>
        </w:rPr>
        <w:t>تقترح ما يلي</w:t>
      </w:r>
      <w:r w:rsidRPr="006B4CF4">
        <w:rPr>
          <w:rFonts w:eastAsia="SimSun" w:hint="cs"/>
          <w:rtl/>
          <w:lang w:eastAsia="zh-CN"/>
        </w:rPr>
        <w:t>:</w:t>
      </w:r>
    </w:p>
    <w:p w:rsidR="006B4CF4" w:rsidRPr="006B4CF4" w:rsidRDefault="006B4CF4" w:rsidP="006B4CF4">
      <w:pPr>
        <w:numPr>
          <w:ilvl w:val="1"/>
          <w:numId w:val="45"/>
        </w:numPr>
        <w:spacing w:before="200"/>
        <w:ind w:left="1672"/>
        <w:rPr>
          <w:rFonts w:eastAsia="SimSun"/>
          <w:lang w:eastAsia="zh-CN"/>
        </w:rPr>
      </w:pPr>
      <w:r w:rsidRPr="006B4CF4">
        <w:rPr>
          <w:rFonts w:eastAsia="SimSun" w:hint="cs"/>
          <w:rtl/>
          <w:lang w:eastAsia="zh-CN"/>
        </w:rPr>
        <w:t>تذكّر المجموعة بالتوسّع السابق للجنة الميزانية في عامي 2003 و2007. ونشير في هذا الصدد إلى أن لجنة الميزانية توسّعت من 41 عضوا إلى 53 عضوا في عام</w:t>
      </w:r>
      <w:r w:rsidRPr="006B4CF4">
        <w:rPr>
          <w:rFonts w:eastAsia="SimSun" w:hint="eastAsia"/>
          <w:rtl/>
          <w:lang w:eastAsia="zh-CN"/>
        </w:rPr>
        <w:t> </w:t>
      </w:r>
      <w:r w:rsidRPr="006B4CF4">
        <w:rPr>
          <w:rFonts w:eastAsia="SimSun" w:hint="cs"/>
          <w:rtl/>
          <w:lang w:eastAsia="zh-CN"/>
        </w:rPr>
        <w:t>2007، وخُصّص لكل مجموعة إقليمية (باستثناء الصين) مقعدان إضافيان. وفي عام 2003، خُصّص لمجموعة بلدان آسيا والمحيط الهادئ والمجموعة الأفريقية مقعد إضافي مقارنة بالمجموعات الإقليمية الأخرى لبلورة حجم المجموعتين.</w:t>
      </w:r>
    </w:p>
    <w:p w:rsidR="006B4CF4" w:rsidRPr="006B4CF4" w:rsidRDefault="006B4CF4" w:rsidP="00283847">
      <w:pPr>
        <w:numPr>
          <w:ilvl w:val="1"/>
          <w:numId w:val="45"/>
        </w:numPr>
        <w:spacing w:before="200"/>
        <w:ind w:left="1672"/>
        <w:rPr>
          <w:rFonts w:eastAsia="SimSun"/>
          <w:lang w:eastAsia="zh-CN"/>
        </w:rPr>
      </w:pPr>
      <w:r w:rsidRPr="006B4CF4">
        <w:rPr>
          <w:rFonts w:eastAsia="SimSun" w:hint="cs"/>
          <w:rtl/>
          <w:lang w:eastAsia="zh-CN"/>
        </w:rPr>
        <w:t>وبالنظر إلى مضي</w:t>
      </w:r>
      <w:r w:rsidR="00283847">
        <w:rPr>
          <w:rFonts w:eastAsia="SimSun" w:hint="cs"/>
          <w:rtl/>
          <w:lang w:eastAsia="zh-CN"/>
        </w:rPr>
        <w:t xml:space="preserve"> أكثر من</w:t>
      </w:r>
      <w:r w:rsidRPr="006B4CF4">
        <w:rPr>
          <w:rFonts w:eastAsia="SimSun" w:hint="cs"/>
          <w:rtl/>
          <w:lang w:eastAsia="zh-CN"/>
        </w:rPr>
        <w:t xml:space="preserve"> 10 أعوام منذ النظر لآخر مرّة على </w:t>
      </w:r>
      <w:r w:rsidR="00283847">
        <w:rPr>
          <w:rFonts w:eastAsia="SimSun" w:hint="cs"/>
          <w:rtl/>
          <w:lang w:eastAsia="zh-CN"/>
        </w:rPr>
        <w:t xml:space="preserve">في تخصيص </w:t>
      </w:r>
      <w:r w:rsidR="00A444D0">
        <w:rPr>
          <w:rFonts w:eastAsia="SimSun" w:hint="cs"/>
          <w:rtl/>
          <w:lang w:eastAsia="zh-CN"/>
        </w:rPr>
        <w:t>ال</w:t>
      </w:r>
      <w:r w:rsidR="00283847" w:rsidRPr="006B4CF4">
        <w:rPr>
          <w:rFonts w:eastAsia="SimSun" w:hint="cs"/>
          <w:rtl/>
          <w:lang w:eastAsia="zh-CN"/>
        </w:rPr>
        <w:t xml:space="preserve">مقاعد </w:t>
      </w:r>
      <w:r w:rsidR="00A444D0">
        <w:rPr>
          <w:rFonts w:eastAsia="SimSun" w:hint="cs"/>
          <w:rtl/>
          <w:lang w:eastAsia="zh-CN"/>
        </w:rPr>
        <w:t xml:space="preserve">في </w:t>
      </w:r>
      <w:r w:rsidRPr="006B4CF4">
        <w:rPr>
          <w:rFonts w:eastAsia="SimSun" w:hint="cs"/>
          <w:rtl/>
          <w:lang w:eastAsia="zh-CN"/>
        </w:rPr>
        <w:t>لجنة الميزانية للمجموعات الإقليمية، ترى المجموعة أنه حان الوقت لتوسيع عضوية لجنة الميزانية تمشيا مع الواقع الحالي. ومع الزيادة المُسجلة في عدد الأعضاء في بعض المجموعات الإقليمية في الويبو، ينبغي أيضا تكييف عدد المقاعد المخصّصة لكل مجموعة بشكل متناسب استنادا إلى مبدأ المساواة في التمثيل، مع التأكيد مجددا على لزوم أن تكون كل مجموعة إقليمية ممثّلة في لجنة الميزانية ولجنة التنسيق.</w:t>
      </w:r>
    </w:p>
    <w:p w:rsidR="006B4CF4" w:rsidRDefault="00A444D0" w:rsidP="00A444D0">
      <w:pPr>
        <w:numPr>
          <w:ilvl w:val="1"/>
          <w:numId w:val="45"/>
        </w:numPr>
        <w:spacing w:before="200"/>
        <w:ind w:left="1672"/>
        <w:rPr>
          <w:rFonts w:eastAsia="SimSun"/>
          <w:lang w:eastAsia="zh-CN"/>
        </w:rPr>
      </w:pPr>
      <w:r>
        <w:rPr>
          <w:rFonts w:eastAsia="SimSun" w:hint="cs"/>
          <w:rtl/>
          <w:lang w:eastAsia="zh-CN"/>
        </w:rPr>
        <w:t xml:space="preserve">وعليه، </w:t>
      </w:r>
      <w:r w:rsidR="006B4CF4" w:rsidRPr="006B4CF4">
        <w:rPr>
          <w:rFonts w:eastAsia="SimSun" w:hint="cs"/>
          <w:rtl/>
          <w:lang w:eastAsia="zh-CN"/>
        </w:rPr>
        <w:t xml:space="preserve">ينبغي أن يعكس تخصيص المقاعد في لجنة الميزانية اعتبارا من الثنائية </w:t>
      </w:r>
      <w:r>
        <w:rPr>
          <w:rFonts w:eastAsia="SimSun" w:hint="cs"/>
          <w:rtl/>
          <w:lang w:eastAsia="zh-CN"/>
        </w:rPr>
        <w:t>2020</w:t>
      </w:r>
      <w:r w:rsidR="006B4CF4" w:rsidRPr="006B4CF4">
        <w:rPr>
          <w:rFonts w:eastAsia="SimSun" w:hint="cs"/>
          <w:rtl/>
          <w:lang w:eastAsia="zh-CN"/>
        </w:rPr>
        <w:t>/</w:t>
      </w:r>
      <w:r>
        <w:rPr>
          <w:rFonts w:eastAsia="SimSun" w:hint="cs"/>
          <w:rtl/>
          <w:lang w:eastAsia="zh-CN"/>
        </w:rPr>
        <w:t>2021</w:t>
      </w:r>
      <w:r w:rsidR="006B4CF4" w:rsidRPr="006B4CF4">
        <w:rPr>
          <w:rFonts w:eastAsia="SimSun" w:hint="cs"/>
          <w:rtl/>
          <w:lang w:eastAsia="zh-CN"/>
        </w:rPr>
        <w:t xml:space="preserve">، بشكل صحيح، عضوية الويبو وحجم </w:t>
      </w:r>
      <w:r w:rsidR="006B4CF4" w:rsidRPr="006B4CF4">
        <w:rPr>
          <w:rFonts w:eastAsia="SimSun" w:hint="cs"/>
          <w:rtl/>
          <w:lang w:eastAsia="zh-CN"/>
        </w:rPr>
        <w:lastRenderedPageBreak/>
        <w:t>كل مجموعة من مجموعات الويبو الإقليمية، ويمكّن بالتالي من تسوية الاختلال الموجود في التخصيص الحالي.</w:t>
      </w:r>
    </w:p>
    <w:p w:rsidR="006B4CF4" w:rsidRPr="006B4CF4" w:rsidRDefault="006B4CF4" w:rsidP="006B4CF4">
      <w:pPr>
        <w:spacing w:before="200"/>
        <w:ind w:left="5"/>
        <w:rPr>
          <w:rFonts w:eastAsia="SimSun"/>
          <w:rtl/>
          <w:lang w:eastAsia="zh-CN" w:bidi="ar-EG"/>
        </w:rPr>
      </w:pPr>
      <w:r w:rsidRPr="006B4CF4">
        <w:rPr>
          <w:u w:val="single"/>
          <w:rtl/>
          <w:lang w:bidi="ar-EG"/>
        </w:rPr>
        <w:t xml:space="preserve">تخصيص المقاعد في لجنة </w:t>
      </w:r>
      <w:r>
        <w:rPr>
          <w:rFonts w:hint="cs"/>
          <w:u w:val="single"/>
          <w:rtl/>
          <w:lang w:bidi="ar-EG"/>
        </w:rPr>
        <w:t>البرنامج والميزانية</w:t>
      </w:r>
      <w:r w:rsidRPr="006B4CF4">
        <w:rPr>
          <w:u w:val="single"/>
          <w:rtl/>
          <w:lang w:bidi="ar-EG"/>
        </w:rPr>
        <w:t xml:space="preserve"> بين المجموعات الإقليمية للثنائية 2018-2019 </w:t>
      </w:r>
      <w:r w:rsidRPr="006B4CF4">
        <w:rPr>
          <w:u w:val="single"/>
          <w:vertAlign w:val="superscript"/>
          <w:lang w:bidi="ar-EG"/>
        </w:rPr>
        <w:footnoteReference w:id="1"/>
      </w:r>
    </w:p>
    <w:tbl>
      <w:tblPr>
        <w:bidiVisual/>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22"/>
        <w:gridCol w:w="1276"/>
        <w:gridCol w:w="1275"/>
        <w:gridCol w:w="1135"/>
        <w:gridCol w:w="1275"/>
        <w:gridCol w:w="1276"/>
        <w:gridCol w:w="1276"/>
        <w:gridCol w:w="1134"/>
        <w:gridCol w:w="1348"/>
      </w:tblGrid>
      <w:tr w:rsidR="006B4CF4" w:rsidRPr="004B1D98" w:rsidTr="00660557">
        <w:trPr>
          <w:trHeight w:val="372"/>
          <w:tblHeader/>
          <w:jc w:val="center"/>
        </w:trPr>
        <w:tc>
          <w:tcPr>
            <w:tcW w:w="704" w:type="dxa"/>
            <w:vAlign w:val="center"/>
          </w:tcPr>
          <w:p w:rsidR="006B4CF4" w:rsidRPr="004B1D98" w:rsidRDefault="006B4CF4" w:rsidP="00660557">
            <w:pPr>
              <w:spacing w:after="120" w:line="300" w:lineRule="exact"/>
              <w:rPr>
                <w:sz w:val="32"/>
                <w:szCs w:val="32"/>
              </w:rPr>
            </w:pPr>
            <w:r w:rsidRPr="004B1D98">
              <w:rPr>
                <w:rFonts w:hint="cs"/>
                <w:sz w:val="32"/>
                <w:szCs w:val="32"/>
                <w:rtl/>
              </w:rPr>
              <w:t>الرقم</w:t>
            </w:r>
          </w:p>
        </w:tc>
        <w:tc>
          <w:tcPr>
            <w:tcW w:w="4322" w:type="dxa"/>
            <w:vAlign w:val="center"/>
          </w:tcPr>
          <w:p w:rsidR="006B4CF4" w:rsidRPr="004B1D98" w:rsidRDefault="006B4CF4" w:rsidP="00660557">
            <w:pPr>
              <w:spacing w:after="120" w:line="300" w:lineRule="exact"/>
              <w:jc w:val="center"/>
              <w:rPr>
                <w:sz w:val="32"/>
                <w:szCs w:val="32"/>
              </w:rPr>
            </w:pPr>
            <w:r w:rsidRPr="004B1D98">
              <w:rPr>
                <w:sz w:val="32"/>
                <w:szCs w:val="32"/>
                <w:rtl/>
              </w:rPr>
              <w:t>البند</w:t>
            </w:r>
          </w:p>
        </w:tc>
        <w:tc>
          <w:tcPr>
            <w:tcW w:w="1276" w:type="dxa"/>
            <w:vAlign w:val="center"/>
          </w:tcPr>
          <w:p w:rsidR="006B4CF4" w:rsidRPr="004B1D98" w:rsidRDefault="006B4CF4" w:rsidP="00660557">
            <w:pPr>
              <w:spacing w:after="120" w:line="300" w:lineRule="exact"/>
              <w:rPr>
                <w:sz w:val="32"/>
                <w:szCs w:val="32"/>
              </w:rPr>
            </w:pPr>
            <w:r w:rsidRPr="004B1D98">
              <w:rPr>
                <w:b/>
                <w:bCs/>
                <w:sz w:val="32"/>
                <w:szCs w:val="32"/>
                <w:rtl/>
              </w:rPr>
              <w:t xml:space="preserve">المجموعة باء </w:t>
            </w:r>
          </w:p>
        </w:tc>
        <w:tc>
          <w:tcPr>
            <w:tcW w:w="1275" w:type="dxa"/>
            <w:vAlign w:val="center"/>
          </w:tcPr>
          <w:p w:rsidR="006B4CF4" w:rsidRPr="004B1D98" w:rsidRDefault="006B4CF4" w:rsidP="00660557">
            <w:pPr>
              <w:spacing w:after="120" w:line="300" w:lineRule="exact"/>
              <w:rPr>
                <w:sz w:val="32"/>
                <w:szCs w:val="32"/>
              </w:rPr>
            </w:pPr>
            <w:r w:rsidRPr="004B1D98">
              <w:rPr>
                <w:rFonts w:hint="cs"/>
                <w:b/>
                <w:bCs/>
                <w:sz w:val="32"/>
                <w:szCs w:val="32"/>
                <w:rtl/>
              </w:rPr>
              <w:t>المجموعة الأفريقية</w:t>
            </w:r>
          </w:p>
        </w:tc>
        <w:tc>
          <w:tcPr>
            <w:tcW w:w="1135" w:type="dxa"/>
            <w:vAlign w:val="center"/>
          </w:tcPr>
          <w:p w:rsidR="006B4CF4" w:rsidRPr="004B1D98" w:rsidRDefault="006B4CF4" w:rsidP="00660557">
            <w:pPr>
              <w:spacing w:after="120" w:line="300" w:lineRule="exact"/>
              <w:rPr>
                <w:sz w:val="32"/>
                <w:szCs w:val="32"/>
              </w:rPr>
            </w:pPr>
            <w:r w:rsidRPr="004B1D98">
              <w:rPr>
                <w:rFonts w:hint="cs"/>
                <w:b/>
                <w:bCs/>
                <w:sz w:val="32"/>
                <w:szCs w:val="32"/>
                <w:rtl/>
              </w:rPr>
              <w:t>مجموعة بلدان آسيا الوسطى والقوقاز وأوروبا الشرقية</w:t>
            </w:r>
          </w:p>
        </w:tc>
        <w:tc>
          <w:tcPr>
            <w:tcW w:w="1275" w:type="dxa"/>
            <w:vAlign w:val="center"/>
          </w:tcPr>
          <w:p w:rsidR="006B4CF4" w:rsidRPr="004B1D98" w:rsidRDefault="006B4CF4" w:rsidP="00660557">
            <w:pPr>
              <w:spacing w:after="120" w:line="300" w:lineRule="exact"/>
              <w:rPr>
                <w:sz w:val="32"/>
                <w:szCs w:val="32"/>
              </w:rPr>
            </w:pPr>
            <w:r w:rsidRPr="004B1D98">
              <w:rPr>
                <w:rFonts w:hint="cs"/>
                <w:b/>
                <w:bCs/>
                <w:sz w:val="32"/>
                <w:szCs w:val="32"/>
                <w:rtl/>
              </w:rPr>
              <w:t>مجموعة بلدان أوروبا الوسطى والبلطيق</w:t>
            </w:r>
          </w:p>
        </w:tc>
        <w:tc>
          <w:tcPr>
            <w:tcW w:w="1276" w:type="dxa"/>
            <w:vAlign w:val="center"/>
          </w:tcPr>
          <w:p w:rsidR="006B4CF4" w:rsidRPr="004B1D98" w:rsidRDefault="006B4CF4" w:rsidP="00660557">
            <w:pPr>
              <w:spacing w:after="120" w:line="300" w:lineRule="exact"/>
              <w:rPr>
                <w:sz w:val="32"/>
                <w:szCs w:val="32"/>
              </w:rPr>
            </w:pPr>
            <w:r w:rsidRPr="004B1D98">
              <w:rPr>
                <w:rFonts w:hint="cs"/>
                <w:b/>
                <w:bCs/>
                <w:sz w:val="32"/>
                <w:szCs w:val="32"/>
                <w:rtl/>
              </w:rPr>
              <w:t>مجموعة بلدان أمريكا اللاتينية والكاريبي</w:t>
            </w:r>
          </w:p>
        </w:tc>
        <w:tc>
          <w:tcPr>
            <w:tcW w:w="1276" w:type="dxa"/>
            <w:vAlign w:val="center"/>
          </w:tcPr>
          <w:p w:rsidR="006B4CF4" w:rsidRPr="004B1D98" w:rsidRDefault="006B4CF4" w:rsidP="00660557">
            <w:pPr>
              <w:spacing w:after="120" w:line="300" w:lineRule="exact"/>
              <w:rPr>
                <w:sz w:val="32"/>
                <w:szCs w:val="32"/>
              </w:rPr>
            </w:pPr>
            <w:r w:rsidRPr="004B1D98">
              <w:rPr>
                <w:rFonts w:hint="cs"/>
                <w:b/>
                <w:bCs/>
                <w:sz w:val="32"/>
                <w:szCs w:val="32"/>
                <w:rtl/>
              </w:rPr>
              <w:t>مجموعة بلدان آسيا والمحيط الهادئ</w:t>
            </w:r>
          </w:p>
        </w:tc>
        <w:tc>
          <w:tcPr>
            <w:tcW w:w="1134" w:type="dxa"/>
            <w:vAlign w:val="center"/>
          </w:tcPr>
          <w:p w:rsidR="006B4CF4" w:rsidRPr="004B1D98" w:rsidRDefault="006B4CF4" w:rsidP="00660557">
            <w:pPr>
              <w:spacing w:after="120" w:line="300" w:lineRule="exact"/>
              <w:rPr>
                <w:sz w:val="32"/>
                <w:szCs w:val="32"/>
              </w:rPr>
            </w:pPr>
            <w:r w:rsidRPr="004B1D98">
              <w:rPr>
                <w:b/>
                <w:bCs/>
                <w:sz w:val="32"/>
                <w:szCs w:val="32"/>
                <w:rtl/>
              </w:rPr>
              <w:t xml:space="preserve">الصين </w:t>
            </w:r>
          </w:p>
        </w:tc>
        <w:tc>
          <w:tcPr>
            <w:tcW w:w="1348" w:type="dxa"/>
            <w:vAlign w:val="center"/>
          </w:tcPr>
          <w:p w:rsidR="006B4CF4" w:rsidRPr="004B1D98" w:rsidRDefault="006B4CF4" w:rsidP="00660557">
            <w:pPr>
              <w:spacing w:after="120" w:line="300" w:lineRule="exact"/>
              <w:rPr>
                <w:sz w:val="32"/>
                <w:szCs w:val="32"/>
              </w:rPr>
            </w:pPr>
            <w:r w:rsidRPr="004B1D98">
              <w:rPr>
                <w:sz w:val="32"/>
                <w:szCs w:val="32"/>
                <w:rtl/>
              </w:rPr>
              <w:t>المجموع</w:t>
            </w:r>
          </w:p>
        </w:tc>
      </w:tr>
      <w:tr w:rsidR="006B4CF4" w:rsidRPr="004B1D98" w:rsidTr="00660557">
        <w:trPr>
          <w:trHeight w:val="605"/>
          <w:jc w:val="center"/>
        </w:trPr>
        <w:tc>
          <w:tcPr>
            <w:tcW w:w="704" w:type="dxa"/>
            <w:vAlign w:val="center"/>
          </w:tcPr>
          <w:p w:rsidR="006B4CF4" w:rsidRPr="004B1D98" w:rsidRDefault="006B4CF4" w:rsidP="006B4CF4">
            <w:pPr>
              <w:numPr>
                <w:ilvl w:val="0"/>
                <w:numId w:val="46"/>
              </w:numPr>
              <w:spacing w:after="120" w:line="300" w:lineRule="exact"/>
              <w:contextualSpacing/>
              <w:rPr>
                <w:rFonts w:asciiTheme="minorHAnsi" w:eastAsiaTheme="minorHAnsi" w:hAnsiTheme="minorHAnsi" w:cstheme="minorBidi"/>
                <w:sz w:val="22"/>
                <w:szCs w:val="22"/>
                <w:lang w:val="en-SG"/>
              </w:rPr>
            </w:pPr>
          </w:p>
        </w:tc>
        <w:tc>
          <w:tcPr>
            <w:tcW w:w="4322" w:type="dxa"/>
            <w:vAlign w:val="center"/>
          </w:tcPr>
          <w:p w:rsidR="006B4CF4" w:rsidRPr="004B1D98" w:rsidRDefault="006B4CF4" w:rsidP="00660557">
            <w:pPr>
              <w:spacing w:after="120" w:line="300" w:lineRule="exact"/>
              <w:jc w:val="center"/>
              <w:rPr>
                <w:sz w:val="32"/>
                <w:szCs w:val="32"/>
              </w:rPr>
            </w:pPr>
            <w:r w:rsidRPr="004B1D98">
              <w:rPr>
                <w:sz w:val="32"/>
                <w:szCs w:val="32"/>
                <w:rtl/>
              </w:rPr>
              <w:t>مجموع الأعضاء في المجموعة</w:t>
            </w:r>
          </w:p>
        </w:tc>
        <w:tc>
          <w:tcPr>
            <w:tcW w:w="1276" w:type="dxa"/>
            <w:vAlign w:val="center"/>
          </w:tcPr>
          <w:p w:rsidR="006B4CF4" w:rsidRPr="004B1D98" w:rsidRDefault="006B4CF4" w:rsidP="00660557">
            <w:pPr>
              <w:spacing w:after="120" w:line="300" w:lineRule="exact"/>
              <w:jc w:val="center"/>
              <w:rPr>
                <w:sz w:val="32"/>
                <w:szCs w:val="32"/>
              </w:rPr>
            </w:pPr>
            <w:r>
              <w:rPr>
                <w:rFonts w:hint="cs"/>
                <w:sz w:val="32"/>
                <w:szCs w:val="32"/>
                <w:rtl/>
              </w:rPr>
              <w:t>32</w:t>
            </w:r>
          </w:p>
        </w:tc>
        <w:tc>
          <w:tcPr>
            <w:tcW w:w="1275" w:type="dxa"/>
            <w:vAlign w:val="center"/>
          </w:tcPr>
          <w:p w:rsidR="006B4CF4" w:rsidRPr="004B1D98" w:rsidRDefault="006B4CF4" w:rsidP="00660557">
            <w:pPr>
              <w:spacing w:after="120" w:line="300" w:lineRule="exact"/>
              <w:jc w:val="center"/>
              <w:rPr>
                <w:sz w:val="32"/>
                <w:szCs w:val="32"/>
              </w:rPr>
            </w:pPr>
            <w:r>
              <w:rPr>
                <w:rFonts w:hint="cs"/>
                <w:sz w:val="32"/>
                <w:szCs w:val="32"/>
                <w:rtl/>
              </w:rPr>
              <w:t>53</w:t>
            </w:r>
          </w:p>
        </w:tc>
        <w:tc>
          <w:tcPr>
            <w:tcW w:w="1135" w:type="dxa"/>
            <w:vAlign w:val="center"/>
          </w:tcPr>
          <w:p w:rsidR="006B4CF4" w:rsidRPr="004B1D98" w:rsidRDefault="006B4CF4" w:rsidP="00660557">
            <w:pPr>
              <w:spacing w:after="120" w:line="300" w:lineRule="exact"/>
              <w:jc w:val="center"/>
              <w:rPr>
                <w:sz w:val="32"/>
                <w:szCs w:val="32"/>
              </w:rPr>
            </w:pPr>
            <w:r>
              <w:rPr>
                <w:rFonts w:hint="cs"/>
                <w:sz w:val="32"/>
                <w:szCs w:val="32"/>
                <w:rtl/>
              </w:rPr>
              <w:t>10</w:t>
            </w:r>
          </w:p>
        </w:tc>
        <w:tc>
          <w:tcPr>
            <w:tcW w:w="1275" w:type="dxa"/>
            <w:vAlign w:val="center"/>
          </w:tcPr>
          <w:p w:rsidR="006B4CF4" w:rsidRPr="004B1D98" w:rsidRDefault="006B4CF4" w:rsidP="00660557">
            <w:pPr>
              <w:spacing w:after="120" w:line="300" w:lineRule="exact"/>
              <w:jc w:val="center"/>
              <w:rPr>
                <w:sz w:val="32"/>
                <w:szCs w:val="32"/>
              </w:rPr>
            </w:pPr>
            <w:r>
              <w:rPr>
                <w:rFonts w:hint="cs"/>
                <w:sz w:val="32"/>
                <w:szCs w:val="32"/>
                <w:rtl/>
              </w:rPr>
              <w:t>18</w:t>
            </w:r>
          </w:p>
        </w:tc>
        <w:tc>
          <w:tcPr>
            <w:tcW w:w="1276" w:type="dxa"/>
            <w:vAlign w:val="center"/>
          </w:tcPr>
          <w:p w:rsidR="006B4CF4" w:rsidRPr="004B1D98" w:rsidRDefault="006B4CF4" w:rsidP="00660557">
            <w:pPr>
              <w:spacing w:after="120" w:line="300" w:lineRule="exact"/>
              <w:jc w:val="center"/>
              <w:rPr>
                <w:sz w:val="32"/>
                <w:szCs w:val="32"/>
              </w:rPr>
            </w:pPr>
            <w:r>
              <w:rPr>
                <w:rFonts w:hint="cs"/>
                <w:sz w:val="32"/>
                <w:szCs w:val="32"/>
                <w:rtl/>
              </w:rPr>
              <w:t>33</w:t>
            </w:r>
          </w:p>
        </w:tc>
        <w:tc>
          <w:tcPr>
            <w:tcW w:w="1276" w:type="dxa"/>
            <w:vAlign w:val="center"/>
          </w:tcPr>
          <w:p w:rsidR="006B4CF4" w:rsidRPr="004B1D98" w:rsidRDefault="006B4CF4" w:rsidP="00660557">
            <w:pPr>
              <w:spacing w:after="120" w:line="300" w:lineRule="exact"/>
              <w:jc w:val="center"/>
              <w:rPr>
                <w:sz w:val="32"/>
                <w:szCs w:val="32"/>
              </w:rPr>
            </w:pPr>
            <w:r>
              <w:rPr>
                <w:rFonts w:hint="cs"/>
                <w:sz w:val="32"/>
                <w:szCs w:val="32"/>
                <w:rtl/>
              </w:rPr>
              <w:t>45</w:t>
            </w:r>
          </w:p>
        </w:tc>
        <w:tc>
          <w:tcPr>
            <w:tcW w:w="1134" w:type="dxa"/>
            <w:vAlign w:val="center"/>
          </w:tcPr>
          <w:p w:rsidR="006B4CF4" w:rsidRPr="004B1D98" w:rsidRDefault="006B4CF4" w:rsidP="00660557">
            <w:pPr>
              <w:spacing w:after="120" w:line="300" w:lineRule="exact"/>
              <w:jc w:val="center"/>
              <w:rPr>
                <w:sz w:val="32"/>
                <w:szCs w:val="32"/>
              </w:rPr>
            </w:pPr>
            <w:r>
              <w:rPr>
                <w:rFonts w:hint="cs"/>
                <w:sz w:val="32"/>
                <w:szCs w:val="32"/>
                <w:rtl/>
              </w:rPr>
              <w:t>1</w:t>
            </w:r>
          </w:p>
        </w:tc>
        <w:tc>
          <w:tcPr>
            <w:tcW w:w="1348" w:type="dxa"/>
            <w:vAlign w:val="center"/>
          </w:tcPr>
          <w:p w:rsidR="006B4CF4" w:rsidRPr="004B1D98" w:rsidRDefault="006B4CF4" w:rsidP="00660557">
            <w:pPr>
              <w:spacing w:after="120" w:line="300" w:lineRule="exact"/>
              <w:jc w:val="center"/>
              <w:rPr>
                <w:sz w:val="32"/>
                <w:szCs w:val="32"/>
              </w:rPr>
            </w:pPr>
            <w:r>
              <w:rPr>
                <w:rFonts w:hint="cs"/>
                <w:sz w:val="32"/>
                <w:szCs w:val="32"/>
                <w:rtl/>
              </w:rPr>
              <w:t>192</w:t>
            </w:r>
          </w:p>
        </w:tc>
      </w:tr>
      <w:tr w:rsidR="006B4CF4" w:rsidRPr="004B1D98" w:rsidTr="00660557">
        <w:trPr>
          <w:trHeight w:val="556"/>
          <w:jc w:val="center"/>
        </w:trPr>
        <w:tc>
          <w:tcPr>
            <w:tcW w:w="704" w:type="dxa"/>
            <w:vAlign w:val="center"/>
          </w:tcPr>
          <w:p w:rsidR="006B4CF4" w:rsidRPr="004B1D98" w:rsidRDefault="006B4CF4" w:rsidP="006B4CF4">
            <w:pPr>
              <w:numPr>
                <w:ilvl w:val="0"/>
                <w:numId w:val="46"/>
              </w:numPr>
              <w:spacing w:after="120" w:line="300" w:lineRule="exact"/>
              <w:contextualSpacing/>
              <w:rPr>
                <w:rFonts w:asciiTheme="minorHAnsi" w:eastAsiaTheme="minorHAnsi" w:hAnsiTheme="minorHAnsi" w:cstheme="minorBidi"/>
                <w:sz w:val="22"/>
                <w:szCs w:val="22"/>
                <w:lang w:val="en-SG"/>
              </w:rPr>
            </w:pPr>
          </w:p>
        </w:tc>
        <w:tc>
          <w:tcPr>
            <w:tcW w:w="4322" w:type="dxa"/>
            <w:vAlign w:val="center"/>
          </w:tcPr>
          <w:p w:rsidR="006B4CF4" w:rsidRPr="004B1D98" w:rsidRDefault="006B4CF4" w:rsidP="00A444D0">
            <w:pPr>
              <w:spacing w:after="120" w:line="300" w:lineRule="exact"/>
              <w:jc w:val="center"/>
              <w:rPr>
                <w:sz w:val="32"/>
                <w:szCs w:val="32"/>
              </w:rPr>
            </w:pPr>
            <w:r w:rsidRPr="004B1D98">
              <w:rPr>
                <w:sz w:val="32"/>
                <w:szCs w:val="32"/>
                <w:rtl/>
              </w:rPr>
              <w:t xml:space="preserve">المقاعد المخصّصة حاليا في لجنة </w:t>
            </w:r>
            <w:r w:rsidR="00A444D0">
              <w:rPr>
                <w:rFonts w:hint="cs"/>
                <w:sz w:val="32"/>
                <w:szCs w:val="32"/>
                <w:rtl/>
              </w:rPr>
              <w:t>الميزانية</w:t>
            </w:r>
          </w:p>
        </w:tc>
        <w:tc>
          <w:tcPr>
            <w:tcW w:w="1276" w:type="dxa"/>
            <w:vAlign w:val="center"/>
          </w:tcPr>
          <w:p w:rsidR="006B4CF4" w:rsidRPr="004B1D98" w:rsidRDefault="00A444D0" w:rsidP="00660557">
            <w:pPr>
              <w:spacing w:after="120" w:line="300" w:lineRule="exact"/>
              <w:jc w:val="center"/>
              <w:rPr>
                <w:sz w:val="32"/>
                <w:szCs w:val="32"/>
              </w:rPr>
            </w:pPr>
            <w:r>
              <w:rPr>
                <w:rFonts w:hint="cs"/>
                <w:sz w:val="32"/>
                <w:szCs w:val="32"/>
                <w:rtl/>
              </w:rPr>
              <w:t>12</w:t>
            </w:r>
          </w:p>
        </w:tc>
        <w:tc>
          <w:tcPr>
            <w:tcW w:w="1275" w:type="dxa"/>
            <w:vAlign w:val="center"/>
          </w:tcPr>
          <w:p w:rsidR="006B4CF4" w:rsidRPr="004B1D98" w:rsidRDefault="00A444D0" w:rsidP="00660557">
            <w:pPr>
              <w:spacing w:after="120" w:line="300" w:lineRule="exact"/>
              <w:jc w:val="center"/>
              <w:rPr>
                <w:sz w:val="32"/>
                <w:szCs w:val="32"/>
              </w:rPr>
            </w:pPr>
            <w:r>
              <w:rPr>
                <w:rFonts w:hint="cs"/>
                <w:sz w:val="32"/>
                <w:szCs w:val="32"/>
                <w:rtl/>
              </w:rPr>
              <w:t>10</w:t>
            </w:r>
          </w:p>
        </w:tc>
        <w:tc>
          <w:tcPr>
            <w:tcW w:w="1135" w:type="dxa"/>
            <w:vAlign w:val="center"/>
          </w:tcPr>
          <w:p w:rsidR="006B4CF4" w:rsidRPr="004B1D98" w:rsidRDefault="00A444D0" w:rsidP="00660557">
            <w:pPr>
              <w:spacing w:after="120" w:line="300" w:lineRule="exact"/>
              <w:jc w:val="center"/>
              <w:rPr>
                <w:sz w:val="32"/>
                <w:szCs w:val="32"/>
              </w:rPr>
            </w:pPr>
            <w:r>
              <w:rPr>
                <w:rFonts w:hint="cs"/>
                <w:sz w:val="32"/>
                <w:szCs w:val="32"/>
                <w:rtl/>
              </w:rPr>
              <w:t>5</w:t>
            </w:r>
          </w:p>
        </w:tc>
        <w:tc>
          <w:tcPr>
            <w:tcW w:w="1275" w:type="dxa"/>
            <w:vAlign w:val="center"/>
          </w:tcPr>
          <w:p w:rsidR="006B4CF4" w:rsidRPr="004B1D98" w:rsidRDefault="00A444D0" w:rsidP="00660557">
            <w:pPr>
              <w:spacing w:after="120" w:line="300" w:lineRule="exact"/>
              <w:jc w:val="center"/>
              <w:rPr>
                <w:sz w:val="32"/>
                <w:szCs w:val="32"/>
              </w:rPr>
            </w:pPr>
            <w:r>
              <w:rPr>
                <w:rFonts w:hint="cs"/>
                <w:sz w:val="32"/>
                <w:szCs w:val="32"/>
                <w:rtl/>
              </w:rPr>
              <w:t>7</w:t>
            </w:r>
          </w:p>
        </w:tc>
        <w:tc>
          <w:tcPr>
            <w:tcW w:w="1276" w:type="dxa"/>
            <w:vAlign w:val="center"/>
          </w:tcPr>
          <w:p w:rsidR="006B4CF4" w:rsidRPr="004B1D98" w:rsidRDefault="00A444D0" w:rsidP="00660557">
            <w:pPr>
              <w:spacing w:after="120" w:line="300" w:lineRule="exact"/>
              <w:jc w:val="center"/>
              <w:rPr>
                <w:sz w:val="32"/>
                <w:szCs w:val="32"/>
              </w:rPr>
            </w:pPr>
            <w:r>
              <w:rPr>
                <w:rFonts w:hint="cs"/>
                <w:sz w:val="32"/>
                <w:szCs w:val="32"/>
                <w:rtl/>
              </w:rPr>
              <w:t>9</w:t>
            </w:r>
          </w:p>
        </w:tc>
        <w:tc>
          <w:tcPr>
            <w:tcW w:w="1276" w:type="dxa"/>
            <w:vAlign w:val="center"/>
          </w:tcPr>
          <w:p w:rsidR="006B4CF4" w:rsidRPr="004B1D98" w:rsidRDefault="00A444D0" w:rsidP="00660557">
            <w:pPr>
              <w:spacing w:after="120" w:line="300" w:lineRule="exact"/>
              <w:jc w:val="center"/>
              <w:rPr>
                <w:sz w:val="32"/>
                <w:szCs w:val="32"/>
              </w:rPr>
            </w:pPr>
            <w:r>
              <w:rPr>
                <w:rFonts w:hint="cs"/>
                <w:sz w:val="32"/>
                <w:szCs w:val="32"/>
                <w:rtl/>
              </w:rPr>
              <w:t>9</w:t>
            </w:r>
          </w:p>
        </w:tc>
        <w:tc>
          <w:tcPr>
            <w:tcW w:w="1134" w:type="dxa"/>
            <w:vAlign w:val="center"/>
          </w:tcPr>
          <w:p w:rsidR="006B4CF4" w:rsidRPr="004B1D98" w:rsidRDefault="006B4CF4" w:rsidP="00660557">
            <w:pPr>
              <w:spacing w:after="120" w:line="300" w:lineRule="exact"/>
              <w:jc w:val="center"/>
              <w:rPr>
                <w:sz w:val="32"/>
                <w:szCs w:val="32"/>
              </w:rPr>
            </w:pPr>
            <w:r>
              <w:rPr>
                <w:rFonts w:hint="cs"/>
                <w:sz w:val="32"/>
                <w:szCs w:val="32"/>
                <w:rtl/>
              </w:rPr>
              <w:t>1</w:t>
            </w:r>
          </w:p>
        </w:tc>
        <w:tc>
          <w:tcPr>
            <w:tcW w:w="1348" w:type="dxa"/>
            <w:vAlign w:val="center"/>
          </w:tcPr>
          <w:p w:rsidR="006B4CF4" w:rsidRPr="004B1D98" w:rsidRDefault="00A444D0" w:rsidP="00660557">
            <w:pPr>
              <w:spacing w:after="120" w:line="300" w:lineRule="exact"/>
              <w:jc w:val="center"/>
              <w:rPr>
                <w:sz w:val="32"/>
                <w:szCs w:val="32"/>
              </w:rPr>
            </w:pPr>
            <w:r>
              <w:rPr>
                <w:rFonts w:hint="cs"/>
                <w:sz w:val="32"/>
                <w:szCs w:val="32"/>
                <w:rtl/>
              </w:rPr>
              <w:t>53</w:t>
            </w:r>
          </w:p>
        </w:tc>
      </w:tr>
      <w:tr w:rsidR="006B4CF4" w:rsidRPr="004B1D98" w:rsidTr="00660557">
        <w:trPr>
          <w:trHeight w:val="578"/>
          <w:jc w:val="center"/>
        </w:trPr>
        <w:tc>
          <w:tcPr>
            <w:tcW w:w="704" w:type="dxa"/>
            <w:vAlign w:val="center"/>
          </w:tcPr>
          <w:p w:rsidR="006B4CF4" w:rsidRPr="004B1D98" w:rsidRDefault="006B4CF4" w:rsidP="006B4CF4">
            <w:pPr>
              <w:numPr>
                <w:ilvl w:val="0"/>
                <w:numId w:val="46"/>
              </w:numPr>
              <w:spacing w:after="120" w:line="300" w:lineRule="exact"/>
              <w:contextualSpacing/>
              <w:rPr>
                <w:rFonts w:asciiTheme="minorHAnsi" w:eastAsiaTheme="minorHAnsi" w:hAnsiTheme="minorHAnsi" w:cstheme="minorBidi"/>
                <w:sz w:val="22"/>
                <w:szCs w:val="22"/>
                <w:lang w:val="en-SG"/>
              </w:rPr>
            </w:pPr>
          </w:p>
        </w:tc>
        <w:tc>
          <w:tcPr>
            <w:tcW w:w="4322" w:type="dxa"/>
            <w:vAlign w:val="center"/>
          </w:tcPr>
          <w:p w:rsidR="006B4CF4" w:rsidRPr="004B1D98" w:rsidRDefault="006B4CF4" w:rsidP="00A444D0">
            <w:pPr>
              <w:spacing w:after="120" w:line="300" w:lineRule="exact"/>
              <w:jc w:val="center"/>
              <w:rPr>
                <w:sz w:val="32"/>
                <w:szCs w:val="32"/>
              </w:rPr>
            </w:pPr>
            <w:r w:rsidRPr="004B1D98">
              <w:rPr>
                <w:sz w:val="32"/>
                <w:szCs w:val="32"/>
                <w:rtl/>
              </w:rPr>
              <w:t xml:space="preserve">النسبة المئوية لأعضاء المجموعة الممثلة في لجنة </w:t>
            </w:r>
            <w:r w:rsidR="00A444D0">
              <w:rPr>
                <w:rFonts w:hint="cs"/>
                <w:sz w:val="32"/>
                <w:szCs w:val="32"/>
                <w:rtl/>
              </w:rPr>
              <w:t>الميزانية</w:t>
            </w:r>
            <w:r w:rsidRPr="004B1D98">
              <w:rPr>
                <w:sz w:val="32"/>
                <w:szCs w:val="32"/>
                <w:vertAlign w:val="superscript"/>
              </w:rPr>
              <w:footnoteReference w:id="2"/>
            </w:r>
          </w:p>
        </w:tc>
        <w:tc>
          <w:tcPr>
            <w:tcW w:w="1276" w:type="dxa"/>
            <w:vAlign w:val="center"/>
          </w:tcPr>
          <w:p w:rsidR="006B4CF4" w:rsidRPr="004B1D98" w:rsidRDefault="00A444D0" w:rsidP="00660557">
            <w:pPr>
              <w:spacing w:after="120" w:line="300" w:lineRule="exact"/>
              <w:jc w:val="center"/>
              <w:rPr>
                <w:sz w:val="32"/>
                <w:szCs w:val="32"/>
              </w:rPr>
            </w:pPr>
            <w:r>
              <w:rPr>
                <w:rFonts w:hint="cs"/>
                <w:sz w:val="32"/>
                <w:szCs w:val="32"/>
                <w:rtl/>
              </w:rPr>
              <w:t>37.50</w:t>
            </w:r>
            <w:r w:rsidR="006B4CF4">
              <w:rPr>
                <w:rFonts w:hint="cs"/>
                <w:sz w:val="32"/>
                <w:szCs w:val="32"/>
                <w:rtl/>
              </w:rPr>
              <w:t>%</w:t>
            </w:r>
          </w:p>
        </w:tc>
        <w:tc>
          <w:tcPr>
            <w:tcW w:w="1275" w:type="dxa"/>
            <w:vAlign w:val="center"/>
          </w:tcPr>
          <w:p w:rsidR="006B4CF4" w:rsidRPr="004B1D98" w:rsidRDefault="00A444D0" w:rsidP="00660557">
            <w:pPr>
              <w:spacing w:after="120" w:line="300" w:lineRule="exact"/>
              <w:jc w:val="center"/>
              <w:rPr>
                <w:sz w:val="32"/>
                <w:szCs w:val="32"/>
              </w:rPr>
            </w:pPr>
            <w:r>
              <w:rPr>
                <w:rFonts w:hint="cs"/>
                <w:sz w:val="32"/>
                <w:szCs w:val="32"/>
                <w:rtl/>
              </w:rPr>
              <w:t>18.87</w:t>
            </w:r>
            <w:r w:rsidR="006B4CF4">
              <w:rPr>
                <w:rFonts w:hint="cs"/>
                <w:sz w:val="32"/>
                <w:szCs w:val="32"/>
                <w:rtl/>
              </w:rPr>
              <w:t>%</w:t>
            </w:r>
          </w:p>
        </w:tc>
        <w:tc>
          <w:tcPr>
            <w:tcW w:w="1135" w:type="dxa"/>
            <w:vAlign w:val="center"/>
          </w:tcPr>
          <w:p w:rsidR="006B4CF4" w:rsidRPr="004B1D98" w:rsidRDefault="00A444D0" w:rsidP="00660557">
            <w:pPr>
              <w:spacing w:after="120" w:line="300" w:lineRule="exact"/>
              <w:jc w:val="center"/>
              <w:rPr>
                <w:sz w:val="32"/>
                <w:szCs w:val="32"/>
              </w:rPr>
            </w:pPr>
            <w:r>
              <w:rPr>
                <w:rFonts w:hint="cs"/>
                <w:sz w:val="32"/>
                <w:szCs w:val="32"/>
                <w:rtl/>
              </w:rPr>
              <w:t>50.00</w:t>
            </w:r>
            <w:r w:rsidR="006B4CF4">
              <w:rPr>
                <w:rFonts w:hint="cs"/>
                <w:sz w:val="32"/>
                <w:szCs w:val="32"/>
                <w:rtl/>
              </w:rPr>
              <w:t>%</w:t>
            </w:r>
          </w:p>
        </w:tc>
        <w:tc>
          <w:tcPr>
            <w:tcW w:w="1275" w:type="dxa"/>
            <w:vAlign w:val="center"/>
          </w:tcPr>
          <w:p w:rsidR="006B4CF4" w:rsidRPr="004B1D98" w:rsidRDefault="00A444D0" w:rsidP="00660557">
            <w:pPr>
              <w:spacing w:after="120" w:line="300" w:lineRule="exact"/>
              <w:jc w:val="center"/>
              <w:rPr>
                <w:sz w:val="32"/>
                <w:szCs w:val="32"/>
              </w:rPr>
            </w:pPr>
            <w:r>
              <w:rPr>
                <w:rFonts w:hint="cs"/>
                <w:sz w:val="32"/>
                <w:szCs w:val="32"/>
                <w:rtl/>
              </w:rPr>
              <w:t>38.89</w:t>
            </w:r>
            <w:r w:rsidR="006B4CF4">
              <w:rPr>
                <w:rFonts w:hint="cs"/>
                <w:sz w:val="32"/>
                <w:szCs w:val="32"/>
                <w:rtl/>
              </w:rPr>
              <w:t>%</w:t>
            </w:r>
          </w:p>
        </w:tc>
        <w:tc>
          <w:tcPr>
            <w:tcW w:w="1276" w:type="dxa"/>
            <w:vAlign w:val="center"/>
          </w:tcPr>
          <w:p w:rsidR="006B4CF4" w:rsidRPr="004B1D98" w:rsidRDefault="00A444D0" w:rsidP="00660557">
            <w:pPr>
              <w:spacing w:after="120" w:line="300" w:lineRule="exact"/>
              <w:jc w:val="center"/>
              <w:rPr>
                <w:sz w:val="32"/>
                <w:szCs w:val="32"/>
              </w:rPr>
            </w:pPr>
            <w:r>
              <w:rPr>
                <w:rFonts w:hint="cs"/>
                <w:sz w:val="32"/>
                <w:szCs w:val="32"/>
                <w:rtl/>
              </w:rPr>
              <w:t>27.27</w:t>
            </w:r>
            <w:r w:rsidR="006B4CF4">
              <w:rPr>
                <w:rFonts w:hint="cs"/>
                <w:sz w:val="32"/>
                <w:szCs w:val="32"/>
                <w:rtl/>
              </w:rPr>
              <w:t>%</w:t>
            </w:r>
          </w:p>
        </w:tc>
        <w:tc>
          <w:tcPr>
            <w:tcW w:w="1276" w:type="dxa"/>
            <w:vAlign w:val="center"/>
          </w:tcPr>
          <w:p w:rsidR="006B4CF4" w:rsidRPr="004B1D98" w:rsidRDefault="00A444D0" w:rsidP="00660557">
            <w:pPr>
              <w:spacing w:after="120" w:line="300" w:lineRule="exact"/>
              <w:jc w:val="center"/>
              <w:rPr>
                <w:sz w:val="32"/>
                <w:szCs w:val="32"/>
              </w:rPr>
            </w:pPr>
            <w:r>
              <w:rPr>
                <w:rFonts w:hint="cs"/>
                <w:sz w:val="32"/>
                <w:szCs w:val="32"/>
                <w:rtl/>
              </w:rPr>
              <w:t>20.00</w:t>
            </w:r>
            <w:r w:rsidR="006B4CF4">
              <w:rPr>
                <w:rFonts w:hint="cs"/>
                <w:sz w:val="32"/>
                <w:szCs w:val="32"/>
                <w:rtl/>
              </w:rPr>
              <w:t>%</w:t>
            </w:r>
          </w:p>
        </w:tc>
        <w:tc>
          <w:tcPr>
            <w:tcW w:w="1134" w:type="dxa"/>
            <w:vAlign w:val="center"/>
          </w:tcPr>
          <w:p w:rsidR="006B4CF4" w:rsidRPr="004B1D98" w:rsidRDefault="006B4CF4" w:rsidP="00660557">
            <w:pPr>
              <w:spacing w:after="120" w:line="300" w:lineRule="exact"/>
              <w:jc w:val="center"/>
              <w:rPr>
                <w:sz w:val="32"/>
                <w:szCs w:val="32"/>
                <w:rtl/>
                <w:lang w:bidi="ar-EG"/>
              </w:rPr>
            </w:pPr>
            <w:r w:rsidRPr="004B1D98">
              <w:rPr>
                <w:rFonts w:hint="cs"/>
                <w:sz w:val="32"/>
                <w:szCs w:val="32"/>
                <w:rtl/>
                <w:lang w:bidi="ar-EG"/>
              </w:rPr>
              <w:t>لا ينطبق</w:t>
            </w:r>
          </w:p>
        </w:tc>
        <w:tc>
          <w:tcPr>
            <w:tcW w:w="1348" w:type="dxa"/>
            <w:vAlign w:val="center"/>
          </w:tcPr>
          <w:p w:rsidR="006B4CF4" w:rsidRPr="004B1D98" w:rsidRDefault="006B4CF4" w:rsidP="00660557">
            <w:pPr>
              <w:spacing w:after="120" w:line="300" w:lineRule="exact"/>
              <w:jc w:val="center"/>
              <w:rPr>
                <w:sz w:val="32"/>
                <w:szCs w:val="32"/>
              </w:rPr>
            </w:pPr>
            <w:r w:rsidRPr="004B1D98">
              <w:rPr>
                <w:sz w:val="32"/>
                <w:szCs w:val="32"/>
              </w:rPr>
              <w:t>-</w:t>
            </w:r>
            <w:r w:rsidRPr="004B1D98">
              <w:rPr>
                <w:sz w:val="32"/>
                <w:szCs w:val="32"/>
                <w:rtl/>
              </w:rPr>
              <w:t xml:space="preserve"> </w:t>
            </w:r>
          </w:p>
        </w:tc>
      </w:tr>
      <w:tr w:rsidR="006B4CF4" w:rsidRPr="004B1D98" w:rsidTr="00660557">
        <w:trPr>
          <w:trHeight w:val="533"/>
          <w:jc w:val="center"/>
        </w:trPr>
        <w:tc>
          <w:tcPr>
            <w:tcW w:w="704" w:type="dxa"/>
            <w:vAlign w:val="center"/>
          </w:tcPr>
          <w:p w:rsidR="006B4CF4" w:rsidRPr="004B1D98" w:rsidRDefault="006B4CF4" w:rsidP="006B4CF4">
            <w:pPr>
              <w:numPr>
                <w:ilvl w:val="0"/>
                <w:numId w:val="46"/>
              </w:numPr>
              <w:spacing w:after="120" w:line="300" w:lineRule="exact"/>
              <w:contextualSpacing/>
              <w:rPr>
                <w:rFonts w:asciiTheme="minorHAnsi" w:eastAsiaTheme="minorHAnsi" w:hAnsiTheme="minorHAnsi" w:cstheme="minorBidi"/>
                <w:sz w:val="22"/>
                <w:szCs w:val="22"/>
                <w:lang w:val="en-SG"/>
              </w:rPr>
            </w:pPr>
          </w:p>
        </w:tc>
        <w:tc>
          <w:tcPr>
            <w:tcW w:w="4322" w:type="dxa"/>
            <w:vAlign w:val="center"/>
          </w:tcPr>
          <w:p w:rsidR="006B4CF4" w:rsidRPr="004B1D98" w:rsidRDefault="006B4CF4" w:rsidP="00660557">
            <w:pPr>
              <w:spacing w:after="120" w:line="300" w:lineRule="exact"/>
              <w:jc w:val="center"/>
              <w:rPr>
                <w:sz w:val="32"/>
                <w:szCs w:val="32"/>
              </w:rPr>
            </w:pPr>
            <w:r w:rsidRPr="004B1D98">
              <w:rPr>
                <w:sz w:val="32"/>
                <w:szCs w:val="32"/>
                <w:rtl/>
              </w:rPr>
              <w:t>نس</w:t>
            </w:r>
            <w:r w:rsidRPr="004B1D98">
              <w:rPr>
                <w:rFonts w:hint="cs"/>
                <w:sz w:val="32"/>
                <w:szCs w:val="32"/>
                <w:rtl/>
              </w:rPr>
              <w:t>ب</w:t>
            </w:r>
            <w:r w:rsidRPr="004B1D98">
              <w:rPr>
                <w:sz w:val="32"/>
                <w:szCs w:val="32"/>
                <w:rtl/>
              </w:rPr>
              <w:t>ة المجموعة من أعضاء الويبو</w:t>
            </w:r>
            <w:r w:rsidRPr="004B1D98">
              <w:rPr>
                <w:sz w:val="32"/>
                <w:szCs w:val="32"/>
                <w:vertAlign w:val="superscript"/>
              </w:rPr>
              <w:footnoteReference w:id="3"/>
            </w:r>
            <w:r w:rsidRPr="004B1D98">
              <w:rPr>
                <w:sz w:val="32"/>
                <w:szCs w:val="32"/>
                <w:rtl/>
              </w:rPr>
              <w:t xml:space="preserve"> </w:t>
            </w:r>
          </w:p>
        </w:tc>
        <w:tc>
          <w:tcPr>
            <w:tcW w:w="1276" w:type="dxa"/>
            <w:vAlign w:val="center"/>
          </w:tcPr>
          <w:p w:rsidR="006B4CF4" w:rsidRPr="004B1D98" w:rsidRDefault="006B4CF4" w:rsidP="00660557">
            <w:pPr>
              <w:spacing w:after="120" w:line="300" w:lineRule="exact"/>
              <w:jc w:val="center"/>
              <w:rPr>
                <w:sz w:val="32"/>
                <w:szCs w:val="32"/>
              </w:rPr>
            </w:pPr>
            <w:r>
              <w:rPr>
                <w:rFonts w:hint="cs"/>
                <w:sz w:val="32"/>
                <w:szCs w:val="32"/>
                <w:rtl/>
              </w:rPr>
              <w:t>16.67%</w:t>
            </w:r>
          </w:p>
        </w:tc>
        <w:tc>
          <w:tcPr>
            <w:tcW w:w="1275" w:type="dxa"/>
            <w:vAlign w:val="center"/>
          </w:tcPr>
          <w:p w:rsidR="006B4CF4" w:rsidRPr="004B1D98" w:rsidRDefault="006B4CF4" w:rsidP="00660557">
            <w:pPr>
              <w:spacing w:after="120" w:line="300" w:lineRule="exact"/>
              <w:jc w:val="center"/>
              <w:rPr>
                <w:sz w:val="32"/>
                <w:szCs w:val="32"/>
              </w:rPr>
            </w:pPr>
            <w:r>
              <w:rPr>
                <w:rFonts w:hint="cs"/>
                <w:sz w:val="32"/>
                <w:szCs w:val="32"/>
                <w:rtl/>
              </w:rPr>
              <w:t>27.60%</w:t>
            </w:r>
          </w:p>
        </w:tc>
        <w:tc>
          <w:tcPr>
            <w:tcW w:w="1135" w:type="dxa"/>
            <w:vAlign w:val="center"/>
          </w:tcPr>
          <w:p w:rsidR="006B4CF4" w:rsidRPr="004B1D98" w:rsidRDefault="006B4CF4" w:rsidP="00660557">
            <w:pPr>
              <w:spacing w:after="120" w:line="300" w:lineRule="exact"/>
              <w:jc w:val="center"/>
              <w:rPr>
                <w:sz w:val="32"/>
                <w:szCs w:val="32"/>
              </w:rPr>
            </w:pPr>
            <w:r>
              <w:rPr>
                <w:rFonts w:hint="cs"/>
                <w:sz w:val="32"/>
                <w:szCs w:val="32"/>
                <w:rtl/>
              </w:rPr>
              <w:t>5.21%</w:t>
            </w:r>
          </w:p>
        </w:tc>
        <w:tc>
          <w:tcPr>
            <w:tcW w:w="1275" w:type="dxa"/>
            <w:vAlign w:val="center"/>
          </w:tcPr>
          <w:p w:rsidR="006B4CF4" w:rsidRPr="004B1D98" w:rsidRDefault="006B4CF4" w:rsidP="00660557">
            <w:pPr>
              <w:spacing w:after="120" w:line="300" w:lineRule="exact"/>
              <w:jc w:val="center"/>
              <w:rPr>
                <w:sz w:val="32"/>
                <w:szCs w:val="32"/>
              </w:rPr>
            </w:pPr>
            <w:r>
              <w:rPr>
                <w:rFonts w:hint="cs"/>
                <w:sz w:val="32"/>
                <w:szCs w:val="32"/>
                <w:rtl/>
              </w:rPr>
              <w:t>9.38%</w:t>
            </w:r>
          </w:p>
        </w:tc>
        <w:tc>
          <w:tcPr>
            <w:tcW w:w="1276" w:type="dxa"/>
            <w:vAlign w:val="center"/>
          </w:tcPr>
          <w:p w:rsidR="006B4CF4" w:rsidRPr="004B1D98" w:rsidRDefault="006B4CF4" w:rsidP="00660557">
            <w:pPr>
              <w:spacing w:after="120" w:line="300" w:lineRule="exact"/>
              <w:jc w:val="center"/>
              <w:rPr>
                <w:sz w:val="32"/>
                <w:szCs w:val="32"/>
              </w:rPr>
            </w:pPr>
            <w:r>
              <w:rPr>
                <w:rFonts w:hint="cs"/>
                <w:sz w:val="32"/>
                <w:szCs w:val="32"/>
                <w:rtl/>
              </w:rPr>
              <w:t>17.19%</w:t>
            </w:r>
          </w:p>
        </w:tc>
        <w:tc>
          <w:tcPr>
            <w:tcW w:w="1276" w:type="dxa"/>
            <w:vAlign w:val="center"/>
          </w:tcPr>
          <w:p w:rsidR="006B4CF4" w:rsidRPr="004B1D98" w:rsidRDefault="006B4CF4" w:rsidP="00660557">
            <w:pPr>
              <w:spacing w:after="120" w:line="300" w:lineRule="exact"/>
              <w:jc w:val="center"/>
              <w:rPr>
                <w:sz w:val="32"/>
                <w:szCs w:val="32"/>
              </w:rPr>
            </w:pPr>
            <w:r>
              <w:rPr>
                <w:rFonts w:hint="cs"/>
                <w:sz w:val="32"/>
                <w:szCs w:val="32"/>
                <w:rtl/>
              </w:rPr>
              <w:t>23.44%</w:t>
            </w:r>
          </w:p>
        </w:tc>
        <w:tc>
          <w:tcPr>
            <w:tcW w:w="1134" w:type="dxa"/>
            <w:vAlign w:val="center"/>
          </w:tcPr>
          <w:p w:rsidR="006B4CF4" w:rsidRPr="004B1D98" w:rsidRDefault="006B4CF4" w:rsidP="00660557">
            <w:pPr>
              <w:spacing w:after="120" w:line="300" w:lineRule="exact"/>
              <w:jc w:val="center"/>
              <w:rPr>
                <w:sz w:val="32"/>
                <w:szCs w:val="32"/>
              </w:rPr>
            </w:pPr>
            <w:r w:rsidRPr="004B1D98">
              <w:rPr>
                <w:rFonts w:hint="cs"/>
                <w:sz w:val="32"/>
                <w:szCs w:val="32"/>
                <w:rtl/>
                <w:lang w:bidi="ar-EG"/>
              </w:rPr>
              <w:t>لا ينطبق</w:t>
            </w:r>
          </w:p>
        </w:tc>
        <w:tc>
          <w:tcPr>
            <w:tcW w:w="1348" w:type="dxa"/>
            <w:vAlign w:val="center"/>
          </w:tcPr>
          <w:p w:rsidR="006B4CF4" w:rsidRPr="004B1D98" w:rsidRDefault="006B4CF4" w:rsidP="00660557">
            <w:pPr>
              <w:spacing w:after="120" w:line="300" w:lineRule="exact"/>
              <w:jc w:val="center"/>
              <w:rPr>
                <w:sz w:val="32"/>
                <w:szCs w:val="32"/>
              </w:rPr>
            </w:pPr>
            <w:r>
              <w:rPr>
                <w:rFonts w:hint="cs"/>
                <w:sz w:val="32"/>
                <w:szCs w:val="32"/>
                <w:rtl/>
              </w:rPr>
              <w:t>100%</w:t>
            </w:r>
          </w:p>
        </w:tc>
      </w:tr>
      <w:tr w:rsidR="006B4CF4" w:rsidRPr="004B1D98" w:rsidTr="00660557">
        <w:trPr>
          <w:trHeight w:val="541"/>
          <w:jc w:val="center"/>
        </w:trPr>
        <w:tc>
          <w:tcPr>
            <w:tcW w:w="704" w:type="dxa"/>
            <w:vAlign w:val="center"/>
          </w:tcPr>
          <w:p w:rsidR="006B4CF4" w:rsidRPr="004B1D98" w:rsidRDefault="006B4CF4" w:rsidP="006B4CF4">
            <w:pPr>
              <w:numPr>
                <w:ilvl w:val="0"/>
                <w:numId w:val="46"/>
              </w:numPr>
              <w:spacing w:after="120" w:line="300" w:lineRule="exact"/>
              <w:contextualSpacing/>
              <w:rPr>
                <w:rFonts w:asciiTheme="minorHAnsi" w:eastAsiaTheme="minorHAnsi" w:hAnsiTheme="minorHAnsi" w:cstheme="minorBidi"/>
                <w:sz w:val="22"/>
                <w:szCs w:val="22"/>
                <w:lang w:val="en-SG"/>
              </w:rPr>
            </w:pPr>
          </w:p>
        </w:tc>
        <w:tc>
          <w:tcPr>
            <w:tcW w:w="4322" w:type="dxa"/>
            <w:vAlign w:val="center"/>
          </w:tcPr>
          <w:p w:rsidR="006B4CF4" w:rsidRPr="004B1D98" w:rsidRDefault="006B4CF4" w:rsidP="00220A88">
            <w:pPr>
              <w:spacing w:after="120" w:line="300" w:lineRule="exact"/>
              <w:jc w:val="center"/>
              <w:rPr>
                <w:sz w:val="32"/>
                <w:szCs w:val="32"/>
              </w:rPr>
            </w:pPr>
            <w:r w:rsidRPr="004B1D98">
              <w:rPr>
                <w:sz w:val="32"/>
                <w:szCs w:val="32"/>
                <w:rtl/>
              </w:rPr>
              <w:t xml:space="preserve">نسبة المجموعة من أعضاء لجنة </w:t>
            </w:r>
            <w:r w:rsidR="00220A88">
              <w:rPr>
                <w:rFonts w:hint="cs"/>
                <w:sz w:val="32"/>
                <w:szCs w:val="32"/>
                <w:rtl/>
              </w:rPr>
              <w:t>الميزانية</w:t>
            </w:r>
            <w:r w:rsidRPr="004B1D98">
              <w:rPr>
                <w:sz w:val="32"/>
                <w:szCs w:val="32"/>
                <w:vertAlign w:val="superscript"/>
              </w:rPr>
              <w:footnoteReference w:id="4"/>
            </w:r>
          </w:p>
        </w:tc>
        <w:tc>
          <w:tcPr>
            <w:tcW w:w="1276" w:type="dxa"/>
            <w:vAlign w:val="center"/>
          </w:tcPr>
          <w:p w:rsidR="006B4CF4" w:rsidRPr="004B1D98" w:rsidRDefault="00220A88" w:rsidP="00660557">
            <w:pPr>
              <w:spacing w:after="120" w:line="300" w:lineRule="exact"/>
              <w:jc w:val="center"/>
              <w:rPr>
                <w:sz w:val="32"/>
                <w:szCs w:val="32"/>
              </w:rPr>
            </w:pPr>
            <w:r>
              <w:rPr>
                <w:rFonts w:hint="cs"/>
                <w:sz w:val="32"/>
                <w:szCs w:val="32"/>
                <w:rtl/>
              </w:rPr>
              <w:t>22.64</w:t>
            </w:r>
            <w:r w:rsidR="006B4CF4">
              <w:rPr>
                <w:rFonts w:hint="cs"/>
                <w:sz w:val="32"/>
                <w:szCs w:val="32"/>
                <w:rtl/>
              </w:rPr>
              <w:t>%</w:t>
            </w:r>
          </w:p>
        </w:tc>
        <w:tc>
          <w:tcPr>
            <w:tcW w:w="1275" w:type="dxa"/>
            <w:vAlign w:val="center"/>
          </w:tcPr>
          <w:p w:rsidR="006B4CF4" w:rsidRPr="004B1D98" w:rsidRDefault="00220A88" w:rsidP="00660557">
            <w:pPr>
              <w:spacing w:after="120" w:line="300" w:lineRule="exact"/>
              <w:jc w:val="center"/>
              <w:rPr>
                <w:sz w:val="32"/>
                <w:szCs w:val="32"/>
              </w:rPr>
            </w:pPr>
            <w:r>
              <w:rPr>
                <w:rFonts w:hint="cs"/>
                <w:sz w:val="32"/>
                <w:szCs w:val="32"/>
                <w:rtl/>
              </w:rPr>
              <w:t>18.87</w:t>
            </w:r>
            <w:r w:rsidR="006B4CF4">
              <w:rPr>
                <w:rFonts w:hint="cs"/>
                <w:sz w:val="32"/>
                <w:szCs w:val="32"/>
                <w:rtl/>
              </w:rPr>
              <w:t>%</w:t>
            </w:r>
          </w:p>
        </w:tc>
        <w:tc>
          <w:tcPr>
            <w:tcW w:w="1135" w:type="dxa"/>
            <w:vAlign w:val="center"/>
          </w:tcPr>
          <w:p w:rsidR="006B4CF4" w:rsidRPr="004B1D98" w:rsidRDefault="00220A88" w:rsidP="00660557">
            <w:pPr>
              <w:spacing w:after="120" w:line="300" w:lineRule="exact"/>
              <w:jc w:val="center"/>
              <w:rPr>
                <w:sz w:val="32"/>
                <w:szCs w:val="32"/>
              </w:rPr>
            </w:pPr>
            <w:r>
              <w:rPr>
                <w:rFonts w:hint="cs"/>
                <w:sz w:val="32"/>
                <w:szCs w:val="32"/>
                <w:rtl/>
              </w:rPr>
              <w:t>9.43</w:t>
            </w:r>
            <w:r w:rsidR="006B4CF4">
              <w:rPr>
                <w:rFonts w:hint="cs"/>
                <w:sz w:val="32"/>
                <w:szCs w:val="32"/>
                <w:rtl/>
              </w:rPr>
              <w:t>%</w:t>
            </w:r>
          </w:p>
        </w:tc>
        <w:tc>
          <w:tcPr>
            <w:tcW w:w="1275" w:type="dxa"/>
            <w:vAlign w:val="center"/>
          </w:tcPr>
          <w:p w:rsidR="006B4CF4" w:rsidRPr="004B1D98" w:rsidRDefault="00220A88" w:rsidP="00660557">
            <w:pPr>
              <w:spacing w:after="120" w:line="300" w:lineRule="exact"/>
              <w:jc w:val="center"/>
              <w:rPr>
                <w:sz w:val="32"/>
                <w:szCs w:val="32"/>
              </w:rPr>
            </w:pPr>
            <w:r>
              <w:rPr>
                <w:rFonts w:hint="cs"/>
                <w:sz w:val="32"/>
                <w:szCs w:val="32"/>
                <w:rtl/>
              </w:rPr>
              <w:t>13.21</w:t>
            </w:r>
            <w:r w:rsidR="006B4CF4">
              <w:rPr>
                <w:rFonts w:hint="cs"/>
                <w:sz w:val="32"/>
                <w:szCs w:val="32"/>
                <w:rtl/>
              </w:rPr>
              <w:t>%</w:t>
            </w:r>
          </w:p>
        </w:tc>
        <w:tc>
          <w:tcPr>
            <w:tcW w:w="1276" w:type="dxa"/>
            <w:vAlign w:val="center"/>
          </w:tcPr>
          <w:p w:rsidR="006B4CF4" w:rsidRPr="004B1D98" w:rsidRDefault="00220A88" w:rsidP="00660557">
            <w:pPr>
              <w:spacing w:after="120" w:line="300" w:lineRule="exact"/>
              <w:jc w:val="center"/>
              <w:rPr>
                <w:sz w:val="32"/>
                <w:szCs w:val="32"/>
              </w:rPr>
            </w:pPr>
            <w:r>
              <w:rPr>
                <w:rFonts w:hint="cs"/>
                <w:sz w:val="32"/>
                <w:szCs w:val="32"/>
                <w:rtl/>
              </w:rPr>
              <w:t>16.98</w:t>
            </w:r>
            <w:r w:rsidR="006B4CF4">
              <w:rPr>
                <w:rFonts w:hint="cs"/>
                <w:sz w:val="32"/>
                <w:szCs w:val="32"/>
                <w:rtl/>
              </w:rPr>
              <w:t>%</w:t>
            </w:r>
          </w:p>
        </w:tc>
        <w:tc>
          <w:tcPr>
            <w:tcW w:w="1276" w:type="dxa"/>
            <w:vAlign w:val="center"/>
          </w:tcPr>
          <w:p w:rsidR="006B4CF4" w:rsidRPr="004B1D98" w:rsidRDefault="00220A88" w:rsidP="00660557">
            <w:pPr>
              <w:spacing w:after="120" w:line="300" w:lineRule="exact"/>
              <w:jc w:val="center"/>
              <w:rPr>
                <w:sz w:val="32"/>
                <w:szCs w:val="32"/>
              </w:rPr>
            </w:pPr>
            <w:r>
              <w:rPr>
                <w:rFonts w:hint="cs"/>
                <w:sz w:val="32"/>
                <w:szCs w:val="32"/>
                <w:rtl/>
              </w:rPr>
              <w:t>16.98</w:t>
            </w:r>
            <w:r w:rsidR="006B4CF4">
              <w:rPr>
                <w:rFonts w:hint="cs"/>
                <w:sz w:val="32"/>
                <w:szCs w:val="32"/>
                <w:rtl/>
              </w:rPr>
              <w:t>%</w:t>
            </w:r>
          </w:p>
        </w:tc>
        <w:tc>
          <w:tcPr>
            <w:tcW w:w="1134" w:type="dxa"/>
            <w:vAlign w:val="center"/>
          </w:tcPr>
          <w:p w:rsidR="006B4CF4" w:rsidRPr="004B1D98" w:rsidRDefault="006B4CF4" w:rsidP="00660557">
            <w:pPr>
              <w:spacing w:after="120" w:line="300" w:lineRule="exact"/>
              <w:jc w:val="center"/>
              <w:rPr>
                <w:sz w:val="32"/>
                <w:szCs w:val="32"/>
              </w:rPr>
            </w:pPr>
            <w:r w:rsidRPr="004B1D98">
              <w:rPr>
                <w:rFonts w:hint="cs"/>
                <w:sz w:val="32"/>
                <w:szCs w:val="32"/>
                <w:rtl/>
                <w:lang w:bidi="ar-EG"/>
              </w:rPr>
              <w:t>لا ينطبق</w:t>
            </w:r>
          </w:p>
        </w:tc>
        <w:tc>
          <w:tcPr>
            <w:tcW w:w="1348" w:type="dxa"/>
            <w:vAlign w:val="center"/>
          </w:tcPr>
          <w:p w:rsidR="006B4CF4" w:rsidRPr="004B1D98" w:rsidRDefault="006B4CF4" w:rsidP="00660557">
            <w:pPr>
              <w:spacing w:after="120" w:line="300" w:lineRule="exact"/>
              <w:jc w:val="center"/>
              <w:rPr>
                <w:sz w:val="32"/>
                <w:szCs w:val="32"/>
              </w:rPr>
            </w:pPr>
            <w:r>
              <w:rPr>
                <w:rFonts w:hint="cs"/>
                <w:sz w:val="32"/>
                <w:szCs w:val="32"/>
                <w:rtl/>
              </w:rPr>
              <w:t>100%</w:t>
            </w:r>
          </w:p>
        </w:tc>
      </w:tr>
      <w:tr w:rsidR="006B4CF4" w:rsidRPr="004B1D98" w:rsidTr="00660557">
        <w:trPr>
          <w:trHeight w:val="1029"/>
          <w:jc w:val="center"/>
        </w:trPr>
        <w:tc>
          <w:tcPr>
            <w:tcW w:w="704" w:type="dxa"/>
            <w:vAlign w:val="center"/>
          </w:tcPr>
          <w:p w:rsidR="006B4CF4" w:rsidRPr="004B1D98" w:rsidRDefault="006B4CF4" w:rsidP="006B4CF4">
            <w:pPr>
              <w:numPr>
                <w:ilvl w:val="0"/>
                <w:numId w:val="46"/>
              </w:numPr>
              <w:spacing w:after="120" w:line="300" w:lineRule="exact"/>
              <w:contextualSpacing/>
              <w:rPr>
                <w:rFonts w:asciiTheme="minorHAnsi" w:eastAsiaTheme="minorHAnsi" w:hAnsiTheme="minorHAnsi" w:cstheme="minorBidi"/>
                <w:sz w:val="22"/>
                <w:szCs w:val="22"/>
                <w:lang w:val="en-SG"/>
              </w:rPr>
            </w:pPr>
          </w:p>
        </w:tc>
        <w:tc>
          <w:tcPr>
            <w:tcW w:w="4322" w:type="dxa"/>
            <w:vAlign w:val="center"/>
          </w:tcPr>
          <w:p w:rsidR="006B4CF4" w:rsidRPr="004B1D98" w:rsidRDefault="006B4CF4" w:rsidP="00220A88">
            <w:pPr>
              <w:spacing w:after="120" w:line="300" w:lineRule="exact"/>
              <w:jc w:val="center"/>
              <w:rPr>
                <w:sz w:val="32"/>
                <w:szCs w:val="32"/>
              </w:rPr>
            </w:pPr>
            <w:r w:rsidRPr="004B1D98">
              <w:rPr>
                <w:sz w:val="32"/>
                <w:szCs w:val="32"/>
                <w:rtl/>
              </w:rPr>
              <w:t xml:space="preserve">عدد المقاعد في لجنة </w:t>
            </w:r>
            <w:r w:rsidR="00220A88">
              <w:rPr>
                <w:rFonts w:hint="cs"/>
                <w:sz w:val="32"/>
                <w:szCs w:val="32"/>
                <w:rtl/>
              </w:rPr>
              <w:t>الميزانية</w:t>
            </w:r>
            <w:r w:rsidRPr="004B1D98">
              <w:rPr>
                <w:sz w:val="32"/>
                <w:szCs w:val="32"/>
                <w:rtl/>
              </w:rPr>
              <w:t xml:space="preserve"> إذا حُدّد حسب النسبة من أعضاء الويبو على أساس </w:t>
            </w:r>
            <w:r w:rsidR="00220A88">
              <w:rPr>
                <w:rFonts w:hint="cs"/>
                <w:sz w:val="32"/>
                <w:szCs w:val="32"/>
                <w:rtl/>
              </w:rPr>
              <w:t>53</w:t>
            </w:r>
            <w:r w:rsidRPr="004B1D98">
              <w:rPr>
                <w:sz w:val="32"/>
                <w:szCs w:val="32"/>
                <w:rtl/>
              </w:rPr>
              <w:t xml:space="preserve"> مق</w:t>
            </w:r>
            <w:r w:rsidRPr="004B1D98">
              <w:rPr>
                <w:rFonts w:hint="cs"/>
                <w:sz w:val="32"/>
                <w:szCs w:val="32"/>
                <w:rtl/>
              </w:rPr>
              <w:t>ع</w:t>
            </w:r>
            <w:r w:rsidRPr="004B1D98">
              <w:rPr>
                <w:sz w:val="32"/>
                <w:szCs w:val="32"/>
                <w:rtl/>
              </w:rPr>
              <w:t xml:space="preserve">داً في لجنة </w:t>
            </w:r>
            <w:r w:rsidR="00220A88">
              <w:rPr>
                <w:rFonts w:hint="cs"/>
                <w:sz w:val="32"/>
                <w:szCs w:val="32"/>
                <w:rtl/>
              </w:rPr>
              <w:t>الميزانية</w:t>
            </w:r>
            <w:r w:rsidRPr="004B1D98">
              <w:rPr>
                <w:sz w:val="32"/>
                <w:szCs w:val="32"/>
                <w:vertAlign w:val="superscript"/>
              </w:rPr>
              <w:footnoteReference w:id="5"/>
            </w:r>
          </w:p>
        </w:tc>
        <w:tc>
          <w:tcPr>
            <w:tcW w:w="1276" w:type="dxa"/>
            <w:vAlign w:val="center"/>
          </w:tcPr>
          <w:p w:rsidR="006B4CF4" w:rsidRPr="004B1D98" w:rsidRDefault="00220A88" w:rsidP="00660557">
            <w:pPr>
              <w:spacing w:after="120" w:line="300" w:lineRule="exact"/>
              <w:jc w:val="center"/>
              <w:rPr>
                <w:sz w:val="32"/>
                <w:szCs w:val="32"/>
              </w:rPr>
            </w:pPr>
            <w:r>
              <w:rPr>
                <w:rFonts w:hint="cs"/>
                <w:sz w:val="32"/>
                <w:szCs w:val="32"/>
                <w:rtl/>
              </w:rPr>
              <w:t>8.83</w:t>
            </w:r>
          </w:p>
        </w:tc>
        <w:tc>
          <w:tcPr>
            <w:tcW w:w="1275" w:type="dxa"/>
            <w:vAlign w:val="center"/>
          </w:tcPr>
          <w:p w:rsidR="006B4CF4" w:rsidRPr="004B1D98" w:rsidRDefault="00220A88" w:rsidP="00660557">
            <w:pPr>
              <w:spacing w:after="120" w:line="300" w:lineRule="exact"/>
              <w:jc w:val="center"/>
              <w:rPr>
                <w:sz w:val="32"/>
                <w:szCs w:val="32"/>
              </w:rPr>
            </w:pPr>
            <w:r>
              <w:rPr>
                <w:rFonts w:hint="cs"/>
                <w:sz w:val="32"/>
                <w:szCs w:val="32"/>
                <w:rtl/>
              </w:rPr>
              <w:t>14.63</w:t>
            </w:r>
          </w:p>
        </w:tc>
        <w:tc>
          <w:tcPr>
            <w:tcW w:w="1135" w:type="dxa"/>
            <w:vAlign w:val="center"/>
          </w:tcPr>
          <w:p w:rsidR="006B4CF4" w:rsidRPr="004B1D98" w:rsidRDefault="00220A88" w:rsidP="00660557">
            <w:pPr>
              <w:spacing w:after="120" w:line="300" w:lineRule="exact"/>
              <w:jc w:val="center"/>
              <w:rPr>
                <w:sz w:val="32"/>
                <w:szCs w:val="32"/>
              </w:rPr>
            </w:pPr>
            <w:r>
              <w:rPr>
                <w:rFonts w:hint="cs"/>
                <w:sz w:val="32"/>
                <w:szCs w:val="32"/>
                <w:rtl/>
              </w:rPr>
              <w:t>2.76</w:t>
            </w:r>
          </w:p>
        </w:tc>
        <w:tc>
          <w:tcPr>
            <w:tcW w:w="1275" w:type="dxa"/>
            <w:vAlign w:val="center"/>
          </w:tcPr>
          <w:p w:rsidR="006B4CF4" w:rsidRPr="004B1D98" w:rsidRDefault="00220A88" w:rsidP="00660557">
            <w:pPr>
              <w:spacing w:after="120" w:line="300" w:lineRule="exact"/>
              <w:jc w:val="center"/>
              <w:rPr>
                <w:sz w:val="32"/>
                <w:szCs w:val="32"/>
              </w:rPr>
            </w:pPr>
            <w:r>
              <w:rPr>
                <w:rFonts w:hint="cs"/>
                <w:sz w:val="32"/>
                <w:szCs w:val="32"/>
                <w:rtl/>
              </w:rPr>
              <w:t>4.97</w:t>
            </w:r>
          </w:p>
        </w:tc>
        <w:tc>
          <w:tcPr>
            <w:tcW w:w="1276" w:type="dxa"/>
            <w:vAlign w:val="center"/>
          </w:tcPr>
          <w:p w:rsidR="006B4CF4" w:rsidRPr="004B1D98" w:rsidRDefault="00220A88" w:rsidP="00660557">
            <w:pPr>
              <w:spacing w:after="120" w:line="300" w:lineRule="exact"/>
              <w:jc w:val="center"/>
              <w:rPr>
                <w:sz w:val="32"/>
                <w:szCs w:val="32"/>
              </w:rPr>
            </w:pPr>
            <w:r>
              <w:rPr>
                <w:rFonts w:hint="cs"/>
                <w:sz w:val="32"/>
                <w:szCs w:val="32"/>
                <w:rtl/>
              </w:rPr>
              <w:t>9.11</w:t>
            </w:r>
          </w:p>
        </w:tc>
        <w:tc>
          <w:tcPr>
            <w:tcW w:w="1276" w:type="dxa"/>
            <w:vAlign w:val="center"/>
          </w:tcPr>
          <w:p w:rsidR="006B4CF4" w:rsidRPr="004B1D98" w:rsidRDefault="00220A88" w:rsidP="00660557">
            <w:pPr>
              <w:spacing w:after="120" w:line="300" w:lineRule="exact"/>
              <w:jc w:val="center"/>
              <w:rPr>
                <w:sz w:val="32"/>
                <w:szCs w:val="32"/>
              </w:rPr>
            </w:pPr>
            <w:r>
              <w:rPr>
                <w:rFonts w:hint="cs"/>
                <w:sz w:val="32"/>
                <w:szCs w:val="32"/>
                <w:rtl/>
              </w:rPr>
              <w:t>12.42</w:t>
            </w:r>
          </w:p>
        </w:tc>
        <w:tc>
          <w:tcPr>
            <w:tcW w:w="1134" w:type="dxa"/>
            <w:vAlign w:val="center"/>
          </w:tcPr>
          <w:p w:rsidR="006B4CF4" w:rsidRPr="004B1D98" w:rsidRDefault="006B4CF4" w:rsidP="00660557">
            <w:pPr>
              <w:spacing w:after="120" w:line="300" w:lineRule="exact"/>
              <w:jc w:val="center"/>
              <w:rPr>
                <w:sz w:val="32"/>
                <w:szCs w:val="32"/>
              </w:rPr>
            </w:pPr>
            <w:r w:rsidRPr="004B1D98">
              <w:rPr>
                <w:rFonts w:hint="cs"/>
                <w:sz w:val="32"/>
                <w:szCs w:val="32"/>
                <w:rtl/>
                <w:lang w:bidi="ar-EG"/>
              </w:rPr>
              <w:t>لا ينطبق</w:t>
            </w:r>
          </w:p>
        </w:tc>
        <w:tc>
          <w:tcPr>
            <w:tcW w:w="1348" w:type="dxa"/>
            <w:vAlign w:val="center"/>
          </w:tcPr>
          <w:p w:rsidR="006B4CF4" w:rsidRPr="004B1D98" w:rsidRDefault="00220A88" w:rsidP="00660557">
            <w:pPr>
              <w:spacing w:after="120" w:line="300" w:lineRule="exact"/>
              <w:jc w:val="center"/>
              <w:rPr>
                <w:sz w:val="32"/>
                <w:szCs w:val="32"/>
              </w:rPr>
            </w:pPr>
            <w:r>
              <w:rPr>
                <w:rFonts w:hint="cs"/>
                <w:sz w:val="32"/>
                <w:szCs w:val="32"/>
                <w:rtl/>
              </w:rPr>
              <w:t>53</w:t>
            </w:r>
          </w:p>
        </w:tc>
      </w:tr>
      <w:tr w:rsidR="006B4CF4" w:rsidRPr="004B1D98" w:rsidTr="00660557">
        <w:trPr>
          <w:trHeight w:val="1029"/>
          <w:jc w:val="center"/>
        </w:trPr>
        <w:tc>
          <w:tcPr>
            <w:tcW w:w="704" w:type="dxa"/>
            <w:vAlign w:val="center"/>
          </w:tcPr>
          <w:p w:rsidR="006B4CF4" w:rsidRPr="004B1D98" w:rsidRDefault="006B4CF4" w:rsidP="006B4CF4">
            <w:pPr>
              <w:numPr>
                <w:ilvl w:val="0"/>
                <w:numId w:val="46"/>
              </w:numPr>
              <w:spacing w:after="120" w:line="300" w:lineRule="exact"/>
              <w:contextualSpacing/>
              <w:rPr>
                <w:rFonts w:asciiTheme="minorHAnsi" w:eastAsiaTheme="minorHAnsi" w:hAnsiTheme="minorHAnsi" w:cstheme="minorBidi"/>
                <w:sz w:val="22"/>
                <w:szCs w:val="22"/>
                <w:lang w:val="en-SG"/>
              </w:rPr>
            </w:pPr>
          </w:p>
        </w:tc>
        <w:tc>
          <w:tcPr>
            <w:tcW w:w="4322" w:type="dxa"/>
            <w:vAlign w:val="center"/>
          </w:tcPr>
          <w:p w:rsidR="006B4CF4" w:rsidRPr="004B1D98" w:rsidRDefault="006B4CF4" w:rsidP="00660557">
            <w:pPr>
              <w:spacing w:after="120" w:line="300" w:lineRule="exact"/>
              <w:jc w:val="center"/>
              <w:rPr>
                <w:b/>
                <w:sz w:val="32"/>
                <w:szCs w:val="32"/>
              </w:rPr>
            </w:pPr>
            <w:r w:rsidRPr="004B1D98">
              <w:rPr>
                <w:rFonts w:hint="cs"/>
                <w:bCs/>
                <w:sz w:val="32"/>
                <w:szCs w:val="32"/>
                <w:rtl/>
              </w:rPr>
              <w:t>الفارق (بين السطر 6 والسطر 2)</w:t>
            </w:r>
            <w:r w:rsidRPr="004B1D98">
              <w:rPr>
                <w:b/>
                <w:sz w:val="32"/>
                <w:szCs w:val="32"/>
                <w:vertAlign w:val="superscript"/>
                <w:rtl/>
              </w:rPr>
              <w:footnoteReference w:id="6"/>
            </w:r>
          </w:p>
        </w:tc>
        <w:tc>
          <w:tcPr>
            <w:tcW w:w="1276" w:type="dxa"/>
            <w:vAlign w:val="center"/>
          </w:tcPr>
          <w:p w:rsidR="006B4CF4" w:rsidRPr="00F20CC4" w:rsidRDefault="006B4CF4" w:rsidP="00220A88">
            <w:pPr>
              <w:spacing w:after="120" w:line="300" w:lineRule="exact"/>
              <w:jc w:val="center"/>
              <w:rPr>
                <w:bCs/>
                <w:sz w:val="32"/>
                <w:szCs w:val="32"/>
                <w:u w:val="single"/>
              </w:rPr>
            </w:pPr>
            <w:r w:rsidRPr="00F20CC4">
              <w:rPr>
                <w:rFonts w:hint="cs"/>
                <w:bCs/>
                <w:sz w:val="32"/>
                <w:szCs w:val="32"/>
                <w:u w:val="single"/>
                <w:rtl/>
              </w:rPr>
              <w:t>-</w:t>
            </w:r>
            <w:r w:rsidR="00220A88">
              <w:rPr>
                <w:rFonts w:hint="cs"/>
                <w:bCs/>
                <w:sz w:val="32"/>
                <w:szCs w:val="32"/>
                <w:u w:val="single"/>
                <w:rtl/>
              </w:rPr>
              <w:t>3</w:t>
            </w:r>
            <w:r w:rsidRPr="00F20CC4">
              <w:rPr>
                <w:rFonts w:hint="cs"/>
                <w:bCs/>
                <w:sz w:val="32"/>
                <w:szCs w:val="32"/>
                <w:u w:val="single"/>
                <w:rtl/>
              </w:rPr>
              <w:t>.17</w:t>
            </w:r>
          </w:p>
        </w:tc>
        <w:tc>
          <w:tcPr>
            <w:tcW w:w="1275" w:type="dxa"/>
            <w:vAlign w:val="center"/>
          </w:tcPr>
          <w:p w:rsidR="006B4CF4" w:rsidRPr="00F20CC4" w:rsidRDefault="00220A88" w:rsidP="00220A88">
            <w:pPr>
              <w:spacing w:after="120" w:line="300" w:lineRule="exact"/>
              <w:jc w:val="center"/>
              <w:rPr>
                <w:bCs/>
                <w:sz w:val="32"/>
                <w:szCs w:val="32"/>
                <w:u w:val="single"/>
              </w:rPr>
            </w:pPr>
            <w:r>
              <w:rPr>
                <w:rFonts w:hint="cs"/>
                <w:bCs/>
                <w:sz w:val="32"/>
                <w:szCs w:val="32"/>
                <w:u w:val="single"/>
                <w:rtl/>
              </w:rPr>
              <w:t>4</w:t>
            </w:r>
            <w:r w:rsidR="006B4CF4" w:rsidRPr="00F20CC4">
              <w:rPr>
                <w:rFonts w:hint="cs"/>
                <w:bCs/>
                <w:sz w:val="32"/>
                <w:szCs w:val="32"/>
                <w:u w:val="single"/>
                <w:rtl/>
              </w:rPr>
              <w:t>.</w:t>
            </w:r>
            <w:r>
              <w:rPr>
                <w:rFonts w:hint="cs"/>
                <w:bCs/>
                <w:sz w:val="32"/>
                <w:szCs w:val="32"/>
                <w:u w:val="single"/>
                <w:rtl/>
              </w:rPr>
              <w:t>63</w:t>
            </w:r>
          </w:p>
        </w:tc>
        <w:tc>
          <w:tcPr>
            <w:tcW w:w="1135" w:type="dxa"/>
            <w:vAlign w:val="center"/>
          </w:tcPr>
          <w:p w:rsidR="006B4CF4" w:rsidRPr="00F20CC4" w:rsidRDefault="00220A88" w:rsidP="00660557">
            <w:pPr>
              <w:spacing w:after="120" w:line="300" w:lineRule="exact"/>
              <w:jc w:val="center"/>
              <w:rPr>
                <w:bCs/>
                <w:sz w:val="32"/>
                <w:szCs w:val="32"/>
                <w:u w:val="single"/>
              </w:rPr>
            </w:pPr>
            <w:r>
              <w:rPr>
                <w:rFonts w:hint="cs"/>
                <w:bCs/>
                <w:sz w:val="32"/>
                <w:szCs w:val="32"/>
                <w:u w:val="single"/>
                <w:rtl/>
              </w:rPr>
              <w:t>-2.24</w:t>
            </w:r>
          </w:p>
        </w:tc>
        <w:tc>
          <w:tcPr>
            <w:tcW w:w="1275" w:type="dxa"/>
            <w:vAlign w:val="center"/>
          </w:tcPr>
          <w:p w:rsidR="006B4CF4" w:rsidRPr="00F20CC4" w:rsidRDefault="004843CB" w:rsidP="00660557">
            <w:pPr>
              <w:spacing w:after="120" w:line="300" w:lineRule="exact"/>
              <w:jc w:val="center"/>
              <w:rPr>
                <w:bCs/>
                <w:sz w:val="32"/>
                <w:szCs w:val="32"/>
                <w:u w:val="single"/>
              </w:rPr>
            </w:pPr>
            <w:r>
              <w:rPr>
                <w:rFonts w:hint="cs"/>
                <w:bCs/>
                <w:sz w:val="32"/>
                <w:szCs w:val="32"/>
                <w:u w:val="single"/>
                <w:rtl/>
              </w:rPr>
              <w:t>-2.03</w:t>
            </w:r>
          </w:p>
        </w:tc>
        <w:tc>
          <w:tcPr>
            <w:tcW w:w="1276" w:type="dxa"/>
            <w:vAlign w:val="center"/>
          </w:tcPr>
          <w:p w:rsidR="006B4CF4" w:rsidRPr="00F20CC4" w:rsidRDefault="004843CB" w:rsidP="00660557">
            <w:pPr>
              <w:spacing w:after="120" w:line="300" w:lineRule="exact"/>
              <w:jc w:val="center"/>
              <w:rPr>
                <w:bCs/>
                <w:sz w:val="32"/>
                <w:szCs w:val="32"/>
                <w:u w:val="single"/>
              </w:rPr>
            </w:pPr>
            <w:r>
              <w:rPr>
                <w:rFonts w:hint="cs"/>
                <w:bCs/>
                <w:sz w:val="32"/>
                <w:szCs w:val="32"/>
                <w:u w:val="single"/>
                <w:rtl/>
              </w:rPr>
              <w:t>0.11</w:t>
            </w:r>
          </w:p>
        </w:tc>
        <w:tc>
          <w:tcPr>
            <w:tcW w:w="1276" w:type="dxa"/>
            <w:vAlign w:val="center"/>
          </w:tcPr>
          <w:p w:rsidR="006B4CF4" w:rsidRPr="00F20CC4" w:rsidRDefault="004843CB" w:rsidP="00660557">
            <w:pPr>
              <w:spacing w:after="120" w:line="300" w:lineRule="exact"/>
              <w:jc w:val="center"/>
              <w:rPr>
                <w:bCs/>
                <w:sz w:val="32"/>
                <w:szCs w:val="32"/>
                <w:u w:val="single"/>
              </w:rPr>
            </w:pPr>
            <w:r>
              <w:rPr>
                <w:rFonts w:hint="cs"/>
                <w:bCs/>
                <w:sz w:val="32"/>
                <w:szCs w:val="32"/>
                <w:u w:val="single"/>
                <w:rtl/>
              </w:rPr>
              <w:t>3.42</w:t>
            </w:r>
          </w:p>
        </w:tc>
        <w:tc>
          <w:tcPr>
            <w:tcW w:w="1134" w:type="dxa"/>
            <w:vAlign w:val="center"/>
          </w:tcPr>
          <w:p w:rsidR="006B4CF4" w:rsidRPr="004B1D98" w:rsidRDefault="006B4CF4" w:rsidP="00660557">
            <w:pPr>
              <w:spacing w:after="120" w:line="300" w:lineRule="exact"/>
              <w:jc w:val="center"/>
              <w:rPr>
                <w:b/>
                <w:sz w:val="32"/>
                <w:szCs w:val="32"/>
                <w:u w:val="single"/>
              </w:rPr>
            </w:pPr>
            <w:r w:rsidRPr="004B1D98">
              <w:rPr>
                <w:rFonts w:hint="cs"/>
                <w:sz w:val="32"/>
                <w:szCs w:val="32"/>
                <w:rtl/>
                <w:lang w:bidi="ar-EG"/>
              </w:rPr>
              <w:t>لا ينطبق</w:t>
            </w:r>
          </w:p>
        </w:tc>
        <w:tc>
          <w:tcPr>
            <w:tcW w:w="1348" w:type="dxa"/>
            <w:vAlign w:val="center"/>
          </w:tcPr>
          <w:p w:rsidR="006B4CF4" w:rsidRPr="004B1D98" w:rsidRDefault="006B4CF4" w:rsidP="00660557">
            <w:pPr>
              <w:spacing w:after="120" w:line="300" w:lineRule="exact"/>
              <w:jc w:val="center"/>
              <w:rPr>
                <w:b/>
                <w:sz w:val="32"/>
                <w:szCs w:val="32"/>
              </w:rPr>
            </w:pPr>
            <w:r w:rsidRPr="004B1D98">
              <w:rPr>
                <w:b/>
                <w:sz w:val="32"/>
                <w:szCs w:val="32"/>
              </w:rPr>
              <w:t>-</w:t>
            </w:r>
          </w:p>
        </w:tc>
      </w:tr>
    </w:tbl>
    <w:p w:rsidR="00F85E5F" w:rsidRPr="00C41AE0" w:rsidRDefault="006B4CF4" w:rsidP="00A444D0">
      <w:pPr>
        <w:spacing w:before="240" w:after="240" w:line="360" w:lineRule="exact"/>
        <w:ind w:left="10886"/>
      </w:pPr>
      <w:r w:rsidRPr="006B4CF4">
        <w:rPr>
          <w:rFonts w:hint="cs"/>
          <w:rtl/>
        </w:rPr>
        <w:t>[نهاية المرفق والوثيقة]</w:t>
      </w:r>
      <w:bookmarkStart w:id="14" w:name="ExtraPara"/>
      <w:bookmarkEnd w:id="14"/>
    </w:p>
    <w:sectPr w:rsidR="00F85E5F" w:rsidRPr="00C41AE0" w:rsidSect="00F170A8">
      <w:headerReference w:type="default" r:id="rId10"/>
      <w:headerReference w:type="first" r:id="rId11"/>
      <w:pgSz w:w="16840" w:h="11907" w:orient="landscape" w:code="9"/>
      <w:pgMar w:top="1134" w:right="567" w:bottom="1418" w:left="1418"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AD4" w:rsidRDefault="00287AD4">
      <w:r>
        <w:separator/>
      </w:r>
    </w:p>
  </w:endnote>
  <w:endnote w:type="continuationSeparator" w:id="0">
    <w:p w:rsidR="00287AD4" w:rsidRDefault="0028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AD4" w:rsidRDefault="00287AD4" w:rsidP="009622BF">
      <w:bookmarkStart w:id="0" w:name="OLE_LINK1"/>
      <w:bookmarkStart w:id="1" w:name="OLE_LINK2"/>
      <w:r>
        <w:separator/>
      </w:r>
      <w:bookmarkEnd w:id="0"/>
      <w:bookmarkEnd w:id="1"/>
    </w:p>
  </w:footnote>
  <w:footnote w:type="continuationSeparator" w:id="0">
    <w:p w:rsidR="00287AD4" w:rsidRDefault="00287AD4" w:rsidP="009622BF">
      <w:r>
        <w:separator/>
      </w:r>
    </w:p>
  </w:footnote>
  <w:footnote w:id="1">
    <w:p w:rsidR="006B4CF4" w:rsidRDefault="006B4CF4" w:rsidP="00A444D0">
      <w:pPr>
        <w:pStyle w:val="FootnoteText"/>
        <w:rPr>
          <w:rtl/>
        </w:rPr>
      </w:pPr>
      <w:r>
        <w:rPr>
          <w:rStyle w:val="FootnoteReference"/>
        </w:rPr>
        <w:footnoteRef/>
      </w:r>
      <w:r>
        <w:rPr>
          <w:rFonts w:hint="cs"/>
          <w:rtl/>
        </w:rPr>
        <w:tab/>
      </w:r>
      <w:r>
        <w:rPr>
          <w:rtl/>
        </w:rPr>
        <w:t>يستند هذا المرفق إلى الجدول الوارد في الوثيقة</w:t>
      </w:r>
      <w:r w:rsidR="00A444D0">
        <w:rPr>
          <w:rFonts w:hint="cs"/>
          <w:rtl/>
        </w:rPr>
        <w:t xml:space="preserve"> </w:t>
      </w:r>
      <w:r w:rsidR="00A444D0" w:rsidRPr="00A444D0">
        <w:t>WO/GA/50/14</w:t>
      </w:r>
      <w:r w:rsidR="00A444D0">
        <w:rPr>
          <w:rFonts w:hint="cs"/>
          <w:rtl/>
        </w:rPr>
        <w:t xml:space="preserve"> </w:t>
      </w:r>
      <w:r>
        <w:rPr>
          <w:rFonts w:hint="cs"/>
          <w:rtl/>
        </w:rPr>
        <w:t xml:space="preserve">المؤرخة 21 سبتمبر 2018. وقد حُدّث </w:t>
      </w:r>
      <w:r w:rsidR="00A444D0">
        <w:rPr>
          <w:rFonts w:hint="cs"/>
          <w:rtl/>
        </w:rPr>
        <w:t>لأغراض التوضيح.</w:t>
      </w:r>
    </w:p>
  </w:footnote>
  <w:footnote w:id="2">
    <w:p w:rsidR="006B4CF4" w:rsidRDefault="006B4CF4" w:rsidP="00A444D0">
      <w:pPr>
        <w:pStyle w:val="FootnoteText"/>
        <w:rPr>
          <w:rtl/>
        </w:rPr>
      </w:pPr>
      <w:r>
        <w:rPr>
          <w:rStyle w:val="FootnoteReference"/>
        </w:rPr>
        <w:footnoteRef/>
      </w:r>
      <w:r>
        <w:rPr>
          <w:rFonts w:hint="cs"/>
          <w:rtl/>
        </w:rPr>
        <w:tab/>
        <w:t>على أساس</w:t>
      </w:r>
      <w:r>
        <w:rPr>
          <w:rtl/>
        </w:rPr>
        <w:t xml:space="preserve">: (عدد المقاعد المخصصة حاليا للمجموعة الإقليمية في لجنة </w:t>
      </w:r>
      <w:r w:rsidR="00A444D0">
        <w:rPr>
          <w:rFonts w:hint="cs"/>
          <w:rtl/>
        </w:rPr>
        <w:t>الميزانية</w:t>
      </w:r>
      <w:r>
        <w:rPr>
          <w:rtl/>
        </w:rPr>
        <w:t>)</w:t>
      </w:r>
      <w:r>
        <w:rPr>
          <w:rFonts w:hint="cs"/>
          <w:rtl/>
        </w:rPr>
        <w:t xml:space="preserve"> </w:t>
      </w:r>
      <w:r>
        <w:rPr>
          <w:rtl/>
        </w:rPr>
        <w:t>/</w:t>
      </w:r>
      <w:r>
        <w:rPr>
          <w:rFonts w:hint="cs"/>
          <w:rtl/>
        </w:rPr>
        <w:t xml:space="preserve"> </w:t>
      </w:r>
      <w:r>
        <w:rPr>
          <w:rtl/>
        </w:rPr>
        <w:t>(مجموع عدد الأعضاء في المجموعة الإقليمية) × 100</w:t>
      </w:r>
      <w:r>
        <w:t>%</w:t>
      </w:r>
      <w:r>
        <w:rPr>
          <w:rFonts w:hint="cs"/>
          <w:rtl/>
        </w:rPr>
        <w:t>.</w:t>
      </w:r>
    </w:p>
  </w:footnote>
  <w:footnote w:id="3">
    <w:p w:rsidR="006B4CF4" w:rsidRDefault="006B4CF4" w:rsidP="006B4CF4">
      <w:pPr>
        <w:pStyle w:val="FootnoteText"/>
        <w:rPr>
          <w:rtl/>
        </w:rPr>
      </w:pPr>
      <w:r>
        <w:rPr>
          <w:rStyle w:val="FootnoteReference"/>
        </w:rPr>
        <w:footnoteRef/>
      </w:r>
      <w:r>
        <w:rPr>
          <w:rFonts w:hint="cs"/>
          <w:rtl/>
        </w:rPr>
        <w:tab/>
        <w:t>على أساس</w:t>
      </w:r>
      <w:r>
        <w:rPr>
          <w:rtl/>
        </w:rPr>
        <w:t>: (عدد الأعضاء الحاليين في المجموعة الإقليمية)</w:t>
      </w:r>
      <w:r>
        <w:rPr>
          <w:rFonts w:hint="cs"/>
          <w:rtl/>
        </w:rPr>
        <w:t xml:space="preserve"> </w:t>
      </w:r>
      <w:r>
        <w:rPr>
          <w:rtl/>
        </w:rPr>
        <w:t>/</w:t>
      </w:r>
      <w:r>
        <w:rPr>
          <w:rFonts w:hint="cs"/>
          <w:rtl/>
        </w:rPr>
        <w:t xml:space="preserve"> </w:t>
      </w:r>
      <w:r>
        <w:rPr>
          <w:rtl/>
        </w:rPr>
        <w:t>(مجموع عدد الأعضاء في الويبو) × 100%</w:t>
      </w:r>
      <w:r>
        <w:rPr>
          <w:rFonts w:hint="cs"/>
          <w:rtl/>
        </w:rPr>
        <w:t>.</w:t>
      </w:r>
    </w:p>
  </w:footnote>
  <w:footnote w:id="4">
    <w:p w:rsidR="006B4CF4" w:rsidRDefault="006B4CF4" w:rsidP="00220A88">
      <w:pPr>
        <w:pStyle w:val="FootnoteText"/>
        <w:rPr>
          <w:rtl/>
        </w:rPr>
      </w:pPr>
      <w:r>
        <w:rPr>
          <w:rStyle w:val="FootnoteReference"/>
        </w:rPr>
        <w:footnoteRef/>
      </w:r>
      <w:r>
        <w:rPr>
          <w:rFonts w:hint="cs"/>
          <w:rtl/>
        </w:rPr>
        <w:tab/>
        <w:t>على أساس</w:t>
      </w:r>
      <w:r>
        <w:rPr>
          <w:rtl/>
        </w:rPr>
        <w:t xml:space="preserve">: (عدد المقاعد المخصصة حاليا للمجموعة الإقليمية في لجنة </w:t>
      </w:r>
      <w:r w:rsidR="00A444D0">
        <w:rPr>
          <w:rFonts w:hint="cs"/>
          <w:rtl/>
        </w:rPr>
        <w:t>الميزانية</w:t>
      </w:r>
      <w:r>
        <w:rPr>
          <w:rtl/>
        </w:rPr>
        <w:t>)</w:t>
      </w:r>
      <w:r>
        <w:rPr>
          <w:rFonts w:hint="cs"/>
          <w:rtl/>
        </w:rPr>
        <w:t xml:space="preserve"> </w:t>
      </w:r>
      <w:r>
        <w:rPr>
          <w:rtl/>
        </w:rPr>
        <w:t>/</w:t>
      </w:r>
      <w:r>
        <w:rPr>
          <w:rFonts w:hint="cs"/>
          <w:rtl/>
        </w:rPr>
        <w:t xml:space="preserve"> </w:t>
      </w:r>
      <w:r>
        <w:rPr>
          <w:rtl/>
        </w:rPr>
        <w:t xml:space="preserve">(مجموع عدد المقاعد في لجنة </w:t>
      </w:r>
      <w:r w:rsidR="00220A88">
        <w:rPr>
          <w:rFonts w:hint="cs"/>
          <w:rtl/>
        </w:rPr>
        <w:t>الميزانية</w:t>
      </w:r>
      <w:r>
        <w:rPr>
          <w:rtl/>
        </w:rPr>
        <w:t>) × 100</w:t>
      </w:r>
      <w:r>
        <w:t>%</w:t>
      </w:r>
      <w:r>
        <w:rPr>
          <w:rFonts w:hint="cs"/>
          <w:rtl/>
        </w:rPr>
        <w:t>.</w:t>
      </w:r>
    </w:p>
  </w:footnote>
  <w:footnote w:id="5">
    <w:p w:rsidR="006B4CF4" w:rsidRDefault="006B4CF4" w:rsidP="00220A88">
      <w:pPr>
        <w:pStyle w:val="FootnoteText"/>
        <w:rPr>
          <w:rtl/>
        </w:rPr>
      </w:pPr>
      <w:r>
        <w:rPr>
          <w:rStyle w:val="FootnoteReference"/>
        </w:rPr>
        <w:footnoteRef/>
      </w:r>
      <w:r>
        <w:rPr>
          <w:rFonts w:hint="cs"/>
          <w:rtl/>
        </w:rPr>
        <w:tab/>
        <w:t>على أساس</w:t>
      </w:r>
      <w:r>
        <w:rPr>
          <w:rtl/>
        </w:rPr>
        <w:t>: (نسبة المجموعة من أعضاء الويبو)</w:t>
      </w:r>
      <w:r>
        <w:rPr>
          <w:rFonts w:hint="cs"/>
          <w:rtl/>
        </w:rPr>
        <w:t xml:space="preserve"> </w:t>
      </w:r>
      <w:r>
        <w:rPr>
          <w:rtl/>
        </w:rPr>
        <w:t>×</w:t>
      </w:r>
      <w:r>
        <w:rPr>
          <w:rFonts w:hint="cs"/>
          <w:rtl/>
        </w:rPr>
        <w:t xml:space="preserve"> </w:t>
      </w:r>
      <w:r>
        <w:rPr>
          <w:rtl/>
        </w:rPr>
        <w:t xml:space="preserve">(مجموع عدد المقاعد في لجنة </w:t>
      </w:r>
      <w:r w:rsidR="00220A88">
        <w:rPr>
          <w:rFonts w:hint="cs"/>
          <w:rtl/>
        </w:rPr>
        <w:t>الميزانية</w:t>
      </w:r>
      <w:r>
        <w:rPr>
          <w:rFonts w:hint="cs"/>
          <w:rtl/>
        </w:rPr>
        <w:t>).</w:t>
      </w:r>
    </w:p>
  </w:footnote>
  <w:footnote w:id="6">
    <w:p w:rsidR="006B4CF4" w:rsidRDefault="006B4CF4" w:rsidP="00220A88">
      <w:pPr>
        <w:pStyle w:val="FootnoteText"/>
      </w:pPr>
      <w:r>
        <w:rPr>
          <w:rStyle w:val="FootnoteReference"/>
        </w:rPr>
        <w:footnoteRef/>
      </w:r>
      <w:r>
        <w:rPr>
          <w:rFonts w:hint="cs"/>
          <w:rtl/>
        </w:rPr>
        <w:tab/>
        <w:t>على أساس</w:t>
      </w:r>
      <w:r w:rsidRPr="0022214C">
        <w:rPr>
          <w:rtl/>
        </w:rPr>
        <w:t xml:space="preserve">: (عدد مقاعد لجنة </w:t>
      </w:r>
      <w:r w:rsidR="00220A88">
        <w:rPr>
          <w:rFonts w:hint="cs"/>
          <w:rtl/>
        </w:rPr>
        <w:t>الميزانية</w:t>
      </w:r>
      <w:r w:rsidRPr="0022214C">
        <w:rPr>
          <w:rtl/>
        </w:rPr>
        <w:t xml:space="preserve"> إذا حدِّد حسب النسبة من أعضاء الويبو على أساس </w:t>
      </w:r>
      <w:r w:rsidR="00220A88">
        <w:rPr>
          <w:rFonts w:hint="cs"/>
          <w:rtl/>
        </w:rPr>
        <w:t>53</w:t>
      </w:r>
      <w:r w:rsidRPr="0022214C">
        <w:rPr>
          <w:rtl/>
        </w:rPr>
        <w:t xml:space="preserve"> معقداً) - (المقاعد المخصّصة حاليا في لجنة </w:t>
      </w:r>
      <w:r w:rsidR="00220A88">
        <w:rPr>
          <w:rFonts w:hint="cs"/>
          <w:rtl/>
        </w:rPr>
        <w:t>الميزانية</w:t>
      </w:r>
      <w:r w:rsidRPr="0022214C">
        <w:rPr>
          <w:rtl/>
        </w:rPr>
        <w:t xml:space="preserve">). وإذا كان العدد سلبيا فذلك يعني أن تمثيل المجموعة الإقليمية في لجنة </w:t>
      </w:r>
      <w:r w:rsidR="00220A88">
        <w:rPr>
          <w:rFonts w:hint="cs"/>
          <w:rtl/>
        </w:rPr>
        <w:t>الميزانية</w:t>
      </w:r>
      <w:r w:rsidRPr="0022214C">
        <w:rPr>
          <w:rtl/>
        </w:rPr>
        <w:t xml:space="preserve"> يتجاوز العدد اللازم بذلك القدر من المقاعد</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3" w:name="Code3"/>
  <w:bookmarkEnd w:id="13"/>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B4CF4">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0A8" w:rsidRPr="00F170A8" w:rsidRDefault="00F170A8" w:rsidP="00F170A8">
    <w:pPr>
      <w:tabs>
        <w:tab w:val="center" w:pos="4536"/>
        <w:tab w:val="right" w:pos="9072"/>
      </w:tabs>
      <w:bidi w:val="0"/>
      <w:rPr>
        <w:rFonts w:ascii="Arial" w:eastAsia="SimSun" w:hAnsi="Arial" w:cs="Arial"/>
        <w:sz w:val="22"/>
        <w:szCs w:val="20"/>
        <w:lang w:eastAsia="zh-CN"/>
      </w:rPr>
    </w:pPr>
    <w:r w:rsidRPr="00F170A8">
      <w:rPr>
        <w:rFonts w:ascii="Arial" w:eastAsia="SimSun" w:hAnsi="Arial" w:cs="Arial"/>
        <w:sz w:val="22"/>
        <w:szCs w:val="20"/>
        <w:lang w:eastAsia="zh-CN"/>
      </w:rPr>
      <w:t>WO/GA/51/17</w:t>
    </w:r>
  </w:p>
  <w:p w:rsidR="00F170A8" w:rsidRDefault="00F170A8" w:rsidP="00F170A8">
    <w:pPr>
      <w:bidi w:val="0"/>
      <w:rPr>
        <w:rFonts w:ascii="Arial" w:hAnsi="Arial" w:cs="Arial"/>
        <w:sz w:val="22"/>
        <w:szCs w:val="22"/>
      </w:rPr>
    </w:pPr>
    <w:r>
      <w:rPr>
        <w:rFonts w:ascii="Arial" w:hAnsi="Arial" w:cs="Arial"/>
        <w:sz w:val="22"/>
        <w:szCs w:val="22"/>
      </w:rPr>
      <w:t>Annex</w:t>
    </w:r>
  </w:p>
  <w:p w:rsidR="006B4CF4" w:rsidRPr="00C50A61" w:rsidRDefault="006B4CF4" w:rsidP="00F170A8">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041B6">
      <w:rPr>
        <w:rFonts w:ascii="Arial" w:hAnsi="Arial" w:cs="Arial"/>
        <w:noProof/>
        <w:sz w:val="22"/>
        <w:szCs w:val="22"/>
        <w:lang w:bidi="ar-EG"/>
      </w:rPr>
      <w:t>6</w:t>
    </w:r>
    <w:r w:rsidRPr="00C50A61">
      <w:rPr>
        <w:rFonts w:ascii="Arial" w:hAnsi="Arial" w:cs="Arial"/>
        <w:sz w:val="22"/>
        <w:szCs w:val="22"/>
      </w:rPr>
      <w:fldChar w:fldCharType="end"/>
    </w:r>
  </w:p>
  <w:p w:rsidR="006B4CF4" w:rsidRPr="00C50A61" w:rsidRDefault="006B4CF4"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CF4" w:rsidRPr="006B4CF4" w:rsidRDefault="006B4CF4" w:rsidP="006B4CF4">
    <w:pPr>
      <w:pStyle w:val="Header"/>
      <w:bidi w:val="0"/>
      <w:rPr>
        <w:rFonts w:ascii="Arial" w:eastAsia="SimSun" w:hAnsi="Arial" w:cs="Arial"/>
        <w:sz w:val="22"/>
        <w:szCs w:val="20"/>
        <w:lang w:eastAsia="zh-CN"/>
      </w:rPr>
    </w:pPr>
    <w:r w:rsidRPr="006B4CF4">
      <w:rPr>
        <w:rFonts w:ascii="Arial" w:eastAsia="SimSun" w:hAnsi="Arial" w:cs="Arial"/>
        <w:sz w:val="22"/>
        <w:szCs w:val="20"/>
        <w:lang w:eastAsia="zh-CN"/>
      </w:rPr>
      <w:t>WO/GA/51/17</w:t>
    </w:r>
  </w:p>
  <w:p w:rsidR="006B4CF4" w:rsidRDefault="006B4CF4" w:rsidP="006B4CF4">
    <w:pPr>
      <w:tabs>
        <w:tab w:val="center" w:pos="4536"/>
        <w:tab w:val="right" w:pos="9072"/>
      </w:tabs>
      <w:bidi w:val="0"/>
      <w:rPr>
        <w:rFonts w:ascii="Arial" w:eastAsia="SimSun" w:hAnsi="Arial" w:cs="Arial"/>
        <w:sz w:val="22"/>
        <w:szCs w:val="20"/>
        <w:lang w:eastAsia="zh-CN"/>
      </w:rPr>
    </w:pPr>
    <w:r w:rsidRPr="006B4CF4">
      <w:rPr>
        <w:rFonts w:ascii="Arial" w:eastAsia="SimSun" w:hAnsi="Arial" w:cs="Arial"/>
        <w:sz w:val="22"/>
        <w:szCs w:val="20"/>
        <w:lang w:eastAsia="zh-CN"/>
      </w:rPr>
      <w:t>ANNEX</w:t>
    </w:r>
  </w:p>
  <w:p w:rsidR="006B4CF4" w:rsidRPr="006B4CF4" w:rsidRDefault="006B4CF4" w:rsidP="006B4CF4">
    <w:pPr>
      <w:tabs>
        <w:tab w:val="center" w:pos="4536"/>
        <w:tab w:val="right" w:pos="9072"/>
      </w:tabs>
      <w:jc w:val="right"/>
      <w:rPr>
        <w:rFonts w:eastAsia="SimSun"/>
        <w:rtl/>
        <w:lang w:eastAsia="zh-CN"/>
      </w:rPr>
    </w:pPr>
    <w:r w:rsidRPr="006B4CF4">
      <w:rPr>
        <w:rFonts w:eastAsia="SimSun"/>
        <w:rtl/>
        <w:lang w:eastAsia="zh-CN"/>
      </w:rPr>
      <w:t>المرفق</w:t>
    </w:r>
  </w:p>
  <w:p w:rsidR="006B4CF4" w:rsidRPr="006B4CF4" w:rsidRDefault="006B4CF4" w:rsidP="006B4CF4">
    <w:pPr>
      <w:tabs>
        <w:tab w:val="center" w:pos="4536"/>
        <w:tab w:val="right" w:pos="9072"/>
      </w:tabs>
      <w:bidi w:val="0"/>
      <w:rPr>
        <w:rFonts w:ascii="Arial" w:eastAsia="SimSun" w:hAnsi="Arial" w:cs="Arial"/>
        <w:sz w:val="22"/>
        <w:szCs w:val="20"/>
        <w:rtl/>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7EA0921"/>
    <w:multiLevelType w:val="hybridMultilevel"/>
    <w:tmpl w:val="D3C027C2"/>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2"/>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3"/>
  </w:num>
  <w:num w:numId="44">
    <w:abstractNumId w:val="31"/>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D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0A88"/>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3847"/>
    <w:rsid w:val="00286744"/>
    <w:rsid w:val="00287AD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3B7A"/>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373"/>
    <w:rsid w:val="00466020"/>
    <w:rsid w:val="00472043"/>
    <w:rsid w:val="00472F56"/>
    <w:rsid w:val="0047335E"/>
    <w:rsid w:val="00473CA1"/>
    <w:rsid w:val="0047572C"/>
    <w:rsid w:val="00476407"/>
    <w:rsid w:val="004773F7"/>
    <w:rsid w:val="00481F5F"/>
    <w:rsid w:val="004821D0"/>
    <w:rsid w:val="00482CB2"/>
    <w:rsid w:val="00483D06"/>
    <w:rsid w:val="004843CB"/>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1B6"/>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4CF4"/>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4D0"/>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8E4"/>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D7B15"/>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C2E"/>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170A8"/>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0524E79-4F0C-4713-8714-C606137E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6B4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644A-0973-4325-97C2-C94CC8AA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625</Words>
  <Characters>3152</Characters>
  <Application>Microsoft Office Word</Application>
  <DocSecurity>0</DocSecurity>
  <Lines>225</Lines>
  <Paragraphs>102</Paragraphs>
  <ScaleCrop>false</ScaleCrop>
  <HeadingPairs>
    <vt:vector size="2" baseType="variant">
      <vt:variant>
        <vt:lpstr>Title</vt:lpstr>
      </vt:variant>
      <vt:variant>
        <vt:i4>1</vt:i4>
      </vt:variant>
    </vt:vector>
  </HeadingPairs>
  <TitlesOfParts>
    <vt:vector size="1" baseType="lpstr">
      <vt:lpstr>WO/GA/51/ (Arabic)</vt:lpstr>
    </vt:vector>
  </TitlesOfParts>
  <Company>World Intellectual Property Organization</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 (Arabic)</dc:title>
  <dc:creator>MERZOUK Fawzi</dc:creator>
  <cp:keywords>PUBLIC</cp:keywords>
  <cp:lastModifiedBy>HÄFLIGER Patience</cp:lastModifiedBy>
  <cp:revision>3</cp:revision>
  <cp:lastPrinted>2019-09-25T14:21:00Z</cp:lastPrinted>
  <dcterms:created xsi:type="dcterms:W3CDTF">2019-09-26T08:13:00Z</dcterms:created>
  <dcterms:modified xsi:type="dcterms:W3CDTF">2019-09-26T08:14:00Z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f65d4913-7530-46bb-a286-abf8a9a2ef01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