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F85E5F">
      <w:pPr>
        <w:pBdr>
          <w:top w:val="single" w:sz="4" w:space="10" w:color="auto"/>
        </w:pBdr>
        <w:bidi w:val="0"/>
        <w:rPr>
          <w:rFonts w:ascii="Arial Black" w:eastAsia="SimSun" w:hAnsi="Arial Black" w:cs="Arial"/>
          <w:b/>
          <w:caps/>
          <w:noProof/>
          <w:sz w:val="16"/>
          <w:szCs w:val="16"/>
          <w:rtl/>
          <w:lang w:eastAsia="zh-CN" w:bidi="ar-EG"/>
        </w:rPr>
      </w:pPr>
      <w:bookmarkStart w:id="3" w:name="Code"/>
      <w:bookmarkStart w:id="4" w:name="Code2"/>
      <w:bookmarkEnd w:id="3"/>
      <w:r>
        <w:rPr>
          <w:rFonts w:ascii="Arial Black" w:eastAsia="SimSun" w:hAnsi="Arial Black" w:cs="Arial"/>
          <w:b/>
          <w:caps/>
          <w:noProof/>
          <w:sz w:val="16"/>
          <w:szCs w:val="16"/>
          <w:lang w:eastAsia="zh-CN"/>
        </w:rPr>
        <w:t>WO/GA/5</w:t>
      </w:r>
      <w:r w:rsidR="00F85E5F">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DB09DA">
        <w:rPr>
          <w:rFonts w:ascii="Arial Black" w:eastAsia="SimSun" w:hAnsi="Arial Black" w:cs="Arial"/>
          <w:b/>
          <w:caps/>
          <w:noProof/>
          <w:sz w:val="16"/>
          <w:szCs w:val="16"/>
          <w:lang w:eastAsia="zh-CN"/>
        </w:rPr>
        <w:t>16</w:t>
      </w:r>
    </w:p>
    <w:bookmarkEnd w:id="4"/>
    <w:p w:rsidR="003F7284" w:rsidRPr="00BB6440" w:rsidRDefault="003F7284" w:rsidP="005D79F6">
      <w:pPr>
        <w:jc w:val="right"/>
        <w:rPr>
          <w:b/>
          <w:bCs/>
          <w:sz w:val="30"/>
          <w:szCs w:val="30"/>
          <w:rtl/>
          <w:lang w:bidi="ar-EG"/>
        </w:rPr>
      </w:pPr>
      <w:r w:rsidRPr="00BB6440">
        <w:rPr>
          <w:b/>
          <w:bCs/>
          <w:sz w:val="30"/>
          <w:szCs w:val="30"/>
          <w:rtl/>
        </w:rPr>
        <w:t xml:space="preserve">الأصل: </w:t>
      </w:r>
      <w:bookmarkStart w:id="5" w:name="Original"/>
      <w:bookmarkEnd w:id="5"/>
      <w:r w:rsidR="00DB09DA">
        <w:rPr>
          <w:rFonts w:hint="cs"/>
          <w:b/>
          <w:bCs/>
          <w:sz w:val="30"/>
          <w:szCs w:val="30"/>
          <w:rtl/>
          <w:lang w:bidi="ar-EG"/>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DB09DA">
        <w:rPr>
          <w:rFonts w:hint="cs"/>
          <w:b/>
          <w:bCs/>
          <w:sz w:val="30"/>
          <w:szCs w:val="30"/>
          <w:rtl/>
        </w:rPr>
        <w:t>28 يونيو 2019</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F85E5F">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العادية</w:t>
      </w:r>
      <w:r>
        <w:rPr>
          <w:rFonts w:ascii="Arial Black" w:hAnsi="Arial Black" w:cs="PT Bold Heading"/>
          <w:sz w:val="30"/>
          <w:szCs w:val="30"/>
          <w:rtl/>
        </w:rPr>
        <w:t xml:space="preserve"> </w:t>
      </w:r>
      <w:r w:rsidR="00F85E5F">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F85E5F">
      <w:pPr>
        <w:spacing w:line="600" w:lineRule="auto"/>
        <w:rPr>
          <w:b/>
          <w:bCs/>
          <w:rtl/>
        </w:rPr>
      </w:pPr>
      <w:bookmarkStart w:id="9" w:name="Place"/>
      <w:bookmarkEnd w:id="9"/>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rsidR="002E7810" w:rsidRPr="002E7810" w:rsidRDefault="00DB09DA" w:rsidP="002651E0">
      <w:pPr>
        <w:rPr>
          <w:rFonts w:ascii="Arial Black" w:hAnsi="Arial Black" w:cs="PT Bold Heading"/>
          <w:sz w:val="26"/>
          <w:szCs w:val="26"/>
          <w:rtl/>
        </w:rPr>
      </w:pPr>
      <w:bookmarkStart w:id="10" w:name="TitleOfDoc"/>
      <w:bookmarkEnd w:id="10"/>
      <w:r w:rsidRPr="00DB09DA">
        <w:rPr>
          <w:rFonts w:ascii="Arial Black" w:hAnsi="Arial Black" w:cs="PT Bold Heading"/>
          <w:sz w:val="26"/>
          <w:szCs w:val="26"/>
          <w:rtl/>
        </w:rPr>
        <w:t xml:space="preserve">المساعدة التقنية والتعاون لأغراض معاهدة قانون </w:t>
      </w:r>
      <w:r w:rsidR="002651E0">
        <w:rPr>
          <w:rFonts w:ascii="Arial Black" w:hAnsi="Arial Black" w:cs="PT Bold Heading" w:hint="cs"/>
          <w:sz w:val="26"/>
          <w:szCs w:val="26"/>
          <w:rtl/>
        </w:rPr>
        <w:t>البراءات</w:t>
      </w:r>
    </w:p>
    <w:p w:rsidR="003F7284" w:rsidRPr="00BB6440" w:rsidRDefault="00DB09DA"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DB09DA" w:rsidRDefault="00DB09DA" w:rsidP="00A551B1">
      <w:pPr>
        <w:pStyle w:val="ONUMA"/>
      </w:pPr>
      <w:r>
        <w:rPr>
          <w:rtl/>
          <w:lang w:bidi="ar-EG"/>
        </w:rPr>
        <w:t xml:space="preserve">في البيانات المتفق عليها بشأن معاهدة قانون البراءات </w:t>
      </w:r>
      <w:r>
        <w:rPr>
          <w:rFonts w:hint="cs"/>
          <w:rtl/>
          <w:lang w:bidi="ar-EG"/>
        </w:rPr>
        <w:t>ولائحتها التنفيذية</w:t>
      </w:r>
      <w:r>
        <w:rPr>
          <w:rtl/>
          <w:lang w:bidi="ar-EG"/>
        </w:rPr>
        <w:t xml:space="preserve">، </w:t>
      </w:r>
      <w:r w:rsidR="00A551B1">
        <w:rPr>
          <w:rFonts w:hint="cs"/>
          <w:rtl/>
          <w:lang w:bidi="ar-EG"/>
        </w:rPr>
        <w:t>دعا</w:t>
      </w:r>
      <w:r>
        <w:rPr>
          <w:rtl/>
          <w:lang w:bidi="ar-EG"/>
        </w:rPr>
        <w:t xml:space="preserve"> المؤتمر الدبلوماسي </w:t>
      </w:r>
      <w:r>
        <w:rPr>
          <w:rFonts w:hint="cs"/>
          <w:rtl/>
          <w:lang w:bidi="ar-EG"/>
        </w:rPr>
        <w:t>المعني باعتماد</w:t>
      </w:r>
      <w:r>
        <w:rPr>
          <w:rtl/>
          <w:lang w:bidi="ar-EG"/>
        </w:rPr>
        <w:t xml:space="preserve"> معاهدة قانون البراءات</w:t>
      </w:r>
      <w:r>
        <w:rPr>
          <w:rFonts w:hint="cs"/>
          <w:rtl/>
          <w:lang w:bidi="ar-EG"/>
        </w:rPr>
        <w:t xml:space="preserve">، </w:t>
      </w:r>
      <w:r w:rsidR="00A551B1">
        <w:rPr>
          <w:rFonts w:hint="cs"/>
          <w:rtl/>
          <w:lang w:bidi="ar-EG"/>
        </w:rPr>
        <w:t>والذي عُقد</w:t>
      </w:r>
      <w:r>
        <w:rPr>
          <w:rFonts w:hint="cs"/>
          <w:rtl/>
          <w:lang w:bidi="ar-EG"/>
        </w:rPr>
        <w:t xml:space="preserve"> في جنيف في الفترة الممتدة من 11 مايو إلى 2 يونيو 2000، </w:t>
      </w:r>
      <w:r w:rsidR="00A551B1" w:rsidRPr="00A551B1">
        <w:rPr>
          <w:rtl/>
          <w:lang w:bidi="ar-EG"/>
        </w:rPr>
        <w:t xml:space="preserve">الجمعية العامة للمنظمة العالمية للملكية الفكرية (الويبو) والأطراف المتعاقدة إلى توفير مزيد من المساعدة التقنية للبلدان النامية والبلدان الأقل نمواً والبلدان </w:t>
      </w:r>
      <w:r w:rsidR="00A551B1">
        <w:rPr>
          <w:rFonts w:hint="cs"/>
          <w:rtl/>
          <w:lang w:bidi="ar-EG"/>
        </w:rPr>
        <w:t>المتحولة</w:t>
      </w:r>
      <w:r w:rsidR="00A551B1" w:rsidRPr="00A551B1">
        <w:rPr>
          <w:rtl/>
          <w:lang w:bidi="ar-EG"/>
        </w:rPr>
        <w:t xml:space="preserve"> للوفاء بالتزاماتها المترتبة على هذه المعاهدة </w:t>
      </w:r>
      <w:r w:rsidR="00A551B1">
        <w:rPr>
          <w:rFonts w:hint="cs"/>
          <w:rtl/>
          <w:lang w:bidi="ar-EG"/>
        </w:rPr>
        <w:t>بغية تيسير تنفيذ القاعدة 8(1)(أ) من معاهدة قانون البراءات.</w:t>
      </w:r>
      <w:r w:rsidR="00A551B1">
        <w:rPr>
          <w:rStyle w:val="FootnoteReference"/>
          <w:rtl/>
          <w:lang w:bidi="ar-EG"/>
        </w:rPr>
        <w:footnoteReference w:id="2"/>
      </w:r>
      <w:r w:rsidR="00A551B1">
        <w:rPr>
          <w:rFonts w:hint="cs"/>
          <w:rtl/>
          <w:lang w:bidi="ar-EG"/>
        </w:rPr>
        <w:t xml:space="preserve"> وطلب المؤتمر الدبلوماسي تحديداً من الجمعية العامة للويبو أن تراقب وتقيِّم التقدم المحرز في هذا التعاون في كل دورة عادية لها.</w:t>
      </w:r>
    </w:p>
    <w:p w:rsidR="00F44A87" w:rsidRDefault="00A551B1" w:rsidP="00F44A87">
      <w:pPr>
        <w:pStyle w:val="ONUMA"/>
      </w:pPr>
      <w:r>
        <w:rPr>
          <w:rFonts w:hint="cs"/>
          <w:rtl/>
          <w:lang w:bidi="ar-EG"/>
        </w:rPr>
        <w:t xml:space="preserve">واستناداً إلى تلك البيانات المتفق عليها، قدَّمت الأمانة </w:t>
      </w:r>
      <w:r w:rsidR="00DB09DA">
        <w:rPr>
          <w:rtl/>
          <w:lang w:bidi="ar-EG"/>
        </w:rPr>
        <w:t xml:space="preserve">بانتظام إلى الجمعية العامة للويبو معلومات عن أنشطة المساعدة التقنية والتعاون </w:t>
      </w:r>
      <w:r>
        <w:rPr>
          <w:rFonts w:hint="cs"/>
          <w:rtl/>
          <w:lang w:bidi="ar-EG"/>
        </w:rPr>
        <w:t>الوجيهة</w:t>
      </w:r>
      <w:r w:rsidR="00DB09DA">
        <w:rPr>
          <w:rtl/>
          <w:lang w:bidi="ar-EG"/>
        </w:rPr>
        <w:t xml:space="preserve"> التي تقوم بها أمانة الويبو </w:t>
      </w:r>
      <w:r>
        <w:rPr>
          <w:rFonts w:hint="cs"/>
          <w:rtl/>
          <w:lang w:bidi="ar-EG"/>
        </w:rPr>
        <w:t xml:space="preserve">لتيسير </w:t>
      </w:r>
      <w:r w:rsidR="00F44A87">
        <w:rPr>
          <w:rFonts w:hint="cs"/>
          <w:rtl/>
          <w:lang w:bidi="ar-EG"/>
        </w:rPr>
        <w:t>إيداع التبليغات</w:t>
      </w:r>
      <w:r w:rsidR="00DB09DA">
        <w:rPr>
          <w:rtl/>
          <w:lang w:bidi="ar-EG"/>
        </w:rPr>
        <w:t xml:space="preserve"> في شكل إلكتروني. </w:t>
      </w:r>
      <w:r w:rsidR="00F44A87">
        <w:rPr>
          <w:rFonts w:hint="cs"/>
          <w:rtl/>
          <w:lang w:bidi="ar-EG"/>
        </w:rPr>
        <w:t xml:space="preserve">وترد الأنشطة المنفذة في الفترة </w:t>
      </w:r>
      <w:r w:rsidR="00F44A87">
        <w:rPr>
          <w:rFonts w:hint="cs"/>
          <w:rtl/>
          <w:lang w:bidi="ar-EG"/>
        </w:rPr>
        <w:lastRenderedPageBreak/>
        <w:t>الممتدة من يونيو 2017 إلى مايو 2019 في المرفق الأول بهذه الوثيقة. وترد قائمة بالأطراف المتعاقدة بموجب معاهدة قانون البراءات، محدَّثة حتى شهر يونيو 2019، في المرفق الثاني لغرض الإعلام فقط.</w:t>
      </w:r>
    </w:p>
    <w:p w:rsidR="00F44A87" w:rsidRDefault="00F44A87" w:rsidP="009C4912">
      <w:pPr>
        <w:pStyle w:val="ONUMA"/>
      </w:pPr>
      <w:r>
        <w:rPr>
          <w:rFonts w:hint="cs"/>
          <w:rtl/>
        </w:rPr>
        <w:t>وفضلاً عن ذلك، تُدعى "</w:t>
      </w:r>
      <w:r w:rsidRPr="00F44A87">
        <w:rPr>
          <w:rtl/>
        </w:rPr>
        <w:t>البلدان الصناعية ذات اقتصاد السوق</w:t>
      </w:r>
      <w:r>
        <w:rPr>
          <w:rFonts w:hint="cs"/>
          <w:rtl/>
        </w:rPr>
        <w:t>" المشار إليها في الفقرة 3 من البند 4 من البيانات المتفق عليها إلى تقديم المعلومات المطلوبة في تلك الفقرة إلى الجمعية العامة للويبو حتى تتمكن من مراقبة وتقييم التقدم المحرز في</w:t>
      </w:r>
      <w:r w:rsidR="009C4912">
        <w:rPr>
          <w:rFonts w:hint="eastAsia"/>
          <w:rtl/>
        </w:rPr>
        <w:t> </w:t>
      </w:r>
      <w:r>
        <w:rPr>
          <w:rFonts w:hint="cs"/>
          <w:rtl/>
        </w:rPr>
        <w:t>التعاون.</w:t>
      </w:r>
    </w:p>
    <w:p w:rsidR="00F44A87" w:rsidRDefault="00F44A87" w:rsidP="002651E0">
      <w:pPr>
        <w:pStyle w:val="Decision"/>
      </w:pPr>
      <w:r>
        <w:rPr>
          <w:rFonts w:hint="cs"/>
          <w:rtl/>
        </w:rPr>
        <w:t xml:space="preserve">إن الجمعية العامة للويبو مدعوة إلى الإحاطة علماً بالمعلومات </w:t>
      </w:r>
      <w:r w:rsidR="00274660">
        <w:rPr>
          <w:rFonts w:hint="cs"/>
          <w:rtl/>
        </w:rPr>
        <w:t>الواردة في</w:t>
      </w:r>
      <w:r>
        <w:rPr>
          <w:rFonts w:hint="cs"/>
          <w:rtl/>
        </w:rPr>
        <w:t xml:space="preserve"> "</w:t>
      </w:r>
      <w:r w:rsidR="00274660" w:rsidRPr="00274660">
        <w:rPr>
          <w:rtl/>
        </w:rPr>
        <w:t xml:space="preserve">المساعدة التقنية والتعاون لأغراض معاهدة قانون </w:t>
      </w:r>
      <w:r w:rsidR="002651E0">
        <w:rPr>
          <w:rFonts w:hint="cs"/>
          <w:rtl/>
        </w:rPr>
        <w:t>البراءات</w:t>
      </w:r>
      <w:r w:rsidR="00190214">
        <w:rPr>
          <w:rFonts w:hint="cs"/>
          <w:rtl/>
          <w:lang w:bidi="ar-EG"/>
        </w:rPr>
        <w:t xml:space="preserve">" (الوثيقة </w:t>
      </w:r>
      <w:r w:rsidR="00190214">
        <w:rPr>
          <w:lang w:bidi="ar-EG"/>
        </w:rPr>
        <w:t>WO/GA/51/16</w:t>
      </w:r>
      <w:r w:rsidR="00190214">
        <w:rPr>
          <w:rFonts w:hint="cs"/>
          <w:rtl/>
          <w:lang w:bidi="ar-EG"/>
        </w:rPr>
        <w:t>)</w:t>
      </w:r>
      <w:r w:rsidR="00D5634B">
        <w:rPr>
          <w:rFonts w:hint="cs"/>
          <w:rtl/>
          <w:lang w:bidi="ar-EG"/>
        </w:rPr>
        <w:t>.</w:t>
      </w:r>
    </w:p>
    <w:p w:rsidR="00190214" w:rsidRDefault="00190214" w:rsidP="00190214">
      <w:pPr>
        <w:pStyle w:val="Endofdocument-Annex"/>
        <w:spacing w:before="600"/>
        <w:rPr>
          <w:rtl/>
          <w:lang w:bidi="ar-EG"/>
        </w:rPr>
      </w:pPr>
      <w:r>
        <w:rPr>
          <w:rFonts w:hint="cs"/>
          <w:rtl/>
          <w:lang w:bidi="ar-EG"/>
        </w:rPr>
        <w:t>[يلي ذلك المرفقان]</w:t>
      </w:r>
    </w:p>
    <w:p w:rsidR="00190214" w:rsidRDefault="00190214" w:rsidP="00190214">
      <w:pPr>
        <w:pStyle w:val="BodyText"/>
        <w:rPr>
          <w:rtl/>
        </w:rPr>
        <w:sectPr w:rsidR="00190214" w:rsidSect="003D225B">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pPr>
    </w:p>
    <w:p w:rsidR="00190214" w:rsidRPr="007C4297" w:rsidRDefault="007C4297" w:rsidP="00D5634B">
      <w:pPr>
        <w:pStyle w:val="Heading2"/>
        <w:jc w:val="center"/>
        <w:rPr>
          <w:lang w:bidi="ar-EG"/>
        </w:rPr>
      </w:pPr>
      <w:r>
        <w:rPr>
          <w:rFonts w:hint="cs"/>
          <w:rtl/>
        </w:rPr>
        <w:lastRenderedPageBreak/>
        <w:t>خدمات</w:t>
      </w:r>
      <w:r w:rsidRPr="007C4297">
        <w:rPr>
          <w:rFonts w:hint="cs"/>
          <w:rtl/>
        </w:rPr>
        <w:t xml:space="preserve"> </w:t>
      </w:r>
      <w:r w:rsidR="00190214" w:rsidRPr="007C4297">
        <w:rPr>
          <w:rtl/>
          <w:lang w:bidi="ar-EG"/>
        </w:rPr>
        <w:t xml:space="preserve">المساعدة التقنية والتعاون </w:t>
      </w:r>
      <w:r w:rsidRPr="007C4297">
        <w:rPr>
          <w:rFonts w:hint="cs"/>
          <w:rtl/>
        </w:rPr>
        <w:t>المقدَّمة إلى</w:t>
      </w:r>
      <w:r w:rsidR="00190214" w:rsidRPr="007C4297">
        <w:rPr>
          <w:rtl/>
          <w:lang w:bidi="ar-EG"/>
        </w:rPr>
        <w:t xml:space="preserve"> البلدان النامية والبلدان الأقل نموا</w:t>
      </w:r>
      <w:r w:rsidRPr="007C4297">
        <w:rPr>
          <w:rFonts w:hint="cs"/>
          <w:rtl/>
        </w:rPr>
        <w:t>ً</w:t>
      </w:r>
      <w:r w:rsidR="00190214" w:rsidRPr="007C4297">
        <w:rPr>
          <w:rtl/>
          <w:lang w:bidi="ar-EG"/>
        </w:rPr>
        <w:t xml:space="preserve"> </w:t>
      </w:r>
      <w:r w:rsidR="00D5634B">
        <w:rPr>
          <w:rFonts w:hint="cs"/>
          <w:rtl/>
          <w:lang w:bidi="ar-EG"/>
        </w:rPr>
        <w:t xml:space="preserve">والبلدان المتحولة </w:t>
      </w:r>
      <w:r w:rsidRPr="007C4297">
        <w:rPr>
          <w:rFonts w:hint="cs"/>
          <w:rtl/>
        </w:rPr>
        <w:t>لتيسير تنفيذ القاعدة 8(1)(أ) من معاهدة</w:t>
      </w:r>
      <w:r w:rsidR="00D5634B">
        <w:rPr>
          <w:rFonts w:hint="eastAsia"/>
          <w:rtl/>
        </w:rPr>
        <w:t xml:space="preserve"> </w:t>
      </w:r>
      <w:r w:rsidRPr="007C4297">
        <w:rPr>
          <w:rFonts w:hint="cs"/>
          <w:rtl/>
        </w:rPr>
        <w:t>قانون</w:t>
      </w:r>
      <w:r w:rsidR="00D5634B">
        <w:rPr>
          <w:rFonts w:hint="cs"/>
          <w:rtl/>
        </w:rPr>
        <w:t xml:space="preserve"> </w:t>
      </w:r>
      <w:r w:rsidRPr="007C4297">
        <w:rPr>
          <w:rFonts w:hint="cs"/>
          <w:rtl/>
        </w:rPr>
        <w:t>البراءات،</w:t>
      </w:r>
      <w:r>
        <w:rPr>
          <w:rtl/>
        </w:rPr>
        <w:br/>
      </w:r>
      <w:r>
        <w:rPr>
          <w:rFonts w:hint="cs"/>
          <w:rtl/>
        </w:rPr>
        <w:t>في</w:t>
      </w:r>
      <w:r w:rsidRPr="007C4297">
        <w:rPr>
          <w:rFonts w:hint="cs"/>
          <w:rtl/>
        </w:rPr>
        <w:t xml:space="preserve"> الفترة الممتدة من يونيو 2007 إلى مايو 2019</w:t>
      </w:r>
    </w:p>
    <w:p w:rsidR="007C4297" w:rsidRDefault="007C4297" w:rsidP="002839A9">
      <w:pPr>
        <w:pStyle w:val="ONUMA"/>
        <w:numPr>
          <w:ilvl w:val="0"/>
          <w:numId w:val="13"/>
        </w:numPr>
      </w:pPr>
      <w:bookmarkStart w:id="13" w:name="ExtraPara"/>
      <w:bookmarkEnd w:id="13"/>
      <w:r>
        <w:rPr>
          <w:rtl/>
        </w:rPr>
        <w:t>في الفترة</w:t>
      </w:r>
      <w:r>
        <w:rPr>
          <w:rFonts w:hint="cs"/>
          <w:rtl/>
          <w:lang w:bidi="ar-EG"/>
        </w:rPr>
        <w:t xml:space="preserve"> الممتدة</w:t>
      </w:r>
      <w:r>
        <w:rPr>
          <w:rtl/>
        </w:rPr>
        <w:t xml:space="preserve"> من يونيو 2017 إلى مايو 2019، قدمت </w:t>
      </w:r>
      <w:r>
        <w:rPr>
          <w:rFonts w:hint="cs"/>
          <w:rtl/>
        </w:rPr>
        <w:t xml:space="preserve">أمانة </w:t>
      </w:r>
      <w:r>
        <w:rPr>
          <w:rtl/>
        </w:rPr>
        <w:t>الويبو خدمات المساعدة التقنية والتعاون إلى مجموعة من البلدان النامية والبلدان الأقل نموا</w:t>
      </w:r>
      <w:r>
        <w:rPr>
          <w:rFonts w:hint="cs"/>
          <w:rtl/>
        </w:rPr>
        <w:t>ً</w:t>
      </w:r>
      <w:r>
        <w:rPr>
          <w:rtl/>
        </w:rPr>
        <w:t xml:space="preserve"> </w:t>
      </w:r>
      <w:r w:rsidR="00876205">
        <w:rPr>
          <w:rFonts w:hint="cs"/>
          <w:rtl/>
        </w:rPr>
        <w:t>والبلدان المتحولة</w:t>
      </w:r>
      <w:r w:rsidR="00876205">
        <w:rPr>
          <w:rStyle w:val="FootnoteReference"/>
          <w:rtl/>
        </w:rPr>
        <w:footnoteReference w:id="3"/>
      </w:r>
      <w:r w:rsidR="00876205">
        <w:rPr>
          <w:rFonts w:hint="cs"/>
          <w:rtl/>
        </w:rPr>
        <w:t xml:space="preserve"> </w:t>
      </w:r>
      <w:r>
        <w:rPr>
          <w:rtl/>
        </w:rPr>
        <w:t>بغ</w:t>
      </w:r>
      <w:r>
        <w:rPr>
          <w:rFonts w:hint="cs"/>
          <w:rtl/>
        </w:rPr>
        <w:t xml:space="preserve">ية </w:t>
      </w:r>
      <w:r>
        <w:rPr>
          <w:rtl/>
        </w:rPr>
        <w:t xml:space="preserve">تيسير </w:t>
      </w:r>
      <w:r w:rsidR="00876205">
        <w:rPr>
          <w:rFonts w:hint="cs"/>
          <w:rtl/>
        </w:rPr>
        <w:t>تنفيذ القاعدة 8(1)(أ) من معاهدة قانون البراءات أي تيسير إيداع التبليغات الإلكترونية في تلك البلدان؛ وشملت الخدمات المجالين التاليين: (أ) </w:t>
      </w:r>
      <w:r w:rsidR="007515A3">
        <w:rPr>
          <w:rtl/>
        </w:rPr>
        <w:t>البن</w:t>
      </w:r>
      <w:r w:rsidR="007515A3">
        <w:rPr>
          <w:rFonts w:hint="cs"/>
          <w:rtl/>
        </w:rPr>
        <w:t>ى</w:t>
      </w:r>
      <w:r w:rsidR="007515A3" w:rsidRPr="007515A3">
        <w:rPr>
          <w:rtl/>
        </w:rPr>
        <w:t xml:space="preserve"> التحتية ال</w:t>
      </w:r>
      <w:r w:rsidR="001B0B23">
        <w:rPr>
          <w:rtl/>
        </w:rPr>
        <w:t>تقني</w:t>
      </w:r>
      <w:r w:rsidR="007515A3" w:rsidRPr="007515A3">
        <w:rPr>
          <w:rtl/>
        </w:rPr>
        <w:t xml:space="preserve">ة </w:t>
      </w:r>
      <w:r w:rsidR="007515A3">
        <w:rPr>
          <w:rFonts w:hint="cs"/>
          <w:rtl/>
        </w:rPr>
        <w:t>ل</w:t>
      </w:r>
      <w:r w:rsidR="007515A3" w:rsidRPr="007515A3">
        <w:rPr>
          <w:rtl/>
        </w:rPr>
        <w:t>مكاتب الم</w:t>
      </w:r>
      <w:r w:rsidR="007515A3">
        <w:rPr>
          <w:rtl/>
        </w:rPr>
        <w:t>لكية الفكرية الوطنية والإقليمية</w:t>
      </w:r>
      <w:r w:rsidR="00876205">
        <w:rPr>
          <w:rFonts w:hint="cs"/>
          <w:rtl/>
        </w:rPr>
        <w:t>؛ (ب) والتبليغات الإلكترونية في إط</w:t>
      </w:r>
      <w:r w:rsidR="007515A3">
        <w:rPr>
          <w:rFonts w:hint="cs"/>
          <w:rtl/>
        </w:rPr>
        <w:t>ار معاهدة التعاون بشأن البراءات.</w:t>
      </w:r>
    </w:p>
    <w:p w:rsidR="007C4297" w:rsidRDefault="007C4297" w:rsidP="009C4912">
      <w:pPr>
        <w:pStyle w:val="ONUMA"/>
        <w:numPr>
          <w:ilvl w:val="0"/>
          <w:numId w:val="13"/>
        </w:numPr>
        <w:rPr>
          <w:rtl/>
        </w:rPr>
      </w:pPr>
      <w:r>
        <w:rPr>
          <w:rtl/>
        </w:rPr>
        <w:t xml:space="preserve">وكانت تلك الأنشطة متماشية </w:t>
      </w:r>
      <w:r w:rsidR="009C4912">
        <w:rPr>
          <w:rFonts w:hint="cs"/>
          <w:rtl/>
        </w:rPr>
        <w:t>و</w:t>
      </w:r>
      <w:r>
        <w:rPr>
          <w:rtl/>
        </w:rPr>
        <w:t>توصيات أجندة التنمية الرامية إلى تعزيز البنية التحتية المؤسسية وال</w:t>
      </w:r>
      <w:r w:rsidR="001B0B23">
        <w:rPr>
          <w:rFonts w:hint="cs"/>
          <w:rtl/>
        </w:rPr>
        <w:t>تقني</w:t>
      </w:r>
      <w:r w:rsidR="007515A3">
        <w:rPr>
          <w:rFonts w:hint="cs"/>
          <w:rtl/>
        </w:rPr>
        <w:t>ة</w:t>
      </w:r>
      <w:r>
        <w:rPr>
          <w:rtl/>
        </w:rPr>
        <w:t xml:space="preserve"> لمكاتب ومؤسسات الملكية الفكرية.</w:t>
      </w:r>
      <w:r w:rsidR="007515A3">
        <w:rPr>
          <w:rStyle w:val="FootnoteReference"/>
          <w:rtl/>
        </w:rPr>
        <w:footnoteReference w:id="4"/>
      </w:r>
    </w:p>
    <w:p w:rsidR="007C4297" w:rsidRPr="007515A3" w:rsidRDefault="007515A3" w:rsidP="007515A3">
      <w:pPr>
        <w:pStyle w:val="Heading3"/>
        <w:rPr>
          <w:rtl/>
        </w:rPr>
      </w:pPr>
      <w:r>
        <w:rPr>
          <w:rtl/>
        </w:rPr>
        <w:t>ألف.</w:t>
      </w:r>
      <w:r>
        <w:rPr>
          <w:rtl/>
        </w:rPr>
        <w:tab/>
      </w:r>
      <w:r>
        <w:rPr>
          <w:rFonts w:hint="cs"/>
          <w:rtl/>
        </w:rPr>
        <w:t>البنى التحتية ال</w:t>
      </w:r>
      <w:r w:rsidR="001B0B23">
        <w:rPr>
          <w:rFonts w:hint="cs"/>
          <w:rtl/>
        </w:rPr>
        <w:t>تقني</w:t>
      </w:r>
      <w:r>
        <w:rPr>
          <w:rFonts w:hint="cs"/>
          <w:rtl/>
        </w:rPr>
        <w:t>ة ل</w:t>
      </w:r>
      <w:r w:rsidRPr="007515A3">
        <w:rPr>
          <w:rtl/>
        </w:rPr>
        <w:t>مكاتب الملكية الفكرية الوطنية والإقليمية</w:t>
      </w:r>
    </w:p>
    <w:p w:rsidR="007515A3" w:rsidRPr="009C4912" w:rsidRDefault="007515A3" w:rsidP="002839A9">
      <w:pPr>
        <w:pStyle w:val="ONUMA"/>
        <w:numPr>
          <w:ilvl w:val="0"/>
          <w:numId w:val="13"/>
        </w:numPr>
      </w:pPr>
      <w:r>
        <w:rPr>
          <w:rFonts w:hint="cs"/>
          <w:rtl/>
          <w:lang w:bidi="ar-EG"/>
        </w:rPr>
        <w:t>عملت</w:t>
      </w:r>
      <w:r>
        <w:rPr>
          <w:rtl/>
        </w:rPr>
        <w:t xml:space="preserve"> الأمانة</w:t>
      </w:r>
      <w:r>
        <w:rPr>
          <w:rFonts w:hint="cs"/>
          <w:rtl/>
        </w:rPr>
        <w:t>، طوال</w:t>
      </w:r>
      <w:r>
        <w:rPr>
          <w:rtl/>
        </w:rPr>
        <w:t xml:space="preserve"> الفترة المشمولة بالتقرير، </w:t>
      </w:r>
      <w:r>
        <w:rPr>
          <w:rFonts w:hint="cs"/>
          <w:rtl/>
        </w:rPr>
        <w:t xml:space="preserve">على دعم </w:t>
      </w:r>
      <w:r w:rsidRPr="007515A3">
        <w:rPr>
          <w:rtl/>
        </w:rPr>
        <w:t>تحسين أ</w:t>
      </w:r>
      <w:r>
        <w:rPr>
          <w:rtl/>
        </w:rPr>
        <w:t>نظمة الأعمال والبنية التحتية ال</w:t>
      </w:r>
      <w:r w:rsidR="001B0B23">
        <w:rPr>
          <w:rFonts w:hint="cs"/>
          <w:rtl/>
        </w:rPr>
        <w:t>تقني</w:t>
      </w:r>
      <w:r w:rsidRPr="007515A3">
        <w:rPr>
          <w:rtl/>
        </w:rPr>
        <w:t>ة الخاصة بالملكية الفكرية لدى مكاتب الملكية الفكرية الوطنية والإقليمية لمساعدتها على أن تقدم لأصحاب المصالح لديها خدمات أجدى من الناحية الاقتصادية و</w:t>
      </w:r>
      <w:r w:rsidR="001B0B23">
        <w:rPr>
          <w:rFonts w:hint="cs"/>
          <w:rtl/>
        </w:rPr>
        <w:t>أعلى جودة</w:t>
      </w:r>
      <w:r w:rsidRPr="007515A3">
        <w:rPr>
          <w:rtl/>
        </w:rPr>
        <w:t>.</w:t>
      </w:r>
      <w:r w:rsidR="001B0B23">
        <w:rPr>
          <w:rFonts w:hint="cs"/>
          <w:rtl/>
        </w:rPr>
        <w:t xml:space="preserve"> </w:t>
      </w:r>
      <w:r w:rsidR="001B0B23">
        <w:rPr>
          <w:rtl/>
        </w:rPr>
        <w:t>وكا</w:t>
      </w:r>
      <w:r w:rsidR="001B0B23">
        <w:rPr>
          <w:rFonts w:hint="cs"/>
          <w:rtl/>
        </w:rPr>
        <w:t xml:space="preserve">ن من أهم مواضع تركيز البرنامج خلال الثنائية </w:t>
      </w:r>
      <w:r w:rsidR="001B0B23">
        <w:rPr>
          <w:rtl/>
        </w:rPr>
        <w:t>الارتقاء بمستوى الخدمة في مكاتب الملكية ال</w:t>
      </w:r>
      <w:r w:rsidR="001B0B23">
        <w:rPr>
          <w:rFonts w:hint="cs"/>
          <w:rtl/>
        </w:rPr>
        <w:t>فكرية</w:t>
      </w:r>
      <w:r w:rsidR="001B0B23">
        <w:rPr>
          <w:rtl/>
        </w:rPr>
        <w:t xml:space="preserve"> بمساعدتها على الانتقال إلى الخدمات الشبكية في الإيداع ونشر معلومات الملكية الفكرية.</w:t>
      </w:r>
      <w:r w:rsidR="001B0B23">
        <w:rPr>
          <w:rFonts w:hint="cs"/>
          <w:rtl/>
        </w:rPr>
        <w:t xml:space="preserve"> </w:t>
      </w:r>
      <w:r w:rsidR="001B0B23">
        <w:rPr>
          <w:rtl/>
        </w:rPr>
        <w:t xml:space="preserve">ويمكن الاطلاع على مزيد من المعلومات عبر الموقع </w:t>
      </w:r>
      <w:r w:rsidR="001B0B23" w:rsidRPr="009C4912">
        <w:rPr>
          <w:rtl/>
        </w:rPr>
        <w:t xml:space="preserve">الإلكتروني لبرنامج المساعدة التقنية التي تقدمها الويبو لمكاتب </w:t>
      </w:r>
      <w:r w:rsidR="001B0B23" w:rsidRPr="009C4912">
        <w:rPr>
          <w:rFonts w:hint="cs"/>
          <w:rtl/>
        </w:rPr>
        <w:t xml:space="preserve">الملكية الفكرية: </w:t>
      </w:r>
      <w:hyperlink r:id="rId15" w:history="1">
        <w:r w:rsidR="001B0B23" w:rsidRPr="009C4912">
          <w:rPr>
            <w:rStyle w:val="Hyperlink"/>
            <w:color w:val="auto"/>
            <w:u w:val="none"/>
          </w:rPr>
          <w:t>https://www.wipo.int/cooperation/ar/technical_assistance/</w:t>
        </w:r>
      </w:hyperlink>
      <w:r w:rsidR="001B0B23" w:rsidRPr="009C4912">
        <w:rPr>
          <w:rFonts w:hint="cs"/>
          <w:rtl/>
          <w:lang w:bidi="ar-EG"/>
        </w:rPr>
        <w:t>.</w:t>
      </w:r>
    </w:p>
    <w:p w:rsidR="007C4297" w:rsidRDefault="001B0B23" w:rsidP="002839A9">
      <w:pPr>
        <w:pStyle w:val="ONUMA"/>
        <w:numPr>
          <w:ilvl w:val="0"/>
          <w:numId w:val="13"/>
        </w:numPr>
      </w:pPr>
      <w:r>
        <w:rPr>
          <w:rFonts w:hint="cs"/>
          <w:rtl/>
        </w:rPr>
        <w:t xml:space="preserve">وشملت خدمات المساعدة التقنية والتعاون المقدَّمة </w:t>
      </w:r>
      <w:r w:rsidRPr="001B0B23">
        <w:rPr>
          <w:rtl/>
        </w:rPr>
        <w:t>المشورة التقنية؛ وتقييم احتياجات العمل؛ وتحديد نطاق المش</w:t>
      </w:r>
      <w:r>
        <w:rPr>
          <w:rFonts w:hint="cs"/>
          <w:rtl/>
        </w:rPr>
        <w:t>روعات</w:t>
      </w:r>
      <w:r w:rsidRPr="001B0B23">
        <w:rPr>
          <w:rtl/>
        </w:rPr>
        <w:t xml:space="preserve"> والتخطيط لها؛ وتحليل إجراءات العمل؛ ومواصلة تطوير حلول أنظمة العمل المخصصة لإدارة حقوق الملكية الفكرية </w:t>
      </w:r>
      <w:r w:rsidRPr="001B0B23">
        <w:rPr>
          <w:rtl/>
        </w:rPr>
        <w:lastRenderedPageBreak/>
        <w:t>ولتبادل وثائق الأولوية ونتائج البحث والفحص، وتعميمها؛ وإنشاء قواعد بيانات للملكية الفكرية؛ والمساعدة في رقمنة سجلات الملكية الفكرية وتجهيز البيانات لنشرها على الإنترنت وتبادلها إلكترونيا</w:t>
      </w:r>
      <w:r>
        <w:rPr>
          <w:rFonts w:hint="cs"/>
          <w:rtl/>
        </w:rPr>
        <w:t>ً</w:t>
      </w:r>
      <w:r w:rsidRPr="001B0B23">
        <w:rPr>
          <w:rtl/>
        </w:rPr>
        <w:t>؛ والتدريب ونقل المعارف إلى موظفي مؤسسات الملكية الفكرية؛ ودعم الأنظمة التي تقدمها الويبو.</w:t>
      </w:r>
      <w:r>
        <w:rPr>
          <w:rFonts w:hint="cs"/>
          <w:rtl/>
        </w:rPr>
        <w:t xml:space="preserve"> </w:t>
      </w:r>
      <w:r>
        <w:rPr>
          <w:rtl/>
        </w:rPr>
        <w:t>وتراعي المساعدة معايير الويبو المتعلقة ببيانات ومعلومات الملكية الفكرية وفق مقتضى الحال.</w:t>
      </w:r>
      <w:r>
        <w:rPr>
          <w:rFonts w:hint="cs"/>
          <w:rtl/>
        </w:rPr>
        <w:t xml:space="preserve"> ويشكل </w:t>
      </w:r>
      <w:r>
        <w:rPr>
          <w:rtl/>
        </w:rPr>
        <w:t xml:space="preserve">التدريب في الموقع والتوجيه وحلقات العمل التدريبية الإقليمية </w:t>
      </w:r>
      <w:r>
        <w:rPr>
          <w:rFonts w:hint="cs"/>
          <w:rtl/>
        </w:rPr>
        <w:t>جزءاً كبيراً من</w:t>
      </w:r>
      <w:r>
        <w:rPr>
          <w:rtl/>
        </w:rPr>
        <w:t xml:space="preserve"> عمل البرنامج وكلها يؤدي دورا</w:t>
      </w:r>
      <w:r>
        <w:rPr>
          <w:rFonts w:hint="cs"/>
          <w:rtl/>
        </w:rPr>
        <w:t>ً</w:t>
      </w:r>
      <w:r>
        <w:rPr>
          <w:rtl/>
        </w:rPr>
        <w:t xml:space="preserve"> </w:t>
      </w:r>
      <w:r>
        <w:rPr>
          <w:rFonts w:hint="cs"/>
          <w:rtl/>
        </w:rPr>
        <w:t>محورياً</w:t>
      </w:r>
      <w:r>
        <w:rPr>
          <w:rtl/>
        </w:rPr>
        <w:t xml:space="preserve"> في تحقيق النتائج الم</w:t>
      </w:r>
      <w:r>
        <w:rPr>
          <w:rFonts w:hint="cs"/>
          <w:rtl/>
        </w:rPr>
        <w:t>نشودة</w:t>
      </w:r>
      <w:r>
        <w:rPr>
          <w:rtl/>
        </w:rPr>
        <w:t>.</w:t>
      </w:r>
    </w:p>
    <w:p w:rsidR="001B0B23" w:rsidRDefault="001B0B23" w:rsidP="002839A9">
      <w:pPr>
        <w:pStyle w:val="ONUMA"/>
        <w:numPr>
          <w:ilvl w:val="0"/>
          <w:numId w:val="13"/>
        </w:numPr>
      </w:pPr>
      <w:r>
        <w:rPr>
          <w:rFonts w:hint="cs"/>
          <w:rtl/>
        </w:rPr>
        <w:t xml:space="preserve">وخلال الفترة المشمولة بهذا التقرير، نُفِّذت أنشطة بالتعاون مع 70 مكتباً للملكية الفكرية أو الملكية الصناعية، منها 22 حلقة عمل تدريبية إقليمية أو دون إقليمية، في مجموعة من البلدان النامية والبلدان الأقل نمواً والبلدان المتحولة. وبحلول تاريخ إعداد هذا التقرير، </w:t>
      </w:r>
      <w:r w:rsidRPr="001B0B23">
        <w:rPr>
          <w:rtl/>
        </w:rPr>
        <w:t>كان 84 مكتبا</w:t>
      </w:r>
      <w:r>
        <w:rPr>
          <w:rFonts w:hint="cs"/>
          <w:rtl/>
        </w:rPr>
        <w:t>ً</w:t>
      </w:r>
      <w:r w:rsidRPr="001B0B23">
        <w:rPr>
          <w:rtl/>
        </w:rPr>
        <w:t xml:space="preserve"> للملكية </w:t>
      </w:r>
      <w:r>
        <w:rPr>
          <w:rFonts w:hint="cs"/>
          <w:rtl/>
        </w:rPr>
        <w:t xml:space="preserve">الفكرية أو الملكية </w:t>
      </w:r>
      <w:r w:rsidRPr="001B0B23">
        <w:rPr>
          <w:rtl/>
        </w:rPr>
        <w:t xml:space="preserve">الصناعية </w:t>
      </w:r>
      <w:r w:rsidR="0027732B">
        <w:rPr>
          <w:rFonts w:hint="cs"/>
          <w:rtl/>
        </w:rPr>
        <w:t>في تلك البلدان من كل المناطق</w:t>
      </w:r>
      <w:r w:rsidRPr="001B0B23">
        <w:rPr>
          <w:rtl/>
        </w:rPr>
        <w:t xml:space="preserve"> يستخدم حلول الأعمال التي تقدمها الويبو والتي تشمل معايير الويبو لإدارة حقوق الملكية الفكرية.</w:t>
      </w:r>
    </w:p>
    <w:p w:rsidR="0027732B" w:rsidRPr="001B0B23" w:rsidRDefault="0027732B" w:rsidP="0027732B">
      <w:pPr>
        <w:pStyle w:val="Heading3"/>
        <w:rPr>
          <w:rtl/>
        </w:rPr>
      </w:pPr>
      <w:r>
        <w:rPr>
          <w:rFonts w:hint="cs"/>
          <w:rtl/>
        </w:rPr>
        <w:t>باء.</w:t>
      </w:r>
      <w:r>
        <w:rPr>
          <w:rtl/>
        </w:rPr>
        <w:tab/>
      </w:r>
      <w:r>
        <w:rPr>
          <w:rFonts w:hint="cs"/>
          <w:rtl/>
        </w:rPr>
        <w:t>التبليغات الإلكترونية في إطار معاهدة التعاون بشأن البراءات</w:t>
      </w:r>
    </w:p>
    <w:p w:rsidR="00327221" w:rsidRDefault="00327221" w:rsidP="002839A9">
      <w:pPr>
        <w:pStyle w:val="ONUMA"/>
        <w:numPr>
          <w:ilvl w:val="0"/>
          <w:numId w:val="13"/>
        </w:numPr>
      </w:pPr>
      <w:r>
        <w:rPr>
          <w:rtl/>
        </w:rPr>
        <w:t>نظراً إلى العلاقة الوثيقة بين معاهدة قانون البراءات ومعاهدة التعاون بشأن البراءات، ينبغي الإشارة إلى المستجدات التالية التي طرأت خلال الفترة المشمولة بالتقرير في سياق معاهدة التعاون بشأن البراءات.</w:t>
      </w:r>
    </w:p>
    <w:p w:rsidR="00327221" w:rsidRDefault="00327221" w:rsidP="002839A9">
      <w:pPr>
        <w:pStyle w:val="ONUMA"/>
        <w:numPr>
          <w:ilvl w:val="0"/>
          <w:numId w:val="13"/>
        </w:numPr>
      </w:pPr>
      <w:r>
        <w:rPr>
          <w:rtl/>
        </w:rPr>
        <w:t>فقد واصل المكتب الدولي تطوير النظام الإلكتروني لمعاهدة البراءات (</w:t>
      </w:r>
      <w:r w:rsidR="00696E77">
        <w:t>ePCT</w:t>
      </w:r>
      <w:r>
        <w:rPr>
          <w:rtl/>
        </w:rPr>
        <w:t>) وتعميمه. وبات الآن أكثر من 58,000 مستخدم مسجل من أكثر من 100 بلد مختلف يستخدم ذلك النظام في إيداع الطلبات الدولية أو إدارتها لاحقاً. والنظام مفتوح أيضاً للمكاتب الوطنية والإقليمية التي بات بإمكانها النفاذ إلى الخدمة بصفتها مكتباً لتسلم الطلبات أو إدارة للبحث الدولي/إدارة للفحص التمهيدي الدولي أو مكتب</w:t>
      </w:r>
      <w:r w:rsidR="00696E77">
        <w:rPr>
          <w:rFonts w:hint="cs"/>
          <w:rtl/>
          <w:lang w:bidi="ar-EG"/>
        </w:rPr>
        <w:t>اً</w:t>
      </w:r>
      <w:r>
        <w:rPr>
          <w:rtl/>
        </w:rPr>
        <w:t xml:space="preserve"> معيَّن</w:t>
      </w:r>
      <w:r w:rsidR="00696E77">
        <w:rPr>
          <w:rFonts w:hint="cs"/>
          <w:rtl/>
        </w:rPr>
        <w:t>اً</w:t>
      </w:r>
      <w:r>
        <w:rPr>
          <w:rtl/>
        </w:rPr>
        <w:t>. وفي تاريخ إعداد هذا التقرير، كان 86 مكتباً للملكية الفكرية يستخدم هذه الخدمات الإضافية.</w:t>
      </w:r>
    </w:p>
    <w:p w:rsidR="00327221" w:rsidRDefault="00327221" w:rsidP="00906835">
      <w:pPr>
        <w:pStyle w:val="ONUMA"/>
        <w:numPr>
          <w:ilvl w:val="0"/>
          <w:numId w:val="13"/>
        </w:numPr>
      </w:pPr>
      <w:r>
        <w:rPr>
          <w:rtl/>
        </w:rPr>
        <w:t>وفضلاً عن ذلك، كان 56 مكتباً لتسلّم الطلبات (في 1 يونيو 2019) يقبل استخدام تطبيق الإيداع الشبكي (</w:t>
      </w:r>
      <w:r>
        <w:t>ePCT-Filing</w:t>
      </w:r>
      <w:r>
        <w:rPr>
          <w:rtl/>
        </w:rPr>
        <w:t>) المزمع أن يحل محل برنامج الويبو للإيداع الإلكتروني الآمن للطلبات (</w:t>
      </w:r>
      <w:r>
        <w:t>PCT-SAFE</w:t>
      </w:r>
      <w:r>
        <w:rPr>
          <w:rtl/>
        </w:rPr>
        <w:t xml:space="preserve">) والذي يتيح لكل المكاتب توفير خدمة الإيداع الإلكتروني للمودعين لديها. وإن واجهة استخدام نظام </w:t>
      </w:r>
      <w:r>
        <w:t>ePCT</w:t>
      </w:r>
      <w:r>
        <w:rPr>
          <w:rtl/>
        </w:rPr>
        <w:t xml:space="preserve"> متاحة بكل لغات النشر الدولي بموجب معاهدة التعاون بشأن البراءات وهي الإنكليزية والعربية والصينية والفرنسية والألمانية واليابانية والكورية والبرتغالية والروسية والإٍسبانية.</w:t>
      </w:r>
    </w:p>
    <w:p w:rsidR="00327221" w:rsidRDefault="00327221" w:rsidP="00906835">
      <w:pPr>
        <w:pStyle w:val="ONUMA"/>
        <w:numPr>
          <w:ilvl w:val="0"/>
          <w:numId w:val="13"/>
        </w:numPr>
      </w:pPr>
      <w:r>
        <w:rPr>
          <w:rtl/>
        </w:rPr>
        <w:lastRenderedPageBreak/>
        <w:t xml:space="preserve">وفضلاً عن ذلك، يوفر المكتب الدولي خدمة الاستضافة الكاملة لخدمات مكاتب تسلّم الطلبات المرتبطة بنظام </w:t>
      </w:r>
      <w:r>
        <w:t>ePCT</w:t>
      </w:r>
      <w:r>
        <w:rPr>
          <w:rtl/>
        </w:rPr>
        <w:t xml:space="preserve"> والمتوافقة مع تطبيق الإيداع الشبكي (</w:t>
      </w:r>
      <w:r>
        <w:t>ePCT-Filing</w:t>
      </w:r>
      <w:r>
        <w:rPr>
          <w:rtl/>
        </w:rPr>
        <w:t>). وهذه الخدمات متاحة لمكاتب كل الدول الأعضاء التي تفتقر للإمكانات اللازمة لتطوير بنية تحتية معلوماتية محلية لأغراض عمليات مكاتب تسلّم الطلبات وتشغيلها وصيانتها أو المكاتب التي</w:t>
      </w:r>
      <w:r w:rsidR="00696E77">
        <w:rPr>
          <w:rtl/>
        </w:rPr>
        <w:t xml:space="preserve"> لا ترغب في القيام بذلك، بما يم</w:t>
      </w:r>
      <w:r w:rsidR="00696E77">
        <w:rPr>
          <w:rFonts w:hint="cs"/>
          <w:rtl/>
        </w:rPr>
        <w:t>كِّ</w:t>
      </w:r>
      <w:r>
        <w:rPr>
          <w:rtl/>
        </w:rPr>
        <w:t>نها من تقديم للمودعين لديها المستوى نفسه من الخدمة المقدَّم في المكاتب المؤتمتة على مستوى عالٍ. ولا تحتاج المكاتب المشاركة إلا متصفح</w:t>
      </w:r>
      <w:r w:rsidR="00906835">
        <w:rPr>
          <w:rFonts w:hint="cs"/>
          <w:rtl/>
        </w:rPr>
        <w:t>اً</w:t>
      </w:r>
      <w:r>
        <w:rPr>
          <w:rtl/>
        </w:rPr>
        <w:t xml:space="preserve"> شبكي</w:t>
      </w:r>
      <w:r w:rsidR="00906835">
        <w:rPr>
          <w:rFonts w:hint="cs"/>
          <w:rtl/>
        </w:rPr>
        <w:t>اً</w:t>
      </w:r>
      <w:r>
        <w:rPr>
          <w:rtl/>
        </w:rPr>
        <w:t xml:space="preserve"> عادي</w:t>
      </w:r>
      <w:r w:rsidR="00906835">
        <w:rPr>
          <w:rFonts w:hint="cs"/>
          <w:rtl/>
        </w:rPr>
        <w:t>اً</w:t>
      </w:r>
      <w:r>
        <w:rPr>
          <w:rtl/>
        </w:rPr>
        <w:t xml:space="preserve"> واتصال</w:t>
      </w:r>
      <w:r w:rsidR="00906835">
        <w:rPr>
          <w:rFonts w:hint="cs"/>
          <w:rtl/>
        </w:rPr>
        <w:t>اً</w:t>
      </w:r>
      <w:r>
        <w:rPr>
          <w:rtl/>
        </w:rPr>
        <w:t xml:space="preserve"> بشبكة الإنترنت (بالإضافة إلى جهاز مسح ضوئي لمعالجة الوثائق المودعة ورقياً). ويست</w:t>
      </w:r>
      <w:r w:rsidR="00906835">
        <w:rPr>
          <w:rtl/>
        </w:rPr>
        <w:t xml:space="preserve">ضيف المكتب الدولي حالياً خوادم </w:t>
      </w:r>
      <w:r>
        <w:rPr>
          <w:rtl/>
        </w:rPr>
        <w:t xml:space="preserve">نظام </w:t>
      </w:r>
      <w:r>
        <w:t>ePCT</w:t>
      </w:r>
      <w:r>
        <w:rPr>
          <w:rtl/>
        </w:rPr>
        <w:t xml:space="preserve"> لفائدة عدد من مكاتب تسلّم الطلبات منها مكاتب الجزائر وأذربيجان والبرازيل وبروني دار السلام وشيلي وكولومبيا وكوستاريكا وكوبا والجمهورية الدومينيكية ومصر وجورجيا والهند وإندونيسيا وجمهورية إيران الإسلامية والأردن وكينيا وماليزيا والمكسيك والمغرب وعمان وبنما وبيرو والفلبين وقطر والاتحاد الروسي والمملكة العربية السعودية وصربيا وسنغافورة وجنوب أفريقيا فضلاً عن المكتب الأوربي الآسيوي للبراءات.</w:t>
      </w:r>
    </w:p>
    <w:p w:rsidR="00327221" w:rsidRDefault="00327221" w:rsidP="00906835">
      <w:pPr>
        <w:pStyle w:val="ONUMA"/>
        <w:numPr>
          <w:ilvl w:val="0"/>
          <w:numId w:val="13"/>
        </w:numPr>
      </w:pPr>
      <w:r>
        <w:rPr>
          <w:rtl/>
        </w:rPr>
        <w:t xml:space="preserve">وإلى جانب الخدمات المذكورة آنفاً، تقدِّم الويبو المساعدة إلى المكاتب في استعدادها لاستخدام خدمات نظام </w:t>
      </w:r>
      <w:r>
        <w:t>ePCT</w:t>
      </w:r>
      <w:r>
        <w:rPr>
          <w:rtl/>
        </w:rPr>
        <w:t>. ويشمل ذلك المساعدة التقنية، أي توفير بيئات تجربة لمكاتب تسلّم الطلبات بغية اختبار مسار الإيداع الكامل، وإرسال حزم النسخ الأصلية إلى المكتب الدولي فضلاً عن مساعدات قانونية وإجرائية. وفضلاً عن ذلك، استمرت سلطات التصديق (</w:t>
      </w:r>
      <w:r>
        <w:t>CA</w:t>
      </w:r>
      <w:r>
        <w:rPr>
          <w:rtl/>
        </w:rPr>
        <w:t>) التابعة للويبو والتي تتولى توزيع شهادات التصديق الرقمية وإدارتها في العمل. وتستعين مجموعة من ا</w:t>
      </w:r>
      <w:r w:rsidR="00906835">
        <w:rPr>
          <w:rFonts w:hint="cs"/>
          <w:rtl/>
        </w:rPr>
        <w:t>ل</w:t>
      </w:r>
      <w:r w:rsidR="00906835">
        <w:rPr>
          <w:rtl/>
        </w:rPr>
        <w:t>م</w:t>
      </w:r>
      <w:r>
        <w:rPr>
          <w:rtl/>
        </w:rPr>
        <w:t xml:space="preserve">ودعين ومستخدمي المكاتب بسلطة منها لوضع نظام استيثاق محكم قبل النفاذ إلى خدمات نظام </w:t>
      </w:r>
      <w:r>
        <w:t>ePCT</w:t>
      </w:r>
      <w:r>
        <w:rPr>
          <w:rtl/>
        </w:rPr>
        <w:t xml:space="preserve">. وفي مارس 2017، نُفِّذت آليتان جديدتان للاستيثاق الآمن ("كلمة مرور لاستخدام واحد" يولدها تطبيق أو تُرسل في رسالة هاتفية قصيرة) كجزء من تعميم التصميم الجديد للنظام </w:t>
      </w:r>
      <w:r>
        <w:t>ePCT</w:t>
      </w:r>
      <w:r>
        <w:rPr>
          <w:rtl/>
        </w:rPr>
        <w:t>.</w:t>
      </w:r>
    </w:p>
    <w:p w:rsidR="007C4297" w:rsidRDefault="00327221" w:rsidP="00906835">
      <w:pPr>
        <w:pStyle w:val="ONUMA"/>
        <w:numPr>
          <w:ilvl w:val="0"/>
          <w:numId w:val="13"/>
        </w:numPr>
      </w:pPr>
      <w:r>
        <w:rPr>
          <w:rtl/>
        </w:rPr>
        <w:t xml:space="preserve">ومع ظهور بدائل أجدى وأسهل استخداماً، نُفِّذت أنشطة انتقالية تخص ثلاث خدمات قديمة ورد ذكرها في الوثيقة </w:t>
      </w:r>
      <w:r>
        <w:t>WO/GA/43/15</w:t>
      </w:r>
      <w:r>
        <w:rPr>
          <w:rtl/>
        </w:rPr>
        <w:t xml:space="preserve">. ومن الجدير بالذكر في هذا المقام أن عدد مكاتب تسلّم الطلبات التي تقبل الإيداعات الإلكترونية في إطار نظام معاهدة البراءات باستخدام برنامج </w:t>
      </w:r>
      <w:r>
        <w:t>PCT-SAFE</w:t>
      </w:r>
      <w:r>
        <w:rPr>
          <w:rtl/>
        </w:rPr>
        <w:t xml:space="preserve"> قد انخفض من 27 في عام 2013 إلى 12 في 1 يونيو 2019 بعد أن حل نظام </w:t>
      </w:r>
      <w:r>
        <w:t>ePCT</w:t>
      </w:r>
      <w:r>
        <w:rPr>
          <w:rtl/>
        </w:rPr>
        <w:t xml:space="preserve"> محل </w:t>
      </w:r>
      <w:r w:rsidR="00906835">
        <w:rPr>
          <w:rFonts w:hint="cs"/>
          <w:rtl/>
        </w:rPr>
        <w:t>برنامج</w:t>
      </w:r>
      <w:r>
        <w:rPr>
          <w:rtl/>
        </w:rPr>
        <w:t xml:space="preserve"> </w:t>
      </w:r>
      <w:r>
        <w:t>PCT-SAFE</w:t>
      </w:r>
      <w:r>
        <w:rPr>
          <w:rtl/>
        </w:rPr>
        <w:t xml:space="preserve"> كبرنامج المكتب الدولي للإيداع الإلكتروني في إطار معاهدة البراءات. ومع ذلك، استمر </w:t>
      </w:r>
      <w:r w:rsidR="00906835">
        <w:rPr>
          <w:rFonts w:hint="cs"/>
          <w:rtl/>
        </w:rPr>
        <w:t>إصدار</w:t>
      </w:r>
      <w:r>
        <w:rPr>
          <w:rtl/>
        </w:rPr>
        <w:t xml:space="preserve"> </w:t>
      </w:r>
      <w:r w:rsidR="00906835">
        <w:rPr>
          <w:rFonts w:hint="cs"/>
          <w:rtl/>
        </w:rPr>
        <w:t>تحديثات</w:t>
      </w:r>
      <w:r>
        <w:rPr>
          <w:rtl/>
        </w:rPr>
        <w:t xml:space="preserve"> برنامج </w:t>
      </w:r>
      <w:r>
        <w:t>PCT-SAFE</w:t>
      </w:r>
      <w:r>
        <w:rPr>
          <w:rtl/>
        </w:rPr>
        <w:t xml:space="preserve"> </w:t>
      </w:r>
      <w:r w:rsidR="00906835">
        <w:rPr>
          <w:rFonts w:hint="cs"/>
          <w:rtl/>
        </w:rPr>
        <w:t>في مواعيدها</w:t>
      </w:r>
      <w:r>
        <w:rPr>
          <w:rtl/>
        </w:rPr>
        <w:t xml:space="preserve"> من أجل دعم التطور </w:t>
      </w:r>
      <w:r>
        <w:rPr>
          <w:rtl/>
        </w:rPr>
        <w:lastRenderedPageBreak/>
        <w:t>المستمر للإطار القانوني والإجرائي لمعاهدة التعاون بشأن البراءات مثل تغير أحكام عدة قواعد من معاهدة البراءات.</w:t>
      </w:r>
    </w:p>
    <w:p w:rsidR="00327221" w:rsidRDefault="00327221" w:rsidP="00327221">
      <w:pPr>
        <w:pStyle w:val="Endofdocument-Annex"/>
        <w:spacing w:before="600"/>
      </w:pPr>
      <w:r>
        <w:rPr>
          <w:rFonts w:hint="cs"/>
          <w:rtl/>
        </w:rPr>
        <w:t>[يلي ذلك المرفق الثاني]</w:t>
      </w:r>
    </w:p>
    <w:p w:rsidR="00E24FA7" w:rsidRDefault="00E24FA7" w:rsidP="00C12F04"/>
    <w:p w:rsidR="00E24FA7" w:rsidRDefault="00E24FA7" w:rsidP="00C12F04">
      <w:pPr>
        <w:sectPr w:rsidR="00E24FA7" w:rsidSect="00906835">
          <w:headerReference w:type="even" r:id="rId16"/>
          <w:headerReference w:type="default" r:id="rId17"/>
          <w:footerReference w:type="even" r:id="rId18"/>
          <w:footerReference w:type="default" r:id="rId19"/>
          <w:headerReference w:type="first" r:id="rId20"/>
          <w:footerReference w:type="first" r:id="rId21"/>
          <w:pgSz w:w="11907" w:h="16840" w:code="9"/>
          <w:pgMar w:top="567" w:right="1418" w:bottom="1418" w:left="1134" w:header="510" w:footer="1021" w:gutter="0"/>
          <w:pgNumType w:start="1"/>
          <w:cols w:space="720"/>
          <w:titlePg/>
          <w:docGrid w:linePitch="299"/>
        </w:sectPr>
      </w:pPr>
    </w:p>
    <w:p w:rsidR="00327221" w:rsidRDefault="00327221" w:rsidP="0071655A">
      <w:pPr>
        <w:pStyle w:val="Heading2"/>
        <w:spacing w:before="0"/>
        <w:jc w:val="center"/>
        <w:rPr>
          <w:rtl/>
        </w:rPr>
      </w:pPr>
      <w:r w:rsidRPr="00327221">
        <w:rPr>
          <w:rFonts w:hint="cs"/>
          <w:rtl/>
        </w:rPr>
        <w:lastRenderedPageBreak/>
        <w:t>معاهدة قانون البراءات</w:t>
      </w:r>
      <w:r>
        <w:rPr>
          <w:rStyle w:val="FootnoteReference"/>
          <w:rtl/>
        </w:rPr>
        <w:footnoteReference w:id="5"/>
      </w:r>
    </w:p>
    <w:p w:rsidR="00327221" w:rsidRDefault="00327221" w:rsidP="00327221">
      <w:pPr>
        <w:pStyle w:val="BodyText"/>
        <w:spacing w:before="0"/>
        <w:jc w:val="center"/>
        <w:rPr>
          <w:rtl/>
          <w:lang w:bidi="ar-SA"/>
        </w:rPr>
      </w:pPr>
      <w:r>
        <w:rPr>
          <w:rFonts w:hint="cs"/>
          <w:rtl/>
          <w:lang w:bidi="ar-SA"/>
        </w:rPr>
        <w:t>(جنيف، 2000)</w:t>
      </w:r>
    </w:p>
    <w:p w:rsidR="00327221" w:rsidRPr="00327221" w:rsidRDefault="00327221" w:rsidP="00042B52">
      <w:pPr>
        <w:pStyle w:val="BodyText"/>
        <w:spacing w:before="0" w:after="240"/>
        <w:jc w:val="center"/>
        <w:rPr>
          <w:rtl/>
          <w:lang w:bidi="ar-SA"/>
        </w:rPr>
      </w:pPr>
      <w:r>
        <w:rPr>
          <w:rFonts w:hint="cs"/>
          <w:rtl/>
          <w:lang w:bidi="ar-SA"/>
        </w:rPr>
        <w:t>الوضع في يونيو 2019</w:t>
      </w:r>
    </w:p>
    <w:tbl>
      <w:tblPr>
        <w:bidiVisual/>
        <w:tblW w:w="4999" w:type="pct"/>
        <w:tblLook w:val="01E0" w:firstRow="1" w:lastRow="1" w:firstColumn="1" w:lastColumn="1" w:noHBand="0" w:noVBand="0"/>
      </w:tblPr>
      <w:tblGrid>
        <w:gridCol w:w="3786"/>
        <w:gridCol w:w="5567"/>
      </w:tblGrid>
      <w:tr w:rsidR="009B7BE2" w:rsidRPr="0071655A" w:rsidTr="009B7BE2">
        <w:trPr>
          <w:trHeight w:val="395"/>
        </w:trPr>
        <w:tc>
          <w:tcPr>
            <w:tcW w:w="2024" w:type="pct"/>
            <w:tcBorders>
              <w:top w:val="single" w:sz="4" w:space="0" w:color="auto"/>
              <w:bottom w:val="single" w:sz="4" w:space="0" w:color="auto"/>
            </w:tcBorders>
          </w:tcPr>
          <w:p w:rsidR="009B7BE2" w:rsidRPr="0071655A" w:rsidRDefault="009B7BE2" w:rsidP="009B7BE2">
            <w:pPr>
              <w:tabs>
                <w:tab w:val="left" w:leader="dot" w:pos="2835"/>
              </w:tabs>
            </w:pPr>
            <w:r w:rsidRPr="0071655A">
              <w:rPr>
                <w:rtl/>
              </w:rPr>
              <w:t>الدولة</w:t>
            </w:r>
          </w:p>
        </w:tc>
        <w:tc>
          <w:tcPr>
            <w:tcW w:w="2976" w:type="pct"/>
            <w:tcBorders>
              <w:top w:val="single" w:sz="4" w:space="0" w:color="auto"/>
              <w:bottom w:val="single" w:sz="4" w:space="0" w:color="auto"/>
            </w:tcBorders>
            <w:shd w:val="clear" w:color="auto" w:fill="auto"/>
          </w:tcPr>
          <w:p w:rsidR="009B7BE2" w:rsidRPr="0071655A" w:rsidRDefault="009B7BE2" w:rsidP="00A063A3">
            <w:pPr>
              <w:tabs>
                <w:tab w:val="left" w:leader="dot" w:pos="2835"/>
              </w:tabs>
              <w:rPr>
                <w:rtl/>
                <w:lang w:bidi="ar-EG"/>
              </w:rPr>
            </w:pPr>
            <w:r w:rsidRPr="0071655A">
              <w:rPr>
                <w:rtl/>
              </w:rPr>
              <w:t xml:space="preserve">تاريخ </w:t>
            </w:r>
            <w:r w:rsidR="00A063A3">
              <w:rPr>
                <w:rFonts w:hint="cs"/>
                <w:rtl/>
                <w:lang w:bidi="ar-EG"/>
              </w:rPr>
              <w:t>الدخول حيز النفاذ</w:t>
            </w:r>
          </w:p>
        </w:tc>
      </w:tr>
      <w:tr w:rsidR="009B7BE2" w:rsidRPr="0071655A" w:rsidTr="009B7BE2">
        <w:tc>
          <w:tcPr>
            <w:tcW w:w="2024" w:type="pct"/>
            <w:tcBorders>
              <w:top w:val="single" w:sz="4" w:space="0" w:color="auto"/>
            </w:tcBorders>
          </w:tcPr>
          <w:p w:rsidR="009B7BE2" w:rsidRPr="0071655A" w:rsidRDefault="009B7BE2" w:rsidP="009B7BE2">
            <w:pPr>
              <w:tabs>
                <w:tab w:val="left" w:leader="dot" w:pos="2835"/>
              </w:tabs>
            </w:pPr>
          </w:p>
        </w:tc>
        <w:tc>
          <w:tcPr>
            <w:tcW w:w="2976" w:type="pct"/>
            <w:tcBorders>
              <w:top w:val="single" w:sz="4" w:space="0" w:color="auto"/>
            </w:tcBorders>
            <w:shd w:val="clear" w:color="auto" w:fill="auto"/>
          </w:tcPr>
          <w:p w:rsidR="009B7BE2" w:rsidRPr="0071655A" w:rsidRDefault="009B7BE2" w:rsidP="009B7BE2">
            <w:pPr>
              <w:tabs>
                <w:tab w:val="left" w:leader="dot" w:pos="2835"/>
              </w:tabs>
            </w:pPr>
          </w:p>
        </w:tc>
      </w:tr>
      <w:tr w:rsidR="009B7BE2" w:rsidRPr="0071655A" w:rsidTr="009B7BE2">
        <w:tc>
          <w:tcPr>
            <w:tcW w:w="2024" w:type="pct"/>
          </w:tcPr>
          <w:p w:rsidR="009B7BE2" w:rsidRPr="0071655A" w:rsidRDefault="009B7BE2" w:rsidP="009B7BE2">
            <w:pPr>
              <w:tabs>
                <w:tab w:val="left" w:leader="dot" w:pos="2835"/>
              </w:tabs>
            </w:pPr>
            <w:r w:rsidRPr="0071655A">
              <w:rPr>
                <w:rtl/>
              </w:rPr>
              <w:t>ألبانيا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17 مايو 2010</w:t>
            </w:r>
          </w:p>
        </w:tc>
      </w:tr>
      <w:tr w:rsidR="009B7BE2" w:rsidRPr="0071655A" w:rsidTr="009B7BE2">
        <w:tc>
          <w:tcPr>
            <w:tcW w:w="2024" w:type="pct"/>
          </w:tcPr>
          <w:p w:rsidR="009B7BE2" w:rsidRPr="0071655A" w:rsidRDefault="009B7BE2" w:rsidP="009B7BE2">
            <w:pPr>
              <w:tabs>
                <w:tab w:val="left" w:leader="dot" w:pos="2835"/>
              </w:tabs>
              <w:rPr>
                <w:rtl/>
                <w:lang w:bidi="ar-EG"/>
              </w:rPr>
            </w:pPr>
            <w:r w:rsidRPr="0071655A">
              <w:rPr>
                <w:rtl/>
              </w:rPr>
              <w:t>أنتيغوا وبربودا</w:t>
            </w:r>
            <w:r w:rsidRPr="0071655A">
              <w:tab/>
            </w:r>
          </w:p>
        </w:tc>
        <w:tc>
          <w:tcPr>
            <w:tcW w:w="2976" w:type="pct"/>
            <w:shd w:val="clear" w:color="auto" w:fill="auto"/>
          </w:tcPr>
          <w:p w:rsidR="009B7BE2" w:rsidRPr="0071655A" w:rsidRDefault="00D71B81" w:rsidP="009B7BE2">
            <w:pPr>
              <w:tabs>
                <w:tab w:val="left" w:leader="dot" w:pos="2835"/>
              </w:tabs>
            </w:pPr>
            <w:r w:rsidRPr="0071655A">
              <w:rPr>
                <w:rtl/>
                <w:lang w:bidi="ar-EG"/>
              </w:rPr>
              <w:t>25 يونيو 2019</w:t>
            </w:r>
          </w:p>
        </w:tc>
      </w:tr>
      <w:tr w:rsidR="009B7BE2" w:rsidRPr="0071655A" w:rsidTr="009B7BE2">
        <w:tc>
          <w:tcPr>
            <w:tcW w:w="2024" w:type="pct"/>
          </w:tcPr>
          <w:p w:rsidR="009B7BE2" w:rsidRPr="0071655A" w:rsidRDefault="009B7BE2" w:rsidP="009B7BE2">
            <w:pPr>
              <w:tabs>
                <w:tab w:val="left" w:leader="dot" w:pos="2835"/>
              </w:tabs>
            </w:pPr>
            <w:r w:rsidRPr="0071655A">
              <w:rPr>
                <w:rtl/>
              </w:rPr>
              <w:t>أرمينيا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17 سبتمبر 2013</w:t>
            </w:r>
          </w:p>
        </w:tc>
      </w:tr>
      <w:tr w:rsidR="009B7BE2" w:rsidRPr="0071655A" w:rsidTr="009B7BE2">
        <w:tc>
          <w:tcPr>
            <w:tcW w:w="2024" w:type="pct"/>
          </w:tcPr>
          <w:p w:rsidR="009B7BE2" w:rsidRPr="0071655A" w:rsidRDefault="009B7BE2" w:rsidP="009B7BE2">
            <w:pPr>
              <w:tabs>
                <w:tab w:val="left" w:leader="dot" w:pos="2835"/>
              </w:tabs>
            </w:pPr>
            <w:r w:rsidRPr="0071655A">
              <w:rPr>
                <w:rtl/>
              </w:rPr>
              <w:t>أستراليا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16 مارس 2009</w:t>
            </w:r>
          </w:p>
        </w:tc>
      </w:tr>
      <w:tr w:rsidR="009B7BE2" w:rsidRPr="0071655A" w:rsidTr="009B7BE2">
        <w:tc>
          <w:tcPr>
            <w:tcW w:w="2024" w:type="pct"/>
          </w:tcPr>
          <w:p w:rsidR="009B7BE2" w:rsidRPr="0071655A" w:rsidRDefault="009B7BE2" w:rsidP="009B7BE2">
            <w:pPr>
              <w:tabs>
                <w:tab w:val="left" w:leader="dot" w:pos="2835"/>
              </w:tabs>
            </w:pPr>
            <w:r w:rsidRPr="0071655A">
              <w:rPr>
                <w:rtl/>
              </w:rPr>
              <w:t>البحرين</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15 ديسمبر 2005</w:t>
            </w:r>
          </w:p>
        </w:tc>
      </w:tr>
      <w:tr w:rsidR="009B7BE2" w:rsidRPr="0071655A" w:rsidTr="009B7BE2">
        <w:tc>
          <w:tcPr>
            <w:tcW w:w="2024" w:type="pct"/>
          </w:tcPr>
          <w:p w:rsidR="009B7BE2" w:rsidRPr="0071655A" w:rsidRDefault="009B7BE2" w:rsidP="009B7BE2">
            <w:pPr>
              <w:tabs>
                <w:tab w:val="left" w:leader="dot" w:pos="2835"/>
              </w:tabs>
            </w:pPr>
            <w:r w:rsidRPr="0071655A">
              <w:rPr>
                <w:rtl/>
              </w:rPr>
              <w:t>بيلاروس</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21 أكتوبر 2016</w:t>
            </w:r>
          </w:p>
        </w:tc>
      </w:tr>
      <w:tr w:rsidR="009B7BE2" w:rsidRPr="0071655A" w:rsidTr="009B7BE2">
        <w:tc>
          <w:tcPr>
            <w:tcW w:w="2024" w:type="pct"/>
          </w:tcPr>
          <w:p w:rsidR="009B7BE2" w:rsidRPr="0071655A" w:rsidRDefault="009B7BE2" w:rsidP="009B7BE2">
            <w:pPr>
              <w:tabs>
                <w:tab w:val="left" w:leader="dot" w:pos="2835"/>
              </w:tabs>
            </w:pPr>
            <w:r w:rsidRPr="0071655A">
              <w:rPr>
                <w:rtl/>
              </w:rPr>
              <w:t>البوسنة والهرسك</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9 مايو 2012</w:t>
            </w:r>
          </w:p>
        </w:tc>
      </w:tr>
      <w:tr w:rsidR="009B7BE2" w:rsidRPr="0071655A" w:rsidTr="009B7BE2">
        <w:tc>
          <w:tcPr>
            <w:tcW w:w="2024" w:type="pct"/>
          </w:tcPr>
          <w:p w:rsidR="009B7BE2" w:rsidRPr="0071655A" w:rsidRDefault="009B7BE2" w:rsidP="009B7BE2">
            <w:pPr>
              <w:tabs>
                <w:tab w:val="left" w:leader="dot" w:pos="2835"/>
              </w:tabs>
            </w:pPr>
            <w:r w:rsidRPr="0071655A">
              <w:rPr>
                <w:rtl/>
              </w:rPr>
              <w:t>كرواتيا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28 أبريل 2005</w:t>
            </w:r>
          </w:p>
        </w:tc>
      </w:tr>
      <w:tr w:rsidR="009B7BE2" w:rsidRPr="0071655A" w:rsidTr="009B7BE2">
        <w:tc>
          <w:tcPr>
            <w:tcW w:w="2024" w:type="pct"/>
          </w:tcPr>
          <w:p w:rsidR="009B7BE2" w:rsidRPr="0071655A" w:rsidRDefault="009B7BE2" w:rsidP="009B7BE2">
            <w:pPr>
              <w:tabs>
                <w:tab w:val="left" w:leader="dot" w:pos="2835"/>
              </w:tabs>
            </w:pPr>
            <w:r w:rsidRPr="0071655A">
              <w:rPr>
                <w:rtl/>
              </w:rPr>
              <w:t>جمهورية كوريا الديمقراطية الشعبية</w:t>
            </w:r>
            <w:r w:rsidRPr="0071655A">
              <w:t xml:space="preserve"> </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22 أغسطس 2018</w:t>
            </w:r>
          </w:p>
        </w:tc>
      </w:tr>
      <w:tr w:rsidR="009B7BE2" w:rsidRPr="0071655A" w:rsidTr="009B7BE2">
        <w:tc>
          <w:tcPr>
            <w:tcW w:w="2024" w:type="pct"/>
          </w:tcPr>
          <w:p w:rsidR="009B7BE2" w:rsidRPr="0071655A" w:rsidRDefault="009B7BE2" w:rsidP="009B7BE2">
            <w:pPr>
              <w:tabs>
                <w:tab w:val="left" w:leader="dot" w:pos="2835"/>
              </w:tabs>
            </w:pPr>
            <w:r w:rsidRPr="0071655A">
              <w:rPr>
                <w:rtl/>
              </w:rPr>
              <w:t>الدانمرك</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28 أبريل 2005</w:t>
            </w:r>
          </w:p>
        </w:tc>
      </w:tr>
      <w:tr w:rsidR="009B7BE2" w:rsidRPr="0071655A" w:rsidTr="009B7BE2">
        <w:tc>
          <w:tcPr>
            <w:tcW w:w="2024" w:type="pct"/>
          </w:tcPr>
          <w:p w:rsidR="009B7BE2" w:rsidRPr="0071655A" w:rsidRDefault="009B7BE2" w:rsidP="009B7BE2">
            <w:pPr>
              <w:tabs>
                <w:tab w:val="left" w:leader="dot" w:pos="2835"/>
              </w:tabs>
            </w:pPr>
            <w:r w:rsidRPr="0071655A">
              <w:rPr>
                <w:rtl/>
              </w:rPr>
              <w:t>إستونيا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28 أبريل 2005</w:t>
            </w:r>
          </w:p>
        </w:tc>
      </w:tr>
      <w:tr w:rsidR="009B7BE2" w:rsidRPr="0071655A" w:rsidTr="009B7BE2">
        <w:tc>
          <w:tcPr>
            <w:tcW w:w="2024" w:type="pct"/>
          </w:tcPr>
          <w:p w:rsidR="009B7BE2" w:rsidRPr="0071655A" w:rsidRDefault="009B7BE2" w:rsidP="009B7BE2">
            <w:pPr>
              <w:tabs>
                <w:tab w:val="left" w:leader="dot" w:pos="2835"/>
              </w:tabs>
            </w:pPr>
            <w:r w:rsidRPr="0071655A">
              <w:rPr>
                <w:rtl/>
              </w:rPr>
              <w:t>فنلندا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6 مارس 2006</w:t>
            </w:r>
          </w:p>
        </w:tc>
      </w:tr>
      <w:tr w:rsidR="009B7BE2" w:rsidRPr="0071655A" w:rsidTr="009B7BE2">
        <w:tc>
          <w:tcPr>
            <w:tcW w:w="2024" w:type="pct"/>
          </w:tcPr>
          <w:p w:rsidR="009B7BE2" w:rsidRPr="0071655A" w:rsidRDefault="009B7BE2" w:rsidP="009B7BE2">
            <w:pPr>
              <w:tabs>
                <w:tab w:val="left" w:leader="dot" w:pos="2835"/>
              </w:tabs>
            </w:pPr>
            <w:r w:rsidRPr="0071655A">
              <w:rPr>
                <w:rtl/>
              </w:rPr>
              <w:t>فرنسا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5 يناير 2010</w:t>
            </w:r>
          </w:p>
        </w:tc>
      </w:tr>
      <w:tr w:rsidR="009B7BE2" w:rsidRPr="0071655A" w:rsidTr="009B7BE2">
        <w:tc>
          <w:tcPr>
            <w:tcW w:w="2024" w:type="pct"/>
          </w:tcPr>
          <w:p w:rsidR="009B7BE2" w:rsidRPr="0071655A" w:rsidRDefault="009B7BE2" w:rsidP="009B7BE2">
            <w:pPr>
              <w:tabs>
                <w:tab w:val="left" w:leader="dot" w:pos="2835"/>
              </w:tabs>
            </w:pPr>
            <w:r w:rsidRPr="0071655A">
              <w:rPr>
                <w:rtl/>
              </w:rPr>
              <w:t>هنغاريا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12 مارس 2008</w:t>
            </w:r>
          </w:p>
        </w:tc>
      </w:tr>
      <w:tr w:rsidR="009B7BE2" w:rsidRPr="0071655A" w:rsidTr="009B7BE2">
        <w:tc>
          <w:tcPr>
            <w:tcW w:w="2024" w:type="pct"/>
          </w:tcPr>
          <w:p w:rsidR="009B7BE2" w:rsidRPr="0071655A" w:rsidRDefault="009B7BE2" w:rsidP="009B7BE2">
            <w:pPr>
              <w:tabs>
                <w:tab w:val="left" w:leader="dot" w:pos="2835"/>
              </w:tabs>
            </w:pPr>
            <w:r w:rsidRPr="0071655A">
              <w:rPr>
                <w:rtl/>
              </w:rPr>
              <w:t>آيرلندا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27 مايو 2012</w:t>
            </w:r>
          </w:p>
        </w:tc>
      </w:tr>
      <w:tr w:rsidR="009B7BE2" w:rsidRPr="0071655A" w:rsidTr="009B7BE2">
        <w:tc>
          <w:tcPr>
            <w:tcW w:w="2024" w:type="pct"/>
          </w:tcPr>
          <w:p w:rsidR="009B7BE2" w:rsidRPr="0071655A" w:rsidRDefault="009B7BE2" w:rsidP="009B7BE2">
            <w:pPr>
              <w:tabs>
                <w:tab w:val="left" w:leader="dot" w:pos="2835"/>
              </w:tabs>
            </w:pPr>
            <w:r w:rsidRPr="0071655A">
              <w:rPr>
                <w:rtl/>
              </w:rPr>
              <w:t>اليابان</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11 يونيو 2016</w:t>
            </w:r>
          </w:p>
        </w:tc>
      </w:tr>
      <w:tr w:rsidR="009B7BE2" w:rsidRPr="0071655A" w:rsidTr="009B7BE2">
        <w:tc>
          <w:tcPr>
            <w:tcW w:w="2024" w:type="pct"/>
          </w:tcPr>
          <w:p w:rsidR="009B7BE2" w:rsidRPr="0071655A" w:rsidRDefault="009B7BE2" w:rsidP="009B7BE2">
            <w:pPr>
              <w:tabs>
                <w:tab w:val="left" w:leader="dot" w:pos="2835"/>
              </w:tabs>
            </w:pPr>
            <w:r w:rsidRPr="0071655A">
              <w:rPr>
                <w:rtl/>
              </w:rPr>
              <w:t>كازاخستان</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19 أكتوبر 2011</w:t>
            </w:r>
          </w:p>
        </w:tc>
      </w:tr>
      <w:tr w:rsidR="009B7BE2" w:rsidRPr="0071655A" w:rsidTr="009B7BE2">
        <w:tc>
          <w:tcPr>
            <w:tcW w:w="2024" w:type="pct"/>
          </w:tcPr>
          <w:p w:rsidR="009B7BE2" w:rsidRPr="0071655A" w:rsidRDefault="009B7BE2" w:rsidP="009B7BE2">
            <w:pPr>
              <w:tabs>
                <w:tab w:val="left" w:leader="dot" w:pos="2835"/>
              </w:tabs>
            </w:pPr>
            <w:r w:rsidRPr="0071655A">
              <w:rPr>
                <w:rtl/>
              </w:rPr>
              <w:t>قيرغيزستان</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28 أبريل 2005</w:t>
            </w:r>
          </w:p>
        </w:tc>
      </w:tr>
      <w:tr w:rsidR="009B7BE2" w:rsidRPr="0071655A" w:rsidTr="009B7BE2">
        <w:tc>
          <w:tcPr>
            <w:tcW w:w="2024" w:type="pct"/>
          </w:tcPr>
          <w:p w:rsidR="009B7BE2" w:rsidRPr="0071655A" w:rsidRDefault="009B7BE2" w:rsidP="009B7BE2">
            <w:pPr>
              <w:tabs>
                <w:tab w:val="left" w:leader="dot" w:pos="2835"/>
              </w:tabs>
            </w:pPr>
            <w:r w:rsidRPr="0071655A">
              <w:rPr>
                <w:rtl/>
              </w:rPr>
              <w:t>لاتفيا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12 يونيو 2010</w:t>
            </w:r>
          </w:p>
        </w:tc>
      </w:tr>
      <w:tr w:rsidR="009B7BE2" w:rsidRPr="0071655A" w:rsidTr="009B7BE2">
        <w:tc>
          <w:tcPr>
            <w:tcW w:w="2024" w:type="pct"/>
          </w:tcPr>
          <w:p w:rsidR="009B7BE2" w:rsidRPr="0071655A" w:rsidRDefault="009B7BE2" w:rsidP="009B7BE2">
            <w:pPr>
              <w:tabs>
                <w:tab w:val="left" w:leader="dot" w:pos="2835"/>
              </w:tabs>
            </w:pPr>
            <w:r w:rsidRPr="0071655A">
              <w:rPr>
                <w:rtl/>
              </w:rPr>
              <w:t>ليبيريا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4 يناير 2017</w:t>
            </w:r>
          </w:p>
        </w:tc>
      </w:tr>
      <w:tr w:rsidR="009B7BE2" w:rsidRPr="0071655A" w:rsidTr="009B7BE2">
        <w:tc>
          <w:tcPr>
            <w:tcW w:w="2024" w:type="pct"/>
          </w:tcPr>
          <w:p w:rsidR="009B7BE2" w:rsidRPr="0071655A" w:rsidRDefault="009B7BE2" w:rsidP="009B7BE2">
            <w:pPr>
              <w:tabs>
                <w:tab w:val="left" w:leader="dot" w:pos="2835"/>
              </w:tabs>
            </w:pPr>
            <w:r w:rsidRPr="0071655A">
              <w:rPr>
                <w:rtl/>
              </w:rPr>
              <w:t>ليختنشتاين</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18 ديسمبر 2009</w:t>
            </w:r>
          </w:p>
        </w:tc>
      </w:tr>
      <w:tr w:rsidR="009B7BE2" w:rsidRPr="0071655A" w:rsidTr="009B7BE2">
        <w:tc>
          <w:tcPr>
            <w:tcW w:w="2024" w:type="pct"/>
          </w:tcPr>
          <w:p w:rsidR="009B7BE2" w:rsidRPr="0071655A" w:rsidRDefault="009B7BE2" w:rsidP="009B7BE2">
            <w:pPr>
              <w:tabs>
                <w:tab w:val="left" w:leader="dot" w:pos="2835"/>
              </w:tabs>
            </w:pPr>
            <w:r w:rsidRPr="0071655A">
              <w:rPr>
                <w:rtl/>
              </w:rPr>
              <w:t>ليتوانيا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3 فبراير 2012</w:t>
            </w:r>
          </w:p>
        </w:tc>
      </w:tr>
      <w:tr w:rsidR="009B7BE2" w:rsidRPr="0071655A" w:rsidTr="009B7BE2">
        <w:tc>
          <w:tcPr>
            <w:tcW w:w="2024" w:type="pct"/>
          </w:tcPr>
          <w:p w:rsidR="009B7BE2" w:rsidRPr="0071655A" w:rsidRDefault="009B7BE2" w:rsidP="009B7BE2">
            <w:pPr>
              <w:tabs>
                <w:tab w:val="left" w:leader="dot" w:pos="2835"/>
              </w:tabs>
            </w:pPr>
            <w:r w:rsidRPr="0071655A">
              <w:rPr>
                <w:rtl/>
              </w:rPr>
              <w:t>الجبل الأسود</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9 مارس 2012</w:t>
            </w:r>
          </w:p>
        </w:tc>
      </w:tr>
      <w:tr w:rsidR="009B7BE2" w:rsidRPr="0071655A" w:rsidTr="009B7BE2">
        <w:tc>
          <w:tcPr>
            <w:tcW w:w="2024" w:type="pct"/>
          </w:tcPr>
          <w:p w:rsidR="009B7BE2" w:rsidRPr="0071655A" w:rsidRDefault="009B7BE2" w:rsidP="009B7BE2">
            <w:pPr>
              <w:tabs>
                <w:tab w:val="left" w:leader="dot" w:pos="2835"/>
              </w:tabs>
            </w:pPr>
            <w:r w:rsidRPr="0071655A">
              <w:rPr>
                <w:rtl/>
              </w:rPr>
              <w:t>هولندا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27 ديسمبر 2010</w:t>
            </w:r>
          </w:p>
        </w:tc>
      </w:tr>
      <w:tr w:rsidR="009B7BE2" w:rsidRPr="0071655A" w:rsidTr="009B7BE2">
        <w:tc>
          <w:tcPr>
            <w:tcW w:w="2024" w:type="pct"/>
          </w:tcPr>
          <w:p w:rsidR="009B7BE2" w:rsidRPr="0071655A" w:rsidRDefault="009B7BE2" w:rsidP="009B7BE2">
            <w:pPr>
              <w:tabs>
                <w:tab w:val="left" w:leader="dot" w:pos="2835"/>
              </w:tabs>
            </w:pPr>
            <w:r w:rsidRPr="0071655A">
              <w:rPr>
                <w:rtl/>
              </w:rPr>
              <w:lastRenderedPageBreak/>
              <w:t>نيجيريا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28 أبريل 2005</w:t>
            </w:r>
          </w:p>
        </w:tc>
      </w:tr>
      <w:tr w:rsidR="009B7BE2" w:rsidRPr="0071655A" w:rsidTr="009B7BE2">
        <w:tc>
          <w:tcPr>
            <w:tcW w:w="2024" w:type="pct"/>
          </w:tcPr>
          <w:p w:rsidR="009B7BE2" w:rsidRPr="0071655A" w:rsidRDefault="009B7BE2" w:rsidP="009B7BE2">
            <w:pPr>
              <w:tabs>
                <w:tab w:val="left" w:leader="dot" w:pos="2835"/>
              </w:tabs>
            </w:pPr>
            <w:r w:rsidRPr="0071655A">
              <w:rPr>
                <w:rtl/>
              </w:rPr>
              <w:t>مقدونيا الشمالية</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22 أبريل 2010</w:t>
            </w:r>
          </w:p>
        </w:tc>
      </w:tr>
      <w:tr w:rsidR="009B7BE2" w:rsidRPr="0071655A" w:rsidTr="009B7BE2">
        <w:tc>
          <w:tcPr>
            <w:tcW w:w="2024" w:type="pct"/>
          </w:tcPr>
          <w:p w:rsidR="009B7BE2" w:rsidRPr="0071655A" w:rsidRDefault="009B7BE2" w:rsidP="009B7BE2">
            <w:pPr>
              <w:tabs>
                <w:tab w:val="left" w:leader="dot" w:pos="2835"/>
              </w:tabs>
            </w:pPr>
            <w:r w:rsidRPr="0071655A">
              <w:rPr>
                <w:rtl/>
              </w:rPr>
              <w:t>عمان</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16 أكتوبر 2007</w:t>
            </w:r>
          </w:p>
        </w:tc>
      </w:tr>
      <w:tr w:rsidR="009B7BE2" w:rsidRPr="0071655A" w:rsidTr="009B7BE2">
        <w:tc>
          <w:tcPr>
            <w:tcW w:w="2024" w:type="pct"/>
          </w:tcPr>
          <w:p w:rsidR="009B7BE2" w:rsidRPr="0071655A" w:rsidRDefault="009B7BE2" w:rsidP="009B7BE2">
            <w:pPr>
              <w:tabs>
                <w:tab w:val="left" w:leader="dot" w:pos="2835"/>
              </w:tabs>
            </w:pPr>
            <w:r w:rsidRPr="0071655A">
              <w:rPr>
                <w:rtl/>
              </w:rPr>
              <w:t>جمهورية مولدوفا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28 أبريل 2005</w:t>
            </w:r>
          </w:p>
        </w:tc>
      </w:tr>
      <w:tr w:rsidR="009B7BE2" w:rsidRPr="0071655A" w:rsidTr="009B7BE2">
        <w:tc>
          <w:tcPr>
            <w:tcW w:w="2024" w:type="pct"/>
          </w:tcPr>
          <w:p w:rsidR="009B7BE2" w:rsidRPr="0071655A" w:rsidRDefault="009B7BE2" w:rsidP="009B7BE2">
            <w:pPr>
              <w:tabs>
                <w:tab w:val="left" w:leader="dot" w:pos="2835"/>
              </w:tabs>
            </w:pPr>
            <w:r w:rsidRPr="0071655A">
              <w:rPr>
                <w:rtl/>
              </w:rPr>
              <w:t>رومانيا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28 أبريل 2005</w:t>
            </w:r>
          </w:p>
        </w:tc>
      </w:tr>
      <w:tr w:rsidR="009B7BE2" w:rsidRPr="0071655A" w:rsidTr="009B7BE2">
        <w:tc>
          <w:tcPr>
            <w:tcW w:w="2024" w:type="pct"/>
          </w:tcPr>
          <w:p w:rsidR="009B7BE2" w:rsidRPr="0071655A" w:rsidRDefault="009B7BE2" w:rsidP="009B7BE2">
            <w:pPr>
              <w:tabs>
                <w:tab w:val="left" w:leader="dot" w:pos="2835"/>
              </w:tabs>
            </w:pPr>
            <w:r w:rsidRPr="0071655A">
              <w:rPr>
                <w:rtl/>
              </w:rPr>
              <w:t>الاتحاد الروسي</w:t>
            </w:r>
            <w:r w:rsidRPr="0071655A">
              <w:rPr>
                <w:rStyle w:val="FootnoteReference"/>
                <w:rtl/>
              </w:rPr>
              <w:footnoteReference w:id="6"/>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12 أغسطس 2009</w:t>
            </w:r>
          </w:p>
        </w:tc>
      </w:tr>
      <w:tr w:rsidR="009B7BE2" w:rsidRPr="0071655A" w:rsidTr="009B7BE2">
        <w:tc>
          <w:tcPr>
            <w:tcW w:w="2024" w:type="pct"/>
          </w:tcPr>
          <w:p w:rsidR="009B7BE2" w:rsidRPr="0071655A" w:rsidRDefault="009B7BE2" w:rsidP="009B7BE2">
            <w:pPr>
              <w:tabs>
                <w:tab w:val="left" w:leader="dot" w:pos="2835"/>
              </w:tabs>
            </w:pPr>
            <w:r w:rsidRPr="0071655A">
              <w:rPr>
                <w:rtl/>
              </w:rPr>
              <w:t>المملكة العربية السعودية</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3 أغسطس 2013</w:t>
            </w:r>
          </w:p>
        </w:tc>
      </w:tr>
      <w:tr w:rsidR="009B7BE2" w:rsidRPr="0071655A" w:rsidTr="009B7BE2">
        <w:tc>
          <w:tcPr>
            <w:tcW w:w="2024" w:type="pct"/>
          </w:tcPr>
          <w:p w:rsidR="009B7BE2" w:rsidRPr="0071655A" w:rsidRDefault="009B7BE2" w:rsidP="009B7BE2">
            <w:pPr>
              <w:tabs>
                <w:tab w:val="left" w:leader="dot" w:pos="2835"/>
              </w:tabs>
            </w:pPr>
            <w:r w:rsidRPr="0071655A">
              <w:rPr>
                <w:rtl/>
              </w:rPr>
              <w:t>صربيا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20 أغسطس 2010</w:t>
            </w:r>
          </w:p>
        </w:tc>
      </w:tr>
      <w:tr w:rsidR="009B7BE2" w:rsidRPr="0071655A" w:rsidTr="009B7BE2">
        <w:tc>
          <w:tcPr>
            <w:tcW w:w="2024" w:type="pct"/>
          </w:tcPr>
          <w:p w:rsidR="009B7BE2" w:rsidRPr="0071655A" w:rsidRDefault="009B7BE2" w:rsidP="009B7BE2">
            <w:pPr>
              <w:tabs>
                <w:tab w:val="left" w:leader="dot" w:pos="2835"/>
              </w:tabs>
            </w:pPr>
            <w:r w:rsidRPr="0071655A">
              <w:rPr>
                <w:rtl/>
              </w:rPr>
              <w:t>سلوفاكيا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28 أبريل 2005</w:t>
            </w:r>
          </w:p>
        </w:tc>
      </w:tr>
      <w:tr w:rsidR="009B7BE2" w:rsidRPr="0071655A" w:rsidTr="009B7BE2">
        <w:tc>
          <w:tcPr>
            <w:tcW w:w="2024" w:type="pct"/>
          </w:tcPr>
          <w:p w:rsidR="009B7BE2" w:rsidRPr="0071655A" w:rsidRDefault="009B7BE2" w:rsidP="009B7BE2">
            <w:pPr>
              <w:tabs>
                <w:tab w:val="left" w:leader="dot" w:pos="2835"/>
              </w:tabs>
            </w:pPr>
            <w:r w:rsidRPr="0071655A">
              <w:rPr>
                <w:rtl/>
              </w:rPr>
              <w:t>سلوفينيا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28 أبريل 2005</w:t>
            </w:r>
          </w:p>
        </w:tc>
      </w:tr>
      <w:tr w:rsidR="009B7BE2" w:rsidRPr="0071655A" w:rsidTr="009B7BE2">
        <w:tc>
          <w:tcPr>
            <w:tcW w:w="2024" w:type="pct"/>
          </w:tcPr>
          <w:p w:rsidR="009B7BE2" w:rsidRPr="0071655A" w:rsidRDefault="009B7BE2" w:rsidP="009B7BE2">
            <w:pPr>
              <w:tabs>
                <w:tab w:val="left" w:leader="dot" w:pos="2835"/>
              </w:tabs>
            </w:pPr>
            <w:r w:rsidRPr="0071655A">
              <w:rPr>
                <w:rtl/>
              </w:rPr>
              <w:t>إسبانيا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6 نوفمبر 2013</w:t>
            </w:r>
          </w:p>
        </w:tc>
      </w:tr>
      <w:tr w:rsidR="009B7BE2" w:rsidRPr="0071655A" w:rsidTr="009B7BE2">
        <w:tc>
          <w:tcPr>
            <w:tcW w:w="2024" w:type="pct"/>
          </w:tcPr>
          <w:p w:rsidR="009B7BE2" w:rsidRPr="0071655A" w:rsidRDefault="009B7BE2" w:rsidP="009B7BE2">
            <w:pPr>
              <w:tabs>
                <w:tab w:val="left" w:leader="dot" w:pos="2835"/>
              </w:tabs>
            </w:pPr>
            <w:r w:rsidRPr="0071655A">
              <w:rPr>
                <w:rtl/>
              </w:rPr>
              <w:t>السويد</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27 ديسمبر 2007</w:t>
            </w:r>
          </w:p>
        </w:tc>
      </w:tr>
      <w:tr w:rsidR="009B7BE2" w:rsidRPr="0071655A" w:rsidTr="009B7BE2">
        <w:tc>
          <w:tcPr>
            <w:tcW w:w="2024" w:type="pct"/>
          </w:tcPr>
          <w:p w:rsidR="009B7BE2" w:rsidRPr="0071655A" w:rsidRDefault="009B7BE2" w:rsidP="009B7BE2">
            <w:pPr>
              <w:tabs>
                <w:tab w:val="left" w:leader="dot" w:pos="2835"/>
              </w:tabs>
            </w:pPr>
            <w:r w:rsidRPr="0071655A">
              <w:rPr>
                <w:rtl/>
              </w:rPr>
              <w:t>سويسرا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1 يوليو 2008</w:t>
            </w:r>
          </w:p>
        </w:tc>
      </w:tr>
      <w:tr w:rsidR="009B7BE2" w:rsidRPr="0071655A" w:rsidTr="009B7BE2">
        <w:tc>
          <w:tcPr>
            <w:tcW w:w="2024" w:type="pct"/>
          </w:tcPr>
          <w:p w:rsidR="009B7BE2" w:rsidRPr="0071655A" w:rsidRDefault="009B7BE2" w:rsidP="009B7BE2">
            <w:pPr>
              <w:tabs>
                <w:tab w:val="left" w:leader="dot" w:pos="2835"/>
              </w:tabs>
            </w:pPr>
            <w:r w:rsidRPr="0071655A">
              <w:rPr>
                <w:rtl/>
              </w:rPr>
              <w:t>أوكرانيا</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28 أبريل 2005</w:t>
            </w:r>
          </w:p>
        </w:tc>
      </w:tr>
      <w:tr w:rsidR="009B7BE2" w:rsidRPr="0071655A" w:rsidTr="009B7BE2">
        <w:tc>
          <w:tcPr>
            <w:tcW w:w="2024" w:type="pct"/>
          </w:tcPr>
          <w:p w:rsidR="009B7BE2" w:rsidRPr="0071655A" w:rsidRDefault="009B7BE2" w:rsidP="009B7BE2">
            <w:pPr>
              <w:tabs>
                <w:tab w:val="left" w:leader="dot" w:pos="2835"/>
              </w:tabs>
            </w:pPr>
            <w:r w:rsidRPr="0071655A">
              <w:rPr>
                <w:rtl/>
              </w:rPr>
              <w:t>المملكة المتحدة</w:t>
            </w:r>
            <w:r w:rsidRPr="0071655A">
              <w:rPr>
                <w:rStyle w:val="FootnoteReference"/>
                <w:rtl/>
              </w:rPr>
              <w:footnoteReference w:id="7"/>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22 مارس 2006</w:t>
            </w:r>
          </w:p>
        </w:tc>
      </w:tr>
      <w:tr w:rsidR="009B7BE2" w:rsidRPr="0071655A" w:rsidTr="009B7BE2">
        <w:tc>
          <w:tcPr>
            <w:tcW w:w="2024" w:type="pct"/>
          </w:tcPr>
          <w:p w:rsidR="009B7BE2" w:rsidRPr="0071655A" w:rsidRDefault="009B7BE2" w:rsidP="009B7BE2">
            <w:pPr>
              <w:tabs>
                <w:tab w:val="left" w:leader="dot" w:pos="2835"/>
              </w:tabs>
            </w:pPr>
            <w:r w:rsidRPr="0071655A">
              <w:rPr>
                <w:rtl/>
              </w:rPr>
              <w:t>الولايات المتحدة الأمريكية</w:t>
            </w:r>
            <w:r w:rsidRPr="0071655A">
              <w:rPr>
                <w:vertAlign w:val="superscript"/>
                <w:rtl/>
              </w:rPr>
              <w:t>2</w:t>
            </w:r>
            <w:r w:rsidRPr="0071655A">
              <w:rPr>
                <w:rtl/>
              </w:rPr>
              <w:tab/>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18 ديسمبر 2013</w:t>
            </w:r>
          </w:p>
        </w:tc>
      </w:tr>
      <w:tr w:rsidR="009B7BE2" w:rsidRPr="0071655A" w:rsidTr="009B7BE2">
        <w:tc>
          <w:tcPr>
            <w:tcW w:w="2024" w:type="pct"/>
          </w:tcPr>
          <w:p w:rsidR="009B7BE2" w:rsidRPr="0071655A" w:rsidRDefault="009B7BE2" w:rsidP="009B7BE2">
            <w:pPr>
              <w:tabs>
                <w:tab w:val="left" w:leader="dot" w:pos="2835"/>
              </w:tabs>
            </w:pPr>
            <w:r w:rsidRPr="0071655A">
              <w:rPr>
                <w:rtl/>
              </w:rPr>
              <w:t>أوزبكستان</w:t>
            </w:r>
            <w:r w:rsidRPr="0071655A">
              <w:rPr>
                <w:rtl/>
              </w:rPr>
              <w:tab/>
            </w:r>
          </w:p>
        </w:tc>
        <w:tc>
          <w:tcPr>
            <w:tcW w:w="2976" w:type="pct"/>
            <w:shd w:val="clear" w:color="auto" w:fill="auto"/>
          </w:tcPr>
          <w:p w:rsidR="009B7BE2" w:rsidRPr="0071655A" w:rsidRDefault="00D71B81" w:rsidP="009B7BE2">
            <w:pPr>
              <w:tabs>
                <w:tab w:val="left" w:leader="dot" w:pos="2835"/>
              </w:tabs>
            </w:pPr>
            <w:r w:rsidRPr="0071655A">
              <w:rPr>
                <w:rtl/>
                <w:lang w:bidi="ar-EG"/>
              </w:rPr>
              <w:t>19 يوليو 2006</w:t>
            </w:r>
          </w:p>
        </w:tc>
      </w:tr>
      <w:tr w:rsidR="009B7BE2" w:rsidRPr="0071655A" w:rsidTr="009B7BE2">
        <w:tc>
          <w:tcPr>
            <w:tcW w:w="2024" w:type="pct"/>
          </w:tcPr>
          <w:p w:rsidR="009B7BE2" w:rsidRPr="0071655A" w:rsidRDefault="009B7BE2" w:rsidP="009B7BE2">
            <w:pPr>
              <w:tabs>
                <w:tab w:val="left" w:leader="dot" w:pos="2835"/>
              </w:tabs>
            </w:pPr>
          </w:p>
        </w:tc>
        <w:tc>
          <w:tcPr>
            <w:tcW w:w="2976" w:type="pct"/>
            <w:shd w:val="clear" w:color="auto" w:fill="auto"/>
          </w:tcPr>
          <w:p w:rsidR="009B7BE2" w:rsidRPr="0071655A" w:rsidRDefault="009B7BE2" w:rsidP="009B7BE2">
            <w:pPr>
              <w:tabs>
                <w:tab w:val="left" w:leader="dot" w:pos="2835"/>
              </w:tabs>
            </w:pPr>
          </w:p>
        </w:tc>
      </w:tr>
      <w:tr w:rsidR="009B7BE2" w:rsidRPr="0071655A" w:rsidTr="009B7BE2">
        <w:tc>
          <w:tcPr>
            <w:tcW w:w="2024" w:type="pct"/>
          </w:tcPr>
          <w:p w:rsidR="009B7BE2" w:rsidRPr="0071655A" w:rsidRDefault="009B7BE2" w:rsidP="009B7BE2">
            <w:pPr>
              <w:tabs>
                <w:tab w:val="left" w:leader="dot" w:pos="2835"/>
              </w:tabs>
            </w:pPr>
          </w:p>
        </w:tc>
        <w:tc>
          <w:tcPr>
            <w:tcW w:w="2976" w:type="pct"/>
            <w:shd w:val="clear" w:color="auto" w:fill="auto"/>
          </w:tcPr>
          <w:p w:rsidR="009B7BE2" w:rsidRPr="0071655A" w:rsidRDefault="009B7BE2" w:rsidP="009B7BE2">
            <w:pPr>
              <w:tabs>
                <w:tab w:val="left" w:leader="dot" w:pos="2835"/>
              </w:tabs>
            </w:pPr>
          </w:p>
        </w:tc>
      </w:tr>
    </w:tbl>
    <w:p w:rsidR="00E24FA7" w:rsidRDefault="00042B52" w:rsidP="00042B52">
      <w:pPr>
        <w:pStyle w:val="BodyText"/>
        <w:rPr>
          <w:shd w:val="clear" w:color="auto" w:fill="FFFFFF"/>
        </w:rPr>
      </w:pPr>
      <w:r>
        <w:rPr>
          <w:rFonts w:hint="cs"/>
          <w:shd w:val="clear" w:color="auto" w:fill="FFFFFF"/>
          <w:rtl/>
        </w:rPr>
        <w:t>(المجموع: 41 دولة)</w:t>
      </w:r>
    </w:p>
    <w:p w:rsidR="00E24FA7" w:rsidRPr="006919FD" w:rsidRDefault="00042B52" w:rsidP="009B7BE2">
      <w:pPr>
        <w:pStyle w:val="Endofdocument-Annex"/>
      </w:pPr>
      <w:r>
        <w:rPr>
          <w:rFonts w:hint="cs"/>
          <w:rtl/>
        </w:rPr>
        <w:t>[نهاية المرفق الثاني والوثيقة]</w:t>
      </w:r>
    </w:p>
    <w:p w:rsidR="00F85E5F" w:rsidRPr="00C41AE0" w:rsidRDefault="00F85E5F" w:rsidP="00C41AE0">
      <w:pPr>
        <w:pStyle w:val="BodyText"/>
      </w:pPr>
    </w:p>
    <w:sectPr w:rsidR="00F85E5F" w:rsidRPr="00C41AE0" w:rsidSect="0090683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C1F" w:rsidRDefault="00AC4C1F">
      <w:r>
        <w:separator/>
      </w:r>
    </w:p>
  </w:endnote>
  <w:endnote w:type="continuationSeparator" w:id="0">
    <w:p w:rsidR="00AC4C1F" w:rsidRDefault="00AC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5B" w:rsidRDefault="003D225B" w:rsidP="003D2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5B" w:rsidRDefault="003D2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5B" w:rsidRDefault="003D22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5B" w:rsidRDefault="003D225B" w:rsidP="003D22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5B" w:rsidRDefault="003D22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5B" w:rsidRDefault="003D225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5B" w:rsidRDefault="003D225B" w:rsidP="003D225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5B" w:rsidRDefault="003D225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5B" w:rsidRDefault="003D2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C1F" w:rsidRDefault="00AC4C1F" w:rsidP="009622BF">
      <w:bookmarkStart w:id="0" w:name="OLE_LINK1"/>
      <w:bookmarkStart w:id="1" w:name="OLE_LINK2"/>
      <w:r>
        <w:separator/>
      </w:r>
      <w:bookmarkEnd w:id="0"/>
      <w:bookmarkEnd w:id="1"/>
    </w:p>
  </w:footnote>
  <w:footnote w:type="continuationSeparator" w:id="0">
    <w:p w:rsidR="00AC4C1F" w:rsidRDefault="00AC4C1F" w:rsidP="009622BF">
      <w:r>
        <w:separator/>
      </w:r>
    </w:p>
  </w:footnote>
  <w:footnote w:type="continuationNotice" w:id="1">
    <w:p w:rsidR="00AC4C1F" w:rsidRDefault="00AC4C1F"/>
  </w:footnote>
  <w:footnote w:id="2">
    <w:p w:rsidR="00A551B1" w:rsidRDefault="00A551B1" w:rsidP="00696E77">
      <w:pPr>
        <w:pStyle w:val="FootnoteText"/>
        <w:ind w:left="567" w:hanging="567"/>
      </w:pPr>
      <w:r>
        <w:rPr>
          <w:rStyle w:val="FootnoteReference"/>
        </w:rPr>
        <w:footnoteRef/>
      </w:r>
      <w:r w:rsidR="00F44A87">
        <w:rPr>
          <w:rtl/>
        </w:rPr>
        <w:tab/>
      </w:r>
      <w:r w:rsidR="00F44A87">
        <w:rPr>
          <w:rFonts w:hint="cs"/>
          <w:rtl/>
        </w:rPr>
        <w:t>البند 4 من البيانات المتفق عليها بشأن معاهدة قانون البراءات ولائحته التنفيذية.</w:t>
      </w:r>
    </w:p>
  </w:footnote>
  <w:footnote w:id="3">
    <w:p w:rsidR="00876205" w:rsidRDefault="00876205" w:rsidP="00696E77">
      <w:pPr>
        <w:pStyle w:val="FootnoteText"/>
        <w:ind w:left="567" w:hanging="567"/>
      </w:pPr>
      <w:r>
        <w:rPr>
          <w:rStyle w:val="FootnoteReference"/>
        </w:rPr>
        <w:footnoteRef/>
      </w:r>
      <w:r>
        <w:rPr>
          <w:rtl/>
        </w:rPr>
        <w:tab/>
      </w:r>
      <w:r>
        <w:rPr>
          <w:rFonts w:hint="cs"/>
          <w:rtl/>
        </w:rPr>
        <w:t>قدِّمت خدمات المساعدة التقنية والتعاون إلى الدول الأطراف في المعاهدة وغير الأطراف فيها بعد بغض النظر عن شروعها في عملية الانضمام إلى المعاهدة أو التصديق عليها.</w:t>
      </w:r>
    </w:p>
  </w:footnote>
  <w:footnote w:id="4">
    <w:p w:rsidR="007515A3" w:rsidRDefault="007515A3" w:rsidP="00696E77">
      <w:pPr>
        <w:pStyle w:val="FootnoteText"/>
        <w:ind w:left="567" w:hanging="567"/>
      </w:pPr>
      <w:r>
        <w:rPr>
          <w:rStyle w:val="FootnoteReference"/>
        </w:rPr>
        <w:footnoteRef/>
      </w:r>
      <w:r w:rsidR="009B7BE2">
        <w:rPr>
          <w:rtl/>
        </w:rPr>
        <w:tab/>
      </w:r>
      <w:r>
        <w:rPr>
          <w:rFonts w:hint="cs"/>
          <w:rtl/>
        </w:rPr>
        <w:t>انظر بخاصة التوصيتين 10 و24 من أجندة الويبو للتنمية.</w:t>
      </w:r>
    </w:p>
  </w:footnote>
  <w:footnote w:id="5">
    <w:p w:rsidR="00327221" w:rsidRDefault="00327221" w:rsidP="00696E77">
      <w:pPr>
        <w:pStyle w:val="FootnoteText"/>
        <w:ind w:left="567" w:hanging="567"/>
        <w:rPr>
          <w:rtl/>
        </w:rPr>
      </w:pPr>
      <w:r>
        <w:rPr>
          <w:rStyle w:val="FootnoteReference"/>
        </w:rPr>
        <w:footnoteRef/>
      </w:r>
      <w:r>
        <w:tab/>
      </w:r>
      <w:r>
        <w:rPr>
          <w:rFonts w:hint="cs"/>
          <w:rtl/>
        </w:rPr>
        <w:t>دخلت حيز النفاذ في 28 أبريل 2005.</w:t>
      </w:r>
    </w:p>
  </w:footnote>
  <w:footnote w:id="6">
    <w:p w:rsidR="009B7BE2" w:rsidRPr="00D333A9" w:rsidRDefault="009B7BE2" w:rsidP="00696E77">
      <w:pPr>
        <w:pStyle w:val="FootnoteText"/>
        <w:ind w:left="567" w:hanging="567"/>
        <w:rPr>
          <w:rtl/>
        </w:rPr>
      </w:pPr>
      <w:r>
        <w:rPr>
          <w:rStyle w:val="FootnoteReference"/>
        </w:rPr>
        <w:footnoteRef/>
      </w:r>
      <w:r>
        <w:rPr>
          <w:rtl/>
        </w:rPr>
        <w:tab/>
      </w:r>
      <w:r>
        <w:rPr>
          <w:rFonts w:hint="cs"/>
          <w:rtl/>
        </w:rPr>
        <w:t>مع التحفظ على المادة 23(1).</w:t>
      </w:r>
    </w:p>
  </w:footnote>
  <w:footnote w:id="7">
    <w:p w:rsidR="009B7BE2" w:rsidRPr="009B7BE2" w:rsidRDefault="009B7BE2" w:rsidP="00696E77">
      <w:pPr>
        <w:pStyle w:val="FootnoteText"/>
        <w:ind w:left="567" w:hanging="567"/>
        <w:rPr>
          <w:rtl/>
        </w:rPr>
      </w:pPr>
      <w:r>
        <w:rPr>
          <w:rStyle w:val="FootnoteReference"/>
        </w:rPr>
        <w:footnoteRef/>
      </w:r>
      <w:r>
        <w:rPr>
          <w:rtl/>
        </w:rPr>
        <w:tab/>
      </w:r>
      <w:r>
        <w:rPr>
          <w:rFonts w:hint="cs"/>
          <w:rtl/>
        </w:rPr>
        <w:t xml:space="preserve">التصديق يشمل </w:t>
      </w:r>
      <w:r w:rsidRPr="009B7BE2">
        <w:rPr>
          <w:rtl/>
        </w:rPr>
        <w:t>المملكة المتحدة لبريطانيا العظمى وإيرلندا الشمالية</w:t>
      </w:r>
      <w:r>
        <w:rPr>
          <w:rFonts w:hint="cs"/>
          <w:rtl/>
        </w:rPr>
        <w:t xml:space="preserve"> وجزيرة مان.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5B" w:rsidRDefault="003D225B" w:rsidP="003D225B">
    <w:pPr>
      <w:pStyle w:val="Header"/>
      <w:bidi w:val="0"/>
      <w:rPr>
        <w:rFonts w:asciiTheme="minorBidi" w:hAnsiTheme="minorBidi" w:cstheme="minorBidi"/>
        <w:sz w:val="22"/>
        <w:szCs w:val="22"/>
      </w:rPr>
    </w:pPr>
    <w:r w:rsidRPr="00190214">
      <w:rPr>
        <w:rFonts w:asciiTheme="minorBidi" w:hAnsiTheme="minorBidi" w:cstheme="minorBidi"/>
        <w:sz w:val="22"/>
        <w:szCs w:val="22"/>
      </w:rPr>
      <w:t>WO/GA/51/16</w:t>
    </w:r>
  </w:p>
  <w:p w:rsidR="003D225B" w:rsidRPr="00190214" w:rsidRDefault="003D225B" w:rsidP="003D225B">
    <w:pPr>
      <w:pStyle w:val="Header"/>
      <w:bidi w:val="0"/>
      <w:rPr>
        <w:rFonts w:asciiTheme="minorBidi" w:hAnsiTheme="minorBidi" w:cstheme="minorBidi"/>
        <w:sz w:val="22"/>
        <w:szCs w:val="22"/>
      </w:rPr>
    </w:pPr>
    <w:sdt>
      <w:sdtPr>
        <w:rPr>
          <w:rFonts w:asciiTheme="minorBidi" w:hAnsiTheme="minorBidi" w:cstheme="minorBidi"/>
          <w:sz w:val="22"/>
          <w:szCs w:val="22"/>
        </w:rPr>
        <w:id w:val="-1538425804"/>
        <w:docPartObj>
          <w:docPartGallery w:val="Page Numbers (Top of Page)"/>
          <w:docPartUnique/>
        </w:docPartObj>
      </w:sdtPr>
      <w:sdtEndPr>
        <w:rPr>
          <w:noProof/>
        </w:rPr>
      </w:sdtEndPr>
      <w:sdtContent>
        <w:r w:rsidRPr="00190214">
          <w:rPr>
            <w:rFonts w:asciiTheme="minorBidi" w:hAnsiTheme="minorBidi" w:cstheme="minorBidi"/>
            <w:sz w:val="22"/>
            <w:szCs w:val="22"/>
          </w:rPr>
          <w:fldChar w:fldCharType="begin"/>
        </w:r>
        <w:r w:rsidRPr="00190214">
          <w:rPr>
            <w:rFonts w:asciiTheme="minorBidi" w:hAnsiTheme="minorBidi" w:cstheme="minorBidi"/>
            <w:sz w:val="22"/>
            <w:szCs w:val="22"/>
          </w:rPr>
          <w:instrText xml:space="preserve"> PAGE   \* MERGEFORMAT </w:instrText>
        </w:r>
        <w:r w:rsidRPr="00190214">
          <w:rPr>
            <w:rFonts w:asciiTheme="minorBidi" w:hAnsiTheme="minorBidi" w:cstheme="minorBidi"/>
            <w:sz w:val="22"/>
            <w:szCs w:val="22"/>
          </w:rPr>
          <w:fldChar w:fldCharType="separate"/>
        </w:r>
        <w:r>
          <w:rPr>
            <w:rFonts w:asciiTheme="minorBidi" w:hAnsiTheme="minorBidi" w:cstheme="minorBidi"/>
            <w:noProof/>
            <w:sz w:val="22"/>
            <w:szCs w:val="22"/>
          </w:rPr>
          <w:t>2</w:t>
        </w:r>
        <w:r w:rsidRPr="00190214">
          <w:rPr>
            <w:rFonts w:asciiTheme="minorBidi" w:hAnsiTheme="minorBidi" w:cstheme="minorBidi"/>
            <w:noProof/>
            <w:sz w:val="22"/>
            <w:szCs w:val="22"/>
          </w:rPr>
          <w:fldChar w:fldCharType="end"/>
        </w:r>
      </w:sdtContent>
    </w:sdt>
  </w:p>
  <w:p w:rsidR="003D225B" w:rsidRPr="00190214" w:rsidRDefault="003D225B" w:rsidP="003D225B">
    <w:pPr>
      <w:bidi w:val="0"/>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214" w:rsidRDefault="00190214" w:rsidP="00190214">
    <w:pPr>
      <w:pStyle w:val="Header"/>
      <w:bidi w:val="0"/>
      <w:rPr>
        <w:rFonts w:asciiTheme="minorBidi" w:hAnsiTheme="minorBidi" w:cstheme="minorBidi"/>
        <w:sz w:val="22"/>
        <w:szCs w:val="22"/>
      </w:rPr>
    </w:pPr>
    <w:r w:rsidRPr="00190214">
      <w:rPr>
        <w:rFonts w:asciiTheme="minorBidi" w:hAnsiTheme="minorBidi" w:cstheme="minorBidi"/>
        <w:sz w:val="22"/>
        <w:szCs w:val="22"/>
      </w:rPr>
      <w:t>WO/GA/51/16</w:t>
    </w:r>
  </w:p>
  <w:p w:rsidR="00190214" w:rsidRPr="00190214" w:rsidRDefault="001C0B13" w:rsidP="00190214">
    <w:pPr>
      <w:pStyle w:val="Header"/>
      <w:bidi w:val="0"/>
      <w:rPr>
        <w:rFonts w:asciiTheme="minorBidi" w:hAnsiTheme="minorBidi" w:cstheme="minorBidi"/>
        <w:sz w:val="22"/>
        <w:szCs w:val="22"/>
      </w:rPr>
    </w:pPr>
    <w:sdt>
      <w:sdtPr>
        <w:rPr>
          <w:rFonts w:asciiTheme="minorBidi" w:hAnsiTheme="minorBidi" w:cstheme="minorBidi"/>
          <w:sz w:val="22"/>
          <w:szCs w:val="22"/>
        </w:rPr>
        <w:id w:val="2072226298"/>
        <w:docPartObj>
          <w:docPartGallery w:val="Page Numbers (Top of Page)"/>
          <w:docPartUnique/>
        </w:docPartObj>
      </w:sdtPr>
      <w:sdtEndPr>
        <w:rPr>
          <w:noProof/>
        </w:rPr>
      </w:sdtEndPr>
      <w:sdtContent>
        <w:r w:rsidR="00190214" w:rsidRPr="00190214">
          <w:rPr>
            <w:rFonts w:asciiTheme="minorBidi" w:hAnsiTheme="minorBidi" w:cstheme="minorBidi"/>
            <w:sz w:val="22"/>
            <w:szCs w:val="22"/>
          </w:rPr>
          <w:fldChar w:fldCharType="begin"/>
        </w:r>
        <w:r w:rsidR="00190214" w:rsidRPr="00190214">
          <w:rPr>
            <w:rFonts w:asciiTheme="minorBidi" w:hAnsiTheme="minorBidi" w:cstheme="minorBidi"/>
            <w:sz w:val="22"/>
            <w:szCs w:val="22"/>
          </w:rPr>
          <w:instrText xml:space="preserve"> PAGE   \* MERGEFORMAT </w:instrText>
        </w:r>
        <w:r w:rsidR="00190214" w:rsidRPr="00190214">
          <w:rPr>
            <w:rFonts w:asciiTheme="minorBidi" w:hAnsiTheme="minorBidi" w:cstheme="minorBidi"/>
            <w:sz w:val="22"/>
            <w:szCs w:val="22"/>
          </w:rPr>
          <w:fldChar w:fldCharType="separate"/>
        </w:r>
        <w:r w:rsidR="003D225B">
          <w:rPr>
            <w:rFonts w:asciiTheme="minorBidi" w:hAnsiTheme="minorBidi" w:cstheme="minorBidi"/>
            <w:noProof/>
            <w:sz w:val="22"/>
            <w:szCs w:val="22"/>
          </w:rPr>
          <w:t>2</w:t>
        </w:r>
        <w:r w:rsidR="00190214" w:rsidRPr="00190214">
          <w:rPr>
            <w:rFonts w:asciiTheme="minorBidi" w:hAnsiTheme="minorBidi" w:cstheme="minorBidi"/>
            <w:noProof/>
            <w:sz w:val="22"/>
            <w:szCs w:val="22"/>
          </w:rPr>
          <w:fldChar w:fldCharType="end"/>
        </w:r>
      </w:sdtContent>
    </w:sdt>
  </w:p>
  <w:p w:rsidR="00E24FA7" w:rsidRPr="00190214" w:rsidRDefault="00E24FA7" w:rsidP="00190214">
    <w:pPr>
      <w:bidi w:val="0"/>
      <w:rPr>
        <w:rFonts w:asciiTheme="minorBidi" w:hAnsiTheme="minorBidi" w:cstheme="minorBid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5B" w:rsidRDefault="003D22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5B" w:rsidRDefault="003D225B" w:rsidP="003D225B">
    <w:pPr>
      <w:pStyle w:val="Header"/>
      <w:bidi w:val="0"/>
      <w:rPr>
        <w:rFonts w:asciiTheme="minorBidi" w:hAnsiTheme="minorBidi" w:cstheme="minorBidi"/>
        <w:sz w:val="22"/>
        <w:szCs w:val="22"/>
      </w:rPr>
    </w:pPr>
    <w:r w:rsidRPr="00190214">
      <w:rPr>
        <w:rFonts w:asciiTheme="minorBidi" w:hAnsiTheme="minorBidi" w:cstheme="minorBidi"/>
        <w:sz w:val="22"/>
        <w:szCs w:val="22"/>
      </w:rPr>
      <w:t>WO/GA/51/16</w:t>
    </w:r>
  </w:p>
  <w:sdt>
    <w:sdtPr>
      <w:rPr>
        <w:rFonts w:asciiTheme="minorBidi" w:hAnsiTheme="minorBidi" w:cstheme="minorBidi"/>
        <w:sz w:val="22"/>
        <w:szCs w:val="22"/>
      </w:rPr>
      <w:id w:val="-1648271281"/>
      <w:docPartObj>
        <w:docPartGallery w:val="Page Numbers (Top of Page)"/>
        <w:docPartUnique/>
      </w:docPartObj>
    </w:sdtPr>
    <w:sdtEndPr>
      <w:rPr>
        <w:noProof/>
      </w:rPr>
    </w:sdtEndPr>
    <w:sdtContent>
      <w:p w:rsidR="003D225B" w:rsidRDefault="003D225B" w:rsidP="003D225B">
        <w:pPr>
          <w:pStyle w:val="Header"/>
          <w:bidi w:val="0"/>
          <w:rPr>
            <w:rFonts w:asciiTheme="minorBidi" w:hAnsiTheme="minorBidi" w:cstheme="minorBidi"/>
            <w:sz w:val="22"/>
            <w:szCs w:val="22"/>
          </w:rPr>
        </w:pPr>
        <w:r>
          <w:rPr>
            <w:rFonts w:asciiTheme="minorBidi" w:hAnsiTheme="minorBidi" w:cstheme="minorBidi"/>
            <w:sz w:val="22"/>
            <w:szCs w:val="22"/>
          </w:rPr>
          <w:t>Annex I</w:t>
        </w:r>
      </w:p>
      <w:p w:rsidR="003D225B" w:rsidRPr="00190214" w:rsidRDefault="003D225B" w:rsidP="003D225B">
        <w:pPr>
          <w:pStyle w:val="Header"/>
          <w:bidi w:val="0"/>
          <w:rPr>
            <w:rFonts w:asciiTheme="minorBidi" w:hAnsiTheme="minorBidi" w:cstheme="minorBidi"/>
            <w:sz w:val="22"/>
            <w:szCs w:val="22"/>
          </w:rPr>
        </w:pPr>
        <w:r w:rsidRPr="00190214">
          <w:rPr>
            <w:rFonts w:asciiTheme="minorBidi" w:hAnsiTheme="minorBidi" w:cstheme="minorBidi"/>
            <w:sz w:val="22"/>
            <w:szCs w:val="22"/>
          </w:rPr>
          <w:fldChar w:fldCharType="begin"/>
        </w:r>
        <w:r w:rsidRPr="00190214">
          <w:rPr>
            <w:rFonts w:asciiTheme="minorBidi" w:hAnsiTheme="minorBidi" w:cstheme="minorBidi"/>
            <w:sz w:val="22"/>
            <w:szCs w:val="22"/>
          </w:rPr>
          <w:instrText xml:space="preserve"> PAGE   \* MERGEFORMAT </w:instrText>
        </w:r>
        <w:r w:rsidRPr="00190214">
          <w:rPr>
            <w:rFonts w:asciiTheme="minorBidi" w:hAnsiTheme="minorBidi" w:cstheme="minorBidi"/>
            <w:sz w:val="22"/>
            <w:szCs w:val="22"/>
          </w:rPr>
          <w:fldChar w:fldCharType="separate"/>
        </w:r>
        <w:r>
          <w:rPr>
            <w:rFonts w:asciiTheme="minorBidi" w:hAnsiTheme="minorBidi" w:cstheme="minorBidi"/>
            <w:noProof/>
            <w:sz w:val="22"/>
            <w:szCs w:val="22"/>
          </w:rPr>
          <w:t>4</w:t>
        </w:r>
        <w:r w:rsidRPr="00190214">
          <w:rPr>
            <w:rFonts w:asciiTheme="minorBidi" w:hAnsiTheme="minorBidi" w:cstheme="minorBidi"/>
            <w:noProof/>
            <w:sz w:val="22"/>
            <w:szCs w:val="22"/>
          </w:rPr>
          <w:fldChar w:fldCharType="end"/>
        </w:r>
      </w:p>
    </w:sdtContent>
  </w:sdt>
  <w:p w:rsidR="003D225B" w:rsidRPr="00190214" w:rsidRDefault="003D225B" w:rsidP="003D225B">
    <w:pPr>
      <w:bidi w:val="0"/>
      <w:rPr>
        <w:rFonts w:asciiTheme="minorBidi" w:hAnsiTheme="minorBidi" w:cstheme="minorBidi"/>
        <w:sz w:val="22"/>
        <w:szCs w:val="22"/>
        <w:lang w:bidi="ar-EG"/>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214" w:rsidRDefault="00190214" w:rsidP="00190214">
    <w:pPr>
      <w:pStyle w:val="Header"/>
      <w:bidi w:val="0"/>
      <w:rPr>
        <w:rFonts w:asciiTheme="minorBidi" w:hAnsiTheme="minorBidi" w:cstheme="minorBidi"/>
        <w:sz w:val="22"/>
        <w:szCs w:val="22"/>
      </w:rPr>
    </w:pPr>
    <w:r w:rsidRPr="00190214">
      <w:rPr>
        <w:rFonts w:asciiTheme="minorBidi" w:hAnsiTheme="minorBidi" w:cstheme="minorBidi"/>
        <w:sz w:val="22"/>
        <w:szCs w:val="22"/>
      </w:rPr>
      <w:t>WO/GA/51/16</w:t>
    </w:r>
  </w:p>
  <w:sdt>
    <w:sdtPr>
      <w:rPr>
        <w:rFonts w:asciiTheme="minorBidi" w:hAnsiTheme="minorBidi" w:cstheme="minorBidi"/>
        <w:sz w:val="22"/>
        <w:szCs w:val="22"/>
      </w:rPr>
      <w:id w:val="1105152734"/>
      <w:docPartObj>
        <w:docPartGallery w:val="Page Numbers (Top of Page)"/>
        <w:docPartUnique/>
      </w:docPartObj>
    </w:sdtPr>
    <w:sdtEndPr>
      <w:rPr>
        <w:noProof/>
      </w:rPr>
    </w:sdtEndPr>
    <w:sdtContent>
      <w:p w:rsidR="00190214" w:rsidRDefault="00190214" w:rsidP="00190214">
        <w:pPr>
          <w:pStyle w:val="Header"/>
          <w:bidi w:val="0"/>
          <w:rPr>
            <w:rFonts w:asciiTheme="minorBidi" w:hAnsiTheme="minorBidi" w:cstheme="minorBidi"/>
            <w:sz w:val="22"/>
            <w:szCs w:val="22"/>
          </w:rPr>
        </w:pPr>
        <w:r>
          <w:rPr>
            <w:rFonts w:asciiTheme="minorBidi" w:hAnsiTheme="minorBidi" w:cstheme="minorBidi"/>
            <w:sz w:val="22"/>
            <w:szCs w:val="22"/>
          </w:rPr>
          <w:t>Annex I</w:t>
        </w:r>
      </w:p>
      <w:p w:rsidR="00190214" w:rsidRPr="00190214" w:rsidRDefault="00190214" w:rsidP="00190214">
        <w:pPr>
          <w:pStyle w:val="Header"/>
          <w:bidi w:val="0"/>
          <w:rPr>
            <w:rFonts w:asciiTheme="minorBidi" w:hAnsiTheme="minorBidi" w:cstheme="minorBidi"/>
            <w:sz w:val="22"/>
            <w:szCs w:val="22"/>
          </w:rPr>
        </w:pPr>
        <w:r w:rsidRPr="00190214">
          <w:rPr>
            <w:rFonts w:asciiTheme="minorBidi" w:hAnsiTheme="minorBidi" w:cstheme="minorBidi"/>
            <w:sz w:val="22"/>
            <w:szCs w:val="22"/>
          </w:rPr>
          <w:fldChar w:fldCharType="begin"/>
        </w:r>
        <w:r w:rsidRPr="00190214">
          <w:rPr>
            <w:rFonts w:asciiTheme="minorBidi" w:hAnsiTheme="minorBidi" w:cstheme="minorBidi"/>
            <w:sz w:val="22"/>
            <w:szCs w:val="22"/>
          </w:rPr>
          <w:instrText xml:space="preserve"> PAGE   \* MERGEFORMAT </w:instrText>
        </w:r>
        <w:r w:rsidRPr="00190214">
          <w:rPr>
            <w:rFonts w:asciiTheme="minorBidi" w:hAnsiTheme="minorBidi" w:cstheme="minorBidi"/>
            <w:sz w:val="22"/>
            <w:szCs w:val="22"/>
          </w:rPr>
          <w:fldChar w:fldCharType="separate"/>
        </w:r>
        <w:r w:rsidR="003D225B">
          <w:rPr>
            <w:rFonts w:asciiTheme="minorBidi" w:hAnsiTheme="minorBidi" w:cstheme="minorBidi"/>
            <w:noProof/>
            <w:sz w:val="22"/>
            <w:szCs w:val="22"/>
          </w:rPr>
          <w:t>3</w:t>
        </w:r>
        <w:r w:rsidRPr="00190214">
          <w:rPr>
            <w:rFonts w:asciiTheme="minorBidi" w:hAnsiTheme="minorBidi" w:cstheme="minorBidi"/>
            <w:noProof/>
            <w:sz w:val="22"/>
            <w:szCs w:val="22"/>
          </w:rPr>
          <w:fldChar w:fldCharType="end"/>
        </w:r>
      </w:p>
    </w:sdtContent>
  </w:sdt>
  <w:p w:rsidR="00190214" w:rsidRPr="00190214" w:rsidRDefault="00190214" w:rsidP="00190214">
    <w:pPr>
      <w:bidi w:val="0"/>
      <w:rPr>
        <w:rFonts w:asciiTheme="minorBidi" w:hAnsiTheme="minorBidi" w:cstheme="minorBidi"/>
        <w:sz w:val="22"/>
        <w:szCs w:val="22"/>
        <w:lang w:bidi="ar-EG"/>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214" w:rsidRDefault="00190214" w:rsidP="00190214">
    <w:pPr>
      <w:pStyle w:val="Header"/>
      <w:bidi w:val="0"/>
      <w:rPr>
        <w:rFonts w:asciiTheme="minorBidi" w:hAnsiTheme="minorBidi" w:cstheme="minorBidi"/>
        <w:sz w:val="22"/>
        <w:szCs w:val="22"/>
      </w:rPr>
    </w:pPr>
    <w:r w:rsidRPr="00190214">
      <w:rPr>
        <w:rFonts w:asciiTheme="minorBidi" w:hAnsiTheme="minorBidi" w:cstheme="minorBidi"/>
        <w:sz w:val="22"/>
        <w:szCs w:val="22"/>
      </w:rPr>
      <w:t>WO/GA/51/16</w:t>
    </w:r>
  </w:p>
  <w:sdt>
    <w:sdtPr>
      <w:rPr>
        <w:rFonts w:asciiTheme="minorBidi" w:hAnsiTheme="minorBidi" w:cstheme="minorBidi"/>
        <w:sz w:val="22"/>
        <w:szCs w:val="22"/>
      </w:rPr>
      <w:id w:val="1916119484"/>
      <w:docPartObj>
        <w:docPartGallery w:val="Page Numbers (Top of Page)"/>
        <w:docPartUnique/>
      </w:docPartObj>
    </w:sdtPr>
    <w:sdtEndPr>
      <w:rPr>
        <w:noProof/>
      </w:rPr>
    </w:sdtEndPr>
    <w:sdtContent>
      <w:p w:rsidR="00190214" w:rsidRDefault="00190214" w:rsidP="00190214">
        <w:pPr>
          <w:pStyle w:val="Header"/>
          <w:bidi w:val="0"/>
          <w:rPr>
            <w:rFonts w:asciiTheme="minorBidi" w:hAnsiTheme="minorBidi" w:cstheme="minorBidi"/>
            <w:sz w:val="22"/>
            <w:szCs w:val="22"/>
          </w:rPr>
        </w:pPr>
        <w:r>
          <w:rPr>
            <w:rFonts w:asciiTheme="minorBidi" w:hAnsiTheme="minorBidi" w:cstheme="minorBidi"/>
            <w:sz w:val="22"/>
            <w:szCs w:val="22"/>
          </w:rPr>
          <w:t>ANNEX I</w:t>
        </w:r>
      </w:p>
      <w:p w:rsidR="00190214" w:rsidRPr="00190214" w:rsidRDefault="00190214" w:rsidP="00190214">
        <w:pPr>
          <w:pStyle w:val="Header"/>
          <w:bidi w:val="0"/>
          <w:rPr>
            <w:lang w:bidi="ar-EG"/>
          </w:rPr>
        </w:pPr>
        <w:r w:rsidRPr="00190214">
          <w:rPr>
            <w:rtl/>
            <w:lang w:bidi="ar-EG"/>
          </w:rPr>
          <w:t>المرفق الأول</w:t>
        </w:r>
      </w:p>
    </w:sdtContent>
  </w:sdt>
  <w:p w:rsidR="00190214" w:rsidRPr="00190214" w:rsidRDefault="00190214" w:rsidP="00190214">
    <w:pPr>
      <w:bidi w:val="0"/>
      <w:rPr>
        <w:rFonts w:asciiTheme="minorBidi" w:hAnsiTheme="minorBidi" w:cstheme="minorBid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5B" w:rsidRDefault="003D225B" w:rsidP="003D225B">
    <w:pPr>
      <w:pStyle w:val="Header"/>
      <w:bidi w:val="0"/>
      <w:rPr>
        <w:rFonts w:asciiTheme="minorBidi" w:hAnsiTheme="minorBidi" w:cstheme="minorBidi"/>
        <w:sz w:val="22"/>
        <w:szCs w:val="22"/>
      </w:rPr>
    </w:pPr>
    <w:r w:rsidRPr="00190214">
      <w:rPr>
        <w:rFonts w:asciiTheme="minorBidi" w:hAnsiTheme="minorBidi" w:cstheme="minorBidi"/>
        <w:sz w:val="22"/>
        <w:szCs w:val="22"/>
      </w:rPr>
      <w:t>WO/GA/51/16</w:t>
    </w:r>
  </w:p>
  <w:sdt>
    <w:sdtPr>
      <w:rPr>
        <w:rFonts w:asciiTheme="minorBidi" w:hAnsiTheme="minorBidi" w:cstheme="minorBidi"/>
        <w:sz w:val="22"/>
        <w:szCs w:val="22"/>
      </w:rPr>
      <w:id w:val="542947522"/>
      <w:docPartObj>
        <w:docPartGallery w:val="Page Numbers (Top of Page)"/>
        <w:docPartUnique/>
      </w:docPartObj>
    </w:sdtPr>
    <w:sdtEndPr>
      <w:rPr>
        <w:noProof/>
      </w:rPr>
    </w:sdtEndPr>
    <w:sdtContent>
      <w:p w:rsidR="003D225B" w:rsidRPr="00042B52" w:rsidRDefault="003D225B" w:rsidP="003D225B">
        <w:pPr>
          <w:pStyle w:val="Header"/>
          <w:bidi w:val="0"/>
          <w:rPr>
            <w:rFonts w:asciiTheme="minorBidi" w:hAnsiTheme="minorBidi" w:cstheme="minorBidi"/>
            <w:sz w:val="22"/>
            <w:szCs w:val="22"/>
            <w:rtl/>
          </w:rPr>
        </w:pPr>
        <w:r>
          <w:rPr>
            <w:rFonts w:asciiTheme="minorBidi" w:hAnsiTheme="minorBidi" w:cstheme="minorBidi"/>
            <w:sz w:val="22"/>
            <w:szCs w:val="22"/>
          </w:rPr>
          <w:t>Annex II</w:t>
        </w:r>
      </w:p>
    </w:sdtContent>
  </w:sdt>
  <w:p w:rsidR="003D225B" w:rsidRPr="00C50A61" w:rsidRDefault="003D225B" w:rsidP="003D225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C0B13">
      <w:rPr>
        <w:rFonts w:ascii="Arial" w:hAnsi="Arial" w:cs="Arial"/>
        <w:noProof/>
        <w:sz w:val="22"/>
        <w:szCs w:val="22"/>
        <w:lang w:bidi="ar-EG"/>
      </w:rPr>
      <w:t>2</w:t>
    </w:r>
    <w:r w:rsidRPr="00C50A61">
      <w:rPr>
        <w:rFonts w:ascii="Arial" w:hAnsi="Arial" w:cs="Arial"/>
        <w:sz w:val="22"/>
        <w:szCs w:val="22"/>
      </w:rPr>
      <w:fldChar w:fldCharType="end"/>
    </w:r>
  </w:p>
  <w:p w:rsidR="003D225B" w:rsidRPr="00C50A61" w:rsidRDefault="003D225B" w:rsidP="003D225B">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B52" w:rsidRDefault="00042B52" w:rsidP="00042B52">
    <w:pPr>
      <w:pStyle w:val="Header"/>
      <w:bidi w:val="0"/>
      <w:rPr>
        <w:rFonts w:asciiTheme="minorBidi" w:hAnsiTheme="minorBidi" w:cstheme="minorBidi"/>
        <w:sz w:val="22"/>
        <w:szCs w:val="22"/>
      </w:rPr>
    </w:pPr>
    <w:bookmarkStart w:id="14" w:name="Code3"/>
    <w:bookmarkEnd w:id="14"/>
    <w:r w:rsidRPr="00190214">
      <w:rPr>
        <w:rFonts w:asciiTheme="minorBidi" w:hAnsiTheme="minorBidi" w:cstheme="minorBidi"/>
        <w:sz w:val="22"/>
        <w:szCs w:val="22"/>
      </w:rPr>
      <w:t>WO/GA/51/16</w:t>
    </w:r>
  </w:p>
  <w:sdt>
    <w:sdtPr>
      <w:rPr>
        <w:rFonts w:asciiTheme="minorBidi" w:hAnsiTheme="minorBidi" w:cstheme="minorBidi"/>
        <w:sz w:val="22"/>
        <w:szCs w:val="22"/>
      </w:rPr>
      <w:id w:val="1024979963"/>
      <w:docPartObj>
        <w:docPartGallery w:val="Page Numbers (Top of Page)"/>
        <w:docPartUnique/>
      </w:docPartObj>
    </w:sdtPr>
    <w:sdtEndPr>
      <w:rPr>
        <w:noProof/>
      </w:rPr>
    </w:sdtEndPr>
    <w:sdtContent>
      <w:p w:rsidR="00042B52" w:rsidRPr="00042B52" w:rsidRDefault="00042B52" w:rsidP="00042B52">
        <w:pPr>
          <w:pStyle w:val="Header"/>
          <w:bidi w:val="0"/>
          <w:rPr>
            <w:rFonts w:asciiTheme="minorBidi" w:hAnsiTheme="minorBidi" w:cstheme="minorBidi"/>
            <w:sz w:val="22"/>
            <w:szCs w:val="22"/>
            <w:rtl/>
          </w:rPr>
        </w:pPr>
        <w:r>
          <w:rPr>
            <w:rFonts w:asciiTheme="minorBidi" w:hAnsiTheme="minorBidi" w:cstheme="minorBidi"/>
            <w:sz w:val="22"/>
            <w:szCs w:val="22"/>
          </w:rPr>
          <w:t>Annex II</w:t>
        </w:r>
      </w:p>
    </w:sdtContent>
  </w:sdt>
  <w:p w:rsidR="009B7BE2" w:rsidRPr="00C50A61" w:rsidRDefault="009B7BE2"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651E0">
      <w:rPr>
        <w:rFonts w:ascii="Arial" w:hAnsi="Arial" w:cs="Arial"/>
        <w:noProof/>
        <w:sz w:val="22"/>
        <w:szCs w:val="22"/>
        <w:lang w:bidi="ar-EG"/>
      </w:rPr>
      <w:t>2</w:t>
    </w:r>
    <w:r w:rsidRPr="00C50A61">
      <w:rPr>
        <w:rFonts w:ascii="Arial" w:hAnsi="Arial" w:cs="Arial"/>
        <w:sz w:val="22"/>
        <w:szCs w:val="22"/>
      </w:rPr>
      <w:fldChar w:fldCharType="end"/>
    </w:r>
  </w:p>
  <w:p w:rsidR="009B7BE2" w:rsidRPr="00C50A61" w:rsidRDefault="009B7BE2"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BE2" w:rsidRDefault="009B7BE2" w:rsidP="00190214">
    <w:pPr>
      <w:pStyle w:val="Header"/>
      <w:bidi w:val="0"/>
      <w:rPr>
        <w:rFonts w:asciiTheme="minorBidi" w:hAnsiTheme="minorBidi" w:cstheme="minorBidi"/>
        <w:sz w:val="22"/>
        <w:szCs w:val="22"/>
      </w:rPr>
    </w:pPr>
    <w:r w:rsidRPr="00190214">
      <w:rPr>
        <w:rFonts w:asciiTheme="minorBidi" w:hAnsiTheme="minorBidi" w:cstheme="minorBidi"/>
        <w:sz w:val="22"/>
        <w:szCs w:val="22"/>
      </w:rPr>
      <w:t>WO/GA/51/16</w:t>
    </w:r>
  </w:p>
  <w:sdt>
    <w:sdtPr>
      <w:rPr>
        <w:rFonts w:asciiTheme="minorBidi" w:hAnsiTheme="minorBidi" w:cstheme="minorBidi"/>
        <w:sz w:val="22"/>
        <w:szCs w:val="22"/>
      </w:rPr>
      <w:id w:val="-764305181"/>
      <w:docPartObj>
        <w:docPartGallery w:val="Page Numbers (Top of Page)"/>
        <w:docPartUnique/>
      </w:docPartObj>
    </w:sdtPr>
    <w:sdtEndPr>
      <w:rPr>
        <w:noProof/>
      </w:rPr>
    </w:sdtEndPr>
    <w:sdtContent>
      <w:p w:rsidR="00327221" w:rsidRDefault="00327221" w:rsidP="00327221">
        <w:pPr>
          <w:pStyle w:val="Header"/>
          <w:bidi w:val="0"/>
          <w:rPr>
            <w:rFonts w:asciiTheme="minorBidi" w:hAnsiTheme="minorBidi" w:cstheme="minorBidi"/>
            <w:sz w:val="22"/>
            <w:szCs w:val="22"/>
          </w:rPr>
        </w:pPr>
        <w:r>
          <w:rPr>
            <w:rFonts w:asciiTheme="minorBidi" w:hAnsiTheme="minorBidi" w:cstheme="minorBidi"/>
            <w:sz w:val="22"/>
            <w:szCs w:val="22"/>
          </w:rPr>
          <w:t>ANNEX II</w:t>
        </w:r>
      </w:p>
      <w:p w:rsidR="009B7BE2" w:rsidRPr="00190214" w:rsidRDefault="00327221" w:rsidP="00327221">
        <w:pPr>
          <w:pStyle w:val="Header"/>
          <w:bidi w:val="0"/>
          <w:rPr>
            <w:rtl/>
            <w:lang w:bidi="ar-EG"/>
          </w:rPr>
        </w:pPr>
        <w:r w:rsidRPr="00190214">
          <w:rPr>
            <w:rtl/>
            <w:lang w:bidi="ar-EG"/>
          </w:rPr>
          <w:t xml:space="preserve">المرفق </w:t>
        </w:r>
        <w:r>
          <w:rPr>
            <w:rFonts w:hint="cs"/>
            <w:rtl/>
            <w:lang w:bidi="ar-EG"/>
          </w:rPr>
          <w:t>الثاني</w:t>
        </w:r>
      </w:p>
    </w:sdtContent>
  </w:sdt>
  <w:p w:rsidR="009B7BE2" w:rsidRPr="00190214" w:rsidRDefault="009B7BE2" w:rsidP="00190214">
    <w:pPr>
      <w:bidi w:val="0"/>
      <w:rPr>
        <w:rFonts w:asciiTheme="minorBidi" w:hAnsiTheme="minorBidi" w:cstheme="minorBid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AT.WIPO|WIPOLDTERM"/>
    <w:docVar w:name="TermBaseURL" w:val="empty"/>
    <w:docVar w:name="TextBases" w:val="langdivprod\TextBase TMs\WorkspaceATS\Governance|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E24FA7"/>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B52"/>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214"/>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0B23"/>
    <w:rsid w:val="001B3131"/>
    <w:rsid w:val="001B4B2F"/>
    <w:rsid w:val="001B7C00"/>
    <w:rsid w:val="001C09D2"/>
    <w:rsid w:val="001C0B13"/>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1E0"/>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660"/>
    <w:rsid w:val="00274C95"/>
    <w:rsid w:val="0027520A"/>
    <w:rsid w:val="00275419"/>
    <w:rsid w:val="00275A2D"/>
    <w:rsid w:val="0027655E"/>
    <w:rsid w:val="00276B93"/>
    <w:rsid w:val="00276C4C"/>
    <w:rsid w:val="002772A5"/>
    <w:rsid w:val="0027732B"/>
    <w:rsid w:val="002806F8"/>
    <w:rsid w:val="002810B5"/>
    <w:rsid w:val="00281B81"/>
    <w:rsid w:val="00281F4F"/>
    <w:rsid w:val="002839A9"/>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2722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225B"/>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1A01"/>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6E77"/>
    <w:rsid w:val="006977FA"/>
    <w:rsid w:val="006A0075"/>
    <w:rsid w:val="006A20FB"/>
    <w:rsid w:val="006A339D"/>
    <w:rsid w:val="006A4462"/>
    <w:rsid w:val="006A5B59"/>
    <w:rsid w:val="006A6A14"/>
    <w:rsid w:val="006A753A"/>
    <w:rsid w:val="006A777C"/>
    <w:rsid w:val="006A7C46"/>
    <w:rsid w:val="006B0F76"/>
    <w:rsid w:val="006B1F20"/>
    <w:rsid w:val="006B3332"/>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1655A"/>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5A3"/>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297"/>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20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6835"/>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6F2"/>
    <w:rsid w:val="00956244"/>
    <w:rsid w:val="00956A06"/>
    <w:rsid w:val="00957435"/>
    <w:rsid w:val="009578D0"/>
    <w:rsid w:val="009600C6"/>
    <w:rsid w:val="00960D80"/>
    <w:rsid w:val="009621CE"/>
    <w:rsid w:val="009622BF"/>
    <w:rsid w:val="009651B8"/>
    <w:rsid w:val="00965313"/>
    <w:rsid w:val="009653F3"/>
    <w:rsid w:val="0096587A"/>
    <w:rsid w:val="009666E7"/>
    <w:rsid w:val="00966A69"/>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B7BE2"/>
    <w:rsid w:val="009C13BF"/>
    <w:rsid w:val="009C2943"/>
    <w:rsid w:val="009C4912"/>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3A3"/>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38"/>
    <w:rsid w:val="00A52AFB"/>
    <w:rsid w:val="00A53967"/>
    <w:rsid w:val="00A5455C"/>
    <w:rsid w:val="00A545EC"/>
    <w:rsid w:val="00A54C5F"/>
    <w:rsid w:val="00A54D3B"/>
    <w:rsid w:val="00A551B1"/>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4C1F"/>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976"/>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2F04"/>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34B"/>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1B81"/>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9DA"/>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4FA7"/>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17B1"/>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4A87"/>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BBFFA71-00C6-4EE4-B174-4D9B638C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ONUME">
    <w:name w:val="ONUM E"/>
    <w:basedOn w:val="BodyText"/>
    <w:rsid w:val="00E24FA7"/>
    <w:pPr>
      <w:tabs>
        <w:tab w:val="num" w:pos="567"/>
      </w:tabs>
      <w:bidi w:val="0"/>
      <w:spacing w:before="0" w:after="220"/>
    </w:pPr>
    <w:rPr>
      <w:rFonts w:ascii="Arial" w:eastAsia="SimSun" w:hAnsi="Arial" w:cs="Arial"/>
      <w:sz w:val="22"/>
      <w:szCs w:val="20"/>
      <w:lang w:eastAsia="zh-CN" w:bidi="ar-SA"/>
    </w:rPr>
  </w:style>
  <w:style w:type="character" w:customStyle="1" w:styleId="HeaderChar">
    <w:name w:val="Header Char"/>
    <w:basedOn w:val="DefaultParagraphFont"/>
    <w:link w:val="Header"/>
    <w:uiPriority w:val="99"/>
    <w:rsid w:val="00E24FA7"/>
  </w:style>
  <w:style w:type="paragraph" w:styleId="ListParagraph">
    <w:name w:val="List Paragraph"/>
    <w:basedOn w:val="Normal"/>
    <w:uiPriority w:val="34"/>
    <w:qFormat/>
    <w:rsid w:val="00E24FA7"/>
    <w:pPr>
      <w:bidi w:val="0"/>
      <w:ind w:left="720"/>
      <w:contextualSpacing/>
    </w:pPr>
    <w:rPr>
      <w:rFonts w:ascii="Arial" w:eastAsia="SimSun" w:hAnsi="Arial" w:cs="Arial"/>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wipo.int/cooperation/ar/technical_assistance/"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33502-D230-4ECB-9DB1-B4B9CDE7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8</Pages>
  <Words>1383</Words>
  <Characters>7652</Characters>
  <Application>Microsoft Office Word</Application>
  <DocSecurity>0</DocSecurity>
  <Lines>225</Lines>
  <Paragraphs>118</Paragraphs>
  <ScaleCrop>false</ScaleCrop>
  <HeadingPairs>
    <vt:vector size="2" baseType="variant">
      <vt:variant>
        <vt:lpstr>Title</vt:lpstr>
      </vt:variant>
      <vt:variant>
        <vt:i4>1</vt:i4>
      </vt:variant>
    </vt:vector>
  </HeadingPairs>
  <TitlesOfParts>
    <vt:vector size="1" baseType="lpstr">
      <vt:lpstr>WO/GA/51/16 (Arabic)</vt:lpstr>
    </vt:vector>
  </TitlesOfParts>
  <Company>World Intellectual Property Organization</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WO/GA/51/16 (Arabic)</dc:title>
  <dc:subject/>
  <dc:creator>Ahmed Hassan</dc:creator>
  <cp:keywords>PUBLIC</cp:keywords>
  <dc:description/>
  <cp:lastModifiedBy>HÄFLIGER Patience</cp:lastModifiedBy>
  <cp:revision>7</cp:revision>
  <cp:lastPrinted>2018-06-12T09:05:00Z</cp:lastPrinted>
  <dcterms:created xsi:type="dcterms:W3CDTF">2019-07-04T14:29:00Z</dcterms:created>
  <dcterms:modified xsi:type="dcterms:W3CDTF">2019-08-26T12:42:00Z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357a638e-1532-4ddd-a45a-b2dc48421502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