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WO/GA/50/</w:t>
      </w:r>
      <w:r w:rsidR="009D1848">
        <w:rPr>
          <w:rFonts w:ascii="Arial Black" w:eastAsia="SimSun" w:hAnsi="Arial Black" w:cs="Arial"/>
          <w:b/>
          <w:caps/>
          <w:noProof/>
          <w:sz w:val="16"/>
          <w:szCs w:val="16"/>
          <w:lang w:eastAsia="zh-CN"/>
        </w:rPr>
        <w:t>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D1848">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D1848">
        <w:rPr>
          <w:b/>
          <w:bCs/>
          <w:sz w:val="30"/>
          <w:szCs w:val="30"/>
          <w:rtl/>
        </w:rPr>
        <w:t>23 يوليو 2018</w:t>
      </w:r>
    </w:p>
    <w:p w:rsidR="002E7810" w:rsidRPr="00FD6D15" w:rsidRDefault="00783FFA" w:rsidP="009B7572">
      <w:pPr>
        <w:pStyle w:val="Heading1"/>
        <w:spacing w:after="600" w:line="240" w:lineRule="auto"/>
        <w:rPr>
          <w:rtl/>
        </w:rPr>
      </w:pPr>
      <w:bookmarkStart w:id="3" w:name="_Toc519170197"/>
      <w:bookmarkStart w:id="4" w:name="_Toc519170372"/>
      <w:r>
        <w:rPr>
          <w:rFonts w:hint="eastAsia"/>
          <w:rtl/>
        </w:rPr>
        <w:t>الجمعية</w:t>
      </w:r>
      <w:r>
        <w:rPr>
          <w:rtl/>
        </w:rPr>
        <w:t xml:space="preserve"> </w:t>
      </w:r>
      <w:r>
        <w:rPr>
          <w:rFonts w:hint="eastAsia"/>
          <w:rtl/>
        </w:rPr>
        <w:t>العامة</w:t>
      </w:r>
      <w:r>
        <w:rPr>
          <w:rtl/>
        </w:rPr>
        <w:t xml:space="preserve"> </w:t>
      </w:r>
      <w:r>
        <w:rPr>
          <w:rFonts w:hint="eastAsia"/>
          <w:rtl/>
        </w:rPr>
        <w:t>للويبو</w:t>
      </w:r>
      <w:bookmarkEnd w:id="3"/>
      <w:bookmarkEnd w:id="4"/>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9D1848" w:rsidP="00874721">
      <w:pPr>
        <w:rPr>
          <w:rFonts w:ascii="Arial Black" w:hAnsi="Arial Black" w:cs="PT Bold Heading"/>
          <w:sz w:val="26"/>
          <w:szCs w:val="26"/>
          <w:rtl/>
        </w:rPr>
      </w:pPr>
      <w:r>
        <w:rPr>
          <w:rFonts w:ascii="Arial Black" w:hAnsi="Arial Black" w:cs="PT Bold Heading" w:hint="eastAsia"/>
          <w:sz w:val="26"/>
          <w:szCs w:val="26"/>
          <w:rtl/>
        </w:rPr>
        <w:t>التقرير</w:t>
      </w:r>
      <w:r>
        <w:rPr>
          <w:rFonts w:ascii="Arial Black" w:hAnsi="Arial Black" w:cs="PT Bold Heading"/>
          <w:sz w:val="26"/>
          <w:szCs w:val="26"/>
          <w:rtl/>
        </w:rPr>
        <w:t xml:space="preserve"> </w:t>
      </w:r>
      <w:r>
        <w:rPr>
          <w:rFonts w:ascii="Arial Black" w:hAnsi="Arial Black" w:cs="PT Bold Heading" w:hint="eastAsia"/>
          <w:sz w:val="26"/>
          <w:szCs w:val="26"/>
          <w:rtl/>
        </w:rPr>
        <w:t>السنوي</w:t>
      </w:r>
      <w:r>
        <w:rPr>
          <w:rFonts w:ascii="Arial Black" w:hAnsi="Arial Black" w:cs="PT Bold Heading"/>
          <w:sz w:val="26"/>
          <w:szCs w:val="26"/>
          <w:rtl/>
        </w:rPr>
        <w:t xml:space="preserve"> </w:t>
      </w:r>
      <w:r>
        <w:rPr>
          <w:rFonts w:ascii="Arial Black" w:hAnsi="Arial Black" w:cs="PT Bold Heading" w:hint="eastAsia"/>
          <w:sz w:val="26"/>
          <w:szCs w:val="26"/>
          <w:rtl/>
        </w:rPr>
        <w:t>لمدير</w:t>
      </w:r>
      <w:r>
        <w:rPr>
          <w:rFonts w:ascii="Arial Black" w:hAnsi="Arial Black" w:cs="PT Bold Heading"/>
          <w:sz w:val="26"/>
          <w:szCs w:val="26"/>
          <w:rtl/>
        </w:rPr>
        <w:t xml:space="preserve"> </w:t>
      </w:r>
      <w:r>
        <w:rPr>
          <w:rFonts w:ascii="Arial Black" w:hAnsi="Arial Black" w:cs="PT Bold Heading" w:hint="eastAsia"/>
          <w:sz w:val="26"/>
          <w:szCs w:val="26"/>
          <w:rtl/>
        </w:rPr>
        <w:t>شعبة</w:t>
      </w:r>
      <w:r>
        <w:rPr>
          <w:rFonts w:ascii="Arial Black" w:hAnsi="Arial Black" w:cs="PT Bold Heading"/>
          <w:sz w:val="26"/>
          <w:szCs w:val="26"/>
          <w:rtl/>
        </w:rPr>
        <w:t xml:space="preserve"> </w:t>
      </w:r>
      <w:r>
        <w:rPr>
          <w:rFonts w:ascii="Arial Black" w:hAnsi="Arial Black" w:cs="PT Bold Heading" w:hint="eastAsia"/>
          <w:sz w:val="26"/>
          <w:szCs w:val="26"/>
          <w:rtl/>
        </w:rPr>
        <w:t>الرقابة</w:t>
      </w:r>
      <w:r>
        <w:rPr>
          <w:rFonts w:ascii="Arial Black" w:hAnsi="Arial Black" w:cs="PT Bold Heading"/>
          <w:sz w:val="26"/>
          <w:szCs w:val="26"/>
          <w:rtl/>
        </w:rPr>
        <w:t xml:space="preserve"> </w:t>
      </w:r>
      <w:r>
        <w:rPr>
          <w:rFonts w:ascii="Arial Black" w:hAnsi="Arial Black" w:cs="PT Bold Heading" w:hint="eastAsia"/>
          <w:sz w:val="26"/>
          <w:szCs w:val="26"/>
          <w:rtl/>
        </w:rPr>
        <w:t>الداخلية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9D1848">
        <w:rPr>
          <w:rFonts w:hint="eastAsia"/>
          <w:i/>
          <w:iCs/>
          <w:rtl/>
        </w:rPr>
        <w:t>الأمانة</w:t>
      </w:r>
    </w:p>
    <w:p w:rsidR="009D1848" w:rsidRDefault="00E44757" w:rsidP="009D1848">
      <w:pPr>
        <w:pStyle w:val="ONUMA"/>
        <w:rPr>
          <w:rtl/>
        </w:rPr>
      </w:pPr>
      <w:r>
        <w:rPr>
          <w:rFonts w:hint="cs"/>
          <w:rtl/>
          <w:lang w:bidi="ar-EG"/>
        </w:rPr>
        <w:t xml:space="preserve">تحتوي </w:t>
      </w:r>
      <w:r w:rsidR="009D1848">
        <w:rPr>
          <w:rtl/>
          <w:lang w:bidi="ar-EG"/>
        </w:rPr>
        <w:t xml:space="preserve">هذه الوثيقة على "‏التقرير السنوي لمدير شعبة الرقابة الداخلية" (الوثيقة </w:t>
      </w:r>
      <w:r w:rsidR="009D1848">
        <w:t>WO/PBC/28/5</w:t>
      </w:r>
      <w:r w:rsidR="009D1848">
        <w:rPr>
          <w:rtl/>
          <w:lang w:bidi="ar-EG"/>
        </w:rPr>
        <w:t>) الذي طُرح على لجنة الويبو للبرنامج والميزانية (اللجنة) في دورتها الثامنة والعشرين (من 10 إلى 14 سبتمبر 2018).</w:t>
      </w:r>
    </w:p>
    <w:p w:rsidR="009D1848" w:rsidRDefault="009D1848" w:rsidP="009D1848">
      <w:pPr>
        <w:pStyle w:val="ONUMA"/>
        <w:rPr>
          <w:rtl/>
        </w:rPr>
      </w:pPr>
      <w:r>
        <w:rPr>
          <w:rtl/>
        </w:rPr>
        <w:t xml:space="preserve">وترد أية قرارات للجنة بشأن تلك الوثيقة في "قائمة القرارات التي اتخذتها لجنة البرنامج والميزانية" (الوثيقة </w:t>
      </w:r>
      <w:r>
        <w:t>A/58/6</w:t>
      </w:r>
      <w:r>
        <w:rPr>
          <w:rtl/>
        </w:rPr>
        <w:t>).</w:t>
      </w:r>
    </w:p>
    <w:p w:rsidR="009D1848" w:rsidRDefault="009D1848" w:rsidP="009D1848">
      <w:pPr>
        <w:pStyle w:val="Endofdocument-Annex"/>
        <w:rPr>
          <w:rtl/>
        </w:rPr>
      </w:pPr>
      <w:r>
        <w:rPr>
          <w:rtl/>
        </w:rPr>
        <w:t xml:space="preserve">[تلي ذلك الوثيقة </w:t>
      </w:r>
      <w:r>
        <w:t>WO/PBC/28/5</w:t>
      </w:r>
      <w:r>
        <w:rPr>
          <w:rtl/>
        </w:rPr>
        <w:t>]</w:t>
      </w:r>
    </w:p>
    <w:p w:rsidR="009D1848" w:rsidRDefault="009D1848" w:rsidP="009D1848">
      <w:pPr>
        <w:rPr>
          <w:rtl/>
        </w:rPr>
        <w:sectPr w:rsidR="009D1848" w:rsidSect="00EB7752">
          <w:headerReference w:type="default" r:id="rId9"/>
          <w:pgSz w:w="11907" w:h="16840" w:code="9"/>
          <w:pgMar w:top="567" w:right="1418" w:bottom="1418" w:left="1134" w:header="510" w:footer="1021" w:gutter="0"/>
          <w:cols w:space="720"/>
          <w:titlePg/>
          <w:docGrid w:linePitch="299"/>
        </w:sectPr>
      </w:pPr>
    </w:p>
    <w:p w:rsidR="00A6284D" w:rsidRPr="00C50A61" w:rsidRDefault="00A6284D" w:rsidP="00A6284D">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A6284D" w:rsidRPr="003F7284" w:rsidRDefault="00A6284D" w:rsidP="00A6284D">
      <w:pPr>
        <w:spacing w:after="120"/>
        <w:ind w:left="4535"/>
        <w:rPr>
          <w:rtl/>
        </w:rPr>
      </w:pPr>
      <w:r w:rsidRPr="003F7284">
        <w:rPr>
          <w:noProof/>
        </w:rPr>
        <w:drawing>
          <wp:inline distT="0" distB="0" distL="0" distR="0" wp14:anchorId="60C7DA04" wp14:editId="6E03C403">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A6284D" w:rsidRPr="00F54409" w:rsidRDefault="00A6284D" w:rsidP="00A6284D">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WO/PBC/28/5</w:t>
      </w:r>
    </w:p>
    <w:p w:rsidR="00A6284D" w:rsidRPr="00BB6440" w:rsidRDefault="00A6284D" w:rsidP="00A6284D">
      <w:pPr>
        <w:jc w:val="right"/>
        <w:rPr>
          <w:b/>
          <w:bCs/>
          <w:sz w:val="30"/>
          <w:szCs w:val="30"/>
          <w:rtl/>
        </w:rPr>
      </w:pPr>
      <w:r w:rsidRPr="00BB6440">
        <w:rPr>
          <w:b/>
          <w:bCs/>
          <w:sz w:val="30"/>
          <w:szCs w:val="30"/>
          <w:rtl/>
        </w:rPr>
        <w:t xml:space="preserve">الأصل: </w:t>
      </w:r>
      <w:r>
        <w:rPr>
          <w:b/>
          <w:bCs/>
          <w:sz w:val="30"/>
          <w:szCs w:val="30"/>
          <w:rtl/>
        </w:rPr>
        <w:t>بالإنكليزية</w:t>
      </w:r>
    </w:p>
    <w:p w:rsidR="00A6284D" w:rsidRPr="00BB6440" w:rsidRDefault="00A6284D" w:rsidP="008F1D84">
      <w:pPr>
        <w:spacing w:line="720" w:lineRule="auto"/>
        <w:jc w:val="right"/>
        <w:rPr>
          <w:b/>
          <w:bCs/>
          <w:sz w:val="30"/>
          <w:szCs w:val="30"/>
          <w:rtl/>
        </w:rPr>
      </w:pPr>
      <w:r w:rsidRPr="00BB6440">
        <w:rPr>
          <w:b/>
          <w:bCs/>
          <w:sz w:val="30"/>
          <w:szCs w:val="30"/>
          <w:rtl/>
        </w:rPr>
        <w:t xml:space="preserve">التاريخ: </w:t>
      </w:r>
      <w:r w:rsidR="008F1D84">
        <w:rPr>
          <w:b/>
          <w:bCs/>
          <w:sz w:val="30"/>
          <w:szCs w:val="30"/>
        </w:rPr>
        <w:t>18</w:t>
      </w:r>
      <w:bookmarkStart w:id="6" w:name="_GoBack"/>
      <w:bookmarkEnd w:id="6"/>
      <w:r>
        <w:rPr>
          <w:b/>
          <w:bCs/>
          <w:sz w:val="30"/>
          <w:szCs w:val="30"/>
          <w:rtl/>
        </w:rPr>
        <w:t xml:space="preserve"> يو</w:t>
      </w:r>
      <w:r>
        <w:rPr>
          <w:rFonts w:hint="cs"/>
          <w:b/>
          <w:bCs/>
          <w:sz w:val="30"/>
          <w:szCs w:val="30"/>
          <w:rtl/>
        </w:rPr>
        <w:t>لي</w:t>
      </w:r>
      <w:r>
        <w:rPr>
          <w:b/>
          <w:bCs/>
          <w:sz w:val="30"/>
          <w:szCs w:val="30"/>
          <w:rtl/>
        </w:rPr>
        <w:t>و 2018</w:t>
      </w:r>
    </w:p>
    <w:p w:rsidR="00A6284D" w:rsidRPr="00FD6D15" w:rsidRDefault="00A6284D" w:rsidP="00A6284D">
      <w:pPr>
        <w:pStyle w:val="Heading1"/>
        <w:spacing w:after="600" w:line="240" w:lineRule="auto"/>
        <w:rPr>
          <w:rtl/>
        </w:rPr>
      </w:pPr>
      <w:bookmarkStart w:id="7" w:name="_Toc519170198"/>
      <w:bookmarkStart w:id="8" w:name="_Toc519170373"/>
      <w:r>
        <w:rPr>
          <w:rFonts w:hint="eastAsia"/>
          <w:rtl/>
        </w:rPr>
        <w:t>لجنة</w:t>
      </w:r>
      <w:r>
        <w:rPr>
          <w:rtl/>
        </w:rPr>
        <w:t xml:space="preserve"> </w:t>
      </w:r>
      <w:r>
        <w:rPr>
          <w:rFonts w:hint="eastAsia"/>
          <w:rtl/>
        </w:rPr>
        <w:t>البرنامج</w:t>
      </w:r>
      <w:r>
        <w:rPr>
          <w:rtl/>
        </w:rPr>
        <w:t xml:space="preserve"> </w:t>
      </w:r>
      <w:r>
        <w:rPr>
          <w:rFonts w:hint="eastAsia"/>
          <w:rtl/>
        </w:rPr>
        <w:t>والميزانية</w:t>
      </w:r>
      <w:bookmarkEnd w:id="7"/>
      <w:bookmarkEnd w:id="8"/>
    </w:p>
    <w:p w:rsidR="00A6284D" w:rsidRPr="002E7810" w:rsidRDefault="00A6284D" w:rsidP="00A6284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A6284D" w:rsidRPr="002E7810" w:rsidRDefault="00A6284D" w:rsidP="00A6284D">
      <w:pPr>
        <w:spacing w:line="600" w:lineRule="auto"/>
        <w:rPr>
          <w:b/>
          <w:bCs/>
          <w:rtl/>
        </w:rPr>
      </w:pPr>
      <w:r>
        <w:rPr>
          <w:b/>
          <w:bCs/>
          <w:rtl/>
        </w:rPr>
        <w:t>جنيف، من 10 إلى 14 سبتمبر 2018</w:t>
      </w:r>
    </w:p>
    <w:p w:rsidR="00A6284D" w:rsidRPr="002E7810" w:rsidRDefault="00A6284D" w:rsidP="00A6284D">
      <w:pPr>
        <w:rPr>
          <w:rFonts w:ascii="Arial Black" w:hAnsi="Arial Black" w:cs="PT Bold Heading"/>
          <w:sz w:val="26"/>
          <w:szCs w:val="26"/>
          <w:rtl/>
        </w:rPr>
      </w:pPr>
      <w:r>
        <w:rPr>
          <w:rFonts w:ascii="Arial Black" w:hAnsi="Arial Black" w:cs="PT Bold Heading" w:hint="cs"/>
          <w:sz w:val="26"/>
          <w:szCs w:val="26"/>
          <w:rtl/>
        </w:rPr>
        <w:t>التقرير السنوي لمدير شعبة الرقابة الداخلية</w:t>
      </w:r>
    </w:p>
    <w:p w:rsidR="00A6284D" w:rsidRPr="00BB6440" w:rsidRDefault="00A6284D" w:rsidP="00A6284D">
      <w:pPr>
        <w:spacing w:before="200" w:after="960"/>
        <w:rPr>
          <w:i/>
          <w:iCs/>
          <w:rtl/>
        </w:rPr>
      </w:pPr>
      <w:r w:rsidRPr="00BB6440">
        <w:rPr>
          <w:i/>
          <w:iCs/>
          <w:rtl/>
        </w:rPr>
        <w:t>من إعداد</w:t>
      </w:r>
      <w:r w:rsidRPr="00BB6440">
        <w:rPr>
          <w:rFonts w:hint="cs"/>
          <w:i/>
          <w:iCs/>
          <w:rtl/>
        </w:rPr>
        <w:t xml:space="preserve"> </w:t>
      </w:r>
      <w:r>
        <w:rPr>
          <w:rFonts w:hint="eastAsia"/>
          <w:i/>
          <w:iCs/>
          <w:rtl/>
        </w:rPr>
        <w:t>الأمانة</w:t>
      </w:r>
    </w:p>
    <w:p w:rsidR="009D1848" w:rsidRDefault="009D1848" w:rsidP="00EE1C17">
      <w:pPr>
        <w:pStyle w:val="ONUMA"/>
        <w:numPr>
          <w:ilvl w:val="0"/>
          <w:numId w:val="13"/>
        </w:numPr>
        <w:rPr>
          <w:rtl/>
          <w:lang w:bidi="ar-EG"/>
        </w:rPr>
      </w:pPr>
      <w:r>
        <w:rPr>
          <w:rtl/>
          <w:lang w:bidi="ar-EG"/>
        </w:rPr>
        <w:t>وفقا للفقرة 44 من ميثاق الرقابة الداخلية، يقدِّم مدير شعبة الرقابة الداخلية تقريرا سنويا موجزا إلى الجمعية العامة للويبو، من خلال لجنة البرنامج والميزانية (اللجنة). ويتناول التقرير السنوي لمحة عامة عن أنشطة الرقابة الداخلية التي أُنجزت خلال الفترة المشمولة بالتقرير، أي من 1 يوليو 2017 إلى 30 يونيو 2018.</w:t>
      </w:r>
    </w:p>
    <w:p w:rsidR="009D1848" w:rsidRDefault="009D1848" w:rsidP="00A6284D">
      <w:pPr>
        <w:pStyle w:val="ONUMA"/>
        <w:rPr>
          <w:rtl/>
          <w:lang w:bidi="ar-EG"/>
        </w:rPr>
      </w:pPr>
      <w:r>
        <w:rPr>
          <w:rtl/>
          <w:lang w:bidi="ar-EG"/>
        </w:rPr>
        <w:t>وفيما يلي فقرة القرار المقترحة.</w:t>
      </w:r>
    </w:p>
    <w:p w:rsidR="009D1848" w:rsidRDefault="009D1848" w:rsidP="00A6284D">
      <w:pPr>
        <w:pStyle w:val="Decision"/>
        <w:rPr>
          <w:rtl/>
        </w:rPr>
      </w:pPr>
      <w:r>
        <w:rPr>
          <w:rtl/>
          <w:lang w:bidi="ar-EG"/>
        </w:rPr>
        <w:t>أحاطت لجنة البرنامج والميزانية علما بمضمون "التقرير السنوي لمدير شعبة الرقابة الداخلية" (الوثيقة</w:t>
      </w:r>
      <w:r>
        <w:t>WO/PBC/28/5</w:t>
      </w:r>
      <w:r>
        <w:rPr>
          <w:rtl/>
          <w:lang w:bidi="ar-EG"/>
        </w:rPr>
        <w:t>).</w:t>
      </w:r>
    </w:p>
    <w:p w:rsidR="008E5FD8" w:rsidRDefault="009D1848" w:rsidP="00A6284D">
      <w:pPr>
        <w:pStyle w:val="Endofdocument-Annex"/>
        <w:rPr>
          <w:rtl/>
        </w:rPr>
        <w:sectPr w:rsidR="008E5FD8" w:rsidSect="00A6284D">
          <w:headerReference w:type="default" r:id="rId10"/>
          <w:headerReference w:type="first" r:id="rId11"/>
          <w:pgSz w:w="11907" w:h="16840" w:code="9"/>
          <w:pgMar w:top="567" w:right="1418" w:bottom="1418" w:left="1134" w:header="510" w:footer="1021" w:gutter="0"/>
          <w:pgNumType w:start="1"/>
          <w:cols w:space="720"/>
          <w:titlePg/>
          <w:docGrid w:linePitch="299"/>
        </w:sectPr>
      </w:pPr>
      <w:r>
        <w:rPr>
          <w:rtl/>
        </w:rPr>
        <w:t>[يلي ذلك التقرير السنوي لمدير شعبة الرقابة الداخلية]</w:t>
      </w:r>
    </w:p>
    <w:p w:rsidR="009D1848" w:rsidRPr="0092308D" w:rsidRDefault="009D1848" w:rsidP="0092308D">
      <w:pPr>
        <w:pStyle w:val="BodyText"/>
        <w:jc w:val="center"/>
        <w:rPr>
          <w:b/>
          <w:bCs/>
          <w:sz w:val="40"/>
          <w:szCs w:val="40"/>
          <w:rtl/>
        </w:rPr>
      </w:pPr>
      <w:bookmarkStart w:id="9" w:name="_Toc519170374"/>
      <w:r w:rsidRPr="0092308D">
        <w:rPr>
          <w:b/>
          <w:bCs/>
          <w:sz w:val="40"/>
          <w:szCs w:val="40"/>
          <w:rtl/>
        </w:rPr>
        <w:lastRenderedPageBreak/>
        <w:t>التقرير السنوي لمدير شعبة الرقابة الداخلية</w:t>
      </w:r>
      <w:bookmarkEnd w:id="9"/>
    </w:p>
    <w:p w:rsidR="009D1848" w:rsidRPr="0092308D" w:rsidRDefault="009D1848" w:rsidP="0092308D">
      <w:pPr>
        <w:pStyle w:val="BodyText"/>
        <w:jc w:val="center"/>
        <w:rPr>
          <w:sz w:val="40"/>
          <w:szCs w:val="40"/>
        </w:rPr>
      </w:pPr>
      <w:bookmarkStart w:id="10" w:name="_Toc519170375"/>
      <w:r w:rsidRPr="0092308D">
        <w:rPr>
          <w:sz w:val="40"/>
          <w:szCs w:val="40"/>
          <w:rtl/>
        </w:rPr>
        <w:t>1 يوليو 2017 إلى 30 يونيو 2018</w:t>
      </w:r>
      <w:bookmarkEnd w:id="10"/>
    </w:p>
    <w:p w:rsidR="00A6284D" w:rsidRPr="0092308D" w:rsidRDefault="00A6284D" w:rsidP="0092308D">
      <w:pPr>
        <w:pStyle w:val="BodyText"/>
        <w:jc w:val="center"/>
        <w:rPr>
          <w:sz w:val="40"/>
          <w:szCs w:val="40"/>
          <w:rtl/>
          <w:lang w:bidi="ar-SA"/>
        </w:rPr>
      </w:pPr>
    </w:p>
    <w:p w:rsidR="009D1848" w:rsidRPr="0092308D" w:rsidRDefault="009D1848" w:rsidP="0092308D">
      <w:pPr>
        <w:pStyle w:val="BodyText"/>
        <w:jc w:val="center"/>
        <w:rPr>
          <w:b/>
          <w:bCs/>
          <w:sz w:val="40"/>
          <w:szCs w:val="40"/>
          <w:rtl/>
        </w:rPr>
      </w:pPr>
      <w:bookmarkStart w:id="11" w:name="_Toc519170376"/>
      <w:r w:rsidRPr="0092308D">
        <w:rPr>
          <w:b/>
          <w:bCs/>
          <w:sz w:val="40"/>
          <w:szCs w:val="40"/>
          <w:rtl/>
        </w:rPr>
        <w:t>المحتويات</w:t>
      </w:r>
      <w:bookmarkEnd w:id="11"/>
    </w:p>
    <w:p w:rsidR="00D339A9" w:rsidRPr="00D339A9" w:rsidRDefault="00227B24" w:rsidP="00CC0D90">
      <w:pPr>
        <w:pStyle w:val="TOC1"/>
        <w:rPr>
          <w:rFonts w:asciiTheme="minorHAnsi" w:eastAsiaTheme="minorEastAsia" w:hAnsiTheme="minorHAnsi" w:cstheme="minorBidi"/>
          <w:sz w:val="22"/>
          <w:szCs w:val="22"/>
        </w:rPr>
      </w:pPr>
      <w:r w:rsidRPr="0092308D">
        <w:rPr>
          <w:rtl/>
        </w:rPr>
        <w:fldChar w:fldCharType="begin"/>
      </w:r>
      <w:r w:rsidRPr="0092308D">
        <w:rPr>
          <w:rtl/>
        </w:rPr>
        <w:instrText xml:space="preserve"> </w:instrText>
      </w:r>
      <w:r w:rsidRPr="0092308D">
        <w:instrText>TOC</w:instrText>
      </w:r>
      <w:r w:rsidRPr="0092308D">
        <w:rPr>
          <w:rtl/>
        </w:rPr>
        <w:instrText xml:space="preserve"> \</w:instrText>
      </w:r>
      <w:r w:rsidRPr="0092308D">
        <w:instrText>h \z \u \t "Heading 2,1</w:instrText>
      </w:r>
      <w:r w:rsidRPr="0092308D">
        <w:rPr>
          <w:rtl/>
        </w:rPr>
        <w:instrText xml:space="preserve">" </w:instrText>
      </w:r>
      <w:r w:rsidRPr="0092308D">
        <w:rPr>
          <w:rtl/>
        </w:rPr>
        <w:fldChar w:fldCharType="separate"/>
      </w:r>
      <w:hyperlink w:anchor="_Toc519174847" w:history="1">
        <w:r w:rsidR="00D339A9" w:rsidRPr="00D339A9">
          <w:rPr>
            <w:rStyle w:val="Hyperlink"/>
            <w:rFonts w:hint="eastAsia"/>
            <w:rtl/>
          </w:rPr>
          <w:t>معلومات</w:t>
        </w:r>
        <w:r w:rsidR="00D339A9" w:rsidRPr="00D339A9">
          <w:rPr>
            <w:rStyle w:val="Hyperlink"/>
            <w:rtl/>
          </w:rPr>
          <w:t xml:space="preserve"> </w:t>
        </w:r>
        <w:r w:rsidR="00D339A9" w:rsidRPr="00D339A9">
          <w:rPr>
            <w:rStyle w:val="Hyperlink"/>
            <w:rFonts w:hint="eastAsia"/>
            <w:rtl/>
          </w:rPr>
          <w:t>أساسية</w:t>
        </w:r>
        <w:r w:rsidR="00D339A9" w:rsidRPr="00D339A9">
          <w:rPr>
            <w:webHidden/>
          </w:rPr>
          <w:tab/>
        </w:r>
        <w:r w:rsidR="00D339A9" w:rsidRPr="00D339A9">
          <w:rPr>
            <w:webHidden/>
          </w:rPr>
          <w:fldChar w:fldCharType="begin"/>
        </w:r>
        <w:r w:rsidR="00D339A9" w:rsidRPr="00D339A9">
          <w:rPr>
            <w:webHidden/>
          </w:rPr>
          <w:instrText xml:space="preserve"> PAGEREF _Toc519174847 \h </w:instrText>
        </w:r>
        <w:r w:rsidR="00D339A9" w:rsidRPr="00D339A9">
          <w:rPr>
            <w:webHidden/>
          </w:rPr>
        </w:r>
        <w:r w:rsidR="00D339A9" w:rsidRPr="00D339A9">
          <w:rPr>
            <w:webHidden/>
          </w:rPr>
          <w:fldChar w:fldCharType="separate"/>
        </w:r>
        <w:r w:rsidR="00411B31">
          <w:rPr>
            <w:webHidden/>
            <w:rtl/>
          </w:rPr>
          <w:t>3</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48" w:history="1">
        <w:r w:rsidR="00D339A9" w:rsidRPr="00D339A9">
          <w:rPr>
            <w:rStyle w:val="Hyperlink"/>
            <w:rFonts w:hint="eastAsia"/>
            <w:rtl/>
          </w:rPr>
          <w:t>مبادئ</w:t>
        </w:r>
        <w:r w:rsidR="00D339A9" w:rsidRPr="00D339A9">
          <w:rPr>
            <w:rStyle w:val="Hyperlink"/>
            <w:rtl/>
          </w:rPr>
          <w:t xml:space="preserve"> </w:t>
        </w:r>
        <w:r w:rsidR="00D339A9" w:rsidRPr="00D339A9">
          <w:rPr>
            <w:rStyle w:val="Hyperlink"/>
            <w:rFonts w:hint="eastAsia"/>
            <w:rtl/>
          </w:rPr>
          <w:t>التخطيط</w:t>
        </w:r>
        <w:r w:rsidR="00D339A9" w:rsidRPr="00D339A9">
          <w:rPr>
            <w:webHidden/>
          </w:rPr>
          <w:tab/>
        </w:r>
        <w:r w:rsidR="00D339A9" w:rsidRPr="00D339A9">
          <w:rPr>
            <w:webHidden/>
          </w:rPr>
          <w:fldChar w:fldCharType="begin"/>
        </w:r>
        <w:r w:rsidR="00D339A9" w:rsidRPr="00D339A9">
          <w:rPr>
            <w:webHidden/>
          </w:rPr>
          <w:instrText xml:space="preserve"> PAGEREF _Toc519174848 \h </w:instrText>
        </w:r>
        <w:r w:rsidR="00D339A9" w:rsidRPr="00D339A9">
          <w:rPr>
            <w:webHidden/>
          </w:rPr>
        </w:r>
        <w:r w:rsidR="00D339A9" w:rsidRPr="00D339A9">
          <w:rPr>
            <w:webHidden/>
          </w:rPr>
          <w:fldChar w:fldCharType="separate"/>
        </w:r>
        <w:r>
          <w:rPr>
            <w:webHidden/>
            <w:rtl/>
          </w:rPr>
          <w:t>3</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49" w:history="1">
        <w:r w:rsidR="00D339A9" w:rsidRPr="00D339A9">
          <w:rPr>
            <w:rStyle w:val="Hyperlink"/>
            <w:rFonts w:hint="eastAsia"/>
            <w:rtl/>
          </w:rPr>
          <w:t>المعايير</w:t>
        </w:r>
        <w:r w:rsidR="00D339A9" w:rsidRPr="00D339A9">
          <w:rPr>
            <w:rStyle w:val="Hyperlink"/>
            <w:rtl/>
          </w:rPr>
          <w:t xml:space="preserve"> </w:t>
        </w:r>
        <w:r w:rsidR="00D339A9" w:rsidRPr="00D339A9">
          <w:rPr>
            <w:rStyle w:val="Hyperlink"/>
            <w:rFonts w:hint="eastAsia"/>
            <w:rtl/>
          </w:rPr>
          <w:t>المهنية</w:t>
        </w:r>
        <w:r w:rsidR="00D339A9" w:rsidRPr="00D339A9">
          <w:rPr>
            <w:webHidden/>
          </w:rPr>
          <w:tab/>
        </w:r>
        <w:r w:rsidR="00D339A9" w:rsidRPr="00D339A9">
          <w:rPr>
            <w:webHidden/>
          </w:rPr>
          <w:fldChar w:fldCharType="begin"/>
        </w:r>
        <w:r w:rsidR="00D339A9" w:rsidRPr="00D339A9">
          <w:rPr>
            <w:webHidden/>
          </w:rPr>
          <w:instrText xml:space="preserve"> PAGEREF _Toc519174849 \h </w:instrText>
        </w:r>
        <w:r w:rsidR="00D339A9" w:rsidRPr="00D339A9">
          <w:rPr>
            <w:webHidden/>
          </w:rPr>
        </w:r>
        <w:r w:rsidR="00D339A9" w:rsidRPr="00D339A9">
          <w:rPr>
            <w:webHidden/>
          </w:rPr>
          <w:fldChar w:fldCharType="separate"/>
        </w:r>
        <w:r>
          <w:rPr>
            <w:webHidden/>
            <w:rtl/>
          </w:rPr>
          <w:t>3</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0" w:history="1">
        <w:r w:rsidR="00D339A9" w:rsidRPr="00D339A9">
          <w:rPr>
            <w:rStyle w:val="Hyperlink"/>
            <w:rFonts w:hint="eastAsia"/>
            <w:rtl/>
          </w:rPr>
          <w:t>مسائل</w:t>
        </w:r>
        <w:r w:rsidR="00D339A9" w:rsidRPr="00D339A9">
          <w:rPr>
            <w:rStyle w:val="Hyperlink"/>
            <w:rtl/>
          </w:rPr>
          <w:t xml:space="preserve"> </w:t>
        </w:r>
        <w:r w:rsidR="00D339A9" w:rsidRPr="00D339A9">
          <w:rPr>
            <w:rStyle w:val="Hyperlink"/>
            <w:rFonts w:hint="eastAsia"/>
            <w:rtl/>
          </w:rPr>
          <w:t>مهمة</w:t>
        </w:r>
        <w:r w:rsidR="00D339A9" w:rsidRPr="00D339A9">
          <w:rPr>
            <w:rStyle w:val="Hyperlink"/>
            <w:rtl/>
          </w:rPr>
          <w:t xml:space="preserve"> </w:t>
        </w:r>
        <w:r w:rsidR="00D339A9" w:rsidRPr="00D339A9">
          <w:rPr>
            <w:rStyle w:val="Hyperlink"/>
            <w:rFonts w:hint="eastAsia"/>
            <w:rtl/>
          </w:rPr>
          <w:t>وتوصيات</w:t>
        </w:r>
        <w:r w:rsidR="00D339A9" w:rsidRPr="00D339A9">
          <w:rPr>
            <w:rStyle w:val="Hyperlink"/>
            <w:rtl/>
          </w:rPr>
          <w:t xml:space="preserve"> </w:t>
        </w:r>
        <w:r w:rsidR="00D339A9" w:rsidRPr="00D339A9">
          <w:rPr>
            <w:rStyle w:val="Hyperlink"/>
            <w:rFonts w:hint="eastAsia"/>
            <w:rtl/>
          </w:rPr>
          <w:t>الرقابة</w:t>
        </w:r>
        <w:r w:rsidR="00D339A9" w:rsidRPr="00D339A9">
          <w:rPr>
            <w:rStyle w:val="Hyperlink"/>
            <w:rtl/>
          </w:rPr>
          <w:t xml:space="preserve"> </w:t>
        </w:r>
        <w:r w:rsidR="00D339A9" w:rsidRPr="00D339A9">
          <w:rPr>
            <w:rStyle w:val="Hyperlink"/>
            <w:rFonts w:hint="eastAsia"/>
            <w:rtl/>
          </w:rPr>
          <w:t>العالية</w:t>
        </w:r>
        <w:r w:rsidR="00D339A9" w:rsidRPr="00D339A9">
          <w:rPr>
            <w:rStyle w:val="Hyperlink"/>
            <w:rtl/>
          </w:rPr>
          <w:t xml:space="preserve"> </w:t>
        </w:r>
        <w:r w:rsidR="00D339A9" w:rsidRPr="00D339A9">
          <w:rPr>
            <w:rStyle w:val="Hyperlink"/>
            <w:rFonts w:hint="eastAsia"/>
            <w:rtl/>
          </w:rPr>
          <w:t>الأولوية</w:t>
        </w:r>
        <w:r w:rsidR="00D339A9" w:rsidRPr="00D339A9">
          <w:rPr>
            <w:webHidden/>
          </w:rPr>
          <w:tab/>
        </w:r>
        <w:r w:rsidR="00D339A9" w:rsidRPr="00D339A9">
          <w:rPr>
            <w:webHidden/>
          </w:rPr>
          <w:fldChar w:fldCharType="begin"/>
        </w:r>
        <w:r w:rsidR="00D339A9" w:rsidRPr="00D339A9">
          <w:rPr>
            <w:webHidden/>
          </w:rPr>
          <w:instrText xml:space="preserve"> PAGEREF _Toc519174850 \h </w:instrText>
        </w:r>
        <w:r w:rsidR="00D339A9" w:rsidRPr="00D339A9">
          <w:rPr>
            <w:webHidden/>
          </w:rPr>
        </w:r>
        <w:r w:rsidR="00D339A9" w:rsidRPr="00D339A9">
          <w:rPr>
            <w:webHidden/>
          </w:rPr>
          <w:fldChar w:fldCharType="separate"/>
        </w:r>
        <w:r>
          <w:rPr>
            <w:webHidden/>
            <w:rtl/>
          </w:rPr>
          <w:t>3</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1" w:history="1">
        <w:r w:rsidR="00D339A9" w:rsidRPr="00D339A9">
          <w:rPr>
            <w:rStyle w:val="Hyperlink"/>
            <w:rFonts w:hint="eastAsia"/>
            <w:rtl/>
          </w:rPr>
          <w:t>أنشطة</w:t>
        </w:r>
        <w:r w:rsidR="00D339A9" w:rsidRPr="00D339A9">
          <w:rPr>
            <w:rStyle w:val="Hyperlink"/>
            <w:rtl/>
          </w:rPr>
          <w:t xml:space="preserve"> </w:t>
        </w:r>
        <w:r w:rsidR="00D339A9" w:rsidRPr="00D339A9">
          <w:rPr>
            <w:rStyle w:val="Hyperlink"/>
            <w:rFonts w:hint="eastAsia"/>
            <w:rtl/>
          </w:rPr>
          <w:t>التحقيق</w:t>
        </w:r>
        <w:r w:rsidR="00D339A9" w:rsidRPr="00D339A9">
          <w:rPr>
            <w:webHidden/>
          </w:rPr>
          <w:tab/>
        </w:r>
        <w:r w:rsidR="00D339A9" w:rsidRPr="00D339A9">
          <w:rPr>
            <w:webHidden/>
          </w:rPr>
          <w:fldChar w:fldCharType="begin"/>
        </w:r>
        <w:r w:rsidR="00D339A9" w:rsidRPr="00D339A9">
          <w:rPr>
            <w:webHidden/>
          </w:rPr>
          <w:instrText xml:space="preserve"> PAGEREF _Toc519174851 \h </w:instrText>
        </w:r>
        <w:r w:rsidR="00D339A9" w:rsidRPr="00D339A9">
          <w:rPr>
            <w:webHidden/>
          </w:rPr>
        </w:r>
        <w:r w:rsidR="00D339A9" w:rsidRPr="00D339A9">
          <w:rPr>
            <w:webHidden/>
          </w:rPr>
          <w:fldChar w:fldCharType="separate"/>
        </w:r>
        <w:r>
          <w:rPr>
            <w:webHidden/>
            <w:rtl/>
          </w:rPr>
          <w:t>11</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2" w:history="1">
        <w:r w:rsidR="00D339A9" w:rsidRPr="00D339A9">
          <w:rPr>
            <w:rStyle w:val="Hyperlink"/>
            <w:rFonts w:hint="eastAsia"/>
            <w:rtl/>
          </w:rPr>
          <w:t>الحالات</w:t>
        </w:r>
        <w:r w:rsidR="00D339A9" w:rsidRPr="00D339A9">
          <w:rPr>
            <w:rStyle w:val="Hyperlink"/>
            <w:rtl/>
          </w:rPr>
          <w:t xml:space="preserve"> </w:t>
        </w:r>
        <w:r w:rsidR="00D339A9" w:rsidRPr="00D339A9">
          <w:rPr>
            <w:rStyle w:val="Hyperlink"/>
            <w:rFonts w:hint="eastAsia"/>
            <w:rtl/>
          </w:rPr>
          <w:t>التي</w:t>
        </w:r>
        <w:r w:rsidR="00D339A9" w:rsidRPr="00D339A9">
          <w:rPr>
            <w:rStyle w:val="Hyperlink"/>
            <w:rtl/>
          </w:rPr>
          <w:t xml:space="preserve"> </w:t>
        </w:r>
        <w:r w:rsidR="00D339A9" w:rsidRPr="00D339A9">
          <w:rPr>
            <w:rStyle w:val="Hyperlink"/>
            <w:rFonts w:hint="eastAsia"/>
            <w:rtl/>
          </w:rPr>
          <w:t>رُفض</w:t>
        </w:r>
        <w:r w:rsidR="00D339A9" w:rsidRPr="00D339A9">
          <w:rPr>
            <w:rStyle w:val="Hyperlink"/>
            <w:rtl/>
          </w:rPr>
          <w:t xml:space="preserve"> </w:t>
        </w:r>
        <w:r w:rsidR="00D339A9" w:rsidRPr="00D339A9">
          <w:rPr>
            <w:rStyle w:val="Hyperlink"/>
            <w:rFonts w:hint="eastAsia"/>
            <w:rtl/>
          </w:rPr>
          <w:t>فيها</w:t>
        </w:r>
        <w:r w:rsidR="00D339A9" w:rsidRPr="00D339A9">
          <w:rPr>
            <w:rStyle w:val="Hyperlink"/>
            <w:rtl/>
          </w:rPr>
          <w:t xml:space="preserve"> </w:t>
        </w:r>
        <w:r w:rsidR="00D339A9" w:rsidRPr="00D339A9">
          <w:rPr>
            <w:rStyle w:val="Hyperlink"/>
            <w:rFonts w:hint="eastAsia"/>
            <w:rtl/>
          </w:rPr>
          <w:t>تقديم</w:t>
        </w:r>
        <w:r w:rsidR="00D339A9" w:rsidRPr="00D339A9">
          <w:rPr>
            <w:rStyle w:val="Hyperlink"/>
            <w:rtl/>
          </w:rPr>
          <w:t xml:space="preserve"> </w:t>
        </w:r>
        <w:r w:rsidR="00D339A9" w:rsidRPr="00D339A9">
          <w:rPr>
            <w:rStyle w:val="Hyperlink"/>
            <w:rFonts w:hint="eastAsia"/>
            <w:rtl/>
          </w:rPr>
          <w:t>معلومات</w:t>
        </w:r>
        <w:r w:rsidR="00D339A9" w:rsidRPr="00D339A9">
          <w:rPr>
            <w:rStyle w:val="Hyperlink"/>
            <w:rtl/>
          </w:rPr>
          <w:t xml:space="preserve"> </w:t>
        </w:r>
        <w:r w:rsidR="00D339A9" w:rsidRPr="00D339A9">
          <w:rPr>
            <w:rStyle w:val="Hyperlink"/>
            <w:rFonts w:hint="eastAsia"/>
            <w:rtl/>
          </w:rPr>
          <w:t>أو</w:t>
        </w:r>
        <w:r w:rsidR="00D339A9" w:rsidRPr="00D339A9">
          <w:rPr>
            <w:rStyle w:val="Hyperlink"/>
            <w:rtl/>
          </w:rPr>
          <w:t xml:space="preserve"> </w:t>
        </w:r>
        <w:r w:rsidR="00D339A9" w:rsidRPr="00D339A9">
          <w:rPr>
            <w:rStyle w:val="Hyperlink"/>
            <w:rFonts w:hint="eastAsia"/>
            <w:rtl/>
          </w:rPr>
          <w:t>مساعدات</w:t>
        </w:r>
        <w:r w:rsidR="00D339A9" w:rsidRPr="00D339A9">
          <w:rPr>
            <w:webHidden/>
          </w:rPr>
          <w:tab/>
        </w:r>
        <w:r w:rsidR="00D339A9" w:rsidRPr="00D339A9">
          <w:rPr>
            <w:webHidden/>
          </w:rPr>
          <w:fldChar w:fldCharType="begin"/>
        </w:r>
        <w:r w:rsidR="00D339A9" w:rsidRPr="00D339A9">
          <w:rPr>
            <w:webHidden/>
          </w:rPr>
          <w:instrText xml:space="preserve"> PAGEREF _Toc519174852 \h </w:instrText>
        </w:r>
        <w:r w:rsidR="00D339A9" w:rsidRPr="00D339A9">
          <w:rPr>
            <w:webHidden/>
          </w:rPr>
        </w:r>
        <w:r w:rsidR="00D339A9" w:rsidRPr="00D339A9">
          <w:rPr>
            <w:webHidden/>
          </w:rPr>
          <w:fldChar w:fldCharType="separate"/>
        </w:r>
        <w:r>
          <w:rPr>
            <w:webHidden/>
            <w:rtl/>
          </w:rPr>
          <w:t>14</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3" w:history="1">
        <w:r w:rsidR="00D339A9" w:rsidRPr="00D339A9">
          <w:rPr>
            <w:rStyle w:val="Hyperlink"/>
            <w:rFonts w:hint="eastAsia"/>
            <w:rtl/>
          </w:rPr>
          <w:t>وضع</w:t>
        </w:r>
        <w:r w:rsidR="00D339A9" w:rsidRPr="00D339A9">
          <w:rPr>
            <w:rStyle w:val="Hyperlink"/>
            <w:rtl/>
          </w:rPr>
          <w:t xml:space="preserve"> </w:t>
        </w:r>
        <w:r w:rsidR="00D339A9" w:rsidRPr="00D339A9">
          <w:rPr>
            <w:rStyle w:val="Hyperlink"/>
            <w:rFonts w:hint="eastAsia"/>
            <w:rtl/>
          </w:rPr>
          <w:t>تنفيذ</w:t>
        </w:r>
        <w:r w:rsidR="00D339A9" w:rsidRPr="00D339A9">
          <w:rPr>
            <w:rStyle w:val="Hyperlink"/>
            <w:rtl/>
          </w:rPr>
          <w:t xml:space="preserve"> </w:t>
        </w:r>
        <w:r w:rsidR="00D339A9" w:rsidRPr="00D339A9">
          <w:rPr>
            <w:rStyle w:val="Hyperlink"/>
            <w:rFonts w:hint="eastAsia"/>
            <w:rtl/>
          </w:rPr>
          <w:t>توصيات</w:t>
        </w:r>
        <w:r w:rsidR="00D339A9" w:rsidRPr="00D339A9">
          <w:rPr>
            <w:rStyle w:val="Hyperlink"/>
            <w:rtl/>
          </w:rPr>
          <w:t xml:space="preserve"> </w:t>
        </w:r>
        <w:r w:rsidR="00D339A9" w:rsidRPr="00D339A9">
          <w:rPr>
            <w:rStyle w:val="Hyperlink"/>
            <w:rFonts w:hint="eastAsia"/>
            <w:rtl/>
          </w:rPr>
          <w:t>الرقابة</w:t>
        </w:r>
        <w:r w:rsidR="00D339A9" w:rsidRPr="00D339A9">
          <w:rPr>
            <w:webHidden/>
          </w:rPr>
          <w:tab/>
        </w:r>
        <w:r w:rsidR="00D339A9" w:rsidRPr="00D339A9">
          <w:rPr>
            <w:webHidden/>
          </w:rPr>
          <w:fldChar w:fldCharType="begin"/>
        </w:r>
        <w:r w:rsidR="00D339A9" w:rsidRPr="00D339A9">
          <w:rPr>
            <w:webHidden/>
          </w:rPr>
          <w:instrText xml:space="preserve"> PAGEREF _Toc519174853 \h </w:instrText>
        </w:r>
        <w:r w:rsidR="00D339A9" w:rsidRPr="00D339A9">
          <w:rPr>
            <w:webHidden/>
          </w:rPr>
        </w:r>
        <w:r w:rsidR="00D339A9" w:rsidRPr="00D339A9">
          <w:rPr>
            <w:webHidden/>
          </w:rPr>
          <w:fldChar w:fldCharType="separate"/>
        </w:r>
        <w:r>
          <w:rPr>
            <w:webHidden/>
            <w:rtl/>
          </w:rPr>
          <w:t>14</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4" w:history="1">
        <w:r w:rsidR="00D339A9" w:rsidRPr="00D339A9">
          <w:rPr>
            <w:rStyle w:val="Hyperlink"/>
            <w:rFonts w:hint="eastAsia"/>
            <w:rtl/>
          </w:rPr>
          <w:t>العمل</w:t>
        </w:r>
        <w:r w:rsidR="00D339A9" w:rsidRPr="00D339A9">
          <w:rPr>
            <w:rStyle w:val="Hyperlink"/>
            <w:rtl/>
          </w:rPr>
          <w:t xml:space="preserve"> </w:t>
        </w:r>
        <w:r w:rsidR="00D339A9" w:rsidRPr="00D339A9">
          <w:rPr>
            <w:rStyle w:val="Hyperlink"/>
            <w:rFonts w:hint="eastAsia"/>
            <w:rtl/>
          </w:rPr>
          <w:t>الاستشاري</w:t>
        </w:r>
        <w:r w:rsidR="00D339A9" w:rsidRPr="00D339A9">
          <w:rPr>
            <w:rStyle w:val="Hyperlink"/>
            <w:rtl/>
          </w:rPr>
          <w:t xml:space="preserve"> </w:t>
        </w:r>
        <w:r w:rsidR="00D339A9" w:rsidRPr="00D339A9">
          <w:rPr>
            <w:rStyle w:val="Hyperlink"/>
            <w:rFonts w:hint="eastAsia"/>
            <w:rtl/>
          </w:rPr>
          <w:t>والرقابي</w:t>
        </w:r>
        <w:r w:rsidR="00D339A9" w:rsidRPr="00D339A9">
          <w:rPr>
            <w:rStyle w:val="Hyperlink"/>
            <w:rtl/>
          </w:rPr>
          <w:t xml:space="preserve"> </w:t>
        </w:r>
        <w:r w:rsidR="00D339A9" w:rsidRPr="00D339A9">
          <w:rPr>
            <w:rStyle w:val="Hyperlink"/>
            <w:rFonts w:hint="eastAsia"/>
            <w:rtl/>
          </w:rPr>
          <w:t>الاستشاري</w:t>
        </w:r>
        <w:r w:rsidR="00D339A9" w:rsidRPr="00D339A9">
          <w:rPr>
            <w:webHidden/>
          </w:rPr>
          <w:tab/>
        </w:r>
        <w:r w:rsidR="00D339A9" w:rsidRPr="00D339A9">
          <w:rPr>
            <w:webHidden/>
          </w:rPr>
          <w:fldChar w:fldCharType="begin"/>
        </w:r>
        <w:r w:rsidR="00D339A9" w:rsidRPr="00D339A9">
          <w:rPr>
            <w:webHidden/>
          </w:rPr>
          <w:instrText xml:space="preserve"> PAGEREF _Toc519174854 \h </w:instrText>
        </w:r>
        <w:r w:rsidR="00D339A9" w:rsidRPr="00D339A9">
          <w:rPr>
            <w:webHidden/>
          </w:rPr>
        </w:r>
        <w:r w:rsidR="00D339A9" w:rsidRPr="00D339A9">
          <w:rPr>
            <w:webHidden/>
          </w:rPr>
          <w:fldChar w:fldCharType="separate"/>
        </w:r>
        <w:r>
          <w:rPr>
            <w:webHidden/>
            <w:rtl/>
          </w:rPr>
          <w:t>17</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5" w:history="1">
        <w:r w:rsidR="00D339A9" w:rsidRPr="00D339A9">
          <w:rPr>
            <w:rStyle w:val="Hyperlink"/>
            <w:rFonts w:hint="eastAsia"/>
            <w:rtl/>
          </w:rPr>
          <w:t>التعاون</w:t>
        </w:r>
        <w:r w:rsidR="00D339A9" w:rsidRPr="00D339A9">
          <w:rPr>
            <w:rStyle w:val="Hyperlink"/>
            <w:rtl/>
          </w:rPr>
          <w:t xml:space="preserve"> </w:t>
        </w:r>
        <w:r w:rsidR="00D339A9" w:rsidRPr="00D339A9">
          <w:rPr>
            <w:rStyle w:val="Hyperlink"/>
            <w:rFonts w:hint="eastAsia"/>
            <w:rtl/>
          </w:rPr>
          <w:t>مع</w:t>
        </w:r>
        <w:r w:rsidR="00D339A9" w:rsidRPr="00D339A9">
          <w:rPr>
            <w:rStyle w:val="Hyperlink"/>
            <w:rtl/>
          </w:rPr>
          <w:t xml:space="preserve"> </w:t>
        </w:r>
        <w:r w:rsidR="00D339A9" w:rsidRPr="00D339A9">
          <w:rPr>
            <w:rStyle w:val="Hyperlink"/>
            <w:rFonts w:hint="eastAsia"/>
            <w:rtl/>
          </w:rPr>
          <w:t>هيئات</w:t>
        </w:r>
        <w:r w:rsidR="00D339A9" w:rsidRPr="00D339A9">
          <w:rPr>
            <w:rStyle w:val="Hyperlink"/>
            <w:rtl/>
          </w:rPr>
          <w:t xml:space="preserve"> </w:t>
        </w:r>
        <w:r w:rsidR="00D339A9" w:rsidRPr="00D339A9">
          <w:rPr>
            <w:rStyle w:val="Hyperlink"/>
            <w:rFonts w:hint="eastAsia"/>
            <w:rtl/>
          </w:rPr>
          <w:t>الرقابة</w:t>
        </w:r>
        <w:r w:rsidR="00D339A9" w:rsidRPr="00D339A9">
          <w:rPr>
            <w:rStyle w:val="Hyperlink"/>
            <w:rtl/>
          </w:rPr>
          <w:t xml:space="preserve"> </w:t>
        </w:r>
        <w:r w:rsidR="00D339A9" w:rsidRPr="00D339A9">
          <w:rPr>
            <w:rStyle w:val="Hyperlink"/>
            <w:rFonts w:hint="eastAsia"/>
            <w:rtl/>
          </w:rPr>
          <w:t>الخارجية</w:t>
        </w:r>
        <w:r w:rsidR="00D339A9" w:rsidRPr="00D339A9">
          <w:rPr>
            <w:webHidden/>
          </w:rPr>
          <w:tab/>
        </w:r>
        <w:r w:rsidR="00D339A9" w:rsidRPr="00D339A9">
          <w:rPr>
            <w:webHidden/>
          </w:rPr>
          <w:fldChar w:fldCharType="begin"/>
        </w:r>
        <w:r w:rsidR="00D339A9" w:rsidRPr="00D339A9">
          <w:rPr>
            <w:webHidden/>
          </w:rPr>
          <w:instrText xml:space="preserve"> PAGEREF _Toc519174855 \h </w:instrText>
        </w:r>
        <w:r w:rsidR="00D339A9" w:rsidRPr="00D339A9">
          <w:rPr>
            <w:webHidden/>
          </w:rPr>
        </w:r>
        <w:r w:rsidR="00D339A9" w:rsidRPr="00D339A9">
          <w:rPr>
            <w:webHidden/>
          </w:rPr>
          <w:fldChar w:fldCharType="separate"/>
        </w:r>
        <w:r>
          <w:rPr>
            <w:webHidden/>
            <w:rtl/>
          </w:rPr>
          <w:t>18</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6" w:history="1">
        <w:r w:rsidR="00D339A9" w:rsidRPr="00D339A9">
          <w:rPr>
            <w:rStyle w:val="Hyperlink"/>
            <w:rFonts w:hint="eastAsia"/>
            <w:rtl/>
          </w:rPr>
          <w:t>التعاون</w:t>
        </w:r>
        <w:r w:rsidR="00D339A9" w:rsidRPr="00D339A9">
          <w:rPr>
            <w:rStyle w:val="Hyperlink"/>
            <w:rtl/>
          </w:rPr>
          <w:t xml:space="preserve"> </w:t>
        </w:r>
        <w:r w:rsidR="00D339A9" w:rsidRPr="00D339A9">
          <w:rPr>
            <w:rStyle w:val="Hyperlink"/>
            <w:rFonts w:hint="eastAsia"/>
            <w:rtl/>
          </w:rPr>
          <w:t>مع</w:t>
        </w:r>
        <w:r w:rsidR="00D339A9" w:rsidRPr="00D339A9">
          <w:rPr>
            <w:rStyle w:val="Hyperlink"/>
            <w:rtl/>
          </w:rPr>
          <w:t xml:space="preserve"> </w:t>
        </w:r>
        <w:r w:rsidR="00D339A9" w:rsidRPr="00D339A9">
          <w:rPr>
            <w:rStyle w:val="Hyperlink"/>
            <w:rFonts w:hint="eastAsia"/>
            <w:rtl/>
          </w:rPr>
          <w:t>أمين</w:t>
        </w:r>
        <w:r w:rsidR="00D339A9" w:rsidRPr="00D339A9">
          <w:rPr>
            <w:rStyle w:val="Hyperlink"/>
            <w:rtl/>
          </w:rPr>
          <w:t xml:space="preserve"> </w:t>
        </w:r>
        <w:r w:rsidR="00D339A9" w:rsidRPr="00D339A9">
          <w:rPr>
            <w:rStyle w:val="Hyperlink"/>
            <w:rFonts w:hint="eastAsia"/>
            <w:rtl/>
          </w:rPr>
          <w:t>المظالم</w:t>
        </w:r>
        <w:r w:rsidR="00D339A9" w:rsidRPr="00D339A9">
          <w:rPr>
            <w:rStyle w:val="Hyperlink"/>
            <w:rtl/>
          </w:rPr>
          <w:t xml:space="preserve"> </w:t>
        </w:r>
        <w:r w:rsidR="00D339A9" w:rsidRPr="00D339A9">
          <w:rPr>
            <w:rStyle w:val="Hyperlink"/>
            <w:rFonts w:hint="eastAsia"/>
            <w:rtl/>
          </w:rPr>
          <w:t>ومكتب</w:t>
        </w:r>
        <w:r w:rsidR="00D339A9" w:rsidRPr="00D339A9">
          <w:rPr>
            <w:rStyle w:val="Hyperlink"/>
            <w:rtl/>
          </w:rPr>
          <w:t xml:space="preserve"> </w:t>
        </w:r>
        <w:r w:rsidR="00D339A9" w:rsidRPr="00D339A9">
          <w:rPr>
            <w:rStyle w:val="Hyperlink"/>
            <w:rFonts w:hint="eastAsia"/>
            <w:rtl/>
          </w:rPr>
          <w:t>الأخلاقيات</w:t>
        </w:r>
        <w:r w:rsidR="00D339A9" w:rsidRPr="00D339A9">
          <w:rPr>
            <w:webHidden/>
          </w:rPr>
          <w:tab/>
        </w:r>
        <w:r w:rsidR="00D339A9" w:rsidRPr="00D339A9">
          <w:rPr>
            <w:webHidden/>
          </w:rPr>
          <w:fldChar w:fldCharType="begin"/>
        </w:r>
        <w:r w:rsidR="00D339A9" w:rsidRPr="00D339A9">
          <w:rPr>
            <w:webHidden/>
          </w:rPr>
          <w:instrText xml:space="preserve"> PAGEREF _Toc519174856 \h </w:instrText>
        </w:r>
        <w:r w:rsidR="00D339A9" w:rsidRPr="00D339A9">
          <w:rPr>
            <w:webHidden/>
          </w:rPr>
        </w:r>
        <w:r w:rsidR="00D339A9" w:rsidRPr="00D339A9">
          <w:rPr>
            <w:webHidden/>
          </w:rPr>
          <w:fldChar w:fldCharType="separate"/>
        </w:r>
        <w:r>
          <w:rPr>
            <w:webHidden/>
            <w:rtl/>
          </w:rPr>
          <w:t>18</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7" w:history="1">
        <w:r w:rsidR="00D339A9" w:rsidRPr="00D339A9">
          <w:rPr>
            <w:rStyle w:val="Hyperlink"/>
            <w:rFonts w:hint="eastAsia"/>
            <w:rtl/>
          </w:rPr>
          <w:t>أنشطة</w:t>
        </w:r>
        <w:r w:rsidR="00D339A9" w:rsidRPr="00D339A9">
          <w:rPr>
            <w:rStyle w:val="Hyperlink"/>
            <w:rtl/>
          </w:rPr>
          <w:t xml:space="preserve"> </w:t>
        </w:r>
        <w:r w:rsidR="00D339A9" w:rsidRPr="00D339A9">
          <w:rPr>
            <w:rStyle w:val="Hyperlink"/>
            <w:rFonts w:hint="eastAsia"/>
            <w:rtl/>
          </w:rPr>
          <w:t>الرقابة</w:t>
        </w:r>
        <w:r w:rsidR="00D339A9" w:rsidRPr="00D339A9">
          <w:rPr>
            <w:rStyle w:val="Hyperlink"/>
            <w:rtl/>
          </w:rPr>
          <w:t xml:space="preserve"> </w:t>
        </w:r>
        <w:r w:rsidR="00D339A9" w:rsidRPr="00D339A9">
          <w:rPr>
            <w:rStyle w:val="Hyperlink"/>
            <w:rFonts w:hint="eastAsia"/>
            <w:rtl/>
          </w:rPr>
          <w:t>الأخرى</w:t>
        </w:r>
        <w:r w:rsidR="00D339A9" w:rsidRPr="00D339A9">
          <w:rPr>
            <w:webHidden/>
          </w:rPr>
          <w:tab/>
        </w:r>
        <w:r w:rsidR="00D339A9" w:rsidRPr="00D339A9">
          <w:rPr>
            <w:webHidden/>
          </w:rPr>
          <w:fldChar w:fldCharType="begin"/>
        </w:r>
        <w:r w:rsidR="00D339A9" w:rsidRPr="00D339A9">
          <w:rPr>
            <w:webHidden/>
          </w:rPr>
          <w:instrText xml:space="preserve"> PAGEREF _Toc519174857 \h </w:instrText>
        </w:r>
        <w:r w:rsidR="00D339A9" w:rsidRPr="00D339A9">
          <w:rPr>
            <w:webHidden/>
          </w:rPr>
        </w:r>
        <w:r w:rsidR="00D339A9" w:rsidRPr="00D339A9">
          <w:rPr>
            <w:webHidden/>
          </w:rPr>
          <w:fldChar w:fldCharType="separate"/>
        </w:r>
        <w:r>
          <w:rPr>
            <w:webHidden/>
            <w:rtl/>
          </w:rPr>
          <w:t>18</w:t>
        </w:r>
        <w:r w:rsidR="00D339A9" w:rsidRPr="00D339A9">
          <w:rPr>
            <w:webHidden/>
          </w:rPr>
          <w:fldChar w:fldCharType="end"/>
        </w:r>
      </w:hyperlink>
    </w:p>
    <w:p w:rsidR="00D339A9" w:rsidRPr="00D339A9" w:rsidRDefault="00411B31" w:rsidP="00D339A9">
      <w:pPr>
        <w:pStyle w:val="TOC1"/>
        <w:rPr>
          <w:rFonts w:asciiTheme="minorHAnsi" w:eastAsiaTheme="minorEastAsia" w:hAnsiTheme="minorHAnsi" w:cstheme="minorBidi"/>
          <w:sz w:val="22"/>
          <w:szCs w:val="22"/>
        </w:rPr>
      </w:pPr>
      <w:hyperlink w:anchor="_Toc519174858" w:history="1">
        <w:r w:rsidR="00D339A9" w:rsidRPr="00D339A9">
          <w:rPr>
            <w:rStyle w:val="Hyperlink"/>
            <w:rFonts w:hint="eastAsia"/>
            <w:rtl/>
          </w:rPr>
          <w:t>الاستقلالية</w:t>
        </w:r>
        <w:r w:rsidR="00D339A9" w:rsidRPr="00D339A9">
          <w:rPr>
            <w:rStyle w:val="Hyperlink"/>
            <w:rtl/>
          </w:rPr>
          <w:t xml:space="preserve"> </w:t>
        </w:r>
        <w:r w:rsidR="00D339A9" w:rsidRPr="00D339A9">
          <w:rPr>
            <w:rStyle w:val="Hyperlink"/>
            <w:rFonts w:hint="eastAsia"/>
            <w:rtl/>
          </w:rPr>
          <w:t>التشغيلية</w:t>
        </w:r>
        <w:r w:rsidR="00D339A9" w:rsidRPr="00D339A9">
          <w:rPr>
            <w:rStyle w:val="Hyperlink"/>
            <w:rtl/>
          </w:rPr>
          <w:t xml:space="preserve"> </w:t>
        </w:r>
        <w:r w:rsidR="00D339A9" w:rsidRPr="00D339A9">
          <w:rPr>
            <w:rStyle w:val="Hyperlink"/>
            <w:rFonts w:hint="eastAsia"/>
            <w:rtl/>
          </w:rPr>
          <w:t>لشعبة</w:t>
        </w:r>
        <w:r w:rsidR="00D339A9" w:rsidRPr="00D339A9">
          <w:rPr>
            <w:rStyle w:val="Hyperlink"/>
            <w:rtl/>
          </w:rPr>
          <w:t xml:space="preserve"> </w:t>
        </w:r>
        <w:r w:rsidR="00D339A9" w:rsidRPr="00D339A9">
          <w:rPr>
            <w:rStyle w:val="Hyperlink"/>
            <w:rFonts w:hint="eastAsia"/>
            <w:rtl/>
          </w:rPr>
          <w:t>الرقابة</w:t>
        </w:r>
        <w:r w:rsidR="00D339A9" w:rsidRPr="00D339A9">
          <w:rPr>
            <w:rStyle w:val="Hyperlink"/>
            <w:rtl/>
          </w:rPr>
          <w:t xml:space="preserve"> </w:t>
        </w:r>
        <w:r w:rsidR="00D339A9" w:rsidRPr="00D339A9">
          <w:rPr>
            <w:rStyle w:val="Hyperlink"/>
            <w:rFonts w:hint="eastAsia"/>
            <w:rtl/>
          </w:rPr>
          <w:t>الداخلية</w:t>
        </w:r>
        <w:r w:rsidR="00D339A9" w:rsidRPr="00D339A9">
          <w:rPr>
            <w:webHidden/>
          </w:rPr>
          <w:tab/>
        </w:r>
        <w:r w:rsidR="00D339A9" w:rsidRPr="00D339A9">
          <w:rPr>
            <w:webHidden/>
          </w:rPr>
          <w:fldChar w:fldCharType="begin"/>
        </w:r>
        <w:r w:rsidR="00D339A9" w:rsidRPr="00D339A9">
          <w:rPr>
            <w:webHidden/>
          </w:rPr>
          <w:instrText xml:space="preserve"> PAGEREF _Toc519174858 \h </w:instrText>
        </w:r>
        <w:r w:rsidR="00D339A9" w:rsidRPr="00D339A9">
          <w:rPr>
            <w:webHidden/>
          </w:rPr>
        </w:r>
        <w:r w:rsidR="00D339A9" w:rsidRPr="00D339A9">
          <w:rPr>
            <w:webHidden/>
          </w:rPr>
          <w:fldChar w:fldCharType="separate"/>
        </w:r>
        <w:r>
          <w:rPr>
            <w:webHidden/>
            <w:rtl/>
          </w:rPr>
          <w:t>19</w:t>
        </w:r>
        <w:r w:rsidR="00D339A9" w:rsidRPr="00D339A9">
          <w:rPr>
            <w:webHidden/>
          </w:rPr>
          <w:fldChar w:fldCharType="end"/>
        </w:r>
      </w:hyperlink>
    </w:p>
    <w:p w:rsidR="00D339A9" w:rsidRDefault="00411B31" w:rsidP="00D339A9">
      <w:pPr>
        <w:pStyle w:val="TOC1"/>
        <w:rPr>
          <w:rFonts w:asciiTheme="minorHAnsi" w:eastAsiaTheme="minorEastAsia" w:hAnsiTheme="minorHAnsi" w:cstheme="minorBidi"/>
          <w:sz w:val="22"/>
          <w:szCs w:val="22"/>
        </w:rPr>
      </w:pPr>
      <w:hyperlink w:anchor="_Toc519174859" w:history="1">
        <w:r w:rsidR="00D339A9" w:rsidRPr="00D339A9">
          <w:rPr>
            <w:rStyle w:val="Hyperlink"/>
            <w:rFonts w:hint="eastAsia"/>
            <w:rtl/>
          </w:rPr>
          <w:t>موارد</w:t>
        </w:r>
        <w:r w:rsidR="00D339A9" w:rsidRPr="00D339A9">
          <w:rPr>
            <w:rStyle w:val="Hyperlink"/>
            <w:rtl/>
          </w:rPr>
          <w:t xml:space="preserve"> </w:t>
        </w:r>
        <w:r w:rsidR="00D339A9" w:rsidRPr="00D339A9">
          <w:rPr>
            <w:rStyle w:val="Hyperlink"/>
            <w:rFonts w:hint="eastAsia"/>
            <w:rtl/>
          </w:rPr>
          <w:t>الرقابة</w:t>
        </w:r>
        <w:r w:rsidR="00D339A9" w:rsidRPr="00D339A9">
          <w:rPr>
            <w:webHidden/>
          </w:rPr>
          <w:tab/>
        </w:r>
        <w:r w:rsidR="00D339A9" w:rsidRPr="00D339A9">
          <w:rPr>
            <w:webHidden/>
          </w:rPr>
          <w:fldChar w:fldCharType="begin"/>
        </w:r>
        <w:r w:rsidR="00D339A9" w:rsidRPr="00D339A9">
          <w:rPr>
            <w:webHidden/>
          </w:rPr>
          <w:instrText xml:space="preserve"> PAGEREF _Toc519174859 \h </w:instrText>
        </w:r>
        <w:r w:rsidR="00D339A9" w:rsidRPr="00D339A9">
          <w:rPr>
            <w:webHidden/>
          </w:rPr>
        </w:r>
        <w:r w:rsidR="00D339A9" w:rsidRPr="00D339A9">
          <w:rPr>
            <w:webHidden/>
          </w:rPr>
          <w:fldChar w:fldCharType="separate"/>
        </w:r>
        <w:r>
          <w:rPr>
            <w:webHidden/>
            <w:rtl/>
          </w:rPr>
          <w:t>20</w:t>
        </w:r>
        <w:r w:rsidR="00D339A9" w:rsidRPr="00D339A9">
          <w:rPr>
            <w:webHidden/>
          </w:rPr>
          <w:fldChar w:fldCharType="end"/>
        </w:r>
      </w:hyperlink>
    </w:p>
    <w:p w:rsidR="00227B24" w:rsidRDefault="00227B24" w:rsidP="00D339A9">
      <w:pPr>
        <w:pStyle w:val="TOC1"/>
        <w:tabs>
          <w:tab w:val="clear" w:pos="440"/>
          <w:tab w:val="clear" w:pos="9345"/>
          <w:tab w:val="center" w:pos="4677"/>
        </w:tabs>
        <w:rPr>
          <w:rtl/>
        </w:rPr>
      </w:pPr>
      <w:r w:rsidRPr="0092308D">
        <w:rPr>
          <w:rtl/>
        </w:rPr>
        <w:fldChar w:fldCharType="end"/>
      </w:r>
      <w:r w:rsidR="00D339A9">
        <w:rPr>
          <w:rtl/>
        </w:rPr>
        <w:tab/>
      </w:r>
    </w:p>
    <w:p w:rsidR="00BB4B9B" w:rsidRPr="00BB4B9B" w:rsidRDefault="001E1D9B" w:rsidP="00BB4B9B">
      <w:pPr>
        <w:rPr>
          <w:b/>
          <w:bCs/>
          <w:sz w:val="40"/>
          <w:szCs w:val="40"/>
          <w:rtl/>
        </w:rPr>
      </w:pPr>
      <w:r>
        <w:rPr>
          <w:rFonts w:hint="cs"/>
          <w:b/>
          <w:bCs/>
          <w:sz w:val="40"/>
          <w:szCs w:val="40"/>
          <w:rtl/>
        </w:rPr>
        <w:t>المرفق</w:t>
      </w:r>
    </w:p>
    <w:p w:rsidR="00BB4B9B" w:rsidRPr="003C17D4" w:rsidRDefault="001E1D9B" w:rsidP="001E1D9B">
      <w:pPr>
        <w:rPr>
          <w:sz w:val="40"/>
          <w:szCs w:val="40"/>
        </w:rPr>
      </w:pPr>
      <w:r>
        <w:rPr>
          <w:rFonts w:hint="cs"/>
          <w:sz w:val="40"/>
          <w:szCs w:val="40"/>
          <w:rtl/>
        </w:rPr>
        <w:t>المرفق</w:t>
      </w:r>
      <w:r w:rsidR="00BB4B9B" w:rsidRPr="003C17D4">
        <w:rPr>
          <w:rFonts w:hint="cs"/>
          <w:sz w:val="40"/>
          <w:szCs w:val="40"/>
          <w:rtl/>
        </w:rPr>
        <w:t xml:space="preserve"> - </w:t>
      </w:r>
      <w:r w:rsidR="00BB4B9B" w:rsidRPr="003C17D4">
        <w:rPr>
          <w:rFonts w:hint="cs"/>
          <w:sz w:val="40"/>
          <w:szCs w:val="40"/>
          <w:rtl/>
        </w:rPr>
        <w:tab/>
        <w:t>قائمة تقارير شعبة الرقابة الداخلية</w:t>
      </w:r>
    </w:p>
    <w:p w:rsidR="00A6284D" w:rsidRDefault="00A6284D">
      <w:pPr>
        <w:bidi w:val="0"/>
        <w:rPr>
          <w:rtl/>
          <w:lang w:bidi="ar-EG"/>
        </w:rPr>
      </w:pPr>
      <w:r>
        <w:rPr>
          <w:rtl/>
        </w:rPr>
        <w:br w:type="page"/>
      </w:r>
    </w:p>
    <w:p w:rsidR="009D1848" w:rsidRDefault="009D1848" w:rsidP="00227B24">
      <w:pPr>
        <w:pStyle w:val="Heading2"/>
        <w:rPr>
          <w:rtl/>
        </w:rPr>
      </w:pPr>
      <w:bookmarkStart w:id="12" w:name="_Toc519174847"/>
      <w:r>
        <w:rPr>
          <w:rtl/>
        </w:rPr>
        <w:lastRenderedPageBreak/>
        <w:t>معلومات أساسية</w:t>
      </w:r>
      <w:bookmarkEnd w:id="12"/>
    </w:p>
    <w:p w:rsidR="009D1848" w:rsidRDefault="009D1848" w:rsidP="00EE1C17">
      <w:pPr>
        <w:pStyle w:val="ONUMA"/>
        <w:numPr>
          <w:ilvl w:val="0"/>
          <w:numId w:val="15"/>
        </w:numPr>
        <w:rPr>
          <w:rtl/>
        </w:rPr>
      </w:pPr>
      <w:r>
        <w:rPr>
          <w:rtl/>
        </w:rPr>
        <w:t>الغرض من شعبة الويبو للرقابة الداخلية هو توفير رقابة داخلية مستقلة وفعالة للويبو، وفقا للأحكام المنصوص عليها في ميثاق الرقابة الداخلية.</w:t>
      </w:r>
    </w:p>
    <w:p w:rsidR="009D1848" w:rsidRDefault="009D1848" w:rsidP="00CD73D7">
      <w:pPr>
        <w:pStyle w:val="ONUMA"/>
        <w:numPr>
          <w:ilvl w:val="0"/>
          <w:numId w:val="15"/>
        </w:numPr>
        <w:rPr>
          <w:rtl/>
        </w:rPr>
      </w:pPr>
      <w:r>
        <w:rPr>
          <w:rtl/>
          <w:lang w:bidi="ar-EG"/>
        </w:rPr>
        <w:t>ويقضي ميثاق</w:t>
      </w:r>
      <w:r>
        <w:rPr>
          <w:rtl/>
        </w:rPr>
        <w:t xml:space="preserve"> الرقابة الداخلية</w:t>
      </w:r>
      <w:r w:rsidR="00CD73D7" w:rsidRPr="000C2351">
        <w:rPr>
          <w:vertAlign w:val="superscript"/>
          <w:rtl/>
        </w:rPr>
        <w:footnoteReference w:id="1"/>
      </w:r>
      <w:r>
        <w:rPr>
          <w:rtl/>
        </w:rPr>
        <w:t xml:space="preserve"> بأن يقدِّم مدير شعبة الرقابة الداخلية تقريرا سنويا موجزا إلى الجمعية العامة للويبو، من خلال لجنة البرنامج والميزانية. ويتناول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p>
    <w:p w:rsidR="009D1848" w:rsidRDefault="009D1848" w:rsidP="00EE1C17">
      <w:pPr>
        <w:pStyle w:val="ONUMA"/>
        <w:numPr>
          <w:ilvl w:val="0"/>
          <w:numId w:val="15"/>
        </w:numPr>
        <w:rPr>
          <w:rtl/>
        </w:rPr>
      </w:pPr>
      <w:r>
        <w:rPr>
          <w:rtl/>
        </w:rPr>
        <w:t>ووفقا لميثاق الرقابة الداخلية، قدِّمت إلى المدير العام واللجنة الاستشارية المستقلة للرقابة نسخة من مشروع التقرير السنوي لتقديم تعلي</w:t>
      </w:r>
      <w:r>
        <w:rPr>
          <w:rtl/>
          <w:lang w:bidi="ar-EG"/>
        </w:rPr>
        <w:t>قات عليه؛ وروعيت تلك التعليقات في النسخة النهائية من التقرير.</w:t>
      </w:r>
    </w:p>
    <w:p w:rsidR="009D1848" w:rsidRDefault="009D1848" w:rsidP="00E87DE2">
      <w:pPr>
        <w:pStyle w:val="Heading2"/>
        <w:rPr>
          <w:rtl/>
        </w:rPr>
      </w:pPr>
      <w:bookmarkStart w:id="13" w:name="_Toc519174848"/>
      <w:r>
        <w:rPr>
          <w:rtl/>
        </w:rPr>
        <w:t>مبادئ التخطيط</w:t>
      </w:r>
      <w:bookmarkEnd w:id="13"/>
    </w:p>
    <w:p w:rsidR="009D1848" w:rsidRDefault="009D1848" w:rsidP="00EE1C17">
      <w:pPr>
        <w:pStyle w:val="ONUMA"/>
        <w:numPr>
          <w:ilvl w:val="0"/>
          <w:numId w:val="15"/>
        </w:numPr>
        <w:rPr>
          <w:rtl/>
        </w:rPr>
      </w:pPr>
      <w:r>
        <w:rPr>
          <w:rtl/>
          <w:lang w:bidi="ar-EG"/>
        </w:rPr>
        <w:t>راعت الشعبة العوامل التالية في وضع خطة عملها: تقييم المخاطر ودراسة الجدوى والأثر في البلد ودورة الرقابة والآراء النقدية لإدارة الويبو والدول ا</w:t>
      </w:r>
      <w:r>
        <w:rPr>
          <w:rtl/>
        </w:rPr>
        <w:t>لأعضاء والموارد المتاحة. وقبل وضع الصيغة النهائية لخطة العمل، قُدِّم مشروع خطة الرقابة أيضا إلى اللجنة الاستشارية المستقلة للرقابة لاستعراضه وتقديم المشورة بشأنه وفقا للفقرة 26(أ) من ميثاق الرقابة الداخلية.</w:t>
      </w:r>
    </w:p>
    <w:p w:rsidR="009D1848" w:rsidRDefault="009D1848" w:rsidP="00EE1C17">
      <w:pPr>
        <w:pStyle w:val="ONUMA"/>
        <w:numPr>
          <w:ilvl w:val="0"/>
          <w:numId w:val="15"/>
        </w:numPr>
        <w:rPr>
          <w:rtl/>
        </w:rPr>
      </w:pPr>
      <w:r>
        <w:rPr>
          <w:rtl/>
        </w:rPr>
        <w:t>وتحقيقا لأكبر قدر من التغطية الرقابية وتعظيما للفعالية في استخدام الموارد وتفاديا للازدواجية في الأنشطة، راعت الشعبة أيضا العمل الذي أنجزته هيئات رقابة أخرى مثل المدقق الخارجي ووحدة التفتيش المشتركة فضلا عن التقييمات التي طلبتها اللجنة المعنية بالتنمية والملكية الفكرية.</w:t>
      </w:r>
    </w:p>
    <w:p w:rsidR="009D1848" w:rsidRDefault="009D1848" w:rsidP="00EE1C17">
      <w:pPr>
        <w:pStyle w:val="ONUMA"/>
        <w:numPr>
          <w:ilvl w:val="0"/>
          <w:numId w:val="15"/>
        </w:numPr>
        <w:rPr>
          <w:rtl/>
        </w:rPr>
      </w:pPr>
      <w:r>
        <w:rPr>
          <w:rtl/>
        </w:rPr>
        <w:t>ووُزعت خطة ا</w:t>
      </w:r>
      <w:r>
        <w:rPr>
          <w:rtl/>
          <w:lang w:bidi="ar-EG"/>
        </w:rPr>
        <w:t>لرقابة ل</w:t>
      </w:r>
      <w:r w:rsidR="00F470B6">
        <w:rPr>
          <w:rtl/>
          <w:lang w:bidi="ar-EG"/>
        </w:rPr>
        <w:t>عام 2018 على جميع مديري البرامج</w:t>
      </w:r>
      <w:r w:rsidR="00AD59DF">
        <w:rPr>
          <w:rFonts w:hint="cs"/>
          <w:rtl/>
          <w:lang w:bidi="ar-EG"/>
        </w:rPr>
        <w:t xml:space="preserve"> </w:t>
      </w:r>
      <w:r>
        <w:rPr>
          <w:rtl/>
          <w:lang w:bidi="ar-EG"/>
        </w:rPr>
        <w:t>وأتيحت لموظفي الويبو عبر الشبكة الداخلية للويبو. وأُنجزت خطة عام 2017 وفقا للجدول الزمني المحدد وفي حدود الميزانية المخصصة.</w:t>
      </w:r>
    </w:p>
    <w:p w:rsidR="009D1848" w:rsidRDefault="009D1848" w:rsidP="00E87DE2">
      <w:pPr>
        <w:pStyle w:val="Heading2"/>
        <w:rPr>
          <w:rtl/>
        </w:rPr>
      </w:pPr>
      <w:bookmarkStart w:id="14" w:name="_Toc519174849"/>
      <w:r>
        <w:rPr>
          <w:rtl/>
        </w:rPr>
        <w:t>المعايير المهنية</w:t>
      </w:r>
      <w:bookmarkEnd w:id="14"/>
    </w:p>
    <w:p w:rsidR="009D1848" w:rsidRDefault="009D1848" w:rsidP="00EE1C17">
      <w:pPr>
        <w:pStyle w:val="ONUMA"/>
        <w:numPr>
          <w:ilvl w:val="0"/>
          <w:numId w:val="15"/>
        </w:numPr>
        <w:rPr>
          <w:rtl/>
        </w:rPr>
      </w:pPr>
      <w:r>
        <w:rPr>
          <w:rtl/>
          <w:lang w:bidi="ar-EG"/>
        </w:rPr>
        <w:t>تلتزم شعبة الرقابة الداخلية في أنشطة التدقيق التي تجريها بالإطار الدولي للممارسات المهنية الذي أصدره معهد المدققين الداخليين. وتسترشد الشعبة في أعمال التحقيق التي تجريها بالمبادئ التوجيهية الموحدة والمبادئ التوجيهية للتحقيق التي أقرها مؤتمر المحققين الدوليين. وتمتثل الشعبة في أنشطة التقييم التي تجريها بالمعايير الدولية لممارسات التقييم كما حددها فريق الأمم المتحدة المعني بالتقييم.</w:t>
      </w:r>
    </w:p>
    <w:p w:rsidR="009D1848" w:rsidRDefault="009D1848" w:rsidP="0092308D">
      <w:pPr>
        <w:pStyle w:val="Heading2"/>
        <w:rPr>
          <w:rtl/>
        </w:rPr>
      </w:pPr>
      <w:bookmarkStart w:id="15" w:name="_Toc519174850"/>
      <w:r>
        <w:rPr>
          <w:rtl/>
        </w:rPr>
        <w:t>مسائل مهمة وتوصيات الرقابة العالية الأولوية</w:t>
      </w:r>
      <w:bookmarkEnd w:id="15"/>
    </w:p>
    <w:p w:rsidR="009D1848" w:rsidRDefault="009D1848" w:rsidP="00EE1C17">
      <w:pPr>
        <w:pStyle w:val="ONUMA"/>
        <w:numPr>
          <w:ilvl w:val="0"/>
          <w:numId w:val="15"/>
        </w:numPr>
        <w:rPr>
          <w:rtl/>
        </w:rPr>
      </w:pPr>
      <w:r>
        <w:rPr>
          <w:rtl/>
          <w:lang w:bidi="ar-EG"/>
        </w:rPr>
        <w:t>يحتوي هذا الجزء على معلومات عن النتائج والتوصيات الرئيسية ويعالج المخاطر العالية ذات الأولوية المدرجة في تقارير الرقابة الداخلية (عمليات التدقيق والتقييم وتقارير الإدارة) التي صدرت خلال الفترة المشمولة بهذا التقرير.</w:t>
      </w:r>
    </w:p>
    <w:p w:rsidR="009D1848" w:rsidRDefault="009D1848" w:rsidP="00B41C39">
      <w:pPr>
        <w:pStyle w:val="ONUMA"/>
        <w:numPr>
          <w:ilvl w:val="0"/>
          <w:numId w:val="15"/>
        </w:numPr>
        <w:rPr>
          <w:rtl/>
        </w:rPr>
      </w:pPr>
      <w:r>
        <w:rPr>
          <w:rtl/>
          <w:lang w:bidi="ar-EG"/>
        </w:rPr>
        <w:lastRenderedPageBreak/>
        <w:t>وتتعلق النتائج والتوصيات الرئيسية بالتقارير التالية الصادرة خلال الفترة المشمولة بهذا التقرير</w:t>
      </w:r>
      <w:r w:rsidR="00CD73D7" w:rsidRPr="000C2351">
        <w:rPr>
          <w:vertAlign w:val="superscript"/>
          <w:rtl/>
        </w:rPr>
        <w:footnoteReference w:id="2"/>
      </w:r>
      <w:r>
        <w:rPr>
          <w:rtl/>
          <w:lang w:bidi="ar-EG"/>
        </w:rPr>
        <w:t>:</w:t>
      </w:r>
    </w:p>
    <w:p w:rsidR="009D1848" w:rsidRDefault="009D1848" w:rsidP="00625F7D">
      <w:pPr>
        <w:pStyle w:val="BodyText"/>
        <w:numPr>
          <w:ilvl w:val="0"/>
          <w:numId w:val="16"/>
        </w:numPr>
        <w:ind w:left="566" w:firstLine="0"/>
        <w:rPr>
          <w:rtl/>
        </w:rPr>
      </w:pPr>
      <w:r>
        <w:rPr>
          <w:rtl/>
        </w:rPr>
        <w:t>التدقيق في إدارة المناسبات التي تنظمها/تستضيفها الويبو لأطراف ثالثة؛</w:t>
      </w:r>
    </w:p>
    <w:p w:rsidR="009D1848" w:rsidRDefault="009D1848" w:rsidP="00625F7D">
      <w:pPr>
        <w:pStyle w:val="BodyText"/>
        <w:numPr>
          <w:ilvl w:val="0"/>
          <w:numId w:val="16"/>
        </w:numPr>
        <w:ind w:left="566" w:firstLine="0"/>
        <w:rPr>
          <w:rtl/>
        </w:rPr>
      </w:pPr>
      <w:r>
        <w:rPr>
          <w:rtl/>
        </w:rPr>
        <w:t xml:space="preserve">التدقيق </w:t>
      </w:r>
      <w:r w:rsidR="00BB4C4A">
        <w:rPr>
          <w:rtl/>
        </w:rPr>
        <w:t>في إدارة أصول البرامج الحاسوبية</w:t>
      </w:r>
      <w:r>
        <w:rPr>
          <w:rtl/>
        </w:rPr>
        <w:t>؛</w:t>
      </w:r>
    </w:p>
    <w:p w:rsidR="009D1848" w:rsidRDefault="009D1848" w:rsidP="00625F7D">
      <w:pPr>
        <w:pStyle w:val="BodyText"/>
        <w:numPr>
          <w:ilvl w:val="0"/>
          <w:numId w:val="16"/>
        </w:numPr>
        <w:ind w:left="566" w:firstLine="0"/>
        <w:rPr>
          <w:rtl/>
        </w:rPr>
      </w:pPr>
      <w:r>
        <w:rPr>
          <w:rtl/>
        </w:rPr>
        <w:t>التدقيق في التوظيف؛</w:t>
      </w:r>
    </w:p>
    <w:p w:rsidR="009D1848" w:rsidRDefault="009D1848" w:rsidP="00625F7D">
      <w:pPr>
        <w:pStyle w:val="BodyText"/>
        <w:numPr>
          <w:ilvl w:val="0"/>
          <w:numId w:val="16"/>
        </w:numPr>
        <w:ind w:left="566" w:firstLine="0"/>
        <w:rPr>
          <w:rtl/>
        </w:rPr>
      </w:pPr>
      <w:r>
        <w:rPr>
          <w:rtl/>
        </w:rPr>
        <w:t>التدقيق في شعبة اللغات؛</w:t>
      </w:r>
    </w:p>
    <w:p w:rsidR="009D1848" w:rsidRDefault="009D1848" w:rsidP="00625F7D">
      <w:pPr>
        <w:pStyle w:val="BodyText"/>
        <w:numPr>
          <w:ilvl w:val="0"/>
          <w:numId w:val="16"/>
        </w:numPr>
        <w:ind w:left="566" w:firstLine="0"/>
        <w:rPr>
          <w:rtl/>
        </w:rPr>
      </w:pPr>
      <w:r>
        <w:rPr>
          <w:rtl/>
        </w:rPr>
        <w:t>التدقيق في إدارة السفر؛</w:t>
      </w:r>
    </w:p>
    <w:p w:rsidR="009D1848" w:rsidRDefault="009D1848" w:rsidP="00625F7D">
      <w:pPr>
        <w:pStyle w:val="BodyText"/>
        <w:numPr>
          <w:ilvl w:val="0"/>
          <w:numId w:val="16"/>
        </w:numPr>
        <w:ind w:left="566" w:firstLine="0"/>
        <w:rPr>
          <w:rtl/>
        </w:rPr>
      </w:pPr>
      <w:r>
        <w:rPr>
          <w:rtl/>
        </w:rPr>
        <w:t>مذكرات التدقيق المستمر؛</w:t>
      </w:r>
    </w:p>
    <w:p w:rsidR="009D1848" w:rsidRDefault="009D1848" w:rsidP="00625F7D">
      <w:pPr>
        <w:pStyle w:val="BodyText"/>
        <w:numPr>
          <w:ilvl w:val="0"/>
          <w:numId w:val="16"/>
        </w:numPr>
        <w:ind w:left="566" w:firstLine="0"/>
        <w:rPr>
          <w:rtl/>
        </w:rPr>
      </w:pPr>
      <w:r>
        <w:rPr>
          <w:rtl/>
        </w:rPr>
        <w:t>تقييم أنشطة الاتصالات المؤسسية في الويبو وإسهاماتها في العلامة التجارية للويبو وسمعتها؛</w:t>
      </w:r>
    </w:p>
    <w:p w:rsidR="009D1848" w:rsidRDefault="009D1848" w:rsidP="00625F7D">
      <w:pPr>
        <w:pStyle w:val="BodyText"/>
        <w:numPr>
          <w:ilvl w:val="0"/>
          <w:numId w:val="16"/>
        </w:numPr>
        <w:ind w:left="566" w:firstLine="0"/>
        <w:rPr>
          <w:rtl/>
        </w:rPr>
      </w:pPr>
      <w:r>
        <w:rPr>
          <w:rtl/>
        </w:rPr>
        <w:t>تقييم المكتب الإقليمي لأمريكا اللاتينية ومنطقة البحر الكاريبي؛</w:t>
      </w:r>
    </w:p>
    <w:p w:rsidR="009D1848" w:rsidRDefault="009D1848" w:rsidP="00625F7D">
      <w:pPr>
        <w:pStyle w:val="BodyText"/>
        <w:numPr>
          <w:ilvl w:val="0"/>
          <w:numId w:val="16"/>
        </w:numPr>
        <w:ind w:left="566" w:firstLine="0"/>
        <w:rPr>
          <w:rtl/>
        </w:rPr>
      </w:pPr>
      <w:r>
        <w:rPr>
          <w:rtl/>
        </w:rPr>
        <w:t>تقييم البرنامج 18: الم</w:t>
      </w:r>
      <w:r w:rsidR="00BB4C4A">
        <w:rPr>
          <w:rtl/>
        </w:rPr>
        <w:t>لكية الفكرية والتحديات العالمية</w:t>
      </w:r>
      <w:r>
        <w:rPr>
          <w:rtl/>
        </w:rPr>
        <w:t>؛</w:t>
      </w:r>
    </w:p>
    <w:p w:rsidR="009D1848" w:rsidRDefault="009D1848" w:rsidP="00625F7D">
      <w:pPr>
        <w:pStyle w:val="BodyText"/>
        <w:numPr>
          <w:ilvl w:val="0"/>
          <w:numId w:val="16"/>
        </w:numPr>
        <w:ind w:left="566" w:firstLine="0"/>
        <w:rPr>
          <w:rtl/>
        </w:rPr>
      </w:pPr>
      <w:r>
        <w:rPr>
          <w:rtl/>
        </w:rPr>
        <w:t>تقييم تنمية الكفاءات والمهارات في مجال الملكية الفكرية ؛</w:t>
      </w:r>
    </w:p>
    <w:p w:rsidR="009D1848" w:rsidRDefault="009D1848" w:rsidP="00625F7D">
      <w:pPr>
        <w:pStyle w:val="BodyText"/>
        <w:numPr>
          <w:ilvl w:val="0"/>
          <w:numId w:val="16"/>
        </w:numPr>
        <w:ind w:left="566" w:firstLine="0"/>
        <w:rPr>
          <w:rtl/>
        </w:rPr>
      </w:pPr>
      <w:r>
        <w:rPr>
          <w:rtl/>
        </w:rPr>
        <w:t>تقرير عن التورط الإداري في قواعد المرور في أماكن توقيف السيارات؛</w:t>
      </w:r>
    </w:p>
    <w:p w:rsidR="009D1848" w:rsidRDefault="009D1848" w:rsidP="00625F7D">
      <w:pPr>
        <w:pStyle w:val="BodyText"/>
        <w:numPr>
          <w:ilvl w:val="0"/>
          <w:numId w:val="16"/>
        </w:numPr>
        <w:ind w:left="566" w:firstLine="0"/>
        <w:rPr>
          <w:rtl/>
        </w:rPr>
      </w:pPr>
      <w:r>
        <w:rPr>
          <w:rtl/>
        </w:rPr>
        <w:t>تقرير عن التورط الإداري في إتاحة أماكن توقيف السيارات للموظفين واستخدامها؛</w:t>
      </w:r>
    </w:p>
    <w:p w:rsidR="009D1848" w:rsidRDefault="009D1848" w:rsidP="00625F7D">
      <w:pPr>
        <w:pStyle w:val="BodyText"/>
        <w:numPr>
          <w:ilvl w:val="0"/>
          <w:numId w:val="16"/>
        </w:numPr>
        <w:ind w:left="566" w:firstLine="0"/>
        <w:rPr>
          <w:rtl/>
        </w:rPr>
      </w:pPr>
      <w:r>
        <w:rPr>
          <w:rtl/>
        </w:rPr>
        <w:t>تقرير عن التورط الإداري في طلبات الشراء؛</w:t>
      </w:r>
    </w:p>
    <w:p w:rsidR="009D1848" w:rsidRDefault="009D1848" w:rsidP="00625F7D">
      <w:pPr>
        <w:pStyle w:val="BodyText"/>
        <w:numPr>
          <w:ilvl w:val="0"/>
          <w:numId w:val="16"/>
        </w:numPr>
        <w:ind w:left="566" w:firstLine="0"/>
        <w:rPr>
          <w:rtl/>
        </w:rPr>
      </w:pPr>
      <w:r>
        <w:rPr>
          <w:rtl/>
        </w:rPr>
        <w:t>تقرير التثبيت لشعبة الرقابة الداخلية بشأن تقرير أداء البرنامج للثنائية 2016/17.</w:t>
      </w:r>
    </w:p>
    <w:p w:rsidR="009D1848" w:rsidRDefault="009D1848" w:rsidP="00CD73D7">
      <w:pPr>
        <w:pStyle w:val="ONUMA"/>
        <w:numPr>
          <w:ilvl w:val="0"/>
          <w:numId w:val="15"/>
        </w:numPr>
        <w:rPr>
          <w:rtl/>
        </w:rPr>
      </w:pPr>
      <w:r>
        <w:rPr>
          <w:rtl/>
          <w:lang w:bidi="ar-EG"/>
        </w:rPr>
        <w:t>وحرصت الشعبة على التواصل مع الإدارة بانتظام لاستعراض التوصيات المفتوحة ومتابعة وضع تنفيذها. وتعالج الإدارة جميع التوصيات من خلال خطة عمل تحدد الأنشطة المقترحة والموظفين المسؤولين وأجل التنفيذ. وتدار التوصيات المفتوحة من خلال نظام قاعدة بيانات الفرق المركزية (</w:t>
      </w:r>
      <w:r>
        <w:t>TeamCentral</w:t>
      </w:r>
      <w:r>
        <w:rPr>
          <w:rtl/>
          <w:lang w:bidi="ar-EG"/>
        </w:rPr>
        <w:t>©)</w:t>
      </w:r>
      <w:r w:rsidR="00CD73D7" w:rsidRPr="000C2351">
        <w:rPr>
          <w:vertAlign w:val="superscript"/>
          <w:rtl/>
        </w:rPr>
        <w:footnoteReference w:id="3"/>
      </w:r>
      <w:r>
        <w:rPr>
          <w:rtl/>
          <w:lang w:bidi="ar-EG"/>
        </w:rPr>
        <w:t xml:space="preserve"> المتاح للشعبة وإدارة الويبو والمدققين الخارجيين.</w:t>
      </w:r>
    </w:p>
    <w:p w:rsidR="009D1848" w:rsidRPr="003055D6" w:rsidRDefault="009D1848" w:rsidP="003055D6">
      <w:pPr>
        <w:pStyle w:val="BodyText"/>
        <w:keepNext/>
        <w:keepLines/>
        <w:rPr>
          <w:sz w:val="40"/>
          <w:szCs w:val="40"/>
          <w:rtl/>
        </w:rPr>
      </w:pPr>
      <w:r w:rsidRPr="003055D6">
        <w:rPr>
          <w:sz w:val="40"/>
          <w:szCs w:val="40"/>
          <w:rtl/>
        </w:rPr>
        <w:lastRenderedPageBreak/>
        <w:t>التدقيق في إدارة المناسبات التي تنظمها/تستضيفها الويبو لأطراف ثالثة</w:t>
      </w:r>
    </w:p>
    <w:p w:rsidR="009D1848" w:rsidRDefault="009D1848" w:rsidP="00EE1C17">
      <w:pPr>
        <w:pStyle w:val="ONUMA"/>
        <w:numPr>
          <w:ilvl w:val="0"/>
          <w:numId w:val="15"/>
        </w:numPr>
        <w:rPr>
          <w:rtl/>
        </w:rPr>
      </w:pPr>
      <w:r>
        <w:rPr>
          <w:rtl/>
          <w:lang w:bidi="ar-EG"/>
        </w:rPr>
        <w:t>خلص التدقيق إلى أن وضع سياسة شاملة بشأن تنظيم/استضافة مناسبات لأطراف ثالثة في الويبو، تستند إلى سياسات وتعليمات ومذكرات داخلية قائمة، وتدعمها إجراءات ومبادئ توجيهية محدثة، سيساعد على تقديم التوجيه اللازم وتحديد مسؤوليات وتبعات واضحة بشأن هذا النشاط.</w:t>
      </w:r>
    </w:p>
    <w:p w:rsidR="009D1848" w:rsidRDefault="009D1848" w:rsidP="00EE1C17">
      <w:pPr>
        <w:pStyle w:val="ONUMA"/>
        <w:numPr>
          <w:ilvl w:val="0"/>
          <w:numId w:val="15"/>
        </w:numPr>
        <w:rPr>
          <w:rtl/>
          <w:lang w:bidi="ar-EG"/>
        </w:rPr>
      </w:pPr>
      <w:r>
        <w:rPr>
          <w:rtl/>
          <w:lang w:bidi="ar-EG"/>
        </w:rPr>
        <w:t>وقد أدى تكييف احتياجات الموارد البشرية مع الأدوار والمسؤوليات، إلى زيادة الطلب من أطراف ثالثة، وسيؤدي قيام الوحدات المشاركة في تنظيم واستضافة مناسبات لأطراف ثالثة بتحديد الفجوات المتعلقة بالموارد إلى تعزيز التنفيذ الفعال. كما أن إرساء منهج لتجميع البيانات اللازمة لتقديم التقارير عن التكاليف الشخصية وغير الشخصية لتنظيم/استضافة مناسبات لأطراف ثالثة سيساعد على تقييم الاستدامة والتأثير في موارد الويبو.</w:t>
      </w:r>
    </w:p>
    <w:p w:rsidR="009D1848" w:rsidRDefault="009D1848" w:rsidP="00EE1C17">
      <w:pPr>
        <w:pStyle w:val="ONUMA"/>
        <w:numPr>
          <w:ilvl w:val="0"/>
          <w:numId w:val="15"/>
        </w:numPr>
        <w:rPr>
          <w:rtl/>
          <w:lang w:bidi="ar-EG"/>
        </w:rPr>
      </w:pPr>
      <w:r>
        <w:rPr>
          <w:rtl/>
          <w:lang w:bidi="ar-EG"/>
        </w:rPr>
        <w:t>ورغم وجود سياسة بشأن استئجار قاعات المؤتمرات والاجتماعات في الويبو، فإن رسوم الإيجار لم تفرض إلا في ثلاث حالات، من أصل عشر حالات استئجار في عام 2016؛ مما يولد تكاليف إضافية بسبب دعم تنظيم مناسبات لأطراف ثالثة. علاوة على ذلك، من شأن تقييم التكاليف وتحديد الرسوم لعقد مناسبات لأطراف ثالثة في أماكن مفتوحة مثل ردهة مبنى أرباد بوكش أو بهو المبنىى الجديد وهما يمثلان 55 في المائة من الأماكن المستخدمة لتلك المناسبات، أن يؤدي إلى تعزيز الرؤية بشأن التكاليف المتكبدة وأن يساعد على تقييم استدامة هذا النشاط.</w:t>
      </w:r>
    </w:p>
    <w:p w:rsidR="009D1848" w:rsidRPr="001E1D9B" w:rsidRDefault="009D1848" w:rsidP="001E1D9B">
      <w:pPr>
        <w:pStyle w:val="ONUMA"/>
        <w:numPr>
          <w:ilvl w:val="0"/>
          <w:numId w:val="15"/>
        </w:numPr>
        <w:rPr>
          <w:rtl/>
          <w:lang w:bidi="ar-EG"/>
        </w:rPr>
      </w:pPr>
      <w:r w:rsidRPr="001E1D9B">
        <w:rPr>
          <w:rtl/>
          <w:lang w:bidi="ar-EG"/>
        </w:rPr>
        <w:t xml:space="preserve">وأخيراً، من شأن إدماج العمليات اليدوية الحالية في تطبيق </w:t>
      </w:r>
      <w:r w:rsidR="001E1D9B" w:rsidRPr="001E1D9B">
        <w:rPr>
          <w:rFonts w:hint="cs"/>
          <w:rtl/>
          <w:lang w:bidi="ar-EG"/>
        </w:rPr>
        <w:t xml:space="preserve">تدفق </w:t>
      </w:r>
      <w:r w:rsidR="00806639" w:rsidRPr="001E1D9B">
        <w:rPr>
          <w:rFonts w:hint="cs"/>
          <w:rtl/>
          <w:lang w:bidi="ar-EG"/>
        </w:rPr>
        <w:t>عمل</w:t>
      </w:r>
      <w:r w:rsidR="00806639" w:rsidRPr="001E1D9B">
        <w:rPr>
          <w:lang w:bidi="ar-EG"/>
        </w:rPr>
        <w:t xml:space="preserve">PoepleSoft </w:t>
      </w:r>
      <w:r w:rsidR="001E1D9B" w:rsidRPr="001E1D9B">
        <w:rPr>
          <w:rFonts w:hint="cs"/>
          <w:rtl/>
          <w:lang w:bidi="ar-EG"/>
        </w:rPr>
        <w:t xml:space="preserve"> </w:t>
      </w:r>
      <w:r w:rsidRPr="001E1D9B">
        <w:rPr>
          <w:rtl/>
          <w:lang w:bidi="ar-EG"/>
        </w:rPr>
        <w:t>أن يعزز فعالية وكفاءة الإدارة العامة لهذا النشاط، ومن شأن القيام بشكل منهجي بإبرام عقود/اتفاقات أو رسالة تبادل مع أطراف ثالثة (بما في ذلك ما يتعلق بغير الإيجارات) أن يوضح التوقعات والأدوار والمسؤوليات وأن يحمي أصول المنظمة وسمعتها على نحو أفضل.</w:t>
      </w:r>
    </w:p>
    <w:p w:rsidR="009D1848" w:rsidRDefault="009D1848" w:rsidP="00EE1C17">
      <w:pPr>
        <w:pStyle w:val="ONUMA"/>
        <w:numPr>
          <w:ilvl w:val="0"/>
          <w:numId w:val="15"/>
        </w:numPr>
        <w:rPr>
          <w:rtl/>
        </w:rPr>
      </w:pPr>
      <w:r>
        <w:rPr>
          <w:rtl/>
          <w:lang w:bidi="ar-EG"/>
        </w:rPr>
        <w:t>وأصدرت شعبة الرقابة الداخلية أربع توصيات كان من المتوقع تنفيذها بحلول نهاية شهر يناير 2018، لكن هذه التوصيات ما تزال معلقة إلى الآن.</w:t>
      </w:r>
    </w:p>
    <w:p w:rsidR="009D1848" w:rsidRPr="0039246A" w:rsidRDefault="009D1848" w:rsidP="0039246A">
      <w:pPr>
        <w:pStyle w:val="BodyText"/>
        <w:keepNext/>
        <w:keepLines/>
        <w:rPr>
          <w:sz w:val="40"/>
          <w:szCs w:val="40"/>
          <w:rtl/>
        </w:rPr>
      </w:pPr>
      <w:r w:rsidRPr="0039246A">
        <w:rPr>
          <w:sz w:val="40"/>
          <w:szCs w:val="40"/>
          <w:rtl/>
        </w:rPr>
        <w:t>التدقيق في إدارة أصول البرامج الحاسوبية</w:t>
      </w:r>
    </w:p>
    <w:p w:rsidR="009D1848" w:rsidRDefault="009D1848" w:rsidP="00EE1C17">
      <w:pPr>
        <w:pStyle w:val="ONUMA"/>
        <w:numPr>
          <w:ilvl w:val="0"/>
          <w:numId w:val="15"/>
        </w:numPr>
        <w:rPr>
          <w:rtl/>
          <w:lang w:bidi="ar-EG"/>
        </w:rPr>
      </w:pPr>
      <w:r>
        <w:rPr>
          <w:rtl/>
          <w:lang w:bidi="ar-EG"/>
        </w:rPr>
        <w:t>خلص التدقيق إلى أن وضع سياسة شاملة بشأن أصول البرامج الحاسوبية، مدعومة بإجراءات ومبادئ توجيهية محدثة، سيساعد على تقديم التوجيه اللازم وتحديد مسؤوليات وتبعات واضحة بشأن إدارة أصول البرامج الحاسوبية.</w:t>
      </w:r>
    </w:p>
    <w:p w:rsidR="009D1848" w:rsidRDefault="009D1848" w:rsidP="00EE1C17">
      <w:pPr>
        <w:pStyle w:val="ONUMA"/>
        <w:numPr>
          <w:ilvl w:val="0"/>
          <w:numId w:val="15"/>
        </w:numPr>
        <w:rPr>
          <w:rtl/>
        </w:rPr>
      </w:pPr>
      <w:r>
        <w:rPr>
          <w:rtl/>
          <w:lang w:bidi="ar-EG"/>
        </w:rPr>
        <w:t>وستقدم السياسة المساعدة على النحو الآتي:</w:t>
      </w:r>
    </w:p>
    <w:p w:rsidR="009D1848" w:rsidRDefault="009D1848" w:rsidP="00F724C6">
      <w:pPr>
        <w:pStyle w:val="BodyText"/>
        <w:numPr>
          <w:ilvl w:val="0"/>
          <w:numId w:val="18"/>
        </w:numPr>
        <w:ind w:left="566" w:firstLine="0"/>
        <w:rPr>
          <w:rtl/>
        </w:rPr>
      </w:pPr>
      <w:r>
        <w:rPr>
          <w:rtl/>
        </w:rPr>
        <w:t>أن تنشئ بوضوح وحدة يمكن التعرف عليها لإدارة أصول البرامج الحاسوبية، حيث تحدد بوضوح الأدوار والمسؤوليات، فيما يخص الوحدات الأخرى لتكنولوجيا المعلومات؛</w:t>
      </w:r>
    </w:p>
    <w:p w:rsidR="009D1848" w:rsidRDefault="009D1848" w:rsidP="00F724C6">
      <w:pPr>
        <w:pStyle w:val="BodyText"/>
        <w:numPr>
          <w:ilvl w:val="0"/>
          <w:numId w:val="18"/>
        </w:numPr>
        <w:ind w:left="566" w:firstLine="0"/>
        <w:rPr>
          <w:rtl/>
        </w:rPr>
      </w:pPr>
      <w:r>
        <w:rPr>
          <w:rtl/>
        </w:rPr>
        <w:t>أن تحدد الوسائل اللازمة لتعزيز إدارة التراخيص، ودعم مديري العقود ومساعدتهم على نحو ملائم؛</w:t>
      </w:r>
    </w:p>
    <w:p w:rsidR="009D1848" w:rsidRDefault="009D1848" w:rsidP="00F724C6">
      <w:pPr>
        <w:pStyle w:val="BodyText"/>
        <w:numPr>
          <w:ilvl w:val="0"/>
          <w:numId w:val="18"/>
        </w:numPr>
        <w:ind w:left="566" w:firstLine="0"/>
        <w:rPr>
          <w:rtl/>
        </w:rPr>
      </w:pPr>
      <w:r>
        <w:rPr>
          <w:rtl/>
        </w:rPr>
        <w:t>أن تحدد الأدوات والأنظمة والعمليات اللازمة لتوفير مصدر واحد لقائمة جرد أصول البرامج الحاسوبية، ولتبسيط تسجيل أصول البرامج الحاسوبية في البيانات المالية للويبو.</w:t>
      </w:r>
    </w:p>
    <w:p w:rsidR="009D1848" w:rsidRDefault="009D1848" w:rsidP="00EE1C17">
      <w:pPr>
        <w:pStyle w:val="ONUMA"/>
        <w:numPr>
          <w:ilvl w:val="0"/>
          <w:numId w:val="15"/>
        </w:numPr>
        <w:rPr>
          <w:rtl/>
        </w:rPr>
      </w:pPr>
      <w:r w:rsidRPr="0048714C">
        <w:rPr>
          <w:rtl/>
          <w:lang w:bidi="ar-EG"/>
        </w:rPr>
        <w:lastRenderedPageBreak/>
        <w:t>وفي إطار الأهداف الاستراتيجية لتكنولوجيا المعلومات، قررت الويبو نقل بعض من منصاتها وهياكلها وخدماتها الحاسوبية إلى نظام الحوسبة السحابية. ورغم أن مبادرة الحوسبة السحابية ما تزال في مراحلها الأولية، فإن الانتقال إلى هذا النظام سيتطلب هيكلاً إدارياً متيناً وممارسات قوية، بما في ذلك تكييف سياسة إدارة الأصول الحاسوبية لتعكس على نحو ملائم ممارسات الإدارة السحابية والمخاطر المر</w:t>
      </w:r>
      <w:r>
        <w:rPr>
          <w:rtl/>
          <w:lang w:bidi="ar-EG"/>
        </w:rPr>
        <w:t>تبطة بها.</w:t>
      </w:r>
    </w:p>
    <w:p w:rsidR="009D1848" w:rsidRDefault="009D1848" w:rsidP="00EE1C17">
      <w:pPr>
        <w:pStyle w:val="ONUMA"/>
        <w:numPr>
          <w:ilvl w:val="0"/>
          <w:numId w:val="15"/>
        </w:numPr>
        <w:rPr>
          <w:rtl/>
          <w:lang w:bidi="ar-EG"/>
        </w:rPr>
      </w:pPr>
      <w:r>
        <w:rPr>
          <w:rtl/>
          <w:lang w:bidi="ar-EG"/>
        </w:rPr>
        <w:t xml:space="preserve">وأخيراً، من شأن إضفاء الطابع الرسمي على عملية إدارة المخاطر المتعلقة بالأصول الحاسوبية من خلال نظام إدارة المخاطر المؤسسية للمنظمة أن يوفر الثقة بأن الويبو </w:t>
      </w:r>
      <w:r w:rsidRPr="00F451B1">
        <w:rPr>
          <w:rtl/>
          <w:lang w:bidi="ar-EG"/>
        </w:rPr>
        <w:t>على وعي وفاعلة في التخ</w:t>
      </w:r>
      <w:r>
        <w:rPr>
          <w:rtl/>
          <w:lang w:bidi="ar-EG"/>
        </w:rPr>
        <w:t>فيف من المخاطر التي كان من الممكن، بدلاً من ذلك، أن تؤثر في فعالية وكفاءة إدارة أصولها الحاسوبية.</w:t>
      </w:r>
    </w:p>
    <w:p w:rsidR="009D1848" w:rsidRDefault="009D1848" w:rsidP="00EE1C17">
      <w:pPr>
        <w:pStyle w:val="ONUMA"/>
        <w:numPr>
          <w:ilvl w:val="0"/>
          <w:numId w:val="15"/>
        </w:numPr>
        <w:rPr>
          <w:rtl/>
        </w:rPr>
      </w:pPr>
      <w:r>
        <w:rPr>
          <w:rtl/>
          <w:lang w:bidi="ar-EG"/>
        </w:rPr>
        <w:t>وأصدرت شعبة الرقابة الداخلية توصيتين، من المقرر تنفيذهما بحلول نهاية عام 2018.</w:t>
      </w:r>
    </w:p>
    <w:p w:rsidR="009D1848" w:rsidRPr="00F724C6" w:rsidRDefault="009D1848" w:rsidP="009D1848">
      <w:pPr>
        <w:pStyle w:val="BodyText"/>
        <w:rPr>
          <w:sz w:val="40"/>
          <w:szCs w:val="40"/>
          <w:rtl/>
        </w:rPr>
      </w:pPr>
      <w:r w:rsidRPr="00F724C6">
        <w:rPr>
          <w:sz w:val="40"/>
          <w:szCs w:val="40"/>
          <w:rtl/>
        </w:rPr>
        <w:t>التدقيق في التوظيف</w:t>
      </w:r>
    </w:p>
    <w:p w:rsidR="009D1848" w:rsidRDefault="009D1848" w:rsidP="00EE1C17">
      <w:pPr>
        <w:pStyle w:val="ONUMA"/>
        <w:numPr>
          <w:ilvl w:val="0"/>
          <w:numId w:val="15"/>
        </w:numPr>
        <w:rPr>
          <w:rtl/>
          <w:lang w:bidi="ar-EG"/>
        </w:rPr>
      </w:pPr>
      <w:r>
        <w:rPr>
          <w:rtl/>
          <w:lang w:bidi="ar-EG"/>
        </w:rPr>
        <w:t>خلص التدقيق إلى ضرورة تعزيز سياسات وإجراءات الويبو ومبادئها التوجيهية بشأن التوظيف لضمان تحقيق اتساق القرارات في عملية التوظيف وضرورة توثيق المؤشر الزمني للتوظيف وتحديده بطريقة دقيقة ومحددة وقابلة للقياس.</w:t>
      </w:r>
    </w:p>
    <w:p w:rsidR="009D1848" w:rsidRDefault="009D1848" w:rsidP="00EE1C17">
      <w:pPr>
        <w:pStyle w:val="ONUMA"/>
        <w:numPr>
          <w:ilvl w:val="0"/>
          <w:numId w:val="15"/>
        </w:numPr>
        <w:rPr>
          <w:rtl/>
          <w:lang w:bidi="ar-EG"/>
        </w:rPr>
      </w:pPr>
      <w:r>
        <w:rPr>
          <w:rtl/>
          <w:lang w:bidi="ar-EG"/>
        </w:rPr>
        <w:t>ومن الضروري أيضاً مراجعة وتحديث بعض السياسات والمبادئ التوجيهية مثل تلك المتعلقة بأعضاء لجان التعيين لتعكس العمليات والممارسات الحالية، إلى جانب تعميم النظام الإلكتروني للتوظيف.</w:t>
      </w:r>
    </w:p>
    <w:p w:rsidR="009D1848" w:rsidRDefault="009D1848" w:rsidP="00EE1C17">
      <w:pPr>
        <w:pStyle w:val="ONUMA"/>
        <w:numPr>
          <w:ilvl w:val="0"/>
          <w:numId w:val="15"/>
        </w:numPr>
        <w:rPr>
          <w:rtl/>
          <w:lang w:bidi="ar-EG"/>
        </w:rPr>
      </w:pPr>
      <w:r>
        <w:rPr>
          <w:rtl/>
          <w:lang w:bidi="ar-EG"/>
        </w:rPr>
        <w:t>ومن شأن إرساء تدابير وضوابط مثل: إقرار رتب الأعضاء المرشحين للعمل في لجان التعيين لكل مسابقة، بما يضمن إصدار توصيف حديث لكل موظف إلى جانب خطاب التعيين، ومن شأن استعراض النظامين الأساسي والإداري للموظفين بشأن الفحص الطبي لتوضيح الممارسات الحالية، أن يساعد على كفالة أن تمتثل إدارة الموارد البشرية للأنظمة والقواعد والمبادئ التوجيهية الخاصة بالتوظيف.</w:t>
      </w:r>
    </w:p>
    <w:p w:rsidR="009D1848" w:rsidRDefault="009D1848" w:rsidP="00EE1C17">
      <w:pPr>
        <w:pStyle w:val="ONUMA"/>
        <w:numPr>
          <w:ilvl w:val="0"/>
          <w:numId w:val="15"/>
        </w:numPr>
        <w:rPr>
          <w:rtl/>
        </w:rPr>
      </w:pPr>
      <w:r>
        <w:rPr>
          <w:rtl/>
          <w:lang w:bidi="ar-EG"/>
        </w:rPr>
        <w:t>ورغم ملاحظة أن ازدياد الكفاءة قد تحقق من خلال تعميم نظام تاليو في أبريل 2016، فإن إدارة الموارد البشرية لا تستخدم الأداة بكامل طاقتها في إدارة الدورة الكاملة للتوظيف. وستستفيد الويبو من الاستغلال الأمثل للقدرات الوظيفية للنظام على تحليل البيانات وأتمتة العمليات اليدوية في مرحلة التوظيف.</w:t>
      </w:r>
    </w:p>
    <w:p w:rsidR="009D1848" w:rsidRDefault="009D1848" w:rsidP="00EE1C17">
      <w:pPr>
        <w:pStyle w:val="ONUMA"/>
        <w:numPr>
          <w:ilvl w:val="0"/>
          <w:numId w:val="15"/>
        </w:numPr>
        <w:rPr>
          <w:rtl/>
          <w:lang w:bidi="ar-EG"/>
        </w:rPr>
      </w:pPr>
      <w:r>
        <w:rPr>
          <w:rtl/>
          <w:lang w:bidi="ar-EG"/>
        </w:rPr>
        <w:t>وأخيراً، تؤيد نتائج الدراسة الاستقصائية التي أجريت في إطار هذا التدقيق بشأن عملية التعيين والتوظيف في الويبو بعضاً من الملاحظات السابقة عن ضرورة تحسين الامتثال للأنظمة والإجراءات والمبادئ التوجيهية وغير ذلك من الإجراءات الشكلية للتعيين.</w:t>
      </w:r>
    </w:p>
    <w:p w:rsidR="009D1848" w:rsidRDefault="009D1848" w:rsidP="00EE1C17">
      <w:pPr>
        <w:pStyle w:val="ONUMA"/>
        <w:numPr>
          <w:ilvl w:val="0"/>
          <w:numId w:val="15"/>
        </w:numPr>
        <w:rPr>
          <w:rtl/>
        </w:rPr>
      </w:pPr>
      <w:r>
        <w:rPr>
          <w:rtl/>
          <w:lang w:bidi="ar-EG"/>
        </w:rPr>
        <w:t>وأصدرت شعبة الرقابة الداخلية خمس توصيات، من المقرر تنفيذ إحداها بحلول شهر يونيو 2018، وأربع توصيات من المقرر تنفيذها بين شهري سبتمبر وديسمبر 2018.</w:t>
      </w:r>
    </w:p>
    <w:p w:rsidR="009D1848" w:rsidRPr="00C54607" w:rsidRDefault="009D1848" w:rsidP="009D1848">
      <w:pPr>
        <w:pStyle w:val="BodyText"/>
        <w:rPr>
          <w:sz w:val="40"/>
          <w:szCs w:val="40"/>
          <w:rtl/>
        </w:rPr>
      </w:pPr>
      <w:r w:rsidRPr="00C54607">
        <w:rPr>
          <w:sz w:val="40"/>
          <w:szCs w:val="40"/>
          <w:rtl/>
        </w:rPr>
        <w:t>التدقيق في شعبة اللغات</w:t>
      </w:r>
    </w:p>
    <w:p w:rsidR="009D1848" w:rsidRPr="00C54607" w:rsidRDefault="009D1848" w:rsidP="00EE1C17">
      <w:pPr>
        <w:pStyle w:val="ONUMA"/>
        <w:numPr>
          <w:ilvl w:val="0"/>
          <w:numId w:val="15"/>
        </w:numPr>
        <w:rPr>
          <w:rtl/>
          <w:lang w:bidi="ar-EG"/>
        </w:rPr>
      </w:pPr>
      <w:r w:rsidRPr="00C54607">
        <w:rPr>
          <w:rtl/>
          <w:lang w:bidi="ar-EG"/>
        </w:rPr>
        <w:t>خلص التدقيق إلى أنه لكي تعمل شعبة اللغات بفعالية وبكفاءة، ينبغي أن تضع سياسة تشغيلية لتكون بمثابة مبدأ توجيهي، وتعززها بمبادئ توجيهية وإجراءات وتعليمات مكتبية، لتدعم أهدافها الاستراتيجية.</w:t>
      </w:r>
    </w:p>
    <w:p w:rsidR="009D1848" w:rsidRPr="005835A0" w:rsidRDefault="009D1848" w:rsidP="00EE1C17">
      <w:pPr>
        <w:pStyle w:val="ONUMA"/>
        <w:numPr>
          <w:ilvl w:val="0"/>
          <w:numId w:val="15"/>
        </w:numPr>
        <w:rPr>
          <w:rtl/>
          <w:lang w:bidi="ar-EG"/>
        </w:rPr>
      </w:pPr>
      <w:r w:rsidRPr="005835A0">
        <w:rPr>
          <w:rtl/>
          <w:lang w:bidi="ar-EG"/>
        </w:rPr>
        <w:lastRenderedPageBreak/>
        <w:t>وقرار المدير العام بتوحيد وتجميع الدعم مركزياً لتكنولوجيا المصطلحات والترجمة في الويبو بموجب شعبة الترجمة لمعاهدة التعاون بشأن البراءات التي ستنشئ قسماً لهذا الغرض، سيتطلب إنشاء ولاية وظيفية لهذا القسم، لها أدوار ومسؤوليات واضحة، ولديها ما يكفي من الموارد إلى جانب مجموعة المهارات الصحيحة، لدعم عمل الأطراف المعنية بفعالية (وهذه الأطراف هي شعبة اللغات وشعبة الترجمة لمعاهدة التعاون بشأن البراءات وقطاع العلامات والتصاميم).</w:t>
      </w:r>
    </w:p>
    <w:p w:rsidR="009D1848" w:rsidRPr="005835A0" w:rsidRDefault="009D1848" w:rsidP="00EE1C17">
      <w:pPr>
        <w:pStyle w:val="ONUMA"/>
        <w:numPr>
          <w:ilvl w:val="0"/>
          <w:numId w:val="15"/>
        </w:numPr>
        <w:rPr>
          <w:rtl/>
          <w:lang w:bidi="ar-EG"/>
        </w:rPr>
      </w:pPr>
      <w:r w:rsidRPr="005835A0">
        <w:rPr>
          <w:rtl/>
          <w:lang w:bidi="ar-EG"/>
        </w:rPr>
        <w:t>كذلك، فإن قرار مجموعة تنسيق الترجمة التي يرأسها المدير العام، بشأن إنشاء منصة مشتركة لقواعد بيانات المصطلحات، فيما بين معاهدة التعاون بشأن البراءات وقطاع العلامات والتصاميم وشعبة اللغات، لنشر المصطلحات على الموقع الشبكي للويبو، سيتطلب إقامة تعاون وتنسيق فعال بين الأطراف المعنية لضمان إمكانية إدماج قواعد بيانات المصطلحات لكل منها بفعالية في منصة مشتركة لواجهات العملاء.</w:t>
      </w:r>
    </w:p>
    <w:p w:rsidR="009D1848" w:rsidRPr="005835A0" w:rsidRDefault="009D1848" w:rsidP="00EE1C17">
      <w:pPr>
        <w:pStyle w:val="ONUMA"/>
        <w:numPr>
          <w:ilvl w:val="0"/>
          <w:numId w:val="15"/>
        </w:numPr>
        <w:rPr>
          <w:rtl/>
          <w:lang w:bidi="ar-EG"/>
        </w:rPr>
      </w:pPr>
      <w:r w:rsidRPr="005835A0">
        <w:rPr>
          <w:rtl/>
          <w:lang w:bidi="ar-EG"/>
        </w:rPr>
        <w:t>ويجري وضع الصيغة النهائية لقاعدة بيانات المصطلحات لشعبة اللغات ونظراً لأن مدير المشروع، وهو موظف أيضاً في قسم إسباني بشعبة اللغات، بصدد التقاعد، فمن الضروري اتخاذ تدابير فعالة لضمان نقل المعارف وتسليم المشروع على نحو سليم.</w:t>
      </w:r>
    </w:p>
    <w:p w:rsidR="009D1848" w:rsidRPr="005835A0" w:rsidRDefault="009D1848" w:rsidP="00CD73D7">
      <w:pPr>
        <w:pStyle w:val="ONUMA"/>
        <w:numPr>
          <w:ilvl w:val="0"/>
          <w:numId w:val="15"/>
        </w:numPr>
        <w:rPr>
          <w:rtl/>
          <w:lang w:bidi="ar-EG"/>
        </w:rPr>
      </w:pPr>
      <w:r w:rsidRPr="005835A0">
        <w:rPr>
          <w:rtl/>
          <w:lang w:bidi="ar-EG"/>
        </w:rPr>
        <w:t>والاستعراض الذي أجرته شعبة الرقابة الداخلية لخدمات المؤتمرات واللغات</w:t>
      </w:r>
      <w:r w:rsidR="00CD73D7" w:rsidRPr="005835A0">
        <w:rPr>
          <w:rStyle w:val="FootnoteReference"/>
          <w:rtl/>
          <w:lang w:bidi="ar-EG"/>
        </w:rPr>
        <w:footnoteReference w:id="4"/>
      </w:r>
      <w:r w:rsidRPr="005835A0">
        <w:rPr>
          <w:rtl/>
          <w:lang w:bidi="ar-EG"/>
        </w:rPr>
        <w:t xml:space="preserve"> في عام 2013 سلط الضوء على ضرورة وضع نظام متكامل لإدارة المؤتمرات بما في ذلك إنشاء وحدة لإدارة خدمات الترجمة الفورية. وهذه الضرورة ما زالت قائمة، وما تزال هذه التوصية مفتوحة إلى الآن. وأخيراً، نظراً للذروات في عبء العمل بقسم الترجمة الفورية وبنية مواردها الحالية، فإن إجراء تحليلات دورية لأداء أنشطة الترجمة الفورية سيساعد على تحديد ووضع ميزانية لاحتياجات الموارد البشرية المرنة لدعم القسم والمحافظة على جودة الترجمة الفورية على نحو أفضل في منظمة الويبو.</w:t>
      </w:r>
    </w:p>
    <w:p w:rsidR="009D1848" w:rsidRPr="005835A0" w:rsidRDefault="009D1848" w:rsidP="00EE1C17">
      <w:pPr>
        <w:pStyle w:val="ONUMA"/>
        <w:numPr>
          <w:ilvl w:val="0"/>
          <w:numId w:val="15"/>
        </w:numPr>
        <w:rPr>
          <w:rtl/>
        </w:rPr>
      </w:pPr>
      <w:r w:rsidRPr="005835A0">
        <w:rPr>
          <w:rtl/>
          <w:lang w:bidi="ar-EG"/>
        </w:rPr>
        <w:t>وأصدرت شعبة الرقابة الداخلية تسع توصيات، من المقرر تنفيذ ثلاث منها بحلول نهاية شهر ديسمبر 2018، وست منها بحلول شهر ديسمبر 2019.</w:t>
      </w:r>
    </w:p>
    <w:p w:rsidR="009D1848" w:rsidRPr="00A13E5D" w:rsidRDefault="009D1848" w:rsidP="00D339A9">
      <w:pPr>
        <w:pStyle w:val="BodyText"/>
        <w:keepNext/>
        <w:keepLines/>
        <w:rPr>
          <w:sz w:val="40"/>
          <w:szCs w:val="40"/>
          <w:rtl/>
        </w:rPr>
      </w:pPr>
      <w:r w:rsidRPr="00A13E5D">
        <w:rPr>
          <w:sz w:val="40"/>
          <w:szCs w:val="40"/>
          <w:rtl/>
        </w:rPr>
        <w:t>التدقيق في إدارة السفر</w:t>
      </w:r>
    </w:p>
    <w:p w:rsidR="009D1848" w:rsidRDefault="009D1848" w:rsidP="00A13E5D">
      <w:pPr>
        <w:pStyle w:val="ONUMA"/>
        <w:numPr>
          <w:ilvl w:val="0"/>
          <w:numId w:val="15"/>
        </w:numPr>
        <w:rPr>
          <w:rtl/>
          <w:lang w:bidi="ar-EG"/>
        </w:rPr>
      </w:pPr>
      <w:r>
        <w:rPr>
          <w:rtl/>
          <w:lang w:bidi="ar-EG"/>
        </w:rPr>
        <w:t>خلص التدقيق إلى أن متوسط الطلبات المقدمة متأخرا لحضور مناسبات بلغ 77 في المائة خلال فترة السنتين وأن متوسط أذون السفر المتأخرة بلغ 33.5 في المائة. كما أن 88 في المائة (1.666/1.898) من أذون السفر المتأخرة يرجع إلى 10 برامج، وأن 77 في المائة (1.286/1.666) من أذون السفر المتأخرة فيما يخص العشرة برامج المذكورة كانت من مسافرين من غير الموظفين/مسافرين من أطراف ثالثة، مقابل 23 في المائة مسافرين من الموظفين (380/1.286).</w:t>
      </w:r>
    </w:p>
    <w:p w:rsidR="009D1848" w:rsidRDefault="009D1848" w:rsidP="00EE1C17">
      <w:pPr>
        <w:pStyle w:val="ONUMA"/>
        <w:numPr>
          <w:ilvl w:val="0"/>
          <w:numId w:val="15"/>
        </w:numPr>
        <w:rPr>
          <w:rtl/>
          <w:lang w:bidi="ar-EG"/>
        </w:rPr>
      </w:pPr>
      <w:r>
        <w:rPr>
          <w:rtl/>
          <w:lang w:bidi="ar-EG"/>
        </w:rPr>
        <w:t>وقد أشير إلى هذه التأخيرات باعتبارها من العوامل التي تسهم في شراء المنظمة لتذاكر مرتفعة الثمن. ومن ثم، سيكون من المفيد للويبو أن توجه وتبذل المزيد من الجهود لصياغة سياسات ووضع إجراءات لضمان تزويد مديري البرنامج في الوقت المناسب بالوثائق والمعلومات اللازمة عن سفر المسافرين من أطراف ثالثة، من أجل تنفيذ ترتيبات السفر لهؤلاء المسافرين في الوقت المناسب.</w:t>
      </w:r>
    </w:p>
    <w:p w:rsidR="009D1848" w:rsidRDefault="009D1848" w:rsidP="00EE1C17">
      <w:pPr>
        <w:pStyle w:val="ONUMA"/>
        <w:numPr>
          <w:ilvl w:val="0"/>
          <w:numId w:val="15"/>
        </w:numPr>
        <w:rPr>
          <w:rtl/>
        </w:rPr>
      </w:pPr>
      <w:r>
        <w:rPr>
          <w:rtl/>
          <w:lang w:bidi="ar-EG"/>
        </w:rPr>
        <w:lastRenderedPageBreak/>
        <w:t>وستعزز الويبو فعالية وكفاءة إدارة السفر، وتضمن الامتثال لسياسات السفر المرتبطة بها عن طريق: "1" اعتماد ممارسات جيدة داخل النظام المشترك للأمم المتحدة الذي يحدد إطاراً زمنياً للموظفين المعينين حديثاً لاستكمال الدورات التدريبية في مجال أمن السفر؛ "2" تقييم عدد الموظفين الذين اضطلعوا بالإجراءات الأمنية الأساسية الإلزامية في الميدان ورصد التقدم المحرز في تدريب جميع لموظفين؛ "3" ضمان أن يمتثل جميع الموظفين الذين يسافرون بشكل رسمي لشرط استكمال التدريب الإلزامي والمناسب في مجال الأمن.</w:t>
      </w:r>
    </w:p>
    <w:p w:rsidR="009D1848" w:rsidRDefault="009D1848" w:rsidP="00EE1C17">
      <w:pPr>
        <w:pStyle w:val="ONUMA"/>
        <w:numPr>
          <w:ilvl w:val="0"/>
          <w:numId w:val="15"/>
        </w:numPr>
        <w:rPr>
          <w:rtl/>
          <w:lang w:bidi="ar-EG"/>
        </w:rPr>
      </w:pPr>
      <w:r>
        <w:rPr>
          <w:rtl/>
          <w:lang w:bidi="ar-EG"/>
        </w:rPr>
        <w:t>وأخيراً، ستستفيد إجراءات السفر من ازدياد الفعالية إذا اشترط نظام إدارة السفر الذي يجري حالياً إنشاؤه بدلاً من نظام الأعمال الإلكترونية اتخاذ إجراءات التصريح الأمني لتسير جنباً إلى جنب مع إجراءات شراء التذاكر، وربطه بقاعدة بيانات لإدارة شهادات التدريب في مجال أمن السفر.</w:t>
      </w:r>
    </w:p>
    <w:p w:rsidR="009D1848" w:rsidRDefault="009D1848" w:rsidP="00EE1C17">
      <w:pPr>
        <w:pStyle w:val="ONUMA"/>
        <w:numPr>
          <w:ilvl w:val="0"/>
          <w:numId w:val="15"/>
        </w:numPr>
        <w:rPr>
          <w:rtl/>
          <w:lang w:bidi="ar-EG"/>
        </w:rPr>
      </w:pPr>
      <w:r>
        <w:rPr>
          <w:rtl/>
          <w:lang w:bidi="ar-EG"/>
        </w:rPr>
        <w:t>وأصدرت شعبة الرقابة الداخلية خمس توصيات، من المقرر تنفيذ اثنين منها بحلول نهاية عام 2018، وثلاث منها خلال عام 2019.</w:t>
      </w:r>
    </w:p>
    <w:p w:rsidR="009D1848" w:rsidRPr="00A13E5D" w:rsidRDefault="009D1848" w:rsidP="009D1848">
      <w:pPr>
        <w:pStyle w:val="BodyText"/>
        <w:rPr>
          <w:sz w:val="40"/>
          <w:szCs w:val="40"/>
          <w:rtl/>
        </w:rPr>
      </w:pPr>
      <w:r w:rsidRPr="00A13E5D">
        <w:rPr>
          <w:sz w:val="40"/>
          <w:szCs w:val="40"/>
          <w:rtl/>
        </w:rPr>
        <w:t>مسائل أخرى-تقرير التثبيت لشعبة الرقابة الداخلية بشأن تقرير أداء البرنامج للثنائية 2016/2017</w:t>
      </w:r>
    </w:p>
    <w:p w:rsidR="009D1848" w:rsidRDefault="009D1848" w:rsidP="00EE1C17">
      <w:pPr>
        <w:pStyle w:val="ONUMA"/>
        <w:numPr>
          <w:ilvl w:val="0"/>
          <w:numId w:val="15"/>
        </w:numPr>
        <w:rPr>
          <w:rtl/>
        </w:rPr>
      </w:pPr>
      <w:r>
        <w:rPr>
          <w:rtl/>
          <w:lang w:bidi="ar-EG"/>
        </w:rPr>
        <w:t>استكملت شعبة الرقابة الداخلية تقرير التثبيت بشأن تقرير أداء البرنامج للفترة الممتدة بين شهر أبريل وشهر مايو 2018.</w:t>
      </w:r>
    </w:p>
    <w:p w:rsidR="009D1848" w:rsidRDefault="009D1848" w:rsidP="00EE1C17">
      <w:pPr>
        <w:pStyle w:val="ONUMA"/>
        <w:numPr>
          <w:ilvl w:val="0"/>
          <w:numId w:val="15"/>
        </w:numPr>
        <w:rPr>
          <w:rtl/>
        </w:rPr>
      </w:pPr>
      <w:r>
        <w:rPr>
          <w:rtl/>
          <w:lang w:bidi="ar-EG"/>
        </w:rPr>
        <w:t>وكانت أهداف هذا التثبيت هي:</w:t>
      </w:r>
    </w:p>
    <w:p w:rsidR="009D1848" w:rsidRDefault="009D1848" w:rsidP="005A5527">
      <w:pPr>
        <w:pStyle w:val="BodyText"/>
        <w:numPr>
          <w:ilvl w:val="0"/>
          <w:numId w:val="19"/>
        </w:numPr>
        <w:ind w:left="566" w:hanging="12"/>
        <w:rPr>
          <w:rtl/>
        </w:rPr>
      </w:pPr>
      <w:r>
        <w:rPr>
          <w:rtl/>
        </w:rPr>
        <w:t>التحقق بصفة مستقلة من موثوقية وصحة المعلومات الواردة في تقرير أداء البرنامج للثنائية 2016/2017؛</w:t>
      </w:r>
    </w:p>
    <w:p w:rsidR="009D1848" w:rsidRDefault="009D1848" w:rsidP="00F451B1">
      <w:pPr>
        <w:pStyle w:val="BodyText"/>
        <w:numPr>
          <w:ilvl w:val="0"/>
          <w:numId w:val="19"/>
        </w:numPr>
        <w:ind w:left="566" w:hanging="12"/>
        <w:rPr>
          <w:rtl/>
        </w:rPr>
      </w:pPr>
      <w:r>
        <w:rPr>
          <w:rtl/>
        </w:rPr>
        <w:t xml:space="preserve">ومتابعة وضع تنفيذ التوصيات الواردة في تقرير تثبيت أداء البرنامج السابق من خلال الأدلة </w:t>
      </w:r>
      <w:r w:rsidR="00F451B1">
        <w:rPr>
          <w:rFonts w:hint="cs"/>
          <w:rtl/>
        </w:rPr>
        <w:t>الوثائقية</w:t>
      </w:r>
      <w:r>
        <w:rPr>
          <w:rtl/>
        </w:rPr>
        <w:t xml:space="preserve"> وغيرها من الوثائق الداعمة الأخرى.</w:t>
      </w:r>
    </w:p>
    <w:p w:rsidR="009D1848" w:rsidRDefault="009D1848" w:rsidP="00EE1C17">
      <w:pPr>
        <w:pStyle w:val="ONUMA"/>
        <w:numPr>
          <w:ilvl w:val="0"/>
          <w:numId w:val="15"/>
        </w:numPr>
        <w:rPr>
          <w:rtl/>
          <w:lang w:bidi="ar-EG"/>
        </w:rPr>
      </w:pPr>
      <w:r>
        <w:rPr>
          <w:rtl/>
          <w:lang w:bidi="ar-EG"/>
        </w:rPr>
        <w:t>واشتمل النطاق على تقييم لبيانات الأداء الخاصة بمؤشر أداء واحد تم اختياره عشوائياً من كل برنامج كما هو وارد في تقرير أداء البرنامج 2016/17. كما تضمن التثبيت أيضاً استنتاجات عامة بشأن التقدم المُحرز في تحسين إطار الإدارة القائمة على النتائج خلال الثنائية قيد الاستعراض. وكان هذا هو التحقق المستقل الخامس لتقرير الأداء الذي أجرته شعبة الرقابة الداخلية.</w:t>
      </w:r>
    </w:p>
    <w:p w:rsidR="009D1848" w:rsidRDefault="009D1848" w:rsidP="00EE1C17">
      <w:pPr>
        <w:pStyle w:val="ONUMA"/>
        <w:numPr>
          <w:ilvl w:val="0"/>
          <w:numId w:val="15"/>
        </w:numPr>
        <w:rPr>
          <w:rtl/>
          <w:lang w:bidi="ar-EG"/>
        </w:rPr>
      </w:pPr>
      <w:r>
        <w:rPr>
          <w:rtl/>
          <w:lang w:bidi="ar-EG"/>
        </w:rPr>
        <w:t>وبشكل عام، أكد من جديد إجراء هذا التثبيت على التحسن المستمر في الإدارة القائمة على النتائج في المنظمة، إلى جانب زيادة استيفاء بيانات الأداء لمعايير التقييم مقارنة بتقرير التثبيت السابق. وبالتحديد، 81 في المائة من بيانات أداء البرامج استوفت بشكل كاف معايير التثبيت مقابل 77 في المائة خلال التثبيت السابق. كما أن 84 في المائة من البرامج قدم معلومات دقيقة عن تقييمه الذاتي باستخدام نظام إشارات السير، مقابل 81 في المائة في تقرير التثبيت السابق.</w:t>
      </w:r>
    </w:p>
    <w:p w:rsidR="009D1848" w:rsidRDefault="009D1848" w:rsidP="003E227D">
      <w:pPr>
        <w:pStyle w:val="ONUMA"/>
        <w:numPr>
          <w:ilvl w:val="0"/>
          <w:numId w:val="15"/>
        </w:numPr>
        <w:rPr>
          <w:rtl/>
        </w:rPr>
      </w:pPr>
      <w:r>
        <w:rPr>
          <w:rtl/>
          <w:lang w:bidi="ar-EG"/>
        </w:rPr>
        <w:t xml:space="preserve">وشجعت شعبة الرقابة الداخلية البرامج في المجالات المعيارية على العمل مع شعبة أداء البرنامج والميزانية لمواصلة تعزيز جودة مؤشراتها وقابليتها للقياس، وأصدرت توصيتين بشأن: "1" ضرورة تقييم فعالية الأدوات والآليات لاستخراج وقياس البيانات لمؤشرات الأداء الثلاثة، بما في ذلك تعزيز التعاون وتبادل الممارسات الجيدة فيما بين البرامج حسب ما ينطبق؛ </w:t>
      </w:r>
      <w:r>
        <w:rPr>
          <w:rtl/>
          <w:lang w:bidi="ar-EG"/>
        </w:rPr>
        <w:lastRenderedPageBreak/>
        <w:t>"2"</w:t>
      </w:r>
      <w:r w:rsidR="003E227D">
        <w:rPr>
          <w:rFonts w:hint="cs"/>
          <w:rtl/>
          <w:lang w:bidi="ar-EG"/>
        </w:rPr>
        <w:t> </w:t>
      </w:r>
      <w:r>
        <w:rPr>
          <w:rtl/>
          <w:lang w:bidi="ar-EG"/>
        </w:rPr>
        <w:t>وتعزيز التعاون والتنسيق فيما بين البرنامجين اللذين يحتاجان إلى العمل معاً لجمع المعلومات عن مؤشر معين وتقديم تقرير بشأنه.</w:t>
      </w:r>
    </w:p>
    <w:p w:rsidR="009D1848" w:rsidRPr="003E227D" w:rsidRDefault="009D1848" w:rsidP="00D339A9">
      <w:pPr>
        <w:pStyle w:val="BodyText"/>
        <w:keepNext/>
        <w:keepLines/>
        <w:rPr>
          <w:sz w:val="40"/>
          <w:szCs w:val="40"/>
          <w:rtl/>
        </w:rPr>
      </w:pPr>
      <w:r w:rsidRPr="003E227D">
        <w:rPr>
          <w:sz w:val="40"/>
          <w:szCs w:val="40"/>
          <w:rtl/>
        </w:rPr>
        <w:t>مسائل أخرى- مذكرات التدقيق المستمر</w:t>
      </w:r>
    </w:p>
    <w:p w:rsidR="009D1848" w:rsidRDefault="009D1848" w:rsidP="00EE1C17">
      <w:pPr>
        <w:pStyle w:val="ONUMA"/>
        <w:numPr>
          <w:ilvl w:val="0"/>
          <w:numId w:val="15"/>
        </w:numPr>
        <w:rPr>
          <w:rtl/>
          <w:lang w:bidi="ar-EG"/>
        </w:rPr>
      </w:pPr>
      <w:r>
        <w:rPr>
          <w:rtl/>
          <w:lang w:bidi="ar-EG"/>
        </w:rPr>
        <w:t>أصدرت شعبة الرقابة الداخلية مذكرة داخلية تلخص العمل المنجز باستخدام تحليلات البيانات باعتبارها جزءاً من عملها المتواصل في التدقيق؛ وأطلعت الإدارة على النتائج المنبثقة عن ذلك. وركزت هذه المذكرة على ضوابط الرقابة الداخلية في مجالات نظام الإدارة المتكاملة والإدارة المالية وإدارة المشتريات وإدارة السفر في نظام الأعمال الإلكترونية، وإدارة معلومات الموظفين في أداة أنظمة إدارة المعلومات الإدارية للموارد البشرية.</w:t>
      </w:r>
    </w:p>
    <w:p w:rsidR="009D1848" w:rsidRDefault="009D1848" w:rsidP="00272EB0">
      <w:pPr>
        <w:pStyle w:val="ONUMA"/>
        <w:numPr>
          <w:ilvl w:val="0"/>
          <w:numId w:val="15"/>
        </w:numPr>
        <w:rPr>
          <w:rtl/>
          <w:lang w:bidi="ar-EG"/>
        </w:rPr>
      </w:pPr>
      <w:r>
        <w:rPr>
          <w:rtl/>
          <w:lang w:bidi="ar-EG"/>
        </w:rPr>
        <w:t>ولا تستخلص الشعبة توصيات رسمية استنادا إلى عمل التدقيق المستمر الذي تضطلع به. لكن، حالما ومتى دعت الضرورة، ستعقد اجتماعات مع ممثلي الإدارة من قطاع الإدارة والتنظيم وإدارة الموارد البشرية لمناقشة الملاحظات والاقتراحات التي قدمتها الشعبة.</w:t>
      </w:r>
    </w:p>
    <w:p w:rsidR="009D1848" w:rsidRPr="00272EB0" w:rsidRDefault="009D1848" w:rsidP="00D339A9">
      <w:pPr>
        <w:pStyle w:val="BodyText"/>
        <w:keepNext/>
        <w:keepLines/>
        <w:rPr>
          <w:sz w:val="40"/>
          <w:szCs w:val="40"/>
          <w:rtl/>
        </w:rPr>
      </w:pPr>
      <w:r w:rsidRPr="00272EB0">
        <w:rPr>
          <w:sz w:val="40"/>
          <w:szCs w:val="40"/>
          <w:rtl/>
        </w:rPr>
        <w:t>مسائل أخرى- التقييم الذاتي لجودة وظيفة التدقيق الداخلي</w:t>
      </w:r>
    </w:p>
    <w:p w:rsidR="009D1848" w:rsidRDefault="009D1848" w:rsidP="00EE1C17">
      <w:pPr>
        <w:pStyle w:val="ONUMA"/>
        <w:numPr>
          <w:ilvl w:val="0"/>
          <w:numId w:val="15"/>
        </w:numPr>
        <w:rPr>
          <w:rtl/>
          <w:lang w:bidi="ar-EG"/>
        </w:rPr>
      </w:pPr>
      <w:r>
        <w:rPr>
          <w:rtl/>
          <w:lang w:bidi="ar-EG"/>
        </w:rPr>
        <w:t>وفقاً للمرفق 4.1 لدليل الرقابة الداخلية: برنامج ضمان وتحسين جودة وظيفة الرقابة الداخلية، أجرت شعبة الرقابة الداخلية في شهر ديسمبر 2017، تقييماً ذاتياً لوظيفة التدقيق التي تغطي أنشطتها خلال العامين 2015-2016. والهدف من إجراء تقييم ذاتي داخلي بشكل دوري هو تقييم اتفاق وظيفة التدقيق مع معايير معهد المدققين الداخليين وتحديد مجالات التحسن.</w:t>
      </w:r>
    </w:p>
    <w:p w:rsidR="009D1848" w:rsidRDefault="009D1848" w:rsidP="001A07BF">
      <w:pPr>
        <w:pStyle w:val="ONUMA"/>
        <w:numPr>
          <w:ilvl w:val="0"/>
          <w:numId w:val="15"/>
        </w:numPr>
        <w:rPr>
          <w:rtl/>
          <w:lang w:bidi="ar-EG"/>
        </w:rPr>
      </w:pPr>
      <w:r>
        <w:rPr>
          <w:rtl/>
          <w:lang w:bidi="ar-EG"/>
        </w:rPr>
        <w:t>وقد خلص التقييم الذاتي إلى أن وظيفة التدقيق الداخلي تتفق عموماً مع المعايير الدولية لمعهد المدققين الداخليين للممارسة المهنية للتدقيق الداخلي ومدونة الأخلاقيات وتعريف التدقيق الداخلي (وهو ما يعرف بالمعايير). وقد صدرت 13</w:t>
      </w:r>
      <w:r w:rsidR="001A07BF">
        <w:rPr>
          <w:rFonts w:hint="cs"/>
          <w:rtl/>
          <w:lang w:bidi="ar-EG"/>
        </w:rPr>
        <w:t> </w:t>
      </w:r>
      <w:r>
        <w:rPr>
          <w:rtl/>
          <w:lang w:bidi="ar-EG"/>
        </w:rPr>
        <w:t>توصية بناءاً على التقييم الذاتي.</w:t>
      </w:r>
    </w:p>
    <w:p w:rsidR="009D1848" w:rsidRDefault="009D1848" w:rsidP="00EE1C17">
      <w:pPr>
        <w:pStyle w:val="ONUMA"/>
        <w:numPr>
          <w:ilvl w:val="0"/>
          <w:numId w:val="15"/>
        </w:numPr>
        <w:rPr>
          <w:rtl/>
        </w:rPr>
      </w:pPr>
      <w:r>
        <w:rPr>
          <w:rtl/>
          <w:lang w:bidi="ar-EG"/>
        </w:rPr>
        <w:t>وجرى اطلاع لجنة الويبو الاستشارية المستقلة للرقابة والمدير العام على نتائج هذا التقييم الذاتي.</w:t>
      </w:r>
    </w:p>
    <w:p w:rsidR="009D1848" w:rsidRPr="001A07BF" w:rsidRDefault="009D1848" w:rsidP="009D1848">
      <w:pPr>
        <w:pStyle w:val="BodyText"/>
        <w:rPr>
          <w:sz w:val="40"/>
          <w:szCs w:val="40"/>
          <w:rtl/>
        </w:rPr>
      </w:pPr>
      <w:r w:rsidRPr="001A07BF">
        <w:rPr>
          <w:sz w:val="40"/>
          <w:szCs w:val="40"/>
          <w:rtl/>
        </w:rPr>
        <w:t>تقييم أنشطة الاتصالات المؤسسية في الويبو وإسهاماتها في العلامة التجارية للويبو وسمعتها</w:t>
      </w:r>
    </w:p>
    <w:p w:rsidR="009D1848" w:rsidRDefault="009D1848" w:rsidP="00EE1C17">
      <w:pPr>
        <w:pStyle w:val="ONUMA"/>
        <w:numPr>
          <w:ilvl w:val="0"/>
          <w:numId w:val="15"/>
        </w:numPr>
        <w:rPr>
          <w:rtl/>
          <w:lang w:bidi="ar-EG"/>
        </w:rPr>
      </w:pPr>
      <w:r>
        <w:rPr>
          <w:rtl/>
          <w:lang w:bidi="ar-EG"/>
        </w:rPr>
        <w:t>يسعى هذا التقييم إلى تقييم إسهامات الاتصالات المؤسسية للويبو وأنشطتها في برنامج الويبو للتقويم الاستراتيجي والهدف الاستراتيجي الثامن وكذلك إلى تحليل ما إذا كان النظام الإداري والبنية التشغيلية يسهلان تحقيق نتائج الخطة الاستراتيجية متوسطة الأجل.</w:t>
      </w:r>
    </w:p>
    <w:p w:rsidR="009D1848" w:rsidRDefault="009D1848" w:rsidP="00EE1C17">
      <w:pPr>
        <w:pStyle w:val="ONUMA"/>
        <w:numPr>
          <w:ilvl w:val="0"/>
          <w:numId w:val="15"/>
        </w:numPr>
        <w:rPr>
          <w:rtl/>
          <w:lang w:bidi="ar-EG"/>
        </w:rPr>
      </w:pPr>
      <w:r>
        <w:rPr>
          <w:rtl/>
          <w:lang w:bidi="ar-EG"/>
        </w:rPr>
        <w:t>وتوضح النتائج والتوصيات الرئيسية للتقييم أن التغطية الإعلامية للويبو إيجابية أو محايدة بنسبة 99.9 في المائة. وتقع ميزانية شعبة التواصل لأنشطة الاتصالات في حدود ميزانيات وكالات الأمم المتحدة ذات الصلة، وأظهرت اتصالات الويبو منهجاً نشطاً للغاية ويراعي الفروق بين الجنسين.</w:t>
      </w:r>
    </w:p>
    <w:p w:rsidR="009D1848" w:rsidRDefault="009D1848" w:rsidP="00EE1C17">
      <w:pPr>
        <w:pStyle w:val="ONUMA"/>
        <w:numPr>
          <w:ilvl w:val="0"/>
          <w:numId w:val="15"/>
        </w:numPr>
        <w:rPr>
          <w:rtl/>
          <w:lang w:bidi="ar-EG"/>
        </w:rPr>
      </w:pPr>
      <w:r>
        <w:rPr>
          <w:rtl/>
          <w:lang w:bidi="ar-EG"/>
        </w:rPr>
        <w:t xml:space="preserve">ورغم النتائج الإيجابية، أوصى التقييم بضرورة أن ينظر مكتب المدير العام في تعزيز التأثير الاستراتيجي لشعبة الاتصالات عن طريق تنقيح ولايته ونقل شعبة الاتصالات مباشرة تحت إدارة مكتب المدير العام. ومن الضروري أيضاً أن </w:t>
      </w:r>
      <w:r>
        <w:rPr>
          <w:rtl/>
          <w:lang w:bidi="ar-EG"/>
        </w:rPr>
        <w:lastRenderedPageBreak/>
        <w:t>تضع شعبة الاتصالات استراتيجية مفصلة للاتصالات المؤسسية ذات إطار قائم على النتائج. وأخيراً، ينبغي أن تدمج شعبة الاتصالات قدرات رئيسية إضافية وأن تشجع كل وحدة أعمال على أن تسند إلى منسق اتصالات مهمة الاتصال بمنسق داخل شعبة الاتصالات.</w:t>
      </w:r>
    </w:p>
    <w:p w:rsidR="009D1848" w:rsidRPr="007A2EE4" w:rsidRDefault="009D1848" w:rsidP="00EE1C17">
      <w:pPr>
        <w:pStyle w:val="ONUMA"/>
        <w:numPr>
          <w:ilvl w:val="0"/>
          <w:numId w:val="15"/>
        </w:numPr>
        <w:rPr>
          <w:rtl/>
          <w:lang w:bidi="ar-EG"/>
        </w:rPr>
      </w:pPr>
      <w:r>
        <w:rPr>
          <w:rtl/>
          <w:lang w:bidi="ar-EG"/>
        </w:rPr>
        <w:t>وقد تم تنفيذ توصيتين من ثلاث توصيات صادرة. واستجابة للتوصية الأولى لتقرير التقييم، نقلت شعبة الاتصالات إلى مكتب المدير العام. كما يضع البرنامج الصيغة النها</w:t>
      </w:r>
      <w:r w:rsidRPr="007A2EE4">
        <w:rPr>
          <w:rtl/>
          <w:lang w:bidi="ar-EG"/>
        </w:rPr>
        <w:t xml:space="preserve">ئية </w:t>
      </w:r>
      <w:r w:rsidR="007A2EE4" w:rsidRPr="007A2EE4">
        <w:rPr>
          <w:rFonts w:hint="cs"/>
          <w:rtl/>
          <w:lang w:bidi="ar-EG"/>
        </w:rPr>
        <w:t>ل</w:t>
      </w:r>
      <w:r w:rsidRPr="007A2EE4">
        <w:rPr>
          <w:rtl/>
          <w:lang w:bidi="ar-EG"/>
        </w:rPr>
        <w:t>استراتيجية للاتصالات المؤسسية. (امتثالاً للتوصية 3)، أما التوصية المتبقية فمن المقرر تنفيذها في شهر ديسمبر 2018.</w:t>
      </w:r>
    </w:p>
    <w:p w:rsidR="009D1848" w:rsidRPr="00433F08" w:rsidRDefault="009D1848" w:rsidP="00D339A9">
      <w:pPr>
        <w:pStyle w:val="BodyText"/>
        <w:keepNext/>
        <w:keepLines/>
        <w:rPr>
          <w:sz w:val="40"/>
          <w:szCs w:val="40"/>
          <w:rtl/>
        </w:rPr>
      </w:pPr>
      <w:r w:rsidRPr="00433F08">
        <w:rPr>
          <w:sz w:val="40"/>
          <w:szCs w:val="40"/>
          <w:rtl/>
        </w:rPr>
        <w:t>تقييم المكتب الإقليمي لأمريكا اللاتينية ومنطقة البحر الكاريبي</w:t>
      </w:r>
    </w:p>
    <w:p w:rsidR="009D1848" w:rsidRDefault="009D1848" w:rsidP="00EE1C17">
      <w:pPr>
        <w:pStyle w:val="ONUMA"/>
        <w:numPr>
          <w:ilvl w:val="0"/>
          <w:numId w:val="15"/>
        </w:numPr>
        <w:rPr>
          <w:rtl/>
          <w:lang w:bidi="ar-EG"/>
        </w:rPr>
      </w:pPr>
      <w:r>
        <w:rPr>
          <w:rtl/>
          <w:lang w:bidi="ar-EG"/>
        </w:rPr>
        <w:t>خلص التقييم إلى أن أصحاب المصالح والزبائن راضون بشكل كبير عن الخدمات التي يقدمها المكتب (مستويات المشاركة في الأنشطة وسرعة استجابة المكتب). كما أن 89 في المائة من المجيبين على الدراسة الاستقصائية يرون أن الإجابات المقدمة من الويبو مفيدة لاحتياجاتهم.</w:t>
      </w:r>
    </w:p>
    <w:p w:rsidR="009D1848" w:rsidRDefault="009D1848" w:rsidP="00EE1C17">
      <w:pPr>
        <w:pStyle w:val="ONUMA"/>
        <w:numPr>
          <w:ilvl w:val="0"/>
          <w:numId w:val="15"/>
        </w:numPr>
        <w:rPr>
          <w:rtl/>
          <w:lang w:bidi="ar-EG"/>
        </w:rPr>
      </w:pPr>
      <w:r>
        <w:rPr>
          <w:rtl/>
          <w:lang w:bidi="ar-EG"/>
        </w:rPr>
        <w:t>وقد أدى إدخال خطط عمل وعمليات تخطيط أكثر شمولاً إلى إشاعة تصور إيجابي فيما بين أصحاب المصالح عن الخدمات المقدمة من الويبو. وقد أعربت أغلبية كبيرة من الزبائن وأصحاب المصالح عن رضاها عن المعارف التي يمتلكها المكتب الإقليمي عن البلدان والنظراء الوطنيين، وتشعر أيضاً الغالبية العظمى بالرضا عن تبادل الخبرات الذي تسهله الويبو في المنطقة. وقد انتقلت ممارسات جيدة في مجال الملكية الفكرية إلى المنطقة. وتعتبر الخدمات والأنشطة المقدمة ذات صلة بالبلدان التي تخدمها حيث تقدم لها قيمة مضافة. وقد تحسنت عملية التشاور بين الدول الأعضاء والويبو من حيث النوعية (البنية) والكم، لا سيما منذ عام 2016.</w:t>
      </w:r>
    </w:p>
    <w:p w:rsidR="009D1848" w:rsidRDefault="009D1848" w:rsidP="00EE1C17">
      <w:pPr>
        <w:pStyle w:val="ONUMA"/>
        <w:numPr>
          <w:ilvl w:val="0"/>
          <w:numId w:val="15"/>
        </w:numPr>
        <w:rPr>
          <w:rtl/>
          <w:lang w:bidi="ar-EG"/>
        </w:rPr>
      </w:pPr>
      <w:r>
        <w:rPr>
          <w:rtl/>
          <w:lang w:bidi="ar-EG"/>
        </w:rPr>
        <w:t>واستناداً إلى الاستنتاجات والنتائج، أوصى التقييم بضرورة أن يضمن المكتب الإقليمي لأمريكا اللاتينية ومنطقة البحر الكاريبي أن يكون العنصر الجنساني عاملاً في الأنشطة المصممة والمنفذة بالاتساق مع السياسة المؤسسية الجنسانية للويبو. كما ينبغي للمكتب أن يضفي الصفة المؤسسية على القدرة على الاستجابة عن طريق إنشاء بروتوكولات وإجراءات للتواصل والاستجابة للطلبات المقدمة من البلدان؛ وينبغي للمكتب أن يضفي الطابع المنهجي على خطط العمل الحالية، وإطار النتائج ونظام الرصد، وأن ينشئ استراتيجية واضحة لإدارة المعارف. وأخيراً، يتعين على المكتب أن يضع معايير أساسية للميزانية وأن ينقل الممارسات الجيدة من الصناديق الاستئمانية الأخرى عند استعراض الشروط التعاقدية الحالية للصناديق الاستئمانية لضمان تحقيق الاستفادة الفعالة من الموارد.</w:t>
      </w:r>
    </w:p>
    <w:p w:rsidR="009D1848" w:rsidRDefault="009D1848" w:rsidP="00EE1C17">
      <w:pPr>
        <w:pStyle w:val="ONUMA"/>
        <w:numPr>
          <w:ilvl w:val="0"/>
          <w:numId w:val="15"/>
        </w:numPr>
        <w:rPr>
          <w:rtl/>
          <w:lang w:bidi="ar-EG"/>
        </w:rPr>
      </w:pPr>
      <w:r>
        <w:rPr>
          <w:rtl/>
          <w:lang w:bidi="ar-EG"/>
        </w:rPr>
        <w:t>وتخضع التوصيات الخمس لهذا التقييم لطرائق مختلفة من النقاش الداخلي وستستكمل عمليات التنفيذ بحلول شهر ديسمبر 2019.</w:t>
      </w:r>
    </w:p>
    <w:p w:rsidR="009D1848" w:rsidRPr="00953242" w:rsidRDefault="009D1848" w:rsidP="009D1848">
      <w:pPr>
        <w:pStyle w:val="BodyText"/>
        <w:rPr>
          <w:sz w:val="40"/>
          <w:szCs w:val="40"/>
          <w:rtl/>
        </w:rPr>
      </w:pPr>
      <w:r w:rsidRPr="00953242">
        <w:rPr>
          <w:sz w:val="40"/>
          <w:szCs w:val="40"/>
          <w:rtl/>
        </w:rPr>
        <w:t>تقييم البرنامج 18: الملكية الفكرية والتحديات العالمية</w:t>
      </w:r>
    </w:p>
    <w:p w:rsidR="009D1848" w:rsidRDefault="009D1848" w:rsidP="00EE1C17">
      <w:pPr>
        <w:pStyle w:val="ONUMA"/>
        <w:numPr>
          <w:ilvl w:val="0"/>
          <w:numId w:val="15"/>
        </w:numPr>
        <w:rPr>
          <w:rtl/>
          <w:lang w:bidi="ar-EG"/>
        </w:rPr>
      </w:pPr>
      <w:r>
        <w:rPr>
          <w:rtl/>
          <w:lang w:bidi="ar-EG"/>
        </w:rPr>
        <w:t xml:space="preserve">خلصت النتائج الرئيسية للتقييم إلى أن </w:t>
      </w:r>
      <w:r w:rsidR="00E20F5C" w:rsidRPr="00E20F5C">
        <w:rPr>
          <w:rFonts w:hint="cs"/>
          <w:rtl/>
          <w:lang w:bidi="ar-EG"/>
        </w:rPr>
        <w:t>ال</w:t>
      </w:r>
      <w:r w:rsidRPr="00E20F5C">
        <w:rPr>
          <w:rtl/>
          <w:lang w:bidi="ar-EG"/>
        </w:rPr>
        <w:t>برنامج 18 يقدم إسهاماً مركزياً وفعالاً في الهدف الاستراتيجي للويبو الذي يتناول الملكية الفكرية فيما يتعلق بقضايا السياسة العالمية. فقد عزز الب</w:t>
      </w:r>
      <w:r>
        <w:rPr>
          <w:rtl/>
          <w:lang w:bidi="ar-EG"/>
        </w:rPr>
        <w:t xml:space="preserve">رنامج بشكل كبير ظهور الويبو ومشاركتها في مناقشات سياسية مهمة تتعلق بالملكية الفكرية، مما يساعد بدوره على تحسين جودة هذه المناقشات وموضوعيتها. وكان نهج البرنامج </w:t>
      </w:r>
      <w:r>
        <w:rPr>
          <w:rtl/>
          <w:lang w:bidi="ar-EG"/>
        </w:rPr>
        <w:lastRenderedPageBreak/>
        <w:t>القائم على استخدام شراكات متعددة القطاعات كوسيلة لفهم المشكلات المتعلقة بالملكية الفكرية ومعالجتها نهجاً فعالاً. وكان التعاون الثلاثي يعرف في أحيان كثيرة باعتباره الإسهام الوحيد الأكثر أهمية للبرنامج 18.</w:t>
      </w:r>
    </w:p>
    <w:p w:rsidR="009D1848" w:rsidRDefault="009D1848" w:rsidP="00EE1C17">
      <w:pPr>
        <w:pStyle w:val="ONUMA"/>
        <w:numPr>
          <w:ilvl w:val="0"/>
          <w:numId w:val="15"/>
        </w:numPr>
        <w:rPr>
          <w:rtl/>
        </w:rPr>
      </w:pPr>
      <w:r>
        <w:rPr>
          <w:rtl/>
          <w:lang w:bidi="ar-EG"/>
        </w:rPr>
        <w:t xml:space="preserve">ورغم إيجابية التقييم العام للبرنامج، فقد </w:t>
      </w:r>
      <w:r w:rsidRPr="00E20F5C">
        <w:rPr>
          <w:rtl/>
          <w:lang w:bidi="ar-EG"/>
        </w:rPr>
        <w:t xml:space="preserve">حدد </w:t>
      </w:r>
      <w:r w:rsidR="00E20F5C" w:rsidRPr="00E20F5C">
        <w:rPr>
          <w:rtl/>
          <w:lang w:bidi="ar-EG"/>
        </w:rPr>
        <w:t xml:space="preserve">التقييم بعض </w:t>
      </w:r>
      <w:r w:rsidR="00DA61C9">
        <w:rPr>
          <w:rFonts w:hint="cs"/>
          <w:rtl/>
          <w:lang w:bidi="ar-EG"/>
        </w:rPr>
        <w:t>ال</w:t>
      </w:r>
      <w:r w:rsidR="00E20F5C" w:rsidRPr="00E20F5C">
        <w:rPr>
          <w:rtl/>
          <w:lang w:bidi="ar-EG"/>
        </w:rPr>
        <w:t xml:space="preserve">أوجه </w:t>
      </w:r>
      <w:r w:rsidR="00E20F5C" w:rsidRPr="00E20F5C">
        <w:rPr>
          <w:rFonts w:hint="cs"/>
          <w:rtl/>
          <w:lang w:bidi="ar-EG"/>
        </w:rPr>
        <w:t xml:space="preserve">من </w:t>
      </w:r>
      <w:r w:rsidRPr="00E20F5C">
        <w:rPr>
          <w:rtl/>
          <w:lang w:bidi="ar-EG"/>
        </w:rPr>
        <w:t xml:space="preserve">عمل البرنامج </w:t>
      </w:r>
      <w:r w:rsidR="00DA61C9">
        <w:rPr>
          <w:rFonts w:hint="cs"/>
          <w:rtl/>
          <w:lang w:bidi="ar-EG"/>
        </w:rPr>
        <w:t xml:space="preserve">التي </w:t>
      </w:r>
      <w:r w:rsidRPr="00E20F5C">
        <w:rPr>
          <w:rtl/>
          <w:lang w:bidi="ar-EG"/>
        </w:rPr>
        <w:t>يمكن تعزيزها. فمن جهة، ينبغي استكمال استراتيجية البرنامج التي توجه عملية التطوير الجارية لجميع أنشطة البرنامج</w:t>
      </w:r>
      <w:r>
        <w:rPr>
          <w:rtl/>
          <w:lang w:bidi="ar-EG"/>
        </w:rPr>
        <w:t xml:space="preserve"> 18 بإضافة استراتيجية مدتها خمس سنوات لمنصة الويبو للتكنولوجيا الخضراء (ويبو غرين)، من خلال عملية يدعمها فريق استشاري من الخبراء. كما يتعين على الويبو أن تحسن تعميم الموارد لسد الفجوة في كفاءة موظفي البرنامج 18 في </w:t>
      </w:r>
      <w:r w:rsidR="00953242">
        <w:rPr>
          <w:rFonts w:hint="cs"/>
          <w:rtl/>
          <w:lang w:bidi="ar-EG"/>
        </w:rPr>
        <w:t>ال</w:t>
      </w:r>
      <w:r>
        <w:rPr>
          <w:rtl/>
          <w:lang w:bidi="ar-EG"/>
        </w:rPr>
        <w:t>ويبو غرين من أجل دعم عمل البرنامج المتعلق بتغير المناخ، وأن تنظر في تعزيز نموذج التعاون الثلاثي مع منظمة الصحة العالمية ومنظمة التجارة العالمية لتعميق أوجه التعاون مع المنظمات الرئيسية المتعددة الأطراف والدولية أو غيرها من منظمات الأمم المتحدة. وينبغي أيضاً للويبو أن تعزز دعم التعاون الجاري ورصد الشراكات التي أطلقها البرنامج 18، لتحسين إمكانية قياس الأثر طويل الأجل وتحقيقه.</w:t>
      </w:r>
    </w:p>
    <w:p w:rsidR="009D1848" w:rsidRDefault="009D1848" w:rsidP="00EE1C17">
      <w:pPr>
        <w:pStyle w:val="ONUMA"/>
        <w:numPr>
          <w:ilvl w:val="0"/>
          <w:numId w:val="15"/>
        </w:numPr>
        <w:rPr>
          <w:rtl/>
        </w:rPr>
      </w:pPr>
      <w:r>
        <w:rPr>
          <w:rtl/>
          <w:lang w:bidi="ar-EG"/>
        </w:rPr>
        <w:t>ويجري تنفيذ التوصيات الأربع لهذا التقييم لتستكمل بحلول شهر ديسمبر 2018.</w:t>
      </w:r>
    </w:p>
    <w:p w:rsidR="009D1848" w:rsidRPr="00953242" w:rsidRDefault="009D1848" w:rsidP="009D1848">
      <w:pPr>
        <w:pStyle w:val="BodyText"/>
        <w:rPr>
          <w:sz w:val="40"/>
          <w:szCs w:val="40"/>
          <w:rtl/>
        </w:rPr>
      </w:pPr>
      <w:r w:rsidRPr="00953242">
        <w:rPr>
          <w:sz w:val="40"/>
          <w:szCs w:val="40"/>
          <w:rtl/>
        </w:rPr>
        <w:t>تقييم تنمية الكفاءات والمهارات في مجال الملكية الفكرية</w:t>
      </w:r>
    </w:p>
    <w:p w:rsidR="009D1848" w:rsidRDefault="00953242" w:rsidP="00EE1C17">
      <w:pPr>
        <w:pStyle w:val="ONUMA"/>
        <w:numPr>
          <w:ilvl w:val="0"/>
          <w:numId w:val="15"/>
        </w:numPr>
        <w:rPr>
          <w:rtl/>
          <w:lang w:bidi="ar-EG"/>
        </w:rPr>
      </w:pPr>
      <w:r>
        <w:rPr>
          <w:rFonts w:hint="cs"/>
          <w:rtl/>
          <w:lang w:bidi="ar-EG"/>
        </w:rPr>
        <w:t>و</w:t>
      </w:r>
      <w:r w:rsidR="009D1848">
        <w:rPr>
          <w:rtl/>
          <w:lang w:bidi="ar-EG"/>
        </w:rPr>
        <w:t>خلصت النتائج الرئيسية للتقييم إلى أن أنشطة تنمية الكفاءات في الويبو تسهم في الأهداف الاستراتيجية للمنظمة وفي الاحتياجات الإنمائية للدول الأعضاء. كما أكد معظم أصحاب المصالح الخارجيين (ممثلو الدول الأعضاء ومنظمات الملكية الفكرية) الذين تناولتهم الدراسة الاستقصائية أثناء التقييم أن التدخلات لتنمية كفاءات الويبو كان لها تأثير إيجابي في ثلاثة مستويات من تنمية الكفاءات (السياسية/القانونية والمؤسسية والفردية). وأكد الجزء الأكبر من أصحاب المصالح الخارجيين أن أنشطة الويبو بشأن تنمية الكفاءات أسهمت في بناء كتلة حاسمة من المستفيدين يتمتعون بالكفاءات الملائمة بطريقة مستدامة.</w:t>
      </w:r>
    </w:p>
    <w:p w:rsidR="009D1848" w:rsidRDefault="009D1848" w:rsidP="00EE1C17">
      <w:pPr>
        <w:pStyle w:val="ONUMA"/>
        <w:numPr>
          <w:ilvl w:val="0"/>
          <w:numId w:val="15"/>
        </w:numPr>
        <w:rPr>
          <w:rtl/>
        </w:rPr>
      </w:pPr>
      <w:r>
        <w:rPr>
          <w:rtl/>
          <w:lang w:bidi="ar-EG"/>
        </w:rPr>
        <w:t>وحدد التقييم أوجه عمل البرنامج التي يمكن تعزيزها. وهي تحديداً وضع إطار لتنمية الكفاءات لتصميم تنمية الكفاءات وتنفيذها ورصدها وإدارتها وتقييمها في برامج الويبو وتوحيد بنية لتكنولوجيا المعلومات لتجميع قواعد ومستودعات البيانات الحالية بشأن تنمية الكفاءات. كما ينبغي لقطاع التنمية أن ينظر في تقديم التوجيه بشأن مراحل وضع الاستراتيجيات الوطنية للملكية الفكرية واعتمادها استناداً إلى أفضل الممارسات، وينظر في تغطية المسائل الإجرائية والموضوعية. وأخيراً، من الضروري أن تشمل البرامج الثمانية قيد الاستعراض الجوانب الجنسانية في أنشطتها وأن تضع مؤشرات تراعي الفوارق بين الجنسين لمعالجة الرؤى الجنسانية بطريقة مستدامة، على نحو ما أوصت سياسة الويبو بشأن المساواة بين الجنسين.</w:t>
      </w:r>
    </w:p>
    <w:p w:rsidR="009D1848" w:rsidRDefault="009D1848" w:rsidP="00EE1C17">
      <w:pPr>
        <w:pStyle w:val="ONUMA"/>
        <w:numPr>
          <w:ilvl w:val="0"/>
          <w:numId w:val="15"/>
        </w:numPr>
        <w:rPr>
          <w:rtl/>
        </w:rPr>
      </w:pPr>
      <w:r>
        <w:rPr>
          <w:rtl/>
          <w:lang w:bidi="ar-EG"/>
        </w:rPr>
        <w:t>من المقرر تنفيذ توصيات هذا التقييم قبل شهر يونيو 2019.</w:t>
      </w:r>
    </w:p>
    <w:p w:rsidR="009D1848" w:rsidRDefault="009D1848" w:rsidP="007D7364">
      <w:pPr>
        <w:pStyle w:val="Heading2"/>
        <w:rPr>
          <w:rtl/>
        </w:rPr>
      </w:pPr>
      <w:bookmarkStart w:id="16" w:name="_Toc519174851"/>
      <w:r>
        <w:rPr>
          <w:rtl/>
        </w:rPr>
        <w:t>أنشطة التحقيق</w:t>
      </w:r>
      <w:bookmarkEnd w:id="16"/>
    </w:p>
    <w:p w:rsidR="009D1848" w:rsidRPr="001B01DB" w:rsidRDefault="009D1848" w:rsidP="009D1848">
      <w:pPr>
        <w:pStyle w:val="BodyText"/>
        <w:rPr>
          <w:sz w:val="40"/>
          <w:szCs w:val="40"/>
          <w:rtl/>
        </w:rPr>
      </w:pPr>
      <w:r w:rsidRPr="001B01DB">
        <w:rPr>
          <w:sz w:val="40"/>
          <w:szCs w:val="40"/>
          <w:rtl/>
        </w:rPr>
        <w:t>لمحة عامة عن عدد الحالات</w:t>
      </w:r>
    </w:p>
    <w:p w:rsidR="009D1848" w:rsidRDefault="00C40E5C" w:rsidP="00EE1C17">
      <w:pPr>
        <w:pStyle w:val="ONUMA"/>
        <w:numPr>
          <w:ilvl w:val="0"/>
          <w:numId w:val="15"/>
        </w:numPr>
        <w:rPr>
          <w:rtl/>
        </w:rPr>
      </w:pPr>
      <w:r w:rsidRPr="00C40E5C">
        <w:rPr>
          <w:rFonts w:hint="cs"/>
          <w:rtl/>
        </w:rPr>
        <w:t>و</w:t>
      </w:r>
      <w:r w:rsidR="009D1848" w:rsidRPr="00C40E5C">
        <w:rPr>
          <w:rtl/>
          <w:lang w:bidi="ar-EG"/>
        </w:rPr>
        <w:t xml:space="preserve">خلال الفترة المشمولة بالتقرير، سُجلت 40 حالة استفسار جديدة (تشكل 67 في المائة زيادة عن الفترة السابقة) وأغلقت 42 حالة. وفي 30 يونيو 2018، كانت 12 حالة عالقة منها أربع حالات في مرحلة التقييم الأوّلي وست حالات في مرحلة التحقيق الكامل وحالتان منها معلقة بسبب غياب الموظف المعني لفترة طويلة، أو بانتظار اتخاذ إجراء من جانب كيان </w:t>
      </w:r>
      <w:r w:rsidR="009D1848" w:rsidRPr="00C40E5C">
        <w:rPr>
          <w:rtl/>
          <w:lang w:bidi="ar-EG"/>
        </w:rPr>
        <w:lastRenderedPageBreak/>
        <w:t>آخر. وفُتحت خمس حالات من الحالات العالقة في عام 2018 وست حالات في عام 2017 و</w:t>
      </w:r>
      <w:r w:rsidR="009D1848">
        <w:rPr>
          <w:rtl/>
          <w:lang w:bidi="ar-EG"/>
        </w:rPr>
        <w:t xml:space="preserve">حالة واحدة في عام 2016. وفي 1 يوليو 2017، بلغ الوقت المستغرق للتحقيق في الحالات 7.1 أشهر. </w:t>
      </w:r>
    </w:p>
    <w:p w:rsidR="009D1848" w:rsidRPr="00C462AB" w:rsidRDefault="009D1848" w:rsidP="00C462AB">
      <w:pPr>
        <w:pStyle w:val="BodyText"/>
        <w:rPr>
          <w:b/>
          <w:bCs/>
          <w:highlight w:val="yellow"/>
          <w:rtl/>
        </w:rPr>
      </w:pPr>
      <w:r w:rsidRPr="00C462AB">
        <w:rPr>
          <w:b/>
          <w:bCs/>
          <w:rtl/>
        </w:rPr>
        <w:t>الرسم البياني 1 – تحليل مقارنة لعدد حالات التحقيق من 30 يونيو 2015 إلى 30 يونيو 2018</w:t>
      </w:r>
    </w:p>
    <w:p w:rsidR="00C462AB" w:rsidRDefault="00AC53D8" w:rsidP="00C462AB">
      <w:pPr>
        <w:pStyle w:val="BodyText"/>
        <w:jc w:val="center"/>
        <w:rPr>
          <w:highlight w:val="yellow"/>
          <w:rtl/>
        </w:rPr>
      </w:pPr>
      <w:r w:rsidRPr="00AC53D8">
        <w:rPr>
          <w:rFonts w:hint="cs"/>
          <w:noProof/>
          <w:rtl/>
          <w:lang w:bidi="ar-SA"/>
        </w:rPr>
        <w:drawing>
          <wp:inline distT="0" distB="0" distL="0" distR="0" wp14:anchorId="592742D9" wp14:editId="523C5C91">
            <wp:extent cx="5379814" cy="30022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9478" cy="3002058"/>
                    </a:xfrm>
                    <a:prstGeom prst="rect">
                      <a:avLst/>
                    </a:prstGeom>
                    <a:noFill/>
                    <a:ln>
                      <a:noFill/>
                    </a:ln>
                  </pic:spPr>
                </pic:pic>
              </a:graphicData>
            </a:graphic>
          </wp:inline>
        </w:drawing>
      </w:r>
    </w:p>
    <w:p w:rsidR="009D1848" w:rsidRPr="00C462AB" w:rsidRDefault="009D1848" w:rsidP="00EE1C17">
      <w:pPr>
        <w:pStyle w:val="ONUMA"/>
        <w:numPr>
          <w:ilvl w:val="0"/>
          <w:numId w:val="15"/>
        </w:numPr>
        <w:rPr>
          <w:rtl/>
        </w:rPr>
      </w:pPr>
      <w:r w:rsidRPr="00C462AB">
        <w:rPr>
          <w:highlight w:val="yellow"/>
          <w:rtl/>
          <w:lang w:bidi="ar-EG"/>
        </w:rPr>
        <w:t>‏</w:t>
      </w:r>
      <w:r w:rsidRPr="00C462AB">
        <w:rPr>
          <w:rtl/>
          <w:lang w:bidi="ar-EG"/>
        </w:rPr>
        <w:t>ومن ضمن الحالات المفتوحة الأربعين خلال الفترة المشمولة بالتقرير، أحيلت اثنى عشرة حالات إلى اللجنة الاستشارية المستقلة للرقابة لتسدي المشورة بشأنها وفقا للأحكام المناسبة من ميثاق الرقابة الداخلية</w:t>
      </w:r>
      <w:r w:rsidR="00CD73D7" w:rsidRPr="00C462AB">
        <w:rPr>
          <w:rStyle w:val="FootnoteReference"/>
          <w:rtl/>
          <w:lang w:bidi="ar-EG"/>
        </w:rPr>
        <w:footnoteReference w:id="5"/>
      </w:r>
      <w:r w:rsidRPr="00C462AB">
        <w:rPr>
          <w:rtl/>
          <w:lang w:bidi="ar-EG"/>
        </w:rPr>
        <w:t xml:space="preserve">. </w:t>
      </w:r>
    </w:p>
    <w:p w:rsidR="009D1848" w:rsidRPr="00C462AB" w:rsidRDefault="009D1848" w:rsidP="009D1848">
      <w:pPr>
        <w:pStyle w:val="BodyText"/>
        <w:rPr>
          <w:sz w:val="40"/>
          <w:szCs w:val="40"/>
          <w:rtl/>
        </w:rPr>
      </w:pPr>
      <w:r w:rsidRPr="00C462AB">
        <w:rPr>
          <w:sz w:val="40"/>
          <w:szCs w:val="40"/>
          <w:rtl/>
        </w:rPr>
        <w:t>حصيلة أنشطة التحقيق</w:t>
      </w:r>
    </w:p>
    <w:p w:rsidR="009D1848" w:rsidRDefault="009D1848" w:rsidP="00EE1C17">
      <w:pPr>
        <w:pStyle w:val="ONUMA"/>
        <w:numPr>
          <w:ilvl w:val="0"/>
          <w:numId w:val="15"/>
        </w:numPr>
        <w:rPr>
          <w:rtl/>
        </w:rPr>
      </w:pPr>
      <w:r w:rsidRPr="00C462AB">
        <w:rPr>
          <w:rtl/>
          <w:lang w:bidi="ar-EG"/>
        </w:rPr>
        <w:t>وفقا لميثاق ال</w:t>
      </w:r>
      <w:r>
        <w:rPr>
          <w:rtl/>
          <w:lang w:bidi="ar-EG"/>
        </w:rPr>
        <w:t>رقابة الداخلية، يشمل التقرير السنوي وصفا لقضايا التحقيق التي تم إثباتها مع ما صدر بشأنها من أحكام. وفي خمس من الحالات المحقق فيها، وجدت الشعبة أدلة على صحة الادعاءات وأوصت باتخاذ تدابير تأديبية في حق الموظف. وفي هذه الحالات الخمس:</w:t>
      </w:r>
    </w:p>
    <w:p w:rsidR="009D1848" w:rsidRDefault="009D1848" w:rsidP="00FF46CA">
      <w:pPr>
        <w:pStyle w:val="BodyText"/>
        <w:numPr>
          <w:ilvl w:val="0"/>
          <w:numId w:val="20"/>
        </w:numPr>
        <w:tabs>
          <w:tab w:val="left" w:pos="1133"/>
        </w:tabs>
        <w:ind w:left="566" w:firstLine="0"/>
        <w:rPr>
          <w:rtl/>
        </w:rPr>
      </w:pPr>
      <w:r>
        <w:rPr>
          <w:rtl/>
        </w:rPr>
        <w:t>تتعلق حالتان بإساءة استخدام الموظفين للوق</w:t>
      </w:r>
      <w:r w:rsidRPr="00DA61C9">
        <w:rPr>
          <w:rtl/>
        </w:rPr>
        <w:t>ت المنفق ف</w:t>
      </w:r>
      <w:r>
        <w:rPr>
          <w:rtl/>
        </w:rPr>
        <w:t>ي العمل؛</w:t>
      </w:r>
    </w:p>
    <w:p w:rsidR="009D1848" w:rsidRDefault="009D1848" w:rsidP="00FF46CA">
      <w:pPr>
        <w:pStyle w:val="BodyText"/>
        <w:numPr>
          <w:ilvl w:val="0"/>
          <w:numId w:val="20"/>
        </w:numPr>
        <w:tabs>
          <w:tab w:val="left" w:pos="1133"/>
        </w:tabs>
        <w:ind w:left="566" w:firstLine="0"/>
        <w:rPr>
          <w:rtl/>
        </w:rPr>
      </w:pPr>
      <w:r>
        <w:rPr>
          <w:rtl/>
        </w:rPr>
        <w:t>وتتعلق حالة واحدة بإساءة استغلال أحد الموظفين للامتيازات والحصانة الدبلوماسية للتنصل من التزامات مالية شخصية؛</w:t>
      </w:r>
    </w:p>
    <w:p w:rsidR="009D1848" w:rsidRDefault="009D1848" w:rsidP="00FF46CA">
      <w:pPr>
        <w:pStyle w:val="BodyText"/>
        <w:numPr>
          <w:ilvl w:val="0"/>
          <w:numId w:val="20"/>
        </w:numPr>
        <w:tabs>
          <w:tab w:val="left" w:pos="1133"/>
        </w:tabs>
        <w:ind w:left="566" w:firstLine="0"/>
        <w:rPr>
          <w:rtl/>
        </w:rPr>
      </w:pPr>
      <w:r>
        <w:rPr>
          <w:rtl/>
        </w:rPr>
        <w:t>وتتعلق حالة واحدة بتمرد أحد الموظفين وسلوكه غير اللائق في مكان العمل؛</w:t>
      </w:r>
    </w:p>
    <w:p w:rsidR="009D1848" w:rsidRDefault="009D1848" w:rsidP="00FF46CA">
      <w:pPr>
        <w:pStyle w:val="BodyText"/>
        <w:numPr>
          <w:ilvl w:val="0"/>
          <w:numId w:val="20"/>
        </w:numPr>
        <w:tabs>
          <w:tab w:val="left" w:pos="1133"/>
        </w:tabs>
        <w:ind w:left="566" w:firstLine="0"/>
        <w:rPr>
          <w:rtl/>
        </w:rPr>
      </w:pPr>
      <w:r>
        <w:rPr>
          <w:rtl/>
        </w:rPr>
        <w:t>وتتعلق حالة واحدة بقيام أحد الموظفين بأنشطة مهنية خارجية غير مصرح بها.</w:t>
      </w:r>
    </w:p>
    <w:p w:rsidR="009D1848" w:rsidRDefault="009D1848" w:rsidP="00AC53D8">
      <w:pPr>
        <w:pStyle w:val="ONUMA"/>
        <w:keepNext/>
        <w:keepLines/>
        <w:numPr>
          <w:ilvl w:val="0"/>
          <w:numId w:val="15"/>
        </w:numPr>
        <w:rPr>
          <w:rtl/>
        </w:rPr>
      </w:pPr>
      <w:r>
        <w:rPr>
          <w:rtl/>
          <w:lang w:bidi="ar-EG"/>
        </w:rPr>
        <w:lastRenderedPageBreak/>
        <w:t>وعقب إصدار توصيات باتخاذ تدابير تأديبية:</w:t>
      </w:r>
    </w:p>
    <w:p w:rsidR="009D1848" w:rsidRDefault="009D1848" w:rsidP="00C64EA4">
      <w:pPr>
        <w:pStyle w:val="BodyText"/>
        <w:numPr>
          <w:ilvl w:val="0"/>
          <w:numId w:val="22"/>
        </w:numPr>
        <w:tabs>
          <w:tab w:val="left" w:pos="1133"/>
        </w:tabs>
        <w:ind w:left="566" w:firstLine="0"/>
        <w:rPr>
          <w:rtl/>
        </w:rPr>
      </w:pPr>
      <w:r>
        <w:rPr>
          <w:rtl/>
        </w:rPr>
        <w:t>في حالة واحدة، طرد موظف من المنظمة؛</w:t>
      </w:r>
    </w:p>
    <w:p w:rsidR="009D1848" w:rsidRDefault="009D1848" w:rsidP="00C64EA4">
      <w:pPr>
        <w:pStyle w:val="BodyText"/>
        <w:numPr>
          <w:ilvl w:val="0"/>
          <w:numId w:val="22"/>
        </w:numPr>
        <w:tabs>
          <w:tab w:val="left" w:pos="1133"/>
        </w:tabs>
        <w:ind w:left="566" w:firstLine="0"/>
        <w:rPr>
          <w:rtl/>
        </w:rPr>
      </w:pPr>
      <w:r>
        <w:rPr>
          <w:rtl/>
        </w:rPr>
        <w:t>في حالة واحدة، أنزل موظف إلى رتبة أقل؛</w:t>
      </w:r>
    </w:p>
    <w:p w:rsidR="009D1848" w:rsidRDefault="009D1848" w:rsidP="00C64EA4">
      <w:pPr>
        <w:pStyle w:val="BodyText"/>
        <w:numPr>
          <w:ilvl w:val="0"/>
          <w:numId w:val="22"/>
        </w:numPr>
        <w:tabs>
          <w:tab w:val="left" w:pos="1133"/>
        </w:tabs>
        <w:ind w:left="566" w:firstLine="0"/>
        <w:rPr>
          <w:rtl/>
        </w:rPr>
      </w:pPr>
      <w:r>
        <w:rPr>
          <w:rtl/>
        </w:rPr>
        <w:t>في حالة واحدة، لم تتبع المنظمة التوصية باتخاذ تدابير تأديبية؛</w:t>
      </w:r>
    </w:p>
    <w:p w:rsidR="009D1848" w:rsidRDefault="009D1848" w:rsidP="00C64EA4">
      <w:pPr>
        <w:pStyle w:val="BodyText"/>
        <w:numPr>
          <w:ilvl w:val="0"/>
          <w:numId w:val="22"/>
        </w:numPr>
        <w:tabs>
          <w:tab w:val="left" w:pos="1133"/>
        </w:tabs>
        <w:ind w:left="566" w:firstLine="0"/>
        <w:rPr>
          <w:rtl/>
        </w:rPr>
      </w:pPr>
      <w:r>
        <w:rPr>
          <w:rtl/>
        </w:rPr>
        <w:t>في حالتين، ما يزال اتخاذ الإدارة لقرار نهائي معلقاً في 30 يونيو 2018</w:t>
      </w:r>
    </w:p>
    <w:p w:rsidR="009D1848" w:rsidRDefault="009D1848" w:rsidP="00282CDC">
      <w:pPr>
        <w:pStyle w:val="ONUMA"/>
        <w:numPr>
          <w:ilvl w:val="0"/>
          <w:numId w:val="15"/>
        </w:numPr>
        <w:rPr>
          <w:rtl/>
        </w:rPr>
      </w:pPr>
      <w:r>
        <w:rPr>
          <w:rtl/>
        </w:rPr>
        <w:t>وإضافة إلى ذلك، مكَّنت أنشطة التحقيق التي نُفذت خلال الفترة المشمولة بالتقرير الشعبة من استخلاص بعض الدروس. وبوجه خاص، أُصدرت ثلاثة تقارير عن التورط الإداري قدمت فيها توصيات بخصوص: "1" إنفاذ قواعد بشأن السلامة البدنية والأمن؛ "2" إجراءات الشراء؛ "3" وضع وإنفاذ قواعد للمرور في أماكن توقيف السيارات في الويبو.</w:t>
      </w:r>
    </w:p>
    <w:p w:rsidR="009D1848" w:rsidRDefault="009D1848" w:rsidP="00EE1C17">
      <w:pPr>
        <w:pStyle w:val="ONUMA"/>
        <w:numPr>
          <w:ilvl w:val="0"/>
          <w:numId w:val="15"/>
        </w:numPr>
        <w:rPr>
          <w:rtl/>
        </w:rPr>
      </w:pPr>
      <w:r>
        <w:rPr>
          <w:rtl/>
          <w:lang w:bidi="ar-EG"/>
        </w:rPr>
        <w:t>ويرد فيما يلي تحليل مقارنة للحالات المسجلة في الفترة من 1 يوليو 2015 إلى 30 يونيو 2018.</w:t>
      </w:r>
    </w:p>
    <w:p w:rsidR="009D1848" w:rsidRPr="00282CDC" w:rsidRDefault="009D1848" w:rsidP="00AC53D8">
      <w:pPr>
        <w:pStyle w:val="BodyText"/>
        <w:jc w:val="center"/>
        <w:rPr>
          <w:b/>
          <w:bCs/>
          <w:rtl/>
        </w:rPr>
      </w:pPr>
      <w:r w:rsidRPr="00282CDC">
        <w:rPr>
          <w:b/>
          <w:bCs/>
          <w:rtl/>
        </w:rPr>
        <w:t>الجدول 1 – تحليل الشكاوى الواردة من 1 يوليو 2015 إلى 30 يونيو 2018</w:t>
      </w:r>
    </w:p>
    <w:p w:rsidR="00282CDC" w:rsidRDefault="00282CDC" w:rsidP="009D1848">
      <w:pPr>
        <w:pStyle w:val="BodyText"/>
        <w:rPr>
          <w:rtl/>
        </w:rPr>
      </w:pPr>
    </w:p>
    <w:tbl>
      <w:tblPr>
        <w:tblStyle w:val="TableGrid"/>
        <w:bidiVisual/>
        <w:tblW w:w="0" w:type="auto"/>
        <w:tblLayout w:type="fixed"/>
        <w:tblLook w:val="04A0" w:firstRow="1" w:lastRow="0" w:firstColumn="1" w:lastColumn="0" w:noHBand="0" w:noVBand="1"/>
      </w:tblPr>
      <w:tblGrid>
        <w:gridCol w:w="5068"/>
        <w:gridCol w:w="1560"/>
        <w:gridCol w:w="1417"/>
        <w:gridCol w:w="1526"/>
      </w:tblGrid>
      <w:tr w:rsidR="002B303F" w:rsidRPr="00890775" w:rsidTr="004A0D1F">
        <w:tc>
          <w:tcPr>
            <w:tcW w:w="5068" w:type="dxa"/>
            <w:tcBorders>
              <w:top w:val="nil"/>
              <w:left w:val="nil"/>
              <w:bottom w:val="single" w:sz="4" w:space="0" w:color="auto"/>
            </w:tcBorders>
          </w:tcPr>
          <w:p w:rsidR="009376A7" w:rsidRPr="00890775" w:rsidRDefault="009376A7" w:rsidP="00890775">
            <w:pPr>
              <w:pStyle w:val="BodyText"/>
              <w:spacing w:before="0"/>
              <w:rPr>
                <w:sz w:val="28"/>
                <w:szCs w:val="28"/>
                <w:rtl/>
              </w:rPr>
            </w:pPr>
          </w:p>
        </w:tc>
        <w:tc>
          <w:tcPr>
            <w:tcW w:w="1560" w:type="dxa"/>
            <w:tcBorders>
              <w:top w:val="single" w:sz="4" w:space="0" w:color="auto"/>
              <w:bottom w:val="single" w:sz="4" w:space="0" w:color="auto"/>
            </w:tcBorders>
          </w:tcPr>
          <w:p w:rsidR="009376A7" w:rsidRPr="00890775" w:rsidRDefault="007558B2" w:rsidP="007558B2">
            <w:pPr>
              <w:pStyle w:val="BodyText"/>
              <w:spacing w:before="0"/>
              <w:jc w:val="center"/>
              <w:rPr>
                <w:b/>
                <w:bCs/>
                <w:sz w:val="28"/>
                <w:szCs w:val="28"/>
                <w:rtl/>
                <w:lang w:bidi="ar-SA"/>
              </w:rPr>
            </w:pPr>
            <w:r>
              <w:rPr>
                <w:rFonts w:hint="cs"/>
                <w:b/>
                <w:bCs/>
                <w:sz w:val="28"/>
                <w:szCs w:val="28"/>
                <w:rtl/>
                <w:lang w:bidi="ar-SA"/>
              </w:rPr>
              <w:t>2015/16</w:t>
            </w:r>
          </w:p>
        </w:tc>
        <w:tc>
          <w:tcPr>
            <w:tcW w:w="1417" w:type="dxa"/>
            <w:tcBorders>
              <w:top w:val="single" w:sz="4" w:space="0" w:color="auto"/>
              <w:bottom w:val="single" w:sz="4" w:space="0" w:color="auto"/>
            </w:tcBorders>
          </w:tcPr>
          <w:p w:rsidR="009376A7" w:rsidRPr="00890775" w:rsidRDefault="007558B2" w:rsidP="007558B2">
            <w:pPr>
              <w:pStyle w:val="BodyText"/>
              <w:spacing w:before="0"/>
              <w:jc w:val="center"/>
              <w:rPr>
                <w:b/>
                <w:bCs/>
                <w:sz w:val="28"/>
                <w:szCs w:val="28"/>
                <w:rtl/>
              </w:rPr>
            </w:pPr>
            <w:r>
              <w:rPr>
                <w:rFonts w:hint="cs"/>
                <w:b/>
                <w:bCs/>
                <w:sz w:val="28"/>
                <w:szCs w:val="28"/>
                <w:rtl/>
              </w:rPr>
              <w:t>2016/17</w:t>
            </w:r>
          </w:p>
        </w:tc>
        <w:tc>
          <w:tcPr>
            <w:tcW w:w="1526" w:type="dxa"/>
            <w:tcBorders>
              <w:top w:val="single" w:sz="4" w:space="0" w:color="auto"/>
              <w:bottom w:val="single" w:sz="4" w:space="0" w:color="auto"/>
            </w:tcBorders>
          </w:tcPr>
          <w:p w:rsidR="009376A7" w:rsidRPr="00890775" w:rsidRDefault="007558B2" w:rsidP="00890775">
            <w:pPr>
              <w:pStyle w:val="BodyText"/>
              <w:spacing w:before="0"/>
              <w:jc w:val="center"/>
              <w:rPr>
                <w:b/>
                <w:bCs/>
                <w:sz w:val="28"/>
                <w:szCs w:val="28"/>
                <w:rtl/>
              </w:rPr>
            </w:pPr>
            <w:r>
              <w:rPr>
                <w:rFonts w:hint="cs"/>
                <w:b/>
                <w:bCs/>
                <w:sz w:val="28"/>
                <w:szCs w:val="28"/>
                <w:rtl/>
              </w:rPr>
              <w:t>2017/18</w:t>
            </w:r>
          </w:p>
        </w:tc>
      </w:tr>
      <w:tr w:rsidR="00F94107" w:rsidRPr="00890775" w:rsidTr="004A0D1F">
        <w:tc>
          <w:tcPr>
            <w:tcW w:w="5068" w:type="dxa"/>
            <w:tcBorders>
              <w:bottom w:val="nil"/>
              <w:right w:val="single" w:sz="4" w:space="0" w:color="auto"/>
            </w:tcBorders>
          </w:tcPr>
          <w:p w:rsidR="00F94107" w:rsidRPr="00890775" w:rsidRDefault="00F94107" w:rsidP="00890775">
            <w:pPr>
              <w:pStyle w:val="BodyText"/>
              <w:spacing w:before="0"/>
              <w:rPr>
                <w:sz w:val="28"/>
                <w:szCs w:val="28"/>
                <w:rtl/>
              </w:rPr>
            </w:pPr>
            <w:r w:rsidRPr="00890775">
              <w:rPr>
                <w:sz w:val="28"/>
                <w:szCs w:val="28"/>
                <w:rtl/>
              </w:rPr>
              <w:t>إساءة استخدام وقت العمل</w:t>
            </w:r>
          </w:p>
        </w:tc>
        <w:tc>
          <w:tcPr>
            <w:tcW w:w="1560" w:type="dxa"/>
            <w:tcBorders>
              <w:top w:val="single" w:sz="4" w:space="0" w:color="auto"/>
              <w:left w:val="single" w:sz="4" w:space="0" w:color="auto"/>
              <w:bottom w:val="nil"/>
              <w:right w:val="single" w:sz="4" w:space="0" w:color="auto"/>
            </w:tcBorders>
          </w:tcPr>
          <w:p w:rsidR="00F94107" w:rsidRPr="00890775" w:rsidRDefault="007558B2" w:rsidP="00B50C43">
            <w:pPr>
              <w:pStyle w:val="BodyText"/>
              <w:tabs>
                <w:tab w:val="left" w:pos="742"/>
              </w:tabs>
              <w:spacing w:before="0"/>
              <w:jc w:val="center"/>
              <w:rPr>
                <w:sz w:val="28"/>
                <w:szCs w:val="28"/>
                <w:rtl/>
              </w:rPr>
            </w:pPr>
            <w:r>
              <w:rPr>
                <w:sz w:val="28"/>
                <w:szCs w:val="28"/>
              </w:rPr>
              <w:t>3</w:t>
            </w:r>
            <w:r w:rsidR="00F94107" w:rsidRPr="00890775">
              <w:rPr>
                <w:sz w:val="28"/>
                <w:szCs w:val="28"/>
              </w:rPr>
              <w:tab/>
              <w:t>(</w:t>
            </w:r>
            <w:r>
              <w:rPr>
                <w:sz w:val="28"/>
                <w:szCs w:val="28"/>
              </w:rPr>
              <w:t>10</w:t>
            </w:r>
            <w:r w:rsidR="00F94107" w:rsidRPr="00890775">
              <w:rPr>
                <w:sz w:val="28"/>
                <w:szCs w:val="28"/>
              </w:rPr>
              <w:t>%)</w:t>
            </w:r>
          </w:p>
        </w:tc>
        <w:tc>
          <w:tcPr>
            <w:tcW w:w="1417" w:type="dxa"/>
            <w:tcBorders>
              <w:top w:val="single" w:sz="4" w:space="0" w:color="auto"/>
              <w:left w:val="single" w:sz="4" w:space="0" w:color="auto"/>
              <w:bottom w:val="nil"/>
              <w:right w:val="single" w:sz="4" w:space="0" w:color="auto"/>
            </w:tcBorders>
          </w:tcPr>
          <w:p w:rsidR="00F94107" w:rsidRPr="00890775" w:rsidRDefault="00F94107" w:rsidP="00B50C43">
            <w:pPr>
              <w:pStyle w:val="BodyText"/>
              <w:tabs>
                <w:tab w:val="left" w:pos="600"/>
              </w:tabs>
              <w:spacing w:before="0"/>
              <w:jc w:val="center"/>
              <w:rPr>
                <w:sz w:val="28"/>
                <w:szCs w:val="28"/>
                <w:rtl/>
              </w:rPr>
            </w:pPr>
            <w:r>
              <w:rPr>
                <w:sz w:val="28"/>
                <w:szCs w:val="28"/>
              </w:rPr>
              <w:t>3</w:t>
            </w:r>
            <w:r>
              <w:rPr>
                <w:sz w:val="28"/>
                <w:szCs w:val="28"/>
              </w:rPr>
              <w:tab/>
            </w:r>
            <w:r w:rsidRPr="002B303F">
              <w:rPr>
                <w:sz w:val="28"/>
                <w:szCs w:val="28"/>
              </w:rPr>
              <w:t>(</w:t>
            </w:r>
            <w:r w:rsidR="007558B2">
              <w:rPr>
                <w:sz w:val="28"/>
                <w:szCs w:val="28"/>
              </w:rPr>
              <w:t>13</w:t>
            </w:r>
            <w:r w:rsidRPr="002B303F">
              <w:rPr>
                <w:sz w:val="28"/>
                <w:szCs w:val="28"/>
              </w:rPr>
              <w:t>%)</w:t>
            </w:r>
          </w:p>
        </w:tc>
        <w:tc>
          <w:tcPr>
            <w:tcW w:w="1526" w:type="dxa"/>
            <w:tcBorders>
              <w:top w:val="single" w:sz="4" w:space="0" w:color="auto"/>
              <w:left w:val="single" w:sz="4" w:space="0" w:color="auto"/>
              <w:bottom w:val="nil"/>
            </w:tcBorders>
          </w:tcPr>
          <w:p w:rsidR="00F94107" w:rsidRPr="00890775" w:rsidRDefault="007558B2" w:rsidP="00B50C43">
            <w:pPr>
              <w:pStyle w:val="BodyText"/>
              <w:tabs>
                <w:tab w:val="left" w:pos="600"/>
              </w:tabs>
              <w:spacing w:before="0"/>
              <w:jc w:val="center"/>
              <w:rPr>
                <w:sz w:val="28"/>
                <w:szCs w:val="28"/>
                <w:rtl/>
              </w:rPr>
            </w:pPr>
            <w:r>
              <w:rPr>
                <w:sz w:val="28"/>
                <w:szCs w:val="28"/>
              </w:rPr>
              <w:t>5</w:t>
            </w:r>
            <w:r w:rsidR="00F94107">
              <w:rPr>
                <w:sz w:val="28"/>
                <w:szCs w:val="28"/>
              </w:rPr>
              <w:tab/>
            </w:r>
            <w:r w:rsidR="00F94107" w:rsidRPr="00F94107">
              <w:rPr>
                <w:sz w:val="28"/>
                <w:szCs w:val="28"/>
              </w:rPr>
              <w:t>(</w:t>
            </w:r>
            <w:r w:rsidR="00F94107">
              <w:rPr>
                <w:sz w:val="28"/>
                <w:szCs w:val="28"/>
              </w:rPr>
              <w:t>13</w:t>
            </w:r>
            <w:r w:rsidR="00F94107" w:rsidRPr="00F94107">
              <w:rPr>
                <w:sz w:val="28"/>
                <w:szCs w:val="28"/>
              </w:rPr>
              <w:t>%)</w:t>
            </w:r>
          </w:p>
        </w:tc>
      </w:tr>
      <w:tr w:rsidR="00F94107" w:rsidRPr="00890775" w:rsidTr="004A0D1F">
        <w:tc>
          <w:tcPr>
            <w:tcW w:w="5068" w:type="dxa"/>
            <w:tcBorders>
              <w:top w:val="nil"/>
              <w:bottom w:val="nil"/>
              <w:right w:val="single" w:sz="4" w:space="0" w:color="auto"/>
            </w:tcBorders>
          </w:tcPr>
          <w:p w:rsidR="00F94107" w:rsidRPr="00890775" w:rsidRDefault="00F94107" w:rsidP="00890775">
            <w:pPr>
              <w:pStyle w:val="BodyText"/>
              <w:spacing w:before="0"/>
              <w:rPr>
                <w:sz w:val="28"/>
                <w:szCs w:val="28"/>
                <w:rtl/>
              </w:rPr>
            </w:pPr>
            <w:r w:rsidRPr="00890775">
              <w:rPr>
                <w:sz w:val="28"/>
                <w:szCs w:val="28"/>
                <w:rtl/>
              </w:rPr>
              <w:t>أنشطة خارجية غير مصرح بها</w:t>
            </w:r>
          </w:p>
        </w:tc>
        <w:tc>
          <w:tcPr>
            <w:tcW w:w="1560" w:type="dxa"/>
            <w:tcBorders>
              <w:top w:val="nil"/>
              <w:left w:val="single" w:sz="4" w:space="0" w:color="auto"/>
              <w:bottom w:val="nil"/>
              <w:right w:val="single" w:sz="4" w:space="0" w:color="auto"/>
            </w:tcBorders>
          </w:tcPr>
          <w:p w:rsidR="00F94107" w:rsidRPr="00890775" w:rsidRDefault="007558B2" w:rsidP="00B50C43">
            <w:pPr>
              <w:pStyle w:val="BodyText"/>
              <w:tabs>
                <w:tab w:val="left" w:pos="742"/>
              </w:tabs>
              <w:spacing w:before="0"/>
              <w:jc w:val="center"/>
              <w:rPr>
                <w:sz w:val="28"/>
                <w:szCs w:val="28"/>
                <w:rtl/>
              </w:rPr>
            </w:pPr>
            <w:r w:rsidRPr="007558B2">
              <w:rPr>
                <w:sz w:val="28"/>
                <w:szCs w:val="28"/>
              </w:rPr>
              <w:t>1</w:t>
            </w:r>
            <w:r w:rsidRPr="007558B2">
              <w:rPr>
                <w:sz w:val="28"/>
                <w:szCs w:val="28"/>
              </w:rPr>
              <w:tab/>
              <w:t>(</w:t>
            </w:r>
            <w:r>
              <w:rPr>
                <w:sz w:val="28"/>
                <w:szCs w:val="28"/>
              </w:rPr>
              <w:t>3</w:t>
            </w:r>
            <w:r w:rsidRPr="007558B2">
              <w:rPr>
                <w:sz w:val="28"/>
                <w:szCs w:val="28"/>
              </w:rPr>
              <w:t>%)</w:t>
            </w:r>
          </w:p>
        </w:tc>
        <w:tc>
          <w:tcPr>
            <w:tcW w:w="1417" w:type="dxa"/>
            <w:tcBorders>
              <w:top w:val="nil"/>
              <w:left w:val="single" w:sz="4" w:space="0" w:color="auto"/>
              <w:bottom w:val="nil"/>
              <w:right w:val="single" w:sz="4" w:space="0" w:color="auto"/>
            </w:tcBorders>
          </w:tcPr>
          <w:p w:rsidR="00F94107" w:rsidRPr="00890775" w:rsidRDefault="009C4A4E" w:rsidP="00B50C43">
            <w:pPr>
              <w:pStyle w:val="BodyText"/>
              <w:tabs>
                <w:tab w:val="left" w:pos="600"/>
              </w:tabs>
              <w:spacing w:before="0"/>
              <w:jc w:val="center"/>
              <w:rPr>
                <w:sz w:val="28"/>
                <w:szCs w:val="28"/>
                <w:rtl/>
              </w:rPr>
            </w:pPr>
            <w:r>
              <w:rPr>
                <w:sz w:val="28"/>
                <w:szCs w:val="28"/>
              </w:rPr>
              <w:t>3</w:t>
            </w:r>
            <w:r w:rsidR="00F94107">
              <w:rPr>
                <w:sz w:val="28"/>
                <w:szCs w:val="28"/>
              </w:rPr>
              <w:tab/>
            </w:r>
            <w:r w:rsidR="00F94107" w:rsidRPr="002B303F">
              <w:rPr>
                <w:sz w:val="28"/>
                <w:szCs w:val="28"/>
              </w:rPr>
              <w:t>(</w:t>
            </w:r>
            <w:r>
              <w:rPr>
                <w:sz w:val="28"/>
                <w:szCs w:val="28"/>
              </w:rPr>
              <w:t>13</w:t>
            </w:r>
            <w:r w:rsidR="00F94107" w:rsidRPr="002B303F">
              <w:rPr>
                <w:sz w:val="28"/>
                <w:szCs w:val="28"/>
              </w:rPr>
              <w:t>%)</w:t>
            </w:r>
          </w:p>
        </w:tc>
        <w:tc>
          <w:tcPr>
            <w:tcW w:w="1526" w:type="dxa"/>
            <w:tcBorders>
              <w:top w:val="nil"/>
              <w:left w:val="single" w:sz="4" w:space="0" w:color="auto"/>
              <w:bottom w:val="nil"/>
            </w:tcBorders>
          </w:tcPr>
          <w:p w:rsidR="00F94107" w:rsidRPr="00890775" w:rsidRDefault="00F94107" w:rsidP="00B50C43">
            <w:pPr>
              <w:pStyle w:val="BodyText"/>
              <w:tabs>
                <w:tab w:val="left" w:pos="600"/>
              </w:tabs>
              <w:spacing w:before="0"/>
              <w:jc w:val="center"/>
              <w:rPr>
                <w:sz w:val="28"/>
                <w:szCs w:val="28"/>
                <w:rtl/>
              </w:rPr>
            </w:pPr>
            <w:r>
              <w:rPr>
                <w:sz w:val="28"/>
                <w:szCs w:val="28"/>
              </w:rPr>
              <w:t>3</w:t>
            </w:r>
            <w:r>
              <w:rPr>
                <w:sz w:val="28"/>
                <w:szCs w:val="28"/>
              </w:rPr>
              <w:tab/>
            </w:r>
            <w:r w:rsidRPr="00F94107">
              <w:rPr>
                <w:sz w:val="28"/>
                <w:szCs w:val="28"/>
              </w:rPr>
              <w:t>(</w:t>
            </w:r>
            <w:r w:rsidR="009C4A4E">
              <w:rPr>
                <w:sz w:val="28"/>
                <w:szCs w:val="28"/>
              </w:rPr>
              <w:t>8</w:t>
            </w:r>
            <w:r w:rsidRPr="00F94107">
              <w:rPr>
                <w:sz w:val="28"/>
                <w:szCs w:val="28"/>
              </w:rPr>
              <w:t>%)</w:t>
            </w:r>
          </w:p>
        </w:tc>
      </w:tr>
      <w:tr w:rsidR="00F94107" w:rsidRPr="00890775" w:rsidTr="004A0D1F">
        <w:tc>
          <w:tcPr>
            <w:tcW w:w="5068" w:type="dxa"/>
            <w:tcBorders>
              <w:top w:val="nil"/>
              <w:bottom w:val="nil"/>
              <w:right w:val="single" w:sz="4" w:space="0" w:color="auto"/>
            </w:tcBorders>
          </w:tcPr>
          <w:p w:rsidR="00F94107" w:rsidRPr="00890775" w:rsidRDefault="00F94107" w:rsidP="00890775">
            <w:pPr>
              <w:pStyle w:val="BodyText"/>
              <w:spacing w:before="0"/>
              <w:rPr>
                <w:sz w:val="28"/>
                <w:szCs w:val="28"/>
                <w:rtl/>
                <w:lang w:bidi="ar-SA"/>
              </w:rPr>
            </w:pPr>
            <w:r w:rsidRPr="00890775">
              <w:rPr>
                <w:sz w:val="28"/>
                <w:szCs w:val="28"/>
                <w:rtl/>
                <w:lang w:bidi="ar-SA"/>
              </w:rPr>
              <w:t>العصيان والسلوك غير اللائق</w:t>
            </w:r>
          </w:p>
        </w:tc>
        <w:tc>
          <w:tcPr>
            <w:tcW w:w="1560" w:type="dxa"/>
            <w:tcBorders>
              <w:top w:val="nil"/>
              <w:left w:val="single" w:sz="4" w:space="0" w:color="auto"/>
              <w:bottom w:val="nil"/>
              <w:right w:val="single" w:sz="4" w:space="0" w:color="auto"/>
            </w:tcBorders>
          </w:tcPr>
          <w:p w:rsidR="00F94107" w:rsidRPr="000E7F68" w:rsidRDefault="009C4A4E" w:rsidP="00B50C43">
            <w:pPr>
              <w:pStyle w:val="BodyText"/>
              <w:tabs>
                <w:tab w:val="left" w:pos="742"/>
              </w:tabs>
              <w:spacing w:before="0"/>
              <w:jc w:val="center"/>
              <w:rPr>
                <w:sz w:val="28"/>
                <w:szCs w:val="28"/>
              </w:rPr>
            </w:pPr>
            <w:r>
              <w:rPr>
                <w:sz w:val="28"/>
                <w:szCs w:val="28"/>
              </w:rPr>
              <w:t>3</w:t>
            </w:r>
            <w:r w:rsidR="00F94107">
              <w:rPr>
                <w:sz w:val="28"/>
                <w:szCs w:val="28"/>
              </w:rPr>
              <w:tab/>
            </w:r>
            <w:r w:rsidR="00F94107" w:rsidRPr="002B303F">
              <w:rPr>
                <w:sz w:val="28"/>
                <w:szCs w:val="28"/>
              </w:rPr>
              <w:t>(</w:t>
            </w:r>
            <w:r>
              <w:rPr>
                <w:sz w:val="28"/>
                <w:szCs w:val="28"/>
              </w:rPr>
              <w:t>10</w:t>
            </w:r>
            <w:r w:rsidR="00F94107" w:rsidRPr="002B303F">
              <w:rPr>
                <w:sz w:val="28"/>
                <w:szCs w:val="28"/>
              </w:rPr>
              <w:t>%)</w:t>
            </w:r>
          </w:p>
        </w:tc>
        <w:tc>
          <w:tcPr>
            <w:tcW w:w="1417" w:type="dxa"/>
            <w:tcBorders>
              <w:top w:val="nil"/>
              <w:left w:val="single" w:sz="4" w:space="0" w:color="auto"/>
              <w:bottom w:val="nil"/>
              <w:right w:val="single" w:sz="4" w:space="0" w:color="auto"/>
            </w:tcBorders>
          </w:tcPr>
          <w:p w:rsidR="00F94107" w:rsidRPr="00890775" w:rsidRDefault="009C4A4E" w:rsidP="00B50C43">
            <w:pPr>
              <w:pStyle w:val="BodyText"/>
              <w:tabs>
                <w:tab w:val="left" w:pos="600"/>
              </w:tabs>
              <w:spacing w:before="0"/>
              <w:jc w:val="center"/>
              <w:rPr>
                <w:sz w:val="28"/>
                <w:szCs w:val="28"/>
                <w:rtl/>
              </w:rPr>
            </w:pPr>
            <w:r>
              <w:rPr>
                <w:sz w:val="28"/>
                <w:szCs w:val="28"/>
              </w:rPr>
              <w:t>5</w:t>
            </w:r>
            <w:r w:rsidR="00F94107">
              <w:rPr>
                <w:sz w:val="28"/>
                <w:szCs w:val="28"/>
              </w:rPr>
              <w:tab/>
            </w:r>
            <w:r w:rsidR="00F94107" w:rsidRPr="002B303F">
              <w:rPr>
                <w:sz w:val="28"/>
                <w:szCs w:val="28"/>
              </w:rPr>
              <w:t>(</w:t>
            </w:r>
            <w:r>
              <w:rPr>
                <w:sz w:val="28"/>
                <w:szCs w:val="28"/>
              </w:rPr>
              <w:t>21</w:t>
            </w:r>
            <w:r w:rsidR="00F94107" w:rsidRPr="002B303F">
              <w:rPr>
                <w:sz w:val="28"/>
                <w:szCs w:val="28"/>
              </w:rPr>
              <w:t>%)</w:t>
            </w:r>
          </w:p>
        </w:tc>
        <w:tc>
          <w:tcPr>
            <w:tcW w:w="1526" w:type="dxa"/>
            <w:tcBorders>
              <w:top w:val="nil"/>
              <w:left w:val="single" w:sz="4" w:space="0" w:color="auto"/>
              <w:bottom w:val="nil"/>
            </w:tcBorders>
          </w:tcPr>
          <w:p w:rsidR="00F94107" w:rsidRPr="00890775" w:rsidRDefault="009C4A4E" w:rsidP="00B50C43">
            <w:pPr>
              <w:pStyle w:val="BodyText"/>
              <w:tabs>
                <w:tab w:val="left" w:pos="600"/>
              </w:tabs>
              <w:spacing w:before="0"/>
              <w:jc w:val="center"/>
              <w:rPr>
                <w:sz w:val="28"/>
                <w:szCs w:val="28"/>
                <w:rtl/>
              </w:rPr>
            </w:pPr>
            <w:r>
              <w:rPr>
                <w:sz w:val="28"/>
                <w:szCs w:val="28"/>
              </w:rPr>
              <w:t>8</w:t>
            </w:r>
            <w:r w:rsidR="00F94107">
              <w:rPr>
                <w:sz w:val="28"/>
                <w:szCs w:val="28"/>
              </w:rPr>
              <w:tab/>
            </w:r>
            <w:r w:rsidR="00F94107" w:rsidRPr="00F94107">
              <w:rPr>
                <w:sz w:val="28"/>
                <w:szCs w:val="28"/>
              </w:rPr>
              <w:t>(</w:t>
            </w:r>
            <w:r w:rsidR="00F94107">
              <w:rPr>
                <w:sz w:val="28"/>
                <w:szCs w:val="28"/>
              </w:rPr>
              <w:t>2</w:t>
            </w:r>
            <w:r>
              <w:rPr>
                <w:sz w:val="28"/>
                <w:szCs w:val="28"/>
              </w:rPr>
              <w:t>0</w:t>
            </w:r>
            <w:r w:rsidR="00F94107" w:rsidRPr="00F94107">
              <w:rPr>
                <w:sz w:val="28"/>
                <w:szCs w:val="28"/>
              </w:rPr>
              <w:t>%)</w:t>
            </w:r>
          </w:p>
        </w:tc>
      </w:tr>
      <w:tr w:rsidR="00F94107" w:rsidRPr="00890775" w:rsidTr="004A0D1F">
        <w:tc>
          <w:tcPr>
            <w:tcW w:w="5068" w:type="dxa"/>
            <w:tcBorders>
              <w:top w:val="nil"/>
              <w:bottom w:val="nil"/>
              <w:right w:val="single" w:sz="4" w:space="0" w:color="auto"/>
            </w:tcBorders>
          </w:tcPr>
          <w:p w:rsidR="00F94107" w:rsidRPr="00890775" w:rsidRDefault="00F94107" w:rsidP="00890775">
            <w:pPr>
              <w:pStyle w:val="BodyText"/>
              <w:spacing w:before="0"/>
              <w:rPr>
                <w:sz w:val="28"/>
                <w:szCs w:val="28"/>
                <w:rtl/>
              </w:rPr>
            </w:pPr>
            <w:r w:rsidRPr="00890775">
              <w:rPr>
                <w:sz w:val="28"/>
                <w:szCs w:val="28"/>
                <w:rtl/>
              </w:rPr>
              <w:t>تقصير آخر في الوفاء بمعايير السلوك لموظفي الخدمة المدنية الدولية</w:t>
            </w:r>
          </w:p>
        </w:tc>
        <w:tc>
          <w:tcPr>
            <w:tcW w:w="1560" w:type="dxa"/>
            <w:tcBorders>
              <w:top w:val="nil"/>
              <w:left w:val="single" w:sz="4" w:space="0" w:color="auto"/>
              <w:bottom w:val="nil"/>
              <w:right w:val="single" w:sz="4" w:space="0" w:color="auto"/>
            </w:tcBorders>
          </w:tcPr>
          <w:p w:rsidR="00F94107" w:rsidRPr="000E7F68" w:rsidRDefault="009C4A4E" w:rsidP="00B50C43">
            <w:pPr>
              <w:pStyle w:val="BodyText"/>
              <w:tabs>
                <w:tab w:val="left" w:pos="742"/>
              </w:tabs>
              <w:spacing w:before="0"/>
              <w:jc w:val="center"/>
              <w:rPr>
                <w:sz w:val="28"/>
                <w:szCs w:val="28"/>
              </w:rPr>
            </w:pPr>
            <w:r>
              <w:rPr>
                <w:sz w:val="28"/>
                <w:szCs w:val="28"/>
              </w:rPr>
              <w:t>1</w:t>
            </w:r>
            <w:r w:rsidR="00F94107">
              <w:rPr>
                <w:sz w:val="28"/>
                <w:szCs w:val="28"/>
              </w:rPr>
              <w:tab/>
            </w:r>
            <w:r w:rsidR="00F94107" w:rsidRPr="002B303F">
              <w:rPr>
                <w:sz w:val="28"/>
                <w:szCs w:val="28"/>
              </w:rPr>
              <w:t>(</w:t>
            </w:r>
            <w:r>
              <w:rPr>
                <w:sz w:val="28"/>
                <w:szCs w:val="28"/>
              </w:rPr>
              <w:t>3</w:t>
            </w:r>
            <w:r w:rsidR="00F94107" w:rsidRPr="002B303F">
              <w:rPr>
                <w:sz w:val="28"/>
                <w:szCs w:val="28"/>
              </w:rPr>
              <w:t>%)</w:t>
            </w:r>
          </w:p>
        </w:tc>
        <w:tc>
          <w:tcPr>
            <w:tcW w:w="1417" w:type="dxa"/>
            <w:tcBorders>
              <w:top w:val="nil"/>
              <w:left w:val="single" w:sz="4" w:space="0" w:color="auto"/>
              <w:bottom w:val="nil"/>
              <w:right w:val="single" w:sz="4" w:space="0" w:color="auto"/>
            </w:tcBorders>
          </w:tcPr>
          <w:p w:rsidR="00F94107" w:rsidRPr="00890775" w:rsidRDefault="009C4A4E" w:rsidP="00B50C43">
            <w:pPr>
              <w:pStyle w:val="BodyText"/>
              <w:tabs>
                <w:tab w:val="left" w:pos="600"/>
              </w:tabs>
              <w:spacing w:before="0"/>
              <w:jc w:val="center"/>
              <w:rPr>
                <w:sz w:val="28"/>
                <w:szCs w:val="28"/>
                <w:rtl/>
              </w:rPr>
            </w:pPr>
            <w:r>
              <w:rPr>
                <w:sz w:val="28"/>
                <w:szCs w:val="28"/>
              </w:rPr>
              <w:t>2</w:t>
            </w:r>
            <w:r w:rsidR="00F94107">
              <w:rPr>
                <w:sz w:val="28"/>
                <w:szCs w:val="28"/>
              </w:rPr>
              <w:tab/>
            </w:r>
            <w:r w:rsidR="00F94107" w:rsidRPr="002B303F">
              <w:rPr>
                <w:sz w:val="28"/>
                <w:szCs w:val="28"/>
              </w:rPr>
              <w:t>(</w:t>
            </w:r>
            <w:r>
              <w:rPr>
                <w:sz w:val="28"/>
                <w:szCs w:val="28"/>
              </w:rPr>
              <w:t>8</w:t>
            </w:r>
            <w:r w:rsidR="00F94107" w:rsidRPr="002B303F">
              <w:rPr>
                <w:sz w:val="28"/>
                <w:szCs w:val="28"/>
              </w:rPr>
              <w:t>%)</w:t>
            </w:r>
          </w:p>
        </w:tc>
        <w:tc>
          <w:tcPr>
            <w:tcW w:w="1526" w:type="dxa"/>
            <w:tcBorders>
              <w:top w:val="nil"/>
              <w:left w:val="single" w:sz="4" w:space="0" w:color="auto"/>
              <w:bottom w:val="nil"/>
            </w:tcBorders>
          </w:tcPr>
          <w:p w:rsidR="00F94107" w:rsidRPr="00890775" w:rsidRDefault="009C4A4E" w:rsidP="00B50C43">
            <w:pPr>
              <w:pStyle w:val="BodyText"/>
              <w:tabs>
                <w:tab w:val="left" w:pos="600"/>
              </w:tabs>
              <w:spacing w:before="0"/>
              <w:jc w:val="center"/>
              <w:rPr>
                <w:sz w:val="28"/>
                <w:szCs w:val="28"/>
                <w:rtl/>
              </w:rPr>
            </w:pPr>
            <w:r>
              <w:rPr>
                <w:sz w:val="28"/>
                <w:szCs w:val="28"/>
              </w:rPr>
              <w:t>4</w:t>
            </w:r>
            <w:r w:rsidR="00F94107">
              <w:rPr>
                <w:sz w:val="28"/>
                <w:szCs w:val="28"/>
              </w:rPr>
              <w:tab/>
            </w:r>
            <w:r w:rsidR="00F94107" w:rsidRPr="00F94107">
              <w:rPr>
                <w:sz w:val="28"/>
                <w:szCs w:val="28"/>
              </w:rPr>
              <w:t>(</w:t>
            </w:r>
            <w:r>
              <w:rPr>
                <w:sz w:val="28"/>
                <w:szCs w:val="28"/>
              </w:rPr>
              <w:t>10</w:t>
            </w:r>
            <w:r w:rsidR="00F94107" w:rsidRPr="00F94107">
              <w:rPr>
                <w:sz w:val="28"/>
                <w:szCs w:val="28"/>
              </w:rPr>
              <w:t>%)</w:t>
            </w:r>
          </w:p>
        </w:tc>
      </w:tr>
      <w:tr w:rsidR="00F94107" w:rsidRPr="00890775" w:rsidTr="004A0D1F">
        <w:tc>
          <w:tcPr>
            <w:tcW w:w="5068" w:type="dxa"/>
            <w:tcBorders>
              <w:top w:val="nil"/>
              <w:bottom w:val="nil"/>
              <w:right w:val="single" w:sz="4" w:space="0" w:color="auto"/>
            </w:tcBorders>
          </w:tcPr>
          <w:p w:rsidR="00F94107" w:rsidRPr="00890775" w:rsidRDefault="00F94107" w:rsidP="00890775">
            <w:pPr>
              <w:pStyle w:val="BodyText"/>
              <w:spacing w:before="0"/>
              <w:rPr>
                <w:sz w:val="28"/>
                <w:szCs w:val="28"/>
                <w:rtl/>
              </w:rPr>
            </w:pPr>
            <w:r w:rsidRPr="00890775">
              <w:rPr>
                <w:sz w:val="28"/>
                <w:szCs w:val="28"/>
                <w:rtl/>
              </w:rPr>
              <w:t>المضايقة والتمييز</w:t>
            </w:r>
          </w:p>
        </w:tc>
        <w:tc>
          <w:tcPr>
            <w:tcW w:w="1560" w:type="dxa"/>
            <w:tcBorders>
              <w:top w:val="nil"/>
              <w:left w:val="single" w:sz="4" w:space="0" w:color="auto"/>
              <w:bottom w:val="nil"/>
              <w:right w:val="single" w:sz="4" w:space="0" w:color="auto"/>
            </w:tcBorders>
          </w:tcPr>
          <w:p w:rsidR="00F94107" w:rsidRPr="000E7F68" w:rsidRDefault="009C4A4E" w:rsidP="00B50C43">
            <w:pPr>
              <w:pStyle w:val="BodyText"/>
              <w:tabs>
                <w:tab w:val="left" w:pos="742"/>
              </w:tabs>
              <w:spacing w:before="0"/>
              <w:jc w:val="center"/>
              <w:rPr>
                <w:sz w:val="28"/>
                <w:szCs w:val="28"/>
              </w:rPr>
            </w:pPr>
            <w:r>
              <w:rPr>
                <w:sz w:val="28"/>
                <w:szCs w:val="28"/>
              </w:rPr>
              <w:t>4</w:t>
            </w:r>
            <w:r w:rsidR="00F94107">
              <w:rPr>
                <w:sz w:val="28"/>
                <w:szCs w:val="28"/>
              </w:rPr>
              <w:tab/>
            </w:r>
            <w:r w:rsidR="00F94107" w:rsidRPr="002B303F">
              <w:rPr>
                <w:sz w:val="28"/>
                <w:szCs w:val="28"/>
              </w:rPr>
              <w:t>(</w:t>
            </w:r>
            <w:r>
              <w:rPr>
                <w:sz w:val="28"/>
                <w:szCs w:val="28"/>
              </w:rPr>
              <w:t>13</w:t>
            </w:r>
            <w:r w:rsidR="00F94107" w:rsidRPr="002B303F">
              <w:rPr>
                <w:sz w:val="28"/>
                <w:szCs w:val="28"/>
              </w:rPr>
              <w:t>%)</w:t>
            </w:r>
          </w:p>
        </w:tc>
        <w:tc>
          <w:tcPr>
            <w:tcW w:w="1417" w:type="dxa"/>
            <w:tcBorders>
              <w:top w:val="nil"/>
              <w:left w:val="single" w:sz="4" w:space="0" w:color="auto"/>
              <w:bottom w:val="nil"/>
              <w:right w:val="single" w:sz="4" w:space="0" w:color="auto"/>
            </w:tcBorders>
          </w:tcPr>
          <w:p w:rsidR="00F94107" w:rsidRPr="00890775" w:rsidRDefault="009C4A4E" w:rsidP="00B50C43">
            <w:pPr>
              <w:pStyle w:val="BodyText"/>
              <w:tabs>
                <w:tab w:val="left" w:pos="600"/>
              </w:tabs>
              <w:spacing w:before="0"/>
              <w:jc w:val="center"/>
              <w:rPr>
                <w:sz w:val="28"/>
                <w:szCs w:val="28"/>
                <w:rtl/>
              </w:rPr>
            </w:pPr>
            <w:r>
              <w:rPr>
                <w:sz w:val="28"/>
                <w:szCs w:val="28"/>
              </w:rPr>
              <w:t>2</w:t>
            </w:r>
            <w:r w:rsidR="00F94107">
              <w:rPr>
                <w:sz w:val="28"/>
                <w:szCs w:val="28"/>
              </w:rPr>
              <w:tab/>
            </w:r>
            <w:r w:rsidR="00F94107" w:rsidRPr="002B303F">
              <w:rPr>
                <w:sz w:val="28"/>
                <w:szCs w:val="28"/>
              </w:rPr>
              <w:t>(</w:t>
            </w:r>
            <w:r>
              <w:rPr>
                <w:sz w:val="28"/>
                <w:szCs w:val="28"/>
              </w:rPr>
              <w:t>8</w:t>
            </w:r>
            <w:r w:rsidR="00F94107" w:rsidRPr="002B303F">
              <w:rPr>
                <w:sz w:val="28"/>
                <w:szCs w:val="28"/>
              </w:rPr>
              <w:t>%)</w:t>
            </w:r>
          </w:p>
        </w:tc>
        <w:tc>
          <w:tcPr>
            <w:tcW w:w="1526" w:type="dxa"/>
            <w:tcBorders>
              <w:top w:val="nil"/>
              <w:left w:val="single" w:sz="4" w:space="0" w:color="auto"/>
              <w:bottom w:val="nil"/>
            </w:tcBorders>
          </w:tcPr>
          <w:p w:rsidR="00F94107" w:rsidRPr="00890775" w:rsidRDefault="009C4A4E" w:rsidP="00B50C43">
            <w:pPr>
              <w:pStyle w:val="BodyText"/>
              <w:tabs>
                <w:tab w:val="left" w:pos="600"/>
              </w:tabs>
              <w:spacing w:before="0"/>
              <w:jc w:val="center"/>
              <w:rPr>
                <w:sz w:val="28"/>
                <w:szCs w:val="28"/>
                <w:rtl/>
              </w:rPr>
            </w:pPr>
            <w:r>
              <w:rPr>
                <w:sz w:val="28"/>
                <w:szCs w:val="28"/>
              </w:rPr>
              <w:t>2</w:t>
            </w:r>
            <w:r w:rsidR="00F94107">
              <w:rPr>
                <w:sz w:val="28"/>
                <w:szCs w:val="28"/>
              </w:rPr>
              <w:tab/>
            </w:r>
            <w:r w:rsidR="00F94107" w:rsidRPr="00F94107">
              <w:rPr>
                <w:sz w:val="28"/>
                <w:szCs w:val="28"/>
              </w:rPr>
              <w:t>(</w:t>
            </w:r>
            <w:r>
              <w:rPr>
                <w:sz w:val="28"/>
                <w:szCs w:val="28"/>
              </w:rPr>
              <w:t>5</w:t>
            </w:r>
            <w:r w:rsidR="00F94107" w:rsidRPr="00F94107">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مخالفات المشتريات</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2</w:t>
            </w:r>
            <w:r>
              <w:rPr>
                <w:sz w:val="28"/>
                <w:szCs w:val="28"/>
              </w:rPr>
              <w:tab/>
            </w:r>
            <w:r w:rsidRPr="002B303F">
              <w:rPr>
                <w:sz w:val="28"/>
                <w:szCs w:val="28"/>
              </w:rPr>
              <w:t>(</w:t>
            </w:r>
            <w:r>
              <w:rPr>
                <w:sz w:val="28"/>
                <w:szCs w:val="28"/>
              </w:rPr>
              <w:t>6</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1</w:t>
            </w:r>
            <w:r>
              <w:rPr>
                <w:sz w:val="28"/>
                <w:szCs w:val="28"/>
              </w:rPr>
              <w:tab/>
            </w:r>
            <w:r w:rsidRPr="002B303F">
              <w:rPr>
                <w:sz w:val="28"/>
                <w:szCs w:val="28"/>
              </w:rPr>
              <w:t>(</w:t>
            </w:r>
            <w:r>
              <w:rPr>
                <w:sz w:val="28"/>
                <w:szCs w:val="28"/>
              </w:rPr>
              <w:t>4</w:t>
            </w:r>
            <w:r w:rsidRPr="002B303F">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Pr>
                <w:sz w:val="28"/>
                <w:szCs w:val="28"/>
              </w:rPr>
              <w:t>1</w:t>
            </w:r>
            <w:r>
              <w:rPr>
                <w:sz w:val="28"/>
                <w:szCs w:val="28"/>
              </w:rPr>
              <w:tab/>
            </w:r>
            <w:r w:rsidRPr="00F94107">
              <w:rPr>
                <w:sz w:val="28"/>
                <w:szCs w:val="28"/>
              </w:rPr>
              <w:t>(</w:t>
            </w:r>
            <w:r>
              <w:rPr>
                <w:sz w:val="28"/>
                <w:szCs w:val="28"/>
              </w:rPr>
              <w:t>3</w:t>
            </w:r>
            <w:r w:rsidRPr="00F94107">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خرق السرية</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4</w:t>
            </w:r>
            <w:r>
              <w:rPr>
                <w:sz w:val="28"/>
                <w:szCs w:val="28"/>
              </w:rPr>
              <w:tab/>
            </w:r>
            <w:r w:rsidRPr="002B303F">
              <w:rPr>
                <w:sz w:val="28"/>
                <w:szCs w:val="28"/>
              </w:rPr>
              <w:t>(</w:t>
            </w:r>
            <w:r>
              <w:rPr>
                <w:sz w:val="28"/>
                <w:szCs w:val="28"/>
              </w:rPr>
              <w:t>13</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2</w:t>
            </w:r>
            <w:r>
              <w:rPr>
                <w:sz w:val="28"/>
                <w:szCs w:val="28"/>
              </w:rPr>
              <w:tab/>
            </w:r>
            <w:r w:rsidRPr="00F94107">
              <w:rPr>
                <w:sz w:val="28"/>
                <w:szCs w:val="28"/>
              </w:rPr>
              <w:t>(</w:t>
            </w:r>
            <w:r>
              <w:rPr>
                <w:sz w:val="28"/>
                <w:szCs w:val="28"/>
              </w:rPr>
              <w:t>8</w:t>
            </w:r>
            <w:r w:rsidRPr="00F94107">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Pr>
                <w:sz w:val="28"/>
                <w:szCs w:val="28"/>
              </w:rPr>
              <w:t>2</w:t>
            </w:r>
            <w:r>
              <w:rPr>
                <w:sz w:val="28"/>
                <w:szCs w:val="28"/>
              </w:rPr>
              <w:tab/>
            </w:r>
            <w:r w:rsidRPr="00F94107">
              <w:rPr>
                <w:sz w:val="28"/>
                <w:szCs w:val="28"/>
              </w:rPr>
              <w:t>(</w:t>
            </w:r>
            <w:r>
              <w:rPr>
                <w:sz w:val="28"/>
                <w:szCs w:val="28"/>
              </w:rPr>
              <w:t>5</w:t>
            </w:r>
            <w:r w:rsidRPr="00F94107">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إخلال من قبل مرشح لوظيفة شاغرة</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1</w:t>
            </w:r>
            <w:r>
              <w:rPr>
                <w:sz w:val="28"/>
                <w:szCs w:val="28"/>
              </w:rPr>
              <w:tab/>
            </w:r>
            <w:r w:rsidRPr="002B303F">
              <w:rPr>
                <w:sz w:val="28"/>
                <w:szCs w:val="28"/>
              </w:rPr>
              <w:t>(</w:t>
            </w:r>
            <w:r>
              <w:rPr>
                <w:sz w:val="28"/>
                <w:szCs w:val="28"/>
              </w:rPr>
              <w:t>3</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تضارب المصالح</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sidRPr="009C4A4E">
              <w:rPr>
                <w:sz w:val="28"/>
                <w:szCs w:val="28"/>
              </w:rPr>
              <w:t>1</w:t>
            </w:r>
            <w:r w:rsidRPr="009C4A4E">
              <w:rPr>
                <w:sz w:val="28"/>
                <w:szCs w:val="28"/>
              </w:rPr>
              <w:tab/>
              <w:t>(3%)</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sidRPr="009C4A4E">
              <w:rPr>
                <w:sz w:val="28"/>
                <w:szCs w:val="28"/>
              </w:rPr>
              <w:t>1</w:t>
            </w:r>
            <w:r w:rsidRPr="009C4A4E">
              <w:rPr>
                <w:sz w:val="28"/>
                <w:szCs w:val="28"/>
              </w:rPr>
              <w:tab/>
              <w:t>(3%)</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إساءة استخدام أموار الويبو أو أصولها</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sidRPr="000E7F68">
              <w:rPr>
                <w:sz w:val="28"/>
                <w:szCs w:val="28"/>
              </w:rPr>
              <w:t>1</w:t>
            </w:r>
            <w:r>
              <w:rPr>
                <w:sz w:val="28"/>
                <w:szCs w:val="28"/>
              </w:rPr>
              <w:tab/>
            </w:r>
            <w:r w:rsidRPr="002B303F">
              <w:rPr>
                <w:sz w:val="28"/>
                <w:szCs w:val="28"/>
              </w:rPr>
              <w:t>(</w:t>
            </w:r>
            <w:r>
              <w:rPr>
                <w:sz w:val="28"/>
                <w:szCs w:val="28"/>
              </w:rPr>
              <w:t>3</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Pr>
                <w:sz w:val="28"/>
                <w:szCs w:val="28"/>
              </w:rPr>
              <w:t>3</w:t>
            </w:r>
            <w:r w:rsidRPr="009C4A4E">
              <w:rPr>
                <w:sz w:val="28"/>
                <w:szCs w:val="28"/>
              </w:rPr>
              <w:tab/>
              <w:t>(</w:t>
            </w:r>
            <w:r>
              <w:rPr>
                <w:sz w:val="28"/>
                <w:szCs w:val="28"/>
              </w:rPr>
              <w:t>8</w:t>
            </w:r>
            <w:r w:rsidRPr="009C4A4E">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الانتقام</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Pr>
                <w:sz w:val="28"/>
                <w:szCs w:val="28"/>
              </w:rPr>
              <w:t>3</w:t>
            </w:r>
            <w:r w:rsidRPr="009C4A4E">
              <w:rPr>
                <w:sz w:val="28"/>
                <w:szCs w:val="28"/>
              </w:rPr>
              <w:tab/>
              <w:t>(</w:t>
            </w:r>
            <w:r>
              <w:rPr>
                <w:sz w:val="28"/>
                <w:szCs w:val="28"/>
              </w:rPr>
              <w:t>8</w:t>
            </w:r>
            <w:r w:rsidRPr="009C4A4E">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التحرش الجنسي</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2</w:t>
            </w:r>
            <w:r>
              <w:rPr>
                <w:sz w:val="28"/>
                <w:szCs w:val="28"/>
              </w:rPr>
              <w:tab/>
            </w:r>
            <w:r w:rsidRPr="002B303F">
              <w:rPr>
                <w:sz w:val="28"/>
                <w:szCs w:val="28"/>
              </w:rPr>
              <w:t>(</w:t>
            </w:r>
            <w:r>
              <w:rPr>
                <w:sz w:val="28"/>
                <w:szCs w:val="28"/>
              </w:rPr>
              <w:t>6</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sidRPr="009C4A4E">
              <w:rPr>
                <w:sz w:val="28"/>
                <w:szCs w:val="28"/>
              </w:rPr>
              <w:t>1</w:t>
            </w:r>
            <w:r w:rsidRPr="009C4A4E">
              <w:rPr>
                <w:sz w:val="28"/>
                <w:szCs w:val="28"/>
              </w:rPr>
              <w:tab/>
              <w:t>(3%)</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مخالفات التوظيف</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2</w:t>
            </w:r>
            <w:r>
              <w:rPr>
                <w:sz w:val="28"/>
                <w:szCs w:val="28"/>
              </w:rPr>
              <w:tab/>
            </w:r>
            <w:r w:rsidRPr="002B303F">
              <w:rPr>
                <w:sz w:val="28"/>
                <w:szCs w:val="28"/>
              </w:rPr>
              <w:t>(</w:t>
            </w:r>
            <w:r>
              <w:rPr>
                <w:sz w:val="28"/>
                <w:szCs w:val="28"/>
              </w:rPr>
              <w:t>6</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1</w:t>
            </w:r>
            <w:r>
              <w:rPr>
                <w:sz w:val="28"/>
                <w:szCs w:val="28"/>
              </w:rPr>
              <w:tab/>
            </w:r>
            <w:r w:rsidRPr="00F94107">
              <w:rPr>
                <w:sz w:val="28"/>
                <w:szCs w:val="28"/>
              </w:rPr>
              <w:t>(</w:t>
            </w:r>
            <w:r>
              <w:rPr>
                <w:sz w:val="28"/>
                <w:szCs w:val="28"/>
              </w:rPr>
              <w:t>4</w:t>
            </w:r>
            <w:r w:rsidRPr="00F94107">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r w:rsidRPr="009C4A4E">
              <w:rPr>
                <w:sz w:val="28"/>
                <w:szCs w:val="28"/>
              </w:rPr>
              <w:t>1</w:t>
            </w:r>
            <w:r w:rsidRPr="009C4A4E">
              <w:rPr>
                <w:sz w:val="28"/>
                <w:szCs w:val="28"/>
              </w:rPr>
              <w:tab/>
              <w:t>(3%)</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rPr>
            </w:pPr>
            <w:r w:rsidRPr="00890775">
              <w:rPr>
                <w:sz w:val="28"/>
                <w:szCs w:val="28"/>
                <w:rtl/>
              </w:rPr>
              <w:t>الإهمال في العمل، عرقلة عمليات الويبو</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1</w:t>
            </w:r>
            <w:r>
              <w:rPr>
                <w:sz w:val="28"/>
                <w:szCs w:val="28"/>
              </w:rPr>
              <w:tab/>
            </w:r>
            <w:r w:rsidRPr="002B303F">
              <w:rPr>
                <w:sz w:val="28"/>
                <w:szCs w:val="28"/>
              </w:rPr>
              <w:t>(</w:t>
            </w:r>
            <w:r w:rsidR="00877501">
              <w:rPr>
                <w:sz w:val="28"/>
                <w:szCs w:val="28"/>
              </w:rPr>
              <w:t>3</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2</w:t>
            </w:r>
            <w:r>
              <w:rPr>
                <w:sz w:val="28"/>
                <w:szCs w:val="28"/>
              </w:rPr>
              <w:tab/>
            </w:r>
            <w:r w:rsidRPr="00F94107">
              <w:rPr>
                <w:sz w:val="28"/>
                <w:szCs w:val="28"/>
              </w:rPr>
              <w:t>(</w:t>
            </w:r>
            <w:r w:rsidR="00877501">
              <w:rPr>
                <w:sz w:val="28"/>
                <w:szCs w:val="28"/>
              </w:rPr>
              <w:t>8</w:t>
            </w:r>
            <w:r w:rsidRPr="00F94107">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الإخلال من قبل بائع أو طرف خارجي آخر</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sidRPr="000E7F68">
              <w:rPr>
                <w:sz w:val="28"/>
                <w:szCs w:val="28"/>
              </w:rPr>
              <w:t>1</w:t>
            </w:r>
            <w:r>
              <w:rPr>
                <w:sz w:val="28"/>
                <w:szCs w:val="28"/>
              </w:rPr>
              <w:tab/>
            </w:r>
            <w:r w:rsidRPr="002B303F">
              <w:rPr>
                <w:sz w:val="28"/>
                <w:szCs w:val="28"/>
              </w:rPr>
              <w:t>(</w:t>
            </w:r>
            <w:r w:rsidR="00877501">
              <w:rPr>
                <w:sz w:val="28"/>
                <w:szCs w:val="28"/>
              </w:rPr>
              <w:t>3</w:t>
            </w:r>
            <w:r w:rsidRPr="002B303F">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1</w:t>
            </w:r>
            <w:r>
              <w:rPr>
                <w:sz w:val="28"/>
                <w:szCs w:val="28"/>
              </w:rPr>
              <w:tab/>
            </w:r>
            <w:r w:rsidRPr="00F94107">
              <w:rPr>
                <w:sz w:val="28"/>
                <w:szCs w:val="28"/>
              </w:rPr>
              <w:t>(</w:t>
            </w:r>
            <w:r w:rsidR="00877501">
              <w:rPr>
                <w:sz w:val="28"/>
                <w:szCs w:val="28"/>
              </w:rPr>
              <w:t>4</w:t>
            </w:r>
            <w:r w:rsidRPr="00F94107">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بيانات أو تصريحات غير مصرح بها</w:t>
            </w:r>
          </w:p>
        </w:tc>
        <w:tc>
          <w:tcPr>
            <w:tcW w:w="1560" w:type="dxa"/>
            <w:tcBorders>
              <w:top w:val="nil"/>
              <w:left w:val="single" w:sz="4" w:space="0" w:color="auto"/>
              <w:bottom w:val="nil"/>
              <w:right w:val="single" w:sz="4" w:space="0" w:color="auto"/>
            </w:tcBorders>
          </w:tcPr>
          <w:p w:rsidR="009C4A4E" w:rsidRPr="000E7F68" w:rsidRDefault="00877501" w:rsidP="00B50C43">
            <w:pPr>
              <w:pStyle w:val="BodyText"/>
              <w:tabs>
                <w:tab w:val="left" w:pos="742"/>
              </w:tabs>
              <w:spacing w:before="0"/>
              <w:jc w:val="center"/>
              <w:rPr>
                <w:sz w:val="28"/>
                <w:szCs w:val="28"/>
              </w:rPr>
            </w:pPr>
            <w:r>
              <w:rPr>
                <w:sz w:val="28"/>
                <w:szCs w:val="28"/>
              </w:rPr>
              <w:t>2</w:t>
            </w:r>
            <w:r w:rsidRPr="00877501">
              <w:rPr>
                <w:sz w:val="28"/>
                <w:szCs w:val="28"/>
              </w:rPr>
              <w:tab/>
              <w:t>(</w:t>
            </w:r>
            <w:r>
              <w:rPr>
                <w:sz w:val="28"/>
                <w:szCs w:val="28"/>
              </w:rPr>
              <w:t>6</w:t>
            </w:r>
            <w:r w:rsidRPr="00877501">
              <w:rPr>
                <w:sz w:val="28"/>
                <w:szCs w:val="28"/>
              </w:rPr>
              <w:t>%)</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bottom w:val="nil"/>
            </w:tcBorders>
          </w:tcPr>
          <w:p w:rsidR="009C4A4E" w:rsidRPr="00890775" w:rsidRDefault="00877501" w:rsidP="00B50C43">
            <w:pPr>
              <w:pStyle w:val="BodyText"/>
              <w:tabs>
                <w:tab w:val="left" w:pos="600"/>
              </w:tabs>
              <w:spacing w:before="0"/>
              <w:jc w:val="center"/>
              <w:rPr>
                <w:sz w:val="28"/>
                <w:szCs w:val="28"/>
                <w:rtl/>
              </w:rPr>
            </w:pPr>
            <w:r>
              <w:rPr>
                <w:sz w:val="28"/>
                <w:szCs w:val="28"/>
              </w:rPr>
              <w:t>3</w:t>
            </w:r>
            <w:r w:rsidR="009C4A4E">
              <w:rPr>
                <w:sz w:val="28"/>
                <w:szCs w:val="28"/>
              </w:rPr>
              <w:tab/>
            </w:r>
            <w:r w:rsidR="009C4A4E" w:rsidRPr="00F94107">
              <w:rPr>
                <w:sz w:val="28"/>
                <w:szCs w:val="28"/>
              </w:rPr>
              <w:t>(</w:t>
            </w:r>
            <w:r>
              <w:rPr>
                <w:sz w:val="28"/>
                <w:szCs w:val="28"/>
              </w:rPr>
              <w:t>8</w:t>
            </w:r>
            <w:r w:rsidR="009C4A4E" w:rsidRPr="00F94107">
              <w:rPr>
                <w:sz w:val="28"/>
                <w:szCs w:val="28"/>
              </w:rPr>
              <w:t>%)</w:t>
            </w:r>
          </w:p>
        </w:tc>
      </w:tr>
      <w:tr w:rsidR="009C4A4E" w:rsidRPr="00890775" w:rsidTr="004A0D1F">
        <w:tc>
          <w:tcPr>
            <w:tcW w:w="5068" w:type="dxa"/>
            <w:tcBorders>
              <w:top w:val="nil"/>
              <w:bottom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إساءة استخدام المنصب أو الوضع</w:t>
            </w:r>
          </w:p>
        </w:tc>
        <w:tc>
          <w:tcPr>
            <w:tcW w:w="1560" w:type="dxa"/>
            <w:tcBorders>
              <w:top w:val="nil"/>
              <w:left w:val="single" w:sz="4" w:space="0" w:color="auto"/>
              <w:bottom w:val="nil"/>
              <w:right w:val="single" w:sz="4" w:space="0" w:color="auto"/>
            </w:tcBorders>
          </w:tcPr>
          <w:p w:rsidR="009C4A4E" w:rsidRPr="000E7F68" w:rsidRDefault="009C4A4E" w:rsidP="00B50C43">
            <w:pPr>
              <w:pStyle w:val="BodyText"/>
              <w:tabs>
                <w:tab w:val="left" w:pos="742"/>
              </w:tabs>
              <w:spacing w:before="0"/>
              <w:jc w:val="center"/>
              <w:rPr>
                <w:sz w:val="28"/>
                <w:szCs w:val="28"/>
              </w:rPr>
            </w:pPr>
            <w:r>
              <w:rPr>
                <w:sz w:val="28"/>
                <w:szCs w:val="28"/>
              </w:rPr>
              <w:t>2</w:t>
            </w:r>
            <w:r w:rsidR="00877501">
              <w:rPr>
                <w:sz w:val="28"/>
                <w:szCs w:val="28"/>
              </w:rPr>
              <w:tab/>
            </w:r>
            <w:r w:rsidR="00877501" w:rsidRPr="00877501">
              <w:rPr>
                <w:sz w:val="28"/>
                <w:szCs w:val="28"/>
              </w:rPr>
              <w:t>(6%)</w:t>
            </w:r>
          </w:p>
        </w:tc>
        <w:tc>
          <w:tcPr>
            <w:tcW w:w="1417" w:type="dxa"/>
            <w:tcBorders>
              <w:top w:val="nil"/>
              <w:left w:val="single" w:sz="4" w:space="0" w:color="auto"/>
              <w:bottom w:val="nil"/>
              <w:right w:val="single" w:sz="4" w:space="0" w:color="auto"/>
            </w:tcBorders>
          </w:tcPr>
          <w:p w:rsidR="009C4A4E" w:rsidRPr="00890775" w:rsidRDefault="009C4A4E" w:rsidP="00B50C43">
            <w:pPr>
              <w:pStyle w:val="BodyText"/>
              <w:tabs>
                <w:tab w:val="left" w:pos="600"/>
              </w:tabs>
              <w:spacing w:before="0"/>
              <w:jc w:val="center"/>
              <w:rPr>
                <w:sz w:val="28"/>
                <w:szCs w:val="28"/>
                <w:rtl/>
              </w:rPr>
            </w:pPr>
            <w:r>
              <w:rPr>
                <w:sz w:val="28"/>
                <w:szCs w:val="28"/>
              </w:rPr>
              <w:t>2</w:t>
            </w:r>
            <w:r>
              <w:rPr>
                <w:sz w:val="28"/>
                <w:szCs w:val="28"/>
              </w:rPr>
              <w:tab/>
            </w:r>
            <w:r w:rsidRPr="00F94107">
              <w:rPr>
                <w:sz w:val="28"/>
                <w:szCs w:val="28"/>
              </w:rPr>
              <w:t>(</w:t>
            </w:r>
            <w:r w:rsidR="00877501">
              <w:rPr>
                <w:sz w:val="28"/>
                <w:szCs w:val="28"/>
              </w:rPr>
              <w:t>8</w:t>
            </w:r>
            <w:r w:rsidRPr="00F94107">
              <w:rPr>
                <w:sz w:val="28"/>
                <w:szCs w:val="28"/>
              </w:rPr>
              <w:t>%)</w:t>
            </w:r>
          </w:p>
        </w:tc>
        <w:tc>
          <w:tcPr>
            <w:tcW w:w="1526" w:type="dxa"/>
            <w:tcBorders>
              <w:top w:val="nil"/>
              <w:left w:val="single" w:sz="4" w:space="0" w:color="auto"/>
              <w:bottom w:val="nil"/>
            </w:tcBorders>
          </w:tcPr>
          <w:p w:rsidR="009C4A4E" w:rsidRPr="00890775" w:rsidRDefault="009C4A4E" w:rsidP="00B50C43">
            <w:pPr>
              <w:pStyle w:val="BodyText"/>
              <w:tabs>
                <w:tab w:val="left" w:pos="600"/>
              </w:tabs>
              <w:spacing w:before="0"/>
              <w:jc w:val="center"/>
              <w:rPr>
                <w:sz w:val="28"/>
                <w:szCs w:val="28"/>
                <w:rtl/>
              </w:rPr>
            </w:pPr>
          </w:p>
        </w:tc>
      </w:tr>
      <w:tr w:rsidR="009C4A4E" w:rsidRPr="00890775" w:rsidTr="004A0D1F">
        <w:tc>
          <w:tcPr>
            <w:tcW w:w="5068" w:type="dxa"/>
            <w:tcBorders>
              <w:top w:val="nil"/>
              <w:right w:val="single" w:sz="4" w:space="0" w:color="auto"/>
            </w:tcBorders>
          </w:tcPr>
          <w:p w:rsidR="009C4A4E" w:rsidRPr="00890775" w:rsidRDefault="009C4A4E" w:rsidP="00890775">
            <w:pPr>
              <w:pStyle w:val="BodyText"/>
              <w:spacing w:before="0"/>
              <w:rPr>
                <w:sz w:val="28"/>
                <w:szCs w:val="28"/>
                <w:rtl/>
                <w:lang w:bidi="ar-SA"/>
              </w:rPr>
            </w:pPr>
            <w:r w:rsidRPr="00890775">
              <w:rPr>
                <w:sz w:val="28"/>
                <w:szCs w:val="28"/>
                <w:rtl/>
                <w:lang w:bidi="ar-SA"/>
              </w:rPr>
              <w:t>الغش أو الإساءة للحصول على مستحقات</w:t>
            </w:r>
          </w:p>
        </w:tc>
        <w:tc>
          <w:tcPr>
            <w:tcW w:w="1560" w:type="dxa"/>
            <w:tcBorders>
              <w:top w:val="nil"/>
              <w:left w:val="single" w:sz="4" w:space="0" w:color="auto"/>
              <w:right w:val="single" w:sz="4" w:space="0" w:color="auto"/>
            </w:tcBorders>
          </w:tcPr>
          <w:p w:rsidR="009C4A4E" w:rsidRPr="000E7F68" w:rsidRDefault="009C4A4E" w:rsidP="00B50C43">
            <w:pPr>
              <w:pStyle w:val="BodyText"/>
              <w:tabs>
                <w:tab w:val="left" w:pos="742"/>
              </w:tabs>
              <w:spacing w:before="0"/>
              <w:jc w:val="center"/>
              <w:rPr>
                <w:sz w:val="28"/>
                <w:szCs w:val="28"/>
              </w:rPr>
            </w:pPr>
          </w:p>
        </w:tc>
        <w:tc>
          <w:tcPr>
            <w:tcW w:w="1417" w:type="dxa"/>
            <w:tcBorders>
              <w:top w:val="nil"/>
              <w:left w:val="single" w:sz="4" w:space="0" w:color="auto"/>
              <w:right w:val="single" w:sz="4" w:space="0" w:color="auto"/>
            </w:tcBorders>
          </w:tcPr>
          <w:p w:rsidR="009C4A4E" w:rsidRPr="00890775" w:rsidRDefault="009C4A4E" w:rsidP="00B50C43">
            <w:pPr>
              <w:pStyle w:val="BodyText"/>
              <w:tabs>
                <w:tab w:val="left" w:pos="600"/>
              </w:tabs>
              <w:spacing w:before="0"/>
              <w:jc w:val="center"/>
              <w:rPr>
                <w:sz w:val="28"/>
                <w:szCs w:val="28"/>
                <w:rtl/>
              </w:rPr>
            </w:pPr>
          </w:p>
        </w:tc>
        <w:tc>
          <w:tcPr>
            <w:tcW w:w="1526" w:type="dxa"/>
            <w:tcBorders>
              <w:top w:val="nil"/>
              <w:left w:val="single" w:sz="4" w:space="0" w:color="auto"/>
            </w:tcBorders>
          </w:tcPr>
          <w:p w:rsidR="009C4A4E" w:rsidRPr="00890775" w:rsidRDefault="00877501" w:rsidP="00B50C43">
            <w:pPr>
              <w:pStyle w:val="BodyText"/>
              <w:tabs>
                <w:tab w:val="left" w:pos="600"/>
              </w:tabs>
              <w:spacing w:before="0"/>
              <w:jc w:val="center"/>
              <w:rPr>
                <w:sz w:val="28"/>
                <w:szCs w:val="28"/>
                <w:rtl/>
              </w:rPr>
            </w:pPr>
            <w:r>
              <w:rPr>
                <w:sz w:val="28"/>
                <w:szCs w:val="28"/>
              </w:rPr>
              <w:t>3</w:t>
            </w:r>
            <w:r w:rsidR="009C4A4E">
              <w:rPr>
                <w:sz w:val="28"/>
                <w:szCs w:val="28"/>
              </w:rPr>
              <w:tab/>
            </w:r>
            <w:r w:rsidR="009C4A4E" w:rsidRPr="00F94107">
              <w:rPr>
                <w:sz w:val="28"/>
                <w:szCs w:val="28"/>
              </w:rPr>
              <w:t>(</w:t>
            </w:r>
            <w:r w:rsidR="009C4A4E">
              <w:rPr>
                <w:sz w:val="28"/>
                <w:szCs w:val="28"/>
              </w:rPr>
              <w:t>8</w:t>
            </w:r>
            <w:r w:rsidR="009C4A4E" w:rsidRPr="00F94107">
              <w:rPr>
                <w:sz w:val="28"/>
                <w:szCs w:val="28"/>
              </w:rPr>
              <w:t>%)</w:t>
            </w:r>
          </w:p>
        </w:tc>
      </w:tr>
      <w:tr w:rsidR="009C4A4E" w:rsidRPr="002B303F" w:rsidTr="002B303F">
        <w:tc>
          <w:tcPr>
            <w:tcW w:w="5068" w:type="dxa"/>
          </w:tcPr>
          <w:p w:rsidR="009C4A4E" w:rsidRPr="002B303F" w:rsidRDefault="009C4A4E" w:rsidP="00890775">
            <w:pPr>
              <w:pStyle w:val="BodyText"/>
              <w:spacing w:before="0"/>
              <w:rPr>
                <w:b/>
                <w:bCs/>
                <w:sz w:val="32"/>
                <w:szCs w:val="32"/>
                <w:rtl/>
                <w:lang w:bidi="ar-SA"/>
              </w:rPr>
            </w:pPr>
            <w:r w:rsidRPr="002B303F">
              <w:rPr>
                <w:b/>
                <w:bCs/>
                <w:sz w:val="32"/>
                <w:szCs w:val="32"/>
                <w:rtl/>
                <w:lang w:bidi="ar-SA"/>
              </w:rPr>
              <w:t>المجموع</w:t>
            </w:r>
          </w:p>
        </w:tc>
        <w:tc>
          <w:tcPr>
            <w:tcW w:w="1560" w:type="dxa"/>
          </w:tcPr>
          <w:p w:rsidR="009C4A4E" w:rsidRPr="002B303F" w:rsidRDefault="00877501" w:rsidP="002B303F">
            <w:pPr>
              <w:pStyle w:val="BodyText"/>
              <w:tabs>
                <w:tab w:val="left" w:pos="742"/>
              </w:tabs>
              <w:spacing w:before="0"/>
              <w:rPr>
                <w:b/>
                <w:bCs/>
                <w:sz w:val="28"/>
                <w:szCs w:val="28"/>
              </w:rPr>
            </w:pPr>
            <w:r>
              <w:rPr>
                <w:b/>
                <w:bCs/>
                <w:sz w:val="28"/>
                <w:szCs w:val="28"/>
              </w:rPr>
              <w:t>31</w:t>
            </w:r>
            <w:r w:rsidR="009C4A4E" w:rsidRPr="002B303F">
              <w:rPr>
                <w:b/>
                <w:bCs/>
                <w:sz w:val="28"/>
                <w:szCs w:val="28"/>
              </w:rPr>
              <w:tab/>
              <w:t>(100%)</w:t>
            </w:r>
          </w:p>
        </w:tc>
        <w:tc>
          <w:tcPr>
            <w:tcW w:w="1417" w:type="dxa"/>
          </w:tcPr>
          <w:p w:rsidR="009C4A4E" w:rsidRPr="00F94107" w:rsidRDefault="00877501" w:rsidP="00F94107">
            <w:pPr>
              <w:pStyle w:val="BodyText"/>
              <w:tabs>
                <w:tab w:val="left" w:pos="600"/>
              </w:tabs>
              <w:spacing w:before="0"/>
              <w:rPr>
                <w:b/>
                <w:bCs/>
                <w:sz w:val="28"/>
                <w:szCs w:val="28"/>
                <w:rtl/>
              </w:rPr>
            </w:pPr>
            <w:r>
              <w:rPr>
                <w:b/>
                <w:bCs/>
                <w:sz w:val="28"/>
                <w:szCs w:val="28"/>
              </w:rPr>
              <w:t>24</w:t>
            </w:r>
            <w:r w:rsidR="009C4A4E" w:rsidRPr="00F94107">
              <w:rPr>
                <w:b/>
                <w:bCs/>
                <w:sz w:val="28"/>
                <w:szCs w:val="28"/>
              </w:rPr>
              <w:tab/>
              <w:t>(100%)</w:t>
            </w:r>
          </w:p>
        </w:tc>
        <w:tc>
          <w:tcPr>
            <w:tcW w:w="1526" w:type="dxa"/>
          </w:tcPr>
          <w:p w:rsidR="009C4A4E" w:rsidRPr="00F94107" w:rsidRDefault="00877501" w:rsidP="00F94107">
            <w:pPr>
              <w:pStyle w:val="BodyText"/>
              <w:tabs>
                <w:tab w:val="left" w:pos="600"/>
              </w:tabs>
              <w:spacing w:before="0"/>
              <w:rPr>
                <w:b/>
                <w:bCs/>
                <w:sz w:val="28"/>
                <w:szCs w:val="28"/>
                <w:rtl/>
              </w:rPr>
            </w:pPr>
            <w:r>
              <w:rPr>
                <w:b/>
                <w:bCs/>
                <w:sz w:val="28"/>
                <w:szCs w:val="28"/>
              </w:rPr>
              <w:t>40</w:t>
            </w:r>
            <w:r w:rsidR="009C4A4E" w:rsidRPr="00F94107">
              <w:rPr>
                <w:b/>
                <w:bCs/>
                <w:sz w:val="28"/>
                <w:szCs w:val="28"/>
              </w:rPr>
              <w:tab/>
              <w:t>(100%)</w:t>
            </w:r>
          </w:p>
        </w:tc>
      </w:tr>
    </w:tbl>
    <w:p w:rsidR="00282CDC" w:rsidRDefault="00282CDC" w:rsidP="00282CDC">
      <w:pPr>
        <w:pStyle w:val="BodyText"/>
        <w:jc w:val="center"/>
        <w:rPr>
          <w:rtl/>
        </w:rPr>
      </w:pPr>
    </w:p>
    <w:p w:rsidR="00282CDC" w:rsidRDefault="00282CDC" w:rsidP="009D1848">
      <w:pPr>
        <w:pStyle w:val="BodyText"/>
        <w:rPr>
          <w:rtl/>
        </w:rPr>
      </w:pPr>
    </w:p>
    <w:p w:rsidR="009D1848" w:rsidRDefault="009D1848" w:rsidP="00AE1809">
      <w:pPr>
        <w:pStyle w:val="BodyText"/>
        <w:jc w:val="center"/>
        <w:rPr>
          <w:b/>
          <w:bCs/>
          <w:rtl/>
        </w:rPr>
      </w:pPr>
      <w:r w:rsidRPr="00AE1809">
        <w:rPr>
          <w:b/>
          <w:bCs/>
          <w:rtl/>
        </w:rPr>
        <w:lastRenderedPageBreak/>
        <w:t>الرسم البياني (2) – تحليل الحالات المغلقة في الفترة من 1 يوليو 2015 إلى 30 يونيو 2018</w:t>
      </w:r>
    </w:p>
    <w:p w:rsidR="00AE1809" w:rsidRDefault="00CD049A" w:rsidP="00AE1809">
      <w:pPr>
        <w:pStyle w:val="BodyText"/>
        <w:jc w:val="center"/>
        <w:rPr>
          <w:b/>
          <w:bCs/>
          <w:rtl/>
        </w:rPr>
      </w:pPr>
      <w:r w:rsidRPr="00CD049A">
        <w:rPr>
          <w:rFonts w:hint="cs"/>
          <w:noProof/>
          <w:rtl/>
          <w:lang w:bidi="ar-SA"/>
        </w:rPr>
        <w:drawing>
          <wp:inline distT="0" distB="0" distL="0" distR="0">
            <wp:extent cx="4572000" cy="27374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2737485"/>
                    </a:xfrm>
                    <a:prstGeom prst="rect">
                      <a:avLst/>
                    </a:prstGeom>
                    <a:noFill/>
                    <a:ln>
                      <a:noFill/>
                    </a:ln>
                  </pic:spPr>
                </pic:pic>
              </a:graphicData>
            </a:graphic>
          </wp:inline>
        </w:drawing>
      </w:r>
    </w:p>
    <w:p w:rsidR="009D1848" w:rsidRDefault="009D1848" w:rsidP="007D7364">
      <w:pPr>
        <w:pStyle w:val="Heading2"/>
        <w:rPr>
          <w:rtl/>
        </w:rPr>
      </w:pPr>
      <w:bookmarkStart w:id="17" w:name="_Toc519174852"/>
      <w:r>
        <w:rPr>
          <w:rtl/>
        </w:rPr>
        <w:t>الحالات التي رُفض فيها تقديم معلومات أو مساعدات</w:t>
      </w:r>
      <w:bookmarkEnd w:id="17"/>
    </w:p>
    <w:p w:rsidR="009D1848" w:rsidRDefault="009D1848" w:rsidP="00EE1C17">
      <w:pPr>
        <w:pStyle w:val="ONUMA"/>
        <w:numPr>
          <w:ilvl w:val="0"/>
          <w:numId w:val="15"/>
        </w:numPr>
        <w:rPr>
          <w:rtl/>
        </w:rPr>
      </w:pPr>
      <w:r>
        <w:rPr>
          <w:rtl/>
          <w:lang w:bidi="ar-EG"/>
        </w:rPr>
        <w:t>وفقا للفقرة 45(ز)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rsidR="009D1848" w:rsidRDefault="009D1848" w:rsidP="00EE1C17">
      <w:pPr>
        <w:pStyle w:val="ONUMA"/>
        <w:numPr>
          <w:ilvl w:val="0"/>
          <w:numId w:val="15"/>
        </w:numPr>
        <w:rPr>
          <w:rtl/>
        </w:rPr>
      </w:pPr>
      <w:r>
        <w:rPr>
          <w:rtl/>
          <w:lang w:bidi="ar-EG"/>
        </w:rPr>
        <w:t>وتشير الشعبة إلى أنه لم يمتنع أي من الموظفين عن الإدلاء بمعلومات أو المساعدة في عملية رقابية جارية أثناء فترة التقرير.</w:t>
      </w:r>
    </w:p>
    <w:p w:rsidR="009D1848" w:rsidRDefault="009D1848" w:rsidP="007D7364">
      <w:pPr>
        <w:pStyle w:val="Heading2"/>
        <w:rPr>
          <w:rtl/>
        </w:rPr>
      </w:pPr>
      <w:bookmarkStart w:id="18" w:name="_Toc519174853"/>
      <w:r>
        <w:rPr>
          <w:rtl/>
        </w:rPr>
        <w:t>وضع تنفيذ توصيات الرقابة</w:t>
      </w:r>
      <w:bookmarkEnd w:id="18"/>
    </w:p>
    <w:p w:rsidR="009D1848" w:rsidRDefault="009D1848" w:rsidP="00F47E72">
      <w:pPr>
        <w:pStyle w:val="ONUMA"/>
        <w:numPr>
          <w:ilvl w:val="0"/>
          <w:numId w:val="15"/>
        </w:numPr>
        <w:rPr>
          <w:rtl/>
          <w:lang w:bidi="ar-EG"/>
        </w:rPr>
      </w:pPr>
      <w:r>
        <w:rPr>
          <w:rtl/>
          <w:lang w:bidi="ar-EG"/>
        </w:rPr>
        <w:t>إنّ 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00CD73D7">
        <w:rPr>
          <w:rStyle w:val="FootnoteReference"/>
          <w:rtl/>
          <w:lang w:bidi="ar-EG"/>
        </w:rPr>
        <w:footnoteReference w:id="6"/>
      </w:r>
      <w:r>
        <w:rPr>
          <w:rtl/>
          <w:lang w:bidi="ar-EG"/>
        </w:rPr>
        <w:t>. ويحيل المدير العام هذه المسؤولية إلى مديري البرامج المسؤولين عن مجالات تشغيلية محددة في الويبو.</w:t>
      </w:r>
      <w:r w:rsidR="00CD73D7">
        <w:rPr>
          <w:rStyle w:val="FootnoteReference"/>
          <w:rtl/>
          <w:lang w:bidi="ar-EG"/>
        </w:rPr>
        <w:footnoteReference w:id="7"/>
      </w:r>
      <w:r>
        <w:rPr>
          <w:rtl/>
          <w:lang w:bidi="ar-EG"/>
        </w:rPr>
        <w:t xml:space="preserve"> ويخضع تنفيذ مديري برامج الويبو لجميع توصيات المراقبة لمتابعة منتظمة تتولاها شعبة الرقابة الداخلية.</w:t>
      </w:r>
      <w:r w:rsidR="00CD73D7">
        <w:rPr>
          <w:rStyle w:val="FootnoteReference"/>
          <w:rtl/>
          <w:lang w:bidi="ar-EG"/>
        </w:rPr>
        <w:footnoteReference w:id="8"/>
      </w:r>
      <w:r>
        <w:rPr>
          <w:rtl/>
          <w:lang w:bidi="ar-EG"/>
        </w:rPr>
        <w:t xml:space="preserve"> </w:t>
      </w:r>
    </w:p>
    <w:p w:rsidR="009D1848" w:rsidRDefault="009D1848" w:rsidP="00EE1C17">
      <w:pPr>
        <w:pStyle w:val="ONUMA"/>
        <w:numPr>
          <w:ilvl w:val="0"/>
          <w:numId w:val="15"/>
        </w:numPr>
        <w:rPr>
          <w:rtl/>
          <w:lang w:bidi="ar-EG"/>
        </w:rPr>
      </w:pPr>
      <w:r>
        <w:rPr>
          <w:rtl/>
          <w:lang w:bidi="ar-EG"/>
        </w:rPr>
        <w:t xml:space="preserve">وتواصل الشعبة إدارة التوصيات وإعداد التقارير بشأنها من خلال نظام </w:t>
      </w:r>
      <w:r>
        <w:rPr>
          <w:lang w:bidi="ar-EG"/>
        </w:rPr>
        <w:t>TeamCentral</w:t>
      </w:r>
      <w:r>
        <w:rPr>
          <w:rtl/>
          <w:lang w:bidi="ar-EG"/>
        </w:rPr>
        <w:t>© الذي يتيح إقامة حوار</w:t>
      </w:r>
      <w:r w:rsidR="00A3182E">
        <w:rPr>
          <w:rtl/>
          <w:lang w:bidi="ar-EG"/>
        </w:rPr>
        <w:t xml:space="preserve"> تفاعلي بين مديري البرامج ومندو</w:t>
      </w:r>
      <w:r w:rsidR="00A3182E">
        <w:rPr>
          <w:rFonts w:hint="cs"/>
          <w:rtl/>
          <w:lang w:bidi="ar-EG"/>
        </w:rPr>
        <w:t>بي</w:t>
      </w:r>
      <w:r>
        <w:rPr>
          <w:rtl/>
          <w:lang w:bidi="ar-EG"/>
        </w:rPr>
        <w:t>هم تحقيقا للفعالية في متابعة تنفيذ التوصيات المفتوحة.</w:t>
      </w:r>
    </w:p>
    <w:p w:rsidR="009D1848" w:rsidRDefault="009D1848" w:rsidP="00EE1C17">
      <w:pPr>
        <w:pStyle w:val="ONUMA"/>
        <w:numPr>
          <w:ilvl w:val="0"/>
          <w:numId w:val="15"/>
        </w:numPr>
        <w:rPr>
          <w:rtl/>
          <w:lang w:bidi="ar-EG"/>
        </w:rPr>
      </w:pPr>
      <w:r>
        <w:rPr>
          <w:rtl/>
          <w:lang w:bidi="ar-EG"/>
        </w:rPr>
        <w:t xml:space="preserve">وقد أنهت شعبة الرقابة الداخلية المرحلة الأولى من مشروعها الخاص بمعلومات الأعمال الذي يتيح متابعة التوصيات في لوحات البيانات التنظيمية لمعلومات الأعمال. وتم حالياً ربط بيانات التوصيات من خلال نظام </w:t>
      </w:r>
      <w:r>
        <w:rPr>
          <w:lang w:bidi="ar-EG"/>
        </w:rPr>
        <w:t>TeamCentral</w:t>
      </w:r>
      <w:r>
        <w:rPr>
          <w:rtl/>
          <w:lang w:bidi="ar-EG"/>
        </w:rPr>
        <w:t xml:space="preserve">© </w:t>
      </w:r>
      <w:r>
        <w:rPr>
          <w:rtl/>
          <w:lang w:bidi="ar-EG"/>
        </w:rPr>
        <w:lastRenderedPageBreak/>
        <w:t xml:space="preserve">بلوحات البيانات لمعلومات الأعمال، وأتيح لموظفي شعبة الرقابة الداخلية النفاذ. أما المرحلة الثانية من المشروع التي من المقرر استكمالها بحلول نهاية عام 2018، فستتيح للإدارة ولأصحاب المصالح الآخرين النفاذ للتوصيات، استناداً إلى حقوق النفاذ المحددة. وسيمكن ذلك الإدارة من الحصول على رؤية أكثر وضوحاً وبشكل يومي عن تطور التوصيات، ونشر تقارير بشكل مستقل عن التوصيات. </w:t>
      </w:r>
    </w:p>
    <w:p w:rsidR="009D1848" w:rsidRDefault="009D1848" w:rsidP="00EE1C17">
      <w:pPr>
        <w:pStyle w:val="ONUMA"/>
        <w:numPr>
          <w:ilvl w:val="0"/>
          <w:numId w:val="15"/>
        </w:numPr>
        <w:rPr>
          <w:rtl/>
        </w:rPr>
      </w:pPr>
      <w:r>
        <w:rPr>
          <w:rtl/>
          <w:lang w:bidi="ar-EG"/>
        </w:rPr>
        <w:t>وفي تاريخ إعداد هذا التقرير، كانت 180 توصية مفتوحة منها 96 ذات أولوية عالية و84 ذات أولوية متوسطة. وتستأثر توصيات الشعبة بنسبة 74 في المائة من مجموع توصيات الرقابة الداخلية المفتوحة.</w:t>
      </w:r>
    </w:p>
    <w:p w:rsidR="009D1848" w:rsidRDefault="009D1848" w:rsidP="00B033FC">
      <w:pPr>
        <w:pStyle w:val="BodyText"/>
        <w:keepNext/>
        <w:keepLines/>
        <w:jc w:val="center"/>
        <w:rPr>
          <w:b/>
          <w:bCs/>
          <w:rtl/>
        </w:rPr>
      </w:pPr>
      <w:r w:rsidRPr="001A6186">
        <w:rPr>
          <w:b/>
          <w:bCs/>
          <w:rtl/>
        </w:rPr>
        <w:t>الرسم البياني (3) – التوصيات بحسب الأولوية (180)</w:t>
      </w:r>
    </w:p>
    <w:p w:rsidR="001A6186" w:rsidRDefault="00B033FC" w:rsidP="00B033FC">
      <w:pPr>
        <w:pStyle w:val="BodyText"/>
        <w:keepNext/>
        <w:keepLines/>
        <w:jc w:val="center"/>
        <w:rPr>
          <w:b/>
          <w:bCs/>
          <w:rtl/>
        </w:rPr>
      </w:pPr>
      <w:r>
        <w:rPr>
          <w:noProof/>
          <w:lang w:bidi="ar-SA"/>
        </w:rPr>
        <w:drawing>
          <wp:inline distT="0" distB="0" distL="0" distR="0" wp14:anchorId="35675D78" wp14:editId="597998E3">
            <wp:extent cx="2743200" cy="1511300"/>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1848" w:rsidRDefault="009D1848" w:rsidP="00EE1C17">
      <w:pPr>
        <w:pStyle w:val="ONUMA"/>
        <w:numPr>
          <w:ilvl w:val="0"/>
          <w:numId w:val="15"/>
        </w:numPr>
        <w:rPr>
          <w:rtl/>
        </w:rPr>
      </w:pPr>
      <w:r>
        <w:rPr>
          <w:rtl/>
          <w:lang w:bidi="ar-EG"/>
        </w:rPr>
        <w:t>ويرد فيما يلي جدول يبيِّن تطور التوصيات بحسب المصدر في الفترة الممتدة من 1 يوليو 2017 إلى 30 يونيو 2018.</w:t>
      </w:r>
    </w:p>
    <w:p w:rsidR="009D1848" w:rsidRDefault="009D1848" w:rsidP="001A6186">
      <w:pPr>
        <w:pStyle w:val="BodyText"/>
        <w:jc w:val="center"/>
        <w:rPr>
          <w:b/>
          <w:bCs/>
          <w:rtl/>
        </w:rPr>
      </w:pPr>
      <w:r w:rsidRPr="001A6186">
        <w:rPr>
          <w:b/>
          <w:bCs/>
          <w:rtl/>
        </w:rPr>
        <w:t>الجدول 2 – تطور التوصيات من 1 يوليو 2017 إلى 30 يونيو 2018</w:t>
      </w:r>
    </w:p>
    <w:tbl>
      <w:tblPr>
        <w:bidiVisual/>
        <w:tblW w:w="9720" w:type="dxa"/>
        <w:tblInd w:w="98" w:type="dxa"/>
        <w:tblLook w:val="04A0" w:firstRow="1" w:lastRow="0" w:firstColumn="1" w:lastColumn="0" w:noHBand="0" w:noVBand="1"/>
      </w:tblPr>
      <w:tblGrid>
        <w:gridCol w:w="2277"/>
        <w:gridCol w:w="2103"/>
        <w:gridCol w:w="1529"/>
        <w:gridCol w:w="1851"/>
        <w:gridCol w:w="1960"/>
      </w:tblGrid>
      <w:tr w:rsidR="0013757D" w:rsidRPr="0013757D" w:rsidTr="008571AA">
        <w:trPr>
          <w:trHeight w:val="525"/>
        </w:trPr>
        <w:tc>
          <w:tcPr>
            <w:tcW w:w="2277" w:type="dxa"/>
            <w:tcBorders>
              <w:top w:val="single" w:sz="8" w:space="0" w:color="auto"/>
              <w:left w:val="single" w:sz="8" w:space="0" w:color="auto"/>
              <w:bottom w:val="single" w:sz="8" w:space="0" w:color="auto"/>
              <w:right w:val="single" w:sz="8" w:space="0" w:color="auto"/>
            </w:tcBorders>
            <w:shd w:val="clear" w:color="auto" w:fill="C5D9F1"/>
            <w:noWrap/>
            <w:vAlign w:val="center"/>
            <w:hideMark/>
          </w:tcPr>
          <w:p w:rsidR="0013757D" w:rsidRPr="0013757D" w:rsidRDefault="0013757D" w:rsidP="0013757D">
            <w:pPr>
              <w:rPr>
                <w:b/>
                <w:bCs/>
                <w:color w:val="000000"/>
                <w:sz w:val="28"/>
                <w:szCs w:val="28"/>
              </w:rPr>
            </w:pPr>
            <w:r w:rsidRPr="0013757D">
              <w:rPr>
                <w:b/>
                <w:bCs/>
                <w:color w:val="000000"/>
                <w:sz w:val="28"/>
                <w:szCs w:val="28"/>
                <w:rtl/>
              </w:rPr>
              <w:t>المصدر</w:t>
            </w:r>
          </w:p>
        </w:tc>
        <w:tc>
          <w:tcPr>
            <w:tcW w:w="2103" w:type="dxa"/>
            <w:tcBorders>
              <w:top w:val="single" w:sz="8" w:space="0" w:color="auto"/>
              <w:left w:val="nil"/>
              <w:bottom w:val="single" w:sz="8" w:space="0" w:color="auto"/>
              <w:right w:val="single" w:sz="8" w:space="0" w:color="auto"/>
            </w:tcBorders>
            <w:shd w:val="clear" w:color="auto" w:fill="D9D9D9"/>
            <w:vAlign w:val="center"/>
            <w:hideMark/>
          </w:tcPr>
          <w:p w:rsidR="0013757D" w:rsidRPr="0013757D" w:rsidRDefault="00241B7A" w:rsidP="00241B7A">
            <w:pPr>
              <w:jc w:val="center"/>
              <w:rPr>
                <w:b/>
                <w:bCs/>
                <w:color w:val="000000"/>
                <w:sz w:val="28"/>
                <w:szCs w:val="28"/>
              </w:rPr>
            </w:pPr>
            <w:r>
              <w:rPr>
                <w:rFonts w:hint="cs"/>
                <w:b/>
                <w:bCs/>
                <w:color w:val="000000"/>
                <w:sz w:val="28"/>
                <w:szCs w:val="28"/>
                <w:rtl/>
              </w:rPr>
              <w:t>مفتوحة حتى 1 يوليو 2017</w:t>
            </w:r>
          </w:p>
        </w:tc>
        <w:tc>
          <w:tcPr>
            <w:tcW w:w="1529" w:type="dxa"/>
            <w:tcBorders>
              <w:top w:val="single" w:sz="8" w:space="0" w:color="auto"/>
              <w:left w:val="nil"/>
              <w:bottom w:val="single" w:sz="8" w:space="0" w:color="auto"/>
              <w:right w:val="single" w:sz="8" w:space="0" w:color="auto"/>
            </w:tcBorders>
            <w:shd w:val="clear" w:color="auto" w:fill="D9D9D9"/>
            <w:vAlign w:val="center"/>
            <w:hideMark/>
          </w:tcPr>
          <w:p w:rsidR="0013757D" w:rsidRPr="0013757D" w:rsidRDefault="00241B7A" w:rsidP="0013757D">
            <w:pPr>
              <w:jc w:val="center"/>
              <w:rPr>
                <w:b/>
                <w:bCs/>
                <w:color w:val="000000"/>
                <w:sz w:val="28"/>
                <w:szCs w:val="28"/>
              </w:rPr>
            </w:pPr>
            <w:r>
              <w:rPr>
                <w:rFonts w:hint="cs"/>
                <w:b/>
                <w:bCs/>
                <w:color w:val="000000"/>
                <w:sz w:val="28"/>
                <w:szCs w:val="28"/>
                <w:rtl/>
              </w:rPr>
              <w:t>مضافة خلال السنة</w:t>
            </w:r>
          </w:p>
        </w:tc>
        <w:tc>
          <w:tcPr>
            <w:tcW w:w="1851" w:type="dxa"/>
            <w:tcBorders>
              <w:top w:val="single" w:sz="8" w:space="0" w:color="auto"/>
              <w:left w:val="nil"/>
              <w:bottom w:val="single" w:sz="8" w:space="0" w:color="auto"/>
              <w:right w:val="single" w:sz="8" w:space="0" w:color="auto"/>
            </w:tcBorders>
            <w:shd w:val="clear" w:color="auto" w:fill="D9D9D9"/>
            <w:vAlign w:val="center"/>
            <w:hideMark/>
          </w:tcPr>
          <w:p w:rsidR="0013757D" w:rsidRPr="0013757D" w:rsidRDefault="00241B7A" w:rsidP="0013757D">
            <w:pPr>
              <w:jc w:val="center"/>
              <w:rPr>
                <w:b/>
                <w:bCs/>
                <w:color w:val="000000"/>
                <w:sz w:val="28"/>
                <w:szCs w:val="28"/>
              </w:rPr>
            </w:pPr>
            <w:r>
              <w:rPr>
                <w:rFonts w:hint="cs"/>
                <w:b/>
                <w:bCs/>
                <w:color w:val="000000"/>
                <w:sz w:val="28"/>
                <w:szCs w:val="28"/>
                <w:rtl/>
              </w:rPr>
              <w:t>مغلقة خلال السنة</w:t>
            </w:r>
          </w:p>
        </w:tc>
        <w:tc>
          <w:tcPr>
            <w:tcW w:w="1960" w:type="dxa"/>
            <w:tcBorders>
              <w:top w:val="single" w:sz="8" w:space="0" w:color="auto"/>
              <w:left w:val="nil"/>
              <w:bottom w:val="single" w:sz="8" w:space="0" w:color="auto"/>
              <w:right w:val="single" w:sz="8" w:space="0" w:color="auto"/>
            </w:tcBorders>
            <w:shd w:val="clear" w:color="auto" w:fill="D9D9D9"/>
            <w:vAlign w:val="center"/>
            <w:hideMark/>
          </w:tcPr>
          <w:p w:rsidR="0013757D" w:rsidRPr="0013757D" w:rsidRDefault="00241B7A" w:rsidP="0013757D">
            <w:pPr>
              <w:jc w:val="center"/>
              <w:rPr>
                <w:b/>
                <w:bCs/>
                <w:color w:val="000000"/>
                <w:sz w:val="28"/>
                <w:szCs w:val="28"/>
              </w:rPr>
            </w:pPr>
            <w:r>
              <w:rPr>
                <w:rFonts w:hint="cs"/>
                <w:b/>
                <w:bCs/>
                <w:color w:val="000000"/>
                <w:sz w:val="28"/>
                <w:szCs w:val="28"/>
                <w:rtl/>
              </w:rPr>
              <w:t>مفتوحة حتى 30 يونيو 2018</w:t>
            </w:r>
          </w:p>
        </w:tc>
      </w:tr>
      <w:tr w:rsidR="0013757D" w:rsidRPr="0013757D" w:rsidTr="008571AA">
        <w:trPr>
          <w:trHeight w:val="315"/>
        </w:trPr>
        <w:tc>
          <w:tcPr>
            <w:tcW w:w="2277" w:type="dxa"/>
            <w:tcBorders>
              <w:top w:val="nil"/>
              <w:left w:val="single" w:sz="8" w:space="0" w:color="auto"/>
              <w:bottom w:val="single" w:sz="8" w:space="0" w:color="auto"/>
              <w:right w:val="single" w:sz="8" w:space="0" w:color="auto"/>
            </w:tcBorders>
            <w:shd w:val="clear" w:color="auto" w:fill="C5D9F1"/>
            <w:noWrap/>
            <w:vAlign w:val="center"/>
            <w:hideMark/>
          </w:tcPr>
          <w:p w:rsidR="0013757D" w:rsidRPr="0013757D" w:rsidRDefault="00241B7A" w:rsidP="0013757D">
            <w:pPr>
              <w:rPr>
                <w:color w:val="000000"/>
                <w:sz w:val="28"/>
                <w:szCs w:val="28"/>
                <w:rtl/>
              </w:rPr>
            </w:pPr>
            <w:r>
              <w:rPr>
                <w:rFonts w:hint="cs"/>
                <w:color w:val="000000"/>
                <w:sz w:val="28"/>
                <w:szCs w:val="28"/>
                <w:rtl/>
              </w:rPr>
              <w:t>شعبة الرقابة الداخلية</w:t>
            </w:r>
          </w:p>
        </w:tc>
        <w:tc>
          <w:tcPr>
            <w:tcW w:w="2103"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145</w:t>
            </w:r>
          </w:p>
        </w:tc>
        <w:tc>
          <w:tcPr>
            <w:tcW w:w="1529"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50</w:t>
            </w:r>
          </w:p>
        </w:tc>
        <w:tc>
          <w:tcPr>
            <w:tcW w:w="1851"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61</w:t>
            </w:r>
          </w:p>
        </w:tc>
        <w:tc>
          <w:tcPr>
            <w:tcW w:w="1960"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134</w:t>
            </w:r>
          </w:p>
        </w:tc>
      </w:tr>
      <w:tr w:rsidR="0013757D" w:rsidRPr="0013757D" w:rsidTr="008571AA">
        <w:trPr>
          <w:trHeight w:val="315"/>
        </w:trPr>
        <w:tc>
          <w:tcPr>
            <w:tcW w:w="2277" w:type="dxa"/>
            <w:tcBorders>
              <w:top w:val="nil"/>
              <w:left w:val="single" w:sz="8" w:space="0" w:color="auto"/>
              <w:bottom w:val="single" w:sz="8" w:space="0" w:color="auto"/>
              <w:right w:val="single" w:sz="8" w:space="0" w:color="auto"/>
            </w:tcBorders>
            <w:shd w:val="clear" w:color="auto" w:fill="C5D9F1"/>
            <w:noWrap/>
            <w:vAlign w:val="center"/>
            <w:hideMark/>
          </w:tcPr>
          <w:p w:rsidR="0013757D" w:rsidRPr="0013757D" w:rsidRDefault="00241B7A" w:rsidP="0013757D">
            <w:pPr>
              <w:rPr>
                <w:color w:val="000000"/>
                <w:sz w:val="28"/>
                <w:szCs w:val="28"/>
              </w:rPr>
            </w:pPr>
            <w:r>
              <w:rPr>
                <w:rFonts w:hint="cs"/>
                <w:color w:val="000000"/>
                <w:sz w:val="28"/>
                <w:szCs w:val="28"/>
                <w:rtl/>
              </w:rPr>
              <w:t>مراجع الحسابات الخارجي</w:t>
            </w:r>
          </w:p>
        </w:tc>
        <w:tc>
          <w:tcPr>
            <w:tcW w:w="2103"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48</w:t>
            </w:r>
          </w:p>
        </w:tc>
        <w:tc>
          <w:tcPr>
            <w:tcW w:w="1529"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26</w:t>
            </w:r>
          </w:p>
        </w:tc>
        <w:tc>
          <w:tcPr>
            <w:tcW w:w="1851"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28</w:t>
            </w:r>
          </w:p>
        </w:tc>
        <w:tc>
          <w:tcPr>
            <w:tcW w:w="1960"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46</w:t>
            </w:r>
          </w:p>
        </w:tc>
      </w:tr>
      <w:tr w:rsidR="0013757D" w:rsidRPr="0013757D" w:rsidTr="008571AA">
        <w:trPr>
          <w:trHeight w:val="315"/>
        </w:trPr>
        <w:tc>
          <w:tcPr>
            <w:tcW w:w="2277" w:type="dxa"/>
            <w:tcBorders>
              <w:top w:val="nil"/>
              <w:left w:val="single" w:sz="8" w:space="0" w:color="auto"/>
              <w:bottom w:val="single" w:sz="8" w:space="0" w:color="auto"/>
              <w:right w:val="single" w:sz="8" w:space="0" w:color="auto"/>
            </w:tcBorders>
            <w:shd w:val="clear" w:color="auto" w:fill="C5D9F1"/>
            <w:noWrap/>
            <w:vAlign w:val="center"/>
            <w:hideMark/>
          </w:tcPr>
          <w:p w:rsidR="0013757D" w:rsidRPr="0013757D" w:rsidRDefault="00241B7A" w:rsidP="0013757D">
            <w:pPr>
              <w:rPr>
                <w:color w:val="000000"/>
                <w:sz w:val="28"/>
                <w:szCs w:val="28"/>
              </w:rPr>
            </w:pPr>
            <w:r>
              <w:rPr>
                <w:rFonts w:hint="cs"/>
                <w:color w:val="000000"/>
                <w:sz w:val="28"/>
                <w:szCs w:val="28"/>
                <w:rtl/>
              </w:rPr>
              <w:t>اللجنة الاستشارية المستقلة للرقابة</w:t>
            </w:r>
          </w:p>
        </w:tc>
        <w:tc>
          <w:tcPr>
            <w:tcW w:w="2103"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0</w:t>
            </w:r>
          </w:p>
        </w:tc>
        <w:tc>
          <w:tcPr>
            <w:tcW w:w="1529"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1</w:t>
            </w:r>
          </w:p>
        </w:tc>
        <w:tc>
          <w:tcPr>
            <w:tcW w:w="1851"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1</w:t>
            </w:r>
          </w:p>
        </w:tc>
        <w:tc>
          <w:tcPr>
            <w:tcW w:w="1960"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color w:val="000000"/>
                <w:sz w:val="28"/>
                <w:szCs w:val="28"/>
              </w:rPr>
            </w:pPr>
            <w:r w:rsidRPr="0013757D">
              <w:rPr>
                <w:color w:val="000000"/>
                <w:sz w:val="28"/>
                <w:szCs w:val="28"/>
              </w:rPr>
              <w:t>0</w:t>
            </w:r>
          </w:p>
        </w:tc>
      </w:tr>
      <w:tr w:rsidR="0013757D" w:rsidRPr="0013757D" w:rsidTr="008571AA">
        <w:trPr>
          <w:trHeight w:val="315"/>
        </w:trPr>
        <w:tc>
          <w:tcPr>
            <w:tcW w:w="2277" w:type="dxa"/>
            <w:tcBorders>
              <w:top w:val="nil"/>
              <w:left w:val="single" w:sz="8" w:space="0" w:color="auto"/>
              <w:bottom w:val="single" w:sz="8" w:space="0" w:color="auto"/>
              <w:right w:val="single" w:sz="8" w:space="0" w:color="auto"/>
            </w:tcBorders>
            <w:shd w:val="clear" w:color="auto" w:fill="C5D9F1"/>
            <w:noWrap/>
            <w:vAlign w:val="center"/>
            <w:hideMark/>
          </w:tcPr>
          <w:p w:rsidR="0013757D" w:rsidRPr="0013757D" w:rsidRDefault="0013757D" w:rsidP="0013757D">
            <w:pPr>
              <w:rPr>
                <w:b/>
                <w:bCs/>
                <w:color w:val="000000"/>
                <w:sz w:val="28"/>
                <w:szCs w:val="28"/>
              </w:rPr>
            </w:pPr>
            <w:r w:rsidRPr="0013757D">
              <w:rPr>
                <w:b/>
                <w:bCs/>
                <w:color w:val="000000"/>
                <w:sz w:val="28"/>
                <w:szCs w:val="28"/>
                <w:rtl/>
              </w:rPr>
              <w:t>المجموع</w:t>
            </w:r>
          </w:p>
        </w:tc>
        <w:tc>
          <w:tcPr>
            <w:tcW w:w="2103"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b/>
                <w:bCs/>
                <w:color w:val="000000"/>
                <w:sz w:val="28"/>
                <w:szCs w:val="28"/>
              </w:rPr>
            </w:pPr>
            <w:r w:rsidRPr="0013757D">
              <w:rPr>
                <w:b/>
                <w:bCs/>
                <w:color w:val="000000"/>
                <w:sz w:val="28"/>
                <w:szCs w:val="28"/>
              </w:rPr>
              <w:t>193</w:t>
            </w:r>
          </w:p>
        </w:tc>
        <w:tc>
          <w:tcPr>
            <w:tcW w:w="1529"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b/>
                <w:bCs/>
                <w:color w:val="000000"/>
                <w:sz w:val="28"/>
                <w:szCs w:val="28"/>
              </w:rPr>
            </w:pPr>
            <w:r w:rsidRPr="0013757D">
              <w:rPr>
                <w:b/>
                <w:bCs/>
                <w:color w:val="000000"/>
                <w:sz w:val="28"/>
                <w:szCs w:val="28"/>
              </w:rPr>
              <w:t>77</w:t>
            </w:r>
          </w:p>
        </w:tc>
        <w:tc>
          <w:tcPr>
            <w:tcW w:w="1851"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b/>
                <w:bCs/>
                <w:color w:val="000000"/>
                <w:sz w:val="28"/>
                <w:szCs w:val="28"/>
              </w:rPr>
            </w:pPr>
            <w:r w:rsidRPr="0013757D">
              <w:rPr>
                <w:b/>
                <w:bCs/>
                <w:color w:val="000000"/>
                <w:sz w:val="28"/>
                <w:szCs w:val="28"/>
              </w:rPr>
              <w:t>90</w:t>
            </w:r>
          </w:p>
        </w:tc>
        <w:tc>
          <w:tcPr>
            <w:tcW w:w="1960" w:type="dxa"/>
            <w:tcBorders>
              <w:top w:val="nil"/>
              <w:left w:val="nil"/>
              <w:bottom w:val="single" w:sz="8" w:space="0" w:color="auto"/>
              <w:right w:val="single" w:sz="8" w:space="0" w:color="auto"/>
            </w:tcBorders>
            <w:noWrap/>
            <w:vAlign w:val="center"/>
            <w:hideMark/>
          </w:tcPr>
          <w:p w:rsidR="0013757D" w:rsidRPr="0013757D" w:rsidRDefault="0013757D" w:rsidP="0013757D">
            <w:pPr>
              <w:jc w:val="center"/>
              <w:rPr>
                <w:b/>
                <w:bCs/>
                <w:color w:val="000000"/>
                <w:sz w:val="28"/>
                <w:szCs w:val="28"/>
              </w:rPr>
            </w:pPr>
            <w:r w:rsidRPr="0013757D">
              <w:rPr>
                <w:b/>
                <w:bCs/>
                <w:color w:val="000000"/>
                <w:sz w:val="28"/>
                <w:szCs w:val="28"/>
              </w:rPr>
              <w:t>180</w:t>
            </w:r>
          </w:p>
        </w:tc>
      </w:tr>
    </w:tbl>
    <w:p w:rsidR="009D1848" w:rsidRDefault="009D1848" w:rsidP="00EE1C17">
      <w:pPr>
        <w:pStyle w:val="ONUMA"/>
        <w:numPr>
          <w:ilvl w:val="0"/>
          <w:numId w:val="15"/>
        </w:numPr>
        <w:rPr>
          <w:rtl/>
        </w:rPr>
      </w:pPr>
      <w:r>
        <w:rPr>
          <w:rtl/>
          <w:lang w:bidi="ar-EG"/>
        </w:rPr>
        <w:t>خلال هذه الفترة المشمولة بالتقرير، كانت هناك توصيتان مغلقتان دون تنفيذ، حيث وافقت الإدارة على المخاطر المرتبطة بها:</w:t>
      </w:r>
    </w:p>
    <w:p w:rsidR="009D1848" w:rsidRDefault="009D1848" w:rsidP="001A6186">
      <w:pPr>
        <w:pStyle w:val="BodyText"/>
        <w:numPr>
          <w:ilvl w:val="0"/>
          <w:numId w:val="24"/>
        </w:numPr>
        <w:ind w:left="566" w:hanging="12"/>
        <w:rPr>
          <w:rtl/>
        </w:rPr>
      </w:pPr>
      <w:r>
        <w:t>WO/CC/74/7</w:t>
      </w:r>
      <w:r>
        <w:rPr>
          <w:rtl/>
        </w:rPr>
        <w:t xml:space="preserve">- التعديلات التي اقترحتها اللجنة الاستشارية المستقلة للرقابة بشأن النظام الأساسي للموظفين: التوصية باعتبار </w:t>
      </w:r>
      <w:r w:rsidR="00CF037E">
        <w:rPr>
          <w:rFonts w:hint="cs"/>
          <w:rtl/>
        </w:rPr>
        <w:t>إجراء</w:t>
      </w:r>
      <w:r>
        <w:rPr>
          <w:rtl/>
        </w:rPr>
        <w:t xml:space="preserve"> تحقيق بمثابة شرط أساسي لاتخاذ تدابير تأديبية.</w:t>
      </w:r>
    </w:p>
    <w:p w:rsidR="009D1848" w:rsidRDefault="009D1848" w:rsidP="001A6186">
      <w:pPr>
        <w:pStyle w:val="BodyText"/>
        <w:numPr>
          <w:ilvl w:val="0"/>
          <w:numId w:val="24"/>
        </w:numPr>
        <w:ind w:left="566" w:hanging="12"/>
        <w:rPr>
          <w:rtl/>
        </w:rPr>
      </w:pPr>
      <w:r>
        <w:rPr>
          <w:rtl/>
        </w:rPr>
        <w:t>مراقبة إدارة إنهاء خدمة الموظفين (التدقيق الداخلي 3-2013)- التوصية 5 بشأن ضرورة أتمتة عملية خروج الموظفين. واستنتج أنه نظرا لانخفاض معدل المغادرة، فإن تكلفة التنفيذ ستتجاوز الفائدة. وتوافق شعبة الرقابة الداخلية على هذا الاستنتاج.</w:t>
      </w:r>
    </w:p>
    <w:p w:rsidR="009D1848" w:rsidRDefault="009D1848" w:rsidP="00EE1C17">
      <w:pPr>
        <w:pStyle w:val="ONUMA"/>
        <w:numPr>
          <w:ilvl w:val="0"/>
          <w:numId w:val="15"/>
        </w:numPr>
        <w:rPr>
          <w:rtl/>
        </w:rPr>
      </w:pPr>
      <w:r>
        <w:rPr>
          <w:rtl/>
          <w:lang w:bidi="ar-EG"/>
        </w:rPr>
        <w:t>ويرد فيما يلي رسم بياني لتوزيع التوصيات المفتوحة بحسب المصدر في 30 يونيو 2018.</w:t>
      </w:r>
    </w:p>
    <w:p w:rsidR="009D1848" w:rsidRDefault="009D1848" w:rsidP="00C01E3E">
      <w:pPr>
        <w:pStyle w:val="BodyText"/>
        <w:keepNext/>
        <w:keepLines/>
        <w:jc w:val="center"/>
        <w:rPr>
          <w:b/>
          <w:bCs/>
          <w:rtl/>
        </w:rPr>
      </w:pPr>
      <w:r w:rsidRPr="00CF037E">
        <w:rPr>
          <w:b/>
          <w:bCs/>
          <w:rtl/>
        </w:rPr>
        <w:lastRenderedPageBreak/>
        <w:t>الرسم البياني (4) – توصيات الرقابة المفتوحة بحسب المصدر (180)</w:t>
      </w:r>
    </w:p>
    <w:p w:rsidR="00CF037E" w:rsidRDefault="003672D0" w:rsidP="00C01E3E">
      <w:pPr>
        <w:pStyle w:val="BodyText"/>
        <w:keepNext/>
        <w:keepLines/>
        <w:jc w:val="center"/>
        <w:rPr>
          <w:b/>
          <w:bCs/>
          <w:rtl/>
        </w:rPr>
      </w:pPr>
      <w:r w:rsidRPr="003672D0">
        <w:rPr>
          <w:rFonts w:hint="cs"/>
          <w:noProof/>
          <w:rtl/>
          <w:lang w:bidi="ar-SA"/>
        </w:rPr>
        <w:drawing>
          <wp:inline distT="0" distB="0" distL="0" distR="0" wp14:anchorId="41351CB4" wp14:editId="2D9B0513">
            <wp:extent cx="2362200" cy="1720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0" cy="1720850"/>
                    </a:xfrm>
                    <a:prstGeom prst="rect">
                      <a:avLst/>
                    </a:prstGeom>
                    <a:noFill/>
                    <a:ln>
                      <a:noFill/>
                    </a:ln>
                  </pic:spPr>
                </pic:pic>
              </a:graphicData>
            </a:graphic>
          </wp:inline>
        </w:drawing>
      </w:r>
    </w:p>
    <w:p w:rsidR="009D1848" w:rsidRDefault="009D1848" w:rsidP="00EE1C17">
      <w:pPr>
        <w:pStyle w:val="ONUMA"/>
        <w:numPr>
          <w:ilvl w:val="0"/>
          <w:numId w:val="15"/>
        </w:numPr>
        <w:rPr>
          <w:rtl/>
        </w:rPr>
      </w:pPr>
      <w:r>
        <w:rPr>
          <w:rtl/>
          <w:lang w:bidi="ar-EG"/>
        </w:rPr>
        <w:t>ويلخص الرسم البياني التالي تطور توصيات الرقابة المفتوحة حتى 30 يونيو 2018.</w:t>
      </w:r>
    </w:p>
    <w:p w:rsidR="009D1848" w:rsidRDefault="009D1848" w:rsidP="007F78E2">
      <w:pPr>
        <w:pStyle w:val="BodyText"/>
        <w:jc w:val="center"/>
        <w:rPr>
          <w:b/>
          <w:bCs/>
          <w:rtl/>
        </w:rPr>
      </w:pPr>
      <w:r w:rsidRPr="007F78E2">
        <w:rPr>
          <w:b/>
          <w:bCs/>
          <w:rtl/>
        </w:rPr>
        <w:t>الرسم البياني (5) – تطور توصيات الرقابة المفتوحة بحسب الأولوية (180)</w:t>
      </w:r>
    </w:p>
    <w:p w:rsidR="007F78E2" w:rsidRDefault="008571AA" w:rsidP="007F78E2">
      <w:pPr>
        <w:pStyle w:val="BodyText"/>
        <w:jc w:val="center"/>
        <w:rPr>
          <w:b/>
          <w:bCs/>
          <w:rtl/>
        </w:rPr>
      </w:pPr>
      <w:r>
        <w:rPr>
          <w:noProof/>
          <w:lang w:bidi="ar-SA"/>
        </w:rPr>
        <w:drawing>
          <wp:inline distT="0" distB="0" distL="0" distR="0" wp14:anchorId="7A5F5AC4" wp14:editId="60B47983">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1848" w:rsidRDefault="009D1848" w:rsidP="00EE1C17">
      <w:pPr>
        <w:pStyle w:val="ONUMA"/>
        <w:numPr>
          <w:ilvl w:val="0"/>
          <w:numId w:val="15"/>
        </w:numPr>
        <w:rPr>
          <w:rtl/>
          <w:lang w:bidi="ar-EG"/>
        </w:rPr>
      </w:pPr>
      <w:r>
        <w:rPr>
          <w:rtl/>
          <w:lang w:bidi="ar-EG"/>
        </w:rPr>
        <w:t>لا تزال توصية واحدة عالية الأولوية مفتوحة منذ عام 2011، ويبلغ عدد التوصيات التي صدرت بين عامي 2011 و2014 والتي لا تزال مفتوحة إلى الحين 24 توصية.</w:t>
      </w:r>
    </w:p>
    <w:p w:rsidR="009D1848" w:rsidRDefault="009D1848" w:rsidP="00CD73D7">
      <w:pPr>
        <w:pStyle w:val="ONUMA"/>
        <w:numPr>
          <w:ilvl w:val="0"/>
          <w:numId w:val="15"/>
        </w:numPr>
        <w:rPr>
          <w:rtl/>
        </w:rPr>
      </w:pPr>
      <w:r>
        <w:rPr>
          <w:rtl/>
          <w:lang w:bidi="ar-EG"/>
        </w:rPr>
        <w:t>‏ويرد فيما يلي رسم بياني لعدد التوصيات بحسب برامج الويبو</w:t>
      </w:r>
      <w:r w:rsidR="00CD73D7">
        <w:rPr>
          <w:rStyle w:val="FootnoteReference"/>
          <w:rtl/>
        </w:rPr>
        <w:footnoteReference w:id="9"/>
      </w:r>
      <w:r>
        <w:rPr>
          <w:rtl/>
          <w:lang w:bidi="ar-EG"/>
        </w:rPr>
        <w:t xml:space="preserve"> والأولوية في 30 يونيو 2018:</w:t>
      </w:r>
    </w:p>
    <w:p w:rsidR="009D1848" w:rsidRDefault="009D1848" w:rsidP="00004E08">
      <w:pPr>
        <w:pStyle w:val="BodyText"/>
        <w:keepNext/>
        <w:keepLines/>
        <w:jc w:val="center"/>
        <w:rPr>
          <w:b/>
          <w:bCs/>
          <w:rtl/>
        </w:rPr>
      </w:pPr>
      <w:r w:rsidRPr="003F19FB">
        <w:rPr>
          <w:b/>
          <w:bCs/>
          <w:rtl/>
        </w:rPr>
        <w:lastRenderedPageBreak/>
        <w:t>الرسم البياني (6) – التوصيات بحسب البرنامج والأولوية (180)</w:t>
      </w:r>
    </w:p>
    <w:p w:rsidR="003F19FB" w:rsidRDefault="003672D0" w:rsidP="003F19FB">
      <w:pPr>
        <w:pStyle w:val="BodyText"/>
        <w:jc w:val="center"/>
        <w:rPr>
          <w:b/>
          <w:bCs/>
          <w:rtl/>
        </w:rPr>
      </w:pPr>
      <w:r w:rsidRPr="003672D0">
        <w:rPr>
          <w:rFonts w:hint="cs"/>
          <w:noProof/>
          <w:rtl/>
          <w:lang w:bidi="ar-SA"/>
        </w:rPr>
        <w:drawing>
          <wp:inline distT="0" distB="0" distL="0" distR="0" wp14:anchorId="5FC8AE2D" wp14:editId="30CEEE42">
            <wp:extent cx="5461000" cy="3556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64342" cy="3558176"/>
                    </a:xfrm>
                    <a:prstGeom prst="rect">
                      <a:avLst/>
                    </a:prstGeom>
                    <a:noFill/>
                    <a:ln>
                      <a:noFill/>
                    </a:ln>
                  </pic:spPr>
                </pic:pic>
              </a:graphicData>
            </a:graphic>
          </wp:inline>
        </w:drawing>
      </w:r>
    </w:p>
    <w:p w:rsidR="009D1848" w:rsidRDefault="009D1848" w:rsidP="00EE1C17">
      <w:pPr>
        <w:pStyle w:val="ONUMA"/>
        <w:numPr>
          <w:ilvl w:val="0"/>
          <w:numId w:val="15"/>
        </w:numPr>
        <w:rPr>
          <w:rtl/>
        </w:rPr>
      </w:pPr>
      <w:r>
        <w:rPr>
          <w:rtl/>
          <w:lang w:bidi="ar-EG"/>
        </w:rPr>
        <w:t>تستأثر خمسة برامج بنحو 58 في المائة من التوصيات العالية الأولوية الست والتسعين، وتخص الحصة الكبرى من التوصيات المفتوحة عالية الأولوية خدمات الدعم العامة (البرنامج 24) والبلدان الأفريقية والعربية وبلدان آسيا والمحيط الهادئ وأمريكا اللاتينية والكاريبي والبلدان الأقل نموا (البرنامج 9) وإدارة الموارد البشرية والتنمية (البرنامج 23).</w:t>
      </w:r>
    </w:p>
    <w:p w:rsidR="009D1848" w:rsidRDefault="009D1848" w:rsidP="00664189">
      <w:pPr>
        <w:pStyle w:val="Heading2"/>
        <w:rPr>
          <w:rtl/>
        </w:rPr>
      </w:pPr>
      <w:bookmarkStart w:id="19" w:name="_Toc519174854"/>
      <w:r>
        <w:rPr>
          <w:rtl/>
        </w:rPr>
        <w:t>العمل الاستشاري والرقابي الاستشاري</w:t>
      </w:r>
      <w:bookmarkEnd w:id="19"/>
    </w:p>
    <w:p w:rsidR="009D1848" w:rsidRDefault="009D1848" w:rsidP="00EE1C17">
      <w:pPr>
        <w:pStyle w:val="ONUMA"/>
        <w:numPr>
          <w:ilvl w:val="0"/>
          <w:numId w:val="15"/>
        </w:numPr>
        <w:rPr>
          <w:rtl/>
          <w:lang w:bidi="ar-EG"/>
        </w:rPr>
      </w:pPr>
      <w:r>
        <w:rPr>
          <w:rtl/>
          <w:lang w:bidi="ar-EG"/>
        </w:rPr>
        <w:t xml:space="preserve">إضافة إلى العمل الرقابي المخطط له، استمرت الشعبة في إسداء المشورة المهنية بشأن السياسات والإجراءات المؤسسية وإدارة المخاطر والضوابط الداخلية. </w:t>
      </w:r>
    </w:p>
    <w:p w:rsidR="009D1848" w:rsidRDefault="009D1848" w:rsidP="00EE1C17">
      <w:pPr>
        <w:pStyle w:val="ONUMA"/>
        <w:numPr>
          <w:ilvl w:val="0"/>
          <w:numId w:val="15"/>
        </w:numPr>
        <w:rPr>
          <w:rtl/>
        </w:rPr>
      </w:pPr>
      <w:r>
        <w:rPr>
          <w:rtl/>
          <w:lang w:bidi="ar-EG"/>
        </w:rPr>
        <w:t>كما شاركت الشعب</w:t>
      </w:r>
      <w:r w:rsidRPr="00DA61C9">
        <w:rPr>
          <w:rtl/>
          <w:lang w:bidi="ar-EG"/>
        </w:rPr>
        <w:t>ة، بالتعاون مع إدارة تخط</w:t>
      </w:r>
      <w:r>
        <w:rPr>
          <w:rtl/>
          <w:lang w:bidi="ar-EG"/>
        </w:rPr>
        <w:t>يط البرامج والشؤون المالية، في أنشطة الوقاية من مخاطر الغش. وبالأخص:</w:t>
      </w:r>
    </w:p>
    <w:p w:rsidR="009D1848" w:rsidRDefault="009D1848" w:rsidP="003F19FB">
      <w:pPr>
        <w:pStyle w:val="BodyText"/>
        <w:ind w:left="566"/>
        <w:rPr>
          <w:rtl/>
        </w:rPr>
      </w:pPr>
      <w:r>
        <w:rPr>
          <w:rtl/>
        </w:rPr>
        <w:t>(أ‌)</w:t>
      </w:r>
      <w:r>
        <w:rPr>
          <w:rtl/>
        </w:rPr>
        <w:tab/>
        <w:t>أعد تدريب عبر الإنترنت عن "تفادي الغش وإساءة الاستعمال في الويبو" وسوف يطرح على موظفي الويبو في النصف الثاني من عام 2018؛</w:t>
      </w:r>
    </w:p>
    <w:p w:rsidR="009D1848" w:rsidRDefault="009D1848" w:rsidP="003F19FB">
      <w:pPr>
        <w:pStyle w:val="BodyText"/>
        <w:ind w:left="566"/>
        <w:rPr>
          <w:rtl/>
        </w:rPr>
      </w:pPr>
      <w:r>
        <w:rPr>
          <w:rtl/>
        </w:rPr>
        <w:t>(ب‌)</w:t>
      </w:r>
      <w:r>
        <w:rPr>
          <w:rtl/>
        </w:rPr>
        <w:tab/>
        <w:t>وأطلقت ممارسة تقييم لمخاطر الغش، حيث شاركت شركة استشارية متخصصة، وستجرى أنشطة عمل ميدانية خلال النصف الثاني من عام 2018.</w:t>
      </w:r>
    </w:p>
    <w:p w:rsidR="009D1848" w:rsidRPr="00FC2EEE" w:rsidRDefault="009D1848" w:rsidP="00664189">
      <w:pPr>
        <w:pStyle w:val="Heading2"/>
        <w:rPr>
          <w:rtl/>
        </w:rPr>
      </w:pPr>
      <w:bookmarkStart w:id="20" w:name="_Toc519174855"/>
      <w:r w:rsidRPr="00FC2EEE">
        <w:rPr>
          <w:rtl/>
        </w:rPr>
        <w:lastRenderedPageBreak/>
        <w:t>التعاون مع هيئات الرقابة الخارجية</w:t>
      </w:r>
      <w:bookmarkEnd w:id="20"/>
    </w:p>
    <w:p w:rsidR="009D1848" w:rsidRPr="00FC2EEE" w:rsidRDefault="009D1848" w:rsidP="009D1848">
      <w:pPr>
        <w:pStyle w:val="BodyText"/>
        <w:rPr>
          <w:sz w:val="40"/>
          <w:szCs w:val="40"/>
          <w:rtl/>
        </w:rPr>
      </w:pPr>
      <w:r w:rsidRPr="00FC2EEE">
        <w:rPr>
          <w:sz w:val="40"/>
          <w:szCs w:val="40"/>
          <w:rtl/>
        </w:rPr>
        <w:t>اللجنة الاستشارية المستقلة للرقابة</w:t>
      </w:r>
    </w:p>
    <w:p w:rsidR="009D1848" w:rsidRDefault="009D1848" w:rsidP="00EE1C17">
      <w:pPr>
        <w:pStyle w:val="ONUMA"/>
        <w:numPr>
          <w:ilvl w:val="0"/>
          <w:numId w:val="15"/>
        </w:numPr>
        <w:rPr>
          <w:rtl/>
        </w:rPr>
      </w:pPr>
      <w:r w:rsidRPr="00AE7F4E">
        <w:rPr>
          <w:rtl/>
          <w:lang w:bidi="ar-EG"/>
        </w:rPr>
        <w:t>شاركت الشعبة بانتظام في جلسات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 وشهدت الفتر</w:t>
      </w:r>
      <w:r>
        <w:rPr>
          <w:rtl/>
          <w:lang w:bidi="ar-EG"/>
        </w:rPr>
        <w:t>ة المشمولة بهذا التقرير عقد الجلسات الخامسة والأربعين إلى الثامنة والأربعين للجنة الاستشارية المستقلة للرقابة.</w:t>
      </w:r>
    </w:p>
    <w:p w:rsidR="009D1848" w:rsidRPr="00AE7F4E" w:rsidRDefault="009D1848" w:rsidP="00AE7F4E">
      <w:pPr>
        <w:pStyle w:val="BodyText"/>
        <w:keepNext/>
        <w:keepLines/>
        <w:rPr>
          <w:sz w:val="40"/>
          <w:szCs w:val="40"/>
          <w:rtl/>
        </w:rPr>
      </w:pPr>
      <w:r w:rsidRPr="00AE7F4E">
        <w:rPr>
          <w:sz w:val="40"/>
          <w:szCs w:val="40"/>
          <w:rtl/>
        </w:rPr>
        <w:t>المدقق الخارجي</w:t>
      </w:r>
    </w:p>
    <w:p w:rsidR="009D1848" w:rsidRDefault="009D1848" w:rsidP="00EE1C17">
      <w:pPr>
        <w:pStyle w:val="ONUMA"/>
        <w:numPr>
          <w:ilvl w:val="0"/>
          <w:numId w:val="15"/>
        </w:numPr>
        <w:rPr>
          <w:rtl/>
          <w:lang w:bidi="ar-EG"/>
        </w:rPr>
      </w:pPr>
      <w:r>
        <w:rPr>
          <w:rtl/>
          <w:lang w:bidi="ar-EG"/>
        </w:rPr>
        <w:t>حافظت شعبة الرقابة الداخلية على علاقة عمل ممتازة مع المدقق الخارجي من خلال عقد اجتماعات منتظمة عن قضايا التدقيق والضوابط الداخلية وإدارة المخاطر. وتبادل المدقق الخارجي والشعبة الاستراتيجيات والخطط السنوية والتقارير الفردية بغية ضمان فعالية التغطية الرقابية وتفادي أي ازدواجية محتملة أو عبء رقابي مفرط.</w:t>
      </w:r>
    </w:p>
    <w:p w:rsidR="009D1848" w:rsidRDefault="009D1848" w:rsidP="00EE1C17">
      <w:pPr>
        <w:pStyle w:val="ONUMA"/>
        <w:numPr>
          <w:ilvl w:val="0"/>
          <w:numId w:val="15"/>
        </w:numPr>
        <w:rPr>
          <w:rtl/>
        </w:rPr>
      </w:pPr>
      <w:r>
        <w:rPr>
          <w:rtl/>
          <w:lang w:bidi="ar-EG"/>
        </w:rPr>
        <w:t>واجتمعت الشعبة بالمدقق الخارجي القادم من مكتب التدقيق الوطني بالمملكة المتحدة في مايو 2018، واطلعت على خطة العمل السنوية وميثاق الرقابة الداخلي واستراتيجية التدقيق الداخلي ومذكرة عن العمل المستمر للتدقيق الداخلي، من بين أمور أخرى.</w:t>
      </w:r>
    </w:p>
    <w:p w:rsidR="009D1848" w:rsidRDefault="009D1848" w:rsidP="00664189">
      <w:pPr>
        <w:pStyle w:val="Heading2"/>
        <w:rPr>
          <w:rtl/>
        </w:rPr>
      </w:pPr>
      <w:bookmarkStart w:id="21" w:name="_Toc519174856"/>
      <w:r>
        <w:rPr>
          <w:rtl/>
        </w:rPr>
        <w:t>التعاون مع أمين المظالم ومكتب الأخلاقيات</w:t>
      </w:r>
      <w:bookmarkEnd w:id="21"/>
    </w:p>
    <w:p w:rsidR="009D1848" w:rsidRDefault="009D1848" w:rsidP="00EE1C17">
      <w:pPr>
        <w:pStyle w:val="ONUMA"/>
        <w:numPr>
          <w:ilvl w:val="0"/>
          <w:numId w:val="15"/>
        </w:numPr>
        <w:rPr>
          <w:rtl/>
        </w:rPr>
      </w:pPr>
      <w:r>
        <w:rPr>
          <w:rtl/>
          <w:lang w:bidi="ar-EG"/>
        </w:rPr>
        <w:t>خلال الفترة المشمولة بالتقرير، اجتمع مدير الشعبة بانتظام مع أمين المظالم ورئيس مكتب الأخلاقيات لضمان التنسيق الجيد وتكامل الدعم.</w:t>
      </w:r>
    </w:p>
    <w:p w:rsidR="009D1848" w:rsidRDefault="009D1848" w:rsidP="00EB4EF0">
      <w:pPr>
        <w:pStyle w:val="Heading2"/>
        <w:rPr>
          <w:rtl/>
        </w:rPr>
      </w:pPr>
      <w:bookmarkStart w:id="22" w:name="_Toc519174857"/>
      <w:r>
        <w:rPr>
          <w:rtl/>
        </w:rPr>
        <w:t>أنشطة الرقابة الأخرى</w:t>
      </w:r>
      <w:bookmarkEnd w:id="22"/>
    </w:p>
    <w:p w:rsidR="009D1848" w:rsidRPr="00A85CD5" w:rsidRDefault="009D1848" w:rsidP="009D1848">
      <w:pPr>
        <w:pStyle w:val="BodyText"/>
        <w:rPr>
          <w:sz w:val="40"/>
          <w:szCs w:val="40"/>
          <w:rtl/>
        </w:rPr>
      </w:pPr>
      <w:r w:rsidRPr="00A85CD5">
        <w:rPr>
          <w:sz w:val="40"/>
          <w:szCs w:val="40"/>
          <w:rtl/>
        </w:rPr>
        <w:t>أنشطة التواصل في المنظمة</w:t>
      </w:r>
    </w:p>
    <w:p w:rsidR="009D1848" w:rsidRDefault="009D1848" w:rsidP="00EE1C17">
      <w:pPr>
        <w:pStyle w:val="ONUMA"/>
        <w:numPr>
          <w:ilvl w:val="0"/>
          <w:numId w:val="15"/>
        </w:numPr>
        <w:rPr>
          <w:rtl/>
          <w:lang w:bidi="ar-EG"/>
        </w:rPr>
      </w:pPr>
      <w:r>
        <w:rPr>
          <w:rtl/>
          <w:lang w:bidi="ar-EG"/>
        </w:rPr>
        <w:t>استمرت الشعبة، ضمن جهودها المستمرة لتوضيح عملها والدفاع عنه،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للمدير وكبار الإداريين عند الاقتضاء.</w:t>
      </w:r>
    </w:p>
    <w:p w:rsidR="009D1848" w:rsidRPr="00A85CD5" w:rsidRDefault="009D1848" w:rsidP="00CB4237">
      <w:pPr>
        <w:pStyle w:val="ONUMA"/>
        <w:keepNext/>
        <w:keepLines/>
        <w:numPr>
          <w:ilvl w:val="0"/>
          <w:numId w:val="0"/>
        </w:numPr>
        <w:rPr>
          <w:sz w:val="40"/>
          <w:szCs w:val="40"/>
          <w:rtl/>
          <w:lang w:bidi="ar-EG"/>
        </w:rPr>
      </w:pPr>
      <w:r w:rsidRPr="00A85CD5">
        <w:rPr>
          <w:sz w:val="40"/>
          <w:szCs w:val="40"/>
          <w:rtl/>
          <w:lang w:bidi="ar-EG"/>
        </w:rPr>
        <w:t>استقصاء الرضا</w:t>
      </w:r>
    </w:p>
    <w:p w:rsidR="009D1848" w:rsidRDefault="009D1848" w:rsidP="00EE1C17">
      <w:pPr>
        <w:pStyle w:val="ONUMA"/>
        <w:numPr>
          <w:ilvl w:val="0"/>
          <w:numId w:val="15"/>
        </w:numPr>
        <w:rPr>
          <w:rtl/>
          <w:lang w:bidi="ar-EG"/>
        </w:rPr>
      </w:pPr>
      <w:r>
        <w:rPr>
          <w:rtl/>
          <w:lang w:bidi="ar-EG"/>
        </w:rPr>
        <w:t>واصلت الشعبة استقصاء رضا الزملاء من وحدات الويبو الخاضعة للتدقيق أو التقييم عن طريق استقصاءات رضا الزبائن عقب كل مهمة. ويهدف ذلك إلى الحصول على آراء الزملاء في العمل الرقابي وتحليلها. ووفقا للتحليل الموحد لنتائج الاستقصاء، بلغت نسبة الرضا 85 في المائة.</w:t>
      </w:r>
    </w:p>
    <w:p w:rsidR="009D1848" w:rsidRDefault="009D1848" w:rsidP="00EE1C17">
      <w:pPr>
        <w:pStyle w:val="ONUMA"/>
        <w:numPr>
          <w:ilvl w:val="0"/>
          <w:numId w:val="15"/>
        </w:numPr>
        <w:rPr>
          <w:rtl/>
        </w:rPr>
      </w:pPr>
      <w:r>
        <w:rPr>
          <w:rtl/>
          <w:lang w:bidi="ar-EG"/>
        </w:rPr>
        <w:lastRenderedPageBreak/>
        <w:t>وأشارت نتائج الاستقصاءات، التي أجريت بعد سنة من تنفيذ المهام والتي استخدمت لقياس أثر العمل الرقابي، إلى نسبة رضا متوسطة تبلغ 76 في المائة. وستسعى الشعبة جاهدة إلى تحسين أثر عملها الرقابي استنادا إلى آراء الزملاء.</w:t>
      </w:r>
    </w:p>
    <w:p w:rsidR="009D1848" w:rsidRDefault="009D1848" w:rsidP="00EE1C17">
      <w:pPr>
        <w:pStyle w:val="ONUMA"/>
        <w:numPr>
          <w:ilvl w:val="0"/>
          <w:numId w:val="15"/>
        </w:numPr>
        <w:rPr>
          <w:rtl/>
        </w:rPr>
      </w:pPr>
      <w:r>
        <w:rPr>
          <w:rtl/>
          <w:lang w:bidi="ar-EG"/>
        </w:rPr>
        <w:t>وساعدت التعل</w:t>
      </w:r>
      <w:r w:rsidRPr="00CA7BF9">
        <w:rPr>
          <w:rtl/>
          <w:lang w:bidi="ar-EG"/>
        </w:rPr>
        <w:t>يقات الإضافية، التي أرسلتها الوحدات التي خضعت للتدقيق/التقييم من خلال الاستقصاءات، شعبة الرقابة الداخلية على تحديد أوجه القصور والعمل على</w:t>
      </w:r>
      <w:r>
        <w:rPr>
          <w:rtl/>
          <w:lang w:bidi="ar-EG"/>
        </w:rPr>
        <w:t xml:space="preserve"> اتخاذ إجراءات تصحيحية.</w:t>
      </w:r>
    </w:p>
    <w:p w:rsidR="009D1848" w:rsidRPr="00CA7BF9" w:rsidRDefault="009D1848" w:rsidP="00CA7BF9">
      <w:pPr>
        <w:pStyle w:val="BodyText"/>
        <w:keepNext/>
        <w:keepLines/>
        <w:rPr>
          <w:sz w:val="40"/>
          <w:szCs w:val="40"/>
          <w:rtl/>
        </w:rPr>
      </w:pPr>
      <w:r w:rsidRPr="00CA7BF9">
        <w:rPr>
          <w:sz w:val="40"/>
          <w:szCs w:val="40"/>
          <w:rtl/>
        </w:rPr>
        <w:t>التواصل مع مهام رقابية أخرى</w:t>
      </w:r>
    </w:p>
    <w:p w:rsidR="009D1848" w:rsidRDefault="009D1848" w:rsidP="002A2AA6">
      <w:pPr>
        <w:pStyle w:val="ONUMA"/>
        <w:numPr>
          <w:ilvl w:val="0"/>
          <w:numId w:val="15"/>
        </w:numPr>
        <w:rPr>
          <w:rtl/>
        </w:rPr>
      </w:pPr>
      <w:r>
        <w:rPr>
          <w:rtl/>
          <w:lang w:bidi="ar-EG"/>
        </w:rPr>
        <w:t>يشمل ميثاق الرقابة الداخلية أحكاما محددة</w:t>
      </w:r>
      <w:r w:rsidR="002A2AA6">
        <w:rPr>
          <w:rStyle w:val="FootnoteReference"/>
          <w:rtl/>
        </w:rPr>
        <w:footnoteReference w:id="10"/>
      </w:r>
      <w:r>
        <w:rPr>
          <w:rtl/>
          <w:lang w:bidi="ar-EG"/>
        </w:rPr>
        <w:t xml:space="preserve"> عن التواصل مع دوائر الرقابة الداخلية في المنظمات الأخرى التابعة لمنظومة الأمم المتحدة وفي المؤسسات المالية المتعددة </w:t>
      </w:r>
      <w:r w:rsidRPr="006D420A">
        <w:rPr>
          <w:rtl/>
          <w:lang w:bidi="ar-EG"/>
        </w:rPr>
        <w:t>الأطراف</w:t>
      </w:r>
      <w:r>
        <w:rPr>
          <w:rtl/>
          <w:lang w:bidi="ar-EG"/>
        </w:rPr>
        <w:t>، والتعاون معها. 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rsidR="009D1848" w:rsidRDefault="009D1848" w:rsidP="006D0C44">
      <w:pPr>
        <w:pStyle w:val="BodyText"/>
        <w:numPr>
          <w:ilvl w:val="0"/>
          <w:numId w:val="14"/>
        </w:numPr>
        <w:ind w:left="566" w:firstLine="11"/>
        <w:rPr>
          <w:rtl/>
        </w:rPr>
      </w:pPr>
      <w:r>
        <w:rPr>
          <w:rtl/>
        </w:rPr>
        <w:t>الاجتماع السنوي لممثلي دوائر التدقيق الداخلي في الأمم المتحدة المعقود خلال الفترة من 28 إلى 31 أغسطس 2017 في لاهاي، بهولندا؛.</w:t>
      </w:r>
    </w:p>
    <w:p w:rsidR="009D1848" w:rsidRDefault="009D1848" w:rsidP="00596948">
      <w:pPr>
        <w:pStyle w:val="BodyText"/>
        <w:numPr>
          <w:ilvl w:val="0"/>
          <w:numId w:val="14"/>
        </w:numPr>
        <w:ind w:left="566" w:firstLine="11"/>
        <w:rPr>
          <w:rtl/>
        </w:rPr>
      </w:pPr>
      <w:r>
        <w:rPr>
          <w:rtl/>
        </w:rPr>
        <w:t>الاجتماع السنوي لممثلي دوائر التحقيق في الأمم المتحدة، الذي عقد في نيويورك، بالولايات المتحدة الأمريكية، خلال الفترة من 10 إلى 13 أكتوبر 2017؛</w:t>
      </w:r>
    </w:p>
    <w:p w:rsidR="009D1848" w:rsidRDefault="009D1848" w:rsidP="006D0C44">
      <w:pPr>
        <w:pStyle w:val="BodyText"/>
        <w:numPr>
          <w:ilvl w:val="0"/>
          <w:numId w:val="14"/>
        </w:numPr>
        <w:ind w:left="566" w:firstLine="11"/>
        <w:rPr>
          <w:rtl/>
        </w:rPr>
      </w:pPr>
      <w:r>
        <w:rPr>
          <w:rtl/>
        </w:rPr>
        <w:t>الاجتماع السنوي لرؤساء التدقيق الداخلي في المنظمات الدولية الأوروبية الذي استضافته المفوضية الأوروبية في بروكسل، ببلجيكا، من 18 إلى 20 أبريل 2018.</w:t>
      </w:r>
    </w:p>
    <w:p w:rsidR="009D1848" w:rsidRDefault="009D1848" w:rsidP="006D0C44">
      <w:pPr>
        <w:pStyle w:val="BodyText"/>
        <w:numPr>
          <w:ilvl w:val="0"/>
          <w:numId w:val="14"/>
        </w:numPr>
        <w:ind w:left="566" w:firstLine="11"/>
        <w:rPr>
          <w:rtl/>
        </w:rPr>
      </w:pPr>
      <w:r>
        <w:rPr>
          <w:rtl/>
        </w:rPr>
        <w:t>وحضرت الويبو أسبوع التقييم لفريق الأمم المتحدة المعني بالتقييم الذي عقد في الفترة من 7 إلى 10 مايو 2018 في روما، بإيطاليا.</w:t>
      </w:r>
    </w:p>
    <w:p w:rsidR="009D1848" w:rsidRDefault="009D1848" w:rsidP="007D7364">
      <w:pPr>
        <w:pStyle w:val="Heading2"/>
        <w:rPr>
          <w:rtl/>
        </w:rPr>
      </w:pPr>
      <w:bookmarkStart w:id="23" w:name="_Toc519174858"/>
      <w:r>
        <w:rPr>
          <w:rtl/>
        </w:rPr>
        <w:t>الاستقلالية التشغيلية لشعبة الرقابة الداخلية</w:t>
      </w:r>
      <w:bookmarkEnd w:id="23"/>
    </w:p>
    <w:p w:rsidR="009D1848" w:rsidRPr="006D420A" w:rsidRDefault="009D1848" w:rsidP="002A2AA6">
      <w:pPr>
        <w:pStyle w:val="ONUMA"/>
        <w:numPr>
          <w:ilvl w:val="0"/>
          <w:numId w:val="15"/>
        </w:numPr>
        <w:rPr>
          <w:rtl/>
          <w:lang w:bidi="ar-EG"/>
        </w:rPr>
      </w:pPr>
      <w:r>
        <w:rPr>
          <w:rtl/>
          <w:lang w:bidi="ar-EG"/>
        </w:rPr>
        <w:t>يقتضي ميثاق الرقابة الداخلية</w:t>
      </w:r>
      <w:r w:rsidR="002A2AA6">
        <w:rPr>
          <w:rStyle w:val="FootnoteReference"/>
          <w:rtl/>
        </w:rPr>
        <w:footnoteReference w:id="11"/>
      </w:r>
      <w:r>
        <w:rPr>
          <w:rtl/>
          <w:lang w:bidi="ar-EG"/>
        </w:rPr>
        <w:t xml:space="preserve"> من مدير الشعبة أن يؤكد استقلاليته ال</w:t>
      </w:r>
      <w:r w:rsidRPr="006D420A">
        <w:rPr>
          <w:rtl/>
          <w:lang w:bidi="ar-EG"/>
        </w:rPr>
        <w:t>تشغيلية وأن يبدي تعليقاته على نطاق الأنشطة ومدى كفاية الموارد المخصصة لمهام الرقابة الداخلية.</w:t>
      </w:r>
    </w:p>
    <w:p w:rsidR="009D1848" w:rsidRDefault="009D1848" w:rsidP="00EE1C17">
      <w:pPr>
        <w:pStyle w:val="ONUMA"/>
        <w:numPr>
          <w:ilvl w:val="0"/>
          <w:numId w:val="15"/>
        </w:numPr>
        <w:rPr>
          <w:rtl/>
        </w:rPr>
      </w:pPr>
      <w:r w:rsidRPr="006D420A">
        <w:rPr>
          <w:rtl/>
          <w:lang w:bidi="ar-EG"/>
        </w:rPr>
        <w:t>وخلال الفترة المشمولة بالتقرير، لم تقع أي حالة مست بالاستقلالية التشغيلية لشعبة الرقابة الداخلية ولم يحدث أي نشاط يخلّ بها. فقد حددت الشعبة نطاق أنشطتها الرقابية استنادا إلى تقييم المخ</w:t>
      </w:r>
      <w:r>
        <w:rPr>
          <w:rtl/>
          <w:lang w:bidi="ar-EG"/>
        </w:rPr>
        <w:t>اطر والتعليقات والآراء النقدية الواردة من إدارة الويبو واللجنة الاستشارية المستقلة للرقابة والدول الأعضاء.</w:t>
      </w:r>
    </w:p>
    <w:p w:rsidR="009D1848" w:rsidRDefault="009D1848" w:rsidP="007D7364">
      <w:pPr>
        <w:pStyle w:val="Heading2"/>
        <w:rPr>
          <w:rtl/>
        </w:rPr>
      </w:pPr>
      <w:bookmarkStart w:id="24" w:name="_Toc519174859"/>
      <w:r>
        <w:rPr>
          <w:rtl/>
        </w:rPr>
        <w:lastRenderedPageBreak/>
        <w:t>موارد الرقابة</w:t>
      </w:r>
      <w:bookmarkEnd w:id="24"/>
    </w:p>
    <w:p w:rsidR="009D1848" w:rsidRPr="00596948" w:rsidRDefault="009D1848" w:rsidP="009D1848">
      <w:pPr>
        <w:pStyle w:val="BodyText"/>
        <w:rPr>
          <w:sz w:val="40"/>
          <w:szCs w:val="40"/>
          <w:rtl/>
        </w:rPr>
      </w:pPr>
      <w:r w:rsidRPr="00596948">
        <w:rPr>
          <w:sz w:val="40"/>
          <w:szCs w:val="40"/>
          <w:rtl/>
        </w:rPr>
        <w:t>الميزانية والموظفون</w:t>
      </w:r>
    </w:p>
    <w:p w:rsidR="009D1848" w:rsidRPr="00596948" w:rsidRDefault="009D1848" w:rsidP="002A2AA6">
      <w:pPr>
        <w:pStyle w:val="ONUMA"/>
        <w:numPr>
          <w:ilvl w:val="0"/>
          <w:numId w:val="15"/>
        </w:numPr>
        <w:rPr>
          <w:rtl/>
        </w:rPr>
      </w:pPr>
      <w:r w:rsidRPr="00596948">
        <w:rPr>
          <w:rtl/>
          <w:lang w:bidi="ar-EG"/>
        </w:rPr>
        <w:t>خُصصت للشعبة ميزانية للثنائية قدرها 5.163 مليون فرنك سويسري أي 0.73 بالمئة</w:t>
      </w:r>
      <w:r w:rsidR="002A2AA6" w:rsidRPr="00596948">
        <w:rPr>
          <w:rStyle w:val="FootnoteReference"/>
          <w:rtl/>
        </w:rPr>
        <w:footnoteReference w:id="12"/>
      </w:r>
      <w:r w:rsidRPr="00596948">
        <w:rPr>
          <w:rtl/>
          <w:lang w:bidi="ar-EG"/>
        </w:rPr>
        <w:t xml:space="preserve"> من ميزانية الويبو للثنائية 2016/2017 لتنفيذ ولايتها. وكان مستوى الموارد البشرية والمالية ملائما كي تغطي الشعبة بفعالية المجالات ذات الأولوية المحددة في خطط عملها. وساهم تبادل خطط الرقابة والتنسيق المستمر لأنشطة الرقابة مع المدقق الخارجي والاستخدام الفعال لأدوات تكنولوجيا المعلومات في تحقيق المزيد من الفعالية والكفاءة في تغطية المخاطر.</w:t>
      </w:r>
    </w:p>
    <w:p w:rsidR="009D1848" w:rsidRDefault="009D1848" w:rsidP="00596948">
      <w:pPr>
        <w:pStyle w:val="BodyText"/>
        <w:jc w:val="center"/>
        <w:rPr>
          <w:b/>
          <w:bCs/>
          <w:rtl/>
        </w:rPr>
      </w:pPr>
      <w:r w:rsidRPr="00596948">
        <w:rPr>
          <w:b/>
          <w:bCs/>
          <w:rtl/>
        </w:rPr>
        <w:t>الجدول 3 - ميزانية ونفقات شعبة الرقابة الداخلية</w:t>
      </w:r>
      <w:r w:rsidR="002A2AA6" w:rsidRPr="00596948">
        <w:rPr>
          <w:b/>
          <w:bCs/>
          <w:vertAlign w:val="superscript"/>
          <w:rtl/>
        </w:rPr>
        <w:footnoteReference w:id="13"/>
      </w:r>
      <w:r w:rsidRPr="00596948">
        <w:rPr>
          <w:b/>
          <w:bCs/>
          <w:rtl/>
        </w:rPr>
        <w:t xml:space="preserve"> للثنائية 2016/17</w:t>
      </w:r>
    </w:p>
    <w:tbl>
      <w:tblPr>
        <w:bidiVisual/>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38"/>
        <w:gridCol w:w="1438"/>
        <w:gridCol w:w="1438"/>
        <w:gridCol w:w="1438"/>
      </w:tblGrid>
      <w:tr w:rsidR="00596948" w:rsidRPr="00596948" w:rsidTr="00596948">
        <w:trPr>
          <w:trHeight w:val="720"/>
          <w:jc w:val="center"/>
        </w:trPr>
        <w:tc>
          <w:tcPr>
            <w:tcW w:w="247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 </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241B7A" w:rsidP="00B033FC">
            <w:pPr>
              <w:jc w:val="center"/>
              <w:rPr>
                <w:rFonts w:eastAsia="SimSun"/>
                <w:b/>
                <w:bCs/>
                <w:color w:val="000000"/>
                <w:sz w:val="28"/>
                <w:szCs w:val="28"/>
                <w:lang w:eastAsia="zh-CN"/>
              </w:rPr>
            </w:pPr>
            <w:r>
              <w:rPr>
                <w:rFonts w:eastAsia="SimSun" w:hint="cs"/>
                <w:b/>
                <w:bCs/>
                <w:color w:val="000000"/>
                <w:sz w:val="28"/>
                <w:szCs w:val="28"/>
                <w:rtl/>
                <w:lang w:eastAsia="zh-CN"/>
              </w:rPr>
              <w:t>الميزانية المعتمدة 2016/17</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Default="00241B7A" w:rsidP="00B033FC">
            <w:pPr>
              <w:jc w:val="center"/>
              <w:rPr>
                <w:rFonts w:eastAsia="SimSun"/>
                <w:b/>
                <w:bCs/>
                <w:color w:val="000000"/>
                <w:sz w:val="28"/>
                <w:szCs w:val="28"/>
                <w:rtl/>
                <w:lang w:eastAsia="zh-CN"/>
              </w:rPr>
            </w:pPr>
            <w:r>
              <w:rPr>
                <w:rFonts w:eastAsia="SimSun" w:hint="cs"/>
                <w:b/>
                <w:bCs/>
                <w:color w:val="000000"/>
                <w:sz w:val="28"/>
                <w:szCs w:val="28"/>
                <w:rtl/>
                <w:lang w:eastAsia="zh-CN"/>
              </w:rPr>
              <w:t>الميزانية بعد التحويلات</w:t>
            </w:r>
          </w:p>
          <w:p w:rsidR="00241B7A" w:rsidRPr="00596948" w:rsidRDefault="00241B7A" w:rsidP="00B033FC">
            <w:pPr>
              <w:jc w:val="center"/>
              <w:rPr>
                <w:rFonts w:eastAsia="SimSun"/>
                <w:b/>
                <w:bCs/>
                <w:color w:val="000000"/>
                <w:sz w:val="28"/>
                <w:szCs w:val="28"/>
                <w:lang w:eastAsia="zh-CN"/>
              </w:rPr>
            </w:pPr>
            <w:r w:rsidRPr="00241B7A">
              <w:rPr>
                <w:rFonts w:eastAsia="SimSun" w:hint="cs"/>
                <w:b/>
                <w:bCs/>
                <w:color w:val="000000"/>
                <w:sz w:val="28"/>
                <w:szCs w:val="28"/>
                <w:rtl/>
                <w:lang w:eastAsia="zh-CN"/>
              </w:rPr>
              <w:t>2016/17</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241B7A" w:rsidP="00B033FC">
            <w:pPr>
              <w:jc w:val="center"/>
              <w:rPr>
                <w:rFonts w:eastAsia="SimSun"/>
                <w:b/>
                <w:bCs/>
                <w:color w:val="000000"/>
                <w:sz w:val="28"/>
                <w:szCs w:val="28"/>
                <w:lang w:eastAsia="zh-CN"/>
              </w:rPr>
            </w:pPr>
            <w:r>
              <w:rPr>
                <w:rFonts w:eastAsia="SimSun" w:hint="cs"/>
                <w:b/>
                <w:bCs/>
                <w:color w:val="000000"/>
                <w:sz w:val="28"/>
                <w:szCs w:val="28"/>
                <w:rtl/>
                <w:lang w:eastAsia="zh-CN"/>
              </w:rPr>
              <w:t>نفقات 2016/17*</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241B7A" w:rsidP="00B033FC">
            <w:pPr>
              <w:jc w:val="center"/>
              <w:rPr>
                <w:rFonts w:eastAsia="SimSun"/>
                <w:b/>
                <w:bCs/>
                <w:color w:val="000000"/>
                <w:sz w:val="28"/>
                <w:szCs w:val="28"/>
                <w:lang w:eastAsia="zh-CN"/>
              </w:rPr>
            </w:pPr>
            <w:r>
              <w:rPr>
                <w:rFonts w:eastAsia="SimSun" w:hint="cs"/>
                <w:b/>
                <w:bCs/>
                <w:color w:val="000000"/>
                <w:sz w:val="28"/>
                <w:szCs w:val="28"/>
                <w:rtl/>
                <w:lang w:eastAsia="zh-CN"/>
              </w:rPr>
              <w:t>معدل الاستخدام</w:t>
            </w:r>
            <w:r w:rsidR="00596948" w:rsidRPr="00596948">
              <w:rPr>
                <w:rFonts w:eastAsia="SimSun"/>
                <w:b/>
                <w:bCs/>
                <w:color w:val="000000"/>
                <w:sz w:val="28"/>
                <w:szCs w:val="28"/>
                <w:lang w:eastAsia="zh-CN"/>
              </w:rPr>
              <w:t xml:space="preserve"> (%)</w:t>
            </w:r>
          </w:p>
        </w:tc>
      </w:tr>
      <w:tr w:rsidR="00596948" w:rsidRPr="00596948" w:rsidTr="00596948">
        <w:trPr>
          <w:trHeight w:val="315"/>
          <w:jc w:val="center"/>
        </w:trPr>
        <w:tc>
          <w:tcPr>
            <w:tcW w:w="2470" w:type="dxa"/>
            <w:tcBorders>
              <w:top w:val="single" w:sz="4" w:space="0" w:color="auto"/>
              <w:left w:val="single" w:sz="4" w:space="0" w:color="auto"/>
              <w:bottom w:val="single" w:sz="4" w:space="0" w:color="auto"/>
              <w:right w:val="single" w:sz="4" w:space="0" w:color="auto"/>
            </w:tcBorders>
            <w:noWrap/>
            <w:vAlign w:val="center"/>
            <w:hideMark/>
          </w:tcPr>
          <w:p w:rsidR="00596948" w:rsidRPr="00596948" w:rsidRDefault="00241B7A" w:rsidP="00B033FC">
            <w:pPr>
              <w:rPr>
                <w:rFonts w:eastAsia="SimSun"/>
                <w:color w:val="000000"/>
                <w:sz w:val="28"/>
                <w:szCs w:val="28"/>
                <w:lang w:eastAsia="zh-CN"/>
              </w:rPr>
            </w:pPr>
            <w:r>
              <w:rPr>
                <w:rFonts w:eastAsia="SimSun" w:hint="cs"/>
                <w:color w:val="000000"/>
                <w:sz w:val="28"/>
                <w:szCs w:val="28"/>
                <w:rtl/>
                <w:lang w:eastAsia="zh-CN"/>
              </w:rPr>
              <w:t>موارد الموظفين</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 xml:space="preserve">4,658 </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 xml:space="preserve">4,429 </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4,239</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96%</w:t>
            </w:r>
          </w:p>
        </w:tc>
      </w:tr>
      <w:tr w:rsidR="00596948" w:rsidRPr="00596948" w:rsidTr="00596948">
        <w:trPr>
          <w:trHeight w:val="315"/>
          <w:jc w:val="center"/>
        </w:trPr>
        <w:tc>
          <w:tcPr>
            <w:tcW w:w="2470" w:type="dxa"/>
            <w:tcBorders>
              <w:top w:val="single" w:sz="4" w:space="0" w:color="auto"/>
              <w:left w:val="single" w:sz="4" w:space="0" w:color="auto"/>
              <w:bottom w:val="single" w:sz="4" w:space="0" w:color="auto"/>
              <w:right w:val="single" w:sz="4" w:space="0" w:color="auto"/>
            </w:tcBorders>
            <w:noWrap/>
            <w:vAlign w:val="center"/>
            <w:hideMark/>
          </w:tcPr>
          <w:p w:rsidR="00596948" w:rsidRPr="00596948" w:rsidRDefault="00241B7A" w:rsidP="00B033FC">
            <w:pPr>
              <w:rPr>
                <w:rFonts w:eastAsia="SimSun"/>
                <w:color w:val="000000"/>
                <w:sz w:val="28"/>
                <w:szCs w:val="28"/>
                <w:lang w:eastAsia="zh-CN"/>
              </w:rPr>
            </w:pPr>
            <w:r>
              <w:rPr>
                <w:rFonts w:eastAsia="SimSun" w:hint="cs"/>
                <w:color w:val="000000"/>
                <w:sz w:val="28"/>
                <w:szCs w:val="28"/>
                <w:rtl/>
                <w:lang w:eastAsia="zh-CN"/>
              </w:rPr>
              <w:t>موارد خلاف الموظفين</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 xml:space="preserve">700 </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734</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543</w:t>
            </w:r>
          </w:p>
        </w:tc>
        <w:tc>
          <w:tcPr>
            <w:tcW w:w="1438" w:type="dxa"/>
            <w:tcBorders>
              <w:top w:val="single" w:sz="4" w:space="0" w:color="auto"/>
              <w:left w:val="single" w:sz="4" w:space="0" w:color="auto"/>
              <w:bottom w:val="single" w:sz="4" w:space="0" w:color="auto"/>
              <w:right w:val="single" w:sz="4" w:space="0" w:color="auto"/>
            </w:tcBorders>
            <w:vAlign w:val="center"/>
            <w:hideMark/>
          </w:tcPr>
          <w:p w:rsidR="00596948" w:rsidRPr="00596948" w:rsidRDefault="00596948" w:rsidP="00B033FC">
            <w:pPr>
              <w:rPr>
                <w:rFonts w:eastAsia="SimSun"/>
                <w:color w:val="000000"/>
                <w:sz w:val="28"/>
                <w:szCs w:val="28"/>
                <w:lang w:eastAsia="zh-CN"/>
              </w:rPr>
            </w:pPr>
            <w:r w:rsidRPr="00596948">
              <w:rPr>
                <w:rFonts w:eastAsia="SimSun"/>
                <w:color w:val="000000"/>
                <w:sz w:val="28"/>
                <w:szCs w:val="28"/>
                <w:lang w:eastAsia="zh-CN"/>
              </w:rPr>
              <w:t>74%</w:t>
            </w:r>
          </w:p>
        </w:tc>
      </w:tr>
      <w:tr w:rsidR="00596948" w:rsidRPr="00596948" w:rsidTr="00596948">
        <w:trPr>
          <w:trHeight w:val="225"/>
          <w:jc w:val="center"/>
        </w:trPr>
        <w:tc>
          <w:tcPr>
            <w:tcW w:w="2470"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rsidR="00596948" w:rsidRPr="00596948" w:rsidRDefault="00596948" w:rsidP="00B033FC">
            <w:pPr>
              <w:rPr>
                <w:rFonts w:eastAsia="SimSun"/>
                <w:b/>
                <w:bCs/>
                <w:color w:val="000000"/>
                <w:sz w:val="28"/>
                <w:szCs w:val="28"/>
                <w:lang w:eastAsia="zh-CN"/>
              </w:rPr>
            </w:pPr>
            <w:r w:rsidRPr="00596948">
              <w:rPr>
                <w:rFonts w:eastAsia="SimSun"/>
                <w:b/>
                <w:bCs/>
                <w:color w:val="000000"/>
                <w:sz w:val="28"/>
                <w:szCs w:val="28"/>
                <w:lang w:eastAsia="zh-CN"/>
              </w:rPr>
              <w:t xml:space="preserve"> </w:t>
            </w:r>
            <w:r w:rsidRPr="00596948">
              <w:rPr>
                <w:rFonts w:eastAsia="SimSun"/>
                <w:b/>
                <w:bCs/>
                <w:color w:val="000000"/>
                <w:sz w:val="28"/>
                <w:szCs w:val="28"/>
                <w:rtl/>
                <w:lang w:eastAsia="zh-CN"/>
              </w:rPr>
              <w:t>المجموع</w:t>
            </w:r>
            <w:r w:rsidRPr="00596948">
              <w:rPr>
                <w:rFonts w:eastAsia="SimSun"/>
                <w:b/>
                <w:bCs/>
                <w:color w:val="000000"/>
                <w:sz w:val="28"/>
                <w:szCs w:val="28"/>
                <w:lang w:eastAsia="zh-CN"/>
              </w:rPr>
              <w:t xml:space="preserve"> </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596948" w:rsidP="00B033FC">
            <w:pPr>
              <w:rPr>
                <w:rFonts w:eastAsia="SimSun"/>
                <w:b/>
                <w:bCs/>
                <w:color w:val="000000"/>
                <w:sz w:val="28"/>
                <w:szCs w:val="28"/>
                <w:lang w:eastAsia="zh-CN"/>
              </w:rPr>
            </w:pPr>
            <w:r w:rsidRPr="00596948">
              <w:rPr>
                <w:rFonts w:eastAsia="SimSun"/>
                <w:b/>
                <w:bCs/>
                <w:color w:val="000000"/>
                <w:sz w:val="28"/>
                <w:szCs w:val="28"/>
                <w:lang w:eastAsia="zh-CN"/>
              </w:rPr>
              <w:t xml:space="preserve">5,358 </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596948" w:rsidP="00B033FC">
            <w:pPr>
              <w:rPr>
                <w:rFonts w:eastAsia="SimSun"/>
                <w:b/>
                <w:bCs/>
                <w:color w:val="000000"/>
                <w:sz w:val="28"/>
                <w:szCs w:val="28"/>
                <w:lang w:eastAsia="zh-CN"/>
              </w:rPr>
            </w:pPr>
            <w:r w:rsidRPr="00596948">
              <w:rPr>
                <w:rFonts w:eastAsia="SimSun"/>
                <w:b/>
                <w:bCs/>
                <w:color w:val="000000"/>
                <w:sz w:val="28"/>
                <w:szCs w:val="28"/>
                <w:lang w:eastAsia="zh-CN"/>
              </w:rPr>
              <w:t>5,163</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596948" w:rsidP="00B033FC">
            <w:pPr>
              <w:rPr>
                <w:rFonts w:eastAsia="SimSun"/>
                <w:b/>
                <w:bCs/>
                <w:color w:val="000000"/>
                <w:sz w:val="28"/>
                <w:szCs w:val="28"/>
                <w:lang w:eastAsia="zh-CN"/>
              </w:rPr>
            </w:pPr>
            <w:r w:rsidRPr="00596948">
              <w:rPr>
                <w:rFonts w:eastAsia="SimSun"/>
                <w:b/>
                <w:bCs/>
                <w:color w:val="000000"/>
                <w:sz w:val="28"/>
                <w:szCs w:val="28"/>
                <w:lang w:eastAsia="zh-CN"/>
              </w:rPr>
              <w:t xml:space="preserve">4,781 </w:t>
            </w:r>
          </w:p>
        </w:tc>
        <w:tc>
          <w:tcPr>
            <w:tcW w:w="1438"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596948" w:rsidRPr="00596948" w:rsidRDefault="00596948" w:rsidP="00B033FC">
            <w:pPr>
              <w:rPr>
                <w:rFonts w:eastAsia="SimSun"/>
                <w:b/>
                <w:bCs/>
                <w:color w:val="000000"/>
                <w:sz w:val="28"/>
                <w:szCs w:val="28"/>
                <w:lang w:eastAsia="zh-CN"/>
              </w:rPr>
            </w:pPr>
            <w:r w:rsidRPr="00596948">
              <w:rPr>
                <w:rFonts w:eastAsia="SimSun"/>
                <w:b/>
                <w:bCs/>
                <w:color w:val="000000"/>
                <w:sz w:val="28"/>
                <w:szCs w:val="28"/>
                <w:lang w:eastAsia="zh-CN"/>
              </w:rPr>
              <w:t>93%</w:t>
            </w:r>
          </w:p>
        </w:tc>
      </w:tr>
    </w:tbl>
    <w:p w:rsidR="009D1848" w:rsidRPr="00596948" w:rsidRDefault="009D1848" w:rsidP="00EE1C17">
      <w:pPr>
        <w:pStyle w:val="ONUMA"/>
        <w:numPr>
          <w:ilvl w:val="0"/>
          <w:numId w:val="15"/>
        </w:numPr>
        <w:rPr>
          <w:rtl/>
          <w:lang w:bidi="ar-EG"/>
        </w:rPr>
      </w:pPr>
      <w:r w:rsidRPr="00596948">
        <w:rPr>
          <w:rtl/>
          <w:lang w:bidi="ar-EG"/>
        </w:rPr>
        <w:t>واستكملت إجراءات تعيين مدير قسم التقييم، وتولى المدير منصبه في 1 سبتمبر 2017.</w:t>
      </w:r>
    </w:p>
    <w:p w:rsidR="009D1848" w:rsidRPr="000A5CB4" w:rsidRDefault="009D1848" w:rsidP="00EE1C17">
      <w:pPr>
        <w:pStyle w:val="ONUMA"/>
        <w:numPr>
          <w:ilvl w:val="0"/>
          <w:numId w:val="15"/>
        </w:numPr>
        <w:rPr>
          <w:rtl/>
          <w:lang w:bidi="ar-EG"/>
        </w:rPr>
      </w:pPr>
      <w:r w:rsidRPr="000A5CB4">
        <w:rPr>
          <w:rtl/>
          <w:lang w:bidi="ar-EG"/>
        </w:rPr>
        <w:t>و</w:t>
      </w:r>
      <w:r w:rsidR="00B824E4" w:rsidRPr="000A5CB4">
        <w:rPr>
          <w:rtl/>
          <w:lang w:bidi="ar-EG"/>
        </w:rPr>
        <w:t>ما تزال تجر</w:t>
      </w:r>
      <w:r w:rsidR="00B824E4" w:rsidRPr="000A5CB4">
        <w:rPr>
          <w:rFonts w:hint="cs"/>
          <w:rtl/>
          <w:lang w:bidi="ar-EG"/>
        </w:rPr>
        <w:t>ى</w:t>
      </w:r>
      <w:r w:rsidRPr="000A5CB4">
        <w:rPr>
          <w:rtl/>
          <w:lang w:bidi="ar-EG"/>
        </w:rPr>
        <w:t xml:space="preserve"> عملية تعيين مدير قسم التدقيق الداخلي في مستوى </w:t>
      </w:r>
      <w:r w:rsidRPr="000A5CB4">
        <w:rPr>
          <w:lang w:bidi="ar-EG"/>
        </w:rPr>
        <w:t>P5</w:t>
      </w:r>
      <w:r w:rsidRPr="000A5CB4">
        <w:rPr>
          <w:rtl/>
          <w:lang w:bidi="ar-EG"/>
        </w:rPr>
        <w:t>.</w:t>
      </w:r>
    </w:p>
    <w:p w:rsidR="009D1848" w:rsidRPr="000A5CB4" w:rsidRDefault="009D1848" w:rsidP="00EE1C17">
      <w:pPr>
        <w:pStyle w:val="ONUMA"/>
        <w:numPr>
          <w:ilvl w:val="0"/>
          <w:numId w:val="15"/>
        </w:numPr>
        <w:rPr>
          <w:rtl/>
          <w:lang w:bidi="ar-EG"/>
        </w:rPr>
      </w:pPr>
      <w:r w:rsidRPr="000A5CB4">
        <w:rPr>
          <w:rtl/>
          <w:lang w:bidi="ar-EG"/>
        </w:rPr>
        <w:t xml:space="preserve">واستكملت عملية اختيار محقق مؤقت في مستوى </w:t>
      </w:r>
      <w:r w:rsidRPr="000A5CB4">
        <w:rPr>
          <w:lang w:bidi="ar-EG"/>
        </w:rPr>
        <w:t>P3</w:t>
      </w:r>
      <w:r w:rsidRPr="000A5CB4">
        <w:rPr>
          <w:rtl/>
          <w:lang w:bidi="ar-EG"/>
        </w:rPr>
        <w:t xml:space="preserve"> وسينضم المرشح الناجح إلى الشعبة في 1 أبريل 2018.</w:t>
      </w:r>
    </w:p>
    <w:p w:rsidR="009D1848" w:rsidRDefault="009D1848" w:rsidP="00C000B5">
      <w:pPr>
        <w:pStyle w:val="ONUMA"/>
        <w:numPr>
          <w:ilvl w:val="0"/>
          <w:numId w:val="15"/>
        </w:numPr>
        <w:rPr>
          <w:rtl/>
          <w:lang w:bidi="ar-EG"/>
        </w:rPr>
      </w:pPr>
      <w:r w:rsidRPr="000A5CB4">
        <w:rPr>
          <w:rtl/>
          <w:lang w:bidi="ar-EG"/>
        </w:rPr>
        <w:t>وت</w:t>
      </w:r>
      <w:r>
        <w:rPr>
          <w:rtl/>
          <w:lang w:bidi="ar-EG"/>
        </w:rPr>
        <w:t xml:space="preserve">جري عملية التعيين لمنصب محقق أقدم في مستوى </w:t>
      </w:r>
      <w:r>
        <w:rPr>
          <w:lang w:bidi="ar-EG"/>
        </w:rPr>
        <w:t>P4</w:t>
      </w:r>
      <w:r>
        <w:rPr>
          <w:rtl/>
          <w:lang w:bidi="ar-EG"/>
        </w:rPr>
        <w:t>.</w:t>
      </w:r>
    </w:p>
    <w:p w:rsidR="009D1848" w:rsidRDefault="009D1848" w:rsidP="00EE1C17">
      <w:pPr>
        <w:pStyle w:val="ONUMA"/>
        <w:numPr>
          <w:ilvl w:val="0"/>
          <w:numId w:val="15"/>
        </w:numPr>
        <w:rPr>
          <w:rtl/>
          <w:lang w:bidi="ar-EG"/>
        </w:rPr>
      </w:pPr>
      <w:r>
        <w:rPr>
          <w:rtl/>
          <w:lang w:bidi="ar-EG"/>
        </w:rPr>
        <w:t xml:space="preserve">وماتزال في المراحل الأولى عملية تعيين مسؤول تقييم مؤقت في مستوى </w:t>
      </w:r>
      <w:r>
        <w:rPr>
          <w:lang w:bidi="ar-EG"/>
        </w:rPr>
        <w:t>P3</w:t>
      </w:r>
      <w:r>
        <w:rPr>
          <w:rtl/>
          <w:lang w:bidi="ar-EG"/>
        </w:rPr>
        <w:t xml:space="preserve"> ليحل محل شاغل الوظيفة السابق الذي سينتهي عقده في مايو 2018.</w:t>
      </w:r>
    </w:p>
    <w:p w:rsidR="009D1848" w:rsidRPr="000A5CB4" w:rsidRDefault="009D1848" w:rsidP="009D1848">
      <w:pPr>
        <w:pStyle w:val="BodyText"/>
        <w:rPr>
          <w:sz w:val="40"/>
          <w:szCs w:val="40"/>
          <w:rtl/>
        </w:rPr>
      </w:pPr>
      <w:r w:rsidRPr="000A5CB4">
        <w:rPr>
          <w:sz w:val="40"/>
          <w:szCs w:val="40"/>
          <w:rtl/>
        </w:rPr>
        <w:t>التدريب</w:t>
      </w:r>
    </w:p>
    <w:p w:rsidR="009D1848" w:rsidRDefault="009D1848" w:rsidP="00EE1C17">
      <w:pPr>
        <w:pStyle w:val="ONUMA"/>
        <w:numPr>
          <w:ilvl w:val="0"/>
          <w:numId w:val="15"/>
        </w:numPr>
        <w:rPr>
          <w:rtl/>
          <w:lang w:bidi="ar-EG"/>
        </w:rPr>
      </w:pPr>
      <w:r>
        <w:rPr>
          <w:rtl/>
          <w:lang w:bidi="ar-EG"/>
        </w:rPr>
        <w:t>نظرا إلى أهمية التقدم المهني المستمر للموظفين ووفقا لسياسة التدريب في الويبو، حضر موظفو شعبة الرقابة الداخلية أنشطة تدريب مختلفة لاكتساب معارف ومهارات تقنية وكفاءات جديدة لزيادة الفعالية والكفاءة التشغيلية للشعبة عند الاضطلاع بمهام رقابية.</w:t>
      </w:r>
    </w:p>
    <w:p w:rsidR="009D1848" w:rsidRDefault="009D1848" w:rsidP="00EE1C17">
      <w:pPr>
        <w:pStyle w:val="ONUMA"/>
        <w:numPr>
          <w:ilvl w:val="0"/>
          <w:numId w:val="15"/>
        </w:numPr>
      </w:pPr>
      <w:r>
        <w:rPr>
          <w:rtl/>
          <w:lang w:bidi="ar-EG"/>
        </w:rPr>
        <w:t xml:space="preserve">وفي المتوسط، حضر كل من موظفي الشعبة 10 أيام من التدريب شملت المجالات التالية: مكافحة الغش واكتشافه، وتقنيات البحث التحقيقي، وتحليل البيانات، وتطبيق تصور البيانات في جداول، وحيازة المعلومات الرقمية، والأمن </w:t>
      </w:r>
      <w:r>
        <w:rPr>
          <w:rtl/>
          <w:lang w:bidi="ar-EG"/>
        </w:rPr>
        <w:lastRenderedPageBreak/>
        <w:t>الإلكتروني، وإدارة النزاعات، وتقييم العلم وسياسات الابتكار، وإدارة الأفراد، وتقييم جودة التدقيق الداخلي، والشراء في مجال التدقيق، والعقود والاستعانة بجهات خارجية.</w:t>
      </w:r>
    </w:p>
    <w:p w:rsidR="000A5CB4" w:rsidRDefault="0013757D" w:rsidP="0013757D">
      <w:pPr>
        <w:pStyle w:val="Endofdocument-Annex"/>
        <w:rPr>
          <w:rtl/>
        </w:rPr>
      </w:pPr>
      <w:r>
        <w:rPr>
          <w:rFonts w:hint="cs"/>
          <w:rtl/>
          <w:lang w:bidi="ar-EG"/>
        </w:rPr>
        <w:t>[يلي ذلك المرفق</w:t>
      </w:r>
      <w:r w:rsidR="000A5CB4">
        <w:rPr>
          <w:rFonts w:hint="cs"/>
          <w:rtl/>
          <w:lang w:bidi="ar-EG"/>
        </w:rPr>
        <w:t>]</w:t>
      </w:r>
    </w:p>
    <w:p w:rsidR="004C5358" w:rsidRDefault="004C5358" w:rsidP="009D1848">
      <w:pPr>
        <w:pStyle w:val="BodyText"/>
        <w:rPr>
          <w:rtl/>
        </w:rPr>
        <w:sectPr w:rsidR="004C5358" w:rsidSect="00227B24">
          <w:headerReference w:type="first" r:id="rId18"/>
          <w:pgSz w:w="11907" w:h="16840" w:code="9"/>
          <w:pgMar w:top="567" w:right="1418" w:bottom="1418" w:left="1134" w:header="510" w:footer="1021" w:gutter="0"/>
          <w:pgNumType w:start="2"/>
          <w:cols w:space="720"/>
          <w:titlePg/>
          <w:docGrid w:linePitch="299"/>
        </w:sectPr>
      </w:pPr>
    </w:p>
    <w:p w:rsidR="009D1848" w:rsidRPr="00816E10" w:rsidRDefault="009D1848" w:rsidP="004C5358">
      <w:pPr>
        <w:pStyle w:val="BodyText"/>
        <w:jc w:val="center"/>
        <w:rPr>
          <w:b/>
          <w:bCs/>
          <w:sz w:val="40"/>
          <w:szCs w:val="40"/>
          <w:rtl/>
        </w:rPr>
      </w:pPr>
      <w:r w:rsidRPr="00816E10">
        <w:rPr>
          <w:b/>
          <w:bCs/>
          <w:sz w:val="40"/>
          <w:szCs w:val="40"/>
          <w:rtl/>
        </w:rPr>
        <w:lastRenderedPageBreak/>
        <w:t>قائمة تقارير شعبة الرقابة الداخلية</w:t>
      </w:r>
    </w:p>
    <w:p w:rsidR="009D1848" w:rsidRPr="00816E10" w:rsidRDefault="009D1848" w:rsidP="004C5358">
      <w:pPr>
        <w:pStyle w:val="BodyText"/>
        <w:jc w:val="center"/>
        <w:rPr>
          <w:b/>
          <w:bCs/>
          <w:sz w:val="40"/>
          <w:szCs w:val="40"/>
          <w:rtl/>
        </w:rPr>
      </w:pPr>
      <w:r w:rsidRPr="00816E10">
        <w:rPr>
          <w:b/>
          <w:bCs/>
          <w:sz w:val="40"/>
          <w:szCs w:val="40"/>
          <w:rtl/>
        </w:rPr>
        <w:t>من 1 يوليو 2017 إلى 30 يونيو 2018</w:t>
      </w:r>
    </w:p>
    <w:p w:rsidR="004C5358" w:rsidRDefault="004C5358" w:rsidP="004C5358">
      <w:pPr>
        <w:pStyle w:val="BodyText"/>
        <w:jc w:val="center"/>
        <w:rPr>
          <w:b/>
          <w:bCs/>
          <w:rtl/>
        </w:rPr>
      </w:pPr>
    </w:p>
    <w:tbl>
      <w:tblPr>
        <w:tblStyle w:val="TableGrid"/>
        <w:bidiVisual/>
        <w:tblW w:w="0" w:type="auto"/>
        <w:tblLook w:val="04A0" w:firstRow="1" w:lastRow="0" w:firstColumn="1" w:lastColumn="0" w:noHBand="0" w:noVBand="1"/>
      </w:tblPr>
      <w:tblGrid>
        <w:gridCol w:w="7336"/>
        <w:gridCol w:w="2235"/>
      </w:tblGrid>
      <w:tr w:rsidR="004C5358" w:rsidTr="00816E10">
        <w:tc>
          <w:tcPr>
            <w:tcW w:w="7336" w:type="dxa"/>
          </w:tcPr>
          <w:p w:rsidR="004C5358" w:rsidRDefault="004C5358" w:rsidP="004C5358">
            <w:pPr>
              <w:pStyle w:val="BodyText"/>
              <w:rPr>
                <w:rtl/>
              </w:rPr>
            </w:pPr>
            <w:r w:rsidRPr="004C5358">
              <w:rPr>
                <w:rtl/>
                <w:lang w:bidi="ar-SA"/>
              </w:rPr>
              <w:t>التدقيق في إدارة المناسبات التي تنظمها/تستضيفها الويبو لأطراف ثالثة</w:t>
            </w:r>
          </w:p>
        </w:tc>
        <w:tc>
          <w:tcPr>
            <w:tcW w:w="2235" w:type="dxa"/>
          </w:tcPr>
          <w:p w:rsidR="004C5358" w:rsidRDefault="004C5358" w:rsidP="004C5358">
            <w:pPr>
              <w:pStyle w:val="BodyText"/>
              <w:jc w:val="center"/>
              <w:rPr>
                <w:rtl/>
              </w:rPr>
            </w:pPr>
            <w:r w:rsidRPr="004C5358">
              <w:t>IA2017-02</w:t>
            </w:r>
          </w:p>
        </w:tc>
      </w:tr>
      <w:tr w:rsidR="004C5358" w:rsidTr="00816E10">
        <w:tc>
          <w:tcPr>
            <w:tcW w:w="7336" w:type="dxa"/>
          </w:tcPr>
          <w:p w:rsidR="004C5358" w:rsidRPr="004C5358" w:rsidRDefault="004C5358" w:rsidP="004C5358">
            <w:pPr>
              <w:pStyle w:val="BodyText"/>
              <w:rPr>
                <w:rtl/>
                <w:lang w:bidi="ar-SA"/>
              </w:rPr>
            </w:pPr>
            <w:r w:rsidRPr="004C5358">
              <w:rPr>
                <w:rtl/>
                <w:lang w:bidi="ar-SA"/>
              </w:rPr>
              <w:t>التدقيق في إدارة أصول البرامج الحاسوبية</w:t>
            </w:r>
          </w:p>
        </w:tc>
        <w:tc>
          <w:tcPr>
            <w:tcW w:w="2235" w:type="dxa"/>
          </w:tcPr>
          <w:p w:rsidR="004C5358" w:rsidRDefault="004C5358" w:rsidP="004C5358">
            <w:pPr>
              <w:pStyle w:val="BodyText"/>
              <w:jc w:val="center"/>
              <w:rPr>
                <w:rtl/>
              </w:rPr>
            </w:pPr>
            <w:r w:rsidRPr="004C5358">
              <w:t>IA 2017-03</w:t>
            </w:r>
          </w:p>
        </w:tc>
      </w:tr>
      <w:tr w:rsidR="004C5358" w:rsidTr="00816E10">
        <w:tc>
          <w:tcPr>
            <w:tcW w:w="7336" w:type="dxa"/>
          </w:tcPr>
          <w:p w:rsidR="004C5358" w:rsidRPr="004C5358" w:rsidRDefault="004C5358" w:rsidP="004C5358">
            <w:pPr>
              <w:pStyle w:val="BodyText"/>
              <w:rPr>
                <w:rtl/>
                <w:lang w:bidi="ar-SA"/>
              </w:rPr>
            </w:pPr>
            <w:r w:rsidRPr="004C5358">
              <w:rPr>
                <w:rtl/>
                <w:lang w:bidi="ar-SA"/>
              </w:rPr>
              <w:t>التدقيق في التوظيف</w:t>
            </w:r>
          </w:p>
        </w:tc>
        <w:tc>
          <w:tcPr>
            <w:tcW w:w="2235" w:type="dxa"/>
          </w:tcPr>
          <w:p w:rsidR="004C5358" w:rsidRDefault="004C5358" w:rsidP="004C5358">
            <w:pPr>
              <w:pStyle w:val="BodyText"/>
              <w:jc w:val="center"/>
              <w:rPr>
                <w:rtl/>
              </w:rPr>
            </w:pPr>
            <w:r w:rsidRPr="004C5358">
              <w:t>IA2017-04</w:t>
            </w:r>
          </w:p>
        </w:tc>
      </w:tr>
      <w:tr w:rsidR="004C5358" w:rsidTr="00816E10">
        <w:tc>
          <w:tcPr>
            <w:tcW w:w="7336" w:type="dxa"/>
          </w:tcPr>
          <w:p w:rsidR="004C5358" w:rsidRPr="004C5358" w:rsidRDefault="004C5358" w:rsidP="004C5358">
            <w:pPr>
              <w:pStyle w:val="BodyText"/>
              <w:rPr>
                <w:rtl/>
                <w:lang w:bidi="ar-SA"/>
              </w:rPr>
            </w:pPr>
            <w:r w:rsidRPr="004C5358">
              <w:rPr>
                <w:rtl/>
                <w:lang w:bidi="ar-SA"/>
              </w:rPr>
              <w:t>التدقيق في إدارة السفر</w:t>
            </w:r>
          </w:p>
        </w:tc>
        <w:tc>
          <w:tcPr>
            <w:tcW w:w="2235" w:type="dxa"/>
          </w:tcPr>
          <w:p w:rsidR="004C5358" w:rsidRDefault="004C5358" w:rsidP="004C5358">
            <w:pPr>
              <w:pStyle w:val="BodyText"/>
              <w:jc w:val="center"/>
              <w:rPr>
                <w:rtl/>
              </w:rPr>
            </w:pPr>
            <w:r w:rsidRPr="004C5358">
              <w:t>IA2018-01</w:t>
            </w:r>
          </w:p>
        </w:tc>
      </w:tr>
      <w:tr w:rsidR="004C5358" w:rsidTr="00816E10">
        <w:tc>
          <w:tcPr>
            <w:tcW w:w="7336" w:type="dxa"/>
          </w:tcPr>
          <w:p w:rsidR="004C5358" w:rsidRPr="004C5358" w:rsidRDefault="004C5358" w:rsidP="004C5358">
            <w:pPr>
              <w:pStyle w:val="BodyText"/>
              <w:rPr>
                <w:rtl/>
                <w:lang w:bidi="ar-SA"/>
              </w:rPr>
            </w:pPr>
            <w:r w:rsidRPr="004C5358">
              <w:rPr>
                <w:rtl/>
                <w:lang w:bidi="ar-SA"/>
              </w:rPr>
              <w:t>التدقيق في شعبة اللغات</w:t>
            </w:r>
          </w:p>
        </w:tc>
        <w:tc>
          <w:tcPr>
            <w:tcW w:w="2235" w:type="dxa"/>
          </w:tcPr>
          <w:p w:rsidR="004C5358" w:rsidRDefault="004C5358" w:rsidP="004C5358">
            <w:pPr>
              <w:pStyle w:val="BodyText"/>
              <w:jc w:val="center"/>
              <w:rPr>
                <w:rtl/>
              </w:rPr>
            </w:pPr>
            <w:r w:rsidRPr="004C5358">
              <w:t>IA2018-02</w:t>
            </w:r>
          </w:p>
        </w:tc>
      </w:tr>
      <w:tr w:rsidR="004C5358" w:rsidTr="00816E10">
        <w:tc>
          <w:tcPr>
            <w:tcW w:w="7336" w:type="dxa"/>
          </w:tcPr>
          <w:p w:rsidR="004C5358" w:rsidRPr="004C5358" w:rsidRDefault="004C5358" w:rsidP="004C5358">
            <w:pPr>
              <w:pStyle w:val="BodyText"/>
              <w:rPr>
                <w:rtl/>
                <w:lang w:bidi="ar-SA"/>
              </w:rPr>
            </w:pPr>
            <w:r w:rsidRPr="004C5358">
              <w:rPr>
                <w:rtl/>
                <w:lang w:bidi="ar-SA"/>
              </w:rPr>
              <w:t>مذكرات التدقيق المستمر</w:t>
            </w:r>
          </w:p>
        </w:tc>
        <w:tc>
          <w:tcPr>
            <w:tcW w:w="2235" w:type="dxa"/>
          </w:tcPr>
          <w:p w:rsidR="004C5358" w:rsidRDefault="004C5358" w:rsidP="004C5358">
            <w:pPr>
              <w:pStyle w:val="BodyText"/>
              <w:jc w:val="center"/>
              <w:rPr>
                <w:rtl/>
              </w:rPr>
            </w:pPr>
            <w:r w:rsidRPr="004C5358">
              <w:t>CA2017-02</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تقييم أنشطة الاتصالات المؤسسية في اليوم وإسهاماتها في العلامة التجارية للويبو وسمعتها</w:t>
            </w:r>
          </w:p>
        </w:tc>
        <w:tc>
          <w:tcPr>
            <w:tcW w:w="2235" w:type="dxa"/>
          </w:tcPr>
          <w:p w:rsidR="004C5358" w:rsidRDefault="004C5358" w:rsidP="004C5358">
            <w:pPr>
              <w:pStyle w:val="BodyText"/>
              <w:jc w:val="center"/>
              <w:rPr>
                <w:rtl/>
              </w:rPr>
            </w:pPr>
            <w:r w:rsidRPr="004C5358">
              <w:t>EVAL17-01</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تقييم المكتب الإقليمي لأمريكا اللاتينية ومنطقة البحر الكاريبي</w:t>
            </w:r>
          </w:p>
        </w:tc>
        <w:tc>
          <w:tcPr>
            <w:tcW w:w="2235" w:type="dxa"/>
          </w:tcPr>
          <w:p w:rsidR="004C5358" w:rsidRDefault="004C5358" w:rsidP="004C5358">
            <w:pPr>
              <w:pStyle w:val="BodyText"/>
              <w:jc w:val="center"/>
              <w:rPr>
                <w:rtl/>
              </w:rPr>
            </w:pPr>
            <w:r w:rsidRPr="004C5358">
              <w:t>EVAL17-04</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تقييم البرنامج 18: الملكية الفكرية والتحديات العالمية</w:t>
            </w:r>
          </w:p>
        </w:tc>
        <w:tc>
          <w:tcPr>
            <w:tcW w:w="2235" w:type="dxa"/>
          </w:tcPr>
          <w:p w:rsidR="004C5358" w:rsidRDefault="004C5358" w:rsidP="004C5358">
            <w:pPr>
              <w:pStyle w:val="BodyText"/>
              <w:jc w:val="center"/>
              <w:rPr>
                <w:rtl/>
              </w:rPr>
            </w:pPr>
            <w:r w:rsidRPr="004C5358">
              <w:t>EVAL17-03</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تقييم تنمية الكفاءات والمهارات في مجال الملكية الفكرية</w:t>
            </w:r>
          </w:p>
        </w:tc>
        <w:tc>
          <w:tcPr>
            <w:tcW w:w="2235" w:type="dxa"/>
          </w:tcPr>
          <w:p w:rsidR="004C5358" w:rsidRPr="004C5358" w:rsidRDefault="004C5358" w:rsidP="004C5358">
            <w:pPr>
              <w:pStyle w:val="BodyText"/>
              <w:jc w:val="center"/>
            </w:pPr>
            <w:r w:rsidRPr="004C5358">
              <w:t>EVAL17-05</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تقرير التثبيت لشعبة الرقابة الداخلية بشأن تقرير أداء البرنامج للثنائية</w:t>
            </w:r>
            <w:r>
              <w:rPr>
                <w:rFonts w:hint="cs"/>
                <w:rtl/>
                <w:lang w:bidi="ar-SA"/>
              </w:rPr>
              <w:t xml:space="preserve"> </w:t>
            </w:r>
            <w:r w:rsidRPr="004C5358">
              <w:rPr>
                <w:rtl/>
                <w:lang w:bidi="ar-SA"/>
              </w:rPr>
              <w:t>2016/17</w:t>
            </w:r>
          </w:p>
        </w:tc>
        <w:tc>
          <w:tcPr>
            <w:tcW w:w="2235" w:type="dxa"/>
          </w:tcPr>
          <w:p w:rsidR="004C5358" w:rsidRPr="004C5358" w:rsidRDefault="004C5358" w:rsidP="004C5358">
            <w:pPr>
              <w:pStyle w:val="BodyText"/>
              <w:jc w:val="center"/>
            </w:pPr>
            <w:r w:rsidRPr="004C5358">
              <w:t>VALID 2018-01</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تقرير عن التورط الإداري في قواعد المرور في أماكن توقيف السيارات</w:t>
            </w:r>
          </w:p>
        </w:tc>
        <w:tc>
          <w:tcPr>
            <w:tcW w:w="2235" w:type="dxa"/>
          </w:tcPr>
          <w:p w:rsidR="004C5358" w:rsidRPr="004C5358" w:rsidRDefault="004C5358" w:rsidP="004C5358">
            <w:pPr>
              <w:pStyle w:val="BodyText"/>
              <w:jc w:val="center"/>
            </w:pPr>
            <w:r w:rsidRPr="004C5358">
              <w:t>MIR2017-11</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تقرير عن التورط الإداري في إتاحة أماكن توقيف السيارات للموظفين واستخدامها</w:t>
            </w:r>
          </w:p>
        </w:tc>
        <w:tc>
          <w:tcPr>
            <w:tcW w:w="2235" w:type="dxa"/>
          </w:tcPr>
          <w:p w:rsidR="004C5358" w:rsidRPr="004C5358" w:rsidRDefault="004C5358" w:rsidP="004C5358">
            <w:pPr>
              <w:pStyle w:val="BodyText"/>
              <w:jc w:val="center"/>
            </w:pPr>
            <w:r w:rsidRPr="004C5358">
              <w:t>MIR2018-01</w:t>
            </w:r>
          </w:p>
        </w:tc>
      </w:tr>
      <w:tr w:rsidR="004C5358" w:rsidTr="00816E10">
        <w:tc>
          <w:tcPr>
            <w:tcW w:w="7336" w:type="dxa"/>
          </w:tcPr>
          <w:p w:rsidR="004C5358" w:rsidRPr="004C5358" w:rsidRDefault="004C5358" w:rsidP="004C5358">
            <w:pPr>
              <w:pStyle w:val="BodyText"/>
              <w:rPr>
                <w:rtl/>
                <w:lang w:bidi="ar-SA"/>
              </w:rPr>
            </w:pPr>
            <w:r w:rsidRPr="004C5358">
              <w:rPr>
                <w:rtl/>
                <w:lang w:bidi="ar-SA"/>
              </w:rPr>
              <w:t>تقرير عن التورط الإداري في طلبات الشراء</w:t>
            </w:r>
          </w:p>
        </w:tc>
        <w:tc>
          <w:tcPr>
            <w:tcW w:w="2235" w:type="dxa"/>
          </w:tcPr>
          <w:p w:rsidR="004C5358" w:rsidRPr="004C5358" w:rsidRDefault="00816E10" w:rsidP="00816E10">
            <w:pPr>
              <w:pStyle w:val="BodyText"/>
              <w:jc w:val="center"/>
            </w:pPr>
            <w:r w:rsidRPr="00816E10">
              <w:t>MIR2017-35</w:t>
            </w:r>
          </w:p>
        </w:tc>
      </w:tr>
    </w:tbl>
    <w:p w:rsidR="00816E10" w:rsidRDefault="00816E10" w:rsidP="006D420A">
      <w:pPr>
        <w:pStyle w:val="Endofdocument-Annex"/>
        <w:rPr>
          <w:rtl/>
        </w:rPr>
      </w:pPr>
    </w:p>
    <w:p w:rsidR="00E3612C" w:rsidRPr="00FD6D15" w:rsidRDefault="009D1848" w:rsidP="0013757D">
      <w:pPr>
        <w:pStyle w:val="Endofdocument-Annex"/>
        <w:rPr>
          <w:rtl/>
        </w:rPr>
      </w:pPr>
      <w:r>
        <w:rPr>
          <w:rtl/>
        </w:rPr>
        <w:t>[نهاية المرفق والوثيقة]</w:t>
      </w:r>
    </w:p>
    <w:sectPr w:rsidR="00E3612C" w:rsidRPr="00FD6D15" w:rsidSect="00227B24">
      <w:headerReference w:type="first" r:id="rId19"/>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C9" w:rsidRDefault="00DA61C9">
      <w:r>
        <w:separator/>
      </w:r>
    </w:p>
  </w:endnote>
  <w:endnote w:type="continuationSeparator" w:id="0">
    <w:p w:rsidR="00DA61C9" w:rsidRDefault="00DA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C9" w:rsidRDefault="00DA61C9" w:rsidP="009622BF">
      <w:bookmarkStart w:id="0" w:name="OLE_LINK1"/>
      <w:bookmarkStart w:id="1" w:name="OLE_LINK2"/>
      <w:r>
        <w:separator/>
      </w:r>
      <w:bookmarkEnd w:id="0"/>
      <w:bookmarkEnd w:id="1"/>
    </w:p>
  </w:footnote>
  <w:footnote w:type="continuationSeparator" w:id="0">
    <w:p w:rsidR="00DA61C9" w:rsidRDefault="00DA61C9" w:rsidP="009622BF">
      <w:r>
        <w:separator/>
      </w:r>
    </w:p>
  </w:footnote>
  <w:footnote w:id="1">
    <w:p w:rsidR="00DA61C9" w:rsidRDefault="00DA61C9" w:rsidP="00F470B6">
      <w:pPr>
        <w:pStyle w:val="FootnoteText"/>
        <w:ind w:left="283" w:hanging="284"/>
      </w:pPr>
      <w:r>
        <w:rPr>
          <w:rStyle w:val="FootnoteReference"/>
        </w:rPr>
        <w:footnoteRef/>
      </w:r>
      <w:r>
        <w:rPr>
          <w:rFonts w:hint="cs"/>
          <w:rtl/>
        </w:rPr>
        <w:tab/>
        <w:t>انظر الفقرتين 44 و45 من ميثاق الرقابة الداخلية.</w:t>
      </w:r>
    </w:p>
  </w:footnote>
  <w:footnote w:id="2">
    <w:p w:rsidR="00DA61C9" w:rsidRDefault="00DA61C9" w:rsidP="00BB4C4A">
      <w:pPr>
        <w:pStyle w:val="FootnoteText"/>
        <w:tabs>
          <w:tab w:val="left" w:pos="283"/>
        </w:tabs>
        <w:ind w:hanging="1"/>
      </w:pPr>
      <w:r>
        <w:rPr>
          <w:rStyle w:val="FootnoteReference"/>
        </w:rPr>
        <w:footnoteRef/>
      </w:r>
      <w:r>
        <w:rPr>
          <w:rFonts w:hint="cs"/>
          <w:rtl/>
        </w:rPr>
        <w:tab/>
        <w:t>ترد قائمة التقارير في المرفق الأول.</w:t>
      </w:r>
    </w:p>
  </w:footnote>
  <w:footnote w:id="3">
    <w:p w:rsidR="00DA61C9" w:rsidRDefault="00DA61C9" w:rsidP="00BB4C4A">
      <w:pPr>
        <w:pStyle w:val="FootnoteText"/>
        <w:tabs>
          <w:tab w:val="left" w:pos="283"/>
        </w:tabs>
      </w:pPr>
      <w:r>
        <w:rPr>
          <w:rStyle w:val="FootnoteReference"/>
        </w:rPr>
        <w:footnoteRef/>
      </w:r>
      <w:r>
        <w:rPr>
          <w:rFonts w:hint="cs"/>
          <w:rtl/>
        </w:rPr>
        <w:tab/>
        <w:t>نظام</w:t>
      </w:r>
      <w:r>
        <w:rPr>
          <w:lang w:eastAsia="zh-CN"/>
        </w:rPr>
        <w:t>TeamCentral©</w:t>
      </w:r>
      <w:r>
        <w:rPr>
          <w:rFonts w:hint="cs"/>
          <w:rtl/>
          <w:lang w:eastAsia="zh-CN"/>
        </w:rPr>
        <w:t xml:space="preserve"> </w:t>
      </w:r>
      <w:r>
        <w:rPr>
          <w:rFonts w:hint="cs"/>
          <w:rtl/>
        </w:rPr>
        <w:t xml:space="preserve">هو أحد وحدات نظام </w:t>
      </w:r>
      <w:r>
        <w:t>TeamMate</w:t>
      </w:r>
      <w:r>
        <w:rPr>
          <w:rFonts w:hint="cs"/>
          <w:rtl/>
        </w:rPr>
        <w:t xml:space="preserve"> وهو برمجية مخصصة لمهام التدقيق تضم وحدات مختلفة مثل وثائق عمل إلكترونية ومتابعة التوصيات وتقييم المخاطر وتحديد الجدول الزمني.</w:t>
      </w:r>
    </w:p>
  </w:footnote>
  <w:footnote w:id="4">
    <w:p w:rsidR="00DA61C9" w:rsidRDefault="00DA61C9" w:rsidP="00CD73D7">
      <w:pPr>
        <w:pStyle w:val="FootnoteText"/>
        <w:rPr>
          <w:rtl/>
        </w:rPr>
      </w:pPr>
      <w:r w:rsidRPr="00B13437">
        <w:rPr>
          <w:rStyle w:val="FootnoteReference"/>
        </w:rPr>
        <w:footnoteRef/>
      </w:r>
      <w:r>
        <w:rPr>
          <w:rtl/>
        </w:rPr>
        <w:t xml:space="preserve"> </w:t>
      </w:r>
      <w:r>
        <w:rPr>
          <w:rFonts w:hint="cs"/>
          <w:rtl/>
        </w:rPr>
        <w:t>التدقيق الداخلي 2012-2</w:t>
      </w:r>
    </w:p>
  </w:footnote>
  <w:footnote w:id="5">
    <w:p w:rsidR="00DA61C9" w:rsidRDefault="00DA61C9" w:rsidP="00CD73D7">
      <w:pPr>
        <w:pStyle w:val="FootnoteText"/>
      </w:pPr>
      <w:r>
        <w:rPr>
          <w:rStyle w:val="FootnoteReference"/>
        </w:rPr>
        <w:footnoteRef/>
      </w:r>
      <w:r>
        <w:rPr>
          <w:rtl/>
        </w:rPr>
        <w:t xml:space="preserve"> </w:t>
      </w:r>
      <w:r>
        <w:rPr>
          <w:rFonts w:hint="cs"/>
          <w:rtl/>
        </w:rPr>
        <w:t>الفقرات 18 و19 و21 و22 و23 من ميثاق الرقابة الداخلية.</w:t>
      </w:r>
    </w:p>
  </w:footnote>
  <w:footnote w:id="6">
    <w:p w:rsidR="00DA61C9" w:rsidRDefault="00DA61C9" w:rsidP="00CD73D7">
      <w:pPr>
        <w:pStyle w:val="FootnoteText"/>
        <w:rPr>
          <w:rtl/>
        </w:rPr>
      </w:pPr>
      <w:r>
        <w:rPr>
          <w:rStyle w:val="FootnoteReference"/>
        </w:rPr>
        <w:footnoteRef/>
      </w:r>
      <w:r>
        <w:rPr>
          <w:rtl/>
        </w:rPr>
        <w:t xml:space="preserve"> </w:t>
      </w:r>
      <w:r>
        <w:rPr>
          <w:rFonts w:hint="cs"/>
          <w:rtl/>
        </w:rPr>
        <w:t>الفقرة 42 من ميثاق الرقابة الداخلية.</w:t>
      </w:r>
    </w:p>
  </w:footnote>
  <w:footnote w:id="7">
    <w:p w:rsidR="00DA61C9" w:rsidRDefault="00DA61C9" w:rsidP="00CD73D7">
      <w:pPr>
        <w:pStyle w:val="FootnoteText"/>
        <w:rPr>
          <w:rtl/>
        </w:rPr>
      </w:pPr>
      <w:r>
        <w:rPr>
          <w:rStyle w:val="FootnoteReference"/>
        </w:rPr>
        <w:footnoteRef/>
      </w:r>
      <w:r>
        <w:rPr>
          <w:rtl/>
        </w:rPr>
        <w:t xml:space="preserve"> </w:t>
      </w:r>
      <w:r w:rsidRPr="00093F86">
        <w:rPr>
          <w:rtl/>
        </w:rPr>
        <w:t>الفقرة 7 من التعميم الإداري 16/2010</w:t>
      </w:r>
      <w:r>
        <w:rPr>
          <w:rFonts w:hint="cs"/>
          <w:rtl/>
        </w:rPr>
        <w:t xml:space="preserve"> </w:t>
      </w:r>
    </w:p>
  </w:footnote>
  <w:footnote w:id="8">
    <w:p w:rsidR="00DA61C9" w:rsidRDefault="00DA61C9" w:rsidP="00CD73D7">
      <w:pPr>
        <w:pStyle w:val="FootnoteText"/>
        <w:rPr>
          <w:rtl/>
        </w:rPr>
      </w:pPr>
      <w:r>
        <w:rPr>
          <w:rStyle w:val="FootnoteReference"/>
        </w:rPr>
        <w:footnoteRef/>
      </w:r>
      <w:r>
        <w:rPr>
          <w:rtl/>
        </w:rPr>
        <w:t xml:space="preserve"> </w:t>
      </w:r>
      <w:r w:rsidRPr="00093F86">
        <w:rPr>
          <w:rtl/>
        </w:rPr>
        <w:t>الفقرة 8 من التعميم الإداري 16/2010</w:t>
      </w:r>
    </w:p>
  </w:footnote>
  <w:footnote w:id="9">
    <w:p w:rsidR="00DA61C9" w:rsidRPr="00CB4237" w:rsidRDefault="00DA61C9" w:rsidP="00694100">
      <w:pPr>
        <w:pStyle w:val="FootnoteText"/>
      </w:pPr>
      <w:r>
        <w:rPr>
          <w:rStyle w:val="FootnoteReference"/>
        </w:rPr>
        <w:footnoteRef/>
      </w:r>
      <w:r>
        <w:rPr>
          <w:rtl/>
        </w:rPr>
        <w:t xml:space="preserve"> </w:t>
      </w:r>
      <w:r w:rsidRPr="00CB4237">
        <w:rPr>
          <w:b/>
          <w:bCs/>
          <w:rtl/>
        </w:rPr>
        <w:t>البرنامج 1</w:t>
      </w:r>
      <w:r w:rsidRPr="00CB4237">
        <w:rPr>
          <w:rtl/>
        </w:rPr>
        <w:t xml:space="preserve"> قانون البراءات، و</w:t>
      </w:r>
      <w:r w:rsidRPr="00CB4237">
        <w:rPr>
          <w:b/>
          <w:bCs/>
          <w:rtl/>
        </w:rPr>
        <w:t xml:space="preserve">البرنامج </w:t>
      </w:r>
      <w:r w:rsidRPr="00CB4237">
        <w:rPr>
          <w:rFonts w:hint="cs"/>
          <w:b/>
          <w:bCs/>
          <w:rtl/>
        </w:rPr>
        <w:t>2</w:t>
      </w:r>
      <w:r w:rsidRPr="00CB4237">
        <w:rPr>
          <w:rtl/>
        </w:rPr>
        <w:t xml:space="preserve"> </w:t>
      </w:r>
      <w:r w:rsidR="00CB4237" w:rsidRPr="00CB4237">
        <w:rPr>
          <w:rtl/>
        </w:rPr>
        <w:t>العلامات التجارية والتصاميم الصناعية والمؤشرات الجغرافية</w:t>
      </w:r>
      <w:r w:rsidRPr="00CB4237">
        <w:rPr>
          <w:rtl/>
        </w:rPr>
        <w:t>، و</w:t>
      </w:r>
      <w:r w:rsidRPr="00CB4237">
        <w:rPr>
          <w:b/>
          <w:bCs/>
          <w:rtl/>
        </w:rPr>
        <w:t xml:space="preserve">البرنامج </w:t>
      </w:r>
      <w:r w:rsidRPr="00CB4237">
        <w:rPr>
          <w:rFonts w:hint="cs"/>
          <w:b/>
          <w:bCs/>
          <w:rtl/>
        </w:rPr>
        <w:t>3</w:t>
      </w:r>
      <w:r w:rsidRPr="00CB4237">
        <w:rPr>
          <w:rtl/>
        </w:rPr>
        <w:t xml:space="preserve"> </w:t>
      </w:r>
      <w:r w:rsidR="00CB4237" w:rsidRPr="00CB4237">
        <w:rPr>
          <w:rtl/>
        </w:rPr>
        <w:t>حق المؤلف والحقوق المجاورة</w:t>
      </w:r>
      <w:r w:rsidRPr="00CB4237">
        <w:rPr>
          <w:rtl/>
        </w:rPr>
        <w:t>،</w:t>
      </w:r>
      <w:r w:rsidRPr="00CB4237">
        <w:rPr>
          <w:rFonts w:hint="cs"/>
          <w:rtl/>
        </w:rPr>
        <w:t xml:space="preserve"> و</w:t>
      </w:r>
      <w:r w:rsidRPr="00CB4237">
        <w:rPr>
          <w:rFonts w:hint="cs"/>
          <w:b/>
          <w:bCs/>
          <w:rtl/>
        </w:rPr>
        <w:t>البرنامج</w:t>
      </w:r>
      <w:r w:rsidRPr="00CB4237">
        <w:rPr>
          <w:rFonts w:hint="cs"/>
          <w:rtl/>
        </w:rPr>
        <w:t xml:space="preserve"> 4 </w:t>
      </w:r>
      <w:r w:rsidR="00CB4237" w:rsidRPr="00CB4237">
        <w:rPr>
          <w:rtl/>
        </w:rPr>
        <w:t>المعارف التقليدية وأشكال التعبير الثقافي التقليدي والموارد الوراثية</w:t>
      </w:r>
      <w:r w:rsidR="00CB4237" w:rsidRPr="00CB4237">
        <w:rPr>
          <w:rFonts w:hint="cs"/>
          <w:rtl/>
        </w:rPr>
        <w:t>،</w:t>
      </w:r>
      <w:r w:rsidRPr="00CB4237">
        <w:rPr>
          <w:rFonts w:hint="cs"/>
          <w:rtl/>
        </w:rPr>
        <w:t xml:space="preserve"> و</w:t>
      </w:r>
      <w:r w:rsidRPr="00CB4237">
        <w:rPr>
          <w:rFonts w:hint="cs"/>
          <w:b/>
          <w:bCs/>
          <w:rtl/>
        </w:rPr>
        <w:t>البرنامج 5</w:t>
      </w:r>
      <w:r w:rsidRPr="00CB4237">
        <w:rPr>
          <w:rFonts w:hint="cs"/>
          <w:rtl/>
        </w:rPr>
        <w:t xml:space="preserve"> </w:t>
      </w:r>
      <w:r w:rsidR="00CB4237" w:rsidRPr="00CB4237">
        <w:rPr>
          <w:rtl/>
        </w:rPr>
        <w:t>نظام معاهدة التعاون بشأن البراءات</w:t>
      </w:r>
      <w:r w:rsidR="00CB4237" w:rsidRPr="00CB4237">
        <w:rPr>
          <w:rFonts w:hint="cs"/>
          <w:rtl/>
        </w:rPr>
        <w:t>،</w:t>
      </w:r>
      <w:r w:rsidRPr="00CB4237">
        <w:rPr>
          <w:rtl/>
        </w:rPr>
        <w:t xml:space="preserve"> و</w:t>
      </w:r>
      <w:r w:rsidRPr="00CB4237">
        <w:rPr>
          <w:b/>
          <w:bCs/>
          <w:rtl/>
        </w:rPr>
        <w:t>البرنامج 6</w:t>
      </w:r>
      <w:r w:rsidR="00CB4237" w:rsidRPr="00CB4237">
        <w:rPr>
          <w:rtl/>
        </w:rPr>
        <w:t xml:space="preserve"> نظام</w:t>
      </w:r>
      <w:r w:rsidRPr="00CB4237">
        <w:rPr>
          <w:rtl/>
        </w:rPr>
        <w:t xml:space="preserve"> مدريد، و</w:t>
      </w:r>
      <w:r w:rsidRPr="00CB4237">
        <w:rPr>
          <w:b/>
          <w:bCs/>
          <w:rtl/>
        </w:rPr>
        <w:t>البرنامج 7</w:t>
      </w:r>
      <w:r w:rsidRPr="00CB4237">
        <w:rPr>
          <w:rtl/>
        </w:rPr>
        <w:t xml:space="preserve"> مركز الويبو للتحكيم والوساطة، و</w:t>
      </w:r>
      <w:r w:rsidRPr="00CB4237">
        <w:rPr>
          <w:rFonts w:hint="cs"/>
          <w:b/>
          <w:bCs/>
          <w:rtl/>
        </w:rPr>
        <w:t xml:space="preserve">البرنامج 8 </w:t>
      </w:r>
      <w:r w:rsidR="00CB4237" w:rsidRPr="00CB4237">
        <w:rPr>
          <w:rtl/>
        </w:rPr>
        <w:t>تنسيق أجندة التنمية</w:t>
      </w:r>
      <w:r w:rsidRPr="00CB4237">
        <w:rPr>
          <w:rFonts w:hint="cs"/>
          <w:rtl/>
        </w:rPr>
        <w:t>، و</w:t>
      </w:r>
      <w:r w:rsidRPr="00CB4237">
        <w:rPr>
          <w:b/>
          <w:bCs/>
          <w:rtl/>
        </w:rPr>
        <w:t>البرنامج 9</w:t>
      </w:r>
      <w:r w:rsidRPr="00CB4237">
        <w:rPr>
          <w:rtl/>
        </w:rPr>
        <w:t xml:space="preserve"> </w:t>
      </w:r>
      <w:r w:rsidR="00CB4237" w:rsidRPr="00CB4237">
        <w:rPr>
          <w:rtl/>
        </w:rPr>
        <w:t>أفريقيا والبلدان العربية وبلدان آسيا والمحيط الهادئ وأمريكا اللاتينية والكاريبي والبلدان الأقل نموا</w:t>
      </w:r>
      <w:r w:rsidRPr="00CB4237">
        <w:rPr>
          <w:rtl/>
        </w:rPr>
        <w:t>، و</w:t>
      </w:r>
      <w:r w:rsidRPr="00CB4237">
        <w:rPr>
          <w:b/>
          <w:bCs/>
          <w:rtl/>
        </w:rPr>
        <w:t>البرنامج</w:t>
      </w:r>
      <w:r w:rsidRPr="00CB4237">
        <w:rPr>
          <w:rFonts w:hint="cs"/>
          <w:b/>
          <w:bCs/>
          <w:rtl/>
        </w:rPr>
        <w:t>10</w:t>
      </w:r>
      <w:r w:rsidR="00694100">
        <w:rPr>
          <w:rFonts w:hint="cs"/>
          <w:b/>
          <w:bCs/>
          <w:rtl/>
        </w:rPr>
        <w:t xml:space="preserve"> </w:t>
      </w:r>
      <w:r w:rsidR="00CB4237" w:rsidRPr="00CB4237">
        <w:rPr>
          <w:rtl/>
        </w:rPr>
        <w:t>البلدان المتحولة والبلدان المتقدمة</w:t>
      </w:r>
      <w:r w:rsidRPr="00CB4237">
        <w:rPr>
          <w:rFonts w:hint="cs"/>
          <w:rtl/>
        </w:rPr>
        <w:t xml:space="preserve">، </w:t>
      </w:r>
      <w:r w:rsidRPr="00CB4237">
        <w:rPr>
          <w:rFonts w:hint="cs"/>
          <w:b/>
          <w:bCs/>
          <w:rtl/>
        </w:rPr>
        <w:t>والبرنامج</w:t>
      </w:r>
      <w:r w:rsidRPr="00CB4237">
        <w:rPr>
          <w:rtl/>
        </w:rPr>
        <w:t xml:space="preserve"> 11 أكاديمية الويبو، و</w:t>
      </w:r>
      <w:r w:rsidRPr="00CB4237">
        <w:rPr>
          <w:b/>
          <w:bCs/>
          <w:rtl/>
        </w:rPr>
        <w:t>البرنامج</w:t>
      </w:r>
      <w:r w:rsidRPr="00CB4237">
        <w:rPr>
          <w:rFonts w:hint="cs"/>
          <w:b/>
          <w:bCs/>
          <w:rtl/>
        </w:rPr>
        <w:t xml:space="preserve"> 12</w:t>
      </w:r>
      <w:r w:rsidR="00694100">
        <w:rPr>
          <w:rFonts w:hint="cs"/>
          <w:b/>
          <w:bCs/>
          <w:rtl/>
        </w:rPr>
        <w:t xml:space="preserve"> </w:t>
      </w:r>
      <w:r w:rsidR="00CB4237" w:rsidRPr="00CB4237">
        <w:rPr>
          <w:rtl/>
        </w:rPr>
        <w:t>التصنيفات والمعايير الدولية</w:t>
      </w:r>
      <w:r w:rsidRPr="00CB4237">
        <w:rPr>
          <w:rFonts w:hint="cs"/>
          <w:rtl/>
        </w:rPr>
        <w:t>، و</w:t>
      </w:r>
      <w:r w:rsidRPr="00CB4237">
        <w:rPr>
          <w:rFonts w:hint="cs"/>
          <w:b/>
          <w:bCs/>
          <w:rtl/>
        </w:rPr>
        <w:t xml:space="preserve">البرنامج </w:t>
      </w:r>
      <w:r w:rsidRPr="00CB4237">
        <w:rPr>
          <w:b/>
          <w:bCs/>
          <w:rtl/>
        </w:rPr>
        <w:t>13</w:t>
      </w:r>
      <w:r w:rsidRPr="00CB4237">
        <w:rPr>
          <w:rtl/>
        </w:rPr>
        <w:t xml:space="preserve"> قواعد البيانات العالمية، </w:t>
      </w:r>
      <w:r w:rsidRPr="00CB4237">
        <w:rPr>
          <w:rFonts w:hint="cs"/>
          <w:rtl/>
        </w:rPr>
        <w:t>و</w:t>
      </w:r>
      <w:r w:rsidRPr="00CB4237">
        <w:rPr>
          <w:rFonts w:hint="cs"/>
          <w:b/>
          <w:bCs/>
          <w:rtl/>
        </w:rPr>
        <w:t>البرنامج 14</w:t>
      </w:r>
      <w:r w:rsidRPr="00CB4237">
        <w:rPr>
          <w:rFonts w:hint="cs"/>
          <w:rtl/>
        </w:rPr>
        <w:t xml:space="preserve"> </w:t>
      </w:r>
      <w:r w:rsidR="00CB4237" w:rsidRPr="00CB4237">
        <w:rPr>
          <w:rtl/>
        </w:rPr>
        <w:t>خدمات النفاذ إلى المعلومات والمعرفة</w:t>
      </w:r>
      <w:r w:rsidRPr="00CB4237">
        <w:rPr>
          <w:rFonts w:hint="cs"/>
          <w:rtl/>
        </w:rPr>
        <w:t xml:space="preserve">، </w:t>
      </w:r>
      <w:r w:rsidRPr="00CB4237">
        <w:rPr>
          <w:b/>
          <w:bCs/>
          <w:rtl/>
        </w:rPr>
        <w:t xml:space="preserve">والبرنامج 15 </w:t>
      </w:r>
      <w:r w:rsidRPr="00CB4237">
        <w:rPr>
          <w:rtl/>
        </w:rPr>
        <w:t>حلول لأعمال مكاتب الملكية الفكرية،</w:t>
      </w:r>
      <w:r w:rsidRPr="00CB4237">
        <w:rPr>
          <w:b/>
          <w:bCs/>
          <w:rtl/>
        </w:rPr>
        <w:t xml:space="preserve"> و</w:t>
      </w:r>
      <w:r w:rsidR="00CB4237" w:rsidRPr="00CB4237">
        <w:rPr>
          <w:rFonts w:hint="cs"/>
          <w:b/>
          <w:bCs/>
          <w:rtl/>
        </w:rPr>
        <w:t>البرنامج 16</w:t>
      </w:r>
      <w:r w:rsidRPr="00CB4237">
        <w:rPr>
          <w:rFonts w:hint="cs"/>
          <w:b/>
          <w:bCs/>
          <w:rtl/>
        </w:rPr>
        <w:t xml:space="preserve"> </w:t>
      </w:r>
      <w:r w:rsidR="00CB4237" w:rsidRPr="00CB4237">
        <w:rPr>
          <w:rtl/>
        </w:rPr>
        <w:t>الاقتصاد والإحصاء</w:t>
      </w:r>
      <w:r w:rsidRPr="00CB4237">
        <w:rPr>
          <w:rFonts w:hint="cs"/>
          <w:b/>
          <w:bCs/>
          <w:rtl/>
        </w:rPr>
        <w:t xml:space="preserve">، والبرنامج 17 </w:t>
      </w:r>
      <w:r w:rsidR="00CB4237" w:rsidRPr="00CB4237">
        <w:rPr>
          <w:rtl/>
        </w:rPr>
        <w:t>إذكاء الاحترام للملكية الفكرية</w:t>
      </w:r>
      <w:r w:rsidRPr="00CB4237">
        <w:rPr>
          <w:rFonts w:hint="cs"/>
          <w:b/>
          <w:bCs/>
          <w:rtl/>
        </w:rPr>
        <w:t>، والبرنامج 18</w:t>
      </w:r>
      <w:r w:rsidR="00CB4237" w:rsidRPr="00CB4237">
        <w:rPr>
          <w:rFonts w:hint="cs"/>
          <w:b/>
          <w:bCs/>
          <w:rtl/>
        </w:rPr>
        <w:t xml:space="preserve"> </w:t>
      </w:r>
      <w:r w:rsidR="00CB4237" w:rsidRPr="00CB4237">
        <w:rPr>
          <w:rtl/>
        </w:rPr>
        <w:t>الملكية الفكرية والتحديات العالمية</w:t>
      </w:r>
      <w:r w:rsidRPr="00CB4237">
        <w:rPr>
          <w:rFonts w:hint="cs"/>
          <w:b/>
          <w:bCs/>
          <w:rtl/>
        </w:rPr>
        <w:t>، و</w:t>
      </w:r>
      <w:r w:rsidRPr="00CB4237">
        <w:rPr>
          <w:b/>
          <w:bCs/>
          <w:rtl/>
        </w:rPr>
        <w:t>البرنامج 19</w:t>
      </w:r>
      <w:r w:rsidRPr="00CB4237">
        <w:rPr>
          <w:rtl/>
        </w:rPr>
        <w:t xml:space="preserve"> التواصل، </w:t>
      </w:r>
      <w:r w:rsidRPr="00CB4237">
        <w:rPr>
          <w:rFonts w:hint="cs"/>
          <w:rtl/>
        </w:rPr>
        <w:t>و</w:t>
      </w:r>
      <w:r w:rsidRPr="00CB4237">
        <w:rPr>
          <w:rFonts w:hint="cs"/>
          <w:b/>
          <w:bCs/>
          <w:rtl/>
        </w:rPr>
        <w:t>البرنامج 20</w:t>
      </w:r>
      <w:r w:rsidR="00CB4237" w:rsidRPr="00CB4237">
        <w:rPr>
          <w:rFonts w:hint="cs"/>
          <w:b/>
          <w:bCs/>
          <w:rtl/>
        </w:rPr>
        <w:t xml:space="preserve"> </w:t>
      </w:r>
      <w:r w:rsidR="00CB4237" w:rsidRPr="00CB4237">
        <w:rPr>
          <w:rtl/>
        </w:rPr>
        <w:t>العلاقات الخارجية والشراكات والمكاتب الخارجية</w:t>
      </w:r>
      <w:r w:rsidRPr="00CB4237">
        <w:rPr>
          <w:rFonts w:hint="cs"/>
          <w:rtl/>
        </w:rPr>
        <w:t xml:space="preserve">، </w:t>
      </w:r>
      <w:r w:rsidRPr="00CB4237">
        <w:rPr>
          <w:b/>
          <w:bCs/>
          <w:rtl/>
        </w:rPr>
        <w:t>والبرنامج 21</w:t>
      </w:r>
      <w:r w:rsidRPr="00CB4237">
        <w:rPr>
          <w:rtl/>
        </w:rPr>
        <w:t xml:space="preserve"> الإدارة التنفيذية، </w:t>
      </w:r>
      <w:r w:rsidRPr="00CB4237">
        <w:rPr>
          <w:b/>
          <w:bCs/>
          <w:rtl/>
        </w:rPr>
        <w:t>والبرنامج 22</w:t>
      </w:r>
      <w:r w:rsidRPr="00CB4237">
        <w:rPr>
          <w:rtl/>
        </w:rPr>
        <w:t xml:space="preserve"> إدارة البرامج والموارد،</w:t>
      </w:r>
      <w:r w:rsidRPr="00CB4237">
        <w:rPr>
          <w:b/>
          <w:bCs/>
          <w:rtl/>
        </w:rPr>
        <w:t xml:space="preserve"> والبرنامج 23</w:t>
      </w:r>
      <w:r w:rsidRPr="00CB4237">
        <w:rPr>
          <w:rtl/>
        </w:rPr>
        <w:t xml:space="preserve"> إدارة الموارد البشرية، و</w:t>
      </w:r>
      <w:r w:rsidRPr="00CB4237">
        <w:rPr>
          <w:b/>
          <w:bCs/>
          <w:rtl/>
        </w:rPr>
        <w:t>البرنامج 24</w:t>
      </w:r>
      <w:r w:rsidRPr="00CB4237">
        <w:rPr>
          <w:rtl/>
        </w:rPr>
        <w:t xml:space="preserve"> خدمات الدعم العامة، و</w:t>
      </w:r>
      <w:r w:rsidRPr="00CB4237">
        <w:rPr>
          <w:b/>
          <w:bCs/>
          <w:rtl/>
        </w:rPr>
        <w:t>البرنامج 25</w:t>
      </w:r>
      <w:r w:rsidRPr="00CB4237">
        <w:rPr>
          <w:rtl/>
        </w:rPr>
        <w:t xml:space="preserve"> تكنولوجيا المعلومات والاتصالات، </w:t>
      </w:r>
      <w:r w:rsidRPr="00CB4237">
        <w:rPr>
          <w:rFonts w:hint="cs"/>
          <w:b/>
          <w:bCs/>
          <w:rtl/>
        </w:rPr>
        <w:t>والبرنامج 26</w:t>
      </w:r>
      <w:r w:rsidRPr="00CB4237">
        <w:rPr>
          <w:rFonts w:hint="cs"/>
          <w:rtl/>
        </w:rPr>
        <w:t xml:space="preserve"> </w:t>
      </w:r>
      <w:r w:rsidR="00CB4237" w:rsidRPr="00CB4237">
        <w:rPr>
          <w:rtl/>
        </w:rPr>
        <w:t>الرقابة الداخلية</w:t>
      </w:r>
      <w:r w:rsidRPr="00CB4237">
        <w:rPr>
          <w:rFonts w:hint="cs"/>
          <w:rtl/>
        </w:rPr>
        <w:t xml:space="preserve">، </w:t>
      </w:r>
      <w:r w:rsidRPr="00CB4237">
        <w:rPr>
          <w:rtl/>
        </w:rPr>
        <w:t>و</w:t>
      </w:r>
      <w:r w:rsidRPr="00CB4237">
        <w:rPr>
          <w:b/>
          <w:bCs/>
          <w:rtl/>
        </w:rPr>
        <w:t>البرنامج 27</w:t>
      </w:r>
      <w:r w:rsidRPr="00CB4237">
        <w:rPr>
          <w:rtl/>
        </w:rPr>
        <w:t xml:space="preserve"> خدمات المؤتمرات واللغات، و</w:t>
      </w:r>
      <w:r w:rsidRPr="00CB4237">
        <w:rPr>
          <w:b/>
          <w:bCs/>
          <w:rtl/>
        </w:rPr>
        <w:t>البرنامج 28</w:t>
      </w:r>
      <w:r w:rsidRPr="00CB4237">
        <w:rPr>
          <w:rtl/>
        </w:rPr>
        <w:t xml:space="preserve"> تأمين المعلومات والسلامة والأمن، و</w:t>
      </w:r>
      <w:r w:rsidRPr="00CB4237">
        <w:rPr>
          <w:b/>
          <w:bCs/>
          <w:rtl/>
        </w:rPr>
        <w:t>البرنامج 30</w:t>
      </w:r>
      <w:r w:rsidRPr="00CB4237">
        <w:rPr>
          <w:rtl/>
        </w:rPr>
        <w:t xml:space="preserve"> الشركات الصغيرة والمتوسطة ودعم المقاولة، و</w:t>
      </w:r>
      <w:r w:rsidRPr="00CB4237">
        <w:rPr>
          <w:b/>
          <w:bCs/>
          <w:rtl/>
        </w:rPr>
        <w:t xml:space="preserve">البرنامج 31 </w:t>
      </w:r>
      <w:r w:rsidRPr="00CB4237">
        <w:rPr>
          <w:rtl/>
        </w:rPr>
        <w:t>نظام لاهاي</w:t>
      </w:r>
      <w:r w:rsidRPr="00CB4237">
        <w:rPr>
          <w:rFonts w:hint="cs"/>
          <w:rtl/>
        </w:rPr>
        <w:t xml:space="preserve">؛ </w:t>
      </w:r>
      <w:r w:rsidRPr="00CB4237">
        <w:rPr>
          <w:rFonts w:hint="cs"/>
          <w:b/>
          <w:bCs/>
          <w:rtl/>
        </w:rPr>
        <w:t>والبرنامج 32</w:t>
      </w:r>
      <w:r w:rsidRPr="00CB4237">
        <w:rPr>
          <w:rFonts w:hint="cs"/>
          <w:rtl/>
        </w:rPr>
        <w:t>: نظام لشبونة.</w:t>
      </w:r>
    </w:p>
  </w:footnote>
  <w:footnote w:id="10">
    <w:p w:rsidR="00DA61C9" w:rsidRDefault="00DA61C9" w:rsidP="002A2AA6">
      <w:pPr>
        <w:pStyle w:val="FootnoteText"/>
      </w:pPr>
      <w:r>
        <w:rPr>
          <w:rStyle w:val="FootnoteReference"/>
        </w:rPr>
        <w:footnoteRef/>
      </w:r>
      <w:r>
        <w:rPr>
          <w:rtl/>
        </w:rPr>
        <w:t xml:space="preserve"> </w:t>
      </w:r>
      <w:r w:rsidRPr="002A4720">
        <w:rPr>
          <w:rtl/>
        </w:rPr>
        <w:t>الفقرة 26(ز) من ميثاق الرقابة الداخلية</w:t>
      </w:r>
      <w:r>
        <w:rPr>
          <w:rFonts w:hint="cs"/>
          <w:rtl/>
        </w:rPr>
        <w:t xml:space="preserve">. </w:t>
      </w:r>
    </w:p>
  </w:footnote>
  <w:footnote w:id="11">
    <w:p w:rsidR="00DA61C9" w:rsidRDefault="00DA61C9" w:rsidP="002A2AA6">
      <w:pPr>
        <w:pStyle w:val="FootnoteText"/>
        <w:rPr>
          <w:rtl/>
        </w:rPr>
      </w:pPr>
      <w:r>
        <w:rPr>
          <w:rStyle w:val="FootnoteReference"/>
        </w:rPr>
        <w:footnoteRef/>
      </w:r>
      <w:r>
        <w:rPr>
          <w:rtl/>
        </w:rPr>
        <w:t xml:space="preserve"> </w:t>
      </w:r>
      <w:r w:rsidRPr="00FE01BF">
        <w:rPr>
          <w:rtl/>
        </w:rPr>
        <w:t>الفقرة 45(ط) من ميثاق الرقابة الداخلية</w:t>
      </w:r>
      <w:r>
        <w:rPr>
          <w:rFonts w:hint="cs"/>
          <w:rtl/>
        </w:rPr>
        <w:t>.</w:t>
      </w:r>
    </w:p>
  </w:footnote>
  <w:footnote w:id="12">
    <w:p w:rsidR="00DA61C9" w:rsidRDefault="00DA61C9" w:rsidP="002A2AA6">
      <w:pPr>
        <w:pStyle w:val="FootnoteText"/>
        <w:rPr>
          <w:rtl/>
        </w:rPr>
      </w:pPr>
      <w:r>
        <w:rPr>
          <w:rStyle w:val="FootnoteReference"/>
        </w:rPr>
        <w:footnoteRef/>
      </w:r>
      <w:r>
        <w:rPr>
          <w:rtl/>
        </w:rPr>
        <w:t xml:space="preserve"> </w:t>
      </w:r>
      <w:r>
        <w:rPr>
          <w:rFonts w:hint="cs"/>
          <w:rtl/>
        </w:rPr>
        <w:t>تستند هذه النسبة إلى الميزانية بعد تحويل مبالغ الشعبة.</w:t>
      </w:r>
    </w:p>
  </w:footnote>
  <w:footnote w:id="13">
    <w:p w:rsidR="00DA61C9" w:rsidRDefault="00DA61C9" w:rsidP="002A2AA6">
      <w:pPr>
        <w:pStyle w:val="FootnoteText"/>
      </w:pPr>
      <w:r>
        <w:rPr>
          <w:rStyle w:val="FootnoteReference"/>
        </w:rPr>
        <w:footnoteRef/>
      </w:r>
      <w:r>
        <w:rPr>
          <w:rFonts w:hint="cs"/>
          <w:rtl/>
        </w:rPr>
        <w:t xml:space="preserve"> ترد المبالغ بآلاف الفرنكات السويسرية.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C9" w:rsidRDefault="00DA61C9" w:rsidP="0023693F">
    <w:pPr>
      <w:bidi w:val="0"/>
      <w:rPr>
        <w:rFonts w:ascii="Arial" w:hAnsi="Arial" w:cs="Arial"/>
        <w:sz w:val="22"/>
        <w:szCs w:val="22"/>
      </w:rPr>
    </w:pPr>
    <w:bookmarkStart w:id="5" w:name="Code3"/>
    <w:bookmarkEnd w:id="5"/>
    <w:r>
      <w:rPr>
        <w:rFonts w:ascii="Arial" w:hAnsi="Arial" w:cs="Arial"/>
        <w:sz w:val="22"/>
        <w:szCs w:val="22"/>
      </w:rPr>
      <w:t>WO/GA/50/2</w:t>
    </w:r>
  </w:p>
  <w:p w:rsidR="00DA61C9" w:rsidRPr="00C50A61" w:rsidRDefault="00DA61C9" w:rsidP="0023693F">
    <w:pPr>
      <w:bidi w:val="0"/>
      <w:rPr>
        <w:rFonts w:ascii="Arial" w:hAnsi="Arial" w:cs="Arial"/>
        <w:sz w:val="22"/>
        <w:szCs w:val="22"/>
      </w:rPr>
    </w:pPr>
  </w:p>
  <w:p w:rsidR="00DA61C9" w:rsidRDefault="00DA61C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C9" w:rsidRDefault="00DA61C9" w:rsidP="00A6284D">
    <w:pPr>
      <w:bidi w:val="0"/>
      <w:rPr>
        <w:rFonts w:ascii="Arial" w:hAnsi="Arial" w:cs="Arial"/>
        <w:sz w:val="22"/>
        <w:szCs w:val="22"/>
      </w:rPr>
    </w:pPr>
    <w:r>
      <w:rPr>
        <w:rFonts w:ascii="Arial" w:hAnsi="Arial" w:cs="Arial"/>
        <w:sz w:val="22"/>
        <w:szCs w:val="22"/>
      </w:rPr>
      <w:t>WO/PBC/28/5</w:t>
    </w:r>
  </w:p>
  <w:p w:rsidR="00DA61C9" w:rsidRPr="00C50A61" w:rsidRDefault="00DA61C9" w:rsidP="0023693F">
    <w:pPr>
      <w:bidi w:val="0"/>
      <w:rPr>
        <w:rFonts w:ascii="Arial" w:hAnsi="Arial" w:cs="Arial"/>
        <w:sz w:val="22"/>
        <w:szCs w:val="22"/>
      </w:rPr>
    </w:pPr>
    <w:r w:rsidRPr="00A6284D">
      <w:rPr>
        <w:rFonts w:ascii="Arial" w:hAnsi="Arial" w:cs="Arial"/>
        <w:sz w:val="22"/>
        <w:szCs w:val="22"/>
      </w:rPr>
      <w:fldChar w:fldCharType="begin"/>
    </w:r>
    <w:r w:rsidRPr="00A6284D">
      <w:rPr>
        <w:rFonts w:ascii="Arial" w:hAnsi="Arial" w:cs="Arial"/>
        <w:sz w:val="22"/>
        <w:szCs w:val="22"/>
      </w:rPr>
      <w:instrText xml:space="preserve"> PAGE   \* MERGEFORMAT </w:instrText>
    </w:r>
    <w:r w:rsidRPr="00A6284D">
      <w:rPr>
        <w:rFonts w:ascii="Arial" w:hAnsi="Arial" w:cs="Arial"/>
        <w:sz w:val="22"/>
        <w:szCs w:val="22"/>
      </w:rPr>
      <w:fldChar w:fldCharType="separate"/>
    </w:r>
    <w:r w:rsidR="00411B31">
      <w:rPr>
        <w:rFonts w:ascii="Arial" w:hAnsi="Arial" w:cs="Arial"/>
        <w:noProof/>
        <w:sz w:val="22"/>
        <w:szCs w:val="22"/>
      </w:rPr>
      <w:t>20</w:t>
    </w:r>
    <w:r w:rsidRPr="00A6284D">
      <w:rPr>
        <w:rFonts w:ascii="Arial" w:hAnsi="Arial" w:cs="Arial"/>
        <w:noProof/>
        <w:sz w:val="22"/>
        <w:szCs w:val="22"/>
      </w:rPr>
      <w:fldChar w:fldCharType="end"/>
    </w:r>
  </w:p>
  <w:p w:rsidR="00DA61C9" w:rsidRDefault="00DA61C9" w:rsidP="009B5EF5">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C9" w:rsidRDefault="00DA6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C9" w:rsidRPr="00227B24" w:rsidRDefault="00DA61C9" w:rsidP="008E5FD8">
    <w:pPr>
      <w:pStyle w:val="Header"/>
      <w:jc w:val="right"/>
      <w:rPr>
        <w:rFonts w:asciiTheme="minorBidi" w:hAnsiTheme="minorBidi" w:cstheme="minorBidi"/>
        <w:sz w:val="22"/>
        <w:szCs w:val="22"/>
      </w:rPr>
    </w:pPr>
    <w:r w:rsidRPr="00227B24">
      <w:rPr>
        <w:rFonts w:asciiTheme="minorBidi" w:hAnsiTheme="minorBidi" w:cstheme="minorBidi"/>
        <w:sz w:val="22"/>
        <w:szCs w:val="22"/>
      </w:rPr>
      <w:t>WO/PBC/28/5</w:t>
    </w:r>
  </w:p>
  <w:p w:rsidR="00DA61C9" w:rsidRPr="00E44757" w:rsidRDefault="00DA61C9" w:rsidP="008E5FD8">
    <w:pPr>
      <w:pStyle w:val="Header"/>
      <w:jc w:val="right"/>
      <w:rPr>
        <w:rFonts w:asciiTheme="minorBidi" w:hAnsiTheme="minorBidi" w:cstheme="minorBidi"/>
        <w:sz w:val="22"/>
        <w:szCs w:val="22"/>
      </w:rPr>
    </w:pPr>
    <w:r w:rsidRPr="00E44757">
      <w:rPr>
        <w:rFonts w:asciiTheme="minorBidi" w:hAnsiTheme="minorBidi" w:cstheme="minorBidi"/>
        <w:sz w:val="22"/>
        <w:szCs w:val="22"/>
      </w:rPr>
      <w:fldChar w:fldCharType="begin"/>
    </w:r>
    <w:r w:rsidRPr="00E44757">
      <w:rPr>
        <w:rFonts w:asciiTheme="minorBidi" w:hAnsiTheme="minorBidi" w:cstheme="minorBidi"/>
        <w:sz w:val="22"/>
        <w:szCs w:val="22"/>
      </w:rPr>
      <w:instrText xml:space="preserve"> PAGE   \* MERGEFORMAT </w:instrText>
    </w:r>
    <w:r w:rsidRPr="00E44757">
      <w:rPr>
        <w:rFonts w:asciiTheme="minorBidi" w:hAnsiTheme="minorBidi" w:cstheme="minorBidi"/>
        <w:sz w:val="22"/>
        <w:szCs w:val="22"/>
      </w:rPr>
      <w:fldChar w:fldCharType="separate"/>
    </w:r>
    <w:r w:rsidR="00411B31">
      <w:rPr>
        <w:rFonts w:asciiTheme="minorBidi" w:hAnsiTheme="minorBidi" w:cstheme="minorBidi"/>
        <w:noProof/>
        <w:sz w:val="22"/>
        <w:szCs w:val="22"/>
        <w:rtl/>
      </w:rPr>
      <w:t>2</w:t>
    </w:r>
    <w:r w:rsidRPr="00E44757">
      <w:rPr>
        <w:rFonts w:asciiTheme="minorBidi" w:hAnsiTheme="minorBidi" w:cstheme="minorBidi"/>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1C9" w:rsidRDefault="00DA61C9" w:rsidP="008E5FD8">
    <w:pPr>
      <w:pStyle w:val="Header"/>
      <w:jc w:val="right"/>
      <w:rPr>
        <w:rFonts w:asciiTheme="minorBidi" w:hAnsiTheme="minorBidi" w:cstheme="minorBidi"/>
        <w:sz w:val="22"/>
        <w:szCs w:val="22"/>
        <w:rtl/>
      </w:rPr>
    </w:pPr>
    <w:r w:rsidRPr="00227B24">
      <w:rPr>
        <w:rFonts w:asciiTheme="minorBidi" w:hAnsiTheme="minorBidi" w:cstheme="minorBidi"/>
        <w:sz w:val="22"/>
        <w:szCs w:val="22"/>
      </w:rPr>
      <w:t>WO/PBC/28/5</w:t>
    </w:r>
  </w:p>
  <w:p w:rsidR="00DA61C9" w:rsidRDefault="00DA61C9" w:rsidP="008E5FD8">
    <w:pPr>
      <w:pStyle w:val="Header"/>
      <w:jc w:val="right"/>
      <w:rPr>
        <w:rFonts w:asciiTheme="minorBidi" w:hAnsiTheme="minorBidi" w:cstheme="minorBidi"/>
        <w:sz w:val="22"/>
        <w:szCs w:val="22"/>
      </w:rPr>
    </w:pPr>
    <w:r>
      <w:rPr>
        <w:rFonts w:asciiTheme="minorBidi" w:hAnsiTheme="minorBidi" w:cstheme="minorBidi"/>
        <w:sz w:val="22"/>
        <w:szCs w:val="22"/>
      </w:rPr>
      <w:t>ANNEX I</w:t>
    </w:r>
  </w:p>
  <w:p w:rsidR="00DA61C9" w:rsidRPr="004C5358" w:rsidRDefault="00DA61C9" w:rsidP="008E5FD8">
    <w:pPr>
      <w:pStyle w:val="Header"/>
      <w:jc w:val="right"/>
      <w:rPr>
        <w:rtl/>
      </w:rPr>
    </w:pPr>
    <w:r>
      <w:rPr>
        <w:rFonts w:hint="cs"/>
        <w:rtl/>
      </w:rPr>
      <w:t>المرفق</w:t>
    </w:r>
  </w:p>
  <w:p w:rsidR="00DA61C9" w:rsidRPr="00227B24" w:rsidRDefault="00DA61C9" w:rsidP="008E5FD8">
    <w:pPr>
      <w:pStyle w:val="Header"/>
      <w:jc w:val="right"/>
      <w:rPr>
        <w:rFonts w:asciiTheme="minorBidi" w:hAnsiTheme="minorBidi" w:cstheme="minorBidi"/>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C155B4"/>
    <w:multiLevelType w:val="hybridMultilevel"/>
    <w:tmpl w:val="88D27000"/>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907749E"/>
    <w:multiLevelType w:val="hybridMultilevel"/>
    <w:tmpl w:val="4D36710E"/>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C4A93"/>
    <w:multiLevelType w:val="hybridMultilevel"/>
    <w:tmpl w:val="8F3C8EE2"/>
    <w:lvl w:ilvl="0" w:tplc="60424AD8">
      <w:start w:val="1"/>
      <w:numFmt w:val="arabicAbjad"/>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3" w15:restartNumberingAfterBreak="0">
    <w:nsid w:val="2ACC1A4B"/>
    <w:multiLevelType w:val="hybridMultilevel"/>
    <w:tmpl w:val="4F6C731A"/>
    <w:lvl w:ilvl="0" w:tplc="026411B2">
      <w:start w:val="1"/>
      <w:numFmt w:val="arabicAlpha"/>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109"/>
    <w:multiLevelType w:val="hybridMultilevel"/>
    <w:tmpl w:val="88D27000"/>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611F6"/>
    <w:multiLevelType w:val="hybridMultilevel"/>
    <w:tmpl w:val="27485F24"/>
    <w:lvl w:ilvl="0" w:tplc="FACC1404">
      <w:start w:val="1"/>
      <w:numFmt w:val="arabicAlpha"/>
      <w:lvlText w:val="(%1)"/>
      <w:lvlJc w:val="left"/>
      <w:pPr>
        <w:ind w:left="1136" w:hanging="57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15:restartNumberingAfterBreak="0">
    <w:nsid w:val="4B610410"/>
    <w:multiLevelType w:val="hybridMultilevel"/>
    <w:tmpl w:val="18447270"/>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5FC5491B"/>
    <w:multiLevelType w:val="hybridMultilevel"/>
    <w:tmpl w:val="A8B803DC"/>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1575D"/>
    <w:multiLevelType w:val="hybridMultilevel"/>
    <w:tmpl w:val="8F3C8EE2"/>
    <w:lvl w:ilvl="0" w:tplc="60424AD8">
      <w:start w:val="1"/>
      <w:numFmt w:val="arabicAbjad"/>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12"/>
  </w:num>
  <w:num w:numId="19">
    <w:abstractNumId w:val="11"/>
  </w:num>
  <w:num w:numId="20">
    <w:abstractNumId w:val="14"/>
  </w:num>
  <w:num w:numId="21">
    <w:abstractNumId w:val="13"/>
  </w:num>
  <w:num w:numId="22">
    <w:abstractNumId w:val="9"/>
  </w:num>
  <w:num w:numId="23">
    <w:abstractNumId w:val="10"/>
  </w:num>
  <w:num w:numId="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48"/>
    <w:rsid w:val="00002CBE"/>
    <w:rsid w:val="00003232"/>
    <w:rsid w:val="000033DA"/>
    <w:rsid w:val="00004AF1"/>
    <w:rsid w:val="00004E08"/>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5CB4"/>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74D"/>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57D"/>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7BF"/>
    <w:rsid w:val="001A098F"/>
    <w:rsid w:val="001A10CB"/>
    <w:rsid w:val="001A110B"/>
    <w:rsid w:val="001A149A"/>
    <w:rsid w:val="001A2AB7"/>
    <w:rsid w:val="001A2AC8"/>
    <w:rsid w:val="001A3BE6"/>
    <w:rsid w:val="001A41A1"/>
    <w:rsid w:val="001A4A9C"/>
    <w:rsid w:val="001A6186"/>
    <w:rsid w:val="001A6B88"/>
    <w:rsid w:val="001A6C33"/>
    <w:rsid w:val="001A6E68"/>
    <w:rsid w:val="001B01DB"/>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1D9B"/>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27B24"/>
    <w:rsid w:val="00230249"/>
    <w:rsid w:val="0023068C"/>
    <w:rsid w:val="00230D5F"/>
    <w:rsid w:val="00231BE3"/>
    <w:rsid w:val="00232C51"/>
    <w:rsid w:val="00233414"/>
    <w:rsid w:val="00233D69"/>
    <w:rsid w:val="00234E82"/>
    <w:rsid w:val="00235C9D"/>
    <w:rsid w:val="00235DAE"/>
    <w:rsid w:val="0023693F"/>
    <w:rsid w:val="002412D4"/>
    <w:rsid w:val="00241B7A"/>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EB0"/>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CDC"/>
    <w:rsid w:val="00286744"/>
    <w:rsid w:val="002909B9"/>
    <w:rsid w:val="00292CEE"/>
    <w:rsid w:val="00292D22"/>
    <w:rsid w:val="0029470D"/>
    <w:rsid w:val="00297B80"/>
    <w:rsid w:val="002A076C"/>
    <w:rsid w:val="002A0B33"/>
    <w:rsid w:val="002A1059"/>
    <w:rsid w:val="002A1407"/>
    <w:rsid w:val="002A2AA6"/>
    <w:rsid w:val="002A3C9D"/>
    <w:rsid w:val="002A5403"/>
    <w:rsid w:val="002A6C9F"/>
    <w:rsid w:val="002A77F3"/>
    <w:rsid w:val="002B14F0"/>
    <w:rsid w:val="002B17FD"/>
    <w:rsid w:val="002B1F0F"/>
    <w:rsid w:val="002B303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5D6"/>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72D0"/>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46A"/>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7D4"/>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27D"/>
    <w:rsid w:val="003E2D01"/>
    <w:rsid w:val="003E330E"/>
    <w:rsid w:val="003E3AE3"/>
    <w:rsid w:val="003E5733"/>
    <w:rsid w:val="003E5E27"/>
    <w:rsid w:val="003E6FD2"/>
    <w:rsid w:val="003E788F"/>
    <w:rsid w:val="003E7A97"/>
    <w:rsid w:val="003E7D3A"/>
    <w:rsid w:val="003F0950"/>
    <w:rsid w:val="003F09C9"/>
    <w:rsid w:val="003F19FB"/>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1B31"/>
    <w:rsid w:val="00412057"/>
    <w:rsid w:val="004126C1"/>
    <w:rsid w:val="00413BA5"/>
    <w:rsid w:val="00414FD0"/>
    <w:rsid w:val="00417E93"/>
    <w:rsid w:val="00422A2A"/>
    <w:rsid w:val="00424BB4"/>
    <w:rsid w:val="004258CD"/>
    <w:rsid w:val="004261D2"/>
    <w:rsid w:val="004303D1"/>
    <w:rsid w:val="00430D6E"/>
    <w:rsid w:val="00433C0A"/>
    <w:rsid w:val="00433F08"/>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5FEE"/>
    <w:rsid w:val="00476407"/>
    <w:rsid w:val="004773F7"/>
    <w:rsid w:val="00481F5F"/>
    <w:rsid w:val="004821D0"/>
    <w:rsid w:val="00482CB2"/>
    <w:rsid w:val="00483D06"/>
    <w:rsid w:val="00485A4A"/>
    <w:rsid w:val="00485CF7"/>
    <w:rsid w:val="004862C2"/>
    <w:rsid w:val="004863F7"/>
    <w:rsid w:val="00486BC6"/>
    <w:rsid w:val="00486E2A"/>
    <w:rsid w:val="00486FFC"/>
    <w:rsid w:val="0048714C"/>
    <w:rsid w:val="00490ED4"/>
    <w:rsid w:val="00491631"/>
    <w:rsid w:val="00491B91"/>
    <w:rsid w:val="00491C21"/>
    <w:rsid w:val="00491C66"/>
    <w:rsid w:val="004935D6"/>
    <w:rsid w:val="00494195"/>
    <w:rsid w:val="004945FB"/>
    <w:rsid w:val="0049528C"/>
    <w:rsid w:val="00497356"/>
    <w:rsid w:val="004A076F"/>
    <w:rsid w:val="004A0D1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5358"/>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5A0"/>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948"/>
    <w:rsid w:val="00596EAE"/>
    <w:rsid w:val="005A0C60"/>
    <w:rsid w:val="005A255F"/>
    <w:rsid w:val="005A330E"/>
    <w:rsid w:val="005A5527"/>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F7D"/>
    <w:rsid w:val="00626594"/>
    <w:rsid w:val="00630442"/>
    <w:rsid w:val="0063048C"/>
    <w:rsid w:val="00630FCD"/>
    <w:rsid w:val="006319C2"/>
    <w:rsid w:val="00631FF6"/>
    <w:rsid w:val="006326AB"/>
    <w:rsid w:val="0063292C"/>
    <w:rsid w:val="0063312C"/>
    <w:rsid w:val="00633DBC"/>
    <w:rsid w:val="00634CA3"/>
    <w:rsid w:val="006351AD"/>
    <w:rsid w:val="00635A2A"/>
    <w:rsid w:val="00636592"/>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189"/>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100"/>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0C44"/>
    <w:rsid w:val="006D420A"/>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8B2"/>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2EE4"/>
    <w:rsid w:val="007A4A70"/>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7364"/>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7F78E2"/>
    <w:rsid w:val="008002A5"/>
    <w:rsid w:val="0080050E"/>
    <w:rsid w:val="00801329"/>
    <w:rsid w:val="00801424"/>
    <w:rsid w:val="00801AA4"/>
    <w:rsid w:val="00801B7E"/>
    <w:rsid w:val="008021B9"/>
    <w:rsid w:val="00806639"/>
    <w:rsid w:val="00806E68"/>
    <w:rsid w:val="00807FC3"/>
    <w:rsid w:val="00810034"/>
    <w:rsid w:val="008114CF"/>
    <w:rsid w:val="008117CC"/>
    <w:rsid w:val="00811AB3"/>
    <w:rsid w:val="0081421D"/>
    <w:rsid w:val="00814ADB"/>
    <w:rsid w:val="00815C5D"/>
    <w:rsid w:val="0081618F"/>
    <w:rsid w:val="00816E10"/>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1AA"/>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501"/>
    <w:rsid w:val="0087762E"/>
    <w:rsid w:val="00877823"/>
    <w:rsid w:val="008803F5"/>
    <w:rsid w:val="008812BF"/>
    <w:rsid w:val="00881341"/>
    <w:rsid w:val="008822C9"/>
    <w:rsid w:val="00882931"/>
    <w:rsid w:val="00884939"/>
    <w:rsid w:val="008853E0"/>
    <w:rsid w:val="00885BE2"/>
    <w:rsid w:val="008863C8"/>
    <w:rsid w:val="00886D40"/>
    <w:rsid w:val="00887A0E"/>
    <w:rsid w:val="00890775"/>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5FD8"/>
    <w:rsid w:val="008E78F1"/>
    <w:rsid w:val="008E7AFD"/>
    <w:rsid w:val="008F03CE"/>
    <w:rsid w:val="008F075B"/>
    <w:rsid w:val="008F0E9E"/>
    <w:rsid w:val="008F1D84"/>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08D"/>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6A7"/>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242"/>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EF5"/>
    <w:rsid w:val="009B7572"/>
    <w:rsid w:val="009B77DD"/>
    <w:rsid w:val="009C13BF"/>
    <w:rsid w:val="009C2943"/>
    <w:rsid w:val="009C4A4E"/>
    <w:rsid w:val="009C4B2C"/>
    <w:rsid w:val="009C4CB3"/>
    <w:rsid w:val="009C4F15"/>
    <w:rsid w:val="009C511C"/>
    <w:rsid w:val="009C5416"/>
    <w:rsid w:val="009C587B"/>
    <w:rsid w:val="009C64C5"/>
    <w:rsid w:val="009C6F87"/>
    <w:rsid w:val="009C7166"/>
    <w:rsid w:val="009C742C"/>
    <w:rsid w:val="009D061C"/>
    <w:rsid w:val="009D1848"/>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3E5D"/>
    <w:rsid w:val="00A1562A"/>
    <w:rsid w:val="00A15901"/>
    <w:rsid w:val="00A1618E"/>
    <w:rsid w:val="00A161A1"/>
    <w:rsid w:val="00A20562"/>
    <w:rsid w:val="00A20F75"/>
    <w:rsid w:val="00A212B1"/>
    <w:rsid w:val="00A26FFF"/>
    <w:rsid w:val="00A316EC"/>
    <w:rsid w:val="00A31804"/>
    <w:rsid w:val="00A3182E"/>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84D"/>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5CD5"/>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3D8"/>
    <w:rsid w:val="00AC5E85"/>
    <w:rsid w:val="00AD03D8"/>
    <w:rsid w:val="00AD0D5F"/>
    <w:rsid w:val="00AD34CF"/>
    <w:rsid w:val="00AD36C8"/>
    <w:rsid w:val="00AD37C9"/>
    <w:rsid w:val="00AD47D3"/>
    <w:rsid w:val="00AD59DF"/>
    <w:rsid w:val="00AD652F"/>
    <w:rsid w:val="00AD7D05"/>
    <w:rsid w:val="00AE01F6"/>
    <w:rsid w:val="00AE16F0"/>
    <w:rsid w:val="00AE1809"/>
    <w:rsid w:val="00AE2924"/>
    <w:rsid w:val="00AE473C"/>
    <w:rsid w:val="00AE55E7"/>
    <w:rsid w:val="00AE6363"/>
    <w:rsid w:val="00AE6CD6"/>
    <w:rsid w:val="00AE7348"/>
    <w:rsid w:val="00AE7394"/>
    <w:rsid w:val="00AE7CD2"/>
    <w:rsid w:val="00AE7F4E"/>
    <w:rsid w:val="00AF0B77"/>
    <w:rsid w:val="00AF10B9"/>
    <w:rsid w:val="00AF138B"/>
    <w:rsid w:val="00AF160F"/>
    <w:rsid w:val="00AF1919"/>
    <w:rsid w:val="00AF1B7B"/>
    <w:rsid w:val="00AF3291"/>
    <w:rsid w:val="00AF395E"/>
    <w:rsid w:val="00AF4D6A"/>
    <w:rsid w:val="00AF5D2C"/>
    <w:rsid w:val="00AF5D6E"/>
    <w:rsid w:val="00AF6318"/>
    <w:rsid w:val="00B0072E"/>
    <w:rsid w:val="00B033FC"/>
    <w:rsid w:val="00B03B63"/>
    <w:rsid w:val="00B0513A"/>
    <w:rsid w:val="00B0620B"/>
    <w:rsid w:val="00B072A3"/>
    <w:rsid w:val="00B07FCD"/>
    <w:rsid w:val="00B1149C"/>
    <w:rsid w:val="00B11F60"/>
    <w:rsid w:val="00B121EF"/>
    <w:rsid w:val="00B127AA"/>
    <w:rsid w:val="00B130CB"/>
    <w:rsid w:val="00B13437"/>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C39"/>
    <w:rsid w:val="00B44049"/>
    <w:rsid w:val="00B44318"/>
    <w:rsid w:val="00B44C4B"/>
    <w:rsid w:val="00B477CB"/>
    <w:rsid w:val="00B507ED"/>
    <w:rsid w:val="00B508A7"/>
    <w:rsid w:val="00B50C43"/>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3FDA"/>
    <w:rsid w:val="00B751C3"/>
    <w:rsid w:val="00B76AF5"/>
    <w:rsid w:val="00B76C0D"/>
    <w:rsid w:val="00B77D0D"/>
    <w:rsid w:val="00B80817"/>
    <w:rsid w:val="00B824E4"/>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B9B"/>
    <w:rsid w:val="00BB4C4A"/>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00B5"/>
    <w:rsid w:val="00C01804"/>
    <w:rsid w:val="00C01E3E"/>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5C"/>
    <w:rsid w:val="00C40E63"/>
    <w:rsid w:val="00C41A06"/>
    <w:rsid w:val="00C41AE0"/>
    <w:rsid w:val="00C4261B"/>
    <w:rsid w:val="00C42BFB"/>
    <w:rsid w:val="00C44DDC"/>
    <w:rsid w:val="00C462AB"/>
    <w:rsid w:val="00C469F4"/>
    <w:rsid w:val="00C50A61"/>
    <w:rsid w:val="00C5128B"/>
    <w:rsid w:val="00C51423"/>
    <w:rsid w:val="00C52259"/>
    <w:rsid w:val="00C5294D"/>
    <w:rsid w:val="00C52F83"/>
    <w:rsid w:val="00C53C84"/>
    <w:rsid w:val="00C54607"/>
    <w:rsid w:val="00C54C1B"/>
    <w:rsid w:val="00C54DBA"/>
    <w:rsid w:val="00C57ED3"/>
    <w:rsid w:val="00C61640"/>
    <w:rsid w:val="00C61AA7"/>
    <w:rsid w:val="00C61B8E"/>
    <w:rsid w:val="00C64EA4"/>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BF9"/>
    <w:rsid w:val="00CB2575"/>
    <w:rsid w:val="00CB3677"/>
    <w:rsid w:val="00CB368F"/>
    <w:rsid w:val="00CB4237"/>
    <w:rsid w:val="00CB4C42"/>
    <w:rsid w:val="00CB4DFA"/>
    <w:rsid w:val="00CB6B20"/>
    <w:rsid w:val="00CB7BD7"/>
    <w:rsid w:val="00CC0707"/>
    <w:rsid w:val="00CC0D90"/>
    <w:rsid w:val="00CC4CB6"/>
    <w:rsid w:val="00CC4DB0"/>
    <w:rsid w:val="00CC5038"/>
    <w:rsid w:val="00CC5326"/>
    <w:rsid w:val="00CC7426"/>
    <w:rsid w:val="00CC7602"/>
    <w:rsid w:val="00CC7910"/>
    <w:rsid w:val="00CD049A"/>
    <w:rsid w:val="00CD0C20"/>
    <w:rsid w:val="00CD297A"/>
    <w:rsid w:val="00CD3DB0"/>
    <w:rsid w:val="00CD4129"/>
    <w:rsid w:val="00CD4AF9"/>
    <w:rsid w:val="00CD5DBB"/>
    <w:rsid w:val="00CD67E7"/>
    <w:rsid w:val="00CD6CED"/>
    <w:rsid w:val="00CD7388"/>
    <w:rsid w:val="00CD73D7"/>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37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9A9"/>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A4F"/>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1C9"/>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5C"/>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57"/>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DE2"/>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4EF0"/>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036"/>
    <w:rsid w:val="00ED4D96"/>
    <w:rsid w:val="00ED4EC5"/>
    <w:rsid w:val="00ED5A40"/>
    <w:rsid w:val="00ED5F21"/>
    <w:rsid w:val="00ED602C"/>
    <w:rsid w:val="00ED62B5"/>
    <w:rsid w:val="00ED6DDB"/>
    <w:rsid w:val="00ED7555"/>
    <w:rsid w:val="00ED7985"/>
    <w:rsid w:val="00EE1C17"/>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1B1"/>
    <w:rsid w:val="00F45D51"/>
    <w:rsid w:val="00F46842"/>
    <w:rsid w:val="00F470B6"/>
    <w:rsid w:val="00F4765F"/>
    <w:rsid w:val="00F479B5"/>
    <w:rsid w:val="00F47A1B"/>
    <w:rsid w:val="00F47C4B"/>
    <w:rsid w:val="00F47E72"/>
    <w:rsid w:val="00F51A64"/>
    <w:rsid w:val="00F53775"/>
    <w:rsid w:val="00F539A6"/>
    <w:rsid w:val="00F54325"/>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33FB"/>
    <w:rsid w:val="00F64A3A"/>
    <w:rsid w:val="00F64F35"/>
    <w:rsid w:val="00F64FC4"/>
    <w:rsid w:val="00F65DE3"/>
    <w:rsid w:val="00F67E6A"/>
    <w:rsid w:val="00F70472"/>
    <w:rsid w:val="00F71430"/>
    <w:rsid w:val="00F71A8A"/>
    <w:rsid w:val="00F724C6"/>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107"/>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EEE"/>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46CA"/>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9B3094"/>
  <w15:docId w15:val="{FBA81AA0-6A93-420F-AA70-D24A7B22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Char,Char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qFormat/>
    <w:rsid w:val="0092308D"/>
    <w:pPr>
      <w:tabs>
        <w:tab w:val="left" w:pos="440"/>
        <w:tab w:val="right" w:leader="dot" w:pos="9345"/>
      </w:tabs>
      <w:spacing w:before="240" w:after="240"/>
    </w:pPr>
    <w:rPr>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9363">
      <w:bodyDiv w:val="1"/>
      <w:marLeft w:val="0"/>
      <w:marRight w:val="0"/>
      <w:marTop w:val="0"/>
      <w:marBottom w:val="0"/>
      <w:divBdr>
        <w:top w:val="none" w:sz="0" w:space="0" w:color="auto"/>
        <w:left w:val="none" w:sz="0" w:space="0" w:color="auto"/>
        <w:bottom w:val="none" w:sz="0" w:space="0" w:color="auto"/>
        <w:right w:val="none" w:sz="0" w:space="0" w:color="auto"/>
      </w:divBdr>
    </w:div>
    <w:div w:id="446241611">
      <w:bodyDiv w:val="1"/>
      <w:marLeft w:val="0"/>
      <w:marRight w:val="0"/>
      <w:marTop w:val="0"/>
      <w:marBottom w:val="0"/>
      <w:divBdr>
        <w:top w:val="none" w:sz="0" w:space="0" w:color="auto"/>
        <w:left w:val="none" w:sz="0" w:space="0" w:color="auto"/>
        <w:bottom w:val="none" w:sz="0" w:space="0" w:color="auto"/>
        <w:right w:val="none" w:sz="0" w:space="0" w:color="auto"/>
      </w:divBdr>
    </w:div>
    <w:div w:id="1021854266">
      <w:bodyDiv w:val="1"/>
      <w:marLeft w:val="0"/>
      <w:marRight w:val="0"/>
      <w:marTop w:val="0"/>
      <w:marBottom w:val="0"/>
      <w:divBdr>
        <w:top w:val="none" w:sz="0" w:space="0" w:color="auto"/>
        <w:left w:val="none" w:sz="0" w:space="0" w:color="auto"/>
        <w:bottom w:val="none" w:sz="0" w:space="0" w:color="auto"/>
        <w:right w:val="none" w:sz="0" w:space="0" w:color="auto"/>
      </w:divBdr>
    </w:div>
    <w:div w:id="1325890838">
      <w:bodyDiv w:val="1"/>
      <w:marLeft w:val="0"/>
      <w:marRight w:val="0"/>
      <w:marTop w:val="0"/>
      <w:marBottom w:val="0"/>
      <w:divBdr>
        <w:top w:val="none" w:sz="0" w:space="0" w:color="auto"/>
        <w:left w:val="none" w:sz="0" w:space="0" w:color="auto"/>
        <w:bottom w:val="none" w:sz="0" w:space="0" w:color="auto"/>
        <w:right w:val="none" w:sz="0" w:space="0" w:color="auto"/>
      </w:divBdr>
    </w:div>
    <w:div w:id="168945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GA_50_AR.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Wipogvafs01\DAT2\ORGLAN\SHARED\LANA\team\Youssef\Proofreading\01419\Copy%20of%20Tables%20for%20translations_annual%20report%202018_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0"/>
            <c:invertIfNegative val="0"/>
            <c:bubble3D val="0"/>
            <c:spPr>
              <a:solidFill>
                <a:schemeClr val="accent2"/>
              </a:solidFill>
            </c:spPr>
            <c:extLst>
              <c:ext xmlns:c16="http://schemas.microsoft.com/office/drawing/2014/chart" uri="{C3380CC4-5D6E-409C-BE32-E72D297353CC}">
                <c16:uniqueId val="{00000001-A9BB-429C-A6D1-8F321F2A87B5}"/>
              </c:ext>
            </c:extLst>
          </c:dPt>
          <c:dLbls>
            <c:dLbl>
              <c:idx val="0"/>
              <c:layout>
                <c:manualLayout>
                  <c:x val="3.0555555555555555E-2"/>
                  <c:y val="-0.4259259259259259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9BB-429C-A6D1-8F321F2A87B5}"/>
                </c:ext>
              </c:extLst>
            </c:dLbl>
            <c:dLbl>
              <c:idx val="1"/>
              <c:layout>
                <c:manualLayout>
                  <c:x val="4.1666666666666664E-2"/>
                  <c:y val="-0.2407407407407407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9BB-429C-A6D1-8F321F2A87B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chart3_chart4!$A$23:$A$24</c:f>
              <c:strCache>
                <c:ptCount val="2"/>
                <c:pt idx="0">
                  <c:v>عالية</c:v>
                </c:pt>
                <c:pt idx="1">
                  <c:v>متوسطة</c:v>
                </c:pt>
              </c:strCache>
            </c:strRef>
          </c:cat>
          <c:val>
            <c:numRef>
              <c:f>chart3_chart4!$B$23:$B$24</c:f>
              <c:numCache>
                <c:formatCode>General</c:formatCode>
                <c:ptCount val="2"/>
                <c:pt idx="0">
                  <c:v>96</c:v>
                </c:pt>
                <c:pt idx="1">
                  <c:v>84</c:v>
                </c:pt>
              </c:numCache>
            </c:numRef>
          </c:val>
          <c:extLst>
            <c:ext xmlns:c16="http://schemas.microsoft.com/office/drawing/2014/chart" uri="{C3380CC4-5D6E-409C-BE32-E72D297353CC}">
              <c16:uniqueId val="{00000003-A9BB-429C-A6D1-8F321F2A87B5}"/>
            </c:ext>
          </c:extLst>
        </c:ser>
        <c:dLbls>
          <c:showLegendKey val="0"/>
          <c:showVal val="1"/>
          <c:showCatName val="0"/>
          <c:showSerName val="0"/>
          <c:showPercent val="0"/>
          <c:showBubbleSize val="0"/>
        </c:dLbls>
        <c:gapWidth val="150"/>
        <c:shape val="box"/>
        <c:axId val="161360128"/>
        <c:axId val="161624448"/>
        <c:axId val="0"/>
      </c:bar3DChart>
      <c:catAx>
        <c:axId val="161360128"/>
        <c:scaling>
          <c:orientation val="minMax"/>
        </c:scaling>
        <c:delete val="0"/>
        <c:axPos val="b"/>
        <c:numFmt formatCode="General" sourceLinked="0"/>
        <c:majorTickMark val="out"/>
        <c:minorTickMark val="none"/>
        <c:tickLblPos val="nextTo"/>
        <c:crossAx val="161624448"/>
        <c:crosses val="autoZero"/>
        <c:auto val="1"/>
        <c:lblAlgn val="ctr"/>
        <c:lblOffset val="100"/>
        <c:noMultiLvlLbl val="0"/>
      </c:catAx>
      <c:valAx>
        <c:axId val="161624448"/>
        <c:scaling>
          <c:orientation val="minMax"/>
        </c:scaling>
        <c:delete val="0"/>
        <c:axPos val="l"/>
        <c:numFmt formatCode="General" sourceLinked="1"/>
        <c:majorTickMark val="out"/>
        <c:minorTickMark val="none"/>
        <c:tickLblPos val="nextTo"/>
        <c:crossAx val="16136012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5_aging'!$B$9</c:f>
              <c:strCache>
                <c:ptCount val="1"/>
                <c:pt idx="0">
                  <c:v>عالية </c:v>
                </c:pt>
              </c:strCache>
            </c:strRef>
          </c:tx>
          <c:spPr>
            <a:solidFill>
              <a:schemeClr val="accent2"/>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'chart 5_aging'!$A$10:$A$16</c:f>
              <c:numCache>
                <c:formatCode>General</c:formatCode>
                <c:ptCount val="7"/>
                <c:pt idx="0">
                  <c:v>2011</c:v>
                </c:pt>
                <c:pt idx="1">
                  <c:v>2013</c:v>
                </c:pt>
                <c:pt idx="2">
                  <c:v>2014</c:v>
                </c:pt>
                <c:pt idx="3">
                  <c:v>2015</c:v>
                </c:pt>
                <c:pt idx="4">
                  <c:v>2016</c:v>
                </c:pt>
                <c:pt idx="5">
                  <c:v>2017</c:v>
                </c:pt>
                <c:pt idx="6">
                  <c:v>2018</c:v>
                </c:pt>
              </c:numCache>
            </c:numRef>
          </c:cat>
          <c:val>
            <c:numRef>
              <c:f>'chart 5_aging'!$B$10:$B$16</c:f>
              <c:numCache>
                <c:formatCode>General</c:formatCode>
                <c:ptCount val="7"/>
                <c:pt idx="0">
                  <c:v>1</c:v>
                </c:pt>
                <c:pt idx="1">
                  <c:v>6</c:v>
                </c:pt>
                <c:pt idx="2">
                  <c:v>12</c:v>
                </c:pt>
                <c:pt idx="3">
                  <c:v>18</c:v>
                </c:pt>
                <c:pt idx="4">
                  <c:v>12</c:v>
                </c:pt>
                <c:pt idx="5">
                  <c:v>20</c:v>
                </c:pt>
                <c:pt idx="6">
                  <c:v>27</c:v>
                </c:pt>
              </c:numCache>
            </c:numRef>
          </c:val>
          <c:extLst>
            <c:ext xmlns:c16="http://schemas.microsoft.com/office/drawing/2014/chart" uri="{C3380CC4-5D6E-409C-BE32-E72D297353CC}">
              <c16:uniqueId val="{00000000-321A-487B-9D9A-99D8F435A4F1}"/>
            </c:ext>
          </c:extLst>
        </c:ser>
        <c:ser>
          <c:idx val="1"/>
          <c:order val="1"/>
          <c:tx>
            <c:strRef>
              <c:f>'chart 5_aging'!$C$9</c:f>
              <c:strCache>
                <c:ptCount val="1"/>
                <c:pt idx="0">
                  <c:v>متوسطة</c:v>
                </c:pt>
              </c:strCache>
            </c:strRef>
          </c:tx>
          <c:spPr>
            <a:solidFill>
              <a:schemeClr val="accent1"/>
            </a:solidFill>
          </c:spPr>
          <c:invertIfNegative val="0"/>
          <c:dLbls>
            <c:dLbl>
              <c:idx val="1"/>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21A-487B-9D9A-99D8F435A4F1}"/>
                </c:ext>
              </c:extLst>
            </c:dLbl>
            <c:dLbl>
              <c:idx val="6"/>
              <c:layout>
                <c:manualLayout>
                  <c:x val="1.1111111111111112E-2"/>
                  <c:y val="1.060944534001666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21A-487B-9D9A-99D8F435A4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'chart 5_aging'!$A$10:$A$16</c:f>
              <c:numCache>
                <c:formatCode>General</c:formatCode>
                <c:ptCount val="7"/>
                <c:pt idx="0">
                  <c:v>2011</c:v>
                </c:pt>
                <c:pt idx="1">
                  <c:v>2013</c:v>
                </c:pt>
                <c:pt idx="2">
                  <c:v>2014</c:v>
                </c:pt>
                <c:pt idx="3">
                  <c:v>2015</c:v>
                </c:pt>
                <c:pt idx="4">
                  <c:v>2016</c:v>
                </c:pt>
                <c:pt idx="5">
                  <c:v>2017</c:v>
                </c:pt>
                <c:pt idx="6">
                  <c:v>2018</c:v>
                </c:pt>
              </c:numCache>
            </c:numRef>
          </c:cat>
          <c:val>
            <c:numRef>
              <c:f>'chart 5_aging'!$C$10:$C$16</c:f>
              <c:numCache>
                <c:formatCode>General</c:formatCode>
                <c:ptCount val="7"/>
                <c:pt idx="1">
                  <c:v>1</c:v>
                </c:pt>
                <c:pt idx="2">
                  <c:v>4</c:v>
                </c:pt>
                <c:pt idx="3">
                  <c:v>10</c:v>
                </c:pt>
                <c:pt idx="4">
                  <c:v>15</c:v>
                </c:pt>
                <c:pt idx="5">
                  <c:v>22</c:v>
                </c:pt>
                <c:pt idx="6">
                  <c:v>32</c:v>
                </c:pt>
              </c:numCache>
            </c:numRef>
          </c:val>
          <c:extLst>
            <c:ext xmlns:c16="http://schemas.microsoft.com/office/drawing/2014/chart" uri="{C3380CC4-5D6E-409C-BE32-E72D297353CC}">
              <c16:uniqueId val="{00000003-321A-487B-9D9A-99D8F435A4F1}"/>
            </c:ext>
          </c:extLst>
        </c:ser>
        <c:dLbls>
          <c:showLegendKey val="0"/>
          <c:showVal val="1"/>
          <c:showCatName val="0"/>
          <c:showSerName val="0"/>
          <c:showPercent val="0"/>
          <c:showBubbleSize val="0"/>
        </c:dLbls>
        <c:gapWidth val="150"/>
        <c:shape val="box"/>
        <c:axId val="183371648"/>
        <c:axId val="183408896"/>
        <c:axId val="0"/>
      </c:bar3DChart>
      <c:catAx>
        <c:axId val="183371648"/>
        <c:scaling>
          <c:orientation val="maxMin"/>
        </c:scaling>
        <c:delete val="0"/>
        <c:axPos val="b"/>
        <c:numFmt formatCode="General" sourceLinked="1"/>
        <c:majorTickMark val="out"/>
        <c:minorTickMark val="none"/>
        <c:tickLblPos val="nextTo"/>
        <c:crossAx val="183408896"/>
        <c:crosses val="autoZero"/>
        <c:auto val="1"/>
        <c:lblAlgn val="ctr"/>
        <c:lblOffset val="100"/>
        <c:noMultiLvlLbl val="0"/>
      </c:catAx>
      <c:valAx>
        <c:axId val="183408896"/>
        <c:scaling>
          <c:orientation val="minMax"/>
        </c:scaling>
        <c:delete val="0"/>
        <c:axPos val="r"/>
        <c:majorGridlines/>
        <c:numFmt formatCode="General" sourceLinked="1"/>
        <c:majorTickMark val="out"/>
        <c:minorTickMark val="none"/>
        <c:tickLblPos val="nextTo"/>
        <c:crossAx val="1833716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D5E0-F826-40AE-AE4C-410CA390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WO_GA_50_AR.dotm</Template>
  <TotalTime>1055</TotalTime>
  <Pages>23</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WO/GA/50/2_x000d_ (Arabic)</vt:lpstr>
    </vt:vector>
  </TitlesOfParts>
  <Company>World Intellectual Property Organization</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WO/GA/50/2_x000d_ (Arabic)</dc:title>
  <dc:creator>YOUSSEF Randa</dc:creator>
  <cp:lastModifiedBy>AHMIDOUCH Noureddine</cp:lastModifiedBy>
  <cp:revision>66</cp:revision>
  <cp:lastPrinted>2018-07-18T08:37:00Z</cp:lastPrinted>
  <dcterms:created xsi:type="dcterms:W3CDTF">2018-07-12T10:13:00Z</dcterms:created>
  <dcterms:modified xsi:type="dcterms:W3CDTF">2018-07-18T08:38:00Z</dcterms:modified>
</cp:coreProperties>
</file>