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783FFA" w:rsidP="00E541E9">
      <w:pPr>
        <w:pBdr>
          <w:top w:val="single" w:sz="4" w:space="10" w:color="auto"/>
        </w:pBdr>
        <w:bidi w:val="0"/>
        <w:rPr>
          <w:rFonts w:ascii="Arial Black" w:eastAsia="SimSun" w:hAnsi="Arial Black" w:cs="Arial"/>
          <w:b/>
          <w:caps/>
          <w:noProof/>
          <w:sz w:val="16"/>
          <w:szCs w:val="16"/>
          <w:rtl/>
          <w:lang w:eastAsia="zh-CN"/>
        </w:rPr>
      </w:pPr>
      <w:bookmarkStart w:id="3" w:name="Code2"/>
      <w:r>
        <w:rPr>
          <w:rFonts w:ascii="Arial Black" w:eastAsia="SimSun" w:hAnsi="Arial Black" w:cs="Arial"/>
          <w:b/>
          <w:caps/>
          <w:noProof/>
          <w:sz w:val="16"/>
          <w:szCs w:val="16"/>
          <w:lang w:eastAsia="zh-CN"/>
        </w:rPr>
        <w:t>WO/GA/50/</w:t>
      </w:r>
      <w:r w:rsidR="00E541E9">
        <w:rPr>
          <w:rFonts w:ascii="Arial Black" w:eastAsia="SimSun" w:hAnsi="Arial Black" w:cs="Arial"/>
          <w:b/>
          <w:caps/>
          <w:noProof/>
          <w:sz w:val="16"/>
          <w:szCs w:val="16"/>
          <w:lang w:eastAsia="zh-CN"/>
        </w:rPr>
        <w:t>10</w:t>
      </w:r>
    </w:p>
    <w:bookmarkEnd w:id="3"/>
    <w:p w:rsidR="003F7284" w:rsidRPr="00BB6440" w:rsidRDefault="003F7284" w:rsidP="005D79F6">
      <w:pPr>
        <w:jc w:val="right"/>
        <w:rPr>
          <w:b/>
          <w:bCs/>
          <w:sz w:val="30"/>
          <w:szCs w:val="30"/>
          <w:rtl/>
        </w:rPr>
      </w:pPr>
      <w:r w:rsidRPr="00BB6440">
        <w:rPr>
          <w:b/>
          <w:bCs/>
          <w:sz w:val="30"/>
          <w:szCs w:val="30"/>
          <w:rtl/>
        </w:rPr>
        <w:t xml:space="preserve">الأصل: </w:t>
      </w:r>
      <w:r w:rsidR="00FF3329">
        <w:rPr>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FF3329">
        <w:rPr>
          <w:b/>
          <w:bCs/>
          <w:sz w:val="30"/>
          <w:szCs w:val="30"/>
          <w:rtl/>
        </w:rPr>
        <w:t>23 يوليو 2018</w:t>
      </w:r>
    </w:p>
    <w:p w:rsidR="002E7810" w:rsidRPr="00FD6D15" w:rsidRDefault="00783FFA" w:rsidP="009B7572">
      <w:pPr>
        <w:pStyle w:val="Heading1"/>
        <w:spacing w:after="600" w:line="240" w:lineRule="auto"/>
        <w:rPr>
          <w:rtl/>
        </w:rPr>
      </w:pPr>
      <w:r>
        <w:rPr>
          <w:rFonts w:hint="eastAsia"/>
          <w:rtl/>
        </w:rPr>
        <w:t>الجمعية</w:t>
      </w:r>
      <w:r>
        <w:rPr>
          <w:rtl/>
        </w:rPr>
        <w:t xml:space="preserve"> </w:t>
      </w:r>
      <w:r>
        <w:rPr>
          <w:rFonts w:hint="eastAsia"/>
          <w:rtl/>
        </w:rPr>
        <w:t>العامة</w:t>
      </w:r>
      <w:r>
        <w:rPr>
          <w:rtl/>
        </w:rPr>
        <w:t xml:space="preserve"> </w:t>
      </w:r>
      <w:r>
        <w:rPr>
          <w:rFonts w:hint="eastAsia"/>
          <w:rtl/>
        </w:rPr>
        <w:t>للويبو</w:t>
      </w:r>
    </w:p>
    <w:p w:rsidR="002E7810" w:rsidRPr="002E7810" w:rsidRDefault="00783FFA" w:rsidP="00874721">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الخمسون</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الاستثنائية</w:t>
      </w:r>
      <w:r>
        <w:rPr>
          <w:rFonts w:ascii="Arial Black" w:hAnsi="Arial Black" w:cs="PT Bold Heading"/>
          <w:sz w:val="30"/>
          <w:szCs w:val="30"/>
          <w:rtl/>
        </w:rPr>
        <w:t xml:space="preserve"> </w:t>
      </w:r>
      <w:r>
        <w:rPr>
          <w:rFonts w:ascii="Arial Black" w:hAnsi="Arial Black" w:cs="PT Bold Heading" w:hint="eastAsia"/>
          <w:sz w:val="30"/>
          <w:szCs w:val="30"/>
          <w:rtl/>
        </w:rPr>
        <w:t>السابعة</w:t>
      </w:r>
      <w:r>
        <w:rPr>
          <w:rFonts w:ascii="Arial Black" w:hAnsi="Arial Black" w:cs="PT Bold Heading"/>
          <w:sz w:val="30"/>
          <w:szCs w:val="30"/>
          <w:rtl/>
        </w:rPr>
        <w:t xml:space="preserve"> </w:t>
      </w:r>
      <w:r>
        <w:rPr>
          <w:rFonts w:ascii="Arial Black" w:hAnsi="Arial Black" w:cs="PT Bold Heading" w:hint="eastAsia"/>
          <w:sz w:val="30"/>
          <w:szCs w:val="30"/>
          <w:rtl/>
        </w:rPr>
        <w:t>والعشرون</w:t>
      </w:r>
      <w:r>
        <w:rPr>
          <w:rFonts w:ascii="Arial Black" w:hAnsi="Arial Black" w:cs="PT Bold Heading"/>
          <w:sz w:val="30"/>
          <w:szCs w:val="30"/>
          <w:rtl/>
        </w:rPr>
        <w:t>)</w:t>
      </w:r>
    </w:p>
    <w:p w:rsidR="002E7810" w:rsidRPr="002E7810" w:rsidRDefault="00783FFA" w:rsidP="00874721">
      <w:pPr>
        <w:spacing w:line="600" w:lineRule="auto"/>
        <w:rPr>
          <w:b/>
          <w:bCs/>
          <w:rtl/>
        </w:rPr>
      </w:pPr>
      <w:r>
        <w:rPr>
          <w:b/>
          <w:bCs/>
          <w:rtl/>
        </w:rPr>
        <w:t>جنيف، من 24 سبتمبر إلى 2 أكتوبر 2018</w:t>
      </w:r>
    </w:p>
    <w:p w:rsidR="002E7810" w:rsidRPr="002E7810" w:rsidRDefault="00FF3329" w:rsidP="00874721">
      <w:pPr>
        <w:rPr>
          <w:rFonts w:ascii="Arial Black" w:hAnsi="Arial Black" w:cs="PT Bold Heading"/>
          <w:sz w:val="26"/>
          <w:szCs w:val="26"/>
          <w:rtl/>
        </w:rPr>
      </w:pPr>
      <w:r>
        <w:rPr>
          <w:rFonts w:ascii="Arial Black" w:hAnsi="Arial Black" w:cs="PT Bold Heading" w:hint="eastAsia"/>
          <w:sz w:val="26"/>
          <w:szCs w:val="26"/>
          <w:rtl/>
        </w:rPr>
        <w:t>مركز</w:t>
      </w:r>
      <w:r>
        <w:rPr>
          <w:rFonts w:ascii="Arial Black" w:hAnsi="Arial Black" w:cs="PT Bold Heading"/>
          <w:sz w:val="26"/>
          <w:szCs w:val="26"/>
          <w:rtl/>
        </w:rPr>
        <w:t xml:space="preserve"> </w:t>
      </w:r>
      <w:r>
        <w:rPr>
          <w:rFonts w:ascii="Arial Black" w:hAnsi="Arial Black" w:cs="PT Bold Heading" w:hint="eastAsia"/>
          <w:sz w:val="26"/>
          <w:szCs w:val="26"/>
          <w:rtl/>
        </w:rPr>
        <w:t>الويبو</w:t>
      </w:r>
      <w:r>
        <w:rPr>
          <w:rFonts w:ascii="Arial Black" w:hAnsi="Arial Black" w:cs="PT Bold Heading"/>
          <w:sz w:val="26"/>
          <w:szCs w:val="26"/>
          <w:rtl/>
        </w:rPr>
        <w:t xml:space="preserve"> </w:t>
      </w:r>
      <w:r>
        <w:rPr>
          <w:rFonts w:ascii="Arial Black" w:hAnsi="Arial Black" w:cs="PT Bold Heading" w:hint="eastAsia"/>
          <w:sz w:val="26"/>
          <w:szCs w:val="26"/>
          <w:rtl/>
        </w:rPr>
        <w:t>للتحكيم</w:t>
      </w:r>
      <w:r>
        <w:rPr>
          <w:rFonts w:ascii="Arial Black" w:hAnsi="Arial Black" w:cs="PT Bold Heading"/>
          <w:sz w:val="26"/>
          <w:szCs w:val="26"/>
          <w:rtl/>
        </w:rPr>
        <w:t xml:space="preserve"> </w:t>
      </w:r>
      <w:r>
        <w:rPr>
          <w:rFonts w:ascii="Arial Black" w:hAnsi="Arial Black" w:cs="PT Bold Heading" w:hint="eastAsia"/>
          <w:sz w:val="26"/>
          <w:szCs w:val="26"/>
          <w:rtl/>
        </w:rPr>
        <w:t>والوساطة،</w:t>
      </w:r>
      <w:r>
        <w:rPr>
          <w:rFonts w:ascii="Arial Black" w:hAnsi="Arial Black" w:cs="PT Bold Heading"/>
          <w:sz w:val="26"/>
          <w:szCs w:val="26"/>
          <w:rtl/>
        </w:rPr>
        <w:t xml:space="preserve"> </w:t>
      </w:r>
      <w:r>
        <w:rPr>
          <w:rFonts w:ascii="Arial Black" w:hAnsi="Arial Black" w:cs="PT Bold Heading" w:hint="eastAsia"/>
          <w:sz w:val="26"/>
          <w:szCs w:val="26"/>
          <w:rtl/>
        </w:rPr>
        <w:t>بالإضافة</w:t>
      </w:r>
      <w:r>
        <w:rPr>
          <w:rFonts w:ascii="Arial Black" w:hAnsi="Arial Black" w:cs="PT Bold Heading"/>
          <w:sz w:val="26"/>
          <w:szCs w:val="26"/>
          <w:rtl/>
        </w:rPr>
        <w:t xml:space="preserve"> </w:t>
      </w:r>
      <w:r>
        <w:rPr>
          <w:rFonts w:ascii="Arial Black" w:hAnsi="Arial Black" w:cs="PT Bold Heading" w:hint="eastAsia"/>
          <w:sz w:val="26"/>
          <w:szCs w:val="26"/>
          <w:rtl/>
        </w:rPr>
        <w:t>إلى</w:t>
      </w:r>
      <w:r>
        <w:rPr>
          <w:rFonts w:ascii="Arial Black" w:hAnsi="Arial Black" w:cs="PT Bold Heading"/>
          <w:sz w:val="26"/>
          <w:szCs w:val="26"/>
          <w:rtl/>
        </w:rPr>
        <w:t xml:space="preserve"> </w:t>
      </w:r>
      <w:r>
        <w:rPr>
          <w:rFonts w:ascii="Arial Black" w:hAnsi="Arial Black" w:cs="PT Bold Heading" w:hint="eastAsia"/>
          <w:sz w:val="26"/>
          <w:szCs w:val="26"/>
          <w:rtl/>
        </w:rPr>
        <w:t>أسماء</w:t>
      </w:r>
      <w:r>
        <w:rPr>
          <w:rFonts w:ascii="Arial Black" w:hAnsi="Arial Black" w:cs="PT Bold Heading"/>
          <w:sz w:val="26"/>
          <w:szCs w:val="26"/>
          <w:rtl/>
        </w:rPr>
        <w:t xml:space="preserve"> </w:t>
      </w:r>
      <w:r>
        <w:rPr>
          <w:rFonts w:ascii="Arial Black" w:hAnsi="Arial Black" w:cs="PT Bold Heading" w:hint="eastAsia"/>
          <w:sz w:val="26"/>
          <w:szCs w:val="26"/>
          <w:rtl/>
        </w:rPr>
        <w:t>الحقول</w:t>
      </w:r>
    </w:p>
    <w:p w:rsidR="003F7284" w:rsidRPr="00BB6440" w:rsidRDefault="00FF3329" w:rsidP="00874721">
      <w:pPr>
        <w:spacing w:before="200" w:after="960"/>
        <w:rPr>
          <w:i/>
          <w:iCs/>
          <w:rtl/>
          <w:lang w:bidi="ar-EG"/>
        </w:rPr>
      </w:pPr>
      <w:r>
        <w:rPr>
          <w:i/>
          <w:iCs/>
          <w:rtl/>
        </w:rPr>
        <w:t xml:space="preserve">وثيقة </w:t>
      </w:r>
      <w:r w:rsidR="003F7284" w:rsidRPr="00BB6440">
        <w:rPr>
          <w:i/>
          <w:iCs/>
          <w:rtl/>
        </w:rPr>
        <w:t>من إعداد</w:t>
      </w:r>
      <w:r w:rsidR="005D79F6" w:rsidRPr="00BB6440">
        <w:rPr>
          <w:rFonts w:hint="cs"/>
          <w:i/>
          <w:iCs/>
          <w:rtl/>
        </w:rPr>
        <w:t xml:space="preserve"> </w:t>
      </w:r>
      <w:r>
        <w:rPr>
          <w:rFonts w:hint="eastAsia"/>
          <w:i/>
          <w:iCs/>
          <w:rtl/>
        </w:rPr>
        <w:t>الأمانة</w:t>
      </w:r>
    </w:p>
    <w:p w:rsidR="00E3612C" w:rsidRDefault="00E541E9" w:rsidP="00AD7BE2">
      <w:pPr>
        <w:pStyle w:val="ONUMA"/>
      </w:pPr>
      <w:r w:rsidRPr="00E541E9">
        <w:rPr>
          <w:rtl/>
        </w:rPr>
        <w:t>تعرض هذه الوثيقة آخر المستجدات عن أنشطة مركز الويبو للتحكيم والوساطة ("المركز") بو</w:t>
      </w:r>
      <w:r w:rsidR="00EA62E4">
        <w:rPr>
          <w:rtl/>
        </w:rPr>
        <w:t xml:space="preserve">صفه جهة دولية </w:t>
      </w:r>
      <w:r w:rsidR="00023EA8">
        <w:rPr>
          <w:rFonts w:hint="cs"/>
          <w:rtl/>
        </w:rPr>
        <w:t>تقدم</w:t>
      </w:r>
      <w:r w:rsidR="00EA62E4">
        <w:rPr>
          <w:rtl/>
        </w:rPr>
        <w:t xml:space="preserve"> حلولا بديلة</w:t>
      </w:r>
      <w:r w:rsidRPr="00E541E9">
        <w:rPr>
          <w:rtl/>
        </w:rPr>
        <w:t xml:space="preserve"> أسرع وأوفر من التقاضي أمام المحاكم لتسوية منازعات الملكية الفكرية، وعمله مؤلف من الإشراف على القضايا، وتقديم الخبرة القانونية والتنظيمية في السبل البديلة لتسوية المنازعات.</w:t>
      </w:r>
    </w:p>
    <w:p w:rsidR="00EA62E4" w:rsidRDefault="00EA62E4" w:rsidP="00AD7BE2">
      <w:pPr>
        <w:pStyle w:val="ONUMA"/>
      </w:pPr>
      <w:r>
        <w:rPr>
          <w:rtl/>
        </w:rPr>
        <w:t>وتعرض هذه الوثيقة أيضا</w:t>
      </w:r>
      <w:r w:rsidRPr="00EA62E4">
        <w:rPr>
          <w:rtl/>
        </w:rPr>
        <w:t xml:space="preserve"> آخر المستجدات عن أنشطة الويبو المرت</w:t>
      </w:r>
      <w:r>
        <w:rPr>
          <w:rtl/>
        </w:rPr>
        <w:t>بطة بأسماء الحقول كما ورد سابقا</w:t>
      </w:r>
      <w:r w:rsidRPr="00EA62E4">
        <w:rPr>
          <w:rtl/>
        </w:rPr>
        <w:t xml:space="preserve"> في الوثيقة </w:t>
      </w:r>
      <w:r w:rsidRPr="00EA62E4">
        <w:t>WO/GA/4</w:t>
      </w:r>
      <w:r>
        <w:t>9</w:t>
      </w:r>
      <w:r w:rsidRPr="00EA62E4">
        <w:t>/</w:t>
      </w:r>
      <w:r>
        <w:t>14</w:t>
      </w:r>
      <w:r>
        <w:rPr>
          <w:rStyle w:val="FootnoteReference"/>
          <w:rtl/>
        </w:rPr>
        <w:footnoteReference w:id="1"/>
      </w:r>
      <w:r w:rsidRPr="00EA62E4">
        <w:rPr>
          <w:rtl/>
        </w:rPr>
        <w:t xml:space="preserve">. وتشمل إدارة المركز </w:t>
      </w:r>
      <w:r w:rsidR="00422F5B">
        <w:rPr>
          <w:rFonts w:hint="cs"/>
          <w:rtl/>
        </w:rPr>
        <w:t>ل</w:t>
      </w:r>
      <w:r w:rsidRPr="00EA62E4">
        <w:rPr>
          <w:rtl/>
        </w:rPr>
        <w:t xml:space="preserve">لمنازعات المتعلقة بأسماء الحقول على أساس السياسات العامة المختلفة والجوانب المتنوعة المتصلة بالموضوع في نظام </w:t>
      </w:r>
      <w:r w:rsidR="00422F5B">
        <w:rPr>
          <w:rtl/>
        </w:rPr>
        <w:t>أسماء الحقول على الإنترنت، فضلا</w:t>
      </w:r>
      <w:r w:rsidRPr="00EA62E4">
        <w:rPr>
          <w:rtl/>
        </w:rPr>
        <w:t xml:space="preserve"> عن مختارات من المستجدات السياسية، بما في ذلك آليات حماية الحقوق من أجل استحداث حقول عليا جديدة مكوَّنة من أسماء عامة (</w:t>
      </w:r>
      <w:r w:rsidRPr="00EA62E4">
        <w:t>gTLDs</w:t>
      </w:r>
      <w:r w:rsidRPr="00EA62E4">
        <w:rPr>
          <w:rtl/>
        </w:rPr>
        <w:t xml:space="preserve">)، ومسألة تولي هيئة الإنترنت المعنية بالأسماء والأرقام المعيّنة (الإيكان) </w:t>
      </w:r>
      <w:r w:rsidR="001374D1">
        <w:rPr>
          <w:rFonts w:hint="cs"/>
          <w:rtl/>
        </w:rPr>
        <w:t>مراجعة</w:t>
      </w:r>
      <w:r w:rsidRPr="00EA62E4">
        <w:rPr>
          <w:rtl/>
        </w:rPr>
        <w:t xml:space="preserve"> السياسة الموحدة لتسوية المنازعات المتعلقة بأسماء الحقول وغيرها من آليات حماية الحقوق، ووضع</w:t>
      </w:r>
      <w:r w:rsidR="001374D1">
        <w:rPr>
          <w:rtl/>
        </w:rPr>
        <w:t xml:space="preserve"> توصيات الدول الأعضاء في ال</w:t>
      </w:r>
      <w:r w:rsidR="001374D1">
        <w:rPr>
          <w:rFonts w:hint="cs"/>
          <w:rtl/>
        </w:rPr>
        <w:t>ويبو</w:t>
      </w:r>
      <w:r w:rsidRPr="00EA62E4">
        <w:rPr>
          <w:rtl/>
        </w:rPr>
        <w:t xml:space="preserve"> في سياق مشروع الويبو الثاني بشأن مسار أسماء الحقول على الإنترنت.</w:t>
      </w:r>
    </w:p>
    <w:p w:rsidR="0013278B" w:rsidRDefault="00020124" w:rsidP="00020124">
      <w:pPr>
        <w:pStyle w:val="Heading2"/>
        <w:rPr>
          <w:rtl/>
        </w:rPr>
      </w:pPr>
      <w:r w:rsidRPr="00020124">
        <w:rPr>
          <w:rtl/>
        </w:rPr>
        <w:lastRenderedPageBreak/>
        <w:t>أولا.</w:t>
      </w:r>
      <w:r>
        <w:rPr>
          <w:rtl/>
        </w:rPr>
        <w:tab/>
      </w:r>
      <w:r w:rsidRPr="00020124">
        <w:rPr>
          <w:rtl/>
        </w:rPr>
        <w:t>التحكيم والوساطة في منازعات الملكية الفكرية</w:t>
      </w:r>
    </w:p>
    <w:p w:rsidR="0013278B" w:rsidRDefault="00020124" w:rsidP="00020124">
      <w:pPr>
        <w:pStyle w:val="Heading3"/>
        <w:ind w:left="1165" w:hanging="630"/>
      </w:pPr>
      <w:r>
        <w:rPr>
          <w:rFonts w:hint="cs"/>
          <w:rtl/>
        </w:rPr>
        <w:t>ألف.</w:t>
      </w:r>
      <w:r>
        <w:rPr>
          <w:rFonts w:hint="cs"/>
          <w:rtl/>
        </w:rPr>
        <w:tab/>
      </w:r>
      <w:r w:rsidRPr="00020124">
        <w:rPr>
          <w:rtl/>
        </w:rPr>
        <w:t>إدارة قضايا التحكيم والوساطة</w:t>
      </w:r>
    </w:p>
    <w:p w:rsidR="0013278B" w:rsidRDefault="00F10E7A" w:rsidP="00AD7BE2">
      <w:pPr>
        <w:pStyle w:val="ONUMA"/>
      </w:pPr>
      <w:r w:rsidRPr="00F10E7A">
        <w:rPr>
          <w:rtl/>
        </w:rPr>
        <w:t>تهدف الإجراءات الخاصة بالوساطة والتحكيم التي يوفرها المركز إلى تلبية احتياجات الأطراف من أجل تسوية المنازعات المتعلقة بحقوق الملكية الفكرية بطريقة أسرع وأوفر. ويلتزم المركز بإدارة القضايا المنظور فيها في إطار تلك الإجراءات وتسويتها، مما يقتضي تدريب</w:t>
      </w:r>
      <w:r>
        <w:rPr>
          <w:rStyle w:val="FootnoteReference"/>
          <w:rtl/>
        </w:rPr>
        <w:footnoteReference w:id="2"/>
      </w:r>
      <w:r w:rsidRPr="00F10E7A">
        <w:rPr>
          <w:rtl/>
        </w:rPr>
        <w:t xml:space="preserve"> محكمين ووسطاء مؤهلين وتعيينهم ودعمهم، وإبقاء بنية إدارة القضايا مواكبة للمستجدات، بما في ذلك عبر استخدام تكنولوجيا المعلومات، ومنها مرفق الويبو</w:t>
      </w:r>
      <w:r>
        <w:rPr>
          <w:rFonts w:hint="cs"/>
          <w:rtl/>
        </w:rPr>
        <w:t xml:space="preserve"> المُحسَّن حديثا</w:t>
      </w:r>
      <w:r>
        <w:rPr>
          <w:rtl/>
        </w:rPr>
        <w:t xml:space="preserve"> لتسوية القضايا إلكترونيا</w:t>
      </w:r>
      <w:r w:rsidRPr="00F10E7A">
        <w:rPr>
          <w:rtl/>
        </w:rPr>
        <w:t>.</w:t>
      </w:r>
      <w:r>
        <w:rPr>
          <w:rStyle w:val="FootnoteReference"/>
          <w:rtl/>
        </w:rPr>
        <w:footnoteReference w:id="3"/>
      </w:r>
      <w:r w:rsidRPr="00F10E7A">
        <w:rPr>
          <w:rtl/>
        </w:rPr>
        <w:t xml:space="preserve"> وشملت قضايا الويبو </w:t>
      </w:r>
      <w:r w:rsidR="00331016">
        <w:rPr>
          <w:rFonts w:hint="cs"/>
          <w:rtl/>
        </w:rPr>
        <w:t xml:space="preserve">منذ الدورة السابقة للجمعيات </w:t>
      </w:r>
      <w:r w:rsidRPr="00F10E7A">
        <w:rPr>
          <w:rtl/>
        </w:rPr>
        <w:t>القضايا المتعلقة بالبراءات</w:t>
      </w:r>
      <w:r w:rsidR="00F15BC3">
        <w:rPr>
          <w:rFonts w:hint="cs"/>
          <w:rtl/>
        </w:rPr>
        <w:t>،</w:t>
      </w:r>
      <w:r w:rsidRPr="00F10E7A">
        <w:rPr>
          <w:rtl/>
        </w:rPr>
        <w:t xml:space="preserve"> والعلامات التجارية</w:t>
      </w:r>
      <w:r w:rsidR="00FE051E">
        <w:rPr>
          <w:rFonts w:hint="cs"/>
          <w:rtl/>
        </w:rPr>
        <w:t xml:space="preserve"> (</w:t>
      </w:r>
      <w:r w:rsidR="00FE051E" w:rsidRPr="00FE051E">
        <w:rPr>
          <w:rtl/>
        </w:rPr>
        <w:t>بما في ذلك اتفاقات تعايش العلامات التجارية واعتراضات العلامات التجارية المعلقة</w:t>
      </w:r>
      <w:r w:rsidR="00FE051E">
        <w:rPr>
          <w:rFonts w:hint="cs"/>
          <w:rtl/>
        </w:rPr>
        <w:t>)</w:t>
      </w:r>
      <w:r w:rsidR="00F15BC3">
        <w:rPr>
          <w:rFonts w:hint="cs"/>
          <w:rtl/>
        </w:rPr>
        <w:t>،</w:t>
      </w:r>
      <w:r w:rsidRPr="00F10E7A">
        <w:rPr>
          <w:rtl/>
        </w:rPr>
        <w:t xml:space="preserve"> </w:t>
      </w:r>
      <w:r w:rsidR="00FE051E" w:rsidRPr="00F10E7A">
        <w:rPr>
          <w:rtl/>
        </w:rPr>
        <w:t xml:space="preserve">وحق المؤلف </w:t>
      </w:r>
      <w:r w:rsidRPr="00F10E7A">
        <w:rPr>
          <w:rtl/>
        </w:rPr>
        <w:t>(بما في ذلك جمعيات تحصيل الإتاوات</w:t>
      </w:r>
      <w:r w:rsidR="00331016">
        <w:rPr>
          <w:rFonts w:hint="cs"/>
          <w:rtl/>
        </w:rPr>
        <w:t>، وتوزيع الموسيقى الرقمية</w:t>
      </w:r>
      <w:r w:rsidRPr="00F10E7A">
        <w:rPr>
          <w:rtl/>
        </w:rPr>
        <w:t>)</w:t>
      </w:r>
      <w:r w:rsidR="00F15BC3">
        <w:rPr>
          <w:rFonts w:hint="cs"/>
          <w:rtl/>
        </w:rPr>
        <w:t>،</w:t>
      </w:r>
      <w:r w:rsidRPr="00F10E7A">
        <w:rPr>
          <w:rtl/>
        </w:rPr>
        <w:t xml:space="preserve"> وتكنولوجيات المعلومات والاتصالات</w:t>
      </w:r>
      <w:r w:rsidR="00F15BC3">
        <w:rPr>
          <w:rFonts w:hint="cs"/>
          <w:rtl/>
        </w:rPr>
        <w:t>،</w:t>
      </w:r>
      <w:r w:rsidRPr="00F10E7A">
        <w:rPr>
          <w:rtl/>
        </w:rPr>
        <w:t xml:space="preserve"> والبحث والتطوير</w:t>
      </w:r>
      <w:r w:rsidR="00F15BC3">
        <w:rPr>
          <w:rFonts w:hint="cs"/>
          <w:rtl/>
        </w:rPr>
        <w:t>،</w:t>
      </w:r>
      <w:r w:rsidRPr="00F10E7A">
        <w:rPr>
          <w:rtl/>
        </w:rPr>
        <w:t xml:space="preserve"> وعلوم الحياة</w:t>
      </w:r>
      <w:r w:rsidR="00F15BC3">
        <w:rPr>
          <w:rFonts w:hint="cs"/>
          <w:rtl/>
        </w:rPr>
        <w:t>،</w:t>
      </w:r>
      <w:r w:rsidRPr="00F10E7A">
        <w:rPr>
          <w:rtl/>
        </w:rPr>
        <w:t xml:space="preserve"> والأفلام ووسائط الإعلام</w:t>
      </w:r>
      <w:r w:rsidR="00F15BC3">
        <w:rPr>
          <w:rFonts w:hint="cs"/>
          <w:rtl/>
        </w:rPr>
        <w:t>،</w:t>
      </w:r>
      <w:r w:rsidRPr="00F10E7A">
        <w:rPr>
          <w:rtl/>
        </w:rPr>
        <w:t xml:space="preserve"> و</w:t>
      </w:r>
      <w:r w:rsidR="00F15BC3">
        <w:rPr>
          <w:rFonts w:hint="cs"/>
          <w:rtl/>
        </w:rPr>
        <w:t>منح حق الامتياز</w:t>
      </w:r>
      <w:r w:rsidRPr="00F10E7A">
        <w:rPr>
          <w:rtl/>
        </w:rPr>
        <w:t xml:space="preserve">، وقد رفعها </w:t>
      </w:r>
      <w:r w:rsidR="00F15BC3">
        <w:rPr>
          <w:rtl/>
        </w:rPr>
        <w:t>الأطراف إلى مركز الويبو استنادا</w:t>
      </w:r>
      <w:r w:rsidRPr="00F10E7A">
        <w:rPr>
          <w:rtl/>
        </w:rPr>
        <w:t xml:space="preserve"> إلى بنود العقود السابقة واتفاقات التقديم (بما في ذلك إحالات المحاكم)، وكذلك</w:t>
      </w:r>
      <w:r w:rsidR="00F15BC3">
        <w:rPr>
          <w:rtl/>
        </w:rPr>
        <w:t xml:space="preserve"> بموجب طلبات أحادية الجانب عملا</w:t>
      </w:r>
      <w:r w:rsidRPr="00F10E7A">
        <w:rPr>
          <w:rtl/>
        </w:rPr>
        <w:t xml:space="preserve"> بالمادة 4 من </w:t>
      </w:r>
      <w:r w:rsidR="00023EA8">
        <w:rPr>
          <w:rFonts w:hint="cs"/>
          <w:rtl/>
        </w:rPr>
        <w:t>نظام</w:t>
      </w:r>
      <w:r w:rsidRPr="00F10E7A">
        <w:rPr>
          <w:rtl/>
        </w:rPr>
        <w:t xml:space="preserve"> الويبو للوساطة. وأكثر من نصف الأطراف في هذه القضايا من مستخدمي معاهدة التعاون بشأن البراءات وخدمات مدريد التابعة للويبو. ويُتوصل في نحو 70</w:t>
      </w:r>
      <w:r w:rsidR="00996B32">
        <w:rPr>
          <w:rFonts w:hint="cs"/>
          <w:rtl/>
        </w:rPr>
        <w:t>%</w:t>
      </w:r>
      <w:r w:rsidRPr="00F10E7A">
        <w:rPr>
          <w:rtl/>
        </w:rPr>
        <w:t xml:space="preserve"> من وساطات الويبو إلى تسوية، وحتى حين تبلغ نسبة التسوية 40</w:t>
      </w:r>
      <w:r w:rsidR="00996B32">
        <w:rPr>
          <w:rFonts w:hint="cs"/>
          <w:rtl/>
        </w:rPr>
        <w:t>%</w:t>
      </w:r>
      <w:r w:rsidRPr="00F10E7A">
        <w:rPr>
          <w:rtl/>
        </w:rPr>
        <w:t xml:space="preserve"> يمكن أن تحفز الإحالة إلى تحكيم الويبو على إبرام اتفاق بين الأطراف.</w:t>
      </w:r>
    </w:p>
    <w:p w:rsidR="00996B32" w:rsidRDefault="00EB3EA9" w:rsidP="00AD7BE2">
      <w:pPr>
        <w:pStyle w:val="ONUMA"/>
      </w:pPr>
      <w:r w:rsidRPr="00EB3EA9">
        <w:rPr>
          <w:rtl/>
        </w:rPr>
        <w:t>و</w:t>
      </w:r>
      <w:r>
        <w:rPr>
          <w:rFonts w:hint="cs"/>
          <w:rtl/>
        </w:rPr>
        <w:t>و</w:t>
      </w:r>
      <w:r w:rsidRPr="00EB3EA9">
        <w:rPr>
          <w:rtl/>
        </w:rPr>
        <w:t xml:space="preserve">اصل المركز </w:t>
      </w:r>
      <w:r>
        <w:rPr>
          <w:rFonts w:hint="cs"/>
          <w:rtl/>
        </w:rPr>
        <w:t>القيام</w:t>
      </w:r>
      <w:r w:rsidRPr="00EB3EA9">
        <w:rPr>
          <w:rtl/>
        </w:rPr>
        <w:t xml:space="preserve"> </w:t>
      </w:r>
      <w:r>
        <w:rPr>
          <w:rFonts w:hint="cs"/>
          <w:rtl/>
        </w:rPr>
        <w:t>ب</w:t>
      </w:r>
      <w:r w:rsidRPr="00EB3EA9">
        <w:rPr>
          <w:rtl/>
        </w:rPr>
        <w:t xml:space="preserve">مبادرات لزيادة تيسير </w:t>
      </w:r>
      <w:r>
        <w:rPr>
          <w:rFonts w:hint="cs"/>
          <w:rtl/>
        </w:rPr>
        <w:t xml:space="preserve">وصول </w:t>
      </w:r>
      <w:r w:rsidRPr="00EB3EA9">
        <w:rPr>
          <w:rtl/>
        </w:rPr>
        <w:t>المستخدمين المحتملين إلى</w:t>
      </w:r>
      <w:r>
        <w:rPr>
          <w:rFonts w:hint="cs"/>
          <w:rtl/>
        </w:rPr>
        <w:t xml:space="preserve"> ا</w:t>
      </w:r>
      <w:r w:rsidRPr="00EB3EA9">
        <w:rPr>
          <w:rtl/>
        </w:rPr>
        <w:t>لسبل البديلة لتسوية المنازعات التي تقدمها الويبو. و</w:t>
      </w:r>
      <w:r w:rsidR="000B5621">
        <w:rPr>
          <w:rFonts w:hint="cs"/>
          <w:rtl/>
        </w:rPr>
        <w:t>ت</w:t>
      </w:r>
      <w:r w:rsidRPr="00EB3EA9">
        <w:rPr>
          <w:rtl/>
        </w:rPr>
        <w:t xml:space="preserve">شمل </w:t>
      </w:r>
      <w:r w:rsidR="000B5621">
        <w:rPr>
          <w:rFonts w:hint="cs"/>
          <w:rtl/>
        </w:rPr>
        <w:t xml:space="preserve">هذه المبادرات </w:t>
      </w:r>
      <w:r w:rsidRPr="00EB3EA9">
        <w:rPr>
          <w:rtl/>
        </w:rPr>
        <w:t>دليل</w:t>
      </w:r>
      <w:r w:rsidR="000B5621">
        <w:rPr>
          <w:rFonts w:hint="cs"/>
          <w:rtl/>
        </w:rPr>
        <w:t>ا م</w:t>
      </w:r>
      <w:r w:rsidR="00BE340A">
        <w:rPr>
          <w:rFonts w:hint="cs"/>
          <w:rtl/>
        </w:rPr>
        <w:t>ُ</w:t>
      </w:r>
      <w:r w:rsidR="000B5621">
        <w:rPr>
          <w:rFonts w:hint="cs"/>
          <w:rtl/>
        </w:rPr>
        <w:t>حد</w:t>
      </w:r>
      <w:r w:rsidR="00BE340A">
        <w:rPr>
          <w:rFonts w:hint="cs"/>
          <w:rtl/>
        </w:rPr>
        <w:t>َّ</w:t>
      </w:r>
      <w:r w:rsidR="000B5621">
        <w:rPr>
          <w:rFonts w:hint="cs"/>
          <w:rtl/>
        </w:rPr>
        <w:t>ثا بشأن وساطة</w:t>
      </w:r>
      <w:r w:rsidRPr="00EB3EA9">
        <w:rPr>
          <w:rtl/>
        </w:rPr>
        <w:t xml:space="preserve"> </w:t>
      </w:r>
      <w:r w:rsidR="000B5621">
        <w:rPr>
          <w:rFonts w:hint="cs"/>
          <w:rtl/>
        </w:rPr>
        <w:t>الويبو</w:t>
      </w:r>
      <w:r w:rsidR="000B5621">
        <w:rPr>
          <w:rStyle w:val="FootnoteReference"/>
          <w:rtl/>
        </w:rPr>
        <w:footnoteReference w:id="4"/>
      </w:r>
      <w:r w:rsidR="000B5621">
        <w:rPr>
          <w:rFonts w:hint="cs"/>
          <w:rtl/>
        </w:rPr>
        <w:t xml:space="preserve"> </w:t>
      </w:r>
      <w:r w:rsidRPr="00EB3EA9">
        <w:rPr>
          <w:rtl/>
        </w:rPr>
        <w:t xml:space="preserve">يعكس التطورات الأخيرة في </w:t>
      </w:r>
      <w:r w:rsidR="002270CF">
        <w:rPr>
          <w:rFonts w:hint="cs"/>
          <w:rtl/>
        </w:rPr>
        <w:t>نظام</w:t>
      </w:r>
      <w:r w:rsidRPr="00EB3EA9">
        <w:rPr>
          <w:rtl/>
        </w:rPr>
        <w:t xml:space="preserve"> الويبو للوساطة وفي ممارس</w:t>
      </w:r>
      <w:r w:rsidR="000B5621">
        <w:rPr>
          <w:rFonts w:hint="cs"/>
          <w:rtl/>
        </w:rPr>
        <w:t xml:space="preserve">ات المركز </w:t>
      </w:r>
      <w:r w:rsidRPr="00EB3EA9">
        <w:rPr>
          <w:rtl/>
        </w:rPr>
        <w:t xml:space="preserve">ويقدم </w:t>
      </w:r>
      <w:r w:rsidR="000B5621">
        <w:rPr>
          <w:rFonts w:hint="cs"/>
          <w:rtl/>
        </w:rPr>
        <w:t>إلى الأطرا</w:t>
      </w:r>
      <w:r w:rsidR="00023EA8">
        <w:rPr>
          <w:rFonts w:hint="cs"/>
          <w:rtl/>
        </w:rPr>
        <w:t>ف</w:t>
      </w:r>
      <w:r w:rsidR="000B5621">
        <w:rPr>
          <w:rFonts w:hint="cs"/>
          <w:rtl/>
        </w:rPr>
        <w:t xml:space="preserve"> </w:t>
      </w:r>
      <w:r w:rsidRPr="00EB3EA9">
        <w:rPr>
          <w:rtl/>
        </w:rPr>
        <w:t>إرشادات إضافية.</w:t>
      </w:r>
      <w:r w:rsidR="00181963">
        <w:rPr>
          <w:rFonts w:hint="cs"/>
          <w:rtl/>
        </w:rPr>
        <w:t xml:space="preserve"> كما أن </w:t>
      </w:r>
      <w:r w:rsidR="00181963" w:rsidRPr="00181963">
        <w:rPr>
          <w:rtl/>
        </w:rPr>
        <w:t xml:space="preserve">مُولِّد البنود </w:t>
      </w:r>
      <w:r w:rsidR="00181963">
        <w:rPr>
          <w:rFonts w:hint="cs"/>
          <w:rtl/>
        </w:rPr>
        <w:t>الإلكتروني</w:t>
      </w:r>
      <w:r w:rsidR="00181963" w:rsidRPr="00181963">
        <w:rPr>
          <w:rtl/>
        </w:rPr>
        <w:t xml:space="preserve"> الخاص بالمركز</w:t>
      </w:r>
      <w:r w:rsidR="00181963">
        <w:rPr>
          <w:rFonts w:hint="cs"/>
          <w:rtl/>
        </w:rPr>
        <w:t xml:space="preserve"> يسمح</w:t>
      </w:r>
      <w:r w:rsidRPr="00EB3EA9">
        <w:rPr>
          <w:rtl/>
        </w:rPr>
        <w:t xml:space="preserve"> للأطراف </w:t>
      </w:r>
      <w:r w:rsidR="00181963" w:rsidRPr="00181963">
        <w:rPr>
          <w:rtl/>
        </w:rPr>
        <w:t xml:space="preserve">بإعداد البنود </w:t>
      </w:r>
      <w:r w:rsidR="00181963">
        <w:rPr>
          <w:rFonts w:hint="cs"/>
          <w:rtl/>
        </w:rPr>
        <w:t xml:space="preserve">الأساسية </w:t>
      </w:r>
      <w:r w:rsidR="00181963" w:rsidRPr="00181963">
        <w:rPr>
          <w:rtl/>
        </w:rPr>
        <w:t xml:space="preserve">واتفاقات التقديم، مع إمكانية اختيار اعتبارات </w:t>
      </w:r>
      <w:r w:rsidR="00181963">
        <w:rPr>
          <w:rFonts w:hint="cs"/>
          <w:rtl/>
        </w:rPr>
        <w:t xml:space="preserve">إضافية </w:t>
      </w:r>
      <w:r w:rsidR="00181963" w:rsidRPr="00181963">
        <w:rPr>
          <w:rtl/>
        </w:rPr>
        <w:t>تناسب احتياجات محددة</w:t>
      </w:r>
      <w:r w:rsidRPr="00EB3EA9">
        <w:rPr>
          <w:rtl/>
        </w:rPr>
        <w:t>.</w:t>
      </w:r>
      <w:r w:rsidR="00181963">
        <w:rPr>
          <w:rStyle w:val="FootnoteReference"/>
          <w:rtl/>
        </w:rPr>
        <w:footnoteReference w:id="5"/>
      </w:r>
    </w:p>
    <w:p w:rsidR="00BE340A" w:rsidRDefault="00BE340A" w:rsidP="00BE340A">
      <w:pPr>
        <w:pStyle w:val="Heading3"/>
        <w:ind w:left="1165" w:hanging="630"/>
        <w:rPr>
          <w:rtl/>
        </w:rPr>
      </w:pPr>
      <w:r>
        <w:rPr>
          <w:rtl/>
        </w:rPr>
        <w:t>باء.</w:t>
      </w:r>
      <w:r>
        <w:rPr>
          <w:rtl/>
        </w:rPr>
        <w:tab/>
        <w:t>تقديم خدمات السبل البديلة لتسوية المنازعات لقطاعات معينة</w:t>
      </w:r>
    </w:p>
    <w:p w:rsidR="00BE340A" w:rsidRPr="00BE340A" w:rsidRDefault="00BE340A" w:rsidP="00BE340A">
      <w:pPr>
        <w:pStyle w:val="BodyText"/>
        <w:numPr>
          <w:ilvl w:val="0"/>
          <w:numId w:val="46"/>
        </w:numPr>
        <w:ind w:left="1615" w:hanging="540"/>
        <w:rPr>
          <w:u w:val="single"/>
          <w:rtl/>
        </w:rPr>
      </w:pPr>
      <w:r w:rsidRPr="00BE340A">
        <w:rPr>
          <w:u w:val="single"/>
          <w:rtl/>
        </w:rPr>
        <w:t>التعاون مع مكاتب الملكية الفكرية</w:t>
      </w:r>
    </w:p>
    <w:p w:rsidR="00181963" w:rsidRDefault="00A06C6A" w:rsidP="00AD7BE2">
      <w:pPr>
        <w:pStyle w:val="ONUMA"/>
      </w:pPr>
      <w:r w:rsidRPr="00A06C6A">
        <w:rPr>
          <w:rtl/>
        </w:rPr>
        <w:t xml:space="preserve">يقوم المركز، إلى جانب خدماته </w:t>
      </w:r>
      <w:r>
        <w:rPr>
          <w:rFonts w:hint="cs"/>
          <w:rtl/>
        </w:rPr>
        <w:t>المذكورة الأكثر انتظاما</w:t>
      </w:r>
      <w:r w:rsidRPr="00A06C6A">
        <w:rPr>
          <w:rtl/>
        </w:rPr>
        <w:t>، بمس</w:t>
      </w:r>
      <w:r>
        <w:rPr>
          <w:rFonts w:hint="cs"/>
          <w:rtl/>
        </w:rPr>
        <w:t>اعدة عدد متزايد من</w:t>
      </w:r>
      <w:r w:rsidRPr="00A06C6A">
        <w:rPr>
          <w:rtl/>
        </w:rPr>
        <w:t xml:space="preserve"> مكاتب الملكية الفكرية</w:t>
      </w:r>
      <w:r>
        <w:rPr>
          <w:rFonts w:hint="cs"/>
          <w:rtl/>
        </w:rPr>
        <w:t xml:space="preserve"> وحق المؤلف</w:t>
      </w:r>
      <w:r w:rsidRPr="00A06C6A">
        <w:rPr>
          <w:rtl/>
        </w:rPr>
        <w:t xml:space="preserve"> </w:t>
      </w:r>
      <w:r>
        <w:rPr>
          <w:rFonts w:hint="cs"/>
          <w:rtl/>
        </w:rPr>
        <w:t xml:space="preserve">على </w:t>
      </w:r>
      <w:r w:rsidRPr="00A06C6A">
        <w:rPr>
          <w:rtl/>
        </w:rPr>
        <w:t xml:space="preserve">وضع أطر اختيارية </w:t>
      </w:r>
      <w:r>
        <w:rPr>
          <w:rFonts w:hint="cs"/>
          <w:rtl/>
        </w:rPr>
        <w:t>بشأن ا</w:t>
      </w:r>
      <w:r w:rsidRPr="00A06C6A">
        <w:rPr>
          <w:rtl/>
        </w:rPr>
        <w:t>لتسوية</w:t>
      </w:r>
      <w:r>
        <w:rPr>
          <w:rFonts w:hint="cs"/>
          <w:rtl/>
        </w:rPr>
        <w:t xml:space="preserve"> البديلة</w:t>
      </w:r>
      <w:r w:rsidRPr="00A06C6A">
        <w:rPr>
          <w:rtl/>
        </w:rPr>
        <w:t xml:space="preserve"> </w:t>
      </w:r>
      <w:r>
        <w:rPr>
          <w:rFonts w:hint="cs"/>
          <w:rtl/>
        </w:rPr>
        <w:t>ل</w:t>
      </w:r>
      <w:r w:rsidRPr="00A06C6A">
        <w:rPr>
          <w:rtl/>
        </w:rPr>
        <w:t>لمنازعات</w:t>
      </w:r>
      <w:r>
        <w:rPr>
          <w:rFonts w:hint="cs"/>
          <w:rtl/>
        </w:rPr>
        <w:t>، وتنظيم</w:t>
      </w:r>
      <w:r w:rsidRPr="00A06C6A">
        <w:rPr>
          <w:rtl/>
        </w:rPr>
        <w:t xml:space="preserve"> برامج تدريبية وأنشطة ترويجية</w:t>
      </w:r>
      <w:r>
        <w:rPr>
          <w:rFonts w:hint="cs"/>
          <w:rtl/>
        </w:rPr>
        <w:t>،</w:t>
      </w:r>
      <w:r w:rsidRPr="00A06C6A">
        <w:rPr>
          <w:rtl/>
        </w:rPr>
        <w:t xml:space="preserve"> وإدارة </w:t>
      </w:r>
      <w:r>
        <w:rPr>
          <w:rFonts w:hint="cs"/>
          <w:rtl/>
        </w:rPr>
        <w:t>ا</w:t>
      </w:r>
      <w:r w:rsidRPr="00A06C6A">
        <w:rPr>
          <w:rtl/>
        </w:rPr>
        <w:t>لقضايا.</w:t>
      </w:r>
      <w:r>
        <w:rPr>
          <w:rFonts w:hint="cs"/>
          <w:rtl/>
        </w:rPr>
        <w:t xml:space="preserve"> و</w:t>
      </w:r>
      <w:r>
        <w:rPr>
          <w:rtl/>
        </w:rPr>
        <w:t>منذ انعقاد جمعيات 2017</w:t>
      </w:r>
      <w:r w:rsidRPr="00A06C6A">
        <w:rPr>
          <w:rtl/>
        </w:rPr>
        <w:t xml:space="preserve">، </w:t>
      </w:r>
      <w:r w:rsidR="00B52F25">
        <w:rPr>
          <w:rFonts w:hint="cs"/>
          <w:rtl/>
        </w:rPr>
        <w:t xml:space="preserve">أقام </w:t>
      </w:r>
      <w:r w:rsidRPr="00A06C6A">
        <w:rPr>
          <w:rtl/>
        </w:rPr>
        <w:t>المركز</w:t>
      </w:r>
      <w:r w:rsidR="00B52F25">
        <w:rPr>
          <w:rFonts w:hint="cs"/>
          <w:rtl/>
        </w:rPr>
        <w:t xml:space="preserve"> علاقات تعاون </w:t>
      </w:r>
      <w:r w:rsidRPr="00A06C6A">
        <w:rPr>
          <w:rtl/>
        </w:rPr>
        <w:t>مع سلطات الملكية الفكرية في عدد من الدول الأعضاء الأخرى.</w:t>
      </w:r>
      <w:r w:rsidR="00B52F25">
        <w:rPr>
          <w:rStyle w:val="FootnoteReference"/>
          <w:rtl/>
        </w:rPr>
        <w:footnoteReference w:id="6"/>
      </w:r>
      <w:r w:rsidRPr="00A06C6A">
        <w:rPr>
          <w:rtl/>
        </w:rPr>
        <w:t xml:space="preserve"> </w:t>
      </w:r>
      <w:r w:rsidR="00B52F25" w:rsidRPr="00C626E9">
        <w:rPr>
          <w:rFonts w:hint="cs"/>
          <w:rtl/>
        </w:rPr>
        <w:t>و</w:t>
      </w:r>
      <w:r w:rsidRPr="00C626E9">
        <w:rPr>
          <w:rtl/>
        </w:rPr>
        <w:t>بعد</w:t>
      </w:r>
      <w:r w:rsidR="00B52F25" w:rsidRPr="00C626E9">
        <w:rPr>
          <w:rFonts w:hint="cs"/>
          <w:rtl/>
        </w:rPr>
        <w:t xml:space="preserve"> </w:t>
      </w:r>
      <w:r w:rsidR="00C626E9" w:rsidRPr="00C626E9">
        <w:rPr>
          <w:rFonts w:hint="cs"/>
          <w:rtl/>
        </w:rPr>
        <w:t>ال</w:t>
      </w:r>
      <w:r w:rsidR="00B52F25" w:rsidRPr="00C626E9">
        <w:rPr>
          <w:rFonts w:hint="cs"/>
          <w:rtl/>
        </w:rPr>
        <w:t>إعراب</w:t>
      </w:r>
      <w:r w:rsidR="00C626E9" w:rsidRPr="00C626E9">
        <w:rPr>
          <w:rFonts w:hint="cs"/>
          <w:rtl/>
        </w:rPr>
        <w:t xml:space="preserve"> عن احتياجات</w:t>
      </w:r>
      <w:r w:rsidR="00B52F25" w:rsidRPr="00C626E9">
        <w:rPr>
          <w:rFonts w:hint="cs"/>
          <w:rtl/>
        </w:rPr>
        <w:t xml:space="preserve"> الدول الأعضاء</w:t>
      </w:r>
      <w:r w:rsidRPr="00A06C6A">
        <w:rPr>
          <w:rtl/>
        </w:rPr>
        <w:t>، تشمل هذه المشاركة الأنواع التالية من الأنشطة.</w:t>
      </w:r>
    </w:p>
    <w:p w:rsidR="00B52F25" w:rsidRDefault="006A7EB8" w:rsidP="00AD7BE2">
      <w:pPr>
        <w:pStyle w:val="ONUMA"/>
      </w:pPr>
      <w:r>
        <w:rPr>
          <w:rFonts w:hint="cs"/>
          <w:rtl/>
        </w:rPr>
        <w:lastRenderedPageBreak/>
        <w:t xml:space="preserve">إذكاء </w:t>
      </w:r>
      <w:r w:rsidR="0068426B" w:rsidRPr="0068426B">
        <w:rPr>
          <w:rtl/>
        </w:rPr>
        <w:t xml:space="preserve">الوعي بخيارات </w:t>
      </w:r>
      <w:r w:rsidR="0068426B">
        <w:rPr>
          <w:rFonts w:hint="cs"/>
          <w:rtl/>
        </w:rPr>
        <w:t>التسوية البديلة للمنازعات</w:t>
      </w:r>
      <w:r w:rsidR="0068426B" w:rsidRPr="0068426B">
        <w:rPr>
          <w:rtl/>
        </w:rPr>
        <w:t>: يتعاون المركز مع مكاتب الملكية الفكرية</w:t>
      </w:r>
      <w:r w:rsidR="0055490C">
        <w:rPr>
          <w:rStyle w:val="FootnoteReference"/>
          <w:rtl/>
        </w:rPr>
        <w:footnoteReference w:id="7"/>
      </w:r>
      <w:r w:rsidR="0068426B" w:rsidRPr="0068426B">
        <w:rPr>
          <w:rtl/>
        </w:rPr>
        <w:t xml:space="preserve"> </w:t>
      </w:r>
      <w:r w:rsidR="0055490C">
        <w:rPr>
          <w:rFonts w:hint="cs"/>
          <w:rtl/>
        </w:rPr>
        <w:t xml:space="preserve">على </w:t>
      </w:r>
      <w:r w:rsidR="0068426B" w:rsidRPr="0068426B">
        <w:rPr>
          <w:rtl/>
        </w:rPr>
        <w:t xml:space="preserve">زيادة الوعي بمزايا خيارات </w:t>
      </w:r>
      <w:r w:rsidR="0055490C">
        <w:rPr>
          <w:rFonts w:hint="cs"/>
          <w:rtl/>
        </w:rPr>
        <w:t xml:space="preserve">التسوية البدلية للمنازعات </w:t>
      </w:r>
      <w:r w:rsidR="0068426B" w:rsidRPr="0068426B">
        <w:rPr>
          <w:rtl/>
        </w:rPr>
        <w:t xml:space="preserve">لمنع </w:t>
      </w:r>
      <w:r w:rsidR="0055490C">
        <w:rPr>
          <w:rFonts w:hint="cs"/>
          <w:rtl/>
        </w:rPr>
        <w:t>وقوع المنازعات</w:t>
      </w:r>
      <w:r w:rsidR="0068426B" w:rsidRPr="0068426B">
        <w:rPr>
          <w:rtl/>
        </w:rPr>
        <w:t xml:space="preserve"> المتعلقة بالملكية الفكرية والتكنولوجيا </w:t>
      </w:r>
      <w:r w:rsidR="0055490C" w:rsidRPr="0068426B">
        <w:rPr>
          <w:rtl/>
        </w:rPr>
        <w:t>وحل</w:t>
      </w:r>
      <w:r>
        <w:rPr>
          <w:rFonts w:hint="cs"/>
          <w:rtl/>
        </w:rPr>
        <w:t xml:space="preserve"> هذه المنازعات</w:t>
      </w:r>
      <w:r w:rsidR="0055490C" w:rsidRPr="0068426B">
        <w:rPr>
          <w:rtl/>
        </w:rPr>
        <w:t xml:space="preserve"> </w:t>
      </w:r>
      <w:r w:rsidR="0068426B" w:rsidRPr="0068426B">
        <w:rPr>
          <w:rtl/>
        </w:rPr>
        <w:t xml:space="preserve">خارج المحاكم أو الهيئات القضائية الأخرى. </w:t>
      </w:r>
      <w:r w:rsidR="0055490C">
        <w:rPr>
          <w:rFonts w:hint="cs"/>
          <w:rtl/>
        </w:rPr>
        <w:t>و</w:t>
      </w:r>
      <w:r w:rsidR="0068426B" w:rsidRPr="0068426B">
        <w:rPr>
          <w:rtl/>
        </w:rPr>
        <w:t>خلال هذه الفترة، كان هذا ال</w:t>
      </w:r>
      <w:r>
        <w:rPr>
          <w:rFonts w:hint="cs"/>
          <w:rtl/>
        </w:rPr>
        <w:t>تعاون</w:t>
      </w:r>
      <w:r w:rsidR="0068426B" w:rsidRPr="0068426B">
        <w:rPr>
          <w:rtl/>
        </w:rPr>
        <w:t xml:space="preserve"> يتألف من </w:t>
      </w:r>
      <w:r w:rsidR="00F71C30">
        <w:rPr>
          <w:rFonts w:hint="cs"/>
          <w:rtl/>
        </w:rPr>
        <w:t>إعداد</w:t>
      </w:r>
      <w:r w:rsidR="0068426B" w:rsidRPr="0068426B">
        <w:rPr>
          <w:rtl/>
        </w:rPr>
        <w:t xml:space="preserve"> مواد إعلامية مفصلة حسب </w:t>
      </w:r>
      <w:r w:rsidR="00F71C30">
        <w:rPr>
          <w:rFonts w:hint="cs"/>
          <w:rtl/>
        </w:rPr>
        <w:t xml:space="preserve">احتياجات كل بلد </w:t>
      </w:r>
      <w:r w:rsidR="00A972EB">
        <w:rPr>
          <w:rFonts w:hint="cs"/>
          <w:rtl/>
        </w:rPr>
        <w:t>بشأن خيارات التسوية البديلة للمنازعات</w:t>
      </w:r>
      <w:r w:rsidR="0068426B" w:rsidRPr="0068426B">
        <w:rPr>
          <w:rtl/>
        </w:rPr>
        <w:t>، بما في ذلك إدارة ال</w:t>
      </w:r>
      <w:r w:rsidR="00A972EB">
        <w:rPr>
          <w:rFonts w:hint="cs"/>
          <w:rtl/>
        </w:rPr>
        <w:t xml:space="preserve">قضايا </w:t>
      </w:r>
      <w:r w:rsidR="0068426B" w:rsidRPr="0068426B">
        <w:rPr>
          <w:rtl/>
        </w:rPr>
        <w:t>عبر الإنترنت</w:t>
      </w:r>
      <w:r w:rsidR="00A972EB">
        <w:rPr>
          <w:rFonts w:hint="cs"/>
          <w:rtl/>
        </w:rPr>
        <w:t>، من أجل تقديمها إلى ا</w:t>
      </w:r>
      <w:r w:rsidR="00A972EB" w:rsidRPr="0068426B">
        <w:rPr>
          <w:rtl/>
        </w:rPr>
        <w:t>لأطراف المعنية</w:t>
      </w:r>
      <w:r w:rsidR="00A972EB">
        <w:rPr>
          <w:rFonts w:hint="cs"/>
          <w:rtl/>
        </w:rPr>
        <w:t>؛</w:t>
      </w:r>
      <w:r w:rsidR="00B3303E">
        <w:rPr>
          <w:rStyle w:val="FootnoteReference"/>
          <w:rtl/>
        </w:rPr>
        <w:footnoteReference w:id="8"/>
      </w:r>
      <w:r w:rsidR="0068426B" w:rsidRPr="0068426B">
        <w:rPr>
          <w:rtl/>
        </w:rPr>
        <w:t xml:space="preserve"> </w:t>
      </w:r>
      <w:r w:rsidR="00A972EB">
        <w:rPr>
          <w:rFonts w:hint="cs"/>
          <w:rtl/>
        </w:rPr>
        <w:t xml:space="preserve">وتنظيم </w:t>
      </w:r>
      <w:r w:rsidR="0068426B" w:rsidRPr="0068426B">
        <w:rPr>
          <w:rtl/>
        </w:rPr>
        <w:t>تدريب و</w:t>
      </w:r>
      <w:r w:rsidR="00A972EB">
        <w:rPr>
          <w:rFonts w:hint="cs"/>
          <w:rtl/>
        </w:rPr>
        <w:t xml:space="preserve">فعاليات </w:t>
      </w:r>
      <w:r w:rsidR="0068426B" w:rsidRPr="0068426B">
        <w:rPr>
          <w:rtl/>
        </w:rPr>
        <w:t>مشتركة</w:t>
      </w:r>
      <w:r w:rsidR="00A972EB">
        <w:rPr>
          <w:rFonts w:hint="cs"/>
          <w:rtl/>
        </w:rPr>
        <w:t xml:space="preserve"> من أجل</w:t>
      </w:r>
      <w:r w:rsidR="0068426B" w:rsidRPr="0068426B">
        <w:rPr>
          <w:rtl/>
        </w:rPr>
        <w:t xml:space="preserve"> أصحاب المصلحة</w:t>
      </w:r>
      <w:r w:rsidR="00A972EB">
        <w:rPr>
          <w:rFonts w:hint="cs"/>
          <w:rtl/>
        </w:rPr>
        <w:t xml:space="preserve"> لإبلاغهم ب</w:t>
      </w:r>
      <w:r w:rsidR="0068426B" w:rsidRPr="0068426B">
        <w:rPr>
          <w:rtl/>
        </w:rPr>
        <w:t xml:space="preserve">فوائد الوساطة والتحكيم </w:t>
      </w:r>
      <w:r w:rsidR="00A972EB">
        <w:rPr>
          <w:rFonts w:hint="cs"/>
          <w:rtl/>
        </w:rPr>
        <w:t xml:space="preserve">في </w:t>
      </w:r>
      <w:r w:rsidR="0068426B" w:rsidRPr="0068426B">
        <w:rPr>
          <w:rtl/>
        </w:rPr>
        <w:t xml:space="preserve">حل </w:t>
      </w:r>
      <w:r w:rsidR="00A972EB">
        <w:rPr>
          <w:rFonts w:hint="cs"/>
          <w:rtl/>
        </w:rPr>
        <w:t xml:space="preserve">منازعات </w:t>
      </w:r>
      <w:r w:rsidR="0068426B" w:rsidRPr="0068426B">
        <w:rPr>
          <w:rtl/>
        </w:rPr>
        <w:t>الملكية الفكرية والمنازعات ذات الصلة؛</w:t>
      </w:r>
      <w:r w:rsidR="003E08B2">
        <w:rPr>
          <w:rStyle w:val="FootnoteReference"/>
          <w:rtl/>
        </w:rPr>
        <w:footnoteReference w:id="9"/>
      </w:r>
      <w:r w:rsidR="0068426B" w:rsidRPr="0068426B">
        <w:rPr>
          <w:rtl/>
        </w:rPr>
        <w:t xml:space="preserve"> و</w:t>
      </w:r>
      <w:r w:rsidR="003E08B2">
        <w:rPr>
          <w:rFonts w:hint="cs"/>
          <w:rtl/>
        </w:rPr>
        <w:t xml:space="preserve">إحالة </w:t>
      </w:r>
      <w:r w:rsidR="0068426B" w:rsidRPr="0068426B">
        <w:rPr>
          <w:rtl/>
        </w:rPr>
        <w:t>استفسارات ال</w:t>
      </w:r>
      <w:r w:rsidR="003E08B2">
        <w:rPr>
          <w:rFonts w:hint="cs"/>
          <w:rtl/>
        </w:rPr>
        <w:t>أ</w:t>
      </w:r>
      <w:r w:rsidR="0068426B" w:rsidRPr="0068426B">
        <w:rPr>
          <w:rtl/>
        </w:rPr>
        <w:t>طر</w:t>
      </w:r>
      <w:r w:rsidR="003E08B2">
        <w:rPr>
          <w:rFonts w:hint="cs"/>
          <w:rtl/>
        </w:rPr>
        <w:t>ا</w:t>
      </w:r>
      <w:r w:rsidR="0068426B" w:rsidRPr="0068426B">
        <w:rPr>
          <w:rtl/>
        </w:rPr>
        <w:t xml:space="preserve">ف التي </w:t>
      </w:r>
      <w:r w:rsidR="003E08B2">
        <w:rPr>
          <w:rFonts w:hint="cs"/>
          <w:rtl/>
        </w:rPr>
        <w:t>ي</w:t>
      </w:r>
      <w:r w:rsidR="0068426B" w:rsidRPr="0068426B">
        <w:rPr>
          <w:rtl/>
        </w:rPr>
        <w:t>تلقاها أحد</w:t>
      </w:r>
      <w:r w:rsidR="003E08B2">
        <w:rPr>
          <w:rFonts w:hint="cs"/>
          <w:rtl/>
        </w:rPr>
        <w:t xml:space="preserve"> مكاتب الملكية الفكرية</w:t>
      </w:r>
      <w:r w:rsidR="0068426B" w:rsidRPr="0068426B">
        <w:rPr>
          <w:rtl/>
        </w:rPr>
        <w:t xml:space="preserve"> </w:t>
      </w:r>
      <w:r w:rsidR="003E08B2">
        <w:rPr>
          <w:rFonts w:hint="cs"/>
          <w:rtl/>
        </w:rPr>
        <w:t>إلى</w:t>
      </w:r>
      <w:r w:rsidR="0068426B" w:rsidRPr="0068426B">
        <w:rPr>
          <w:rtl/>
        </w:rPr>
        <w:t xml:space="preserve"> </w:t>
      </w:r>
      <w:r w:rsidR="003E08B2">
        <w:rPr>
          <w:rFonts w:hint="cs"/>
          <w:rtl/>
        </w:rPr>
        <w:t>ا</w:t>
      </w:r>
      <w:r w:rsidR="0068426B" w:rsidRPr="0068426B">
        <w:rPr>
          <w:rtl/>
        </w:rPr>
        <w:t>لمركز للحصول على مزيد من المساعدة (</w:t>
      </w:r>
      <w:r>
        <w:rPr>
          <w:rFonts w:hint="cs"/>
          <w:rtl/>
        </w:rPr>
        <w:t xml:space="preserve">لا سيما </w:t>
      </w:r>
      <w:r w:rsidR="0068426B" w:rsidRPr="0068426B">
        <w:rPr>
          <w:rtl/>
        </w:rPr>
        <w:t xml:space="preserve">في قضايا </w:t>
      </w:r>
      <w:r>
        <w:rPr>
          <w:rFonts w:hint="cs"/>
          <w:rtl/>
        </w:rPr>
        <w:t>التعدي على الحقوق</w:t>
      </w:r>
      <w:r w:rsidR="0068426B" w:rsidRPr="0068426B">
        <w:rPr>
          <w:rtl/>
        </w:rPr>
        <w:t>).</w:t>
      </w:r>
    </w:p>
    <w:p w:rsidR="00B3303E" w:rsidRDefault="00EC5D5E" w:rsidP="00AD7BE2">
      <w:pPr>
        <w:pStyle w:val="ONUMA"/>
      </w:pPr>
      <w:r w:rsidRPr="00EC5D5E">
        <w:rPr>
          <w:rtl/>
        </w:rPr>
        <w:t xml:space="preserve">إدارة القضايا: </w:t>
      </w:r>
      <w:r>
        <w:rPr>
          <w:rFonts w:hint="cs"/>
          <w:rtl/>
        </w:rPr>
        <w:t>وضعت</w:t>
      </w:r>
      <w:r w:rsidRPr="00EC5D5E">
        <w:rPr>
          <w:rtl/>
        </w:rPr>
        <w:t xml:space="preserve"> بعض مكاتب الملكية الفكرية خيارات </w:t>
      </w:r>
      <w:r>
        <w:rPr>
          <w:rFonts w:hint="cs"/>
          <w:rtl/>
        </w:rPr>
        <w:t>التسوية البديلة للمنازعات</w:t>
      </w:r>
      <w:r w:rsidRPr="00EC5D5E">
        <w:rPr>
          <w:rtl/>
        </w:rPr>
        <w:t xml:space="preserve"> أو شجعت الأطراف على استخدام هذه الخيارات، في سياق </w:t>
      </w:r>
      <w:r w:rsidR="002848CF">
        <w:rPr>
          <w:rFonts w:hint="cs"/>
          <w:rtl/>
        </w:rPr>
        <w:t>الدعاوى</w:t>
      </w:r>
      <w:r w:rsidR="00AA7E99">
        <w:rPr>
          <w:rFonts w:hint="cs"/>
          <w:rtl/>
        </w:rPr>
        <w:t xml:space="preserve"> المعلقة التي تنظر فيها</w:t>
      </w:r>
      <w:r w:rsidRPr="00EC5D5E">
        <w:rPr>
          <w:rtl/>
        </w:rPr>
        <w:t xml:space="preserve">، لا سيما </w:t>
      </w:r>
      <w:r w:rsidR="002B0363">
        <w:rPr>
          <w:rFonts w:hint="cs"/>
          <w:rtl/>
        </w:rPr>
        <w:t xml:space="preserve">دعاوى الاعتراض على </w:t>
      </w:r>
      <w:r w:rsidRPr="00EC5D5E">
        <w:rPr>
          <w:rtl/>
        </w:rPr>
        <w:t xml:space="preserve">العلامات التجارية أو </w:t>
      </w:r>
      <w:r w:rsidR="002B0363">
        <w:rPr>
          <w:rFonts w:hint="cs"/>
          <w:rtl/>
        </w:rPr>
        <w:t>ال</w:t>
      </w:r>
      <w:r w:rsidRPr="00EC5D5E">
        <w:rPr>
          <w:rtl/>
        </w:rPr>
        <w:t xml:space="preserve">براءات. وعمل المركز مع مكاتب الملكية الفكرية </w:t>
      </w:r>
      <w:r w:rsidR="002B0363">
        <w:rPr>
          <w:rFonts w:hint="cs"/>
          <w:rtl/>
        </w:rPr>
        <w:t>على</w:t>
      </w:r>
      <w:r w:rsidRPr="00EC5D5E">
        <w:rPr>
          <w:rtl/>
        </w:rPr>
        <w:t xml:space="preserve"> تطوير خيارات الوساطة و</w:t>
      </w:r>
      <w:r w:rsidR="00925575" w:rsidRPr="00925575">
        <w:rPr>
          <w:rtl/>
        </w:rPr>
        <w:t xml:space="preserve">قرارات الخبراء </w:t>
      </w:r>
      <w:r w:rsidR="00A2296C">
        <w:rPr>
          <w:rFonts w:hint="cs"/>
          <w:rtl/>
        </w:rPr>
        <w:t>في دعاوى ا</w:t>
      </w:r>
      <w:r w:rsidR="00925575">
        <w:rPr>
          <w:rFonts w:hint="cs"/>
          <w:rtl/>
        </w:rPr>
        <w:t xml:space="preserve">لتسوية </w:t>
      </w:r>
      <w:r w:rsidR="00A2296C">
        <w:rPr>
          <w:rFonts w:hint="cs"/>
          <w:rtl/>
        </w:rPr>
        <w:t>البديلة ل</w:t>
      </w:r>
      <w:r w:rsidR="00925575">
        <w:rPr>
          <w:rFonts w:hint="cs"/>
          <w:rtl/>
        </w:rPr>
        <w:t>لمنازعات</w:t>
      </w:r>
      <w:r w:rsidRPr="00EC5D5E">
        <w:rPr>
          <w:rtl/>
        </w:rPr>
        <w:t xml:space="preserve">. </w:t>
      </w:r>
      <w:r w:rsidR="00925575">
        <w:rPr>
          <w:rFonts w:hint="cs"/>
          <w:rtl/>
        </w:rPr>
        <w:t>و</w:t>
      </w:r>
      <w:r w:rsidRPr="00EC5D5E">
        <w:rPr>
          <w:rtl/>
        </w:rPr>
        <w:t xml:space="preserve">تعاون المركز </w:t>
      </w:r>
      <w:r w:rsidR="00925575">
        <w:rPr>
          <w:rFonts w:hint="cs"/>
          <w:rtl/>
        </w:rPr>
        <w:t xml:space="preserve">أيضا </w:t>
      </w:r>
      <w:r w:rsidRPr="00EC5D5E">
        <w:rPr>
          <w:rtl/>
        </w:rPr>
        <w:t xml:space="preserve">مع مكاتب الملكية الفكرية </w:t>
      </w:r>
      <w:r w:rsidR="00925575">
        <w:rPr>
          <w:rFonts w:hint="cs"/>
          <w:rtl/>
        </w:rPr>
        <w:t>على</w:t>
      </w:r>
      <w:r w:rsidRPr="00EC5D5E">
        <w:rPr>
          <w:rtl/>
        </w:rPr>
        <w:t xml:space="preserve"> إدارة ال</w:t>
      </w:r>
      <w:r w:rsidR="00925575">
        <w:rPr>
          <w:rFonts w:hint="cs"/>
          <w:rtl/>
        </w:rPr>
        <w:t xml:space="preserve">قضايا </w:t>
      </w:r>
      <w:r w:rsidRPr="00EC5D5E">
        <w:rPr>
          <w:rtl/>
        </w:rPr>
        <w:t xml:space="preserve">المقدمة من الأطراف بموجب هذه </w:t>
      </w:r>
      <w:r w:rsidRPr="00A2296C">
        <w:rPr>
          <w:rtl/>
        </w:rPr>
        <w:t>المخططات</w:t>
      </w:r>
      <w:r w:rsidRPr="00EC5D5E">
        <w:rPr>
          <w:rtl/>
        </w:rPr>
        <w:t>.</w:t>
      </w:r>
      <w:r w:rsidR="00587B20">
        <w:rPr>
          <w:rStyle w:val="FootnoteReference"/>
          <w:rtl/>
        </w:rPr>
        <w:footnoteReference w:id="10"/>
      </w:r>
      <w:r w:rsidRPr="00EC5D5E">
        <w:rPr>
          <w:rtl/>
        </w:rPr>
        <w:t xml:space="preserve"> </w:t>
      </w:r>
      <w:r w:rsidR="00587B20">
        <w:rPr>
          <w:rFonts w:hint="cs"/>
          <w:rtl/>
        </w:rPr>
        <w:lastRenderedPageBreak/>
        <w:t>و</w:t>
      </w:r>
      <w:r w:rsidRPr="00EC5D5E">
        <w:rPr>
          <w:rtl/>
        </w:rPr>
        <w:t xml:space="preserve">في مجال حق المؤلف، تقوم بعض مكاتب الملكية الفكرية بإدارة إجراءات </w:t>
      </w:r>
      <w:r w:rsidR="00587B20">
        <w:rPr>
          <w:rFonts w:hint="cs"/>
          <w:rtl/>
        </w:rPr>
        <w:t xml:space="preserve">التسوية البديلة للمنازعات </w:t>
      </w:r>
      <w:r w:rsidRPr="00EC5D5E">
        <w:rPr>
          <w:rtl/>
        </w:rPr>
        <w:t>في ال</w:t>
      </w:r>
      <w:r w:rsidR="00587B20">
        <w:rPr>
          <w:rFonts w:hint="cs"/>
          <w:rtl/>
        </w:rPr>
        <w:t xml:space="preserve">منازعات </w:t>
      </w:r>
      <w:r w:rsidRPr="00EC5D5E">
        <w:rPr>
          <w:rtl/>
        </w:rPr>
        <w:t>المحلية وت</w:t>
      </w:r>
      <w:r w:rsidR="00587B20">
        <w:rPr>
          <w:rFonts w:hint="cs"/>
          <w:rtl/>
        </w:rPr>
        <w:t>ُ</w:t>
      </w:r>
      <w:r w:rsidRPr="00EC5D5E">
        <w:rPr>
          <w:rtl/>
        </w:rPr>
        <w:t xml:space="preserve">عيّن المركز </w:t>
      </w:r>
      <w:r w:rsidR="00587B20">
        <w:rPr>
          <w:rFonts w:hint="cs"/>
          <w:rtl/>
        </w:rPr>
        <w:t xml:space="preserve">لإدارة القضايا </w:t>
      </w:r>
      <w:r w:rsidRPr="00EC5D5E">
        <w:rPr>
          <w:rtl/>
        </w:rPr>
        <w:t xml:space="preserve">التي يكون فيها أحد الطرفين أو كلاهما </w:t>
      </w:r>
      <w:r w:rsidR="00587B20">
        <w:rPr>
          <w:rFonts w:hint="cs"/>
          <w:rtl/>
        </w:rPr>
        <w:t>من ال</w:t>
      </w:r>
      <w:r w:rsidRPr="00EC5D5E">
        <w:rPr>
          <w:rtl/>
        </w:rPr>
        <w:t>مقيمي</w:t>
      </w:r>
      <w:r w:rsidR="00587B20">
        <w:rPr>
          <w:rFonts w:hint="cs"/>
          <w:rtl/>
        </w:rPr>
        <w:t>ن</w:t>
      </w:r>
      <w:r w:rsidRPr="00EC5D5E">
        <w:rPr>
          <w:rtl/>
        </w:rPr>
        <w:t xml:space="preserve"> خارج البلد.</w:t>
      </w:r>
      <w:r w:rsidR="00937BC3">
        <w:rPr>
          <w:rStyle w:val="FootnoteReference"/>
          <w:rtl/>
        </w:rPr>
        <w:footnoteReference w:id="11"/>
      </w:r>
    </w:p>
    <w:p w:rsidR="00937BC3" w:rsidRDefault="000C3B75" w:rsidP="00AD7BE2">
      <w:pPr>
        <w:pStyle w:val="ONUMA"/>
      </w:pPr>
      <w:r w:rsidRPr="000C3B75">
        <w:rPr>
          <w:rtl/>
        </w:rPr>
        <w:t xml:space="preserve">خيارات </w:t>
      </w:r>
      <w:r>
        <w:rPr>
          <w:rFonts w:hint="cs"/>
          <w:rtl/>
        </w:rPr>
        <w:t>التسوية البديلة للمنازعات</w:t>
      </w:r>
      <w:r w:rsidRPr="000C3B75">
        <w:rPr>
          <w:rtl/>
        </w:rPr>
        <w:t xml:space="preserve"> في </w:t>
      </w:r>
      <w:r w:rsidR="00593C74">
        <w:rPr>
          <w:rFonts w:hint="cs"/>
          <w:rtl/>
        </w:rPr>
        <w:t>ال</w:t>
      </w:r>
      <w:r w:rsidRPr="000C3B75">
        <w:rPr>
          <w:rtl/>
        </w:rPr>
        <w:t>اتفاقات</w:t>
      </w:r>
      <w:r w:rsidR="00593C74">
        <w:rPr>
          <w:rFonts w:hint="cs"/>
          <w:rtl/>
        </w:rPr>
        <w:t xml:space="preserve"> النموذجية</w:t>
      </w:r>
      <w:r w:rsidRPr="000C3B75">
        <w:rPr>
          <w:rtl/>
        </w:rPr>
        <w:t xml:space="preserve"> </w:t>
      </w:r>
      <w:r w:rsidR="00593C74">
        <w:rPr>
          <w:rFonts w:hint="cs"/>
          <w:rtl/>
        </w:rPr>
        <w:t>ل</w:t>
      </w:r>
      <w:r w:rsidRPr="000C3B75">
        <w:rPr>
          <w:rtl/>
        </w:rPr>
        <w:t>لبحث والتطوير</w:t>
      </w:r>
      <w:r w:rsidR="00593C74">
        <w:rPr>
          <w:rtl/>
        </w:rPr>
        <w:t>: تعاون المركز أيضا</w:t>
      </w:r>
      <w:r w:rsidRPr="000C3B75">
        <w:rPr>
          <w:rtl/>
        </w:rPr>
        <w:t xml:space="preserve"> مع مكاتب الملكية الفكرية </w:t>
      </w:r>
      <w:r w:rsidR="00593C74">
        <w:rPr>
          <w:rFonts w:hint="cs"/>
          <w:rtl/>
        </w:rPr>
        <w:t>على</w:t>
      </w:r>
      <w:r w:rsidRPr="000C3B75">
        <w:rPr>
          <w:rtl/>
        </w:rPr>
        <w:t xml:space="preserve"> </w:t>
      </w:r>
      <w:r w:rsidR="00593C74">
        <w:rPr>
          <w:rFonts w:hint="cs"/>
          <w:rtl/>
        </w:rPr>
        <w:t>إعداد</w:t>
      </w:r>
      <w:r w:rsidRPr="000C3B75">
        <w:rPr>
          <w:rtl/>
        </w:rPr>
        <w:t xml:space="preserve"> اتفاقات نموذج</w:t>
      </w:r>
      <w:r w:rsidR="00593C74">
        <w:rPr>
          <w:rFonts w:hint="cs"/>
          <w:rtl/>
        </w:rPr>
        <w:t>ية</w:t>
      </w:r>
      <w:r w:rsidRPr="000C3B75">
        <w:rPr>
          <w:rtl/>
        </w:rPr>
        <w:t xml:space="preserve"> </w:t>
      </w:r>
      <w:r w:rsidR="00593C74">
        <w:rPr>
          <w:rFonts w:hint="cs"/>
          <w:rtl/>
        </w:rPr>
        <w:t>بشأن ا</w:t>
      </w:r>
      <w:r w:rsidRPr="000C3B75">
        <w:rPr>
          <w:rtl/>
        </w:rPr>
        <w:t xml:space="preserve">لبحث والتطوير، وتتضمن أحكام تسوية المنازعات </w:t>
      </w:r>
      <w:r w:rsidR="00593C74">
        <w:rPr>
          <w:rFonts w:hint="cs"/>
          <w:rtl/>
        </w:rPr>
        <w:t xml:space="preserve">المنصوص عليها في هذه الاتفاقات </w:t>
      </w:r>
      <w:r w:rsidRPr="000C3B75">
        <w:rPr>
          <w:rtl/>
        </w:rPr>
        <w:t xml:space="preserve">وساطة الويبو متبوعة بخيارات تحكيم </w:t>
      </w:r>
      <w:r w:rsidR="008E0002" w:rsidRPr="000C3B75">
        <w:rPr>
          <w:rtl/>
        </w:rPr>
        <w:t xml:space="preserve">الويبو </w:t>
      </w:r>
      <w:r w:rsidRPr="000C3B75">
        <w:rPr>
          <w:rtl/>
        </w:rPr>
        <w:t>المعج</w:t>
      </w:r>
      <w:r w:rsidR="008E0002">
        <w:rPr>
          <w:rFonts w:hint="cs"/>
          <w:rtl/>
        </w:rPr>
        <w:t>َّ</w:t>
      </w:r>
      <w:r w:rsidRPr="000C3B75">
        <w:rPr>
          <w:rtl/>
        </w:rPr>
        <w:t>ل.</w:t>
      </w:r>
      <w:r w:rsidR="00F8134B">
        <w:rPr>
          <w:rStyle w:val="FootnoteReference"/>
        </w:rPr>
        <w:footnoteReference w:id="12"/>
      </w:r>
    </w:p>
    <w:p w:rsidR="008E0002" w:rsidRDefault="00E6530D" w:rsidP="00AD7BE2">
      <w:pPr>
        <w:pStyle w:val="ONUMA"/>
      </w:pPr>
      <w:r w:rsidRPr="00E6530D">
        <w:rPr>
          <w:rtl/>
        </w:rPr>
        <w:t xml:space="preserve">وفي ضوء هذه </w:t>
      </w:r>
      <w:r>
        <w:rPr>
          <w:rFonts w:hint="cs"/>
          <w:rtl/>
        </w:rPr>
        <w:t>الخبرة</w:t>
      </w:r>
      <w:r w:rsidRPr="00E6530D">
        <w:rPr>
          <w:rtl/>
        </w:rPr>
        <w:t xml:space="preserve"> المتنامية، نشر المركز في عام 2018 طبعة ثانية من دليل الويبو بشأن </w:t>
      </w:r>
      <w:r w:rsidR="00F8134B">
        <w:rPr>
          <w:rFonts w:hint="cs"/>
          <w:rtl/>
        </w:rPr>
        <w:t>التسوية البديلة ل</w:t>
      </w:r>
      <w:r w:rsidRPr="00E6530D">
        <w:rPr>
          <w:rtl/>
        </w:rPr>
        <w:t xml:space="preserve">لمنازعات </w:t>
      </w:r>
      <w:r w:rsidR="00F51E1B">
        <w:rPr>
          <w:rFonts w:hint="cs"/>
          <w:rtl/>
        </w:rPr>
        <w:t>لفائدة</w:t>
      </w:r>
      <w:r w:rsidR="00F8134B">
        <w:rPr>
          <w:rFonts w:hint="cs"/>
          <w:rtl/>
        </w:rPr>
        <w:t xml:space="preserve"> </w:t>
      </w:r>
      <w:r w:rsidRPr="00E6530D">
        <w:rPr>
          <w:rtl/>
        </w:rPr>
        <w:t>مكاتب</w:t>
      </w:r>
      <w:r w:rsidR="00F8134B">
        <w:rPr>
          <w:rFonts w:hint="cs"/>
          <w:rtl/>
        </w:rPr>
        <w:t xml:space="preserve"> الملكية الفكرية والمحاكم</w:t>
      </w:r>
      <w:r w:rsidRPr="00E6530D">
        <w:rPr>
          <w:rtl/>
        </w:rPr>
        <w:t>.</w:t>
      </w:r>
      <w:r w:rsidR="00F8134B">
        <w:rPr>
          <w:rStyle w:val="FootnoteReference"/>
          <w:rtl/>
        </w:rPr>
        <w:footnoteReference w:id="13"/>
      </w:r>
      <w:r w:rsidRPr="00E6530D">
        <w:rPr>
          <w:rtl/>
        </w:rPr>
        <w:t xml:space="preserve"> </w:t>
      </w:r>
      <w:r w:rsidR="00F8134B">
        <w:rPr>
          <w:rFonts w:hint="cs"/>
          <w:rtl/>
        </w:rPr>
        <w:t>و</w:t>
      </w:r>
      <w:r w:rsidRPr="00E6530D">
        <w:rPr>
          <w:rtl/>
        </w:rPr>
        <w:t xml:space="preserve">يقدم </w:t>
      </w:r>
      <w:r w:rsidR="00F8134B">
        <w:rPr>
          <w:rFonts w:hint="cs"/>
          <w:rtl/>
        </w:rPr>
        <w:t xml:space="preserve">هذا </w:t>
      </w:r>
      <w:r w:rsidRPr="00E6530D">
        <w:rPr>
          <w:rtl/>
        </w:rPr>
        <w:t xml:space="preserve">الدليل لمحة عامة عن </w:t>
      </w:r>
      <w:r w:rsidR="00F8134B">
        <w:rPr>
          <w:rFonts w:hint="cs"/>
          <w:rtl/>
        </w:rPr>
        <w:t>سبل التسوية البديلة</w:t>
      </w:r>
      <w:r w:rsidRPr="00E6530D">
        <w:rPr>
          <w:rtl/>
        </w:rPr>
        <w:t xml:space="preserve"> لمنازعات الملكية الفكرية وي</w:t>
      </w:r>
      <w:r w:rsidR="00F8134B">
        <w:rPr>
          <w:rFonts w:hint="cs"/>
          <w:rtl/>
        </w:rPr>
        <w:t>ُ</w:t>
      </w:r>
      <w:r w:rsidRPr="00E6530D">
        <w:rPr>
          <w:rtl/>
        </w:rPr>
        <w:t>قد</w:t>
      </w:r>
      <w:r w:rsidR="00F8134B">
        <w:rPr>
          <w:rFonts w:hint="cs"/>
          <w:rtl/>
        </w:rPr>
        <w:t>ِّ</w:t>
      </w:r>
      <w:r w:rsidRPr="00E6530D">
        <w:rPr>
          <w:rtl/>
        </w:rPr>
        <w:t xml:space="preserve">م </w:t>
      </w:r>
      <w:r w:rsidR="00F8134B">
        <w:rPr>
          <w:rFonts w:hint="cs"/>
          <w:rtl/>
        </w:rPr>
        <w:t xml:space="preserve">إلى </w:t>
      </w:r>
      <w:r w:rsidRPr="00E6530D">
        <w:rPr>
          <w:rtl/>
        </w:rPr>
        <w:t xml:space="preserve">مكاتب الملكية الفكرية والمحاكم المعنية </w:t>
      </w:r>
      <w:r w:rsidR="00F8134B" w:rsidRPr="00E6530D">
        <w:rPr>
          <w:rtl/>
        </w:rPr>
        <w:t xml:space="preserve">خيارات </w:t>
      </w:r>
      <w:r w:rsidRPr="00E6530D">
        <w:rPr>
          <w:rtl/>
        </w:rPr>
        <w:t xml:space="preserve">لدمج </w:t>
      </w:r>
      <w:r w:rsidR="0094742E">
        <w:rPr>
          <w:rFonts w:hint="cs"/>
          <w:rtl/>
        </w:rPr>
        <w:t>سبيل التسوية البديلة</w:t>
      </w:r>
      <w:r w:rsidRPr="00E6530D">
        <w:rPr>
          <w:rtl/>
        </w:rPr>
        <w:t xml:space="preserve"> في عملياته</w:t>
      </w:r>
      <w:r w:rsidR="0094742E">
        <w:rPr>
          <w:rFonts w:hint="cs"/>
          <w:rtl/>
        </w:rPr>
        <w:t>ا</w:t>
      </w:r>
      <w:r w:rsidRPr="00E6530D">
        <w:rPr>
          <w:rtl/>
        </w:rPr>
        <w:t xml:space="preserve"> الحالية. </w:t>
      </w:r>
      <w:r w:rsidR="00453F75">
        <w:rPr>
          <w:rFonts w:hint="cs"/>
          <w:rtl/>
        </w:rPr>
        <w:t>ويوضح</w:t>
      </w:r>
      <w:r w:rsidR="000E43D7">
        <w:rPr>
          <w:rtl/>
        </w:rPr>
        <w:t xml:space="preserve"> الدليل أيض</w:t>
      </w:r>
      <w:r w:rsidRPr="00E6530D">
        <w:rPr>
          <w:rtl/>
        </w:rPr>
        <w:t xml:space="preserve">ا </w:t>
      </w:r>
      <w:r w:rsidR="000E43D7">
        <w:rPr>
          <w:rFonts w:hint="cs"/>
          <w:rtl/>
        </w:rPr>
        <w:t xml:space="preserve">أوجه </w:t>
      </w:r>
      <w:r w:rsidRPr="00E6530D">
        <w:rPr>
          <w:rtl/>
        </w:rPr>
        <w:t>تعاون المركز ويقدم أمثلة ع</w:t>
      </w:r>
      <w:r w:rsidR="000E43D7">
        <w:rPr>
          <w:rFonts w:hint="cs"/>
          <w:rtl/>
        </w:rPr>
        <w:t xml:space="preserve">لى </w:t>
      </w:r>
      <w:r w:rsidRPr="00E6530D">
        <w:rPr>
          <w:rtl/>
        </w:rPr>
        <w:t>ال</w:t>
      </w:r>
      <w:r w:rsidR="000E43D7">
        <w:rPr>
          <w:rFonts w:hint="cs"/>
          <w:rtl/>
        </w:rPr>
        <w:t xml:space="preserve">وثائق </w:t>
      </w:r>
      <w:r w:rsidRPr="00E6530D">
        <w:rPr>
          <w:rtl/>
        </w:rPr>
        <w:t>النموذجية ذات الصلة.</w:t>
      </w:r>
    </w:p>
    <w:p w:rsidR="003A1A53" w:rsidRPr="003A1A53" w:rsidRDefault="003A1A53" w:rsidP="003A1A53">
      <w:pPr>
        <w:pStyle w:val="BodyText"/>
        <w:numPr>
          <w:ilvl w:val="0"/>
          <w:numId w:val="46"/>
        </w:numPr>
        <w:ind w:left="1615" w:hanging="540"/>
        <w:rPr>
          <w:u w:val="single"/>
        </w:rPr>
      </w:pPr>
      <w:r w:rsidRPr="003A1A53">
        <w:rPr>
          <w:rFonts w:hint="cs"/>
          <w:u w:val="single"/>
          <w:rtl/>
        </w:rPr>
        <w:t xml:space="preserve">سبل الويبو للتسوية البديلة لمنازعات </w:t>
      </w:r>
      <w:r w:rsidRPr="003A1A53">
        <w:rPr>
          <w:u w:val="single"/>
          <w:rtl/>
        </w:rPr>
        <w:t xml:space="preserve">شروط </w:t>
      </w:r>
      <w:r w:rsidRPr="003A1A53">
        <w:rPr>
          <w:rFonts w:hint="cs"/>
          <w:u w:val="single"/>
          <w:rtl/>
        </w:rPr>
        <w:t>الترخيص ال</w:t>
      </w:r>
      <w:r w:rsidRPr="003A1A53">
        <w:rPr>
          <w:u w:val="single"/>
          <w:rtl/>
        </w:rPr>
        <w:t>منصفة و</w:t>
      </w:r>
      <w:r w:rsidRPr="003A1A53">
        <w:rPr>
          <w:rFonts w:hint="cs"/>
          <w:u w:val="single"/>
          <w:rtl/>
        </w:rPr>
        <w:t>ال</w:t>
      </w:r>
      <w:r w:rsidRPr="003A1A53">
        <w:rPr>
          <w:u w:val="single"/>
          <w:rtl/>
        </w:rPr>
        <w:t xml:space="preserve">معقولة وغير </w:t>
      </w:r>
      <w:r w:rsidRPr="003A1A53">
        <w:rPr>
          <w:rFonts w:hint="cs"/>
          <w:u w:val="single"/>
          <w:rtl/>
        </w:rPr>
        <w:t>ال</w:t>
      </w:r>
      <w:r w:rsidRPr="003A1A53">
        <w:rPr>
          <w:u w:val="single"/>
          <w:rtl/>
        </w:rPr>
        <w:t>تمييزية</w:t>
      </w:r>
    </w:p>
    <w:p w:rsidR="00BC5684" w:rsidRDefault="00FE65FF" w:rsidP="00AD7BE2">
      <w:pPr>
        <w:pStyle w:val="ONUMA"/>
      </w:pPr>
      <w:r w:rsidRPr="00FE65FF">
        <w:rPr>
          <w:rtl/>
        </w:rPr>
        <w:t xml:space="preserve">لتسهيل </w:t>
      </w:r>
      <w:r w:rsidR="00D2773C">
        <w:rPr>
          <w:rFonts w:hint="cs"/>
          <w:rtl/>
        </w:rPr>
        <w:t>الخضوع</w:t>
      </w:r>
      <w:r w:rsidRPr="00FE65FF">
        <w:rPr>
          <w:rtl/>
        </w:rPr>
        <w:t xml:space="preserve"> </w:t>
      </w:r>
      <w:r w:rsidR="00D2773C">
        <w:rPr>
          <w:rFonts w:hint="cs"/>
          <w:rtl/>
        </w:rPr>
        <w:t xml:space="preserve">لسبل الويبو البديلة لتسوية </w:t>
      </w:r>
      <w:r w:rsidRPr="00FE65FF">
        <w:rPr>
          <w:rtl/>
        </w:rPr>
        <w:t>المنازعات المتعلقة ب</w:t>
      </w:r>
      <w:r w:rsidR="00D2773C">
        <w:rPr>
          <w:rFonts w:hint="cs"/>
          <w:rtl/>
        </w:rPr>
        <w:t>ال</w:t>
      </w:r>
      <w:r w:rsidRPr="00FE65FF">
        <w:rPr>
          <w:rtl/>
        </w:rPr>
        <w:t xml:space="preserve">شروط </w:t>
      </w:r>
      <w:r w:rsidR="00D2773C">
        <w:rPr>
          <w:rFonts w:hint="cs"/>
          <w:rtl/>
        </w:rPr>
        <w:t>ا</w:t>
      </w:r>
      <w:r w:rsidRPr="00FE65FF">
        <w:rPr>
          <w:rtl/>
        </w:rPr>
        <w:t>ل</w:t>
      </w:r>
      <w:r w:rsidR="00D2773C">
        <w:rPr>
          <w:rFonts w:hint="cs"/>
          <w:rtl/>
        </w:rPr>
        <w:t xml:space="preserve">منصفة </w:t>
      </w:r>
      <w:r w:rsidRPr="00FE65FF">
        <w:rPr>
          <w:rtl/>
        </w:rPr>
        <w:t>والمعقولة وغير التمييزية (</w:t>
      </w:r>
      <w:r w:rsidRPr="00FE65FF">
        <w:t>FRAND</w:t>
      </w:r>
      <w:r w:rsidRPr="00FE65FF">
        <w:rPr>
          <w:rtl/>
        </w:rPr>
        <w:t>) الخاصة ب</w:t>
      </w:r>
      <w:r w:rsidR="00D2773C" w:rsidRPr="00D2773C">
        <w:rPr>
          <w:rtl/>
        </w:rPr>
        <w:t xml:space="preserve">البراءات المعيارية الأساسية </w:t>
      </w:r>
      <w:r w:rsidRPr="00FE65FF">
        <w:rPr>
          <w:rtl/>
        </w:rPr>
        <w:t>(</w:t>
      </w:r>
      <w:r w:rsidRPr="00FE65FF">
        <w:t>SEPs</w:t>
      </w:r>
      <w:r w:rsidRPr="00FE65FF">
        <w:rPr>
          <w:rtl/>
        </w:rPr>
        <w:t>)، قام المركز بالتعاون مع أصحاب المصلحة في</w:t>
      </w:r>
      <w:r w:rsidR="00D2773C">
        <w:rPr>
          <w:rFonts w:hint="cs"/>
          <w:rtl/>
        </w:rPr>
        <w:t xml:space="preserve"> مجال</w:t>
      </w:r>
      <w:r w:rsidRPr="00FE65FF">
        <w:rPr>
          <w:rtl/>
        </w:rPr>
        <w:t xml:space="preserve"> الاتصالات وخبراء التحكيم في مجال البراءات بوضع </w:t>
      </w:r>
      <w:r w:rsidR="00937D2A" w:rsidRPr="00937D2A">
        <w:rPr>
          <w:rtl/>
        </w:rPr>
        <w:t xml:space="preserve">إرشادات بشأن سُبل الويبو البديلة لتسوية </w:t>
      </w:r>
      <w:r w:rsidR="00937D2A" w:rsidRPr="00FE65FF">
        <w:rPr>
          <w:rtl/>
        </w:rPr>
        <w:t>المنازعات المتعلقة ب</w:t>
      </w:r>
      <w:r w:rsidR="00937D2A">
        <w:rPr>
          <w:rFonts w:hint="cs"/>
          <w:rtl/>
        </w:rPr>
        <w:t>ال</w:t>
      </w:r>
      <w:r w:rsidR="00937D2A" w:rsidRPr="00FE65FF">
        <w:rPr>
          <w:rtl/>
        </w:rPr>
        <w:t xml:space="preserve">شروط </w:t>
      </w:r>
      <w:r w:rsidR="00937D2A">
        <w:rPr>
          <w:rFonts w:hint="cs"/>
          <w:rtl/>
        </w:rPr>
        <w:t>ا</w:t>
      </w:r>
      <w:r w:rsidR="00937D2A" w:rsidRPr="00FE65FF">
        <w:rPr>
          <w:rtl/>
        </w:rPr>
        <w:t>ل</w:t>
      </w:r>
      <w:r w:rsidR="00937D2A">
        <w:rPr>
          <w:rFonts w:hint="cs"/>
          <w:rtl/>
        </w:rPr>
        <w:t xml:space="preserve">منصفة </w:t>
      </w:r>
      <w:r w:rsidR="00937D2A" w:rsidRPr="00FE65FF">
        <w:rPr>
          <w:rtl/>
        </w:rPr>
        <w:t>والمعقولة وغير التمييزية</w:t>
      </w:r>
      <w:r w:rsidRPr="00FE65FF">
        <w:rPr>
          <w:rtl/>
        </w:rPr>
        <w:t>.</w:t>
      </w:r>
      <w:r w:rsidR="00937D2A">
        <w:rPr>
          <w:rStyle w:val="FootnoteReference"/>
          <w:rtl/>
        </w:rPr>
        <w:footnoteReference w:id="14"/>
      </w:r>
      <w:r w:rsidRPr="00FE65FF">
        <w:rPr>
          <w:rtl/>
        </w:rPr>
        <w:t xml:space="preserve"> </w:t>
      </w:r>
      <w:r w:rsidR="00937D2A">
        <w:rPr>
          <w:rFonts w:hint="cs"/>
          <w:rtl/>
        </w:rPr>
        <w:t>و</w:t>
      </w:r>
      <w:r w:rsidRPr="00FE65FF">
        <w:rPr>
          <w:rtl/>
        </w:rPr>
        <w:t>نُشر</w:t>
      </w:r>
      <w:r w:rsidR="00937D2A">
        <w:rPr>
          <w:rFonts w:hint="cs"/>
          <w:rtl/>
        </w:rPr>
        <w:t>ت</w:t>
      </w:r>
      <w:r w:rsidRPr="00FE65FF">
        <w:rPr>
          <w:rtl/>
        </w:rPr>
        <w:t xml:space="preserve"> </w:t>
      </w:r>
      <w:r w:rsidR="00937D2A">
        <w:rPr>
          <w:rFonts w:hint="cs"/>
          <w:rtl/>
        </w:rPr>
        <w:t xml:space="preserve">هذه الإرشادات </w:t>
      </w:r>
      <w:r w:rsidRPr="00FE65FF">
        <w:rPr>
          <w:rtl/>
        </w:rPr>
        <w:t xml:space="preserve">في أواخر عام 2017، </w:t>
      </w:r>
      <w:r w:rsidR="00937D2A">
        <w:rPr>
          <w:rFonts w:hint="cs"/>
          <w:rtl/>
        </w:rPr>
        <w:t>وت</w:t>
      </w:r>
      <w:r w:rsidRPr="00FE65FF">
        <w:rPr>
          <w:rtl/>
        </w:rPr>
        <w:t xml:space="preserve">هدف إلى مساعدة الأطراف والمحايدين على </w:t>
      </w:r>
      <w:r w:rsidR="00937D2A">
        <w:rPr>
          <w:rFonts w:hint="cs"/>
          <w:rtl/>
        </w:rPr>
        <w:t xml:space="preserve">تحسين فهمهم </w:t>
      </w:r>
      <w:r w:rsidR="003C1BC8">
        <w:rPr>
          <w:rFonts w:hint="cs"/>
          <w:rtl/>
        </w:rPr>
        <w:t>ل</w:t>
      </w:r>
      <w:r w:rsidRPr="00FE65FF">
        <w:rPr>
          <w:rtl/>
        </w:rPr>
        <w:t xml:space="preserve">خيارات </w:t>
      </w:r>
      <w:r w:rsidR="003C1BC8">
        <w:rPr>
          <w:rFonts w:hint="cs"/>
          <w:rtl/>
        </w:rPr>
        <w:t xml:space="preserve">تسوية </w:t>
      </w:r>
      <w:r w:rsidRPr="00FE65FF">
        <w:rPr>
          <w:rtl/>
        </w:rPr>
        <w:t>ال</w:t>
      </w:r>
      <w:r w:rsidR="003C1BC8">
        <w:rPr>
          <w:rFonts w:hint="cs"/>
          <w:rtl/>
        </w:rPr>
        <w:t xml:space="preserve">منازعات </w:t>
      </w:r>
      <w:r w:rsidRPr="00FE65FF">
        <w:rPr>
          <w:rtl/>
        </w:rPr>
        <w:t xml:space="preserve">المتاحة </w:t>
      </w:r>
      <w:r w:rsidR="003C1BC8" w:rsidRPr="00FE65FF">
        <w:rPr>
          <w:rtl/>
        </w:rPr>
        <w:t>واستفاد</w:t>
      </w:r>
      <w:r w:rsidR="003C3801">
        <w:rPr>
          <w:rFonts w:hint="cs"/>
          <w:rtl/>
        </w:rPr>
        <w:t>تهم</w:t>
      </w:r>
      <w:r w:rsidR="003C1BC8" w:rsidRPr="00FE65FF">
        <w:rPr>
          <w:rtl/>
        </w:rPr>
        <w:t xml:space="preserve"> </w:t>
      </w:r>
      <w:r w:rsidR="003C1BC8">
        <w:rPr>
          <w:rFonts w:hint="cs"/>
          <w:rtl/>
        </w:rPr>
        <w:t xml:space="preserve">منها </w:t>
      </w:r>
      <w:r w:rsidRPr="00FE65FF">
        <w:rPr>
          <w:rtl/>
        </w:rPr>
        <w:t xml:space="preserve">عند التفاوض </w:t>
      </w:r>
      <w:r w:rsidR="003C1BC8">
        <w:rPr>
          <w:rFonts w:hint="cs"/>
          <w:rtl/>
        </w:rPr>
        <w:t>بشأن</w:t>
      </w:r>
      <w:r w:rsidRPr="00FE65FF">
        <w:rPr>
          <w:rtl/>
        </w:rPr>
        <w:t xml:space="preserve"> اتفاقات </w:t>
      </w:r>
      <w:r w:rsidR="003C1BC8">
        <w:rPr>
          <w:rFonts w:hint="cs"/>
          <w:rtl/>
        </w:rPr>
        <w:t>ال</w:t>
      </w:r>
      <w:r w:rsidRPr="00FE65FF">
        <w:rPr>
          <w:rtl/>
        </w:rPr>
        <w:t>ترخيص</w:t>
      </w:r>
      <w:r w:rsidR="003C1BC8">
        <w:rPr>
          <w:rFonts w:hint="cs"/>
          <w:rtl/>
        </w:rPr>
        <w:t xml:space="preserve"> بشروط منصفة ومعقولة وغير تمييزية </w:t>
      </w:r>
      <w:r w:rsidRPr="00FE65FF">
        <w:rPr>
          <w:rtl/>
        </w:rPr>
        <w:t>أو</w:t>
      </w:r>
      <w:r w:rsidR="003C1BC8">
        <w:rPr>
          <w:rFonts w:hint="cs"/>
          <w:rtl/>
        </w:rPr>
        <w:t xml:space="preserve"> عند</w:t>
      </w:r>
      <w:r w:rsidRPr="00FE65FF">
        <w:rPr>
          <w:rtl/>
        </w:rPr>
        <w:t xml:space="preserve"> صياغ</w:t>
      </w:r>
      <w:r w:rsidR="003C1BC8">
        <w:rPr>
          <w:rFonts w:hint="cs"/>
          <w:rtl/>
        </w:rPr>
        <w:t>ة هذه الاتفاقات</w:t>
      </w:r>
      <w:r w:rsidRPr="00FE65FF">
        <w:rPr>
          <w:rtl/>
        </w:rPr>
        <w:t xml:space="preserve">. </w:t>
      </w:r>
      <w:r w:rsidR="003C1BC8">
        <w:rPr>
          <w:rFonts w:hint="cs"/>
          <w:rtl/>
        </w:rPr>
        <w:t xml:space="preserve">وتشمل </w:t>
      </w:r>
      <w:r w:rsidRPr="00FE65FF">
        <w:rPr>
          <w:rtl/>
        </w:rPr>
        <w:t>الوثيقة عناصر أساسية قد ت</w:t>
      </w:r>
      <w:r w:rsidR="003C1BC8">
        <w:rPr>
          <w:rFonts w:hint="cs"/>
          <w:rtl/>
        </w:rPr>
        <w:t>رغب</w:t>
      </w:r>
      <w:r w:rsidRPr="00FE65FF">
        <w:rPr>
          <w:rtl/>
        </w:rPr>
        <w:t xml:space="preserve"> الأطراف </w:t>
      </w:r>
      <w:r w:rsidR="003C1BC8">
        <w:rPr>
          <w:rFonts w:hint="cs"/>
          <w:rtl/>
        </w:rPr>
        <w:t xml:space="preserve">في </w:t>
      </w:r>
      <w:r w:rsidRPr="00FE65FF">
        <w:rPr>
          <w:rtl/>
        </w:rPr>
        <w:t xml:space="preserve">النظر فيها لتشكيل عملية </w:t>
      </w:r>
      <w:r w:rsidR="003C1BC8">
        <w:rPr>
          <w:rFonts w:hint="cs"/>
          <w:rtl/>
        </w:rPr>
        <w:t>التسوية البديلة</w:t>
      </w:r>
      <w:r w:rsidRPr="00FE65FF">
        <w:rPr>
          <w:rtl/>
        </w:rPr>
        <w:t xml:space="preserve">، لا سيما من أجل التعامل مع </w:t>
      </w:r>
      <w:r w:rsidR="002D5731">
        <w:rPr>
          <w:rFonts w:hint="cs"/>
          <w:rtl/>
        </w:rPr>
        <w:t>ال</w:t>
      </w:r>
      <w:r w:rsidRPr="00FE65FF">
        <w:rPr>
          <w:rtl/>
        </w:rPr>
        <w:t xml:space="preserve">حافظات </w:t>
      </w:r>
      <w:r w:rsidR="002D5731">
        <w:rPr>
          <w:rFonts w:hint="cs"/>
          <w:rtl/>
        </w:rPr>
        <w:t>الكبيرة ل</w:t>
      </w:r>
      <w:r w:rsidR="003C1BC8" w:rsidRPr="003C1BC8">
        <w:rPr>
          <w:rtl/>
        </w:rPr>
        <w:t>لبراءات المعيارية الأساسية</w:t>
      </w:r>
      <w:r w:rsidR="00B67E6A">
        <w:rPr>
          <w:rFonts w:hint="cs"/>
          <w:rtl/>
        </w:rPr>
        <w:t>،</w:t>
      </w:r>
      <w:r w:rsidR="003C1BC8" w:rsidRPr="003C1BC8">
        <w:rPr>
          <w:rtl/>
        </w:rPr>
        <w:t xml:space="preserve"> </w:t>
      </w:r>
      <w:r w:rsidRPr="00FE65FF">
        <w:rPr>
          <w:rtl/>
        </w:rPr>
        <w:t>و</w:t>
      </w:r>
      <w:r w:rsidR="00B67E6A">
        <w:rPr>
          <w:rFonts w:hint="cs"/>
          <w:rtl/>
        </w:rPr>
        <w:t>ل</w:t>
      </w:r>
      <w:r w:rsidRPr="00FE65FF">
        <w:rPr>
          <w:rtl/>
        </w:rPr>
        <w:t>إدارة وقت</w:t>
      </w:r>
      <w:r w:rsidR="00B67E6A">
        <w:rPr>
          <w:rFonts w:hint="cs"/>
          <w:rtl/>
        </w:rPr>
        <w:t xml:space="preserve"> الدعاوى</w:t>
      </w:r>
      <w:r w:rsidRPr="00FE65FF">
        <w:rPr>
          <w:rtl/>
        </w:rPr>
        <w:t xml:space="preserve"> وتكلف</w:t>
      </w:r>
      <w:r w:rsidR="00B67E6A">
        <w:rPr>
          <w:rFonts w:hint="cs"/>
          <w:rtl/>
        </w:rPr>
        <w:t>تها</w:t>
      </w:r>
      <w:r w:rsidRPr="00FE65FF">
        <w:rPr>
          <w:rtl/>
        </w:rPr>
        <w:t xml:space="preserve">. </w:t>
      </w:r>
      <w:r w:rsidR="00B67E6A">
        <w:rPr>
          <w:rFonts w:hint="cs"/>
          <w:rtl/>
        </w:rPr>
        <w:t>وت</w:t>
      </w:r>
      <w:r w:rsidRPr="00FE65FF">
        <w:rPr>
          <w:rtl/>
        </w:rPr>
        <w:t xml:space="preserve">تضمن </w:t>
      </w:r>
      <w:r w:rsidR="00B67E6A">
        <w:rPr>
          <w:rFonts w:hint="cs"/>
          <w:rtl/>
        </w:rPr>
        <w:t xml:space="preserve">أيضا </w:t>
      </w:r>
      <w:r w:rsidRPr="00FE65FF">
        <w:rPr>
          <w:rtl/>
        </w:rPr>
        <w:t xml:space="preserve">اتفاقات </w:t>
      </w:r>
      <w:r w:rsidR="00B67E6A">
        <w:rPr>
          <w:rFonts w:hint="cs"/>
          <w:rtl/>
        </w:rPr>
        <w:t xml:space="preserve">إذعان </w:t>
      </w:r>
      <w:r w:rsidRPr="00FE65FF">
        <w:rPr>
          <w:rtl/>
        </w:rPr>
        <w:t>نموذج</w:t>
      </w:r>
      <w:r w:rsidR="00B67E6A">
        <w:rPr>
          <w:rFonts w:hint="cs"/>
          <w:rtl/>
        </w:rPr>
        <w:t>ية</w:t>
      </w:r>
      <w:r w:rsidR="00B67E6A">
        <w:rPr>
          <w:rtl/>
        </w:rPr>
        <w:t xml:space="preserve"> مصممة خصيص</w:t>
      </w:r>
      <w:r w:rsidRPr="00FE65FF">
        <w:rPr>
          <w:rtl/>
        </w:rPr>
        <w:t xml:space="preserve">ا لمساعدة الأطراف على إحالة </w:t>
      </w:r>
      <w:r w:rsidR="00B67E6A">
        <w:rPr>
          <w:rFonts w:hint="cs"/>
          <w:rtl/>
        </w:rPr>
        <w:t xml:space="preserve">أي </w:t>
      </w:r>
      <w:r w:rsidRPr="00FE65FF">
        <w:rPr>
          <w:rtl/>
        </w:rPr>
        <w:t xml:space="preserve">نزاع </w:t>
      </w:r>
      <w:r w:rsidR="00B67E6A">
        <w:rPr>
          <w:rFonts w:hint="cs"/>
          <w:rtl/>
        </w:rPr>
        <w:t>يرتبط ب</w:t>
      </w:r>
      <w:r w:rsidR="008630EA">
        <w:rPr>
          <w:rFonts w:hint="cs"/>
          <w:rtl/>
        </w:rPr>
        <w:t xml:space="preserve">شروط </w:t>
      </w:r>
      <w:r w:rsidR="00B67E6A">
        <w:rPr>
          <w:rFonts w:hint="cs"/>
          <w:rtl/>
        </w:rPr>
        <w:t xml:space="preserve">الترخيص </w:t>
      </w:r>
      <w:r w:rsidR="008630EA">
        <w:rPr>
          <w:rFonts w:hint="cs"/>
          <w:rtl/>
        </w:rPr>
        <w:t>ال</w:t>
      </w:r>
      <w:r w:rsidR="00B67E6A">
        <w:rPr>
          <w:rFonts w:hint="cs"/>
          <w:rtl/>
        </w:rPr>
        <w:t>منصفة و</w:t>
      </w:r>
      <w:r w:rsidR="008630EA">
        <w:rPr>
          <w:rFonts w:hint="cs"/>
          <w:rtl/>
        </w:rPr>
        <w:t>ال</w:t>
      </w:r>
      <w:r w:rsidR="00B67E6A">
        <w:rPr>
          <w:rFonts w:hint="cs"/>
          <w:rtl/>
        </w:rPr>
        <w:t>معقولة وغير</w:t>
      </w:r>
      <w:r w:rsidR="008630EA">
        <w:rPr>
          <w:rFonts w:hint="cs"/>
          <w:rtl/>
        </w:rPr>
        <w:t xml:space="preserve"> ال</w:t>
      </w:r>
      <w:r w:rsidR="00B67E6A">
        <w:rPr>
          <w:rFonts w:hint="cs"/>
          <w:rtl/>
        </w:rPr>
        <w:t xml:space="preserve">تمييزية </w:t>
      </w:r>
      <w:r w:rsidRPr="00FE65FF">
        <w:rPr>
          <w:rtl/>
        </w:rPr>
        <w:t>إلى وساطة الويبو أو تحكيمها.</w:t>
      </w:r>
    </w:p>
    <w:p w:rsidR="002D5731" w:rsidRPr="00CC0BDC" w:rsidRDefault="00CC0BDC" w:rsidP="00715B92">
      <w:pPr>
        <w:pStyle w:val="BodyText"/>
        <w:keepNext/>
        <w:numPr>
          <w:ilvl w:val="0"/>
          <w:numId w:val="46"/>
        </w:numPr>
        <w:ind w:left="1627" w:hanging="547"/>
        <w:rPr>
          <w:u w:val="single"/>
        </w:rPr>
      </w:pPr>
      <w:r w:rsidRPr="00CC0BDC">
        <w:rPr>
          <w:u w:val="single"/>
          <w:rtl/>
        </w:rPr>
        <w:t xml:space="preserve">حل </w:t>
      </w:r>
      <w:r>
        <w:rPr>
          <w:rFonts w:hint="cs"/>
          <w:u w:val="single"/>
          <w:rtl/>
        </w:rPr>
        <w:t>منازعات المعارض</w:t>
      </w:r>
      <w:r w:rsidRPr="00CC0BDC">
        <w:rPr>
          <w:u w:val="single"/>
          <w:rtl/>
        </w:rPr>
        <w:t xml:space="preserve"> التجار</w:t>
      </w:r>
      <w:r>
        <w:rPr>
          <w:rFonts w:hint="cs"/>
          <w:u w:val="single"/>
          <w:rtl/>
        </w:rPr>
        <w:t>ي</w:t>
      </w:r>
      <w:r w:rsidRPr="00CC0BDC">
        <w:rPr>
          <w:u w:val="single"/>
          <w:rtl/>
        </w:rPr>
        <w:t>ة</w:t>
      </w:r>
    </w:p>
    <w:p w:rsidR="002D5731" w:rsidRDefault="007931E6" w:rsidP="00AD7BE2">
      <w:pPr>
        <w:pStyle w:val="ONUMA"/>
      </w:pPr>
      <w:r w:rsidRPr="007931E6">
        <w:rPr>
          <w:rtl/>
        </w:rPr>
        <w:t>بالتعاون مع م</w:t>
      </w:r>
      <w:r>
        <w:rPr>
          <w:rFonts w:hint="cs"/>
          <w:rtl/>
        </w:rPr>
        <w:t>ُ</w:t>
      </w:r>
      <w:r w:rsidRPr="007931E6">
        <w:rPr>
          <w:rtl/>
        </w:rPr>
        <w:t>نظ</w:t>
      </w:r>
      <w:r>
        <w:rPr>
          <w:rFonts w:hint="cs"/>
          <w:rtl/>
        </w:rPr>
        <w:t>ِّ</w:t>
      </w:r>
      <w:r w:rsidRPr="007931E6">
        <w:rPr>
          <w:rtl/>
        </w:rPr>
        <w:t xml:space="preserve">مي المعارض التجارية، يقدم المركز مشورة بشأن </w:t>
      </w:r>
      <w:r>
        <w:rPr>
          <w:rFonts w:hint="cs"/>
          <w:rtl/>
        </w:rPr>
        <w:t>تسوية المنازعات</w:t>
      </w:r>
      <w:r w:rsidRPr="007931E6">
        <w:rPr>
          <w:rtl/>
        </w:rPr>
        <w:t xml:space="preserve"> وخدمات إدارة ال</w:t>
      </w:r>
      <w:r>
        <w:rPr>
          <w:rFonts w:hint="cs"/>
          <w:rtl/>
        </w:rPr>
        <w:t xml:space="preserve">قضايا </w:t>
      </w:r>
      <w:r w:rsidRPr="007931E6">
        <w:rPr>
          <w:rtl/>
        </w:rPr>
        <w:t xml:space="preserve">لمساعدة الأطراف على حل </w:t>
      </w:r>
      <w:r>
        <w:rPr>
          <w:rFonts w:hint="cs"/>
          <w:rtl/>
        </w:rPr>
        <w:t xml:space="preserve">منازعات </w:t>
      </w:r>
      <w:r w:rsidRPr="007931E6">
        <w:rPr>
          <w:rtl/>
        </w:rPr>
        <w:t>الملكية الفكرية</w:t>
      </w:r>
      <w:r w:rsidR="00B14BF0">
        <w:rPr>
          <w:rFonts w:hint="cs"/>
          <w:rtl/>
        </w:rPr>
        <w:t xml:space="preserve"> التي تنشأ </w:t>
      </w:r>
      <w:r w:rsidRPr="007931E6">
        <w:rPr>
          <w:rtl/>
        </w:rPr>
        <w:t>في معارض تجارية دون الحاجة إلى ال</w:t>
      </w:r>
      <w:r w:rsidR="00B14BF0">
        <w:rPr>
          <w:rFonts w:hint="cs"/>
          <w:rtl/>
        </w:rPr>
        <w:t xml:space="preserve">لجوء </w:t>
      </w:r>
      <w:r w:rsidRPr="007931E6">
        <w:rPr>
          <w:rtl/>
        </w:rPr>
        <w:t xml:space="preserve">إلى المحكمة </w:t>
      </w:r>
      <w:r w:rsidR="00B14BF0">
        <w:rPr>
          <w:rFonts w:hint="cs"/>
          <w:rtl/>
        </w:rPr>
        <w:t>خلال</w:t>
      </w:r>
      <w:r w:rsidRPr="007931E6">
        <w:rPr>
          <w:rtl/>
        </w:rPr>
        <w:t xml:space="preserve"> المعرض.</w:t>
      </w:r>
      <w:r w:rsidR="00B14BF0">
        <w:rPr>
          <w:rStyle w:val="FootnoteReference"/>
          <w:rtl/>
        </w:rPr>
        <w:footnoteReference w:id="15"/>
      </w:r>
      <w:r w:rsidRPr="007931E6">
        <w:rPr>
          <w:rtl/>
        </w:rPr>
        <w:t xml:space="preserve"> </w:t>
      </w:r>
      <w:r w:rsidR="00B14BF0">
        <w:rPr>
          <w:rFonts w:hint="cs"/>
          <w:rtl/>
        </w:rPr>
        <w:t>و</w:t>
      </w:r>
      <w:r w:rsidR="00B14BF0">
        <w:rPr>
          <w:rtl/>
        </w:rPr>
        <w:t>منذ انعقاد جمعيات 2017</w:t>
      </w:r>
      <w:r w:rsidRPr="007931E6">
        <w:rPr>
          <w:rtl/>
        </w:rPr>
        <w:t>، قام المركز بإدارة القضايا بموجب</w:t>
      </w:r>
      <w:r w:rsidR="00B14BF0" w:rsidRPr="00B14BF0">
        <w:rPr>
          <w:rtl/>
        </w:rPr>
        <w:t xml:space="preserve"> إجراء الويبو المعجل لتسوية منازعات الملكية الفكرية في </w:t>
      </w:r>
      <w:r w:rsidR="00B14BF0" w:rsidRPr="00B14BF0">
        <w:rPr>
          <w:rtl/>
        </w:rPr>
        <w:lastRenderedPageBreak/>
        <w:t>المعارض التجارية التي تُقام في مركز جنيف للمعارض (باليكسبو)</w:t>
      </w:r>
      <w:r w:rsidRPr="007931E6">
        <w:rPr>
          <w:rtl/>
        </w:rPr>
        <w:t>.</w:t>
      </w:r>
      <w:r w:rsidR="00B14BF0">
        <w:rPr>
          <w:rStyle w:val="FootnoteReference"/>
          <w:rtl/>
        </w:rPr>
        <w:footnoteReference w:id="16"/>
      </w:r>
      <w:r w:rsidRPr="007931E6">
        <w:rPr>
          <w:rtl/>
        </w:rPr>
        <w:t xml:space="preserve"> </w:t>
      </w:r>
      <w:r w:rsidR="00B14BF0">
        <w:rPr>
          <w:rFonts w:hint="cs"/>
          <w:rtl/>
        </w:rPr>
        <w:t>و</w:t>
      </w:r>
      <w:r w:rsidRPr="007931E6">
        <w:rPr>
          <w:rtl/>
        </w:rPr>
        <w:t xml:space="preserve">تعاون المركز </w:t>
      </w:r>
      <w:r w:rsidR="00B14BF0">
        <w:rPr>
          <w:rFonts w:hint="cs"/>
          <w:rtl/>
        </w:rPr>
        <w:t xml:space="preserve">أيضا </w:t>
      </w:r>
      <w:r w:rsidRPr="007931E6">
        <w:rPr>
          <w:rtl/>
        </w:rPr>
        <w:t>مع م</w:t>
      </w:r>
      <w:r w:rsidR="00DE5539">
        <w:rPr>
          <w:rFonts w:hint="cs"/>
          <w:rtl/>
        </w:rPr>
        <w:t>ُ</w:t>
      </w:r>
      <w:r w:rsidRPr="007931E6">
        <w:rPr>
          <w:rtl/>
        </w:rPr>
        <w:t>نظ</w:t>
      </w:r>
      <w:r w:rsidR="00DE5539">
        <w:rPr>
          <w:rFonts w:hint="cs"/>
          <w:rtl/>
        </w:rPr>
        <w:t>ِّ</w:t>
      </w:r>
      <w:r w:rsidRPr="007931E6">
        <w:rPr>
          <w:rtl/>
        </w:rPr>
        <w:t xml:space="preserve">م معرض سنغافورة التجاري سينغ إكس </w:t>
      </w:r>
      <w:r w:rsidR="00DE5539">
        <w:rPr>
          <w:rFonts w:hint="cs"/>
          <w:rtl/>
        </w:rPr>
        <w:t>على</w:t>
      </w:r>
      <w:r w:rsidRPr="007931E6">
        <w:rPr>
          <w:rtl/>
        </w:rPr>
        <w:t xml:space="preserve"> </w:t>
      </w:r>
      <w:r w:rsidR="00DE5539">
        <w:rPr>
          <w:rFonts w:hint="cs"/>
          <w:rtl/>
        </w:rPr>
        <w:t xml:space="preserve">وضع </w:t>
      </w:r>
      <w:r w:rsidRPr="007931E6">
        <w:rPr>
          <w:rtl/>
        </w:rPr>
        <w:t xml:space="preserve">إجراء </w:t>
      </w:r>
      <w:r w:rsidR="00DE5539">
        <w:rPr>
          <w:rFonts w:hint="cs"/>
          <w:rtl/>
        </w:rPr>
        <w:t xml:space="preserve">معجل </w:t>
      </w:r>
      <w:r w:rsidRPr="007931E6">
        <w:rPr>
          <w:rtl/>
        </w:rPr>
        <w:t>للويبو مخصص لمعارض</w:t>
      </w:r>
      <w:r w:rsidR="00DE5539" w:rsidRPr="00DE5539">
        <w:rPr>
          <w:rtl/>
        </w:rPr>
        <w:t xml:space="preserve"> </w:t>
      </w:r>
      <w:r w:rsidR="00DE5539" w:rsidRPr="007931E6">
        <w:rPr>
          <w:rtl/>
        </w:rPr>
        <w:t>سينغ إكس</w:t>
      </w:r>
      <w:r w:rsidRPr="007931E6">
        <w:rPr>
          <w:rtl/>
        </w:rPr>
        <w:t xml:space="preserve"> </w:t>
      </w:r>
      <w:r w:rsidR="00DE5539">
        <w:rPr>
          <w:rtl/>
        </w:rPr>
        <w:t>التجارية ليصبح متاح</w:t>
      </w:r>
      <w:r w:rsidRPr="007931E6">
        <w:rPr>
          <w:rtl/>
        </w:rPr>
        <w:t xml:space="preserve">ا </w:t>
      </w:r>
      <w:r w:rsidR="00DE5539">
        <w:rPr>
          <w:rFonts w:hint="cs"/>
          <w:rtl/>
        </w:rPr>
        <w:t xml:space="preserve">لمعرض سيُقام في وقت </w:t>
      </w:r>
      <w:r w:rsidRPr="007931E6">
        <w:rPr>
          <w:rtl/>
        </w:rPr>
        <w:t>لاحق من عام 2018.</w:t>
      </w:r>
    </w:p>
    <w:p w:rsidR="00AE0EA1" w:rsidRDefault="00AE0EA1" w:rsidP="00AE0EA1">
      <w:pPr>
        <w:pStyle w:val="Heading2"/>
        <w:rPr>
          <w:rtl/>
        </w:rPr>
      </w:pPr>
      <w:r>
        <w:rPr>
          <w:rtl/>
        </w:rPr>
        <w:t>ثانيا.</w:t>
      </w:r>
      <w:r>
        <w:rPr>
          <w:rtl/>
        </w:rPr>
        <w:tab/>
        <w:t>إدارة قضايا أسماء الحقول</w:t>
      </w:r>
    </w:p>
    <w:p w:rsidR="00AE0EA1" w:rsidRDefault="00AE0EA1" w:rsidP="00216A65">
      <w:pPr>
        <w:pStyle w:val="Heading3"/>
        <w:ind w:left="1165" w:hanging="630"/>
        <w:rPr>
          <w:rtl/>
        </w:rPr>
      </w:pPr>
      <w:r>
        <w:rPr>
          <w:rtl/>
        </w:rPr>
        <w:t>ألف.</w:t>
      </w:r>
      <w:r w:rsidR="00216A65">
        <w:rPr>
          <w:rtl/>
        </w:rPr>
        <w:tab/>
      </w:r>
      <w:r>
        <w:rPr>
          <w:rtl/>
        </w:rPr>
        <w:t>السياسة الموحدة لتسوية المنازعات</w:t>
      </w:r>
    </w:p>
    <w:p w:rsidR="00DE5539" w:rsidRDefault="003608CD" w:rsidP="00AD7BE2">
      <w:pPr>
        <w:pStyle w:val="ONUMA"/>
      </w:pPr>
      <w:r>
        <w:rPr>
          <w:rtl/>
        </w:rPr>
        <w:t>يطرح نظام أسماء الحقول عددا</w:t>
      </w:r>
      <w:r w:rsidRPr="003608CD">
        <w:rPr>
          <w:rtl/>
        </w:rPr>
        <w:t xml:space="preserve"> من التحديات أمام حماية الملكية الفكرية التي تقتضي اتباع مقاربة دولية لما للإنترنت من طابع عالمي. وقد دأبت الويبو على مواجهة هذه التحديات منذ عام 1998 عبر وضع حلول محددة، لا سيما في مشروعيها الأول</w:t>
      </w:r>
      <w:r>
        <w:rPr>
          <w:rStyle w:val="FootnoteReference"/>
          <w:rtl/>
        </w:rPr>
        <w:footnoteReference w:id="17"/>
      </w:r>
      <w:r w:rsidRPr="003608CD">
        <w:rPr>
          <w:rtl/>
        </w:rPr>
        <w:t xml:space="preserve"> والثاني</w:t>
      </w:r>
      <w:r>
        <w:rPr>
          <w:rStyle w:val="FootnoteReference"/>
          <w:rtl/>
        </w:rPr>
        <w:footnoteReference w:id="18"/>
      </w:r>
      <w:r w:rsidRPr="003608CD">
        <w:rPr>
          <w:rtl/>
        </w:rPr>
        <w:t xml:space="preserve"> بشأن أسماء الحقول على الإنترنت. ومن خلال المركز، ت</w:t>
      </w:r>
      <w:r>
        <w:rPr>
          <w:rFonts w:hint="cs"/>
          <w:rtl/>
        </w:rPr>
        <w:t>ُ</w:t>
      </w:r>
      <w:r>
        <w:rPr>
          <w:rtl/>
        </w:rPr>
        <w:t>قد</w:t>
      </w:r>
      <w:r>
        <w:rPr>
          <w:rFonts w:hint="cs"/>
          <w:rtl/>
        </w:rPr>
        <w:t>ِّ</w:t>
      </w:r>
      <w:r w:rsidRPr="003608CD">
        <w:rPr>
          <w:rtl/>
        </w:rPr>
        <w:t>م الويبو لأصحاب العلامات التجارية آليات دولية فعالة للانتصاف مِمَّنْ يعمد إلى تسجيل</w:t>
      </w:r>
      <w:r>
        <w:rPr>
          <w:rtl/>
        </w:rPr>
        <w:t xml:space="preserve"> أسماء حقول تتطابق وحقوق</w:t>
      </w:r>
      <w:r w:rsidRPr="003608CD">
        <w:rPr>
          <w:rtl/>
        </w:rPr>
        <w:t>هم في العلامات التجارية والانتفاع بهذه الأسماء عن سوء نية. والآلية الرئيسية التي يُشرف عليها المركز، ألا وهي السياسة الموحدة لتسوية المنازعات، اعتمدتها الإيكان بناء على توصيات الويبو في إطار مشروعها الأول بشأن أسماء الحقول على الإنترنت.</w:t>
      </w:r>
    </w:p>
    <w:p w:rsidR="003608CD" w:rsidRDefault="00D61D7A" w:rsidP="00AD7BE2">
      <w:pPr>
        <w:pStyle w:val="ONUMA"/>
      </w:pPr>
      <w:r>
        <w:rPr>
          <w:rFonts w:hint="cs"/>
          <w:rtl/>
        </w:rPr>
        <w:t>و</w:t>
      </w:r>
      <w:r w:rsidR="0094429A" w:rsidRPr="0094429A">
        <w:rPr>
          <w:rtl/>
        </w:rPr>
        <w:t>تقتصر السياسة الموحدة لتسوية المنازعات على القضايا التي يكون فيها سوء النية واضحا،</w:t>
      </w:r>
      <w:r w:rsidR="0094429A" w:rsidRPr="0094429A">
        <w:rPr>
          <w:rFonts w:hint="cs"/>
          <w:rtl/>
        </w:rPr>
        <w:t xml:space="preserve"> </w:t>
      </w:r>
      <w:r w:rsidR="0094429A">
        <w:rPr>
          <w:rFonts w:hint="cs"/>
          <w:rtl/>
        </w:rPr>
        <w:t>و</w:t>
      </w:r>
      <w:r>
        <w:rPr>
          <w:rFonts w:hint="cs"/>
          <w:rtl/>
        </w:rPr>
        <w:t xml:space="preserve">قد ثبت </w:t>
      </w:r>
      <w:r w:rsidR="0094429A">
        <w:rPr>
          <w:rFonts w:hint="cs"/>
          <w:rtl/>
        </w:rPr>
        <w:t>ارتفاع</w:t>
      </w:r>
      <w:r w:rsidRPr="00D61D7A">
        <w:rPr>
          <w:rtl/>
        </w:rPr>
        <w:t xml:space="preserve"> الطلب على </w:t>
      </w:r>
      <w:r w:rsidR="0094429A">
        <w:rPr>
          <w:rFonts w:hint="cs"/>
          <w:rtl/>
        </w:rPr>
        <w:t xml:space="preserve">هذه </w:t>
      </w:r>
      <w:r w:rsidRPr="00D61D7A">
        <w:rPr>
          <w:rtl/>
        </w:rPr>
        <w:t xml:space="preserve">السياسة الموحدة </w:t>
      </w:r>
      <w:r w:rsidR="0094429A" w:rsidRPr="0094429A">
        <w:rPr>
          <w:rtl/>
        </w:rPr>
        <w:t>من قبل مالكي العلامات التجارية</w:t>
      </w:r>
      <w:r w:rsidRPr="00D61D7A">
        <w:rPr>
          <w:rtl/>
        </w:rPr>
        <w:t>.</w:t>
      </w:r>
      <w:r w:rsidR="0094429A">
        <w:rPr>
          <w:rStyle w:val="FootnoteReference"/>
          <w:rtl/>
        </w:rPr>
        <w:footnoteReference w:id="19"/>
      </w:r>
      <w:r w:rsidRPr="00D61D7A">
        <w:rPr>
          <w:rtl/>
        </w:rPr>
        <w:t xml:space="preserve"> ومنذ ديسمبر 1999، أشرف المركز على </w:t>
      </w:r>
      <w:r w:rsidR="0094429A">
        <w:rPr>
          <w:rFonts w:hint="cs"/>
          <w:rtl/>
        </w:rPr>
        <w:t>أكثر من</w:t>
      </w:r>
      <w:r w:rsidRPr="00D61D7A">
        <w:rPr>
          <w:rtl/>
        </w:rPr>
        <w:t xml:space="preserve"> 000</w:t>
      </w:r>
      <w:r w:rsidR="0094429A">
        <w:rPr>
          <w:rFonts w:hint="cs"/>
          <w:rtl/>
        </w:rPr>
        <w:t> 41</w:t>
      </w:r>
      <w:r w:rsidRPr="00D61D7A">
        <w:rPr>
          <w:rtl/>
        </w:rPr>
        <w:t xml:space="preserve"> قضية قائمة على السياسة الموحدة لتسوية المنازعات.</w:t>
      </w:r>
      <w:r w:rsidR="0094429A">
        <w:rPr>
          <w:rStyle w:val="FootnoteReference"/>
          <w:rtl/>
        </w:rPr>
        <w:footnoteReference w:id="20"/>
      </w:r>
      <w:r w:rsidRPr="00D61D7A">
        <w:rPr>
          <w:rtl/>
        </w:rPr>
        <w:t xml:space="preserve"> وفي عام 201</w:t>
      </w:r>
      <w:r w:rsidR="0094429A">
        <w:rPr>
          <w:rFonts w:hint="cs"/>
          <w:rtl/>
        </w:rPr>
        <w:t>7</w:t>
      </w:r>
      <w:r w:rsidRPr="00D61D7A">
        <w:rPr>
          <w:rtl/>
        </w:rPr>
        <w:t>، قدَّم أصحاب العلامات التجارية إلى المركز 0</w:t>
      </w:r>
      <w:r w:rsidR="0094429A">
        <w:rPr>
          <w:rFonts w:hint="cs"/>
          <w:rtl/>
        </w:rPr>
        <w:t>74 </w:t>
      </w:r>
      <w:r w:rsidRPr="00D61D7A">
        <w:rPr>
          <w:rtl/>
        </w:rPr>
        <w:t xml:space="preserve">3 شكوى قائمة على السياسة الموحدة لتسوية المنازعات، وكانت </w:t>
      </w:r>
      <w:r w:rsidR="00E90375">
        <w:rPr>
          <w:rFonts w:hint="cs"/>
          <w:rtl/>
        </w:rPr>
        <w:t xml:space="preserve">هذه هي </w:t>
      </w:r>
      <w:r w:rsidRPr="00D61D7A">
        <w:rPr>
          <w:rtl/>
        </w:rPr>
        <w:t>السنة ال</w:t>
      </w:r>
      <w:r w:rsidR="00E90375">
        <w:rPr>
          <w:rFonts w:hint="cs"/>
          <w:rtl/>
        </w:rPr>
        <w:t xml:space="preserve">ثانية على التوالي التي </w:t>
      </w:r>
      <w:r w:rsidRPr="00D61D7A">
        <w:rPr>
          <w:rtl/>
        </w:rPr>
        <w:t xml:space="preserve">يتخطى فيها عدد </w:t>
      </w:r>
      <w:r w:rsidR="00E90375">
        <w:rPr>
          <w:rFonts w:hint="cs"/>
          <w:rtl/>
        </w:rPr>
        <w:t xml:space="preserve">قضايا أسماء الحقول المقدمة إلى الويبو </w:t>
      </w:r>
      <w:r w:rsidRPr="00D61D7A">
        <w:rPr>
          <w:rtl/>
        </w:rPr>
        <w:t xml:space="preserve">000 3 </w:t>
      </w:r>
      <w:r w:rsidR="00E90375">
        <w:rPr>
          <w:rFonts w:hint="cs"/>
          <w:rtl/>
        </w:rPr>
        <w:t>قضية</w:t>
      </w:r>
      <w:r w:rsidRPr="00D61D7A">
        <w:rPr>
          <w:rtl/>
        </w:rPr>
        <w:t>. و</w:t>
      </w:r>
      <w:r w:rsidR="00E90375">
        <w:rPr>
          <w:rFonts w:hint="cs"/>
          <w:rtl/>
        </w:rPr>
        <w:t xml:space="preserve">بحلول نهاية </w:t>
      </w:r>
      <w:r w:rsidRPr="00D61D7A">
        <w:rPr>
          <w:rtl/>
        </w:rPr>
        <w:t>يونيو 201</w:t>
      </w:r>
      <w:r w:rsidR="00E90375">
        <w:rPr>
          <w:rFonts w:hint="cs"/>
          <w:rtl/>
        </w:rPr>
        <w:t>8</w:t>
      </w:r>
      <w:r w:rsidRPr="00D61D7A">
        <w:rPr>
          <w:rtl/>
        </w:rPr>
        <w:t xml:space="preserve">، بلغ إجمالي عدد أسماء الحقول المتنازع عليها في قضايا الويبو </w:t>
      </w:r>
      <w:r w:rsidR="000F5F5D">
        <w:rPr>
          <w:rFonts w:hint="cs"/>
          <w:rtl/>
        </w:rPr>
        <w:t xml:space="preserve">القائمة على </w:t>
      </w:r>
      <w:r w:rsidRPr="00D61D7A">
        <w:rPr>
          <w:rtl/>
        </w:rPr>
        <w:t>السياسة الموحدة</w:t>
      </w:r>
      <w:r w:rsidR="000F5F5D">
        <w:rPr>
          <w:rFonts w:hint="cs"/>
          <w:rtl/>
        </w:rPr>
        <w:t xml:space="preserve"> التي رفعها أصحاب العلامات نحو</w:t>
      </w:r>
      <w:r w:rsidRPr="00D61D7A">
        <w:rPr>
          <w:rtl/>
        </w:rPr>
        <w:t xml:space="preserve"> 000</w:t>
      </w:r>
      <w:r w:rsidR="000F5F5D">
        <w:rPr>
          <w:rFonts w:hint="cs"/>
          <w:rtl/>
        </w:rPr>
        <w:t> </w:t>
      </w:r>
      <w:r w:rsidRPr="00D61D7A">
        <w:rPr>
          <w:rtl/>
        </w:rPr>
        <w:t>7</w:t>
      </w:r>
      <w:r w:rsidR="000F5F5D">
        <w:rPr>
          <w:rFonts w:hint="cs"/>
          <w:rtl/>
        </w:rPr>
        <w:t>6</w:t>
      </w:r>
      <w:r w:rsidRPr="00D61D7A">
        <w:rPr>
          <w:rtl/>
        </w:rPr>
        <w:t xml:space="preserve"> اسم.</w:t>
      </w:r>
    </w:p>
    <w:p w:rsidR="001728B4" w:rsidRDefault="00B528A0" w:rsidP="00AD7BE2">
      <w:pPr>
        <w:pStyle w:val="ONUMA"/>
      </w:pPr>
      <w:r>
        <w:rPr>
          <w:rFonts w:hint="cs"/>
          <w:rtl/>
        </w:rPr>
        <w:t>و</w:t>
      </w:r>
      <w:r w:rsidRPr="00B528A0">
        <w:rPr>
          <w:rtl/>
        </w:rPr>
        <w:t xml:space="preserve">استعانت جهات شتّى من شركات ومؤسسات وأفراد بإجراءات </w:t>
      </w:r>
      <w:r>
        <w:rPr>
          <w:rFonts w:hint="cs"/>
          <w:rtl/>
        </w:rPr>
        <w:t>ال</w:t>
      </w:r>
      <w:r w:rsidRPr="00B528A0">
        <w:rPr>
          <w:rtl/>
        </w:rPr>
        <w:t>مركز لتسوية المنازعات في عام 201</w:t>
      </w:r>
      <w:r>
        <w:rPr>
          <w:rFonts w:hint="cs"/>
          <w:rtl/>
        </w:rPr>
        <w:t>7</w:t>
      </w:r>
      <w:r w:rsidRPr="00B528A0">
        <w:rPr>
          <w:rtl/>
        </w:rPr>
        <w:t xml:space="preserve">. وكانت القطاعات الرئيسية التي تعمل فيها الجهات المتظلمة هي الأعمال المصرفية والمالية، </w:t>
      </w:r>
      <w:r w:rsidR="007E39BF">
        <w:rPr>
          <w:rFonts w:hint="cs"/>
          <w:rtl/>
        </w:rPr>
        <w:t>والأزياء</w:t>
      </w:r>
      <w:r w:rsidRPr="00B528A0">
        <w:rPr>
          <w:rtl/>
        </w:rPr>
        <w:t>، والإنترنت وتكنولوجيا المعلومات، والصناعات والآلات الثقيلة</w:t>
      </w:r>
      <w:r>
        <w:rPr>
          <w:rFonts w:hint="cs"/>
          <w:rtl/>
        </w:rPr>
        <w:t>،</w:t>
      </w:r>
      <w:r w:rsidRPr="00B528A0">
        <w:rPr>
          <w:rtl/>
        </w:rPr>
        <w:t xml:space="preserve"> والأغذية والمشروبات والمطاعم، والبيع بالتجزئة</w:t>
      </w:r>
      <w:r>
        <w:rPr>
          <w:rFonts w:hint="cs"/>
          <w:rtl/>
        </w:rPr>
        <w:t>،</w:t>
      </w:r>
      <w:r w:rsidRPr="00B528A0">
        <w:rPr>
          <w:rtl/>
        </w:rPr>
        <w:t xml:space="preserve"> والتكنولوجيا الحيوية والمواد الصيدلانية. و</w:t>
      </w:r>
      <w:r w:rsidR="007E39BF">
        <w:rPr>
          <w:rFonts w:hint="cs"/>
          <w:rtl/>
        </w:rPr>
        <w:t xml:space="preserve">من الجدير بالملاحظة أن الشكاوى المقدمة من </w:t>
      </w:r>
      <w:r w:rsidRPr="00B528A0">
        <w:rPr>
          <w:rtl/>
        </w:rPr>
        <w:t>أصحاب الحقوق في قطاع</w:t>
      </w:r>
      <w:r w:rsidR="00967469">
        <w:rPr>
          <w:rFonts w:hint="cs"/>
          <w:rtl/>
        </w:rPr>
        <w:t xml:space="preserve"> الأعمال</w:t>
      </w:r>
      <w:r w:rsidRPr="00B528A0">
        <w:rPr>
          <w:rtl/>
        </w:rPr>
        <w:t xml:space="preserve"> المصرفي</w:t>
      </w:r>
      <w:r w:rsidR="00967469">
        <w:rPr>
          <w:rFonts w:hint="cs"/>
          <w:rtl/>
        </w:rPr>
        <w:t>ة</w:t>
      </w:r>
      <w:r w:rsidRPr="00B528A0">
        <w:rPr>
          <w:rtl/>
        </w:rPr>
        <w:t xml:space="preserve"> والمالي</w:t>
      </w:r>
      <w:r w:rsidR="00967469">
        <w:rPr>
          <w:rFonts w:hint="cs"/>
          <w:rtl/>
        </w:rPr>
        <w:t>ة</w:t>
      </w:r>
      <w:r w:rsidRPr="00B528A0">
        <w:rPr>
          <w:rtl/>
        </w:rPr>
        <w:t xml:space="preserve"> تشمل </w:t>
      </w:r>
      <w:r w:rsidR="00967469">
        <w:rPr>
          <w:rFonts w:hint="cs"/>
          <w:rtl/>
        </w:rPr>
        <w:t xml:space="preserve">رسائل </w:t>
      </w:r>
      <w:r w:rsidRPr="00B528A0">
        <w:rPr>
          <w:rtl/>
        </w:rPr>
        <w:t xml:space="preserve">البريد الإلكتروني </w:t>
      </w:r>
      <w:r w:rsidR="00967469">
        <w:rPr>
          <w:rFonts w:hint="cs"/>
          <w:rtl/>
        </w:rPr>
        <w:lastRenderedPageBreak/>
        <w:t xml:space="preserve">الاحتيالية </w:t>
      </w:r>
      <w:r w:rsidRPr="00B528A0">
        <w:rPr>
          <w:rtl/>
        </w:rPr>
        <w:t>المزعوم</w:t>
      </w:r>
      <w:r w:rsidR="00967469">
        <w:rPr>
          <w:rFonts w:hint="cs"/>
          <w:rtl/>
        </w:rPr>
        <w:t>ة</w:t>
      </w:r>
      <w:r w:rsidRPr="00B528A0">
        <w:rPr>
          <w:rtl/>
        </w:rPr>
        <w:t xml:space="preserve"> أو مخططات التصيد الاحتيالي، وانتحال الهوية، وغير ذلك من الاستخدامات غير المشروعة </w:t>
      </w:r>
      <w:r w:rsidR="0027434F">
        <w:rPr>
          <w:rFonts w:hint="cs"/>
          <w:rtl/>
        </w:rPr>
        <w:t>ل</w:t>
      </w:r>
      <w:r w:rsidRPr="00B528A0">
        <w:rPr>
          <w:rtl/>
        </w:rPr>
        <w:t>لمواقع</w:t>
      </w:r>
      <w:r w:rsidR="0027434F">
        <w:rPr>
          <w:rFonts w:hint="cs"/>
          <w:rtl/>
        </w:rPr>
        <w:t xml:space="preserve"> الإلكترونية الموجَّهة</w:t>
      </w:r>
      <w:r w:rsidRPr="00B528A0">
        <w:rPr>
          <w:rtl/>
        </w:rPr>
        <w:t xml:space="preserve"> </w:t>
      </w:r>
      <w:r w:rsidR="0027434F">
        <w:rPr>
          <w:rFonts w:hint="cs"/>
          <w:rtl/>
        </w:rPr>
        <w:t>ل</w:t>
      </w:r>
      <w:r w:rsidRPr="00B528A0">
        <w:rPr>
          <w:rtl/>
        </w:rPr>
        <w:t xml:space="preserve">لمستهلكين المرتبطة </w:t>
      </w:r>
      <w:r w:rsidR="0027434F">
        <w:rPr>
          <w:rtl/>
        </w:rPr>
        <w:t xml:space="preserve">بأسماء </w:t>
      </w:r>
      <w:r w:rsidR="0027434F">
        <w:rPr>
          <w:rFonts w:hint="cs"/>
          <w:rtl/>
        </w:rPr>
        <w:t>الحقول</w:t>
      </w:r>
      <w:r w:rsidR="0027434F">
        <w:rPr>
          <w:rtl/>
        </w:rPr>
        <w:t xml:space="preserve"> المتنازع عليها.</w:t>
      </w:r>
    </w:p>
    <w:p w:rsidR="0027434F" w:rsidRDefault="005836F0" w:rsidP="00AD7BE2">
      <w:pPr>
        <w:pStyle w:val="ONUMA"/>
      </w:pPr>
      <w:r w:rsidRPr="005836F0">
        <w:rPr>
          <w:rtl/>
        </w:rPr>
        <w:t>و</w:t>
      </w:r>
      <w:r>
        <w:rPr>
          <w:rFonts w:hint="cs"/>
          <w:rtl/>
        </w:rPr>
        <w:t xml:space="preserve">مما </w:t>
      </w:r>
      <w:r w:rsidRPr="005836F0">
        <w:rPr>
          <w:rtl/>
        </w:rPr>
        <w:t xml:space="preserve">يدل على النطاق العالمي </w:t>
      </w:r>
      <w:r w:rsidR="00FB2444">
        <w:rPr>
          <w:rFonts w:hint="cs"/>
          <w:rtl/>
        </w:rPr>
        <w:t>ل</w:t>
      </w:r>
      <w:r w:rsidRPr="005836F0">
        <w:rPr>
          <w:rtl/>
        </w:rPr>
        <w:t xml:space="preserve">آلية تسوية المنازعات </w:t>
      </w:r>
      <w:r>
        <w:rPr>
          <w:rFonts w:hint="cs"/>
          <w:rtl/>
        </w:rPr>
        <w:t>أن</w:t>
      </w:r>
      <w:r w:rsidRPr="005836F0">
        <w:rPr>
          <w:rtl/>
        </w:rPr>
        <w:t xml:space="preserve"> الأطراف في قضايا الويبو</w:t>
      </w:r>
      <w:r>
        <w:rPr>
          <w:rFonts w:hint="cs"/>
          <w:rtl/>
        </w:rPr>
        <w:t xml:space="preserve"> منذ استهلال السياسة الموحدة لتسوية المنازعات حتى </w:t>
      </w:r>
      <w:r w:rsidRPr="005836F0">
        <w:rPr>
          <w:rtl/>
        </w:rPr>
        <w:t>عام 201</w:t>
      </w:r>
      <w:r>
        <w:rPr>
          <w:rFonts w:hint="cs"/>
          <w:rtl/>
        </w:rPr>
        <w:t>7</w:t>
      </w:r>
      <w:r w:rsidR="00FB2444">
        <w:rPr>
          <w:rtl/>
        </w:rPr>
        <w:t xml:space="preserve"> كانوا يمثلون 178 بلدا</w:t>
      </w:r>
      <w:r w:rsidRPr="005836F0">
        <w:rPr>
          <w:rtl/>
        </w:rPr>
        <w:t xml:space="preserve">. </w:t>
      </w:r>
      <w:r w:rsidR="00FB2444">
        <w:rPr>
          <w:rFonts w:hint="cs"/>
          <w:rtl/>
        </w:rPr>
        <w:t xml:space="preserve">أما </w:t>
      </w:r>
      <w:r w:rsidRPr="005836F0">
        <w:rPr>
          <w:rtl/>
        </w:rPr>
        <w:t xml:space="preserve">من حيث لغة اتفاق تسجيل اسم الحقل المعني، فقد بلغ عدد اللغات المستخدمة في إجراءات </w:t>
      </w:r>
      <w:r w:rsidR="00FB2444">
        <w:rPr>
          <w:rFonts w:hint="cs"/>
          <w:rtl/>
        </w:rPr>
        <w:t xml:space="preserve">سياسة </w:t>
      </w:r>
      <w:r w:rsidRPr="005836F0">
        <w:rPr>
          <w:rtl/>
        </w:rPr>
        <w:t>الويبو</w:t>
      </w:r>
      <w:r w:rsidR="00FB2444">
        <w:rPr>
          <w:rFonts w:hint="cs"/>
          <w:rtl/>
        </w:rPr>
        <w:t xml:space="preserve"> الموحدة لتسوية المنازعات </w:t>
      </w:r>
      <w:r w:rsidRPr="005836F0">
        <w:rPr>
          <w:rtl/>
        </w:rPr>
        <w:t>21 لغة</w:t>
      </w:r>
      <w:r w:rsidR="00FB2444">
        <w:rPr>
          <w:rFonts w:hint="cs"/>
          <w:rtl/>
        </w:rPr>
        <w:t xml:space="preserve"> حتى </w:t>
      </w:r>
      <w:r w:rsidR="00FB2444" w:rsidRPr="005836F0">
        <w:rPr>
          <w:rtl/>
        </w:rPr>
        <w:t>الآن</w:t>
      </w:r>
      <w:r w:rsidRPr="005836F0">
        <w:rPr>
          <w:rtl/>
        </w:rPr>
        <w:t>.</w:t>
      </w:r>
      <w:r w:rsidR="00FB2444">
        <w:rPr>
          <w:rStyle w:val="FootnoteReference"/>
          <w:rtl/>
        </w:rPr>
        <w:footnoteReference w:id="21"/>
      </w:r>
    </w:p>
    <w:p w:rsidR="00FB2444" w:rsidRDefault="00776161" w:rsidP="00AD7BE2">
      <w:pPr>
        <w:pStyle w:val="ONUMA"/>
      </w:pPr>
      <w:r w:rsidRPr="00776161">
        <w:rPr>
          <w:rtl/>
        </w:rPr>
        <w:t xml:space="preserve">وتُنشر جميع قرارات هيئة محكمي الويبو في السياسة الموحدة على </w:t>
      </w:r>
      <w:r>
        <w:rPr>
          <w:rFonts w:hint="cs"/>
          <w:rtl/>
        </w:rPr>
        <w:t>ال</w:t>
      </w:r>
      <w:r w:rsidRPr="00776161">
        <w:rPr>
          <w:rtl/>
        </w:rPr>
        <w:t>موقع</w:t>
      </w:r>
      <w:r>
        <w:rPr>
          <w:rFonts w:hint="cs"/>
          <w:rtl/>
        </w:rPr>
        <w:t xml:space="preserve"> الإلكتروني</w:t>
      </w:r>
      <w:r w:rsidRPr="00776161">
        <w:rPr>
          <w:rtl/>
        </w:rPr>
        <w:t xml:space="preserve"> </w:t>
      </w:r>
      <w:r>
        <w:rPr>
          <w:rFonts w:hint="cs"/>
          <w:rtl/>
        </w:rPr>
        <w:t>لل</w:t>
      </w:r>
      <w:r w:rsidRPr="00776161">
        <w:rPr>
          <w:rtl/>
        </w:rPr>
        <w:t>مركز. ونشر المركز في عام 2017 النسخة الثالثة من استعراض آراء هيئة محكمي الويبو في مسائل مختارة في سياق السياسة الموحدة (استعراض الويبو 3.0)، و</w:t>
      </w:r>
      <w:r>
        <w:rPr>
          <w:rFonts w:hint="cs"/>
          <w:rtl/>
        </w:rPr>
        <w:t xml:space="preserve">كانت هذه النسخة </w:t>
      </w:r>
      <w:r>
        <w:rPr>
          <w:rtl/>
        </w:rPr>
        <w:t>موضوع</w:t>
      </w:r>
      <w:r w:rsidRPr="00776161">
        <w:rPr>
          <w:rtl/>
        </w:rPr>
        <w:t>ا لمجموعة من المنشورات والأحداث.</w:t>
      </w:r>
      <w:r>
        <w:rPr>
          <w:rStyle w:val="FootnoteReference"/>
          <w:rtl/>
        </w:rPr>
        <w:footnoteReference w:id="22"/>
      </w:r>
      <w:r w:rsidRPr="00776161">
        <w:rPr>
          <w:rtl/>
        </w:rPr>
        <w:t xml:space="preserve"> </w:t>
      </w:r>
      <w:r w:rsidR="00FB2517">
        <w:rPr>
          <w:rFonts w:hint="cs"/>
          <w:rtl/>
        </w:rPr>
        <w:t>و</w:t>
      </w:r>
      <w:r w:rsidR="00FB2517" w:rsidRPr="00FB2517">
        <w:rPr>
          <w:rtl/>
        </w:rPr>
        <w:t>هذ</w:t>
      </w:r>
      <w:r w:rsidR="00FB2517">
        <w:rPr>
          <w:rFonts w:hint="cs"/>
          <w:rtl/>
        </w:rPr>
        <w:t>ا</w:t>
      </w:r>
      <w:r w:rsidR="00FB2517" w:rsidRPr="00FB2517">
        <w:rPr>
          <w:rtl/>
        </w:rPr>
        <w:t xml:space="preserve"> </w:t>
      </w:r>
      <w:r w:rsidR="00FB2517">
        <w:rPr>
          <w:rFonts w:hint="cs"/>
          <w:rtl/>
        </w:rPr>
        <w:t>الاستعراض ال</w:t>
      </w:r>
      <w:r w:rsidR="00FB2517" w:rsidRPr="00FB2517">
        <w:rPr>
          <w:rtl/>
        </w:rPr>
        <w:t>متاح على الإنترنت و</w:t>
      </w:r>
      <w:r w:rsidR="00FB2517">
        <w:rPr>
          <w:rFonts w:hint="cs"/>
          <w:rtl/>
        </w:rPr>
        <w:t>ال</w:t>
      </w:r>
      <w:r w:rsidR="00FB2517" w:rsidRPr="00FB2517">
        <w:rPr>
          <w:rtl/>
        </w:rPr>
        <w:t xml:space="preserve">مستخدم عالميا للتوجهات العامة في القرارات بشأن قضايا مهمة </w:t>
      </w:r>
      <w:r w:rsidR="00FB2517">
        <w:rPr>
          <w:rFonts w:hint="cs"/>
          <w:rtl/>
        </w:rPr>
        <w:t>يشمل</w:t>
      </w:r>
      <w:r w:rsidR="00FB2517" w:rsidRPr="00FB2517">
        <w:rPr>
          <w:rtl/>
        </w:rPr>
        <w:t xml:space="preserve"> أكثر من 100 موضوع</w:t>
      </w:r>
      <w:r w:rsidR="00FB2517">
        <w:rPr>
          <w:rFonts w:hint="cs"/>
          <w:rtl/>
        </w:rPr>
        <w:t>، بما في ذلك</w:t>
      </w:r>
      <w:r w:rsidRPr="00776161">
        <w:rPr>
          <w:rtl/>
        </w:rPr>
        <w:t xml:space="preserve"> إشار</w:t>
      </w:r>
      <w:r w:rsidR="00FB2517">
        <w:rPr>
          <w:rFonts w:hint="cs"/>
          <w:rtl/>
        </w:rPr>
        <w:t>ة</w:t>
      </w:r>
      <w:r w:rsidRPr="00776161">
        <w:rPr>
          <w:rtl/>
        </w:rPr>
        <w:t xml:space="preserve"> إلى ما يقرب </w:t>
      </w:r>
      <w:r w:rsidR="00FB2517">
        <w:rPr>
          <w:rFonts w:hint="cs"/>
          <w:rtl/>
        </w:rPr>
        <w:t xml:space="preserve">من </w:t>
      </w:r>
      <w:r w:rsidRPr="00776161">
        <w:rPr>
          <w:rtl/>
        </w:rPr>
        <w:t>000</w:t>
      </w:r>
      <w:r w:rsidR="00FB2517">
        <w:rPr>
          <w:rFonts w:hint="cs"/>
          <w:rtl/>
        </w:rPr>
        <w:t> </w:t>
      </w:r>
      <w:r w:rsidRPr="00776161">
        <w:rPr>
          <w:rtl/>
        </w:rPr>
        <w:t>1 قرار تمثيلي صادر عن</w:t>
      </w:r>
      <w:r w:rsidR="00FB2517">
        <w:rPr>
          <w:rFonts w:hint="cs"/>
          <w:rtl/>
        </w:rPr>
        <w:t xml:space="preserve"> أكثر من</w:t>
      </w:r>
      <w:r w:rsidRPr="00776161">
        <w:rPr>
          <w:rtl/>
        </w:rPr>
        <w:t xml:space="preserve"> 265 محكّما تابعا للويبو.</w:t>
      </w:r>
      <w:r w:rsidR="00E041F7">
        <w:rPr>
          <w:rFonts w:hint="cs"/>
          <w:rtl/>
        </w:rPr>
        <w:t xml:space="preserve"> </w:t>
      </w:r>
      <w:r w:rsidRPr="00776161">
        <w:rPr>
          <w:rtl/>
        </w:rPr>
        <w:t>ولتيسير الاطلاع على هذه القرارات وفق موضوعها،</w:t>
      </w:r>
      <w:r w:rsidR="00E041F7">
        <w:rPr>
          <w:rtl/>
        </w:rPr>
        <w:t xml:space="preserve"> يقدم المركز أيضا فهرسا قانونيا</w:t>
      </w:r>
      <w:r w:rsidRPr="00776161">
        <w:rPr>
          <w:rtl/>
        </w:rPr>
        <w:t xml:space="preserve"> للبحث الإلكتروني عن قرارات الويبو في إطار السياسة الموحدة.</w:t>
      </w:r>
      <w:r w:rsidR="00E041F7">
        <w:rPr>
          <w:rStyle w:val="FootnoteReference"/>
          <w:rtl/>
        </w:rPr>
        <w:footnoteReference w:id="23"/>
      </w:r>
      <w:r w:rsidRPr="00776161">
        <w:rPr>
          <w:rtl/>
        </w:rPr>
        <w:t xml:space="preserve"> وموارد الوي</w:t>
      </w:r>
      <w:r w:rsidR="00E041F7">
        <w:rPr>
          <w:rtl/>
        </w:rPr>
        <w:t>بو هذه متاحة للنفاذ إليها مجانا</w:t>
      </w:r>
      <w:r w:rsidRPr="00776161">
        <w:rPr>
          <w:rtl/>
        </w:rPr>
        <w:t xml:space="preserve"> على الصعيد العالمي.</w:t>
      </w:r>
    </w:p>
    <w:p w:rsidR="00E041F7" w:rsidRDefault="00B84C46" w:rsidP="00AD7BE2">
      <w:pPr>
        <w:pStyle w:val="ONUMA"/>
      </w:pPr>
      <w:r>
        <w:rPr>
          <w:rtl/>
        </w:rPr>
        <w:t>ونظرا</w:t>
      </w:r>
      <w:r w:rsidRPr="00B84C46">
        <w:rPr>
          <w:rtl/>
        </w:rPr>
        <w:t xml:space="preserve"> إلى الدور التأسيسي للويبو في السياسة الموحدة، يرصد المركز مستجدات نظام أسماء الحقول بغية تكييف موارده وممارساته.</w:t>
      </w:r>
      <w:r>
        <w:rPr>
          <w:rStyle w:val="FootnoteReference"/>
          <w:rtl/>
        </w:rPr>
        <w:footnoteReference w:id="24"/>
      </w:r>
      <w:r w:rsidRPr="00B84C46">
        <w:rPr>
          <w:rtl/>
        </w:rPr>
        <w:t xml:space="preserve"> وينظم المركز بانتظام حلقات عمل بشأن تسوية المنازعات على أسماء الحقول تقدم مستجدات عن السوابق والممارسات لفائدة الأطراف المعنية،</w:t>
      </w:r>
      <w:r w:rsidR="005A7004">
        <w:rPr>
          <w:rStyle w:val="FootnoteReference"/>
          <w:rtl/>
        </w:rPr>
        <w:footnoteReference w:id="25"/>
      </w:r>
      <w:r w:rsidRPr="00B84C46">
        <w:rPr>
          <w:rtl/>
        </w:rPr>
        <w:t xml:space="preserve"> كما ينظم اجتماعات لمحكميه ووسطائه في مجال أسماء الحقول.</w:t>
      </w:r>
    </w:p>
    <w:p w:rsidR="005A7004" w:rsidRDefault="00216A65" w:rsidP="00216A65">
      <w:pPr>
        <w:pStyle w:val="Heading3"/>
        <w:ind w:left="1165" w:hanging="630"/>
      </w:pPr>
      <w:r w:rsidRPr="00216A65">
        <w:rPr>
          <w:rtl/>
        </w:rPr>
        <w:t>باء.</w:t>
      </w:r>
      <w:r>
        <w:rPr>
          <w:rtl/>
        </w:rPr>
        <w:tab/>
      </w:r>
      <w:r w:rsidRPr="00216A65">
        <w:rPr>
          <w:rtl/>
        </w:rPr>
        <w:t>الحقول العليا المكوَّنة من رموز البلدان</w:t>
      </w:r>
    </w:p>
    <w:p w:rsidR="005A7004" w:rsidRDefault="0026103B" w:rsidP="00AD7BE2">
      <w:pPr>
        <w:pStyle w:val="ONUMA"/>
      </w:pPr>
      <w:r w:rsidRPr="0026103B">
        <w:rPr>
          <w:rtl/>
        </w:rPr>
        <w:t>يقتصر التطبيق الإلزامي للسياسة الموحدة على الأسماء المسجلة في الحقول العليا المكوّنة من أسماء عامة مثل "</w:t>
      </w:r>
      <w:r>
        <w:t>.</w:t>
      </w:r>
      <w:r w:rsidRPr="0026103B">
        <w:t>com</w:t>
      </w:r>
      <w:r w:rsidRPr="0026103B">
        <w:rPr>
          <w:rtl/>
        </w:rPr>
        <w:t>" وما أ</w:t>
      </w:r>
      <w:r>
        <w:rPr>
          <w:rtl/>
        </w:rPr>
        <w:t>ُدرج حديثا</w:t>
      </w:r>
      <w:r w:rsidRPr="0026103B">
        <w:rPr>
          <w:rtl/>
        </w:rPr>
        <w:t xml:space="preserve"> من أسماء في هذه الحقول، إلا أن </w:t>
      </w:r>
      <w:r>
        <w:rPr>
          <w:rFonts w:hint="cs"/>
          <w:rtl/>
        </w:rPr>
        <w:t>ال</w:t>
      </w:r>
      <w:r w:rsidRPr="0026103B">
        <w:rPr>
          <w:rtl/>
        </w:rPr>
        <w:t>مركز</w:t>
      </w:r>
      <w:r>
        <w:rPr>
          <w:rtl/>
        </w:rPr>
        <w:t xml:space="preserve"> يساعد أيضا</w:t>
      </w:r>
      <w:r w:rsidRPr="0026103B">
        <w:rPr>
          <w:rtl/>
        </w:rPr>
        <w:t xml:space="preserve"> العديد من مكاتب تسجيل الأسماء في الحقول العليا المكونة من رموز البلدان على صياغة شروط التسجيل وإجراءات تسوية المنازعات بما يفي بالممارسات المثلى في مجال إدارة السجلات وحماية الملكية الفكرية.</w:t>
      </w:r>
      <w:r>
        <w:rPr>
          <w:rStyle w:val="FootnoteReference"/>
          <w:rtl/>
        </w:rPr>
        <w:footnoteReference w:id="26"/>
      </w:r>
      <w:r w:rsidR="001E40A0">
        <w:rPr>
          <w:rFonts w:hint="cs"/>
          <w:rtl/>
        </w:rPr>
        <w:t xml:space="preserve"> </w:t>
      </w:r>
      <w:r w:rsidR="004337A5">
        <w:rPr>
          <w:rFonts w:hint="cs"/>
          <w:rtl/>
        </w:rPr>
        <w:t>و</w:t>
      </w:r>
      <w:r w:rsidR="001E40A0" w:rsidRPr="001E40A0">
        <w:rPr>
          <w:rtl/>
        </w:rPr>
        <w:t>بعض</w:t>
      </w:r>
      <w:r w:rsidR="004337A5" w:rsidRPr="004337A5">
        <w:rPr>
          <w:rtl/>
        </w:rPr>
        <w:t xml:space="preserve"> سجلات أسماء الحقول العليا المكوّنة من</w:t>
      </w:r>
      <w:r w:rsidR="004337A5">
        <w:rPr>
          <w:rFonts w:hint="cs"/>
          <w:rtl/>
        </w:rPr>
        <w:t xml:space="preserve"> رموز البلدان </w:t>
      </w:r>
      <w:r w:rsidR="004337A5" w:rsidRPr="001E40A0">
        <w:rPr>
          <w:rtl/>
        </w:rPr>
        <w:t>تعتمد</w:t>
      </w:r>
      <w:r w:rsidR="004337A5">
        <w:rPr>
          <w:rFonts w:hint="cs"/>
          <w:rtl/>
        </w:rPr>
        <w:t xml:space="preserve"> السياسة الموحدة</w:t>
      </w:r>
      <w:r w:rsidR="004337A5" w:rsidRPr="001E40A0">
        <w:rPr>
          <w:rtl/>
        </w:rPr>
        <w:t xml:space="preserve"> </w:t>
      </w:r>
      <w:r w:rsidR="001E40A0" w:rsidRPr="001E40A0">
        <w:rPr>
          <w:rtl/>
        </w:rPr>
        <w:t xml:space="preserve">بشكل مباشر، بينما </w:t>
      </w:r>
      <w:r w:rsidR="004337A5">
        <w:rPr>
          <w:rFonts w:hint="cs"/>
          <w:rtl/>
        </w:rPr>
        <w:t xml:space="preserve">اعتمدت سجلات أخرى </w:t>
      </w:r>
      <w:r w:rsidR="001E40A0" w:rsidRPr="001E40A0">
        <w:rPr>
          <w:rtl/>
        </w:rPr>
        <w:t xml:space="preserve">إجراءات قائمة على </w:t>
      </w:r>
      <w:r w:rsidR="004337A5">
        <w:rPr>
          <w:rFonts w:hint="cs"/>
          <w:rtl/>
        </w:rPr>
        <w:t>السياسة الموحدة تراعي</w:t>
      </w:r>
      <w:r w:rsidR="001E40A0" w:rsidRPr="001E40A0">
        <w:rPr>
          <w:rtl/>
        </w:rPr>
        <w:t xml:space="preserve"> الظروف والاحتياجات الخاصة </w:t>
      </w:r>
      <w:r w:rsidR="004337A5">
        <w:rPr>
          <w:rFonts w:hint="cs"/>
          <w:rtl/>
        </w:rPr>
        <w:t>ل</w:t>
      </w:r>
      <w:r w:rsidR="004337A5" w:rsidRPr="004337A5">
        <w:rPr>
          <w:rtl/>
        </w:rPr>
        <w:t>كل حقل من الحقول العليا المكونة من رموز البلدان.</w:t>
      </w:r>
      <w:r w:rsidR="001E40A0" w:rsidRPr="001E40A0">
        <w:rPr>
          <w:rtl/>
        </w:rPr>
        <w:t xml:space="preserve"> </w:t>
      </w:r>
      <w:r w:rsidR="004337A5">
        <w:rPr>
          <w:rFonts w:hint="cs"/>
          <w:rtl/>
        </w:rPr>
        <w:t>و</w:t>
      </w:r>
      <w:r w:rsidR="001E40A0" w:rsidRPr="001E40A0">
        <w:rPr>
          <w:rtl/>
        </w:rPr>
        <w:t xml:space="preserve">يقدم المركز خدمات </w:t>
      </w:r>
      <w:r w:rsidR="00F34935">
        <w:rPr>
          <w:rFonts w:hint="cs"/>
          <w:rtl/>
        </w:rPr>
        <w:t xml:space="preserve">تسويات منازعات أسماء الحقول </w:t>
      </w:r>
      <w:r w:rsidR="001E40A0" w:rsidRPr="001E40A0">
        <w:rPr>
          <w:rtl/>
        </w:rPr>
        <w:t xml:space="preserve">إلى أكثر من 70 </w:t>
      </w:r>
      <w:r w:rsidR="001E40A0" w:rsidRPr="001E40A0">
        <w:rPr>
          <w:rtl/>
        </w:rPr>
        <w:lastRenderedPageBreak/>
        <w:t>سجل</w:t>
      </w:r>
      <w:r w:rsidR="00F34935">
        <w:rPr>
          <w:rFonts w:hint="cs"/>
          <w:rtl/>
        </w:rPr>
        <w:t>ا من</w:t>
      </w:r>
      <w:r w:rsidR="001E40A0" w:rsidRPr="001E40A0">
        <w:rPr>
          <w:rtl/>
        </w:rPr>
        <w:t xml:space="preserve"> </w:t>
      </w:r>
      <w:r w:rsidR="00F34935" w:rsidRPr="004337A5">
        <w:rPr>
          <w:rtl/>
        </w:rPr>
        <w:t>سجلات أسماء الحقول العليا المكوّنة من</w:t>
      </w:r>
      <w:r w:rsidR="00F34935">
        <w:rPr>
          <w:rFonts w:hint="cs"/>
          <w:rtl/>
        </w:rPr>
        <w:t xml:space="preserve"> رموز البلدان</w:t>
      </w:r>
      <w:r w:rsidR="001E40A0" w:rsidRPr="001E40A0">
        <w:rPr>
          <w:rtl/>
        </w:rPr>
        <w:t xml:space="preserve">، بما في ذلك النطاق </w:t>
      </w:r>
      <w:r w:rsidR="00F34935">
        <w:t>.</w:t>
      </w:r>
      <w:r w:rsidR="001E40A0" w:rsidRPr="001E40A0">
        <w:t>GE</w:t>
      </w:r>
      <w:r w:rsidR="001E40A0" w:rsidRPr="001E40A0">
        <w:rPr>
          <w:rtl/>
        </w:rPr>
        <w:t xml:space="preserve"> (جورجيا) الذي </w:t>
      </w:r>
      <w:r w:rsidR="00F34935">
        <w:rPr>
          <w:rFonts w:hint="cs"/>
          <w:rtl/>
        </w:rPr>
        <w:t xml:space="preserve">أُضيف </w:t>
      </w:r>
      <w:r w:rsidR="001E40A0" w:rsidRPr="001E40A0">
        <w:rPr>
          <w:rtl/>
        </w:rPr>
        <w:t>في 2018.</w:t>
      </w:r>
      <w:r w:rsidR="00F34935">
        <w:rPr>
          <w:rStyle w:val="FootnoteReference"/>
          <w:rtl/>
        </w:rPr>
        <w:footnoteReference w:id="27"/>
      </w:r>
    </w:p>
    <w:p w:rsidR="00F34935" w:rsidRPr="00A55BC3" w:rsidRDefault="00A55BC3" w:rsidP="00AD7BE2">
      <w:pPr>
        <w:pStyle w:val="ONUMA"/>
      </w:pPr>
      <w:r w:rsidRPr="00A55BC3">
        <w:rPr>
          <w:rFonts w:hint="cs"/>
          <w:rtl/>
        </w:rPr>
        <w:t xml:space="preserve">وفيما يخص </w:t>
      </w:r>
      <w:r w:rsidR="001C1919" w:rsidRPr="00A55BC3">
        <w:rPr>
          <w:rtl/>
        </w:rPr>
        <w:t xml:space="preserve">جميع أسماء الحقول العليا المعنية المكوَّنة من رموز البلدان، قام المركز في عام 2018 بتوسيع </w:t>
      </w:r>
      <w:r w:rsidRPr="00A55BC3">
        <w:rPr>
          <w:rFonts w:hint="cs"/>
          <w:rtl/>
        </w:rPr>
        <w:t xml:space="preserve">نطاق </w:t>
      </w:r>
      <w:r w:rsidR="001C1919" w:rsidRPr="00A55BC3">
        <w:rPr>
          <w:rtl/>
        </w:rPr>
        <w:t>موارده</w:t>
      </w:r>
      <w:r w:rsidR="001C1919" w:rsidRPr="00A55BC3">
        <w:rPr>
          <w:rFonts w:hint="cs"/>
          <w:rtl/>
        </w:rPr>
        <w:t xml:space="preserve"> المعلنة المقدمة للأطراف</w:t>
      </w:r>
      <w:r w:rsidR="001C1919" w:rsidRPr="00A55BC3">
        <w:rPr>
          <w:rtl/>
        </w:rPr>
        <w:t xml:space="preserve"> </w:t>
      </w:r>
      <w:r w:rsidR="00707084" w:rsidRPr="00A55BC3">
        <w:rPr>
          <w:rFonts w:hint="cs"/>
          <w:rtl/>
        </w:rPr>
        <w:t>توسيعا كبيرا</w:t>
      </w:r>
      <w:r w:rsidR="001C1919" w:rsidRPr="00A55BC3">
        <w:rPr>
          <w:rtl/>
        </w:rPr>
        <w:t xml:space="preserve">، بما في ذلك معايير الأهلية للتسجيل، </w:t>
      </w:r>
      <w:r w:rsidR="00707084" w:rsidRPr="00A55BC3">
        <w:rPr>
          <w:rFonts w:hint="cs"/>
          <w:rtl/>
        </w:rPr>
        <w:t>والحروف</w:t>
      </w:r>
      <w:r w:rsidR="001C1919" w:rsidRPr="00A55BC3">
        <w:rPr>
          <w:rtl/>
        </w:rPr>
        <w:t xml:space="preserve"> المدعومة، و</w:t>
      </w:r>
      <w:r w:rsidR="00707084" w:rsidRPr="00A55BC3">
        <w:rPr>
          <w:rFonts w:hint="cs"/>
          <w:rtl/>
        </w:rPr>
        <w:t>ال</w:t>
      </w:r>
      <w:r w:rsidR="001C1919" w:rsidRPr="00A55BC3">
        <w:rPr>
          <w:rtl/>
        </w:rPr>
        <w:t xml:space="preserve">مذكرات </w:t>
      </w:r>
      <w:r w:rsidR="00707084" w:rsidRPr="00A55BC3">
        <w:rPr>
          <w:rFonts w:hint="cs"/>
          <w:rtl/>
        </w:rPr>
        <w:t>ال</w:t>
      </w:r>
      <w:r w:rsidR="001C1919" w:rsidRPr="00A55BC3">
        <w:rPr>
          <w:rtl/>
        </w:rPr>
        <w:t>نم</w:t>
      </w:r>
      <w:r w:rsidR="00707084" w:rsidRPr="00A55BC3">
        <w:rPr>
          <w:rFonts w:hint="cs"/>
          <w:rtl/>
        </w:rPr>
        <w:t>و</w:t>
      </w:r>
      <w:r w:rsidR="001C1919" w:rsidRPr="00A55BC3">
        <w:rPr>
          <w:rtl/>
        </w:rPr>
        <w:t>ذج</w:t>
      </w:r>
      <w:r w:rsidR="00707084" w:rsidRPr="00A55BC3">
        <w:rPr>
          <w:rFonts w:hint="cs"/>
          <w:rtl/>
        </w:rPr>
        <w:t>ية</w:t>
      </w:r>
      <w:r w:rsidR="001C1919" w:rsidRPr="00A55BC3">
        <w:rPr>
          <w:rtl/>
        </w:rPr>
        <w:t xml:space="preserve"> </w:t>
      </w:r>
      <w:r w:rsidR="00707084" w:rsidRPr="00A55BC3">
        <w:rPr>
          <w:rFonts w:hint="cs"/>
          <w:rtl/>
        </w:rPr>
        <w:t>ال</w:t>
      </w:r>
      <w:r w:rsidR="001C1919" w:rsidRPr="00A55BC3">
        <w:rPr>
          <w:rtl/>
        </w:rPr>
        <w:t>متعددة اللغات</w:t>
      </w:r>
      <w:r w:rsidR="00707084" w:rsidRPr="00A55BC3">
        <w:rPr>
          <w:rFonts w:hint="cs"/>
          <w:rtl/>
        </w:rPr>
        <w:t>،</w:t>
      </w:r>
      <w:r w:rsidR="001C1919" w:rsidRPr="00A55BC3">
        <w:rPr>
          <w:rtl/>
        </w:rPr>
        <w:t xml:space="preserve"> ومعلومات الإيداع،</w:t>
      </w:r>
      <w:r w:rsidR="00707084" w:rsidRPr="00A55BC3">
        <w:rPr>
          <w:rStyle w:val="FootnoteReference"/>
          <w:rtl/>
        </w:rPr>
        <w:footnoteReference w:id="28"/>
      </w:r>
      <w:r w:rsidR="001C1919" w:rsidRPr="00A55BC3">
        <w:rPr>
          <w:rtl/>
        </w:rPr>
        <w:t xml:space="preserve"> بالإضافة إلى ملخصات </w:t>
      </w:r>
      <w:r w:rsidR="00707084" w:rsidRPr="00A55BC3">
        <w:rPr>
          <w:rFonts w:hint="cs"/>
          <w:rtl/>
        </w:rPr>
        <w:t>ل</w:t>
      </w:r>
      <w:r w:rsidRPr="00A55BC3">
        <w:rPr>
          <w:rFonts w:hint="cs"/>
          <w:rtl/>
        </w:rPr>
        <w:t>أوجه ا</w:t>
      </w:r>
      <w:r w:rsidR="001C1919" w:rsidRPr="00A55BC3">
        <w:rPr>
          <w:rtl/>
        </w:rPr>
        <w:t xml:space="preserve">لاختلاف ذات الصلة بين </w:t>
      </w:r>
      <w:r w:rsidRPr="00A55BC3">
        <w:rPr>
          <w:rFonts w:hint="cs"/>
          <w:rtl/>
        </w:rPr>
        <w:t>السياسة الموحدة و</w:t>
      </w:r>
      <w:r w:rsidR="00707084" w:rsidRPr="00A55BC3">
        <w:rPr>
          <w:rFonts w:hint="cs"/>
          <w:rtl/>
        </w:rPr>
        <w:t xml:space="preserve">كل سياسة من </w:t>
      </w:r>
      <w:r w:rsidR="001C1919" w:rsidRPr="00A55BC3">
        <w:rPr>
          <w:rtl/>
        </w:rPr>
        <w:t xml:space="preserve">سياسات </w:t>
      </w:r>
      <w:r w:rsidR="00707084" w:rsidRPr="00A55BC3">
        <w:rPr>
          <w:rtl/>
        </w:rPr>
        <w:t xml:space="preserve">أسماء الحقول العليا </w:t>
      </w:r>
      <w:r w:rsidR="001C1919" w:rsidRPr="00A55BC3">
        <w:rPr>
          <w:rtl/>
        </w:rPr>
        <w:t>القائمة على</w:t>
      </w:r>
      <w:r w:rsidR="00707084" w:rsidRPr="00A55BC3">
        <w:rPr>
          <w:rFonts w:hint="cs"/>
          <w:rtl/>
        </w:rPr>
        <w:t xml:space="preserve"> السياسة الموحدة.</w:t>
      </w:r>
      <w:r w:rsidR="00707084" w:rsidRPr="00A55BC3">
        <w:rPr>
          <w:rStyle w:val="FootnoteReference"/>
          <w:rtl/>
        </w:rPr>
        <w:footnoteReference w:id="29"/>
      </w:r>
    </w:p>
    <w:p w:rsidR="00707084" w:rsidRDefault="001452B4" w:rsidP="001452B4">
      <w:pPr>
        <w:pStyle w:val="Heading2"/>
      </w:pPr>
      <w:r>
        <w:rPr>
          <w:rtl/>
        </w:rPr>
        <w:t>ثالثا</w:t>
      </w:r>
      <w:r w:rsidRPr="001452B4">
        <w:rPr>
          <w:rtl/>
        </w:rPr>
        <w:t>.</w:t>
      </w:r>
      <w:r>
        <w:rPr>
          <w:rtl/>
        </w:rPr>
        <w:tab/>
      </w:r>
      <w:r w:rsidRPr="001452B4">
        <w:rPr>
          <w:rtl/>
        </w:rPr>
        <w:t>مستجدات السياسة العامة المتصلة بنظام أسماء الحقول</w:t>
      </w:r>
    </w:p>
    <w:p w:rsidR="00707084" w:rsidRDefault="00290F0A" w:rsidP="00AD7BE2">
      <w:pPr>
        <w:pStyle w:val="ONUMA"/>
      </w:pPr>
      <w:r w:rsidRPr="00290F0A">
        <w:rPr>
          <w:rtl/>
        </w:rPr>
        <w:t>لقد طرأ على الإيكان عدد من ال</w:t>
      </w:r>
      <w:r>
        <w:rPr>
          <w:rtl/>
        </w:rPr>
        <w:t>مستجدات السياسية التي تتيح فرصا</w:t>
      </w:r>
      <w:r w:rsidRPr="00290F0A">
        <w:rPr>
          <w:rtl/>
        </w:rPr>
        <w:t xml:space="preserve"> لمالكي حقوق الملكية الفكرية وللمنتفعين بها بل وتطرح أمامهم تحديات. ويتعلق أحد هذه المستجدات بقيام الإيكان باستحداث </w:t>
      </w:r>
      <w:r>
        <w:rPr>
          <w:rFonts w:hint="cs"/>
          <w:rtl/>
        </w:rPr>
        <w:t xml:space="preserve">عدد كبير من </w:t>
      </w:r>
      <w:r w:rsidRPr="00290F0A">
        <w:rPr>
          <w:rtl/>
        </w:rPr>
        <w:t xml:space="preserve">الحقول العليا الجديدة المكوَّنة من أسماء عامة. وأسماء الحقول هذه يمكن أن تكون "مفتوحة" طبيعتها (تشبه </w:t>
      </w:r>
      <w:r>
        <w:t>.</w:t>
      </w:r>
      <w:r w:rsidRPr="00290F0A">
        <w:t>com</w:t>
      </w:r>
      <w:r w:rsidRPr="00290F0A">
        <w:rPr>
          <w:rtl/>
        </w:rPr>
        <w:t>) أو تتخذ خصائص محددة أو</w:t>
      </w:r>
      <w:r>
        <w:rPr>
          <w:rtl/>
        </w:rPr>
        <w:t xml:space="preserve"> مقيدة بقدر أكبر، كأن تتخذ مثلا</w:t>
      </w:r>
      <w:r w:rsidRPr="00290F0A">
        <w:rPr>
          <w:rtl/>
        </w:rPr>
        <w:t xml:space="preserve"> شكل </w:t>
      </w:r>
      <w:r>
        <w:t>.</w:t>
      </w:r>
      <w:r w:rsidRPr="00290F0A">
        <w:rPr>
          <w:rtl/>
        </w:rPr>
        <w:t xml:space="preserve">[علامة] أو </w:t>
      </w:r>
      <w:r>
        <w:rPr>
          <w:rFonts w:hint="cs"/>
          <w:rtl/>
        </w:rPr>
        <w:t>.</w:t>
      </w:r>
      <w:r w:rsidRPr="00290F0A">
        <w:rPr>
          <w:rtl/>
        </w:rPr>
        <w:t xml:space="preserve">[مدينة] أو </w:t>
      </w:r>
      <w:r>
        <w:rPr>
          <w:rFonts w:hint="cs"/>
          <w:rtl/>
        </w:rPr>
        <w:t>.</w:t>
      </w:r>
      <w:r w:rsidRPr="00290F0A">
        <w:rPr>
          <w:rtl/>
        </w:rPr>
        <w:t xml:space="preserve">[مجتمع] أو </w:t>
      </w:r>
      <w:r>
        <w:rPr>
          <w:rFonts w:hint="cs"/>
          <w:rtl/>
        </w:rPr>
        <w:t>.</w:t>
      </w:r>
      <w:r w:rsidRPr="00290F0A">
        <w:rPr>
          <w:rtl/>
        </w:rPr>
        <w:t xml:space="preserve">[ثقافة] أو </w:t>
      </w:r>
      <w:r>
        <w:rPr>
          <w:rFonts w:hint="cs"/>
          <w:rtl/>
        </w:rPr>
        <w:t>.</w:t>
      </w:r>
      <w:r w:rsidRPr="00290F0A">
        <w:rPr>
          <w:rtl/>
        </w:rPr>
        <w:t xml:space="preserve">[صناعة] أو </w:t>
      </w:r>
      <w:r>
        <w:rPr>
          <w:rFonts w:hint="cs"/>
          <w:rtl/>
        </w:rPr>
        <w:t>.</w:t>
      </w:r>
      <w:r w:rsidRPr="00290F0A">
        <w:rPr>
          <w:rtl/>
        </w:rPr>
        <w:t>[لغة]. وهناك تطور مهم ذو صلة يتعلق باستحداث أسماء حقول عليا دولية. و</w:t>
      </w:r>
      <w:r>
        <w:rPr>
          <w:rFonts w:hint="cs"/>
          <w:rtl/>
        </w:rPr>
        <w:t xml:space="preserve">توسيع </w:t>
      </w:r>
      <w:r w:rsidRPr="00290F0A">
        <w:rPr>
          <w:rtl/>
        </w:rPr>
        <w:t xml:space="preserve">الإيكان </w:t>
      </w:r>
      <w:r>
        <w:rPr>
          <w:rFonts w:hint="cs"/>
          <w:rtl/>
        </w:rPr>
        <w:t>ل</w:t>
      </w:r>
      <w:r w:rsidRPr="00290F0A">
        <w:rPr>
          <w:rtl/>
        </w:rPr>
        <w:t xml:space="preserve">نطاق أسماء الحقول الدولية </w:t>
      </w:r>
      <w:r>
        <w:rPr>
          <w:rFonts w:hint="cs"/>
          <w:rtl/>
        </w:rPr>
        <w:t xml:space="preserve">يطرح </w:t>
      </w:r>
      <w:r w:rsidRPr="00290F0A">
        <w:rPr>
          <w:rtl/>
        </w:rPr>
        <w:t>مسائل تتعلق بحماية الحقوق في إطار مشروع الويبو الثاني الخاص بأسماء الحقول على الإنترنت.</w:t>
      </w:r>
    </w:p>
    <w:p w:rsidR="00290F0A" w:rsidRDefault="004B6C53" w:rsidP="004B6C53">
      <w:pPr>
        <w:pStyle w:val="Heading3"/>
        <w:ind w:left="1165" w:hanging="630"/>
      </w:pPr>
      <w:r w:rsidRPr="004B6C53">
        <w:rPr>
          <w:rtl/>
        </w:rPr>
        <w:t>ألف.</w:t>
      </w:r>
      <w:r>
        <w:rPr>
          <w:rtl/>
        </w:rPr>
        <w:tab/>
      </w:r>
      <w:r w:rsidRPr="004B6C53">
        <w:rPr>
          <w:rtl/>
        </w:rPr>
        <w:t>الحقول العليا الجديدة المكوَّنة من أسماء عامة</w:t>
      </w:r>
    </w:p>
    <w:p w:rsidR="00290F0A" w:rsidRDefault="00794525" w:rsidP="00AD7BE2">
      <w:pPr>
        <w:pStyle w:val="ONUMA"/>
      </w:pPr>
      <w:r w:rsidRPr="00794525">
        <w:rPr>
          <w:rtl/>
        </w:rPr>
        <w:t>يُفصَّل برنامج هيئة الإيكان لتنفيذ برنامج الحقول العليا الجديدة المكوَّنة م</w:t>
      </w:r>
      <w:r>
        <w:rPr>
          <w:rtl/>
        </w:rPr>
        <w:t>ن أسماء عامة الذي اعتمدته رسميا</w:t>
      </w:r>
      <w:r w:rsidRPr="00794525">
        <w:rPr>
          <w:rtl/>
        </w:rPr>
        <w:t xml:space="preserve"> في يونيو 2011</w:t>
      </w:r>
      <w:r>
        <w:rPr>
          <w:rStyle w:val="FootnoteReference"/>
          <w:rtl/>
        </w:rPr>
        <w:footnoteReference w:id="30"/>
      </w:r>
      <w:r w:rsidRPr="00794525">
        <w:rPr>
          <w:rtl/>
        </w:rPr>
        <w:t xml:space="preserve"> في "دليل مودع طلب التسجيل"</w:t>
      </w:r>
      <w:r>
        <w:rPr>
          <w:rStyle w:val="FootnoteReference"/>
          <w:rtl/>
        </w:rPr>
        <w:footnoteReference w:id="31"/>
      </w:r>
      <w:r w:rsidRPr="00794525">
        <w:rPr>
          <w:rtl/>
        </w:rPr>
        <w:t xml:space="preserve"> الخاص بالإيكان الذي خضع لكثير من التعديلات. ومُنح أول حقل من الحقول العليا الجديدة المكوَّنة من أسماء عامة لإدخاله منطقة جذر الإنترنت في أكتوبر 2013، وكان أكثر من 200</w:t>
      </w:r>
      <w:r>
        <w:rPr>
          <w:rFonts w:hint="cs"/>
          <w:rtl/>
        </w:rPr>
        <w:t> </w:t>
      </w:r>
      <w:r w:rsidRPr="00794525">
        <w:rPr>
          <w:rtl/>
        </w:rPr>
        <w:t>1 حقل آخر من الحقول العليا الجديدة المكوَّنة من أسماء عامة قد مُنح بحلول يونيو 201</w:t>
      </w:r>
      <w:r>
        <w:rPr>
          <w:rFonts w:hint="cs"/>
          <w:rtl/>
        </w:rPr>
        <w:t>8</w:t>
      </w:r>
      <w:r w:rsidRPr="00794525">
        <w:rPr>
          <w:rtl/>
        </w:rPr>
        <w:t>.</w:t>
      </w:r>
      <w:r>
        <w:rPr>
          <w:rStyle w:val="FootnoteReference"/>
          <w:rtl/>
        </w:rPr>
        <w:footnoteReference w:id="32"/>
      </w:r>
    </w:p>
    <w:p w:rsidR="004A62CF" w:rsidRDefault="00D87109" w:rsidP="00AD7BE2">
      <w:pPr>
        <w:pStyle w:val="ONUMA"/>
      </w:pPr>
      <w:r>
        <w:rPr>
          <w:rtl/>
        </w:rPr>
        <w:t>ولا يزال المركز ملتزما</w:t>
      </w:r>
      <w:r w:rsidRPr="00D87109">
        <w:rPr>
          <w:rtl/>
        </w:rPr>
        <w:t xml:space="preserve"> بالتعاون مع أصحاب المصلحة للسعي إلى الحفاظ على الامتثال للمبادئ العامة لحماية الملكية الفكرية في الحقول العليا الجديدة المكونة من أسماء عامة. وقد نشأ عدد من آليات حماية الحقوق عن سلسلة من اجتماعات </w:t>
      </w:r>
      <w:r w:rsidRPr="00D87109">
        <w:rPr>
          <w:rtl/>
        </w:rPr>
        <w:lastRenderedPageBreak/>
        <w:t>لجان الإيكان وعملياتها المعنية بالحقول العليا الجديدة المكونة من أسماء عامة.</w:t>
      </w:r>
      <w:r>
        <w:rPr>
          <w:rStyle w:val="FootnoteReference"/>
          <w:rtl/>
        </w:rPr>
        <w:footnoteReference w:id="33"/>
      </w:r>
      <w:r w:rsidRPr="00D87109">
        <w:rPr>
          <w:rtl/>
        </w:rPr>
        <w:t xml:space="preserve"> وفيما يلي وصف مستفيض لهذه الآليات الخاصة بالإيكان، فيما يتعلق بالدرجة الأولى والدرجة الثانية على التوالي.</w:t>
      </w:r>
    </w:p>
    <w:p w:rsidR="00D87109" w:rsidRPr="00077790" w:rsidRDefault="00D87109" w:rsidP="00077790">
      <w:pPr>
        <w:pStyle w:val="BodyText"/>
        <w:numPr>
          <w:ilvl w:val="0"/>
          <w:numId w:val="47"/>
        </w:numPr>
        <w:ind w:left="1255" w:hanging="450"/>
        <w:rPr>
          <w:u w:val="single"/>
          <w:rtl/>
        </w:rPr>
      </w:pPr>
      <w:r w:rsidRPr="00077790">
        <w:rPr>
          <w:u w:val="single"/>
          <w:rtl/>
        </w:rPr>
        <w:t>آليات حماية الحقوق من الدرجة الأولى</w:t>
      </w:r>
    </w:p>
    <w:p w:rsidR="00D87109" w:rsidRPr="007E5011" w:rsidRDefault="00D87109" w:rsidP="00077790">
      <w:pPr>
        <w:pStyle w:val="BodyText"/>
        <w:numPr>
          <w:ilvl w:val="0"/>
          <w:numId w:val="48"/>
        </w:numPr>
        <w:ind w:left="1255" w:firstLine="360"/>
        <w:rPr>
          <w:u w:val="single"/>
          <w:rtl/>
        </w:rPr>
      </w:pPr>
      <w:r w:rsidRPr="007E5011">
        <w:rPr>
          <w:u w:val="single"/>
          <w:rtl/>
        </w:rPr>
        <w:t>إجراءات تسوية المنازعات قبل منح أسماء الحقول العليا</w:t>
      </w:r>
    </w:p>
    <w:p w:rsidR="00D87109" w:rsidRDefault="00973BD6" w:rsidP="00AD7BE2">
      <w:pPr>
        <w:pStyle w:val="ONUMA"/>
      </w:pPr>
      <w:r w:rsidRPr="00973BD6">
        <w:rPr>
          <w:rtl/>
        </w:rPr>
        <w:t>سمحت هذه الآلية لأصحاب العلامات التجارية بالتقدم باعتراضات قائمة على الحقوق القانونية ضد طلبات الحقول العليا الجديدة المكونة من أسماء عامة من الدرجة الأولى حيث تحققت معايير موضوعية معينة.</w:t>
      </w:r>
      <w:r w:rsidR="00913E75">
        <w:rPr>
          <w:rStyle w:val="FootnoteReference"/>
          <w:rtl/>
        </w:rPr>
        <w:footnoteReference w:id="34"/>
      </w:r>
      <w:r w:rsidRPr="00973BD6">
        <w:rPr>
          <w:rtl/>
        </w:rPr>
        <w:t xml:space="preserve"> وقد ساعد مركز الويبو الإيكان </w:t>
      </w:r>
      <w:r w:rsidR="00913E75">
        <w:rPr>
          <w:rFonts w:hint="cs"/>
          <w:rtl/>
        </w:rPr>
        <w:t>على</w:t>
      </w:r>
      <w:r w:rsidRPr="00973BD6">
        <w:rPr>
          <w:rtl/>
        </w:rPr>
        <w:t xml:space="preserve"> </w:t>
      </w:r>
      <w:r w:rsidR="00913E75">
        <w:rPr>
          <w:rFonts w:hint="cs"/>
          <w:rtl/>
        </w:rPr>
        <w:t>وضع</w:t>
      </w:r>
      <w:r w:rsidRPr="00973BD6">
        <w:rPr>
          <w:rtl/>
        </w:rPr>
        <w:t xml:space="preserve"> هذه المعايير بناءً على "توصية الويبو المشتركة بشأن الأحكام المتعلقة بحماية العلامات وغيرها من حقوق الملكية الصناعية في الإشارات على الإنترنت".</w:t>
      </w:r>
      <w:r w:rsidR="00913E75">
        <w:rPr>
          <w:rStyle w:val="FootnoteReference"/>
          <w:rtl/>
        </w:rPr>
        <w:footnoteReference w:id="35"/>
      </w:r>
    </w:p>
    <w:p w:rsidR="00E96113" w:rsidRDefault="00E96113" w:rsidP="00AD7BE2">
      <w:pPr>
        <w:pStyle w:val="ONUMA"/>
      </w:pPr>
      <w:r w:rsidRPr="00E96113">
        <w:rPr>
          <w:rtl/>
        </w:rPr>
        <w:t>وبعد أن عيَّنت الإيكان المركز باعتباره الجهة الوحيدة لتقديم خدمات تسوية منازعات الاعتراضات القائمة على الحقوق القانونية،</w:t>
      </w:r>
      <w:r>
        <w:rPr>
          <w:rStyle w:val="FootnoteReference"/>
          <w:rtl/>
        </w:rPr>
        <w:footnoteReference w:id="36"/>
      </w:r>
      <w:r>
        <w:rPr>
          <w:rtl/>
        </w:rPr>
        <w:t xml:space="preserve"> تلقى المركز 69 اعتراضا قائما</w:t>
      </w:r>
      <w:r w:rsidRPr="00E96113">
        <w:rPr>
          <w:rtl/>
        </w:rPr>
        <w:t xml:space="preserve"> على الحقوق القانونية ويلبي الشروط، واكتملت معالجة مركز الويبو للاعتراضات بحلول سبتمبر 2013</w:t>
      </w:r>
      <w:r>
        <w:rPr>
          <w:rFonts w:hint="cs"/>
          <w:rtl/>
        </w:rPr>
        <w:t>.</w:t>
      </w:r>
      <w:r>
        <w:rPr>
          <w:rStyle w:val="FootnoteReference"/>
          <w:rtl/>
        </w:rPr>
        <w:footnoteReference w:id="37"/>
      </w:r>
      <w:r w:rsidRPr="00E96113">
        <w:rPr>
          <w:rtl/>
        </w:rPr>
        <w:t xml:space="preserve"> وجميع قرارات هيئة الخبراء المعنية بالاعتراضات القائمة على الحقوق القانونية في الويبو متاحة على الموقع الإلكتروني للمركز،</w:t>
      </w:r>
      <w:r>
        <w:rPr>
          <w:rStyle w:val="FootnoteReference"/>
          <w:rtl/>
        </w:rPr>
        <w:footnoteReference w:id="38"/>
      </w:r>
      <w:r w:rsidRPr="00E96113">
        <w:rPr>
          <w:rtl/>
        </w:rPr>
        <w:t xml:space="preserve"> و</w:t>
      </w:r>
      <w:r w:rsidR="005F79A1">
        <w:rPr>
          <w:rtl/>
        </w:rPr>
        <w:t>يوجد على الموقع الإلكتروني أيضا</w:t>
      </w:r>
      <w:r w:rsidRPr="00E96113">
        <w:rPr>
          <w:rtl/>
        </w:rPr>
        <w:t xml:space="preserve"> تقرير للمركز عن مسار الاعتراضات القائمة على الحقوق القانونية.</w:t>
      </w:r>
      <w:r w:rsidR="005F79A1">
        <w:rPr>
          <w:rStyle w:val="FootnoteReference"/>
          <w:rtl/>
        </w:rPr>
        <w:footnoteReference w:id="39"/>
      </w:r>
    </w:p>
    <w:p w:rsidR="00B1546E" w:rsidRPr="007E5011" w:rsidRDefault="007E5011" w:rsidP="008A1EDB">
      <w:pPr>
        <w:pStyle w:val="BodyText"/>
        <w:keepNext/>
        <w:keepLines/>
        <w:numPr>
          <w:ilvl w:val="0"/>
          <w:numId w:val="48"/>
        </w:numPr>
        <w:ind w:left="1253" w:firstLine="357"/>
        <w:rPr>
          <w:u w:val="single"/>
          <w:rtl/>
        </w:rPr>
      </w:pPr>
      <w:r w:rsidRPr="007E5011">
        <w:rPr>
          <w:u w:val="single"/>
          <w:rtl/>
        </w:rPr>
        <w:lastRenderedPageBreak/>
        <w:t>إجراءات تسوية المنازعات بعد منح أسماء الحقول العليا</w:t>
      </w:r>
    </w:p>
    <w:p w:rsidR="00B1546E" w:rsidRDefault="00A14BAC" w:rsidP="008A1EDB">
      <w:pPr>
        <w:pStyle w:val="ONUMA"/>
      </w:pPr>
      <w:r w:rsidRPr="00A14BAC">
        <w:rPr>
          <w:rtl/>
        </w:rPr>
        <w:t xml:space="preserve">في بداية عام 2009، أرسل </w:t>
      </w:r>
      <w:r>
        <w:rPr>
          <w:rtl/>
        </w:rPr>
        <w:t>مركز الويبو إلى الإيكان اقتراحا موضوعيا ملموسا</w:t>
      </w:r>
      <w:r w:rsidRPr="00A14BAC">
        <w:rPr>
          <w:rtl/>
        </w:rPr>
        <w:t xml:space="preserve"> لاعتماد خيار إداري دائم من شأنه أن يتيح إيداع الشكاوى على ما يُعتمد من حقول عليا جديدة مكونة من أسماء عامة يُزعم أن تشغيلها أو استخدامها الفعلي لدى مكتب التسجيل يتسبب في انتهاك العلامات التجاري</w:t>
      </w:r>
      <w:r>
        <w:rPr>
          <w:rtl/>
        </w:rPr>
        <w:t>ة أو يُسهم في ذلك إسهاما ماديا</w:t>
      </w:r>
      <w:r w:rsidRPr="00A14BAC">
        <w:rPr>
          <w:rtl/>
        </w:rPr>
        <w:t>.</w:t>
      </w:r>
      <w:r>
        <w:rPr>
          <w:rStyle w:val="FootnoteReference"/>
          <w:rtl/>
        </w:rPr>
        <w:footnoteReference w:id="40"/>
      </w:r>
      <w:r w:rsidRPr="00A14BAC">
        <w:rPr>
          <w:rtl/>
        </w:rPr>
        <w:t xml:space="preserve"> وكان الهدف من الاقتراح هو تقديم المساعدة الموحدة إلى الإيكان من أجل التزامها بمراقبة الامتثال وتزويدها ببديل إداري للتقاضي أمام المحاكم وتشجيع الجهات الفاعلة المعنية على التحلي بسلوك مسؤول بما يشمل توفير الحصانات الملائمة.</w:t>
      </w:r>
      <w:r>
        <w:rPr>
          <w:rStyle w:val="FootnoteReference"/>
          <w:rtl/>
        </w:rPr>
        <w:footnoteReference w:id="41"/>
      </w:r>
    </w:p>
    <w:p w:rsidR="00410603" w:rsidRDefault="0023305F" w:rsidP="008A1EDB">
      <w:pPr>
        <w:pStyle w:val="ONUMA"/>
      </w:pPr>
      <w:r w:rsidRPr="0023305F">
        <w:rPr>
          <w:rtl/>
        </w:rPr>
        <w:t>وبعد إجراءات عديدة للإيكان، بما في ذلك مشاورات مع المسؤولين عن التسجيل، تظل جدوى إجراءات تسوية المنازعات بعد منح أسماء الحقول العليا بالصيغة التي اعتمدتها الإيكا</w:t>
      </w:r>
      <w:r>
        <w:rPr>
          <w:rtl/>
        </w:rPr>
        <w:t>ن غير أكيدة، لا سيما نظرا</w:t>
      </w:r>
      <w:r w:rsidRPr="0023305F">
        <w:rPr>
          <w:rtl/>
        </w:rPr>
        <w:t xml:space="preserve"> لإضافة مجموعة إجراءات متداخلة ومسائل تتعلق بالنطاق الموضوعي المقصود من هذه الآلية. وفي ضوء المصالح السياسية المعنية، اتفق مركز الويبو في عام 20</w:t>
      </w:r>
      <w:r>
        <w:rPr>
          <w:rtl/>
        </w:rPr>
        <w:t>13 مع الإيكان على أن يصبح م</w:t>
      </w:r>
      <w:r w:rsidR="00202879">
        <w:rPr>
          <w:rFonts w:hint="cs"/>
          <w:rtl/>
        </w:rPr>
        <w:t>ُ</w:t>
      </w:r>
      <w:r>
        <w:rPr>
          <w:rtl/>
        </w:rPr>
        <w:t>ور</w:t>
      </w:r>
      <w:r w:rsidR="00202879">
        <w:rPr>
          <w:rFonts w:hint="cs"/>
          <w:rtl/>
        </w:rPr>
        <w:t>ِّ</w:t>
      </w:r>
      <w:r>
        <w:rPr>
          <w:rtl/>
        </w:rPr>
        <w:t>دا</w:t>
      </w:r>
      <w:r w:rsidRPr="0023305F">
        <w:rPr>
          <w:rtl/>
        </w:rPr>
        <w:t xml:space="preserve"> لإجراءات تسوية المنازعات بعد منح أسماء الحقول فيما يتعلق بالعلامات التجارية.</w:t>
      </w:r>
    </w:p>
    <w:p w:rsidR="007962DE" w:rsidRPr="007962DE" w:rsidRDefault="007962DE" w:rsidP="006C0738">
      <w:pPr>
        <w:pStyle w:val="BodyText"/>
        <w:keepNext/>
        <w:numPr>
          <w:ilvl w:val="0"/>
          <w:numId w:val="47"/>
        </w:numPr>
        <w:ind w:left="1253" w:hanging="450"/>
        <w:rPr>
          <w:u w:val="single"/>
          <w:rtl/>
        </w:rPr>
      </w:pPr>
      <w:r w:rsidRPr="007962DE">
        <w:rPr>
          <w:u w:val="single"/>
          <w:rtl/>
        </w:rPr>
        <w:t>آليات حماية الحقوق من الدرجة الثانية</w:t>
      </w:r>
    </w:p>
    <w:p w:rsidR="0023305F" w:rsidRPr="007962DE" w:rsidRDefault="007962DE" w:rsidP="006C0738">
      <w:pPr>
        <w:pStyle w:val="BodyText"/>
        <w:keepNext/>
        <w:numPr>
          <w:ilvl w:val="0"/>
          <w:numId w:val="49"/>
        </w:numPr>
        <w:ind w:left="1253" w:firstLine="360"/>
        <w:rPr>
          <w:u w:val="single"/>
        </w:rPr>
      </w:pPr>
      <w:r w:rsidRPr="007962DE">
        <w:rPr>
          <w:u w:val="single"/>
          <w:rtl/>
        </w:rPr>
        <w:t>مركز تبادل المعلومات عن العلامات التجارية</w:t>
      </w:r>
    </w:p>
    <w:p w:rsidR="0023305F" w:rsidRDefault="00335DF4" w:rsidP="008A1EDB">
      <w:pPr>
        <w:pStyle w:val="ONUMA"/>
      </w:pPr>
      <w:r w:rsidRPr="00335DF4">
        <w:rPr>
          <w:rtl/>
        </w:rPr>
        <w:t>يشمل برنامج الحقول العليا الجديدة المكونة من أسماء عامة الخاص بالإيكان "مركز تبادل المعلومات عن العل</w:t>
      </w:r>
      <w:r w:rsidR="00C83DA6">
        <w:rPr>
          <w:rtl/>
        </w:rPr>
        <w:t>امات التجارية" باعتباره مستودعا مركزيا</w:t>
      </w:r>
      <w:r w:rsidRPr="00335DF4">
        <w:rPr>
          <w:rtl/>
        </w:rPr>
        <w:t xml:space="preserve"> للبيانات الأصلية عن العلامات التجارية التي يمكن ذكرها على أنها أساس لتقديم الطلبات بموجب آليات حماية الحقوق في الحقول العليا الجديدة المكونة من أسماء عامة.</w:t>
      </w:r>
      <w:r w:rsidR="00C83DA6">
        <w:rPr>
          <w:rStyle w:val="FootnoteReference"/>
          <w:rtl/>
        </w:rPr>
        <w:footnoteReference w:id="42"/>
      </w:r>
      <w:r w:rsidRPr="00335DF4">
        <w:rPr>
          <w:rtl/>
        </w:rPr>
        <w:t xml:space="preserve"> وعقّب المركز بأنه لا ينبغي لمركز تبادل المعلومات أن يثقل كاهل أصحاب الحقوق على نحو غير مُنصِف عند معالجة تسجيلات العلامات التجارية الممنوحة بصفة شرعية بواسطة أنظمة الفحص والتسجيل كما هي مطبقة في أنظمة قضائية عالمية عديدة، وأنه يمكن، عند الاقتضاء، التفكير </w:t>
      </w:r>
      <w:r w:rsidRPr="00335DF4">
        <w:rPr>
          <w:rtl/>
        </w:rPr>
        <w:lastRenderedPageBreak/>
        <w:t xml:space="preserve">في تدابير عملية لتحديد أي ادعاءات بمطالبة غير ملائمة بالحقوق في سياقات محددة. وتشير المعلومات المتاحة إلى أنه حتى </w:t>
      </w:r>
      <w:r w:rsidR="00C83DA6">
        <w:rPr>
          <w:rFonts w:hint="cs"/>
          <w:rtl/>
        </w:rPr>
        <w:t>مايو</w:t>
      </w:r>
      <w:r w:rsidRPr="00335DF4">
        <w:rPr>
          <w:rtl/>
        </w:rPr>
        <w:t xml:space="preserve"> 201</w:t>
      </w:r>
      <w:r w:rsidR="00C83DA6">
        <w:rPr>
          <w:rFonts w:hint="cs"/>
          <w:rtl/>
        </w:rPr>
        <w:t>8</w:t>
      </w:r>
      <w:r w:rsidRPr="00335DF4">
        <w:rPr>
          <w:rtl/>
        </w:rPr>
        <w:t>،</w:t>
      </w:r>
      <w:r w:rsidR="00C83DA6">
        <w:rPr>
          <w:rFonts w:hint="cs"/>
          <w:rtl/>
        </w:rPr>
        <w:t xml:space="preserve"> كان</w:t>
      </w:r>
      <w:r w:rsidRPr="00335DF4">
        <w:rPr>
          <w:rtl/>
        </w:rPr>
        <w:t xml:space="preserve"> مركز تبادل المعلومات </w:t>
      </w:r>
      <w:r w:rsidR="00C83DA6">
        <w:rPr>
          <w:rFonts w:hint="cs"/>
          <w:rtl/>
        </w:rPr>
        <w:t xml:space="preserve">قد </w:t>
      </w:r>
      <w:r w:rsidR="00C83DA6" w:rsidRPr="00335DF4">
        <w:rPr>
          <w:rtl/>
        </w:rPr>
        <w:t xml:space="preserve">تلقى </w:t>
      </w:r>
      <w:r w:rsidRPr="00335DF4">
        <w:rPr>
          <w:rtl/>
        </w:rPr>
        <w:t>أكثر من 000</w:t>
      </w:r>
      <w:r w:rsidR="00C83DA6">
        <w:rPr>
          <w:rFonts w:hint="cs"/>
          <w:rtl/>
        </w:rPr>
        <w:t> </w:t>
      </w:r>
      <w:r w:rsidRPr="00335DF4">
        <w:rPr>
          <w:rtl/>
        </w:rPr>
        <w:t>4</w:t>
      </w:r>
      <w:r w:rsidR="00C83DA6">
        <w:rPr>
          <w:rFonts w:hint="cs"/>
          <w:rtl/>
        </w:rPr>
        <w:t>4</w:t>
      </w:r>
      <w:r w:rsidR="00C83DA6">
        <w:rPr>
          <w:rtl/>
        </w:rPr>
        <w:t xml:space="preserve"> مدخلا</w:t>
      </w:r>
      <w:r w:rsidRPr="00335DF4">
        <w:rPr>
          <w:rtl/>
        </w:rPr>
        <w:t>.</w:t>
      </w:r>
      <w:r w:rsidR="00C83DA6">
        <w:rPr>
          <w:rStyle w:val="FootnoteReference"/>
        </w:rPr>
        <w:footnoteReference w:id="43"/>
      </w:r>
    </w:p>
    <w:p w:rsidR="00EF40BE" w:rsidRPr="00EF40BE" w:rsidRDefault="00EF40BE" w:rsidP="00EF40BE">
      <w:pPr>
        <w:pStyle w:val="BodyText"/>
        <w:keepNext/>
        <w:numPr>
          <w:ilvl w:val="0"/>
          <w:numId w:val="49"/>
        </w:numPr>
        <w:ind w:left="1253" w:firstLine="360"/>
        <w:rPr>
          <w:u w:val="single"/>
        </w:rPr>
      </w:pPr>
      <w:r w:rsidRPr="00EF40BE">
        <w:rPr>
          <w:u w:val="single"/>
          <w:rtl/>
        </w:rPr>
        <w:t>الإجراء الموحد للوقف السريع</w:t>
      </w:r>
    </w:p>
    <w:p w:rsidR="00C83DA6" w:rsidRDefault="00BF7140" w:rsidP="008A1EDB">
      <w:pPr>
        <w:pStyle w:val="ONUMA"/>
      </w:pPr>
      <w:r w:rsidRPr="00BF7140">
        <w:rPr>
          <w:rtl/>
        </w:rPr>
        <w:t>على الرغم من بقاء السياسة الموحدة متاحة كأداة مجدية لتسوية منازعات الحقول العليا الجديدة المكونة من أسماء عامة والمتعلقة بنقل اسم حقل متنازع عليه إلى صاحب العلامة التجارية، فقد استحدثت الإيكان ما يقصد به أن يكون آلية من الدرجة الثانية لحماية الحقوق تكون أخف وقعا في الحالات المعنية.</w:t>
      </w:r>
      <w:r>
        <w:rPr>
          <w:rStyle w:val="FootnoteReference"/>
          <w:rtl/>
        </w:rPr>
        <w:footnoteReference w:id="44"/>
      </w:r>
    </w:p>
    <w:p w:rsidR="00BF7140" w:rsidRDefault="00311A2A" w:rsidP="008A1EDB">
      <w:pPr>
        <w:pStyle w:val="ONUMA"/>
      </w:pPr>
      <w:r w:rsidRPr="00311A2A">
        <w:rPr>
          <w:rtl/>
        </w:rPr>
        <w:t xml:space="preserve">ورغم أن النظام الموحد للوقف السريع نشأ عن سلسلة من مسارات الإيكان </w:t>
      </w:r>
      <w:r w:rsidR="00DE7129">
        <w:rPr>
          <w:rtl/>
        </w:rPr>
        <w:t>ولجانها، فإنه لا يزال يثير عددا</w:t>
      </w:r>
      <w:r w:rsidRPr="00311A2A">
        <w:rPr>
          <w:rtl/>
        </w:rPr>
        <w:t xml:space="preserve"> من التساؤلات، منها علاقته بالسياسة الموحدة لتسوية المنازعات.</w:t>
      </w:r>
      <w:r w:rsidR="00DE7129">
        <w:rPr>
          <w:rStyle w:val="FootnoteReference"/>
          <w:rtl/>
        </w:rPr>
        <w:footnoteReference w:id="45"/>
      </w:r>
      <w:r w:rsidRPr="00311A2A">
        <w:rPr>
          <w:rtl/>
        </w:rPr>
        <w:t xml:space="preserve"> وقد دعت الإيكان إلى أن يتقدم المقدمون المحتملون لخدمات الإجراء الموحد للوقف السريع بعطاءاتهم، وبعد دراسة متأنية لنموذج الإيكان الخاص بالإجراء الموحد للوقف السريع والموارد ذات الصلة، أصبح من الواضح أن مركز الويبو لم يكن في وضع يسمح له بالتقدم بأي عطاء.</w:t>
      </w:r>
      <w:r w:rsidR="00DE7129">
        <w:rPr>
          <w:rStyle w:val="FootnoteReference"/>
          <w:rtl/>
        </w:rPr>
        <w:footnoteReference w:id="46"/>
      </w:r>
      <w:r w:rsidRPr="00311A2A">
        <w:rPr>
          <w:rtl/>
        </w:rPr>
        <w:t xml:space="preserve"> وما زال المركز يرصد التطورات عن كثب.</w:t>
      </w:r>
    </w:p>
    <w:p w:rsidR="00DE7129" w:rsidRDefault="00352970" w:rsidP="00352970">
      <w:pPr>
        <w:pStyle w:val="Heading3"/>
        <w:ind w:left="1165" w:hanging="630"/>
      </w:pPr>
      <w:r w:rsidRPr="00352970">
        <w:rPr>
          <w:rtl/>
        </w:rPr>
        <w:t>باء.</w:t>
      </w:r>
      <w:r>
        <w:rPr>
          <w:rtl/>
        </w:rPr>
        <w:tab/>
      </w:r>
      <w:r w:rsidRPr="00352970">
        <w:rPr>
          <w:rtl/>
        </w:rPr>
        <w:t>مراجعة الإيكان المرتقبة للسياسة الموحدة لتسوية المنازعات المتعلقة بأسماء الحقول على الإنترنت التي وضعتها الويبو وغيرها من آليات حماية الحقوق</w:t>
      </w:r>
    </w:p>
    <w:p w:rsidR="00DE7129" w:rsidRDefault="00352970" w:rsidP="008A1EDB">
      <w:pPr>
        <w:pStyle w:val="ONUMA"/>
      </w:pPr>
      <w:r w:rsidRPr="00352970">
        <w:rPr>
          <w:rtl/>
        </w:rPr>
        <w:t>إن السياسة الموحدة إذ تتكيف مع التطور المتواصل لنظام أس</w:t>
      </w:r>
      <w:r>
        <w:rPr>
          <w:rtl/>
        </w:rPr>
        <w:t>ماء الحقول، فقد أخذت توفر بديلا فعليا</w:t>
      </w:r>
      <w:r w:rsidRPr="00352970">
        <w:rPr>
          <w:rtl/>
        </w:rPr>
        <w:t xml:space="preserve"> عن المقاضاة أمام المحاكم لأصحاب العلامات التجارية وأصحاب تسجيلات أسماء الحقول والمسؤولين عن التسجيل. ولكن عقب مناقشات أجريت عام 2011، رأت فيها الغالبية العظمى من المشاركين أن أي مراجعة تقوم بها الإيكان للسياسة الموحدة سيكون ضررها أكثر من نفعها،</w:t>
      </w:r>
      <w:r>
        <w:rPr>
          <w:rStyle w:val="FootnoteReference"/>
          <w:rtl/>
        </w:rPr>
        <w:footnoteReference w:id="47"/>
      </w:r>
      <w:r w:rsidRPr="00352970">
        <w:rPr>
          <w:rtl/>
        </w:rPr>
        <w:t xml:space="preserve"> اتخذت المنظمة الداعمة للأسم</w:t>
      </w:r>
      <w:r w:rsidR="00B6731B">
        <w:rPr>
          <w:rtl/>
        </w:rPr>
        <w:t>اء العامة التابعة للإيكان قرارا</w:t>
      </w:r>
      <w:r w:rsidRPr="00352970">
        <w:rPr>
          <w:rtl/>
        </w:rPr>
        <w:t xml:space="preserve"> بمراجعة السياسة الموحدة عقب إطلاق حقول جديدة عليا مكونة من أسماء عامة. وصدر تقرير الإيكان الأول حول هذا الموضوع في أكتوبر 2015 ووصف طائفة من المسائل الجوهرية المعقدة والمتعلقة بالعملية.</w:t>
      </w:r>
      <w:r w:rsidR="00B6731B">
        <w:rPr>
          <w:rStyle w:val="FootnoteReference"/>
          <w:rtl/>
        </w:rPr>
        <w:footnoteReference w:id="48"/>
      </w:r>
      <w:r w:rsidRPr="00352970">
        <w:rPr>
          <w:rtl/>
        </w:rPr>
        <w:t xml:space="preserve"> وفي هذا الصدد، قدم مركز الويبو ملاحظات تبرز</w:t>
      </w:r>
      <w:r w:rsidR="00B6731B">
        <w:rPr>
          <w:rFonts w:hint="cs"/>
          <w:rtl/>
        </w:rPr>
        <w:t xml:space="preserve"> كلا من</w:t>
      </w:r>
      <w:r w:rsidRPr="00352970">
        <w:rPr>
          <w:rtl/>
        </w:rPr>
        <w:t xml:space="preserve"> النجاح الطويل للسياسية الموحدة والمخاطر المرتبطة بأي محاولة من الإيكان لمراجعة السياسة الموحدة. وعقب فترة تعقيب عامة، أصدرت </w:t>
      </w:r>
      <w:r w:rsidRPr="00352970">
        <w:rPr>
          <w:rtl/>
        </w:rPr>
        <w:lastRenderedPageBreak/>
        <w:t>الإيكان تقريرها النهائي في يناير 2016 وأوصت فيه المنظمة الداعمة للأسماء العامة بإطلاق عملية تطوير السياسات لمراجعة جميع آليات حماية الحقوق على مرحلتين، و</w:t>
      </w:r>
      <w:r w:rsidR="00B6731B">
        <w:rPr>
          <w:rFonts w:hint="cs"/>
          <w:rtl/>
        </w:rPr>
        <w:t xml:space="preserve">لا تزال </w:t>
      </w:r>
      <w:r w:rsidRPr="00352970">
        <w:rPr>
          <w:rtl/>
        </w:rPr>
        <w:t xml:space="preserve">المرحلة الأولى </w:t>
      </w:r>
      <w:r w:rsidR="00B6731B" w:rsidRPr="00352970">
        <w:rPr>
          <w:rtl/>
        </w:rPr>
        <w:t>تركز</w:t>
      </w:r>
      <w:r w:rsidRPr="00352970">
        <w:rPr>
          <w:rtl/>
        </w:rPr>
        <w:t xml:space="preserve"> على آليات حماية الحقوق المطورة من أجل البرنامج الجديد للحقول العليا المكونة من أسماء عامة، وخاصة مركز تبادل المعلومات عن العلامات التجارية (بما يشمل آليتي حماية الحقوق "</w:t>
      </w:r>
      <w:r w:rsidRPr="00352970">
        <w:t>Sunrise</w:t>
      </w:r>
      <w:r w:rsidRPr="00352970">
        <w:rPr>
          <w:rtl/>
        </w:rPr>
        <w:t>" و"المطالب")، وستركز المرحلة الثانية على السياسة الموحدة.</w:t>
      </w:r>
      <w:r w:rsidR="00B6731B">
        <w:rPr>
          <w:rStyle w:val="FootnoteReference"/>
          <w:rtl/>
        </w:rPr>
        <w:footnoteReference w:id="49"/>
      </w:r>
      <w:r w:rsidR="00B6731B">
        <w:rPr>
          <w:rFonts w:hint="cs"/>
          <w:rtl/>
        </w:rPr>
        <w:t xml:space="preserve"> </w:t>
      </w:r>
      <w:r w:rsidR="00B6731B" w:rsidRPr="00B6731B">
        <w:rPr>
          <w:rtl/>
        </w:rPr>
        <w:t>وهذه المسألة مدعاة لقلق بالغ</w:t>
      </w:r>
      <w:r w:rsidR="00B6731B">
        <w:rPr>
          <w:rFonts w:hint="cs"/>
          <w:rtl/>
        </w:rPr>
        <w:t>،</w:t>
      </w:r>
      <w:r w:rsidR="00B6731B" w:rsidRPr="00B6731B">
        <w:rPr>
          <w:rtl/>
        </w:rPr>
        <w:t xml:space="preserve"> ويواصل مركز الويبو متابعة نوايا أصحاب المصلحة في الإيكان عن كثب فيما يتعلق بالسياسة الموحدة وآليات حماية حقوق العلامة التجارية بوجه عام. وفي إطار هذا الجهد، يتواصل المركز عند الاقتضاء مع أصحاب المصلحة المعنيين بالعلامات التجارية مثل </w:t>
      </w:r>
      <w:r w:rsidR="000E6411" w:rsidRPr="000E6411">
        <w:rPr>
          <w:rtl/>
        </w:rPr>
        <w:t>جمعية الاتحادات الأوروبية للعاملين في مجال العلامات التجارية (</w:t>
      </w:r>
      <w:r w:rsidR="000E6411" w:rsidRPr="000E6411">
        <w:t>ECTA</w:t>
      </w:r>
      <w:r w:rsidR="000E6411" w:rsidRPr="000E6411">
        <w:rPr>
          <w:rtl/>
        </w:rPr>
        <w:t xml:space="preserve">) </w:t>
      </w:r>
      <w:r w:rsidR="000E6411">
        <w:rPr>
          <w:rFonts w:hint="cs"/>
          <w:rtl/>
        </w:rPr>
        <w:t>و</w:t>
      </w:r>
      <w:r w:rsidR="00B6731B" w:rsidRPr="00B6731B">
        <w:rPr>
          <w:rtl/>
        </w:rPr>
        <w:t>الرابطة الدولية للعلامات التجارية (</w:t>
      </w:r>
      <w:r w:rsidR="00B6731B" w:rsidRPr="00B6731B">
        <w:t>INTA</w:t>
      </w:r>
      <w:r w:rsidR="00B6731B" w:rsidRPr="00B6731B">
        <w:rPr>
          <w:rtl/>
        </w:rPr>
        <w:t>) وجمعية مالكي العلامات التجارية الأوروبيين (</w:t>
      </w:r>
      <w:r w:rsidR="00B6731B" w:rsidRPr="00B6731B">
        <w:t>MARQUES</w:t>
      </w:r>
      <w:r w:rsidR="00B6731B" w:rsidRPr="00B6731B">
        <w:rPr>
          <w:rtl/>
        </w:rPr>
        <w:t>).</w:t>
      </w:r>
    </w:p>
    <w:p w:rsidR="00F90BC5" w:rsidRDefault="00D7129C" w:rsidP="00D7129C">
      <w:pPr>
        <w:pStyle w:val="Heading3"/>
        <w:ind w:left="1165" w:hanging="630"/>
      </w:pPr>
      <w:r>
        <w:rPr>
          <w:rFonts w:hint="cs"/>
          <w:rtl/>
        </w:rPr>
        <w:t>(جيم)</w:t>
      </w:r>
      <w:r>
        <w:rPr>
          <w:rFonts w:hint="cs"/>
          <w:rtl/>
        </w:rPr>
        <w:tab/>
      </w:r>
      <w:r w:rsidRPr="00D7129C">
        <w:rPr>
          <w:rtl/>
        </w:rPr>
        <w:t>النظام الأوروبي لحماية البيانات العامة</w:t>
      </w:r>
      <w:r>
        <w:rPr>
          <w:rFonts w:hint="cs"/>
          <w:rtl/>
        </w:rPr>
        <w:t xml:space="preserve"> وقاعدة بيانات </w:t>
      </w:r>
      <w:r w:rsidRPr="00D7129C">
        <w:t>WHOIS</w:t>
      </w:r>
    </w:p>
    <w:p w:rsidR="000E6411" w:rsidRDefault="00D7129C" w:rsidP="008A1EDB">
      <w:pPr>
        <w:pStyle w:val="ONUMA"/>
      </w:pPr>
      <w:r>
        <w:rPr>
          <w:rFonts w:hint="cs"/>
          <w:rtl/>
        </w:rPr>
        <w:t>دخل النظام الأوروبي لحماية البيانات العامة (</w:t>
      </w:r>
      <w:r w:rsidR="0087657F" w:rsidRPr="0087657F">
        <w:t>GDPR</w:t>
      </w:r>
      <w:r>
        <w:rPr>
          <w:rFonts w:hint="cs"/>
          <w:rtl/>
        </w:rPr>
        <w:t xml:space="preserve">) </w:t>
      </w:r>
      <w:r w:rsidR="0087657F">
        <w:rPr>
          <w:rFonts w:hint="cs"/>
          <w:rtl/>
        </w:rPr>
        <w:t xml:space="preserve">حيز النفاذ </w:t>
      </w:r>
      <w:r w:rsidRPr="00D7129C">
        <w:rPr>
          <w:rtl/>
        </w:rPr>
        <w:t>في 25 مايو 2018. و</w:t>
      </w:r>
      <w:r w:rsidR="0087657F">
        <w:rPr>
          <w:rFonts w:hint="cs"/>
          <w:rtl/>
        </w:rPr>
        <w:t xml:space="preserve">يتمثل الهدف العام لهذا النظام، كما </w:t>
      </w:r>
      <w:r w:rsidRPr="00D7129C">
        <w:rPr>
          <w:rtl/>
        </w:rPr>
        <w:t>ذكر</w:t>
      </w:r>
      <w:r w:rsidR="0087657F">
        <w:rPr>
          <w:rFonts w:hint="cs"/>
          <w:rtl/>
        </w:rPr>
        <w:t>ت</w:t>
      </w:r>
      <w:r w:rsidRPr="00D7129C">
        <w:rPr>
          <w:rtl/>
        </w:rPr>
        <w:t xml:space="preserve"> المفوضية الأوروبية، </w:t>
      </w:r>
      <w:r w:rsidR="0087657F">
        <w:rPr>
          <w:rFonts w:hint="cs"/>
          <w:rtl/>
        </w:rPr>
        <w:t xml:space="preserve">في </w:t>
      </w:r>
      <w:r w:rsidRPr="00D7129C">
        <w:rPr>
          <w:rtl/>
        </w:rPr>
        <w:t xml:space="preserve">معالجة </w:t>
      </w:r>
      <w:r w:rsidR="0087657F">
        <w:rPr>
          <w:rFonts w:hint="cs"/>
          <w:rtl/>
        </w:rPr>
        <w:t>شواغل</w:t>
      </w:r>
      <w:r w:rsidRPr="00D7129C">
        <w:rPr>
          <w:rtl/>
        </w:rPr>
        <w:t xml:space="preserve"> الخصوصية والبيانات، حيث يجب قياس هذه الأهداف </w:t>
      </w:r>
      <w:r w:rsidR="00AF4D13">
        <w:rPr>
          <w:rFonts w:hint="cs"/>
          <w:rtl/>
        </w:rPr>
        <w:t xml:space="preserve">في ضوء مصالح الغير المشروعة </w:t>
      </w:r>
      <w:r w:rsidRPr="00D7129C">
        <w:rPr>
          <w:rtl/>
        </w:rPr>
        <w:t xml:space="preserve">مثل العقود </w:t>
      </w:r>
      <w:r w:rsidR="00AF4D13">
        <w:rPr>
          <w:rFonts w:hint="cs"/>
          <w:rtl/>
        </w:rPr>
        <w:t>والمنازعات</w:t>
      </w:r>
      <w:r w:rsidRPr="00D7129C">
        <w:rPr>
          <w:rtl/>
        </w:rPr>
        <w:t xml:space="preserve"> القانونية.</w:t>
      </w:r>
    </w:p>
    <w:p w:rsidR="00AF4D13" w:rsidRDefault="00AF4D13" w:rsidP="008A1EDB">
      <w:pPr>
        <w:pStyle w:val="ONUMA"/>
      </w:pPr>
      <w:r>
        <w:rPr>
          <w:rFonts w:hint="cs"/>
          <w:rtl/>
        </w:rPr>
        <w:t>و</w:t>
      </w:r>
      <w:r>
        <w:rPr>
          <w:rtl/>
        </w:rPr>
        <w:t>بعد 25 مايو 2018</w:t>
      </w:r>
      <w:r w:rsidRPr="00AF4D13">
        <w:rPr>
          <w:rtl/>
        </w:rPr>
        <w:t xml:space="preserve">، لم تعد بيانات </w:t>
      </w:r>
      <w:r w:rsidRPr="00AF4D13">
        <w:t>WhoI</w:t>
      </w:r>
      <w:r w:rsidR="009E527A">
        <w:t>s</w:t>
      </w:r>
      <w:r w:rsidRPr="00AF4D13">
        <w:rPr>
          <w:rtl/>
        </w:rPr>
        <w:t xml:space="preserve"> المتاحة </w:t>
      </w:r>
      <w:r w:rsidR="009E527A">
        <w:rPr>
          <w:rFonts w:hint="cs"/>
          <w:rtl/>
        </w:rPr>
        <w:t xml:space="preserve">لعامة الناس </w:t>
      </w:r>
      <w:r w:rsidRPr="00AF4D13">
        <w:rPr>
          <w:rtl/>
        </w:rPr>
        <w:t xml:space="preserve">تتضمن </w:t>
      </w:r>
      <w:r w:rsidR="009E527A">
        <w:rPr>
          <w:rFonts w:hint="cs"/>
          <w:rtl/>
        </w:rPr>
        <w:t xml:space="preserve">إلى حد بعيد بيانات </w:t>
      </w:r>
      <w:r w:rsidRPr="00AF4D13">
        <w:rPr>
          <w:rtl/>
        </w:rPr>
        <w:t xml:space="preserve">الاتصال الكاملة </w:t>
      </w:r>
      <w:r w:rsidR="00DA4F5D">
        <w:rPr>
          <w:rFonts w:hint="cs"/>
          <w:rtl/>
        </w:rPr>
        <w:t>لصاحب تسجيل</w:t>
      </w:r>
      <w:r w:rsidRPr="00AF4D13">
        <w:rPr>
          <w:rtl/>
        </w:rPr>
        <w:t xml:space="preserve"> اسم ال</w:t>
      </w:r>
      <w:r w:rsidR="009E527A">
        <w:rPr>
          <w:rFonts w:hint="cs"/>
          <w:rtl/>
        </w:rPr>
        <w:t>حقل</w:t>
      </w:r>
      <w:r w:rsidRPr="00AF4D13">
        <w:rPr>
          <w:rtl/>
        </w:rPr>
        <w:t xml:space="preserve">. </w:t>
      </w:r>
      <w:r w:rsidR="008F5823">
        <w:rPr>
          <w:rFonts w:hint="cs"/>
          <w:rtl/>
        </w:rPr>
        <w:t xml:space="preserve">بل أصبحت </w:t>
      </w:r>
      <w:r w:rsidRPr="00AF4D13">
        <w:rPr>
          <w:rtl/>
        </w:rPr>
        <w:t xml:space="preserve">بيانات </w:t>
      </w:r>
      <w:r w:rsidRPr="00AF4D13">
        <w:t>WhoI</w:t>
      </w:r>
      <w:r w:rsidR="008F5823">
        <w:t>s</w:t>
      </w:r>
      <w:r w:rsidRPr="00AF4D13">
        <w:rPr>
          <w:rtl/>
        </w:rPr>
        <w:t xml:space="preserve"> المتاحة </w:t>
      </w:r>
      <w:r w:rsidR="008F5823">
        <w:rPr>
          <w:rFonts w:hint="cs"/>
          <w:rtl/>
        </w:rPr>
        <w:t xml:space="preserve">لعامة الناس </w:t>
      </w:r>
      <w:r w:rsidR="008F5823" w:rsidRPr="00AF4D13">
        <w:rPr>
          <w:rtl/>
        </w:rPr>
        <w:t>تقتصر</w:t>
      </w:r>
      <w:r w:rsidR="008F5823">
        <w:rPr>
          <w:rFonts w:hint="cs"/>
          <w:rtl/>
        </w:rPr>
        <w:t xml:space="preserve"> بوجه عام</w:t>
      </w:r>
      <w:r w:rsidRPr="00AF4D13">
        <w:rPr>
          <w:rtl/>
        </w:rPr>
        <w:t xml:space="preserve"> على "منظمة </w:t>
      </w:r>
      <w:r w:rsidR="00DA4F5D">
        <w:rPr>
          <w:rFonts w:hint="cs"/>
          <w:rtl/>
        </w:rPr>
        <w:t>صاحب التسجيل</w:t>
      </w:r>
      <w:r w:rsidRPr="00AF4D13">
        <w:rPr>
          <w:rtl/>
        </w:rPr>
        <w:t xml:space="preserve">" والبلد. ومن الجدير بالذكر أن اسم </w:t>
      </w:r>
      <w:r w:rsidR="00DA4F5D">
        <w:rPr>
          <w:rFonts w:hint="cs"/>
          <w:rtl/>
        </w:rPr>
        <w:t>صاحب التسجيل</w:t>
      </w:r>
      <w:r w:rsidRPr="00AF4D13">
        <w:rPr>
          <w:rtl/>
        </w:rPr>
        <w:t xml:space="preserve"> وعنوان بريد</w:t>
      </w:r>
      <w:r w:rsidR="008F5823">
        <w:rPr>
          <w:rFonts w:hint="cs"/>
          <w:rtl/>
        </w:rPr>
        <w:t>ه</w:t>
      </w:r>
      <w:r w:rsidRPr="00AF4D13">
        <w:rPr>
          <w:rtl/>
        </w:rPr>
        <w:t xml:space="preserve"> الإلكتروني لن يكونا مرئيين</w:t>
      </w:r>
      <w:r w:rsidR="008F5823">
        <w:rPr>
          <w:rFonts w:hint="cs"/>
          <w:rtl/>
        </w:rPr>
        <w:t xml:space="preserve"> </w:t>
      </w:r>
      <w:r w:rsidR="008F5823" w:rsidRPr="00AF4D13">
        <w:rPr>
          <w:rtl/>
        </w:rPr>
        <w:t>في معظم الحالات</w:t>
      </w:r>
      <w:r w:rsidRPr="00AF4D13">
        <w:rPr>
          <w:rtl/>
        </w:rPr>
        <w:t xml:space="preserve">. </w:t>
      </w:r>
      <w:r w:rsidR="008F5823">
        <w:rPr>
          <w:rFonts w:hint="cs"/>
          <w:rtl/>
        </w:rPr>
        <w:t>ولكن</w:t>
      </w:r>
      <w:r w:rsidRPr="00AF4D13">
        <w:rPr>
          <w:rtl/>
        </w:rPr>
        <w:t xml:space="preserve">، لتسهيل الاتصال </w:t>
      </w:r>
      <w:r w:rsidR="00DA4F5D">
        <w:rPr>
          <w:rFonts w:hint="cs"/>
          <w:rtl/>
        </w:rPr>
        <w:t>بصاحب تسجيل</w:t>
      </w:r>
      <w:r w:rsidRPr="00AF4D13">
        <w:rPr>
          <w:rtl/>
        </w:rPr>
        <w:t xml:space="preserve"> اسم ال</w:t>
      </w:r>
      <w:r w:rsidR="008F5823">
        <w:rPr>
          <w:rFonts w:hint="cs"/>
          <w:rtl/>
        </w:rPr>
        <w:t>حقل</w:t>
      </w:r>
      <w:r w:rsidRPr="00AF4D13">
        <w:rPr>
          <w:rtl/>
        </w:rPr>
        <w:t>، يُطلب من الم</w:t>
      </w:r>
      <w:r w:rsidR="00DA4F5D">
        <w:rPr>
          <w:rFonts w:hint="cs"/>
          <w:rtl/>
        </w:rPr>
        <w:t>ُ</w:t>
      </w:r>
      <w:r w:rsidRPr="00AF4D13">
        <w:rPr>
          <w:rtl/>
        </w:rPr>
        <w:t>سج</w:t>
      </w:r>
      <w:r w:rsidR="00DA4F5D">
        <w:rPr>
          <w:rFonts w:hint="cs"/>
          <w:rtl/>
        </w:rPr>
        <w:t>ِّ</w:t>
      </w:r>
      <w:r w:rsidRPr="00AF4D13">
        <w:rPr>
          <w:rtl/>
        </w:rPr>
        <w:t>ل المعني ت</w:t>
      </w:r>
      <w:r w:rsidR="00DA4F5D">
        <w:rPr>
          <w:rFonts w:hint="cs"/>
          <w:rtl/>
        </w:rPr>
        <w:t xml:space="preserve">قديم </w:t>
      </w:r>
      <w:r w:rsidRPr="00AF4D13">
        <w:rPr>
          <w:rtl/>
        </w:rPr>
        <w:t>عنوان بريد إلكتروني "</w:t>
      </w:r>
      <w:r w:rsidR="004D3DFC" w:rsidRPr="004D3DFC">
        <w:rPr>
          <w:rtl/>
        </w:rPr>
        <w:t>غير م</w:t>
      </w:r>
      <w:r w:rsidR="004D3DFC">
        <w:rPr>
          <w:rFonts w:hint="cs"/>
          <w:rtl/>
        </w:rPr>
        <w:t>ُ</w:t>
      </w:r>
      <w:r w:rsidR="004D3DFC" w:rsidRPr="004D3DFC">
        <w:rPr>
          <w:rtl/>
        </w:rPr>
        <w:t>حد</w:t>
      </w:r>
      <w:r w:rsidR="004D3DFC">
        <w:rPr>
          <w:rFonts w:hint="cs"/>
          <w:rtl/>
        </w:rPr>
        <w:t>ِّ</w:t>
      </w:r>
      <w:r w:rsidR="004D3DFC" w:rsidRPr="004D3DFC">
        <w:rPr>
          <w:rtl/>
        </w:rPr>
        <w:t>د للهوية</w:t>
      </w:r>
      <w:r w:rsidRPr="00AF4D13">
        <w:rPr>
          <w:rtl/>
        </w:rPr>
        <w:t xml:space="preserve">" أو </w:t>
      </w:r>
      <w:r w:rsidR="004D3DFC">
        <w:rPr>
          <w:rFonts w:hint="cs"/>
          <w:rtl/>
        </w:rPr>
        <w:t xml:space="preserve">استمارة تواصل </w:t>
      </w:r>
      <w:r w:rsidRPr="00AF4D13">
        <w:rPr>
          <w:rtl/>
        </w:rPr>
        <w:t xml:space="preserve">عبر الإنترنت. </w:t>
      </w:r>
      <w:r w:rsidR="004D3DFC">
        <w:rPr>
          <w:rFonts w:hint="cs"/>
          <w:rtl/>
        </w:rPr>
        <w:t>و</w:t>
      </w:r>
      <w:r w:rsidRPr="00AF4D13">
        <w:rPr>
          <w:rtl/>
        </w:rPr>
        <w:t xml:space="preserve">رغم هذه القيود العامة، </w:t>
      </w:r>
      <w:r w:rsidR="004D3DFC">
        <w:rPr>
          <w:rFonts w:hint="cs"/>
          <w:rtl/>
        </w:rPr>
        <w:t xml:space="preserve">إذا </w:t>
      </w:r>
      <w:r w:rsidR="00AB1C22">
        <w:rPr>
          <w:rFonts w:hint="cs"/>
          <w:rtl/>
        </w:rPr>
        <w:t xml:space="preserve">قُدِّمت </w:t>
      </w:r>
      <w:r w:rsidR="00AB1C22" w:rsidRPr="00AB1C22">
        <w:rPr>
          <w:rtl/>
        </w:rPr>
        <w:t>شكوى بناء على السياسة الموحدة</w:t>
      </w:r>
      <w:r w:rsidR="00AB1C22">
        <w:rPr>
          <w:rFonts w:hint="cs"/>
          <w:rtl/>
        </w:rPr>
        <w:t xml:space="preserve"> لتسوية المنازعات إلى أحد </w:t>
      </w:r>
      <w:r w:rsidR="00AB1C22" w:rsidRPr="00AB1C22">
        <w:rPr>
          <w:rtl/>
        </w:rPr>
        <w:t>م</w:t>
      </w:r>
      <w:r w:rsidR="00AB1C22">
        <w:rPr>
          <w:rFonts w:hint="cs"/>
          <w:rtl/>
        </w:rPr>
        <w:t>ُ</w:t>
      </w:r>
      <w:r w:rsidR="00AB1C22" w:rsidRPr="00AB1C22">
        <w:rPr>
          <w:rtl/>
        </w:rPr>
        <w:t>قد</w:t>
      </w:r>
      <w:r w:rsidR="00AB1C22">
        <w:rPr>
          <w:rFonts w:hint="cs"/>
          <w:rtl/>
        </w:rPr>
        <w:t>ِّ</w:t>
      </w:r>
      <w:r w:rsidR="00AB1C22" w:rsidRPr="00AB1C22">
        <w:rPr>
          <w:rtl/>
        </w:rPr>
        <w:t>مي الخدمات في إطار السياسة الموحدة</w:t>
      </w:r>
      <w:r w:rsidRPr="00AF4D13">
        <w:rPr>
          <w:rtl/>
        </w:rPr>
        <w:t xml:space="preserve">، </w:t>
      </w:r>
      <w:r w:rsidR="00AB1C22">
        <w:rPr>
          <w:rFonts w:hint="cs"/>
          <w:rtl/>
        </w:rPr>
        <w:t>ف</w:t>
      </w:r>
      <w:r w:rsidR="00F14EC8">
        <w:rPr>
          <w:rFonts w:hint="cs"/>
          <w:rtl/>
        </w:rPr>
        <w:t>سوف</w:t>
      </w:r>
      <w:r w:rsidR="00AB1C22">
        <w:rPr>
          <w:rFonts w:hint="cs"/>
          <w:rtl/>
        </w:rPr>
        <w:t xml:space="preserve"> يقدم </w:t>
      </w:r>
      <w:r w:rsidRPr="00AF4D13">
        <w:rPr>
          <w:rtl/>
        </w:rPr>
        <w:t>م</w:t>
      </w:r>
      <w:r w:rsidR="00AB1C22">
        <w:rPr>
          <w:rFonts w:hint="cs"/>
          <w:rtl/>
        </w:rPr>
        <w:t>ُ</w:t>
      </w:r>
      <w:r w:rsidRPr="00AF4D13">
        <w:rPr>
          <w:rtl/>
        </w:rPr>
        <w:t>سج</w:t>
      </w:r>
      <w:r w:rsidR="00AB1C22">
        <w:rPr>
          <w:rFonts w:hint="cs"/>
          <w:rtl/>
        </w:rPr>
        <w:t>ِّ</w:t>
      </w:r>
      <w:r w:rsidRPr="00AF4D13">
        <w:rPr>
          <w:rtl/>
        </w:rPr>
        <w:t>لو</w:t>
      </w:r>
      <w:r w:rsidR="00AB1C22">
        <w:rPr>
          <w:rFonts w:hint="cs"/>
          <w:rtl/>
        </w:rPr>
        <w:t xml:space="preserve"> شكاوى </w:t>
      </w:r>
      <w:r w:rsidR="00AB1C22" w:rsidRPr="00B6731B">
        <w:rPr>
          <w:rtl/>
        </w:rPr>
        <w:t xml:space="preserve">الإيكان </w:t>
      </w:r>
      <w:r w:rsidR="00F14EC8">
        <w:rPr>
          <w:rFonts w:hint="cs"/>
          <w:rtl/>
        </w:rPr>
        <w:t xml:space="preserve">في الأحوال العادية </w:t>
      </w:r>
      <w:r w:rsidRPr="00AF4D13">
        <w:rPr>
          <w:rtl/>
        </w:rPr>
        <w:t xml:space="preserve">معلومات </w:t>
      </w:r>
      <w:r w:rsidRPr="00AF4D13">
        <w:t>WhoIs</w:t>
      </w:r>
      <w:r w:rsidRPr="00AF4D13">
        <w:rPr>
          <w:rtl/>
        </w:rPr>
        <w:t xml:space="preserve"> بناءً على طلب من هذ</w:t>
      </w:r>
      <w:r w:rsidR="00F14EC8">
        <w:rPr>
          <w:rFonts w:hint="cs"/>
          <w:rtl/>
        </w:rPr>
        <w:t>ه الجهة المُقدِّمة للخدمات</w:t>
      </w:r>
      <w:r w:rsidRPr="00AF4D13">
        <w:rPr>
          <w:rtl/>
        </w:rPr>
        <w:t xml:space="preserve"> (و</w:t>
      </w:r>
      <w:r w:rsidR="00F14EC8">
        <w:rPr>
          <w:rFonts w:hint="cs"/>
          <w:rtl/>
        </w:rPr>
        <w:t xml:space="preserve">سوف يقومون </w:t>
      </w:r>
      <w:r w:rsidRPr="00AF4D13">
        <w:rPr>
          <w:rtl/>
        </w:rPr>
        <w:t>في الوقت</w:t>
      </w:r>
      <w:r w:rsidR="00F14EC8">
        <w:rPr>
          <w:rFonts w:hint="cs"/>
          <w:rtl/>
        </w:rPr>
        <w:t xml:space="preserve"> نفسه</w:t>
      </w:r>
      <w:r w:rsidRPr="00AF4D13">
        <w:rPr>
          <w:rtl/>
        </w:rPr>
        <w:t xml:space="preserve"> "</w:t>
      </w:r>
      <w:r w:rsidR="00F14EC8">
        <w:rPr>
          <w:rFonts w:hint="cs"/>
          <w:rtl/>
        </w:rPr>
        <w:t>بغلق</w:t>
      </w:r>
      <w:r w:rsidRPr="00AF4D13">
        <w:rPr>
          <w:rtl/>
        </w:rPr>
        <w:t xml:space="preserve">" تسجيل </w:t>
      </w:r>
      <w:r w:rsidR="00F14EC8">
        <w:rPr>
          <w:rFonts w:hint="cs"/>
          <w:rtl/>
        </w:rPr>
        <w:t>اسم الحقل وبيانات المُسجِّل</w:t>
      </w:r>
      <w:r w:rsidRPr="00AF4D13">
        <w:rPr>
          <w:rtl/>
        </w:rPr>
        <w:t xml:space="preserve">)، </w:t>
      </w:r>
      <w:r w:rsidR="00610137">
        <w:rPr>
          <w:rFonts w:hint="cs"/>
          <w:rtl/>
        </w:rPr>
        <w:t xml:space="preserve">بالإضافة إلى </w:t>
      </w:r>
      <w:r w:rsidRPr="00AF4D13">
        <w:rPr>
          <w:rtl/>
        </w:rPr>
        <w:t xml:space="preserve">متطلبات الإجراءات السليمة المدونة في قواعد </w:t>
      </w:r>
      <w:r w:rsidR="00610137">
        <w:rPr>
          <w:rFonts w:hint="cs"/>
          <w:rtl/>
        </w:rPr>
        <w:t>السياسة الموحدة لتسوية المنازعات</w:t>
      </w:r>
      <w:r w:rsidRPr="00AF4D13">
        <w:rPr>
          <w:rtl/>
        </w:rPr>
        <w:t>. إن "</w:t>
      </w:r>
      <w:r w:rsidR="002A79BA">
        <w:rPr>
          <w:rFonts w:hint="cs"/>
          <w:rtl/>
        </w:rPr>
        <w:t>ال</w:t>
      </w:r>
      <w:r w:rsidRPr="00AF4D13">
        <w:rPr>
          <w:rtl/>
        </w:rPr>
        <w:t xml:space="preserve">مواصفات </w:t>
      </w:r>
      <w:r w:rsidR="002A79BA">
        <w:rPr>
          <w:rFonts w:hint="cs"/>
          <w:rtl/>
        </w:rPr>
        <w:t xml:space="preserve">[التعاقدية] </w:t>
      </w:r>
      <w:r w:rsidRPr="00AF4D13">
        <w:rPr>
          <w:rtl/>
        </w:rPr>
        <w:t>المؤقتة</w:t>
      </w:r>
      <w:r w:rsidR="002A79BA">
        <w:rPr>
          <w:rFonts w:hint="cs"/>
          <w:rtl/>
        </w:rPr>
        <w:t>"</w:t>
      </w:r>
      <w:r w:rsidR="002A79BA">
        <w:rPr>
          <w:rtl/>
        </w:rPr>
        <w:t xml:space="preserve"> الخاصة ب</w:t>
      </w:r>
      <w:r w:rsidR="002A79BA" w:rsidRPr="00B6731B">
        <w:rPr>
          <w:rtl/>
        </w:rPr>
        <w:t xml:space="preserve">الإيكان </w:t>
      </w:r>
      <w:r w:rsidRPr="00AF4D13">
        <w:rPr>
          <w:rtl/>
        </w:rPr>
        <w:t xml:space="preserve">لبيانات تسجيل </w:t>
      </w:r>
      <w:r w:rsidR="002A79BA" w:rsidRPr="002A79BA">
        <w:rPr>
          <w:rtl/>
        </w:rPr>
        <w:t xml:space="preserve">الحقول العليا الجديدة المكونة من أسماء عامة </w:t>
      </w:r>
      <w:r w:rsidRPr="00AF4D13">
        <w:rPr>
          <w:rtl/>
        </w:rPr>
        <w:t>ت</w:t>
      </w:r>
      <w:r w:rsidR="002A79BA">
        <w:rPr>
          <w:rFonts w:hint="cs"/>
          <w:rtl/>
        </w:rPr>
        <w:t xml:space="preserve">ُقرّ </w:t>
      </w:r>
      <w:r w:rsidRPr="00AF4D13">
        <w:rPr>
          <w:rtl/>
        </w:rPr>
        <w:t>صراحة بأن الم</w:t>
      </w:r>
      <w:r w:rsidR="002A79BA">
        <w:rPr>
          <w:rFonts w:hint="cs"/>
          <w:rtl/>
        </w:rPr>
        <w:t>ُ</w:t>
      </w:r>
      <w:r w:rsidRPr="00AF4D13">
        <w:rPr>
          <w:rtl/>
        </w:rPr>
        <w:t>سج</w:t>
      </w:r>
      <w:r w:rsidR="002A79BA">
        <w:rPr>
          <w:rFonts w:hint="cs"/>
          <w:rtl/>
        </w:rPr>
        <w:t>ِّ</w:t>
      </w:r>
      <w:r w:rsidRPr="00AF4D13">
        <w:rPr>
          <w:rtl/>
        </w:rPr>
        <w:t xml:space="preserve">لين يجب أن يقدموا </w:t>
      </w:r>
      <w:r w:rsidR="002A79BA">
        <w:rPr>
          <w:rFonts w:hint="cs"/>
          <w:rtl/>
        </w:rPr>
        <w:t>"</w:t>
      </w:r>
      <w:r w:rsidRPr="00AF4D13">
        <w:rPr>
          <w:rtl/>
        </w:rPr>
        <w:t>بيانات تسجيل"</w:t>
      </w:r>
      <w:r w:rsidR="002A79BA">
        <w:rPr>
          <w:rFonts w:hint="cs"/>
          <w:rtl/>
        </w:rPr>
        <w:t xml:space="preserve"> </w:t>
      </w:r>
      <w:r w:rsidRPr="00AF4D13">
        <w:rPr>
          <w:rtl/>
        </w:rPr>
        <w:t xml:space="preserve">كاملة </w:t>
      </w:r>
      <w:r w:rsidR="002A79BA">
        <w:rPr>
          <w:rFonts w:hint="cs"/>
          <w:rtl/>
        </w:rPr>
        <w:t xml:space="preserve">إلى </w:t>
      </w:r>
      <w:r w:rsidR="002A79BA" w:rsidRPr="00AB1C22">
        <w:rPr>
          <w:rtl/>
        </w:rPr>
        <w:t>م</w:t>
      </w:r>
      <w:r w:rsidR="002A79BA">
        <w:rPr>
          <w:rFonts w:hint="cs"/>
          <w:rtl/>
        </w:rPr>
        <w:t>ُ</w:t>
      </w:r>
      <w:r w:rsidR="002A79BA" w:rsidRPr="00AB1C22">
        <w:rPr>
          <w:rtl/>
        </w:rPr>
        <w:t>قد</w:t>
      </w:r>
      <w:r w:rsidR="002A79BA">
        <w:rPr>
          <w:rFonts w:hint="cs"/>
          <w:rtl/>
        </w:rPr>
        <w:t>ِّ</w:t>
      </w:r>
      <w:r w:rsidR="002A79BA" w:rsidRPr="00AB1C22">
        <w:rPr>
          <w:rtl/>
        </w:rPr>
        <w:t>مي الخدمات في إطار السياسة الموحدة</w:t>
      </w:r>
      <w:r w:rsidRPr="00AF4D13">
        <w:rPr>
          <w:rtl/>
        </w:rPr>
        <w:t>.</w:t>
      </w:r>
      <w:r w:rsidR="002B38EA">
        <w:rPr>
          <w:rStyle w:val="FootnoteReference"/>
          <w:rtl/>
        </w:rPr>
        <w:footnoteReference w:id="50"/>
      </w:r>
      <w:r w:rsidRPr="00AF4D13">
        <w:rPr>
          <w:rtl/>
        </w:rPr>
        <w:t xml:space="preserve"> </w:t>
      </w:r>
      <w:r w:rsidR="002B38EA">
        <w:rPr>
          <w:rFonts w:hint="cs"/>
          <w:rtl/>
        </w:rPr>
        <w:t>و</w:t>
      </w:r>
      <w:r w:rsidRPr="00AF4D13">
        <w:rPr>
          <w:rtl/>
        </w:rPr>
        <w:t xml:space="preserve">يبدو أن هذا </w:t>
      </w:r>
      <w:r w:rsidR="002B38EA">
        <w:rPr>
          <w:rFonts w:hint="cs"/>
          <w:rtl/>
        </w:rPr>
        <w:t xml:space="preserve">يستند إلى التسليم </w:t>
      </w:r>
      <w:r w:rsidRPr="00AF4D13">
        <w:rPr>
          <w:rtl/>
        </w:rPr>
        <w:t xml:space="preserve">بأن </w:t>
      </w:r>
      <w:r w:rsidR="002B38EA" w:rsidRPr="00AB1C22">
        <w:rPr>
          <w:rtl/>
        </w:rPr>
        <w:t>م</w:t>
      </w:r>
      <w:r w:rsidR="002B38EA">
        <w:rPr>
          <w:rFonts w:hint="cs"/>
          <w:rtl/>
        </w:rPr>
        <w:t>ُ</w:t>
      </w:r>
      <w:r w:rsidR="002B38EA" w:rsidRPr="00AB1C22">
        <w:rPr>
          <w:rtl/>
        </w:rPr>
        <w:t>قد</w:t>
      </w:r>
      <w:r w:rsidR="002B38EA">
        <w:rPr>
          <w:rFonts w:hint="cs"/>
          <w:rtl/>
        </w:rPr>
        <w:t>ِّ</w:t>
      </w:r>
      <w:r w:rsidR="002B38EA" w:rsidRPr="00AB1C22">
        <w:rPr>
          <w:rtl/>
        </w:rPr>
        <w:t>مي الخدمات في إطار السياسة الموحدة</w:t>
      </w:r>
      <w:r w:rsidRPr="00AF4D13">
        <w:rPr>
          <w:rtl/>
        </w:rPr>
        <w:t xml:space="preserve"> يستوفون </w:t>
      </w:r>
      <w:r w:rsidR="00422B3E">
        <w:rPr>
          <w:rFonts w:hint="cs"/>
          <w:rtl/>
        </w:rPr>
        <w:t>معايير</w:t>
      </w:r>
      <w:r w:rsidR="00422B3E">
        <w:rPr>
          <w:rtl/>
        </w:rPr>
        <w:t xml:space="preserve"> المادة 6(1)</w:t>
      </w:r>
      <w:r w:rsidRPr="00AF4D13">
        <w:rPr>
          <w:rtl/>
        </w:rPr>
        <w:t>(</w:t>
      </w:r>
      <w:r w:rsidR="00422B3E">
        <w:rPr>
          <w:rtl/>
        </w:rPr>
        <w:t>و) "الأغراض المشروعة" والمادة 6(1)</w:t>
      </w:r>
      <w:r w:rsidRPr="00AF4D13">
        <w:rPr>
          <w:rtl/>
        </w:rPr>
        <w:t xml:space="preserve">(ب) "أداء العقد" </w:t>
      </w:r>
      <w:r w:rsidR="00422B3E">
        <w:rPr>
          <w:rFonts w:hint="cs"/>
          <w:rtl/>
        </w:rPr>
        <w:t>من النظام الأوروبي لحماية البيانات العامة</w:t>
      </w:r>
      <w:r w:rsidRPr="00AF4D13">
        <w:rPr>
          <w:rtl/>
        </w:rPr>
        <w:t>، بحيث يمكن</w:t>
      </w:r>
      <w:r w:rsidR="00422B3E">
        <w:rPr>
          <w:rFonts w:hint="cs"/>
          <w:rtl/>
        </w:rPr>
        <w:t>، بل ينبغي،</w:t>
      </w:r>
      <w:r w:rsidRPr="00AF4D13">
        <w:rPr>
          <w:rtl/>
        </w:rPr>
        <w:t xml:space="preserve"> للمُسج</w:t>
      </w:r>
      <w:r w:rsidR="00422B3E">
        <w:rPr>
          <w:rFonts w:hint="cs"/>
          <w:rtl/>
        </w:rPr>
        <w:t>ِّ</w:t>
      </w:r>
      <w:r w:rsidRPr="00AF4D13">
        <w:rPr>
          <w:rtl/>
        </w:rPr>
        <w:t xml:space="preserve">لين </w:t>
      </w:r>
      <w:r w:rsidR="00422B3E">
        <w:rPr>
          <w:rFonts w:hint="cs"/>
          <w:rtl/>
        </w:rPr>
        <w:t xml:space="preserve">أن يقدموا بيانات </w:t>
      </w:r>
      <w:r w:rsidRPr="00AF4D13">
        <w:t>WhoIs</w:t>
      </w:r>
      <w:r w:rsidRPr="00AF4D13">
        <w:rPr>
          <w:rtl/>
        </w:rPr>
        <w:t xml:space="preserve"> إلى</w:t>
      </w:r>
      <w:r w:rsidR="00422B3E" w:rsidRPr="00422B3E">
        <w:rPr>
          <w:rtl/>
        </w:rPr>
        <w:t xml:space="preserve"> </w:t>
      </w:r>
      <w:r w:rsidR="00422B3E" w:rsidRPr="00AB1C22">
        <w:rPr>
          <w:rtl/>
        </w:rPr>
        <w:t>م</w:t>
      </w:r>
      <w:r w:rsidR="00422B3E">
        <w:rPr>
          <w:rFonts w:hint="cs"/>
          <w:rtl/>
        </w:rPr>
        <w:t>ُ</w:t>
      </w:r>
      <w:r w:rsidR="00422B3E" w:rsidRPr="00AB1C22">
        <w:rPr>
          <w:rtl/>
        </w:rPr>
        <w:t>قد</w:t>
      </w:r>
      <w:r w:rsidR="00422B3E">
        <w:rPr>
          <w:rFonts w:hint="cs"/>
          <w:rtl/>
        </w:rPr>
        <w:t>ِّ</w:t>
      </w:r>
      <w:r w:rsidR="00422B3E" w:rsidRPr="00AB1C22">
        <w:rPr>
          <w:rtl/>
        </w:rPr>
        <w:t>مي الخدمات في إطار السياسة الموحدة</w:t>
      </w:r>
      <w:r w:rsidRPr="00AF4D13">
        <w:rPr>
          <w:rtl/>
        </w:rPr>
        <w:t>.</w:t>
      </w:r>
    </w:p>
    <w:p w:rsidR="00422B3E" w:rsidRDefault="00771762" w:rsidP="008A1EDB">
      <w:pPr>
        <w:pStyle w:val="ONUMA"/>
      </w:pPr>
      <w:r>
        <w:rPr>
          <w:rFonts w:hint="cs"/>
          <w:rtl/>
        </w:rPr>
        <w:t xml:space="preserve">ويواصل </w:t>
      </w:r>
      <w:r w:rsidR="00CF68E9" w:rsidRPr="00CF68E9">
        <w:rPr>
          <w:rtl/>
        </w:rPr>
        <w:t xml:space="preserve">المركز </w:t>
      </w:r>
      <w:r w:rsidR="00CF68E9">
        <w:rPr>
          <w:rFonts w:hint="cs"/>
          <w:rtl/>
        </w:rPr>
        <w:t>رصد</w:t>
      </w:r>
      <w:r>
        <w:rPr>
          <w:rFonts w:hint="cs"/>
          <w:rtl/>
        </w:rPr>
        <w:t>ه عن كثب ل</w:t>
      </w:r>
      <w:r w:rsidR="00CF68E9" w:rsidRPr="00CF68E9">
        <w:rPr>
          <w:rtl/>
        </w:rPr>
        <w:t xml:space="preserve">تأثير </w:t>
      </w:r>
      <w:r>
        <w:rPr>
          <w:rFonts w:hint="cs"/>
          <w:rtl/>
        </w:rPr>
        <w:t>النظام الأوروبي لحماية البيانات العامة</w:t>
      </w:r>
      <w:r w:rsidRPr="00CF68E9">
        <w:rPr>
          <w:rtl/>
        </w:rPr>
        <w:t xml:space="preserve"> </w:t>
      </w:r>
      <w:r w:rsidR="00CF68E9" w:rsidRPr="00CF68E9">
        <w:rPr>
          <w:rtl/>
        </w:rPr>
        <w:t>على إجراءات</w:t>
      </w:r>
      <w:r>
        <w:rPr>
          <w:rFonts w:hint="cs"/>
          <w:rtl/>
        </w:rPr>
        <w:t xml:space="preserve"> السياسة الموحدة</w:t>
      </w:r>
      <w:r w:rsidR="00CF68E9" w:rsidRPr="00CF68E9">
        <w:rPr>
          <w:rtl/>
        </w:rPr>
        <w:t xml:space="preserve">. </w:t>
      </w:r>
      <w:r>
        <w:rPr>
          <w:rFonts w:hint="cs"/>
          <w:rtl/>
        </w:rPr>
        <w:t>وبمعزل عن مهمة المركز الخاصة بالسياسة الموحدة</w:t>
      </w:r>
      <w:r w:rsidR="00CF68E9" w:rsidRPr="00CF68E9">
        <w:rPr>
          <w:rtl/>
        </w:rPr>
        <w:t xml:space="preserve">، </w:t>
      </w:r>
      <w:r w:rsidR="00471935">
        <w:rPr>
          <w:rFonts w:hint="cs"/>
          <w:rtl/>
        </w:rPr>
        <w:t>و</w:t>
      </w:r>
      <w:r>
        <w:rPr>
          <w:rFonts w:hint="cs"/>
          <w:rtl/>
        </w:rPr>
        <w:t xml:space="preserve">بغية </w:t>
      </w:r>
      <w:r w:rsidR="00CF68E9" w:rsidRPr="00CF68E9">
        <w:rPr>
          <w:rtl/>
        </w:rPr>
        <w:t xml:space="preserve">معالجة </w:t>
      </w:r>
      <w:r>
        <w:rPr>
          <w:rFonts w:hint="cs"/>
          <w:rtl/>
        </w:rPr>
        <w:t xml:space="preserve">ما يتعلق بإنفاذ الملكية الفكرية من شواغل أوسع نطاقا </w:t>
      </w:r>
      <w:r w:rsidR="00CF68E9" w:rsidRPr="00CF68E9">
        <w:rPr>
          <w:rtl/>
        </w:rPr>
        <w:t xml:space="preserve">ناجمة عن </w:t>
      </w:r>
      <w:r w:rsidR="00CF68E9" w:rsidRPr="00CF68E9">
        <w:rPr>
          <w:rtl/>
        </w:rPr>
        <w:lastRenderedPageBreak/>
        <w:t xml:space="preserve">تنفيذ </w:t>
      </w:r>
      <w:r w:rsidR="005A60D8">
        <w:rPr>
          <w:rFonts w:hint="cs"/>
          <w:rtl/>
        </w:rPr>
        <w:t>النظام الأوروبي لحماية البيانات العامة</w:t>
      </w:r>
      <w:r w:rsidR="00CF68E9" w:rsidRPr="00CF68E9">
        <w:rPr>
          <w:rtl/>
        </w:rPr>
        <w:t xml:space="preserve">، </w:t>
      </w:r>
      <w:r w:rsidR="005A60D8">
        <w:rPr>
          <w:rFonts w:hint="cs"/>
          <w:rtl/>
        </w:rPr>
        <w:t xml:space="preserve">يُجري أصحاب المصلحة حاليا </w:t>
      </w:r>
      <w:r w:rsidR="00CF68E9" w:rsidRPr="00CF68E9">
        <w:rPr>
          <w:rtl/>
        </w:rPr>
        <w:t xml:space="preserve">مناقشات </w:t>
      </w:r>
      <w:r w:rsidR="005A60D8">
        <w:rPr>
          <w:rFonts w:hint="cs"/>
          <w:rtl/>
        </w:rPr>
        <w:t xml:space="preserve">مهمة بشأن </w:t>
      </w:r>
      <w:r w:rsidR="00CF68E9" w:rsidRPr="00CF68E9">
        <w:rPr>
          <w:rtl/>
        </w:rPr>
        <w:t>نموذج</w:t>
      </w:r>
      <w:r w:rsidR="005A60D8">
        <w:rPr>
          <w:rFonts w:hint="cs"/>
          <w:rtl/>
        </w:rPr>
        <w:t xml:space="preserve"> محتمل</w:t>
      </w:r>
      <w:r w:rsidR="00CF68E9" w:rsidRPr="00CF68E9">
        <w:rPr>
          <w:rtl/>
        </w:rPr>
        <w:t xml:space="preserve"> </w:t>
      </w:r>
      <w:r w:rsidR="005A60D8">
        <w:rPr>
          <w:rFonts w:hint="cs"/>
          <w:rtl/>
        </w:rPr>
        <w:t>ل</w:t>
      </w:r>
      <w:r w:rsidR="00CF68E9" w:rsidRPr="00CF68E9">
        <w:rPr>
          <w:rtl/>
        </w:rPr>
        <w:t>اعتماد</w:t>
      </w:r>
      <w:r w:rsidR="005A60D8">
        <w:rPr>
          <w:rFonts w:hint="cs"/>
          <w:rtl/>
        </w:rPr>
        <w:t xml:space="preserve"> بيانات</w:t>
      </w:r>
      <w:r w:rsidR="00CF68E9" w:rsidRPr="00CF68E9">
        <w:rPr>
          <w:rtl/>
        </w:rPr>
        <w:t xml:space="preserve"> </w:t>
      </w:r>
      <w:r w:rsidR="00CF68E9" w:rsidRPr="00CF68E9">
        <w:t>WhoIs</w:t>
      </w:r>
      <w:r w:rsidR="00CF68E9" w:rsidRPr="00CF68E9">
        <w:rPr>
          <w:rtl/>
        </w:rPr>
        <w:t xml:space="preserve"> </w:t>
      </w:r>
      <w:r w:rsidR="005A60D8">
        <w:rPr>
          <w:rFonts w:hint="cs"/>
          <w:rtl/>
        </w:rPr>
        <w:t>والنفاذ إليها</w:t>
      </w:r>
      <w:r w:rsidR="00CF68E9" w:rsidRPr="00CF68E9">
        <w:rPr>
          <w:rtl/>
        </w:rPr>
        <w:t xml:space="preserve">، بما في ذلك دور الويبو المحتمل للتصديق على </w:t>
      </w:r>
      <w:r w:rsidR="005A60D8">
        <w:rPr>
          <w:rFonts w:hint="cs"/>
          <w:rtl/>
        </w:rPr>
        <w:t xml:space="preserve">حقوق </w:t>
      </w:r>
      <w:r w:rsidR="00CF68E9" w:rsidRPr="00CF68E9">
        <w:rPr>
          <w:rtl/>
        </w:rPr>
        <w:t xml:space="preserve">أصحاب الملكية الفكرية </w:t>
      </w:r>
      <w:r w:rsidR="005A60D8">
        <w:rPr>
          <w:rFonts w:hint="cs"/>
          <w:rtl/>
        </w:rPr>
        <w:t xml:space="preserve">في </w:t>
      </w:r>
      <w:r w:rsidR="00CF68E9" w:rsidRPr="00CF68E9">
        <w:rPr>
          <w:rtl/>
        </w:rPr>
        <w:t>هذا ال</w:t>
      </w:r>
      <w:r w:rsidR="005A60D8">
        <w:rPr>
          <w:rFonts w:hint="cs"/>
          <w:rtl/>
        </w:rPr>
        <w:t>نفاذ</w:t>
      </w:r>
      <w:r w:rsidR="00CF68E9" w:rsidRPr="00CF68E9">
        <w:rPr>
          <w:rtl/>
        </w:rPr>
        <w:t>.</w:t>
      </w:r>
      <w:r w:rsidR="00B17F54">
        <w:rPr>
          <w:rStyle w:val="FootnoteReference"/>
          <w:rtl/>
        </w:rPr>
        <w:footnoteReference w:id="51"/>
      </w:r>
    </w:p>
    <w:p w:rsidR="00A833F9" w:rsidRDefault="00D56904" w:rsidP="00D56904">
      <w:pPr>
        <w:pStyle w:val="Heading3"/>
        <w:ind w:left="1165" w:hanging="630"/>
      </w:pPr>
      <w:r>
        <w:rPr>
          <w:rFonts w:hint="cs"/>
          <w:rtl/>
        </w:rPr>
        <w:t>(دال)</w:t>
      </w:r>
      <w:r>
        <w:rPr>
          <w:rFonts w:hint="cs"/>
          <w:rtl/>
        </w:rPr>
        <w:tab/>
      </w:r>
      <w:r w:rsidRPr="00D56904">
        <w:rPr>
          <w:rtl/>
        </w:rPr>
        <w:t>أسماء الحقول الدولية</w:t>
      </w:r>
    </w:p>
    <w:p w:rsidR="00A833F9" w:rsidRDefault="002105C4" w:rsidP="008A1EDB">
      <w:pPr>
        <w:pStyle w:val="ONUMA"/>
      </w:pPr>
      <w:r w:rsidRPr="002105C4">
        <w:rPr>
          <w:rtl/>
        </w:rPr>
        <w:t xml:space="preserve">كما جاء في الفقرة </w:t>
      </w:r>
      <w:r>
        <w:rPr>
          <w:rFonts w:hint="cs"/>
          <w:rtl/>
        </w:rPr>
        <w:t>20</w:t>
      </w:r>
      <w:r w:rsidRPr="002105C4">
        <w:rPr>
          <w:rtl/>
        </w:rPr>
        <w:t>، من أهم المستجدات المتعلقة بالسياسات في نظام أسماء الحقول هو بدء العمل بأسماء حقول دولية (بخط غير لاتيني) في الحقول العليا.</w:t>
      </w:r>
      <w:r>
        <w:rPr>
          <w:rStyle w:val="FootnoteReference"/>
          <w:rtl/>
        </w:rPr>
        <w:footnoteReference w:id="52"/>
      </w:r>
      <w:r w:rsidRPr="002105C4">
        <w:rPr>
          <w:rtl/>
        </w:rPr>
        <w:t xml:space="preserve"> وكان كثير منها ضمن أول الحقول العليا الجديدة المكونة من أسماء عامة التي تعلن الإيكان عن منحها في جذر نظام أسماء الحقول.</w:t>
      </w:r>
    </w:p>
    <w:p w:rsidR="000D6195" w:rsidRDefault="00AC4F3F" w:rsidP="00AC4F3F">
      <w:pPr>
        <w:pStyle w:val="Heading3"/>
        <w:ind w:left="1165" w:hanging="630"/>
      </w:pPr>
      <w:r>
        <w:rPr>
          <w:rFonts w:hint="cs"/>
          <w:rtl/>
        </w:rPr>
        <w:t>(هاء)</w:t>
      </w:r>
      <w:r>
        <w:rPr>
          <w:rFonts w:hint="cs"/>
          <w:rtl/>
        </w:rPr>
        <w:tab/>
      </w:r>
      <w:r w:rsidRPr="00AC4F3F">
        <w:rPr>
          <w:rtl/>
        </w:rPr>
        <w:t>أدوات تعريف أخرى</w:t>
      </w:r>
    </w:p>
    <w:p w:rsidR="000D6195" w:rsidRDefault="002A3103" w:rsidP="008A1EDB">
      <w:pPr>
        <w:pStyle w:val="ONUMA"/>
      </w:pPr>
      <w:r w:rsidRPr="002A3103">
        <w:rPr>
          <w:rtl/>
        </w:rPr>
        <w:t>علاوة على</w:t>
      </w:r>
      <w:r>
        <w:rPr>
          <w:rtl/>
        </w:rPr>
        <w:t xml:space="preserve"> المستجدات المذكورة آنفا</w:t>
      </w:r>
      <w:r w:rsidRPr="002A3103">
        <w:rPr>
          <w:rtl/>
        </w:rPr>
        <w:t xml:space="preserve"> وفيما يتعلق بها، تشهد هيئة الإيكان مستجدات إضافية مرتبطة بحماية أدوات تعريف العلامات غير التجارية.</w:t>
      </w:r>
    </w:p>
    <w:p w:rsidR="002A3103" w:rsidRPr="0040708E" w:rsidRDefault="0040708E" w:rsidP="0040708E">
      <w:pPr>
        <w:pStyle w:val="BodyText"/>
        <w:keepNext/>
        <w:numPr>
          <w:ilvl w:val="0"/>
          <w:numId w:val="50"/>
        </w:numPr>
        <w:ind w:left="1705" w:hanging="540"/>
        <w:rPr>
          <w:u w:val="single"/>
        </w:rPr>
      </w:pPr>
      <w:r w:rsidRPr="0040708E">
        <w:rPr>
          <w:u w:val="single"/>
          <w:rtl/>
        </w:rPr>
        <w:t>المنظمات الحكومية الدولية</w:t>
      </w:r>
    </w:p>
    <w:p w:rsidR="002A3103" w:rsidRDefault="001E79A3" w:rsidP="008A1EDB">
      <w:pPr>
        <w:pStyle w:val="ONUMA"/>
      </w:pPr>
      <w:r w:rsidRPr="001E79A3">
        <w:rPr>
          <w:rtl/>
        </w:rPr>
        <w:t>من الجدير بالذكر أن مشروع الويبو الأول بشأن أسماء الحقول تناول العلاقة بين أسماء الحقول والعلامات التجارية. وتناول مشروع الويبو الثاني بشأن أسماء الحقول العلاقة بين أسماء الحقول وأنواع أخرى من أدوات التعريف لم يسبق تناولها، منها أسماء البلدان وأسماء المنظمات الحكومية الدولية ومختصراتها.</w:t>
      </w:r>
    </w:p>
    <w:p w:rsidR="001E79A3" w:rsidRDefault="002355EC" w:rsidP="008A1EDB">
      <w:pPr>
        <w:pStyle w:val="ONUMA"/>
      </w:pPr>
      <w:r w:rsidRPr="002355EC">
        <w:rPr>
          <w:rtl/>
        </w:rPr>
        <w:t>وأوصت الجمعية العامة للويبو لعام 2002 بتعديل السياسة الموحدة بغية حماية أسماء البلدان وأسماء المنظمات الحكومية الدولية ومختصراتها.</w:t>
      </w:r>
      <w:r>
        <w:rPr>
          <w:rStyle w:val="FootnoteReference"/>
          <w:rtl/>
        </w:rPr>
        <w:footnoteReference w:id="53"/>
      </w:r>
      <w:r w:rsidRPr="002355EC">
        <w:rPr>
          <w:rtl/>
        </w:rPr>
        <w:t xml:space="preserve"> وأحالت أمانة الويبو هذه التوصيات إلى الإيكان في فبراير 2003</w:t>
      </w:r>
      <w:r>
        <w:rPr>
          <w:rFonts w:hint="cs"/>
          <w:rtl/>
        </w:rPr>
        <w:t>.</w:t>
      </w:r>
      <w:r>
        <w:rPr>
          <w:rStyle w:val="FootnoteReference"/>
          <w:rtl/>
        </w:rPr>
        <w:footnoteReference w:id="54"/>
      </w:r>
    </w:p>
    <w:p w:rsidR="009918AB" w:rsidRDefault="003C6BCD" w:rsidP="008A1EDB">
      <w:pPr>
        <w:pStyle w:val="ONUMA"/>
      </w:pPr>
      <w:r w:rsidRPr="003C6BCD">
        <w:rPr>
          <w:rtl/>
        </w:rPr>
        <w:t>وعقب مداولات في الإيكان،</w:t>
      </w:r>
      <w:r w:rsidR="0002285F">
        <w:rPr>
          <w:rStyle w:val="FootnoteReference"/>
          <w:rtl/>
        </w:rPr>
        <w:footnoteReference w:id="55"/>
      </w:r>
      <w:r w:rsidRPr="003C6BCD">
        <w:rPr>
          <w:rtl/>
        </w:rPr>
        <w:t xml:space="preserve"> أصبح دليل مودع طلب التسجيل الخاص بالحقول العليا الجديدة المكونة من أسماء عامة التابع للإيكان يقتصر، في موضوع حماية أسماء المنظمات الحكومية الدولية ومختصراتها على توفير إمكانية الانتصاف من خلال إجراءات الاعتراض قبل المنح المتعلقة بالدرجة الأولى (أي</w:t>
      </w:r>
      <w:r w:rsidR="0002285F">
        <w:rPr>
          <w:rFonts w:hint="cs"/>
          <w:rtl/>
        </w:rPr>
        <w:t>ْ</w:t>
      </w:r>
      <w:r w:rsidRPr="003C6BCD">
        <w:rPr>
          <w:rtl/>
        </w:rPr>
        <w:t xml:space="preserve"> المطبقة على الحقول العليا)، وهذا ما ناقشته الفقرتان 2</w:t>
      </w:r>
      <w:r w:rsidR="0002285F">
        <w:rPr>
          <w:rFonts w:hint="cs"/>
          <w:rtl/>
        </w:rPr>
        <w:t>3</w:t>
      </w:r>
      <w:r w:rsidRPr="003C6BCD">
        <w:rPr>
          <w:rtl/>
        </w:rPr>
        <w:t xml:space="preserve"> و2</w:t>
      </w:r>
      <w:r w:rsidR="0002285F">
        <w:rPr>
          <w:rFonts w:hint="cs"/>
          <w:rtl/>
        </w:rPr>
        <w:t>4</w:t>
      </w:r>
      <w:r w:rsidRPr="003C6BCD">
        <w:rPr>
          <w:rtl/>
        </w:rPr>
        <w:t xml:space="preserve"> أعلاه. إلا أنه بعد جهود متواصلة من المنظمات الحكومية الدولية، أشارت اللجنة الاستشارية الحكومية التابعة للإيكان على مجلس الإيكان بأن تُمنح الحماية لأدوات تعريف المنظمات الحكومية الدولية ضد التسجيل غير الملائم من قبل الغير في </w:t>
      </w:r>
      <w:r w:rsidRPr="003C6BCD">
        <w:rPr>
          <w:rtl/>
        </w:rPr>
        <w:lastRenderedPageBreak/>
        <w:t>نظام أسماء الحقول قبل منح أي حقل من الحقول العليا الجديدة المكونة من أسماء عامة.</w:t>
      </w:r>
      <w:r w:rsidR="00954DBA">
        <w:rPr>
          <w:rStyle w:val="FootnoteReference"/>
          <w:rtl/>
        </w:rPr>
        <w:footnoteReference w:id="56"/>
      </w:r>
      <w:r w:rsidRPr="003C6BCD">
        <w:rPr>
          <w:rtl/>
        </w:rPr>
        <w:t xml:space="preserve"> وأشارت اللجنة الاستشارية</w:t>
      </w:r>
      <w:r w:rsidR="00B96B09">
        <w:rPr>
          <w:rtl/>
        </w:rPr>
        <w:t xml:space="preserve"> الحكومية على مجلس الإيكان أيضا بأنه، استنادا</w:t>
      </w:r>
      <w:r w:rsidRPr="003C6BCD">
        <w:rPr>
          <w:rtl/>
        </w:rPr>
        <w:t xml:space="preserve"> إلى المعايير القائمة لتسجيلات "</w:t>
      </w:r>
      <w:r w:rsidR="00B96B09">
        <w:t>.</w:t>
      </w:r>
      <w:r w:rsidRPr="003C6BCD">
        <w:t>int</w:t>
      </w:r>
      <w:r w:rsidRPr="003C6BCD">
        <w:rPr>
          <w:rtl/>
        </w:rPr>
        <w:t>" التي من الدرجة الثانية، يمكن التعاون مع المنظمات الحكومية الدولية لإعداد قائمة بأسماء المنظمات الحكومية الدولية ومختصراتها التي ينبغي حمايتها من التسجيل على الأقل بالمرحلة الحالية للحقول العليا الجديدة المكونة من أسماء عامة. كما أشارت اللجنة الاستشارية الحكومية على مجلس</w:t>
      </w:r>
      <w:r w:rsidR="00B96B09" w:rsidRPr="00B96B09">
        <w:rPr>
          <w:rtl/>
        </w:rPr>
        <w:t xml:space="preserve"> </w:t>
      </w:r>
      <w:r w:rsidR="00B96B09">
        <w:rPr>
          <w:rtl/>
        </w:rPr>
        <w:t>الإيكان أيضا</w:t>
      </w:r>
      <w:r w:rsidRPr="003C6BCD">
        <w:rPr>
          <w:rtl/>
        </w:rPr>
        <w:t xml:space="preserve"> بأنه، في انتظار العمل على التنفيذ، ينبغي منح حماية مؤقتة لأسماء المنظمات الحكومية الدولية ومختصراتها من خلال تعليق تسجيلات الغير؛ و</w:t>
      </w:r>
      <w:r w:rsidR="00F032C2">
        <w:rPr>
          <w:rFonts w:hint="cs"/>
          <w:rtl/>
        </w:rPr>
        <w:t xml:space="preserve">رغم إحراز </w:t>
      </w:r>
      <w:r w:rsidRPr="003C6BCD">
        <w:rPr>
          <w:rtl/>
        </w:rPr>
        <w:t>تقدم في التنفيذ، لا يزال يُعمل بهذا التعليق.</w:t>
      </w:r>
    </w:p>
    <w:p w:rsidR="00F032C2" w:rsidRDefault="00085CC6" w:rsidP="008A1EDB">
      <w:pPr>
        <w:pStyle w:val="ONUMA"/>
      </w:pPr>
      <w:r w:rsidRPr="00085CC6">
        <w:rPr>
          <w:rtl/>
        </w:rPr>
        <w:t>ورد</w:t>
      </w:r>
      <w:r>
        <w:rPr>
          <w:rFonts w:hint="cs"/>
          <w:rtl/>
        </w:rPr>
        <w:t>َّ</w:t>
      </w:r>
      <w:r w:rsidRPr="00085CC6">
        <w:rPr>
          <w:rtl/>
        </w:rPr>
        <w:t xml:space="preserve"> مجلس الإيكان على ا</w:t>
      </w:r>
      <w:r w:rsidR="00CE0A3A">
        <w:rPr>
          <w:rtl/>
        </w:rPr>
        <w:t>للجنة الاستشارية الحكومية قائلا إنه كان قد اعتمد قرارا</w:t>
      </w:r>
      <w:r w:rsidRPr="00085CC6">
        <w:rPr>
          <w:rtl/>
        </w:rPr>
        <w:t xml:space="preserve"> يضع الأساس لهذه الحماية ال</w:t>
      </w:r>
      <w:r w:rsidR="00CE0A3A">
        <w:rPr>
          <w:rtl/>
        </w:rPr>
        <w:t>مؤقتة من الدرجة الثانية استنادا</w:t>
      </w:r>
      <w:r w:rsidRPr="00085CC6">
        <w:rPr>
          <w:rtl/>
        </w:rPr>
        <w:t xml:space="preserve"> إلى معايير "</w:t>
      </w:r>
      <w:r w:rsidR="00CE0A3A">
        <w:t>.</w:t>
      </w:r>
      <w:r w:rsidRPr="00085CC6">
        <w:t>int</w:t>
      </w:r>
      <w:r w:rsidRPr="00085CC6">
        <w:rPr>
          <w:rtl/>
        </w:rPr>
        <w:t>" القائمة، وذلك عبر قائمة احتياطية أعدتها الإيكان لأدوات تعريف المنظمات الحكومية الدولية، لكي يمنع على الغير تسجيلها من خلال اتفاق سجل الحقول العليا الجديدة المكونة من أسماء عامة. ودعت الإيكان المنظمات الحكومية الدولية المؤهلة إلى ت</w:t>
      </w:r>
      <w:r w:rsidR="00CE0A3A">
        <w:rPr>
          <w:rtl/>
        </w:rPr>
        <w:t>عريف الإيكان بنفسها، وطلبت أيضا</w:t>
      </w:r>
      <w:r w:rsidRPr="00085CC6">
        <w:rPr>
          <w:rtl/>
        </w:rPr>
        <w:t xml:space="preserve"> أن تقدم اللجنة الاستشارية الحكومية (مع المنظمات الحكومية الدولية) باقة منظمات حكومية دولية مجمعة تشمل المعايير وقائمة أسماء المنظمات الحكومية الدولية ومختصراتها التي أوصت اللجنة الاستشارية الحكومية بحمايتها.</w:t>
      </w:r>
      <w:r w:rsidR="00CE0A3A">
        <w:rPr>
          <w:rStyle w:val="FootnoteReference"/>
          <w:rtl/>
        </w:rPr>
        <w:footnoteReference w:id="57"/>
      </w:r>
      <w:r w:rsidR="00CE0A3A">
        <w:rPr>
          <w:rtl/>
        </w:rPr>
        <w:t xml:space="preserve"> وردا</w:t>
      </w:r>
      <w:r w:rsidRPr="00085CC6">
        <w:rPr>
          <w:rtl/>
        </w:rPr>
        <w:t xml:space="preserve"> على ذلك، وضع ائتلاف من المنظمات الحكومية الدولية معايير تستند إلى معايير "</w:t>
      </w:r>
      <w:r w:rsidR="000115BF">
        <w:t>.</w:t>
      </w:r>
      <w:r w:rsidRPr="00085CC6">
        <w:t>int</w:t>
      </w:r>
      <w:r w:rsidRPr="00085CC6">
        <w:rPr>
          <w:rtl/>
        </w:rPr>
        <w:t>" لحماية المنظمات الحكومية الدولية وقائمة مصاحبة للمنظمات الحكومية الدولية، قدمها ائتلاف المنظمات الحكومية الدولية إلى مجلس الإيكان في فبراير 2013. وقد أعقب هذا تبليغ من اللجنة الاستشارية الحكومية إلى مجلس الإيكان بمشورة اللجنة الاستشارية الحكومية بشأن معايير الأهلية لحماية المنظمات الحكومية الدولية</w:t>
      </w:r>
      <w:r w:rsidR="000115BF">
        <w:rPr>
          <w:rStyle w:val="FootnoteReference"/>
          <w:rtl/>
        </w:rPr>
        <w:footnoteReference w:id="58"/>
      </w:r>
      <w:r w:rsidRPr="00085CC6">
        <w:rPr>
          <w:rtl/>
        </w:rPr>
        <w:t>، إلى جانب قائمة بأسماء المنظمات الحكومية الدولية ومختصراتها التي يمكن حمايتها.</w:t>
      </w:r>
      <w:r w:rsidR="000115BF">
        <w:rPr>
          <w:rStyle w:val="FootnoteReference"/>
          <w:rtl/>
        </w:rPr>
        <w:footnoteReference w:id="59"/>
      </w:r>
    </w:p>
    <w:p w:rsidR="00F627D2" w:rsidRDefault="008D0D3C" w:rsidP="008A1EDB">
      <w:pPr>
        <w:pStyle w:val="ONUMA"/>
      </w:pPr>
      <w:r w:rsidRPr="008D0D3C">
        <w:rPr>
          <w:rtl/>
        </w:rPr>
        <w:t>وفي 1 أبريل 2013، أبلغ المجلس اللجنة الاستشارية الحكومية بشواغله بشأن كيفية التوفيق بين حماية مختصرات المنظمات الحكومية الدولية ومحاولات الغير التي من المحتمل أن تكون مشروعة لتسجيل أسماء حقول تتطابق مع مختصر لمنظمة حكومية دولية يتمتع بالحماية، وسأل كيف يمكن التعامل على أرض الواقع مع حالات الاستخدام المتزامن التي من المحتمل أن تكون مشروعة.</w:t>
      </w:r>
      <w:r w:rsidR="007B5008">
        <w:rPr>
          <w:rStyle w:val="FootnoteReference"/>
          <w:rtl/>
        </w:rPr>
        <w:footnoteReference w:id="60"/>
      </w:r>
      <w:r w:rsidRPr="008D0D3C">
        <w:rPr>
          <w:rtl/>
        </w:rPr>
        <w:t xml:space="preserve"> وفي يوليو 2013، عقب المناقشات الإضافية التي أجريت مع الإيكان والجهود المضنية التي بذلتها المنظمات الحكومية الدولية، أصدرت اللجنة الاستشارية مشورة لمجلس الإيكان تؤكد من جديد الحاجة إلى حماية وقائية خاصة لأسماء المنظمات الحكومية ومختصراتها في نظام أسماء الحقول.</w:t>
      </w:r>
      <w:r w:rsidR="007B5008">
        <w:rPr>
          <w:rStyle w:val="FootnoteReference"/>
          <w:rtl/>
        </w:rPr>
        <w:footnoteReference w:id="61"/>
      </w:r>
      <w:r w:rsidRPr="008D0D3C">
        <w:rPr>
          <w:rtl/>
        </w:rPr>
        <w:t xml:space="preserve"> وعقب إصدار هذه المشورة</w:t>
      </w:r>
      <w:r w:rsidR="007B5008">
        <w:rPr>
          <w:rFonts w:hint="cs"/>
          <w:rtl/>
        </w:rPr>
        <w:t>،</w:t>
      </w:r>
      <w:r w:rsidR="007B5008">
        <w:rPr>
          <w:rtl/>
        </w:rPr>
        <w:t xml:space="preserve"> أصدر مجلس الإيكان </w:t>
      </w:r>
      <w:r w:rsidR="007B5008">
        <w:rPr>
          <w:rtl/>
        </w:rPr>
        <w:lastRenderedPageBreak/>
        <w:t>قرارا</w:t>
      </w:r>
      <w:r w:rsidRPr="008D0D3C">
        <w:rPr>
          <w:rtl/>
        </w:rPr>
        <w:t xml:space="preserve"> يمدد به الحماية المؤقتة للمنظمات الحكومية الدولية إلى حين عقد الاجتماع الأول للجنة برنامج الحقول العليا الجديدة المكوَّنة من أسماء عامة التابعة لمجلس الإيكان بعد عقد اجتماع الإيكان في نوفمبر 2013</w:t>
      </w:r>
      <w:r w:rsidR="007B5008">
        <w:rPr>
          <w:rFonts w:hint="cs"/>
          <w:rtl/>
        </w:rPr>
        <w:t>.</w:t>
      </w:r>
      <w:r w:rsidR="007B5008">
        <w:rPr>
          <w:rStyle w:val="FootnoteReference"/>
          <w:rtl/>
        </w:rPr>
        <w:footnoteReference w:id="62"/>
      </w:r>
    </w:p>
    <w:p w:rsidR="002D1950" w:rsidRDefault="005A3446" w:rsidP="008A1EDB">
      <w:pPr>
        <w:pStyle w:val="ONUMA"/>
      </w:pPr>
      <w:r w:rsidRPr="005A3446">
        <w:rPr>
          <w:rtl/>
        </w:rPr>
        <w:t>وفي أكتوبر 2013، تقدمت لجنة برنامج الحقول العليا الجديدة المكوَّنة من أسماء عامة باقتراح لحماية مختصرات المنظمات الحكومية الدولية في الدرجة ا</w:t>
      </w:r>
      <w:r>
        <w:rPr>
          <w:rtl/>
        </w:rPr>
        <w:t>لثانية، وكان ذلك الاقتراح بعيدا</w:t>
      </w:r>
      <w:r w:rsidRPr="005A3446">
        <w:rPr>
          <w:rtl/>
        </w:rPr>
        <w:t xml:space="preserve"> عن تزويد مختصرات المنظمات الحكومية الدولية بالحماية الوقائية الدائمة المتوخاة في البلاغات السابقة للجنة الاستشارية الحكومية.</w:t>
      </w:r>
      <w:r>
        <w:rPr>
          <w:rStyle w:val="FootnoteReference"/>
          <w:rtl/>
        </w:rPr>
        <w:footnoteReference w:id="63"/>
      </w:r>
    </w:p>
    <w:p w:rsidR="005A3446" w:rsidRDefault="00055239" w:rsidP="008A1EDB">
      <w:pPr>
        <w:pStyle w:val="ONUMA"/>
      </w:pPr>
      <w:r w:rsidRPr="00055239">
        <w:rPr>
          <w:rtl/>
        </w:rPr>
        <w:t>وإلى جانب الجهود التي بذلتها لجنة برنامج الحقول العليا الجديدة المكوَّنة من أسماء عامة واللجنة الاستشارية الحكومية والمنظمات الحكومية الدولية،</w:t>
      </w:r>
      <w:r w:rsidR="00A155CF">
        <w:rPr>
          <w:rStyle w:val="FootnoteReference"/>
          <w:rtl/>
        </w:rPr>
        <w:footnoteReference w:id="64"/>
      </w:r>
      <w:r w:rsidRPr="00055239">
        <w:rPr>
          <w:rtl/>
        </w:rPr>
        <w:t xml:space="preserve"> شرعت المنظمة الداعمة للأسماء العامة التابعة للإيكان في عملية لوضع السياسات بخصوص حماية المنظمات الحكومية الدولية، وقد شارك المركز مع ممثلي بعض المنظمات الحكومية الدولية الأخرى في تلك العملية. وعلاوة على اعتراضات المنظمات الحكومية الدولية، رفضت العملية التي شرعت فيها المنظمة الداعمة للأسماء العامة بشكل واسع الحماية الوقائية لأسماء المنظمات الحكومية الدولية ومخت</w:t>
      </w:r>
      <w:r w:rsidR="00D73C7C">
        <w:rPr>
          <w:rtl/>
        </w:rPr>
        <w:t>صراتها من الدرجة الثانية. وبدلا</w:t>
      </w:r>
      <w:r w:rsidRPr="00055239">
        <w:rPr>
          <w:rtl/>
        </w:rPr>
        <w:t xml:space="preserve"> من ذلك، أوصت بالاقتصار على آليات توفر حماية وقائية لمختصرات المنظمات الحكومية الدولية، وإزالة الحماية المؤقتة السارية على مختصرات المنظمات الحكومية الدولية. واعتمد مجلس المنظمة الداعمة للأسماء العامة هاتين التوصيتين بالإجماع في نوفمبر 2013. وفي أبريل 2014، قرر مجلس الإيكان اعتماد توصيات مجلس المنظمة الداعمة للأسماء العامة التي لا تتعارض مع مشورة اللجنة الاستشارية الحكومية، و</w:t>
      </w:r>
      <w:r w:rsidR="00D73C7C">
        <w:rPr>
          <w:rtl/>
        </w:rPr>
        <w:t>تحديدا</w:t>
      </w:r>
      <w:r w:rsidRPr="00055239">
        <w:rPr>
          <w:rtl/>
        </w:rPr>
        <w:t>، عدم تسجيل الأسماء الكاملة للمنظمات الحكومية الدولية في المستويين الأول والثاني بلغتين.</w:t>
      </w:r>
    </w:p>
    <w:p w:rsidR="00D73C7C" w:rsidRDefault="00CF67BC" w:rsidP="008A1EDB">
      <w:pPr>
        <w:pStyle w:val="ONUMA"/>
      </w:pPr>
      <w:r w:rsidRPr="00CF67BC">
        <w:rPr>
          <w:rtl/>
        </w:rPr>
        <w:t>ورغم مشورة اللجنة الاستشارية الحكومية ومواقف المنظمات الحكومية الدولية، صوت مجلس المنظمة الداعمة للأسماء العامة، في يونيو 2014، على الشروع في عملية ثانية لوضع السياسات بشأن الرغبة في منح المنظمات الحكومية الدولية إمكانية الانتفاع بآليات علاجية لحماية الحقوق (مثل السياسة الموحدة أو الإجراء الموحد للوقف السريع) لمعالجة التسجيلات التعسفية لمختصرات المنظمات الحكومية الدولية أو لأسمائها الكاملة التي لا يشملها الاستثناء</w:t>
      </w:r>
      <w:r>
        <w:rPr>
          <w:rtl/>
        </w:rPr>
        <w:t xml:space="preserve"> المذكور آنفا</w:t>
      </w:r>
      <w:r w:rsidRPr="00CF67BC">
        <w:rPr>
          <w:rtl/>
        </w:rPr>
        <w:t>.</w:t>
      </w:r>
      <w:r>
        <w:rPr>
          <w:rFonts w:hint="cs"/>
          <w:rtl/>
        </w:rPr>
        <w:t xml:space="preserve"> </w:t>
      </w:r>
      <w:r w:rsidR="00425F59">
        <w:rPr>
          <w:rFonts w:hint="cs"/>
          <w:rtl/>
        </w:rPr>
        <w:t>و</w:t>
      </w:r>
      <w:r w:rsidR="00425F59" w:rsidRPr="00425F59">
        <w:rPr>
          <w:rtl/>
        </w:rPr>
        <w:t xml:space="preserve">كان </w:t>
      </w:r>
      <w:r w:rsidR="00425F59">
        <w:rPr>
          <w:rFonts w:hint="cs"/>
          <w:rtl/>
        </w:rPr>
        <w:t>ذلك، ولا يزال،</w:t>
      </w:r>
      <w:r w:rsidR="00425F59" w:rsidRPr="00425F59">
        <w:rPr>
          <w:rtl/>
        </w:rPr>
        <w:t xml:space="preserve"> </w:t>
      </w:r>
      <w:r w:rsidR="00425F59">
        <w:rPr>
          <w:rFonts w:hint="cs"/>
          <w:rtl/>
        </w:rPr>
        <w:t>محل</w:t>
      </w:r>
      <w:r w:rsidR="00425F59" w:rsidRPr="00425F59">
        <w:rPr>
          <w:rtl/>
        </w:rPr>
        <w:t xml:space="preserve"> مناقشات مستمرة</w:t>
      </w:r>
      <w:r w:rsidR="00425F59">
        <w:rPr>
          <w:rFonts w:hint="cs"/>
          <w:rtl/>
        </w:rPr>
        <w:t xml:space="preserve"> تتعلق بالسياسات</w:t>
      </w:r>
      <w:r w:rsidR="00425F59" w:rsidRPr="00425F59">
        <w:rPr>
          <w:rtl/>
        </w:rPr>
        <w:t xml:space="preserve">، بما في ذلك </w:t>
      </w:r>
      <w:r w:rsidR="00425F59">
        <w:rPr>
          <w:rFonts w:hint="cs"/>
          <w:rtl/>
        </w:rPr>
        <w:t xml:space="preserve">مناقشات في جميع </w:t>
      </w:r>
      <w:r w:rsidR="00425F59" w:rsidRPr="00425F59">
        <w:rPr>
          <w:rtl/>
        </w:rPr>
        <w:t xml:space="preserve">اجتماعات </w:t>
      </w:r>
      <w:r w:rsidR="00425F59" w:rsidRPr="00055239">
        <w:rPr>
          <w:rtl/>
        </w:rPr>
        <w:t xml:space="preserve">الإيكان </w:t>
      </w:r>
      <w:r w:rsidR="00425F59">
        <w:rPr>
          <w:rFonts w:hint="cs"/>
          <w:rtl/>
        </w:rPr>
        <w:t xml:space="preserve">اللاحقة، </w:t>
      </w:r>
      <w:r w:rsidR="00425F59" w:rsidRPr="00425F59">
        <w:rPr>
          <w:rtl/>
        </w:rPr>
        <w:t xml:space="preserve">ومع ذلك، </w:t>
      </w:r>
      <w:r w:rsidR="007248AC">
        <w:rPr>
          <w:rFonts w:hint="cs"/>
          <w:rtl/>
        </w:rPr>
        <w:t xml:space="preserve">لا تزال </w:t>
      </w:r>
      <w:r w:rsidR="00C37865">
        <w:rPr>
          <w:rFonts w:hint="cs"/>
          <w:rtl/>
        </w:rPr>
        <w:t>ال</w:t>
      </w:r>
      <w:r w:rsidR="00425F59" w:rsidRPr="00425F59">
        <w:rPr>
          <w:rtl/>
        </w:rPr>
        <w:t xml:space="preserve">توصية </w:t>
      </w:r>
      <w:r w:rsidR="00C37865" w:rsidRPr="00425F59">
        <w:rPr>
          <w:rtl/>
        </w:rPr>
        <w:t>النهائية</w:t>
      </w:r>
      <w:r w:rsidR="00C37865" w:rsidRPr="00C37865">
        <w:rPr>
          <w:rtl/>
        </w:rPr>
        <w:t xml:space="preserve"> </w:t>
      </w:r>
      <w:r w:rsidR="00C37865">
        <w:rPr>
          <w:rFonts w:hint="cs"/>
          <w:rtl/>
        </w:rPr>
        <w:t>لل</w:t>
      </w:r>
      <w:r w:rsidR="00C37865" w:rsidRPr="00C37865">
        <w:rPr>
          <w:rtl/>
        </w:rPr>
        <w:t>منظمة الداعمة للأسماء العامة</w:t>
      </w:r>
      <w:r w:rsidR="007248AC">
        <w:rPr>
          <w:rFonts w:hint="cs"/>
          <w:rtl/>
        </w:rPr>
        <w:t xml:space="preserve"> قيد النظر</w:t>
      </w:r>
      <w:r w:rsidR="00425F59" w:rsidRPr="00425F59">
        <w:rPr>
          <w:rtl/>
        </w:rPr>
        <w:t>.</w:t>
      </w:r>
      <w:r w:rsidR="007248AC">
        <w:rPr>
          <w:rFonts w:hint="cs"/>
          <w:rtl/>
        </w:rPr>
        <w:t xml:space="preserve"> وفي غضون ذلك، أكدت </w:t>
      </w:r>
      <w:r w:rsidR="007248AC" w:rsidRPr="007248AC">
        <w:rPr>
          <w:rtl/>
        </w:rPr>
        <w:t>اللجنة الاستشارية الحكومية</w:t>
      </w:r>
      <w:r w:rsidR="00A22FCB">
        <w:rPr>
          <w:rFonts w:hint="cs"/>
          <w:rtl/>
        </w:rPr>
        <w:t xml:space="preserve"> </w:t>
      </w:r>
      <w:r w:rsidR="002116DC">
        <w:rPr>
          <w:rFonts w:hint="cs"/>
          <w:rtl/>
        </w:rPr>
        <w:t>مجددا</w:t>
      </w:r>
      <w:r w:rsidR="00A22FCB">
        <w:rPr>
          <w:rFonts w:hint="cs"/>
          <w:rtl/>
        </w:rPr>
        <w:t xml:space="preserve"> أن أي </w:t>
      </w:r>
      <w:r w:rsidR="00A22FCB" w:rsidRPr="00A22FCB">
        <w:rPr>
          <w:rtl/>
        </w:rPr>
        <w:t xml:space="preserve">آلية </w:t>
      </w:r>
      <w:r w:rsidR="00A22FCB">
        <w:rPr>
          <w:rFonts w:hint="cs"/>
          <w:rtl/>
        </w:rPr>
        <w:t xml:space="preserve">لحماية الحقوق </w:t>
      </w:r>
      <w:r w:rsidR="00A22FCB" w:rsidRPr="00A22FCB">
        <w:rPr>
          <w:rtl/>
        </w:rPr>
        <w:t xml:space="preserve">خاصة </w:t>
      </w:r>
      <w:r w:rsidR="00A22FCB">
        <w:rPr>
          <w:rFonts w:hint="cs"/>
          <w:rtl/>
        </w:rPr>
        <w:t>ب</w:t>
      </w:r>
      <w:r w:rsidR="00A22FCB" w:rsidRPr="00A22FCB">
        <w:rPr>
          <w:rtl/>
        </w:rPr>
        <w:t>منظمة حكومية دولية</w:t>
      </w:r>
      <w:r w:rsidR="00A22FCB">
        <w:rPr>
          <w:rFonts w:hint="cs"/>
          <w:rtl/>
        </w:rPr>
        <w:t xml:space="preserve"> </w:t>
      </w:r>
      <w:r w:rsidR="00946495">
        <w:rPr>
          <w:rFonts w:hint="cs"/>
          <w:rtl/>
        </w:rPr>
        <w:t>على غرار السياسة الموحدة القائمة ينبغي أن تراعي وضع المنظمة الحكومية الدولية بموجب القانون الدولي، ولكن ينبغي ألا تُعدِّل السياسة الموحدة القائمة.</w:t>
      </w:r>
      <w:r w:rsidR="00425F59" w:rsidRPr="00425F59">
        <w:rPr>
          <w:rtl/>
        </w:rPr>
        <w:t xml:space="preserve"> كما أقر مجلس </w:t>
      </w:r>
      <w:r w:rsidR="00C56701" w:rsidRPr="00055239">
        <w:rPr>
          <w:rtl/>
        </w:rPr>
        <w:t xml:space="preserve">الإيكان </w:t>
      </w:r>
      <w:r w:rsidR="00425F59" w:rsidRPr="00425F59">
        <w:rPr>
          <w:rtl/>
        </w:rPr>
        <w:t>ب</w:t>
      </w:r>
      <w:r w:rsidR="00C56701">
        <w:rPr>
          <w:rFonts w:hint="cs"/>
          <w:rtl/>
        </w:rPr>
        <w:t>ال</w:t>
      </w:r>
      <w:r w:rsidR="00425F59" w:rsidRPr="00425F59">
        <w:rPr>
          <w:rtl/>
        </w:rPr>
        <w:t xml:space="preserve">مشورة السابقة </w:t>
      </w:r>
      <w:r w:rsidR="00C56701" w:rsidRPr="00C56701">
        <w:rPr>
          <w:rtl/>
        </w:rPr>
        <w:t>للجنة الحكومية الاستشاري</w:t>
      </w:r>
      <w:r w:rsidR="00C56701">
        <w:rPr>
          <w:rFonts w:hint="cs"/>
          <w:rtl/>
        </w:rPr>
        <w:t>ة</w:t>
      </w:r>
      <w:r w:rsidR="00C56701" w:rsidRPr="00C56701">
        <w:rPr>
          <w:rtl/>
        </w:rPr>
        <w:t xml:space="preserve"> </w:t>
      </w:r>
      <w:r w:rsidR="00C56701">
        <w:rPr>
          <w:rFonts w:hint="cs"/>
          <w:rtl/>
        </w:rPr>
        <w:t xml:space="preserve">بشأن </w:t>
      </w:r>
      <w:r w:rsidR="00425F59" w:rsidRPr="00425F59">
        <w:rPr>
          <w:rtl/>
        </w:rPr>
        <w:t xml:space="preserve">الحاجة إلى حماية </w:t>
      </w:r>
      <w:r w:rsidR="00C56701" w:rsidRPr="00C56701">
        <w:rPr>
          <w:rtl/>
        </w:rPr>
        <w:t xml:space="preserve">مختصرات المنظمات الحكومية الدولية </w:t>
      </w:r>
      <w:r w:rsidR="00C56701">
        <w:rPr>
          <w:rFonts w:hint="cs"/>
          <w:rtl/>
        </w:rPr>
        <w:t xml:space="preserve">في </w:t>
      </w:r>
      <w:r w:rsidR="00C56701" w:rsidRPr="00C56701">
        <w:rPr>
          <w:rtl/>
        </w:rPr>
        <w:t>نظام أسماء الحقول</w:t>
      </w:r>
      <w:r w:rsidR="00425F59" w:rsidRPr="00425F59">
        <w:rPr>
          <w:rtl/>
        </w:rPr>
        <w:t>.</w:t>
      </w:r>
      <w:r w:rsidR="00DD2A7A">
        <w:rPr>
          <w:rStyle w:val="FootnoteReference"/>
          <w:rtl/>
        </w:rPr>
        <w:footnoteReference w:id="65"/>
      </w:r>
      <w:r w:rsidR="00425F59" w:rsidRPr="00425F59">
        <w:rPr>
          <w:rtl/>
        </w:rPr>
        <w:t xml:space="preserve"> </w:t>
      </w:r>
      <w:r w:rsidR="00DD2A7A">
        <w:rPr>
          <w:rFonts w:hint="cs"/>
          <w:rtl/>
        </w:rPr>
        <w:t>و</w:t>
      </w:r>
      <w:r w:rsidR="00425F59" w:rsidRPr="00425F59">
        <w:rPr>
          <w:rtl/>
        </w:rPr>
        <w:t xml:space="preserve">بالتعاون مع منظمات حكومية دولية معنية أخرى، يواصل المركز </w:t>
      </w:r>
      <w:r w:rsidR="00A74FB3">
        <w:rPr>
          <w:rFonts w:hint="cs"/>
          <w:rtl/>
        </w:rPr>
        <w:t>رصده عن كثب لما يحدث من تطورات ف</w:t>
      </w:r>
      <w:r w:rsidR="00425F59" w:rsidRPr="00425F59">
        <w:rPr>
          <w:rtl/>
        </w:rPr>
        <w:t xml:space="preserve">ي </w:t>
      </w:r>
      <w:r w:rsidR="00A74FB3">
        <w:rPr>
          <w:rFonts w:hint="cs"/>
          <w:rtl/>
        </w:rPr>
        <w:t>هذا ال</w:t>
      </w:r>
      <w:r w:rsidR="00A74FB3" w:rsidRPr="00A74FB3">
        <w:rPr>
          <w:rtl/>
        </w:rPr>
        <w:t>ملف</w:t>
      </w:r>
      <w:r w:rsidR="00A74FB3">
        <w:rPr>
          <w:rFonts w:hint="cs"/>
          <w:rtl/>
        </w:rPr>
        <w:t xml:space="preserve"> القديم من ملفات</w:t>
      </w:r>
      <w:r w:rsidR="00A74FB3" w:rsidRPr="00A74FB3">
        <w:rPr>
          <w:rtl/>
        </w:rPr>
        <w:t xml:space="preserve"> الإيكان</w:t>
      </w:r>
      <w:r w:rsidR="00425F59" w:rsidRPr="00425F59">
        <w:rPr>
          <w:rtl/>
        </w:rPr>
        <w:t xml:space="preserve">. </w:t>
      </w:r>
      <w:r w:rsidR="00A74FB3">
        <w:rPr>
          <w:rFonts w:hint="cs"/>
          <w:rtl/>
        </w:rPr>
        <w:t>و</w:t>
      </w:r>
      <w:r w:rsidR="00425F59" w:rsidRPr="00425F59">
        <w:rPr>
          <w:rtl/>
        </w:rPr>
        <w:t xml:space="preserve">في نهاية المطاف، </w:t>
      </w:r>
      <w:r w:rsidR="00E67017">
        <w:rPr>
          <w:rFonts w:hint="cs"/>
          <w:rtl/>
        </w:rPr>
        <w:t xml:space="preserve">ربما يُدعى </w:t>
      </w:r>
      <w:r w:rsidR="00425F59" w:rsidRPr="00425F59">
        <w:rPr>
          <w:rtl/>
        </w:rPr>
        <w:t xml:space="preserve">مجلس </w:t>
      </w:r>
      <w:r w:rsidR="00E67017" w:rsidRPr="00A74FB3">
        <w:rPr>
          <w:rtl/>
        </w:rPr>
        <w:t>الإيكان</w:t>
      </w:r>
      <w:r w:rsidR="00E67017" w:rsidRPr="00425F59">
        <w:rPr>
          <w:rtl/>
        </w:rPr>
        <w:t xml:space="preserve"> </w:t>
      </w:r>
      <w:r w:rsidR="00BF443E">
        <w:rPr>
          <w:rFonts w:hint="cs"/>
          <w:rtl/>
        </w:rPr>
        <w:t>إلى ا</w:t>
      </w:r>
      <w:r w:rsidR="00425F59" w:rsidRPr="00425F59">
        <w:rPr>
          <w:rtl/>
        </w:rPr>
        <w:t xml:space="preserve">لتوفيق بين </w:t>
      </w:r>
      <w:r w:rsidR="00391C94">
        <w:rPr>
          <w:rFonts w:hint="cs"/>
          <w:rtl/>
        </w:rPr>
        <w:t xml:space="preserve">أوجه </w:t>
      </w:r>
      <w:r w:rsidR="00425F59" w:rsidRPr="00425F59">
        <w:rPr>
          <w:rtl/>
        </w:rPr>
        <w:t xml:space="preserve">الاختلاف بين </w:t>
      </w:r>
      <w:r w:rsidR="00391C94" w:rsidRPr="00391C94">
        <w:rPr>
          <w:rtl/>
        </w:rPr>
        <w:t xml:space="preserve">مشورة اللجنة </w:t>
      </w:r>
      <w:r w:rsidR="00391C94" w:rsidRPr="00391C94">
        <w:rPr>
          <w:rtl/>
        </w:rPr>
        <w:lastRenderedPageBreak/>
        <w:t xml:space="preserve">الحكومية الاستشارية </w:t>
      </w:r>
      <w:r w:rsidR="00425F59" w:rsidRPr="00425F59">
        <w:rPr>
          <w:rtl/>
        </w:rPr>
        <w:t xml:space="preserve">وتوصيات </w:t>
      </w:r>
      <w:r w:rsidR="008310C7" w:rsidRPr="008310C7">
        <w:rPr>
          <w:rtl/>
        </w:rPr>
        <w:t>المنظمة الداعمة للأسماء العامة فيما يخص آليات حماية الحقوق المرتبطة بالمنظمات الحكومية الدولية.</w:t>
      </w:r>
    </w:p>
    <w:p w:rsidR="002116DC" w:rsidRPr="004B5A14" w:rsidRDefault="004B5A14" w:rsidP="004B5A14">
      <w:pPr>
        <w:pStyle w:val="BodyText"/>
        <w:keepNext/>
        <w:numPr>
          <w:ilvl w:val="0"/>
          <w:numId w:val="50"/>
        </w:numPr>
        <w:ind w:left="1705" w:hanging="540"/>
        <w:rPr>
          <w:u w:val="single"/>
        </w:rPr>
      </w:pPr>
      <w:r w:rsidRPr="004B5A14">
        <w:rPr>
          <w:u w:val="single"/>
          <w:rtl/>
        </w:rPr>
        <w:t>المصطلحات الجغرافية</w:t>
      </w:r>
    </w:p>
    <w:p w:rsidR="002116DC" w:rsidRDefault="004B5A14" w:rsidP="008A1EDB">
      <w:pPr>
        <w:pStyle w:val="ONUMA"/>
      </w:pPr>
      <w:r w:rsidRPr="004B5A14">
        <w:rPr>
          <w:rtl/>
        </w:rPr>
        <w:t>أعربت اللجنة الاستشارية الحكومية</w:t>
      </w:r>
      <w:r>
        <w:rPr>
          <w:rFonts w:hint="cs"/>
          <w:rtl/>
        </w:rPr>
        <w:t xml:space="preserve"> على وجه الخصوص</w:t>
      </w:r>
      <w:r w:rsidRPr="004B5A14">
        <w:rPr>
          <w:rtl/>
        </w:rPr>
        <w:t xml:space="preserve"> عن قلق</w:t>
      </w:r>
      <w:r>
        <w:rPr>
          <w:rFonts w:hint="cs"/>
          <w:rtl/>
        </w:rPr>
        <w:t>ها</w:t>
      </w:r>
      <w:r w:rsidRPr="004B5A14">
        <w:rPr>
          <w:rtl/>
        </w:rPr>
        <w:t xml:space="preserve"> بشأن استخدام وحماية المصطلحات الجغرافية في الحقول العليا الجديدة المكونة من أسماء عامة.</w:t>
      </w:r>
      <w:r>
        <w:rPr>
          <w:rStyle w:val="FootnoteReference"/>
          <w:rtl/>
        </w:rPr>
        <w:footnoteReference w:id="66"/>
      </w:r>
      <w:r w:rsidRPr="004B5A14">
        <w:rPr>
          <w:rtl/>
        </w:rPr>
        <w:t xml:space="preserve"> و</w:t>
      </w:r>
      <w:r>
        <w:rPr>
          <w:rFonts w:hint="cs"/>
          <w:rtl/>
        </w:rPr>
        <w:t xml:space="preserve">فيما يخص </w:t>
      </w:r>
      <w:r w:rsidRPr="004B5A14">
        <w:rPr>
          <w:rtl/>
        </w:rPr>
        <w:t>أسماء الحقول العليا،</w:t>
      </w:r>
      <w:r>
        <w:rPr>
          <w:rStyle w:val="FootnoteReference"/>
          <w:rtl/>
        </w:rPr>
        <w:footnoteReference w:id="67"/>
      </w:r>
      <w:r w:rsidRPr="004B5A14">
        <w:rPr>
          <w:rtl/>
        </w:rPr>
        <w:t xml:space="preserve"> يوضح دليل مودع الطلب الذي وضعته الإيكان أن "الطلبات المتعلقة بسلسلة الحروف التي تخص أسماء البلدان والأراضي لن تحظى بالموافقة لأنها غير متاحة في إطار برنامج الحقول العليا الجديدة المكونة من أسماء عامة في مرحلة التطبيق هذه".</w:t>
      </w:r>
      <w:r>
        <w:rPr>
          <w:rStyle w:val="FootnoteReference"/>
          <w:rtl/>
        </w:rPr>
        <w:footnoteReference w:id="68"/>
      </w:r>
      <w:r w:rsidRPr="004B5A14">
        <w:rPr>
          <w:rtl/>
        </w:rPr>
        <w:t xml:space="preserve"> وينبغي لسلسلة الحروف التي تقدم بشأنها طلبات والتي ترى الإيكان أنها أسماء جغرافية معينة أخرى، مثل أسماء العواصم، أن تكون مصحوبة بالوثائق الداعمة أو النافية لاعتراض الحكومات أو السلطات العامة المعنية.</w:t>
      </w:r>
      <w:r>
        <w:rPr>
          <w:rStyle w:val="FootnoteReference"/>
          <w:rtl/>
        </w:rPr>
        <w:footnoteReference w:id="69"/>
      </w:r>
    </w:p>
    <w:p w:rsidR="00C27BA8" w:rsidRDefault="00B74BFE" w:rsidP="008A1EDB">
      <w:pPr>
        <w:pStyle w:val="ONUMA"/>
      </w:pPr>
      <w:r w:rsidRPr="00B74BFE">
        <w:rPr>
          <w:rtl/>
        </w:rPr>
        <w:t>وأعرب أعضاء اللجنة الاستشارية الحكومية عن تحفظات أخرى بشأن عدد من طلبات الحقول العليا الجديدة المكونة من أسماء عامة على أساس التوافق مع المصطلحات الجغرافية أو غيرها من المصطلحات "الحساسة"، وأشارت على مجلس الإيكان بألا يواصل العمل بعد التقييم ال</w:t>
      </w:r>
      <w:r>
        <w:rPr>
          <w:rtl/>
        </w:rPr>
        <w:t>أولي لها، وطلبت من المجلس مزيدا</w:t>
      </w:r>
      <w:r w:rsidRPr="00B74BFE">
        <w:rPr>
          <w:rtl/>
        </w:rPr>
        <w:t xml:space="preserve"> من التوضيح بشأن النطاق المسموح لمودعي الطلبات فيه بتعديل طلباتهم التي أودعوها لحقول عليا جديدة مكونة من أسماء عامة استجابة لمخاوف معينة تشعر بها اللجنة الاستشارية الحكومية.</w:t>
      </w:r>
      <w:r>
        <w:rPr>
          <w:rStyle w:val="FootnoteReference"/>
          <w:rtl/>
        </w:rPr>
        <w:footnoteReference w:id="70"/>
      </w:r>
    </w:p>
    <w:p w:rsidR="00251E74" w:rsidRDefault="00685FFF" w:rsidP="008A1EDB">
      <w:pPr>
        <w:pStyle w:val="ONUMA"/>
      </w:pPr>
      <w:r w:rsidRPr="00685FFF">
        <w:rPr>
          <w:rtl/>
        </w:rPr>
        <w:lastRenderedPageBreak/>
        <w:t>وفي ديسمبر 2016، سمحت الإيكان بإتاحة كل أسماء الحقول المحجوزة المكونة من حرفين على المستوى الثاني في الحقول العليا المكوّنة من أسماء عامة على أن يمهل القائمون على التسج</w:t>
      </w:r>
      <w:r>
        <w:rPr>
          <w:rtl/>
        </w:rPr>
        <w:t>يل الحكومات المعنية ثلاثين يوما</w:t>
      </w:r>
      <w:r w:rsidRPr="00685FFF">
        <w:rPr>
          <w:rtl/>
        </w:rPr>
        <w:t xml:space="preserve"> لشراء أسماء الحقول المعنية؛ وأن يلزموا المس</w:t>
      </w:r>
      <w:r>
        <w:rPr>
          <w:rtl/>
        </w:rPr>
        <w:t>جل له الإقرار بعدم الإيحاء زورا</w:t>
      </w:r>
      <w:r w:rsidRPr="00685FFF">
        <w:rPr>
          <w:rtl/>
        </w:rPr>
        <w:t xml:space="preserve"> بأي طابع حكومي في استخدام تلك الأسماء المكونة من حرفين؛ وأن يتيحوا إجراء لرفع الشكاوى بعد التسجيل.</w:t>
      </w:r>
      <w:r>
        <w:rPr>
          <w:rStyle w:val="FootnoteReference"/>
          <w:rtl/>
        </w:rPr>
        <w:footnoteReference w:id="71"/>
      </w:r>
      <w:r w:rsidRPr="00685FFF">
        <w:rPr>
          <w:rtl/>
        </w:rPr>
        <w:t xml:space="preserve"> وفي هذا السياق، قدم مركز الويبو تعليقات إلى الإيكان أشار فيها إلى أن مشروع الويبو الثاني الخاص بأسماء الحقول على الإنترنت نظر في إمكانية استكشاف تدابير تمكّن من تطبيق السياسة الموحدة على التسجيلات من الدرجة الثالثة بغرض الحد من احتمال انتهاك العلامات التجارية.</w:t>
      </w:r>
      <w:r>
        <w:rPr>
          <w:rStyle w:val="FootnoteReference"/>
          <w:rtl/>
        </w:rPr>
        <w:footnoteReference w:id="72"/>
      </w:r>
      <w:r>
        <w:rPr>
          <w:rFonts w:hint="cs"/>
          <w:rtl/>
        </w:rPr>
        <w:t xml:space="preserve"> و</w:t>
      </w:r>
      <w:r w:rsidRPr="00685FFF">
        <w:rPr>
          <w:rtl/>
        </w:rPr>
        <w:t xml:space="preserve">في مناقشات </w:t>
      </w:r>
      <w:r>
        <w:rPr>
          <w:rFonts w:hint="cs"/>
          <w:rtl/>
        </w:rPr>
        <w:t xml:space="preserve">أُجريت في الآونة </w:t>
      </w:r>
      <w:r w:rsidRPr="00685FFF">
        <w:rPr>
          <w:rtl/>
        </w:rPr>
        <w:t>الأخيرة</w:t>
      </w:r>
      <w:r>
        <w:rPr>
          <w:rtl/>
        </w:rPr>
        <w:t>، طلب</w:t>
      </w:r>
      <w:r w:rsidRPr="00685FFF">
        <w:rPr>
          <w:rtl/>
        </w:rPr>
        <w:t xml:space="preserve"> أعضاء اللجنة الاستشارية الحكومية </w:t>
      </w:r>
      <w:r>
        <w:rPr>
          <w:rFonts w:hint="cs"/>
          <w:rtl/>
        </w:rPr>
        <w:t xml:space="preserve">أن تقدم </w:t>
      </w:r>
      <w:r w:rsidRPr="00685FFF">
        <w:rPr>
          <w:rtl/>
        </w:rPr>
        <w:t>الإيكان معلومات م</w:t>
      </w:r>
      <w:r>
        <w:rPr>
          <w:rFonts w:hint="cs"/>
          <w:rtl/>
        </w:rPr>
        <w:t>ُ</w:t>
      </w:r>
      <w:r w:rsidRPr="00685FFF">
        <w:rPr>
          <w:rtl/>
        </w:rPr>
        <w:t>نس</w:t>
      </w:r>
      <w:r>
        <w:rPr>
          <w:rFonts w:hint="cs"/>
          <w:rtl/>
        </w:rPr>
        <w:t>َّ</w:t>
      </w:r>
      <w:r w:rsidRPr="00685FFF">
        <w:rPr>
          <w:rtl/>
        </w:rPr>
        <w:t xml:space="preserve">قة </w:t>
      </w:r>
      <w:r>
        <w:rPr>
          <w:rFonts w:hint="cs"/>
          <w:rtl/>
        </w:rPr>
        <w:t xml:space="preserve">بشأن </w:t>
      </w:r>
      <w:r w:rsidRPr="00685FFF">
        <w:rPr>
          <w:rtl/>
        </w:rPr>
        <w:t xml:space="preserve">الطلبات </w:t>
      </w:r>
      <w:r>
        <w:rPr>
          <w:rFonts w:hint="cs"/>
          <w:rtl/>
        </w:rPr>
        <w:t>والتفويضات</w:t>
      </w:r>
      <w:r w:rsidRPr="00685FFF">
        <w:rPr>
          <w:rtl/>
        </w:rPr>
        <w:t xml:space="preserve"> ذات الصلة.</w:t>
      </w:r>
      <w:r>
        <w:rPr>
          <w:rStyle w:val="FootnoteReference"/>
          <w:rtl/>
        </w:rPr>
        <w:footnoteReference w:id="73"/>
      </w:r>
    </w:p>
    <w:p w:rsidR="00685FFF" w:rsidRDefault="00561127" w:rsidP="008A1EDB">
      <w:pPr>
        <w:pStyle w:val="ONUMA"/>
      </w:pPr>
      <w:r>
        <w:rPr>
          <w:rtl/>
        </w:rPr>
        <w:t>وقد سعى المركز إجمالا</w:t>
      </w:r>
      <w:r w:rsidRPr="00561127">
        <w:rPr>
          <w:rtl/>
        </w:rPr>
        <w:t xml:space="preserve"> بشأن هذه المسائل و</w:t>
      </w:r>
      <w:r>
        <w:rPr>
          <w:rFonts w:hint="cs"/>
          <w:rtl/>
        </w:rPr>
        <w:t xml:space="preserve">غيرها من </w:t>
      </w:r>
      <w:r w:rsidRPr="00561127">
        <w:rPr>
          <w:rtl/>
        </w:rPr>
        <w:t>المسائل المتعلقة بنظام أسماء الحقول إلى تقييم القطاعات المعنية داخل الأمانة، بما في ذلك دعم عمل اللجنة الدائمة المعنية ب</w:t>
      </w:r>
      <w:r>
        <w:rPr>
          <w:rFonts w:hint="cs"/>
          <w:rtl/>
        </w:rPr>
        <w:t xml:space="preserve">قانون </w:t>
      </w:r>
      <w:r w:rsidRPr="00561127">
        <w:rPr>
          <w:rtl/>
        </w:rPr>
        <w:t>العلامات التجارية وال</w:t>
      </w:r>
      <w:r>
        <w:rPr>
          <w:rFonts w:hint="cs"/>
          <w:rtl/>
        </w:rPr>
        <w:t xml:space="preserve">تصاميم </w:t>
      </w:r>
      <w:r w:rsidRPr="00561127">
        <w:rPr>
          <w:rtl/>
        </w:rPr>
        <w:t>الصناعية وال</w:t>
      </w:r>
      <w:r>
        <w:rPr>
          <w:rFonts w:hint="cs"/>
          <w:rtl/>
        </w:rPr>
        <w:t xml:space="preserve">مؤشرات </w:t>
      </w:r>
      <w:r w:rsidRPr="00561127">
        <w:rPr>
          <w:rtl/>
        </w:rPr>
        <w:t>الجغرافية</w:t>
      </w:r>
      <w:r w:rsidR="00E615A6">
        <w:rPr>
          <w:rFonts w:hint="cs"/>
          <w:rtl/>
        </w:rPr>
        <w:t xml:space="preserve"> (</w:t>
      </w:r>
      <w:r w:rsidR="00E615A6" w:rsidRPr="00E615A6">
        <w:rPr>
          <w:rtl/>
        </w:rPr>
        <w:t>لجنة العلامات</w:t>
      </w:r>
      <w:r w:rsidR="00E615A6">
        <w:rPr>
          <w:rFonts w:hint="cs"/>
          <w:rtl/>
        </w:rPr>
        <w:t>)</w:t>
      </w:r>
      <w:r w:rsidRPr="00561127">
        <w:rPr>
          <w:rtl/>
        </w:rPr>
        <w:t>.</w:t>
      </w:r>
      <w:r>
        <w:rPr>
          <w:rStyle w:val="FootnoteReference"/>
          <w:rtl/>
        </w:rPr>
        <w:footnoteReference w:id="74"/>
      </w:r>
      <w:r w:rsidRPr="00561127">
        <w:rPr>
          <w:rtl/>
        </w:rPr>
        <w:t xml:space="preserve"> وفي هذا الصدد، قام المركز </w:t>
      </w:r>
      <w:r w:rsidR="00E615A6">
        <w:rPr>
          <w:rFonts w:hint="cs"/>
          <w:rtl/>
        </w:rPr>
        <w:t xml:space="preserve">بالتعاون </w:t>
      </w:r>
      <w:r w:rsidRPr="00561127">
        <w:rPr>
          <w:rtl/>
        </w:rPr>
        <w:t>مع أمانة لجنة</w:t>
      </w:r>
      <w:r w:rsidR="00E615A6">
        <w:rPr>
          <w:rFonts w:hint="cs"/>
          <w:rtl/>
        </w:rPr>
        <w:t xml:space="preserve"> العلامات بإعداد </w:t>
      </w:r>
      <w:r w:rsidR="00A50F78" w:rsidRPr="00A50F78">
        <w:rPr>
          <w:rtl/>
        </w:rPr>
        <w:t xml:space="preserve">دراسة استقصائية </w:t>
      </w:r>
      <w:r w:rsidR="00E615A6">
        <w:rPr>
          <w:rFonts w:hint="cs"/>
          <w:rtl/>
        </w:rPr>
        <w:t>قُوبل</w:t>
      </w:r>
      <w:r w:rsidR="00A50F78">
        <w:rPr>
          <w:rFonts w:hint="cs"/>
          <w:rtl/>
        </w:rPr>
        <w:t>ت</w:t>
      </w:r>
      <w:r w:rsidR="00E615A6">
        <w:rPr>
          <w:rFonts w:hint="cs"/>
          <w:rtl/>
        </w:rPr>
        <w:t xml:space="preserve"> باستحسان </w:t>
      </w:r>
      <w:r w:rsidR="00A50F78" w:rsidRPr="00A50F78">
        <w:rPr>
          <w:rtl/>
        </w:rPr>
        <w:t>عن الحالة الراهنة للمؤشرات الجغرافية وأسماء البلدان والمصطلحات الجغرافية الأخرى في نظام أسماء الحقول</w:t>
      </w:r>
      <w:r w:rsidR="00A50F78">
        <w:rPr>
          <w:rFonts w:hint="cs"/>
          <w:rtl/>
        </w:rPr>
        <w:t>،</w:t>
      </w:r>
      <w:r w:rsidR="00A50F78">
        <w:rPr>
          <w:rStyle w:val="FootnoteReference"/>
          <w:rtl/>
        </w:rPr>
        <w:footnoteReference w:id="75"/>
      </w:r>
      <w:r w:rsidR="00A50F78">
        <w:rPr>
          <w:rFonts w:hint="cs"/>
          <w:rtl/>
        </w:rPr>
        <w:t xml:space="preserve"> وذلك من أجل </w:t>
      </w:r>
      <w:r w:rsidR="00A50F78" w:rsidRPr="00561127">
        <w:rPr>
          <w:rtl/>
        </w:rPr>
        <w:t xml:space="preserve">الدورة التاسعة والثلاثين للجنة </w:t>
      </w:r>
      <w:r w:rsidR="00A50F78" w:rsidRPr="00E615A6">
        <w:rPr>
          <w:rtl/>
        </w:rPr>
        <w:t xml:space="preserve">العلامات </w:t>
      </w:r>
      <w:r w:rsidR="00A50F78">
        <w:rPr>
          <w:rtl/>
        </w:rPr>
        <w:t>في مارس 2018</w:t>
      </w:r>
      <w:r w:rsidR="00A50F78" w:rsidRPr="00561127">
        <w:rPr>
          <w:rtl/>
        </w:rPr>
        <w:t>، وفقا لخطة العمل الخاصة بال</w:t>
      </w:r>
      <w:r w:rsidR="00A50F78">
        <w:rPr>
          <w:rFonts w:hint="cs"/>
          <w:rtl/>
        </w:rPr>
        <w:t xml:space="preserve">مؤشرات </w:t>
      </w:r>
      <w:r w:rsidR="00A50F78" w:rsidRPr="00561127">
        <w:rPr>
          <w:rtl/>
        </w:rPr>
        <w:t>الجغرافية وبناء على طلب رئيس لجنة ال</w:t>
      </w:r>
      <w:r w:rsidR="00A50F78">
        <w:rPr>
          <w:rFonts w:hint="cs"/>
          <w:rtl/>
        </w:rPr>
        <w:t>علامات</w:t>
      </w:r>
      <w:r w:rsidRPr="00561127">
        <w:rPr>
          <w:rtl/>
        </w:rPr>
        <w:t>.</w:t>
      </w:r>
      <w:r w:rsidR="00A50F78">
        <w:rPr>
          <w:rFonts w:hint="cs"/>
          <w:rtl/>
        </w:rPr>
        <w:t xml:space="preserve"> </w:t>
      </w:r>
      <w:r w:rsidRPr="00561127">
        <w:rPr>
          <w:rtl/>
        </w:rPr>
        <w:t>وستوا</w:t>
      </w:r>
      <w:r w:rsidR="00A50F78">
        <w:rPr>
          <w:rFonts w:hint="cs"/>
          <w:rtl/>
        </w:rPr>
        <w:t>صل</w:t>
      </w:r>
      <w:r w:rsidRPr="00561127">
        <w:rPr>
          <w:rtl/>
        </w:rPr>
        <w:t xml:space="preserve"> الأمانة </w:t>
      </w:r>
      <w:r w:rsidR="00A50F78">
        <w:rPr>
          <w:rFonts w:hint="cs"/>
          <w:rtl/>
        </w:rPr>
        <w:t xml:space="preserve">رصد </w:t>
      </w:r>
      <w:r w:rsidRPr="00561127">
        <w:rPr>
          <w:rtl/>
        </w:rPr>
        <w:t xml:space="preserve">هذه التطورات وستساهم فيها </w:t>
      </w:r>
      <w:r w:rsidR="00A50F78">
        <w:rPr>
          <w:rFonts w:hint="cs"/>
          <w:rtl/>
        </w:rPr>
        <w:t>حسب مقتضى الحال</w:t>
      </w:r>
      <w:r w:rsidRPr="00561127">
        <w:rPr>
          <w:rtl/>
        </w:rPr>
        <w:t>.</w:t>
      </w:r>
    </w:p>
    <w:p w:rsidR="00B10A7D" w:rsidRPr="00B10A7D" w:rsidRDefault="00B10A7D" w:rsidP="008A1EDB">
      <w:pPr>
        <w:pStyle w:val="Decision"/>
        <w:rPr>
          <w:rtl/>
        </w:rPr>
      </w:pPr>
      <w:r w:rsidRPr="00B10A7D">
        <w:rPr>
          <w:rtl/>
        </w:rPr>
        <w:t>إن الجمعية العام</w:t>
      </w:r>
      <w:r>
        <w:rPr>
          <w:rtl/>
        </w:rPr>
        <w:t>ة للويبو مدعوة إلى الإحاطة علما</w:t>
      </w:r>
      <w:r w:rsidRPr="00B10A7D">
        <w:rPr>
          <w:rtl/>
        </w:rPr>
        <w:t xml:space="preserve"> ب</w:t>
      </w:r>
      <w:r>
        <w:rPr>
          <w:rFonts w:hint="cs"/>
          <w:rtl/>
        </w:rPr>
        <w:t>ال</w:t>
      </w:r>
      <w:r w:rsidRPr="00B10A7D">
        <w:rPr>
          <w:rtl/>
        </w:rPr>
        <w:t>وثيقة</w:t>
      </w:r>
      <w:r>
        <w:rPr>
          <w:rFonts w:hint="cs"/>
          <w:rtl/>
        </w:rPr>
        <w:t xml:space="preserve"> المعنونة</w:t>
      </w:r>
      <w:r w:rsidRPr="00B10A7D">
        <w:rPr>
          <w:rtl/>
        </w:rPr>
        <w:t xml:space="preserve"> "مركز الويبو للتحكيم والوساطة، بالإضافة إلى أسماء الحقول" (الوثيقة </w:t>
      </w:r>
      <w:r w:rsidRPr="00B10A7D">
        <w:t>WO/GA/</w:t>
      </w:r>
      <w:r>
        <w:t>50</w:t>
      </w:r>
      <w:r w:rsidRPr="00B10A7D">
        <w:t>/</w:t>
      </w:r>
      <w:r>
        <w:t>10</w:t>
      </w:r>
      <w:r w:rsidRPr="00B10A7D">
        <w:rPr>
          <w:rtl/>
        </w:rPr>
        <w:t>).</w:t>
      </w:r>
    </w:p>
    <w:p w:rsidR="00FD6D15" w:rsidRPr="00C41AE0" w:rsidRDefault="00B10A7D" w:rsidP="008A1EDB">
      <w:pPr>
        <w:pStyle w:val="Endofdocument-Annex"/>
        <w:rPr>
          <w:rtl/>
        </w:rPr>
      </w:pPr>
      <w:r w:rsidRPr="00B10A7D">
        <w:rPr>
          <w:rtl/>
        </w:rPr>
        <w:t>[نهاية الوثيقة]</w:t>
      </w:r>
    </w:p>
    <w:sectPr w:rsidR="00FD6D15" w:rsidRPr="00C41AE0"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A22" w:rsidRDefault="00454A22">
      <w:r>
        <w:separator/>
      </w:r>
    </w:p>
  </w:endnote>
  <w:endnote w:type="continuationSeparator" w:id="0">
    <w:p w:rsidR="00454A22" w:rsidRDefault="00454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A22" w:rsidRDefault="00454A22" w:rsidP="009622BF">
      <w:bookmarkStart w:id="0" w:name="OLE_LINK1"/>
      <w:bookmarkStart w:id="1" w:name="OLE_LINK2"/>
      <w:r>
        <w:separator/>
      </w:r>
      <w:bookmarkEnd w:id="0"/>
      <w:bookmarkEnd w:id="1"/>
    </w:p>
  </w:footnote>
  <w:footnote w:type="continuationSeparator" w:id="0">
    <w:p w:rsidR="00454A22" w:rsidRDefault="00454A22" w:rsidP="009622BF">
      <w:r>
        <w:separator/>
      </w:r>
    </w:p>
  </w:footnote>
  <w:footnote w:id="1">
    <w:p w:rsidR="00937D2A" w:rsidRPr="0072238E" w:rsidRDefault="00937D2A">
      <w:pPr>
        <w:pStyle w:val="FootnoteText"/>
        <w:rPr>
          <w:rtl/>
        </w:rPr>
      </w:pPr>
      <w:r w:rsidRPr="0072238E">
        <w:rPr>
          <w:rStyle w:val="FootnoteReference"/>
          <w:sz w:val="28"/>
          <w:szCs w:val="28"/>
        </w:rPr>
        <w:footnoteRef/>
      </w:r>
      <w:r w:rsidRPr="0072238E">
        <w:rPr>
          <w:rtl/>
        </w:rPr>
        <w:t xml:space="preserve"> </w:t>
      </w:r>
      <w:r w:rsidRPr="0072238E">
        <w:rPr>
          <w:rFonts w:hint="cs"/>
          <w:rtl/>
        </w:rPr>
        <w:t xml:space="preserve">انظر </w:t>
      </w:r>
      <w:r w:rsidRPr="0072238E">
        <w:t>http://www.wipo.int/edocs/mdocs/govbody/en/wo_ga_49/wo_ga_49_14.pdf</w:t>
      </w:r>
      <w:r w:rsidRPr="0072238E">
        <w:rPr>
          <w:rFonts w:hint="cs"/>
          <w:rtl/>
        </w:rPr>
        <w:t>.</w:t>
      </w:r>
    </w:p>
  </w:footnote>
  <w:footnote w:id="2">
    <w:p w:rsidR="00937D2A" w:rsidRPr="00AD7BE2" w:rsidRDefault="00937D2A" w:rsidP="004178EE">
      <w:pPr>
        <w:pStyle w:val="FootnoteText"/>
        <w:rPr>
          <w:rtl/>
        </w:rPr>
      </w:pPr>
      <w:r w:rsidRPr="00AD7BE2">
        <w:rPr>
          <w:rStyle w:val="FootnoteReference"/>
          <w:sz w:val="28"/>
          <w:szCs w:val="28"/>
        </w:rPr>
        <w:footnoteRef/>
      </w:r>
      <w:r w:rsidRPr="00AD7BE2">
        <w:rPr>
          <w:rtl/>
        </w:rPr>
        <w:t xml:space="preserve"> ترد قائمة بجميع حلقات العمل و</w:t>
      </w:r>
      <w:r w:rsidRPr="00AD7BE2">
        <w:rPr>
          <w:rFonts w:hint="cs"/>
          <w:rtl/>
        </w:rPr>
        <w:t xml:space="preserve">الأحداث </w:t>
      </w:r>
      <w:r w:rsidRPr="00AD7BE2">
        <w:rPr>
          <w:rtl/>
        </w:rPr>
        <w:t xml:space="preserve">الأخرى التي نظمها المركز على الرابط التالي: </w:t>
      </w:r>
      <w:r w:rsidRPr="00AD7BE2">
        <w:t>http://www.wipo.int/amc/en/events</w:t>
      </w:r>
      <w:r w:rsidRPr="00AD7BE2">
        <w:rPr>
          <w:rtl/>
        </w:rPr>
        <w:t>.</w:t>
      </w:r>
    </w:p>
  </w:footnote>
  <w:footnote w:id="3">
    <w:p w:rsidR="00937D2A" w:rsidRPr="00AD7BE2" w:rsidRDefault="00937D2A" w:rsidP="009518C9">
      <w:pPr>
        <w:pStyle w:val="FootnoteText"/>
      </w:pPr>
      <w:r w:rsidRPr="00AD7BE2">
        <w:rPr>
          <w:rStyle w:val="FootnoteReference"/>
          <w:sz w:val="28"/>
          <w:szCs w:val="28"/>
        </w:rPr>
        <w:footnoteRef/>
      </w:r>
      <w:r w:rsidRPr="00AD7BE2">
        <w:rPr>
          <w:rtl/>
        </w:rPr>
        <w:t xml:space="preserve"> يتيح مرفق تسوية القضايا إلكترونيا التبليغ عن القضايا وتخزين الوثائق عبر شبكة الإنترنت ما ييسر اتخاذ إجراءات </w:t>
      </w:r>
      <w:r w:rsidRPr="00AD7BE2">
        <w:rPr>
          <w:rFonts w:hint="cs"/>
          <w:rtl/>
        </w:rPr>
        <w:t xml:space="preserve">الوساطة والتحكيم على نحو </w:t>
      </w:r>
      <w:r w:rsidRPr="00AD7BE2">
        <w:rPr>
          <w:rtl/>
        </w:rPr>
        <w:t>أسرع وأوفر.</w:t>
      </w:r>
      <w:r w:rsidRPr="00AD7BE2">
        <w:rPr>
          <w:rFonts w:hint="cs"/>
          <w:rtl/>
        </w:rPr>
        <w:t xml:space="preserve"> و</w:t>
      </w:r>
      <w:r w:rsidRPr="00AD7BE2">
        <w:rPr>
          <w:rtl/>
        </w:rPr>
        <w:t>في عام 2018، أضاف المركز العديد من الميزات الجديدة إلى مرفق تسوية القضايا إلكترونيا، بما في ذلك قدرات البحث المتقدم والتحميل المجمع. انظر الرابط التالي:</w:t>
      </w:r>
      <w:r w:rsidRPr="00AD7BE2">
        <w:rPr>
          <w:rFonts w:hint="cs"/>
          <w:rtl/>
        </w:rPr>
        <w:t xml:space="preserve"> </w:t>
      </w:r>
      <w:r w:rsidRPr="00AD7BE2">
        <w:t>http://www.wipo.int/amc/en/ecaf/index.html</w:t>
      </w:r>
      <w:r w:rsidRPr="00AD7BE2">
        <w:rPr>
          <w:rFonts w:hint="cs"/>
          <w:rtl/>
        </w:rPr>
        <w:t>.</w:t>
      </w:r>
    </w:p>
  </w:footnote>
  <w:footnote w:id="4">
    <w:p w:rsidR="00937D2A" w:rsidRPr="00AD7BE2" w:rsidRDefault="00937D2A" w:rsidP="009518C9">
      <w:pPr>
        <w:pStyle w:val="FootnoteText"/>
        <w:rPr>
          <w:rtl/>
        </w:rPr>
      </w:pPr>
      <w:r w:rsidRPr="00AD7BE2">
        <w:rPr>
          <w:rStyle w:val="FootnoteReference"/>
          <w:sz w:val="28"/>
          <w:szCs w:val="28"/>
        </w:rPr>
        <w:footnoteRef/>
      </w:r>
      <w:r w:rsidRPr="00AD7BE2">
        <w:rPr>
          <w:rtl/>
        </w:rPr>
        <w:t xml:space="preserve"> </w:t>
      </w:r>
      <w:r w:rsidRPr="00AD7BE2">
        <w:rPr>
          <w:rFonts w:hint="cs"/>
          <w:rtl/>
        </w:rPr>
        <w:t xml:space="preserve">انظر </w:t>
      </w:r>
      <w:r w:rsidRPr="00AD7BE2">
        <w:t>http://www.wipo.int/amc/en/publications/</w:t>
      </w:r>
      <w:r w:rsidRPr="00AD7BE2">
        <w:rPr>
          <w:rFonts w:hint="cs"/>
          <w:rtl/>
        </w:rPr>
        <w:t>.</w:t>
      </w:r>
    </w:p>
  </w:footnote>
  <w:footnote w:id="5">
    <w:p w:rsidR="00937D2A" w:rsidRPr="00AD7BE2" w:rsidRDefault="00937D2A" w:rsidP="001A750D">
      <w:pPr>
        <w:pStyle w:val="FootnoteText"/>
        <w:rPr>
          <w:rtl/>
        </w:rPr>
      </w:pPr>
      <w:r w:rsidRPr="00AD7BE2">
        <w:rPr>
          <w:rStyle w:val="FootnoteReference"/>
          <w:sz w:val="28"/>
          <w:szCs w:val="28"/>
        </w:rPr>
        <w:footnoteRef/>
      </w:r>
      <w:r w:rsidRPr="00AD7BE2">
        <w:rPr>
          <w:rtl/>
        </w:rPr>
        <w:t xml:space="preserve"> مُولِّد البنود </w:t>
      </w:r>
      <w:r w:rsidRPr="00AD7BE2">
        <w:rPr>
          <w:rFonts w:hint="cs"/>
          <w:rtl/>
        </w:rPr>
        <w:t xml:space="preserve">الخاص بالويبو متاح على الرابط التالي: </w:t>
      </w:r>
      <w:r w:rsidRPr="00AD7BE2">
        <w:t>http://www.wipo.int/amc-apps/clause-generator/</w:t>
      </w:r>
      <w:r w:rsidRPr="00AD7BE2">
        <w:rPr>
          <w:rFonts w:hint="cs"/>
          <w:rtl/>
        </w:rPr>
        <w:t>.</w:t>
      </w:r>
    </w:p>
  </w:footnote>
  <w:footnote w:id="6">
    <w:p w:rsidR="00937D2A" w:rsidRPr="00AD7BE2" w:rsidRDefault="00937D2A" w:rsidP="00455BAF">
      <w:pPr>
        <w:pStyle w:val="FootnoteText"/>
        <w:rPr>
          <w:rtl/>
        </w:rPr>
      </w:pPr>
      <w:r w:rsidRPr="00AD7BE2">
        <w:rPr>
          <w:rStyle w:val="FootnoteReference"/>
          <w:sz w:val="28"/>
          <w:szCs w:val="28"/>
        </w:rPr>
        <w:footnoteRef/>
      </w:r>
      <w:r w:rsidRPr="00AD7BE2">
        <w:rPr>
          <w:rtl/>
        </w:rPr>
        <w:t xml:space="preserve"> وتشمل </w:t>
      </w:r>
      <w:r w:rsidRPr="00AD7BE2">
        <w:rPr>
          <w:rFonts w:hint="cs"/>
          <w:rtl/>
        </w:rPr>
        <w:t xml:space="preserve">هذه السلطات </w:t>
      </w:r>
      <w:r w:rsidRPr="00AD7BE2">
        <w:rPr>
          <w:rtl/>
        </w:rPr>
        <w:t>المعهد الوطني للملكية الصناعية (</w:t>
      </w:r>
      <w:r w:rsidRPr="00AD7BE2">
        <w:t>INPI</w:t>
      </w:r>
      <w:r w:rsidRPr="00AD7BE2">
        <w:rPr>
          <w:rtl/>
        </w:rPr>
        <w:t>) في الأرجنتين، و</w:t>
      </w:r>
      <w:r w:rsidRPr="00AD7BE2">
        <w:rPr>
          <w:rFonts w:hint="cs"/>
          <w:rtl/>
        </w:rPr>
        <w:t>ال</w:t>
      </w:r>
      <w:r w:rsidRPr="00AD7BE2">
        <w:rPr>
          <w:rtl/>
        </w:rPr>
        <w:t>مكتب</w:t>
      </w:r>
      <w:r w:rsidRPr="00AD7BE2">
        <w:rPr>
          <w:rFonts w:hint="cs"/>
          <w:rtl/>
        </w:rPr>
        <w:t xml:space="preserve"> الحكومي</w:t>
      </w:r>
      <w:r w:rsidRPr="00AD7BE2">
        <w:rPr>
          <w:rtl/>
        </w:rPr>
        <w:t xml:space="preserve"> </w:t>
      </w:r>
      <w:r w:rsidRPr="00AD7BE2">
        <w:rPr>
          <w:rFonts w:hint="cs"/>
          <w:rtl/>
        </w:rPr>
        <w:t>ل</w:t>
      </w:r>
      <w:r w:rsidRPr="00AD7BE2">
        <w:rPr>
          <w:rtl/>
        </w:rPr>
        <w:t xml:space="preserve">لملكية الفكرية </w:t>
      </w:r>
      <w:r w:rsidRPr="00AD7BE2">
        <w:rPr>
          <w:rFonts w:hint="cs"/>
          <w:rtl/>
        </w:rPr>
        <w:t xml:space="preserve">في </w:t>
      </w:r>
      <w:r w:rsidRPr="00AD7BE2">
        <w:rPr>
          <w:rtl/>
        </w:rPr>
        <w:t>جمهورية الصين الشعبية (</w:t>
      </w:r>
      <w:r w:rsidRPr="00AD7BE2">
        <w:t>SIPO</w:t>
      </w:r>
      <w:r w:rsidRPr="00AD7BE2">
        <w:rPr>
          <w:rtl/>
        </w:rPr>
        <w:t xml:space="preserve">)، والسجل الوطني لكوستاريكا، والمكتب الوطني لحق المؤلف في </w:t>
      </w:r>
      <w:r w:rsidRPr="00AD7BE2">
        <w:rPr>
          <w:rFonts w:hint="cs"/>
          <w:rtl/>
        </w:rPr>
        <w:t>ال</w:t>
      </w:r>
      <w:r w:rsidRPr="00AD7BE2">
        <w:rPr>
          <w:rtl/>
        </w:rPr>
        <w:t>جمهورية الدومينيك</w:t>
      </w:r>
      <w:r w:rsidRPr="00AD7BE2">
        <w:rPr>
          <w:rFonts w:hint="cs"/>
          <w:rtl/>
        </w:rPr>
        <w:t>ية</w:t>
      </w:r>
      <w:r w:rsidRPr="00AD7BE2">
        <w:rPr>
          <w:rtl/>
        </w:rPr>
        <w:t xml:space="preserve"> (</w:t>
      </w:r>
      <w:r w:rsidRPr="00AD7BE2">
        <w:t>ONDA</w:t>
      </w:r>
      <w:r w:rsidRPr="00AD7BE2">
        <w:rPr>
          <w:rtl/>
        </w:rPr>
        <w:t>)، و</w:t>
      </w:r>
      <w:r w:rsidRPr="00AD7BE2">
        <w:rPr>
          <w:rFonts w:hint="cs"/>
          <w:rtl/>
        </w:rPr>
        <w:t>ال</w:t>
      </w:r>
      <w:r w:rsidRPr="00AD7BE2">
        <w:rPr>
          <w:rtl/>
        </w:rPr>
        <w:t xml:space="preserve">مجلس </w:t>
      </w:r>
      <w:r w:rsidRPr="00AD7BE2">
        <w:rPr>
          <w:rFonts w:hint="cs"/>
          <w:rtl/>
        </w:rPr>
        <w:t>ال</w:t>
      </w:r>
      <w:r w:rsidRPr="00AD7BE2">
        <w:rPr>
          <w:rtl/>
        </w:rPr>
        <w:t xml:space="preserve">كيني </w:t>
      </w:r>
      <w:r w:rsidRPr="00AD7BE2">
        <w:rPr>
          <w:rFonts w:hint="cs"/>
          <w:rtl/>
        </w:rPr>
        <w:t>ل</w:t>
      </w:r>
      <w:r w:rsidRPr="00AD7BE2">
        <w:rPr>
          <w:rtl/>
        </w:rPr>
        <w:t>حق المؤلف (</w:t>
      </w:r>
      <w:r w:rsidRPr="00AD7BE2">
        <w:t>KECOBO</w:t>
      </w:r>
      <w:r w:rsidRPr="00AD7BE2">
        <w:rPr>
          <w:rtl/>
        </w:rPr>
        <w:t xml:space="preserve">)، والمكتب </w:t>
      </w:r>
      <w:r w:rsidRPr="001A750D">
        <w:rPr>
          <w:rtl/>
        </w:rPr>
        <w:t>الكوري للملكية الفكرية (</w:t>
      </w:r>
      <w:r w:rsidRPr="001A750D">
        <w:t>KIPO</w:t>
      </w:r>
      <w:r w:rsidRPr="001A750D">
        <w:rPr>
          <w:rtl/>
        </w:rPr>
        <w:t xml:space="preserve">)، ووزارة الثقافة في جمهورية ليتوانيا، ومكتب </w:t>
      </w:r>
      <w:r>
        <w:rPr>
          <w:rFonts w:hint="cs"/>
          <w:rtl/>
        </w:rPr>
        <w:t>ال</w:t>
      </w:r>
      <w:r w:rsidRPr="001A750D">
        <w:rPr>
          <w:rtl/>
        </w:rPr>
        <w:t xml:space="preserve">براءات </w:t>
      </w:r>
      <w:r>
        <w:rPr>
          <w:rFonts w:hint="cs"/>
          <w:rtl/>
        </w:rPr>
        <w:t>في</w:t>
      </w:r>
      <w:r w:rsidRPr="001A750D">
        <w:rPr>
          <w:rtl/>
        </w:rPr>
        <w:t xml:space="preserve"> جمهورية بولندا (</w:t>
      </w:r>
      <w:r w:rsidRPr="001A750D">
        <w:t>UPRP</w:t>
      </w:r>
      <w:r w:rsidRPr="001A750D">
        <w:rPr>
          <w:rtl/>
        </w:rPr>
        <w:t>)، و</w:t>
      </w:r>
      <w:r>
        <w:rPr>
          <w:rFonts w:hint="cs"/>
          <w:rtl/>
        </w:rPr>
        <w:t>ال</w:t>
      </w:r>
      <w:r w:rsidRPr="001A750D">
        <w:rPr>
          <w:rtl/>
        </w:rPr>
        <w:t xml:space="preserve">مكتب الروماني </w:t>
      </w:r>
      <w:r>
        <w:rPr>
          <w:rFonts w:hint="cs"/>
          <w:rtl/>
        </w:rPr>
        <w:t>ل</w:t>
      </w:r>
      <w:r w:rsidRPr="001A750D">
        <w:rPr>
          <w:rtl/>
        </w:rPr>
        <w:t xml:space="preserve">حق المؤلف </w:t>
      </w:r>
      <w:r w:rsidRPr="00AD7BE2">
        <w:rPr>
          <w:rtl/>
        </w:rPr>
        <w:t>(</w:t>
      </w:r>
      <w:r w:rsidRPr="00AD7BE2">
        <w:t>ORDA</w:t>
      </w:r>
      <w:r w:rsidRPr="00AD7BE2">
        <w:rPr>
          <w:rtl/>
        </w:rPr>
        <w:t>)، وال</w:t>
      </w:r>
      <w:r w:rsidRPr="00AD7BE2">
        <w:rPr>
          <w:rFonts w:hint="cs"/>
          <w:rtl/>
        </w:rPr>
        <w:t xml:space="preserve">دائرة </w:t>
      </w:r>
      <w:r w:rsidRPr="00AD7BE2">
        <w:rPr>
          <w:rtl/>
        </w:rPr>
        <w:t xml:space="preserve">الاتحادية للملكية الفكرية </w:t>
      </w:r>
      <w:r w:rsidRPr="00AD7BE2">
        <w:rPr>
          <w:rFonts w:hint="cs"/>
          <w:rtl/>
        </w:rPr>
        <w:t xml:space="preserve">في </w:t>
      </w:r>
      <w:r w:rsidRPr="00AD7BE2">
        <w:rPr>
          <w:rtl/>
        </w:rPr>
        <w:t>الاتحاد الروسي (</w:t>
      </w:r>
      <w:r w:rsidRPr="00AD7BE2">
        <w:t>ROSPATENT</w:t>
      </w:r>
      <w:r w:rsidRPr="00AD7BE2">
        <w:rPr>
          <w:rtl/>
        </w:rPr>
        <w:t xml:space="preserve">)، ومكتب الملكية الفكرية </w:t>
      </w:r>
      <w:r w:rsidRPr="00AD7BE2">
        <w:rPr>
          <w:rFonts w:hint="cs"/>
          <w:rtl/>
        </w:rPr>
        <w:t xml:space="preserve">في </w:t>
      </w:r>
      <w:r w:rsidRPr="00AD7BE2">
        <w:rPr>
          <w:rtl/>
        </w:rPr>
        <w:t>جمهورية صربيا، والمعهد الف</w:t>
      </w:r>
      <w:r w:rsidRPr="00AD7BE2">
        <w:rPr>
          <w:rFonts w:hint="cs"/>
          <w:rtl/>
        </w:rPr>
        <w:t>ي</w:t>
      </w:r>
      <w:r w:rsidRPr="00AD7BE2">
        <w:rPr>
          <w:rtl/>
        </w:rPr>
        <w:t>درالي السويسري للملكية الفكرية (</w:t>
      </w:r>
      <w:r w:rsidRPr="00AD7BE2">
        <w:t>IPI</w:t>
      </w:r>
      <w:r w:rsidRPr="00AD7BE2">
        <w:rPr>
          <w:rtl/>
        </w:rPr>
        <w:t xml:space="preserve">). </w:t>
      </w:r>
      <w:r w:rsidRPr="00AD7BE2">
        <w:rPr>
          <w:rFonts w:hint="cs"/>
          <w:rtl/>
        </w:rPr>
        <w:t xml:space="preserve">وتوجد على الرابط التالي </w:t>
      </w:r>
      <w:r w:rsidRPr="00AD7BE2">
        <w:rPr>
          <w:rtl/>
        </w:rPr>
        <w:t xml:space="preserve">قائمة كاملة </w:t>
      </w:r>
      <w:r w:rsidR="00455BAF" w:rsidRPr="00AD7BE2">
        <w:rPr>
          <w:rFonts w:hint="cs"/>
          <w:rtl/>
        </w:rPr>
        <w:t>بأوجه</w:t>
      </w:r>
      <w:r w:rsidRPr="00AD7BE2">
        <w:rPr>
          <w:rFonts w:hint="cs"/>
          <w:rtl/>
        </w:rPr>
        <w:t xml:space="preserve"> </w:t>
      </w:r>
      <w:r w:rsidRPr="00AD7BE2">
        <w:rPr>
          <w:rtl/>
        </w:rPr>
        <w:t>تعاون المركز مع مكاتب الملكية الفكرية</w:t>
      </w:r>
      <w:r w:rsidRPr="00AD7BE2">
        <w:rPr>
          <w:rFonts w:hint="cs"/>
          <w:rtl/>
        </w:rPr>
        <w:t xml:space="preserve">: </w:t>
      </w:r>
      <w:r w:rsidRPr="00AD7BE2">
        <w:t>http://www.wipo.int/amc/en/center/specific-sectors/ipoffices/</w:t>
      </w:r>
      <w:r w:rsidRPr="00AD7BE2">
        <w:rPr>
          <w:rtl/>
        </w:rPr>
        <w:t>.</w:t>
      </w:r>
    </w:p>
  </w:footnote>
  <w:footnote w:id="7">
    <w:p w:rsidR="00937D2A" w:rsidRPr="00AD7BE2" w:rsidRDefault="00937D2A" w:rsidP="00455BAF">
      <w:pPr>
        <w:pStyle w:val="FootnoteText"/>
        <w:rPr>
          <w:rtl/>
        </w:rPr>
      </w:pPr>
      <w:r w:rsidRPr="00AD7BE2">
        <w:rPr>
          <w:rStyle w:val="FootnoteReference"/>
          <w:sz w:val="28"/>
          <w:szCs w:val="28"/>
        </w:rPr>
        <w:footnoteRef/>
      </w:r>
      <w:r w:rsidRPr="00AD7BE2">
        <w:rPr>
          <w:rtl/>
        </w:rPr>
        <w:t xml:space="preserve"> </w:t>
      </w:r>
      <w:r w:rsidRPr="00AD7BE2">
        <w:rPr>
          <w:rFonts w:hint="cs"/>
          <w:rtl/>
        </w:rPr>
        <w:t>منها</w:t>
      </w:r>
      <w:r w:rsidRPr="00AD7BE2">
        <w:rPr>
          <w:rtl/>
        </w:rPr>
        <w:t xml:space="preserve"> المعهد الوطني للملكية الصناعية (</w:t>
      </w:r>
      <w:r w:rsidRPr="00AD7BE2">
        <w:t>INPI</w:t>
      </w:r>
      <w:r w:rsidRPr="00AD7BE2">
        <w:rPr>
          <w:rtl/>
        </w:rPr>
        <w:t xml:space="preserve">) في الأرجنتين، </w:t>
      </w:r>
      <w:r w:rsidRPr="00AD7BE2">
        <w:rPr>
          <w:rFonts w:hint="cs"/>
          <w:rtl/>
        </w:rPr>
        <w:t>و</w:t>
      </w:r>
      <w:r w:rsidRPr="00AD7BE2">
        <w:rPr>
          <w:rtl/>
        </w:rPr>
        <w:t xml:space="preserve">مكتب أستراليا للملكية الفكرية، </w:t>
      </w:r>
      <w:r w:rsidRPr="00AD7BE2">
        <w:rPr>
          <w:rFonts w:hint="cs"/>
          <w:rtl/>
        </w:rPr>
        <w:t>و</w:t>
      </w:r>
      <w:r w:rsidRPr="00AD7BE2">
        <w:rPr>
          <w:rtl/>
        </w:rPr>
        <w:t>المعهد الوطني البرازيلي للملكية الصناعية (</w:t>
      </w:r>
      <w:r w:rsidRPr="00AD7BE2">
        <w:t>INPI-BR</w:t>
      </w:r>
      <w:r w:rsidRPr="00AD7BE2">
        <w:rPr>
          <w:rtl/>
        </w:rPr>
        <w:t>)، و</w:t>
      </w:r>
      <w:r w:rsidRPr="00AD7BE2">
        <w:rPr>
          <w:rFonts w:hint="cs"/>
          <w:rtl/>
        </w:rPr>
        <w:t>ال</w:t>
      </w:r>
      <w:r w:rsidRPr="00AD7BE2">
        <w:rPr>
          <w:rtl/>
        </w:rPr>
        <w:t>مكتب</w:t>
      </w:r>
      <w:r w:rsidRPr="00AD7BE2">
        <w:rPr>
          <w:rFonts w:hint="cs"/>
          <w:rtl/>
        </w:rPr>
        <w:t xml:space="preserve"> الحكومي</w:t>
      </w:r>
      <w:r w:rsidRPr="00AD7BE2">
        <w:rPr>
          <w:rtl/>
        </w:rPr>
        <w:t xml:space="preserve"> </w:t>
      </w:r>
      <w:r w:rsidRPr="00AD7BE2">
        <w:rPr>
          <w:rFonts w:hint="cs"/>
          <w:rtl/>
        </w:rPr>
        <w:t>ل</w:t>
      </w:r>
      <w:r w:rsidRPr="00AD7BE2">
        <w:rPr>
          <w:rtl/>
        </w:rPr>
        <w:t xml:space="preserve">لملكية الفكرية </w:t>
      </w:r>
      <w:r w:rsidRPr="00AD7BE2">
        <w:rPr>
          <w:rFonts w:hint="cs"/>
          <w:rtl/>
        </w:rPr>
        <w:t xml:space="preserve">في </w:t>
      </w:r>
      <w:r w:rsidRPr="00AD7BE2">
        <w:rPr>
          <w:rtl/>
        </w:rPr>
        <w:t>جمهورية الصين الشعبية (</w:t>
      </w:r>
      <w:r w:rsidRPr="00AD7BE2">
        <w:t>SIPO</w:t>
      </w:r>
      <w:r w:rsidRPr="00AD7BE2">
        <w:rPr>
          <w:rtl/>
        </w:rPr>
        <w:t xml:space="preserve">)، </w:t>
      </w:r>
      <w:r w:rsidRPr="00AD7BE2">
        <w:rPr>
          <w:rFonts w:hint="cs"/>
          <w:rtl/>
        </w:rPr>
        <w:t>و</w:t>
      </w:r>
      <w:r w:rsidRPr="00AD7BE2">
        <w:rPr>
          <w:rtl/>
        </w:rPr>
        <w:t xml:space="preserve">المديرية الوطنية لحق المؤلف </w:t>
      </w:r>
      <w:r w:rsidRPr="00AD7BE2">
        <w:rPr>
          <w:rFonts w:hint="cs"/>
          <w:rtl/>
        </w:rPr>
        <w:t xml:space="preserve">في </w:t>
      </w:r>
      <w:r w:rsidRPr="00AD7BE2">
        <w:rPr>
          <w:rtl/>
        </w:rPr>
        <w:t>كولومبيا (</w:t>
      </w:r>
      <w:r w:rsidRPr="00AD7BE2">
        <w:t>DNDA</w:t>
      </w:r>
      <w:r w:rsidRPr="00AD7BE2">
        <w:rPr>
          <w:rtl/>
        </w:rPr>
        <w:t xml:space="preserve">)، </w:t>
      </w:r>
      <w:r w:rsidRPr="00AD7BE2">
        <w:rPr>
          <w:rFonts w:hint="cs"/>
          <w:rtl/>
        </w:rPr>
        <w:t>و</w:t>
      </w:r>
      <w:r w:rsidRPr="00AD7BE2">
        <w:rPr>
          <w:rtl/>
        </w:rPr>
        <w:t xml:space="preserve">السجل الوطني لكوستاريكا، </w:t>
      </w:r>
      <w:r w:rsidRPr="00AD7BE2">
        <w:rPr>
          <w:rFonts w:hint="cs"/>
          <w:rtl/>
        </w:rPr>
        <w:t>وال</w:t>
      </w:r>
      <w:r w:rsidRPr="00AD7BE2">
        <w:rPr>
          <w:rtl/>
        </w:rPr>
        <w:t xml:space="preserve">مكتب الكوبي </w:t>
      </w:r>
      <w:r w:rsidRPr="00AD7BE2">
        <w:rPr>
          <w:rFonts w:hint="cs"/>
          <w:rtl/>
        </w:rPr>
        <w:t>ل</w:t>
      </w:r>
      <w:r w:rsidRPr="00AD7BE2">
        <w:rPr>
          <w:rtl/>
        </w:rPr>
        <w:t>لملكية الصناعية (</w:t>
      </w:r>
      <w:r w:rsidRPr="00AD7BE2">
        <w:t>OCPI</w:t>
      </w:r>
      <w:r w:rsidRPr="00AD7BE2">
        <w:rPr>
          <w:rtl/>
        </w:rPr>
        <w:t xml:space="preserve">)، </w:t>
      </w:r>
      <w:r w:rsidRPr="00AD7BE2">
        <w:rPr>
          <w:rFonts w:hint="cs"/>
          <w:rtl/>
        </w:rPr>
        <w:t>و</w:t>
      </w:r>
      <w:r w:rsidRPr="00AD7BE2">
        <w:rPr>
          <w:rtl/>
        </w:rPr>
        <w:t>المكتب الوطني لحق المؤلف في الجمهورية الدومينيكية (</w:t>
      </w:r>
      <w:r w:rsidRPr="00AD7BE2">
        <w:t>ONDA</w:t>
      </w:r>
      <w:r w:rsidRPr="00AD7BE2">
        <w:rPr>
          <w:rtl/>
        </w:rPr>
        <w:t xml:space="preserve">)، </w:t>
      </w:r>
      <w:r w:rsidRPr="00AD7BE2">
        <w:rPr>
          <w:rFonts w:hint="cs"/>
          <w:rtl/>
        </w:rPr>
        <w:t>و</w:t>
      </w:r>
      <w:r w:rsidRPr="00AD7BE2">
        <w:rPr>
          <w:rtl/>
        </w:rPr>
        <w:t>مركز السلفادور الوطني للسجلات (</w:t>
      </w:r>
      <w:r w:rsidRPr="00AD7BE2">
        <w:t>CNR</w:t>
      </w:r>
      <w:r w:rsidRPr="00AD7BE2">
        <w:rPr>
          <w:rtl/>
        </w:rPr>
        <w:t xml:space="preserve">)، </w:t>
      </w:r>
      <w:r w:rsidRPr="00AD7BE2">
        <w:rPr>
          <w:rFonts w:hint="cs"/>
          <w:rtl/>
        </w:rPr>
        <w:t>و</w:t>
      </w:r>
      <w:r w:rsidRPr="00AD7BE2">
        <w:rPr>
          <w:rtl/>
        </w:rPr>
        <w:t xml:space="preserve">المديرية العامة للملكية الفكرية في إندونيسيا ( </w:t>
      </w:r>
      <w:r w:rsidRPr="00AD7BE2">
        <w:t>DGIP</w:t>
      </w:r>
      <w:r w:rsidRPr="00AD7BE2">
        <w:rPr>
          <w:rtl/>
        </w:rPr>
        <w:t>)، ومكتب البراءات الإسرائيلي (</w:t>
      </w:r>
      <w:r w:rsidRPr="00AD7BE2">
        <w:t>ILPO</w:t>
      </w:r>
      <w:r w:rsidRPr="00AD7BE2">
        <w:rPr>
          <w:rtl/>
        </w:rPr>
        <w:t>)، و</w:t>
      </w:r>
      <w:r w:rsidRPr="00AD7BE2">
        <w:rPr>
          <w:rFonts w:hint="cs"/>
          <w:rtl/>
        </w:rPr>
        <w:t>ال</w:t>
      </w:r>
      <w:r w:rsidRPr="00AD7BE2">
        <w:rPr>
          <w:rtl/>
        </w:rPr>
        <w:t>مج</w:t>
      </w:r>
      <w:r w:rsidRPr="00AD7BE2">
        <w:rPr>
          <w:rFonts w:hint="cs"/>
          <w:rtl/>
        </w:rPr>
        <w:t xml:space="preserve">لس </w:t>
      </w:r>
      <w:r w:rsidRPr="00AD7BE2">
        <w:rPr>
          <w:rtl/>
        </w:rPr>
        <w:t>الكيني</w:t>
      </w:r>
      <w:r w:rsidRPr="00AD7BE2">
        <w:rPr>
          <w:rFonts w:hint="cs"/>
          <w:rtl/>
        </w:rPr>
        <w:t xml:space="preserve"> لحق المؤلف</w:t>
      </w:r>
      <w:r w:rsidRPr="00AD7BE2">
        <w:rPr>
          <w:rtl/>
        </w:rPr>
        <w:t xml:space="preserve"> (</w:t>
      </w:r>
      <w:r w:rsidRPr="00AD7BE2">
        <w:t>KECOBO</w:t>
      </w:r>
      <w:r w:rsidRPr="00AD7BE2">
        <w:rPr>
          <w:rtl/>
        </w:rPr>
        <w:t>)، ووزارة الثقافة والرياضة والسياحة في جمهورية كوريا (</w:t>
      </w:r>
      <w:r w:rsidRPr="00AD7BE2">
        <w:t>MCST</w:t>
      </w:r>
      <w:r w:rsidRPr="00AD7BE2">
        <w:rPr>
          <w:rtl/>
        </w:rPr>
        <w:t>)، و</w:t>
      </w:r>
      <w:r w:rsidRPr="00AD7BE2">
        <w:rPr>
          <w:rFonts w:hint="cs"/>
          <w:rtl/>
        </w:rPr>
        <w:t>ال</w:t>
      </w:r>
      <w:r w:rsidRPr="00AD7BE2">
        <w:rPr>
          <w:rtl/>
        </w:rPr>
        <w:t xml:space="preserve">مكتب </w:t>
      </w:r>
      <w:r w:rsidRPr="00AD7BE2">
        <w:rPr>
          <w:rFonts w:hint="cs"/>
          <w:rtl/>
        </w:rPr>
        <w:t>ال</w:t>
      </w:r>
      <w:r w:rsidRPr="00AD7BE2">
        <w:rPr>
          <w:rtl/>
        </w:rPr>
        <w:t>كوري للملكية الفكرية (</w:t>
      </w:r>
      <w:r w:rsidRPr="00AD7BE2">
        <w:t>KIPO</w:t>
      </w:r>
      <w:r w:rsidRPr="00AD7BE2">
        <w:rPr>
          <w:rtl/>
        </w:rPr>
        <w:t xml:space="preserve">)، ووزارة الثقافة </w:t>
      </w:r>
      <w:r w:rsidRPr="00AD7BE2">
        <w:rPr>
          <w:rFonts w:hint="cs"/>
          <w:rtl/>
        </w:rPr>
        <w:t>ب</w:t>
      </w:r>
      <w:r w:rsidRPr="00AD7BE2">
        <w:rPr>
          <w:rtl/>
        </w:rPr>
        <w:t>جمهورية ليتوانيا، والمعهد المكسيكي للملكية الصناعية (</w:t>
      </w:r>
      <w:r w:rsidRPr="00AD7BE2">
        <w:t>IMPI Mexico</w:t>
      </w:r>
      <w:r w:rsidRPr="00AD7BE2">
        <w:rPr>
          <w:rtl/>
        </w:rPr>
        <w:t>)، والمديرية الوطنية للملكية الفكرية في باراغواي (</w:t>
      </w:r>
      <w:r w:rsidRPr="00AD7BE2">
        <w:t>DINAPI</w:t>
      </w:r>
      <w:r w:rsidRPr="00AD7BE2">
        <w:rPr>
          <w:rtl/>
        </w:rPr>
        <w:t>)، ومكتب الملكية الفكرية في الفلبين (</w:t>
      </w:r>
      <w:r w:rsidRPr="00AD7BE2">
        <w:t>IPOPHL</w:t>
      </w:r>
      <w:r w:rsidRPr="00AD7BE2">
        <w:rPr>
          <w:rtl/>
        </w:rPr>
        <w:t xml:space="preserve">)، ومكتب </w:t>
      </w:r>
      <w:r w:rsidRPr="00AD7BE2">
        <w:rPr>
          <w:rFonts w:hint="cs"/>
          <w:rtl/>
        </w:rPr>
        <w:t xml:space="preserve">البراءات في </w:t>
      </w:r>
      <w:r w:rsidRPr="00AD7BE2">
        <w:rPr>
          <w:rtl/>
        </w:rPr>
        <w:t>جمهورية بولندا (</w:t>
      </w:r>
      <w:r w:rsidRPr="00AD7BE2">
        <w:t>UPRP</w:t>
      </w:r>
      <w:r w:rsidRPr="00AD7BE2">
        <w:rPr>
          <w:rtl/>
        </w:rPr>
        <w:t>)، والمكتب الروماني لحق المؤلف (</w:t>
      </w:r>
      <w:r w:rsidRPr="00AD7BE2">
        <w:t>ORDA</w:t>
      </w:r>
      <w:r w:rsidRPr="00AD7BE2">
        <w:rPr>
          <w:rtl/>
        </w:rPr>
        <w:t>)، وال</w:t>
      </w:r>
      <w:r w:rsidRPr="00AD7BE2">
        <w:rPr>
          <w:rFonts w:hint="cs"/>
          <w:rtl/>
        </w:rPr>
        <w:t xml:space="preserve">دائرة </w:t>
      </w:r>
      <w:r w:rsidRPr="00AD7BE2">
        <w:rPr>
          <w:rtl/>
        </w:rPr>
        <w:t xml:space="preserve">الاتحادية للملكية الفكرية </w:t>
      </w:r>
      <w:r w:rsidRPr="00AD7BE2">
        <w:rPr>
          <w:rFonts w:hint="cs"/>
          <w:rtl/>
        </w:rPr>
        <w:t>في ا</w:t>
      </w:r>
      <w:r w:rsidRPr="00AD7BE2">
        <w:rPr>
          <w:rtl/>
        </w:rPr>
        <w:t>لاتحاد الروسي (</w:t>
      </w:r>
      <w:r w:rsidRPr="00AD7BE2">
        <w:t>ROSPATENT</w:t>
      </w:r>
      <w:r w:rsidRPr="00AD7BE2">
        <w:rPr>
          <w:rtl/>
        </w:rPr>
        <w:t xml:space="preserve">)، ومكتب الملكية الفكرية </w:t>
      </w:r>
      <w:r w:rsidRPr="00AD7BE2">
        <w:rPr>
          <w:rFonts w:hint="cs"/>
          <w:rtl/>
        </w:rPr>
        <w:t xml:space="preserve">في </w:t>
      </w:r>
      <w:r w:rsidRPr="00AD7BE2">
        <w:rPr>
          <w:rtl/>
        </w:rPr>
        <w:t>جمهورية صربيا، ومكتب الملكية الفكرية في سنغافورة (</w:t>
      </w:r>
      <w:r w:rsidRPr="00AD7BE2">
        <w:t>IPOS</w:t>
      </w:r>
      <w:r w:rsidRPr="00AD7BE2">
        <w:rPr>
          <w:rtl/>
        </w:rPr>
        <w:t xml:space="preserve">)، </w:t>
      </w:r>
      <w:r w:rsidRPr="00AD7BE2">
        <w:rPr>
          <w:rFonts w:hint="cs"/>
          <w:rtl/>
        </w:rPr>
        <w:t>و</w:t>
      </w:r>
      <w:r w:rsidRPr="00AD7BE2">
        <w:rPr>
          <w:rtl/>
        </w:rPr>
        <w:t>المكتب الإسباني للبراءات والعلامات التجارية (</w:t>
      </w:r>
      <w:r w:rsidRPr="00AD7BE2">
        <w:t>OEPM</w:t>
      </w:r>
      <w:r w:rsidRPr="00AD7BE2">
        <w:rPr>
          <w:rtl/>
        </w:rPr>
        <w:t xml:space="preserve">)، </w:t>
      </w:r>
      <w:r w:rsidRPr="00AD7BE2">
        <w:rPr>
          <w:rFonts w:hint="cs"/>
          <w:rtl/>
        </w:rPr>
        <w:t>و</w:t>
      </w:r>
      <w:r w:rsidRPr="00AD7BE2">
        <w:rPr>
          <w:rtl/>
        </w:rPr>
        <w:t>المعهد الفيدرالي السويسري للملكية الفكرية (</w:t>
      </w:r>
      <w:r w:rsidRPr="00AD7BE2">
        <w:t>IPI</w:t>
      </w:r>
      <w:r w:rsidRPr="00AD7BE2">
        <w:rPr>
          <w:rtl/>
        </w:rPr>
        <w:t xml:space="preserve">)، </w:t>
      </w:r>
      <w:r w:rsidRPr="00AD7BE2">
        <w:rPr>
          <w:rFonts w:hint="cs"/>
          <w:rtl/>
        </w:rPr>
        <w:t>و</w:t>
      </w:r>
      <w:r w:rsidRPr="00AD7BE2">
        <w:rPr>
          <w:rtl/>
        </w:rPr>
        <w:t>مكتب المملكة المتحدة للملكية الفكرية (</w:t>
      </w:r>
      <w:r w:rsidRPr="00AD7BE2">
        <w:t>UKIPO</w:t>
      </w:r>
      <w:r w:rsidRPr="00AD7BE2">
        <w:rPr>
          <w:rtl/>
        </w:rPr>
        <w:t>)، ومكتب الولايات المتحدة للبراءات والعلامات التجارية (</w:t>
      </w:r>
      <w:r w:rsidRPr="00AD7BE2">
        <w:t>USPTO</w:t>
      </w:r>
      <w:r w:rsidRPr="00AD7BE2">
        <w:rPr>
          <w:rtl/>
        </w:rPr>
        <w:t>).</w:t>
      </w:r>
    </w:p>
  </w:footnote>
  <w:footnote w:id="8">
    <w:p w:rsidR="00937D2A" w:rsidRPr="00AD7BE2" w:rsidRDefault="00937D2A" w:rsidP="00FB7836">
      <w:pPr>
        <w:pStyle w:val="FootnoteText"/>
        <w:rPr>
          <w:rtl/>
        </w:rPr>
      </w:pPr>
      <w:r w:rsidRPr="00AD7BE2">
        <w:rPr>
          <w:rStyle w:val="FootnoteReference"/>
          <w:sz w:val="28"/>
          <w:szCs w:val="28"/>
        </w:rPr>
        <w:footnoteRef/>
      </w:r>
      <w:r w:rsidRPr="00AD7BE2">
        <w:rPr>
          <w:rtl/>
        </w:rPr>
        <w:t xml:space="preserve"> يتيح المركز للأطراف مرفق تسوية القضايا إلكترونيا </w:t>
      </w:r>
      <w:r w:rsidRPr="00AD7BE2">
        <w:rPr>
          <w:rFonts w:hint="cs"/>
          <w:rtl/>
        </w:rPr>
        <w:t>(</w:t>
      </w:r>
      <w:r w:rsidRPr="00AD7BE2">
        <w:t>ECAF</w:t>
      </w:r>
      <w:r w:rsidRPr="00AD7BE2">
        <w:rPr>
          <w:rFonts w:hint="cs"/>
          <w:rtl/>
        </w:rPr>
        <w:t>)</w:t>
      </w:r>
      <w:r w:rsidRPr="00AD7BE2">
        <w:rPr>
          <w:rtl/>
        </w:rPr>
        <w:t xml:space="preserve"> و</w:t>
      </w:r>
      <w:r w:rsidRPr="00AD7BE2">
        <w:rPr>
          <w:rFonts w:hint="cs"/>
          <w:rtl/>
        </w:rPr>
        <w:t>مرافق التداول ب</w:t>
      </w:r>
      <w:r w:rsidRPr="00AD7BE2">
        <w:rPr>
          <w:rtl/>
        </w:rPr>
        <w:t xml:space="preserve">الفيديو. انظر </w:t>
      </w:r>
      <w:r w:rsidRPr="00AD7BE2">
        <w:t>http://www.wipo.int/amc/en/ecaf/index.html</w:t>
      </w:r>
      <w:r w:rsidRPr="00AD7BE2">
        <w:rPr>
          <w:rtl/>
        </w:rPr>
        <w:t>.</w:t>
      </w:r>
    </w:p>
  </w:footnote>
  <w:footnote w:id="9">
    <w:p w:rsidR="00937D2A" w:rsidRPr="00AD7BE2" w:rsidRDefault="00937D2A" w:rsidP="00411C6D">
      <w:pPr>
        <w:pStyle w:val="FootnoteText"/>
        <w:rPr>
          <w:rtl/>
        </w:rPr>
      </w:pPr>
      <w:r w:rsidRPr="00AD7BE2">
        <w:rPr>
          <w:rStyle w:val="FootnoteReference"/>
          <w:sz w:val="28"/>
          <w:szCs w:val="28"/>
        </w:rPr>
        <w:footnoteRef/>
      </w:r>
      <w:r w:rsidRPr="00AD7BE2">
        <w:rPr>
          <w:rtl/>
        </w:rPr>
        <w:t xml:space="preserve"> للاطلاع على أمثلة </w:t>
      </w:r>
      <w:r w:rsidRPr="00AD7BE2">
        <w:rPr>
          <w:rFonts w:hint="cs"/>
          <w:rtl/>
        </w:rPr>
        <w:t>على ا</w:t>
      </w:r>
      <w:r w:rsidRPr="00AD7BE2">
        <w:rPr>
          <w:rtl/>
        </w:rPr>
        <w:t>ل</w:t>
      </w:r>
      <w:r w:rsidRPr="00AD7BE2">
        <w:rPr>
          <w:rFonts w:hint="cs"/>
          <w:rtl/>
        </w:rPr>
        <w:t xml:space="preserve">فعاليات </w:t>
      </w:r>
      <w:r w:rsidRPr="00AD7BE2">
        <w:rPr>
          <w:rtl/>
        </w:rPr>
        <w:t xml:space="preserve">التي نظمها المركز بالتعاون مع مكاتب الملكية الفكرية، انظر </w:t>
      </w:r>
      <w:r w:rsidRPr="00AD7BE2">
        <w:t>http://www.wipo.int/amc/en/center/specific-sectors/ipoffices/</w:t>
      </w:r>
      <w:r w:rsidRPr="00AD7BE2">
        <w:rPr>
          <w:rtl/>
        </w:rPr>
        <w:t xml:space="preserve">. </w:t>
      </w:r>
      <w:r w:rsidRPr="00AD7BE2">
        <w:rPr>
          <w:rFonts w:hint="cs"/>
          <w:rtl/>
        </w:rPr>
        <w:t xml:space="preserve">والتسوية البديلة للمنازعات مُدرجة أيضا </w:t>
      </w:r>
      <w:r w:rsidRPr="00AD7BE2">
        <w:rPr>
          <w:rtl/>
        </w:rPr>
        <w:t>في برامج ندوات الويبو الجوالة التي</w:t>
      </w:r>
      <w:r w:rsidRPr="00AD7BE2">
        <w:rPr>
          <w:rFonts w:hint="cs"/>
          <w:rtl/>
        </w:rPr>
        <w:t xml:space="preserve"> تُنظَّم </w:t>
      </w:r>
      <w:r w:rsidRPr="00AD7BE2">
        <w:rPr>
          <w:rtl/>
        </w:rPr>
        <w:t xml:space="preserve">بالتعاون مع مكاتب الملكية الفكرية. انظر </w:t>
      </w:r>
      <w:r w:rsidRPr="00AD7BE2">
        <w:t>http://www.wipo.int/dcea/en/roving_seminars/</w:t>
      </w:r>
      <w:r w:rsidRPr="00AD7BE2">
        <w:rPr>
          <w:rtl/>
        </w:rPr>
        <w:t>.</w:t>
      </w:r>
    </w:p>
  </w:footnote>
  <w:footnote w:id="10">
    <w:p w:rsidR="00937D2A" w:rsidRPr="00AD7BE2" w:rsidRDefault="00937D2A" w:rsidP="00BB5601">
      <w:pPr>
        <w:pStyle w:val="FootnoteText"/>
        <w:rPr>
          <w:rtl/>
        </w:rPr>
      </w:pPr>
      <w:r w:rsidRPr="00AD7BE2">
        <w:rPr>
          <w:rStyle w:val="FootnoteReference"/>
          <w:sz w:val="28"/>
          <w:szCs w:val="28"/>
        </w:rPr>
        <w:footnoteRef/>
      </w:r>
      <w:r w:rsidRPr="00AD7BE2">
        <w:rPr>
          <w:rtl/>
        </w:rPr>
        <w:t xml:space="preserve"> على سبيل المثال، شارك المركز، في إطار تعاونه مع مكتب </w:t>
      </w:r>
      <w:r w:rsidRPr="00AD7BE2">
        <w:rPr>
          <w:rFonts w:hint="cs"/>
          <w:rtl/>
        </w:rPr>
        <w:t>ا</w:t>
      </w:r>
      <w:r w:rsidRPr="00AD7BE2">
        <w:rPr>
          <w:rtl/>
        </w:rPr>
        <w:t xml:space="preserve">لملكية الفكرية </w:t>
      </w:r>
      <w:r w:rsidRPr="00AD7BE2">
        <w:rPr>
          <w:rFonts w:hint="cs"/>
          <w:rtl/>
        </w:rPr>
        <w:t xml:space="preserve">في </w:t>
      </w:r>
      <w:r w:rsidRPr="00AD7BE2">
        <w:rPr>
          <w:rtl/>
        </w:rPr>
        <w:t>سنغافورة (</w:t>
      </w:r>
      <w:r w:rsidRPr="00AD7BE2">
        <w:t>IPOS</w:t>
      </w:r>
      <w:r w:rsidRPr="00AD7BE2">
        <w:rPr>
          <w:rtl/>
        </w:rPr>
        <w:t xml:space="preserve">)، في وضع خيار </w:t>
      </w:r>
      <w:r w:rsidRPr="00AD7BE2">
        <w:rPr>
          <w:rFonts w:hint="cs"/>
          <w:rtl/>
        </w:rPr>
        <w:t>لل</w:t>
      </w:r>
      <w:r w:rsidRPr="00AD7BE2">
        <w:rPr>
          <w:rtl/>
        </w:rPr>
        <w:t xml:space="preserve">وساطة </w:t>
      </w:r>
      <w:r w:rsidRPr="00AD7BE2">
        <w:rPr>
          <w:rFonts w:hint="cs"/>
          <w:rtl/>
        </w:rPr>
        <w:t xml:space="preserve">في دعاوى </w:t>
      </w:r>
      <w:r w:rsidRPr="00AD7BE2">
        <w:rPr>
          <w:rtl/>
        </w:rPr>
        <w:t>العلامات التجارية و</w:t>
      </w:r>
      <w:r w:rsidRPr="00AD7BE2">
        <w:rPr>
          <w:rFonts w:hint="cs"/>
          <w:rtl/>
        </w:rPr>
        <w:t>ال</w:t>
      </w:r>
      <w:r w:rsidRPr="00AD7BE2">
        <w:rPr>
          <w:rtl/>
        </w:rPr>
        <w:t xml:space="preserve">براءات، وخيار </w:t>
      </w:r>
      <w:r w:rsidRPr="00AD7BE2">
        <w:rPr>
          <w:rFonts w:hint="cs"/>
          <w:rtl/>
        </w:rPr>
        <w:t>لقرارات الخبراء في دعاوى</w:t>
      </w:r>
      <w:r w:rsidRPr="00AD7BE2">
        <w:rPr>
          <w:rtl/>
        </w:rPr>
        <w:t xml:space="preserve"> البراءات المعلقة</w:t>
      </w:r>
      <w:r w:rsidRPr="00AD7BE2">
        <w:rPr>
          <w:rFonts w:hint="cs"/>
          <w:rtl/>
        </w:rPr>
        <w:t xml:space="preserve"> التي ينظر فيها</w:t>
      </w:r>
      <w:r w:rsidRPr="00AD7BE2">
        <w:rPr>
          <w:rtl/>
        </w:rPr>
        <w:t xml:space="preserve"> مكتب </w:t>
      </w:r>
      <w:r w:rsidRPr="00AD7BE2">
        <w:rPr>
          <w:rFonts w:hint="cs"/>
          <w:rtl/>
        </w:rPr>
        <w:t>ا</w:t>
      </w:r>
      <w:r w:rsidRPr="00AD7BE2">
        <w:rPr>
          <w:rtl/>
        </w:rPr>
        <w:t xml:space="preserve">لملكية الفكرية </w:t>
      </w:r>
      <w:r w:rsidRPr="00AD7BE2">
        <w:rPr>
          <w:rFonts w:hint="cs"/>
          <w:rtl/>
        </w:rPr>
        <w:t xml:space="preserve">في </w:t>
      </w:r>
      <w:r w:rsidRPr="00AD7BE2">
        <w:rPr>
          <w:rtl/>
        </w:rPr>
        <w:t>سنغافورة، ويدير</w:t>
      </w:r>
      <w:r w:rsidRPr="00AD7BE2">
        <w:rPr>
          <w:rFonts w:hint="cs"/>
          <w:rtl/>
        </w:rPr>
        <w:t xml:space="preserve"> المركز</w:t>
      </w:r>
      <w:r w:rsidRPr="00AD7BE2">
        <w:rPr>
          <w:rtl/>
        </w:rPr>
        <w:t xml:space="preserve"> هذه ال</w:t>
      </w:r>
      <w:r w:rsidRPr="00AD7BE2">
        <w:rPr>
          <w:rFonts w:hint="cs"/>
          <w:rtl/>
        </w:rPr>
        <w:t>دعاوى</w:t>
      </w:r>
      <w:r w:rsidRPr="00AD7BE2">
        <w:rPr>
          <w:rtl/>
        </w:rPr>
        <w:t xml:space="preserve">. </w:t>
      </w:r>
      <w:r w:rsidRPr="00AD7BE2">
        <w:rPr>
          <w:rFonts w:hint="cs"/>
          <w:rtl/>
        </w:rPr>
        <w:t>و</w:t>
      </w:r>
      <w:r w:rsidRPr="00AD7BE2">
        <w:rPr>
          <w:rtl/>
        </w:rPr>
        <w:t xml:space="preserve">يتعاون المركز </w:t>
      </w:r>
      <w:r w:rsidRPr="00AD7BE2">
        <w:rPr>
          <w:rFonts w:hint="cs"/>
          <w:rtl/>
        </w:rPr>
        <w:t xml:space="preserve">أيضا </w:t>
      </w:r>
      <w:r w:rsidRPr="00AD7BE2">
        <w:rPr>
          <w:rtl/>
        </w:rPr>
        <w:t>مع مكتب الفلبين للملكية الفكرية (</w:t>
      </w:r>
      <w:r w:rsidRPr="00AD7BE2">
        <w:t>IPOPHL</w:t>
      </w:r>
      <w:r w:rsidRPr="00AD7BE2">
        <w:rPr>
          <w:rtl/>
        </w:rPr>
        <w:t xml:space="preserve">) فيما يتعلق بإدارة </w:t>
      </w:r>
      <w:r w:rsidRPr="00AD7BE2">
        <w:rPr>
          <w:rFonts w:hint="cs"/>
          <w:rtl/>
        </w:rPr>
        <w:t xml:space="preserve">دعاوى </w:t>
      </w:r>
      <w:r w:rsidRPr="00AD7BE2">
        <w:rPr>
          <w:rtl/>
        </w:rPr>
        <w:t>الوساطة التي تنطوي على حقوق ملكية فكرية في الفلبين. ويشجع مجلس المحاكمة والطعن في مجال العلامات التجارية (</w:t>
      </w:r>
      <w:r w:rsidRPr="00AD7BE2">
        <w:t>TTAB</w:t>
      </w:r>
      <w:r w:rsidRPr="00AD7BE2">
        <w:rPr>
          <w:rtl/>
        </w:rPr>
        <w:t xml:space="preserve">) ومجلس المحاكمة والطعن في مجال </w:t>
      </w:r>
      <w:r w:rsidRPr="00AD7BE2">
        <w:rPr>
          <w:rFonts w:hint="cs"/>
          <w:rtl/>
        </w:rPr>
        <w:t>البراءات</w:t>
      </w:r>
      <w:r w:rsidRPr="00AD7BE2">
        <w:rPr>
          <w:rtl/>
        </w:rPr>
        <w:t xml:space="preserve"> (</w:t>
      </w:r>
      <w:r w:rsidRPr="00AD7BE2">
        <w:t>PTAB</w:t>
      </w:r>
      <w:r w:rsidRPr="00AD7BE2">
        <w:rPr>
          <w:rtl/>
        </w:rPr>
        <w:t>) التابع</w:t>
      </w:r>
      <w:r w:rsidRPr="00AD7BE2">
        <w:rPr>
          <w:rFonts w:hint="cs"/>
          <w:rtl/>
        </w:rPr>
        <w:t>ان</w:t>
      </w:r>
      <w:r w:rsidRPr="00AD7BE2">
        <w:rPr>
          <w:rtl/>
        </w:rPr>
        <w:t xml:space="preserve"> لمكتب الولايات المتحدة للبراءات والعلامات التجارية (</w:t>
      </w:r>
      <w:r w:rsidRPr="00AD7BE2">
        <w:t>USPTO</w:t>
      </w:r>
      <w:r w:rsidRPr="00AD7BE2">
        <w:rPr>
          <w:rtl/>
        </w:rPr>
        <w:t>) –</w:t>
      </w:r>
      <w:r w:rsidRPr="00AD7BE2">
        <w:rPr>
          <w:rFonts w:hint="cs"/>
          <w:rtl/>
        </w:rPr>
        <w:t xml:space="preserve"> يشجعان </w:t>
      </w:r>
      <w:r w:rsidRPr="00AD7BE2">
        <w:rPr>
          <w:rtl/>
        </w:rPr>
        <w:t xml:space="preserve">الأطراف على </w:t>
      </w:r>
      <w:r w:rsidRPr="00AD7BE2">
        <w:rPr>
          <w:rFonts w:hint="cs"/>
          <w:rtl/>
        </w:rPr>
        <w:t xml:space="preserve">النظر في التسوية البديلة للمنازعات </w:t>
      </w:r>
      <w:r w:rsidRPr="00AD7BE2">
        <w:rPr>
          <w:rtl/>
        </w:rPr>
        <w:t>كوسيلة لتسوية ال</w:t>
      </w:r>
      <w:r w:rsidRPr="00AD7BE2">
        <w:rPr>
          <w:rFonts w:hint="cs"/>
          <w:rtl/>
        </w:rPr>
        <w:t xml:space="preserve">مسائل </w:t>
      </w:r>
      <w:r w:rsidRPr="00AD7BE2">
        <w:rPr>
          <w:rtl/>
        </w:rPr>
        <w:t>المثارة في تلك ال</w:t>
      </w:r>
      <w:r w:rsidRPr="00AD7BE2">
        <w:rPr>
          <w:rFonts w:hint="cs"/>
          <w:rtl/>
        </w:rPr>
        <w:t>دعاوى</w:t>
      </w:r>
      <w:r w:rsidRPr="00AD7BE2">
        <w:rPr>
          <w:rtl/>
        </w:rPr>
        <w:t xml:space="preserve">. </w:t>
      </w:r>
      <w:r w:rsidRPr="00AD7BE2">
        <w:rPr>
          <w:rFonts w:hint="cs"/>
          <w:rtl/>
        </w:rPr>
        <w:t xml:space="preserve">ويُعدّ </w:t>
      </w:r>
      <w:r w:rsidRPr="00AD7BE2">
        <w:rPr>
          <w:rtl/>
        </w:rPr>
        <w:t xml:space="preserve">المركز </w:t>
      </w:r>
      <w:r w:rsidRPr="00AD7BE2">
        <w:rPr>
          <w:rFonts w:hint="cs"/>
          <w:rtl/>
        </w:rPr>
        <w:t>من الجهات ال</w:t>
      </w:r>
      <w:r w:rsidRPr="00AD7BE2">
        <w:rPr>
          <w:rtl/>
        </w:rPr>
        <w:t>مُسَجَّل</w:t>
      </w:r>
      <w:r w:rsidRPr="00AD7BE2">
        <w:rPr>
          <w:rFonts w:hint="cs"/>
          <w:rtl/>
        </w:rPr>
        <w:t>ة</w:t>
      </w:r>
      <w:r w:rsidRPr="00AD7BE2">
        <w:rPr>
          <w:rtl/>
        </w:rPr>
        <w:t xml:space="preserve"> </w:t>
      </w:r>
      <w:r w:rsidRPr="00AD7BE2">
        <w:rPr>
          <w:rFonts w:hint="cs"/>
          <w:rtl/>
        </w:rPr>
        <w:t xml:space="preserve">التي تقدم </w:t>
      </w:r>
      <w:r w:rsidRPr="00AD7BE2">
        <w:rPr>
          <w:rtl/>
        </w:rPr>
        <w:t xml:space="preserve">خدمات </w:t>
      </w:r>
      <w:r w:rsidRPr="00AD7BE2">
        <w:rPr>
          <w:rFonts w:hint="cs"/>
          <w:rtl/>
        </w:rPr>
        <w:t>تسوية المنازعات لدعاوى مجلسي المحاكمة والطعن التابعيين لمكتب الولايات المتحدة</w:t>
      </w:r>
      <w:r w:rsidRPr="00AD7BE2">
        <w:rPr>
          <w:rtl/>
        </w:rPr>
        <w:t xml:space="preserve">. </w:t>
      </w:r>
      <w:r w:rsidRPr="00AD7BE2">
        <w:rPr>
          <w:rFonts w:hint="cs"/>
          <w:rtl/>
        </w:rPr>
        <w:t>و</w:t>
      </w:r>
      <w:r w:rsidRPr="00AD7BE2">
        <w:rPr>
          <w:rtl/>
        </w:rPr>
        <w:t>في إطار تعاون</w:t>
      </w:r>
      <w:r w:rsidRPr="00AD7BE2">
        <w:rPr>
          <w:rFonts w:hint="cs"/>
          <w:rtl/>
        </w:rPr>
        <w:t xml:space="preserve"> المركز</w:t>
      </w:r>
      <w:r w:rsidRPr="00AD7BE2">
        <w:rPr>
          <w:rtl/>
        </w:rPr>
        <w:t xml:space="preserve"> مع مكتب </w:t>
      </w:r>
      <w:r w:rsidRPr="00AD7BE2">
        <w:rPr>
          <w:rFonts w:hint="cs"/>
          <w:rtl/>
        </w:rPr>
        <w:t>ال</w:t>
      </w:r>
      <w:r w:rsidRPr="00AD7BE2">
        <w:rPr>
          <w:rtl/>
        </w:rPr>
        <w:t xml:space="preserve">براءات </w:t>
      </w:r>
      <w:r w:rsidRPr="00AD7BE2">
        <w:rPr>
          <w:rFonts w:hint="cs"/>
          <w:rtl/>
        </w:rPr>
        <w:t xml:space="preserve">في </w:t>
      </w:r>
      <w:r w:rsidRPr="00AD7BE2">
        <w:rPr>
          <w:rtl/>
        </w:rPr>
        <w:t>جمهورية بولندا (</w:t>
      </w:r>
      <w:r w:rsidRPr="00AD7BE2">
        <w:t>UPRP</w:t>
      </w:r>
      <w:r w:rsidRPr="00AD7BE2">
        <w:rPr>
          <w:rtl/>
        </w:rPr>
        <w:t xml:space="preserve">)، شارك المركز في </w:t>
      </w:r>
      <w:r w:rsidRPr="00AD7BE2">
        <w:rPr>
          <w:rFonts w:hint="cs"/>
          <w:rtl/>
        </w:rPr>
        <w:t xml:space="preserve">إعداد </w:t>
      </w:r>
      <w:r w:rsidRPr="00AD7BE2">
        <w:rPr>
          <w:rtl/>
        </w:rPr>
        <w:t xml:space="preserve">خيار </w:t>
      </w:r>
      <w:r w:rsidRPr="00AD7BE2">
        <w:rPr>
          <w:rFonts w:hint="cs"/>
          <w:rtl/>
        </w:rPr>
        <w:t>لل</w:t>
      </w:r>
      <w:r w:rsidRPr="00AD7BE2">
        <w:rPr>
          <w:rtl/>
        </w:rPr>
        <w:t xml:space="preserve">وساطة </w:t>
      </w:r>
      <w:r w:rsidRPr="00AD7BE2">
        <w:rPr>
          <w:rFonts w:hint="cs"/>
          <w:rtl/>
        </w:rPr>
        <w:t>في الدعاوى المعلقة الخاصة بالاعتراض على</w:t>
      </w:r>
      <w:r w:rsidRPr="00AD7BE2">
        <w:rPr>
          <w:rtl/>
        </w:rPr>
        <w:t xml:space="preserve"> العلامات التجارية، و</w:t>
      </w:r>
      <w:r w:rsidRPr="00AD7BE2">
        <w:rPr>
          <w:rFonts w:hint="cs"/>
          <w:rtl/>
        </w:rPr>
        <w:t xml:space="preserve">سيتولى </w:t>
      </w:r>
      <w:r w:rsidRPr="00AD7BE2">
        <w:rPr>
          <w:rtl/>
        </w:rPr>
        <w:t>إدارة هذه ا</w:t>
      </w:r>
      <w:r w:rsidRPr="00AD7BE2">
        <w:rPr>
          <w:rFonts w:hint="cs"/>
          <w:rtl/>
        </w:rPr>
        <w:t>لدعاوى</w:t>
      </w:r>
      <w:r w:rsidRPr="00AD7BE2">
        <w:rPr>
          <w:rtl/>
        </w:rPr>
        <w:t>.</w:t>
      </w:r>
    </w:p>
  </w:footnote>
  <w:footnote w:id="11">
    <w:p w:rsidR="00937D2A" w:rsidRPr="00AD7BE2" w:rsidRDefault="00937D2A" w:rsidP="00061673">
      <w:pPr>
        <w:pStyle w:val="FootnoteText"/>
        <w:rPr>
          <w:rtl/>
        </w:rPr>
      </w:pPr>
      <w:r w:rsidRPr="00AD7BE2">
        <w:rPr>
          <w:rStyle w:val="FootnoteReference"/>
          <w:sz w:val="28"/>
          <w:szCs w:val="28"/>
        </w:rPr>
        <w:footnoteRef/>
      </w:r>
      <w:r w:rsidRPr="00AD7BE2">
        <w:rPr>
          <w:rtl/>
        </w:rPr>
        <w:t xml:space="preserve"> يتعلق هذا</w:t>
      </w:r>
      <w:r w:rsidRPr="00AD7BE2">
        <w:rPr>
          <w:rFonts w:hint="cs"/>
          <w:rtl/>
        </w:rPr>
        <w:t xml:space="preserve"> على وجه الخصوص </w:t>
      </w:r>
      <w:r w:rsidRPr="00AD7BE2">
        <w:rPr>
          <w:rtl/>
        </w:rPr>
        <w:t>ب</w:t>
      </w:r>
      <w:r w:rsidRPr="00AD7BE2">
        <w:rPr>
          <w:rFonts w:hint="cs"/>
          <w:rtl/>
        </w:rPr>
        <w:t xml:space="preserve">علاقات </w:t>
      </w:r>
      <w:r w:rsidRPr="00AD7BE2">
        <w:rPr>
          <w:rtl/>
        </w:rPr>
        <w:t>التعاون بين المركز والمديرية الوطنية لحق المؤلف في كولومبيا (</w:t>
      </w:r>
      <w:r w:rsidRPr="00AD7BE2">
        <w:t>DNDA</w:t>
      </w:r>
      <w:r w:rsidRPr="00AD7BE2">
        <w:rPr>
          <w:rtl/>
        </w:rPr>
        <w:t>)، و</w:t>
      </w:r>
      <w:r w:rsidRPr="00AD7BE2">
        <w:rPr>
          <w:rFonts w:hint="cs"/>
          <w:rtl/>
        </w:rPr>
        <w:t>ال</w:t>
      </w:r>
      <w:r w:rsidRPr="00AD7BE2">
        <w:rPr>
          <w:rtl/>
        </w:rPr>
        <w:t>لجنة الكورية</w:t>
      </w:r>
      <w:r w:rsidRPr="00AD7BE2">
        <w:rPr>
          <w:rFonts w:hint="cs"/>
          <w:rtl/>
        </w:rPr>
        <w:t xml:space="preserve"> لحق المؤلف</w:t>
      </w:r>
      <w:r w:rsidRPr="00AD7BE2">
        <w:rPr>
          <w:rtl/>
        </w:rPr>
        <w:t xml:space="preserve"> (</w:t>
      </w:r>
      <w:r w:rsidRPr="00AD7BE2">
        <w:t>KCC</w:t>
      </w:r>
      <w:r w:rsidRPr="00AD7BE2">
        <w:rPr>
          <w:rtl/>
        </w:rPr>
        <w:t>)، والوكالة الكورية للمحتوى الإبداعي (</w:t>
      </w:r>
      <w:r w:rsidRPr="00AD7BE2">
        <w:t>KOCCA</w:t>
      </w:r>
      <w:r w:rsidRPr="00AD7BE2">
        <w:rPr>
          <w:rtl/>
        </w:rPr>
        <w:t xml:space="preserve">). انظر </w:t>
      </w:r>
      <w:r w:rsidRPr="00AD7BE2">
        <w:t>http://www.wipo.int/amc/en/center/specific-sectors/ipoffices/</w:t>
      </w:r>
      <w:r w:rsidRPr="00AD7BE2">
        <w:rPr>
          <w:rtl/>
        </w:rPr>
        <w:t>.</w:t>
      </w:r>
    </w:p>
  </w:footnote>
  <w:footnote w:id="12">
    <w:p w:rsidR="00937D2A" w:rsidRPr="00AD7BE2" w:rsidRDefault="00937D2A" w:rsidP="00B344EC">
      <w:pPr>
        <w:pStyle w:val="FootnoteText"/>
        <w:rPr>
          <w:rtl/>
        </w:rPr>
      </w:pPr>
      <w:r w:rsidRPr="00AD7BE2">
        <w:rPr>
          <w:rStyle w:val="FootnoteReference"/>
          <w:sz w:val="28"/>
          <w:szCs w:val="28"/>
        </w:rPr>
        <w:footnoteRef/>
      </w:r>
      <w:r w:rsidRPr="00AD7BE2">
        <w:rPr>
          <w:rtl/>
        </w:rPr>
        <w:t xml:space="preserve"> على سبيل المثال، أنتج المركز هذه النماذج مع المكتب الإسباني للبراءات والعلامات التجارية (</w:t>
      </w:r>
      <w:r w:rsidRPr="00AD7BE2">
        <w:t>OEPM</w:t>
      </w:r>
      <w:r w:rsidRPr="00AD7BE2">
        <w:rPr>
          <w:rtl/>
        </w:rPr>
        <w:t>). وتشمل الاتفاقات</w:t>
      </w:r>
      <w:r w:rsidRPr="00AD7BE2">
        <w:rPr>
          <w:rFonts w:hint="cs"/>
          <w:rtl/>
        </w:rPr>
        <w:t xml:space="preserve"> النموذجية</w:t>
      </w:r>
      <w:r w:rsidRPr="00AD7BE2">
        <w:rPr>
          <w:rtl/>
        </w:rPr>
        <w:t xml:space="preserve"> الأخرى </w:t>
      </w:r>
      <w:r w:rsidRPr="00AD7BE2">
        <w:rPr>
          <w:rFonts w:hint="cs"/>
          <w:rtl/>
        </w:rPr>
        <w:t>ل</w:t>
      </w:r>
      <w:r w:rsidRPr="00AD7BE2">
        <w:rPr>
          <w:rtl/>
        </w:rPr>
        <w:t>لبحث والتطوير التي توصي بوساطة الويبو يتبعها التحكيم المعجل</w:t>
      </w:r>
      <w:r w:rsidRPr="00AD7BE2">
        <w:rPr>
          <w:rFonts w:hint="cs"/>
          <w:rtl/>
        </w:rPr>
        <w:t>:</w:t>
      </w:r>
      <w:r w:rsidRPr="00AD7BE2">
        <w:rPr>
          <w:rtl/>
        </w:rPr>
        <w:t xml:space="preserve"> اتفاق الاتحاد الأوروبي</w:t>
      </w:r>
      <w:r w:rsidRPr="00AD7BE2">
        <w:rPr>
          <w:rFonts w:hint="cs"/>
          <w:rtl/>
        </w:rPr>
        <w:t xml:space="preserve"> </w:t>
      </w:r>
      <w:r w:rsidRPr="00AD7BE2">
        <w:rPr>
          <w:rtl/>
        </w:rPr>
        <w:t xml:space="preserve">النموذجي </w:t>
      </w:r>
      <w:r w:rsidRPr="00AD7BE2">
        <w:rPr>
          <w:rFonts w:hint="cs"/>
          <w:rtl/>
        </w:rPr>
        <w:t xml:space="preserve">التضامني </w:t>
      </w:r>
      <w:r w:rsidRPr="00AD7BE2">
        <w:t>DESCA 2020</w:t>
      </w:r>
      <w:r w:rsidRPr="00AD7BE2">
        <w:rPr>
          <w:rFonts w:hint="cs"/>
          <w:rtl/>
        </w:rPr>
        <w:t>،</w:t>
      </w:r>
      <w:r w:rsidRPr="00AD7BE2">
        <w:rPr>
          <w:rtl/>
        </w:rPr>
        <w:t xml:space="preserve"> </w:t>
      </w:r>
      <w:r w:rsidRPr="00AD7BE2">
        <w:rPr>
          <w:rFonts w:hint="cs"/>
          <w:rtl/>
        </w:rPr>
        <w:t>و</w:t>
      </w:r>
      <w:r w:rsidRPr="00AD7BE2">
        <w:rPr>
          <w:rtl/>
        </w:rPr>
        <w:t>الاتفاقات النموذجية</w:t>
      </w:r>
      <w:r w:rsidRPr="00AD7BE2">
        <w:rPr>
          <w:rFonts w:hint="cs"/>
          <w:rtl/>
        </w:rPr>
        <w:t xml:space="preserve"> </w:t>
      </w:r>
      <w:r w:rsidRPr="00AD7BE2">
        <w:rPr>
          <w:rtl/>
        </w:rPr>
        <w:t>لدليل اتفاق الملكية الفكرية (</w:t>
      </w:r>
      <w:r w:rsidRPr="00AD7BE2">
        <w:t>IPAG</w:t>
      </w:r>
      <w:r w:rsidRPr="00AD7BE2">
        <w:rPr>
          <w:rtl/>
        </w:rPr>
        <w:t>) في النمسا</w:t>
      </w:r>
      <w:r w:rsidRPr="00AD7BE2">
        <w:rPr>
          <w:rFonts w:hint="cs"/>
          <w:rtl/>
        </w:rPr>
        <w:t>،</w:t>
      </w:r>
      <w:r w:rsidRPr="00AD7BE2">
        <w:rPr>
          <w:rtl/>
        </w:rPr>
        <w:t xml:space="preserve"> والاتفاقيات النموذجية للتعاون </w:t>
      </w:r>
      <w:r w:rsidRPr="00AD7BE2">
        <w:rPr>
          <w:rFonts w:hint="cs"/>
          <w:rtl/>
        </w:rPr>
        <w:t xml:space="preserve">على </w:t>
      </w:r>
      <w:r w:rsidRPr="00AD7BE2">
        <w:rPr>
          <w:rtl/>
        </w:rPr>
        <w:t xml:space="preserve">البحث والتطوير في ألمانيا. لمزيد من المعلومات، انظر </w:t>
      </w:r>
      <w:r w:rsidRPr="00AD7BE2">
        <w:t>http://www.wipo.int/amc/en/center/specific-sectors/rd/</w:t>
      </w:r>
      <w:r w:rsidRPr="00AD7BE2">
        <w:rPr>
          <w:rtl/>
        </w:rPr>
        <w:t>.</w:t>
      </w:r>
    </w:p>
  </w:footnote>
  <w:footnote w:id="13">
    <w:p w:rsidR="00937D2A" w:rsidRPr="00AD7BE2" w:rsidRDefault="00937D2A" w:rsidP="003D3B08">
      <w:pPr>
        <w:pStyle w:val="FootnoteText"/>
        <w:rPr>
          <w:rtl/>
        </w:rPr>
      </w:pPr>
      <w:r w:rsidRPr="00AD7BE2">
        <w:rPr>
          <w:rStyle w:val="FootnoteReference"/>
          <w:sz w:val="28"/>
          <w:szCs w:val="28"/>
        </w:rPr>
        <w:footnoteRef/>
      </w:r>
      <w:r w:rsidRPr="00AD7BE2">
        <w:rPr>
          <w:rtl/>
        </w:rPr>
        <w:t xml:space="preserve"> الطبعة الثانية </w:t>
      </w:r>
      <w:r w:rsidRPr="00AD7BE2">
        <w:rPr>
          <w:rFonts w:hint="cs"/>
          <w:rtl/>
        </w:rPr>
        <w:t>ل</w:t>
      </w:r>
      <w:r w:rsidRPr="00AD7BE2">
        <w:rPr>
          <w:rtl/>
        </w:rPr>
        <w:t>لدليل</w:t>
      </w:r>
      <w:r w:rsidRPr="00AD7BE2">
        <w:rPr>
          <w:rFonts w:hint="cs"/>
          <w:rtl/>
        </w:rPr>
        <w:t xml:space="preserve"> متاحة على الرابط التالي: </w:t>
      </w:r>
      <w:r w:rsidRPr="00AD7BE2">
        <w:t>http://www.wipo.int/export/sites/www/amc/en/docs/adrguidejuly2015.pdf</w:t>
      </w:r>
      <w:r w:rsidRPr="00AD7BE2">
        <w:rPr>
          <w:rFonts w:hint="cs"/>
          <w:rtl/>
        </w:rPr>
        <w:t>.</w:t>
      </w:r>
    </w:p>
  </w:footnote>
  <w:footnote w:id="14">
    <w:p w:rsidR="00937D2A" w:rsidRPr="00AD7BE2" w:rsidRDefault="00937D2A">
      <w:pPr>
        <w:pStyle w:val="FootnoteText"/>
      </w:pPr>
      <w:r w:rsidRPr="00AD7BE2">
        <w:rPr>
          <w:rStyle w:val="FootnoteReference"/>
          <w:sz w:val="28"/>
          <w:szCs w:val="28"/>
        </w:rPr>
        <w:footnoteRef/>
      </w:r>
      <w:r w:rsidRPr="00AD7BE2">
        <w:rPr>
          <w:rtl/>
        </w:rPr>
        <w:t xml:space="preserve"> </w:t>
      </w:r>
      <w:r w:rsidR="002D5731" w:rsidRPr="00AD7BE2">
        <w:rPr>
          <w:rFonts w:hint="cs"/>
          <w:rtl/>
        </w:rPr>
        <w:t xml:space="preserve">انظر </w:t>
      </w:r>
      <w:r w:rsidR="002D5731" w:rsidRPr="00AD7BE2">
        <w:t>http://www.wipo.int/export/sites/www/amc/en/docs/wipofrandadrguidance.pdf</w:t>
      </w:r>
      <w:r w:rsidR="002D5731" w:rsidRPr="00AD7BE2">
        <w:rPr>
          <w:rFonts w:hint="cs"/>
          <w:rtl/>
        </w:rPr>
        <w:t>.</w:t>
      </w:r>
    </w:p>
  </w:footnote>
  <w:footnote w:id="15">
    <w:p w:rsidR="00B14BF0" w:rsidRPr="00AD7BE2" w:rsidRDefault="00B14BF0" w:rsidP="00132D73">
      <w:pPr>
        <w:pStyle w:val="FootnoteText"/>
      </w:pPr>
      <w:r w:rsidRPr="00AD7BE2">
        <w:rPr>
          <w:rStyle w:val="FootnoteReference"/>
          <w:sz w:val="28"/>
          <w:szCs w:val="28"/>
        </w:rPr>
        <w:footnoteRef/>
      </w:r>
      <w:r w:rsidRPr="00AD7BE2">
        <w:rPr>
          <w:rtl/>
        </w:rPr>
        <w:t xml:space="preserve"> </w:t>
      </w:r>
      <w:r w:rsidR="00132D73" w:rsidRPr="00AD7BE2">
        <w:rPr>
          <w:rFonts w:hint="cs"/>
          <w:rtl/>
        </w:rPr>
        <w:t xml:space="preserve">انظر </w:t>
      </w:r>
      <w:r w:rsidR="00132D73" w:rsidRPr="00AD7BE2">
        <w:t>http://www.wipo.int/amc/en/center/specific-sectors/tradefairs/</w:t>
      </w:r>
      <w:r w:rsidR="00132D73" w:rsidRPr="00AD7BE2">
        <w:rPr>
          <w:rFonts w:hint="cs"/>
          <w:rtl/>
        </w:rPr>
        <w:t>.</w:t>
      </w:r>
    </w:p>
  </w:footnote>
  <w:footnote w:id="16">
    <w:p w:rsidR="00B14BF0" w:rsidRPr="00AD7BE2" w:rsidRDefault="00B14BF0" w:rsidP="00D15C5B">
      <w:pPr>
        <w:pStyle w:val="FootnoteText"/>
        <w:rPr>
          <w:rtl/>
        </w:rPr>
      </w:pPr>
      <w:r w:rsidRPr="00AD7BE2">
        <w:rPr>
          <w:rStyle w:val="FootnoteReference"/>
          <w:sz w:val="28"/>
          <w:szCs w:val="28"/>
        </w:rPr>
        <w:footnoteRef/>
      </w:r>
      <w:r w:rsidRPr="00AD7BE2">
        <w:rPr>
          <w:rtl/>
        </w:rPr>
        <w:t xml:space="preserve"> </w:t>
      </w:r>
      <w:r w:rsidR="00D15C5B" w:rsidRPr="00AD7BE2">
        <w:rPr>
          <w:rFonts w:hint="cs"/>
          <w:rtl/>
        </w:rPr>
        <w:t xml:space="preserve">منها قضايا </w:t>
      </w:r>
      <w:r w:rsidR="00D15C5B" w:rsidRPr="00AD7BE2">
        <w:rPr>
          <w:rtl/>
        </w:rPr>
        <w:t xml:space="preserve">في معرض جنيف الدولي </w:t>
      </w:r>
      <w:r w:rsidR="00D15C5B" w:rsidRPr="00AD7BE2">
        <w:rPr>
          <w:rFonts w:hint="cs"/>
          <w:rtl/>
        </w:rPr>
        <w:t xml:space="preserve">السابع والثمانين </w:t>
      </w:r>
      <w:r w:rsidR="00D15C5B" w:rsidRPr="00AD7BE2">
        <w:rPr>
          <w:rtl/>
        </w:rPr>
        <w:t xml:space="preserve">للسيارات الذي </w:t>
      </w:r>
      <w:r w:rsidR="00D15C5B" w:rsidRPr="00AD7BE2">
        <w:rPr>
          <w:rFonts w:hint="cs"/>
          <w:rtl/>
        </w:rPr>
        <w:t xml:space="preserve">أُقيم </w:t>
      </w:r>
      <w:r w:rsidR="00D15C5B" w:rsidRPr="00AD7BE2">
        <w:rPr>
          <w:rtl/>
        </w:rPr>
        <w:t>في مارس 2018.</w:t>
      </w:r>
    </w:p>
  </w:footnote>
  <w:footnote w:id="17">
    <w:p w:rsidR="003608CD" w:rsidRPr="00AD7BE2" w:rsidRDefault="003608CD" w:rsidP="00C44D66">
      <w:pPr>
        <w:pStyle w:val="FootnoteText"/>
        <w:rPr>
          <w:rtl/>
        </w:rPr>
      </w:pPr>
      <w:r w:rsidRPr="00AD7BE2">
        <w:rPr>
          <w:rStyle w:val="FootnoteReference"/>
          <w:sz w:val="28"/>
          <w:szCs w:val="28"/>
        </w:rPr>
        <w:footnoteRef/>
      </w:r>
      <w:r w:rsidRPr="00AD7BE2">
        <w:rPr>
          <w:rtl/>
        </w:rPr>
        <w:t xml:space="preserve"> </w:t>
      </w:r>
      <w:r w:rsidR="00C44D66" w:rsidRPr="00AD7BE2">
        <w:rPr>
          <w:rtl/>
        </w:rPr>
        <w:t xml:space="preserve">إدارة الأسماء والعناوين على الإنترنت: قضايا الملكية الفكرية – التقرير النهائي لمشروع الويبو </w:t>
      </w:r>
      <w:r w:rsidR="00C44D66" w:rsidRPr="00AD7BE2">
        <w:rPr>
          <w:rFonts w:hint="cs"/>
          <w:rtl/>
        </w:rPr>
        <w:t xml:space="preserve">الأول </w:t>
      </w:r>
      <w:r w:rsidR="00C44D66" w:rsidRPr="00AD7BE2">
        <w:rPr>
          <w:rtl/>
        </w:rPr>
        <w:t xml:space="preserve">بشأن أسماء الحقول على الإنترنت، منشور الويبو رقم 439، </w:t>
      </w:r>
      <w:r w:rsidR="00C44D66" w:rsidRPr="00AD7BE2">
        <w:rPr>
          <w:rFonts w:hint="cs"/>
          <w:rtl/>
        </w:rPr>
        <w:t xml:space="preserve">وهو </w:t>
      </w:r>
      <w:r w:rsidR="00C44D66" w:rsidRPr="00AD7BE2">
        <w:rPr>
          <w:rtl/>
        </w:rPr>
        <w:t>مت</w:t>
      </w:r>
      <w:r w:rsidR="00C44D66" w:rsidRPr="00AD7BE2">
        <w:rPr>
          <w:rFonts w:hint="cs"/>
          <w:rtl/>
        </w:rPr>
        <w:t xml:space="preserve">اح </w:t>
      </w:r>
      <w:r w:rsidR="00C44D66" w:rsidRPr="00AD7BE2">
        <w:rPr>
          <w:rtl/>
        </w:rPr>
        <w:t>أيضا على الرابط التالي:</w:t>
      </w:r>
      <w:r w:rsidR="00C44D66" w:rsidRPr="00AD7BE2">
        <w:rPr>
          <w:rFonts w:hint="cs"/>
          <w:rtl/>
        </w:rPr>
        <w:t xml:space="preserve"> </w:t>
      </w:r>
      <w:r w:rsidR="00C44D66" w:rsidRPr="00AD7BE2">
        <w:t>http://www.wipo.int/amc/en/processes/process1/report</w:t>
      </w:r>
      <w:r w:rsidR="00C44D66" w:rsidRPr="00AD7BE2">
        <w:rPr>
          <w:rFonts w:hint="cs"/>
          <w:rtl/>
        </w:rPr>
        <w:t xml:space="preserve">. </w:t>
      </w:r>
    </w:p>
  </w:footnote>
  <w:footnote w:id="18">
    <w:p w:rsidR="003608CD" w:rsidRPr="00AD7BE2" w:rsidRDefault="003608CD" w:rsidP="00C44D66">
      <w:pPr>
        <w:pStyle w:val="FootnoteText"/>
        <w:rPr>
          <w:rtl/>
        </w:rPr>
      </w:pPr>
      <w:r w:rsidRPr="00AD7BE2">
        <w:rPr>
          <w:rStyle w:val="FootnoteReference"/>
          <w:sz w:val="28"/>
          <w:szCs w:val="28"/>
        </w:rPr>
        <w:footnoteRef/>
      </w:r>
      <w:r w:rsidRPr="00AD7BE2">
        <w:rPr>
          <w:rtl/>
        </w:rPr>
        <w:t xml:space="preserve"> </w:t>
      </w:r>
      <w:r w:rsidR="00C44D66" w:rsidRPr="00AD7BE2">
        <w:rPr>
          <w:rtl/>
        </w:rPr>
        <w:t xml:space="preserve">الإقرار بالحقوق والانتفاع بالأسماء في نظام أسماء الحقول على الإنترنت – تقرير مشروع الويبو الثاني بشأن أسماء الحقول على الإنترنت، منشور الويبو رقم 843. </w:t>
      </w:r>
      <w:r w:rsidR="00C44D66" w:rsidRPr="00AD7BE2">
        <w:rPr>
          <w:rFonts w:hint="cs"/>
          <w:rtl/>
        </w:rPr>
        <w:t xml:space="preserve">وهو متاح </w:t>
      </w:r>
      <w:r w:rsidR="00C44D66" w:rsidRPr="00AD7BE2">
        <w:rPr>
          <w:rtl/>
        </w:rPr>
        <w:t>أيضا</w:t>
      </w:r>
      <w:r w:rsidR="00C44D66" w:rsidRPr="00AD7BE2">
        <w:rPr>
          <w:rFonts w:hint="cs"/>
          <w:rtl/>
        </w:rPr>
        <w:t xml:space="preserve"> على</w:t>
      </w:r>
      <w:r w:rsidR="00C44D66" w:rsidRPr="00AD7BE2">
        <w:rPr>
          <w:rtl/>
        </w:rPr>
        <w:t xml:space="preserve"> الرابط التالي:</w:t>
      </w:r>
      <w:r w:rsidR="00C44D66" w:rsidRPr="00AD7BE2">
        <w:rPr>
          <w:rFonts w:hint="cs"/>
          <w:rtl/>
        </w:rPr>
        <w:t xml:space="preserve"> </w:t>
      </w:r>
      <w:r w:rsidR="00C44D66" w:rsidRPr="00AD7BE2">
        <w:t>http://www.wipo.int/amc/en/processes/process2/report</w:t>
      </w:r>
      <w:r w:rsidR="00C44D66" w:rsidRPr="00AD7BE2">
        <w:rPr>
          <w:rFonts w:hint="cs"/>
          <w:rtl/>
        </w:rPr>
        <w:t>.</w:t>
      </w:r>
    </w:p>
  </w:footnote>
  <w:footnote w:id="19">
    <w:p w:rsidR="0094429A" w:rsidRPr="00AD7BE2" w:rsidRDefault="0094429A" w:rsidP="003F58A2">
      <w:pPr>
        <w:pStyle w:val="FootnoteText"/>
        <w:rPr>
          <w:rtl/>
        </w:rPr>
      </w:pPr>
      <w:r w:rsidRPr="00AD7BE2">
        <w:rPr>
          <w:rStyle w:val="FootnoteReference"/>
          <w:sz w:val="28"/>
          <w:szCs w:val="28"/>
        </w:rPr>
        <w:footnoteRef/>
      </w:r>
      <w:r w:rsidRPr="00AD7BE2">
        <w:rPr>
          <w:rtl/>
        </w:rPr>
        <w:t xml:space="preserve"> </w:t>
      </w:r>
      <w:r w:rsidR="00610EB6" w:rsidRPr="00AD7BE2">
        <w:rPr>
          <w:rtl/>
        </w:rPr>
        <w:t>لا تمنع السياسة الموحدة</w:t>
      </w:r>
      <w:r w:rsidR="00610EB6" w:rsidRPr="00AD7BE2">
        <w:rPr>
          <w:rFonts w:hint="cs"/>
          <w:rtl/>
        </w:rPr>
        <w:t xml:space="preserve"> لتسوية المنازعات</w:t>
      </w:r>
      <w:r w:rsidR="00610EB6" w:rsidRPr="00AD7BE2">
        <w:rPr>
          <w:rtl/>
        </w:rPr>
        <w:t xml:space="preserve"> أي طرف من إحالة منازعة إلى محكمة مختصة، ولكن عددا قليلا جدا من القضايا التي تم البت فيها بموجب السياسة الموحدة قد أُحيل إلى </w:t>
      </w:r>
      <w:r w:rsidR="003F58A2" w:rsidRPr="00AD7BE2">
        <w:rPr>
          <w:rFonts w:hint="cs"/>
          <w:rtl/>
        </w:rPr>
        <w:t>القضاء</w:t>
      </w:r>
      <w:r w:rsidR="00610EB6" w:rsidRPr="00AD7BE2">
        <w:rPr>
          <w:rtl/>
        </w:rPr>
        <w:t>. انظر مختارات من قضايا المحاكم المتعلقة بالسياسة الموحدة على الرابط التالي:</w:t>
      </w:r>
      <w:r w:rsidR="003F58A2" w:rsidRPr="00AD7BE2">
        <w:rPr>
          <w:rFonts w:hint="cs"/>
          <w:rtl/>
        </w:rPr>
        <w:t xml:space="preserve"> </w:t>
      </w:r>
      <w:r w:rsidR="003F58A2" w:rsidRPr="00AD7BE2">
        <w:t>http://www.wipo.int/amc/en/domains/challenged</w:t>
      </w:r>
      <w:r w:rsidR="003F58A2" w:rsidRPr="00AD7BE2">
        <w:rPr>
          <w:rFonts w:hint="cs"/>
          <w:rtl/>
        </w:rPr>
        <w:t>.</w:t>
      </w:r>
    </w:p>
  </w:footnote>
  <w:footnote w:id="20">
    <w:p w:rsidR="0094429A" w:rsidRPr="00AD7BE2" w:rsidRDefault="0094429A">
      <w:pPr>
        <w:pStyle w:val="FootnoteText"/>
        <w:rPr>
          <w:rtl/>
        </w:rPr>
      </w:pPr>
      <w:r w:rsidRPr="00AD7BE2">
        <w:rPr>
          <w:rStyle w:val="FootnoteReference"/>
          <w:sz w:val="28"/>
          <w:szCs w:val="28"/>
        </w:rPr>
        <w:footnoteRef/>
      </w:r>
      <w:r w:rsidRPr="00AD7BE2">
        <w:rPr>
          <w:rtl/>
        </w:rPr>
        <w:t xml:space="preserve"> </w:t>
      </w:r>
      <w:r w:rsidR="00DA72FA" w:rsidRPr="00AD7BE2">
        <w:rPr>
          <w:rtl/>
        </w:rPr>
        <w:t>ينشر المركز على صفحات موقعه الإلكتروني إحصائيات آنية بغية مساعدة الأطراف في قضايا الويبو في إطار السياسة الموحدة والوسطاء ووكلاء العلامات التجارية ومسجلي أسماء الحقول وواضعي السياسات في مجال أسماء الحقول ووسائل الإعلام والأوساط الأكاديمية. وتشمل الإحصائيات المتاحة فئات عديدة مثل "مجال</w:t>
      </w:r>
      <w:r w:rsidR="00DA72FA" w:rsidRPr="00AD7BE2">
        <w:rPr>
          <w:rFonts w:hint="cs"/>
          <w:rtl/>
        </w:rPr>
        <w:t>ات</w:t>
      </w:r>
      <w:r w:rsidR="00DA72FA" w:rsidRPr="00AD7BE2">
        <w:rPr>
          <w:rtl/>
        </w:rPr>
        <w:t xml:space="preserve"> عمل المدّعين" أو "نوعية حروف اسم الحقل" أو "القرارات الخمسة والعشرين الأكثر ذكرا في الشكاوى". انظر الرابط التالي:</w:t>
      </w:r>
      <w:r w:rsidR="00DA72FA" w:rsidRPr="00AD7BE2">
        <w:rPr>
          <w:rFonts w:hint="cs"/>
          <w:rtl/>
        </w:rPr>
        <w:t xml:space="preserve"> </w:t>
      </w:r>
      <w:r w:rsidR="00DA72FA" w:rsidRPr="00AD7BE2">
        <w:t>http://www.wipo.int/amc/en/domains/statistics</w:t>
      </w:r>
      <w:r w:rsidR="00DA72FA" w:rsidRPr="00AD7BE2">
        <w:rPr>
          <w:rFonts w:hint="cs"/>
          <w:rtl/>
        </w:rPr>
        <w:t>.</w:t>
      </w:r>
    </w:p>
  </w:footnote>
  <w:footnote w:id="21">
    <w:p w:rsidR="00FB2444" w:rsidRPr="00AD7BE2" w:rsidRDefault="00FB2444" w:rsidP="00574DAF">
      <w:pPr>
        <w:pStyle w:val="FootnoteText"/>
        <w:rPr>
          <w:rtl/>
        </w:rPr>
      </w:pPr>
      <w:r w:rsidRPr="00AD7BE2">
        <w:rPr>
          <w:rStyle w:val="FootnoteReference"/>
          <w:sz w:val="28"/>
          <w:szCs w:val="28"/>
        </w:rPr>
        <w:footnoteRef/>
      </w:r>
      <w:r w:rsidRPr="00AD7BE2">
        <w:rPr>
          <w:rtl/>
        </w:rPr>
        <w:t xml:space="preserve"> </w:t>
      </w:r>
      <w:r w:rsidRPr="00AD7BE2">
        <w:rPr>
          <w:rFonts w:hint="cs"/>
          <w:rtl/>
        </w:rPr>
        <w:t xml:space="preserve">هذه اللغات هي، </w:t>
      </w:r>
      <w:r w:rsidRPr="00AD7BE2">
        <w:rPr>
          <w:rtl/>
        </w:rPr>
        <w:t>حسب الترتيب الأبجدي</w:t>
      </w:r>
      <w:r w:rsidRPr="00AD7BE2">
        <w:rPr>
          <w:rFonts w:hint="cs"/>
          <w:rtl/>
        </w:rPr>
        <w:t>:</w:t>
      </w:r>
      <w:r w:rsidRPr="00AD7BE2">
        <w:rPr>
          <w:rtl/>
        </w:rPr>
        <w:t xml:space="preserve"> </w:t>
      </w:r>
      <w:r w:rsidR="00574DAF" w:rsidRPr="00AD7BE2">
        <w:rPr>
          <w:rtl/>
        </w:rPr>
        <w:t xml:space="preserve">الإسبانية </w:t>
      </w:r>
      <w:r w:rsidR="00574DAF" w:rsidRPr="00AD7BE2">
        <w:rPr>
          <w:rFonts w:hint="cs"/>
          <w:rtl/>
        </w:rPr>
        <w:t>و</w:t>
      </w:r>
      <w:r w:rsidR="00574DAF" w:rsidRPr="00AD7BE2">
        <w:rPr>
          <w:rtl/>
        </w:rPr>
        <w:t xml:space="preserve">الألمانية </w:t>
      </w:r>
      <w:r w:rsidR="00574DAF" w:rsidRPr="00AD7BE2">
        <w:rPr>
          <w:rFonts w:hint="cs"/>
          <w:rtl/>
        </w:rPr>
        <w:t>و</w:t>
      </w:r>
      <w:r w:rsidR="00574DAF" w:rsidRPr="00AD7BE2">
        <w:rPr>
          <w:rtl/>
        </w:rPr>
        <w:t xml:space="preserve">الإنكليزية </w:t>
      </w:r>
      <w:r w:rsidR="00574DAF" w:rsidRPr="00AD7BE2">
        <w:rPr>
          <w:rFonts w:hint="cs"/>
          <w:rtl/>
        </w:rPr>
        <w:t>و</w:t>
      </w:r>
      <w:r w:rsidR="00574DAF" w:rsidRPr="00AD7BE2">
        <w:rPr>
          <w:rtl/>
        </w:rPr>
        <w:t xml:space="preserve">الإيطالية </w:t>
      </w:r>
      <w:r w:rsidR="00574DAF" w:rsidRPr="00AD7BE2">
        <w:rPr>
          <w:rFonts w:hint="cs"/>
          <w:rtl/>
        </w:rPr>
        <w:t>و</w:t>
      </w:r>
      <w:r w:rsidR="00574DAF" w:rsidRPr="00AD7BE2">
        <w:rPr>
          <w:rtl/>
        </w:rPr>
        <w:t xml:space="preserve">البرتغالية </w:t>
      </w:r>
      <w:r w:rsidR="00574DAF" w:rsidRPr="00AD7BE2">
        <w:rPr>
          <w:rFonts w:hint="cs"/>
          <w:rtl/>
        </w:rPr>
        <w:t>و</w:t>
      </w:r>
      <w:r w:rsidR="00574DAF" w:rsidRPr="00AD7BE2">
        <w:rPr>
          <w:rtl/>
        </w:rPr>
        <w:t xml:space="preserve">البولندية </w:t>
      </w:r>
      <w:r w:rsidR="00574DAF" w:rsidRPr="00AD7BE2">
        <w:rPr>
          <w:rFonts w:hint="cs"/>
          <w:rtl/>
        </w:rPr>
        <w:t>و</w:t>
      </w:r>
      <w:r w:rsidR="00574DAF" w:rsidRPr="00AD7BE2">
        <w:rPr>
          <w:rtl/>
        </w:rPr>
        <w:t xml:space="preserve">التركية </w:t>
      </w:r>
      <w:r w:rsidR="00574DAF" w:rsidRPr="00AD7BE2">
        <w:rPr>
          <w:rFonts w:hint="cs"/>
          <w:rtl/>
        </w:rPr>
        <w:t>و</w:t>
      </w:r>
      <w:r w:rsidR="00574DAF" w:rsidRPr="00AD7BE2">
        <w:rPr>
          <w:rtl/>
        </w:rPr>
        <w:t xml:space="preserve">التشيكية </w:t>
      </w:r>
      <w:r w:rsidR="00574DAF" w:rsidRPr="00AD7BE2">
        <w:rPr>
          <w:rFonts w:hint="cs"/>
          <w:rtl/>
        </w:rPr>
        <w:t>و</w:t>
      </w:r>
      <w:r w:rsidR="00574DAF" w:rsidRPr="00AD7BE2">
        <w:rPr>
          <w:rtl/>
        </w:rPr>
        <w:t>الدنم</w:t>
      </w:r>
      <w:r w:rsidR="00574DAF" w:rsidRPr="00AD7BE2">
        <w:rPr>
          <w:rFonts w:hint="cs"/>
          <w:rtl/>
        </w:rPr>
        <w:t>ا</w:t>
      </w:r>
      <w:r w:rsidR="00574DAF" w:rsidRPr="00AD7BE2">
        <w:rPr>
          <w:rtl/>
        </w:rPr>
        <w:t xml:space="preserve">ركية </w:t>
      </w:r>
      <w:r w:rsidR="00574DAF" w:rsidRPr="00AD7BE2">
        <w:rPr>
          <w:rFonts w:hint="cs"/>
          <w:rtl/>
        </w:rPr>
        <w:t>و</w:t>
      </w:r>
      <w:r w:rsidR="00574DAF" w:rsidRPr="00AD7BE2">
        <w:rPr>
          <w:rtl/>
        </w:rPr>
        <w:t xml:space="preserve">الروسية </w:t>
      </w:r>
      <w:r w:rsidR="00574DAF" w:rsidRPr="00AD7BE2">
        <w:rPr>
          <w:rFonts w:hint="cs"/>
          <w:rtl/>
        </w:rPr>
        <w:t>و</w:t>
      </w:r>
      <w:r w:rsidR="00574DAF" w:rsidRPr="00AD7BE2">
        <w:rPr>
          <w:rtl/>
        </w:rPr>
        <w:t xml:space="preserve">الرومانية </w:t>
      </w:r>
      <w:r w:rsidR="00574DAF" w:rsidRPr="00AD7BE2">
        <w:rPr>
          <w:rFonts w:hint="cs"/>
          <w:rtl/>
        </w:rPr>
        <w:t>و</w:t>
      </w:r>
      <w:r w:rsidR="00574DAF" w:rsidRPr="00AD7BE2">
        <w:rPr>
          <w:rtl/>
        </w:rPr>
        <w:t xml:space="preserve">السلوفاكية </w:t>
      </w:r>
      <w:r w:rsidR="00574DAF" w:rsidRPr="00AD7BE2">
        <w:rPr>
          <w:rFonts w:hint="cs"/>
          <w:rtl/>
        </w:rPr>
        <w:t>و</w:t>
      </w:r>
      <w:r w:rsidR="00574DAF" w:rsidRPr="00AD7BE2">
        <w:rPr>
          <w:rtl/>
        </w:rPr>
        <w:t xml:space="preserve">السويدية </w:t>
      </w:r>
      <w:r w:rsidR="00574DAF" w:rsidRPr="00AD7BE2">
        <w:rPr>
          <w:rFonts w:hint="cs"/>
          <w:rtl/>
        </w:rPr>
        <w:t>و</w:t>
      </w:r>
      <w:r w:rsidR="00574DAF" w:rsidRPr="00AD7BE2">
        <w:rPr>
          <w:rtl/>
        </w:rPr>
        <w:t xml:space="preserve">الصينية </w:t>
      </w:r>
      <w:r w:rsidR="00574DAF" w:rsidRPr="00AD7BE2">
        <w:rPr>
          <w:rFonts w:hint="cs"/>
          <w:rtl/>
        </w:rPr>
        <w:t>و</w:t>
      </w:r>
      <w:r w:rsidR="00574DAF" w:rsidRPr="00AD7BE2">
        <w:rPr>
          <w:rtl/>
        </w:rPr>
        <w:t xml:space="preserve">العبرية </w:t>
      </w:r>
      <w:r w:rsidR="00574DAF" w:rsidRPr="00AD7BE2">
        <w:rPr>
          <w:rFonts w:hint="cs"/>
          <w:rtl/>
        </w:rPr>
        <w:t>و</w:t>
      </w:r>
      <w:r w:rsidR="00574DAF" w:rsidRPr="00AD7BE2">
        <w:rPr>
          <w:rtl/>
        </w:rPr>
        <w:t xml:space="preserve">الفرنسية </w:t>
      </w:r>
      <w:r w:rsidR="00574DAF" w:rsidRPr="00AD7BE2">
        <w:rPr>
          <w:rFonts w:hint="cs"/>
          <w:rtl/>
        </w:rPr>
        <w:t>و</w:t>
      </w:r>
      <w:r w:rsidR="00574DAF" w:rsidRPr="00AD7BE2">
        <w:rPr>
          <w:rtl/>
        </w:rPr>
        <w:t xml:space="preserve">الكورية </w:t>
      </w:r>
      <w:r w:rsidR="00574DAF" w:rsidRPr="00AD7BE2">
        <w:rPr>
          <w:rFonts w:hint="cs"/>
          <w:rtl/>
        </w:rPr>
        <w:t>و</w:t>
      </w:r>
      <w:r w:rsidR="00574DAF" w:rsidRPr="00AD7BE2">
        <w:rPr>
          <w:rtl/>
        </w:rPr>
        <w:t xml:space="preserve">النرويجية </w:t>
      </w:r>
      <w:r w:rsidR="00574DAF" w:rsidRPr="00AD7BE2">
        <w:rPr>
          <w:rFonts w:hint="cs"/>
          <w:rtl/>
        </w:rPr>
        <w:t>و</w:t>
      </w:r>
      <w:r w:rsidR="00574DAF" w:rsidRPr="00AD7BE2">
        <w:rPr>
          <w:rtl/>
        </w:rPr>
        <w:t xml:space="preserve">الهولندية </w:t>
      </w:r>
      <w:r w:rsidR="00574DAF" w:rsidRPr="00AD7BE2">
        <w:rPr>
          <w:rFonts w:hint="cs"/>
          <w:rtl/>
        </w:rPr>
        <w:t>و</w:t>
      </w:r>
      <w:r w:rsidR="00574DAF" w:rsidRPr="00AD7BE2">
        <w:rPr>
          <w:rtl/>
        </w:rPr>
        <w:t xml:space="preserve">الفيتنامية </w:t>
      </w:r>
      <w:r w:rsidR="00574DAF" w:rsidRPr="00AD7BE2">
        <w:rPr>
          <w:rFonts w:hint="cs"/>
          <w:rtl/>
        </w:rPr>
        <w:t>و</w:t>
      </w:r>
      <w:r w:rsidR="00574DAF" w:rsidRPr="00AD7BE2">
        <w:rPr>
          <w:rtl/>
        </w:rPr>
        <w:t>اليابانية</w:t>
      </w:r>
      <w:r w:rsidRPr="00AD7BE2">
        <w:rPr>
          <w:rtl/>
        </w:rPr>
        <w:t>.</w:t>
      </w:r>
    </w:p>
  </w:footnote>
  <w:footnote w:id="22">
    <w:p w:rsidR="00776161" w:rsidRPr="00AD7BE2" w:rsidRDefault="00776161" w:rsidP="00227C59">
      <w:pPr>
        <w:pStyle w:val="FootnoteText"/>
        <w:rPr>
          <w:rtl/>
        </w:rPr>
      </w:pPr>
      <w:r w:rsidRPr="00AD7BE2">
        <w:rPr>
          <w:rStyle w:val="FootnoteReference"/>
          <w:sz w:val="28"/>
          <w:szCs w:val="28"/>
        </w:rPr>
        <w:footnoteRef/>
      </w:r>
      <w:r w:rsidRPr="00AD7BE2">
        <w:rPr>
          <w:rtl/>
        </w:rPr>
        <w:t xml:space="preserve"> </w:t>
      </w:r>
      <w:r w:rsidR="00E04980" w:rsidRPr="00AD7BE2">
        <w:rPr>
          <w:rtl/>
        </w:rPr>
        <w:t>انظر</w:t>
      </w:r>
      <w:r w:rsidR="00E04980" w:rsidRPr="00AD7BE2">
        <w:rPr>
          <w:rFonts w:hint="cs"/>
          <w:rtl/>
        </w:rPr>
        <w:t xml:space="preserve"> </w:t>
      </w:r>
      <w:r w:rsidR="00E04980" w:rsidRPr="00AD7BE2">
        <w:t>http://www.wipo.int/amc/en/domains/search/overview3.0/</w:t>
      </w:r>
      <w:r w:rsidR="00E04980" w:rsidRPr="00AD7BE2">
        <w:rPr>
          <w:rtl/>
        </w:rPr>
        <w:t>. النطاق المتزايد ل</w:t>
      </w:r>
      <w:r w:rsidR="005C4802" w:rsidRPr="00AD7BE2">
        <w:rPr>
          <w:rFonts w:hint="cs"/>
          <w:rtl/>
        </w:rPr>
        <w:t>استعراض ا</w:t>
      </w:r>
      <w:r w:rsidR="00E04980" w:rsidRPr="00AD7BE2">
        <w:rPr>
          <w:rtl/>
        </w:rPr>
        <w:t xml:space="preserve">لويبو 3.0 منذ نشر الإصدار 2.0 في عام 2011 يعكس </w:t>
      </w:r>
      <w:r w:rsidR="00D42E52" w:rsidRPr="00AD7BE2">
        <w:rPr>
          <w:rtl/>
        </w:rPr>
        <w:t>تطور مجموعة من قضايا أسماء الحقول والسياسة الموحدة لتسوية المنازعات قارب ضعف القضايا التي أشرف عليها المركز منذ ذلك الحين. ولاستعراض الويبو دور رئيسي في تنمية اتساق اجتهادات الويبو القانونية في إطار السياسة الموحدة لتسوية المنازعات والحفاظ عليه</w:t>
      </w:r>
      <w:r w:rsidR="00E04980" w:rsidRPr="00AD7BE2">
        <w:rPr>
          <w:rtl/>
        </w:rPr>
        <w:t>.</w:t>
      </w:r>
    </w:p>
  </w:footnote>
  <w:footnote w:id="23">
    <w:p w:rsidR="00E041F7" w:rsidRPr="00AD7BE2" w:rsidRDefault="00E041F7" w:rsidP="008A7181">
      <w:pPr>
        <w:pStyle w:val="FootnoteText"/>
        <w:rPr>
          <w:rtl/>
        </w:rPr>
      </w:pPr>
      <w:r w:rsidRPr="00AD7BE2">
        <w:rPr>
          <w:rStyle w:val="FootnoteReference"/>
          <w:sz w:val="28"/>
          <w:szCs w:val="28"/>
        </w:rPr>
        <w:footnoteRef/>
      </w:r>
      <w:r w:rsidRPr="00AD7BE2">
        <w:rPr>
          <w:rtl/>
        </w:rPr>
        <w:t xml:space="preserve"> </w:t>
      </w:r>
      <w:r w:rsidR="008A7181" w:rsidRPr="00AD7BE2">
        <w:rPr>
          <w:rFonts w:hint="cs"/>
          <w:rtl/>
        </w:rPr>
        <w:t xml:space="preserve">انظر </w:t>
      </w:r>
      <w:r w:rsidR="008A7181" w:rsidRPr="00AD7BE2">
        <w:t>http://www.wipo.int/amc/en/domains/search/legalindex/</w:t>
      </w:r>
      <w:r w:rsidR="008A7181" w:rsidRPr="00AD7BE2">
        <w:rPr>
          <w:rFonts w:hint="cs"/>
          <w:rtl/>
        </w:rPr>
        <w:t>.</w:t>
      </w:r>
    </w:p>
  </w:footnote>
  <w:footnote w:id="24">
    <w:p w:rsidR="00B84C46" w:rsidRPr="00AD7BE2" w:rsidRDefault="00B84C46" w:rsidP="00D7129C">
      <w:pPr>
        <w:pStyle w:val="FootnoteText"/>
        <w:rPr>
          <w:rtl/>
        </w:rPr>
      </w:pPr>
      <w:r w:rsidRPr="00AD7BE2">
        <w:rPr>
          <w:rStyle w:val="FootnoteReference"/>
          <w:sz w:val="28"/>
          <w:szCs w:val="28"/>
        </w:rPr>
        <w:footnoteRef/>
      </w:r>
      <w:r w:rsidRPr="00AD7BE2">
        <w:rPr>
          <w:rtl/>
        </w:rPr>
        <w:t xml:space="preserve"> </w:t>
      </w:r>
      <w:r w:rsidR="005A7004" w:rsidRPr="00AD7BE2">
        <w:rPr>
          <w:rtl/>
        </w:rPr>
        <w:t>في عام 2018، نشر المركز توجيهات</w:t>
      </w:r>
      <w:r w:rsidR="00767B39" w:rsidRPr="00AD7BE2">
        <w:rPr>
          <w:rFonts w:hint="cs"/>
          <w:rtl/>
        </w:rPr>
        <w:t xml:space="preserve"> الويبو</w:t>
      </w:r>
      <w:r w:rsidR="005A7004" w:rsidRPr="00AD7BE2">
        <w:rPr>
          <w:rtl/>
        </w:rPr>
        <w:t xml:space="preserve"> غير </w:t>
      </w:r>
      <w:r w:rsidR="00767B39" w:rsidRPr="00AD7BE2">
        <w:rPr>
          <w:rFonts w:hint="cs"/>
          <w:rtl/>
        </w:rPr>
        <w:t>ال</w:t>
      </w:r>
      <w:r w:rsidR="005A7004" w:rsidRPr="00AD7BE2">
        <w:rPr>
          <w:rtl/>
        </w:rPr>
        <w:t xml:space="preserve">رسمية </w:t>
      </w:r>
      <w:r w:rsidR="00767B39" w:rsidRPr="00AD7BE2">
        <w:rPr>
          <w:rFonts w:hint="cs"/>
          <w:rtl/>
        </w:rPr>
        <w:t>الموجهة إلى ا</w:t>
      </w:r>
      <w:r w:rsidR="005A7004" w:rsidRPr="00AD7BE2">
        <w:rPr>
          <w:rtl/>
        </w:rPr>
        <w:t xml:space="preserve">لأطراف بشأن الأثر العملي </w:t>
      </w:r>
      <w:r w:rsidR="00D7129C" w:rsidRPr="00AD7BE2">
        <w:rPr>
          <w:rFonts w:hint="cs"/>
          <w:rtl/>
        </w:rPr>
        <w:t>ل</w:t>
      </w:r>
      <w:r w:rsidR="00D7129C" w:rsidRPr="00AD7BE2">
        <w:rPr>
          <w:rtl/>
        </w:rPr>
        <w:t>لنظام الأوروبي لحماية البيانات العامة</w:t>
      </w:r>
      <w:r w:rsidR="005A7004" w:rsidRPr="00AD7BE2">
        <w:rPr>
          <w:rtl/>
        </w:rPr>
        <w:t xml:space="preserve"> (</w:t>
      </w:r>
      <w:r w:rsidR="005A7004" w:rsidRPr="00AD7BE2">
        <w:t>GDPR</w:t>
      </w:r>
      <w:r w:rsidR="005A7004" w:rsidRPr="00AD7BE2">
        <w:rPr>
          <w:rtl/>
        </w:rPr>
        <w:t xml:space="preserve">) على </w:t>
      </w:r>
      <w:r w:rsidR="00636721" w:rsidRPr="00AD7BE2">
        <w:rPr>
          <w:rFonts w:hint="cs"/>
          <w:rtl/>
        </w:rPr>
        <w:t>دعاوى السياسة الموجدة لتسوية المنازعات</w:t>
      </w:r>
      <w:r w:rsidR="005A7004" w:rsidRPr="00AD7BE2">
        <w:rPr>
          <w:rtl/>
        </w:rPr>
        <w:t xml:space="preserve">. انظر الفقرات </w:t>
      </w:r>
      <w:r w:rsidR="00636721" w:rsidRPr="00AD7BE2">
        <w:rPr>
          <w:rFonts w:hint="cs"/>
          <w:rtl/>
        </w:rPr>
        <w:t xml:space="preserve">من </w:t>
      </w:r>
      <w:r w:rsidR="005A7004" w:rsidRPr="00AD7BE2">
        <w:rPr>
          <w:rtl/>
        </w:rPr>
        <w:t xml:space="preserve">31 إلى 33 أدناه. </w:t>
      </w:r>
      <w:r w:rsidR="00636721" w:rsidRPr="00AD7BE2">
        <w:rPr>
          <w:rFonts w:hint="cs"/>
          <w:rtl/>
        </w:rPr>
        <w:t>و</w:t>
      </w:r>
      <w:r w:rsidR="005A7004" w:rsidRPr="00AD7BE2">
        <w:rPr>
          <w:rtl/>
        </w:rPr>
        <w:t xml:space="preserve">انظر أيضا الفقرة 30 </w:t>
      </w:r>
      <w:r w:rsidR="00636721" w:rsidRPr="00AD7BE2">
        <w:rPr>
          <w:rFonts w:hint="cs"/>
          <w:rtl/>
        </w:rPr>
        <w:t>في الوثيقة</w:t>
      </w:r>
      <w:r w:rsidR="005A7004" w:rsidRPr="00AD7BE2">
        <w:rPr>
          <w:rtl/>
        </w:rPr>
        <w:t xml:space="preserve"> </w:t>
      </w:r>
      <w:r w:rsidR="005A7004" w:rsidRPr="00AD7BE2">
        <w:t>WO/GA/47/14</w:t>
      </w:r>
      <w:r w:rsidR="005A7004" w:rsidRPr="00AD7BE2">
        <w:rPr>
          <w:rtl/>
        </w:rPr>
        <w:t xml:space="preserve"> </w:t>
      </w:r>
      <w:r w:rsidR="00636721" w:rsidRPr="00AD7BE2">
        <w:rPr>
          <w:rFonts w:hint="cs"/>
          <w:rtl/>
        </w:rPr>
        <w:t>والفقرات من 14 إلى 16 في الوثيقة</w:t>
      </w:r>
      <w:r w:rsidR="005A7004" w:rsidRPr="00AD7BE2">
        <w:rPr>
          <w:rtl/>
        </w:rPr>
        <w:t xml:space="preserve"> </w:t>
      </w:r>
      <w:r w:rsidR="005A7004" w:rsidRPr="00AD7BE2">
        <w:t>WO/GA/41/17 Rev.2</w:t>
      </w:r>
      <w:r w:rsidR="005A7004" w:rsidRPr="00AD7BE2">
        <w:rPr>
          <w:rtl/>
        </w:rPr>
        <w:t>.</w:t>
      </w:r>
    </w:p>
  </w:footnote>
  <w:footnote w:id="25">
    <w:p w:rsidR="005A7004" w:rsidRPr="00AD7BE2" w:rsidRDefault="005A7004">
      <w:pPr>
        <w:pStyle w:val="FootnoteText"/>
        <w:rPr>
          <w:rtl/>
        </w:rPr>
      </w:pPr>
      <w:r w:rsidRPr="00AD7BE2">
        <w:rPr>
          <w:rStyle w:val="FootnoteReference"/>
          <w:sz w:val="28"/>
          <w:szCs w:val="28"/>
        </w:rPr>
        <w:footnoteRef/>
      </w:r>
      <w:r w:rsidRPr="00AD7BE2">
        <w:rPr>
          <w:rtl/>
        </w:rPr>
        <w:t xml:space="preserve"> </w:t>
      </w:r>
      <w:r w:rsidR="00760564" w:rsidRPr="00AD7BE2">
        <w:rPr>
          <w:rFonts w:hint="cs"/>
          <w:rtl/>
        </w:rPr>
        <w:t>انظر الحاشية السفلية رقم 2 أعلاه.</w:t>
      </w:r>
    </w:p>
  </w:footnote>
  <w:footnote w:id="26">
    <w:p w:rsidR="0026103B" w:rsidRPr="00AD7BE2" w:rsidRDefault="0026103B">
      <w:pPr>
        <w:pStyle w:val="FootnoteText"/>
      </w:pPr>
      <w:r w:rsidRPr="00AD7BE2">
        <w:rPr>
          <w:rStyle w:val="FootnoteReference"/>
          <w:sz w:val="28"/>
          <w:szCs w:val="28"/>
        </w:rPr>
        <w:footnoteRef/>
      </w:r>
      <w:r w:rsidRPr="00AD7BE2">
        <w:rPr>
          <w:rtl/>
        </w:rPr>
        <w:t xml:space="preserve"> </w:t>
      </w:r>
      <w:r w:rsidRPr="00AD7BE2">
        <w:rPr>
          <w:rFonts w:hint="cs"/>
          <w:rtl/>
        </w:rPr>
        <w:t xml:space="preserve">انظر </w:t>
      </w:r>
      <w:r w:rsidRPr="00AD7BE2">
        <w:t>http://www.wipo.int/amc/en/new/eu.html</w:t>
      </w:r>
      <w:r w:rsidRPr="00AD7BE2">
        <w:rPr>
          <w:rFonts w:hint="cs"/>
          <w:rtl/>
        </w:rPr>
        <w:t>.</w:t>
      </w:r>
    </w:p>
  </w:footnote>
  <w:footnote w:id="27">
    <w:p w:rsidR="00F34935" w:rsidRPr="00AD7BE2" w:rsidRDefault="00F34935" w:rsidP="00B05B6A">
      <w:pPr>
        <w:pStyle w:val="FootnoteText"/>
      </w:pPr>
      <w:r w:rsidRPr="00AD7BE2">
        <w:rPr>
          <w:rStyle w:val="FootnoteReference"/>
          <w:sz w:val="28"/>
          <w:szCs w:val="28"/>
        </w:rPr>
        <w:footnoteRef/>
      </w:r>
      <w:r w:rsidRPr="00AD7BE2">
        <w:rPr>
          <w:rtl/>
        </w:rPr>
        <w:t xml:space="preserve"> </w:t>
      </w:r>
      <w:r w:rsidR="00161177" w:rsidRPr="00AD7BE2">
        <w:rPr>
          <w:rtl/>
        </w:rPr>
        <w:t xml:space="preserve">يمكن الاطلاع على القائمة الكاملة للحقول العليا المكونة من رموز البلدان والتي احتفظت بمركز الويبو كجهة لتسوية منازعات أسماء الحقول على الرابط التالي: </w:t>
      </w:r>
      <w:r w:rsidR="00161177" w:rsidRPr="00AD7BE2">
        <w:t>http://www.wipo.int/amc/en/domains/cctld</w:t>
      </w:r>
      <w:r w:rsidR="00161177" w:rsidRPr="00AD7BE2">
        <w:rPr>
          <w:rtl/>
        </w:rPr>
        <w:t>. ومنذ منتصف عام 2017، يقدم المركز خدمات لتسجيلات</w:t>
      </w:r>
      <w:r w:rsidR="00B05B6A" w:rsidRPr="00AD7BE2">
        <w:rPr>
          <w:rtl/>
        </w:rPr>
        <w:t xml:space="preserve"> </w:t>
      </w:r>
      <w:r w:rsidR="00161177" w:rsidRPr="00AD7BE2">
        <w:t>.eu</w:t>
      </w:r>
      <w:r w:rsidR="00161177" w:rsidRPr="00AD7BE2">
        <w:rPr>
          <w:rtl/>
        </w:rPr>
        <w:t xml:space="preserve"> </w:t>
      </w:r>
      <w:r w:rsidR="00556043" w:rsidRPr="00AD7BE2">
        <w:rPr>
          <w:rtl/>
        </w:rPr>
        <w:t>و</w:t>
      </w:r>
      <w:r w:rsidR="00556043" w:rsidRPr="00AD7BE2">
        <w:t>.</w:t>
      </w:r>
      <w:r w:rsidR="00556043" w:rsidRPr="00AD7BE2">
        <w:rPr>
          <w:rFonts w:ascii="Times New Roman" w:hAnsi="Times New Roman" w:cs="Times New Roman"/>
        </w:rPr>
        <w:t>ею</w:t>
      </w:r>
      <w:r w:rsidR="00556043" w:rsidRPr="00AD7BE2">
        <w:rPr>
          <w:rtl/>
        </w:rPr>
        <w:t xml:space="preserve"> (بالأبجدية السيريلية)</w:t>
      </w:r>
      <w:r w:rsidR="00161177" w:rsidRPr="00AD7BE2">
        <w:rPr>
          <w:rtl/>
        </w:rPr>
        <w:t>، بجميع اللغات الرسمية للاتحاد الأوروبي ال</w:t>
      </w:r>
      <w:r w:rsidR="00556043" w:rsidRPr="00AD7BE2">
        <w:rPr>
          <w:rtl/>
        </w:rPr>
        <w:t>بالغ عددها</w:t>
      </w:r>
      <w:r w:rsidR="00161177" w:rsidRPr="00AD7BE2">
        <w:rPr>
          <w:rtl/>
        </w:rPr>
        <w:t xml:space="preserve"> 24 </w:t>
      </w:r>
      <w:r w:rsidR="00556043" w:rsidRPr="00AD7BE2">
        <w:rPr>
          <w:rtl/>
        </w:rPr>
        <w:t>لغة</w:t>
      </w:r>
      <w:r w:rsidR="00161177" w:rsidRPr="00AD7BE2">
        <w:rPr>
          <w:rtl/>
        </w:rPr>
        <w:t xml:space="preserve">، وكذلك لسجل </w:t>
      </w:r>
      <w:r w:rsidR="00556043" w:rsidRPr="00AD7BE2">
        <w:t>.</w:t>
      </w:r>
      <w:r w:rsidR="00161177" w:rsidRPr="00AD7BE2">
        <w:t>SE</w:t>
      </w:r>
      <w:r w:rsidR="00161177" w:rsidRPr="00AD7BE2">
        <w:rPr>
          <w:rtl/>
        </w:rPr>
        <w:t xml:space="preserve"> (السويد).</w:t>
      </w:r>
    </w:p>
  </w:footnote>
  <w:footnote w:id="28">
    <w:p w:rsidR="00707084" w:rsidRPr="00AD7BE2" w:rsidRDefault="00707084" w:rsidP="003E7A32">
      <w:pPr>
        <w:pStyle w:val="FootnoteText"/>
        <w:rPr>
          <w:rtl/>
        </w:rPr>
      </w:pPr>
      <w:r w:rsidRPr="00AD7BE2">
        <w:rPr>
          <w:rStyle w:val="FootnoteReference"/>
          <w:sz w:val="28"/>
          <w:szCs w:val="28"/>
        </w:rPr>
        <w:footnoteRef/>
      </w:r>
      <w:r w:rsidRPr="00AD7BE2">
        <w:rPr>
          <w:rtl/>
        </w:rPr>
        <w:t xml:space="preserve"> </w:t>
      </w:r>
      <w:r w:rsidR="008A1DF3" w:rsidRPr="00AD7BE2">
        <w:rPr>
          <w:rtl/>
        </w:rPr>
        <w:t>على سبيل المثال، صفحة المركز المخصصة ل</w:t>
      </w:r>
      <w:r w:rsidR="003E7A32" w:rsidRPr="00AD7BE2">
        <w:rPr>
          <w:rtl/>
        </w:rPr>
        <w:t>لحقل</w:t>
      </w:r>
      <w:r w:rsidR="008A1DF3" w:rsidRPr="00AD7BE2">
        <w:rPr>
          <w:rtl/>
        </w:rPr>
        <w:t xml:space="preserve"> </w:t>
      </w:r>
      <w:r w:rsidR="008A1DF3" w:rsidRPr="00AD7BE2">
        <w:t>.CH</w:t>
      </w:r>
      <w:r w:rsidR="008A1DF3" w:rsidRPr="00AD7BE2">
        <w:rPr>
          <w:rtl/>
        </w:rPr>
        <w:t xml:space="preserve"> (سويسرا) متاحة الآن باللغتين الألمانية والإيطالية، بالإضافة إلى الإنكليزية والفرنسية والإسبانية.</w:t>
      </w:r>
    </w:p>
  </w:footnote>
  <w:footnote w:id="29">
    <w:p w:rsidR="00707084" w:rsidRPr="00AD7BE2" w:rsidRDefault="00707084" w:rsidP="004A62CF">
      <w:pPr>
        <w:pStyle w:val="FootnoteText"/>
        <w:rPr>
          <w:rtl/>
        </w:rPr>
      </w:pPr>
      <w:r w:rsidRPr="00AD7BE2">
        <w:rPr>
          <w:rStyle w:val="FootnoteReference"/>
          <w:sz w:val="28"/>
          <w:szCs w:val="28"/>
        </w:rPr>
        <w:footnoteRef/>
      </w:r>
      <w:r w:rsidRPr="00AD7BE2">
        <w:rPr>
          <w:rtl/>
        </w:rPr>
        <w:t xml:space="preserve"> </w:t>
      </w:r>
      <w:r w:rsidR="004A62CF" w:rsidRPr="00AD7BE2">
        <w:rPr>
          <w:rtl/>
        </w:rPr>
        <w:t xml:space="preserve">انظر </w:t>
      </w:r>
      <w:r w:rsidR="004A62CF" w:rsidRPr="00AD7BE2">
        <w:t>http://www.wipo.int/amc/en/domains/cctld/</w:t>
      </w:r>
      <w:r w:rsidR="004A62CF" w:rsidRPr="00AD7BE2">
        <w:rPr>
          <w:rtl/>
        </w:rPr>
        <w:t>.</w:t>
      </w:r>
    </w:p>
  </w:footnote>
  <w:footnote w:id="30">
    <w:p w:rsidR="00794525" w:rsidRPr="00AD7BE2" w:rsidRDefault="00794525" w:rsidP="00FF43D5">
      <w:pPr>
        <w:pStyle w:val="FootnoteText"/>
        <w:rPr>
          <w:rtl/>
        </w:rPr>
      </w:pPr>
      <w:r w:rsidRPr="00AD7BE2">
        <w:rPr>
          <w:rStyle w:val="FootnoteReference"/>
          <w:sz w:val="28"/>
          <w:szCs w:val="28"/>
        </w:rPr>
        <w:footnoteRef/>
      </w:r>
      <w:r w:rsidRPr="00AD7BE2">
        <w:rPr>
          <w:rtl/>
        </w:rPr>
        <w:t xml:space="preserve"> </w:t>
      </w:r>
      <w:r w:rsidR="00FF43D5" w:rsidRPr="00AD7BE2">
        <w:rPr>
          <w:rtl/>
        </w:rPr>
        <w:t xml:space="preserve">انظر الرابط التالي: </w:t>
      </w:r>
      <w:r w:rsidR="00FF43D5" w:rsidRPr="00AD7BE2">
        <w:t>http://www.icann.org/en/minutes/resolutions-20jun11-en.htm</w:t>
      </w:r>
      <w:r w:rsidR="00FF43D5" w:rsidRPr="00AD7BE2">
        <w:rPr>
          <w:rtl/>
        </w:rPr>
        <w:t xml:space="preserve">. وللاطلاع على مزيد من المعلومات الأساسية بما فيها المراجع، انظر الوثيقة </w:t>
      </w:r>
      <w:r w:rsidR="00FF43D5" w:rsidRPr="00AD7BE2">
        <w:t>WO/GA/39/10</w:t>
      </w:r>
      <w:r w:rsidR="00FF43D5" w:rsidRPr="00AD7BE2">
        <w:rPr>
          <w:rtl/>
        </w:rPr>
        <w:t>، وتحديدا الفقرة 14.</w:t>
      </w:r>
    </w:p>
  </w:footnote>
  <w:footnote w:id="31">
    <w:p w:rsidR="00794525" w:rsidRPr="00AD7BE2" w:rsidRDefault="00794525">
      <w:pPr>
        <w:pStyle w:val="FootnoteText"/>
        <w:rPr>
          <w:rtl/>
        </w:rPr>
      </w:pPr>
      <w:r w:rsidRPr="00AD7BE2">
        <w:rPr>
          <w:rStyle w:val="FootnoteReference"/>
          <w:sz w:val="28"/>
          <w:szCs w:val="28"/>
        </w:rPr>
        <w:footnoteRef/>
      </w:r>
      <w:r w:rsidRPr="00AD7BE2">
        <w:rPr>
          <w:rtl/>
        </w:rPr>
        <w:t xml:space="preserve"> </w:t>
      </w:r>
      <w:r w:rsidR="006E46F9" w:rsidRPr="00AD7BE2">
        <w:rPr>
          <w:rtl/>
        </w:rPr>
        <w:t xml:space="preserve">دليل مودع طلب التسجيل الخاص بالإيكان متاح على الرابط التالي: </w:t>
      </w:r>
      <w:r w:rsidR="006E46F9" w:rsidRPr="00AD7BE2">
        <w:t>http://newgtlds.icann.org/en/applicants/agb</w:t>
      </w:r>
      <w:r w:rsidR="006E46F9" w:rsidRPr="00AD7BE2">
        <w:rPr>
          <w:rtl/>
        </w:rPr>
        <w:t>.</w:t>
      </w:r>
    </w:p>
  </w:footnote>
  <w:footnote w:id="32">
    <w:p w:rsidR="00794525" w:rsidRPr="00AD7BE2" w:rsidRDefault="00794525" w:rsidP="00160302">
      <w:pPr>
        <w:pStyle w:val="FootnoteText"/>
      </w:pPr>
      <w:r w:rsidRPr="00AD7BE2">
        <w:rPr>
          <w:rStyle w:val="FootnoteReference"/>
          <w:sz w:val="28"/>
          <w:szCs w:val="28"/>
        </w:rPr>
        <w:footnoteRef/>
      </w:r>
      <w:r w:rsidRPr="00AD7BE2">
        <w:rPr>
          <w:rtl/>
        </w:rPr>
        <w:t xml:space="preserve"> ترد قائمة ب</w:t>
      </w:r>
      <w:r w:rsidR="00160302" w:rsidRPr="00AD7BE2">
        <w:rPr>
          <w:rtl/>
        </w:rPr>
        <w:t xml:space="preserve">ما مُنح من </w:t>
      </w:r>
      <w:r w:rsidRPr="00AD7BE2">
        <w:rPr>
          <w:rtl/>
        </w:rPr>
        <w:t>أسماء الحقول العليا الجديدة المكوَّنة من أسماء عامة</w:t>
      </w:r>
      <w:r w:rsidR="00316782" w:rsidRPr="00AD7BE2">
        <w:rPr>
          <w:rtl/>
        </w:rPr>
        <w:t xml:space="preserve"> </w:t>
      </w:r>
      <w:r w:rsidRPr="00AD7BE2">
        <w:rPr>
          <w:rtl/>
        </w:rPr>
        <w:t xml:space="preserve">على الرابط التالي: </w:t>
      </w:r>
      <w:r w:rsidR="00316782" w:rsidRPr="00AD7BE2">
        <w:t>http://newgtlds.icann.org/en/program-status/delegated-strings</w:t>
      </w:r>
      <w:r w:rsidR="00316782" w:rsidRPr="00AD7BE2">
        <w:rPr>
          <w:rtl/>
        </w:rPr>
        <w:t>.</w:t>
      </w:r>
    </w:p>
  </w:footnote>
  <w:footnote w:id="33">
    <w:p w:rsidR="00D87109" w:rsidRPr="008A1EDB" w:rsidRDefault="00D87109">
      <w:pPr>
        <w:pStyle w:val="FootnoteText"/>
        <w:rPr>
          <w:rtl/>
        </w:rPr>
      </w:pPr>
      <w:r w:rsidRPr="008A1EDB">
        <w:rPr>
          <w:rStyle w:val="FootnoteReference"/>
          <w:sz w:val="28"/>
          <w:szCs w:val="28"/>
        </w:rPr>
        <w:footnoteRef/>
      </w:r>
      <w:r w:rsidRPr="008A1EDB">
        <w:rPr>
          <w:rtl/>
        </w:rPr>
        <w:t xml:space="preserve"> لمزيد من المعلومات الأساسية بما فيها المراجع، انظر الوثيقة </w:t>
      </w:r>
      <w:r w:rsidRPr="008A1EDB">
        <w:t>WO/GA/39/10</w:t>
      </w:r>
      <w:r w:rsidRPr="008A1EDB">
        <w:rPr>
          <w:rtl/>
        </w:rPr>
        <w:t xml:space="preserve"> وتحديدا الفقرات من 23 إلى 30. ويُشار هنا إلى أن الإيكان قد رفضت اقتراحا بشأن وضع " قائمة بالعلامات المحمية عالميا".</w:t>
      </w:r>
    </w:p>
  </w:footnote>
  <w:footnote w:id="34">
    <w:p w:rsidR="00913E75" w:rsidRPr="008A1EDB" w:rsidRDefault="00913E75" w:rsidP="00913E75">
      <w:pPr>
        <w:pStyle w:val="FootnoteText"/>
        <w:rPr>
          <w:rtl/>
        </w:rPr>
      </w:pPr>
      <w:r w:rsidRPr="008A1EDB">
        <w:rPr>
          <w:rStyle w:val="FootnoteReference"/>
          <w:sz w:val="28"/>
          <w:szCs w:val="28"/>
        </w:rPr>
        <w:footnoteRef/>
      </w:r>
      <w:r w:rsidRPr="008A1EDB">
        <w:rPr>
          <w:rtl/>
        </w:rPr>
        <w:t xml:space="preserve"> أسباب الاعتراضات الأخرى التي أقرّتها الإيكان هي: "الاعتراضات القائمة على اللبس في التسلسل" و"اعتراضات الجماعات" و"الاعتراضات القائمة على مبدأ مراعاة حدود المصالح العامة". ويحتوي دليل مودع الطلب أيضا على عدد من الإجراءات الأخرى التي يجوز أن تضعها الحكومات لفائدتها تبعا لإعلان الإيكان الخاص بالطلبات بشأن الحقول العليا الجديدة المكونة من أسماء عامة. وتحديدا الفقرة 4.2.1.1 التي تنص على "الإنذار المبكر للجنة الاستشارية الحكومية للإيكان" والفقرة 7.2.1.1 التي تنص على "تلقي مشورة اللجنة الاستشارية الحكومية للإيكان بشأن الحقول العليا الجديدة المكونة من أسماء عامة" لكي ينظر فيها مجلس الإيكان.</w:t>
      </w:r>
    </w:p>
  </w:footnote>
  <w:footnote w:id="35">
    <w:p w:rsidR="00913E75" w:rsidRPr="008A1EDB" w:rsidRDefault="00913E75">
      <w:pPr>
        <w:pStyle w:val="FootnoteText"/>
        <w:rPr>
          <w:rtl/>
        </w:rPr>
      </w:pPr>
      <w:r w:rsidRPr="008A1EDB">
        <w:rPr>
          <w:rStyle w:val="FootnoteReference"/>
          <w:sz w:val="28"/>
          <w:szCs w:val="28"/>
        </w:rPr>
        <w:footnoteRef/>
      </w:r>
      <w:r w:rsidRPr="008A1EDB">
        <w:rPr>
          <w:rtl/>
        </w:rPr>
        <w:t xml:space="preserve"> </w:t>
      </w:r>
      <w:r w:rsidR="00DC45A7" w:rsidRPr="008A1EDB">
        <w:rPr>
          <w:rtl/>
        </w:rPr>
        <w:t>اعتمدتها الجمعية العامة للويبو في سبتمبر 2001، انظر الرابط التالي:</w:t>
      </w:r>
      <w:r w:rsidR="00DC45A7" w:rsidRPr="008A1EDB">
        <w:rPr>
          <w:rFonts w:hint="cs"/>
          <w:rtl/>
        </w:rPr>
        <w:t xml:space="preserve"> </w:t>
      </w:r>
      <w:r w:rsidR="00DC45A7" w:rsidRPr="008A1EDB">
        <w:t>http://www.wipo.int/edocs/pubdocs/en/marks/845/pub845.pdf</w:t>
      </w:r>
      <w:r w:rsidR="00DC45A7" w:rsidRPr="008A1EDB">
        <w:rPr>
          <w:rFonts w:hint="cs"/>
          <w:rtl/>
        </w:rPr>
        <w:t>.</w:t>
      </w:r>
    </w:p>
  </w:footnote>
  <w:footnote w:id="36">
    <w:p w:rsidR="00E96113" w:rsidRPr="008A1EDB" w:rsidRDefault="00E96113">
      <w:pPr>
        <w:pStyle w:val="FootnoteText"/>
        <w:rPr>
          <w:rtl/>
        </w:rPr>
      </w:pPr>
      <w:r w:rsidRPr="008A1EDB">
        <w:rPr>
          <w:rStyle w:val="FootnoteReference"/>
          <w:sz w:val="28"/>
          <w:szCs w:val="28"/>
        </w:rPr>
        <w:footnoteRef/>
      </w:r>
      <w:r w:rsidRPr="008A1EDB">
        <w:rPr>
          <w:rtl/>
        </w:rPr>
        <w:t xml:space="preserve"> </w:t>
      </w:r>
      <w:r w:rsidR="005F79A1" w:rsidRPr="008A1EDB">
        <w:rPr>
          <w:rtl/>
        </w:rPr>
        <w:t>انظر القسم 2.3 من دليل مودع طلب التسجيل الخاص بالإيكان على الرابط التالي:</w:t>
      </w:r>
      <w:r w:rsidR="005F79A1" w:rsidRPr="008A1EDB">
        <w:rPr>
          <w:rFonts w:hint="cs"/>
          <w:rtl/>
        </w:rPr>
        <w:t xml:space="preserve"> </w:t>
      </w:r>
      <w:r w:rsidR="005F79A1" w:rsidRPr="008A1EDB">
        <w:t>http://newgtlds.icann.org/en/applicants/agb/objection procedures-04jun12-en.pdf</w:t>
      </w:r>
      <w:r w:rsidR="005F79A1" w:rsidRPr="008A1EDB">
        <w:rPr>
          <w:rFonts w:hint="cs"/>
          <w:rtl/>
        </w:rPr>
        <w:t>.</w:t>
      </w:r>
    </w:p>
  </w:footnote>
  <w:footnote w:id="37">
    <w:p w:rsidR="00E96113" w:rsidRPr="008A1EDB" w:rsidRDefault="00E96113" w:rsidP="006A5B8E">
      <w:pPr>
        <w:pStyle w:val="FootnoteText"/>
        <w:rPr>
          <w:rtl/>
        </w:rPr>
      </w:pPr>
      <w:r w:rsidRPr="008A1EDB">
        <w:rPr>
          <w:rStyle w:val="FootnoteReference"/>
          <w:sz w:val="28"/>
          <w:szCs w:val="28"/>
        </w:rPr>
        <w:footnoteRef/>
      </w:r>
      <w:r w:rsidRPr="008A1EDB">
        <w:rPr>
          <w:rtl/>
        </w:rPr>
        <w:t xml:space="preserve"> </w:t>
      </w:r>
      <w:r w:rsidR="006A5B8E" w:rsidRPr="008A1EDB">
        <w:rPr>
          <w:rtl/>
        </w:rPr>
        <w:t>انظر نظام الويبو بشأن تسوية المنازعات المتعلقة بالحقول العليا (</w:t>
      </w:r>
      <w:r w:rsidR="006A5B8E" w:rsidRPr="008A1EDB">
        <w:t>gTLD</w:t>
      </w:r>
      <w:r w:rsidR="006A5B8E" w:rsidRPr="008A1EDB">
        <w:rPr>
          <w:rtl/>
        </w:rPr>
        <w:t>) الجديدة وجدول الرسوم والتكاليف بالتوالي على الرابطين التاليين:</w:t>
      </w:r>
      <w:r w:rsidR="006A5B8E" w:rsidRPr="008A1EDB">
        <w:rPr>
          <w:rFonts w:hint="cs"/>
          <w:rtl/>
        </w:rPr>
        <w:t xml:space="preserve"> </w:t>
      </w:r>
      <w:r w:rsidR="006A5B8E" w:rsidRPr="008A1EDB">
        <w:t>http://www.wipo.int/amc/en/docs/wipolrorules.pdf</w:t>
      </w:r>
      <w:r w:rsidR="006A5B8E" w:rsidRPr="008A1EDB">
        <w:rPr>
          <w:rFonts w:hint="cs"/>
          <w:rtl/>
        </w:rPr>
        <w:t xml:space="preserve"> و</w:t>
      </w:r>
      <w:r w:rsidR="00E26AA3" w:rsidRPr="008A1EDB">
        <w:rPr>
          <w:rFonts w:hint="cs"/>
          <w:rtl/>
        </w:rPr>
        <w:t xml:space="preserve"> </w:t>
      </w:r>
      <w:hyperlink r:id="rId1" w:history="1">
        <w:r w:rsidR="006A5B8E" w:rsidRPr="008A1EDB">
          <w:t>http://www.wipo.int/amc/en/domains/lro/fees/</w:t>
        </w:r>
      </w:hyperlink>
      <w:r w:rsidR="006A5B8E" w:rsidRPr="008A1EDB">
        <w:rPr>
          <w:rFonts w:hint="cs"/>
          <w:rtl/>
        </w:rPr>
        <w:t xml:space="preserve">، </w:t>
      </w:r>
      <w:r w:rsidR="006A5B8E" w:rsidRPr="008A1EDB">
        <w:rPr>
          <w:rtl/>
        </w:rPr>
        <w:t>وانظر القضايا المسجلة لدى الويبو بشأن الاعتراض على التعدي على الحقوق من خلال الرابط التالي:</w:t>
      </w:r>
      <w:r w:rsidR="006A5B8E" w:rsidRPr="008A1EDB">
        <w:rPr>
          <w:rFonts w:hint="cs"/>
          <w:rtl/>
        </w:rPr>
        <w:t xml:space="preserve"> </w:t>
      </w:r>
      <w:r w:rsidR="006A5B8E" w:rsidRPr="008A1EDB">
        <w:t>http://www.wipo.int/amc/en/domains/lro/cases/</w:t>
      </w:r>
      <w:r w:rsidR="006A5B8E" w:rsidRPr="008A1EDB">
        <w:rPr>
          <w:rFonts w:hint="cs"/>
          <w:rtl/>
        </w:rPr>
        <w:t>.</w:t>
      </w:r>
    </w:p>
  </w:footnote>
  <w:footnote w:id="38">
    <w:p w:rsidR="00E96113" w:rsidRPr="008A1EDB" w:rsidRDefault="00E96113" w:rsidP="00846538">
      <w:pPr>
        <w:pStyle w:val="FootnoteText"/>
        <w:rPr>
          <w:rtl/>
        </w:rPr>
      </w:pPr>
      <w:r w:rsidRPr="008A1EDB">
        <w:rPr>
          <w:rStyle w:val="FootnoteReference"/>
          <w:sz w:val="28"/>
          <w:szCs w:val="28"/>
        </w:rPr>
        <w:footnoteRef/>
      </w:r>
      <w:r w:rsidRPr="008A1EDB">
        <w:rPr>
          <w:rtl/>
        </w:rPr>
        <w:t xml:space="preserve"> </w:t>
      </w:r>
      <w:r w:rsidR="00846538" w:rsidRPr="008A1EDB">
        <w:rPr>
          <w:rtl/>
        </w:rPr>
        <w:t>انظر الرابط التالي:</w:t>
      </w:r>
      <w:r w:rsidR="00846538" w:rsidRPr="008A1EDB">
        <w:rPr>
          <w:rFonts w:hint="cs"/>
          <w:rtl/>
        </w:rPr>
        <w:t xml:space="preserve"> </w:t>
      </w:r>
      <w:r w:rsidR="00846538" w:rsidRPr="008A1EDB">
        <w:t>http://www.wipo.int/amc/en/domains/lro/cases/</w:t>
      </w:r>
      <w:r w:rsidR="00846538" w:rsidRPr="008A1EDB">
        <w:rPr>
          <w:rFonts w:hint="cs"/>
          <w:rtl/>
        </w:rPr>
        <w:t>.</w:t>
      </w:r>
    </w:p>
  </w:footnote>
  <w:footnote w:id="39">
    <w:p w:rsidR="005F79A1" w:rsidRPr="008A1EDB" w:rsidRDefault="005F79A1">
      <w:pPr>
        <w:pStyle w:val="FootnoteText"/>
        <w:rPr>
          <w:rtl/>
        </w:rPr>
      </w:pPr>
      <w:r w:rsidRPr="008A1EDB">
        <w:rPr>
          <w:rStyle w:val="FootnoteReference"/>
          <w:sz w:val="28"/>
          <w:szCs w:val="28"/>
        </w:rPr>
        <w:footnoteRef/>
      </w:r>
      <w:r w:rsidRPr="008A1EDB">
        <w:rPr>
          <w:rtl/>
        </w:rPr>
        <w:t xml:space="preserve"> </w:t>
      </w:r>
      <w:r w:rsidR="008F271E" w:rsidRPr="008A1EDB">
        <w:rPr>
          <w:rtl/>
        </w:rPr>
        <w:t xml:space="preserve">يشير تقرير الويبو إلى أن الغالبية العظمى من تلك الاعتراضات أودعت ضد الطلبات الخاصة بسلسلة الحروف ذات المعنى الوصفي أو القاموسي للحقول العليا المكوَّنة من أسماء عامة. وقد خلص كثير من هيئات الخبراء إلى أنه في الحالات التي يكون قد اعتمد فيها مالك </w:t>
      </w:r>
      <w:r w:rsidR="008F271E" w:rsidRPr="008A1EDB">
        <w:rPr>
          <w:rFonts w:hint="cs"/>
          <w:rtl/>
        </w:rPr>
        <w:t>ال</w:t>
      </w:r>
      <w:r w:rsidR="008F271E" w:rsidRPr="008A1EDB">
        <w:rPr>
          <w:rtl/>
        </w:rPr>
        <w:t>علامة</w:t>
      </w:r>
      <w:r w:rsidR="008F271E" w:rsidRPr="008A1EDB">
        <w:rPr>
          <w:rFonts w:hint="cs"/>
          <w:rtl/>
        </w:rPr>
        <w:t xml:space="preserve"> التجارية</w:t>
      </w:r>
      <w:r w:rsidR="008F271E" w:rsidRPr="008A1EDB">
        <w:rPr>
          <w:rtl/>
        </w:rPr>
        <w:t xml:space="preserve"> مصطلحا عاما من مصطلحات القاموس كعلامة تجارية، فإن طلب حقل عال مكون من اسم عام لغرض الاستفادة من المعنى العام لذلك المصطلح لا يُعتبر، في حد ذاته، انتهاكا لمعايير تسوية المنازعات فيما يخص الاعتراضات القائمة على الحقوق القانونية. وفي بعض الحالات تناولت هيئات الخبراء تسجيلات العلامات التجارية التي اكتُسبت أساسا لأغراض دعم طلب الحصول على حقل عال جديد مكون من اسم عام و/أو اعتراض قائم على الحقوق القانونية، دون إثبات استخدام قليل لتلك العلامات أو أي استخدام لها في السابق. انظر الرابط التالي:</w:t>
      </w:r>
      <w:r w:rsidR="008F271E" w:rsidRPr="008A1EDB">
        <w:rPr>
          <w:rFonts w:hint="cs"/>
          <w:rtl/>
        </w:rPr>
        <w:t xml:space="preserve"> </w:t>
      </w:r>
      <w:r w:rsidR="008F271E" w:rsidRPr="008A1EDB">
        <w:t>http://www.wipo.int/amc/en/docs/lroreport.pdf</w:t>
      </w:r>
      <w:r w:rsidR="008F271E" w:rsidRPr="008A1EDB">
        <w:rPr>
          <w:rFonts w:hint="cs"/>
          <w:rtl/>
        </w:rPr>
        <w:t>.</w:t>
      </w:r>
    </w:p>
  </w:footnote>
  <w:footnote w:id="40">
    <w:p w:rsidR="00A14BAC" w:rsidRPr="008A1EDB" w:rsidRDefault="00A14BAC">
      <w:pPr>
        <w:pStyle w:val="FootnoteText"/>
        <w:rPr>
          <w:rtl/>
        </w:rPr>
      </w:pPr>
      <w:r w:rsidRPr="008A1EDB">
        <w:rPr>
          <w:rStyle w:val="FootnoteReference"/>
          <w:sz w:val="28"/>
          <w:szCs w:val="28"/>
        </w:rPr>
        <w:footnoteRef/>
      </w:r>
      <w:r w:rsidRPr="008A1EDB">
        <w:rPr>
          <w:rtl/>
        </w:rPr>
        <w:t xml:space="preserve"> انظر الرابط التالي:</w:t>
      </w:r>
      <w:r w:rsidRPr="008A1EDB">
        <w:rPr>
          <w:rFonts w:hint="cs"/>
          <w:rtl/>
        </w:rPr>
        <w:t xml:space="preserve"> </w:t>
      </w:r>
      <w:r w:rsidRPr="008A1EDB">
        <w:t>http://www.wipo.int/amc/en/docs/icann130309.pdf</w:t>
      </w:r>
      <w:r w:rsidRPr="008A1EDB">
        <w:rPr>
          <w:rFonts w:hint="cs"/>
          <w:rtl/>
        </w:rPr>
        <w:t>.</w:t>
      </w:r>
    </w:p>
  </w:footnote>
  <w:footnote w:id="41">
    <w:p w:rsidR="00A14BAC" w:rsidRPr="008A1EDB" w:rsidRDefault="00A14BAC" w:rsidP="00202879">
      <w:pPr>
        <w:pStyle w:val="FootnoteText"/>
        <w:rPr>
          <w:rtl/>
        </w:rPr>
      </w:pPr>
      <w:r w:rsidRPr="008A1EDB">
        <w:rPr>
          <w:rStyle w:val="FootnoteReference"/>
          <w:sz w:val="28"/>
          <w:szCs w:val="28"/>
        </w:rPr>
        <w:footnoteRef/>
      </w:r>
      <w:r w:rsidRPr="008A1EDB">
        <w:rPr>
          <w:rtl/>
        </w:rPr>
        <w:t xml:space="preserve"> نظرا إلى التقارب الملاحظ بين أدوار مكاتب التسجيل وأمناء التسجيل وأصحاب التسجيلات في إطار نظام أسماء الحقول، أوصى المركز أيضا</w:t>
      </w:r>
      <w:r w:rsidR="00202879" w:rsidRPr="008A1EDB">
        <w:rPr>
          <w:rFonts w:hint="cs"/>
          <w:rtl/>
        </w:rPr>
        <w:t>، من ضمن ما أوصى،</w:t>
      </w:r>
      <w:r w:rsidRPr="008A1EDB">
        <w:rPr>
          <w:rtl/>
        </w:rPr>
        <w:t xml:space="preserve"> بأن تنظر الإيكان في توسيع نطاق إجراءات تسوية المنازعات بعد المنح لكي تنسحب أيضا على سلوك أمناء التسجيل في مكاتب التسجيل (انظر الرابط التالي: </w:t>
      </w:r>
      <w:r w:rsidRPr="008A1EDB">
        <w:t>http://www.wipo.int/amc/en/docs/icann260310rap.pdf</w:t>
      </w:r>
      <w:r w:rsidRPr="008A1EDB">
        <w:rPr>
          <w:rtl/>
        </w:rPr>
        <w:t xml:space="preserve"> على سبيل المثال) مع مراعاة الخب</w:t>
      </w:r>
      <w:r w:rsidR="00410603" w:rsidRPr="008A1EDB">
        <w:rPr>
          <w:rtl/>
        </w:rPr>
        <w:t>رات التي اكتسبها المركز استنادا</w:t>
      </w:r>
      <w:r w:rsidRPr="008A1EDB">
        <w:rPr>
          <w:rtl/>
        </w:rPr>
        <w:t xml:space="preserve"> إلى السياسة الموحدة لتسوية المنازعات المتعلقة بأسماء الحقول وقرار الإيكان بإتاحة المشاركة في الملكية بين مكاتب التسجيل وأمناء التسجيل (انظر الرابط التالي:</w:t>
      </w:r>
      <w:r w:rsidR="00410603" w:rsidRPr="008A1EDB">
        <w:rPr>
          <w:rFonts w:hint="cs"/>
          <w:rtl/>
        </w:rPr>
        <w:t xml:space="preserve"> </w:t>
      </w:r>
      <w:r w:rsidR="00410603" w:rsidRPr="008A1EDB">
        <w:t>http://www.icann.org/en/minutes/resolutions 05nov10 en.htm</w:t>
      </w:r>
      <w:r w:rsidR="00410603" w:rsidRPr="008A1EDB">
        <w:rPr>
          <w:rFonts w:hint="cs"/>
          <w:rtl/>
        </w:rPr>
        <w:t>).</w:t>
      </w:r>
    </w:p>
  </w:footnote>
  <w:footnote w:id="42">
    <w:p w:rsidR="00C83DA6" w:rsidRPr="008A1EDB" w:rsidRDefault="00C83DA6">
      <w:pPr>
        <w:pStyle w:val="FootnoteText"/>
        <w:rPr>
          <w:rtl/>
        </w:rPr>
      </w:pPr>
      <w:r w:rsidRPr="008A1EDB">
        <w:rPr>
          <w:rStyle w:val="FootnoteReference"/>
          <w:sz w:val="28"/>
          <w:szCs w:val="28"/>
        </w:rPr>
        <w:footnoteRef/>
      </w:r>
      <w:r w:rsidRPr="008A1EDB">
        <w:rPr>
          <w:rtl/>
        </w:rPr>
        <w:t xml:space="preserve"> </w:t>
      </w:r>
      <w:r w:rsidR="005A336E" w:rsidRPr="008A1EDB">
        <w:rPr>
          <w:rtl/>
        </w:rPr>
        <w:t>يتيح مركز تبادل المعلومات إدراج الكلمات الدالة على العلامات المسجلة والكلمات الدالة على العلامات والمحمية بنظام أو معاهدة أو مثبتة بقرار محكمة وأيضا "علامات أخرى تعتبر ملكية فكرية" (ولم تحدد هذه العلامات). وفيما يتعلق بآليات حماية الحقوق التي تستخدم بيانات مركز تبادل المعلومات، فإن توفر خدمات "</w:t>
      </w:r>
      <w:r w:rsidR="005A336E" w:rsidRPr="008A1EDB">
        <w:t>Sunrise</w:t>
      </w:r>
      <w:r w:rsidR="005A336E" w:rsidRPr="008A1EDB">
        <w:rPr>
          <w:rtl/>
        </w:rPr>
        <w:t>" (أي</w:t>
      </w:r>
      <w:r w:rsidR="005A336E" w:rsidRPr="008A1EDB">
        <w:rPr>
          <w:rFonts w:hint="cs"/>
          <w:rtl/>
        </w:rPr>
        <w:t>ْ</w:t>
      </w:r>
      <w:r w:rsidR="005A336E" w:rsidRPr="008A1EDB">
        <w:rPr>
          <w:rtl/>
        </w:rPr>
        <w:t xml:space="preserve"> فرصة لمالك العلامة التجارية لكي يكون له السبق في تسجيل رابط صحيح لعلامته اسما لحقله مقابل دفع رسم على ذلك) يقتصر على تلك العلامات التجارية التي يمكن إثبات استخدامها الجاري. وسواء ثبت دليل على الاستخدام الجاري للعلامات التجارية أو لم يثبت، سيظل أيضا أصحاب العلامات التجارية مؤهلين للمشاركة في خدمة "المطالب" المحددة بوقت معين (أي</w:t>
      </w:r>
      <w:r w:rsidR="005A336E" w:rsidRPr="008A1EDB">
        <w:rPr>
          <w:rFonts w:hint="cs"/>
          <w:rtl/>
        </w:rPr>
        <w:t>ْ</w:t>
      </w:r>
      <w:r w:rsidR="005A336E" w:rsidRPr="008A1EDB">
        <w:rPr>
          <w:rtl/>
        </w:rPr>
        <w:t xml:space="preserve"> إشعار مسجل اسم الحقل المحتمل بوجود حق متنازع عليه في العلامة التجارية، وإشعار لصاحب العلامة التجارية المعني (أو الأصحاب المعنيين) في حالة استمرار المسجل رغم ذلك في إجراءات تسجيل اسم الحقل). والحد الأقصى، كما وضعته الإيكان، لمدة إتاحة خدمة المطالب هو 90 يوما بعد فتح أحد الحقول العليا الجديدة المكونة من أسماء عامة لتسجيل الجمهور العام، ولكن يتسنى لمستخدمي مركز تبادل المعلومات اختيار تلقي إشعارات مدى الحياة. وينطبق مبدأ إثبات استخدام العلامات التجارية اللازم لخدمات "</w:t>
      </w:r>
      <w:r w:rsidR="005A336E" w:rsidRPr="008A1EDB">
        <w:t>Sunrise</w:t>
      </w:r>
      <w:r w:rsidR="005A336E" w:rsidRPr="008A1EDB">
        <w:rPr>
          <w:rtl/>
        </w:rPr>
        <w:t>" المبكرة كذلك على التمسك بالعلامات التجارية باعتبارها أساسا لتقديم تظلم في إطار "الإجراء الموحد للوقف السريع" الخاص بآليات حماية الحقوق المبيّنة في هذه الوثيقة.</w:t>
      </w:r>
    </w:p>
  </w:footnote>
  <w:footnote w:id="43">
    <w:p w:rsidR="00C83DA6" w:rsidRPr="008A1EDB" w:rsidRDefault="00C83DA6">
      <w:pPr>
        <w:pStyle w:val="FootnoteText"/>
        <w:rPr>
          <w:rtl/>
        </w:rPr>
      </w:pPr>
      <w:r w:rsidRPr="008A1EDB">
        <w:rPr>
          <w:rStyle w:val="FootnoteReference"/>
          <w:sz w:val="28"/>
          <w:szCs w:val="28"/>
        </w:rPr>
        <w:footnoteRef/>
      </w:r>
      <w:r w:rsidRPr="008A1EDB">
        <w:rPr>
          <w:rtl/>
        </w:rPr>
        <w:t xml:space="preserve"> </w:t>
      </w:r>
      <w:r w:rsidR="005A336E" w:rsidRPr="008A1EDB">
        <w:rPr>
          <w:rFonts w:hint="cs"/>
          <w:rtl/>
        </w:rPr>
        <w:t xml:space="preserve">انظر </w:t>
      </w:r>
      <w:r w:rsidR="005A336E" w:rsidRPr="008A1EDB">
        <w:t>http://trademark-clearinghouse.com/content/tmch-stats</w:t>
      </w:r>
      <w:r w:rsidR="005A336E" w:rsidRPr="008A1EDB">
        <w:rPr>
          <w:rFonts w:hint="cs"/>
          <w:rtl/>
        </w:rPr>
        <w:t>.</w:t>
      </w:r>
    </w:p>
  </w:footnote>
  <w:footnote w:id="44">
    <w:p w:rsidR="00BF7140" w:rsidRPr="008A1EDB" w:rsidRDefault="00BF7140">
      <w:pPr>
        <w:pStyle w:val="FootnoteText"/>
        <w:rPr>
          <w:rtl/>
        </w:rPr>
      </w:pPr>
      <w:r w:rsidRPr="008A1EDB">
        <w:rPr>
          <w:rStyle w:val="FootnoteReference"/>
          <w:sz w:val="28"/>
          <w:szCs w:val="28"/>
        </w:rPr>
        <w:footnoteRef/>
      </w:r>
      <w:r w:rsidRPr="008A1EDB">
        <w:rPr>
          <w:rtl/>
        </w:rPr>
        <w:t xml:space="preserve"> أبلغ المركز، من جانبه، الإيكان في أبريل 2009 بمشروع مناقشة بشأن "آلية للوقف السريع (أسماء الحقول)" (انظر </w:t>
      </w:r>
      <w:r w:rsidRPr="008A1EDB">
        <w:t>http://www.wipo.int/amc/en/docs/icann030409.pdf</w:t>
      </w:r>
      <w:r w:rsidRPr="008A1EDB">
        <w:rPr>
          <w:rtl/>
        </w:rPr>
        <w:t xml:space="preserve">) وقدم اقتراحات لاحقة لآلية معممة استنادا إلى هذا النموذج في اجتماعي الإيكان (انظر </w:t>
      </w:r>
      <w:r w:rsidRPr="008A1EDB">
        <w:t>http://prague44.icann.org/node/31773</w:t>
      </w:r>
      <w:r w:rsidRPr="008A1EDB">
        <w:rPr>
          <w:rtl/>
        </w:rPr>
        <w:t xml:space="preserve"> و</w:t>
      </w:r>
      <w:r w:rsidRPr="008A1EDB">
        <w:t>http://toronto45.icann.org/node/34325</w:t>
      </w:r>
      <w:r w:rsidRPr="008A1EDB">
        <w:rPr>
          <w:rtl/>
        </w:rPr>
        <w:t>). وقد راعت هذه الاقتراحات ضرورة إقامة توازن بين حماية حقوق العلامات التجارية التي يقر بها القانون والمصالح العملية للمسؤولين عن مكاتب التسجيل حسن النية للحد من أعبائهم التشغيلية والتطلعات المشروعة لأصحاب أسماء الحقول المسجلة عن حسن نية.</w:t>
      </w:r>
    </w:p>
  </w:footnote>
  <w:footnote w:id="45">
    <w:p w:rsidR="00DE7129" w:rsidRPr="008A1EDB" w:rsidRDefault="00DE7129">
      <w:pPr>
        <w:pStyle w:val="FootnoteText"/>
        <w:rPr>
          <w:rtl/>
        </w:rPr>
      </w:pPr>
      <w:r w:rsidRPr="008A1EDB">
        <w:rPr>
          <w:rStyle w:val="FootnoteReference"/>
          <w:sz w:val="28"/>
          <w:szCs w:val="28"/>
        </w:rPr>
        <w:footnoteRef/>
      </w:r>
      <w:r w:rsidRPr="008A1EDB">
        <w:rPr>
          <w:rtl/>
        </w:rPr>
        <w:t xml:space="preserve"> ترد، من بين أمور أخرى، قائمة مفصلّة بهذه المسائل في الخطاب الذي أرسله مركز الويبو إلى الإيكان بتاريخ 2 ديسمبر 2010 والمنشور على الرابط التالي: </w:t>
      </w:r>
      <w:r w:rsidRPr="008A1EDB">
        <w:t>http://www.wipo.int/amc/en/docs/icann021210.pdf</w:t>
      </w:r>
      <w:r w:rsidRPr="008A1EDB">
        <w:rPr>
          <w:rtl/>
        </w:rPr>
        <w:t>.</w:t>
      </w:r>
    </w:p>
  </w:footnote>
  <w:footnote w:id="46">
    <w:p w:rsidR="00DE7129" w:rsidRPr="008A1EDB" w:rsidRDefault="00DE7129" w:rsidP="00DE7129">
      <w:pPr>
        <w:pStyle w:val="FootnoteText"/>
        <w:rPr>
          <w:rtl/>
        </w:rPr>
      </w:pPr>
      <w:r w:rsidRPr="008A1EDB">
        <w:rPr>
          <w:rStyle w:val="FootnoteReference"/>
          <w:sz w:val="28"/>
          <w:szCs w:val="28"/>
        </w:rPr>
        <w:footnoteRef/>
      </w:r>
      <w:r w:rsidRPr="008A1EDB">
        <w:rPr>
          <w:rtl/>
        </w:rPr>
        <w:t xml:space="preserve"> مسألة اعتماد مقدمي الخدمة تثير المخاوف بشأن استقرار آليات حماية الحقوق؛ وأعربت الويبو عن قلقها إزاء الأمر ذاته منذ </w:t>
      </w:r>
      <w:r w:rsidRPr="008A1EDB">
        <w:rPr>
          <w:rFonts w:hint="cs"/>
          <w:rtl/>
        </w:rPr>
        <w:t xml:space="preserve">أوائل </w:t>
      </w:r>
      <w:r w:rsidRPr="008A1EDB">
        <w:rPr>
          <w:rtl/>
        </w:rPr>
        <w:t xml:space="preserve">عام 2007 في سياق السياسة الموحدة (انظر </w:t>
      </w:r>
      <w:r w:rsidRPr="008A1EDB">
        <w:t>http://www.wipo.int/amc/en/docs/icann040707.pdf</w:t>
      </w:r>
      <w:r w:rsidRPr="008A1EDB">
        <w:rPr>
          <w:rtl/>
        </w:rPr>
        <w:t>).</w:t>
      </w:r>
    </w:p>
  </w:footnote>
  <w:footnote w:id="47">
    <w:p w:rsidR="00352970" w:rsidRPr="008A1EDB" w:rsidRDefault="00352970">
      <w:pPr>
        <w:pStyle w:val="FootnoteText"/>
        <w:rPr>
          <w:rtl/>
        </w:rPr>
      </w:pPr>
      <w:r w:rsidRPr="008A1EDB">
        <w:rPr>
          <w:rStyle w:val="FootnoteReference"/>
          <w:sz w:val="28"/>
          <w:szCs w:val="28"/>
        </w:rPr>
        <w:footnoteRef/>
      </w:r>
      <w:r w:rsidRPr="008A1EDB">
        <w:rPr>
          <w:rtl/>
        </w:rPr>
        <w:t xml:space="preserve"> </w:t>
      </w:r>
      <w:r w:rsidR="00B325B7" w:rsidRPr="008A1EDB">
        <w:rPr>
          <w:rtl/>
        </w:rPr>
        <w:t xml:space="preserve">انظر الرابط التالي: </w:t>
      </w:r>
      <w:r w:rsidR="00B325B7" w:rsidRPr="008A1EDB">
        <w:t>https://community.icann.org/display/gnsoudrpdt/Webinar+on+the+Current+State+of+the+UDRP</w:t>
      </w:r>
      <w:r w:rsidR="00B325B7" w:rsidRPr="008A1EDB">
        <w:rPr>
          <w:rtl/>
        </w:rPr>
        <w:t xml:space="preserve">. ويمكن عموما الاطلاع أيضا على الفقرة 31 من الوثيقة </w:t>
      </w:r>
      <w:r w:rsidR="00B325B7" w:rsidRPr="008A1EDB">
        <w:t>WO/GA/39/10</w:t>
      </w:r>
      <w:r w:rsidR="00B325B7" w:rsidRPr="008A1EDB">
        <w:rPr>
          <w:rtl/>
        </w:rPr>
        <w:t>.</w:t>
      </w:r>
    </w:p>
  </w:footnote>
  <w:footnote w:id="48">
    <w:p w:rsidR="00B6731B" w:rsidRPr="008A1EDB" w:rsidRDefault="00B6731B">
      <w:pPr>
        <w:pStyle w:val="FootnoteText"/>
        <w:rPr>
          <w:rtl/>
        </w:rPr>
      </w:pPr>
      <w:r w:rsidRPr="008A1EDB">
        <w:rPr>
          <w:rStyle w:val="FootnoteReference"/>
          <w:sz w:val="28"/>
          <w:szCs w:val="28"/>
        </w:rPr>
        <w:footnoteRef/>
      </w:r>
      <w:r w:rsidRPr="008A1EDB">
        <w:rPr>
          <w:rtl/>
        </w:rPr>
        <w:t xml:space="preserve"> </w:t>
      </w:r>
      <w:r w:rsidR="00B325B7" w:rsidRPr="008A1EDB">
        <w:rPr>
          <w:rFonts w:hint="cs"/>
          <w:rtl/>
        </w:rPr>
        <w:t xml:space="preserve">انظر </w:t>
      </w:r>
      <w:r w:rsidR="00B325B7" w:rsidRPr="008A1EDB">
        <w:t>http://gnso.icann.org/en/issues/new-gtlds/rpm-prelim-issue-09oct15-en.pdf</w:t>
      </w:r>
      <w:r w:rsidR="00B325B7" w:rsidRPr="008A1EDB">
        <w:rPr>
          <w:rFonts w:hint="cs"/>
          <w:rtl/>
        </w:rPr>
        <w:t>.</w:t>
      </w:r>
    </w:p>
  </w:footnote>
  <w:footnote w:id="49">
    <w:p w:rsidR="00B6731B" w:rsidRPr="008A1EDB" w:rsidRDefault="00B6731B">
      <w:pPr>
        <w:pStyle w:val="FootnoteText"/>
      </w:pPr>
      <w:r w:rsidRPr="008A1EDB">
        <w:rPr>
          <w:rStyle w:val="FootnoteReference"/>
          <w:sz w:val="28"/>
          <w:szCs w:val="28"/>
        </w:rPr>
        <w:footnoteRef/>
      </w:r>
      <w:r w:rsidRPr="008A1EDB">
        <w:rPr>
          <w:rtl/>
        </w:rPr>
        <w:t xml:space="preserve"> </w:t>
      </w:r>
      <w:r w:rsidR="00B325B7" w:rsidRPr="008A1EDB">
        <w:rPr>
          <w:rFonts w:hint="cs"/>
          <w:rtl/>
        </w:rPr>
        <w:t xml:space="preserve">انظر </w:t>
      </w:r>
      <w:r w:rsidR="00B325B7" w:rsidRPr="008A1EDB">
        <w:t>https://gnso.icann.org/en/issues/new-gtlds/rpm-final-issue-11jan16-en.pdf</w:t>
      </w:r>
      <w:r w:rsidR="00B325B7" w:rsidRPr="008A1EDB">
        <w:rPr>
          <w:rFonts w:hint="cs"/>
          <w:rtl/>
        </w:rPr>
        <w:t>.</w:t>
      </w:r>
    </w:p>
  </w:footnote>
  <w:footnote w:id="50">
    <w:p w:rsidR="002B38EA" w:rsidRPr="008A1EDB" w:rsidRDefault="002B38EA">
      <w:pPr>
        <w:pStyle w:val="FootnoteText"/>
        <w:rPr>
          <w:rtl/>
        </w:rPr>
      </w:pPr>
      <w:r w:rsidRPr="008A1EDB">
        <w:rPr>
          <w:rStyle w:val="FootnoteReference"/>
          <w:sz w:val="28"/>
          <w:szCs w:val="28"/>
        </w:rPr>
        <w:footnoteRef/>
      </w:r>
      <w:r w:rsidRPr="008A1EDB">
        <w:rPr>
          <w:rtl/>
        </w:rPr>
        <w:t xml:space="preserve"> </w:t>
      </w:r>
      <w:r w:rsidRPr="008A1EDB">
        <w:rPr>
          <w:rFonts w:hint="cs"/>
          <w:rtl/>
        </w:rPr>
        <w:t xml:space="preserve">انظر </w:t>
      </w:r>
      <w:r w:rsidRPr="008A1EDB">
        <w:t>https://www.icann.org/resources/pages/gtld-registration-data-specs-en</w:t>
      </w:r>
      <w:r w:rsidRPr="008A1EDB">
        <w:rPr>
          <w:rFonts w:hint="cs"/>
          <w:rtl/>
        </w:rPr>
        <w:t>، في المرفق واو.</w:t>
      </w:r>
    </w:p>
  </w:footnote>
  <w:footnote w:id="51">
    <w:p w:rsidR="00B17F54" w:rsidRPr="008A1EDB" w:rsidRDefault="00B17F54" w:rsidP="00B17F54">
      <w:pPr>
        <w:pStyle w:val="FootnoteText"/>
        <w:rPr>
          <w:rtl/>
        </w:rPr>
      </w:pPr>
      <w:r w:rsidRPr="008A1EDB">
        <w:rPr>
          <w:rStyle w:val="FootnoteReference"/>
          <w:sz w:val="28"/>
          <w:szCs w:val="28"/>
        </w:rPr>
        <w:footnoteRef/>
      </w:r>
      <w:r w:rsidRPr="008A1EDB">
        <w:rPr>
          <w:rtl/>
        </w:rPr>
        <w:t xml:space="preserve"> </w:t>
      </w:r>
      <w:r w:rsidRPr="008A1EDB">
        <w:rPr>
          <w:rFonts w:hint="cs"/>
          <w:rtl/>
        </w:rPr>
        <w:t xml:space="preserve">انظر </w:t>
      </w:r>
      <w:r w:rsidRPr="008A1EDB">
        <w:t>https://www.icann.org/en/system/files/files/framework-elements-unified-access-model-for-discussion-18jun18-en.pdf</w:t>
      </w:r>
      <w:r w:rsidRPr="008A1EDB">
        <w:rPr>
          <w:rFonts w:hint="cs"/>
          <w:rtl/>
        </w:rPr>
        <w:t xml:space="preserve">. وانظر أيضا جدول أعمال اجتماع </w:t>
      </w:r>
      <w:r w:rsidRPr="008A1EDB">
        <w:rPr>
          <w:rtl/>
        </w:rPr>
        <w:t>الإيكان</w:t>
      </w:r>
      <w:r w:rsidRPr="008A1EDB">
        <w:rPr>
          <w:rFonts w:hint="cs"/>
          <w:rtl/>
        </w:rPr>
        <w:t xml:space="preserve"> في يونيو 2018 على الرابط التالي: </w:t>
      </w:r>
      <w:r w:rsidRPr="008A1EDB">
        <w:t>https://62.schedule.icann.org/</w:t>
      </w:r>
      <w:r w:rsidRPr="008A1EDB">
        <w:rPr>
          <w:rFonts w:hint="cs"/>
          <w:rtl/>
        </w:rPr>
        <w:t>.</w:t>
      </w:r>
    </w:p>
  </w:footnote>
  <w:footnote w:id="52">
    <w:p w:rsidR="002105C4" w:rsidRPr="008A1EDB" w:rsidRDefault="002105C4">
      <w:pPr>
        <w:pStyle w:val="FootnoteText"/>
        <w:rPr>
          <w:rtl/>
        </w:rPr>
      </w:pPr>
      <w:r w:rsidRPr="008A1EDB">
        <w:rPr>
          <w:rStyle w:val="FootnoteReference"/>
          <w:sz w:val="28"/>
          <w:szCs w:val="28"/>
        </w:rPr>
        <w:footnoteRef/>
      </w:r>
      <w:r w:rsidRPr="008A1EDB">
        <w:rPr>
          <w:rtl/>
        </w:rPr>
        <w:t xml:space="preserve"> انظر أيضا الخطة النهائية لتنفيذ الإجراء العاجل لتحديد أسماء الحقول الدولية المدرجة في الحقول العليا المكونة من رموز البلدان التي نُشرت في نوفمبر 2009 (انظر </w:t>
      </w:r>
      <w:r w:rsidRPr="008A1EDB">
        <w:t>https://www.icann.org/en/system/files/files/idn-cctld-implementation-plan-16nov09-en.pdf</w:t>
      </w:r>
      <w:r w:rsidRPr="008A1EDB">
        <w:rPr>
          <w:rtl/>
        </w:rPr>
        <w:t xml:space="preserve">). وهذا ما أتاح منذ ذلك الحين استحداث أسماء حقول دولية مدرجة في الحقول العليا المكونة من رموز البلدان في سياق الرموز ثنائية الحروف الواردة في المعيار </w:t>
      </w:r>
      <w:r w:rsidRPr="008A1EDB">
        <w:t>ISO 3166-1</w:t>
      </w:r>
      <w:r w:rsidRPr="008A1EDB">
        <w:rPr>
          <w:rtl/>
        </w:rPr>
        <w:t xml:space="preserve">. (انظر </w:t>
      </w:r>
      <w:r w:rsidRPr="008A1EDB">
        <w:t>http://www.iso.org/iso/english_country_names_and_code_elements</w:t>
      </w:r>
      <w:r w:rsidRPr="008A1EDB">
        <w:rPr>
          <w:rtl/>
        </w:rPr>
        <w:t>).</w:t>
      </w:r>
    </w:p>
  </w:footnote>
  <w:footnote w:id="53">
    <w:p w:rsidR="002355EC" w:rsidRPr="008A1EDB" w:rsidRDefault="002355EC">
      <w:pPr>
        <w:pStyle w:val="FootnoteText"/>
        <w:rPr>
          <w:rtl/>
        </w:rPr>
      </w:pPr>
      <w:r w:rsidRPr="008A1EDB">
        <w:rPr>
          <w:rStyle w:val="FootnoteReference"/>
          <w:sz w:val="28"/>
          <w:szCs w:val="28"/>
        </w:rPr>
        <w:footnoteRef/>
      </w:r>
      <w:r w:rsidRPr="008A1EDB">
        <w:rPr>
          <w:rtl/>
        </w:rPr>
        <w:t xml:space="preserve"> انظر الرابط التالي: </w:t>
      </w:r>
      <w:r w:rsidRPr="008A1EDB">
        <w:t>http://www.wipo.int/edocs/mdocs/govbody/en/wo_ga_28/wo_ga_28_3.pdf</w:t>
      </w:r>
      <w:r w:rsidRPr="008A1EDB">
        <w:rPr>
          <w:rtl/>
        </w:rPr>
        <w:t xml:space="preserve">، وانظر أيضا الفقرات من 6 إلى 11 في الوثيقة </w:t>
      </w:r>
      <w:r w:rsidRPr="008A1EDB">
        <w:t>SCT/9/8</w:t>
      </w:r>
      <w:r w:rsidRPr="008A1EDB">
        <w:rPr>
          <w:rtl/>
        </w:rPr>
        <w:t xml:space="preserve"> والفقرة 149 في الوثيقة </w:t>
      </w:r>
      <w:r w:rsidRPr="008A1EDB">
        <w:t>SCT/9/9</w:t>
      </w:r>
      <w:r w:rsidRPr="008A1EDB">
        <w:rPr>
          <w:rtl/>
        </w:rPr>
        <w:t>.</w:t>
      </w:r>
    </w:p>
  </w:footnote>
  <w:footnote w:id="54">
    <w:p w:rsidR="002355EC" w:rsidRPr="008A1EDB" w:rsidRDefault="002355EC">
      <w:pPr>
        <w:pStyle w:val="FootnoteText"/>
        <w:rPr>
          <w:rtl/>
        </w:rPr>
      </w:pPr>
      <w:r w:rsidRPr="008A1EDB">
        <w:rPr>
          <w:rStyle w:val="FootnoteReference"/>
          <w:sz w:val="28"/>
          <w:szCs w:val="28"/>
        </w:rPr>
        <w:footnoteRef/>
      </w:r>
      <w:r w:rsidRPr="008A1EDB">
        <w:rPr>
          <w:rtl/>
        </w:rPr>
        <w:t xml:space="preserve"> </w:t>
      </w:r>
      <w:r w:rsidRPr="008A1EDB">
        <w:rPr>
          <w:rFonts w:hint="cs"/>
          <w:rtl/>
        </w:rPr>
        <w:t xml:space="preserve">انظر </w:t>
      </w:r>
      <w:r w:rsidRPr="008A1EDB">
        <w:t>http://www.wipo.int/amc/en/docs/wipo.doc</w:t>
      </w:r>
      <w:r w:rsidRPr="008A1EDB">
        <w:rPr>
          <w:rFonts w:hint="cs"/>
          <w:rtl/>
        </w:rPr>
        <w:t>.</w:t>
      </w:r>
    </w:p>
  </w:footnote>
  <w:footnote w:id="55">
    <w:p w:rsidR="0002285F" w:rsidRPr="008A1EDB" w:rsidRDefault="0002285F">
      <w:pPr>
        <w:pStyle w:val="FootnoteText"/>
        <w:rPr>
          <w:rtl/>
        </w:rPr>
      </w:pPr>
      <w:r w:rsidRPr="008A1EDB">
        <w:rPr>
          <w:rStyle w:val="FootnoteReference"/>
          <w:sz w:val="28"/>
          <w:szCs w:val="28"/>
        </w:rPr>
        <w:footnoteRef/>
      </w:r>
      <w:r w:rsidRPr="008A1EDB">
        <w:rPr>
          <w:rtl/>
        </w:rPr>
        <w:t xml:space="preserve"> </w:t>
      </w:r>
      <w:r w:rsidR="006278C7" w:rsidRPr="008A1EDB">
        <w:rPr>
          <w:rtl/>
        </w:rPr>
        <w:t xml:space="preserve">للاطلاع على المعلومات الأساسية، انظر الوثيقة </w:t>
      </w:r>
      <w:r w:rsidR="006278C7" w:rsidRPr="008A1EDB">
        <w:t>WO/GA/41/17 Rev.2</w:t>
      </w:r>
      <w:r w:rsidR="006278C7" w:rsidRPr="008A1EDB">
        <w:rPr>
          <w:rtl/>
        </w:rPr>
        <w:t>، وتحديدا الفقرتين 40 و41.</w:t>
      </w:r>
    </w:p>
  </w:footnote>
  <w:footnote w:id="56">
    <w:p w:rsidR="00954DBA" w:rsidRPr="008A1EDB" w:rsidRDefault="00954DBA">
      <w:pPr>
        <w:pStyle w:val="FootnoteText"/>
        <w:rPr>
          <w:rtl/>
        </w:rPr>
      </w:pPr>
      <w:r w:rsidRPr="008A1EDB">
        <w:rPr>
          <w:rStyle w:val="FootnoteReference"/>
          <w:sz w:val="28"/>
          <w:szCs w:val="28"/>
        </w:rPr>
        <w:footnoteRef/>
      </w:r>
      <w:r w:rsidRPr="008A1EDB">
        <w:rPr>
          <w:rtl/>
        </w:rPr>
        <w:t xml:space="preserve"> </w:t>
      </w:r>
      <w:r w:rsidR="006278C7" w:rsidRPr="008A1EDB">
        <w:rPr>
          <w:rFonts w:hint="cs"/>
          <w:rtl/>
        </w:rPr>
        <w:t xml:space="preserve">انظر </w:t>
      </w:r>
      <w:r w:rsidR="006278C7" w:rsidRPr="008A1EDB">
        <w:t>https://gacweb.icann.org/download/attachments/27132070/FINAL_Toronto_Communique_20121017.pdf?version=1&amp;modificationDate=1354149148000&amp;api=v2</w:t>
      </w:r>
      <w:r w:rsidR="006278C7" w:rsidRPr="008A1EDB">
        <w:rPr>
          <w:rFonts w:hint="cs"/>
          <w:rtl/>
        </w:rPr>
        <w:t>.</w:t>
      </w:r>
    </w:p>
  </w:footnote>
  <w:footnote w:id="57">
    <w:p w:rsidR="00CE0A3A" w:rsidRPr="008A1EDB" w:rsidRDefault="00CE0A3A">
      <w:pPr>
        <w:pStyle w:val="FootnoteText"/>
        <w:rPr>
          <w:rtl/>
        </w:rPr>
      </w:pPr>
      <w:r w:rsidRPr="008A1EDB">
        <w:rPr>
          <w:rStyle w:val="FootnoteReference"/>
          <w:sz w:val="28"/>
          <w:szCs w:val="28"/>
        </w:rPr>
        <w:footnoteRef/>
      </w:r>
      <w:r w:rsidRPr="008A1EDB">
        <w:rPr>
          <w:rtl/>
        </w:rPr>
        <w:t xml:space="preserve"> </w:t>
      </w:r>
      <w:r w:rsidR="00557B3B" w:rsidRPr="008A1EDB">
        <w:rPr>
          <w:rFonts w:hint="cs"/>
          <w:rtl/>
        </w:rPr>
        <w:t xml:space="preserve">انظر </w:t>
      </w:r>
      <w:r w:rsidR="00557B3B" w:rsidRPr="008A1EDB">
        <w:t>https://www.icann.org/en/system/files/correspondence/crocker-to-dryden-16jan13-en.pdf</w:t>
      </w:r>
      <w:r w:rsidR="00557B3B" w:rsidRPr="008A1EDB">
        <w:rPr>
          <w:rFonts w:hint="cs"/>
          <w:rtl/>
        </w:rPr>
        <w:t>.</w:t>
      </w:r>
    </w:p>
  </w:footnote>
  <w:footnote w:id="58">
    <w:p w:rsidR="000115BF" w:rsidRPr="008A1EDB" w:rsidRDefault="000115BF">
      <w:pPr>
        <w:pStyle w:val="FootnoteText"/>
        <w:rPr>
          <w:rtl/>
        </w:rPr>
      </w:pPr>
      <w:r w:rsidRPr="008A1EDB">
        <w:rPr>
          <w:rStyle w:val="FootnoteReference"/>
          <w:sz w:val="28"/>
          <w:szCs w:val="28"/>
        </w:rPr>
        <w:footnoteRef/>
      </w:r>
      <w:r w:rsidRPr="008A1EDB">
        <w:rPr>
          <w:rtl/>
        </w:rPr>
        <w:t xml:space="preserve"> </w:t>
      </w:r>
      <w:r w:rsidR="00557B3B" w:rsidRPr="008A1EDB">
        <w:rPr>
          <w:rtl/>
        </w:rPr>
        <w:t>تشمل هذه المعايير المنظمات الحكومية الدولية القائمة على المعاهدات ذات الشخصية القانونية الدولية، أو العاملة كمراقبين تابعين للأمم المتحدة، أو العاملة كصناديق أو برامج تابعة للأمم المتحدة.</w:t>
      </w:r>
    </w:p>
  </w:footnote>
  <w:footnote w:id="59">
    <w:p w:rsidR="000115BF" w:rsidRPr="008A1EDB" w:rsidRDefault="000115BF">
      <w:pPr>
        <w:pStyle w:val="FootnoteText"/>
        <w:rPr>
          <w:rtl/>
        </w:rPr>
      </w:pPr>
      <w:r w:rsidRPr="008A1EDB">
        <w:rPr>
          <w:rStyle w:val="FootnoteReference"/>
          <w:sz w:val="28"/>
          <w:szCs w:val="28"/>
        </w:rPr>
        <w:footnoteRef/>
      </w:r>
      <w:r w:rsidRPr="008A1EDB">
        <w:rPr>
          <w:rtl/>
        </w:rPr>
        <w:t xml:space="preserve"> </w:t>
      </w:r>
      <w:r w:rsidR="00662F2E" w:rsidRPr="008A1EDB">
        <w:rPr>
          <w:rFonts w:hint="cs"/>
          <w:rtl/>
        </w:rPr>
        <w:t xml:space="preserve">انظر </w:t>
      </w:r>
      <w:r w:rsidR="00662F2E" w:rsidRPr="008A1EDB">
        <w:t>http://www.icann.org/en/news/correspondence/dryden-to-crocker-chalaby-22mar13-en</w:t>
      </w:r>
      <w:r w:rsidR="00662F2E" w:rsidRPr="008A1EDB">
        <w:rPr>
          <w:rFonts w:hint="cs"/>
          <w:rtl/>
        </w:rPr>
        <w:t>.</w:t>
      </w:r>
    </w:p>
  </w:footnote>
  <w:footnote w:id="60">
    <w:p w:rsidR="007B5008" w:rsidRPr="008A1EDB" w:rsidRDefault="007B5008">
      <w:pPr>
        <w:pStyle w:val="FootnoteText"/>
        <w:rPr>
          <w:rtl/>
        </w:rPr>
      </w:pPr>
      <w:r w:rsidRPr="008A1EDB">
        <w:rPr>
          <w:rStyle w:val="FootnoteReference"/>
          <w:sz w:val="28"/>
          <w:szCs w:val="28"/>
        </w:rPr>
        <w:footnoteRef/>
      </w:r>
      <w:r w:rsidRPr="008A1EDB">
        <w:rPr>
          <w:rtl/>
        </w:rPr>
        <w:t xml:space="preserve"> </w:t>
      </w:r>
      <w:r w:rsidR="00592050" w:rsidRPr="008A1EDB">
        <w:rPr>
          <w:rtl/>
        </w:rPr>
        <w:t xml:space="preserve">طلب المجلس أيضا توضيح المقصود بالوسيلة الممكنة لإجراء مراجعة دورية للقائمة بمزيد من التحديد، وتوضيح أية لغات إضافية يُطلب توفير حماية أسماء المنظمات الحكومية الدولية ومختصراتها بها. انظر الرابط التالي: </w:t>
      </w:r>
      <w:r w:rsidR="00592050" w:rsidRPr="008A1EDB">
        <w:t>http://www.icann.org/en/news/correspondence/crocker-to-dryden-01apr13-en</w:t>
      </w:r>
      <w:r w:rsidR="00592050" w:rsidRPr="008A1EDB">
        <w:rPr>
          <w:rtl/>
        </w:rPr>
        <w:t>.</w:t>
      </w:r>
    </w:p>
  </w:footnote>
  <w:footnote w:id="61">
    <w:p w:rsidR="007B5008" w:rsidRPr="008A1EDB" w:rsidRDefault="007B5008" w:rsidP="00414B98">
      <w:pPr>
        <w:pStyle w:val="FootnoteText"/>
        <w:rPr>
          <w:rtl/>
        </w:rPr>
      </w:pPr>
      <w:r w:rsidRPr="008A1EDB">
        <w:rPr>
          <w:rStyle w:val="FootnoteReference"/>
          <w:sz w:val="28"/>
          <w:szCs w:val="28"/>
        </w:rPr>
        <w:footnoteRef/>
      </w:r>
      <w:r w:rsidRPr="008A1EDB">
        <w:rPr>
          <w:rtl/>
        </w:rPr>
        <w:t xml:space="preserve"> </w:t>
      </w:r>
      <w:r w:rsidR="00414B98" w:rsidRPr="008A1EDB">
        <w:rPr>
          <w:rtl/>
        </w:rPr>
        <w:t xml:space="preserve">أشارت اللجنة الاستشارية الحكومية أيضا </w:t>
      </w:r>
      <w:r w:rsidR="00414B98" w:rsidRPr="008A1EDB">
        <w:rPr>
          <w:rFonts w:hint="cs"/>
          <w:rtl/>
        </w:rPr>
        <w:t xml:space="preserve">إلى </w:t>
      </w:r>
      <w:r w:rsidR="00414B98" w:rsidRPr="008A1EDB">
        <w:rPr>
          <w:rtl/>
        </w:rPr>
        <w:t>أنه</w:t>
      </w:r>
      <w:r w:rsidR="00414B98" w:rsidRPr="008A1EDB">
        <w:rPr>
          <w:rFonts w:hint="cs"/>
          <w:rtl/>
        </w:rPr>
        <w:t>ا</w:t>
      </w:r>
      <w:r w:rsidR="00414B98" w:rsidRPr="008A1EDB">
        <w:rPr>
          <w:rtl/>
        </w:rPr>
        <w:t xml:space="preserve"> تفترض صراحة أن مجلس الإيكان مستعد لتنفيذ مشورتها بالكامل والتركيز على التنفيذ العملي والفعال للحماية الوقائية من الدرجة الثانية في الحقول العليا الجديدة المكوّنة من أسماء عامة، وأن تظل الحماية المؤقتة لأسماء المنظمات الحكومية الدولية ومختصراتها سارية حتى يستكمل الحوار بين اللجنة والإيكان والمنظمات الحكومية الدولية. انظر الرابط التالي: </w:t>
      </w:r>
      <w:r w:rsidR="00414B98" w:rsidRPr="008A1EDB">
        <w:t>http://durban47.icann.org/meetings/durban2013/presentation-gac-communique-18jul13-en.pdf</w:t>
      </w:r>
      <w:r w:rsidR="00414B98" w:rsidRPr="008A1EDB">
        <w:rPr>
          <w:rtl/>
        </w:rPr>
        <w:t>.</w:t>
      </w:r>
    </w:p>
  </w:footnote>
  <w:footnote w:id="62">
    <w:p w:rsidR="007B5008" w:rsidRPr="008A1EDB" w:rsidRDefault="007B5008">
      <w:pPr>
        <w:pStyle w:val="FootnoteText"/>
        <w:rPr>
          <w:rtl/>
        </w:rPr>
      </w:pPr>
      <w:r w:rsidRPr="008A1EDB">
        <w:rPr>
          <w:rStyle w:val="FootnoteReference"/>
          <w:sz w:val="28"/>
          <w:szCs w:val="28"/>
        </w:rPr>
        <w:footnoteRef/>
      </w:r>
      <w:r w:rsidRPr="008A1EDB">
        <w:rPr>
          <w:rtl/>
        </w:rPr>
        <w:t xml:space="preserve"> </w:t>
      </w:r>
      <w:r w:rsidR="00414B98" w:rsidRPr="008A1EDB">
        <w:rPr>
          <w:rFonts w:hint="cs"/>
          <w:rtl/>
        </w:rPr>
        <w:t xml:space="preserve">انظر </w:t>
      </w:r>
      <w:r w:rsidR="00414B98" w:rsidRPr="008A1EDB">
        <w:t>https://www.icann.org/resources/board-material/resolutions-new-gtld-2013-07-17-en#1.a</w:t>
      </w:r>
      <w:r w:rsidR="00414B98" w:rsidRPr="008A1EDB">
        <w:rPr>
          <w:rFonts w:hint="cs"/>
          <w:rtl/>
        </w:rPr>
        <w:t>.</w:t>
      </w:r>
    </w:p>
  </w:footnote>
  <w:footnote w:id="63">
    <w:p w:rsidR="005A3446" w:rsidRPr="008A1EDB" w:rsidRDefault="005A3446">
      <w:pPr>
        <w:pStyle w:val="FootnoteText"/>
        <w:rPr>
          <w:rtl/>
        </w:rPr>
      </w:pPr>
      <w:r w:rsidRPr="008A1EDB">
        <w:rPr>
          <w:rStyle w:val="FootnoteReference"/>
          <w:sz w:val="28"/>
          <w:szCs w:val="28"/>
        </w:rPr>
        <w:footnoteRef/>
      </w:r>
      <w:r w:rsidRPr="008A1EDB">
        <w:rPr>
          <w:rtl/>
        </w:rPr>
        <w:t xml:space="preserve"> </w:t>
      </w:r>
      <w:r w:rsidR="0089248C" w:rsidRPr="008A1EDB">
        <w:rPr>
          <w:rtl/>
        </w:rPr>
        <w:t>كانت اللجنة الاستشارية الحكومية ولجنة برنامج الحقول العليا الجديدة المكوَّنة من أسماء عامة قد ألغيتا مشاركتهما في اجتماع اقترحت المنظمات الحكومية الدولية عقده في 30 سبتمبر.</w:t>
      </w:r>
    </w:p>
  </w:footnote>
  <w:footnote w:id="64">
    <w:p w:rsidR="00A155CF" w:rsidRPr="008A1EDB" w:rsidRDefault="00A155CF" w:rsidP="0089248C">
      <w:pPr>
        <w:pStyle w:val="FootnoteText"/>
        <w:rPr>
          <w:rtl/>
        </w:rPr>
      </w:pPr>
      <w:r w:rsidRPr="008A1EDB">
        <w:rPr>
          <w:rStyle w:val="FootnoteReference"/>
          <w:sz w:val="28"/>
          <w:szCs w:val="28"/>
        </w:rPr>
        <w:footnoteRef/>
      </w:r>
      <w:r w:rsidRPr="008A1EDB">
        <w:rPr>
          <w:rtl/>
        </w:rPr>
        <w:t xml:space="preserve"> </w:t>
      </w:r>
      <w:r w:rsidR="0089248C" w:rsidRPr="008A1EDB">
        <w:rPr>
          <w:rtl/>
        </w:rPr>
        <w:t xml:space="preserve">للاطلاع على موجز كامل، انظر الوثيقة </w:t>
      </w:r>
      <w:r w:rsidR="0089248C" w:rsidRPr="008A1EDB">
        <w:t>WO/GA/48/12 Rev.</w:t>
      </w:r>
      <w:r w:rsidR="0089248C" w:rsidRPr="008A1EDB">
        <w:rPr>
          <w:rtl/>
        </w:rPr>
        <w:t>، الفقرات من 42 إلى 45.</w:t>
      </w:r>
    </w:p>
  </w:footnote>
  <w:footnote w:id="65">
    <w:p w:rsidR="00DD2A7A" w:rsidRPr="008A1EDB" w:rsidRDefault="00DD2A7A" w:rsidP="00AB2661">
      <w:pPr>
        <w:pStyle w:val="FootnoteText"/>
      </w:pPr>
      <w:r w:rsidRPr="008A1EDB">
        <w:rPr>
          <w:rStyle w:val="FootnoteReference"/>
          <w:sz w:val="28"/>
          <w:szCs w:val="28"/>
        </w:rPr>
        <w:footnoteRef/>
      </w:r>
      <w:r w:rsidRPr="008A1EDB">
        <w:rPr>
          <w:rtl/>
        </w:rPr>
        <w:t xml:space="preserve"> </w:t>
      </w:r>
      <w:r w:rsidR="00AB2661" w:rsidRPr="008A1EDB">
        <w:rPr>
          <w:rFonts w:hint="cs"/>
          <w:rtl/>
        </w:rPr>
        <w:t xml:space="preserve">انظر </w:t>
      </w:r>
      <w:r w:rsidR="00AB2661" w:rsidRPr="008A1EDB">
        <w:t>https://www.icann.org/en/system/files/files/resolutions-abudhabi60-gac-advice-scorecard-04feb18-en.pdf</w:t>
      </w:r>
      <w:r w:rsidR="00AB2661" w:rsidRPr="008A1EDB">
        <w:rPr>
          <w:rFonts w:hint="cs"/>
          <w:rtl/>
        </w:rPr>
        <w:t>.</w:t>
      </w:r>
    </w:p>
  </w:footnote>
  <w:footnote w:id="66">
    <w:p w:rsidR="004B5A14" w:rsidRPr="008A1EDB" w:rsidRDefault="004B5A14">
      <w:pPr>
        <w:pStyle w:val="FootnoteText"/>
        <w:rPr>
          <w:rtl/>
        </w:rPr>
      </w:pPr>
      <w:r w:rsidRPr="008A1EDB">
        <w:rPr>
          <w:rStyle w:val="FootnoteReference"/>
          <w:sz w:val="28"/>
          <w:szCs w:val="28"/>
        </w:rPr>
        <w:footnoteRef/>
      </w:r>
      <w:r w:rsidRPr="008A1EDB">
        <w:rPr>
          <w:rtl/>
        </w:rPr>
        <w:t xml:space="preserve"> </w:t>
      </w:r>
      <w:r w:rsidR="00AB2661" w:rsidRPr="008A1EDB">
        <w:rPr>
          <w:rtl/>
        </w:rPr>
        <w:t>أصدرت اللجنة الاستشارية الحكومية في عام 2007 "مبادئها بشأن الحقول العليا الجديدة المكونة من أسماء عامة" التي تنص</w:t>
      </w:r>
      <w:r w:rsidR="00AB2661" w:rsidRPr="008A1EDB">
        <w:rPr>
          <w:rFonts w:hint="cs"/>
          <w:rtl/>
        </w:rPr>
        <w:t>،</w:t>
      </w:r>
      <w:r w:rsidR="00AB2661" w:rsidRPr="008A1EDB">
        <w:rPr>
          <w:rtl/>
        </w:rPr>
        <w:t xml:space="preserve"> </w:t>
      </w:r>
      <w:r w:rsidR="00AB2661" w:rsidRPr="008A1EDB">
        <w:rPr>
          <w:rFonts w:hint="cs"/>
          <w:rtl/>
        </w:rPr>
        <w:t>من ضمن ما تنص،</w:t>
      </w:r>
      <w:r w:rsidR="00AB2661" w:rsidRPr="008A1EDB">
        <w:rPr>
          <w:rtl/>
        </w:rPr>
        <w:t xml:space="preserve"> على أنه ينبغي للإيكان أن تتلافى منح الحقول العليا الجديدة المكونة من أسماء عامة فيما يتعلق بأسماء البلدان أو الأراضي أو الأماكن واللغات الإقليمية أو أوصاف الشعوب، ما لم يكن ذلك بالاتفاق مع الحكومات أو السلطات العامة المعنية. وتنص هذه المبادئ أيضا على أن التسجيلات الجديدة ينبغي أن تعتمد إجراءات لمنع تسجيل/</w:t>
      </w:r>
      <w:r w:rsidR="00AB2661" w:rsidRPr="008A1EDB">
        <w:rPr>
          <w:rFonts w:hint="cs"/>
          <w:rtl/>
        </w:rPr>
        <w:t>ا</w:t>
      </w:r>
      <w:r w:rsidR="00AB2661" w:rsidRPr="008A1EDB">
        <w:rPr>
          <w:rtl/>
        </w:rPr>
        <w:t xml:space="preserve">لطعن في تسجيل الأسماء ذات المغزى الوطني أو الجغرافي في الحقول الدنيا بطلب من الحكومات. انظر الرابط التالي: </w:t>
      </w:r>
      <w:r w:rsidR="00AB2661" w:rsidRPr="008A1EDB">
        <w:t>https://archive.icann.org/en/topics/new-gtlds/gac-principles-regarding-new-gtlds-28mar07-en.pdf</w:t>
      </w:r>
      <w:r w:rsidR="00AB2661" w:rsidRPr="008A1EDB">
        <w:rPr>
          <w:rtl/>
        </w:rPr>
        <w:t>.</w:t>
      </w:r>
    </w:p>
  </w:footnote>
  <w:footnote w:id="67">
    <w:p w:rsidR="004B5A14" w:rsidRPr="008A1EDB" w:rsidRDefault="004B5A14">
      <w:pPr>
        <w:pStyle w:val="FootnoteText"/>
        <w:rPr>
          <w:rtl/>
        </w:rPr>
      </w:pPr>
      <w:r w:rsidRPr="008A1EDB">
        <w:rPr>
          <w:rStyle w:val="FootnoteReference"/>
          <w:sz w:val="28"/>
          <w:szCs w:val="28"/>
        </w:rPr>
        <w:footnoteRef/>
      </w:r>
      <w:r w:rsidRPr="008A1EDB">
        <w:rPr>
          <w:rtl/>
        </w:rPr>
        <w:t xml:space="preserve"> </w:t>
      </w:r>
      <w:r w:rsidR="00104498" w:rsidRPr="008A1EDB">
        <w:rPr>
          <w:rtl/>
        </w:rPr>
        <w:t xml:space="preserve">بالنسبة إلى التسجيلات من الدرجة الثانية، فإن اتفاق التسجيل الأساسي للإيكان يشمل "جدول الأسماء المحجوزة من الدرجة الثانية في مكاتب تسجيل الحقول العليا المكونة من أسماء عامة"، وهذا الاتفاق ينص على أسماء معينة لبلدان وأراض. انظر الرابط التالي: </w:t>
      </w:r>
      <w:r w:rsidR="00104498" w:rsidRPr="008A1EDB">
        <w:t>http://newgtlds.icann.org/en/applicants/agb/base-agreement-specs-04jun12-en.pdf</w:t>
      </w:r>
      <w:r w:rsidR="00104498" w:rsidRPr="008A1EDB">
        <w:rPr>
          <w:rtl/>
        </w:rPr>
        <w:t>، النقطة 5.</w:t>
      </w:r>
    </w:p>
  </w:footnote>
  <w:footnote w:id="68">
    <w:p w:rsidR="004B5A14" w:rsidRPr="008A1EDB" w:rsidRDefault="004B5A14">
      <w:pPr>
        <w:pStyle w:val="FootnoteText"/>
        <w:rPr>
          <w:rtl/>
        </w:rPr>
      </w:pPr>
      <w:r w:rsidRPr="008A1EDB">
        <w:rPr>
          <w:rStyle w:val="FootnoteReference"/>
          <w:sz w:val="28"/>
          <w:szCs w:val="28"/>
        </w:rPr>
        <w:footnoteRef/>
      </w:r>
      <w:r w:rsidRPr="008A1EDB">
        <w:rPr>
          <w:rtl/>
        </w:rPr>
        <w:t xml:space="preserve"> </w:t>
      </w:r>
      <w:r w:rsidR="00722BD5" w:rsidRPr="008A1EDB">
        <w:rPr>
          <w:rtl/>
        </w:rPr>
        <w:t xml:space="preserve">انظر الرابط التالي: </w:t>
      </w:r>
      <w:r w:rsidR="00722BD5" w:rsidRPr="008A1EDB">
        <w:t>http://newgtlds.icann.org/en/applicants/agb/evaluation-procedures-04jun12-en.pdf</w:t>
      </w:r>
      <w:r w:rsidR="00722BD5" w:rsidRPr="008A1EDB">
        <w:rPr>
          <w:rtl/>
        </w:rPr>
        <w:t>، من الفقرة 1.4.1.2.2 "معالجة أسماء البلدان أو الأراضي".</w:t>
      </w:r>
    </w:p>
  </w:footnote>
  <w:footnote w:id="69">
    <w:p w:rsidR="004B5A14" w:rsidRPr="008A1EDB" w:rsidRDefault="004B5A14">
      <w:pPr>
        <w:pStyle w:val="FootnoteText"/>
        <w:rPr>
          <w:rtl/>
        </w:rPr>
      </w:pPr>
      <w:r w:rsidRPr="008A1EDB">
        <w:rPr>
          <w:rStyle w:val="FootnoteReference"/>
          <w:sz w:val="28"/>
          <w:szCs w:val="28"/>
        </w:rPr>
        <w:footnoteRef/>
      </w:r>
      <w:r w:rsidRPr="008A1EDB">
        <w:rPr>
          <w:rtl/>
        </w:rPr>
        <w:t xml:space="preserve"> </w:t>
      </w:r>
      <w:r w:rsidR="00722BD5" w:rsidRPr="008A1EDB">
        <w:rPr>
          <w:rtl/>
        </w:rPr>
        <w:t xml:space="preserve">انظر الرابط التالي: </w:t>
      </w:r>
      <w:r w:rsidR="00722BD5" w:rsidRPr="008A1EDB">
        <w:t>http://newgtlds.icann.org/en/applicants/agb/evaluation-procedures-04jun12-en.pdf</w:t>
      </w:r>
      <w:r w:rsidR="00722BD5" w:rsidRPr="008A1EDB">
        <w:rPr>
          <w:rtl/>
        </w:rPr>
        <w:t>، من الفقرة 2.4.1.2.2 "الأسماء الجغرافية التي تتطلب دعم الحكومات".</w:t>
      </w:r>
    </w:p>
  </w:footnote>
  <w:footnote w:id="70">
    <w:p w:rsidR="00B74BFE" w:rsidRPr="0072238E" w:rsidRDefault="00B74BFE" w:rsidP="00317F8B">
      <w:pPr>
        <w:pStyle w:val="FootnoteText"/>
        <w:rPr>
          <w:rtl/>
        </w:rPr>
      </w:pPr>
      <w:r w:rsidRPr="008A1EDB">
        <w:rPr>
          <w:rStyle w:val="FootnoteReference"/>
          <w:sz w:val="28"/>
          <w:szCs w:val="28"/>
        </w:rPr>
        <w:footnoteRef/>
      </w:r>
      <w:r w:rsidRPr="008A1EDB">
        <w:rPr>
          <w:rtl/>
        </w:rPr>
        <w:t xml:space="preserve"> انظر الموقع الإلكتروني التالي: </w:t>
      </w:r>
      <w:r w:rsidRPr="008A1EDB">
        <w:t>https://www.icann.org/en/system/files/correspondence/gac-to-board-27mar14-en.pdf</w:t>
      </w:r>
      <w:r w:rsidRPr="008A1EDB">
        <w:rPr>
          <w:rtl/>
        </w:rPr>
        <w:t xml:space="preserve">، النقطة 4. </w:t>
      </w:r>
      <w:r w:rsidRPr="008A1EDB">
        <w:rPr>
          <w:rFonts w:hint="cs"/>
          <w:rtl/>
        </w:rPr>
        <w:t>"</w:t>
      </w:r>
      <w:r w:rsidRPr="008A1EDB">
        <w:t>Specific Strings</w:t>
      </w:r>
      <w:r w:rsidRPr="008A1EDB">
        <w:rPr>
          <w:rFonts w:hint="cs"/>
          <w:rtl/>
        </w:rPr>
        <w:t>"</w:t>
      </w:r>
      <w:r w:rsidRPr="008A1EDB">
        <w:rPr>
          <w:rtl/>
        </w:rPr>
        <w:t xml:space="preserve"> (سلسلة حروف محددة). ورغم أن المجلس قَبِلَ مشورة اللجنة الاستشارية الحكومية المعارضة للاستمرار في إجراءات بعض الطلبات، فإنه طلب مزيدا من المعلومات من اللجنة الاستشارية الحكومية</w:t>
      </w:r>
      <w:r w:rsidR="00317F8B" w:rsidRPr="008A1EDB">
        <w:rPr>
          <w:rFonts w:hint="cs"/>
          <w:rtl/>
        </w:rPr>
        <w:t xml:space="preserve">، بالإضافة إلى تعليقات </w:t>
      </w:r>
      <w:r w:rsidRPr="008A1EDB">
        <w:rPr>
          <w:rtl/>
        </w:rPr>
        <w:t>الجمهور</w:t>
      </w:r>
      <w:r w:rsidR="00317F8B" w:rsidRPr="008A1EDB">
        <w:rPr>
          <w:rFonts w:hint="cs"/>
          <w:rtl/>
        </w:rPr>
        <w:t>،</w:t>
      </w:r>
      <w:r w:rsidRPr="008A1EDB">
        <w:rPr>
          <w:rtl/>
        </w:rPr>
        <w:t xml:space="preserve"> بشأن طائفة من الإجراءات الوقائية الإضافية التي طلبتها اللجنة الاستشارية الحكومية فيما يخص عدة فئات واسعة من طلبات الحقول العليا الجديدة المكونة من أسماء عامة مثل أسماء الحقول العليا الجديدة المكوّنة من أسماء عامة التي تتوافق مع الصناعات المنظمة أو المصطلحات القاموسية. انظر الرابط التالي: </w:t>
      </w:r>
      <w:r w:rsidRPr="008A1EDB">
        <w:t>https://www.icann.org/en/system/files/correspondence/gac-to-board-11apr13-en.pdf</w:t>
      </w:r>
      <w:r w:rsidRPr="008A1EDB">
        <w:rPr>
          <w:rtl/>
        </w:rPr>
        <w:t>. وقد وضع فريق فرعي معني بالأسماء الجغرافية تابع للجنة الاستشارية الحكومية (فريق فرعي معني بأسماء الحقول العليا الجديدة المستقبلية المكوّنة من أسماء عامة تابع للفريق العامل للجنة الاستشارية الحكومية) مشروع وثيقة للمراحل المقبلة للحقول العليا الجديدة المكونة من أسماء عامة، ويوضح مشروع الوثيقة بإيجاز جوانب عديدة للسياسة العامة المتعلقة</w:t>
      </w:r>
      <w:r w:rsidR="00317F8B" w:rsidRPr="008A1EDB">
        <w:rPr>
          <w:rtl/>
        </w:rPr>
        <w:t xml:space="preserve"> بالأسماء الجغرافية ويخضع حاليا</w:t>
      </w:r>
      <w:r w:rsidRPr="008A1EDB">
        <w:rPr>
          <w:rtl/>
        </w:rPr>
        <w:t xml:space="preserve"> لمزيد من المناقشات في الإيكان. انظر الرابط التالي: </w:t>
      </w:r>
      <w:r w:rsidRPr="00B74BFE">
        <w:t>https://gacweb.icann.org/download/attachments/27132037/Geo%20names%20in%20new%20gTLDs%20Updated%2</w:t>
      </w:r>
      <w:r w:rsidRPr="0072238E">
        <w:t>0%20V3%20%2029%20august%202014%5B4%5D.pdf?version=1&amp;modificationDate=1411549935000&amp;api=v2</w:t>
      </w:r>
      <w:r w:rsidRPr="0072238E">
        <w:rPr>
          <w:rtl/>
        </w:rPr>
        <w:t>.</w:t>
      </w:r>
    </w:p>
  </w:footnote>
  <w:footnote w:id="71">
    <w:p w:rsidR="00685FFF" w:rsidRPr="0072238E" w:rsidRDefault="00685FFF" w:rsidP="009216CC">
      <w:pPr>
        <w:pStyle w:val="FootnoteText"/>
        <w:rPr>
          <w:rtl/>
        </w:rPr>
      </w:pPr>
      <w:r w:rsidRPr="0072238E">
        <w:rPr>
          <w:rStyle w:val="FootnoteReference"/>
          <w:sz w:val="28"/>
          <w:szCs w:val="28"/>
        </w:rPr>
        <w:footnoteRef/>
      </w:r>
      <w:r w:rsidRPr="0072238E">
        <w:rPr>
          <w:rtl/>
        </w:rPr>
        <w:t xml:space="preserve"> </w:t>
      </w:r>
      <w:r w:rsidR="00F26AF9" w:rsidRPr="0072238E">
        <w:rPr>
          <w:rtl/>
        </w:rPr>
        <w:t xml:space="preserve">تشمل هذه الإجراءات مجتمعة </w:t>
      </w:r>
      <w:r w:rsidR="009216CC" w:rsidRPr="0072238E">
        <w:rPr>
          <w:rFonts w:hint="cs"/>
          <w:rtl/>
        </w:rPr>
        <w:t xml:space="preserve">خطط الإيكان </w:t>
      </w:r>
      <w:r w:rsidR="009216CC" w:rsidRPr="0072238E">
        <w:rPr>
          <w:rtl/>
        </w:rPr>
        <w:t>المسماة "تبديد الالتباس"</w:t>
      </w:r>
      <w:r w:rsidR="00F26AF9" w:rsidRPr="0072238E">
        <w:rPr>
          <w:rtl/>
        </w:rPr>
        <w:t>.</w:t>
      </w:r>
      <w:r w:rsidR="009216CC" w:rsidRPr="0072238E">
        <w:rPr>
          <w:rFonts w:hint="cs"/>
          <w:rtl/>
        </w:rPr>
        <w:t xml:space="preserve"> انظر </w:t>
      </w:r>
      <w:r w:rsidR="009216CC" w:rsidRPr="0072238E">
        <w:t>https://www.icann.org/en/system/files/files/two-character-ltr-ltr-authorization-release-13dec16-en.pdf</w:t>
      </w:r>
      <w:r w:rsidR="009216CC" w:rsidRPr="0072238E">
        <w:rPr>
          <w:rFonts w:hint="cs"/>
          <w:rtl/>
        </w:rPr>
        <w:t>.</w:t>
      </w:r>
    </w:p>
  </w:footnote>
  <w:footnote w:id="72">
    <w:p w:rsidR="00685FFF" w:rsidRPr="0072238E" w:rsidRDefault="00685FFF">
      <w:pPr>
        <w:pStyle w:val="FootnoteText"/>
        <w:rPr>
          <w:rtl/>
        </w:rPr>
      </w:pPr>
      <w:r w:rsidRPr="0072238E">
        <w:rPr>
          <w:rStyle w:val="FootnoteReference"/>
          <w:sz w:val="28"/>
          <w:szCs w:val="28"/>
        </w:rPr>
        <w:footnoteRef/>
      </w:r>
      <w:r w:rsidRPr="0072238E">
        <w:rPr>
          <w:rtl/>
        </w:rPr>
        <w:t xml:space="preserve"> </w:t>
      </w:r>
      <w:r w:rsidR="00BB11E8" w:rsidRPr="0072238E">
        <w:rPr>
          <w:rFonts w:hint="cs"/>
          <w:rtl/>
        </w:rPr>
        <w:t xml:space="preserve">انظر </w:t>
      </w:r>
      <w:r w:rsidR="00BB11E8" w:rsidRPr="0072238E">
        <w:t>https://forum.icann.org/lists/comments-proposed-measures-two-char-08jul16/pdfECmcS9knuk.pdf</w:t>
      </w:r>
      <w:r w:rsidR="00BB11E8" w:rsidRPr="0072238E">
        <w:rPr>
          <w:rFonts w:hint="cs"/>
          <w:rtl/>
        </w:rPr>
        <w:t>.</w:t>
      </w:r>
    </w:p>
  </w:footnote>
  <w:footnote w:id="73">
    <w:p w:rsidR="00685FFF" w:rsidRPr="0072238E" w:rsidRDefault="00685FFF">
      <w:pPr>
        <w:pStyle w:val="FootnoteText"/>
      </w:pPr>
      <w:r w:rsidRPr="0072238E">
        <w:rPr>
          <w:rStyle w:val="FootnoteReference"/>
          <w:sz w:val="28"/>
          <w:szCs w:val="28"/>
        </w:rPr>
        <w:footnoteRef/>
      </w:r>
      <w:r w:rsidRPr="0072238E">
        <w:rPr>
          <w:rtl/>
        </w:rPr>
        <w:t xml:space="preserve"> </w:t>
      </w:r>
      <w:r w:rsidR="00BB11E8" w:rsidRPr="0072238E">
        <w:rPr>
          <w:rFonts w:hint="cs"/>
          <w:rtl/>
        </w:rPr>
        <w:t xml:space="preserve">انظر </w:t>
      </w:r>
      <w:r w:rsidR="00BB11E8" w:rsidRPr="0072238E">
        <w:t>https://static.ptbl.co/static/attachments/169910/1521228229.pdf?1521228229</w:t>
      </w:r>
      <w:r w:rsidR="00BB11E8" w:rsidRPr="0072238E">
        <w:rPr>
          <w:rFonts w:hint="cs"/>
          <w:rtl/>
        </w:rPr>
        <w:t>.</w:t>
      </w:r>
    </w:p>
  </w:footnote>
  <w:footnote w:id="74">
    <w:p w:rsidR="00561127" w:rsidRPr="0072238E" w:rsidRDefault="00561127" w:rsidP="00A63CDC">
      <w:pPr>
        <w:pStyle w:val="FootnoteText"/>
        <w:rPr>
          <w:rtl/>
        </w:rPr>
      </w:pPr>
      <w:r w:rsidRPr="0072238E">
        <w:rPr>
          <w:rStyle w:val="FootnoteReference"/>
          <w:sz w:val="28"/>
          <w:szCs w:val="28"/>
        </w:rPr>
        <w:footnoteRef/>
      </w:r>
      <w:r w:rsidRPr="0072238E">
        <w:rPr>
          <w:rtl/>
        </w:rPr>
        <w:t xml:space="preserve"> </w:t>
      </w:r>
      <w:r w:rsidR="00A63CDC" w:rsidRPr="0072238E">
        <w:rPr>
          <w:rtl/>
        </w:rPr>
        <w:t xml:space="preserve">انظر مثلا الوثائق </w:t>
      </w:r>
      <w:r w:rsidR="00A63CDC" w:rsidRPr="0072238E">
        <w:t>SCT/37/4</w:t>
      </w:r>
      <w:r w:rsidR="00A63CDC" w:rsidRPr="0072238E">
        <w:rPr>
          <w:rFonts w:hint="cs"/>
          <w:rtl/>
        </w:rPr>
        <w:t>، و</w:t>
      </w:r>
      <w:r w:rsidR="00A63CDC" w:rsidRPr="0072238E">
        <w:t>SCT/37/5</w:t>
      </w:r>
      <w:r w:rsidR="00A63CDC" w:rsidRPr="0072238E">
        <w:rPr>
          <w:rFonts w:hint="cs"/>
          <w:rtl/>
        </w:rPr>
        <w:t>، و</w:t>
      </w:r>
      <w:r w:rsidR="00A63CDC" w:rsidRPr="0072238E">
        <w:t>SCT/38/3</w:t>
      </w:r>
      <w:r w:rsidR="00A63CDC" w:rsidRPr="0072238E">
        <w:rPr>
          <w:rFonts w:hint="cs"/>
          <w:rtl/>
        </w:rPr>
        <w:t>، و</w:t>
      </w:r>
      <w:r w:rsidR="00A63CDC" w:rsidRPr="0072238E">
        <w:t>SCT/39/5</w:t>
      </w:r>
      <w:r w:rsidR="00A63CDC" w:rsidRPr="0072238E">
        <w:rPr>
          <w:rtl/>
        </w:rPr>
        <w:t xml:space="preserve">. </w:t>
      </w:r>
      <w:r w:rsidR="00A63CDC" w:rsidRPr="0072238E">
        <w:rPr>
          <w:rFonts w:hint="cs"/>
          <w:rtl/>
        </w:rPr>
        <w:t>و</w:t>
      </w:r>
      <w:r w:rsidR="00A63CDC" w:rsidRPr="0072238E">
        <w:rPr>
          <w:rtl/>
        </w:rPr>
        <w:t xml:space="preserve">انظر أيضا الاجتماع </w:t>
      </w:r>
      <w:r w:rsidR="00A63CDC" w:rsidRPr="0072238E">
        <w:t>SCT/IS/GEO/GE/17</w:t>
      </w:r>
      <w:r w:rsidR="00A63CDC" w:rsidRPr="0072238E">
        <w:rPr>
          <w:rtl/>
        </w:rPr>
        <w:t>.</w:t>
      </w:r>
    </w:p>
  </w:footnote>
  <w:footnote w:id="75">
    <w:p w:rsidR="00A50F78" w:rsidRPr="0072238E" w:rsidRDefault="00A50F78">
      <w:pPr>
        <w:pStyle w:val="FootnoteText"/>
        <w:rPr>
          <w:rtl/>
        </w:rPr>
      </w:pPr>
      <w:r w:rsidRPr="0072238E">
        <w:rPr>
          <w:rStyle w:val="FootnoteReference"/>
          <w:sz w:val="28"/>
          <w:szCs w:val="28"/>
        </w:rPr>
        <w:footnoteRef/>
      </w:r>
      <w:r w:rsidRPr="0072238E">
        <w:rPr>
          <w:rtl/>
        </w:rPr>
        <w:t xml:space="preserve"> </w:t>
      </w:r>
      <w:r w:rsidR="00A63CDC" w:rsidRPr="0072238E">
        <w:rPr>
          <w:rFonts w:hint="cs"/>
          <w:rtl/>
        </w:rPr>
        <w:t xml:space="preserve">انظر الوثيقة </w:t>
      </w:r>
      <w:r w:rsidR="00A63CDC" w:rsidRPr="0072238E">
        <w:t>SCT/39/7</w:t>
      </w:r>
      <w:r w:rsidR="00A63CDC" w:rsidRPr="0072238E">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D2A" w:rsidRDefault="00937D2A" w:rsidP="0023693F">
    <w:pPr>
      <w:bidi w:val="0"/>
      <w:rPr>
        <w:rFonts w:ascii="Arial" w:hAnsi="Arial" w:cs="Arial"/>
        <w:sz w:val="22"/>
        <w:szCs w:val="22"/>
      </w:rPr>
    </w:pPr>
    <w:bookmarkStart w:id="4" w:name="Code3"/>
    <w:bookmarkEnd w:id="4"/>
    <w:r>
      <w:rPr>
        <w:rFonts w:ascii="Arial" w:hAnsi="Arial" w:cs="Arial"/>
        <w:sz w:val="22"/>
        <w:szCs w:val="22"/>
      </w:rPr>
      <w:t>WO/GA/50/10</w:t>
    </w:r>
  </w:p>
  <w:p w:rsidR="00937D2A" w:rsidRPr="00C50A61" w:rsidRDefault="00937D2A"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2B72F5">
      <w:rPr>
        <w:rFonts w:ascii="Arial" w:hAnsi="Arial" w:cs="Arial"/>
        <w:noProof/>
        <w:sz w:val="22"/>
        <w:szCs w:val="22"/>
        <w:lang w:bidi="ar-EG"/>
      </w:rPr>
      <w:t>16</w:t>
    </w:r>
    <w:r w:rsidRPr="00C50A61">
      <w:rPr>
        <w:rFonts w:ascii="Arial" w:hAnsi="Arial" w:cs="Arial"/>
        <w:sz w:val="22"/>
        <w:szCs w:val="22"/>
      </w:rPr>
      <w:fldChar w:fldCharType="end"/>
    </w:r>
  </w:p>
  <w:p w:rsidR="00937D2A" w:rsidRPr="00C50A61" w:rsidRDefault="00937D2A" w:rsidP="0023693F">
    <w:pPr>
      <w:bidi w:val="0"/>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nsid w:val="065516E1"/>
    <w:multiLevelType w:val="hybridMultilevel"/>
    <w:tmpl w:val="DB0E2912"/>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6CD29E3"/>
    <w:multiLevelType w:val="multilevel"/>
    <w:tmpl w:val="C85AA8BE"/>
    <w:lvl w:ilvl="0">
      <w:start w:val="1"/>
      <w:numFmt w:val="decimal"/>
      <w:lvlRestart w:val="0"/>
      <w:pStyle w:val="ONUMA"/>
      <w:lvlText w:val="%1."/>
      <w:lvlJc w:val="left"/>
      <w:pPr>
        <w:ind w:left="0" w:firstLine="0"/>
      </w:pPr>
      <w:rPr>
        <w:rFonts w:ascii="Arabic Typesetting" w:hAnsi="Arabic Typesetting" w:cs="Arabic Typesetting" w:hint="default"/>
        <w:sz w:val="36"/>
        <w:szCs w:val="36"/>
        <w:lang w:bidi="ar-EG"/>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3">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4">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5">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177D5000"/>
    <w:multiLevelType w:val="singleLevel"/>
    <w:tmpl w:val="0409000F"/>
    <w:lvl w:ilvl="0">
      <w:start w:val="1"/>
      <w:numFmt w:val="decimal"/>
      <w:lvlText w:val="%1."/>
      <w:lvlJc w:val="left"/>
      <w:pPr>
        <w:tabs>
          <w:tab w:val="num" w:pos="360"/>
        </w:tabs>
        <w:ind w:left="360" w:hanging="360"/>
      </w:pPr>
    </w:lvl>
  </w:abstractNum>
  <w:abstractNum w:abstractNumId="17">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1">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2">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3">
    <w:nsid w:val="3585707D"/>
    <w:multiLevelType w:val="hybridMultilevel"/>
    <w:tmpl w:val="DB0E2912"/>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3D2446CA"/>
    <w:multiLevelType w:val="hybridMultilevel"/>
    <w:tmpl w:val="F21CAF50"/>
    <w:lvl w:ilvl="0" w:tplc="A73292C2">
      <w:start w:val="1"/>
      <w:numFmt w:val="decimal"/>
      <w:lvlText w:val="&quot;%1&quot;"/>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7">
    <w:nsid w:val="4283703C"/>
    <w:multiLevelType w:val="hybridMultilevel"/>
    <w:tmpl w:val="F21CAF50"/>
    <w:lvl w:ilvl="0" w:tplc="A73292C2">
      <w:start w:val="1"/>
      <w:numFmt w:val="decimal"/>
      <w:lvlText w:val="&quot;%1&quot;"/>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1">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nsid w:val="4CD25451"/>
    <w:multiLevelType w:val="singleLevel"/>
    <w:tmpl w:val="30D0E6A2"/>
    <w:lvl w:ilvl="0">
      <w:start w:val="1"/>
      <w:numFmt w:val="decimal"/>
      <w:lvlText w:val="&quot;%1&quot;"/>
      <w:lvlJc w:val="left"/>
      <w:pPr>
        <w:ind w:left="927" w:hanging="360"/>
      </w:pPr>
      <w:rPr>
        <w:rFonts w:hint="default"/>
        <w:sz w:val="36"/>
      </w:rPr>
    </w:lvl>
  </w:abstractNum>
  <w:abstractNum w:abstractNumId="33">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4">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7">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8">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9">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40">
    <w:nsid w:val="68F41E48"/>
    <w:multiLevelType w:val="hybridMultilevel"/>
    <w:tmpl w:val="AE48738C"/>
    <w:lvl w:ilvl="0" w:tplc="5874F37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A5F7EC8"/>
    <w:multiLevelType w:val="hybridMultilevel"/>
    <w:tmpl w:val="DB0E2912"/>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3">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44">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28"/>
  </w:num>
  <w:num w:numId="3">
    <w:abstractNumId w:val="15"/>
  </w:num>
  <w:num w:numId="4">
    <w:abstractNumId w:val="42"/>
  </w:num>
  <w:num w:numId="5">
    <w:abstractNumId w:val="8"/>
  </w:num>
  <w:num w:numId="6">
    <w:abstractNumId w:val="43"/>
  </w:num>
  <w:num w:numId="7">
    <w:abstractNumId w:val="21"/>
  </w:num>
  <w:num w:numId="8">
    <w:abstractNumId w:val="39"/>
  </w:num>
  <w:num w:numId="9">
    <w:abstractNumId w:val="35"/>
  </w:num>
  <w:num w:numId="10">
    <w:abstractNumId w:val="44"/>
  </w:num>
  <w:num w:numId="11">
    <w:abstractNumId w:val="20"/>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6"/>
  </w:num>
  <w:num w:numId="22">
    <w:abstractNumId w:val="26"/>
  </w:num>
  <w:num w:numId="23">
    <w:abstractNumId w:val="13"/>
  </w:num>
  <w:num w:numId="24">
    <w:abstractNumId w:val="12"/>
  </w:num>
  <w:num w:numId="25">
    <w:abstractNumId w:val="12"/>
  </w:num>
  <w:num w:numId="26">
    <w:abstractNumId w:val="12"/>
  </w:num>
  <w:num w:numId="27">
    <w:abstractNumId w:val="12"/>
  </w:num>
  <w:num w:numId="28">
    <w:abstractNumId w:val="18"/>
  </w:num>
  <w:num w:numId="29">
    <w:abstractNumId w:val="12"/>
  </w:num>
  <w:num w:numId="30">
    <w:abstractNumId w:val="33"/>
  </w:num>
  <w:num w:numId="31">
    <w:abstractNumId w:val="22"/>
  </w:num>
  <w:num w:numId="32">
    <w:abstractNumId w:val="30"/>
  </w:num>
  <w:num w:numId="33">
    <w:abstractNumId w:val="38"/>
  </w:num>
  <w:num w:numId="34">
    <w:abstractNumId w:val="14"/>
  </w:num>
  <w:num w:numId="35">
    <w:abstractNumId w:val="37"/>
  </w:num>
  <w:num w:numId="36">
    <w:abstractNumId w:val="29"/>
  </w:num>
  <w:num w:numId="37">
    <w:abstractNumId w:val="36"/>
  </w:num>
  <w:num w:numId="38">
    <w:abstractNumId w:val="17"/>
  </w:num>
  <w:num w:numId="39">
    <w:abstractNumId w:val="32"/>
  </w:num>
  <w:num w:numId="40">
    <w:abstractNumId w:val="31"/>
  </w:num>
  <w:num w:numId="41">
    <w:abstractNumId w:val="19"/>
  </w:num>
  <w:num w:numId="42">
    <w:abstractNumId w:val="10"/>
  </w:num>
  <w:num w:numId="43">
    <w:abstractNumId w:val="24"/>
  </w:num>
  <w:num w:numId="44">
    <w:abstractNumId w:val="34"/>
  </w:num>
  <w:num w:numId="45">
    <w:abstractNumId w:val="40"/>
  </w:num>
  <w:num w:numId="46">
    <w:abstractNumId w:val="11"/>
  </w:num>
  <w:num w:numId="47">
    <w:abstractNumId w:val="23"/>
  </w:num>
  <w:num w:numId="48">
    <w:abstractNumId w:val="25"/>
  </w:num>
  <w:num w:numId="49">
    <w:abstractNumId w:val="27"/>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329"/>
    <w:rsid w:val="00002CBE"/>
    <w:rsid w:val="00003232"/>
    <w:rsid w:val="000033DA"/>
    <w:rsid w:val="00004AF1"/>
    <w:rsid w:val="0000579F"/>
    <w:rsid w:val="000074D1"/>
    <w:rsid w:val="000076BD"/>
    <w:rsid w:val="00010481"/>
    <w:rsid w:val="00010671"/>
    <w:rsid w:val="000114E2"/>
    <w:rsid w:val="000115BF"/>
    <w:rsid w:val="00013347"/>
    <w:rsid w:val="00013D73"/>
    <w:rsid w:val="000142E1"/>
    <w:rsid w:val="000146BD"/>
    <w:rsid w:val="00014B68"/>
    <w:rsid w:val="0001645D"/>
    <w:rsid w:val="00017A43"/>
    <w:rsid w:val="00020124"/>
    <w:rsid w:val="0002157B"/>
    <w:rsid w:val="0002285F"/>
    <w:rsid w:val="00023101"/>
    <w:rsid w:val="00023EA8"/>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205F"/>
    <w:rsid w:val="00053836"/>
    <w:rsid w:val="00054659"/>
    <w:rsid w:val="00055239"/>
    <w:rsid w:val="00055FA2"/>
    <w:rsid w:val="000571DD"/>
    <w:rsid w:val="00061673"/>
    <w:rsid w:val="00061E03"/>
    <w:rsid w:val="00061FF5"/>
    <w:rsid w:val="00062502"/>
    <w:rsid w:val="00063C91"/>
    <w:rsid w:val="000640E7"/>
    <w:rsid w:val="00066DC7"/>
    <w:rsid w:val="0006794A"/>
    <w:rsid w:val="00067F31"/>
    <w:rsid w:val="00070A7E"/>
    <w:rsid w:val="00071138"/>
    <w:rsid w:val="00073402"/>
    <w:rsid w:val="00074EFC"/>
    <w:rsid w:val="00075745"/>
    <w:rsid w:val="00075A04"/>
    <w:rsid w:val="00075D39"/>
    <w:rsid w:val="000760C3"/>
    <w:rsid w:val="000763A4"/>
    <w:rsid w:val="00076901"/>
    <w:rsid w:val="00077790"/>
    <w:rsid w:val="0008237C"/>
    <w:rsid w:val="000833C3"/>
    <w:rsid w:val="0008421F"/>
    <w:rsid w:val="0008451C"/>
    <w:rsid w:val="00085A0B"/>
    <w:rsid w:val="00085CC6"/>
    <w:rsid w:val="000863B7"/>
    <w:rsid w:val="00086CB9"/>
    <w:rsid w:val="00087DB6"/>
    <w:rsid w:val="00090139"/>
    <w:rsid w:val="0009024C"/>
    <w:rsid w:val="00090ADD"/>
    <w:rsid w:val="000913C0"/>
    <w:rsid w:val="00091F52"/>
    <w:rsid w:val="00092982"/>
    <w:rsid w:val="00092C70"/>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5621"/>
    <w:rsid w:val="000B70B7"/>
    <w:rsid w:val="000B73E6"/>
    <w:rsid w:val="000B7759"/>
    <w:rsid w:val="000C111E"/>
    <w:rsid w:val="000C1E3C"/>
    <w:rsid w:val="000C1FB4"/>
    <w:rsid w:val="000C2A3E"/>
    <w:rsid w:val="000C2CE8"/>
    <w:rsid w:val="000C335E"/>
    <w:rsid w:val="000C3B75"/>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6195"/>
    <w:rsid w:val="000D7E81"/>
    <w:rsid w:val="000E06A5"/>
    <w:rsid w:val="000E16EB"/>
    <w:rsid w:val="000E43D7"/>
    <w:rsid w:val="000E591F"/>
    <w:rsid w:val="000E5A23"/>
    <w:rsid w:val="000E6045"/>
    <w:rsid w:val="000E6411"/>
    <w:rsid w:val="000E7872"/>
    <w:rsid w:val="000F0772"/>
    <w:rsid w:val="000F0BE5"/>
    <w:rsid w:val="000F0F0D"/>
    <w:rsid w:val="000F1B52"/>
    <w:rsid w:val="000F1C70"/>
    <w:rsid w:val="000F1EAA"/>
    <w:rsid w:val="000F30D5"/>
    <w:rsid w:val="000F33C5"/>
    <w:rsid w:val="000F3ACF"/>
    <w:rsid w:val="000F49FA"/>
    <w:rsid w:val="000F58C4"/>
    <w:rsid w:val="000F5E56"/>
    <w:rsid w:val="000F5F5D"/>
    <w:rsid w:val="000F6E8B"/>
    <w:rsid w:val="000F70F9"/>
    <w:rsid w:val="001007AB"/>
    <w:rsid w:val="00100F97"/>
    <w:rsid w:val="001012E0"/>
    <w:rsid w:val="001016F2"/>
    <w:rsid w:val="0010214E"/>
    <w:rsid w:val="001024C1"/>
    <w:rsid w:val="0010284A"/>
    <w:rsid w:val="00102919"/>
    <w:rsid w:val="0010385D"/>
    <w:rsid w:val="001042E0"/>
    <w:rsid w:val="00104498"/>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278B"/>
    <w:rsid w:val="00132D73"/>
    <w:rsid w:val="00133E71"/>
    <w:rsid w:val="00134BF4"/>
    <w:rsid w:val="00135C24"/>
    <w:rsid w:val="00136389"/>
    <w:rsid w:val="00136A1A"/>
    <w:rsid w:val="00136A96"/>
    <w:rsid w:val="001374D1"/>
    <w:rsid w:val="001376B6"/>
    <w:rsid w:val="00140A35"/>
    <w:rsid w:val="0014111A"/>
    <w:rsid w:val="00142166"/>
    <w:rsid w:val="001421EC"/>
    <w:rsid w:val="001427ED"/>
    <w:rsid w:val="00142F4D"/>
    <w:rsid w:val="00143428"/>
    <w:rsid w:val="0014412C"/>
    <w:rsid w:val="00144713"/>
    <w:rsid w:val="00144CC3"/>
    <w:rsid w:val="001452B4"/>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02"/>
    <w:rsid w:val="001603F7"/>
    <w:rsid w:val="00160C95"/>
    <w:rsid w:val="00161177"/>
    <w:rsid w:val="00162777"/>
    <w:rsid w:val="0016337E"/>
    <w:rsid w:val="00164691"/>
    <w:rsid w:val="00164BD2"/>
    <w:rsid w:val="00165AC3"/>
    <w:rsid w:val="001665F3"/>
    <w:rsid w:val="001667B6"/>
    <w:rsid w:val="001668D4"/>
    <w:rsid w:val="00166A09"/>
    <w:rsid w:val="00167809"/>
    <w:rsid w:val="00167F30"/>
    <w:rsid w:val="00171844"/>
    <w:rsid w:val="001728B4"/>
    <w:rsid w:val="0017385A"/>
    <w:rsid w:val="00175448"/>
    <w:rsid w:val="001757AF"/>
    <w:rsid w:val="00175825"/>
    <w:rsid w:val="0017666F"/>
    <w:rsid w:val="00176D38"/>
    <w:rsid w:val="00176D64"/>
    <w:rsid w:val="00176E2C"/>
    <w:rsid w:val="00177DBF"/>
    <w:rsid w:val="00181963"/>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A750D"/>
    <w:rsid w:val="001B3131"/>
    <w:rsid w:val="001B4B2F"/>
    <w:rsid w:val="001B7C00"/>
    <w:rsid w:val="001C09D2"/>
    <w:rsid w:val="001C1620"/>
    <w:rsid w:val="001C18B2"/>
    <w:rsid w:val="001C1919"/>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40A0"/>
    <w:rsid w:val="001E5588"/>
    <w:rsid w:val="001E56CB"/>
    <w:rsid w:val="001E56FC"/>
    <w:rsid w:val="001E582D"/>
    <w:rsid w:val="001E6318"/>
    <w:rsid w:val="001E79A3"/>
    <w:rsid w:val="001F0AD5"/>
    <w:rsid w:val="001F0C0A"/>
    <w:rsid w:val="001F1509"/>
    <w:rsid w:val="001F18E7"/>
    <w:rsid w:val="001F3A75"/>
    <w:rsid w:val="001F3A9D"/>
    <w:rsid w:val="001F3FDB"/>
    <w:rsid w:val="001F6545"/>
    <w:rsid w:val="001F66B5"/>
    <w:rsid w:val="001F6DE4"/>
    <w:rsid w:val="001F6E3B"/>
    <w:rsid w:val="001F6F36"/>
    <w:rsid w:val="001F76FD"/>
    <w:rsid w:val="002004C0"/>
    <w:rsid w:val="002012F2"/>
    <w:rsid w:val="002014D7"/>
    <w:rsid w:val="00202879"/>
    <w:rsid w:val="00202F07"/>
    <w:rsid w:val="00203030"/>
    <w:rsid w:val="00203D45"/>
    <w:rsid w:val="00204133"/>
    <w:rsid w:val="00205495"/>
    <w:rsid w:val="002061DE"/>
    <w:rsid w:val="002065E2"/>
    <w:rsid w:val="00206C61"/>
    <w:rsid w:val="00206F30"/>
    <w:rsid w:val="002072D8"/>
    <w:rsid w:val="00207616"/>
    <w:rsid w:val="00207F10"/>
    <w:rsid w:val="002105C4"/>
    <w:rsid w:val="002112E6"/>
    <w:rsid w:val="002116DC"/>
    <w:rsid w:val="00213213"/>
    <w:rsid w:val="0021457F"/>
    <w:rsid w:val="0021505D"/>
    <w:rsid w:val="0021604B"/>
    <w:rsid w:val="00216545"/>
    <w:rsid w:val="00216A65"/>
    <w:rsid w:val="00217DF4"/>
    <w:rsid w:val="00220227"/>
    <w:rsid w:val="0022176B"/>
    <w:rsid w:val="00222760"/>
    <w:rsid w:val="00222782"/>
    <w:rsid w:val="0022360A"/>
    <w:rsid w:val="002269E0"/>
    <w:rsid w:val="00226B82"/>
    <w:rsid w:val="002270CF"/>
    <w:rsid w:val="00227103"/>
    <w:rsid w:val="00227C59"/>
    <w:rsid w:val="00230249"/>
    <w:rsid w:val="0023068C"/>
    <w:rsid w:val="00230D5F"/>
    <w:rsid w:val="00231BE3"/>
    <w:rsid w:val="00232C51"/>
    <w:rsid w:val="0023305F"/>
    <w:rsid w:val="00233414"/>
    <w:rsid w:val="00233D69"/>
    <w:rsid w:val="00234E82"/>
    <w:rsid w:val="002355EC"/>
    <w:rsid w:val="00235C9D"/>
    <w:rsid w:val="00235DAE"/>
    <w:rsid w:val="0023693F"/>
    <w:rsid w:val="002412D4"/>
    <w:rsid w:val="0024217A"/>
    <w:rsid w:val="0024220D"/>
    <w:rsid w:val="00242AD1"/>
    <w:rsid w:val="00242BD3"/>
    <w:rsid w:val="00242C02"/>
    <w:rsid w:val="00243155"/>
    <w:rsid w:val="00247783"/>
    <w:rsid w:val="0025172C"/>
    <w:rsid w:val="00251E74"/>
    <w:rsid w:val="00252CF8"/>
    <w:rsid w:val="00252E2E"/>
    <w:rsid w:val="00253210"/>
    <w:rsid w:val="0025353E"/>
    <w:rsid w:val="00253DE1"/>
    <w:rsid w:val="0025425F"/>
    <w:rsid w:val="00254468"/>
    <w:rsid w:val="00254DE4"/>
    <w:rsid w:val="002559DA"/>
    <w:rsid w:val="00256955"/>
    <w:rsid w:val="0026071A"/>
    <w:rsid w:val="0026103B"/>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4F"/>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48CF"/>
    <w:rsid w:val="00286744"/>
    <w:rsid w:val="002909B9"/>
    <w:rsid w:val="00290F0A"/>
    <w:rsid w:val="0029194E"/>
    <w:rsid w:val="00292CEE"/>
    <w:rsid w:val="00292D22"/>
    <w:rsid w:val="0029470D"/>
    <w:rsid w:val="00297B80"/>
    <w:rsid w:val="002A076C"/>
    <w:rsid w:val="002A0B33"/>
    <w:rsid w:val="002A1059"/>
    <w:rsid w:val="002A1407"/>
    <w:rsid w:val="002A3103"/>
    <w:rsid w:val="002A3C9D"/>
    <w:rsid w:val="002A5403"/>
    <w:rsid w:val="002A6C9F"/>
    <w:rsid w:val="002A77F3"/>
    <w:rsid w:val="002A79BA"/>
    <w:rsid w:val="002B0363"/>
    <w:rsid w:val="002B14F0"/>
    <w:rsid w:val="002B17FD"/>
    <w:rsid w:val="002B1F0F"/>
    <w:rsid w:val="002B38EA"/>
    <w:rsid w:val="002B53D3"/>
    <w:rsid w:val="002B6202"/>
    <w:rsid w:val="002B72F5"/>
    <w:rsid w:val="002C014C"/>
    <w:rsid w:val="002C060C"/>
    <w:rsid w:val="002C0BA6"/>
    <w:rsid w:val="002C12A7"/>
    <w:rsid w:val="002C2B6F"/>
    <w:rsid w:val="002C314F"/>
    <w:rsid w:val="002C4AD1"/>
    <w:rsid w:val="002C7D29"/>
    <w:rsid w:val="002D0298"/>
    <w:rsid w:val="002D1662"/>
    <w:rsid w:val="002D1950"/>
    <w:rsid w:val="002D1DE5"/>
    <w:rsid w:val="002D3506"/>
    <w:rsid w:val="002D3670"/>
    <w:rsid w:val="002D4807"/>
    <w:rsid w:val="002D5731"/>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1A2A"/>
    <w:rsid w:val="0031229D"/>
    <w:rsid w:val="003132DE"/>
    <w:rsid w:val="00314E12"/>
    <w:rsid w:val="003166A5"/>
    <w:rsid w:val="00316782"/>
    <w:rsid w:val="00316C8C"/>
    <w:rsid w:val="003174C2"/>
    <w:rsid w:val="00317CE4"/>
    <w:rsid w:val="00317F8B"/>
    <w:rsid w:val="00320DF4"/>
    <w:rsid w:val="00321918"/>
    <w:rsid w:val="003219A9"/>
    <w:rsid w:val="00321B00"/>
    <w:rsid w:val="00321C54"/>
    <w:rsid w:val="00321CC6"/>
    <w:rsid w:val="00321DCD"/>
    <w:rsid w:val="0032261F"/>
    <w:rsid w:val="003237A2"/>
    <w:rsid w:val="00324729"/>
    <w:rsid w:val="00325C8B"/>
    <w:rsid w:val="00326C08"/>
    <w:rsid w:val="00327011"/>
    <w:rsid w:val="00331016"/>
    <w:rsid w:val="00334127"/>
    <w:rsid w:val="00335CA6"/>
    <w:rsid w:val="00335DF4"/>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2970"/>
    <w:rsid w:val="003534EE"/>
    <w:rsid w:val="003569C2"/>
    <w:rsid w:val="003600A2"/>
    <w:rsid w:val="003608CD"/>
    <w:rsid w:val="003612D8"/>
    <w:rsid w:val="003637B6"/>
    <w:rsid w:val="00363F89"/>
    <w:rsid w:val="00363FB0"/>
    <w:rsid w:val="003646D6"/>
    <w:rsid w:val="00364FC6"/>
    <w:rsid w:val="003652C4"/>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1C94"/>
    <w:rsid w:val="00392705"/>
    <w:rsid w:val="00393A79"/>
    <w:rsid w:val="0039419C"/>
    <w:rsid w:val="00395987"/>
    <w:rsid w:val="00396375"/>
    <w:rsid w:val="00396801"/>
    <w:rsid w:val="00396E82"/>
    <w:rsid w:val="003A07FF"/>
    <w:rsid w:val="003A0DEF"/>
    <w:rsid w:val="003A146E"/>
    <w:rsid w:val="003A1A53"/>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18B9"/>
    <w:rsid w:val="003C1BC8"/>
    <w:rsid w:val="003C218D"/>
    <w:rsid w:val="003C29C5"/>
    <w:rsid w:val="003C3801"/>
    <w:rsid w:val="003C3D89"/>
    <w:rsid w:val="003C3EE2"/>
    <w:rsid w:val="003C4224"/>
    <w:rsid w:val="003C426D"/>
    <w:rsid w:val="003C4877"/>
    <w:rsid w:val="003C4B42"/>
    <w:rsid w:val="003C4E91"/>
    <w:rsid w:val="003C6BCD"/>
    <w:rsid w:val="003C6D76"/>
    <w:rsid w:val="003C72F6"/>
    <w:rsid w:val="003D073C"/>
    <w:rsid w:val="003D0791"/>
    <w:rsid w:val="003D1130"/>
    <w:rsid w:val="003D37D4"/>
    <w:rsid w:val="003D3B08"/>
    <w:rsid w:val="003D47A7"/>
    <w:rsid w:val="003D56B5"/>
    <w:rsid w:val="003D5DCC"/>
    <w:rsid w:val="003D6B84"/>
    <w:rsid w:val="003E08B2"/>
    <w:rsid w:val="003E1A49"/>
    <w:rsid w:val="003E2D01"/>
    <w:rsid w:val="003E330E"/>
    <w:rsid w:val="003E3AE3"/>
    <w:rsid w:val="003E5733"/>
    <w:rsid w:val="003E5E27"/>
    <w:rsid w:val="003E606B"/>
    <w:rsid w:val="003E6FD2"/>
    <w:rsid w:val="003E788F"/>
    <w:rsid w:val="003E7A32"/>
    <w:rsid w:val="003E7A97"/>
    <w:rsid w:val="003E7D3A"/>
    <w:rsid w:val="003F0950"/>
    <w:rsid w:val="003F09C9"/>
    <w:rsid w:val="003F4C37"/>
    <w:rsid w:val="003F58A2"/>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0708E"/>
    <w:rsid w:val="00410603"/>
    <w:rsid w:val="00410B8F"/>
    <w:rsid w:val="00411C6D"/>
    <w:rsid w:val="00412057"/>
    <w:rsid w:val="004126C1"/>
    <w:rsid w:val="00413BA5"/>
    <w:rsid w:val="00414B98"/>
    <w:rsid w:val="00414FD0"/>
    <w:rsid w:val="004178EE"/>
    <w:rsid w:val="00417E93"/>
    <w:rsid w:val="00422A2A"/>
    <w:rsid w:val="00422B3E"/>
    <w:rsid w:val="00422F5B"/>
    <w:rsid w:val="00424BB4"/>
    <w:rsid w:val="004258CD"/>
    <w:rsid w:val="00425F59"/>
    <w:rsid w:val="004261D2"/>
    <w:rsid w:val="0042748C"/>
    <w:rsid w:val="004303D1"/>
    <w:rsid w:val="00430D6E"/>
    <w:rsid w:val="004337A5"/>
    <w:rsid w:val="00433C0A"/>
    <w:rsid w:val="004349FA"/>
    <w:rsid w:val="0043740D"/>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3F75"/>
    <w:rsid w:val="00454A22"/>
    <w:rsid w:val="00455BAF"/>
    <w:rsid w:val="00456409"/>
    <w:rsid w:val="004569C6"/>
    <w:rsid w:val="00456ADC"/>
    <w:rsid w:val="0045768F"/>
    <w:rsid w:val="00457769"/>
    <w:rsid w:val="004627AE"/>
    <w:rsid w:val="0046298E"/>
    <w:rsid w:val="004647BB"/>
    <w:rsid w:val="0046482B"/>
    <w:rsid w:val="004648E0"/>
    <w:rsid w:val="00466020"/>
    <w:rsid w:val="00471935"/>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4E88"/>
    <w:rsid w:val="0049528C"/>
    <w:rsid w:val="00497356"/>
    <w:rsid w:val="004A076F"/>
    <w:rsid w:val="004A1DC1"/>
    <w:rsid w:val="004A31A2"/>
    <w:rsid w:val="004A48A7"/>
    <w:rsid w:val="004A62CF"/>
    <w:rsid w:val="004A655D"/>
    <w:rsid w:val="004B01B1"/>
    <w:rsid w:val="004B08D1"/>
    <w:rsid w:val="004B10E6"/>
    <w:rsid w:val="004B198F"/>
    <w:rsid w:val="004B46D0"/>
    <w:rsid w:val="004B57B0"/>
    <w:rsid w:val="004B5A14"/>
    <w:rsid w:val="004B60CE"/>
    <w:rsid w:val="004B61C9"/>
    <w:rsid w:val="004B6C53"/>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3DFC"/>
    <w:rsid w:val="004D4071"/>
    <w:rsid w:val="004D421A"/>
    <w:rsid w:val="004D4D0C"/>
    <w:rsid w:val="004D6144"/>
    <w:rsid w:val="004D678F"/>
    <w:rsid w:val="004E1264"/>
    <w:rsid w:val="004E2CBC"/>
    <w:rsid w:val="004E3DD4"/>
    <w:rsid w:val="004E4AF8"/>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1B5"/>
    <w:rsid w:val="00517A63"/>
    <w:rsid w:val="00517C8D"/>
    <w:rsid w:val="00517FD1"/>
    <w:rsid w:val="005219E6"/>
    <w:rsid w:val="00521B4A"/>
    <w:rsid w:val="0052212E"/>
    <w:rsid w:val="00522E91"/>
    <w:rsid w:val="0052302D"/>
    <w:rsid w:val="005236A5"/>
    <w:rsid w:val="005247B8"/>
    <w:rsid w:val="00524AB0"/>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490C"/>
    <w:rsid w:val="00555631"/>
    <w:rsid w:val="00556043"/>
    <w:rsid w:val="0055621D"/>
    <w:rsid w:val="00557B3B"/>
    <w:rsid w:val="00560C6A"/>
    <w:rsid w:val="00560F85"/>
    <w:rsid w:val="005610A0"/>
    <w:rsid w:val="00561127"/>
    <w:rsid w:val="0056248F"/>
    <w:rsid w:val="00564985"/>
    <w:rsid w:val="00565379"/>
    <w:rsid w:val="0056579D"/>
    <w:rsid w:val="005674C3"/>
    <w:rsid w:val="00567990"/>
    <w:rsid w:val="00567C4C"/>
    <w:rsid w:val="005728C8"/>
    <w:rsid w:val="005733AD"/>
    <w:rsid w:val="0057381A"/>
    <w:rsid w:val="00573ABD"/>
    <w:rsid w:val="00574B91"/>
    <w:rsid w:val="00574DAF"/>
    <w:rsid w:val="00574E5C"/>
    <w:rsid w:val="00574F5E"/>
    <w:rsid w:val="005750F7"/>
    <w:rsid w:val="0057512C"/>
    <w:rsid w:val="00576319"/>
    <w:rsid w:val="0057648C"/>
    <w:rsid w:val="00576AF3"/>
    <w:rsid w:val="00581FF0"/>
    <w:rsid w:val="005825FC"/>
    <w:rsid w:val="00583437"/>
    <w:rsid w:val="005836F0"/>
    <w:rsid w:val="00583CE0"/>
    <w:rsid w:val="00584B4A"/>
    <w:rsid w:val="00584DCB"/>
    <w:rsid w:val="00585A16"/>
    <w:rsid w:val="00585B98"/>
    <w:rsid w:val="005863D8"/>
    <w:rsid w:val="005865B2"/>
    <w:rsid w:val="00586812"/>
    <w:rsid w:val="00587B20"/>
    <w:rsid w:val="00587BC2"/>
    <w:rsid w:val="005918E4"/>
    <w:rsid w:val="00591AF0"/>
    <w:rsid w:val="00591C6D"/>
    <w:rsid w:val="00591C71"/>
    <w:rsid w:val="00592050"/>
    <w:rsid w:val="00592392"/>
    <w:rsid w:val="00592484"/>
    <w:rsid w:val="0059283D"/>
    <w:rsid w:val="005928D3"/>
    <w:rsid w:val="0059293D"/>
    <w:rsid w:val="00592D5D"/>
    <w:rsid w:val="00593C74"/>
    <w:rsid w:val="00594604"/>
    <w:rsid w:val="005955C0"/>
    <w:rsid w:val="00595B68"/>
    <w:rsid w:val="00595EAA"/>
    <w:rsid w:val="0059672B"/>
    <w:rsid w:val="00596EAE"/>
    <w:rsid w:val="005A0C60"/>
    <w:rsid w:val="005A255F"/>
    <w:rsid w:val="005A330E"/>
    <w:rsid w:val="005A336E"/>
    <w:rsid w:val="005A3446"/>
    <w:rsid w:val="005A5554"/>
    <w:rsid w:val="005A5651"/>
    <w:rsid w:val="005A60D8"/>
    <w:rsid w:val="005A63EA"/>
    <w:rsid w:val="005A6AFE"/>
    <w:rsid w:val="005A7004"/>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802"/>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9A1"/>
    <w:rsid w:val="005F7D85"/>
    <w:rsid w:val="00601A1F"/>
    <w:rsid w:val="00602655"/>
    <w:rsid w:val="00603B68"/>
    <w:rsid w:val="00605297"/>
    <w:rsid w:val="00605CB9"/>
    <w:rsid w:val="006065BF"/>
    <w:rsid w:val="00607C00"/>
    <w:rsid w:val="00610137"/>
    <w:rsid w:val="00610430"/>
    <w:rsid w:val="00610EB6"/>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278C7"/>
    <w:rsid w:val="00630442"/>
    <w:rsid w:val="0063048C"/>
    <w:rsid w:val="00630FCD"/>
    <w:rsid w:val="006319C2"/>
    <w:rsid w:val="00631FF6"/>
    <w:rsid w:val="006326AB"/>
    <w:rsid w:val="0063292C"/>
    <w:rsid w:val="0063312C"/>
    <w:rsid w:val="00633DBC"/>
    <w:rsid w:val="00634CA3"/>
    <w:rsid w:val="006351AD"/>
    <w:rsid w:val="00635A2A"/>
    <w:rsid w:val="00636721"/>
    <w:rsid w:val="00636A63"/>
    <w:rsid w:val="00636C79"/>
    <w:rsid w:val="00636DCB"/>
    <w:rsid w:val="00636DE3"/>
    <w:rsid w:val="00636EEF"/>
    <w:rsid w:val="00636F89"/>
    <w:rsid w:val="0063700D"/>
    <w:rsid w:val="00637470"/>
    <w:rsid w:val="00637E13"/>
    <w:rsid w:val="006407CD"/>
    <w:rsid w:val="00640D89"/>
    <w:rsid w:val="00640F58"/>
    <w:rsid w:val="00641203"/>
    <w:rsid w:val="00641776"/>
    <w:rsid w:val="00645742"/>
    <w:rsid w:val="0064656E"/>
    <w:rsid w:val="00646DF5"/>
    <w:rsid w:val="00650397"/>
    <w:rsid w:val="006507E8"/>
    <w:rsid w:val="00650C73"/>
    <w:rsid w:val="00651143"/>
    <w:rsid w:val="0065130E"/>
    <w:rsid w:val="00651959"/>
    <w:rsid w:val="00653149"/>
    <w:rsid w:val="006531E4"/>
    <w:rsid w:val="00654505"/>
    <w:rsid w:val="006575ED"/>
    <w:rsid w:val="006578FD"/>
    <w:rsid w:val="00660060"/>
    <w:rsid w:val="006609AA"/>
    <w:rsid w:val="00662EDE"/>
    <w:rsid w:val="00662F2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5F5D"/>
    <w:rsid w:val="006763DE"/>
    <w:rsid w:val="0067663E"/>
    <w:rsid w:val="00676EAF"/>
    <w:rsid w:val="00677850"/>
    <w:rsid w:val="00680657"/>
    <w:rsid w:val="00680BD9"/>
    <w:rsid w:val="00681B4A"/>
    <w:rsid w:val="00681D07"/>
    <w:rsid w:val="00681EDA"/>
    <w:rsid w:val="00682017"/>
    <w:rsid w:val="00682AAD"/>
    <w:rsid w:val="0068426B"/>
    <w:rsid w:val="00685FFF"/>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5B8E"/>
    <w:rsid w:val="006A6A14"/>
    <w:rsid w:val="006A753A"/>
    <w:rsid w:val="006A777C"/>
    <w:rsid w:val="006A7C46"/>
    <w:rsid w:val="006A7EB8"/>
    <w:rsid w:val="006B0F76"/>
    <w:rsid w:val="006B1F20"/>
    <w:rsid w:val="006B398A"/>
    <w:rsid w:val="006B3E04"/>
    <w:rsid w:val="006B4024"/>
    <w:rsid w:val="006B47D7"/>
    <w:rsid w:val="006B499D"/>
    <w:rsid w:val="006B5041"/>
    <w:rsid w:val="006B643D"/>
    <w:rsid w:val="006B79A4"/>
    <w:rsid w:val="006C0738"/>
    <w:rsid w:val="006C0DA2"/>
    <w:rsid w:val="006C1254"/>
    <w:rsid w:val="006C2DC5"/>
    <w:rsid w:val="006C480B"/>
    <w:rsid w:val="006C570B"/>
    <w:rsid w:val="006C572E"/>
    <w:rsid w:val="006C5997"/>
    <w:rsid w:val="006C5CD2"/>
    <w:rsid w:val="006D0636"/>
    <w:rsid w:val="006D06DC"/>
    <w:rsid w:val="006D6E46"/>
    <w:rsid w:val="006D7FA8"/>
    <w:rsid w:val="006E4601"/>
    <w:rsid w:val="006E46F9"/>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07084"/>
    <w:rsid w:val="00710494"/>
    <w:rsid w:val="007117BD"/>
    <w:rsid w:val="007148DE"/>
    <w:rsid w:val="00715129"/>
    <w:rsid w:val="007154CE"/>
    <w:rsid w:val="00715B25"/>
    <w:rsid w:val="00715B92"/>
    <w:rsid w:val="00716020"/>
    <w:rsid w:val="00720860"/>
    <w:rsid w:val="00721087"/>
    <w:rsid w:val="007213D8"/>
    <w:rsid w:val="00721530"/>
    <w:rsid w:val="0072238E"/>
    <w:rsid w:val="00722BD5"/>
    <w:rsid w:val="00723422"/>
    <w:rsid w:val="007248AC"/>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0564"/>
    <w:rsid w:val="0076281A"/>
    <w:rsid w:val="00762ADE"/>
    <w:rsid w:val="0076365D"/>
    <w:rsid w:val="007642DC"/>
    <w:rsid w:val="007660E6"/>
    <w:rsid w:val="007661A9"/>
    <w:rsid w:val="007662C0"/>
    <w:rsid w:val="0076742F"/>
    <w:rsid w:val="00767712"/>
    <w:rsid w:val="00767B39"/>
    <w:rsid w:val="007711D0"/>
    <w:rsid w:val="007712E6"/>
    <w:rsid w:val="00771762"/>
    <w:rsid w:val="00771D3D"/>
    <w:rsid w:val="007728AB"/>
    <w:rsid w:val="00772CFE"/>
    <w:rsid w:val="007730CF"/>
    <w:rsid w:val="00774756"/>
    <w:rsid w:val="00775181"/>
    <w:rsid w:val="007751B6"/>
    <w:rsid w:val="00775345"/>
    <w:rsid w:val="00776161"/>
    <w:rsid w:val="00776A33"/>
    <w:rsid w:val="00776F15"/>
    <w:rsid w:val="007779ED"/>
    <w:rsid w:val="00780B1A"/>
    <w:rsid w:val="007810D3"/>
    <w:rsid w:val="0078264A"/>
    <w:rsid w:val="00783D11"/>
    <w:rsid w:val="00783FFA"/>
    <w:rsid w:val="00785E46"/>
    <w:rsid w:val="00787917"/>
    <w:rsid w:val="00791489"/>
    <w:rsid w:val="00791683"/>
    <w:rsid w:val="00792F0C"/>
    <w:rsid w:val="007931E6"/>
    <w:rsid w:val="00793AEB"/>
    <w:rsid w:val="00794525"/>
    <w:rsid w:val="00795460"/>
    <w:rsid w:val="007962DE"/>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008"/>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BF"/>
    <w:rsid w:val="007E39DE"/>
    <w:rsid w:val="007E3F53"/>
    <w:rsid w:val="007E5011"/>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0BEB"/>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0C7"/>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538"/>
    <w:rsid w:val="00846956"/>
    <w:rsid w:val="00846CF1"/>
    <w:rsid w:val="00847622"/>
    <w:rsid w:val="008505B8"/>
    <w:rsid w:val="00851005"/>
    <w:rsid w:val="00851ADD"/>
    <w:rsid w:val="008548DB"/>
    <w:rsid w:val="00855CA6"/>
    <w:rsid w:val="00860323"/>
    <w:rsid w:val="00860F4F"/>
    <w:rsid w:val="008610B9"/>
    <w:rsid w:val="00862656"/>
    <w:rsid w:val="00863013"/>
    <w:rsid w:val="008630EA"/>
    <w:rsid w:val="00863F67"/>
    <w:rsid w:val="0086483A"/>
    <w:rsid w:val="0087049C"/>
    <w:rsid w:val="00870AAD"/>
    <w:rsid w:val="00870EDE"/>
    <w:rsid w:val="00871DA0"/>
    <w:rsid w:val="00872030"/>
    <w:rsid w:val="00873973"/>
    <w:rsid w:val="00874721"/>
    <w:rsid w:val="0087564A"/>
    <w:rsid w:val="00875C28"/>
    <w:rsid w:val="00875E75"/>
    <w:rsid w:val="0087657F"/>
    <w:rsid w:val="0087658F"/>
    <w:rsid w:val="0087762E"/>
    <w:rsid w:val="00877823"/>
    <w:rsid w:val="008803F5"/>
    <w:rsid w:val="008812BF"/>
    <w:rsid w:val="00881341"/>
    <w:rsid w:val="008822C9"/>
    <w:rsid w:val="00882931"/>
    <w:rsid w:val="00884939"/>
    <w:rsid w:val="008853E0"/>
    <w:rsid w:val="00885A51"/>
    <w:rsid w:val="00885BE2"/>
    <w:rsid w:val="008863C8"/>
    <w:rsid w:val="00886D40"/>
    <w:rsid w:val="00887A0E"/>
    <w:rsid w:val="008907F3"/>
    <w:rsid w:val="008920C2"/>
    <w:rsid w:val="0089248C"/>
    <w:rsid w:val="00895702"/>
    <w:rsid w:val="00897566"/>
    <w:rsid w:val="0089757B"/>
    <w:rsid w:val="008A1594"/>
    <w:rsid w:val="008A1757"/>
    <w:rsid w:val="008A1ADB"/>
    <w:rsid w:val="008A1CE6"/>
    <w:rsid w:val="008A1DF3"/>
    <w:rsid w:val="008A1EDB"/>
    <w:rsid w:val="008A1F25"/>
    <w:rsid w:val="008A47FB"/>
    <w:rsid w:val="008A5234"/>
    <w:rsid w:val="008A5397"/>
    <w:rsid w:val="008A6861"/>
    <w:rsid w:val="008A718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61B6"/>
    <w:rsid w:val="008C7736"/>
    <w:rsid w:val="008D0948"/>
    <w:rsid w:val="008D0D3C"/>
    <w:rsid w:val="008D311C"/>
    <w:rsid w:val="008D31D2"/>
    <w:rsid w:val="008D3CC5"/>
    <w:rsid w:val="008D564A"/>
    <w:rsid w:val="008D5E47"/>
    <w:rsid w:val="008D7D8C"/>
    <w:rsid w:val="008E0002"/>
    <w:rsid w:val="008E004E"/>
    <w:rsid w:val="008E04FB"/>
    <w:rsid w:val="008E3E79"/>
    <w:rsid w:val="008E5282"/>
    <w:rsid w:val="008E5E2C"/>
    <w:rsid w:val="008E78F1"/>
    <w:rsid w:val="008E7AFD"/>
    <w:rsid w:val="008F03CE"/>
    <w:rsid w:val="008F075B"/>
    <w:rsid w:val="008F0E9E"/>
    <w:rsid w:val="008F271E"/>
    <w:rsid w:val="008F2913"/>
    <w:rsid w:val="008F2A4E"/>
    <w:rsid w:val="008F2AE9"/>
    <w:rsid w:val="008F332B"/>
    <w:rsid w:val="008F4371"/>
    <w:rsid w:val="008F52D0"/>
    <w:rsid w:val="008F5823"/>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3E75"/>
    <w:rsid w:val="009163CC"/>
    <w:rsid w:val="0091674C"/>
    <w:rsid w:val="00916862"/>
    <w:rsid w:val="00916B2A"/>
    <w:rsid w:val="00916D96"/>
    <w:rsid w:val="009174F7"/>
    <w:rsid w:val="00917E76"/>
    <w:rsid w:val="00920167"/>
    <w:rsid w:val="009216CC"/>
    <w:rsid w:val="009217C9"/>
    <w:rsid w:val="00921BB8"/>
    <w:rsid w:val="00921D28"/>
    <w:rsid w:val="00922034"/>
    <w:rsid w:val="0092266C"/>
    <w:rsid w:val="009241E8"/>
    <w:rsid w:val="00925575"/>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37BC3"/>
    <w:rsid w:val="00937D2A"/>
    <w:rsid w:val="00940C5B"/>
    <w:rsid w:val="009411F7"/>
    <w:rsid w:val="009417F1"/>
    <w:rsid w:val="00941A84"/>
    <w:rsid w:val="0094204A"/>
    <w:rsid w:val="0094429A"/>
    <w:rsid w:val="009443ED"/>
    <w:rsid w:val="00945DBF"/>
    <w:rsid w:val="00946042"/>
    <w:rsid w:val="00946495"/>
    <w:rsid w:val="00946AB3"/>
    <w:rsid w:val="00947074"/>
    <w:rsid w:val="0094742E"/>
    <w:rsid w:val="0094752A"/>
    <w:rsid w:val="00947D01"/>
    <w:rsid w:val="009503EA"/>
    <w:rsid w:val="0095112D"/>
    <w:rsid w:val="009518C9"/>
    <w:rsid w:val="00952124"/>
    <w:rsid w:val="00954DBA"/>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67469"/>
    <w:rsid w:val="00971568"/>
    <w:rsid w:val="009728F2"/>
    <w:rsid w:val="00972BEF"/>
    <w:rsid w:val="00973BCF"/>
    <w:rsid w:val="00973BD6"/>
    <w:rsid w:val="009744BC"/>
    <w:rsid w:val="00974E60"/>
    <w:rsid w:val="00975896"/>
    <w:rsid w:val="00975DF1"/>
    <w:rsid w:val="00976AFE"/>
    <w:rsid w:val="00983CEA"/>
    <w:rsid w:val="00983F7F"/>
    <w:rsid w:val="00984198"/>
    <w:rsid w:val="00984E04"/>
    <w:rsid w:val="00986194"/>
    <w:rsid w:val="009861D2"/>
    <w:rsid w:val="00986E53"/>
    <w:rsid w:val="00987CE5"/>
    <w:rsid w:val="009918AB"/>
    <w:rsid w:val="00992373"/>
    <w:rsid w:val="00993CF0"/>
    <w:rsid w:val="0099428D"/>
    <w:rsid w:val="009949A7"/>
    <w:rsid w:val="00995232"/>
    <w:rsid w:val="00995CDC"/>
    <w:rsid w:val="00996B32"/>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E527A"/>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C6A"/>
    <w:rsid w:val="00A06D32"/>
    <w:rsid w:val="00A07545"/>
    <w:rsid w:val="00A13947"/>
    <w:rsid w:val="00A13E2B"/>
    <w:rsid w:val="00A14BAC"/>
    <w:rsid w:val="00A155CF"/>
    <w:rsid w:val="00A1562A"/>
    <w:rsid w:val="00A15901"/>
    <w:rsid w:val="00A1618E"/>
    <w:rsid w:val="00A161A1"/>
    <w:rsid w:val="00A20562"/>
    <w:rsid w:val="00A20F75"/>
    <w:rsid w:val="00A212B1"/>
    <w:rsid w:val="00A2296C"/>
    <w:rsid w:val="00A22FCB"/>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0F78"/>
    <w:rsid w:val="00A51DF1"/>
    <w:rsid w:val="00A52AFB"/>
    <w:rsid w:val="00A53967"/>
    <w:rsid w:val="00A5455C"/>
    <w:rsid w:val="00A545EC"/>
    <w:rsid w:val="00A54C5F"/>
    <w:rsid w:val="00A54D3B"/>
    <w:rsid w:val="00A5578A"/>
    <w:rsid w:val="00A55BC3"/>
    <w:rsid w:val="00A57CF4"/>
    <w:rsid w:val="00A61365"/>
    <w:rsid w:val="00A61759"/>
    <w:rsid w:val="00A61B88"/>
    <w:rsid w:val="00A62C70"/>
    <w:rsid w:val="00A63982"/>
    <w:rsid w:val="00A63CDC"/>
    <w:rsid w:val="00A65845"/>
    <w:rsid w:val="00A65A41"/>
    <w:rsid w:val="00A666AA"/>
    <w:rsid w:val="00A671FC"/>
    <w:rsid w:val="00A7053B"/>
    <w:rsid w:val="00A71670"/>
    <w:rsid w:val="00A72874"/>
    <w:rsid w:val="00A72E48"/>
    <w:rsid w:val="00A7359C"/>
    <w:rsid w:val="00A73616"/>
    <w:rsid w:val="00A74FB3"/>
    <w:rsid w:val="00A76648"/>
    <w:rsid w:val="00A76DF7"/>
    <w:rsid w:val="00A77523"/>
    <w:rsid w:val="00A775BE"/>
    <w:rsid w:val="00A80489"/>
    <w:rsid w:val="00A80B88"/>
    <w:rsid w:val="00A833F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5B3"/>
    <w:rsid w:val="00A93D6F"/>
    <w:rsid w:val="00A9614E"/>
    <w:rsid w:val="00A963B5"/>
    <w:rsid w:val="00A96FA8"/>
    <w:rsid w:val="00A972EB"/>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A7E99"/>
    <w:rsid w:val="00AB02C6"/>
    <w:rsid w:val="00AB1C22"/>
    <w:rsid w:val="00AB246B"/>
    <w:rsid w:val="00AB2661"/>
    <w:rsid w:val="00AB2E96"/>
    <w:rsid w:val="00AB36D4"/>
    <w:rsid w:val="00AB5500"/>
    <w:rsid w:val="00AB5564"/>
    <w:rsid w:val="00AB57FB"/>
    <w:rsid w:val="00AB610D"/>
    <w:rsid w:val="00AB7348"/>
    <w:rsid w:val="00AB7B31"/>
    <w:rsid w:val="00AC13B0"/>
    <w:rsid w:val="00AC1642"/>
    <w:rsid w:val="00AC2FD0"/>
    <w:rsid w:val="00AC3DBD"/>
    <w:rsid w:val="00AC4F3F"/>
    <w:rsid w:val="00AC5E85"/>
    <w:rsid w:val="00AD03D8"/>
    <w:rsid w:val="00AD0D5F"/>
    <w:rsid w:val="00AD34CF"/>
    <w:rsid w:val="00AD36C8"/>
    <w:rsid w:val="00AD37C9"/>
    <w:rsid w:val="00AD47D3"/>
    <w:rsid w:val="00AD652F"/>
    <w:rsid w:val="00AD7BE2"/>
    <w:rsid w:val="00AD7D05"/>
    <w:rsid w:val="00AE01F6"/>
    <w:rsid w:val="00AE0EA1"/>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13"/>
    <w:rsid w:val="00AF4D6A"/>
    <w:rsid w:val="00AF5D2C"/>
    <w:rsid w:val="00AF5D6E"/>
    <w:rsid w:val="00AF6318"/>
    <w:rsid w:val="00B0072E"/>
    <w:rsid w:val="00B03B63"/>
    <w:rsid w:val="00B0513A"/>
    <w:rsid w:val="00B05B6A"/>
    <w:rsid w:val="00B0620B"/>
    <w:rsid w:val="00B072A3"/>
    <w:rsid w:val="00B07FCD"/>
    <w:rsid w:val="00B10A7D"/>
    <w:rsid w:val="00B1149C"/>
    <w:rsid w:val="00B11F60"/>
    <w:rsid w:val="00B121EF"/>
    <w:rsid w:val="00B127AA"/>
    <w:rsid w:val="00B130CB"/>
    <w:rsid w:val="00B14BF0"/>
    <w:rsid w:val="00B14D9D"/>
    <w:rsid w:val="00B14EF5"/>
    <w:rsid w:val="00B1546E"/>
    <w:rsid w:val="00B15AF1"/>
    <w:rsid w:val="00B16048"/>
    <w:rsid w:val="00B17F54"/>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25B7"/>
    <w:rsid w:val="00B3303E"/>
    <w:rsid w:val="00B3398B"/>
    <w:rsid w:val="00B33B1E"/>
    <w:rsid w:val="00B344EC"/>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8A0"/>
    <w:rsid w:val="00B52A82"/>
    <w:rsid w:val="00B52F25"/>
    <w:rsid w:val="00B53096"/>
    <w:rsid w:val="00B545AF"/>
    <w:rsid w:val="00B55B09"/>
    <w:rsid w:val="00B56711"/>
    <w:rsid w:val="00B57EF2"/>
    <w:rsid w:val="00B604F3"/>
    <w:rsid w:val="00B6101C"/>
    <w:rsid w:val="00B615ED"/>
    <w:rsid w:val="00B63A9D"/>
    <w:rsid w:val="00B64888"/>
    <w:rsid w:val="00B672E3"/>
    <w:rsid w:val="00B6731B"/>
    <w:rsid w:val="00B675F9"/>
    <w:rsid w:val="00B67E6A"/>
    <w:rsid w:val="00B70849"/>
    <w:rsid w:val="00B72C1C"/>
    <w:rsid w:val="00B73BB7"/>
    <w:rsid w:val="00B74BFE"/>
    <w:rsid w:val="00B751C3"/>
    <w:rsid w:val="00B76AF5"/>
    <w:rsid w:val="00B76C0D"/>
    <w:rsid w:val="00B77D0D"/>
    <w:rsid w:val="00B80817"/>
    <w:rsid w:val="00B827E6"/>
    <w:rsid w:val="00B82A28"/>
    <w:rsid w:val="00B82B8D"/>
    <w:rsid w:val="00B82C97"/>
    <w:rsid w:val="00B84C46"/>
    <w:rsid w:val="00B851D5"/>
    <w:rsid w:val="00B85B06"/>
    <w:rsid w:val="00B90558"/>
    <w:rsid w:val="00B92958"/>
    <w:rsid w:val="00B93957"/>
    <w:rsid w:val="00B9404A"/>
    <w:rsid w:val="00B94877"/>
    <w:rsid w:val="00B9491F"/>
    <w:rsid w:val="00B96043"/>
    <w:rsid w:val="00B96B09"/>
    <w:rsid w:val="00B96F5D"/>
    <w:rsid w:val="00BA02F9"/>
    <w:rsid w:val="00BA1987"/>
    <w:rsid w:val="00BA2682"/>
    <w:rsid w:val="00BA2B7F"/>
    <w:rsid w:val="00BA31E4"/>
    <w:rsid w:val="00BA3959"/>
    <w:rsid w:val="00BA47CC"/>
    <w:rsid w:val="00BA524B"/>
    <w:rsid w:val="00BA54F7"/>
    <w:rsid w:val="00BA576C"/>
    <w:rsid w:val="00BA6205"/>
    <w:rsid w:val="00BA6CE5"/>
    <w:rsid w:val="00BA6F38"/>
    <w:rsid w:val="00BA78C3"/>
    <w:rsid w:val="00BB11E8"/>
    <w:rsid w:val="00BB1388"/>
    <w:rsid w:val="00BB2683"/>
    <w:rsid w:val="00BB40DF"/>
    <w:rsid w:val="00BB5601"/>
    <w:rsid w:val="00BB5E2C"/>
    <w:rsid w:val="00BB6440"/>
    <w:rsid w:val="00BB7D9E"/>
    <w:rsid w:val="00BC16AC"/>
    <w:rsid w:val="00BC2034"/>
    <w:rsid w:val="00BC2B7B"/>
    <w:rsid w:val="00BC3290"/>
    <w:rsid w:val="00BC3AE8"/>
    <w:rsid w:val="00BC3AF4"/>
    <w:rsid w:val="00BC43A8"/>
    <w:rsid w:val="00BC5684"/>
    <w:rsid w:val="00BC5C6D"/>
    <w:rsid w:val="00BC7120"/>
    <w:rsid w:val="00BC76A3"/>
    <w:rsid w:val="00BD00D1"/>
    <w:rsid w:val="00BD07A2"/>
    <w:rsid w:val="00BD2603"/>
    <w:rsid w:val="00BD417D"/>
    <w:rsid w:val="00BD4EEC"/>
    <w:rsid w:val="00BD4F34"/>
    <w:rsid w:val="00BD537C"/>
    <w:rsid w:val="00BD6F5B"/>
    <w:rsid w:val="00BD7662"/>
    <w:rsid w:val="00BE05ED"/>
    <w:rsid w:val="00BE340A"/>
    <w:rsid w:val="00BE350E"/>
    <w:rsid w:val="00BE3801"/>
    <w:rsid w:val="00BE38CF"/>
    <w:rsid w:val="00BE394B"/>
    <w:rsid w:val="00BE48A8"/>
    <w:rsid w:val="00BE528F"/>
    <w:rsid w:val="00BE52B2"/>
    <w:rsid w:val="00BE5850"/>
    <w:rsid w:val="00BE58D6"/>
    <w:rsid w:val="00BE5CA6"/>
    <w:rsid w:val="00BE707F"/>
    <w:rsid w:val="00BE7F5D"/>
    <w:rsid w:val="00BF0707"/>
    <w:rsid w:val="00BF164F"/>
    <w:rsid w:val="00BF1AAF"/>
    <w:rsid w:val="00BF268B"/>
    <w:rsid w:val="00BF443E"/>
    <w:rsid w:val="00BF4D03"/>
    <w:rsid w:val="00BF4E85"/>
    <w:rsid w:val="00BF54BD"/>
    <w:rsid w:val="00BF5892"/>
    <w:rsid w:val="00BF63A3"/>
    <w:rsid w:val="00BF7140"/>
    <w:rsid w:val="00C0153D"/>
    <w:rsid w:val="00C01804"/>
    <w:rsid w:val="00C026BC"/>
    <w:rsid w:val="00C02AD4"/>
    <w:rsid w:val="00C03869"/>
    <w:rsid w:val="00C07988"/>
    <w:rsid w:val="00C07C5E"/>
    <w:rsid w:val="00C10068"/>
    <w:rsid w:val="00C10AC5"/>
    <w:rsid w:val="00C12DAD"/>
    <w:rsid w:val="00C12E17"/>
    <w:rsid w:val="00C141DC"/>
    <w:rsid w:val="00C14741"/>
    <w:rsid w:val="00C1544B"/>
    <w:rsid w:val="00C1665A"/>
    <w:rsid w:val="00C1739F"/>
    <w:rsid w:val="00C177FF"/>
    <w:rsid w:val="00C222FF"/>
    <w:rsid w:val="00C2338E"/>
    <w:rsid w:val="00C23FB0"/>
    <w:rsid w:val="00C24021"/>
    <w:rsid w:val="00C248AF"/>
    <w:rsid w:val="00C24B09"/>
    <w:rsid w:val="00C24BDE"/>
    <w:rsid w:val="00C24E9F"/>
    <w:rsid w:val="00C27BA8"/>
    <w:rsid w:val="00C31362"/>
    <w:rsid w:val="00C32151"/>
    <w:rsid w:val="00C3217A"/>
    <w:rsid w:val="00C33551"/>
    <w:rsid w:val="00C3357D"/>
    <w:rsid w:val="00C33BE9"/>
    <w:rsid w:val="00C33C13"/>
    <w:rsid w:val="00C348C7"/>
    <w:rsid w:val="00C35B2A"/>
    <w:rsid w:val="00C36742"/>
    <w:rsid w:val="00C374AD"/>
    <w:rsid w:val="00C37865"/>
    <w:rsid w:val="00C40DE4"/>
    <w:rsid w:val="00C40E63"/>
    <w:rsid w:val="00C41A06"/>
    <w:rsid w:val="00C41AE0"/>
    <w:rsid w:val="00C4261B"/>
    <w:rsid w:val="00C42BFB"/>
    <w:rsid w:val="00C44D66"/>
    <w:rsid w:val="00C44DDC"/>
    <w:rsid w:val="00C469F4"/>
    <w:rsid w:val="00C50A61"/>
    <w:rsid w:val="00C5128B"/>
    <w:rsid w:val="00C51423"/>
    <w:rsid w:val="00C5294D"/>
    <w:rsid w:val="00C52F83"/>
    <w:rsid w:val="00C53C84"/>
    <w:rsid w:val="00C54C1B"/>
    <w:rsid w:val="00C54DBA"/>
    <w:rsid w:val="00C56701"/>
    <w:rsid w:val="00C57ED3"/>
    <w:rsid w:val="00C61640"/>
    <w:rsid w:val="00C61AA7"/>
    <w:rsid w:val="00C61B8E"/>
    <w:rsid w:val="00C626E9"/>
    <w:rsid w:val="00C65088"/>
    <w:rsid w:val="00C668DE"/>
    <w:rsid w:val="00C7044F"/>
    <w:rsid w:val="00C70D41"/>
    <w:rsid w:val="00C71881"/>
    <w:rsid w:val="00C720F8"/>
    <w:rsid w:val="00C7294B"/>
    <w:rsid w:val="00C75139"/>
    <w:rsid w:val="00C7525C"/>
    <w:rsid w:val="00C7611B"/>
    <w:rsid w:val="00C76CF7"/>
    <w:rsid w:val="00C83A4C"/>
    <w:rsid w:val="00C83B75"/>
    <w:rsid w:val="00C83DA6"/>
    <w:rsid w:val="00C8533B"/>
    <w:rsid w:val="00C858BA"/>
    <w:rsid w:val="00C86977"/>
    <w:rsid w:val="00C8790B"/>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0BDC"/>
    <w:rsid w:val="00CC2521"/>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0A3A"/>
    <w:rsid w:val="00CE0F5A"/>
    <w:rsid w:val="00CE130A"/>
    <w:rsid w:val="00CE23CD"/>
    <w:rsid w:val="00CE247A"/>
    <w:rsid w:val="00CE2A1A"/>
    <w:rsid w:val="00CE2F05"/>
    <w:rsid w:val="00CE4A51"/>
    <w:rsid w:val="00CE4B71"/>
    <w:rsid w:val="00CE4F80"/>
    <w:rsid w:val="00CE50E4"/>
    <w:rsid w:val="00CE51E8"/>
    <w:rsid w:val="00CE56A1"/>
    <w:rsid w:val="00CE597D"/>
    <w:rsid w:val="00CE64A5"/>
    <w:rsid w:val="00CE669E"/>
    <w:rsid w:val="00CE66B5"/>
    <w:rsid w:val="00CE6BFE"/>
    <w:rsid w:val="00CE7031"/>
    <w:rsid w:val="00CE7258"/>
    <w:rsid w:val="00CF0B9B"/>
    <w:rsid w:val="00CF0F7C"/>
    <w:rsid w:val="00CF1361"/>
    <w:rsid w:val="00CF13B8"/>
    <w:rsid w:val="00CF285E"/>
    <w:rsid w:val="00CF3739"/>
    <w:rsid w:val="00CF5597"/>
    <w:rsid w:val="00CF57B4"/>
    <w:rsid w:val="00CF5CA5"/>
    <w:rsid w:val="00CF658A"/>
    <w:rsid w:val="00CF66B6"/>
    <w:rsid w:val="00CF67BC"/>
    <w:rsid w:val="00CF68E9"/>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938"/>
    <w:rsid w:val="00D15BCC"/>
    <w:rsid w:val="00D15C5B"/>
    <w:rsid w:val="00D1628F"/>
    <w:rsid w:val="00D21D89"/>
    <w:rsid w:val="00D22522"/>
    <w:rsid w:val="00D22657"/>
    <w:rsid w:val="00D228DF"/>
    <w:rsid w:val="00D23557"/>
    <w:rsid w:val="00D2427F"/>
    <w:rsid w:val="00D24BB7"/>
    <w:rsid w:val="00D2506D"/>
    <w:rsid w:val="00D263AE"/>
    <w:rsid w:val="00D2773C"/>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2E52"/>
    <w:rsid w:val="00D441E9"/>
    <w:rsid w:val="00D44425"/>
    <w:rsid w:val="00D44FC8"/>
    <w:rsid w:val="00D45D8F"/>
    <w:rsid w:val="00D47077"/>
    <w:rsid w:val="00D47B96"/>
    <w:rsid w:val="00D50332"/>
    <w:rsid w:val="00D52B95"/>
    <w:rsid w:val="00D5362B"/>
    <w:rsid w:val="00D53A09"/>
    <w:rsid w:val="00D54AAB"/>
    <w:rsid w:val="00D54DF5"/>
    <w:rsid w:val="00D552F9"/>
    <w:rsid w:val="00D56904"/>
    <w:rsid w:val="00D56EDF"/>
    <w:rsid w:val="00D56F08"/>
    <w:rsid w:val="00D57361"/>
    <w:rsid w:val="00D61406"/>
    <w:rsid w:val="00D61541"/>
    <w:rsid w:val="00D61575"/>
    <w:rsid w:val="00D61D7A"/>
    <w:rsid w:val="00D621B7"/>
    <w:rsid w:val="00D6294E"/>
    <w:rsid w:val="00D63C9A"/>
    <w:rsid w:val="00D640BC"/>
    <w:rsid w:val="00D654D5"/>
    <w:rsid w:val="00D65A9D"/>
    <w:rsid w:val="00D65CB5"/>
    <w:rsid w:val="00D67168"/>
    <w:rsid w:val="00D677BB"/>
    <w:rsid w:val="00D70544"/>
    <w:rsid w:val="00D7129C"/>
    <w:rsid w:val="00D71463"/>
    <w:rsid w:val="00D7194A"/>
    <w:rsid w:val="00D725D4"/>
    <w:rsid w:val="00D72AE4"/>
    <w:rsid w:val="00D73026"/>
    <w:rsid w:val="00D73C7C"/>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0A5"/>
    <w:rsid w:val="00D87109"/>
    <w:rsid w:val="00D87F74"/>
    <w:rsid w:val="00D90AE5"/>
    <w:rsid w:val="00D912D5"/>
    <w:rsid w:val="00D91AAF"/>
    <w:rsid w:val="00D94564"/>
    <w:rsid w:val="00D9536E"/>
    <w:rsid w:val="00D9638C"/>
    <w:rsid w:val="00D97426"/>
    <w:rsid w:val="00D97568"/>
    <w:rsid w:val="00DA06B0"/>
    <w:rsid w:val="00DA29BA"/>
    <w:rsid w:val="00DA3249"/>
    <w:rsid w:val="00DA37C7"/>
    <w:rsid w:val="00DA38CE"/>
    <w:rsid w:val="00DA4B01"/>
    <w:rsid w:val="00DA4F5D"/>
    <w:rsid w:val="00DA5322"/>
    <w:rsid w:val="00DA55AC"/>
    <w:rsid w:val="00DA5600"/>
    <w:rsid w:val="00DA608B"/>
    <w:rsid w:val="00DA72FA"/>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45A7"/>
    <w:rsid w:val="00DC7481"/>
    <w:rsid w:val="00DC7591"/>
    <w:rsid w:val="00DD0839"/>
    <w:rsid w:val="00DD1957"/>
    <w:rsid w:val="00DD26D0"/>
    <w:rsid w:val="00DD2A7A"/>
    <w:rsid w:val="00DD47D5"/>
    <w:rsid w:val="00DD6729"/>
    <w:rsid w:val="00DD74A1"/>
    <w:rsid w:val="00DD7960"/>
    <w:rsid w:val="00DD7B0D"/>
    <w:rsid w:val="00DE1F29"/>
    <w:rsid w:val="00DE3FEB"/>
    <w:rsid w:val="00DE4905"/>
    <w:rsid w:val="00DE510C"/>
    <w:rsid w:val="00DE5539"/>
    <w:rsid w:val="00DE7129"/>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41F7"/>
    <w:rsid w:val="00E04980"/>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6AA3"/>
    <w:rsid w:val="00E27779"/>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1E9"/>
    <w:rsid w:val="00E5480C"/>
    <w:rsid w:val="00E54AB7"/>
    <w:rsid w:val="00E55131"/>
    <w:rsid w:val="00E55F3E"/>
    <w:rsid w:val="00E56392"/>
    <w:rsid w:val="00E5712F"/>
    <w:rsid w:val="00E601DA"/>
    <w:rsid w:val="00E60547"/>
    <w:rsid w:val="00E609FF"/>
    <w:rsid w:val="00E615A6"/>
    <w:rsid w:val="00E61AA8"/>
    <w:rsid w:val="00E6247F"/>
    <w:rsid w:val="00E62E59"/>
    <w:rsid w:val="00E63233"/>
    <w:rsid w:val="00E63E99"/>
    <w:rsid w:val="00E6454D"/>
    <w:rsid w:val="00E65301"/>
    <w:rsid w:val="00E6530D"/>
    <w:rsid w:val="00E6598A"/>
    <w:rsid w:val="00E667A7"/>
    <w:rsid w:val="00E67017"/>
    <w:rsid w:val="00E679B3"/>
    <w:rsid w:val="00E7190A"/>
    <w:rsid w:val="00E71E5C"/>
    <w:rsid w:val="00E7245E"/>
    <w:rsid w:val="00E73831"/>
    <w:rsid w:val="00E73B66"/>
    <w:rsid w:val="00E7498E"/>
    <w:rsid w:val="00E74BB9"/>
    <w:rsid w:val="00E74FF5"/>
    <w:rsid w:val="00E7584A"/>
    <w:rsid w:val="00E760D0"/>
    <w:rsid w:val="00E76D85"/>
    <w:rsid w:val="00E77C2E"/>
    <w:rsid w:val="00E808B8"/>
    <w:rsid w:val="00E80A1A"/>
    <w:rsid w:val="00E8292A"/>
    <w:rsid w:val="00E82DE7"/>
    <w:rsid w:val="00E84116"/>
    <w:rsid w:val="00E84C5C"/>
    <w:rsid w:val="00E85533"/>
    <w:rsid w:val="00E86343"/>
    <w:rsid w:val="00E866CD"/>
    <w:rsid w:val="00E877ED"/>
    <w:rsid w:val="00E901FD"/>
    <w:rsid w:val="00E90375"/>
    <w:rsid w:val="00E91964"/>
    <w:rsid w:val="00E91FB1"/>
    <w:rsid w:val="00E94379"/>
    <w:rsid w:val="00E94468"/>
    <w:rsid w:val="00E94A0E"/>
    <w:rsid w:val="00E96113"/>
    <w:rsid w:val="00E96226"/>
    <w:rsid w:val="00E96DDE"/>
    <w:rsid w:val="00EA04AE"/>
    <w:rsid w:val="00EA062F"/>
    <w:rsid w:val="00EA1266"/>
    <w:rsid w:val="00EA17A9"/>
    <w:rsid w:val="00EA311B"/>
    <w:rsid w:val="00EA36CA"/>
    <w:rsid w:val="00EA3D9C"/>
    <w:rsid w:val="00EA43C0"/>
    <w:rsid w:val="00EA4CB0"/>
    <w:rsid w:val="00EA566F"/>
    <w:rsid w:val="00EA62E4"/>
    <w:rsid w:val="00EB2857"/>
    <w:rsid w:val="00EB30B7"/>
    <w:rsid w:val="00EB3873"/>
    <w:rsid w:val="00EB3EA9"/>
    <w:rsid w:val="00EB3F8A"/>
    <w:rsid w:val="00EB416F"/>
    <w:rsid w:val="00EB43B9"/>
    <w:rsid w:val="00EB4482"/>
    <w:rsid w:val="00EB4C01"/>
    <w:rsid w:val="00EB4D59"/>
    <w:rsid w:val="00EB4E58"/>
    <w:rsid w:val="00EB573D"/>
    <w:rsid w:val="00EB583A"/>
    <w:rsid w:val="00EB635C"/>
    <w:rsid w:val="00EB7752"/>
    <w:rsid w:val="00EC0725"/>
    <w:rsid w:val="00EC0889"/>
    <w:rsid w:val="00EC0C13"/>
    <w:rsid w:val="00EC148C"/>
    <w:rsid w:val="00EC2D7D"/>
    <w:rsid w:val="00EC36AD"/>
    <w:rsid w:val="00EC3BCF"/>
    <w:rsid w:val="00EC56B1"/>
    <w:rsid w:val="00EC5D5E"/>
    <w:rsid w:val="00EC664F"/>
    <w:rsid w:val="00EC6749"/>
    <w:rsid w:val="00EC72F5"/>
    <w:rsid w:val="00EC7334"/>
    <w:rsid w:val="00EC7B0E"/>
    <w:rsid w:val="00ED1877"/>
    <w:rsid w:val="00ED247F"/>
    <w:rsid w:val="00ED27E4"/>
    <w:rsid w:val="00ED2F27"/>
    <w:rsid w:val="00ED3370"/>
    <w:rsid w:val="00ED4D96"/>
    <w:rsid w:val="00ED4EC5"/>
    <w:rsid w:val="00ED5A40"/>
    <w:rsid w:val="00ED5F21"/>
    <w:rsid w:val="00ED602C"/>
    <w:rsid w:val="00ED62B5"/>
    <w:rsid w:val="00ED698D"/>
    <w:rsid w:val="00ED6DDB"/>
    <w:rsid w:val="00ED7555"/>
    <w:rsid w:val="00ED7985"/>
    <w:rsid w:val="00EE270D"/>
    <w:rsid w:val="00EE6989"/>
    <w:rsid w:val="00EE7604"/>
    <w:rsid w:val="00EE7912"/>
    <w:rsid w:val="00EE7915"/>
    <w:rsid w:val="00EF0465"/>
    <w:rsid w:val="00EF13C5"/>
    <w:rsid w:val="00EF16D8"/>
    <w:rsid w:val="00EF28EF"/>
    <w:rsid w:val="00EF2EB9"/>
    <w:rsid w:val="00EF40BE"/>
    <w:rsid w:val="00EF40E7"/>
    <w:rsid w:val="00EF4529"/>
    <w:rsid w:val="00EF5B34"/>
    <w:rsid w:val="00EF657C"/>
    <w:rsid w:val="00F004D1"/>
    <w:rsid w:val="00F00C0D"/>
    <w:rsid w:val="00F0128B"/>
    <w:rsid w:val="00F02663"/>
    <w:rsid w:val="00F032C2"/>
    <w:rsid w:val="00F03369"/>
    <w:rsid w:val="00F04E62"/>
    <w:rsid w:val="00F050AA"/>
    <w:rsid w:val="00F05E6D"/>
    <w:rsid w:val="00F0703A"/>
    <w:rsid w:val="00F10E7A"/>
    <w:rsid w:val="00F11800"/>
    <w:rsid w:val="00F11B61"/>
    <w:rsid w:val="00F12942"/>
    <w:rsid w:val="00F135D6"/>
    <w:rsid w:val="00F13922"/>
    <w:rsid w:val="00F13DBC"/>
    <w:rsid w:val="00F14EC8"/>
    <w:rsid w:val="00F15BC3"/>
    <w:rsid w:val="00F15FCF"/>
    <w:rsid w:val="00F16613"/>
    <w:rsid w:val="00F20706"/>
    <w:rsid w:val="00F21496"/>
    <w:rsid w:val="00F21E77"/>
    <w:rsid w:val="00F24D27"/>
    <w:rsid w:val="00F2520C"/>
    <w:rsid w:val="00F25BCB"/>
    <w:rsid w:val="00F25ECC"/>
    <w:rsid w:val="00F264C1"/>
    <w:rsid w:val="00F26AF9"/>
    <w:rsid w:val="00F26D7F"/>
    <w:rsid w:val="00F27305"/>
    <w:rsid w:val="00F30790"/>
    <w:rsid w:val="00F30867"/>
    <w:rsid w:val="00F31570"/>
    <w:rsid w:val="00F31A51"/>
    <w:rsid w:val="00F33355"/>
    <w:rsid w:val="00F34363"/>
    <w:rsid w:val="00F34935"/>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1E1B"/>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7D2"/>
    <w:rsid w:val="00F62AFE"/>
    <w:rsid w:val="00F633E5"/>
    <w:rsid w:val="00F64A3A"/>
    <w:rsid w:val="00F64F35"/>
    <w:rsid w:val="00F64FC4"/>
    <w:rsid w:val="00F65DE3"/>
    <w:rsid w:val="00F67E6A"/>
    <w:rsid w:val="00F70472"/>
    <w:rsid w:val="00F71430"/>
    <w:rsid w:val="00F71A8A"/>
    <w:rsid w:val="00F71C30"/>
    <w:rsid w:val="00F73157"/>
    <w:rsid w:val="00F74408"/>
    <w:rsid w:val="00F75896"/>
    <w:rsid w:val="00F76666"/>
    <w:rsid w:val="00F76ECB"/>
    <w:rsid w:val="00F76EF7"/>
    <w:rsid w:val="00F776B7"/>
    <w:rsid w:val="00F77758"/>
    <w:rsid w:val="00F77BDB"/>
    <w:rsid w:val="00F800B2"/>
    <w:rsid w:val="00F8031F"/>
    <w:rsid w:val="00F80C5C"/>
    <w:rsid w:val="00F8134B"/>
    <w:rsid w:val="00F818A5"/>
    <w:rsid w:val="00F8197C"/>
    <w:rsid w:val="00F8465D"/>
    <w:rsid w:val="00F848B3"/>
    <w:rsid w:val="00F85755"/>
    <w:rsid w:val="00F86A0B"/>
    <w:rsid w:val="00F87431"/>
    <w:rsid w:val="00F8765C"/>
    <w:rsid w:val="00F87A53"/>
    <w:rsid w:val="00F9031B"/>
    <w:rsid w:val="00F90BC5"/>
    <w:rsid w:val="00F91DA4"/>
    <w:rsid w:val="00F91EB3"/>
    <w:rsid w:val="00F92728"/>
    <w:rsid w:val="00F93116"/>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A7D93"/>
    <w:rsid w:val="00FB0AB1"/>
    <w:rsid w:val="00FB2444"/>
    <w:rsid w:val="00FB2517"/>
    <w:rsid w:val="00FB2BEF"/>
    <w:rsid w:val="00FB36CA"/>
    <w:rsid w:val="00FB5344"/>
    <w:rsid w:val="00FB5A13"/>
    <w:rsid w:val="00FB72AC"/>
    <w:rsid w:val="00FB7706"/>
    <w:rsid w:val="00FB783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51E"/>
    <w:rsid w:val="00FE0BF0"/>
    <w:rsid w:val="00FE15A2"/>
    <w:rsid w:val="00FE24FB"/>
    <w:rsid w:val="00FE3B37"/>
    <w:rsid w:val="00FE4B40"/>
    <w:rsid w:val="00FE5DC4"/>
    <w:rsid w:val="00FE5E87"/>
    <w:rsid w:val="00FE65FF"/>
    <w:rsid w:val="00FE6E94"/>
    <w:rsid w:val="00FE76CB"/>
    <w:rsid w:val="00FE7BD8"/>
    <w:rsid w:val="00FF12EF"/>
    <w:rsid w:val="00FF1D76"/>
    <w:rsid w:val="00FF309E"/>
    <w:rsid w:val="00FF3329"/>
    <w:rsid w:val="00FF3EE6"/>
    <w:rsid w:val="00FF434C"/>
    <w:rsid w:val="00FF43D5"/>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note text" w:uiPriority="99"/>
    <w:lsdException w:name="caption" w:qFormat="1"/>
    <w:lsdException w:name="List" w:semiHidden="0"/>
    <w:lsdException w:name="List Number" w:semiHidden="0" w:unhideWhenUsed="0"/>
    <w:lsdException w:name="List 2" w:semiHidden="0"/>
    <w:lsdException w:name="List 3" w:semiHidden="0"/>
    <w:lsdException w:name="List 4" w:semiHidden="0" w:unhideWhenUsed="0"/>
    <w:lsdException w:name="List 5" w:semiHidden="0" w:unhideWhenUsed="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unhideWhenUsed="0" w:qFormat="1"/>
    <w:lsdException w:name="Body Text" w:uiPriority="1"/>
    <w:lsdException w:name="List Continue" w:semiHidden="0"/>
    <w:lsdException w:name="List Continue 2" w:semiHidden="0"/>
    <w:lsdException w:name="List Continue 3" w:semiHidden="0"/>
    <w:lsdException w:name="List Continue 4" w:semiHidden="0"/>
    <w:lsdException w:name="List Continue 5" w:semiHidden="0"/>
    <w:lsdException w:name="Subtitle" w:unhideWhenUsed="0" w:qFormat="1"/>
    <w:lsdException w:name="Hyperlink" w:uiPriority="99"/>
    <w:lsdException w:name="Strong" w:semiHidden="0" w:unhideWhenUsed="0" w:qFormat="1"/>
    <w:lsdException w:name="Emphasis" w:semiHidden="0" w:qFormat="1"/>
    <w:lsdException w:name="Balloon Text" w:semiHidden="0"/>
    <w:lsdException w:name="Table Grid"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qFormat="1"/>
    <w:lsdException w:name="Bibliography" w:uiPriority="37"/>
    <w:lsdException w:name="TOC Heading" w:uiPriority="39" w:qFormat="1"/>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note text" w:uiPriority="99"/>
    <w:lsdException w:name="caption" w:qFormat="1"/>
    <w:lsdException w:name="List" w:semiHidden="0"/>
    <w:lsdException w:name="List Number" w:semiHidden="0" w:unhideWhenUsed="0"/>
    <w:lsdException w:name="List 2" w:semiHidden="0"/>
    <w:lsdException w:name="List 3" w:semiHidden="0"/>
    <w:lsdException w:name="List 4" w:semiHidden="0" w:unhideWhenUsed="0"/>
    <w:lsdException w:name="List 5" w:semiHidden="0" w:unhideWhenUsed="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unhideWhenUsed="0" w:qFormat="1"/>
    <w:lsdException w:name="Body Text" w:uiPriority="1"/>
    <w:lsdException w:name="List Continue" w:semiHidden="0"/>
    <w:lsdException w:name="List Continue 2" w:semiHidden="0"/>
    <w:lsdException w:name="List Continue 3" w:semiHidden="0"/>
    <w:lsdException w:name="List Continue 4" w:semiHidden="0"/>
    <w:lsdException w:name="List Continue 5" w:semiHidden="0"/>
    <w:lsdException w:name="Subtitle" w:unhideWhenUsed="0" w:qFormat="1"/>
    <w:lsdException w:name="Hyperlink" w:uiPriority="99"/>
    <w:lsdException w:name="Strong" w:semiHidden="0" w:unhideWhenUsed="0" w:qFormat="1"/>
    <w:lsdException w:name="Emphasis" w:semiHidden="0" w:qFormat="1"/>
    <w:lsdException w:name="Balloon Text" w:semiHidden="0"/>
    <w:lsdException w:name="Table Grid"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qFormat="1"/>
    <w:lsdException w:name="Bibliography" w:uiPriority="37"/>
    <w:lsdException w:name="TOC Heading" w:uiPriority="39" w:qFormat="1"/>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wipo.int/amc/en/domains/lro/fe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urrent%20Projects\TR-01577-PTS\WO_GA_50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BE6A0-6854-4C9E-986F-541F37414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WO_GA_50_AR</Template>
  <TotalTime>0</TotalTime>
  <Pages>16</Pages>
  <Words>4472</Words>
  <Characters>25497</Characters>
  <Application>Microsoft Office Word</Application>
  <DocSecurity>4</DocSecurity>
  <Lines>212</Lines>
  <Paragraphs>59</Paragraphs>
  <ScaleCrop>false</ScaleCrop>
  <HeadingPairs>
    <vt:vector size="2" baseType="variant">
      <vt:variant>
        <vt:lpstr>Title</vt:lpstr>
      </vt:variant>
      <vt:variant>
        <vt:i4>1</vt:i4>
      </vt:variant>
    </vt:vector>
  </HeadingPairs>
  <TitlesOfParts>
    <vt:vector size="1" baseType="lpstr">
      <vt:lpstr>WO/GA/50/10_x000d_ (Arabic)</vt:lpstr>
    </vt:vector>
  </TitlesOfParts>
  <Company>World Intellectual Property Organization</Company>
  <LinksUpToDate>false</LinksUpToDate>
  <CharactersWithSpaces>29910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WO/GA/50/10_x000d_ (Arabic)</dc:title>
  <dc:creator>HÄFLIGER Patience</dc:creator>
  <cp:lastModifiedBy>HÄFLIGER Patience</cp:lastModifiedBy>
  <cp:revision>2</cp:revision>
  <cp:lastPrinted>2018-07-23T08:20:00Z</cp:lastPrinted>
  <dcterms:created xsi:type="dcterms:W3CDTF">2018-07-23T08:48:00Z</dcterms:created>
  <dcterms:modified xsi:type="dcterms:W3CDTF">2018-07-23T08:48:00Z</dcterms:modified>
</cp:coreProperties>
</file>