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D0101C"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D0101C" w:rsidRDefault="00772E46" w:rsidP="00246E87">
            <w:pPr>
              <w:bidi/>
              <w:spacing w:after="20"/>
              <w:rPr>
                <w:rFonts w:ascii="Arabic Typesetting" w:hAnsi="Arabic Typesetting" w:cs="Arabic Typesetting"/>
                <w:sz w:val="36"/>
                <w:szCs w:val="36"/>
                <w:rtl/>
              </w:rPr>
            </w:pPr>
            <w:r w:rsidRPr="00D0101C">
              <w:rPr>
                <w:noProof/>
              </w:rPr>
              <w:drawing>
                <wp:inline distT="0" distB="0" distL="0" distR="0" wp14:anchorId="7779CBB0" wp14:editId="1688239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D0101C" w:rsidRDefault="001667B6" w:rsidP="001667B6">
            <w:pPr>
              <w:rPr>
                <w:b/>
                <w:bCs/>
                <w:sz w:val="40"/>
                <w:szCs w:val="40"/>
              </w:rPr>
            </w:pPr>
            <w:r w:rsidRPr="00D0101C">
              <w:rPr>
                <w:b/>
                <w:bCs/>
                <w:sz w:val="40"/>
                <w:szCs w:val="40"/>
              </w:rPr>
              <w:t>A</w:t>
            </w:r>
          </w:p>
        </w:tc>
      </w:tr>
      <w:tr w:rsidR="001667B6" w:rsidRPr="00D0101C" w:rsidTr="00B6101C">
        <w:trPr>
          <w:trHeight w:val="333"/>
        </w:trPr>
        <w:tc>
          <w:tcPr>
            <w:tcW w:w="9571" w:type="dxa"/>
            <w:gridSpan w:val="3"/>
            <w:tcBorders>
              <w:top w:val="single" w:sz="4" w:space="0" w:color="auto"/>
            </w:tcBorders>
            <w:vAlign w:val="bottom"/>
          </w:tcPr>
          <w:p w:rsidR="00B6101C" w:rsidRPr="00D0101C" w:rsidRDefault="00772E46" w:rsidP="001E574D">
            <w:pPr>
              <w:pStyle w:val="DocumentCodeAR"/>
              <w:bidi/>
            </w:pPr>
            <w:r w:rsidRPr="00D0101C">
              <w:t>WO/</w:t>
            </w:r>
            <w:r w:rsidR="0059089F" w:rsidRPr="00D0101C">
              <w:t>GA</w:t>
            </w:r>
            <w:r w:rsidR="00100F97" w:rsidRPr="00D0101C">
              <w:t>/</w:t>
            </w:r>
            <w:r w:rsidR="009B48E3" w:rsidRPr="00D0101C">
              <w:t>4</w:t>
            </w:r>
            <w:r w:rsidR="001E574D" w:rsidRPr="00D0101C">
              <w:t>9</w:t>
            </w:r>
            <w:r w:rsidR="00B6101C" w:rsidRPr="00D0101C">
              <w:t>/</w:t>
            </w:r>
            <w:r w:rsidR="00F3795D" w:rsidRPr="00D0101C">
              <w:rPr>
                <w:caps/>
              </w:rPr>
              <w:t>14</w:t>
            </w:r>
          </w:p>
        </w:tc>
      </w:tr>
      <w:tr w:rsidR="001667B6" w:rsidRPr="00D0101C" w:rsidTr="00BF164F">
        <w:tc>
          <w:tcPr>
            <w:tcW w:w="9571" w:type="dxa"/>
            <w:gridSpan w:val="3"/>
          </w:tcPr>
          <w:p w:rsidR="001667B6" w:rsidRPr="00D0101C" w:rsidRDefault="00B6101C" w:rsidP="00F3795D">
            <w:pPr>
              <w:pStyle w:val="DocumentLanguageAR"/>
              <w:bidi/>
              <w:rPr>
                <w:rtl/>
              </w:rPr>
            </w:pPr>
            <w:r w:rsidRPr="00D0101C">
              <w:rPr>
                <w:rFonts w:hint="cs"/>
                <w:rtl/>
              </w:rPr>
              <w:t xml:space="preserve">الأصل: </w:t>
            </w:r>
            <w:r w:rsidR="00F3795D" w:rsidRPr="00D0101C">
              <w:rPr>
                <w:rFonts w:hint="cs"/>
                <w:rtl/>
              </w:rPr>
              <w:t>بالإنكليزية</w:t>
            </w:r>
          </w:p>
        </w:tc>
      </w:tr>
      <w:tr w:rsidR="001667B6" w:rsidRPr="00D0101C" w:rsidTr="00BF164F">
        <w:tc>
          <w:tcPr>
            <w:tcW w:w="9571" w:type="dxa"/>
            <w:gridSpan w:val="3"/>
          </w:tcPr>
          <w:p w:rsidR="001667B6" w:rsidRPr="00D0101C" w:rsidRDefault="00B6101C" w:rsidP="00F3795D">
            <w:pPr>
              <w:pStyle w:val="DocumentDateAR"/>
              <w:bidi/>
              <w:rPr>
                <w:rtl/>
              </w:rPr>
            </w:pPr>
            <w:r w:rsidRPr="00D0101C">
              <w:rPr>
                <w:rFonts w:hint="cs"/>
                <w:rtl/>
              </w:rPr>
              <w:t xml:space="preserve">التاريخ: </w:t>
            </w:r>
            <w:r w:rsidR="00F3795D" w:rsidRPr="00D0101C">
              <w:rPr>
                <w:rFonts w:hint="cs"/>
                <w:rtl/>
              </w:rPr>
              <w:t>2</w:t>
            </w:r>
            <w:r w:rsidRPr="00D0101C">
              <w:rPr>
                <w:rFonts w:hint="cs"/>
                <w:rtl/>
              </w:rPr>
              <w:t xml:space="preserve"> </w:t>
            </w:r>
            <w:r w:rsidR="00F3795D" w:rsidRPr="00D0101C">
              <w:rPr>
                <w:rFonts w:hint="cs"/>
                <w:rtl/>
              </w:rPr>
              <w:t>أغسطس</w:t>
            </w:r>
            <w:r w:rsidRPr="00D0101C">
              <w:rPr>
                <w:rFonts w:hint="cs"/>
                <w:rtl/>
              </w:rPr>
              <w:t xml:space="preserve"> </w:t>
            </w:r>
            <w:r w:rsidR="001E574D" w:rsidRPr="00D0101C">
              <w:rPr>
                <w:rFonts w:hint="cs"/>
                <w:rtl/>
              </w:rPr>
              <w:t>2017</w:t>
            </w:r>
          </w:p>
        </w:tc>
      </w:tr>
    </w:tbl>
    <w:p w:rsidR="000F5E56" w:rsidRPr="00D0101C" w:rsidRDefault="000F5E56" w:rsidP="001667B6">
      <w:pPr>
        <w:bidi/>
        <w:spacing w:line="360" w:lineRule="exact"/>
        <w:rPr>
          <w:rFonts w:ascii="Arabic Typesetting" w:hAnsi="Arabic Typesetting" w:cs="Arabic Typesetting"/>
          <w:sz w:val="36"/>
          <w:szCs w:val="36"/>
          <w:rtl/>
        </w:rPr>
      </w:pPr>
    </w:p>
    <w:p w:rsidR="001667B6" w:rsidRPr="00D0101C" w:rsidRDefault="001667B6" w:rsidP="001667B6">
      <w:pPr>
        <w:bidi/>
        <w:spacing w:line="360" w:lineRule="exact"/>
        <w:rPr>
          <w:rFonts w:ascii="Arabic Typesetting" w:hAnsi="Arabic Typesetting" w:cs="Arabic Typesetting"/>
          <w:sz w:val="36"/>
          <w:szCs w:val="36"/>
          <w:rtl/>
        </w:rPr>
      </w:pPr>
    </w:p>
    <w:p w:rsidR="00F27305" w:rsidRPr="00D0101C" w:rsidRDefault="00F27305" w:rsidP="00F27305">
      <w:pPr>
        <w:bidi/>
        <w:spacing w:line="360" w:lineRule="exact"/>
        <w:rPr>
          <w:rFonts w:ascii="Arabic Typesetting" w:hAnsi="Arabic Typesetting" w:cs="Arabic Typesetting"/>
          <w:sz w:val="36"/>
          <w:szCs w:val="36"/>
          <w:rtl/>
        </w:rPr>
      </w:pPr>
    </w:p>
    <w:p w:rsidR="001667B6" w:rsidRPr="00D0101C" w:rsidRDefault="0059089F" w:rsidP="000D7BA7">
      <w:pPr>
        <w:pStyle w:val="MeetingTitleAR"/>
        <w:bidi/>
        <w:ind w:right="550"/>
        <w:rPr>
          <w:rtl/>
          <w:lang w:val="fr-CH"/>
        </w:rPr>
      </w:pPr>
      <w:r w:rsidRPr="00D0101C">
        <w:rPr>
          <w:rFonts w:hint="cs"/>
          <w:rtl/>
          <w:lang w:val="fr-CH"/>
        </w:rPr>
        <w:t>الجمعية العامة للويبو</w:t>
      </w:r>
    </w:p>
    <w:p w:rsidR="001667B6" w:rsidRPr="00D0101C" w:rsidRDefault="001667B6" w:rsidP="001667B6">
      <w:pPr>
        <w:bidi/>
        <w:spacing w:line="360" w:lineRule="exact"/>
        <w:rPr>
          <w:rFonts w:ascii="Arabic Typesetting" w:hAnsi="Arabic Typesetting" w:cs="Arabic Typesetting"/>
          <w:sz w:val="36"/>
          <w:szCs w:val="36"/>
          <w:rtl/>
        </w:rPr>
      </w:pPr>
    </w:p>
    <w:p w:rsidR="001667B6" w:rsidRPr="00D0101C" w:rsidRDefault="0059089F" w:rsidP="001E574D">
      <w:pPr>
        <w:pStyle w:val="MeetingSessionAR"/>
        <w:bidi/>
        <w:rPr>
          <w:rFonts w:ascii="Cambria Math" w:hAnsi="Cambria Math"/>
          <w:rtl/>
        </w:rPr>
      </w:pPr>
      <w:r w:rsidRPr="00D0101C">
        <w:rPr>
          <w:rFonts w:ascii="Cambria Math" w:hAnsi="Cambria Math"/>
          <w:rtl/>
        </w:rPr>
        <w:t xml:space="preserve">الدورة </w:t>
      </w:r>
      <w:r w:rsidR="001E574D" w:rsidRPr="00D0101C">
        <w:rPr>
          <w:rFonts w:ascii="Cambria Math" w:hAnsi="Cambria Math" w:hint="cs"/>
          <w:rtl/>
        </w:rPr>
        <w:t>التاسعة</w:t>
      </w:r>
      <w:r w:rsidR="00F03C3E" w:rsidRPr="00D0101C">
        <w:rPr>
          <w:rFonts w:ascii="Cambria Math" w:hAnsi="Cambria Math" w:hint="cs"/>
          <w:rtl/>
        </w:rPr>
        <w:t xml:space="preserve"> </w:t>
      </w:r>
      <w:r w:rsidRPr="00D0101C">
        <w:rPr>
          <w:rFonts w:ascii="Cambria Math" w:hAnsi="Cambria Math"/>
          <w:rtl/>
        </w:rPr>
        <w:t xml:space="preserve">والأربعون (الدورة </w:t>
      </w:r>
      <w:r w:rsidR="001E574D" w:rsidRPr="00D0101C">
        <w:rPr>
          <w:rFonts w:ascii="Cambria Math" w:hAnsi="Cambria Math" w:hint="cs"/>
          <w:rtl/>
        </w:rPr>
        <w:t>العادية</w:t>
      </w:r>
      <w:r w:rsidR="009B48E3" w:rsidRPr="00D0101C">
        <w:rPr>
          <w:rFonts w:ascii="Cambria Math" w:hAnsi="Cambria Math" w:hint="cs"/>
          <w:rtl/>
        </w:rPr>
        <w:t xml:space="preserve"> </w:t>
      </w:r>
      <w:r w:rsidR="001E574D" w:rsidRPr="00D0101C">
        <w:rPr>
          <w:rFonts w:ascii="Cambria Math" w:hAnsi="Cambria Math" w:hint="cs"/>
          <w:rtl/>
        </w:rPr>
        <w:t>الثالثة</w:t>
      </w:r>
      <w:r w:rsidR="00F03C3E" w:rsidRPr="00D0101C">
        <w:rPr>
          <w:rFonts w:ascii="Cambria Math" w:hAnsi="Cambria Math" w:hint="cs"/>
          <w:rtl/>
        </w:rPr>
        <w:t xml:space="preserve"> </w:t>
      </w:r>
      <w:r w:rsidRPr="00D0101C">
        <w:rPr>
          <w:rFonts w:ascii="Cambria Math" w:hAnsi="Cambria Math"/>
          <w:rtl/>
        </w:rPr>
        <w:t>والعشرون)</w:t>
      </w:r>
    </w:p>
    <w:p w:rsidR="00D61541" w:rsidRPr="00D0101C" w:rsidRDefault="00D61541" w:rsidP="001E574D">
      <w:pPr>
        <w:pStyle w:val="MeetingDatesAR"/>
        <w:bidi/>
        <w:rPr>
          <w:rtl/>
        </w:rPr>
      </w:pPr>
      <w:r w:rsidRPr="00D0101C">
        <w:rPr>
          <w:rFonts w:hint="cs"/>
          <w:rtl/>
        </w:rPr>
        <w:t xml:space="preserve">جنيف، </w:t>
      </w:r>
      <w:r w:rsidR="00A834F7" w:rsidRPr="00D0101C">
        <w:rPr>
          <w:rFonts w:hint="cs"/>
          <w:rtl/>
        </w:rPr>
        <w:t xml:space="preserve">من </w:t>
      </w:r>
      <w:r w:rsidR="001E574D" w:rsidRPr="00D0101C">
        <w:rPr>
          <w:rFonts w:hint="cs"/>
          <w:rtl/>
        </w:rPr>
        <w:t>2 إلى 11 أكتوبر 2017</w:t>
      </w:r>
    </w:p>
    <w:p w:rsidR="00D61541" w:rsidRPr="00D0101C" w:rsidRDefault="00D61541" w:rsidP="00D61541">
      <w:pPr>
        <w:bidi/>
        <w:spacing w:line="360" w:lineRule="exact"/>
        <w:rPr>
          <w:rFonts w:ascii="Arabic Typesetting" w:hAnsi="Arabic Typesetting" w:cs="Arabic Typesetting"/>
          <w:sz w:val="36"/>
          <w:szCs w:val="36"/>
          <w:rtl/>
        </w:rPr>
      </w:pPr>
    </w:p>
    <w:p w:rsidR="00D61541" w:rsidRPr="00D0101C" w:rsidRDefault="00D61541" w:rsidP="00D61541">
      <w:pPr>
        <w:bidi/>
        <w:spacing w:line="360" w:lineRule="exact"/>
        <w:rPr>
          <w:rFonts w:ascii="Arabic Typesetting" w:hAnsi="Arabic Typesetting" w:cs="Arabic Typesetting"/>
          <w:sz w:val="36"/>
          <w:szCs w:val="36"/>
          <w:rtl/>
        </w:rPr>
      </w:pPr>
    </w:p>
    <w:p w:rsidR="00FC7D90" w:rsidRPr="00D0101C" w:rsidRDefault="00FC7D90" w:rsidP="00FC7D90">
      <w:pPr>
        <w:pStyle w:val="DocumentTitleAR"/>
        <w:bidi/>
        <w:rPr>
          <w:rtl/>
        </w:rPr>
      </w:pPr>
      <w:r w:rsidRPr="00D0101C">
        <w:rPr>
          <w:rtl/>
        </w:rPr>
        <w:t>مركز الويبو للتحكيم والوساطة، بالإضافة إلى أسماء الحقول</w:t>
      </w:r>
    </w:p>
    <w:p w:rsidR="00D61541" w:rsidRPr="00D0101C" w:rsidRDefault="00D61541" w:rsidP="00FC7D90">
      <w:pPr>
        <w:pStyle w:val="DocumentTitleAR"/>
        <w:bidi/>
        <w:rPr>
          <w:rtl/>
        </w:rPr>
      </w:pPr>
    </w:p>
    <w:p w:rsidR="00D61541" w:rsidRPr="00D0101C" w:rsidRDefault="00D61541" w:rsidP="00931859">
      <w:pPr>
        <w:pStyle w:val="PreparedbyAR"/>
        <w:bidi/>
        <w:rPr>
          <w:rtl/>
        </w:rPr>
      </w:pPr>
      <w:r w:rsidRPr="00D0101C">
        <w:rPr>
          <w:rFonts w:hint="cs"/>
          <w:rtl/>
        </w:rPr>
        <w:t>من إعداد</w:t>
      </w:r>
      <w:r w:rsidR="00FC7D90" w:rsidRPr="00D0101C">
        <w:rPr>
          <w:rFonts w:hint="cs"/>
          <w:rtl/>
        </w:rPr>
        <w:t xml:space="preserve"> الأمانة</w:t>
      </w:r>
    </w:p>
    <w:p w:rsidR="00FC7D90" w:rsidRPr="00D0101C" w:rsidRDefault="00FC7D90" w:rsidP="00907B95">
      <w:pPr>
        <w:pStyle w:val="NumberedParaAR"/>
      </w:pPr>
      <w:r w:rsidRPr="00D0101C">
        <w:rPr>
          <w:rtl/>
        </w:rPr>
        <w:t>تعرض هذه الوثيقة آخر المستجدات عن أنشطة مركز الويبو للتحكيم والوساطة ("</w:t>
      </w:r>
      <w:r w:rsidR="00907B95" w:rsidRPr="00D0101C">
        <w:rPr>
          <w:rFonts w:hint="cs"/>
          <w:rtl/>
        </w:rPr>
        <w:t>ال</w:t>
      </w:r>
      <w:r w:rsidR="00907B95" w:rsidRPr="00D0101C">
        <w:rPr>
          <w:rtl/>
        </w:rPr>
        <w:t>مركز</w:t>
      </w:r>
      <w:r w:rsidRPr="00D0101C">
        <w:rPr>
          <w:rtl/>
        </w:rPr>
        <w:t>") بوصفه جهة دولية تصدر حلولاً بديلة</w:t>
      </w:r>
      <w:r w:rsidRPr="00D0101C">
        <w:rPr>
          <w:rFonts w:hint="cs"/>
          <w:rtl/>
        </w:rPr>
        <w:t>ً</w:t>
      </w:r>
      <w:r w:rsidRPr="00D0101C">
        <w:rPr>
          <w:rtl/>
        </w:rPr>
        <w:t xml:space="preserve"> أسرع وأوفر من التقاضي أمام المحاكم لتسوية منازعات الملكية الفكرية، وعمله مؤلف من </w:t>
      </w:r>
      <w:r w:rsidRPr="00D0101C">
        <w:rPr>
          <w:rFonts w:hint="cs"/>
          <w:rtl/>
        </w:rPr>
        <w:t>الإشراف على القضايا، و</w:t>
      </w:r>
      <w:r w:rsidRPr="00D0101C">
        <w:rPr>
          <w:rtl/>
        </w:rPr>
        <w:t xml:space="preserve">تقديم الخبرة القانونية والتنظيمية </w:t>
      </w:r>
      <w:r w:rsidRPr="00D0101C">
        <w:rPr>
          <w:rFonts w:hint="cs"/>
          <w:rtl/>
        </w:rPr>
        <w:t>في السبل البديلة لتسوية المنازعات</w:t>
      </w:r>
      <w:r w:rsidRPr="00D0101C">
        <w:rPr>
          <w:rtl/>
        </w:rPr>
        <w:t>.</w:t>
      </w:r>
    </w:p>
    <w:p w:rsidR="00FC7D90" w:rsidRPr="00D0101C" w:rsidRDefault="004A0859" w:rsidP="00AD70E5">
      <w:pPr>
        <w:pStyle w:val="NumberedParaAR"/>
      </w:pPr>
      <w:r w:rsidRPr="00D0101C">
        <w:rPr>
          <w:rtl/>
        </w:rPr>
        <w:t>وتعرض هذه الوثيقة أيضاً آخر المستجدات عن أنشطة الويبو المرتبطة بأسماء الحقول كما ورد سابقاً في الوثيقة</w:t>
      </w:r>
      <w:r w:rsidR="00AD70E5" w:rsidRPr="00D0101C">
        <w:rPr>
          <w:rFonts w:hint="eastAsia"/>
          <w:rtl/>
          <w:lang w:val="fr-FR" w:bidi="ar-EG"/>
        </w:rPr>
        <w:t> </w:t>
      </w:r>
      <w:r w:rsidRPr="00D0101C">
        <w:t>WO/GA/48/12 Rev</w:t>
      </w:r>
      <w:r w:rsidRPr="00D0101C">
        <w:rPr>
          <w:rStyle w:val="FootnoteReference"/>
          <w:rtl/>
        </w:rPr>
        <w:footnoteReference w:id="1"/>
      </w:r>
      <w:r w:rsidR="006F15F8" w:rsidRPr="00D0101C">
        <w:rPr>
          <w:rFonts w:hint="cs"/>
          <w:rtl/>
        </w:rPr>
        <w:t>.</w:t>
      </w:r>
      <w:r w:rsidRPr="00D0101C">
        <w:rPr>
          <w:rFonts w:hint="cs"/>
          <w:rtl/>
        </w:rPr>
        <w:t xml:space="preserve"> </w:t>
      </w:r>
      <w:r w:rsidRPr="00D0101C">
        <w:rPr>
          <w:rtl/>
        </w:rPr>
        <w:t xml:space="preserve">وتشمل إدارة </w:t>
      </w:r>
      <w:r w:rsidR="005A1B60" w:rsidRPr="00D0101C">
        <w:rPr>
          <w:rFonts w:hint="cs"/>
          <w:rtl/>
        </w:rPr>
        <w:t>ال</w:t>
      </w:r>
      <w:r w:rsidRPr="00D0101C">
        <w:rPr>
          <w:rtl/>
        </w:rPr>
        <w:t xml:space="preserve">مركز </w:t>
      </w:r>
      <w:r w:rsidR="006F15F8" w:rsidRPr="00D0101C">
        <w:rPr>
          <w:rFonts w:hint="cs"/>
          <w:rtl/>
        </w:rPr>
        <w:t>ال</w:t>
      </w:r>
      <w:r w:rsidRPr="00D0101C">
        <w:rPr>
          <w:rtl/>
        </w:rPr>
        <w:t xml:space="preserve">منازعات المتعلقة بأسماء الحقول على أساس السياسات العامة المختلفة والجوانب المتنوعة المتصلة بالموضوع في نظام أسماء الحقول على الإنترنت، فضلاً عن مختارات من المستجدات السياسية، </w:t>
      </w:r>
      <w:r w:rsidRPr="00D0101C">
        <w:rPr>
          <w:rFonts w:hint="cs"/>
          <w:rtl/>
        </w:rPr>
        <w:t>بما في ذلك</w:t>
      </w:r>
      <w:r w:rsidRPr="00D0101C">
        <w:rPr>
          <w:rtl/>
        </w:rPr>
        <w:t xml:space="preserve"> آليات حماية الحقوق من أجل استحداث حقول عليا جديدة مكوَّنة من أسماء عامة (</w:t>
      </w:r>
      <w:proofErr w:type="spellStart"/>
      <w:r w:rsidRPr="00D0101C">
        <w:t>gTLDs</w:t>
      </w:r>
      <w:proofErr w:type="spellEnd"/>
      <w:r w:rsidRPr="00D0101C">
        <w:rPr>
          <w:rtl/>
        </w:rPr>
        <w:t>)</w:t>
      </w:r>
      <w:r w:rsidRPr="00D0101C">
        <w:rPr>
          <w:rFonts w:hint="cs"/>
          <w:rtl/>
        </w:rPr>
        <w:t>،</w:t>
      </w:r>
      <w:r w:rsidRPr="00D0101C">
        <w:rPr>
          <w:rtl/>
        </w:rPr>
        <w:t xml:space="preserve"> ومسألة تولي هيئة الإنترنت المعنية بالأسماء والأرقام المعيّنة (</w:t>
      </w:r>
      <w:proofErr w:type="spellStart"/>
      <w:r w:rsidRPr="00D0101C">
        <w:rPr>
          <w:rtl/>
        </w:rPr>
        <w:t>الإيكان</w:t>
      </w:r>
      <w:proofErr w:type="spellEnd"/>
      <w:r w:rsidRPr="00D0101C">
        <w:rPr>
          <w:rtl/>
        </w:rPr>
        <w:t>) تعديل السياسة الموحدة لتسوية المنازعات المتعلقة بأسماء الحقول</w:t>
      </w:r>
      <w:r w:rsidR="006105C3" w:rsidRPr="00D0101C">
        <w:rPr>
          <w:rFonts w:hint="cs"/>
          <w:rtl/>
        </w:rPr>
        <w:t xml:space="preserve"> وغيرها من </w:t>
      </w:r>
      <w:r w:rsidR="006105C3" w:rsidRPr="00D0101C">
        <w:rPr>
          <w:rtl/>
        </w:rPr>
        <w:t>آليات حماية الحقوق</w:t>
      </w:r>
      <w:r w:rsidRPr="00D0101C">
        <w:rPr>
          <w:rFonts w:hint="cs"/>
          <w:rtl/>
        </w:rPr>
        <w:t>،</w:t>
      </w:r>
      <w:r w:rsidRPr="00D0101C">
        <w:rPr>
          <w:rtl/>
        </w:rPr>
        <w:t xml:space="preserve"> ووضع توصيات الدول الأعضاء في المنظمة في سياق مشروع الويبو الثاني بشأن مسار أسماء الحقول على الإنترنت.</w:t>
      </w:r>
    </w:p>
    <w:p w:rsidR="00D80F5F" w:rsidRPr="00D0101C" w:rsidRDefault="00D80F5F" w:rsidP="00511D44">
      <w:pPr>
        <w:pStyle w:val="Heading1"/>
        <w:spacing w:before="0" w:after="240" w:line="360" w:lineRule="exact"/>
        <w:rPr>
          <w:b/>
          <w:rtl/>
          <w:lang w:bidi="ar-EG"/>
        </w:rPr>
      </w:pPr>
      <w:r w:rsidRPr="00D0101C">
        <w:rPr>
          <w:rFonts w:hint="cs"/>
          <w:rtl/>
        </w:rPr>
        <w:t>أولاً.</w:t>
      </w:r>
      <w:r w:rsidRPr="00D0101C">
        <w:rPr>
          <w:rFonts w:hint="cs"/>
          <w:rtl/>
        </w:rPr>
        <w:tab/>
      </w:r>
      <w:r w:rsidRPr="00D0101C">
        <w:rPr>
          <w:b/>
          <w:rtl/>
          <w:lang w:bidi="ar-EG"/>
        </w:rPr>
        <w:t>التحكيم والوساطة في منازعات الملكية الفكرية</w:t>
      </w:r>
    </w:p>
    <w:p w:rsidR="00D80F5F" w:rsidRPr="00D0101C" w:rsidRDefault="00D80F5F" w:rsidP="00511D44">
      <w:pPr>
        <w:pStyle w:val="Heading2"/>
        <w:spacing w:before="0" w:after="240" w:line="360" w:lineRule="exact"/>
        <w:rPr>
          <w:lang w:bidi="ar-EG"/>
        </w:rPr>
      </w:pPr>
      <w:r w:rsidRPr="00D0101C">
        <w:rPr>
          <w:rtl/>
          <w:lang w:bidi="ar-EG"/>
        </w:rPr>
        <w:t>ألف.</w:t>
      </w:r>
      <w:r w:rsidRPr="00D0101C">
        <w:rPr>
          <w:rtl/>
          <w:lang w:bidi="ar-EG"/>
        </w:rPr>
        <w:tab/>
        <w:t>إدارة قضايا التحكيم والوساطة</w:t>
      </w:r>
    </w:p>
    <w:p w:rsidR="00D80F5F" w:rsidRPr="00D0101C" w:rsidRDefault="00D80F5F" w:rsidP="00D80F5F">
      <w:pPr>
        <w:rPr>
          <w:lang w:bidi="ar-EG"/>
        </w:rPr>
      </w:pPr>
    </w:p>
    <w:p w:rsidR="004F58C3" w:rsidRPr="00D0101C" w:rsidRDefault="004F58C3" w:rsidP="002C6A6F">
      <w:pPr>
        <w:pStyle w:val="NumberedParaAR"/>
      </w:pPr>
      <w:r w:rsidRPr="00D0101C">
        <w:rPr>
          <w:rFonts w:hint="cs"/>
          <w:rtl/>
          <w:lang w:bidi="ar-EG"/>
        </w:rPr>
        <w:lastRenderedPageBreak/>
        <w:t xml:space="preserve">تهدف </w:t>
      </w:r>
      <w:proofErr w:type="spellStart"/>
      <w:r w:rsidRPr="00D0101C">
        <w:rPr>
          <w:rFonts w:hint="cs"/>
          <w:rtl/>
          <w:lang w:bidi="ar-EG"/>
        </w:rPr>
        <w:t>الإ</w:t>
      </w:r>
      <w:r w:rsidRPr="00D0101C">
        <w:rPr>
          <w:rtl/>
        </w:rPr>
        <w:t>جراءات</w:t>
      </w:r>
      <w:proofErr w:type="spellEnd"/>
      <w:r w:rsidRPr="00D0101C">
        <w:rPr>
          <w:rtl/>
        </w:rPr>
        <w:t xml:space="preserve"> الخاصة بالوساطة والتحكيم</w:t>
      </w:r>
      <w:r w:rsidRPr="00D0101C">
        <w:rPr>
          <w:rFonts w:hint="cs"/>
          <w:rtl/>
        </w:rPr>
        <w:t xml:space="preserve"> التي يوفرها المركز</w:t>
      </w:r>
      <w:r w:rsidRPr="00D0101C">
        <w:rPr>
          <w:rtl/>
        </w:rPr>
        <w:t xml:space="preserve"> </w:t>
      </w:r>
      <w:r w:rsidRPr="00D0101C">
        <w:rPr>
          <w:rFonts w:hint="cs"/>
          <w:rtl/>
        </w:rPr>
        <w:t xml:space="preserve">إلى </w:t>
      </w:r>
      <w:r w:rsidRPr="00D0101C">
        <w:rPr>
          <w:rtl/>
        </w:rPr>
        <w:t xml:space="preserve">تلبية احتياجات </w:t>
      </w:r>
      <w:r w:rsidRPr="00D0101C">
        <w:rPr>
          <w:rFonts w:hint="cs"/>
          <w:rtl/>
        </w:rPr>
        <w:t xml:space="preserve">الأطراف </w:t>
      </w:r>
      <w:r w:rsidRPr="00D0101C">
        <w:rPr>
          <w:rtl/>
        </w:rPr>
        <w:t xml:space="preserve">من أجل تسوية المنازعات المتعلقة </w:t>
      </w:r>
      <w:r w:rsidRPr="00D0101C">
        <w:rPr>
          <w:rFonts w:hint="cs"/>
          <w:rtl/>
        </w:rPr>
        <w:t>ب</w:t>
      </w:r>
      <w:r w:rsidRPr="00D0101C">
        <w:rPr>
          <w:rtl/>
        </w:rPr>
        <w:t xml:space="preserve">حقوق </w:t>
      </w:r>
      <w:r w:rsidRPr="00D0101C">
        <w:rPr>
          <w:rFonts w:hint="cs"/>
          <w:rtl/>
        </w:rPr>
        <w:t xml:space="preserve">الملكية الفكرية </w:t>
      </w:r>
      <w:r w:rsidRPr="00D0101C">
        <w:rPr>
          <w:rtl/>
        </w:rPr>
        <w:t xml:space="preserve">بطريقة أسرع وأوفر. </w:t>
      </w:r>
      <w:r w:rsidRPr="00D0101C">
        <w:rPr>
          <w:rFonts w:hint="cs"/>
          <w:rtl/>
        </w:rPr>
        <w:t>ويلتزم المركز</w:t>
      </w:r>
      <w:r w:rsidRPr="00D0101C">
        <w:rPr>
          <w:rtl/>
        </w:rPr>
        <w:t xml:space="preserve"> </w:t>
      </w:r>
      <w:r w:rsidRPr="00D0101C">
        <w:rPr>
          <w:rFonts w:hint="cs"/>
          <w:rtl/>
        </w:rPr>
        <w:t>ب</w:t>
      </w:r>
      <w:r w:rsidRPr="00D0101C">
        <w:rPr>
          <w:rtl/>
        </w:rPr>
        <w:t>إدارة القضايا المنظور فيها في إطار تلك الإجراءات</w:t>
      </w:r>
      <w:r w:rsidR="006B2705" w:rsidRPr="00D0101C">
        <w:rPr>
          <w:rtl/>
        </w:rPr>
        <w:t xml:space="preserve"> وتسوي</w:t>
      </w:r>
      <w:r w:rsidR="006B2705" w:rsidRPr="00D0101C">
        <w:rPr>
          <w:rFonts w:hint="cs"/>
          <w:rtl/>
        </w:rPr>
        <w:t>تها</w:t>
      </w:r>
      <w:r w:rsidRPr="00D0101C">
        <w:rPr>
          <w:rtl/>
        </w:rPr>
        <w:t>، مما يقتضي تدريب</w:t>
      </w:r>
      <w:r w:rsidRPr="00D0101C">
        <w:rPr>
          <w:rStyle w:val="FootnoteReference"/>
          <w:rtl/>
        </w:rPr>
        <w:footnoteReference w:id="2"/>
      </w:r>
      <w:r w:rsidRPr="00D0101C">
        <w:rPr>
          <w:rtl/>
        </w:rPr>
        <w:t xml:space="preserve"> محكمين ووسطاء مؤهلين وتعيينهم </w:t>
      </w:r>
      <w:r w:rsidRPr="00D0101C">
        <w:rPr>
          <w:rFonts w:hint="cs"/>
          <w:rtl/>
        </w:rPr>
        <w:t xml:space="preserve">ودعمهم، </w:t>
      </w:r>
      <w:r w:rsidRPr="00D0101C">
        <w:rPr>
          <w:rtl/>
        </w:rPr>
        <w:t>وإبقاء بنية إدارة القضايا مواكبة للمستجدات، بما في ذلك عبر استخدام تكنولوجيا المعلومات</w:t>
      </w:r>
      <w:r w:rsidR="006B2705" w:rsidRPr="00D0101C">
        <w:rPr>
          <w:rFonts w:hint="cs"/>
          <w:rtl/>
        </w:rPr>
        <w:t>،</w:t>
      </w:r>
      <w:r w:rsidRPr="00D0101C">
        <w:rPr>
          <w:rtl/>
        </w:rPr>
        <w:t xml:space="preserve"> ومنها مرفق الويبو لتسوية القضايا إلكترونياً</w:t>
      </w:r>
      <w:r w:rsidRPr="00D0101C">
        <w:rPr>
          <w:rFonts w:hint="cs"/>
          <w:rtl/>
        </w:rPr>
        <w:t>.</w:t>
      </w:r>
      <w:r w:rsidRPr="00D0101C">
        <w:rPr>
          <w:rStyle w:val="FootnoteReference"/>
          <w:rtl/>
        </w:rPr>
        <w:footnoteReference w:id="3"/>
      </w:r>
      <w:r w:rsidRPr="00D0101C">
        <w:rPr>
          <w:rtl/>
        </w:rPr>
        <w:t xml:space="preserve"> وشملت قضايا الويبو في العام الماضي القضايا المتعلقة بالبراءات والعلامات التجارية</w:t>
      </w:r>
      <w:r w:rsidR="001B4628" w:rsidRPr="00D0101C">
        <w:rPr>
          <w:rFonts w:hint="cs"/>
          <w:rtl/>
        </w:rPr>
        <w:t xml:space="preserve"> وحق المؤلف (بما في ذلك </w:t>
      </w:r>
      <w:r w:rsidR="00720C24" w:rsidRPr="00D0101C">
        <w:rPr>
          <w:rFonts w:hint="cs"/>
          <w:rtl/>
        </w:rPr>
        <w:t xml:space="preserve">جمعيات </w:t>
      </w:r>
      <w:r w:rsidR="00720C24" w:rsidRPr="00D0101C">
        <w:rPr>
          <w:rtl/>
        </w:rPr>
        <w:t>تحصيل الإتاوات</w:t>
      </w:r>
      <w:r w:rsidR="00720C24" w:rsidRPr="00D0101C">
        <w:rPr>
          <w:rFonts w:hint="cs"/>
          <w:rtl/>
        </w:rPr>
        <w:t>)</w:t>
      </w:r>
      <w:r w:rsidRPr="00D0101C">
        <w:rPr>
          <w:rtl/>
        </w:rPr>
        <w:t xml:space="preserve"> </w:t>
      </w:r>
      <w:r w:rsidR="00720C24" w:rsidRPr="00D0101C">
        <w:rPr>
          <w:rFonts w:hint="cs"/>
          <w:rtl/>
        </w:rPr>
        <w:t>وتكنولوجيات المعلومات والاتصالات</w:t>
      </w:r>
      <w:r w:rsidRPr="00D0101C">
        <w:rPr>
          <w:rtl/>
        </w:rPr>
        <w:t xml:space="preserve"> والبحث والتطوير</w:t>
      </w:r>
      <w:r w:rsidRPr="00D0101C">
        <w:rPr>
          <w:rFonts w:hint="cs"/>
          <w:rtl/>
        </w:rPr>
        <w:t xml:space="preserve"> </w:t>
      </w:r>
      <w:r w:rsidR="00720C24" w:rsidRPr="00D0101C">
        <w:rPr>
          <w:rFonts w:hint="cs"/>
          <w:rtl/>
        </w:rPr>
        <w:t xml:space="preserve">وعلوم الحياة </w:t>
      </w:r>
      <w:r w:rsidRPr="00D0101C">
        <w:rPr>
          <w:rFonts w:hint="cs"/>
          <w:rtl/>
        </w:rPr>
        <w:t>والأفلام و</w:t>
      </w:r>
      <w:r w:rsidR="00720C24" w:rsidRPr="00D0101C">
        <w:rPr>
          <w:rFonts w:hint="cs"/>
          <w:rtl/>
        </w:rPr>
        <w:t xml:space="preserve">وسائط </w:t>
      </w:r>
      <w:r w:rsidRPr="00D0101C">
        <w:rPr>
          <w:rFonts w:hint="cs"/>
          <w:rtl/>
        </w:rPr>
        <w:t xml:space="preserve">الإعلام </w:t>
      </w:r>
      <w:r w:rsidR="00720C24" w:rsidRPr="00D0101C">
        <w:rPr>
          <w:rFonts w:hint="cs"/>
          <w:rtl/>
        </w:rPr>
        <w:t xml:space="preserve">(بما في ذلك </w:t>
      </w:r>
      <w:r w:rsidR="00CC33BD" w:rsidRPr="00D0101C">
        <w:rPr>
          <w:rFonts w:hint="cs"/>
          <w:rtl/>
        </w:rPr>
        <w:t>ال</w:t>
      </w:r>
      <w:r w:rsidR="00720C24" w:rsidRPr="00D0101C">
        <w:rPr>
          <w:rFonts w:hint="cs"/>
          <w:rtl/>
        </w:rPr>
        <w:t>منازعات المرتبطة بالتلفزيون) والتوزيع والترخيص</w:t>
      </w:r>
      <w:r w:rsidRPr="00D0101C">
        <w:rPr>
          <w:rtl/>
        </w:rPr>
        <w:t xml:space="preserve">، وقد رفعها الأطراف إلى مركز الويبو استناداً إلى بنود العقود السابقة واتفاقات </w:t>
      </w:r>
      <w:r w:rsidR="00FE6DDA" w:rsidRPr="00D0101C">
        <w:rPr>
          <w:rFonts w:hint="cs"/>
          <w:rtl/>
        </w:rPr>
        <w:t>التقديم</w:t>
      </w:r>
      <w:r w:rsidR="00E77592" w:rsidRPr="00D0101C">
        <w:rPr>
          <w:rFonts w:hint="cs"/>
          <w:rtl/>
        </w:rPr>
        <w:t xml:space="preserve"> (بما في ذلك إحالات المحاكم)، وكذلك بموجب طلبات أحادية الجانب عملاً بالمادة 4 من </w:t>
      </w:r>
      <w:r w:rsidR="00E77592" w:rsidRPr="00D0101C">
        <w:rPr>
          <w:rtl/>
        </w:rPr>
        <w:t>نظام الويبو للوساطة</w:t>
      </w:r>
      <w:r w:rsidRPr="00D0101C">
        <w:rPr>
          <w:rtl/>
        </w:rPr>
        <w:t>.</w:t>
      </w:r>
      <w:r w:rsidRPr="00D0101C">
        <w:rPr>
          <w:rFonts w:hint="cs"/>
          <w:rtl/>
        </w:rPr>
        <w:t xml:space="preserve"> </w:t>
      </w:r>
      <w:r w:rsidRPr="00D0101C">
        <w:rPr>
          <w:rFonts w:hint="cs"/>
          <w:rtl/>
          <w:lang w:bidi="ar-EG"/>
        </w:rPr>
        <w:t>وأكثر من نصف الأطراف في هذه القضايا من مستخدمي معاهدة التعاون بشأن البراءات وخدمات مدريد التابع</w:t>
      </w:r>
      <w:r w:rsidR="00E77592" w:rsidRPr="00D0101C">
        <w:rPr>
          <w:rFonts w:hint="cs"/>
          <w:rtl/>
          <w:lang w:bidi="ar-EG"/>
        </w:rPr>
        <w:t>ة</w:t>
      </w:r>
      <w:r w:rsidRPr="00D0101C">
        <w:rPr>
          <w:rFonts w:hint="cs"/>
          <w:rtl/>
          <w:lang w:bidi="ar-EG"/>
        </w:rPr>
        <w:t xml:space="preserve"> للويبو. ويُتوصل في نحو 70</w:t>
      </w:r>
      <w:r w:rsidR="002C6A6F" w:rsidRPr="00D0101C">
        <w:rPr>
          <w:rFonts w:hint="cs"/>
          <w:rtl/>
          <w:lang w:bidi="ar-EG"/>
        </w:rPr>
        <w:t xml:space="preserve"> بالمائة</w:t>
      </w:r>
      <w:r w:rsidRPr="00D0101C">
        <w:rPr>
          <w:rFonts w:hint="cs"/>
          <w:rtl/>
          <w:lang w:bidi="ar-EG"/>
        </w:rPr>
        <w:t xml:space="preserve"> من وساطات الويبو إلى تسوية، وحتى </w:t>
      </w:r>
      <w:r w:rsidR="00B46FF3" w:rsidRPr="00D0101C">
        <w:rPr>
          <w:rFonts w:hint="cs"/>
          <w:rtl/>
          <w:lang w:bidi="ar-EG"/>
        </w:rPr>
        <w:t>حين</w:t>
      </w:r>
      <w:r w:rsidRPr="00D0101C">
        <w:rPr>
          <w:rFonts w:hint="cs"/>
          <w:rtl/>
          <w:lang w:bidi="ar-EG"/>
        </w:rPr>
        <w:t xml:space="preserve"> </w:t>
      </w:r>
      <w:r w:rsidR="00B46FF3" w:rsidRPr="00D0101C">
        <w:rPr>
          <w:rFonts w:hint="cs"/>
          <w:rtl/>
          <w:lang w:bidi="ar-EG"/>
        </w:rPr>
        <w:t xml:space="preserve">تبلغ </w:t>
      </w:r>
      <w:r w:rsidRPr="00D0101C">
        <w:rPr>
          <w:rFonts w:hint="cs"/>
          <w:rtl/>
          <w:lang w:bidi="ar-EG"/>
        </w:rPr>
        <w:t xml:space="preserve">نسبة </w:t>
      </w:r>
      <w:r w:rsidR="00B46FF3" w:rsidRPr="00D0101C">
        <w:rPr>
          <w:rFonts w:hint="cs"/>
          <w:rtl/>
          <w:lang w:bidi="ar-EG"/>
        </w:rPr>
        <w:t>ال</w:t>
      </w:r>
      <w:r w:rsidRPr="00D0101C">
        <w:rPr>
          <w:rFonts w:hint="cs"/>
          <w:rtl/>
          <w:lang w:bidi="ar-EG"/>
        </w:rPr>
        <w:t>تسوية 40</w:t>
      </w:r>
      <w:r w:rsidR="002C6A6F" w:rsidRPr="00D0101C">
        <w:rPr>
          <w:rFonts w:hint="cs"/>
          <w:rtl/>
          <w:lang w:bidi="ar-EG"/>
        </w:rPr>
        <w:t xml:space="preserve"> بالمائة</w:t>
      </w:r>
      <w:r w:rsidRPr="00D0101C">
        <w:rPr>
          <w:rFonts w:hint="cs"/>
          <w:rtl/>
          <w:lang w:bidi="ar-EG"/>
        </w:rPr>
        <w:t xml:space="preserve"> يمكن أن تحفز الإحالة إلى تحكيم الويبو على إبرام اتفاق بين الأطراف.</w:t>
      </w:r>
    </w:p>
    <w:p w:rsidR="00D62283" w:rsidRPr="00D0101C" w:rsidRDefault="005A159B" w:rsidP="00766731">
      <w:pPr>
        <w:pStyle w:val="NumberedParaAR"/>
        <w:rPr>
          <w:lang w:bidi="ar-EG"/>
        </w:rPr>
      </w:pPr>
      <w:r w:rsidRPr="00D0101C">
        <w:rPr>
          <w:rFonts w:hint="cs"/>
          <w:rtl/>
        </w:rPr>
        <w:t xml:space="preserve">وأطلق المركز مؤخراً عدة مبادرات لتيسير وصول </w:t>
      </w:r>
      <w:r w:rsidRPr="00D0101C">
        <w:rPr>
          <w:rtl/>
        </w:rPr>
        <w:t xml:space="preserve">المستخدمين المحتملين للسبل البديلة لتسوية </w:t>
      </w:r>
      <w:r w:rsidR="00EC4ECC" w:rsidRPr="00D0101C">
        <w:rPr>
          <w:rFonts w:hint="cs"/>
          <w:rtl/>
        </w:rPr>
        <w:t>المنازعات</w:t>
      </w:r>
      <w:r w:rsidRPr="00D0101C">
        <w:rPr>
          <w:rtl/>
        </w:rPr>
        <w:t xml:space="preserve"> التابعة للويبو</w:t>
      </w:r>
      <w:r w:rsidRPr="00D0101C">
        <w:rPr>
          <w:rFonts w:hint="cs"/>
          <w:rtl/>
        </w:rPr>
        <w:t>. وشملت هذه المبادرات</w:t>
      </w:r>
      <w:r w:rsidR="003B6D8E" w:rsidRPr="00D0101C">
        <w:rPr>
          <w:rFonts w:hint="cs"/>
          <w:rtl/>
        </w:rPr>
        <w:t xml:space="preserve"> نشر تعليقات على </w:t>
      </w:r>
      <w:r w:rsidR="00EC4ECC" w:rsidRPr="00D0101C">
        <w:rPr>
          <w:rFonts w:hint="cs"/>
          <w:rtl/>
        </w:rPr>
        <w:t xml:space="preserve">جميع </w:t>
      </w:r>
      <w:r w:rsidR="003B6D8E" w:rsidRPr="00D0101C">
        <w:rPr>
          <w:rFonts w:hint="cs"/>
          <w:rtl/>
        </w:rPr>
        <w:t>مواد نظام الويبو للوساطة</w:t>
      </w:r>
      <w:r w:rsidR="00FE6DDA" w:rsidRPr="00D0101C">
        <w:rPr>
          <w:rFonts w:hint="cs"/>
          <w:rtl/>
        </w:rPr>
        <w:t>،</w:t>
      </w:r>
      <w:r w:rsidR="003B6D8E" w:rsidRPr="00D0101C">
        <w:rPr>
          <w:rFonts w:hint="cs"/>
          <w:rtl/>
        </w:rPr>
        <w:t xml:space="preserve"> </w:t>
      </w:r>
      <w:r w:rsidR="00FE6DDA" w:rsidRPr="00D0101C">
        <w:rPr>
          <w:rFonts w:hint="cs"/>
          <w:rtl/>
        </w:rPr>
        <w:t>و</w:t>
      </w:r>
      <w:r w:rsidR="00FE6DDA" w:rsidRPr="00D0101C">
        <w:rPr>
          <w:rFonts w:hint="cs"/>
          <w:rtl/>
          <w:lang w:bidi="ar-EG"/>
        </w:rPr>
        <w:t>مُولِّد مُحدّث للبنود يسمح للأطراف بإعداد البنود واتفاقات التقديم، مع إمكانية اختيار اعتبارات مختلفة تناسب احتياجات محددة.</w:t>
      </w:r>
      <w:r w:rsidR="00FE6DDA" w:rsidRPr="00D0101C">
        <w:rPr>
          <w:rStyle w:val="FootnoteReference"/>
          <w:rtl/>
          <w:lang w:bidi="ar-EG"/>
        </w:rPr>
        <w:footnoteReference w:id="4"/>
      </w:r>
      <w:r w:rsidR="00E440C3" w:rsidRPr="00D0101C">
        <w:rPr>
          <w:rFonts w:hint="cs"/>
          <w:rtl/>
          <w:lang w:bidi="ar-EG"/>
        </w:rPr>
        <w:t xml:space="preserve"> </w:t>
      </w:r>
      <w:r w:rsidR="00CA50FC" w:rsidRPr="00D0101C">
        <w:rPr>
          <w:rFonts w:hint="cs"/>
          <w:rtl/>
          <w:lang w:bidi="ar-EG"/>
        </w:rPr>
        <w:t xml:space="preserve">وأتاح المركز أيضاً حاسبة للرسوم </w:t>
      </w:r>
      <w:r w:rsidR="00EC4ECC" w:rsidRPr="00D0101C">
        <w:rPr>
          <w:rFonts w:hint="cs"/>
          <w:rtl/>
          <w:lang w:bidi="ar-EG"/>
        </w:rPr>
        <w:t xml:space="preserve">على الإنترنت </w:t>
      </w:r>
      <w:r w:rsidR="00CA50FC" w:rsidRPr="00D0101C">
        <w:rPr>
          <w:rFonts w:hint="cs"/>
          <w:rtl/>
          <w:lang w:bidi="ar-EG"/>
        </w:rPr>
        <w:t>تسمح للأطراف الحالية والمحتملة بتقدير رسوم وتكاليف حالات ا</w:t>
      </w:r>
      <w:r w:rsidR="00CA50FC" w:rsidRPr="00D0101C">
        <w:rPr>
          <w:rtl/>
          <w:lang w:bidi="ar-EG"/>
        </w:rPr>
        <w:t xml:space="preserve">لوساطة والتحكيم </w:t>
      </w:r>
      <w:proofErr w:type="spellStart"/>
      <w:r w:rsidR="00CA50FC" w:rsidRPr="00D0101C">
        <w:rPr>
          <w:rtl/>
          <w:lang w:bidi="ar-EG"/>
        </w:rPr>
        <w:t>والتحكيم</w:t>
      </w:r>
      <w:proofErr w:type="spellEnd"/>
      <w:r w:rsidR="00CA50FC" w:rsidRPr="00D0101C">
        <w:rPr>
          <w:rtl/>
          <w:lang w:bidi="ar-EG"/>
        </w:rPr>
        <w:t xml:space="preserve"> المعجّل </w:t>
      </w:r>
      <w:r w:rsidR="00CA50FC" w:rsidRPr="00D0101C">
        <w:rPr>
          <w:rFonts w:hint="cs"/>
          <w:rtl/>
          <w:lang w:bidi="ar-EG"/>
        </w:rPr>
        <w:t>و</w:t>
      </w:r>
      <w:r w:rsidR="00CA50FC" w:rsidRPr="00D0101C">
        <w:rPr>
          <w:rtl/>
          <w:lang w:bidi="ar-EG"/>
        </w:rPr>
        <w:t>قرارات الخبراء</w:t>
      </w:r>
      <w:r w:rsidR="00CA50FC" w:rsidRPr="00D0101C">
        <w:rPr>
          <w:rFonts w:hint="cs"/>
          <w:rtl/>
          <w:lang w:bidi="ar-EG"/>
        </w:rPr>
        <w:t xml:space="preserve"> المودعة لدى الويبو.</w:t>
      </w:r>
      <w:r w:rsidR="00CA50FC" w:rsidRPr="00D0101C">
        <w:rPr>
          <w:rStyle w:val="FootnoteReference"/>
          <w:rtl/>
          <w:lang w:bidi="ar-EG"/>
        </w:rPr>
        <w:footnoteReference w:id="5"/>
      </w:r>
      <w:r w:rsidR="0030292E" w:rsidRPr="00D0101C">
        <w:rPr>
          <w:rFonts w:hint="cs"/>
          <w:rtl/>
          <w:lang w:bidi="ar-EG"/>
        </w:rPr>
        <w:t xml:space="preserve"> </w:t>
      </w:r>
      <w:r w:rsidR="00D62283" w:rsidRPr="00D0101C">
        <w:rPr>
          <w:rFonts w:hint="cs"/>
          <w:rtl/>
          <w:lang w:bidi="ar-EG"/>
        </w:rPr>
        <w:t xml:space="preserve">وسمّت الأطراف ذات الخبرة في منازعات الملكية الفكرية المركز (55%) المؤسسة الثانية التي </w:t>
      </w:r>
      <w:proofErr w:type="spellStart"/>
      <w:r w:rsidR="00D62283" w:rsidRPr="00D0101C">
        <w:rPr>
          <w:rFonts w:hint="cs"/>
          <w:rtl/>
          <w:lang w:bidi="ar-EG"/>
        </w:rPr>
        <w:t>لجؤوا</w:t>
      </w:r>
      <w:proofErr w:type="spellEnd"/>
      <w:r w:rsidR="00D62283" w:rsidRPr="00D0101C">
        <w:rPr>
          <w:rFonts w:hint="cs"/>
          <w:rtl/>
          <w:lang w:bidi="ar-EG"/>
        </w:rPr>
        <w:t xml:space="preserve"> إليها </w:t>
      </w:r>
      <w:r w:rsidR="00D62283" w:rsidRPr="00D0101C">
        <w:rPr>
          <w:rtl/>
          <w:lang w:bidi="ar-EG"/>
        </w:rPr>
        <w:t xml:space="preserve">بعد محكمة التحكيم الدولية </w:t>
      </w:r>
      <w:r w:rsidR="00D62283" w:rsidRPr="00D0101C">
        <w:rPr>
          <w:rFonts w:hint="cs"/>
          <w:rtl/>
          <w:lang w:bidi="ar-EG"/>
        </w:rPr>
        <w:t>(</w:t>
      </w:r>
      <w:r w:rsidR="00D62283" w:rsidRPr="00D0101C">
        <w:rPr>
          <w:rtl/>
          <w:lang w:bidi="ar-EG"/>
        </w:rPr>
        <w:t>غرفة التجارة الدولية</w:t>
      </w:r>
      <w:r w:rsidR="00D62283" w:rsidRPr="00D0101C">
        <w:rPr>
          <w:rFonts w:hint="cs"/>
          <w:rtl/>
          <w:lang w:bidi="ar-EG"/>
        </w:rPr>
        <w:t xml:space="preserve">) (59%) في دراسة استطلاعية أجرتها المدرسة الدولية للوساطة، في جامعة كوين ماري في لندن في عام 2016 عن تسوية المنازعات الدولية </w:t>
      </w:r>
      <w:r w:rsidR="00D62283" w:rsidRPr="00D0101C">
        <w:rPr>
          <w:rtl/>
          <w:lang w:bidi="ar-EG"/>
        </w:rPr>
        <w:t>في مجال</w:t>
      </w:r>
      <w:r w:rsidR="00D62283" w:rsidRPr="00D0101C">
        <w:rPr>
          <w:rFonts w:hint="cs"/>
          <w:rtl/>
          <w:lang w:bidi="ar-EG"/>
        </w:rPr>
        <w:t>ات</w:t>
      </w:r>
      <w:r w:rsidR="00D62283" w:rsidRPr="00D0101C">
        <w:rPr>
          <w:rtl/>
          <w:lang w:bidi="ar-EG"/>
        </w:rPr>
        <w:t xml:space="preserve"> التكنولوجيا ووسائل الإعلام والاتصالات</w:t>
      </w:r>
      <w:r w:rsidR="00D62283" w:rsidRPr="00D0101C">
        <w:rPr>
          <w:lang w:bidi="ar-EG"/>
        </w:rPr>
        <w:t>.</w:t>
      </w:r>
      <w:r w:rsidR="0017613D" w:rsidRPr="00D0101C">
        <w:rPr>
          <w:rFonts w:hint="cs"/>
          <w:rtl/>
          <w:lang w:bidi="ar-EG"/>
        </w:rPr>
        <w:t xml:space="preserve"> </w:t>
      </w:r>
      <w:r w:rsidR="00703A26" w:rsidRPr="00D0101C">
        <w:rPr>
          <w:rFonts w:hint="cs"/>
          <w:rtl/>
          <w:lang w:bidi="ar-EG"/>
        </w:rPr>
        <w:t xml:space="preserve">وحين </w:t>
      </w:r>
      <w:r w:rsidR="007D2DE0" w:rsidRPr="00D0101C">
        <w:rPr>
          <w:rFonts w:hint="cs"/>
          <w:rtl/>
          <w:lang w:bidi="ar-EG"/>
        </w:rPr>
        <w:t>سُئل</w:t>
      </w:r>
      <w:r w:rsidR="00703A26" w:rsidRPr="00D0101C">
        <w:rPr>
          <w:rFonts w:hint="cs"/>
          <w:rtl/>
          <w:lang w:bidi="ar-EG"/>
        </w:rPr>
        <w:t xml:space="preserve"> المجيبون على الاستطلاع عن </w:t>
      </w:r>
      <w:r w:rsidR="007D2DE0" w:rsidRPr="00D0101C">
        <w:rPr>
          <w:rFonts w:hint="cs"/>
          <w:rtl/>
          <w:lang w:bidi="ar-EG"/>
        </w:rPr>
        <w:t>المؤسسة التي يفضلونها، احتل المركز المرتبة الأولى في</w:t>
      </w:r>
      <w:r w:rsidR="00766731" w:rsidRPr="00D0101C">
        <w:rPr>
          <w:rFonts w:hint="eastAsia"/>
          <w:rtl/>
          <w:lang w:bidi="ar-EG"/>
        </w:rPr>
        <w:t> </w:t>
      </w:r>
      <w:r w:rsidR="007D2DE0" w:rsidRPr="00D0101C">
        <w:rPr>
          <w:rFonts w:hint="cs"/>
          <w:rtl/>
          <w:lang w:bidi="ar-EG"/>
        </w:rPr>
        <w:t>ردودهم.</w:t>
      </w:r>
      <w:r w:rsidR="007D2DE0" w:rsidRPr="00D0101C">
        <w:rPr>
          <w:rStyle w:val="FootnoteReference"/>
          <w:rtl/>
          <w:lang w:bidi="ar-EG"/>
        </w:rPr>
        <w:footnoteReference w:id="6"/>
      </w:r>
      <w:r w:rsidR="00703A26" w:rsidRPr="00D0101C">
        <w:rPr>
          <w:rFonts w:hint="cs"/>
          <w:rtl/>
          <w:lang w:bidi="ar-EG"/>
        </w:rPr>
        <w:t xml:space="preserve"> </w:t>
      </w:r>
    </w:p>
    <w:p w:rsidR="00F87D6A" w:rsidRPr="00D0101C" w:rsidRDefault="00F87D6A" w:rsidP="00F87D6A">
      <w:pPr>
        <w:pStyle w:val="Heading2"/>
        <w:rPr>
          <w:rtl/>
          <w:lang w:bidi="ar-EG"/>
        </w:rPr>
      </w:pPr>
      <w:r w:rsidRPr="00D0101C">
        <w:rPr>
          <w:rFonts w:hint="cs"/>
          <w:rtl/>
          <w:lang w:bidi="ar-EG"/>
        </w:rPr>
        <w:t>باء.</w:t>
      </w:r>
      <w:r w:rsidRPr="00D0101C">
        <w:rPr>
          <w:rFonts w:hint="cs"/>
          <w:rtl/>
          <w:lang w:bidi="ar-EG"/>
        </w:rPr>
        <w:tab/>
      </w:r>
      <w:r w:rsidRPr="00D0101C">
        <w:rPr>
          <w:rtl/>
          <w:lang w:bidi="ar-EG"/>
        </w:rPr>
        <w:t>تقديم خدمات السبل البديلة لتسوية المنازعات لقطاعات معينة</w:t>
      </w:r>
    </w:p>
    <w:p w:rsidR="00CD2A87" w:rsidRPr="00D0101C" w:rsidRDefault="00CD2A87" w:rsidP="00CD2A87">
      <w:pPr>
        <w:rPr>
          <w:rtl/>
          <w:lang w:bidi="ar-EG"/>
        </w:rPr>
      </w:pPr>
    </w:p>
    <w:p w:rsidR="00F87D6A" w:rsidRPr="00D0101C" w:rsidRDefault="00F87D6A" w:rsidP="00F87D6A">
      <w:pPr>
        <w:pStyle w:val="NormalParaAR"/>
        <w:keepNext/>
        <w:ind w:left="566"/>
        <w:rPr>
          <w:lang w:bidi="ar-EG"/>
        </w:rPr>
      </w:pPr>
      <w:r w:rsidRPr="00D0101C">
        <w:rPr>
          <w:rFonts w:hint="cs"/>
          <w:rtl/>
          <w:lang w:bidi="ar-EG"/>
        </w:rPr>
        <w:t>(أ)</w:t>
      </w:r>
      <w:r w:rsidRPr="00D0101C">
        <w:rPr>
          <w:rtl/>
          <w:lang w:bidi="ar-EG"/>
        </w:rPr>
        <w:tab/>
      </w:r>
      <w:r w:rsidRPr="00D0101C">
        <w:rPr>
          <w:u w:val="single"/>
          <w:rtl/>
          <w:lang w:bidi="ar-EG"/>
        </w:rPr>
        <w:t>التعاون مع مكاتب الملكية الفكرية</w:t>
      </w:r>
    </w:p>
    <w:p w:rsidR="005F58BF" w:rsidRPr="00D0101C" w:rsidRDefault="00F87D6A" w:rsidP="007805C3">
      <w:pPr>
        <w:pStyle w:val="NumberedParaAR"/>
      </w:pPr>
      <w:r w:rsidRPr="00D0101C">
        <w:rPr>
          <w:rFonts w:hint="cs"/>
          <w:rtl/>
          <w:lang w:bidi="ar-EG"/>
        </w:rPr>
        <w:t xml:space="preserve">يقوم المركز، إلى جانب خدماته التقليدية، بمساندة </w:t>
      </w:r>
      <w:r w:rsidR="002458DC" w:rsidRPr="00D0101C">
        <w:rPr>
          <w:rtl/>
        </w:rPr>
        <w:t>مكاتب الملكية الفكرية في وضع أطر اختيارية لتسوية المنازعات</w:t>
      </w:r>
      <w:r w:rsidR="002458DC" w:rsidRPr="00D0101C">
        <w:rPr>
          <w:rFonts w:hint="cs"/>
          <w:rtl/>
        </w:rPr>
        <w:t xml:space="preserve"> و</w:t>
      </w:r>
      <w:r w:rsidR="002458DC" w:rsidRPr="00D0101C">
        <w:rPr>
          <w:rtl/>
        </w:rPr>
        <w:t xml:space="preserve">برامج تدريبية </w:t>
      </w:r>
      <w:r w:rsidR="002458DC" w:rsidRPr="00D0101C">
        <w:rPr>
          <w:rFonts w:hint="cs"/>
          <w:rtl/>
        </w:rPr>
        <w:t xml:space="preserve">وأنشطة ترويجية </w:t>
      </w:r>
      <w:r w:rsidR="002458DC" w:rsidRPr="00D0101C">
        <w:rPr>
          <w:rtl/>
        </w:rPr>
        <w:t>و</w:t>
      </w:r>
      <w:r w:rsidR="002458DC" w:rsidRPr="00D0101C">
        <w:rPr>
          <w:rFonts w:hint="cs"/>
          <w:rtl/>
        </w:rPr>
        <w:t>إ</w:t>
      </w:r>
      <w:r w:rsidR="002458DC" w:rsidRPr="00D0101C">
        <w:rPr>
          <w:rtl/>
        </w:rPr>
        <w:t xml:space="preserve">دارة </w:t>
      </w:r>
      <w:r w:rsidR="002458DC" w:rsidRPr="00D0101C">
        <w:rPr>
          <w:rFonts w:hint="cs"/>
          <w:rtl/>
        </w:rPr>
        <w:t>ل</w:t>
      </w:r>
      <w:r w:rsidR="002458DC" w:rsidRPr="00D0101C">
        <w:rPr>
          <w:rtl/>
        </w:rPr>
        <w:t>لقضاي</w:t>
      </w:r>
      <w:r w:rsidR="002458DC" w:rsidRPr="00D0101C">
        <w:rPr>
          <w:rFonts w:hint="cs"/>
          <w:rtl/>
        </w:rPr>
        <w:t>ا.</w:t>
      </w:r>
      <w:r w:rsidR="002458DC" w:rsidRPr="00D0101C">
        <w:rPr>
          <w:rtl/>
        </w:rPr>
        <w:t xml:space="preserve"> </w:t>
      </w:r>
      <w:r w:rsidR="007805C3" w:rsidRPr="00D0101C">
        <w:rPr>
          <w:rFonts w:hint="cs"/>
          <w:rtl/>
        </w:rPr>
        <w:t>ويشدد هذا التعاون على</w:t>
      </w:r>
      <w:r w:rsidR="002458DC" w:rsidRPr="00D0101C">
        <w:rPr>
          <w:rtl/>
        </w:rPr>
        <w:t xml:space="preserve"> خيارات مرنة تتسم بفعالية التكاليف وتتيح للأطراف تسوية </w:t>
      </w:r>
      <w:r w:rsidR="007805C3" w:rsidRPr="00D0101C">
        <w:rPr>
          <w:rFonts w:hint="cs"/>
          <w:rtl/>
        </w:rPr>
        <w:t>ال</w:t>
      </w:r>
      <w:r w:rsidR="007805C3" w:rsidRPr="00D0101C">
        <w:rPr>
          <w:rtl/>
        </w:rPr>
        <w:t>منازعات</w:t>
      </w:r>
      <w:r w:rsidR="002458DC" w:rsidRPr="00D0101C">
        <w:rPr>
          <w:rtl/>
        </w:rPr>
        <w:t xml:space="preserve"> </w:t>
      </w:r>
      <w:r w:rsidR="007805C3" w:rsidRPr="00D0101C">
        <w:rPr>
          <w:rFonts w:hint="cs"/>
          <w:rtl/>
        </w:rPr>
        <w:t>المرتبطة</w:t>
      </w:r>
      <w:r w:rsidR="002458DC" w:rsidRPr="00D0101C">
        <w:rPr>
          <w:rtl/>
        </w:rPr>
        <w:t xml:space="preserve"> </w:t>
      </w:r>
      <w:r w:rsidR="007805C3" w:rsidRPr="00D0101C">
        <w:rPr>
          <w:rFonts w:hint="cs"/>
          <w:rtl/>
        </w:rPr>
        <w:t>ب</w:t>
      </w:r>
      <w:r w:rsidR="002458DC" w:rsidRPr="00D0101C">
        <w:rPr>
          <w:rtl/>
        </w:rPr>
        <w:t xml:space="preserve">الملكية الفكرية </w:t>
      </w:r>
      <w:r w:rsidR="007805C3" w:rsidRPr="00D0101C">
        <w:rPr>
          <w:rFonts w:hint="cs"/>
          <w:rtl/>
        </w:rPr>
        <w:t>التي قد تشمل منازعات مقدمة إلى مكاتب الملكية الفكرية بشأن</w:t>
      </w:r>
      <w:r w:rsidR="007805C3" w:rsidRPr="00D0101C">
        <w:rPr>
          <w:rtl/>
        </w:rPr>
        <w:t xml:space="preserve"> </w:t>
      </w:r>
      <w:r w:rsidR="002458DC" w:rsidRPr="00D0101C">
        <w:rPr>
          <w:rtl/>
        </w:rPr>
        <w:t xml:space="preserve">الطلبات </w:t>
      </w:r>
      <w:r w:rsidR="007805C3" w:rsidRPr="00D0101C">
        <w:rPr>
          <w:rFonts w:hint="cs"/>
          <w:rtl/>
        </w:rPr>
        <w:t>العالقة</w:t>
      </w:r>
      <w:r w:rsidR="002458DC" w:rsidRPr="00D0101C">
        <w:rPr>
          <w:rtl/>
        </w:rPr>
        <w:t xml:space="preserve"> أو الحقوق الممنوحة.</w:t>
      </w:r>
      <w:r w:rsidR="007805C3" w:rsidRPr="00D0101C">
        <w:rPr>
          <w:rStyle w:val="FootnoteReference"/>
          <w:rtl/>
        </w:rPr>
        <w:footnoteReference w:id="7"/>
      </w:r>
      <w:r w:rsidRPr="00D0101C">
        <w:rPr>
          <w:rFonts w:hint="cs"/>
          <w:rtl/>
          <w:lang w:bidi="ar-EG"/>
        </w:rPr>
        <w:t xml:space="preserve"> </w:t>
      </w:r>
    </w:p>
    <w:p w:rsidR="006B50C4" w:rsidRPr="00D0101C" w:rsidRDefault="005F58BF" w:rsidP="00766731">
      <w:pPr>
        <w:pStyle w:val="NumberedParaAR"/>
      </w:pPr>
      <w:r w:rsidRPr="00D0101C">
        <w:rPr>
          <w:rFonts w:hint="cs"/>
          <w:rtl/>
          <w:lang w:bidi="ar-EG"/>
        </w:rPr>
        <w:t xml:space="preserve">وأدار المكتب في العام المنصرم العديد من القضايا التي رُفعت بعد </w:t>
      </w:r>
      <w:r w:rsidRPr="00D0101C">
        <w:rPr>
          <w:rtl/>
        </w:rPr>
        <w:t xml:space="preserve">إنشاء إجراء مشترك لتسوية المنازعات </w:t>
      </w:r>
      <w:r w:rsidRPr="00D0101C">
        <w:rPr>
          <w:rFonts w:hint="cs"/>
          <w:rtl/>
        </w:rPr>
        <w:t>في عام</w:t>
      </w:r>
      <w:r w:rsidR="00766731" w:rsidRPr="00D0101C">
        <w:rPr>
          <w:rFonts w:hint="eastAsia"/>
          <w:rtl/>
        </w:rPr>
        <w:t> </w:t>
      </w:r>
      <w:r w:rsidRPr="00D0101C">
        <w:rPr>
          <w:rFonts w:hint="cs"/>
          <w:rtl/>
        </w:rPr>
        <w:t xml:space="preserve">2011 </w:t>
      </w:r>
      <w:r w:rsidRPr="00D0101C">
        <w:rPr>
          <w:rtl/>
        </w:rPr>
        <w:t>لتيسير الوساطة في الاعتراضات المتعلقة بالعلامات التجارية لدى مكتب سنغافورة للملكية الفكرية</w:t>
      </w:r>
      <w:r w:rsidRPr="00D0101C">
        <w:rPr>
          <w:rFonts w:hint="cs"/>
          <w:rtl/>
        </w:rPr>
        <w:t xml:space="preserve">. </w:t>
      </w:r>
      <w:r w:rsidR="00906E27" w:rsidRPr="00D0101C">
        <w:rPr>
          <w:rFonts w:hint="cs"/>
          <w:rtl/>
        </w:rPr>
        <w:t xml:space="preserve">وباشر المركز </w:t>
      </w:r>
      <w:r w:rsidR="009F63A4" w:rsidRPr="00D0101C">
        <w:rPr>
          <w:rFonts w:hint="cs"/>
          <w:rtl/>
        </w:rPr>
        <w:t xml:space="preserve">أيضاً </w:t>
      </w:r>
      <w:r w:rsidR="00906E27" w:rsidRPr="00D0101C">
        <w:rPr>
          <w:rFonts w:hint="cs"/>
          <w:rtl/>
        </w:rPr>
        <w:t xml:space="preserve">إدارة القضايا بعد أن </w:t>
      </w:r>
      <w:r w:rsidR="00906E27" w:rsidRPr="00D0101C">
        <w:rPr>
          <w:rtl/>
        </w:rPr>
        <w:t>عيّن</w:t>
      </w:r>
      <w:r w:rsidR="00906E27" w:rsidRPr="00D0101C">
        <w:rPr>
          <w:rFonts w:hint="cs"/>
          <w:rtl/>
        </w:rPr>
        <w:t>ه</w:t>
      </w:r>
      <w:r w:rsidR="00906E27" w:rsidRPr="00D0101C">
        <w:rPr>
          <w:rtl/>
        </w:rPr>
        <w:t xml:space="preserve"> مكتب الملكية الفكرية في الفلبين مشرفاً على قضايا الوساطة في الحالات المعروضة على </w:t>
      </w:r>
      <w:r w:rsidR="00906E27" w:rsidRPr="00D0101C">
        <w:rPr>
          <w:rtl/>
        </w:rPr>
        <w:lastRenderedPageBreak/>
        <w:t>مكتب الفلبين والتي يكون فيها أحد الطرفين أو كلاهما من خارج الفلبين.</w:t>
      </w:r>
      <w:r w:rsidR="00BC3DD9" w:rsidRPr="00D0101C">
        <w:rPr>
          <w:rFonts w:hint="cs"/>
          <w:rtl/>
        </w:rPr>
        <w:t xml:space="preserve"> </w:t>
      </w:r>
      <w:r w:rsidR="00F42F74" w:rsidRPr="00D0101C">
        <w:rPr>
          <w:rFonts w:hint="cs"/>
          <w:rtl/>
        </w:rPr>
        <w:t xml:space="preserve">وعقب </w:t>
      </w:r>
      <w:r w:rsidR="00F42F74" w:rsidRPr="00D0101C">
        <w:rPr>
          <w:rtl/>
        </w:rPr>
        <w:t>إبرام اتفاق مع المعهد المكسيكي للملكية الصناعية (</w:t>
      </w:r>
      <w:r w:rsidR="00F42F74" w:rsidRPr="00D0101C">
        <w:t>IMPI</w:t>
      </w:r>
      <w:r w:rsidR="00F42F74" w:rsidRPr="00D0101C">
        <w:rPr>
          <w:rtl/>
        </w:rPr>
        <w:t xml:space="preserve">)، </w:t>
      </w:r>
      <w:r w:rsidR="00F42F74" w:rsidRPr="00D0101C">
        <w:rPr>
          <w:rFonts w:hint="cs"/>
          <w:rtl/>
        </w:rPr>
        <w:t>نظّم</w:t>
      </w:r>
      <w:r w:rsidR="00F42F74" w:rsidRPr="00D0101C">
        <w:rPr>
          <w:rtl/>
        </w:rPr>
        <w:t xml:space="preserve"> </w:t>
      </w:r>
      <w:r w:rsidR="00F42F74" w:rsidRPr="00D0101C">
        <w:rPr>
          <w:rFonts w:hint="cs"/>
          <w:rtl/>
        </w:rPr>
        <w:t>ال</w:t>
      </w:r>
      <w:r w:rsidR="00F42F74" w:rsidRPr="00D0101C">
        <w:rPr>
          <w:rtl/>
        </w:rPr>
        <w:t>مركز</w:t>
      </w:r>
      <w:r w:rsidR="00F42F74" w:rsidRPr="00D0101C">
        <w:rPr>
          <w:rFonts w:hint="cs"/>
          <w:rtl/>
        </w:rPr>
        <w:t xml:space="preserve"> </w:t>
      </w:r>
      <w:r w:rsidR="00F42F74" w:rsidRPr="00D0101C">
        <w:rPr>
          <w:rtl/>
        </w:rPr>
        <w:t xml:space="preserve">مع </w:t>
      </w:r>
      <w:r w:rsidR="00F42F74" w:rsidRPr="00D0101C">
        <w:rPr>
          <w:rFonts w:hint="cs"/>
          <w:rtl/>
        </w:rPr>
        <w:t>المعهد المكسيكي</w:t>
      </w:r>
      <w:r w:rsidR="00F42F74" w:rsidRPr="00D0101C">
        <w:rPr>
          <w:rtl/>
        </w:rPr>
        <w:t xml:space="preserve"> </w:t>
      </w:r>
      <w:r w:rsidR="00F42F74" w:rsidRPr="00D0101C">
        <w:rPr>
          <w:rFonts w:hint="cs"/>
          <w:rtl/>
        </w:rPr>
        <w:t>حدثاً يرمي إلى الترويج لاستخدام</w:t>
      </w:r>
      <w:r w:rsidR="00F42F74" w:rsidRPr="00D0101C">
        <w:rPr>
          <w:rtl/>
        </w:rPr>
        <w:t xml:space="preserve"> السبل البديلة لتسوية منازعات </w:t>
      </w:r>
      <w:r w:rsidR="00F42F74" w:rsidRPr="00D0101C">
        <w:rPr>
          <w:rFonts w:hint="cs"/>
          <w:rtl/>
        </w:rPr>
        <w:t>الملكية الفكرية</w:t>
      </w:r>
      <w:r w:rsidR="00F42F74" w:rsidRPr="00D0101C">
        <w:rPr>
          <w:rtl/>
        </w:rPr>
        <w:t>.</w:t>
      </w:r>
    </w:p>
    <w:p w:rsidR="006B50C4" w:rsidRPr="00D0101C" w:rsidRDefault="006B50C4" w:rsidP="00185F90">
      <w:pPr>
        <w:pStyle w:val="NumberedParaAR"/>
      </w:pPr>
      <w:r w:rsidRPr="00D0101C">
        <w:rPr>
          <w:rFonts w:hint="cs"/>
          <w:rtl/>
        </w:rPr>
        <w:t xml:space="preserve">ويشجع مجلس المحاكم والطعن في مجال العلامات التجارية </w:t>
      </w:r>
      <w:r w:rsidRPr="00D0101C">
        <w:rPr>
          <w:rFonts w:hint="cs"/>
          <w:rtl/>
          <w:lang w:bidi="ar-EG"/>
        </w:rPr>
        <w:t>(</w:t>
      </w:r>
      <w:r w:rsidRPr="00D0101C">
        <w:rPr>
          <w:lang w:bidi="ar-EG"/>
        </w:rPr>
        <w:t>TTAB</w:t>
      </w:r>
      <w:r w:rsidRPr="00D0101C">
        <w:rPr>
          <w:rFonts w:hint="cs"/>
          <w:rtl/>
          <w:lang w:bidi="ar-EG"/>
        </w:rPr>
        <w:t>) ومجلس المحاكم والطعن في مجال البراءات (</w:t>
      </w:r>
      <w:r w:rsidRPr="00D0101C">
        <w:rPr>
          <w:lang w:bidi="ar-EG"/>
        </w:rPr>
        <w:t>PTAB</w:t>
      </w:r>
      <w:r w:rsidRPr="00D0101C">
        <w:rPr>
          <w:rFonts w:hint="cs"/>
          <w:rtl/>
          <w:lang w:bidi="ar-EG"/>
        </w:rPr>
        <w:t>) التابعان ل</w:t>
      </w:r>
      <w:r w:rsidRPr="00D0101C">
        <w:rPr>
          <w:rtl/>
          <w:lang w:bidi="ar-EG"/>
        </w:rPr>
        <w:t>مكتب العلامات والبراءات في الولايات المتحدة</w:t>
      </w:r>
      <w:r w:rsidRPr="00D0101C">
        <w:rPr>
          <w:rFonts w:hint="cs"/>
          <w:rtl/>
          <w:lang w:bidi="ar-EG"/>
        </w:rPr>
        <w:t xml:space="preserve"> (</w:t>
      </w:r>
      <w:r w:rsidRPr="00D0101C">
        <w:rPr>
          <w:lang w:val="fr-FR" w:bidi="ar-EG"/>
        </w:rPr>
        <w:t>USPTO</w:t>
      </w:r>
      <w:r w:rsidRPr="00D0101C">
        <w:rPr>
          <w:rFonts w:hint="cs"/>
          <w:rtl/>
          <w:lang w:bidi="ar-EG"/>
        </w:rPr>
        <w:t>) الأطراف على النظر في السبل البديلة لتسوية المنازعات كوسيلة لتسوية القضايا المثارة في إجراءات المجلس. ومنذ يناير 2016،</w:t>
      </w:r>
      <w:r w:rsidRPr="00D0101C">
        <w:rPr>
          <w:lang w:bidi="ar-EG"/>
        </w:rPr>
        <w:t xml:space="preserve"> </w:t>
      </w:r>
      <w:r w:rsidR="00185F90" w:rsidRPr="00D0101C">
        <w:rPr>
          <w:rFonts w:hint="cs"/>
          <w:rtl/>
          <w:lang w:bidi="ar-EG"/>
        </w:rPr>
        <w:t>أُدرج</w:t>
      </w:r>
      <w:r w:rsidRPr="00D0101C">
        <w:rPr>
          <w:rFonts w:hint="cs"/>
          <w:rtl/>
          <w:lang w:bidi="ar-EG"/>
        </w:rPr>
        <w:t xml:space="preserve"> المجلس كأحد مقدمي خدمات تسوية المنازعات </w:t>
      </w:r>
      <w:r w:rsidR="00185F90" w:rsidRPr="00D0101C">
        <w:rPr>
          <w:rFonts w:hint="cs"/>
          <w:rtl/>
          <w:lang w:bidi="ar-EG"/>
        </w:rPr>
        <w:t>المتاحين</w:t>
      </w:r>
      <w:r w:rsidRPr="00D0101C">
        <w:rPr>
          <w:rFonts w:hint="cs"/>
          <w:rtl/>
          <w:lang w:bidi="ar-EG"/>
        </w:rPr>
        <w:t xml:space="preserve"> لإجراءات </w:t>
      </w:r>
      <w:r w:rsidRPr="00D0101C">
        <w:rPr>
          <w:rtl/>
          <w:lang w:bidi="ar-EG"/>
        </w:rPr>
        <w:t>مجلس المحاكم والطعن في مجال العلامات التجارية ومجلس المحاكم والطعن في مجال البراءات</w:t>
      </w:r>
      <w:r w:rsidRPr="00D0101C">
        <w:rPr>
          <w:rFonts w:hint="cs"/>
          <w:rtl/>
          <w:lang w:bidi="ar-EG"/>
        </w:rPr>
        <w:t>.</w:t>
      </w:r>
    </w:p>
    <w:p w:rsidR="00201A07" w:rsidRPr="00D0101C" w:rsidRDefault="0006590B" w:rsidP="006015F9">
      <w:pPr>
        <w:pStyle w:val="NumberedParaAR"/>
      </w:pPr>
      <w:r w:rsidRPr="00D0101C">
        <w:rPr>
          <w:rFonts w:hint="cs"/>
          <w:rtl/>
          <w:lang w:bidi="ar-EG"/>
        </w:rPr>
        <w:t xml:space="preserve">وفي عام 2017، أطلق </w:t>
      </w:r>
      <w:r w:rsidRPr="00D0101C">
        <w:rPr>
          <w:rtl/>
          <w:lang w:bidi="ar-EG"/>
        </w:rPr>
        <w:t>مكتب أستراليا للملكية الفكرية</w:t>
      </w:r>
      <w:r w:rsidRPr="00D0101C">
        <w:rPr>
          <w:rFonts w:hint="cs"/>
          <w:rtl/>
          <w:lang w:bidi="ar-EG"/>
        </w:rPr>
        <w:t xml:space="preserve"> والمركز مبادرة لتقديم خيارات</w:t>
      </w:r>
      <w:r w:rsidR="00D62283" w:rsidRPr="00D0101C">
        <w:rPr>
          <w:rFonts w:hint="cs"/>
          <w:rtl/>
          <w:lang w:bidi="ar-EG"/>
        </w:rPr>
        <w:t xml:space="preserve"> </w:t>
      </w:r>
      <w:r w:rsidRPr="00D0101C">
        <w:rPr>
          <w:rtl/>
          <w:lang w:bidi="ar-EG"/>
        </w:rPr>
        <w:t>بديلة لتسوية المنازعات</w:t>
      </w:r>
      <w:r w:rsidRPr="00D0101C">
        <w:rPr>
          <w:rFonts w:hint="cs"/>
          <w:rtl/>
          <w:lang w:bidi="ar-EG"/>
        </w:rPr>
        <w:t xml:space="preserve"> من أجل تسوية منازعات الملكية الفكرية والتكنولوجيا في أستراليا. </w:t>
      </w:r>
      <w:r w:rsidR="006015F9" w:rsidRPr="00D0101C">
        <w:rPr>
          <w:rFonts w:hint="cs"/>
          <w:rtl/>
          <w:lang w:bidi="ar-EG"/>
        </w:rPr>
        <w:t xml:space="preserve">ولهذا الغرض، يتيح المكتب اليوم للجهات المهتمة خيارات اتصال عبر الإنترنت، بما فيها </w:t>
      </w:r>
      <w:r w:rsidR="006015F9" w:rsidRPr="00D0101C">
        <w:rPr>
          <w:rtl/>
          <w:lang w:bidi="ar-EG"/>
        </w:rPr>
        <w:t>مر</w:t>
      </w:r>
      <w:r w:rsidR="006015F9" w:rsidRPr="00D0101C">
        <w:rPr>
          <w:rFonts w:hint="cs"/>
          <w:rtl/>
          <w:lang w:bidi="ar-EG"/>
        </w:rPr>
        <w:t>ا</w:t>
      </w:r>
      <w:r w:rsidR="006015F9" w:rsidRPr="00D0101C">
        <w:rPr>
          <w:rtl/>
          <w:lang w:bidi="ar-EG"/>
        </w:rPr>
        <w:t>فق تسوية القضايا إلكترونياً</w:t>
      </w:r>
      <w:r w:rsidR="006015F9" w:rsidRPr="00D0101C">
        <w:rPr>
          <w:rFonts w:hint="cs"/>
          <w:rtl/>
          <w:lang w:bidi="ar-EG"/>
        </w:rPr>
        <w:t xml:space="preserve"> والمؤتمرات عبر الفيديو. وأقام المركز كذلك علاقة تعاون مع </w:t>
      </w:r>
      <w:r w:rsidR="006015F9" w:rsidRPr="00D0101C">
        <w:rPr>
          <w:rtl/>
          <w:lang w:bidi="ar-EG"/>
        </w:rPr>
        <w:t>مكتب إسرائيل للبراءات</w:t>
      </w:r>
      <w:r w:rsidR="006015F9" w:rsidRPr="00D0101C">
        <w:rPr>
          <w:rFonts w:hint="cs"/>
          <w:rtl/>
          <w:lang w:bidi="ar-EG"/>
        </w:rPr>
        <w:t xml:space="preserve"> من أجل تعزيز اللجوء إلى الخيارات ال</w:t>
      </w:r>
      <w:r w:rsidR="006015F9" w:rsidRPr="00D0101C">
        <w:rPr>
          <w:rtl/>
          <w:lang w:bidi="ar-EG"/>
        </w:rPr>
        <w:t xml:space="preserve">بديلة لتسوية </w:t>
      </w:r>
      <w:r w:rsidR="006015F9" w:rsidRPr="00D0101C">
        <w:rPr>
          <w:rFonts w:hint="cs"/>
          <w:rtl/>
          <w:lang w:bidi="ar-EG"/>
        </w:rPr>
        <w:t>م</w:t>
      </w:r>
      <w:r w:rsidR="006015F9" w:rsidRPr="00D0101C">
        <w:rPr>
          <w:rtl/>
          <w:lang w:bidi="ar-EG"/>
        </w:rPr>
        <w:t>نازعات</w:t>
      </w:r>
      <w:r w:rsidR="006015F9" w:rsidRPr="00D0101C">
        <w:rPr>
          <w:rFonts w:hint="cs"/>
          <w:rtl/>
          <w:lang w:bidi="ar-EG"/>
        </w:rPr>
        <w:t xml:space="preserve"> الملكية الفكرية والتكنولوجيا في إسرائيل.</w:t>
      </w:r>
    </w:p>
    <w:p w:rsidR="00087921" w:rsidRPr="00D0101C" w:rsidRDefault="00201A07" w:rsidP="00615700">
      <w:pPr>
        <w:pStyle w:val="NumberedParaAR"/>
      </w:pPr>
      <w:r w:rsidRPr="00D0101C">
        <w:rPr>
          <w:rFonts w:hint="cs"/>
          <w:rtl/>
          <w:lang w:bidi="ar-EG"/>
        </w:rPr>
        <w:t xml:space="preserve">ويعكف المركز حالياً على تحديث </w:t>
      </w:r>
      <w:r w:rsidRPr="00D0101C">
        <w:rPr>
          <w:rtl/>
          <w:lang w:bidi="ar-EG"/>
        </w:rPr>
        <w:t xml:space="preserve">دليل الويبو بشأن </w:t>
      </w:r>
      <w:r w:rsidRPr="00D0101C">
        <w:rPr>
          <w:rFonts w:hint="cs"/>
          <w:rtl/>
          <w:lang w:bidi="ar-EG"/>
        </w:rPr>
        <w:t>الآليات</w:t>
      </w:r>
      <w:r w:rsidRPr="00D0101C">
        <w:rPr>
          <w:rtl/>
          <w:lang w:bidi="ar-EG"/>
        </w:rPr>
        <w:t xml:space="preserve"> البديلة </w:t>
      </w:r>
      <w:r w:rsidRPr="00D0101C">
        <w:rPr>
          <w:rFonts w:hint="cs"/>
          <w:rtl/>
          <w:lang w:bidi="ar-EG"/>
        </w:rPr>
        <w:t xml:space="preserve">لتسوية </w:t>
      </w:r>
      <w:r w:rsidRPr="00D0101C">
        <w:rPr>
          <w:rtl/>
          <w:lang w:bidi="ar-EG"/>
        </w:rPr>
        <w:t>المنازعات لفائدة مكاتب الملكية الفكرية ومحاكمها</w:t>
      </w:r>
      <w:r w:rsidR="000319BF" w:rsidRPr="00D0101C">
        <w:rPr>
          <w:rFonts w:hint="cs"/>
          <w:rtl/>
          <w:lang w:bidi="ar-EG"/>
        </w:rPr>
        <w:t xml:space="preserve">، بحيث </w:t>
      </w:r>
      <w:r w:rsidRPr="00D0101C">
        <w:rPr>
          <w:rFonts w:hint="cs"/>
          <w:rtl/>
          <w:lang w:bidi="ar-EG"/>
        </w:rPr>
        <w:t xml:space="preserve">يعكس </w:t>
      </w:r>
      <w:r w:rsidR="000319BF" w:rsidRPr="00D0101C">
        <w:rPr>
          <w:rFonts w:hint="cs"/>
          <w:rtl/>
          <w:lang w:bidi="ar-EG"/>
        </w:rPr>
        <w:t>آخر المستجدات في هذا المجال.</w:t>
      </w:r>
      <w:r w:rsidR="000319BF" w:rsidRPr="00D0101C">
        <w:rPr>
          <w:rStyle w:val="FootnoteReference"/>
          <w:rtl/>
          <w:lang w:bidi="ar-EG"/>
        </w:rPr>
        <w:footnoteReference w:id="8"/>
      </w:r>
      <w:r w:rsidR="006015F9" w:rsidRPr="00D0101C">
        <w:rPr>
          <w:rFonts w:hint="cs"/>
          <w:rtl/>
          <w:lang w:bidi="ar-EG"/>
        </w:rPr>
        <w:t xml:space="preserve"> </w:t>
      </w:r>
      <w:r w:rsidR="00087921" w:rsidRPr="00D0101C">
        <w:rPr>
          <w:rtl/>
          <w:lang w:bidi="ar-EG"/>
        </w:rPr>
        <w:t xml:space="preserve">ويستند الدليل </w:t>
      </w:r>
      <w:r w:rsidR="00087921" w:rsidRPr="00D0101C">
        <w:rPr>
          <w:rFonts w:hint="cs"/>
          <w:rtl/>
          <w:lang w:bidi="ar-EG"/>
        </w:rPr>
        <w:t>إلى</w:t>
      </w:r>
      <w:r w:rsidR="00087921" w:rsidRPr="00D0101C">
        <w:rPr>
          <w:rtl/>
          <w:lang w:bidi="ar-EG"/>
        </w:rPr>
        <w:t xml:space="preserve"> خبرة الو</w:t>
      </w:r>
      <w:r w:rsidR="00087921" w:rsidRPr="00D0101C">
        <w:rPr>
          <w:rFonts w:hint="cs"/>
          <w:rtl/>
          <w:lang w:bidi="ar-EG"/>
        </w:rPr>
        <w:t>ي</w:t>
      </w:r>
      <w:r w:rsidR="00087921" w:rsidRPr="00D0101C">
        <w:rPr>
          <w:rtl/>
          <w:lang w:bidi="ar-EG"/>
        </w:rPr>
        <w:t xml:space="preserve">بو في هذا </w:t>
      </w:r>
      <w:r w:rsidR="00087921" w:rsidRPr="00D0101C">
        <w:rPr>
          <w:rFonts w:hint="cs"/>
          <w:rtl/>
          <w:lang w:bidi="ar-EG"/>
        </w:rPr>
        <w:t>المجال</w:t>
      </w:r>
      <w:r w:rsidR="00087921" w:rsidRPr="00D0101C">
        <w:rPr>
          <w:rtl/>
          <w:lang w:bidi="ar-EG"/>
        </w:rPr>
        <w:t xml:space="preserve">، فيقدم </w:t>
      </w:r>
      <w:r w:rsidR="00087921" w:rsidRPr="00D0101C">
        <w:rPr>
          <w:rFonts w:hint="cs"/>
          <w:rtl/>
          <w:lang w:bidi="ar-EG"/>
        </w:rPr>
        <w:t xml:space="preserve">لمحة </w:t>
      </w:r>
      <w:r w:rsidR="00615700" w:rsidRPr="00D0101C">
        <w:rPr>
          <w:rFonts w:hint="cs"/>
          <w:rtl/>
          <w:lang w:bidi="ar-EG"/>
        </w:rPr>
        <w:t>شاملة</w:t>
      </w:r>
      <w:r w:rsidR="00087921" w:rsidRPr="00D0101C">
        <w:rPr>
          <w:rFonts w:hint="cs"/>
          <w:rtl/>
          <w:lang w:bidi="ar-EG"/>
        </w:rPr>
        <w:t xml:space="preserve"> عن </w:t>
      </w:r>
      <w:r w:rsidR="00087921" w:rsidRPr="00D0101C">
        <w:rPr>
          <w:rtl/>
          <w:lang w:bidi="ar-EG"/>
        </w:rPr>
        <w:t xml:space="preserve">السبل البديلة لتسوية </w:t>
      </w:r>
      <w:r w:rsidR="00087921" w:rsidRPr="00D0101C">
        <w:rPr>
          <w:rFonts w:hint="cs"/>
          <w:rtl/>
          <w:lang w:bidi="ar-EG"/>
        </w:rPr>
        <w:t>ال</w:t>
      </w:r>
      <w:r w:rsidR="00087921" w:rsidRPr="00D0101C">
        <w:rPr>
          <w:rtl/>
          <w:lang w:bidi="ar-EG"/>
        </w:rPr>
        <w:t xml:space="preserve">منازعات </w:t>
      </w:r>
      <w:r w:rsidR="00087921" w:rsidRPr="00D0101C">
        <w:rPr>
          <w:rFonts w:hint="cs"/>
          <w:rtl/>
          <w:lang w:bidi="ar-EG"/>
        </w:rPr>
        <w:t xml:space="preserve">في منازعات </w:t>
      </w:r>
      <w:r w:rsidR="00087921" w:rsidRPr="00D0101C">
        <w:rPr>
          <w:rtl/>
          <w:lang w:bidi="ar-EG"/>
        </w:rPr>
        <w:t xml:space="preserve">الملكية الفكرية، </w:t>
      </w:r>
      <w:r w:rsidR="00991D77" w:rsidRPr="00D0101C">
        <w:rPr>
          <w:rFonts w:hint="cs"/>
          <w:rtl/>
          <w:lang w:bidi="ar-EG"/>
        </w:rPr>
        <w:t>ويعرض خيارات ع</w:t>
      </w:r>
      <w:r w:rsidR="00087921" w:rsidRPr="00D0101C">
        <w:rPr>
          <w:rFonts w:hint="cs"/>
          <w:rtl/>
          <w:lang w:bidi="ar-EG"/>
        </w:rPr>
        <w:t>لى</w:t>
      </w:r>
      <w:r w:rsidR="00087921" w:rsidRPr="00D0101C">
        <w:rPr>
          <w:rtl/>
          <w:lang w:bidi="ar-EG"/>
        </w:rPr>
        <w:t xml:space="preserve"> مكاتب الملكية الفكرية </w:t>
      </w:r>
      <w:r w:rsidR="00087921" w:rsidRPr="00D0101C">
        <w:rPr>
          <w:rFonts w:hint="cs"/>
          <w:rtl/>
          <w:lang w:bidi="ar-EG"/>
        </w:rPr>
        <w:t>والمحاكم</w:t>
      </w:r>
      <w:r w:rsidR="00087921" w:rsidRPr="00D0101C">
        <w:rPr>
          <w:rtl/>
          <w:lang w:bidi="ar-EG"/>
        </w:rPr>
        <w:t xml:space="preserve"> المهتمة </w:t>
      </w:r>
      <w:r w:rsidR="00087921" w:rsidRPr="00D0101C">
        <w:rPr>
          <w:rFonts w:hint="cs"/>
          <w:rtl/>
          <w:lang w:bidi="ar-EG"/>
        </w:rPr>
        <w:t>ب</w:t>
      </w:r>
      <w:r w:rsidR="00087921" w:rsidRPr="00D0101C">
        <w:rPr>
          <w:rtl/>
          <w:lang w:bidi="ar-EG"/>
        </w:rPr>
        <w:t xml:space="preserve">إضافة عمليات السبل البديلة لتسوية المنازعات إلى </w:t>
      </w:r>
      <w:r w:rsidR="00087921" w:rsidRPr="00D0101C">
        <w:rPr>
          <w:rFonts w:hint="cs"/>
          <w:rtl/>
          <w:lang w:bidi="ar-EG"/>
        </w:rPr>
        <w:t>عملياتها</w:t>
      </w:r>
      <w:r w:rsidR="00087921" w:rsidRPr="00D0101C">
        <w:rPr>
          <w:rtl/>
          <w:lang w:bidi="ar-EG"/>
        </w:rPr>
        <w:t xml:space="preserve"> الحالية.</w:t>
      </w:r>
      <w:r w:rsidR="00087921" w:rsidRPr="00D0101C">
        <w:rPr>
          <w:rFonts w:hint="cs"/>
          <w:rtl/>
          <w:lang w:bidi="ar-EG"/>
        </w:rPr>
        <w:t xml:space="preserve"> ويشمل الدليل لمحة عن تعاون الم</w:t>
      </w:r>
      <w:r w:rsidR="00991D77" w:rsidRPr="00D0101C">
        <w:rPr>
          <w:rFonts w:hint="cs"/>
          <w:rtl/>
          <w:lang w:bidi="ar-EG"/>
        </w:rPr>
        <w:t>ركز مع مكاتب الملكية الفكرية و</w:t>
      </w:r>
      <w:r w:rsidR="00983915" w:rsidRPr="00D0101C">
        <w:rPr>
          <w:rFonts w:hint="cs"/>
          <w:rtl/>
          <w:lang w:bidi="ar-EG"/>
        </w:rPr>
        <w:t>ال</w:t>
      </w:r>
      <w:r w:rsidR="00991D77" w:rsidRPr="00D0101C">
        <w:rPr>
          <w:rFonts w:hint="cs"/>
          <w:rtl/>
          <w:lang w:bidi="ar-EG"/>
        </w:rPr>
        <w:t xml:space="preserve">وثائق </w:t>
      </w:r>
      <w:r w:rsidR="00983915" w:rsidRPr="00D0101C">
        <w:rPr>
          <w:rFonts w:hint="cs"/>
          <w:rtl/>
          <w:lang w:bidi="ar-EG"/>
        </w:rPr>
        <w:t>ال</w:t>
      </w:r>
      <w:r w:rsidR="00991D77" w:rsidRPr="00D0101C">
        <w:rPr>
          <w:rFonts w:hint="cs"/>
          <w:rtl/>
          <w:lang w:bidi="ar-EG"/>
        </w:rPr>
        <w:t xml:space="preserve">نموذجية ذات </w:t>
      </w:r>
      <w:r w:rsidR="00983915" w:rsidRPr="00D0101C">
        <w:rPr>
          <w:rFonts w:hint="cs"/>
          <w:rtl/>
          <w:lang w:bidi="ar-EG"/>
        </w:rPr>
        <w:t>ال</w:t>
      </w:r>
      <w:r w:rsidR="00087921" w:rsidRPr="00D0101C">
        <w:rPr>
          <w:rFonts w:hint="cs"/>
          <w:rtl/>
          <w:lang w:bidi="ar-EG"/>
        </w:rPr>
        <w:t>صلة.</w:t>
      </w:r>
    </w:p>
    <w:p w:rsidR="00F33ADE" w:rsidRPr="00D0101C" w:rsidRDefault="00F33ADE" w:rsidP="00F33ADE">
      <w:pPr>
        <w:pStyle w:val="NormalParaAR"/>
        <w:ind w:left="567"/>
      </w:pPr>
      <w:r w:rsidRPr="00D0101C">
        <w:rPr>
          <w:rFonts w:hint="cs"/>
          <w:rtl/>
        </w:rPr>
        <w:t>(ب)</w:t>
      </w:r>
      <w:r w:rsidRPr="00D0101C">
        <w:rPr>
          <w:rFonts w:hint="cs"/>
          <w:rtl/>
        </w:rPr>
        <w:tab/>
      </w:r>
      <w:r w:rsidRPr="00D0101C">
        <w:rPr>
          <w:u w:val="single"/>
          <w:rtl/>
        </w:rPr>
        <w:t>تسوية المنازعات المتعلقة بالبحث والتطوير</w:t>
      </w:r>
    </w:p>
    <w:p w:rsidR="00763232" w:rsidRPr="00D0101C" w:rsidRDefault="00306C70" w:rsidP="00BD630C">
      <w:pPr>
        <w:pStyle w:val="NumberedParaAR"/>
      </w:pPr>
      <w:r w:rsidRPr="00D0101C">
        <w:rPr>
          <w:rFonts w:hint="cs"/>
          <w:rtl/>
        </w:rPr>
        <w:t xml:space="preserve">بعد التزام </w:t>
      </w:r>
      <w:r w:rsidR="00484FBF" w:rsidRPr="00D0101C">
        <w:rPr>
          <w:rFonts w:hint="cs"/>
          <w:rtl/>
        </w:rPr>
        <w:t>مسبق</w:t>
      </w:r>
      <w:r w:rsidRPr="00D0101C">
        <w:rPr>
          <w:rFonts w:hint="cs"/>
          <w:rtl/>
        </w:rPr>
        <w:t xml:space="preserve"> مع</w:t>
      </w:r>
      <w:r w:rsidRPr="00D0101C">
        <w:rPr>
          <w:rtl/>
        </w:rPr>
        <w:t xml:space="preserve"> </w:t>
      </w:r>
      <w:r w:rsidRPr="00D0101C">
        <w:rPr>
          <w:rFonts w:hint="cs"/>
          <w:rtl/>
        </w:rPr>
        <w:t>أصحاب المصالح الأو</w:t>
      </w:r>
      <w:r w:rsidR="00484FBF" w:rsidRPr="00D0101C">
        <w:rPr>
          <w:rFonts w:hint="cs"/>
          <w:rtl/>
        </w:rPr>
        <w:t>روبيين المعنيين بالبحث والتطوير</w:t>
      </w:r>
      <w:r w:rsidRPr="00D0101C">
        <w:rPr>
          <w:rStyle w:val="FootnoteReference"/>
          <w:rtl/>
        </w:rPr>
        <w:footnoteReference w:id="9"/>
      </w:r>
      <w:r w:rsidRPr="00D0101C">
        <w:rPr>
          <w:rFonts w:hint="cs"/>
          <w:rtl/>
        </w:rPr>
        <w:t xml:space="preserve"> </w:t>
      </w:r>
      <w:r w:rsidR="00484FBF" w:rsidRPr="00D0101C">
        <w:rPr>
          <w:rFonts w:hint="cs"/>
          <w:rtl/>
        </w:rPr>
        <w:t>ومؤسسات ألمانية</w:t>
      </w:r>
      <w:r w:rsidRPr="00D0101C">
        <w:rPr>
          <w:rStyle w:val="FootnoteReference"/>
          <w:rtl/>
        </w:rPr>
        <w:footnoteReference w:id="10"/>
      </w:r>
      <w:r w:rsidRPr="00D0101C">
        <w:rPr>
          <w:rFonts w:hint="cs"/>
          <w:rtl/>
        </w:rPr>
        <w:t xml:space="preserve"> وكيانات</w:t>
      </w:r>
      <w:r w:rsidRPr="00D0101C">
        <w:rPr>
          <w:rtl/>
        </w:rPr>
        <w:t xml:space="preserve"> نمساوية</w:t>
      </w:r>
      <w:r w:rsidRPr="00D0101C">
        <w:rPr>
          <w:rFonts w:hint="cs"/>
          <w:rtl/>
        </w:rPr>
        <w:t>،</w:t>
      </w:r>
      <w:r w:rsidRPr="00D0101C">
        <w:rPr>
          <w:rStyle w:val="FootnoteReference"/>
          <w:rtl/>
        </w:rPr>
        <w:footnoteReference w:id="11"/>
      </w:r>
      <w:r w:rsidRPr="00D0101C">
        <w:rPr>
          <w:rtl/>
        </w:rPr>
        <w:t xml:space="preserve"> </w:t>
      </w:r>
      <w:r w:rsidRPr="00D0101C">
        <w:rPr>
          <w:rFonts w:hint="cs"/>
          <w:rtl/>
        </w:rPr>
        <w:t xml:space="preserve">واصل </w:t>
      </w:r>
      <w:r w:rsidR="00BD630C" w:rsidRPr="00D0101C">
        <w:rPr>
          <w:rFonts w:hint="cs"/>
          <w:rtl/>
        </w:rPr>
        <w:t>ال</w:t>
      </w:r>
      <w:r w:rsidRPr="00D0101C">
        <w:rPr>
          <w:rFonts w:hint="cs"/>
          <w:rtl/>
        </w:rPr>
        <w:t xml:space="preserve">مركز توفير المساعدة </w:t>
      </w:r>
      <w:r w:rsidRPr="00D0101C">
        <w:rPr>
          <w:rtl/>
        </w:rPr>
        <w:t xml:space="preserve">في </w:t>
      </w:r>
      <w:r w:rsidRPr="00D0101C">
        <w:rPr>
          <w:rFonts w:hint="cs"/>
          <w:rtl/>
        </w:rPr>
        <w:t>وضع</w:t>
      </w:r>
      <w:r w:rsidRPr="00D0101C">
        <w:rPr>
          <w:rtl/>
        </w:rPr>
        <w:t xml:space="preserve"> اتفاقات نموذجية تسعى إلى تيسير النقل الفعال للمعرفة والتكنولوجيا. ويشمل</w:t>
      </w:r>
      <w:r w:rsidR="00204F04" w:rsidRPr="00D0101C">
        <w:rPr>
          <w:rFonts w:hint="cs"/>
          <w:rtl/>
        </w:rPr>
        <w:t xml:space="preserve"> </w:t>
      </w:r>
      <w:r w:rsidR="00204F04" w:rsidRPr="00D0101C">
        <w:rPr>
          <w:rtl/>
        </w:rPr>
        <w:t>هذا</w:t>
      </w:r>
      <w:r w:rsidRPr="00D0101C">
        <w:rPr>
          <w:rtl/>
        </w:rPr>
        <w:t xml:space="preserve"> </w:t>
      </w:r>
      <w:r w:rsidRPr="00D0101C">
        <w:rPr>
          <w:rFonts w:hint="cs"/>
          <w:rtl/>
        </w:rPr>
        <w:t xml:space="preserve">مزيدا من </w:t>
      </w:r>
      <w:r w:rsidRPr="00D0101C">
        <w:rPr>
          <w:rtl/>
        </w:rPr>
        <w:t xml:space="preserve">التعاون مع </w:t>
      </w:r>
      <w:r w:rsidRPr="00D0101C">
        <w:rPr>
          <w:rFonts w:hint="cs"/>
          <w:rtl/>
        </w:rPr>
        <w:t xml:space="preserve">المكتب </w:t>
      </w:r>
      <w:r w:rsidRPr="00D0101C">
        <w:rPr>
          <w:rtl/>
        </w:rPr>
        <w:t>ال</w:t>
      </w:r>
      <w:r w:rsidRPr="00D0101C">
        <w:rPr>
          <w:rFonts w:hint="cs"/>
          <w:rtl/>
        </w:rPr>
        <w:t>إ</w:t>
      </w:r>
      <w:r w:rsidRPr="00D0101C">
        <w:rPr>
          <w:rtl/>
        </w:rPr>
        <w:t>سباني للبراءات والعلامات التجارية (</w:t>
      </w:r>
      <w:r w:rsidRPr="00D0101C">
        <w:t>OEPM</w:t>
      </w:r>
      <w:r w:rsidRPr="00D0101C">
        <w:rPr>
          <w:rtl/>
        </w:rPr>
        <w:t xml:space="preserve">) في </w:t>
      </w:r>
      <w:r w:rsidRPr="00D0101C">
        <w:rPr>
          <w:rFonts w:hint="cs"/>
          <w:rtl/>
        </w:rPr>
        <w:t xml:space="preserve">وضع </w:t>
      </w:r>
      <w:r w:rsidRPr="00D0101C">
        <w:rPr>
          <w:rtl/>
        </w:rPr>
        <w:t xml:space="preserve">اتفاقات نموذجية </w:t>
      </w:r>
      <w:r w:rsidRPr="00D0101C">
        <w:rPr>
          <w:rFonts w:hint="cs"/>
          <w:rtl/>
        </w:rPr>
        <w:t xml:space="preserve">للبحث والتطوير </w:t>
      </w:r>
      <w:r w:rsidRPr="00D0101C">
        <w:rPr>
          <w:rtl/>
        </w:rPr>
        <w:t>ت</w:t>
      </w:r>
      <w:r w:rsidRPr="00D0101C">
        <w:rPr>
          <w:rFonts w:hint="cs"/>
          <w:rtl/>
        </w:rPr>
        <w:t>ُ</w:t>
      </w:r>
      <w:r w:rsidRPr="00D0101C">
        <w:rPr>
          <w:rtl/>
        </w:rPr>
        <w:t>قد</w:t>
      </w:r>
      <w:r w:rsidRPr="00D0101C">
        <w:rPr>
          <w:rFonts w:hint="cs"/>
          <w:rtl/>
        </w:rPr>
        <w:t>ِّ</w:t>
      </w:r>
      <w:r w:rsidRPr="00D0101C">
        <w:rPr>
          <w:rtl/>
        </w:rPr>
        <w:t>م خيار</w:t>
      </w:r>
      <w:r w:rsidRPr="00D0101C">
        <w:rPr>
          <w:rFonts w:hint="cs"/>
          <w:rtl/>
        </w:rPr>
        <w:t>ي وساطة الويبو وتحكيم الويبو المعجل وأدلة المستخدم ذات الصلة أيضا</w:t>
      </w:r>
      <w:r w:rsidR="00204F04" w:rsidRPr="00D0101C">
        <w:rPr>
          <w:rFonts w:hint="cs"/>
          <w:rtl/>
        </w:rPr>
        <w:t>.</w:t>
      </w:r>
      <w:r w:rsidR="00204F04" w:rsidRPr="00D0101C">
        <w:rPr>
          <w:rStyle w:val="FootnoteReference"/>
          <w:rtl/>
        </w:rPr>
        <w:footnoteReference w:id="12"/>
      </w:r>
      <w:r w:rsidR="009D10D3" w:rsidRPr="00D0101C">
        <w:rPr>
          <w:rFonts w:hint="cs"/>
          <w:rtl/>
        </w:rPr>
        <w:t xml:space="preserve"> وفي الفترة عينها، أصدرت وزارة الاقتصاد والطاقة الاتحادية في ألمانيا نسخة محدّثة من منشورها المعنون "الاتفاقات النموذجية للتعاون في مجال البحث والتطوير </w:t>
      </w:r>
      <w:r w:rsidR="009D10D3" w:rsidRPr="00D0101C">
        <w:rPr>
          <w:rtl/>
        </w:rPr>
        <w:t>–</w:t>
      </w:r>
      <w:r w:rsidR="009D10D3" w:rsidRPr="00D0101C">
        <w:rPr>
          <w:rFonts w:hint="cs"/>
          <w:rtl/>
        </w:rPr>
        <w:t xml:space="preserve"> المبادئ التوجيهية للتعاون بي</w:t>
      </w:r>
      <w:r w:rsidR="00BD630C" w:rsidRPr="00D0101C">
        <w:rPr>
          <w:rFonts w:hint="cs"/>
          <w:rtl/>
        </w:rPr>
        <w:t>ن الجامعات وقطاع الصناعة" الذي أ</w:t>
      </w:r>
      <w:r w:rsidR="009D10D3" w:rsidRPr="00D0101C">
        <w:rPr>
          <w:rFonts w:hint="cs"/>
          <w:rtl/>
        </w:rPr>
        <w:t xml:space="preserve">وصي </w:t>
      </w:r>
      <w:r w:rsidR="00763232" w:rsidRPr="00D0101C">
        <w:rPr>
          <w:rFonts w:hint="cs"/>
          <w:rtl/>
        </w:rPr>
        <w:t xml:space="preserve">بوساطة الويبو وباللجوء إلى تحكيمها في حال عدم التوصل إلى تسوية. </w:t>
      </w:r>
    </w:p>
    <w:p w:rsidR="00B74961" w:rsidRPr="00D0101C" w:rsidRDefault="00583220" w:rsidP="00A95460">
      <w:pPr>
        <w:pStyle w:val="NumberedParaAR"/>
      </w:pPr>
      <w:r w:rsidRPr="00D0101C">
        <w:rPr>
          <w:rFonts w:hint="cs"/>
          <w:rtl/>
        </w:rPr>
        <w:t xml:space="preserve">وفي أواخر عام 2016، بدأ </w:t>
      </w:r>
      <w:r w:rsidRPr="00D0101C">
        <w:rPr>
          <w:rtl/>
        </w:rPr>
        <w:t>برنامج الويبو بشأن مراكز دعم التكنولوجيا والابتكار</w:t>
      </w:r>
      <w:r w:rsidRPr="00D0101C">
        <w:rPr>
          <w:rFonts w:hint="cs"/>
          <w:rtl/>
        </w:rPr>
        <w:t xml:space="preserve"> والمركز تعاونهما من أجل إيصال المعلومات الإجرائية والعملية عن خدمات السبل البديلة لتسوية المنازعات </w:t>
      </w:r>
      <w:r w:rsidR="009B57EF" w:rsidRPr="00D0101C">
        <w:rPr>
          <w:rFonts w:hint="cs"/>
          <w:rtl/>
        </w:rPr>
        <w:t xml:space="preserve">إلى المبتكرين في البلدان النامية. وفي منتصف </w:t>
      </w:r>
      <w:r w:rsidR="009B57EF" w:rsidRPr="00D0101C">
        <w:rPr>
          <w:rFonts w:hint="cs"/>
          <w:rtl/>
        </w:rPr>
        <w:lastRenderedPageBreak/>
        <w:t>عام</w:t>
      </w:r>
      <w:r w:rsidR="00A95460" w:rsidRPr="00D0101C">
        <w:rPr>
          <w:rFonts w:hint="eastAsia"/>
          <w:rtl/>
        </w:rPr>
        <w:t> </w:t>
      </w:r>
      <w:r w:rsidR="009B57EF" w:rsidRPr="00D0101C">
        <w:rPr>
          <w:rFonts w:hint="cs"/>
          <w:rtl/>
        </w:rPr>
        <w:t xml:space="preserve">2017، </w:t>
      </w:r>
      <w:r w:rsidR="002133F2" w:rsidRPr="00D0101C">
        <w:rPr>
          <w:rFonts w:hint="cs"/>
          <w:rtl/>
        </w:rPr>
        <w:t xml:space="preserve">بدأ </w:t>
      </w:r>
      <w:r w:rsidR="002133F2" w:rsidRPr="00D0101C">
        <w:rPr>
          <w:rtl/>
        </w:rPr>
        <w:t>الاتحاد الدولي لرابطات المخترعين (</w:t>
      </w:r>
      <w:r w:rsidR="002133F2" w:rsidRPr="00D0101C">
        <w:t>IFIA</w:t>
      </w:r>
      <w:r w:rsidR="002133F2" w:rsidRPr="00D0101C">
        <w:rPr>
          <w:rtl/>
        </w:rPr>
        <w:t>)</w:t>
      </w:r>
      <w:r w:rsidR="00CE641D" w:rsidRPr="00D0101C">
        <w:rPr>
          <w:rFonts w:hint="cs"/>
          <w:rtl/>
        </w:rPr>
        <w:t xml:space="preserve"> </w:t>
      </w:r>
      <w:r w:rsidR="00BA1BAD" w:rsidRPr="00D0101C">
        <w:rPr>
          <w:rFonts w:hint="cs"/>
          <w:rtl/>
        </w:rPr>
        <w:t>إعلام أعضائه بخيارات الويبو البديلة لتسوية المنازعات من أجل تسوية المنازعات التي تنجم عن علاقات التعاون القائمة مع أطراف أخرى.</w:t>
      </w:r>
      <w:r w:rsidR="00BA1BAD" w:rsidRPr="00D0101C">
        <w:rPr>
          <w:rStyle w:val="FootnoteReference"/>
          <w:rtl/>
        </w:rPr>
        <w:footnoteReference w:id="13"/>
      </w:r>
    </w:p>
    <w:p w:rsidR="0091347B" w:rsidRPr="00D0101C" w:rsidRDefault="0091347B" w:rsidP="0091347B">
      <w:pPr>
        <w:pStyle w:val="NumberedParaAR"/>
        <w:keepNext/>
        <w:numPr>
          <w:ilvl w:val="0"/>
          <w:numId w:val="0"/>
        </w:numPr>
        <w:ind w:firstLine="567"/>
      </w:pPr>
      <w:r w:rsidRPr="00D0101C">
        <w:rPr>
          <w:rFonts w:hint="cs"/>
          <w:rtl/>
        </w:rPr>
        <w:t>(ج)</w:t>
      </w:r>
      <w:r w:rsidRPr="00D0101C">
        <w:rPr>
          <w:rFonts w:hint="cs"/>
          <w:rtl/>
        </w:rPr>
        <w:tab/>
      </w:r>
      <w:r w:rsidRPr="00D0101C">
        <w:rPr>
          <w:u w:val="single"/>
          <w:rtl/>
        </w:rPr>
        <w:t>تسوية المنازعات المتعلقة بعقود الامتياز</w:t>
      </w:r>
      <w:r w:rsidRPr="00D0101C">
        <w:rPr>
          <w:rFonts w:hint="cs"/>
          <w:rtl/>
        </w:rPr>
        <w:t xml:space="preserve"> </w:t>
      </w:r>
    </w:p>
    <w:p w:rsidR="00101314" w:rsidRPr="00D0101C" w:rsidRDefault="00101314" w:rsidP="00542BF9">
      <w:pPr>
        <w:pStyle w:val="NumberedParaAR"/>
      </w:pPr>
      <w:r w:rsidRPr="00D0101C">
        <w:rPr>
          <w:rtl/>
        </w:rPr>
        <w:t>كجزء من خدمات السبل البديلة لتسوية المنازعات التي تقدمها الويبو إلى قطاعات معينة</w:t>
      </w:r>
      <w:r w:rsidRPr="00D0101C">
        <w:rPr>
          <w:rFonts w:hint="cs"/>
          <w:rtl/>
        </w:rPr>
        <w:t xml:space="preserve"> ونظرا</w:t>
      </w:r>
      <w:r w:rsidRPr="00D0101C">
        <w:rPr>
          <w:rFonts w:hint="cs"/>
          <w:rtl/>
          <w:lang w:bidi="ar-EG"/>
        </w:rPr>
        <w:t xml:space="preserve"> لعدد القضايا المتزايد المتعلق بالمنازعات في مجال عقود الامتياز واتفاقات التوزيع</w:t>
      </w:r>
      <w:r w:rsidRPr="00D0101C">
        <w:rPr>
          <w:rtl/>
        </w:rPr>
        <w:t xml:space="preserve">، يوفر </w:t>
      </w:r>
      <w:r w:rsidR="00542BF9" w:rsidRPr="00D0101C">
        <w:rPr>
          <w:rFonts w:hint="cs"/>
          <w:rtl/>
        </w:rPr>
        <w:t>ال</w:t>
      </w:r>
      <w:r w:rsidRPr="00D0101C">
        <w:rPr>
          <w:rtl/>
        </w:rPr>
        <w:t xml:space="preserve">مركز خدمات الإرشاد </w:t>
      </w:r>
      <w:r w:rsidRPr="00D0101C">
        <w:rPr>
          <w:rFonts w:hint="cs"/>
          <w:rtl/>
        </w:rPr>
        <w:t xml:space="preserve">المصممة خصيصا </w:t>
      </w:r>
      <w:r w:rsidRPr="00D0101C">
        <w:rPr>
          <w:rtl/>
        </w:rPr>
        <w:t xml:space="preserve">وإدارة القضايا لمساعدة الأطراف على تسوية </w:t>
      </w:r>
      <w:r w:rsidRPr="00D0101C">
        <w:rPr>
          <w:rFonts w:hint="cs"/>
          <w:rtl/>
        </w:rPr>
        <w:t>هذه ال</w:t>
      </w:r>
      <w:r w:rsidRPr="00D0101C">
        <w:rPr>
          <w:rtl/>
        </w:rPr>
        <w:t xml:space="preserve">منازعات. وتجدر الإشارة في هذا الصدد إلى أن </w:t>
      </w:r>
      <w:r w:rsidRPr="00D0101C">
        <w:rPr>
          <w:rFonts w:hint="cs"/>
          <w:rtl/>
        </w:rPr>
        <w:t xml:space="preserve">مركز الويبو يتعاون مع </w:t>
      </w:r>
      <w:r w:rsidR="006873F2" w:rsidRPr="00D0101C">
        <w:rPr>
          <w:rFonts w:hint="cs"/>
          <w:rtl/>
        </w:rPr>
        <w:t>ال</w:t>
      </w:r>
      <w:r w:rsidR="006873F2" w:rsidRPr="00D0101C">
        <w:rPr>
          <w:rtl/>
        </w:rPr>
        <w:t>جمعي</w:t>
      </w:r>
      <w:r w:rsidR="006873F2" w:rsidRPr="00D0101C">
        <w:rPr>
          <w:rFonts w:hint="cs"/>
          <w:rtl/>
        </w:rPr>
        <w:t>ة البرازيلية</w:t>
      </w:r>
      <w:r w:rsidR="006873F2" w:rsidRPr="00D0101C">
        <w:rPr>
          <w:rtl/>
        </w:rPr>
        <w:t xml:space="preserve"> </w:t>
      </w:r>
      <w:r w:rsidR="006873F2" w:rsidRPr="00D0101C">
        <w:rPr>
          <w:rFonts w:hint="cs"/>
          <w:rtl/>
        </w:rPr>
        <w:t>ل</w:t>
      </w:r>
      <w:r w:rsidR="006873F2" w:rsidRPr="00D0101C">
        <w:rPr>
          <w:rtl/>
        </w:rPr>
        <w:t>لامتياز (</w:t>
      </w:r>
      <w:r w:rsidR="006873F2" w:rsidRPr="00D0101C">
        <w:t>ABF</w:t>
      </w:r>
      <w:r w:rsidR="006873F2" w:rsidRPr="00D0101C">
        <w:rPr>
          <w:rtl/>
        </w:rPr>
        <w:t xml:space="preserve">) </w:t>
      </w:r>
      <w:r w:rsidR="006873F2" w:rsidRPr="00D0101C">
        <w:rPr>
          <w:rFonts w:hint="cs"/>
          <w:rtl/>
        </w:rPr>
        <w:t>و</w:t>
      </w:r>
      <w:r w:rsidRPr="00D0101C">
        <w:rPr>
          <w:rFonts w:hint="cs"/>
          <w:rtl/>
        </w:rPr>
        <w:t>جمعية</w:t>
      </w:r>
      <w:r w:rsidRPr="00D0101C">
        <w:rPr>
          <w:rtl/>
        </w:rPr>
        <w:t xml:space="preserve"> الامتياز والترخيص (</w:t>
      </w:r>
      <w:r w:rsidRPr="00D0101C">
        <w:t>FLA</w:t>
      </w:r>
      <w:r w:rsidRPr="00D0101C">
        <w:rPr>
          <w:rtl/>
        </w:rPr>
        <w:t xml:space="preserve">) في سنغافورة </w:t>
      </w:r>
      <w:r w:rsidR="006873F2" w:rsidRPr="00D0101C">
        <w:rPr>
          <w:rtl/>
        </w:rPr>
        <w:t>و</w:t>
      </w:r>
      <w:r w:rsidR="006873F2" w:rsidRPr="00D0101C">
        <w:rPr>
          <w:rFonts w:hint="cs"/>
          <w:rtl/>
        </w:rPr>
        <w:t>الجمعية الإسبانية لأصحاب حق الامتياز (</w:t>
      </w:r>
      <w:r w:rsidR="006873F2" w:rsidRPr="00D0101C">
        <w:t>AEF</w:t>
      </w:r>
      <w:r w:rsidR="006873F2" w:rsidRPr="00D0101C">
        <w:rPr>
          <w:rFonts w:hint="cs"/>
          <w:rtl/>
        </w:rPr>
        <w:t xml:space="preserve">) </w:t>
      </w:r>
      <w:r w:rsidRPr="00D0101C">
        <w:rPr>
          <w:rFonts w:hint="cs"/>
          <w:rtl/>
        </w:rPr>
        <w:t>وجمعية الامتياز السويسرية (</w:t>
      </w:r>
      <w:r w:rsidRPr="00D0101C">
        <w:rPr>
          <w:lang w:val="fr-FR"/>
        </w:rPr>
        <w:t>SFA</w:t>
      </w:r>
      <w:r w:rsidRPr="00D0101C">
        <w:rPr>
          <w:rFonts w:hint="cs"/>
          <w:rtl/>
          <w:lang w:bidi="ar-EG"/>
        </w:rPr>
        <w:t>)</w:t>
      </w:r>
      <w:r w:rsidRPr="00D0101C">
        <w:rPr>
          <w:rFonts w:hint="cs"/>
          <w:rtl/>
        </w:rPr>
        <w:t xml:space="preserve"> ل</w:t>
      </w:r>
      <w:r w:rsidRPr="00D0101C">
        <w:rPr>
          <w:rtl/>
        </w:rPr>
        <w:t>لتوعية بخيارات السبل البديلة لتسوية المنازعات المتاحة لأصحاب المصلحة.</w:t>
      </w:r>
    </w:p>
    <w:p w:rsidR="00CC461B" w:rsidRPr="00D0101C" w:rsidRDefault="00CC461B" w:rsidP="00CC461B">
      <w:pPr>
        <w:pStyle w:val="Heading1"/>
        <w:rPr>
          <w:rtl/>
        </w:rPr>
      </w:pPr>
      <w:r w:rsidRPr="00D0101C">
        <w:rPr>
          <w:rtl/>
        </w:rPr>
        <w:t>ثانياً.</w:t>
      </w:r>
      <w:r w:rsidRPr="00D0101C">
        <w:rPr>
          <w:rtl/>
        </w:rPr>
        <w:tab/>
        <w:t>إدارة قضايا أسماء الحقول</w:t>
      </w:r>
    </w:p>
    <w:p w:rsidR="00CC461B" w:rsidRPr="00D0101C" w:rsidRDefault="00CC461B" w:rsidP="00CC461B">
      <w:pPr>
        <w:rPr>
          <w:rtl/>
        </w:rPr>
      </w:pPr>
    </w:p>
    <w:p w:rsidR="00CF3BD5" w:rsidRPr="00D0101C" w:rsidRDefault="00CC461B" w:rsidP="00F31D69">
      <w:pPr>
        <w:pStyle w:val="NormalParaAR"/>
        <w:keepNext/>
        <w:rPr>
          <w:sz w:val="40"/>
          <w:szCs w:val="40"/>
        </w:rPr>
      </w:pPr>
      <w:r w:rsidRPr="00D0101C">
        <w:rPr>
          <w:sz w:val="40"/>
          <w:szCs w:val="40"/>
          <w:rtl/>
        </w:rPr>
        <w:t>ألف.</w:t>
      </w:r>
      <w:r w:rsidRPr="00D0101C">
        <w:rPr>
          <w:sz w:val="40"/>
          <w:szCs w:val="40"/>
          <w:rtl/>
        </w:rPr>
        <w:tab/>
        <w:t>السياسة الموحدة لتسوية المنازعات</w:t>
      </w:r>
    </w:p>
    <w:p w:rsidR="00002BE5" w:rsidRPr="00D0101C" w:rsidRDefault="00001957" w:rsidP="00BC4DC2">
      <w:pPr>
        <w:pStyle w:val="NumberedParaAR"/>
      </w:pPr>
      <w:r w:rsidRPr="00D0101C">
        <w:rPr>
          <w:rtl/>
        </w:rPr>
        <w:t>يطرح نظام أ</w:t>
      </w:r>
      <w:r w:rsidR="00ED0886" w:rsidRPr="00D0101C">
        <w:rPr>
          <w:rtl/>
        </w:rPr>
        <w:t xml:space="preserve">سماء الحقول عدداً من التحديات </w:t>
      </w:r>
      <w:r w:rsidR="00ED0886" w:rsidRPr="00D0101C">
        <w:rPr>
          <w:rFonts w:hint="cs"/>
          <w:rtl/>
        </w:rPr>
        <w:t>أمام ح</w:t>
      </w:r>
      <w:r w:rsidRPr="00D0101C">
        <w:rPr>
          <w:rtl/>
        </w:rPr>
        <w:t>ماية الملكية الفكرية التي تقتضي اتباع مقاربة دولية لما للإنترنت من طابع عالمي. وقد دأبت الويبو على مواجهة هذه التحديات منذ عام 1998 عبر وضع حلول محددة، لا سيما في مشروعيها الأول</w:t>
      </w:r>
      <w:r w:rsidRPr="00D0101C">
        <w:rPr>
          <w:rStyle w:val="FootnoteReference"/>
          <w:rtl/>
        </w:rPr>
        <w:footnoteReference w:id="14"/>
      </w:r>
      <w:r w:rsidRPr="00D0101C">
        <w:rPr>
          <w:rtl/>
        </w:rPr>
        <w:t xml:space="preserve"> والثاني</w:t>
      </w:r>
      <w:r w:rsidRPr="00D0101C">
        <w:rPr>
          <w:rStyle w:val="FootnoteReference"/>
          <w:rtl/>
        </w:rPr>
        <w:footnoteReference w:id="15"/>
      </w:r>
      <w:r w:rsidRPr="00D0101C">
        <w:rPr>
          <w:rtl/>
        </w:rPr>
        <w:t xml:space="preserve"> بشأن أسماء الحقول على الإنترنت. و</w:t>
      </w:r>
      <w:r w:rsidR="002F4581" w:rsidRPr="00D0101C">
        <w:rPr>
          <w:rFonts w:hint="cs"/>
          <w:rtl/>
        </w:rPr>
        <w:t xml:space="preserve">من خلال </w:t>
      </w:r>
      <w:r w:rsidR="00BC4DC2" w:rsidRPr="00D0101C">
        <w:rPr>
          <w:rFonts w:hint="cs"/>
          <w:rtl/>
        </w:rPr>
        <w:t>المركز</w:t>
      </w:r>
      <w:r w:rsidR="002F4581" w:rsidRPr="00D0101C">
        <w:rPr>
          <w:rFonts w:hint="cs"/>
          <w:rtl/>
        </w:rPr>
        <w:t>، تقد</w:t>
      </w:r>
      <w:r w:rsidRPr="00D0101C">
        <w:rPr>
          <w:rFonts w:hint="cs"/>
          <w:rtl/>
        </w:rPr>
        <w:t xml:space="preserve">ِم الويبو </w:t>
      </w:r>
      <w:r w:rsidRPr="00D0101C">
        <w:rPr>
          <w:rtl/>
        </w:rPr>
        <w:t>لأصحاب العلامات التجارية آلي</w:t>
      </w:r>
      <w:r w:rsidRPr="00D0101C">
        <w:rPr>
          <w:rFonts w:hint="cs"/>
          <w:rtl/>
        </w:rPr>
        <w:t>ات</w:t>
      </w:r>
      <w:r w:rsidRPr="00D0101C">
        <w:rPr>
          <w:rtl/>
        </w:rPr>
        <w:t xml:space="preserve"> دولية فعالة للانتصاف م</w:t>
      </w:r>
      <w:r w:rsidRPr="00D0101C">
        <w:rPr>
          <w:rFonts w:hint="cs"/>
          <w:rtl/>
        </w:rPr>
        <w:t>ِ</w:t>
      </w:r>
      <w:r w:rsidRPr="00D0101C">
        <w:rPr>
          <w:rtl/>
        </w:rPr>
        <w:t>م</w:t>
      </w:r>
      <w:r w:rsidRPr="00D0101C">
        <w:rPr>
          <w:rFonts w:hint="cs"/>
          <w:rtl/>
        </w:rPr>
        <w:t>َّ</w:t>
      </w:r>
      <w:r w:rsidRPr="00D0101C">
        <w:rPr>
          <w:rtl/>
        </w:rPr>
        <w:t>ن</w:t>
      </w:r>
      <w:r w:rsidRPr="00D0101C">
        <w:rPr>
          <w:rFonts w:hint="cs"/>
          <w:rtl/>
        </w:rPr>
        <w:t>ْ</w:t>
      </w:r>
      <w:r w:rsidRPr="00D0101C">
        <w:rPr>
          <w:rtl/>
        </w:rPr>
        <w:t xml:space="preserve"> يعمد إلى تسجيل أسماء حقول تتطابق وحقوقَهم في العلامات التجارية والانتفاع بهذه الأسماء عن سوء نية.</w:t>
      </w:r>
      <w:r w:rsidRPr="00D0101C">
        <w:rPr>
          <w:rFonts w:hint="cs"/>
          <w:rtl/>
        </w:rPr>
        <w:t xml:space="preserve"> و</w:t>
      </w:r>
      <w:r w:rsidRPr="00D0101C">
        <w:rPr>
          <w:rtl/>
        </w:rPr>
        <w:t xml:space="preserve">الآلية الرئيسية التي يُشرف عليها </w:t>
      </w:r>
      <w:r w:rsidR="00BC4DC2" w:rsidRPr="00D0101C">
        <w:rPr>
          <w:rFonts w:hint="cs"/>
          <w:rtl/>
        </w:rPr>
        <w:t>ال</w:t>
      </w:r>
      <w:r w:rsidR="00BC4DC2" w:rsidRPr="00D0101C">
        <w:rPr>
          <w:rtl/>
        </w:rPr>
        <w:t>مركز</w:t>
      </w:r>
      <w:r w:rsidRPr="00D0101C">
        <w:rPr>
          <w:rFonts w:hint="cs"/>
          <w:rtl/>
        </w:rPr>
        <w:t>، ألا وه</w:t>
      </w:r>
      <w:r w:rsidR="00BC4DC2" w:rsidRPr="00D0101C">
        <w:rPr>
          <w:rFonts w:hint="cs"/>
          <w:rtl/>
        </w:rPr>
        <w:t>ي</w:t>
      </w:r>
      <w:r w:rsidRPr="00D0101C">
        <w:rPr>
          <w:rFonts w:hint="cs"/>
          <w:rtl/>
        </w:rPr>
        <w:t xml:space="preserve"> </w:t>
      </w:r>
      <w:r w:rsidRPr="00D0101C">
        <w:rPr>
          <w:rtl/>
        </w:rPr>
        <w:t>السياسة الموحدة لتسوية المنازعات</w:t>
      </w:r>
      <w:r w:rsidRPr="00D0101C">
        <w:rPr>
          <w:rFonts w:hint="cs"/>
          <w:rtl/>
        </w:rPr>
        <w:t xml:space="preserve">، اعتمدتها </w:t>
      </w:r>
      <w:proofErr w:type="spellStart"/>
      <w:r w:rsidRPr="00D0101C">
        <w:rPr>
          <w:rtl/>
        </w:rPr>
        <w:t>الإيكان</w:t>
      </w:r>
      <w:proofErr w:type="spellEnd"/>
      <w:r w:rsidRPr="00D0101C">
        <w:rPr>
          <w:rFonts w:hint="cs"/>
          <w:rtl/>
        </w:rPr>
        <w:t xml:space="preserve"> </w:t>
      </w:r>
      <w:r w:rsidRPr="00D0101C">
        <w:rPr>
          <w:rtl/>
        </w:rPr>
        <w:t>بناء على توصيات الويبو في إطار مشروعها الأول بشأن أسماء الحقول على الإنترنت.</w:t>
      </w:r>
      <w:r w:rsidR="00D62283" w:rsidRPr="00D0101C">
        <w:rPr>
          <w:rFonts w:hint="cs"/>
          <w:rtl/>
          <w:lang w:bidi="ar-EG"/>
        </w:rPr>
        <w:t xml:space="preserve"> </w:t>
      </w:r>
    </w:p>
    <w:p w:rsidR="001A5D0E" w:rsidRPr="00D0101C" w:rsidRDefault="00A3056F" w:rsidP="00436A45">
      <w:pPr>
        <w:pStyle w:val="NumberedParaAR"/>
      </w:pPr>
      <w:r w:rsidRPr="00D0101C">
        <w:rPr>
          <w:rFonts w:hint="cs"/>
          <w:rtl/>
          <w:lang w:bidi="ar-EG"/>
        </w:rPr>
        <w:t>وتبين أن الطلب مرتفع على السياسة الموحدة لتسوية المنازعات بين أصحاب العلامات التجارية.</w:t>
      </w:r>
      <w:r w:rsidRPr="00D0101C">
        <w:rPr>
          <w:rStyle w:val="FootnoteReference"/>
          <w:rtl/>
          <w:lang w:bidi="ar-EG"/>
        </w:rPr>
        <w:footnoteReference w:id="16"/>
      </w:r>
      <w:r w:rsidR="00D62283" w:rsidRPr="00D0101C">
        <w:rPr>
          <w:rFonts w:hint="cs"/>
          <w:rtl/>
          <w:lang w:bidi="ar-EG"/>
        </w:rPr>
        <w:t xml:space="preserve"> </w:t>
      </w:r>
      <w:r w:rsidR="00B826A5" w:rsidRPr="00D0101C">
        <w:rPr>
          <w:rtl/>
          <w:lang w:bidi="ar-EG"/>
        </w:rPr>
        <w:t>ومنذ ديسمبر</w:t>
      </w:r>
      <w:r w:rsidR="00660B3E" w:rsidRPr="00D0101C">
        <w:rPr>
          <w:rFonts w:hint="cs"/>
          <w:rtl/>
          <w:lang w:bidi="ar-EG"/>
        </w:rPr>
        <w:t> </w:t>
      </w:r>
      <w:r w:rsidR="00B826A5" w:rsidRPr="00D0101C">
        <w:rPr>
          <w:rtl/>
          <w:lang w:bidi="ar-EG"/>
        </w:rPr>
        <w:t xml:space="preserve">1999، أشرف </w:t>
      </w:r>
      <w:r w:rsidR="00C86516" w:rsidRPr="00D0101C">
        <w:rPr>
          <w:rFonts w:hint="cs"/>
          <w:rtl/>
          <w:lang w:bidi="ar-EG"/>
        </w:rPr>
        <w:t>ال</w:t>
      </w:r>
      <w:r w:rsidR="00B826A5" w:rsidRPr="00D0101C">
        <w:rPr>
          <w:rtl/>
          <w:lang w:bidi="ar-EG"/>
        </w:rPr>
        <w:t>مركز على نحو 000</w:t>
      </w:r>
      <w:r w:rsidR="00B826A5" w:rsidRPr="00D0101C">
        <w:rPr>
          <w:rFonts w:hint="cs"/>
          <w:rtl/>
          <w:lang w:bidi="ar-EG"/>
        </w:rPr>
        <w:t> </w:t>
      </w:r>
      <w:r w:rsidR="00B826A5" w:rsidRPr="00D0101C">
        <w:rPr>
          <w:rtl/>
          <w:lang w:bidi="ar-EG"/>
        </w:rPr>
        <w:t>3</w:t>
      </w:r>
      <w:r w:rsidR="00436A45" w:rsidRPr="00D0101C">
        <w:rPr>
          <w:rFonts w:hint="cs"/>
          <w:rtl/>
          <w:lang w:bidi="ar-EG"/>
        </w:rPr>
        <w:t>8</w:t>
      </w:r>
      <w:r w:rsidR="00B826A5" w:rsidRPr="00D0101C">
        <w:rPr>
          <w:rtl/>
          <w:lang w:bidi="ar-EG"/>
        </w:rPr>
        <w:t xml:space="preserve"> قضية قائمة على السياسة الموحدة لتسوية المنازعات.</w:t>
      </w:r>
      <w:r w:rsidR="001A5D0E" w:rsidRPr="00D0101C">
        <w:rPr>
          <w:rStyle w:val="FootnoteReference"/>
          <w:rtl/>
          <w:lang w:bidi="ar-EG"/>
        </w:rPr>
        <w:footnoteReference w:id="17"/>
      </w:r>
      <w:r w:rsidR="001A5D0E" w:rsidRPr="00D0101C">
        <w:rPr>
          <w:rFonts w:hint="cs"/>
          <w:rtl/>
          <w:lang w:bidi="ar-EG"/>
        </w:rPr>
        <w:t xml:space="preserve"> </w:t>
      </w:r>
      <w:r w:rsidR="00B826A5" w:rsidRPr="00D0101C">
        <w:rPr>
          <w:rtl/>
          <w:lang w:bidi="ar-EG"/>
        </w:rPr>
        <w:t>وفي عام 201</w:t>
      </w:r>
      <w:r w:rsidR="001A5D0E" w:rsidRPr="00D0101C">
        <w:rPr>
          <w:rFonts w:hint="cs"/>
          <w:rtl/>
          <w:lang w:bidi="ar-EG"/>
        </w:rPr>
        <w:t>6</w:t>
      </w:r>
      <w:r w:rsidR="00B826A5" w:rsidRPr="00D0101C">
        <w:rPr>
          <w:rtl/>
          <w:lang w:bidi="ar-EG"/>
        </w:rPr>
        <w:t xml:space="preserve">، قدَّم أصحاب العلامات التجارية إلى </w:t>
      </w:r>
      <w:r w:rsidR="00C86516" w:rsidRPr="00D0101C">
        <w:rPr>
          <w:rFonts w:hint="cs"/>
          <w:rtl/>
          <w:lang w:bidi="ar-EG"/>
        </w:rPr>
        <w:t>ال</w:t>
      </w:r>
      <w:r w:rsidR="00B826A5" w:rsidRPr="00D0101C">
        <w:rPr>
          <w:rtl/>
          <w:lang w:bidi="ar-EG"/>
        </w:rPr>
        <w:t xml:space="preserve">مركز </w:t>
      </w:r>
      <w:r w:rsidR="001A5D0E" w:rsidRPr="00D0101C">
        <w:rPr>
          <w:rFonts w:hint="cs"/>
          <w:rtl/>
          <w:lang w:bidi="ar-EG"/>
        </w:rPr>
        <w:t>036</w:t>
      </w:r>
      <w:r w:rsidR="00B826A5" w:rsidRPr="00D0101C">
        <w:rPr>
          <w:rFonts w:hint="cs"/>
          <w:rtl/>
          <w:lang w:bidi="ar-EG"/>
        </w:rPr>
        <w:t> </w:t>
      </w:r>
      <w:r w:rsidR="001A5D0E" w:rsidRPr="00D0101C">
        <w:rPr>
          <w:rFonts w:hint="cs"/>
          <w:rtl/>
          <w:lang w:bidi="ar-EG"/>
        </w:rPr>
        <w:t>3</w:t>
      </w:r>
      <w:r w:rsidR="00B826A5" w:rsidRPr="00D0101C">
        <w:rPr>
          <w:rtl/>
          <w:lang w:bidi="ar-EG"/>
        </w:rPr>
        <w:t xml:space="preserve"> شكوى قائمة على السياسة الموحدة لتسوية المنازعات، أي بزيادة قدرها</w:t>
      </w:r>
      <w:r w:rsidR="00436A45" w:rsidRPr="00D0101C">
        <w:rPr>
          <w:rFonts w:hint="cs"/>
          <w:rtl/>
          <w:lang w:bidi="ar-EG"/>
        </w:rPr>
        <w:t> </w:t>
      </w:r>
      <w:r w:rsidR="001A5D0E" w:rsidRPr="00D0101C">
        <w:rPr>
          <w:rFonts w:hint="cs"/>
          <w:rtl/>
          <w:lang w:bidi="ar-EG"/>
        </w:rPr>
        <w:t>10</w:t>
      </w:r>
      <w:r w:rsidR="00660B3E" w:rsidRPr="00D0101C">
        <w:rPr>
          <w:rFonts w:hint="cs"/>
          <w:rtl/>
          <w:lang w:bidi="ar-EG"/>
        </w:rPr>
        <w:t xml:space="preserve"> بالمائة</w:t>
      </w:r>
      <w:r w:rsidR="00B826A5" w:rsidRPr="00D0101C">
        <w:rPr>
          <w:rtl/>
          <w:lang w:bidi="ar-EG"/>
        </w:rPr>
        <w:t xml:space="preserve"> عن عام 201</w:t>
      </w:r>
      <w:r w:rsidR="001A5D0E" w:rsidRPr="00D0101C">
        <w:rPr>
          <w:rFonts w:hint="cs"/>
          <w:rtl/>
          <w:lang w:bidi="ar-EG"/>
        </w:rPr>
        <w:t xml:space="preserve">5، وكانت السنة الأولى التي يتخطى فيها عدد الشكاوى المقدمة 000 3 دعوى في عام واحد. </w:t>
      </w:r>
      <w:r w:rsidR="001A5D0E" w:rsidRPr="00D0101C">
        <w:rPr>
          <w:rFonts w:hint="cs"/>
          <w:rtl/>
        </w:rPr>
        <w:t>وحتى يونيو 2017</w:t>
      </w:r>
      <w:r w:rsidR="001A5D0E" w:rsidRPr="00D0101C">
        <w:rPr>
          <w:rtl/>
        </w:rPr>
        <w:t xml:space="preserve">، </w:t>
      </w:r>
      <w:r w:rsidR="001A5D0E" w:rsidRPr="00D0101C">
        <w:rPr>
          <w:rFonts w:hint="cs"/>
          <w:rtl/>
        </w:rPr>
        <w:t xml:space="preserve">بلغ </w:t>
      </w:r>
      <w:r w:rsidR="001A5D0E" w:rsidRPr="00D0101C">
        <w:rPr>
          <w:rtl/>
        </w:rPr>
        <w:t xml:space="preserve">إجمالي عدد أسماء </w:t>
      </w:r>
      <w:r w:rsidR="001A5D0E" w:rsidRPr="00D0101C">
        <w:rPr>
          <w:rFonts w:hint="cs"/>
          <w:rtl/>
        </w:rPr>
        <w:t>الحقول المتنازع عليها في</w:t>
      </w:r>
      <w:r w:rsidR="001A5D0E" w:rsidRPr="00D0101C">
        <w:rPr>
          <w:rtl/>
        </w:rPr>
        <w:t xml:space="preserve"> </w:t>
      </w:r>
      <w:r w:rsidR="001A5D0E" w:rsidRPr="00D0101C">
        <w:rPr>
          <w:rFonts w:hint="cs"/>
          <w:rtl/>
        </w:rPr>
        <w:t xml:space="preserve">قضايا الويبو في إطار السياسة </w:t>
      </w:r>
      <w:r w:rsidR="001A5D0E" w:rsidRPr="00D0101C">
        <w:rPr>
          <w:rtl/>
        </w:rPr>
        <w:t xml:space="preserve">الموحدة </w:t>
      </w:r>
      <w:r w:rsidR="001A5D0E" w:rsidRPr="00D0101C">
        <w:rPr>
          <w:rFonts w:hint="cs"/>
          <w:rtl/>
        </w:rPr>
        <w:t>000</w:t>
      </w:r>
      <w:r w:rsidR="001A5D0E" w:rsidRPr="00D0101C">
        <w:rPr>
          <w:rFonts w:hint="eastAsia"/>
          <w:rtl/>
        </w:rPr>
        <w:t> </w:t>
      </w:r>
      <w:r w:rsidR="001A5D0E" w:rsidRPr="00D0101C">
        <w:rPr>
          <w:rFonts w:hint="cs"/>
          <w:rtl/>
        </w:rPr>
        <w:t>70 اسم</w:t>
      </w:r>
      <w:r w:rsidR="001A5D0E" w:rsidRPr="00D0101C">
        <w:rPr>
          <w:rtl/>
        </w:rPr>
        <w:t>.</w:t>
      </w:r>
    </w:p>
    <w:p w:rsidR="00066F3C" w:rsidRPr="00D0101C" w:rsidRDefault="00066F3C" w:rsidP="00436A45">
      <w:pPr>
        <w:pStyle w:val="NumberedParaAR"/>
      </w:pPr>
      <w:r w:rsidRPr="00D0101C">
        <w:rPr>
          <w:rtl/>
        </w:rPr>
        <w:t xml:space="preserve">واستعانت جهات شتّى من شركات ومؤسسات </w:t>
      </w:r>
      <w:r w:rsidRPr="00D0101C">
        <w:rPr>
          <w:rFonts w:hint="cs"/>
          <w:rtl/>
        </w:rPr>
        <w:t>و</w:t>
      </w:r>
      <w:r w:rsidRPr="00D0101C">
        <w:rPr>
          <w:rtl/>
        </w:rPr>
        <w:t>أفراد بإجراءات مركز الويبو لتسوية المنازعات</w:t>
      </w:r>
      <w:r w:rsidRPr="00D0101C">
        <w:rPr>
          <w:rFonts w:hint="cs"/>
          <w:rtl/>
        </w:rPr>
        <w:t xml:space="preserve"> في</w:t>
      </w:r>
      <w:r w:rsidRPr="00D0101C">
        <w:rPr>
          <w:rtl/>
        </w:rPr>
        <w:t xml:space="preserve"> عام </w:t>
      </w:r>
      <w:r w:rsidRPr="00D0101C">
        <w:rPr>
          <w:rFonts w:hint="cs"/>
          <w:rtl/>
        </w:rPr>
        <w:t>2016</w:t>
      </w:r>
      <w:r w:rsidRPr="00D0101C">
        <w:rPr>
          <w:rtl/>
        </w:rPr>
        <w:t xml:space="preserve">. وكانت القطاعات الرئيسية التي تعمل فيها </w:t>
      </w:r>
      <w:r w:rsidRPr="00D0101C">
        <w:rPr>
          <w:rFonts w:hint="cs"/>
          <w:rtl/>
        </w:rPr>
        <w:t>الجهات</w:t>
      </w:r>
      <w:r w:rsidRPr="00D0101C">
        <w:rPr>
          <w:rtl/>
        </w:rPr>
        <w:t xml:space="preserve"> </w:t>
      </w:r>
      <w:proofErr w:type="spellStart"/>
      <w:r w:rsidRPr="00D0101C">
        <w:rPr>
          <w:rtl/>
        </w:rPr>
        <w:t>المتظلمة</w:t>
      </w:r>
      <w:proofErr w:type="spellEnd"/>
      <w:r w:rsidRPr="00D0101C">
        <w:rPr>
          <w:rtl/>
        </w:rPr>
        <w:t xml:space="preserve"> هي الأعمال المصرفية والمالية</w:t>
      </w:r>
      <w:r w:rsidRPr="00D0101C">
        <w:rPr>
          <w:rFonts w:hint="cs"/>
          <w:rtl/>
        </w:rPr>
        <w:t>، والموضة، و</w:t>
      </w:r>
      <w:r w:rsidRPr="00D0101C">
        <w:rPr>
          <w:rtl/>
        </w:rPr>
        <w:t>الصناعات والآلات الثقيلة</w:t>
      </w:r>
      <w:r w:rsidRPr="00D0101C">
        <w:rPr>
          <w:rFonts w:hint="cs"/>
          <w:rtl/>
        </w:rPr>
        <w:t>،</w:t>
      </w:r>
      <w:r w:rsidRPr="00D0101C">
        <w:rPr>
          <w:rtl/>
        </w:rPr>
        <w:t xml:space="preserve"> والإنترنت وتكنولوجيا المعلومات</w:t>
      </w:r>
      <w:r w:rsidRPr="00D0101C">
        <w:rPr>
          <w:rFonts w:hint="cs"/>
          <w:rtl/>
        </w:rPr>
        <w:t>، والتكنولوجيا الحيوية والمواد الصيدلانية، والبيع بالتجزئة</w:t>
      </w:r>
      <w:r w:rsidRPr="00D0101C">
        <w:rPr>
          <w:rtl/>
        </w:rPr>
        <w:t xml:space="preserve">. </w:t>
      </w:r>
      <w:r w:rsidRPr="00D0101C">
        <w:rPr>
          <w:rFonts w:hint="cs"/>
          <w:rtl/>
        </w:rPr>
        <w:t xml:space="preserve">وعلى وجه الخصوص، </w:t>
      </w:r>
      <w:r w:rsidRPr="00D0101C">
        <w:rPr>
          <w:rFonts w:hint="cs"/>
          <w:rtl/>
        </w:rPr>
        <w:lastRenderedPageBreak/>
        <w:t xml:space="preserve">تشتمل </w:t>
      </w:r>
      <w:r w:rsidRPr="00D0101C">
        <w:rPr>
          <w:rtl/>
        </w:rPr>
        <w:t>الإيداعات المت</w:t>
      </w:r>
      <w:r w:rsidRPr="00D0101C">
        <w:rPr>
          <w:rFonts w:hint="cs"/>
          <w:rtl/>
        </w:rPr>
        <w:t>علقة</w:t>
      </w:r>
      <w:r w:rsidRPr="00D0101C">
        <w:rPr>
          <w:rtl/>
        </w:rPr>
        <w:t xml:space="preserve"> بالموضة </w:t>
      </w:r>
      <w:r w:rsidR="006A024F" w:rsidRPr="00D0101C">
        <w:rPr>
          <w:rFonts w:hint="cs"/>
          <w:rtl/>
        </w:rPr>
        <w:t>والعلامات</w:t>
      </w:r>
      <w:r w:rsidRPr="00D0101C">
        <w:rPr>
          <w:rtl/>
        </w:rPr>
        <w:t xml:space="preserve"> </w:t>
      </w:r>
      <w:r w:rsidR="006A024F" w:rsidRPr="00D0101C">
        <w:rPr>
          <w:rFonts w:hint="cs"/>
          <w:rtl/>
        </w:rPr>
        <w:t>المو</w:t>
      </w:r>
      <w:r w:rsidRPr="00D0101C">
        <w:rPr>
          <w:rFonts w:hint="cs"/>
          <w:rtl/>
        </w:rPr>
        <w:t>جهة</w:t>
      </w:r>
      <w:r w:rsidRPr="00D0101C">
        <w:rPr>
          <w:rtl/>
        </w:rPr>
        <w:t xml:space="preserve"> </w:t>
      </w:r>
      <w:r w:rsidRPr="00D0101C">
        <w:rPr>
          <w:rFonts w:hint="cs"/>
          <w:rtl/>
        </w:rPr>
        <w:t xml:space="preserve">للمستهلك على </w:t>
      </w:r>
      <w:r w:rsidRPr="00D0101C">
        <w:rPr>
          <w:rtl/>
        </w:rPr>
        <w:t>ال</w:t>
      </w:r>
      <w:r w:rsidRPr="00D0101C">
        <w:rPr>
          <w:rFonts w:hint="cs"/>
          <w:rtl/>
        </w:rPr>
        <w:t xml:space="preserve">إيداعات التي قام بها أصحاب الحقوق </w:t>
      </w:r>
      <w:r w:rsidRPr="00D0101C">
        <w:rPr>
          <w:rtl/>
        </w:rPr>
        <w:t xml:space="preserve">الذين يدَّعون تقليد منتجاتهم عبر صفحات الإنترنت المعروضة تحت اسم الحقل موضع النزاع. وهذا يدل على النطاق العالمي لآلية تسوية المنازعات، إذ </w:t>
      </w:r>
      <w:r w:rsidRPr="00D0101C">
        <w:rPr>
          <w:rFonts w:hint="cs"/>
          <w:rtl/>
        </w:rPr>
        <w:t>إن ال</w:t>
      </w:r>
      <w:r w:rsidRPr="00D0101C">
        <w:rPr>
          <w:rtl/>
        </w:rPr>
        <w:t xml:space="preserve">أطراف </w:t>
      </w:r>
      <w:r w:rsidRPr="00D0101C">
        <w:rPr>
          <w:rFonts w:hint="cs"/>
          <w:rtl/>
        </w:rPr>
        <w:t xml:space="preserve">في قضايا </w:t>
      </w:r>
      <w:r w:rsidRPr="00D0101C">
        <w:rPr>
          <w:rtl/>
        </w:rPr>
        <w:t>الويبو</w:t>
      </w:r>
      <w:r w:rsidRPr="00D0101C">
        <w:rPr>
          <w:rFonts w:hint="cs"/>
          <w:rtl/>
        </w:rPr>
        <w:t xml:space="preserve"> طوال عام 201</w:t>
      </w:r>
      <w:r w:rsidR="00436A45" w:rsidRPr="00D0101C">
        <w:rPr>
          <w:rFonts w:hint="cs"/>
          <w:rtl/>
        </w:rPr>
        <w:t>6</w:t>
      </w:r>
      <w:r w:rsidRPr="00D0101C">
        <w:rPr>
          <w:rtl/>
        </w:rPr>
        <w:t xml:space="preserve"> </w:t>
      </w:r>
      <w:r w:rsidRPr="00D0101C">
        <w:rPr>
          <w:rFonts w:hint="cs"/>
          <w:rtl/>
        </w:rPr>
        <w:t xml:space="preserve">كانوا يمثلون </w:t>
      </w:r>
      <w:r w:rsidRPr="00D0101C">
        <w:rPr>
          <w:rtl/>
        </w:rPr>
        <w:t>17</w:t>
      </w:r>
      <w:r w:rsidR="006A024F" w:rsidRPr="00D0101C">
        <w:rPr>
          <w:rFonts w:hint="cs"/>
          <w:rtl/>
        </w:rPr>
        <w:t>8</w:t>
      </w:r>
      <w:r w:rsidRPr="00D0101C">
        <w:rPr>
          <w:rtl/>
        </w:rPr>
        <w:t xml:space="preserve"> بلداً. ومن حيث لغة اتفاق تسجيل اسم الحقل المعني، فقد بلغ عدد اللغات المستخدمة في إجراءات الويبو في إطار السياسة الموحدة إلى حد الآن 2</w:t>
      </w:r>
      <w:r w:rsidRPr="00D0101C">
        <w:rPr>
          <w:rFonts w:hint="cs"/>
          <w:rtl/>
        </w:rPr>
        <w:t>1</w:t>
      </w:r>
      <w:r w:rsidRPr="00D0101C">
        <w:rPr>
          <w:rtl/>
        </w:rPr>
        <w:t xml:space="preserve"> لغة.</w:t>
      </w:r>
      <w:r w:rsidRPr="00D0101C">
        <w:rPr>
          <w:rStyle w:val="FootnoteReference"/>
          <w:rtl/>
        </w:rPr>
        <w:footnoteReference w:id="18"/>
      </w:r>
    </w:p>
    <w:p w:rsidR="00503C27" w:rsidRPr="00D0101C" w:rsidRDefault="00503C27" w:rsidP="00436A45">
      <w:pPr>
        <w:pStyle w:val="NumberedParaAR"/>
      </w:pPr>
      <w:r w:rsidRPr="00D0101C">
        <w:rPr>
          <w:rtl/>
        </w:rPr>
        <w:t>وتُنشر جميع قرارات هيئ</w:t>
      </w:r>
      <w:r w:rsidRPr="00D0101C">
        <w:rPr>
          <w:rFonts w:hint="cs"/>
          <w:rtl/>
        </w:rPr>
        <w:t>ة</w:t>
      </w:r>
      <w:r w:rsidRPr="00D0101C">
        <w:rPr>
          <w:rtl/>
        </w:rPr>
        <w:t xml:space="preserve"> محكمي الويبو في السياسة الموحدة على موقع مركز الويبو الإلكتروني. </w:t>
      </w:r>
      <w:r w:rsidRPr="00D0101C">
        <w:rPr>
          <w:rFonts w:hint="cs"/>
          <w:rtl/>
        </w:rPr>
        <w:t>ونشر المركز في عام</w:t>
      </w:r>
      <w:r w:rsidR="00F42070" w:rsidRPr="00D0101C">
        <w:rPr>
          <w:rFonts w:hint="eastAsia"/>
          <w:rtl/>
        </w:rPr>
        <w:t> </w:t>
      </w:r>
      <w:r w:rsidRPr="00D0101C">
        <w:rPr>
          <w:rFonts w:hint="cs"/>
          <w:rtl/>
        </w:rPr>
        <w:t xml:space="preserve">2017 النسخة الثالثة من </w:t>
      </w:r>
      <w:r w:rsidRPr="00D0101C">
        <w:rPr>
          <w:rtl/>
        </w:rPr>
        <w:t>استعراض آراء هيئ</w:t>
      </w:r>
      <w:r w:rsidRPr="00D0101C">
        <w:rPr>
          <w:rFonts w:hint="cs"/>
          <w:rtl/>
        </w:rPr>
        <w:t>ة</w:t>
      </w:r>
      <w:r w:rsidRPr="00D0101C">
        <w:rPr>
          <w:rtl/>
        </w:rPr>
        <w:t xml:space="preserve"> محكمي الويبو في مسائل مختارة في سياق السياسة الموحدة (استعراض الويبو </w:t>
      </w:r>
      <w:r w:rsidRPr="00D0101C">
        <w:rPr>
          <w:rFonts w:hint="cs"/>
          <w:rtl/>
        </w:rPr>
        <w:t>3</w:t>
      </w:r>
      <w:r w:rsidRPr="00D0101C">
        <w:rPr>
          <w:rtl/>
        </w:rPr>
        <w:t>.0)</w:t>
      </w:r>
      <w:r w:rsidRPr="00D0101C">
        <w:rPr>
          <w:rFonts w:hint="cs"/>
          <w:rtl/>
        </w:rPr>
        <w:t>،</w:t>
      </w:r>
      <w:r w:rsidRPr="00D0101C">
        <w:rPr>
          <w:rStyle w:val="FootnoteReference"/>
          <w:rtl/>
        </w:rPr>
        <w:footnoteReference w:id="19"/>
      </w:r>
      <w:r w:rsidRPr="00D0101C">
        <w:rPr>
          <w:rtl/>
        </w:rPr>
        <w:t xml:space="preserve"> </w:t>
      </w:r>
      <w:r w:rsidR="006D0DE4" w:rsidRPr="00D0101C">
        <w:rPr>
          <w:rFonts w:hint="cs"/>
          <w:rtl/>
        </w:rPr>
        <w:t>وهو استعراض متاح على الإنترنت</w:t>
      </w:r>
      <w:r w:rsidR="006D0DE4" w:rsidRPr="00D0101C">
        <w:rPr>
          <w:rtl/>
        </w:rPr>
        <w:t xml:space="preserve"> </w:t>
      </w:r>
      <w:r w:rsidR="006D0DE4" w:rsidRPr="00D0101C">
        <w:rPr>
          <w:rFonts w:hint="cs"/>
          <w:rtl/>
        </w:rPr>
        <w:t>و</w:t>
      </w:r>
      <w:r w:rsidR="006D0DE4" w:rsidRPr="00D0101C">
        <w:rPr>
          <w:rtl/>
        </w:rPr>
        <w:t>مستخدم عالميا للتوجهات العامة في القرارات بشأن القضايا المهمة</w:t>
      </w:r>
      <w:r w:rsidR="006D0DE4" w:rsidRPr="00D0101C">
        <w:rPr>
          <w:rFonts w:hint="cs"/>
          <w:rtl/>
        </w:rPr>
        <w:t xml:space="preserve">. </w:t>
      </w:r>
      <w:r w:rsidR="00331382" w:rsidRPr="00D0101C">
        <w:rPr>
          <w:rFonts w:hint="cs"/>
          <w:rtl/>
        </w:rPr>
        <w:t>ويغطي التعديل الحالي أكثر من 100 موضوع ويتضمن إشارات إلى ما يقارب 000 1 قرار تمثيلي صادر عن 265 محكّم</w:t>
      </w:r>
      <w:r w:rsidR="00436A45" w:rsidRPr="00D0101C">
        <w:rPr>
          <w:rFonts w:hint="cs"/>
          <w:rtl/>
        </w:rPr>
        <w:t>ا</w:t>
      </w:r>
      <w:r w:rsidR="00331382" w:rsidRPr="00D0101C">
        <w:rPr>
          <w:rFonts w:hint="cs"/>
          <w:rtl/>
        </w:rPr>
        <w:t xml:space="preserve"> تابع</w:t>
      </w:r>
      <w:r w:rsidR="00436A45" w:rsidRPr="00D0101C">
        <w:rPr>
          <w:rFonts w:hint="cs"/>
          <w:rtl/>
        </w:rPr>
        <w:t>ا</w:t>
      </w:r>
      <w:r w:rsidR="00331382" w:rsidRPr="00D0101C">
        <w:rPr>
          <w:rFonts w:hint="cs"/>
          <w:rtl/>
        </w:rPr>
        <w:t xml:space="preserve"> للويبو. </w:t>
      </w:r>
      <w:r w:rsidR="00612A77" w:rsidRPr="00D0101C">
        <w:rPr>
          <w:rFonts w:hint="cs"/>
          <w:rtl/>
        </w:rPr>
        <w:t>ويعكس النطاق الموسّع لاستعراض الويبو 3</w:t>
      </w:r>
      <w:r w:rsidR="00612A77" w:rsidRPr="00D0101C">
        <w:rPr>
          <w:rtl/>
        </w:rPr>
        <w:t>.0</w:t>
      </w:r>
      <w:r w:rsidR="00612A77" w:rsidRPr="00D0101C">
        <w:rPr>
          <w:rFonts w:hint="cs"/>
          <w:rtl/>
        </w:rPr>
        <w:t xml:space="preserve"> </w:t>
      </w:r>
      <w:r w:rsidR="00DE7DD7" w:rsidRPr="00D0101C">
        <w:rPr>
          <w:rFonts w:hint="cs"/>
          <w:rtl/>
        </w:rPr>
        <w:t>منذ نش</w:t>
      </w:r>
      <w:r w:rsidR="00A648F3" w:rsidRPr="00D0101C">
        <w:rPr>
          <w:rFonts w:hint="cs"/>
          <w:rtl/>
        </w:rPr>
        <w:t xml:space="preserve">ر النسخة الثانية 2.0 في عام 2011 </w:t>
      </w:r>
      <w:r w:rsidR="008F6E4A" w:rsidRPr="00D0101C">
        <w:rPr>
          <w:rFonts w:hint="cs"/>
          <w:rtl/>
        </w:rPr>
        <w:t xml:space="preserve">تطور </w:t>
      </w:r>
      <w:r w:rsidR="00A648F3" w:rsidRPr="00D0101C">
        <w:rPr>
          <w:rFonts w:hint="cs"/>
          <w:rtl/>
        </w:rPr>
        <w:t>مجموعة من قضايا أسماء الحقول</w:t>
      </w:r>
      <w:r w:rsidR="008F6E4A" w:rsidRPr="00D0101C">
        <w:rPr>
          <w:rFonts w:hint="cs"/>
          <w:rtl/>
        </w:rPr>
        <w:t xml:space="preserve"> و</w:t>
      </w:r>
      <w:r w:rsidR="008F6E4A" w:rsidRPr="00D0101C">
        <w:rPr>
          <w:rtl/>
        </w:rPr>
        <w:t>السياسة الموحدة لتسوية المنازعات</w:t>
      </w:r>
      <w:r w:rsidR="008F6E4A" w:rsidRPr="00D0101C">
        <w:rPr>
          <w:rFonts w:hint="cs"/>
          <w:rtl/>
        </w:rPr>
        <w:t xml:space="preserve"> قارب ضعف القضايا التي أشرف عليها المركز منذ ذلك الحين. </w:t>
      </w:r>
      <w:r w:rsidR="009A099D" w:rsidRPr="00D0101C">
        <w:rPr>
          <w:rFonts w:hint="cs"/>
          <w:rtl/>
        </w:rPr>
        <w:t xml:space="preserve">ولاستعراض الويبو دور رئيسي في تنمية </w:t>
      </w:r>
      <w:r w:rsidR="009A099D" w:rsidRPr="00D0101C">
        <w:rPr>
          <w:rtl/>
        </w:rPr>
        <w:t>اتساق اجتهادات الويبو القانونية</w:t>
      </w:r>
      <w:r w:rsidR="00A648F3" w:rsidRPr="00D0101C">
        <w:rPr>
          <w:rFonts w:hint="cs"/>
          <w:rtl/>
        </w:rPr>
        <w:t xml:space="preserve"> </w:t>
      </w:r>
      <w:r w:rsidR="009A099D" w:rsidRPr="00D0101C">
        <w:rPr>
          <w:rFonts w:hint="cs"/>
          <w:rtl/>
        </w:rPr>
        <w:t xml:space="preserve">في إطار </w:t>
      </w:r>
      <w:r w:rsidR="009A099D" w:rsidRPr="00D0101C">
        <w:rPr>
          <w:rtl/>
        </w:rPr>
        <w:t>السياسة الموحدة لتسوية المنازعات</w:t>
      </w:r>
      <w:r w:rsidR="009A099D" w:rsidRPr="00D0101C">
        <w:rPr>
          <w:rFonts w:hint="cs"/>
          <w:rtl/>
        </w:rPr>
        <w:t xml:space="preserve"> و</w:t>
      </w:r>
      <w:r w:rsidR="009A099D" w:rsidRPr="00D0101C">
        <w:rPr>
          <w:rtl/>
        </w:rPr>
        <w:t>الحفاظ عل</w:t>
      </w:r>
      <w:r w:rsidR="009A099D" w:rsidRPr="00D0101C">
        <w:rPr>
          <w:rFonts w:hint="cs"/>
          <w:rtl/>
        </w:rPr>
        <w:t xml:space="preserve">يه. </w:t>
      </w:r>
      <w:r w:rsidRPr="00D0101C">
        <w:rPr>
          <w:rtl/>
        </w:rPr>
        <w:t xml:space="preserve">ولتيسير الاطلاع على هذه القرارات وفق موضوعها، يقدم </w:t>
      </w:r>
      <w:r w:rsidR="00DE7DD7" w:rsidRPr="00D0101C">
        <w:rPr>
          <w:rFonts w:hint="cs"/>
          <w:rtl/>
        </w:rPr>
        <w:t>ال</w:t>
      </w:r>
      <w:r w:rsidRPr="00D0101C">
        <w:rPr>
          <w:rtl/>
        </w:rPr>
        <w:t>مركز أيضاً فهرساً قانونياً للبحث الإلكتروني عن قرارات الويبو في إطار السياسة الموحدة.</w:t>
      </w:r>
      <w:r w:rsidRPr="00D0101C">
        <w:rPr>
          <w:rStyle w:val="FootnoteReference"/>
          <w:rtl/>
        </w:rPr>
        <w:footnoteReference w:id="20"/>
      </w:r>
      <w:r w:rsidRPr="00D0101C">
        <w:rPr>
          <w:rtl/>
        </w:rPr>
        <w:t xml:space="preserve"> وموارد الويبو هذه متاحة </w:t>
      </w:r>
      <w:r w:rsidRPr="00D0101C">
        <w:rPr>
          <w:rFonts w:hint="cs"/>
          <w:rtl/>
        </w:rPr>
        <w:t xml:space="preserve">للنفاذ إليها </w:t>
      </w:r>
      <w:r w:rsidRPr="00D0101C">
        <w:rPr>
          <w:rtl/>
        </w:rPr>
        <w:t>مجاناً على الصعيد العالمي.</w:t>
      </w:r>
    </w:p>
    <w:p w:rsidR="00503C27" w:rsidRPr="00D0101C" w:rsidRDefault="00BC3B3B" w:rsidP="00BC3B3B">
      <w:pPr>
        <w:pStyle w:val="NumberedParaAR"/>
      </w:pPr>
      <w:r w:rsidRPr="00D0101C">
        <w:rPr>
          <w:rtl/>
        </w:rPr>
        <w:t>ونظراً إلى الدور التأسيسي للويبو في السياسة الموحدة، يرصد المركز مستجدات نظام أسماء الحقول بغية تكييف موارده وممارساته.</w:t>
      </w:r>
      <w:r w:rsidRPr="00D0101C">
        <w:rPr>
          <w:rStyle w:val="FootnoteReference"/>
          <w:rtl/>
        </w:rPr>
        <w:footnoteReference w:id="21"/>
      </w:r>
      <w:r w:rsidRPr="00D0101C">
        <w:rPr>
          <w:rFonts w:hint="cs"/>
          <w:rtl/>
        </w:rPr>
        <w:t xml:space="preserve"> </w:t>
      </w:r>
      <w:r w:rsidRPr="00D0101C">
        <w:rPr>
          <w:rtl/>
        </w:rPr>
        <w:t>وينظم المركز بانتظام حلقات عمل بشأن تسوية المنازعات على أسماء الحقول تقدم مستجدات عن السوابق والممارسات لفائدة الأطراف المعنية،</w:t>
      </w:r>
      <w:r w:rsidRPr="00D0101C">
        <w:rPr>
          <w:rStyle w:val="FootnoteReference"/>
          <w:rtl/>
        </w:rPr>
        <w:footnoteReference w:id="22"/>
      </w:r>
      <w:r w:rsidRPr="00D0101C">
        <w:rPr>
          <w:rtl/>
        </w:rPr>
        <w:t xml:space="preserve"> كما ينظم اجتماعات لمحكميه ووسطائه في مجال أسماء الحقول.</w:t>
      </w:r>
    </w:p>
    <w:p w:rsidR="00792D68" w:rsidRPr="00D0101C" w:rsidRDefault="00792D68" w:rsidP="00792D68">
      <w:pPr>
        <w:pStyle w:val="Heading2"/>
        <w:rPr>
          <w:rtl/>
        </w:rPr>
      </w:pPr>
      <w:r w:rsidRPr="00D0101C">
        <w:rPr>
          <w:rFonts w:hint="cs"/>
          <w:rtl/>
        </w:rPr>
        <w:t>باء.</w:t>
      </w:r>
      <w:r w:rsidRPr="00D0101C">
        <w:rPr>
          <w:rFonts w:hint="cs"/>
          <w:rtl/>
        </w:rPr>
        <w:tab/>
      </w:r>
      <w:r w:rsidRPr="00D0101C">
        <w:rPr>
          <w:rtl/>
        </w:rPr>
        <w:t>الحقول العليا المكوَّنة من رموز البلدان</w:t>
      </w:r>
    </w:p>
    <w:p w:rsidR="00792D68" w:rsidRPr="00D0101C" w:rsidRDefault="00792D68" w:rsidP="00792D68"/>
    <w:p w:rsidR="00D80F5F" w:rsidRPr="00D0101C" w:rsidRDefault="00792D68" w:rsidP="00E26B78">
      <w:pPr>
        <w:pStyle w:val="NumberedParaAR"/>
      </w:pPr>
      <w:r w:rsidRPr="00D0101C">
        <w:rPr>
          <w:rtl/>
        </w:rPr>
        <w:t>يقتصر التطبيق الإلزامي للسياسة الموحدة على الأسماء المسجلة في الحقول العليا المكوّنة من أسماء عامة مثل "</w:t>
      </w:r>
      <w:r w:rsidRPr="00D0101C">
        <w:t>.com</w:t>
      </w:r>
      <w:r w:rsidRPr="00D0101C">
        <w:rPr>
          <w:rtl/>
        </w:rPr>
        <w:t>" وما أ</w:t>
      </w:r>
      <w:r w:rsidRPr="00D0101C">
        <w:rPr>
          <w:rFonts w:hint="cs"/>
          <w:rtl/>
        </w:rPr>
        <w:t>ُ</w:t>
      </w:r>
      <w:r w:rsidRPr="00D0101C">
        <w:rPr>
          <w:rtl/>
        </w:rPr>
        <w:t xml:space="preserve">درج حديثاً من أسماء في هذه الحقول، إلا أن مركز الويبو يساعد أيضاً العديد من مكاتب تسجيل الأسماء في الحقول العليا المكونة من رموز البلدان على صياغة شروط التسجيل وإجراءات تسوية المنازعات بما يفي بالممارسات المثلى في مجال </w:t>
      </w:r>
      <w:r w:rsidRPr="00D0101C">
        <w:rPr>
          <w:rFonts w:hint="cs"/>
          <w:rtl/>
        </w:rPr>
        <w:t>إدارة السجلات و</w:t>
      </w:r>
      <w:r w:rsidRPr="00D0101C">
        <w:rPr>
          <w:rtl/>
        </w:rPr>
        <w:t xml:space="preserve">حماية الملكية الفكرية. </w:t>
      </w:r>
      <w:r w:rsidR="00BA39CB" w:rsidRPr="00D0101C">
        <w:rPr>
          <w:rtl/>
        </w:rPr>
        <w:t>وغالباً ما تتبع هذه الإجراءات نموذج السياسة الموحدة</w:t>
      </w:r>
      <w:r w:rsidR="00BA39CB" w:rsidRPr="00D0101C">
        <w:rPr>
          <w:rFonts w:hint="cs"/>
          <w:rtl/>
        </w:rPr>
        <w:t>،</w:t>
      </w:r>
      <w:r w:rsidR="00BA39CB" w:rsidRPr="00D0101C">
        <w:rPr>
          <w:rtl/>
        </w:rPr>
        <w:t xml:space="preserve"> لكنها يمكن أن تراعي الظروف والاحتياجات الخاصة بكل حقل من الحقول المكونة من رموز البلدان. </w:t>
      </w:r>
      <w:r w:rsidR="00F31438" w:rsidRPr="00D0101C">
        <w:rPr>
          <w:rFonts w:hint="cs"/>
          <w:rtl/>
        </w:rPr>
        <w:t xml:space="preserve">وعقب مناقشات مع </w:t>
      </w:r>
      <w:r w:rsidR="00E26B78" w:rsidRPr="00D0101C">
        <w:rPr>
          <w:rFonts w:hint="cs"/>
          <w:rtl/>
        </w:rPr>
        <w:t>إدارة</w:t>
      </w:r>
      <w:r w:rsidR="001A0022" w:rsidRPr="00D0101C">
        <w:rPr>
          <w:rFonts w:hint="cs"/>
          <w:rtl/>
        </w:rPr>
        <w:t xml:space="preserve"> السجل الأوروبي </w:t>
      </w:r>
      <w:r w:rsidR="00C770E4" w:rsidRPr="00D0101C">
        <w:t>(</w:t>
      </w:r>
      <w:proofErr w:type="spellStart"/>
      <w:r w:rsidR="001A0022" w:rsidRPr="00D0101C">
        <w:t>EURid</w:t>
      </w:r>
      <w:proofErr w:type="spellEnd"/>
      <w:r w:rsidR="00C770E4" w:rsidRPr="00D0101C">
        <w:t>)</w:t>
      </w:r>
      <w:r w:rsidR="001A0022" w:rsidRPr="00D0101C">
        <w:rPr>
          <w:rFonts w:hint="cs"/>
          <w:rtl/>
        </w:rPr>
        <w:t>، بدأ المركز اعتباراً من شهر يونيو 2017 توفير خدمات للتسجيلات باسمي الحقول "</w:t>
      </w:r>
      <w:r w:rsidR="001A0022" w:rsidRPr="00D0101C">
        <w:t>.</w:t>
      </w:r>
      <w:proofErr w:type="spellStart"/>
      <w:r w:rsidR="001A0022" w:rsidRPr="00D0101C">
        <w:t>eu</w:t>
      </w:r>
      <w:proofErr w:type="spellEnd"/>
      <w:r w:rsidR="001A0022" w:rsidRPr="00D0101C">
        <w:rPr>
          <w:rFonts w:hint="cs"/>
          <w:rtl/>
        </w:rPr>
        <w:t>" و"</w:t>
      </w:r>
      <w:r w:rsidR="001A0022" w:rsidRPr="00D0101C">
        <w:rPr>
          <w:rFonts w:ascii="Times New Roman" w:hAnsi="Times New Roman" w:cs="Times New Roman"/>
          <w:sz w:val="24"/>
          <w:szCs w:val="24"/>
        </w:rPr>
        <w:t>.</w:t>
      </w:r>
      <w:proofErr w:type="spellStart"/>
      <w:r w:rsidR="001A0022" w:rsidRPr="00D0101C">
        <w:rPr>
          <w:rFonts w:ascii="Times New Roman" w:hAnsi="Times New Roman" w:cs="Times New Roman"/>
          <w:sz w:val="24"/>
          <w:szCs w:val="24"/>
        </w:rPr>
        <w:t>ею</w:t>
      </w:r>
      <w:proofErr w:type="spellEnd"/>
      <w:r w:rsidR="001A0022" w:rsidRPr="00D0101C">
        <w:rPr>
          <w:rFonts w:hint="cs"/>
          <w:rtl/>
        </w:rPr>
        <w:t>" (</w:t>
      </w:r>
      <w:r w:rsidR="001A0022" w:rsidRPr="00D0101C">
        <w:rPr>
          <w:rtl/>
        </w:rPr>
        <w:t>بالأبجدية السيريلية</w:t>
      </w:r>
      <w:r w:rsidR="001A0022" w:rsidRPr="00D0101C">
        <w:rPr>
          <w:rFonts w:hint="cs"/>
          <w:rtl/>
        </w:rPr>
        <w:t>) في جميع اللغات الأوروبية الأربع والعشرين.</w:t>
      </w:r>
      <w:r w:rsidR="001A0022" w:rsidRPr="00D0101C">
        <w:rPr>
          <w:rStyle w:val="FootnoteReference"/>
          <w:rtl/>
        </w:rPr>
        <w:footnoteReference w:id="23"/>
      </w:r>
      <w:r w:rsidR="001A0022" w:rsidRPr="00D0101C">
        <w:rPr>
          <w:rFonts w:hint="cs"/>
          <w:rtl/>
        </w:rPr>
        <w:t xml:space="preserve"> </w:t>
      </w:r>
      <w:r w:rsidR="00920F1F" w:rsidRPr="00D0101C">
        <w:rPr>
          <w:rFonts w:hint="cs"/>
          <w:rtl/>
        </w:rPr>
        <w:t xml:space="preserve">وإضافة إلى هذا السجل الإقليمي، </w:t>
      </w:r>
      <w:r w:rsidR="00920F1F" w:rsidRPr="00D0101C">
        <w:rPr>
          <w:rtl/>
        </w:rPr>
        <w:t xml:space="preserve">يقدم المركز في الوقت الراهن خدماته في مجال تسوية المنازعات المتعلقة بأسماء الحقول إلى </w:t>
      </w:r>
      <w:r w:rsidR="00920F1F" w:rsidRPr="00D0101C">
        <w:rPr>
          <w:rFonts w:hint="cs"/>
          <w:rtl/>
        </w:rPr>
        <w:t>75</w:t>
      </w:r>
      <w:r w:rsidR="00920F1F" w:rsidRPr="00D0101C">
        <w:rPr>
          <w:rtl/>
        </w:rPr>
        <w:t xml:space="preserve"> مكتباً لتسجيل أسماء الحقول في الحقول العليا المكونة من رموز البلدان</w:t>
      </w:r>
      <w:r w:rsidR="00920F1F" w:rsidRPr="00D0101C">
        <w:rPr>
          <w:rFonts w:hint="cs"/>
          <w:rtl/>
        </w:rPr>
        <w:t>.</w:t>
      </w:r>
      <w:r w:rsidR="00920F1F" w:rsidRPr="00D0101C">
        <w:rPr>
          <w:rStyle w:val="FootnoteReference"/>
          <w:rtl/>
        </w:rPr>
        <w:footnoteReference w:id="24"/>
      </w:r>
      <w:r w:rsidR="001A5D0E" w:rsidRPr="00D0101C">
        <w:rPr>
          <w:rFonts w:hint="cs"/>
          <w:rtl/>
          <w:lang w:bidi="ar-EG"/>
        </w:rPr>
        <w:t xml:space="preserve"> </w:t>
      </w:r>
    </w:p>
    <w:p w:rsidR="00920F1F" w:rsidRPr="00D0101C" w:rsidRDefault="00920F1F" w:rsidP="00124FFA">
      <w:pPr>
        <w:pStyle w:val="Heading1"/>
        <w:rPr>
          <w:rtl/>
        </w:rPr>
      </w:pPr>
      <w:r w:rsidRPr="00D0101C">
        <w:rPr>
          <w:rtl/>
        </w:rPr>
        <w:lastRenderedPageBreak/>
        <w:t>ثالثاً.</w:t>
      </w:r>
      <w:r w:rsidRPr="00D0101C">
        <w:rPr>
          <w:rtl/>
        </w:rPr>
        <w:tab/>
        <w:t>مستجدات السياسة العامة المتصلة بنظام أسماء الحقول</w:t>
      </w:r>
    </w:p>
    <w:p w:rsidR="00920F1F" w:rsidRPr="00D0101C" w:rsidRDefault="00920F1F" w:rsidP="00920F1F"/>
    <w:p w:rsidR="00C60633" w:rsidRPr="00D0101C" w:rsidRDefault="00C60633" w:rsidP="00C60633">
      <w:pPr>
        <w:pStyle w:val="NumberedParaAR"/>
      </w:pPr>
      <w:r w:rsidRPr="00D0101C">
        <w:rPr>
          <w:rtl/>
        </w:rPr>
        <w:t xml:space="preserve">لقد طرأ على </w:t>
      </w:r>
      <w:proofErr w:type="spellStart"/>
      <w:r w:rsidRPr="00D0101C">
        <w:rPr>
          <w:rtl/>
        </w:rPr>
        <w:t>الإيكان</w:t>
      </w:r>
      <w:proofErr w:type="spellEnd"/>
      <w:r w:rsidRPr="00D0101C">
        <w:rPr>
          <w:rtl/>
        </w:rPr>
        <w:t xml:space="preserve"> عدد من </w:t>
      </w:r>
      <w:r w:rsidRPr="00D0101C">
        <w:rPr>
          <w:rFonts w:hint="cs"/>
          <w:rtl/>
        </w:rPr>
        <w:t xml:space="preserve">المستجدات السياسية </w:t>
      </w:r>
      <w:r w:rsidRPr="00D0101C">
        <w:rPr>
          <w:rtl/>
        </w:rPr>
        <w:t>التي ت</w:t>
      </w:r>
      <w:r w:rsidRPr="00D0101C">
        <w:rPr>
          <w:rFonts w:hint="cs"/>
          <w:rtl/>
        </w:rPr>
        <w:t>تيح فرصاً ل</w:t>
      </w:r>
      <w:r w:rsidRPr="00D0101C">
        <w:rPr>
          <w:rtl/>
        </w:rPr>
        <w:t>مالكي حقوق الملكية الفكرية و</w:t>
      </w:r>
      <w:r w:rsidRPr="00D0101C">
        <w:rPr>
          <w:rFonts w:hint="cs"/>
          <w:rtl/>
        </w:rPr>
        <w:t>ل</w:t>
      </w:r>
      <w:r w:rsidRPr="00D0101C">
        <w:rPr>
          <w:rtl/>
        </w:rPr>
        <w:t xml:space="preserve">لمنتفعين بها </w:t>
      </w:r>
      <w:r w:rsidRPr="00D0101C">
        <w:rPr>
          <w:rFonts w:hint="cs"/>
          <w:rtl/>
        </w:rPr>
        <w:t>بل وتطرح أمامهم</w:t>
      </w:r>
      <w:r w:rsidRPr="00D0101C">
        <w:rPr>
          <w:rtl/>
        </w:rPr>
        <w:t xml:space="preserve"> تحديات. ويتعلق أحد هذه ال</w:t>
      </w:r>
      <w:r w:rsidRPr="00D0101C">
        <w:rPr>
          <w:rFonts w:hint="cs"/>
          <w:rtl/>
        </w:rPr>
        <w:t xml:space="preserve">مستجدات </w:t>
      </w:r>
      <w:r w:rsidRPr="00D0101C">
        <w:rPr>
          <w:rtl/>
        </w:rPr>
        <w:t xml:space="preserve">بقيام </w:t>
      </w:r>
      <w:proofErr w:type="spellStart"/>
      <w:r w:rsidRPr="00D0101C">
        <w:rPr>
          <w:rtl/>
        </w:rPr>
        <w:t>الإيكان</w:t>
      </w:r>
      <w:proofErr w:type="spellEnd"/>
      <w:r w:rsidRPr="00D0101C">
        <w:rPr>
          <w:rtl/>
        </w:rPr>
        <w:t xml:space="preserve"> باستحداث ما يصل إلى 400</w:t>
      </w:r>
      <w:r w:rsidRPr="00D0101C">
        <w:rPr>
          <w:rFonts w:hint="cs"/>
          <w:rtl/>
        </w:rPr>
        <w:t> </w:t>
      </w:r>
      <w:r w:rsidRPr="00D0101C">
        <w:rPr>
          <w:rtl/>
        </w:rPr>
        <w:t xml:space="preserve">1 حقل من الحقول العليا الجديدة المكوَّنة من أسماء عامة. وأسماء الحقول هذه يمكن أن تكون "مفتوحة" طبيعتها (تشبه </w:t>
      </w:r>
      <w:r w:rsidRPr="00D0101C">
        <w:t>.com</w:t>
      </w:r>
      <w:r w:rsidRPr="00D0101C">
        <w:rPr>
          <w:rtl/>
        </w:rPr>
        <w:t>) أو تتخذ خصائص محددة أو مقيدة بقدر أكبر</w:t>
      </w:r>
      <w:r w:rsidRPr="00D0101C">
        <w:rPr>
          <w:rFonts w:hint="cs"/>
          <w:rtl/>
        </w:rPr>
        <w:t>،</w:t>
      </w:r>
      <w:r w:rsidRPr="00D0101C">
        <w:rPr>
          <w:rtl/>
        </w:rPr>
        <w:t xml:space="preserve"> كأن تتخذ</w:t>
      </w:r>
      <w:r w:rsidRPr="00D0101C">
        <w:rPr>
          <w:rFonts w:hint="cs"/>
          <w:rtl/>
        </w:rPr>
        <w:t xml:space="preserve"> مثلاً</w:t>
      </w:r>
      <w:r w:rsidRPr="00D0101C">
        <w:rPr>
          <w:rtl/>
        </w:rPr>
        <w:t xml:space="preserve"> شكل [علامة] أو [مدينة] أو [مجتمع] أو [ثقافة] أو [صناعة] أو [لغة]. و</w:t>
      </w:r>
      <w:r w:rsidRPr="00D0101C">
        <w:rPr>
          <w:rFonts w:hint="cs"/>
          <w:rtl/>
        </w:rPr>
        <w:t xml:space="preserve">هناك </w:t>
      </w:r>
      <w:r w:rsidRPr="00D0101C">
        <w:rPr>
          <w:rtl/>
        </w:rPr>
        <w:t xml:space="preserve">تطور </w:t>
      </w:r>
      <w:r w:rsidRPr="00D0101C">
        <w:rPr>
          <w:rFonts w:hint="cs"/>
          <w:rtl/>
        </w:rPr>
        <w:t>مهم ذو صلة</w:t>
      </w:r>
      <w:r w:rsidRPr="00D0101C">
        <w:rPr>
          <w:rtl/>
        </w:rPr>
        <w:t xml:space="preserve"> </w:t>
      </w:r>
      <w:r w:rsidRPr="00D0101C">
        <w:rPr>
          <w:rFonts w:hint="cs"/>
          <w:rtl/>
        </w:rPr>
        <w:t xml:space="preserve">يتعلق </w:t>
      </w:r>
      <w:r w:rsidRPr="00D0101C">
        <w:rPr>
          <w:rtl/>
        </w:rPr>
        <w:t xml:space="preserve">باستحداث أسماء حقول عليا دولية. ويطرح عزم </w:t>
      </w:r>
      <w:proofErr w:type="spellStart"/>
      <w:r w:rsidRPr="00D0101C">
        <w:rPr>
          <w:rtl/>
        </w:rPr>
        <w:t>الإيكان</w:t>
      </w:r>
      <w:proofErr w:type="spellEnd"/>
      <w:r w:rsidRPr="00D0101C">
        <w:rPr>
          <w:rtl/>
        </w:rPr>
        <w:t xml:space="preserve"> على توسيع نطاق أسماء الحقول الدولية مسائل تتعلق بحماية الحقوق في إطار مشروع الويبو الثاني الخاص بأسماء الحقول على الإنترنت.</w:t>
      </w:r>
    </w:p>
    <w:p w:rsidR="00A975FB" w:rsidRPr="00D0101C" w:rsidRDefault="00A975FB" w:rsidP="00D77168">
      <w:pPr>
        <w:pStyle w:val="Heading2"/>
        <w:rPr>
          <w:rtl/>
        </w:rPr>
      </w:pPr>
      <w:r w:rsidRPr="00D0101C">
        <w:rPr>
          <w:rtl/>
        </w:rPr>
        <w:t>ألف.</w:t>
      </w:r>
      <w:r w:rsidRPr="00D0101C">
        <w:rPr>
          <w:rtl/>
        </w:rPr>
        <w:tab/>
        <w:t>الحقول العليا الجديدة المكوَّنة من أسماء عامة</w:t>
      </w:r>
    </w:p>
    <w:p w:rsidR="00D77168" w:rsidRPr="00D0101C" w:rsidRDefault="00D77168" w:rsidP="00D77168"/>
    <w:p w:rsidR="00411B03" w:rsidRPr="00D0101C" w:rsidRDefault="000304B0" w:rsidP="00EF2C71">
      <w:pPr>
        <w:pStyle w:val="NumberedParaAR"/>
      </w:pPr>
      <w:r w:rsidRPr="00D0101C">
        <w:rPr>
          <w:rFonts w:hint="cs"/>
          <w:rtl/>
        </w:rPr>
        <w:t>يُفص</w:t>
      </w:r>
      <w:r w:rsidR="005246F2" w:rsidRPr="00D0101C">
        <w:rPr>
          <w:rFonts w:hint="cs"/>
          <w:rtl/>
        </w:rPr>
        <w:t>َ</w:t>
      </w:r>
      <w:r w:rsidRPr="00D0101C">
        <w:rPr>
          <w:rFonts w:hint="cs"/>
          <w:rtl/>
        </w:rPr>
        <w:t>ّل برنامج</w:t>
      </w:r>
      <w:r w:rsidR="00411B03" w:rsidRPr="00D0101C">
        <w:rPr>
          <w:rtl/>
        </w:rPr>
        <w:t xml:space="preserve"> هيئة </w:t>
      </w:r>
      <w:proofErr w:type="spellStart"/>
      <w:r w:rsidR="00411B03" w:rsidRPr="00D0101C">
        <w:rPr>
          <w:rtl/>
        </w:rPr>
        <w:t>الإيكان</w:t>
      </w:r>
      <w:proofErr w:type="spellEnd"/>
      <w:r w:rsidR="00411B03" w:rsidRPr="00D0101C">
        <w:rPr>
          <w:rtl/>
        </w:rPr>
        <w:t xml:space="preserve"> </w:t>
      </w:r>
      <w:r w:rsidRPr="00D0101C">
        <w:rPr>
          <w:rFonts w:hint="cs"/>
          <w:rtl/>
        </w:rPr>
        <w:t>ل</w:t>
      </w:r>
      <w:r w:rsidRPr="00D0101C">
        <w:rPr>
          <w:rtl/>
        </w:rPr>
        <w:t>تنفيذ برنامج الحقول العليا الجديدة المكوَّنة من أسماء عامة</w:t>
      </w:r>
      <w:r w:rsidRPr="00D0101C">
        <w:rPr>
          <w:rFonts w:hint="cs"/>
          <w:rtl/>
        </w:rPr>
        <w:t xml:space="preserve"> الذي اعتمدته </w:t>
      </w:r>
      <w:r w:rsidR="00411B03" w:rsidRPr="00D0101C">
        <w:rPr>
          <w:rtl/>
        </w:rPr>
        <w:t xml:space="preserve">رسمياً </w:t>
      </w:r>
      <w:r w:rsidR="00411B03" w:rsidRPr="00D0101C">
        <w:rPr>
          <w:rFonts w:hint="cs"/>
          <w:rtl/>
        </w:rPr>
        <w:t>في يونيو</w:t>
      </w:r>
      <w:r w:rsidR="00EF2C71" w:rsidRPr="00D0101C">
        <w:rPr>
          <w:rFonts w:hint="eastAsia"/>
        </w:rPr>
        <w:t> </w:t>
      </w:r>
      <w:r w:rsidR="00411B03" w:rsidRPr="00D0101C">
        <w:rPr>
          <w:rFonts w:hint="cs"/>
          <w:rtl/>
        </w:rPr>
        <w:t>2011</w:t>
      </w:r>
      <w:r w:rsidR="00411B03" w:rsidRPr="00D0101C">
        <w:rPr>
          <w:rStyle w:val="FootnoteReference"/>
          <w:rtl/>
        </w:rPr>
        <w:footnoteReference w:id="25"/>
      </w:r>
      <w:r w:rsidR="00411B03" w:rsidRPr="00D0101C">
        <w:rPr>
          <w:rtl/>
        </w:rPr>
        <w:t xml:space="preserve"> في "دليل مودع طلب التسجيل"</w:t>
      </w:r>
      <w:r w:rsidR="00411B03" w:rsidRPr="00D0101C">
        <w:rPr>
          <w:rStyle w:val="FootnoteReference"/>
          <w:rtl/>
        </w:rPr>
        <w:footnoteReference w:id="26"/>
      </w:r>
      <w:r w:rsidR="00411B03" w:rsidRPr="00D0101C">
        <w:rPr>
          <w:rtl/>
        </w:rPr>
        <w:t xml:space="preserve"> الخاص </w:t>
      </w:r>
      <w:proofErr w:type="spellStart"/>
      <w:r w:rsidR="00411B03" w:rsidRPr="00D0101C">
        <w:rPr>
          <w:rtl/>
        </w:rPr>
        <w:t>بالإيكان</w:t>
      </w:r>
      <w:proofErr w:type="spellEnd"/>
      <w:r w:rsidR="00411B03" w:rsidRPr="00D0101C">
        <w:rPr>
          <w:rtl/>
        </w:rPr>
        <w:t xml:space="preserve"> الذي خضع لكثير من التعديلات.</w:t>
      </w:r>
      <w:r w:rsidR="00411B03" w:rsidRPr="00D0101C">
        <w:rPr>
          <w:rFonts w:hint="cs"/>
          <w:rtl/>
        </w:rPr>
        <w:t xml:space="preserve"> </w:t>
      </w:r>
      <w:r w:rsidR="00411B03" w:rsidRPr="00D0101C">
        <w:rPr>
          <w:rtl/>
        </w:rPr>
        <w:t>ومُنح أول حقل من الحقول العليا الجديدة المكوَّنة من أسماء عامة لإدخاله منطقة جذر الإنترنت في أكتوبر 2013</w:t>
      </w:r>
      <w:r w:rsidR="00411B03" w:rsidRPr="00D0101C">
        <w:rPr>
          <w:rFonts w:hint="cs"/>
          <w:rtl/>
        </w:rPr>
        <w:t>،</w:t>
      </w:r>
      <w:r w:rsidR="00411B03" w:rsidRPr="00D0101C">
        <w:rPr>
          <w:rtl/>
        </w:rPr>
        <w:t xml:space="preserve"> </w:t>
      </w:r>
      <w:r w:rsidR="00411B03" w:rsidRPr="00D0101C">
        <w:rPr>
          <w:rFonts w:hint="cs"/>
          <w:rtl/>
        </w:rPr>
        <w:t>وكان</w:t>
      </w:r>
      <w:r w:rsidR="00411B03" w:rsidRPr="00D0101C">
        <w:rPr>
          <w:rtl/>
        </w:rPr>
        <w:t xml:space="preserve"> </w:t>
      </w:r>
      <w:r w:rsidR="00411B03" w:rsidRPr="00D0101C">
        <w:rPr>
          <w:rFonts w:hint="cs"/>
          <w:rtl/>
        </w:rPr>
        <w:t>أكثر من 200 1</w:t>
      </w:r>
      <w:r w:rsidR="00411B03" w:rsidRPr="00D0101C">
        <w:rPr>
          <w:rtl/>
        </w:rPr>
        <w:t xml:space="preserve"> حقل</w:t>
      </w:r>
      <w:r w:rsidR="00411B03" w:rsidRPr="00D0101C">
        <w:rPr>
          <w:rFonts w:hint="cs"/>
          <w:rtl/>
        </w:rPr>
        <w:t xml:space="preserve"> آخر</w:t>
      </w:r>
      <w:r w:rsidR="00411B03" w:rsidRPr="00D0101C">
        <w:rPr>
          <w:rtl/>
        </w:rPr>
        <w:t xml:space="preserve"> من الحقول العليا الجديدة المكوَّنة من أسماء عامة </w:t>
      </w:r>
      <w:r w:rsidR="00411B03" w:rsidRPr="00D0101C">
        <w:rPr>
          <w:rFonts w:hint="cs"/>
          <w:rtl/>
        </w:rPr>
        <w:t>قد مُنح بحلول يونيو 2017</w:t>
      </w:r>
      <w:r w:rsidR="00411B03" w:rsidRPr="00D0101C">
        <w:rPr>
          <w:rtl/>
        </w:rPr>
        <w:t>.</w:t>
      </w:r>
      <w:r w:rsidR="00411B03" w:rsidRPr="00D0101C">
        <w:rPr>
          <w:rStyle w:val="FootnoteReference"/>
          <w:rtl/>
        </w:rPr>
        <w:footnoteReference w:id="27"/>
      </w:r>
      <w:r w:rsidR="00411B03" w:rsidRPr="00D0101C">
        <w:rPr>
          <w:rFonts w:hint="cs"/>
          <w:rtl/>
        </w:rPr>
        <w:t xml:space="preserve"> </w:t>
      </w:r>
    </w:p>
    <w:p w:rsidR="0084516B" w:rsidRPr="00D0101C" w:rsidRDefault="0084516B" w:rsidP="006B40E5">
      <w:pPr>
        <w:pStyle w:val="NumberedParaAR"/>
      </w:pPr>
      <w:r w:rsidRPr="00D0101C">
        <w:rPr>
          <w:rtl/>
        </w:rPr>
        <w:t>و</w:t>
      </w:r>
      <w:r w:rsidRPr="00D0101C">
        <w:rPr>
          <w:rFonts w:hint="cs"/>
          <w:rtl/>
        </w:rPr>
        <w:t xml:space="preserve">لا يزال </w:t>
      </w:r>
      <w:r w:rsidR="006B40E5" w:rsidRPr="00D0101C">
        <w:rPr>
          <w:rFonts w:hint="cs"/>
          <w:rtl/>
        </w:rPr>
        <w:t>ال</w:t>
      </w:r>
      <w:r w:rsidRPr="00D0101C">
        <w:rPr>
          <w:rFonts w:hint="cs"/>
          <w:rtl/>
        </w:rPr>
        <w:t>م</w:t>
      </w:r>
      <w:r w:rsidRPr="00D0101C">
        <w:rPr>
          <w:rtl/>
        </w:rPr>
        <w:t xml:space="preserve">ركز ملتزماً بالتعاون مع </w:t>
      </w:r>
      <w:r w:rsidRPr="00D0101C">
        <w:rPr>
          <w:rFonts w:hint="cs"/>
          <w:rtl/>
        </w:rPr>
        <w:t>أصحاب المصلحة</w:t>
      </w:r>
      <w:r w:rsidRPr="00D0101C">
        <w:rPr>
          <w:rtl/>
        </w:rPr>
        <w:t xml:space="preserve"> للسعي إلى الحفاظ على الامتثال للمبادئ العامة لحماية الملكية الفكرية في </w:t>
      </w:r>
      <w:r w:rsidRPr="00D0101C">
        <w:rPr>
          <w:rFonts w:hint="cs"/>
          <w:rtl/>
        </w:rPr>
        <w:t>ال</w:t>
      </w:r>
      <w:r w:rsidRPr="00D0101C">
        <w:rPr>
          <w:rtl/>
        </w:rPr>
        <w:t xml:space="preserve">حقول </w:t>
      </w:r>
      <w:r w:rsidRPr="00D0101C">
        <w:rPr>
          <w:rFonts w:hint="cs"/>
          <w:rtl/>
        </w:rPr>
        <w:t>ال</w:t>
      </w:r>
      <w:r w:rsidRPr="00D0101C">
        <w:rPr>
          <w:rtl/>
        </w:rPr>
        <w:t xml:space="preserve">عليا </w:t>
      </w:r>
      <w:r w:rsidRPr="00D0101C">
        <w:rPr>
          <w:rFonts w:hint="cs"/>
          <w:rtl/>
        </w:rPr>
        <w:t>ال</w:t>
      </w:r>
      <w:r w:rsidRPr="00D0101C">
        <w:rPr>
          <w:rtl/>
        </w:rPr>
        <w:t xml:space="preserve">جديدة </w:t>
      </w:r>
      <w:r w:rsidRPr="00D0101C">
        <w:rPr>
          <w:rFonts w:hint="cs"/>
          <w:rtl/>
        </w:rPr>
        <w:t>ال</w:t>
      </w:r>
      <w:r w:rsidRPr="00D0101C">
        <w:rPr>
          <w:rtl/>
        </w:rPr>
        <w:t>مكونة من أسماء عامة</w:t>
      </w:r>
      <w:r w:rsidRPr="00D0101C">
        <w:rPr>
          <w:rFonts w:hint="cs"/>
          <w:rtl/>
        </w:rPr>
        <w:t>.</w:t>
      </w:r>
      <w:r w:rsidRPr="00D0101C">
        <w:rPr>
          <w:rtl/>
        </w:rPr>
        <w:t xml:space="preserve"> </w:t>
      </w:r>
      <w:r w:rsidRPr="00D0101C">
        <w:rPr>
          <w:rFonts w:hint="cs"/>
          <w:rtl/>
        </w:rPr>
        <w:t xml:space="preserve">وقد نشأ عدد من </w:t>
      </w:r>
      <w:r w:rsidRPr="00D0101C">
        <w:rPr>
          <w:rtl/>
        </w:rPr>
        <w:t xml:space="preserve">آليات حماية الحقوق عن سلسلة من اجتماعات لجان </w:t>
      </w:r>
      <w:proofErr w:type="spellStart"/>
      <w:r w:rsidRPr="00D0101C">
        <w:rPr>
          <w:rtl/>
        </w:rPr>
        <w:t>الإيكان</w:t>
      </w:r>
      <w:proofErr w:type="spellEnd"/>
      <w:r w:rsidRPr="00D0101C">
        <w:rPr>
          <w:rtl/>
        </w:rPr>
        <w:t xml:space="preserve"> وعملياتها المعنية بالحقول العليا الجديدة المكونة من أسماء عامة.</w:t>
      </w:r>
      <w:r w:rsidRPr="00D0101C">
        <w:rPr>
          <w:rStyle w:val="FootnoteReference"/>
          <w:rtl/>
        </w:rPr>
        <w:footnoteReference w:id="28"/>
      </w:r>
      <w:r w:rsidRPr="00D0101C">
        <w:rPr>
          <w:rtl/>
        </w:rPr>
        <w:t xml:space="preserve"> وفيما يلي وصف مستفيض </w:t>
      </w:r>
      <w:r w:rsidRPr="00D0101C">
        <w:rPr>
          <w:rFonts w:hint="cs"/>
          <w:rtl/>
        </w:rPr>
        <w:t>لهذه ا</w:t>
      </w:r>
      <w:r w:rsidRPr="00D0101C">
        <w:rPr>
          <w:rtl/>
        </w:rPr>
        <w:t xml:space="preserve">لآليات </w:t>
      </w:r>
      <w:r w:rsidRPr="00D0101C">
        <w:rPr>
          <w:rFonts w:hint="cs"/>
          <w:rtl/>
        </w:rPr>
        <w:t xml:space="preserve">الخاصة </w:t>
      </w:r>
      <w:proofErr w:type="spellStart"/>
      <w:r w:rsidRPr="00D0101C">
        <w:rPr>
          <w:rFonts w:hint="cs"/>
          <w:rtl/>
        </w:rPr>
        <w:t>بالإيكان</w:t>
      </w:r>
      <w:proofErr w:type="spellEnd"/>
      <w:r w:rsidRPr="00D0101C">
        <w:rPr>
          <w:rFonts w:hint="cs"/>
          <w:rtl/>
        </w:rPr>
        <w:t xml:space="preserve">، </w:t>
      </w:r>
      <w:r w:rsidRPr="00D0101C">
        <w:rPr>
          <w:rtl/>
        </w:rPr>
        <w:t xml:space="preserve">فيما يتعلق </w:t>
      </w:r>
      <w:r w:rsidRPr="00D0101C">
        <w:rPr>
          <w:rFonts w:hint="cs"/>
          <w:rtl/>
        </w:rPr>
        <w:t>ب</w:t>
      </w:r>
      <w:r w:rsidRPr="00D0101C">
        <w:rPr>
          <w:rtl/>
        </w:rPr>
        <w:t>الدرجة الأولى والدرجة الثانية على التوالي.</w:t>
      </w:r>
    </w:p>
    <w:p w:rsidR="00A24F8B" w:rsidRPr="00D0101C" w:rsidRDefault="00A24F8B" w:rsidP="00A24F8B">
      <w:pPr>
        <w:pStyle w:val="NumberedParaAR"/>
        <w:numPr>
          <w:ilvl w:val="0"/>
          <w:numId w:val="0"/>
        </w:numPr>
        <w:ind w:firstLine="567"/>
        <w:rPr>
          <w:u w:val="single"/>
          <w:rtl/>
          <w:lang w:bidi="ar-EG"/>
        </w:rPr>
      </w:pPr>
      <w:r w:rsidRPr="00D0101C">
        <w:rPr>
          <w:rFonts w:hint="cs"/>
          <w:rtl/>
          <w:lang w:bidi="ar-EG"/>
        </w:rPr>
        <w:t>(أ)</w:t>
      </w:r>
      <w:r w:rsidRPr="00D0101C">
        <w:rPr>
          <w:rtl/>
          <w:lang w:bidi="ar-EG"/>
        </w:rPr>
        <w:tab/>
      </w:r>
      <w:r w:rsidRPr="00D0101C">
        <w:rPr>
          <w:u w:val="single"/>
          <w:rtl/>
          <w:lang w:bidi="ar-EG"/>
        </w:rPr>
        <w:t>آليات حماية الحقوق من الدرجة الأولى</w:t>
      </w:r>
    </w:p>
    <w:p w:rsidR="00A24F8B" w:rsidRPr="00D0101C" w:rsidRDefault="00A24F8B" w:rsidP="00EF2C71">
      <w:pPr>
        <w:pStyle w:val="NumberedParaAR"/>
        <w:numPr>
          <w:ilvl w:val="0"/>
          <w:numId w:val="0"/>
        </w:numPr>
        <w:ind w:left="567" w:firstLine="567"/>
        <w:rPr>
          <w:lang w:bidi="ar-EG"/>
        </w:rPr>
      </w:pPr>
      <w:r w:rsidRPr="00D0101C">
        <w:rPr>
          <w:rFonts w:hint="cs"/>
          <w:rtl/>
          <w:lang w:bidi="ar-EG"/>
        </w:rPr>
        <w:t>"1"</w:t>
      </w:r>
      <w:r w:rsidRPr="00D0101C">
        <w:rPr>
          <w:rtl/>
          <w:lang w:bidi="ar-EG"/>
        </w:rPr>
        <w:tab/>
      </w:r>
      <w:r w:rsidRPr="00D0101C">
        <w:rPr>
          <w:u w:val="single"/>
          <w:rtl/>
          <w:lang w:bidi="ar-EG"/>
        </w:rPr>
        <w:t>إجراءات تسوية المنازعات قبل منح أسماء الحقول العليا</w:t>
      </w:r>
      <w:r w:rsidRPr="00D0101C">
        <w:rPr>
          <w:rFonts w:hint="cs"/>
          <w:rtl/>
          <w:lang w:bidi="ar-EG"/>
        </w:rPr>
        <w:t xml:space="preserve"> </w:t>
      </w:r>
    </w:p>
    <w:p w:rsidR="0015033A" w:rsidRPr="00D0101C" w:rsidRDefault="0015033A" w:rsidP="009400A2">
      <w:pPr>
        <w:pStyle w:val="NumberedParaAR"/>
      </w:pPr>
      <w:r w:rsidRPr="00D0101C">
        <w:rPr>
          <w:rFonts w:hint="cs"/>
          <w:rtl/>
        </w:rPr>
        <w:t>سمحت</w:t>
      </w:r>
      <w:r w:rsidRPr="00D0101C">
        <w:rPr>
          <w:rtl/>
        </w:rPr>
        <w:t xml:space="preserve"> هذه الآلية </w:t>
      </w:r>
      <w:r w:rsidRPr="00D0101C">
        <w:rPr>
          <w:rFonts w:hint="cs"/>
          <w:rtl/>
        </w:rPr>
        <w:t>لأصحاب</w:t>
      </w:r>
      <w:r w:rsidRPr="00D0101C">
        <w:rPr>
          <w:rtl/>
        </w:rPr>
        <w:t xml:space="preserve"> العلامات التجارية </w:t>
      </w:r>
      <w:r w:rsidRPr="00D0101C">
        <w:rPr>
          <w:rFonts w:hint="cs"/>
          <w:rtl/>
        </w:rPr>
        <w:t>ب</w:t>
      </w:r>
      <w:r w:rsidRPr="00D0101C">
        <w:rPr>
          <w:rtl/>
        </w:rPr>
        <w:t xml:space="preserve">التقدم باعتراضات قائمة على الحقوق القانونية ضد طلبات الحقول العليا الجديدة المكونة من أسماء عامة من الدرجة الأولى </w:t>
      </w:r>
      <w:r w:rsidR="009400A2" w:rsidRPr="00D0101C">
        <w:rPr>
          <w:rFonts w:hint="cs"/>
          <w:rtl/>
        </w:rPr>
        <w:t>حيث</w:t>
      </w:r>
      <w:r w:rsidRPr="00D0101C">
        <w:rPr>
          <w:rtl/>
        </w:rPr>
        <w:t xml:space="preserve"> تحقق</w:t>
      </w:r>
      <w:r w:rsidRPr="00D0101C">
        <w:rPr>
          <w:rFonts w:hint="cs"/>
          <w:rtl/>
        </w:rPr>
        <w:t>ت</w:t>
      </w:r>
      <w:r w:rsidRPr="00D0101C">
        <w:rPr>
          <w:rtl/>
        </w:rPr>
        <w:t xml:space="preserve"> معايير موضوعية معينة.</w:t>
      </w:r>
      <w:r w:rsidRPr="00D0101C">
        <w:rPr>
          <w:rStyle w:val="FootnoteReference"/>
          <w:rtl/>
        </w:rPr>
        <w:footnoteReference w:id="29"/>
      </w:r>
      <w:r w:rsidRPr="00D0101C">
        <w:rPr>
          <w:rtl/>
        </w:rPr>
        <w:t xml:space="preserve"> وقد ساعد مركز </w:t>
      </w:r>
      <w:proofErr w:type="spellStart"/>
      <w:r w:rsidRPr="00D0101C">
        <w:rPr>
          <w:rtl/>
        </w:rPr>
        <w:t>الويبو</w:t>
      </w:r>
      <w:proofErr w:type="spellEnd"/>
      <w:r w:rsidRPr="00D0101C">
        <w:rPr>
          <w:rtl/>
        </w:rPr>
        <w:t xml:space="preserve"> </w:t>
      </w:r>
      <w:proofErr w:type="spellStart"/>
      <w:r w:rsidRPr="00D0101C">
        <w:rPr>
          <w:rtl/>
        </w:rPr>
        <w:lastRenderedPageBreak/>
        <w:t>الإيكان</w:t>
      </w:r>
      <w:proofErr w:type="spellEnd"/>
      <w:r w:rsidRPr="00D0101C">
        <w:rPr>
          <w:rtl/>
        </w:rPr>
        <w:t xml:space="preserve"> في إنشاء </w:t>
      </w:r>
      <w:r w:rsidRPr="00D0101C">
        <w:rPr>
          <w:rFonts w:hint="cs"/>
          <w:rtl/>
        </w:rPr>
        <w:t xml:space="preserve">هذه </w:t>
      </w:r>
      <w:r w:rsidRPr="00D0101C">
        <w:rPr>
          <w:rtl/>
        </w:rPr>
        <w:t xml:space="preserve">المعايير </w:t>
      </w:r>
      <w:r w:rsidRPr="00D0101C">
        <w:rPr>
          <w:rFonts w:hint="cs"/>
          <w:rtl/>
        </w:rPr>
        <w:t>بناءً على</w:t>
      </w:r>
      <w:r w:rsidRPr="00D0101C">
        <w:rPr>
          <w:rtl/>
        </w:rPr>
        <w:t xml:space="preserve"> "توصية الويبو المشتركة بشأن الأحكام المتعلقة ب</w:t>
      </w:r>
      <w:r w:rsidRPr="00D0101C">
        <w:rPr>
          <w:rFonts w:hint="cs"/>
          <w:rtl/>
        </w:rPr>
        <w:t xml:space="preserve">حماية </w:t>
      </w:r>
      <w:r w:rsidRPr="00D0101C">
        <w:rPr>
          <w:rtl/>
        </w:rPr>
        <w:t>العلامات وغيرها من حقوق الملكية الصناعية في الإشارات على الإنترنت".</w:t>
      </w:r>
      <w:r w:rsidRPr="00D0101C">
        <w:rPr>
          <w:rStyle w:val="FootnoteReference"/>
        </w:rPr>
        <w:footnoteReference w:id="30"/>
      </w:r>
    </w:p>
    <w:p w:rsidR="0015033A" w:rsidRPr="00D0101C" w:rsidRDefault="0015033A" w:rsidP="00F0289F">
      <w:pPr>
        <w:pStyle w:val="NumberedParaAR"/>
      </w:pPr>
      <w:r w:rsidRPr="00D0101C">
        <w:rPr>
          <w:rtl/>
        </w:rPr>
        <w:t>و</w:t>
      </w:r>
      <w:r w:rsidRPr="00D0101C">
        <w:rPr>
          <w:rFonts w:hint="cs"/>
          <w:rtl/>
        </w:rPr>
        <w:t xml:space="preserve">بعد أن </w:t>
      </w:r>
      <w:r w:rsidRPr="00D0101C">
        <w:rPr>
          <w:rtl/>
        </w:rPr>
        <w:t xml:space="preserve">عيَّنت </w:t>
      </w:r>
      <w:proofErr w:type="spellStart"/>
      <w:r w:rsidRPr="00D0101C">
        <w:rPr>
          <w:rtl/>
        </w:rPr>
        <w:t>الإيكان</w:t>
      </w:r>
      <w:proofErr w:type="spellEnd"/>
      <w:r w:rsidRPr="00D0101C">
        <w:rPr>
          <w:rtl/>
        </w:rPr>
        <w:t xml:space="preserve"> </w:t>
      </w:r>
      <w:r w:rsidR="00F0289F" w:rsidRPr="00D0101C">
        <w:rPr>
          <w:rFonts w:hint="cs"/>
          <w:rtl/>
        </w:rPr>
        <w:t>ال</w:t>
      </w:r>
      <w:r w:rsidRPr="00D0101C">
        <w:rPr>
          <w:rtl/>
        </w:rPr>
        <w:t>مركز باعتباره الجهة الوحيدة لتقديم خدمات تسوية منازعات الاعتراضات القائمة على الحقوق القانونية</w:t>
      </w:r>
      <w:r w:rsidRPr="00D0101C">
        <w:rPr>
          <w:rFonts w:hint="cs"/>
          <w:rtl/>
        </w:rPr>
        <w:t>،</w:t>
      </w:r>
      <w:r w:rsidRPr="00D0101C">
        <w:rPr>
          <w:rStyle w:val="FootnoteReference"/>
          <w:rtl/>
        </w:rPr>
        <w:footnoteReference w:id="31"/>
      </w:r>
      <w:r w:rsidRPr="00D0101C">
        <w:rPr>
          <w:rtl/>
        </w:rPr>
        <w:t xml:space="preserve"> </w:t>
      </w:r>
      <w:r w:rsidRPr="00D0101C">
        <w:rPr>
          <w:rFonts w:hint="cs"/>
          <w:rtl/>
        </w:rPr>
        <w:t xml:space="preserve">تلقى </w:t>
      </w:r>
      <w:r w:rsidR="00F0289F" w:rsidRPr="00D0101C">
        <w:rPr>
          <w:rFonts w:hint="cs"/>
          <w:rtl/>
        </w:rPr>
        <w:t>ال</w:t>
      </w:r>
      <w:r w:rsidRPr="00D0101C">
        <w:rPr>
          <w:rtl/>
        </w:rPr>
        <w:t xml:space="preserve">مركز 69 اعتراضاً قائماً على الحقوق القانونية </w:t>
      </w:r>
      <w:r w:rsidRPr="00D0101C">
        <w:rPr>
          <w:rFonts w:hint="cs"/>
          <w:rtl/>
        </w:rPr>
        <w:t>وي</w:t>
      </w:r>
      <w:r w:rsidRPr="00D0101C">
        <w:rPr>
          <w:rtl/>
        </w:rPr>
        <w:t xml:space="preserve">لبي الشروط، واكتملت معالجة مركز </w:t>
      </w:r>
      <w:r w:rsidRPr="00D0101C">
        <w:rPr>
          <w:rFonts w:hint="cs"/>
          <w:rtl/>
        </w:rPr>
        <w:t xml:space="preserve">الويبو </w:t>
      </w:r>
      <w:r w:rsidRPr="00D0101C">
        <w:rPr>
          <w:rtl/>
        </w:rPr>
        <w:t xml:space="preserve">للاعتراضات </w:t>
      </w:r>
      <w:r w:rsidRPr="00D0101C">
        <w:rPr>
          <w:rFonts w:hint="cs"/>
          <w:rtl/>
        </w:rPr>
        <w:t>بحلول</w:t>
      </w:r>
      <w:r w:rsidRPr="00D0101C">
        <w:rPr>
          <w:rtl/>
        </w:rPr>
        <w:t xml:space="preserve"> سبتمبر 2013.</w:t>
      </w:r>
      <w:r w:rsidRPr="00D0101C">
        <w:rPr>
          <w:rStyle w:val="FootnoteReference"/>
          <w:rtl/>
        </w:rPr>
        <w:footnoteReference w:id="32"/>
      </w:r>
      <w:r w:rsidRPr="00D0101C">
        <w:rPr>
          <w:rtl/>
        </w:rPr>
        <w:t xml:space="preserve"> وجميع قرارات هيئة الخبراء المعنية بالاعتراضات القائمة على الحقوق القانونية في الويبو متاحة على </w:t>
      </w:r>
      <w:r w:rsidRPr="00D0101C">
        <w:rPr>
          <w:rFonts w:hint="cs"/>
          <w:rtl/>
        </w:rPr>
        <w:t>ال</w:t>
      </w:r>
      <w:r w:rsidRPr="00D0101C">
        <w:rPr>
          <w:rtl/>
        </w:rPr>
        <w:t>موقع</w:t>
      </w:r>
      <w:r w:rsidRPr="00D0101C">
        <w:rPr>
          <w:rFonts w:hint="cs"/>
          <w:rtl/>
        </w:rPr>
        <w:t xml:space="preserve"> الإلكتروني</w:t>
      </w:r>
      <w:r w:rsidRPr="00D0101C">
        <w:rPr>
          <w:rtl/>
        </w:rPr>
        <w:t xml:space="preserve"> </w:t>
      </w:r>
      <w:r w:rsidR="00F0289F" w:rsidRPr="00D0101C">
        <w:rPr>
          <w:rFonts w:hint="cs"/>
          <w:rtl/>
        </w:rPr>
        <w:t>ل</w:t>
      </w:r>
      <w:r w:rsidRPr="00D0101C">
        <w:rPr>
          <w:rFonts w:hint="cs"/>
          <w:rtl/>
        </w:rPr>
        <w:t>ل</w:t>
      </w:r>
      <w:r w:rsidR="00F0289F" w:rsidRPr="00D0101C">
        <w:rPr>
          <w:rtl/>
        </w:rPr>
        <w:t>مركز</w:t>
      </w:r>
      <w:r w:rsidRPr="00D0101C">
        <w:rPr>
          <w:rFonts w:hint="cs"/>
          <w:rtl/>
        </w:rPr>
        <w:t>،</w:t>
      </w:r>
      <w:r w:rsidRPr="00D0101C">
        <w:rPr>
          <w:rStyle w:val="FootnoteReference"/>
          <w:rtl/>
        </w:rPr>
        <w:footnoteReference w:id="33"/>
      </w:r>
      <w:r w:rsidRPr="00D0101C">
        <w:rPr>
          <w:rFonts w:hint="cs"/>
          <w:rtl/>
        </w:rPr>
        <w:t xml:space="preserve"> ويوجد على الموقع الإلكتروني أيضاً </w:t>
      </w:r>
      <w:r w:rsidRPr="00D0101C">
        <w:rPr>
          <w:rtl/>
        </w:rPr>
        <w:t>تقرير</w:t>
      </w:r>
      <w:r w:rsidRPr="00D0101C">
        <w:rPr>
          <w:rFonts w:hint="cs"/>
          <w:rtl/>
        </w:rPr>
        <w:t xml:space="preserve"> ل</w:t>
      </w:r>
      <w:r w:rsidR="00F0289F" w:rsidRPr="00D0101C">
        <w:rPr>
          <w:rFonts w:hint="cs"/>
          <w:rtl/>
        </w:rPr>
        <w:t>ل</w:t>
      </w:r>
      <w:r w:rsidRPr="00D0101C">
        <w:rPr>
          <w:rFonts w:hint="cs"/>
          <w:rtl/>
        </w:rPr>
        <w:t xml:space="preserve">مركز </w:t>
      </w:r>
      <w:r w:rsidRPr="00D0101C">
        <w:rPr>
          <w:rtl/>
        </w:rPr>
        <w:t>عن مسار الاعتراضات القائمة على الحقوق القانونية.</w:t>
      </w:r>
      <w:r w:rsidRPr="00D0101C">
        <w:rPr>
          <w:rStyle w:val="FootnoteReference"/>
        </w:rPr>
        <w:footnoteReference w:id="34"/>
      </w:r>
    </w:p>
    <w:p w:rsidR="000C4727" w:rsidRPr="00D0101C" w:rsidRDefault="000C4727" w:rsidP="000C4727">
      <w:pPr>
        <w:pStyle w:val="NumberedParaAR"/>
        <w:numPr>
          <w:ilvl w:val="0"/>
          <w:numId w:val="0"/>
        </w:numPr>
        <w:ind w:left="567" w:firstLine="567"/>
      </w:pPr>
      <w:r w:rsidRPr="00D0101C">
        <w:rPr>
          <w:rtl/>
        </w:rPr>
        <w:t>"2"</w:t>
      </w:r>
      <w:r w:rsidR="00EF2C71" w:rsidRPr="00D0101C">
        <w:tab/>
      </w:r>
      <w:r w:rsidRPr="00D0101C">
        <w:rPr>
          <w:u w:val="single"/>
          <w:rtl/>
          <w:lang w:bidi="ar-EG"/>
        </w:rPr>
        <w:t>إجراءات تسوية المنازعات بعد منح أسماء الحقول العليا</w:t>
      </w:r>
    </w:p>
    <w:p w:rsidR="007559DF" w:rsidRPr="00D0101C" w:rsidRDefault="007559DF" w:rsidP="007559DF">
      <w:pPr>
        <w:pStyle w:val="NumberedParaAR"/>
      </w:pPr>
      <w:r w:rsidRPr="00D0101C">
        <w:rPr>
          <w:rtl/>
        </w:rPr>
        <w:t xml:space="preserve">في بداية عام 2009، أرسل مركز </w:t>
      </w:r>
      <w:proofErr w:type="spellStart"/>
      <w:r w:rsidRPr="00D0101C">
        <w:rPr>
          <w:rtl/>
        </w:rPr>
        <w:t>الويبو</w:t>
      </w:r>
      <w:proofErr w:type="spellEnd"/>
      <w:r w:rsidRPr="00D0101C">
        <w:rPr>
          <w:rtl/>
        </w:rPr>
        <w:t xml:space="preserve"> إلى </w:t>
      </w:r>
      <w:proofErr w:type="spellStart"/>
      <w:r w:rsidRPr="00D0101C">
        <w:rPr>
          <w:rtl/>
        </w:rPr>
        <w:t>الإيكان</w:t>
      </w:r>
      <w:proofErr w:type="spellEnd"/>
      <w:r w:rsidRPr="00D0101C">
        <w:rPr>
          <w:rtl/>
        </w:rPr>
        <w:t xml:space="preserve"> اقتراحا</w:t>
      </w:r>
      <w:r w:rsidRPr="00D0101C">
        <w:rPr>
          <w:rFonts w:hint="cs"/>
          <w:rtl/>
        </w:rPr>
        <w:t>ً</w:t>
      </w:r>
      <w:r w:rsidRPr="00D0101C">
        <w:rPr>
          <w:rtl/>
        </w:rPr>
        <w:t xml:space="preserve"> موضوعيا</w:t>
      </w:r>
      <w:r w:rsidRPr="00D0101C">
        <w:rPr>
          <w:rFonts w:hint="cs"/>
          <w:rtl/>
        </w:rPr>
        <w:t>ً</w:t>
      </w:r>
      <w:r w:rsidRPr="00D0101C">
        <w:rPr>
          <w:rtl/>
        </w:rPr>
        <w:t xml:space="preserve"> ملموسا</w:t>
      </w:r>
      <w:r w:rsidRPr="00D0101C">
        <w:rPr>
          <w:rFonts w:hint="cs"/>
          <w:rtl/>
        </w:rPr>
        <w:t>ً</w:t>
      </w:r>
      <w:r w:rsidRPr="00D0101C">
        <w:rPr>
          <w:rtl/>
        </w:rPr>
        <w:t xml:space="preserve"> </w:t>
      </w:r>
      <w:r w:rsidRPr="00D0101C">
        <w:rPr>
          <w:rFonts w:hint="cs"/>
          <w:rtl/>
        </w:rPr>
        <w:t xml:space="preserve">لاعتماد خيار إداري دائم من شأنه أن يتيح إيداع الشكاوى على ما يُعتمد من </w:t>
      </w:r>
      <w:r w:rsidRPr="00D0101C">
        <w:rPr>
          <w:rtl/>
        </w:rPr>
        <w:t>حقول عليا جديدة مكونة من أسماء عامة يُزعم أن تشغيلها أو استخدامها الفعلي لدى مكتب التسجيل يتسبب في انتهاك العلامات التجارية أو يُسهم في ذلك إسهاماً مادياً.</w:t>
      </w:r>
      <w:r w:rsidRPr="00D0101C">
        <w:rPr>
          <w:rStyle w:val="FootnoteReference"/>
          <w:rtl/>
        </w:rPr>
        <w:footnoteReference w:id="35"/>
      </w:r>
      <w:r w:rsidRPr="00D0101C">
        <w:rPr>
          <w:rtl/>
        </w:rPr>
        <w:t xml:space="preserve"> و</w:t>
      </w:r>
      <w:r w:rsidRPr="00D0101C">
        <w:rPr>
          <w:rFonts w:hint="cs"/>
          <w:rtl/>
        </w:rPr>
        <w:t xml:space="preserve">كان </w:t>
      </w:r>
      <w:r w:rsidRPr="00D0101C">
        <w:rPr>
          <w:rtl/>
        </w:rPr>
        <w:t xml:space="preserve">الهدف من الاقتراح </w:t>
      </w:r>
      <w:r w:rsidRPr="00D0101C">
        <w:rPr>
          <w:rFonts w:hint="cs"/>
          <w:rtl/>
        </w:rPr>
        <w:t xml:space="preserve">هو </w:t>
      </w:r>
      <w:r w:rsidRPr="00D0101C">
        <w:rPr>
          <w:rtl/>
        </w:rPr>
        <w:t xml:space="preserve">تقديم المساعدة الموحدة إلى </w:t>
      </w:r>
      <w:proofErr w:type="spellStart"/>
      <w:r w:rsidRPr="00D0101C">
        <w:rPr>
          <w:rtl/>
        </w:rPr>
        <w:t>الإيكان</w:t>
      </w:r>
      <w:proofErr w:type="spellEnd"/>
      <w:r w:rsidRPr="00D0101C">
        <w:rPr>
          <w:rtl/>
        </w:rPr>
        <w:t xml:space="preserve"> من أجل التزامها بمراقبة الامتثال وتزويدها ببديل إداري للتقاضي أمام المحاكم وتشجيع الجهات الفاعلة المعنية على التحلي بسلوك مسؤول بما يشمل توفير الحصانات الملائمة.</w:t>
      </w:r>
      <w:r w:rsidRPr="00D0101C">
        <w:rPr>
          <w:rStyle w:val="FootnoteReference"/>
        </w:rPr>
        <w:footnoteReference w:id="36"/>
      </w:r>
    </w:p>
    <w:p w:rsidR="007559DF" w:rsidRPr="00D0101C" w:rsidRDefault="007559DF" w:rsidP="000C70F2">
      <w:pPr>
        <w:pStyle w:val="NumberedParaAR"/>
      </w:pPr>
      <w:r w:rsidRPr="00D0101C">
        <w:rPr>
          <w:rtl/>
        </w:rPr>
        <w:t xml:space="preserve">وبعد </w:t>
      </w:r>
      <w:r w:rsidRPr="00D0101C">
        <w:rPr>
          <w:rFonts w:hint="cs"/>
          <w:rtl/>
        </w:rPr>
        <w:t>إجراءات</w:t>
      </w:r>
      <w:r w:rsidRPr="00D0101C">
        <w:rPr>
          <w:rtl/>
        </w:rPr>
        <w:t xml:space="preserve"> </w:t>
      </w:r>
      <w:r w:rsidRPr="00D0101C">
        <w:rPr>
          <w:rFonts w:hint="cs"/>
          <w:rtl/>
        </w:rPr>
        <w:t xml:space="preserve">عديدة </w:t>
      </w:r>
      <w:proofErr w:type="spellStart"/>
      <w:r w:rsidRPr="00D0101C">
        <w:rPr>
          <w:rFonts w:hint="cs"/>
          <w:rtl/>
        </w:rPr>
        <w:t>ل</w:t>
      </w:r>
      <w:r w:rsidRPr="00D0101C">
        <w:rPr>
          <w:rtl/>
        </w:rPr>
        <w:t>لإيكان</w:t>
      </w:r>
      <w:proofErr w:type="spellEnd"/>
      <w:r w:rsidR="00861906" w:rsidRPr="00D0101C">
        <w:rPr>
          <w:rFonts w:hint="cs"/>
          <w:rtl/>
        </w:rPr>
        <w:t>،</w:t>
      </w:r>
      <w:r w:rsidRPr="00D0101C">
        <w:rPr>
          <w:rtl/>
        </w:rPr>
        <w:t xml:space="preserve"> </w:t>
      </w:r>
      <w:r w:rsidRPr="00D0101C">
        <w:rPr>
          <w:rFonts w:hint="cs"/>
          <w:rtl/>
        </w:rPr>
        <w:t xml:space="preserve">بما في ذلك </w:t>
      </w:r>
      <w:r w:rsidRPr="00D0101C">
        <w:rPr>
          <w:rtl/>
        </w:rPr>
        <w:t xml:space="preserve">مشاورات مع المسؤولين عن التسجيل، تظل جدوى إجراءات تسوية المنازعات بعد منح أسماء الحقول العليا بالصيغة التي اعتمدتها </w:t>
      </w:r>
      <w:proofErr w:type="spellStart"/>
      <w:r w:rsidRPr="00D0101C">
        <w:rPr>
          <w:rtl/>
        </w:rPr>
        <w:t>الإيكان</w:t>
      </w:r>
      <w:proofErr w:type="spellEnd"/>
      <w:r w:rsidRPr="00D0101C">
        <w:rPr>
          <w:rtl/>
        </w:rPr>
        <w:t xml:space="preserve"> غير أكيدة، ولا سيما نظراً لإضافة مجموعة إجراءات متداخلة ومسائل تتعلق بالنطاق الموضوعي المقصود من هذه الآلية. وفي ضوء المصالح السياسية المعنية، </w:t>
      </w:r>
      <w:r w:rsidRPr="00D0101C">
        <w:rPr>
          <w:rFonts w:hint="cs"/>
          <w:rtl/>
        </w:rPr>
        <w:t>اتفق</w:t>
      </w:r>
      <w:r w:rsidRPr="00D0101C">
        <w:rPr>
          <w:rtl/>
        </w:rPr>
        <w:t xml:space="preserve"> مركز </w:t>
      </w:r>
      <w:r w:rsidRPr="00D0101C">
        <w:rPr>
          <w:rFonts w:hint="cs"/>
          <w:rtl/>
        </w:rPr>
        <w:t xml:space="preserve">الويبو في عام 2013 مع </w:t>
      </w:r>
      <w:proofErr w:type="spellStart"/>
      <w:r w:rsidRPr="00D0101C">
        <w:rPr>
          <w:rtl/>
        </w:rPr>
        <w:t>الإيكان</w:t>
      </w:r>
      <w:proofErr w:type="spellEnd"/>
      <w:r w:rsidRPr="00D0101C">
        <w:rPr>
          <w:rtl/>
        </w:rPr>
        <w:t xml:space="preserve"> </w:t>
      </w:r>
      <w:r w:rsidRPr="00D0101C">
        <w:rPr>
          <w:rFonts w:hint="cs"/>
          <w:rtl/>
        </w:rPr>
        <w:t>على أن ي</w:t>
      </w:r>
      <w:r w:rsidRPr="00D0101C">
        <w:rPr>
          <w:rtl/>
        </w:rPr>
        <w:t>صبح مورداً لإجراءات تسوية المنازعات بعد منح أسماء الحقول فيما يتعلق بالعلامات</w:t>
      </w:r>
      <w:r w:rsidR="000C70F2" w:rsidRPr="00D0101C">
        <w:t> </w:t>
      </w:r>
      <w:r w:rsidRPr="00D0101C">
        <w:rPr>
          <w:rtl/>
        </w:rPr>
        <w:t>التجارية.</w:t>
      </w:r>
    </w:p>
    <w:p w:rsidR="00875814" w:rsidRPr="00D0101C" w:rsidRDefault="00875814" w:rsidP="00861906">
      <w:pPr>
        <w:pStyle w:val="NumberedParaAR"/>
        <w:keepNext/>
        <w:numPr>
          <w:ilvl w:val="0"/>
          <w:numId w:val="0"/>
        </w:numPr>
        <w:ind w:firstLine="567"/>
        <w:rPr>
          <w:rtl/>
        </w:rPr>
      </w:pPr>
      <w:r w:rsidRPr="00D0101C">
        <w:rPr>
          <w:rFonts w:hint="cs"/>
          <w:rtl/>
        </w:rPr>
        <w:lastRenderedPageBreak/>
        <w:t>(ب)</w:t>
      </w:r>
      <w:r w:rsidRPr="00D0101C">
        <w:rPr>
          <w:rtl/>
        </w:rPr>
        <w:tab/>
        <w:t>آليات حماية الحقوق من الدرجة الثانية</w:t>
      </w:r>
    </w:p>
    <w:p w:rsidR="00875814" w:rsidRPr="00D0101C" w:rsidRDefault="00875814" w:rsidP="00861906">
      <w:pPr>
        <w:pStyle w:val="NumberedParaAR"/>
        <w:keepNext/>
        <w:numPr>
          <w:ilvl w:val="0"/>
          <w:numId w:val="0"/>
        </w:numPr>
        <w:ind w:left="567" w:firstLine="567"/>
        <w:rPr>
          <w:lang w:bidi="ar-EG"/>
        </w:rPr>
      </w:pPr>
      <w:r w:rsidRPr="00D0101C">
        <w:rPr>
          <w:rFonts w:hint="cs"/>
          <w:rtl/>
        </w:rPr>
        <w:t>"1"</w:t>
      </w:r>
      <w:r w:rsidRPr="00D0101C">
        <w:rPr>
          <w:rtl/>
        </w:rPr>
        <w:tab/>
      </w:r>
      <w:r w:rsidRPr="00D0101C">
        <w:rPr>
          <w:u w:val="single"/>
          <w:rtl/>
        </w:rPr>
        <w:t>مركز تبادل المعلومات عن العلامات التجارية</w:t>
      </w:r>
    </w:p>
    <w:p w:rsidR="00070252" w:rsidRPr="00D0101C" w:rsidRDefault="00070252" w:rsidP="008D5909">
      <w:pPr>
        <w:pStyle w:val="NumberedParaAR"/>
      </w:pPr>
      <w:r w:rsidRPr="00D0101C">
        <w:rPr>
          <w:rtl/>
        </w:rPr>
        <w:t xml:space="preserve">يشمل برنامج الحقول العليا الجديدة المكونة من أسماء عامة الخاص </w:t>
      </w:r>
      <w:proofErr w:type="spellStart"/>
      <w:r w:rsidRPr="00D0101C">
        <w:rPr>
          <w:rtl/>
        </w:rPr>
        <w:t>بالإيكان</w:t>
      </w:r>
      <w:proofErr w:type="spellEnd"/>
      <w:r w:rsidRPr="00D0101C">
        <w:rPr>
          <w:rtl/>
        </w:rPr>
        <w:t xml:space="preserve"> "مركز تبادل المعلومات عن العلامات التجارية" باعتباره مستودعاً مركزياً للبيانات الأصلية عن العلامات التجارية التي يمكن ذكرها على أنها أساس لتقديم الطلبات بموجب آليات حماية الحقوق في الحقول العليا الجديدة المكونة من أسماء عامة.</w:t>
      </w:r>
      <w:r w:rsidRPr="00D0101C">
        <w:rPr>
          <w:rStyle w:val="FootnoteReference"/>
          <w:rtl/>
        </w:rPr>
        <w:footnoteReference w:id="37"/>
      </w:r>
      <w:r w:rsidRPr="00D0101C">
        <w:rPr>
          <w:rtl/>
        </w:rPr>
        <w:t xml:space="preserve"> وعقّب المركز بأنه </w:t>
      </w:r>
      <w:r w:rsidRPr="00D0101C">
        <w:rPr>
          <w:rFonts w:hint="cs"/>
          <w:rtl/>
        </w:rPr>
        <w:t xml:space="preserve">لا </w:t>
      </w:r>
      <w:r w:rsidRPr="00D0101C">
        <w:rPr>
          <w:rtl/>
        </w:rPr>
        <w:t xml:space="preserve">ينبغي </w:t>
      </w:r>
      <w:r w:rsidRPr="00D0101C">
        <w:rPr>
          <w:rFonts w:hint="cs"/>
          <w:rtl/>
        </w:rPr>
        <w:t>لمركز</w:t>
      </w:r>
      <w:r w:rsidRPr="00D0101C">
        <w:rPr>
          <w:rtl/>
        </w:rPr>
        <w:t xml:space="preserve"> تبادل المعلومات أ</w:t>
      </w:r>
      <w:r w:rsidRPr="00D0101C">
        <w:rPr>
          <w:rFonts w:hint="cs"/>
          <w:rtl/>
        </w:rPr>
        <w:t>ن</w:t>
      </w:r>
      <w:r w:rsidRPr="00D0101C">
        <w:rPr>
          <w:rtl/>
        </w:rPr>
        <w:t xml:space="preserve"> يثقل كاهل أصحاب الحقوق</w:t>
      </w:r>
      <w:r w:rsidRPr="00D0101C">
        <w:rPr>
          <w:rFonts w:hint="cs"/>
          <w:rtl/>
        </w:rPr>
        <w:t xml:space="preserve"> على نحو غير مُنصِف</w:t>
      </w:r>
      <w:r w:rsidRPr="00D0101C">
        <w:rPr>
          <w:rtl/>
        </w:rPr>
        <w:t xml:space="preserve"> عند معالجة تسجيلات العلامات التجارية الممنوحة بصفة شرعية بواسطة أنظمة الفحص والتسجيل كما هي مطبقة في أنظمة قضائية عالمية عديدة، وأنه يمكن، عند الاقتضاء، التفكير في تدابير عملية لتحديد أي ادعاءات بمطالبة غير </w:t>
      </w:r>
      <w:r w:rsidRPr="00D0101C">
        <w:rPr>
          <w:rFonts w:hint="cs"/>
          <w:rtl/>
        </w:rPr>
        <w:t>ملائمة</w:t>
      </w:r>
      <w:r w:rsidRPr="00D0101C">
        <w:rPr>
          <w:rtl/>
        </w:rPr>
        <w:t xml:space="preserve"> بالحقوق في سياقات محددة. </w:t>
      </w:r>
      <w:r w:rsidRPr="00D0101C">
        <w:rPr>
          <w:rFonts w:hint="cs"/>
          <w:rtl/>
        </w:rPr>
        <w:t>وتشير المعلومات المتاحة إلى</w:t>
      </w:r>
      <w:r w:rsidRPr="00D0101C">
        <w:rPr>
          <w:rtl/>
        </w:rPr>
        <w:t xml:space="preserve"> أنه </w:t>
      </w:r>
      <w:r w:rsidRPr="00D0101C">
        <w:rPr>
          <w:rFonts w:hint="cs"/>
          <w:rtl/>
        </w:rPr>
        <w:t>حتى مارس</w:t>
      </w:r>
      <w:r w:rsidRPr="00D0101C">
        <w:rPr>
          <w:rtl/>
        </w:rPr>
        <w:t xml:space="preserve"> </w:t>
      </w:r>
      <w:r w:rsidRPr="00D0101C">
        <w:rPr>
          <w:rFonts w:hint="cs"/>
          <w:rtl/>
        </w:rPr>
        <w:t>2017</w:t>
      </w:r>
      <w:r w:rsidRPr="00D0101C">
        <w:rPr>
          <w:rtl/>
        </w:rPr>
        <w:t xml:space="preserve">، </w:t>
      </w:r>
      <w:r w:rsidRPr="00D0101C">
        <w:rPr>
          <w:rFonts w:hint="cs"/>
          <w:rtl/>
        </w:rPr>
        <w:t>تلقى مركز تبادل المعلومات أكثر من</w:t>
      </w:r>
      <w:r w:rsidRPr="00D0101C">
        <w:rPr>
          <w:rtl/>
        </w:rPr>
        <w:t xml:space="preserve"> </w:t>
      </w:r>
      <w:r w:rsidR="008D5909" w:rsidRPr="00D0101C">
        <w:rPr>
          <w:rFonts w:hint="cs"/>
          <w:rtl/>
        </w:rPr>
        <w:t>000</w:t>
      </w:r>
      <w:r w:rsidRPr="00D0101C">
        <w:rPr>
          <w:rFonts w:hint="eastAsia"/>
          <w:rtl/>
        </w:rPr>
        <w:t> </w:t>
      </w:r>
      <w:r w:rsidRPr="00D0101C">
        <w:rPr>
          <w:rFonts w:hint="cs"/>
          <w:rtl/>
        </w:rPr>
        <w:t>42 مدخلاً</w:t>
      </w:r>
      <w:r w:rsidRPr="00D0101C">
        <w:rPr>
          <w:rtl/>
        </w:rPr>
        <w:t>.</w:t>
      </w:r>
      <w:r w:rsidRPr="00D0101C">
        <w:rPr>
          <w:rStyle w:val="FootnoteReference"/>
          <w:rtl/>
        </w:rPr>
        <w:footnoteReference w:id="38"/>
      </w:r>
    </w:p>
    <w:p w:rsidR="003B60CD" w:rsidRPr="00D0101C" w:rsidRDefault="003B60CD" w:rsidP="003B60CD">
      <w:pPr>
        <w:pStyle w:val="NumberedParaAR"/>
        <w:numPr>
          <w:ilvl w:val="0"/>
          <w:numId w:val="0"/>
        </w:numPr>
        <w:ind w:left="567" w:firstLine="567"/>
      </w:pPr>
      <w:r w:rsidRPr="00D0101C">
        <w:rPr>
          <w:rFonts w:hint="cs"/>
          <w:rtl/>
        </w:rPr>
        <w:t>"2"</w:t>
      </w:r>
      <w:r w:rsidRPr="00D0101C">
        <w:rPr>
          <w:rtl/>
        </w:rPr>
        <w:tab/>
      </w:r>
      <w:r w:rsidRPr="00D0101C">
        <w:rPr>
          <w:u w:val="single"/>
          <w:rtl/>
        </w:rPr>
        <w:t>الإجراء الموحد للوقف السريع</w:t>
      </w:r>
    </w:p>
    <w:p w:rsidR="00E763B4" w:rsidRPr="00D0101C" w:rsidRDefault="00E763B4" w:rsidP="00E763B4">
      <w:pPr>
        <w:pStyle w:val="NumberedParaAR"/>
      </w:pPr>
      <w:r w:rsidRPr="00D0101C">
        <w:rPr>
          <w:rtl/>
        </w:rPr>
        <w:t xml:space="preserve">على الرغم من بقاء السياسة الموحدة متاحة كأداة مجدية لتسوية منازعات الحقول العليا الجديدة المكونة من أسماء عامة والمتعلقة بنقل اسم حقل متنازع عليه إلى صاحب العلامة التجارية، فقد استحدثت </w:t>
      </w:r>
      <w:proofErr w:type="spellStart"/>
      <w:r w:rsidRPr="00D0101C">
        <w:rPr>
          <w:rtl/>
        </w:rPr>
        <w:t>الإيكان</w:t>
      </w:r>
      <w:proofErr w:type="spellEnd"/>
      <w:r w:rsidRPr="00D0101C">
        <w:rPr>
          <w:rtl/>
        </w:rPr>
        <w:t xml:space="preserve"> ما يقصد به أن يكون آلية من الدرجة الثانية لحماية الحقوق تكون أخف وقعا في الحالات المعنية.</w:t>
      </w:r>
      <w:r w:rsidRPr="00D0101C">
        <w:rPr>
          <w:rStyle w:val="FootnoteReference"/>
          <w:rtl/>
        </w:rPr>
        <w:footnoteReference w:id="39"/>
      </w:r>
    </w:p>
    <w:p w:rsidR="00E763B4" w:rsidRPr="00D0101C" w:rsidRDefault="00E763B4" w:rsidP="00E763B4">
      <w:pPr>
        <w:pStyle w:val="NumberedParaAR"/>
      </w:pPr>
      <w:r w:rsidRPr="00D0101C">
        <w:rPr>
          <w:rtl/>
        </w:rPr>
        <w:t>و</w:t>
      </w:r>
      <w:r w:rsidRPr="00D0101C">
        <w:rPr>
          <w:rFonts w:hint="cs"/>
          <w:rtl/>
        </w:rPr>
        <w:t xml:space="preserve">رغم أن </w:t>
      </w:r>
      <w:r w:rsidRPr="00D0101C">
        <w:rPr>
          <w:rtl/>
        </w:rPr>
        <w:t xml:space="preserve">النظام الموحد للوقف السريع نشأ عن سلسلة من مسارات </w:t>
      </w:r>
      <w:proofErr w:type="spellStart"/>
      <w:r w:rsidRPr="00D0101C">
        <w:rPr>
          <w:rtl/>
        </w:rPr>
        <w:t>الإيكان</w:t>
      </w:r>
      <w:proofErr w:type="spellEnd"/>
      <w:r w:rsidRPr="00D0101C">
        <w:rPr>
          <w:rtl/>
        </w:rPr>
        <w:t xml:space="preserve"> ولجانها، </w:t>
      </w:r>
      <w:r w:rsidRPr="00D0101C">
        <w:rPr>
          <w:rFonts w:hint="cs"/>
          <w:rtl/>
        </w:rPr>
        <w:t xml:space="preserve">فإنه لا يزال </w:t>
      </w:r>
      <w:r w:rsidRPr="00D0101C">
        <w:rPr>
          <w:rFonts w:hint="cs"/>
          <w:rtl/>
          <w:lang w:bidi="ar-EG"/>
        </w:rPr>
        <w:t>يثير عدداً من ال</w:t>
      </w:r>
      <w:r w:rsidRPr="00D0101C">
        <w:rPr>
          <w:rtl/>
        </w:rPr>
        <w:t>تساؤلات</w:t>
      </w:r>
      <w:r w:rsidRPr="00D0101C">
        <w:rPr>
          <w:rFonts w:hint="cs"/>
          <w:rtl/>
        </w:rPr>
        <w:t>،</w:t>
      </w:r>
      <w:r w:rsidRPr="00D0101C">
        <w:rPr>
          <w:rtl/>
        </w:rPr>
        <w:t xml:space="preserve"> منها علاق</w:t>
      </w:r>
      <w:r w:rsidRPr="00D0101C">
        <w:rPr>
          <w:rFonts w:hint="cs"/>
          <w:rtl/>
        </w:rPr>
        <w:t>ته ب</w:t>
      </w:r>
      <w:r w:rsidRPr="00D0101C">
        <w:rPr>
          <w:rtl/>
        </w:rPr>
        <w:t>السياسة الموحدة لتسوية المنازعات.</w:t>
      </w:r>
      <w:r w:rsidRPr="00D0101C">
        <w:rPr>
          <w:rStyle w:val="FootnoteReference"/>
          <w:rtl/>
        </w:rPr>
        <w:footnoteReference w:id="40"/>
      </w:r>
      <w:r w:rsidRPr="00D0101C">
        <w:rPr>
          <w:rtl/>
        </w:rPr>
        <w:t xml:space="preserve"> وقد دعت </w:t>
      </w:r>
      <w:proofErr w:type="spellStart"/>
      <w:r w:rsidRPr="00D0101C">
        <w:rPr>
          <w:rtl/>
        </w:rPr>
        <w:t>الإيكان</w:t>
      </w:r>
      <w:proofErr w:type="spellEnd"/>
      <w:r w:rsidRPr="00D0101C">
        <w:rPr>
          <w:rtl/>
        </w:rPr>
        <w:t xml:space="preserve"> إلى أن يتقدم المقدمون المحتملون لخدمات الإجراء الموحد للوقف السريع بعطاءاتهم، وبعد دراسة متأنية لنموذج </w:t>
      </w:r>
      <w:proofErr w:type="spellStart"/>
      <w:r w:rsidRPr="00D0101C">
        <w:rPr>
          <w:rtl/>
        </w:rPr>
        <w:t>الإيكان</w:t>
      </w:r>
      <w:proofErr w:type="spellEnd"/>
      <w:r w:rsidRPr="00D0101C">
        <w:rPr>
          <w:rtl/>
        </w:rPr>
        <w:t xml:space="preserve"> الخاص بالإجراء الموحد للوقف السريع والموارد ذات الصلة، أصبح من الواضح أن مركز الويبو </w:t>
      </w:r>
      <w:r w:rsidRPr="00D0101C">
        <w:rPr>
          <w:rFonts w:hint="cs"/>
          <w:rtl/>
        </w:rPr>
        <w:t>لم يكن</w:t>
      </w:r>
      <w:r w:rsidRPr="00D0101C">
        <w:rPr>
          <w:rtl/>
        </w:rPr>
        <w:t xml:space="preserve"> في وضع يسمح له بالتقدم بأي عطاء.</w:t>
      </w:r>
      <w:r w:rsidRPr="00D0101C">
        <w:rPr>
          <w:rStyle w:val="FootnoteReference"/>
          <w:rtl/>
        </w:rPr>
        <w:footnoteReference w:id="41"/>
      </w:r>
      <w:r w:rsidRPr="00D0101C">
        <w:rPr>
          <w:rtl/>
        </w:rPr>
        <w:t xml:space="preserve"> وما زال المركز يرصد التطورات عن كثب.</w:t>
      </w:r>
    </w:p>
    <w:p w:rsidR="003B60CD" w:rsidRPr="00D0101C" w:rsidRDefault="003D71BD" w:rsidP="00A60AC2">
      <w:pPr>
        <w:pStyle w:val="Heading2"/>
        <w:spacing w:after="240" w:line="360" w:lineRule="exact"/>
        <w:rPr>
          <w:rtl/>
          <w:lang w:bidi="ar-EG"/>
        </w:rPr>
      </w:pPr>
      <w:r w:rsidRPr="00D0101C">
        <w:rPr>
          <w:rtl/>
          <w:lang w:bidi="ar-EG"/>
        </w:rPr>
        <w:lastRenderedPageBreak/>
        <w:t>باء.</w:t>
      </w:r>
      <w:r w:rsidRPr="00D0101C">
        <w:rPr>
          <w:rtl/>
          <w:lang w:bidi="ar-EG"/>
        </w:rPr>
        <w:tab/>
        <w:t xml:space="preserve">مراجعة </w:t>
      </w:r>
      <w:proofErr w:type="spellStart"/>
      <w:r w:rsidRPr="00D0101C">
        <w:rPr>
          <w:rtl/>
          <w:lang w:bidi="ar-EG"/>
        </w:rPr>
        <w:t>الإيكان</w:t>
      </w:r>
      <w:proofErr w:type="spellEnd"/>
      <w:r w:rsidRPr="00D0101C">
        <w:rPr>
          <w:rtl/>
          <w:lang w:bidi="ar-EG"/>
        </w:rPr>
        <w:t xml:space="preserve"> المرتقبة للسياسة الموحدة لتسوية المنازعات المتعلقة بأسماء الحقول على الإنترنت التي وضعتها الويبو</w:t>
      </w:r>
      <w:r w:rsidR="002D65B8" w:rsidRPr="00D0101C">
        <w:rPr>
          <w:rFonts w:hint="cs"/>
          <w:rtl/>
          <w:lang w:bidi="ar-EG"/>
        </w:rPr>
        <w:t xml:space="preserve"> وغيرها من </w:t>
      </w:r>
      <w:r w:rsidR="002D65B8" w:rsidRPr="00D0101C">
        <w:rPr>
          <w:rtl/>
          <w:lang w:bidi="ar-EG"/>
        </w:rPr>
        <w:t xml:space="preserve">آليات </w:t>
      </w:r>
      <w:r w:rsidR="002D65B8" w:rsidRPr="00D0101C">
        <w:rPr>
          <w:rFonts w:hint="cs"/>
          <w:rtl/>
          <w:lang w:bidi="ar-EG"/>
        </w:rPr>
        <w:t>ح</w:t>
      </w:r>
      <w:r w:rsidR="002D65B8" w:rsidRPr="00D0101C">
        <w:rPr>
          <w:rtl/>
          <w:lang w:bidi="ar-EG"/>
        </w:rPr>
        <w:t>ماية الحقوق</w:t>
      </w:r>
    </w:p>
    <w:p w:rsidR="00F44807" w:rsidRPr="00D0101C" w:rsidRDefault="00F44807" w:rsidP="00A60AC2">
      <w:pPr>
        <w:pStyle w:val="NumberedParaAR"/>
      </w:pPr>
      <w:r w:rsidRPr="00D0101C">
        <w:rPr>
          <w:rtl/>
        </w:rPr>
        <w:t>إن السياسة الموحدة إذ تتكيف مع التطور المتواصل لنظام أسماء الحقول، فقد أخذت توفر بديلاً فعلياً عن المقاضاة أمام المحاكم لأصحاب العلامات التجارية وأصحاب تسجيلات أسماء الحقول والمسؤولين عن التسجيل. ولكن عقب مناقش</w:t>
      </w:r>
      <w:r w:rsidRPr="00D0101C">
        <w:rPr>
          <w:rFonts w:hint="cs"/>
          <w:rtl/>
        </w:rPr>
        <w:t>ات</w:t>
      </w:r>
      <w:r w:rsidR="000E37B0" w:rsidRPr="00D0101C">
        <w:rPr>
          <w:rFonts w:hint="cs"/>
          <w:rtl/>
        </w:rPr>
        <w:t xml:space="preserve"> أجريت عام 2011،</w:t>
      </w:r>
      <w:r w:rsidRPr="00D0101C">
        <w:rPr>
          <w:rtl/>
        </w:rPr>
        <w:t xml:space="preserve"> رأت فيها الغالبية العظمى من المشاركين أن </w:t>
      </w:r>
      <w:r w:rsidRPr="00D0101C">
        <w:rPr>
          <w:rFonts w:hint="cs"/>
          <w:rtl/>
        </w:rPr>
        <w:t xml:space="preserve">أي </w:t>
      </w:r>
      <w:r w:rsidRPr="00D0101C">
        <w:rPr>
          <w:rtl/>
        </w:rPr>
        <w:t>مراجعة</w:t>
      </w:r>
      <w:r w:rsidRPr="00D0101C">
        <w:rPr>
          <w:rFonts w:hint="cs"/>
          <w:rtl/>
        </w:rPr>
        <w:t xml:space="preserve"> تقوم بها</w:t>
      </w:r>
      <w:r w:rsidRPr="00D0101C">
        <w:rPr>
          <w:rtl/>
        </w:rPr>
        <w:t xml:space="preserve"> </w:t>
      </w:r>
      <w:proofErr w:type="spellStart"/>
      <w:r w:rsidRPr="00D0101C">
        <w:rPr>
          <w:rtl/>
        </w:rPr>
        <w:t>الإيكان</w:t>
      </w:r>
      <w:proofErr w:type="spellEnd"/>
      <w:r w:rsidRPr="00D0101C">
        <w:rPr>
          <w:rtl/>
        </w:rPr>
        <w:t xml:space="preserve"> </w:t>
      </w:r>
      <w:r w:rsidRPr="00D0101C">
        <w:rPr>
          <w:rFonts w:hint="cs"/>
          <w:rtl/>
        </w:rPr>
        <w:t>ل</w:t>
      </w:r>
      <w:r w:rsidRPr="00D0101C">
        <w:rPr>
          <w:rtl/>
        </w:rPr>
        <w:t>لسياسة الموحدة سيكون ضرره</w:t>
      </w:r>
      <w:r w:rsidRPr="00D0101C">
        <w:rPr>
          <w:rFonts w:hint="cs"/>
          <w:rtl/>
        </w:rPr>
        <w:t>ا</w:t>
      </w:r>
      <w:r w:rsidRPr="00D0101C">
        <w:rPr>
          <w:rtl/>
        </w:rPr>
        <w:t xml:space="preserve"> أكثر من نفعه</w:t>
      </w:r>
      <w:r w:rsidRPr="00D0101C">
        <w:rPr>
          <w:rFonts w:hint="cs"/>
          <w:rtl/>
        </w:rPr>
        <w:t>ا</w:t>
      </w:r>
      <w:r w:rsidRPr="00D0101C">
        <w:rPr>
          <w:rtl/>
        </w:rPr>
        <w:t>،</w:t>
      </w:r>
      <w:r w:rsidRPr="00D0101C">
        <w:rPr>
          <w:rStyle w:val="FootnoteReference"/>
          <w:rtl/>
        </w:rPr>
        <w:footnoteReference w:id="42"/>
      </w:r>
      <w:r w:rsidRPr="00D0101C">
        <w:rPr>
          <w:rtl/>
        </w:rPr>
        <w:t xml:space="preserve"> اتخذت المنظمة الداعمة للأسماء العامة التابعة </w:t>
      </w:r>
      <w:proofErr w:type="spellStart"/>
      <w:r w:rsidRPr="00D0101C">
        <w:rPr>
          <w:rtl/>
        </w:rPr>
        <w:t>لل</w:t>
      </w:r>
      <w:r w:rsidR="00A60AC2" w:rsidRPr="00D0101C">
        <w:rPr>
          <w:rFonts w:hint="cs"/>
          <w:rtl/>
        </w:rPr>
        <w:t>إ</w:t>
      </w:r>
      <w:r w:rsidRPr="00D0101C">
        <w:rPr>
          <w:rtl/>
        </w:rPr>
        <w:t>يكان</w:t>
      </w:r>
      <w:proofErr w:type="spellEnd"/>
      <w:r w:rsidRPr="00D0101C">
        <w:rPr>
          <w:rtl/>
        </w:rPr>
        <w:t xml:space="preserve"> قراراً بمراجعة السياسة الموحدة</w:t>
      </w:r>
      <w:r w:rsidRPr="00D0101C">
        <w:rPr>
          <w:rFonts w:hint="cs"/>
          <w:rtl/>
        </w:rPr>
        <w:t xml:space="preserve"> عقب إطلاق</w:t>
      </w:r>
      <w:r w:rsidR="000E37B0" w:rsidRPr="00D0101C">
        <w:rPr>
          <w:rtl/>
        </w:rPr>
        <w:t xml:space="preserve"> </w:t>
      </w:r>
      <w:r w:rsidR="000E37B0" w:rsidRPr="00D0101C">
        <w:rPr>
          <w:rFonts w:hint="cs"/>
          <w:rtl/>
        </w:rPr>
        <w:t>ح</w:t>
      </w:r>
      <w:r w:rsidRPr="00D0101C">
        <w:rPr>
          <w:rtl/>
        </w:rPr>
        <w:t xml:space="preserve">قول </w:t>
      </w:r>
      <w:r w:rsidR="000E37B0" w:rsidRPr="00D0101C">
        <w:rPr>
          <w:rFonts w:hint="cs"/>
          <w:rtl/>
        </w:rPr>
        <w:t xml:space="preserve">جديدة </w:t>
      </w:r>
      <w:r w:rsidR="000E37B0" w:rsidRPr="00D0101C">
        <w:rPr>
          <w:rtl/>
        </w:rPr>
        <w:t xml:space="preserve">عليا </w:t>
      </w:r>
      <w:r w:rsidR="000E37B0" w:rsidRPr="00D0101C">
        <w:rPr>
          <w:rFonts w:hint="cs"/>
          <w:rtl/>
        </w:rPr>
        <w:t>م</w:t>
      </w:r>
      <w:r w:rsidRPr="00D0101C">
        <w:rPr>
          <w:rtl/>
        </w:rPr>
        <w:t xml:space="preserve">كونة من أسماء </w:t>
      </w:r>
      <w:r w:rsidRPr="00D0101C">
        <w:rPr>
          <w:rFonts w:hint="cs"/>
          <w:rtl/>
        </w:rPr>
        <w:t>عامة</w:t>
      </w:r>
      <w:r w:rsidRPr="00D0101C">
        <w:rPr>
          <w:rFonts w:hint="cs"/>
          <w:rtl/>
          <w:lang w:bidi="ar-EG"/>
        </w:rPr>
        <w:t xml:space="preserve">. وصدر تقرير </w:t>
      </w:r>
      <w:proofErr w:type="spellStart"/>
      <w:r w:rsidRPr="00D0101C">
        <w:rPr>
          <w:rFonts w:hint="cs"/>
          <w:rtl/>
          <w:lang w:bidi="ar-EG"/>
        </w:rPr>
        <w:t>الإيكان</w:t>
      </w:r>
      <w:proofErr w:type="spellEnd"/>
      <w:r w:rsidR="003D7D28" w:rsidRPr="00D0101C">
        <w:rPr>
          <w:rFonts w:hint="cs"/>
          <w:rtl/>
          <w:lang w:bidi="ar-EG"/>
        </w:rPr>
        <w:t xml:space="preserve"> الأول</w:t>
      </w:r>
      <w:r w:rsidRPr="00D0101C">
        <w:rPr>
          <w:rFonts w:hint="cs"/>
          <w:rtl/>
          <w:lang w:bidi="ar-EG"/>
        </w:rPr>
        <w:t xml:space="preserve"> حول هذا الموضوع في أكتوبر 2015 ووصف طائفة من المسائل الجوهرية المعقدة والمتعلقة بالعملية</w:t>
      </w:r>
      <w:r w:rsidR="009863CA" w:rsidRPr="00D0101C">
        <w:rPr>
          <w:rFonts w:hint="cs"/>
          <w:rtl/>
          <w:lang w:bidi="ar-EG"/>
        </w:rPr>
        <w:t>.</w:t>
      </w:r>
      <w:r w:rsidRPr="00D0101C">
        <w:rPr>
          <w:rStyle w:val="FootnoteReference"/>
        </w:rPr>
        <w:footnoteReference w:id="43"/>
      </w:r>
      <w:r w:rsidRPr="00D0101C">
        <w:rPr>
          <w:rFonts w:hint="cs"/>
          <w:rtl/>
          <w:lang w:bidi="ar-EG"/>
        </w:rPr>
        <w:t xml:space="preserve"> وفي هذا الصدد، قدم مركز الويبو ملاحظات تبرز النجاح الطويل للسياسية الموحدة والمخاطر المرتبطة بأي محاولة من </w:t>
      </w:r>
      <w:proofErr w:type="spellStart"/>
      <w:r w:rsidRPr="00D0101C">
        <w:rPr>
          <w:rFonts w:hint="cs"/>
          <w:rtl/>
          <w:lang w:bidi="ar-EG"/>
        </w:rPr>
        <w:t>الإيكان</w:t>
      </w:r>
      <w:proofErr w:type="spellEnd"/>
      <w:r w:rsidRPr="00D0101C">
        <w:rPr>
          <w:rFonts w:hint="cs"/>
          <w:rtl/>
          <w:lang w:bidi="ar-EG"/>
        </w:rPr>
        <w:t xml:space="preserve"> لمراجعة السياسة الموحدة. وعقب فترة تعقيب عامة، أصدرت </w:t>
      </w:r>
      <w:proofErr w:type="spellStart"/>
      <w:r w:rsidRPr="00D0101C">
        <w:rPr>
          <w:rFonts w:hint="cs"/>
          <w:rtl/>
          <w:lang w:bidi="ar-EG"/>
        </w:rPr>
        <w:t>الإيكان</w:t>
      </w:r>
      <w:proofErr w:type="spellEnd"/>
      <w:r w:rsidRPr="00D0101C">
        <w:rPr>
          <w:rFonts w:hint="cs"/>
          <w:rtl/>
          <w:lang w:bidi="ar-EG"/>
        </w:rPr>
        <w:t xml:space="preserve"> تقريرها النهائي في يناير 2016 وأوصت فيه </w:t>
      </w:r>
      <w:r w:rsidRPr="00D0101C">
        <w:rPr>
          <w:rtl/>
          <w:lang w:bidi="ar-EG"/>
        </w:rPr>
        <w:t>المنظمة الداعمة للأسماء العامة</w:t>
      </w:r>
      <w:r w:rsidRPr="00D0101C">
        <w:rPr>
          <w:rFonts w:hint="cs"/>
          <w:rtl/>
          <w:lang w:bidi="ar-EG"/>
        </w:rPr>
        <w:t xml:space="preserve"> بإطلاق عملية تطوير السياسات لمراجعة جميع آليات حماية الحقوق على مرحلتين، وستركز المرحلة الأولى حاليا على آليات حماية الحقوق المطورة من أجل البرنامج الجديد للحقول العليا المكونة من أسماء عامة،</w:t>
      </w:r>
      <w:r w:rsidR="003D7D28" w:rsidRPr="00D0101C">
        <w:rPr>
          <w:rFonts w:hint="cs"/>
          <w:rtl/>
          <w:lang w:bidi="ar-EG"/>
        </w:rPr>
        <w:t xml:space="preserve"> وخاصة</w:t>
      </w:r>
      <w:r w:rsidR="00E266C4" w:rsidRPr="00D0101C">
        <w:rPr>
          <w:rtl/>
          <w:lang w:bidi="ar-EG"/>
        </w:rPr>
        <w:t xml:space="preserve"> مركز تبادل المعلومات عن العلامات التجارية</w:t>
      </w:r>
      <w:r w:rsidR="00E266C4" w:rsidRPr="00D0101C">
        <w:rPr>
          <w:rFonts w:hint="cs"/>
          <w:rtl/>
          <w:lang w:bidi="ar-EG"/>
        </w:rPr>
        <w:t xml:space="preserve"> (بما يشمل آليتي حماية الحقوق</w:t>
      </w:r>
      <w:r w:rsidR="00E266C4" w:rsidRPr="00D0101C">
        <w:rPr>
          <w:rtl/>
          <w:lang w:bidi="ar-EG"/>
        </w:rPr>
        <w:t xml:space="preserve"> </w:t>
      </w:r>
      <w:r w:rsidR="00E266C4" w:rsidRPr="00D0101C">
        <w:rPr>
          <w:rFonts w:hint="cs"/>
          <w:rtl/>
          <w:lang w:bidi="ar-EG"/>
        </w:rPr>
        <w:t>"</w:t>
      </w:r>
      <w:r w:rsidR="009C0F3A" w:rsidRPr="00D0101C">
        <w:rPr>
          <w:lang w:bidi="ar-EG"/>
        </w:rPr>
        <w:t>Sunrise</w:t>
      </w:r>
      <w:r w:rsidR="00E266C4" w:rsidRPr="00D0101C">
        <w:rPr>
          <w:rFonts w:hint="cs"/>
          <w:rtl/>
          <w:lang w:bidi="ar-EG"/>
        </w:rPr>
        <w:t>"</w:t>
      </w:r>
      <w:r w:rsidR="00E266C4" w:rsidRPr="00D0101C">
        <w:rPr>
          <w:rtl/>
          <w:lang w:bidi="ar-EG"/>
        </w:rPr>
        <w:t xml:space="preserve"> </w:t>
      </w:r>
      <w:r w:rsidR="00E266C4" w:rsidRPr="00D0101C">
        <w:rPr>
          <w:rFonts w:hint="cs"/>
          <w:rtl/>
          <w:lang w:bidi="ar-EG"/>
        </w:rPr>
        <w:t>و"</w:t>
      </w:r>
      <w:r w:rsidR="00E266C4" w:rsidRPr="00D0101C">
        <w:rPr>
          <w:rtl/>
          <w:lang w:bidi="ar-EG"/>
        </w:rPr>
        <w:t>المطالب</w:t>
      </w:r>
      <w:r w:rsidR="00E266C4" w:rsidRPr="00D0101C">
        <w:rPr>
          <w:rFonts w:hint="cs"/>
          <w:rtl/>
          <w:lang w:bidi="ar-EG"/>
        </w:rPr>
        <w:t>")،</w:t>
      </w:r>
      <w:r w:rsidRPr="00D0101C">
        <w:rPr>
          <w:rFonts w:hint="cs"/>
          <w:rtl/>
          <w:lang w:bidi="ar-EG"/>
        </w:rPr>
        <w:t xml:space="preserve"> وستركز المرحلة الثانية على السياسة الموحدة. </w:t>
      </w:r>
      <w:r w:rsidRPr="00D0101C">
        <w:rPr>
          <w:rStyle w:val="FootnoteReference"/>
          <w:rtl/>
          <w:lang w:bidi="ar-EG"/>
        </w:rPr>
        <w:footnoteReference w:id="44"/>
      </w:r>
      <w:r w:rsidRPr="00D0101C">
        <w:rPr>
          <w:rFonts w:hint="cs"/>
          <w:rtl/>
          <w:lang w:bidi="ar-EG"/>
        </w:rPr>
        <w:t xml:space="preserve"> وهذ</w:t>
      </w:r>
      <w:r w:rsidR="009863CA" w:rsidRPr="00D0101C">
        <w:rPr>
          <w:rFonts w:hint="cs"/>
          <w:rtl/>
          <w:lang w:bidi="ar-EG"/>
        </w:rPr>
        <w:t>ه</w:t>
      </w:r>
      <w:r w:rsidRPr="00D0101C">
        <w:rPr>
          <w:rFonts w:hint="cs"/>
          <w:rtl/>
          <w:lang w:bidi="ar-EG"/>
        </w:rPr>
        <w:t xml:space="preserve"> المسألة مدعاة لقلق بالغ ويواصل مركز الويبو متابعة نوايا أصحاب المصلحة في </w:t>
      </w:r>
      <w:proofErr w:type="spellStart"/>
      <w:r w:rsidRPr="00D0101C">
        <w:rPr>
          <w:rFonts w:hint="cs"/>
          <w:rtl/>
          <w:lang w:bidi="ar-EG"/>
        </w:rPr>
        <w:t>الإيكان</w:t>
      </w:r>
      <w:proofErr w:type="spellEnd"/>
      <w:r w:rsidRPr="00D0101C">
        <w:rPr>
          <w:rFonts w:hint="cs"/>
          <w:rtl/>
          <w:lang w:bidi="ar-EG"/>
        </w:rPr>
        <w:t xml:space="preserve"> عن كثب فيما يتعلق بالسياسة الموحدة وآليات حماية حقوق العلامة التجارية بوجه عام.</w:t>
      </w:r>
      <w:r w:rsidR="00C85CF0" w:rsidRPr="00D0101C">
        <w:rPr>
          <w:rFonts w:hint="cs"/>
          <w:rtl/>
          <w:lang w:bidi="ar-EG"/>
        </w:rPr>
        <w:t xml:space="preserve"> وفي إطار هذا الجهد، يتواصل المركز عند الاقتضاء مع أصحاب المصلحة المعنيين بالعلامات التجارية </w:t>
      </w:r>
      <w:r w:rsidR="00A93BFD" w:rsidRPr="00D0101C">
        <w:rPr>
          <w:rFonts w:hint="cs"/>
          <w:rtl/>
          <w:lang w:bidi="ar-EG"/>
        </w:rPr>
        <w:t xml:space="preserve">مثل </w:t>
      </w:r>
      <w:r w:rsidR="00A93BFD" w:rsidRPr="00D0101C">
        <w:rPr>
          <w:rtl/>
          <w:lang w:bidi="ar-EG"/>
        </w:rPr>
        <w:t>الرابطة الدولية للعلامات التجارية (</w:t>
      </w:r>
      <w:r w:rsidR="00A93BFD" w:rsidRPr="00D0101C">
        <w:rPr>
          <w:lang w:bidi="ar-EG"/>
        </w:rPr>
        <w:t>INTA</w:t>
      </w:r>
      <w:r w:rsidR="00A93BFD" w:rsidRPr="00D0101C">
        <w:rPr>
          <w:rtl/>
          <w:lang w:bidi="ar-EG"/>
        </w:rPr>
        <w:t>)</w:t>
      </w:r>
      <w:r w:rsidR="00A93BFD" w:rsidRPr="00D0101C">
        <w:rPr>
          <w:rFonts w:hint="cs"/>
          <w:rtl/>
          <w:lang w:bidi="ar-EG"/>
        </w:rPr>
        <w:t xml:space="preserve"> </w:t>
      </w:r>
      <w:r w:rsidR="00A93BFD" w:rsidRPr="00D0101C">
        <w:rPr>
          <w:rtl/>
          <w:lang w:bidi="ar-EG"/>
        </w:rPr>
        <w:t>وجمعية مالكي العلامات التجارية الأوروبيين (</w:t>
      </w:r>
      <w:r w:rsidR="00A93BFD" w:rsidRPr="00D0101C">
        <w:rPr>
          <w:lang w:bidi="ar-EG"/>
        </w:rPr>
        <w:t>MARQUES</w:t>
      </w:r>
      <w:r w:rsidR="00A93BFD" w:rsidRPr="00D0101C">
        <w:rPr>
          <w:rtl/>
          <w:lang w:bidi="ar-EG"/>
        </w:rPr>
        <w:t>)</w:t>
      </w:r>
      <w:r w:rsidR="00A93BFD" w:rsidRPr="00D0101C">
        <w:rPr>
          <w:rFonts w:hint="cs"/>
          <w:rtl/>
          <w:lang w:bidi="ar-EG"/>
        </w:rPr>
        <w:t xml:space="preserve">. </w:t>
      </w:r>
    </w:p>
    <w:p w:rsidR="00A93BFD" w:rsidRPr="00D0101C" w:rsidRDefault="00A93BFD" w:rsidP="00A60AC2">
      <w:pPr>
        <w:pStyle w:val="Heading2"/>
        <w:spacing w:after="240" w:line="360" w:lineRule="exact"/>
        <w:rPr>
          <w:rtl/>
        </w:rPr>
      </w:pPr>
      <w:r w:rsidRPr="00D0101C">
        <w:rPr>
          <w:rFonts w:hint="cs"/>
          <w:rtl/>
        </w:rPr>
        <w:t>جيم.</w:t>
      </w:r>
      <w:r w:rsidRPr="00D0101C">
        <w:rPr>
          <w:rFonts w:hint="cs"/>
          <w:rtl/>
        </w:rPr>
        <w:tab/>
      </w:r>
      <w:r w:rsidRPr="00D0101C">
        <w:rPr>
          <w:rtl/>
        </w:rPr>
        <w:t>أسماء الحقول الدولية</w:t>
      </w:r>
    </w:p>
    <w:p w:rsidR="00A24F8B" w:rsidRPr="00D0101C" w:rsidRDefault="00720E31" w:rsidP="00A60AC2">
      <w:pPr>
        <w:pStyle w:val="NumberedParaAR"/>
      </w:pPr>
      <w:r w:rsidRPr="00D0101C">
        <w:rPr>
          <w:rtl/>
        </w:rPr>
        <w:t xml:space="preserve">كما جاء في الفقرة </w:t>
      </w:r>
      <w:r w:rsidRPr="00D0101C">
        <w:rPr>
          <w:rFonts w:hint="cs"/>
          <w:rtl/>
        </w:rPr>
        <w:t>22</w:t>
      </w:r>
      <w:r w:rsidRPr="00D0101C">
        <w:rPr>
          <w:rtl/>
        </w:rPr>
        <w:t>، من أهم المستجدات المتعلقة بالسياسات في نظام أسماء الحقول هو بدء العمل بأسماء حقول دولية (بخط غير لاتيني) في الحقول العليا.</w:t>
      </w:r>
      <w:r w:rsidRPr="00D0101C">
        <w:rPr>
          <w:rStyle w:val="FootnoteReference"/>
          <w:rtl/>
        </w:rPr>
        <w:footnoteReference w:id="45"/>
      </w:r>
      <w:r w:rsidRPr="00D0101C">
        <w:rPr>
          <w:rtl/>
        </w:rPr>
        <w:t xml:space="preserve"> </w:t>
      </w:r>
      <w:r w:rsidRPr="00D0101C">
        <w:rPr>
          <w:rFonts w:hint="cs"/>
          <w:rtl/>
        </w:rPr>
        <w:t xml:space="preserve">وكان كثير منها </w:t>
      </w:r>
      <w:r w:rsidRPr="00D0101C">
        <w:rPr>
          <w:rtl/>
        </w:rPr>
        <w:t xml:space="preserve">ضمن أول الحقول العليا الجديدة المكونة من أسماء عامة التي تعلن </w:t>
      </w:r>
      <w:proofErr w:type="spellStart"/>
      <w:r w:rsidRPr="00D0101C">
        <w:rPr>
          <w:rtl/>
        </w:rPr>
        <w:t>الإيكان</w:t>
      </w:r>
      <w:proofErr w:type="spellEnd"/>
      <w:r w:rsidRPr="00D0101C">
        <w:rPr>
          <w:rtl/>
        </w:rPr>
        <w:t xml:space="preserve"> عن منحها في جذر نظام أسماء الحقول</w:t>
      </w:r>
      <w:r w:rsidRPr="00D0101C">
        <w:rPr>
          <w:rFonts w:hint="cs"/>
          <w:rtl/>
        </w:rPr>
        <w:t xml:space="preserve">. </w:t>
      </w:r>
    </w:p>
    <w:p w:rsidR="00720E31" w:rsidRPr="00D0101C" w:rsidRDefault="00720E31" w:rsidP="00A60AC2">
      <w:pPr>
        <w:pStyle w:val="Heading2"/>
        <w:spacing w:after="240" w:line="360" w:lineRule="exact"/>
        <w:rPr>
          <w:rtl/>
        </w:rPr>
      </w:pPr>
      <w:r w:rsidRPr="00D0101C">
        <w:rPr>
          <w:rFonts w:hint="cs"/>
          <w:rtl/>
        </w:rPr>
        <w:t>دال.</w:t>
      </w:r>
      <w:r w:rsidRPr="00D0101C">
        <w:rPr>
          <w:rFonts w:hint="cs"/>
          <w:rtl/>
        </w:rPr>
        <w:tab/>
      </w:r>
      <w:r w:rsidRPr="00D0101C">
        <w:rPr>
          <w:rtl/>
        </w:rPr>
        <w:t>أدوات تعريف أخرى</w:t>
      </w:r>
    </w:p>
    <w:p w:rsidR="00720E31" w:rsidRPr="00D0101C" w:rsidRDefault="00720E31" w:rsidP="00A60AC2">
      <w:pPr>
        <w:pStyle w:val="NumberedParaAR"/>
      </w:pPr>
      <w:r w:rsidRPr="00D0101C">
        <w:rPr>
          <w:rFonts w:hint="cs"/>
          <w:rtl/>
        </w:rPr>
        <w:t xml:space="preserve">علاوة على </w:t>
      </w:r>
      <w:r w:rsidRPr="00D0101C">
        <w:rPr>
          <w:rtl/>
        </w:rPr>
        <w:t xml:space="preserve">المستجدات المذكورة آنفاً وفيما يتعلق بها، تشهد هيئة </w:t>
      </w:r>
      <w:proofErr w:type="spellStart"/>
      <w:r w:rsidRPr="00D0101C">
        <w:rPr>
          <w:rtl/>
        </w:rPr>
        <w:t>الإيكان</w:t>
      </w:r>
      <w:proofErr w:type="spellEnd"/>
      <w:r w:rsidRPr="00D0101C">
        <w:rPr>
          <w:rtl/>
        </w:rPr>
        <w:t xml:space="preserve"> مستجدات إضافية مرتبطة بحماية أدوات تعريف العلامات غير التجارية.</w:t>
      </w:r>
    </w:p>
    <w:p w:rsidR="00712A2C" w:rsidRPr="00D0101C" w:rsidRDefault="00712A2C" w:rsidP="00A7418D">
      <w:pPr>
        <w:pStyle w:val="NumberedParaAR"/>
        <w:keepNext/>
        <w:numPr>
          <w:ilvl w:val="0"/>
          <w:numId w:val="0"/>
        </w:numPr>
        <w:ind w:firstLine="567"/>
        <w:rPr>
          <w:lang w:bidi="ar-EG"/>
        </w:rPr>
      </w:pPr>
      <w:r w:rsidRPr="00D0101C">
        <w:rPr>
          <w:rFonts w:hint="cs"/>
          <w:rtl/>
        </w:rPr>
        <w:lastRenderedPageBreak/>
        <w:t>(أ)</w:t>
      </w:r>
      <w:r w:rsidRPr="00D0101C">
        <w:rPr>
          <w:rtl/>
        </w:rPr>
        <w:tab/>
        <w:t>المنظمات الحكومية الدولية</w:t>
      </w:r>
    </w:p>
    <w:p w:rsidR="00712A2C" w:rsidRPr="00D0101C" w:rsidRDefault="00712A2C" w:rsidP="00712A2C">
      <w:pPr>
        <w:pStyle w:val="NumberedParaAR"/>
      </w:pPr>
      <w:r w:rsidRPr="00D0101C">
        <w:rPr>
          <w:rtl/>
        </w:rPr>
        <w:t xml:space="preserve">الجدير بالذكر أن مشروع الويبو الأول بشأن أسماء الحقول تناول العلاقة بين أسماء الحقول والعلامات التجارية. وتناول مشروع الويبو الثاني بشأن أسماء الحقول العلاقة بين أسماء الحقول وأنواع أخرى من أدوات التعريف لم يسبق تناولها، </w:t>
      </w:r>
      <w:r w:rsidRPr="00D0101C">
        <w:rPr>
          <w:rFonts w:hint="cs"/>
          <w:rtl/>
        </w:rPr>
        <w:t>منها</w:t>
      </w:r>
      <w:r w:rsidRPr="00D0101C">
        <w:rPr>
          <w:rtl/>
        </w:rPr>
        <w:t xml:space="preserve"> أسماء البلدان وأسماء المنظمات الحكومية الدولية ومختصراتها.</w:t>
      </w:r>
    </w:p>
    <w:p w:rsidR="00712A2C" w:rsidRPr="00D0101C" w:rsidRDefault="00712A2C" w:rsidP="00712A2C">
      <w:pPr>
        <w:pStyle w:val="NumberedParaAR"/>
      </w:pPr>
      <w:r w:rsidRPr="00D0101C">
        <w:rPr>
          <w:rtl/>
        </w:rPr>
        <w:t xml:space="preserve">وأوصت الجمعية العامة للويبو </w:t>
      </w:r>
      <w:r w:rsidRPr="00D0101C">
        <w:rPr>
          <w:rFonts w:hint="cs"/>
          <w:rtl/>
        </w:rPr>
        <w:t xml:space="preserve">لعام 2002 </w:t>
      </w:r>
      <w:r w:rsidRPr="00D0101C">
        <w:rPr>
          <w:rtl/>
        </w:rPr>
        <w:t>بتعديل السياسة الموحدة بغية حماية أسماء البلدان وأسماء المنظمات الحكومية الدولية ومختصراتها.</w:t>
      </w:r>
      <w:r w:rsidRPr="00D0101C">
        <w:rPr>
          <w:rStyle w:val="FootnoteReference"/>
          <w:rtl/>
        </w:rPr>
        <w:footnoteReference w:id="46"/>
      </w:r>
      <w:r w:rsidRPr="00D0101C">
        <w:rPr>
          <w:rtl/>
        </w:rPr>
        <w:t xml:space="preserve"> وأحالت أمانة الويبو هذه التوصيات إلى </w:t>
      </w:r>
      <w:proofErr w:type="spellStart"/>
      <w:r w:rsidRPr="00D0101C">
        <w:rPr>
          <w:rtl/>
        </w:rPr>
        <w:t>الإيكان</w:t>
      </w:r>
      <w:proofErr w:type="spellEnd"/>
      <w:r w:rsidRPr="00D0101C">
        <w:rPr>
          <w:rtl/>
        </w:rPr>
        <w:t xml:space="preserve"> في فبراير 2003.</w:t>
      </w:r>
      <w:r w:rsidRPr="00D0101C">
        <w:rPr>
          <w:rStyle w:val="FootnoteReference"/>
        </w:rPr>
        <w:footnoteReference w:id="47"/>
      </w:r>
    </w:p>
    <w:p w:rsidR="00712A2C" w:rsidRPr="00D0101C" w:rsidRDefault="00712A2C" w:rsidP="00FC7EA8">
      <w:pPr>
        <w:pStyle w:val="NumberedParaAR"/>
      </w:pPr>
      <w:r w:rsidRPr="00D0101C">
        <w:rPr>
          <w:rtl/>
        </w:rPr>
        <w:t xml:space="preserve">وعقب مداولات في </w:t>
      </w:r>
      <w:proofErr w:type="spellStart"/>
      <w:r w:rsidRPr="00D0101C">
        <w:rPr>
          <w:rtl/>
        </w:rPr>
        <w:t>الإيكان</w:t>
      </w:r>
      <w:proofErr w:type="spellEnd"/>
      <w:r w:rsidRPr="00D0101C">
        <w:rPr>
          <w:rtl/>
        </w:rPr>
        <w:t>،</w:t>
      </w:r>
      <w:r w:rsidRPr="00D0101C">
        <w:rPr>
          <w:rStyle w:val="FootnoteReference"/>
          <w:rtl/>
        </w:rPr>
        <w:footnoteReference w:id="48"/>
      </w:r>
      <w:r w:rsidRPr="00D0101C">
        <w:rPr>
          <w:rtl/>
        </w:rPr>
        <w:t xml:space="preserve"> أصبح دليل مودع طلب التسجيل الخاص بالحقول العليا الجديدة المكونة من أسماء عامة التابع </w:t>
      </w:r>
      <w:proofErr w:type="spellStart"/>
      <w:r w:rsidRPr="00D0101C">
        <w:rPr>
          <w:rtl/>
        </w:rPr>
        <w:t>للإيكان</w:t>
      </w:r>
      <w:proofErr w:type="spellEnd"/>
      <w:r w:rsidRPr="00D0101C">
        <w:rPr>
          <w:rtl/>
        </w:rPr>
        <w:t xml:space="preserve"> يقتصر</w:t>
      </w:r>
      <w:r w:rsidR="008D5909" w:rsidRPr="00D0101C">
        <w:rPr>
          <w:rFonts w:hint="cs"/>
          <w:rtl/>
        </w:rPr>
        <w:t>،</w:t>
      </w:r>
      <w:r w:rsidRPr="00D0101C">
        <w:rPr>
          <w:rtl/>
        </w:rPr>
        <w:t xml:space="preserve"> في موضوع حماية أسماء المنظمات الحكومية الدولية ومختصراتها على توفير إمكانية الانتصاف من خلال إجراءات الاعتراض قبل المنح المتعلقة بالدرجة الأولى (أي المطبقة على الحقول العليا)، وهذا ما ناقشته الفقرتان </w:t>
      </w:r>
      <w:r w:rsidRPr="00D0101C">
        <w:rPr>
          <w:rFonts w:hint="cs"/>
          <w:rtl/>
        </w:rPr>
        <w:t>2</w:t>
      </w:r>
      <w:r w:rsidR="00D47F75" w:rsidRPr="00D0101C">
        <w:rPr>
          <w:rFonts w:hint="cs"/>
          <w:rtl/>
        </w:rPr>
        <w:t>2</w:t>
      </w:r>
      <w:r w:rsidRPr="00D0101C">
        <w:rPr>
          <w:rtl/>
        </w:rPr>
        <w:t xml:space="preserve"> </w:t>
      </w:r>
      <w:r w:rsidRPr="00D0101C">
        <w:rPr>
          <w:rFonts w:hint="cs"/>
          <w:rtl/>
        </w:rPr>
        <w:t>و2</w:t>
      </w:r>
      <w:r w:rsidR="00D47F75" w:rsidRPr="00D0101C">
        <w:rPr>
          <w:rFonts w:hint="cs"/>
          <w:rtl/>
        </w:rPr>
        <w:t>3</w:t>
      </w:r>
      <w:r w:rsidRPr="00D0101C">
        <w:rPr>
          <w:rtl/>
        </w:rPr>
        <w:t xml:space="preserve"> أعلاه. إلا أنه بعد جهود متواصلة من المنظم</w:t>
      </w:r>
      <w:r w:rsidRPr="00D0101C">
        <w:rPr>
          <w:rFonts w:hint="cs"/>
          <w:rtl/>
        </w:rPr>
        <w:t>ات</w:t>
      </w:r>
      <w:r w:rsidRPr="00D0101C">
        <w:rPr>
          <w:rtl/>
        </w:rPr>
        <w:t xml:space="preserve"> الحكومية الدولية، أشارت اللجنة الاستشارية الحكومية التابعة </w:t>
      </w:r>
      <w:proofErr w:type="spellStart"/>
      <w:r w:rsidRPr="00D0101C">
        <w:rPr>
          <w:rtl/>
        </w:rPr>
        <w:t>للإيكان</w:t>
      </w:r>
      <w:proofErr w:type="spellEnd"/>
      <w:r w:rsidRPr="00D0101C">
        <w:rPr>
          <w:rtl/>
        </w:rPr>
        <w:t xml:space="preserve"> على مجلس </w:t>
      </w:r>
      <w:proofErr w:type="spellStart"/>
      <w:r w:rsidRPr="00D0101C">
        <w:rPr>
          <w:rtl/>
        </w:rPr>
        <w:t>الإيكان</w:t>
      </w:r>
      <w:proofErr w:type="spellEnd"/>
      <w:r w:rsidRPr="00D0101C">
        <w:rPr>
          <w:rtl/>
        </w:rPr>
        <w:t xml:space="preserve"> بأن تُمنح الحماية </w:t>
      </w:r>
      <w:r w:rsidRPr="00D0101C">
        <w:rPr>
          <w:rFonts w:hint="cs"/>
          <w:rtl/>
        </w:rPr>
        <w:t>لأدوات تعريف</w:t>
      </w:r>
      <w:r w:rsidRPr="00D0101C">
        <w:rPr>
          <w:rtl/>
        </w:rPr>
        <w:t xml:space="preserve"> المنظمات الحكومية الدولية ضد التسجيل غير الملائم من قبل الغير في نظام أسماء الحقول قبل منح أي حقل من الحقول العليا الجديدة المكونة من أسماء عامة.</w:t>
      </w:r>
      <w:r w:rsidRPr="00D0101C">
        <w:rPr>
          <w:rStyle w:val="FootnoteReference"/>
          <w:rtl/>
        </w:rPr>
        <w:footnoteReference w:id="49"/>
      </w:r>
      <w:r w:rsidRPr="00D0101C">
        <w:rPr>
          <w:rtl/>
        </w:rPr>
        <w:t xml:space="preserve"> وأشارت اللجنة الاستشارية الحكومية على مجلس </w:t>
      </w:r>
      <w:proofErr w:type="spellStart"/>
      <w:r w:rsidRPr="00D0101C">
        <w:rPr>
          <w:rtl/>
        </w:rPr>
        <w:t>الإيكان</w:t>
      </w:r>
      <w:proofErr w:type="spellEnd"/>
      <w:r w:rsidRPr="00D0101C">
        <w:rPr>
          <w:rtl/>
        </w:rPr>
        <w:t xml:space="preserve"> أيضا</w:t>
      </w:r>
      <w:r w:rsidRPr="00D0101C">
        <w:rPr>
          <w:rFonts w:hint="cs"/>
          <w:rtl/>
        </w:rPr>
        <w:t>ً</w:t>
      </w:r>
      <w:r w:rsidRPr="00D0101C">
        <w:rPr>
          <w:rtl/>
        </w:rPr>
        <w:t xml:space="preserve"> بأنه، استناداً إلى </w:t>
      </w:r>
      <w:r w:rsidRPr="00D0101C">
        <w:rPr>
          <w:rFonts w:hint="cs"/>
          <w:rtl/>
        </w:rPr>
        <w:t>ال</w:t>
      </w:r>
      <w:r w:rsidRPr="00D0101C">
        <w:rPr>
          <w:rtl/>
        </w:rPr>
        <w:t>معايير</w:t>
      </w:r>
      <w:r w:rsidRPr="00D0101C">
        <w:rPr>
          <w:rFonts w:hint="cs"/>
          <w:rtl/>
        </w:rPr>
        <w:t xml:space="preserve"> القائمة</w:t>
      </w:r>
      <w:r w:rsidRPr="00D0101C">
        <w:rPr>
          <w:rtl/>
        </w:rPr>
        <w:t xml:space="preserve"> لتسجيلات "</w:t>
      </w:r>
      <w:r w:rsidRPr="00D0101C">
        <w:t>.</w:t>
      </w:r>
      <w:proofErr w:type="spellStart"/>
      <w:r w:rsidRPr="00D0101C">
        <w:t>int</w:t>
      </w:r>
      <w:proofErr w:type="spellEnd"/>
      <w:r w:rsidRPr="00D0101C">
        <w:rPr>
          <w:rtl/>
        </w:rPr>
        <w:t>"</w:t>
      </w:r>
      <w:r w:rsidRPr="00D0101C">
        <w:rPr>
          <w:rFonts w:hint="cs"/>
          <w:rtl/>
        </w:rPr>
        <w:t xml:space="preserve"> التي </w:t>
      </w:r>
      <w:r w:rsidRPr="00D0101C">
        <w:rPr>
          <w:rtl/>
        </w:rPr>
        <w:t>من الدرجة الثانية، يمكن التعاون مع المنظمات الحكومية الدولية لإعداد قائمة بأسماء المنظمات الحكومية الدولية ومختصراتها التي ينبغي حمايتها</w:t>
      </w:r>
      <w:r w:rsidRPr="00D0101C">
        <w:rPr>
          <w:rFonts w:hint="cs"/>
          <w:rtl/>
        </w:rPr>
        <w:t xml:space="preserve"> </w:t>
      </w:r>
      <w:r w:rsidR="00254538" w:rsidRPr="00D0101C">
        <w:rPr>
          <w:rFonts w:hint="cs"/>
          <w:rtl/>
        </w:rPr>
        <w:t xml:space="preserve">من التسجيل </w:t>
      </w:r>
      <w:r w:rsidRPr="00D0101C">
        <w:rPr>
          <w:rFonts w:hint="cs"/>
          <w:rtl/>
        </w:rPr>
        <w:t xml:space="preserve">على الأقل </w:t>
      </w:r>
      <w:r w:rsidRPr="00D0101C">
        <w:rPr>
          <w:rtl/>
        </w:rPr>
        <w:t>بالمرحلة الحالية للحقول العليا الجديدة المكونة من أسماء عامة. كما أشارت اللجنة الاستشارية الحكومية على المجلس أيضاً بأ</w:t>
      </w:r>
      <w:r w:rsidR="00254538" w:rsidRPr="00D0101C">
        <w:rPr>
          <w:rtl/>
        </w:rPr>
        <w:t>نه، في انتظار العمل على التنفيذ</w:t>
      </w:r>
      <w:r w:rsidRPr="00D0101C">
        <w:rPr>
          <w:rtl/>
        </w:rPr>
        <w:t>، ينبغي منح حماية مؤقتة لأسماء المنظمات الحكومية الدولية ومختصراتها من خلال تعليق تسجيلات الغير</w:t>
      </w:r>
      <w:r w:rsidR="00254538" w:rsidRPr="00D0101C">
        <w:rPr>
          <w:rFonts w:hint="cs"/>
          <w:rtl/>
        </w:rPr>
        <w:t>؛ وفي</w:t>
      </w:r>
      <w:r w:rsidR="00FC7EA8" w:rsidRPr="00D0101C">
        <w:rPr>
          <w:rFonts w:hint="cs"/>
          <w:rtl/>
        </w:rPr>
        <w:t xml:space="preserve"> حين</w:t>
      </w:r>
      <w:r w:rsidR="00254538" w:rsidRPr="00D0101C">
        <w:rPr>
          <w:rFonts w:hint="cs"/>
          <w:rtl/>
        </w:rPr>
        <w:t xml:space="preserve"> أُحرز بعض التقدم في التنفيذ، فلا يزال يُعمل بهذا </w:t>
      </w:r>
      <w:r w:rsidR="00FC7EA8" w:rsidRPr="00D0101C">
        <w:rPr>
          <w:rFonts w:hint="cs"/>
          <w:rtl/>
        </w:rPr>
        <w:t>التعليق</w:t>
      </w:r>
      <w:r w:rsidR="00254538" w:rsidRPr="00D0101C">
        <w:rPr>
          <w:rFonts w:hint="cs"/>
          <w:rtl/>
        </w:rPr>
        <w:t>.</w:t>
      </w:r>
      <w:r w:rsidRPr="00D0101C">
        <w:rPr>
          <w:rtl/>
        </w:rPr>
        <w:t xml:space="preserve"> </w:t>
      </w:r>
    </w:p>
    <w:p w:rsidR="00015456" w:rsidRPr="00D0101C" w:rsidRDefault="00015456" w:rsidP="00DF5ADF">
      <w:pPr>
        <w:pStyle w:val="NumberedParaAR"/>
      </w:pPr>
      <w:r w:rsidRPr="00D0101C">
        <w:rPr>
          <w:rtl/>
        </w:rPr>
        <w:t xml:space="preserve">ورد مجلس </w:t>
      </w:r>
      <w:proofErr w:type="spellStart"/>
      <w:r w:rsidRPr="00D0101C">
        <w:rPr>
          <w:rtl/>
        </w:rPr>
        <w:t>الإيكان</w:t>
      </w:r>
      <w:proofErr w:type="spellEnd"/>
      <w:r w:rsidRPr="00D0101C">
        <w:rPr>
          <w:rtl/>
        </w:rPr>
        <w:t xml:space="preserve"> على اللجنة الاستشارية الحكومية قائلاً إنه كان قد اعتمد قرارا</w:t>
      </w:r>
      <w:r w:rsidRPr="00D0101C">
        <w:rPr>
          <w:rFonts w:hint="cs"/>
          <w:rtl/>
        </w:rPr>
        <w:t>ً</w:t>
      </w:r>
      <w:r w:rsidRPr="00D0101C">
        <w:rPr>
          <w:rtl/>
        </w:rPr>
        <w:t xml:space="preserve"> يضع الأساس لهذه الحماية المؤقتة من الدرجة الثانية استنادا</w:t>
      </w:r>
      <w:r w:rsidRPr="00D0101C">
        <w:rPr>
          <w:rFonts w:hint="cs"/>
          <w:rtl/>
        </w:rPr>
        <w:t>ً</w:t>
      </w:r>
      <w:r w:rsidRPr="00D0101C">
        <w:rPr>
          <w:rtl/>
        </w:rPr>
        <w:t xml:space="preserve"> إلى معايير "</w:t>
      </w:r>
      <w:r w:rsidRPr="00D0101C">
        <w:t>.</w:t>
      </w:r>
      <w:proofErr w:type="spellStart"/>
      <w:r w:rsidRPr="00D0101C">
        <w:t>int</w:t>
      </w:r>
      <w:proofErr w:type="spellEnd"/>
      <w:r w:rsidRPr="00D0101C">
        <w:rPr>
          <w:rtl/>
        </w:rPr>
        <w:t xml:space="preserve">" القائمة، وذلك </w:t>
      </w:r>
      <w:r w:rsidRPr="00D0101C">
        <w:rPr>
          <w:i/>
          <w:iCs/>
          <w:rtl/>
        </w:rPr>
        <w:t>عبر</w:t>
      </w:r>
      <w:r w:rsidRPr="00D0101C">
        <w:rPr>
          <w:rtl/>
        </w:rPr>
        <w:t xml:space="preserve"> قائمة احتياطية أعدتها </w:t>
      </w:r>
      <w:proofErr w:type="spellStart"/>
      <w:r w:rsidRPr="00D0101C">
        <w:rPr>
          <w:rtl/>
        </w:rPr>
        <w:t>الإيكان</w:t>
      </w:r>
      <w:proofErr w:type="spellEnd"/>
      <w:r w:rsidRPr="00D0101C">
        <w:rPr>
          <w:rtl/>
        </w:rPr>
        <w:t xml:space="preserve"> لأ</w:t>
      </w:r>
      <w:r w:rsidRPr="00D0101C">
        <w:rPr>
          <w:rFonts w:hint="cs"/>
          <w:rtl/>
        </w:rPr>
        <w:t xml:space="preserve">دوات تعريف </w:t>
      </w:r>
      <w:r w:rsidRPr="00D0101C">
        <w:rPr>
          <w:rtl/>
        </w:rPr>
        <w:t>المنظمات الحكومية الدولية، لكي يمنع على الغير تسجيلها من خلال اتفاق سجل الحقول العليا الجديدة المكونة من أسماء عامة. و</w:t>
      </w:r>
      <w:r w:rsidRPr="00D0101C">
        <w:rPr>
          <w:rFonts w:hint="cs"/>
          <w:rtl/>
        </w:rPr>
        <w:t>دعت</w:t>
      </w:r>
      <w:r w:rsidRPr="00D0101C">
        <w:rPr>
          <w:rtl/>
        </w:rPr>
        <w:t xml:space="preserve"> </w:t>
      </w:r>
      <w:proofErr w:type="spellStart"/>
      <w:r w:rsidRPr="00D0101C">
        <w:rPr>
          <w:rtl/>
        </w:rPr>
        <w:t>الإيكان</w:t>
      </w:r>
      <w:proofErr w:type="spellEnd"/>
      <w:r w:rsidRPr="00D0101C">
        <w:rPr>
          <w:rtl/>
        </w:rPr>
        <w:t xml:space="preserve"> المنظمات الحكومية الدولية المؤهلة إلى تعريف </w:t>
      </w:r>
      <w:proofErr w:type="spellStart"/>
      <w:r w:rsidRPr="00D0101C">
        <w:rPr>
          <w:rtl/>
        </w:rPr>
        <w:t>الإيكان</w:t>
      </w:r>
      <w:proofErr w:type="spellEnd"/>
      <w:r w:rsidRPr="00D0101C">
        <w:rPr>
          <w:rtl/>
        </w:rPr>
        <w:t xml:space="preserve"> بنفسها، وطلبت أيضا</w:t>
      </w:r>
      <w:r w:rsidRPr="00D0101C">
        <w:rPr>
          <w:rFonts w:hint="cs"/>
          <w:rtl/>
        </w:rPr>
        <w:t>ً</w:t>
      </w:r>
      <w:r w:rsidRPr="00D0101C">
        <w:rPr>
          <w:rtl/>
        </w:rPr>
        <w:t xml:space="preserve"> أن تقدم اللجنة الاستشارية الحكومية (مع المنظمات الحكومية الدولية) باقة منظمات حكومية دولية مجمعة تشمل المعايير وقائمة أسماء المنظمات الحكومية الدولية ومختصراتها التي </w:t>
      </w:r>
      <w:r w:rsidRPr="00D0101C">
        <w:rPr>
          <w:rFonts w:hint="cs"/>
          <w:rtl/>
        </w:rPr>
        <w:t>أوصت</w:t>
      </w:r>
      <w:r w:rsidRPr="00D0101C">
        <w:rPr>
          <w:rtl/>
        </w:rPr>
        <w:t xml:space="preserve"> اللجنة الاستشارية الحكومية بحمايتها.</w:t>
      </w:r>
      <w:r w:rsidRPr="00D0101C">
        <w:rPr>
          <w:rStyle w:val="FootnoteReference"/>
          <w:rtl/>
        </w:rPr>
        <w:footnoteReference w:id="50"/>
      </w:r>
      <w:r w:rsidRPr="00D0101C">
        <w:rPr>
          <w:rtl/>
        </w:rPr>
        <w:t xml:space="preserve"> ورداً على ذلك، وضع ائتلاف من المنظمات الحكومية الدولية معايير تستند إلى</w:t>
      </w:r>
      <w:r w:rsidRPr="00D0101C">
        <w:rPr>
          <w:rFonts w:hint="cs"/>
          <w:rtl/>
        </w:rPr>
        <w:t xml:space="preserve"> معايير</w:t>
      </w:r>
      <w:r w:rsidRPr="00D0101C">
        <w:rPr>
          <w:rtl/>
        </w:rPr>
        <w:t xml:space="preserve"> "</w:t>
      </w:r>
      <w:r w:rsidRPr="00D0101C">
        <w:t>.</w:t>
      </w:r>
      <w:proofErr w:type="spellStart"/>
      <w:r w:rsidRPr="00D0101C">
        <w:t>int</w:t>
      </w:r>
      <w:proofErr w:type="spellEnd"/>
      <w:r w:rsidRPr="00D0101C">
        <w:rPr>
          <w:rtl/>
        </w:rPr>
        <w:t xml:space="preserve">" لحماية المنظمات الحكومية الدولية وقائمة مصاحبة للمنظمات الحكومية الدولية، قدمها ائتلاف المنظمات الحكومية الدولية إلى مجلس </w:t>
      </w:r>
      <w:proofErr w:type="spellStart"/>
      <w:r w:rsidRPr="00D0101C">
        <w:rPr>
          <w:rtl/>
        </w:rPr>
        <w:t>الإيكان</w:t>
      </w:r>
      <w:proofErr w:type="spellEnd"/>
      <w:r w:rsidRPr="00D0101C">
        <w:rPr>
          <w:rtl/>
        </w:rPr>
        <w:t xml:space="preserve"> في فبراير 2013. وقد أعقب هذا تبليغ من اللجنة الاستشارية الحكومية إلى </w:t>
      </w:r>
      <w:r w:rsidRPr="00D0101C">
        <w:rPr>
          <w:rtl/>
        </w:rPr>
        <w:lastRenderedPageBreak/>
        <w:t xml:space="preserve">مجلس </w:t>
      </w:r>
      <w:proofErr w:type="spellStart"/>
      <w:r w:rsidRPr="00D0101C">
        <w:rPr>
          <w:rtl/>
        </w:rPr>
        <w:t>الإيكان</w:t>
      </w:r>
      <w:proofErr w:type="spellEnd"/>
      <w:r w:rsidRPr="00D0101C">
        <w:rPr>
          <w:rtl/>
        </w:rPr>
        <w:t xml:space="preserve"> بمشورة اللجنة الاستشارية الحكومية بشأن معايير الأهلية لحماية المنظمات الحكومية الدولية</w:t>
      </w:r>
      <w:r w:rsidRPr="00D0101C">
        <w:rPr>
          <w:rStyle w:val="FootnoteReference"/>
          <w:rtl/>
        </w:rPr>
        <w:footnoteReference w:id="51"/>
      </w:r>
      <w:r w:rsidRPr="00D0101C">
        <w:rPr>
          <w:rtl/>
        </w:rPr>
        <w:t>، إلى جانب قائمة بأسماء المنظمات الحكومية الدولية ومختصراتها التي يمكن حمايتها.</w:t>
      </w:r>
      <w:r w:rsidRPr="00D0101C">
        <w:rPr>
          <w:rStyle w:val="FootnoteReference"/>
          <w:rtl/>
        </w:rPr>
        <w:footnoteReference w:id="52"/>
      </w:r>
    </w:p>
    <w:p w:rsidR="00920F1F" w:rsidRPr="00D0101C" w:rsidRDefault="00015456" w:rsidP="009A28B4">
      <w:pPr>
        <w:pStyle w:val="NumberedParaAR"/>
      </w:pPr>
      <w:r w:rsidRPr="00D0101C">
        <w:rPr>
          <w:rtl/>
        </w:rPr>
        <w:t xml:space="preserve">وفي 1 أبريل 2013، </w:t>
      </w:r>
      <w:r w:rsidR="002C4BF4" w:rsidRPr="00D0101C">
        <w:rPr>
          <w:rFonts w:hint="cs"/>
          <w:rtl/>
        </w:rPr>
        <w:t>أبلغ</w:t>
      </w:r>
      <w:r w:rsidRPr="00D0101C">
        <w:rPr>
          <w:rtl/>
        </w:rPr>
        <w:t xml:space="preserve"> المجلس اللجنة الاستشارية الحكومية </w:t>
      </w:r>
      <w:r w:rsidR="002C4BF4" w:rsidRPr="00D0101C">
        <w:rPr>
          <w:rFonts w:hint="cs"/>
          <w:rtl/>
        </w:rPr>
        <w:t>بشواغله</w:t>
      </w:r>
      <w:r w:rsidRPr="00D0101C">
        <w:rPr>
          <w:rFonts w:hint="cs"/>
          <w:rtl/>
        </w:rPr>
        <w:t xml:space="preserve"> </w:t>
      </w:r>
      <w:r w:rsidRPr="00D0101C">
        <w:rPr>
          <w:rtl/>
        </w:rPr>
        <w:t xml:space="preserve">بشأن كيفية التوفيق بين حماية مختصرات المنظمات الحكومية الدولية ومحاولات الغير التي من المحتمل أن تكون مشروعة لتسجيل أسماء حقول تتطابق مع مختصر لمنظمة حكومية دولية يتمتع بالحماية، </w:t>
      </w:r>
      <w:r w:rsidR="002C4BF4" w:rsidRPr="00D0101C">
        <w:rPr>
          <w:rFonts w:hint="cs"/>
          <w:rtl/>
        </w:rPr>
        <w:t>وسأل كيف</w:t>
      </w:r>
      <w:r w:rsidRPr="00D0101C">
        <w:rPr>
          <w:rtl/>
        </w:rPr>
        <w:t xml:space="preserve"> يمكن التعامل على أرض الواقع مع حالات الاستخدام المتزامن التي من المحتمل أن تكون مشروعة.</w:t>
      </w:r>
      <w:r w:rsidRPr="00D0101C">
        <w:rPr>
          <w:rStyle w:val="FootnoteReference"/>
          <w:rtl/>
        </w:rPr>
        <w:footnoteReference w:id="53"/>
      </w:r>
      <w:r w:rsidRPr="00D0101C">
        <w:rPr>
          <w:rtl/>
        </w:rPr>
        <w:t xml:space="preserve"> </w:t>
      </w:r>
      <w:r w:rsidR="002C4BF4" w:rsidRPr="00D0101C">
        <w:rPr>
          <w:rtl/>
        </w:rPr>
        <w:t>وفي يوليو 2013، عقب المنا</w:t>
      </w:r>
      <w:r w:rsidR="009A28B4" w:rsidRPr="00D0101C">
        <w:rPr>
          <w:rtl/>
        </w:rPr>
        <w:t xml:space="preserve">قشات الإضافية التي أجريت مع </w:t>
      </w:r>
      <w:proofErr w:type="spellStart"/>
      <w:r w:rsidR="009A28B4" w:rsidRPr="00D0101C">
        <w:rPr>
          <w:rtl/>
        </w:rPr>
        <w:t>ال</w:t>
      </w:r>
      <w:r w:rsidR="009A28B4" w:rsidRPr="00D0101C">
        <w:rPr>
          <w:rFonts w:hint="cs"/>
          <w:rtl/>
        </w:rPr>
        <w:t>إي</w:t>
      </w:r>
      <w:r w:rsidR="002C4BF4" w:rsidRPr="00D0101C">
        <w:rPr>
          <w:rtl/>
        </w:rPr>
        <w:t>كان</w:t>
      </w:r>
      <w:proofErr w:type="spellEnd"/>
      <w:r w:rsidR="002C4BF4" w:rsidRPr="00D0101C">
        <w:rPr>
          <w:rtl/>
        </w:rPr>
        <w:t xml:space="preserve"> والجهود المضنية التي بذلتها المنظمات الحكومية الدولية، أصدرت اللجنة الاستشارية </w:t>
      </w:r>
      <w:r w:rsidR="00235D3F" w:rsidRPr="00D0101C">
        <w:rPr>
          <w:rFonts w:hint="cs"/>
          <w:rtl/>
        </w:rPr>
        <w:t>مشورة</w:t>
      </w:r>
      <w:r w:rsidR="002C4BF4" w:rsidRPr="00D0101C">
        <w:rPr>
          <w:rtl/>
        </w:rPr>
        <w:t xml:space="preserve"> لمجلس </w:t>
      </w:r>
      <w:proofErr w:type="spellStart"/>
      <w:r w:rsidR="009A28B4" w:rsidRPr="00D0101C">
        <w:rPr>
          <w:rtl/>
        </w:rPr>
        <w:t>ال</w:t>
      </w:r>
      <w:r w:rsidR="009A28B4" w:rsidRPr="00D0101C">
        <w:rPr>
          <w:rFonts w:hint="cs"/>
          <w:rtl/>
        </w:rPr>
        <w:t>إي</w:t>
      </w:r>
      <w:r w:rsidR="009A28B4" w:rsidRPr="00D0101C">
        <w:rPr>
          <w:rtl/>
        </w:rPr>
        <w:t>كان</w:t>
      </w:r>
      <w:proofErr w:type="spellEnd"/>
      <w:r w:rsidR="009A28B4" w:rsidRPr="00D0101C">
        <w:rPr>
          <w:rtl/>
        </w:rPr>
        <w:t xml:space="preserve"> </w:t>
      </w:r>
      <w:r w:rsidR="002C4BF4" w:rsidRPr="00D0101C">
        <w:rPr>
          <w:rtl/>
        </w:rPr>
        <w:t>تؤكد من جديد الحاجة إلى حماية وقائية خاصة لأسماء المنظمات الحكومية ومختصراتها في نظام أسماء الحقول.</w:t>
      </w:r>
      <w:r w:rsidR="002C4BF4" w:rsidRPr="00D0101C">
        <w:rPr>
          <w:rStyle w:val="FootnoteReference"/>
          <w:rtl/>
        </w:rPr>
        <w:footnoteReference w:id="54"/>
      </w:r>
      <w:r w:rsidR="002C4BF4" w:rsidRPr="00D0101C">
        <w:rPr>
          <w:rtl/>
        </w:rPr>
        <w:t xml:space="preserve"> وعقب إصدار هذه </w:t>
      </w:r>
      <w:r w:rsidR="00235D3F" w:rsidRPr="00D0101C">
        <w:rPr>
          <w:rFonts w:hint="cs"/>
          <w:rtl/>
        </w:rPr>
        <w:t>المشورة</w:t>
      </w:r>
      <w:r w:rsidR="002C4BF4" w:rsidRPr="00D0101C">
        <w:rPr>
          <w:rtl/>
        </w:rPr>
        <w:t xml:space="preserve"> أصدر مجلس </w:t>
      </w:r>
      <w:proofErr w:type="spellStart"/>
      <w:r w:rsidR="009A28B4" w:rsidRPr="00D0101C">
        <w:rPr>
          <w:rtl/>
        </w:rPr>
        <w:t>ال</w:t>
      </w:r>
      <w:r w:rsidR="009A28B4" w:rsidRPr="00D0101C">
        <w:rPr>
          <w:rFonts w:hint="cs"/>
          <w:rtl/>
        </w:rPr>
        <w:t>إي</w:t>
      </w:r>
      <w:r w:rsidR="009A28B4" w:rsidRPr="00D0101C">
        <w:rPr>
          <w:rtl/>
        </w:rPr>
        <w:t>كان</w:t>
      </w:r>
      <w:proofErr w:type="spellEnd"/>
      <w:r w:rsidR="009A28B4" w:rsidRPr="00D0101C">
        <w:rPr>
          <w:rtl/>
        </w:rPr>
        <w:t xml:space="preserve"> </w:t>
      </w:r>
      <w:r w:rsidR="002C4BF4" w:rsidRPr="00D0101C">
        <w:rPr>
          <w:rtl/>
        </w:rPr>
        <w:t xml:space="preserve">قراراً يمدد به الحماية المؤقتة للمنظمات الحكومية الدولية إلى حين عقد الاجتماع الأول للجنة برنامج الحقول العليا الجديدة المكوَّنة من أسماء عامة التابعة لمجلس </w:t>
      </w:r>
      <w:proofErr w:type="spellStart"/>
      <w:r w:rsidR="009A28B4" w:rsidRPr="00D0101C">
        <w:rPr>
          <w:rtl/>
        </w:rPr>
        <w:t>ال</w:t>
      </w:r>
      <w:r w:rsidR="009A28B4" w:rsidRPr="00D0101C">
        <w:rPr>
          <w:rFonts w:hint="cs"/>
          <w:rtl/>
        </w:rPr>
        <w:t>إي</w:t>
      </w:r>
      <w:r w:rsidR="009A28B4" w:rsidRPr="00D0101C">
        <w:rPr>
          <w:rtl/>
        </w:rPr>
        <w:t>كان</w:t>
      </w:r>
      <w:proofErr w:type="spellEnd"/>
      <w:r w:rsidR="009A28B4" w:rsidRPr="00D0101C">
        <w:rPr>
          <w:rtl/>
        </w:rPr>
        <w:t xml:space="preserve"> </w:t>
      </w:r>
      <w:r w:rsidR="002C4BF4" w:rsidRPr="00D0101C">
        <w:rPr>
          <w:rtl/>
        </w:rPr>
        <w:t xml:space="preserve">بعد عقد اجتماع </w:t>
      </w:r>
      <w:proofErr w:type="spellStart"/>
      <w:r w:rsidR="009A28B4" w:rsidRPr="00D0101C">
        <w:rPr>
          <w:rtl/>
        </w:rPr>
        <w:t>ال</w:t>
      </w:r>
      <w:r w:rsidR="009A28B4" w:rsidRPr="00D0101C">
        <w:rPr>
          <w:rFonts w:hint="cs"/>
          <w:rtl/>
        </w:rPr>
        <w:t>إي</w:t>
      </w:r>
      <w:r w:rsidR="009A28B4" w:rsidRPr="00D0101C">
        <w:rPr>
          <w:rtl/>
        </w:rPr>
        <w:t>كان</w:t>
      </w:r>
      <w:proofErr w:type="spellEnd"/>
      <w:r w:rsidR="009A28B4" w:rsidRPr="00D0101C">
        <w:rPr>
          <w:rtl/>
        </w:rPr>
        <w:t xml:space="preserve"> </w:t>
      </w:r>
      <w:r w:rsidR="002C4BF4" w:rsidRPr="00D0101C">
        <w:rPr>
          <w:rtl/>
        </w:rPr>
        <w:t>في نوفمبر 2013</w:t>
      </w:r>
      <w:r w:rsidR="00235D3F" w:rsidRPr="00D0101C">
        <w:rPr>
          <w:rFonts w:hint="cs"/>
          <w:rtl/>
        </w:rPr>
        <w:t>.</w:t>
      </w:r>
      <w:r w:rsidR="00235D3F" w:rsidRPr="00D0101C">
        <w:rPr>
          <w:rStyle w:val="FootnoteReference"/>
          <w:rtl/>
        </w:rPr>
        <w:footnoteReference w:id="55"/>
      </w:r>
    </w:p>
    <w:p w:rsidR="003F2A2D" w:rsidRPr="00D0101C" w:rsidRDefault="003F2A2D" w:rsidP="00235D3F">
      <w:pPr>
        <w:pStyle w:val="NumberedParaAR"/>
      </w:pPr>
      <w:r w:rsidRPr="00D0101C">
        <w:rPr>
          <w:rtl/>
        </w:rPr>
        <w:t>وفي أكتوبر 2013، تقدمت لجنة برنامج الحقول العليا الجديدة المكوَّنة من أسماء عامة باقتراح لحماية مختصرات المنظمات الحكومية الدولية في الدرجة الثانية، وكان ذلك الاقتراح بعيداً عن تزويد مختصرات المنظمات الحكومية الدولية بالحماية الوقائية الدائمة المتوخاة في البلاغات السابقة للجنة الاستشارية الحكومية.</w:t>
      </w:r>
      <w:r w:rsidRPr="00D0101C">
        <w:rPr>
          <w:rStyle w:val="FootnoteReference"/>
          <w:rtl/>
        </w:rPr>
        <w:footnoteReference w:id="56"/>
      </w:r>
      <w:r w:rsidRPr="00D0101C">
        <w:rPr>
          <w:rtl/>
        </w:rPr>
        <w:t xml:space="preserve"> </w:t>
      </w:r>
    </w:p>
    <w:p w:rsidR="00853F0E" w:rsidRPr="00D0101C" w:rsidRDefault="00E2113B" w:rsidP="00CA4EED">
      <w:pPr>
        <w:pStyle w:val="NumberedParaAR"/>
      </w:pPr>
      <w:r w:rsidRPr="00D0101C">
        <w:rPr>
          <w:rtl/>
        </w:rPr>
        <w:t>و</w:t>
      </w:r>
      <w:r w:rsidR="00CA4EED" w:rsidRPr="00D0101C">
        <w:rPr>
          <w:rFonts w:hint="cs"/>
          <w:rtl/>
          <w:lang w:val="fr-FR" w:bidi="ar-EG"/>
        </w:rPr>
        <w:t>إ</w:t>
      </w:r>
      <w:proofErr w:type="spellStart"/>
      <w:r w:rsidRPr="00D0101C">
        <w:rPr>
          <w:rtl/>
        </w:rPr>
        <w:t>لى</w:t>
      </w:r>
      <w:proofErr w:type="spellEnd"/>
      <w:r w:rsidRPr="00D0101C">
        <w:rPr>
          <w:rtl/>
        </w:rPr>
        <w:t xml:space="preserve"> جانب الجهود</w:t>
      </w:r>
      <w:r w:rsidRPr="00D0101C">
        <w:rPr>
          <w:rFonts w:hint="cs"/>
          <w:rtl/>
        </w:rPr>
        <w:t xml:space="preserve"> التي بذلتها </w:t>
      </w:r>
      <w:r w:rsidRPr="00D0101C">
        <w:rPr>
          <w:rtl/>
        </w:rPr>
        <w:t>لجنة برنامج الحقول العليا الجديدة المكوَّنة من أسماء عامة واللجنة الاستشارية الحكومية والمنظمات الحكومية الدولية،</w:t>
      </w:r>
      <w:r w:rsidRPr="00D0101C">
        <w:rPr>
          <w:rStyle w:val="FootnoteReference"/>
          <w:rtl/>
        </w:rPr>
        <w:footnoteReference w:id="57"/>
      </w:r>
      <w:r w:rsidRPr="00D0101C">
        <w:rPr>
          <w:rtl/>
        </w:rPr>
        <w:t xml:space="preserve"> شرعت</w:t>
      </w:r>
      <w:r w:rsidR="005675CA" w:rsidRPr="00D0101C">
        <w:rPr>
          <w:rtl/>
        </w:rPr>
        <w:t xml:space="preserve"> المنظمة الداعمة للأسماء العامة</w:t>
      </w:r>
      <w:r w:rsidRPr="00D0101C">
        <w:rPr>
          <w:rtl/>
        </w:rPr>
        <w:t xml:space="preserve"> التابعة </w:t>
      </w:r>
      <w:proofErr w:type="spellStart"/>
      <w:r w:rsidRPr="00D0101C">
        <w:rPr>
          <w:rtl/>
        </w:rPr>
        <w:t>للإيكان</w:t>
      </w:r>
      <w:proofErr w:type="spellEnd"/>
      <w:r w:rsidRPr="00D0101C">
        <w:rPr>
          <w:rtl/>
        </w:rPr>
        <w:t xml:space="preserve"> في عملية لوضع السياسات بخصوص حماية المنظمات الحكومية الدولية، وقد شارك المركز مع ممثلي بعض المنظمات الحكومية الدولية الأخرى في تلك العملية. وعلاوة على اعتراضات المنظمات الحكومية الدولية، </w:t>
      </w:r>
      <w:r w:rsidRPr="00D0101C">
        <w:rPr>
          <w:rFonts w:hint="cs"/>
          <w:rtl/>
        </w:rPr>
        <w:t>رفضت</w:t>
      </w:r>
      <w:r w:rsidRPr="00D0101C">
        <w:rPr>
          <w:rtl/>
        </w:rPr>
        <w:t xml:space="preserve"> العملية التي شرعت فيها المنظمة الداعمة للأسماء العامة </w:t>
      </w:r>
      <w:r w:rsidRPr="00D0101C">
        <w:rPr>
          <w:rFonts w:hint="cs"/>
          <w:rtl/>
        </w:rPr>
        <w:t>بشكل واسع</w:t>
      </w:r>
      <w:r w:rsidRPr="00D0101C">
        <w:rPr>
          <w:rtl/>
        </w:rPr>
        <w:t xml:space="preserve"> الحماية الوقائية لأسماء المنظمات الحكومية الدولية ومختصراتها من الدرجة الثانية.</w:t>
      </w:r>
      <w:r w:rsidR="00D03546" w:rsidRPr="00D0101C">
        <w:rPr>
          <w:rFonts w:hint="cs"/>
          <w:rtl/>
        </w:rPr>
        <w:t xml:space="preserve"> </w:t>
      </w:r>
      <w:r w:rsidR="00853F0E" w:rsidRPr="00D0101C">
        <w:rPr>
          <w:rtl/>
        </w:rPr>
        <w:t>وبدلاً من ذلك، أوصت بالاقتصار على آليات توفر حماية وقائية لمختصرات المنظمات الحكومية الدولية، وإزالة الحماية المؤقتة السارية على مختصرات المنظمات الحكومية الدولية.</w:t>
      </w:r>
      <w:r w:rsidR="00853F0E" w:rsidRPr="00D0101C">
        <w:rPr>
          <w:rFonts w:hint="cs"/>
          <w:rtl/>
        </w:rPr>
        <w:t xml:space="preserve"> </w:t>
      </w:r>
      <w:r w:rsidR="00853F0E" w:rsidRPr="00D0101C">
        <w:rPr>
          <w:rtl/>
        </w:rPr>
        <w:t>واعتمد مجلس المنظمة الداعمة للأسماء العامة هاتين التوصيتين بالإجماع في نوفمبر 2013.</w:t>
      </w:r>
      <w:r w:rsidR="00853F0E" w:rsidRPr="00D0101C">
        <w:rPr>
          <w:rFonts w:hint="cs"/>
          <w:rtl/>
        </w:rPr>
        <w:t xml:space="preserve"> </w:t>
      </w:r>
      <w:r w:rsidR="00853F0E" w:rsidRPr="00D0101C">
        <w:rPr>
          <w:rtl/>
        </w:rPr>
        <w:t xml:space="preserve">وفي أبريل 2014، قرر مجلس </w:t>
      </w:r>
      <w:proofErr w:type="spellStart"/>
      <w:r w:rsidR="00E82076" w:rsidRPr="00D0101C">
        <w:rPr>
          <w:rtl/>
        </w:rPr>
        <w:t>ال</w:t>
      </w:r>
      <w:r w:rsidR="00E82076" w:rsidRPr="00D0101C">
        <w:rPr>
          <w:rFonts w:hint="cs"/>
          <w:rtl/>
        </w:rPr>
        <w:t>إي</w:t>
      </w:r>
      <w:r w:rsidR="00E82076" w:rsidRPr="00D0101C">
        <w:rPr>
          <w:rtl/>
        </w:rPr>
        <w:t>كان</w:t>
      </w:r>
      <w:proofErr w:type="spellEnd"/>
      <w:r w:rsidR="00E82076" w:rsidRPr="00D0101C">
        <w:rPr>
          <w:rtl/>
        </w:rPr>
        <w:t xml:space="preserve"> </w:t>
      </w:r>
      <w:r w:rsidR="00853F0E" w:rsidRPr="00D0101C">
        <w:rPr>
          <w:rtl/>
        </w:rPr>
        <w:t>اعتماد توصيات مجلس المنظمة الداعمة للأسماء العامة التي لا تتعارض مع مشورة اللجنة الاستشارية الحكومية</w:t>
      </w:r>
      <w:r w:rsidR="00853F0E" w:rsidRPr="00D0101C">
        <w:rPr>
          <w:rFonts w:hint="cs"/>
          <w:rtl/>
        </w:rPr>
        <w:t xml:space="preserve">، وتحديداً، </w:t>
      </w:r>
      <w:r w:rsidR="00853F0E" w:rsidRPr="00D0101C">
        <w:rPr>
          <w:rtl/>
        </w:rPr>
        <w:t>عدم تسجيل الأسماء الكاملة للمنظمات الحكومية الدولية في المستويين الأول والثاني بلغتين</w:t>
      </w:r>
      <w:r w:rsidR="00853F0E" w:rsidRPr="00D0101C">
        <w:rPr>
          <w:rFonts w:hint="cs"/>
          <w:rtl/>
        </w:rPr>
        <w:t>.</w:t>
      </w:r>
    </w:p>
    <w:p w:rsidR="00543B38" w:rsidRPr="00D0101C" w:rsidRDefault="0039064A" w:rsidP="00187EA4">
      <w:pPr>
        <w:pStyle w:val="NumberedParaAR"/>
      </w:pPr>
      <w:r w:rsidRPr="00D0101C">
        <w:rPr>
          <w:rtl/>
        </w:rPr>
        <w:t xml:space="preserve">ورغم </w:t>
      </w:r>
      <w:r w:rsidRPr="00D0101C">
        <w:rPr>
          <w:rFonts w:hint="cs"/>
          <w:rtl/>
        </w:rPr>
        <w:t xml:space="preserve">مشورة اللجنة الاستشارية الحكومية </w:t>
      </w:r>
      <w:r w:rsidRPr="00D0101C">
        <w:rPr>
          <w:rtl/>
        </w:rPr>
        <w:t xml:space="preserve">ومواقف </w:t>
      </w:r>
      <w:r w:rsidRPr="00D0101C">
        <w:rPr>
          <w:rFonts w:hint="cs"/>
          <w:rtl/>
        </w:rPr>
        <w:t xml:space="preserve">المنظمات الحكومية الدولية، </w:t>
      </w:r>
      <w:r w:rsidRPr="00D0101C">
        <w:rPr>
          <w:rtl/>
        </w:rPr>
        <w:t>صوت مجلس المنظمة الداعمة للأسماء العامة</w:t>
      </w:r>
      <w:r w:rsidRPr="00D0101C">
        <w:rPr>
          <w:rFonts w:hint="cs"/>
          <w:rtl/>
        </w:rPr>
        <w:t>، في يونيو 2014،</w:t>
      </w:r>
      <w:r w:rsidRPr="00D0101C">
        <w:rPr>
          <w:rtl/>
        </w:rPr>
        <w:t xml:space="preserve"> على الشروع في عملية ثانية لوضع السياسات بشأن الرغبة في منح المنظمات الحكومية الدولية إمكانية الانتفاع بآليات علاجية لحماية الحقوق (مثل السياسة الموحدة أو الإجراء الموحد للوقف السريع) </w:t>
      </w:r>
      <w:r w:rsidRPr="00D0101C">
        <w:rPr>
          <w:rFonts w:hint="cs"/>
          <w:rtl/>
        </w:rPr>
        <w:t xml:space="preserve">لمعالجة التسجيلات </w:t>
      </w:r>
      <w:r w:rsidRPr="00D0101C">
        <w:rPr>
          <w:rFonts w:hint="cs"/>
          <w:rtl/>
        </w:rPr>
        <w:lastRenderedPageBreak/>
        <w:t xml:space="preserve">التعسفية </w:t>
      </w:r>
      <w:r w:rsidRPr="00D0101C">
        <w:rPr>
          <w:rtl/>
        </w:rPr>
        <w:t>لمختصرات المنظمات الحكومية الدولية</w:t>
      </w:r>
      <w:r w:rsidRPr="00D0101C">
        <w:rPr>
          <w:rFonts w:hint="cs"/>
          <w:rtl/>
        </w:rPr>
        <w:t xml:space="preserve"> أو لأسمائها الكاملة التي لا يشملها الاستثنا</w:t>
      </w:r>
      <w:r w:rsidRPr="00D0101C">
        <w:rPr>
          <w:rFonts w:hint="eastAsia"/>
          <w:rtl/>
        </w:rPr>
        <w:t>ء</w:t>
      </w:r>
      <w:r w:rsidRPr="00D0101C">
        <w:rPr>
          <w:rFonts w:hint="cs"/>
          <w:rtl/>
        </w:rPr>
        <w:t xml:space="preserve"> المذكور آنفاً</w:t>
      </w:r>
      <w:r w:rsidRPr="00D0101C">
        <w:rPr>
          <w:rtl/>
        </w:rPr>
        <w:t xml:space="preserve">. </w:t>
      </w:r>
      <w:r w:rsidR="00543B38" w:rsidRPr="00D0101C">
        <w:rPr>
          <w:rtl/>
        </w:rPr>
        <w:t>وبغض النظر عن استمرار المناقشات، بما في ذلك في اجتماع</w:t>
      </w:r>
      <w:r w:rsidR="00543B38" w:rsidRPr="00D0101C">
        <w:rPr>
          <w:rFonts w:hint="cs"/>
          <w:rtl/>
        </w:rPr>
        <w:t xml:space="preserve">ي </w:t>
      </w:r>
      <w:proofErr w:type="spellStart"/>
      <w:r w:rsidR="00543B38" w:rsidRPr="00D0101C">
        <w:rPr>
          <w:rFonts w:hint="cs"/>
          <w:rtl/>
        </w:rPr>
        <w:t>الإيكان</w:t>
      </w:r>
      <w:proofErr w:type="spellEnd"/>
      <w:r w:rsidR="00543B38" w:rsidRPr="00D0101C">
        <w:rPr>
          <w:rFonts w:hint="cs"/>
          <w:rtl/>
        </w:rPr>
        <w:t xml:space="preserve"> في يونيو ونوفمبر 2016، </w:t>
      </w:r>
      <w:r w:rsidR="00FE322A" w:rsidRPr="00D0101C">
        <w:rPr>
          <w:rtl/>
        </w:rPr>
        <w:t>لا تزال هناك عدة أسئلة بشأن خصائص آليات</w:t>
      </w:r>
      <w:r w:rsidR="00FE322A" w:rsidRPr="00D0101C">
        <w:rPr>
          <w:rFonts w:hint="cs"/>
          <w:rtl/>
        </w:rPr>
        <w:t xml:space="preserve"> حماية الحقوق هذه</w:t>
      </w:r>
      <w:r w:rsidR="00FE322A" w:rsidRPr="00D0101C">
        <w:rPr>
          <w:rtl/>
        </w:rPr>
        <w:t>؛ وإن أُكد</w:t>
      </w:r>
      <w:r w:rsidR="00FE322A" w:rsidRPr="00D0101C">
        <w:rPr>
          <w:rFonts w:hint="cs"/>
          <w:rtl/>
        </w:rPr>
        <w:t xml:space="preserve">ت </w:t>
      </w:r>
      <w:r w:rsidR="00FE322A" w:rsidRPr="00D0101C">
        <w:rPr>
          <w:rtl/>
        </w:rPr>
        <w:t>اللجنة الحكومية الاستشارية مجدداً أن أية آلية خاصة لمنظمة حكومية دولية لا ينبغي أن تعدل السياسة الموحدة القائمة</w:t>
      </w:r>
      <w:r w:rsidR="00FE322A" w:rsidRPr="00D0101C">
        <w:rPr>
          <w:rFonts w:hint="cs"/>
          <w:rtl/>
        </w:rPr>
        <w:t xml:space="preserve">. </w:t>
      </w:r>
      <w:r w:rsidR="009B63B7" w:rsidRPr="00D0101C">
        <w:rPr>
          <w:rtl/>
        </w:rPr>
        <w:t>ويواصل المركز بالتعاون مع المنظمات الحكومية الدولية ال</w:t>
      </w:r>
      <w:r w:rsidR="00187EA4" w:rsidRPr="00D0101C">
        <w:rPr>
          <w:rtl/>
        </w:rPr>
        <w:t xml:space="preserve">أخرى المعينة رصد تطورات ملف </w:t>
      </w:r>
      <w:proofErr w:type="spellStart"/>
      <w:r w:rsidR="00187EA4" w:rsidRPr="00D0101C">
        <w:rPr>
          <w:rtl/>
        </w:rPr>
        <w:t>ال</w:t>
      </w:r>
      <w:r w:rsidR="00187EA4" w:rsidRPr="00D0101C">
        <w:rPr>
          <w:rFonts w:hint="cs"/>
          <w:rtl/>
        </w:rPr>
        <w:t>إي</w:t>
      </w:r>
      <w:r w:rsidR="009B63B7" w:rsidRPr="00D0101C">
        <w:rPr>
          <w:rtl/>
        </w:rPr>
        <w:t>كان</w:t>
      </w:r>
      <w:proofErr w:type="spellEnd"/>
      <w:r w:rsidR="009B63B7" w:rsidRPr="00D0101C">
        <w:rPr>
          <w:rtl/>
        </w:rPr>
        <w:t xml:space="preserve"> القديم هذا عن كثب ولا سيما </w:t>
      </w:r>
      <w:r w:rsidR="009B63B7" w:rsidRPr="00D0101C">
        <w:rPr>
          <w:rFonts w:hint="cs"/>
          <w:rtl/>
        </w:rPr>
        <w:t>مع</w:t>
      </w:r>
      <w:r w:rsidR="009B63B7" w:rsidRPr="00D0101C">
        <w:rPr>
          <w:rtl/>
        </w:rPr>
        <w:t xml:space="preserve"> </w:t>
      </w:r>
      <w:r w:rsidR="009B63B7" w:rsidRPr="00D0101C">
        <w:rPr>
          <w:rFonts w:hint="cs"/>
          <w:rtl/>
        </w:rPr>
        <w:t>تيسير</w:t>
      </w:r>
      <w:r w:rsidR="009B63B7" w:rsidRPr="00D0101C">
        <w:rPr>
          <w:rtl/>
        </w:rPr>
        <w:t xml:space="preserve"> مجلس </w:t>
      </w:r>
      <w:proofErr w:type="spellStart"/>
      <w:r w:rsidR="00187EA4" w:rsidRPr="00D0101C">
        <w:rPr>
          <w:rtl/>
        </w:rPr>
        <w:t>ال</w:t>
      </w:r>
      <w:r w:rsidR="00187EA4" w:rsidRPr="00D0101C">
        <w:rPr>
          <w:rFonts w:hint="cs"/>
          <w:rtl/>
        </w:rPr>
        <w:t>إي</w:t>
      </w:r>
      <w:r w:rsidR="00187EA4" w:rsidRPr="00D0101C">
        <w:rPr>
          <w:rtl/>
        </w:rPr>
        <w:t>كان</w:t>
      </w:r>
      <w:proofErr w:type="spellEnd"/>
      <w:r w:rsidR="00187EA4" w:rsidRPr="00D0101C">
        <w:rPr>
          <w:rtl/>
        </w:rPr>
        <w:t xml:space="preserve"> </w:t>
      </w:r>
      <w:r w:rsidR="009B63B7" w:rsidRPr="00D0101C">
        <w:rPr>
          <w:rFonts w:hint="cs"/>
          <w:rtl/>
        </w:rPr>
        <w:t xml:space="preserve">للحوار في الفوارق بين مشورة </w:t>
      </w:r>
      <w:r w:rsidR="009B63B7" w:rsidRPr="00D0101C">
        <w:rPr>
          <w:rtl/>
        </w:rPr>
        <w:t>اللجنة الحكومية الاستشارية</w:t>
      </w:r>
      <w:r w:rsidR="009B63B7" w:rsidRPr="00D0101C">
        <w:rPr>
          <w:rFonts w:hint="cs"/>
          <w:rtl/>
        </w:rPr>
        <w:t xml:space="preserve"> وتوصيات</w:t>
      </w:r>
      <w:r w:rsidR="009B63B7" w:rsidRPr="00D0101C">
        <w:rPr>
          <w:rtl/>
        </w:rPr>
        <w:t xml:space="preserve"> المنظمة الداعمة للأسماء العامة</w:t>
      </w:r>
      <w:r w:rsidR="009B63B7" w:rsidRPr="00D0101C">
        <w:rPr>
          <w:rFonts w:hint="cs"/>
          <w:rtl/>
        </w:rPr>
        <w:t xml:space="preserve"> فيما يخص آليات حماية الحقوق المرتبطة بالمنظمات الحكومية الدولية</w:t>
      </w:r>
      <w:r w:rsidR="009B63B7" w:rsidRPr="00D0101C">
        <w:rPr>
          <w:rtl/>
        </w:rPr>
        <w:t>.</w:t>
      </w:r>
      <w:r w:rsidR="00543B38" w:rsidRPr="00D0101C">
        <w:rPr>
          <w:rFonts w:hint="cs"/>
          <w:rtl/>
        </w:rPr>
        <w:t xml:space="preserve"> </w:t>
      </w:r>
    </w:p>
    <w:p w:rsidR="00543B38" w:rsidRPr="00D0101C" w:rsidRDefault="007009FE" w:rsidP="007009FE">
      <w:pPr>
        <w:pStyle w:val="NumberedParaAR"/>
        <w:numPr>
          <w:ilvl w:val="0"/>
          <w:numId w:val="0"/>
        </w:numPr>
        <w:ind w:firstLine="567"/>
        <w:rPr>
          <w:lang w:bidi="ar-EG"/>
        </w:rPr>
      </w:pPr>
      <w:r w:rsidRPr="00D0101C">
        <w:rPr>
          <w:rFonts w:hint="cs"/>
          <w:rtl/>
        </w:rPr>
        <w:t>(ب)</w:t>
      </w:r>
      <w:r w:rsidRPr="00D0101C">
        <w:rPr>
          <w:rtl/>
        </w:rPr>
        <w:tab/>
        <w:t>المصطلحات الجغرافية</w:t>
      </w:r>
    </w:p>
    <w:p w:rsidR="00DD7973" w:rsidRPr="00D0101C" w:rsidRDefault="00DD7973" w:rsidP="00DD7973">
      <w:pPr>
        <w:pStyle w:val="NumberedParaAR"/>
      </w:pPr>
      <w:r w:rsidRPr="00D0101C">
        <w:rPr>
          <w:rtl/>
        </w:rPr>
        <w:t xml:space="preserve">أعربت اللجنة الاستشارية الحكومية عن قلق خاص بشأن </w:t>
      </w:r>
      <w:r w:rsidRPr="00D0101C">
        <w:rPr>
          <w:rFonts w:hint="cs"/>
          <w:rtl/>
        </w:rPr>
        <w:t>استخدام وحماية ا</w:t>
      </w:r>
      <w:r w:rsidRPr="00D0101C">
        <w:rPr>
          <w:rtl/>
        </w:rPr>
        <w:t>لمصطلحات الجغرافية في الحقول العليا الجديدة المكونة من أسماء عامة.</w:t>
      </w:r>
      <w:r w:rsidRPr="00D0101C">
        <w:rPr>
          <w:rStyle w:val="FootnoteReference"/>
          <w:rtl/>
        </w:rPr>
        <w:footnoteReference w:id="58"/>
      </w:r>
      <w:r w:rsidRPr="00D0101C">
        <w:rPr>
          <w:rtl/>
        </w:rPr>
        <w:t xml:space="preserve"> وب</w:t>
      </w:r>
      <w:r w:rsidRPr="00D0101C">
        <w:rPr>
          <w:rFonts w:hint="cs"/>
          <w:rtl/>
        </w:rPr>
        <w:t xml:space="preserve">خصوص </w:t>
      </w:r>
      <w:r w:rsidRPr="00D0101C">
        <w:rPr>
          <w:rtl/>
        </w:rPr>
        <w:t>أسماء الحقول العليا،</w:t>
      </w:r>
      <w:r w:rsidRPr="00D0101C">
        <w:rPr>
          <w:rStyle w:val="FootnoteReference"/>
          <w:rtl/>
        </w:rPr>
        <w:footnoteReference w:id="59"/>
      </w:r>
      <w:r w:rsidRPr="00D0101C">
        <w:rPr>
          <w:rtl/>
        </w:rPr>
        <w:t xml:space="preserve"> يوضح دليل مودع الطلب الذي وضعته </w:t>
      </w:r>
      <w:proofErr w:type="spellStart"/>
      <w:r w:rsidRPr="00D0101C">
        <w:rPr>
          <w:rtl/>
        </w:rPr>
        <w:t>الإيكان</w:t>
      </w:r>
      <w:proofErr w:type="spellEnd"/>
      <w:r w:rsidRPr="00D0101C">
        <w:rPr>
          <w:rtl/>
        </w:rPr>
        <w:t xml:space="preserve"> أن "الطلبات المتعلقة بسلسلة الحروف التي تخص أسماء البلدان والأراضي لن تحظى بالموافقة لأنها غير متاحة في إطار برنامج الحقول العليا الجديدة المكونة من أسماء عامة في مرحلة</w:t>
      </w:r>
      <w:r w:rsidRPr="00D0101C">
        <w:rPr>
          <w:rFonts w:hint="cs"/>
          <w:rtl/>
        </w:rPr>
        <w:t xml:space="preserve"> التطبيق هذه</w:t>
      </w:r>
      <w:r w:rsidRPr="00D0101C">
        <w:rPr>
          <w:rtl/>
        </w:rPr>
        <w:t>".</w:t>
      </w:r>
      <w:r w:rsidRPr="00D0101C">
        <w:rPr>
          <w:rStyle w:val="FootnoteReference"/>
          <w:rtl/>
        </w:rPr>
        <w:footnoteReference w:id="60"/>
      </w:r>
      <w:r w:rsidRPr="00D0101C">
        <w:rPr>
          <w:rtl/>
        </w:rPr>
        <w:t xml:space="preserve"> وينبغي لسلسلة الحروف التي تقدم بشأنها طلبات والتي ترى </w:t>
      </w:r>
      <w:proofErr w:type="spellStart"/>
      <w:r w:rsidRPr="00D0101C">
        <w:rPr>
          <w:rtl/>
        </w:rPr>
        <w:t>الإيكان</w:t>
      </w:r>
      <w:proofErr w:type="spellEnd"/>
      <w:r w:rsidRPr="00D0101C">
        <w:rPr>
          <w:rtl/>
        </w:rPr>
        <w:t xml:space="preserve"> أنها أسماء جغرافية معينة أخرى، مثل أسماء العواصم، أن تكون مصحوبة بالوثائق الداعمة أو النافية لاعتراض الحكومات أو السلطات العامة المعنية.</w:t>
      </w:r>
      <w:r w:rsidRPr="00D0101C">
        <w:rPr>
          <w:rStyle w:val="FootnoteReference"/>
          <w:rtl/>
        </w:rPr>
        <w:footnoteReference w:id="61"/>
      </w:r>
    </w:p>
    <w:p w:rsidR="000D7D31" w:rsidRPr="00D0101C" w:rsidRDefault="000D7D31" w:rsidP="000D7D31">
      <w:pPr>
        <w:pStyle w:val="NumberedParaAR"/>
      </w:pPr>
      <w:r w:rsidRPr="00D0101C">
        <w:rPr>
          <w:rtl/>
        </w:rPr>
        <w:t>وأعرب</w:t>
      </w:r>
      <w:r w:rsidRPr="00D0101C">
        <w:rPr>
          <w:rFonts w:hint="cs"/>
          <w:rtl/>
        </w:rPr>
        <w:t xml:space="preserve"> أعضاء</w:t>
      </w:r>
      <w:r w:rsidRPr="00D0101C">
        <w:rPr>
          <w:rtl/>
        </w:rPr>
        <w:t xml:space="preserve"> اللجنة الاستشارية الحكومية عن تحفظات أخرى بشأن عدد </w:t>
      </w:r>
      <w:r w:rsidRPr="00D0101C">
        <w:rPr>
          <w:rFonts w:hint="cs"/>
          <w:rtl/>
        </w:rPr>
        <w:t xml:space="preserve">من </w:t>
      </w:r>
      <w:r w:rsidRPr="00D0101C">
        <w:rPr>
          <w:rtl/>
        </w:rPr>
        <w:t xml:space="preserve">طلبات الحقول العليا الجديدة المكونة من أسماء عامة على أساس التوافق مع المصطلحات الجغرافية أو غيرها من المصطلحات "الحساسة"، وأشارت على مجلس </w:t>
      </w:r>
      <w:proofErr w:type="spellStart"/>
      <w:r w:rsidRPr="00D0101C">
        <w:rPr>
          <w:rtl/>
        </w:rPr>
        <w:t>الإيكان</w:t>
      </w:r>
      <w:proofErr w:type="spellEnd"/>
      <w:r w:rsidRPr="00D0101C">
        <w:rPr>
          <w:rtl/>
        </w:rPr>
        <w:t xml:space="preserve"> بألا يواصل العمل بعد التقييم الأولي لها، وطلبت من المجلس مزيداً من التوضيح </w:t>
      </w:r>
      <w:r w:rsidRPr="00D0101C">
        <w:rPr>
          <w:rFonts w:hint="cs"/>
          <w:rtl/>
        </w:rPr>
        <w:t xml:space="preserve">بشأن </w:t>
      </w:r>
      <w:r w:rsidRPr="00D0101C">
        <w:rPr>
          <w:rtl/>
        </w:rPr>
        <w:t>النطاق المسموح لمودعي الطلبات فيه بتعديل طلبات</w:t>
      </w:r>
      <w:r w:rsidRPr="00D0101C">
        <w:rPr>
          <w:rFonts w:hint="cs"/>
          <w:rtl/>
        </w:rPr>
        <w:t>هم</w:t>
      </w:r>
      <w:r w:rsidRPr="00D0101C">
        <w:rPr>
          <w:rtl/>
        </w:rPr>
        <w:t xml:space="preserve"> التي أودعوها لحقول عليا جديدة مكونة من أسماء عامة استجابة لمخاوف معينة تشعر بها اللجنة الاستشارية الحكومية.</w:t>
      </w:r>
      <w:r w:rsidRPr="00D0101C">
        <w:rPr>
          <w:rStyle w:val="FootnoteReference"/>
          <w:rtl/>
        </w:rPr>
        <w:footnoteReference w:id="62"/>
      </w:r>
    </w:p>
    <w:p w:rsidR="00543B38" w:rsidRPr="00D0101C" w:rsidRDefault="000D7D31" w:rsidP="007B72DB">
      <w:pPr>
        <w:pStyle w:val="NumberedParaAR"/>
      </w:pPr>
      <w:r w:rsidRPr="00D0101C">
        <w:rPr>
          <w:rtl/>
        </w:rPr>
        <w:lastRenderedPageBreak/>
        <w:t xml:space="preserve">وفي ديسمبر 2016، سمحت </w:t>
      </w:r>
      <w:proofErr w:type="spellStart"/>
      <w:r w:rsidRPr="00D0101C">
        <w:rPr>
          <w:rtl/>
        </w:rPr>
        <w:t>ال</w:t>
      </w:r>
      <w:r w:rsidRPr="00D0101C">
        <w:rPr>
          <w:rFonts w:hint="cs"/>
          <w:rtl/>
        </w:rPr>
        <w:t>إ</w:t>
      </w:r>
      <w:r w:rsidRPr="00D0101C">
        <w:rPr>
          <w:rtl/>
        </w:rPr>
        <w:t>يكان</w:t>
      </w:r>
      <w:proofErr w:type="spellEnd"/>
      <w:r w:rsidRPr="00D0101C">
        <w:rPr>
          <w:rtl/>
        </w:rPr>
        <w:t xml:space="preserve"> بإتاحة كل أسماء الحقول المحجوزة المكونة من حرفين على المستوى الثاني في الحقول العليا المكوّنة من أسماء عامة على أن يمهل القائمون على التسجيل الحكومات المعنية ثلاثين يوماً لشراء أسماء الحقول المعنية؛ وأن يلزموا المسجل له الإقرار بعدم الإيحاء زوراً بأي طابع حكومي في استخدام تلك الأسماء</w:t>
      </w:r>
      <w:r w:rsidR="007B72DB" w:rsidRPr="00D0101C">
        <w:rPr>
          <w:rtl/>
        </w:rPr>
        <w:t xml:space="preserve"> المكونة من حرفين</w:t>
      </w:r>
      <w:r w:rsidRPr="00D0101C">
        <w:rPr>
          <w:rtl/>
        </w:rPr>
        <w:t>؛ وأن يتيحوا إجراء لرفع الشكاوى بعد التسجيل.</w:t>
      </w:r>
      <w:r w:rsidR="007B72DB" w:rsidRPr="00D0101C">
        <w:rPr>
          <w:rStyle w:val="FootnoteReference"/>
          <w:rtl/>
        </w:rPr>
        <w:footnoteReference w:id="63"/>
      </w:r>
      <w:r w:rsidR="007B72DB" w:rsidRPr="00D0101C">
        <w:rPr>
          <w:rtl/>
        </w:rPr>
        <w:t xml:space="preserve"> و</w:t>
      </w:r>
      <w:r w:rsidR="00CA41F3" w:rsidRPr="00D0101C">
        <w:rPr>
          <w:rFonts w:hint="cs"/>
          <w:rtl/>
        </w:rPr>
        <w:t xml:space="preserve">في هذا السياق، </w:t>
      </w:r>
      <w:r w:rsidR="007B72DB" w:rsidRPr="00D0101C">
        <w:rPr>
          <w:rtl/>
        </w:rPr>
        <w:t xml:space="preserve">قدم مركز </w:t>
      </w:r>
      <w:proofErr w:type="spellStart"/>
      <w:r w:rsidR="007B72DB" w:rsidRPr="00D0101C">
        <w:rPr>
          <w:rtl/>
        </w:rPr>
        <w:t>الويبو</w:t>
      </w:r>
      <w:proofErr w:type="spellEnd"/>
      <w:r w:rsidR="007B72DB" w:rsidRPr="00D0101C">
        <w:rPr>
          <w:rtl/>
        </w:rPr>
        <w:t xml:space="preserve"> تعليقات إلى </w:t>
      </w:r>
      <w:proofErr w:type="spellStart"/>
      <w:r w:rsidR="007B72DB" w:rsidRPr="00D0101C">
        <w:rPr>
          <w:rtl/>
        </w:rPr>
        <w:t>الإيكان</w:t>
      </w:r>
      <w:proofErr w:type="spellEnd"/>
      <w:r w:rsidR="007B72DB" w:rsidRPr="00D0101C">
        <w:rPr>
          <w:rtl/>
        </w:rPr>
        <w:t xml:space="preserve"> أشار فيها إلى أن مشروع الويبو الثاني الخاص بأسماء الحقول على الإنترنت نظر في إمكانية استكشاف تدابير تمكّن من تطبيق السياسة الموحدة على التسجيلات من الدرجة الثالثة بغرض الحد من احتمال انتهاك العلامات التجارية.</w:t>
      </w:r>
      <w:r w:rsidR="007B72DB" w:rsidRPr="00D0101C">
        <w:rPr>
          <w:rStyle w:val="FootnoteReference"/>
          <w:rtl/>
        </w:rPr>
        <w:footnoteReference w:id="64"/>
      </w:r>
    </w:p>
    <w:p w:rsidR="00D57035" w:rsidRPr="00D0101C" w:rsidRDefault="007B72DB" w:rsidP="005219C8">
      <w:pPr>
        <w:pStyle w:val="NumberedParaAR"/>
      </w:pPr>
      <w:r w:rsidRPr="00D0101C">
        <w:rPr>
          <w:rtl/>
        </w:rPr>
        <w:t xml:space="preserve">وقد سعى </w:t>
      </w:r>
      <w:r w:rsidR="005219C8" w:rsidRPr="00D0101C">
        <w:rPr>
          <w:rFonts w:hint="cs"/>
          <w:rtl/>
        </w:rPr>
        <w:t>ال</w:t>
      </w:r>
      <w:r w:rsidRPr="00D0101C">
        <w:rPr>
          <w:rtl/>
        </w:rPr>
        <w:t>مركز إجمالاً</w:t>
      </w:r>
      <w:r w:rsidRPr="00D0101C">
        <w:rPr>
          <w:rFonts w:hint="cs"/>
          <w:rtl/>
        </w:rPr>
        <w:t xml:space="preserve"> بشأن هذه المسائل والمسائل الأخرى المتعلقة بنظام أسماء الحقول</w:t>
      </w:r>
      <w:r w:rsidRPr="00D0101C">
        <w:rPr>
          <w:rtl/>
        </w:rPr>
        <w:t xml:space="preserve"> إلى تقييم القطاعات المعنية داخل الأمانة، بما في ذلك دعم عمل اللجنة الدائمة المعنية بالعلامات التجارية والرسوم والنماذج الصناعية والبيانات الجغرافية.</w:t>
      </w:r>
      <w:r w:rsidRPr="00D0101C">
        <w:rPr>
          <w:rStyle w:val="FootnoteReference"/>
          <w:rtl/>
        </w:rPr>
        <w:footnoteReference w:id="65"/>
      </w:r>
      <w:r w:rsidRPr="00D0101C">
        <w:rPr>
          <w:rtl/>
        </w:rPr>
        <w:t xml:space="preserve"> وستواظب الأمانة على متابعة هذه التطورات وستساهم فيها قدر الإمكان</w:t>
      </w:r>
      <w:r w:rsidRPr="00D0101C">
        <w:rPr>
          <w:rFonts w:hint="cs"/>
          <w:rtl/>
        </w:rPr>
        <w:t xml:space="preserve">. </w:t>
      </w:r>
    </w:p>
    <w:p w:rsidR="007B72DB" w:rsidRPr="00D0101C" w:rsidRDefault="005219C8" w:rsidP="008D7C85">
      <w:pPr>
        <w:pStyle w:val="DecisionParaAR"/>
      </w:pPr>
      <w:r w:rsidRPr="00D0101C">
        <w:rPr>
          <w:rFonts w:hint="cs"/>
          <w:rtl/>
        </w:rPr>
        <w:t xml:space="preserve">إن </w:t>
      </w:r>
      <w:r w:rsidR="007B72DB" w:rsidRPr="00D0101C">
        <w:rPr>
          <w:rtl/>
        </w:rPr>
        <w:t>الجمعية العامة للويبو مدعوة إلى الإحاطة علماً بالوثيقة "مركز الويبو للتحكيم والوساطة، بالإضافة إلى أسماء الحقول" (الوثيقة</w:t>
      </w:r>
      <w:r w:rsidR="008D7C85" w:rsidRPr="00D0101C">
        <w:rPr>
          <w:rFonts w:hint="cs"/>
          <w:rtl/>
        </w:rPr>
        <w:t> </w:t>
      </w:r>
      <w:r w:rsidR="007B72DB" w:rsidRPr="00D0101C">
        <w:t>WO/GA/49/14</w:t>
      </w:r>
      <w:r w:rsidR="007B72DB" w:rsidRPr="00D0101C">
        <w:rPr>
          <w:rtl/>
        </w:rPr>
        <w:t>).</w:t>
      </w:r>
    </w:p>
    <w:p w:rsidR="007B72DB" w:rsidRPr="007B72DB" w:rsidRDefault="007B72DB" w:rsidP="008D7C85">
      <w:pPr>
        <w:pStyle w:val="EndofDocumentAR"/>
        <w:spacing w:before="480"/>
      </w:pPr>
      <w:r w:rsidRPr="00D0101C">
        <w:rPr>
          <w:rtl/>
        </w:rPr>
        <w:t>[نهاية الوثيقة]</w:t>
      </w:r>
    </w:p>
    <w:sectPr w:rsidR="007B72DB" w:rsidRPr="007B72DB"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F6F" w:rsidRDefault="00461F6F">
      <w:r>
        <w:separator/>
      </w:r>
    </w:p>
  </w:endnote>
  <w:endnote w:type="continuationSeparator" w:id="0">
    <w:p w:rsidR="00461F6F" w:rsidRDefault="0046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F6F" w:rsidRDefault="00461F6F" w:rsidP="009622BF">
      <w:pPr>
        <w:bidi/>
      </w:pPr>
      <w:bookmarkStart w:id="0" w:name="OLE_LINK1"/>
      <w:bookmarkStart w:id="1" w:name="OLE_LINK2"/>
      <w:r>
        <w:separator/>
      </w:r>
      <w:bookmarkEnd w:id="0"/>
      <w:bookmarkEnd w:id="1"/>
    </w:p>
  </w:footnote>
  <w:footnote w:type="continuationSeparator" w:id="0">
    <w:p w:rsidR="00461F6F" w:rsidRDefault="00461F6F" w:rsidP="009622BF">
      <w:pPr>
        <w:bidi/>
      </w:pPr>
      <w:r>
        <w:separator/>
      </w:r>
    </w:p>
  </w:footnote>
  <w:footnote w:id="1">
    <w:p w:rsidR="00461F6F" w:rsidRDefault="00461F6F" w:rsidP="00461F6F">
      <w:pPr>
        <w:pStyle w:val="FootnoteText"/>
      </w:pPr>
      <w:r>
        <w:rPr>
          <w:rStyle w:val="FootnoteReference"/>
        </w:rPr>
        <w:footnoteRef/>
      </w:r>
      <w:r>
        <w:rPr>
          <w:rFonts w:hint="cs"/>
          <w:rtl/>
        </w:rPr>
        <w:tab/>
        <w:t xml:space="preserve">انظر الرابط: </w:t>
      </w:r>
      <w:hyperlink r:id="rId1" w:history="1">
        <w:r w:rsidRPr="000367E5">
          <w:rPr>
            <w:rStyle w:val="Hyperlink"/>
            <w:color w:val="auto"/>
            <w:u w:val="none"/>
          </w:rPr>
          <w:t>http://www.wipo.int/edocs/mdocs/govbody/en/wo_ga_48/wo_ga_48_12_rev.pdf</w:t>
        </w:r>
      </w:hyperlink>
      <w:r w:rsidRPr="000367E5">
        <w:rPr>
          <w:rFonts w:hint="cs"/>
          <w:rtl/>
        </w:rPr>
        <w:t xml:space="preserve">. </w:t>
      </w:r>
    </w:p>
  </w:footnote>
  <w:footnote w:id="2">
    <w:p w:rsidR="00461F6F" w:rsidRPr="00F7129C" w:rsidRDefault="00461F6F" w:rsidP="00461F6F">
      <w:pPr>
        <w:pStyle w:val="FootnoteText"/>
        <w:rPr>
          <w:rtl/>
          <w:lang w:bidi="ar-EG"/>
        </w:rPr>
      </w:pPr>
      <w:r w:rsidRPr="00F7129C">
        <w:rPr>
          <w:rStyle w:val="FootnoteReference"/>
        </w:rPr>
        <w:footnoteRef/>
      </w:r>
      <w:r>
        <w:rPr>
          <w:rFonts w:hint="cs"/>
          <w:rtl/>
        </w:rPr>
        <w:tab/>
      </w:r>
      <w:r w:rsidRPr="00F7129C">
        <w:rPr>
          <w:rtl/>
          <w:lang w:bidi="ar-EG"/>
        </w:rPr>
        <w:t xml:space="preserve">ترد قائمة بجميع حلقات العمل والاجتماعات الأخرى التي نظمها </w:t>
      </w:r>
      <w:r>
        <w:rPr>
          <w:rFonts w:hint="cs"/>
          <w:rtl/>
          <w:lang w:bidi="ar-EG"/>
        </w:rPr>
        <w:t>ال</w:t>
      </w:r>
      <w:r w:rsidRPr="00F7129C">
        <w:rPr>
          <w:rtl/>
          <w:lang w:bidi="ar-EG"/>
        </w:rPr>
        <w:t xml:space="preserve">مركز على </w:t>
      </w:r>
      <w:r>
        <w:rPr>
          <w:rFonts w:hint="cs"/>
          <w:rtl/>
          <w:lang w:bidi="ar-EG"/>
        </w:rPr>
        <w:t>الرابط</w:t>
      </w:r>
      <w:r w:rsidRPr="00F7129C">
        <w:rPr>
          <w:rtl/>
          <w:lang w:bidi="ar-EG"/>
        </w:rPr>
        <w:t xml:space="preserve"> التالي: </w:t>
      </w:r>
      <w:r w:rsidRPr="00F7129C">
        <w:rPr>
          <w:lang w:bidi="ar-EG"/>
        </w:rPr>
        <w:t>http://www.wipo.int/amc/</w:t>
      </w:r>
      <w:r>
        <w:rPr>
          <w:lang w:bidi="ar-EG"/>
        </w:rPr>
        <w:t>en</w:t>
      </w:r>
      <w:r w:rsidRPr="00F7129C">
        <w:rPr>
          <w:lang w:bidi="ar-EG"/>
        </w:rPr>
        <w:t>/events</w:t>
      </w:r>
      <w:r w:rsidRPr="00F7129C">
        <w:rPr>
          <w:rtl/>
          <w:lang w:bidi="ar-EG"/>
        </w:rPr>
        <w:t>.</w:t>
      </w:r>
    </w:p>
  </w:footnote>
  <w:footnote w:id="3">
    <w:p w:rsidR="00461F6F" w:rsidRPr="00F7129C" w:rsidRDefault="00461F6F" w:rsidP="00461F6F">
      <w:pPr>
        <w:pStyle w:val="FootnoteText"/>
        <w:rPr>
          <w:lang w:bidi="ar-EG"/>
        </w:rPr>
      </w:pPr>
      <w:r w:rsidRPr="00F7129C">
        <w:rPr>
          <w:rStyle w:val="FootnoteReference"/>
        </w:rPr>
        <w:footnoteRef/>
      </w:r>
      <w:r>
        <w:rPr>
          <w:rFonts w:hint="cs"/>
          <w:rtl/>
        </w:rPr>
        <w:tab/>
      </w:r>
      <w:r w:rsidRPr="00F7129C">
        <w:rPr>
          <w:rtl/>
          <w:lang w:bidi="ar-EG"/>
        </w:rPr>
        <w:t xml:space="preserve">يتيح مرفق تسوية القضايا إلكترونياً التبليغ عن القضايا وتخزين الوثائق عبر شبكة الإنترنت ما ييسر اتخاذ إجراءات أسرع وأوفر للوساطة والتحكيم. انظر </w:t>
      </w:r>
      <w:r>
        <w:rPr>
          <w:rFonts w:hint="cs"/>
          <w:rtl/>
          <w:lang w:bidi="ar-EG"/>
        </w:rPr>
        <w:t>الرابط</w:t>
      </w:r>
      <w:r w:rsidRPr="00F7129C">
        <w:rPr>
          <w:rtl/>
          <w:lang w:bidi="ar-EG"/>
        </w:rPr>
        <w:t xml:space="preserve"> التالي: </w:t>
      </w:r>
      <w:r w:rsidRPr="00F7129C">
        <w:rPr>
          <w:lang w:bidi="ar-EG"/>
        </w:rPr>
        <w:t>http://www.wipo.int/amc/en/ecaf/index.html</w:t>
      </w:r>
      <w:r w:rsidRPr="00F7129C">
        <w:rPr>
          <w:rtl/>
          <w:lang w:bidi="ar-EG"/>
        </w:rPr>
        <w:t>.</w:t>
      </w:r>
    </w:p>
  </w:footnote>
  <w:footnote w:id="4">
    <w:p w:rsidR="00461F6F" w:rsidRDefault="00461F6F" w:rsidP="00461F6F">
      <w:pPr>
        <w:pStyle w:val="FootnoteText"/>
      </w:pPr>
      <w:r>
        <w:rPr>
          <w:rStyle w:val="FootnoteReference"/>
        </w:rPr>
        <w:footnoteRef/>
      </w:r>
      <w:r>
        <w:rPr>
          <w:rFonts w:hint="cs"/>
          <w:rtl/>
        </w:rPr>
        <w:tab/>
        <w:t xml:space="preserve">انظر الرابط التالي: </w:t>
      </w:r>
      <w:r w:rsidRPr="009F63A4">
        <w:rPr>
          <w:rtl/>
        </w:rPr>
        <w:t>/</w:t>
      </w:r>
      <w:r w:rsidRPr="009F63A4">
        <w:t>http://www.wipo.int/amc-apps/clause-generator</w:t>
      </w:r>
      <w:r>
        <w:rPr>
          <w:rFonts w:hint="cs"/>
          <w:rtl/>
        </w:rPr>
        <w:t>.</w:t>
      </w:r>
    </w:p>
  </w:footnote>
  <w:footnote w:id="5">
    <w:p w:rsidR="00461F6F" w:rsidRDefault="00461F6F" w:rsidP="00461F6F">
      <w:pPr>
        <w:pStyle w:val="FootnoteText"/>
      </w:pPr>
      <w:r>
        <w:rPr>
          <w:rStyle w:val="FootnoteReference"/>
        </w:rPr>
        <w:footnoteRef/>
      </w:r>
      <w:r>
        <w:rPr>
          <w:rFonts w:hint="cs"/>
          <w:rtl/>
        </w:rPr>
        <w:tab/>
        <w:t xml:space="preserve">انظر الرابط التالي: </w:t>
      </w:r>
      <w:r w:rsidRPr="009F63A4">
        <w:t>http://www.wipo.int/amc/en/calculator/adr.jsp</w:t>
      </w:r>
      <w:r>
        <w:rPr>
          <w:rFonts w:hint="cs"/>
          <w:rtl/>
        </w:rPr>
        <w:t>.</w:t>
      </w:r>
    </w:p>
  </w:footnote>
  <w:footnote w:id="6">
    <w:p w:rsidR="00461F6F" w:rsidRDefault="00461F6F" w:rsidP="00461F6F">
      <w:pPr>
        <w:pStyle w:val="FootnoteText"/>
      </w:pPr>
      <w:r>
        <w:rPr>
          <w:rStyle w:val="FootnoteReference"/>
        </w:rPr>
        <w:footnoteRef/>
      </w:r>
      <w:r>
        <w:rPr>
          <w:rFonts w:hint="cs"/>
          <w:rtl/>
        </w:rPr>
        <w:tab/>
        <w:t xml:space="preserve">انظر الرابط التالي: </w:t>
      </w:r>
      <w:r w:rsidRPr="009F63A4">
        <w:t>http://www.wipo.int/amc/en/new/2016_qmsurvey.html</w:t>
      </w:r>
      <w:r>
        <w:rPr>
          <w:rFonts w:hint="cs"/>
          <w:rtl/>
        </w:rPr>
        <w:t>.</w:t>
      </w:r>
    </w:p>
  </w:footnote>
  <w:footnote w:id="7">
    <w:p w:rsidR="00461F6F" w:rsidRDefault="00461F6F" w:rsidP="00461F6F">
      <w:pPr>
        <w:pStyle w:val="FootnoteText"/>
      </w:pPr>
      <w:r>
        <w:rPr>
          <w:rStyle w:val="FootnoteReference"/>
        </w:rPr>
        <w:footnoteRef/>
      </w:r>
      <w:r>
        <w:rPr>
          <w:rFonts w:hint="cs"/>
          <w:rtl/>
        </w:rPr>
        <w:tab/>
        <w:t xml:space="preserve">انظر الرابط التالي: </w:t>
      </w:r>
      <w:r w:rsidRPr="009F63A4">
        <w:t>http://www.wipo.int/amc/en/center/specific-sectors/ipos/</w:t>
      </w:r>
      <w:r>
        <w:rPr>
          <w:rFonts w:hint="cs"/>
          <w:rtl/>
        </w:rPr>
        <w:t>.</w:t>
      </w:r>
    </w:p>
  </w:footnote>
  <w:footnote w:id="8">
    <w:p w:rsidR="00461F6F" w:rsidRDefault="00461F6F" w:rsidP="00A95460">
      <w:pPr>
        <w:pStyle w:val="FootnoteText"/>
      </w:pPr>
      <w:r>
        <w:rPr>
          <w:rStyle w:val="FootnoteReference"/>
        </w:rPr>
        <w:footnoteRef/>
      </w:r>
      <w:r w:rsidR="00A95460">
        <w:rPr>
          <w:rFonts w:hint="cs"/>
          <w:rtl/>
        </w:rPr>
        <w:tab/>
      </w:r>
      <w:r w:rsidRPr="00075754">
        <w:rPr>
          <w:rFonts w:hint="cs"/>
          <w:rtl/>
          <w:lang w:bidi="ar-EG"/>
        </w:rPr>
        <w:t>الدليل متاح على</w:t>
      </w:r>
      <w:r>
        <w:rPr>
          <w:rFonts w:hint="cs"/>
          <w:rtl/>
          <w:lang w:bidi="ar-EG"/>
        </w:rPr>
        <w:t xml:space="preserve"> الرابط التالي: </w:t>
      </w:r>
      <w:r w:rsidRPr="00A168D1">
        <w:rPr>
          <w:lang w:bidi="ar-EG"/>
        </w:rPr>
        <w:t>http://www.wipo.int/export/sites/www/amc/en/docs/adrguidejuly2015.pdf</w:t>
      </w:r>
      <w:r>
        <w:rPr>
          <w:rFonts w:hint="cs"/>
          <w:rtl/>
          <w:lang w:bidi="ar-EG"/>
        </w:rPr>
        <w:t>.</w:t>
      </w:r>
    </w:p>
  </w:footnote>
  <w:footnote w:id="9">
    <w:p w:rsidR="00461F6F" w:rsidRPr="008F7D1B" w:rsidRDefault="00461F6F" w:rsidP="00A95460">
      <w:pPr>
        <w:pStyle w:val="FootnoteText"/>
        <w:rPr>
          <w:rtl/>
          <w:lang w:bidi="ar-EG"/>
        </w:rPr>
      </w:pPr>
      <w:r w:rsidRPr="00F7129C">
        <w:rPr>
          <w:rStyle w:val="FootnoteReference"/>
        </w:rPr>
        <w:footnoteRef/>
      </w:r>
      <w:r w:rsidR="00A95460">
        <w:rPr>
          <w:rFonts w:hint="cs"/>
          <w:rtl/>
        </w:rPr>
        <w:tab/>
      </w:r>
      <w:r w:rsidRPr="008F7D1B">
        <w:rPr>
          <w:rtl/>
          <w:lang w:bidi="ar-EG"/>
        </w:rPr>
        <w:t xml:space="preserve">من أمثلة ذلك حالات التعاون المتعدد الأطراف التي يموّلها الاتحاد الأوروبي </w:t>
      </w:r>
      <w:r w:rsidRPr="008F7D1B">
        <w:rPr>
          <w:rFonts w:hint="cs"/>
          <w:rtl/>
          <w:lang w:bidi="ar-EG"/>
        </w:rPr>
        <w:t>بموجب برنامج تمويل البحث بحلول 2020</w:t>
      </w:r>
      <w:r w:rsidRPr="008F7D1B">
        <w:rPr>
          <w:rtl/>
          <w:lang w:bidi="ar-EG"/>
        </w:rPr>
        <w:t>، إذ تستخدم الهيئات "الاتفاق المبسّط النموذجي لاتحاد الشركات</w:t>
      </w:r>
      <w:r w:rsidRPr="008F7D1B">
        <w:rPr>
          <w:rFonts w:hint="cs"/>
          <w:rtl/>
          <w:lang w:bidi="ar-EG"/>
        </w:rPr>
        <w:t>-2020</w:t>
      </w:r>
      <w:r w:rsidRPr="008F7D1B">
        <w:rPr>
          <w:rtl/>
          <w:lang w:bidi="ar-EG"/>
        </w:rPr>
        <w:t>" (</w:t>
      </w:r>
      <w:r w:rsidRPr="008F7D1B">
        <w:rPr>
          <w:lang w:bidi="ar-EG"/>
        </w:rPr>
        <w:t>DESCA</w:t>
      </w:r>
      <w:r w:rsidRPr="008F7D1B">
        <w:rPr>
          <w:rtl/>
          <w:lang w:bidi="ar-EG"/>
        </w:rPr>
        <w:t xml:space="preserve">) الذي يوصى بالاستعانة بالويبو في مجال الوساطة </w:t>
      </w:r>
      <w:r w:rsidRPr="008F7D1B">
        <w:rPr>
          <w:rFonts w:hint="cs"/>
          <w:rtl/>
          <w:lang w:bidi="ar-EG"/>
        </w:rPr>
        <w:t>ثم في حال غياب التسوية الاستعانة ب</w:t>
      </w:r>
      <w:r w:rsidRPr="008F7D1B">
        <w:rPr>
          <w:rtl/>
          <w:lang w:bidi="ar-EG"/>
        </w:rPr>
        <w:t>التحكيم المعجل</w:t>
      </w:r>
      <w:r w:rsidRPr="008F7D1B">
        <w:rPr>
          <w:rFonts w:hint="cs"/>
          <w:rtl/>
          <w:lang w:bidi="ar-EG"/>
        </w:rPr>
        <w:t xml:space="preserve"> للويبو</w:t>
      </w:r>
      <w:r w:rsidRPr="008F7D1B">
        <w:rPr>
          <w:rtl/>
          <w:lang w:bidi="ar-EG"/>
        </w:rPr>
        <w:t xml:space="preserve">. انظر </w:t>
      </w:r>
      <w:r>
        <w:rPr>
          <w:rFonts w:hint="cs"/>
          <w:rtl/>
          <w:lang w:bidi="ar-EG"/>
        </w:rPr>
        <w:t>الرابط</w:t>
      </w:r>
      <w:r w:rsidRPr="008F7D1B">
        <w:rPr>
          <w:rtl/>
          <w:lang w:bidi="ar-EG"/>
        </w:rPr>
        <w:t xml:space="preserve"> التالي: </w:t>
      </w:r>
      <w:r w:rsidRPr="008F7D1B">
        <w:rPr>
          <w:lang w:bidi="ar-EG"/>
        </w:rPr>
        <w:t>http://www.desca-2020.eu/</w:t>
      </w:r>
      <w:r w:rsidRPr="008F7D1B">
        <w:rPr>
          <w:rtl/>
          <w:lang w:bidi="ar-EG"/>
        </w:rPr>
        <w:t>.</w:t>
      </w:r>
    </w:p>
  </w:footnote>
  <w:footnote w:id="10">
    <w:p w:rsidR="00461F6F" w:rsidRPr="008F7D1B" w:rsidRDefault="00461F6F" w:rsidP="00A95460">
      <w:pPr>
        <w:pStyle w:val="FootnoteText"/>
        <w:rPr>
          <w:lang w:bidi="ar-EG"/>
        </w:rPr>
      </w:pPr>
      <w:r w:rsidRPr="008F7D1B">
        <w:rPr>
          <w:rStyle w:val="FootnoteReference"/>
        </w:rPr>
        <w:footnoteRef/>
      </w:r>
      <w:r w:rsidR="00A95460">
        <w:rPr>
          <w:rFonts w:hint="cs"/>
          <w:rtl/>
        </w:rPr>
        <w:tab/>
      </w:r>
      <w:r w:rsidRPr="008F7D1B">
        <w:rPr>
          <w:rtl/>
        </w:rPr>
        <w:t xml:space="preserve">انظر </w:t>
      </w:r>
      <w:r>
        <w:rPr>
          <w:rFonts w:hint="cs"/>
          <w:rtl/>
        </w:rPr>
        <w:t>الرابط</w:t>
      </w:r>
      <w:r w:rsidRPr="008F7D1B">
        <w:rPr>
          <w:rtl/>
        </w:rPr>
        <w:t xml:space="preserve"> التالي: </w:t>
      </w:r>
      <w:r w:rsidRPr="008F7D1B">
        <w:t>http://www.bmwi.de/English/Redaktion/Pdf/sample-agreements-for-research-and-development-cooperation,property=pdf,bereich=bmwi,sprache=en,rwb=true.pdf</w:t>
      </w:r>
      <w:r w:rsidRPr="008F7D1B">
        <w:rPr>
          <w:rtl/>
        </w:rPr>
        <w:t>.</w:t>
      </w:r>
    </w:p>
  </w:footnote>
  <w:footnote w:id="11">
    <w:p w:rsidR="00461F6F" w:rsidRPr="008F7D1B" w:rsidRDefault="00461F6F" w:rsidP="00A95460">
      <w:pPr>
        <w:pStyle w:val="FootnoteText"/>
        <w:rPr>
          <w:rtl/>
          <w:lang w:bidi="ar-EG"/>
        </w:rPr>
      </w:pPr>
      <w:r w:rsidRPr="008F7D1B">
        <w:rPr>
          <w:rStyle w:val="FootnoteReference"/>
        </w:rPr>
        <w:footnoteRef/>
      </w:r>
      <w:r w:rsidR="00A95460">
        <w:rPr>
          <w:rFonts w:hint="cs"/>
          <w:rtl/>
        </w:rPr>
        <w:tab/>
      </w:r>
      <w:r w:rsidRPr="008F7D1B">
        <w:rPr>
          <w:rtl/>
          <w:lang w:bidi="ar-EG"/>
        </w:rPr>
        <w:t xml:space="preserve">انظر </w:t>
      </w:r>
      <w:r>
        <w:rPr>
          <w:rFonts w:hint="cs"/>
          <w:rtl/>
        </w:rPr>
        <w:t>الرابط</w:t>
      </w:r>
      <w:r w:rsidRPr="008F7D1B">
        <w:rPr>
          <w:rtl/>
        </w:rPr>
        <w:t xml:space="preserve"> </w:t>
      </w:r>
      <w:r w:rsidRPr="008F7D1B">
        <w:rPr>
          <w:rtl/>
          <w:lang w:bidi="ar-EG"/>
        </w:rPr>
        <w:t xml:space="preserve">التالي: </w:t>
      </w:r>
      <w:r w:rsidRPr="008F7D1B">
        <w:t>http://www.wipo.int/amc/en/center/specific-sectors/rd/ipag/</w:t>
      </w:r>
      <w:r w:rsidRPr="008F7D1B">
        <w:rPr>
          <w:rtl/>
          <w:lang w:bidi="ar-EG"/>
        </w:rPr>
        <w:t>.</w:t>
      </w:r>
    </w:p>
  </w:footnote>
  <w:footnote w:id="12">
    <w:p w:rsidR="00461F6F" w:rsidRDefault="00461F6F" w:rsidP="00A95460">
      <w:pPr>
        <w:pStyle w:val="FootnoteText"/>
      </w:pPr>
      <w:r>
        <w:rPr>
          <w:rStyle w:val="FootnoteReference"/>
        </w:rPr>
        <w:footnoteRef/>
      </w:r>
      <w:r w:rsidR="00A95460">
        <w:rPr>
          <w:rFonts w:hint="cs"/>
          <w:rtl/>
        </w:rPr>
        <w:tab/>
      </w:r>
      <w:r>
        <w:rPr>
          <w:rFonts w:hint="cs"/>
          <w:rtl/>
        </w:rPr>
        <w:t>ال</w:t>
      </w:r>
      <w:r w:rsidRPr="00FE27E4">
        <w:rPr>
          <w:rtl/>
        </w:rPr>
        <w:t xml:space="preserve">اتفاقات </w:t>
      </w:r>
      <w:r>
        <w:rPr>
          <w:rFonts w:hint="cs"/>
          <w:rtl/>
        </w:rPr>
        <w:t>ال</w:t>
      </w:r>
      <w:r w:rsidRPr="00FE27E4">
        <w:rPr>
          <w:rtl/>
        </w:rPr>
        <w:t>نموذجية</w:t>
      </w:r>
      <w:r>
        <w:rPr>
          <w:rFonts w:hint="cs"/>
          <w:rtl/>
        </w:rPr>
        <w:t xml:space="preserve"> متاحة على الرابط التالي: </w:t>
      </w:r>
      <w:hyperlink r:id="rId2" w:history="1">
        <w:r w:rsidRPr="007F0989">
          <w:rPr>
            <w:rStyle w:val="Hyperlink"/>
            <w:color w:val="auto"/>
            <w:u w:val="none"/>
          </w:rPr>
          <w:t>http://www.oepm.es/es/propiedad_industrial/transferencia_de_tecnologia/Modelos_de_Contratos/index.html</w:t>
        </w:r>
      </w:hyperlink>
      <w:r w:rsidRPr="007F0989">
        <w:rPr>
          <w:rFonts w:hint="cs"/>
          <w:rtl/>
        </w:rPr>
        <w:t xml:space="preserve">. </w:t>
      </w:r>
    </w:p>
  </w:footnote>
  <w:footnote w:id="13">
    <w:p w:rsidR="00461F6F" w:rsidRDefault="00461F6F" w:rsidP="00F42070">
      <w:pPr>
        <w:pStyle w:val="FootnoteText"/>
      </w:pPr>
      <w:r>
        <w:rPr>
          <w:rStyle w:val="FootnoteReference"/>
        </w:rPr>
        <w:footnoteRef/>
      </w:r>
      <w:r w:rsidR="00F42070">
        <w:rPr>
          <w:rFonts w:hint="cs"/>
          <w:rtl/>
        </w:rPr>
        <w:tab/>
      </w:r>
      <w:r>
        <w:rPr>
          <w:rFonts w:hint="cs"/>
          <w:rtl/>
        </w:rPr>
        <w:t xml:space="preserve">انظر الرابط التالي: </w:t>
      </w:r>
      <w:r w:rsidRPr="000C0E68">
        <w:t>https://www.ifia.com/news/alternative-dispute-resolution/</w:t>
      </w:r>
      <w:r>
        <w:rPr>
          <w:rFonts w:hint="cs"/>
          <w:rtl/>
        </w:rPr>
        <w:t>.</w:t>
      </w:r>
    </w:p>
  </w:footnote>
  <w:footnote w:id="14">
    <w:p w:rsidR="00461F6F" w:rsidRPr="00F7129C" w:rsidRDefault="00461F6F" w:rsidP="00F42070">
      <w:pPr>
        <w:pStyle w:val="FootnoteText"/>
      </w:pPr>
      <w:r w:rsidRPr="00F7129C">
        <w:rPr>
          <w:rStyle w:val="FootnoteReference"/>
        </w:rPr>
        <w:footnoteRef/>
      </w:r>
      <w:r w:rsidR="00F42070">
        <w:rPr>
          <w:rFonts w:hint="cs"/>
          <w:rtl/>
        </w:rPr>
        <w:tab/>
      </w:r>
      <w:r w:rsidRPr="00F7129C">
        <w:rPr>
          <w:rtl/>
        </w:rPr>
        <w:t xml:space="preserve">إدارة الأسماء والعناوين على الإنترنت: قضايا الملكية الفكرية – التقرير النهائي لمشروع الويبو بشأن أسماء الحقول على الإنترنت، منشور الويبو رقم 439، المتوفر أيضاً على </w:t>
      </w:r>
      <w:r>
        <w:rPr>
          <w:rFonts w:hint="cs"/>
          <w:rtl/>
        </w:rPr>
        <w:t>الرابط</w:t>
      </w:r>
      <w:r w:rsidRPr="00F7129C">
        <w:rPr>
          <w:rtl/>
        </w:rPr>
        <w:t xml:space="preserve"> التالي: </w:t>
      </w:r>
      <w:r w:rsidRPr="00F7129C">
        <w:t>http://www.wipo.int/amc/en/processes/process1/report</w:t>
      </w:r>
      <w:r w:rsidRPr="00F7129C">
        <w:rPr>
          <w:rtl/>
        </w:rPr>
        <w:t>.</w:t>
      </w:r>
    </w:p>
  </w:footnote>
  <w:footnote w:id="15">
    <w:p w:rsidR="00461F6F" w:rsidRPr="00F7129C" w:rsidRDefault="00461F6F" w:rsidP="00F42070">
      <w:pPr>
        <w:pStyle w:val="FootnoteText"/>
        <w:rPr>
          <w:rtl/>
          <w:lang w:bidi="ar-EG"/>
        </w:rPr>
      </w:pPr>
      <w:r w:rsidRPr="00F7129C">
        <w:rPr>
          <w:rStyle w:val="FootnoteReference"/>
        </w:rPr>
        <w:footnoteRef/>
      </w:r>
      <w:r w:rsidR="00F42070">
        <w:rPr>
          <w:rFonts w:hint="cs"/>
          <w:rtl/>
        </w:rPr>
        <w:tab/>
      </w:r>
      <w:r w:rsidRPr="00F7129C">
        <w:rPr>
          <w:rtl/>
          <w:lang w:bidi="ar-EG"/>
        </w:rPr>
        <w:t>الإقرار بالحقوق والانتفاع بالأسماء في نظام أسماء الحقول على الإنترنت – تقرير مشروع الويبو الثاني بشأن أسماء الحقول على الإنترنت، منشور الويبو رقم</w:t>
      </w:r>
      <w:r>
        <w:rPr>
          <w:rFonts w:hint="cs"/>
          <w:rtl/>
          <w:lang w:bidi="ar-EG"/>
        </w:rPr>
        <w:t> </w:t>
      </w:r>
      <w:r w:rsidRPr="00F7129C">
        <w:rPr>
          <w:rtl/>
          <w:lang w:bidi="ar-EG"/>
        </w:rPr>
        <w:t xml:space="preserve">843. انظر أيضاً </w:t>
      </w:r>
      <w:r>
        <w:rPr>
          <w:rFonts w:hint="cs"/>
          <w:rtl/>
          <w:lang w:bidi="ar-EG"/>
        </w:rPr>
        <w:t>الرابط</w:t>
      </w:r>
      <w:r w:rsidRPr="00F7129C">
        <w:rPr>
          <w:rtl/>
          <w:lang w:bidi="ar-EG"/>
        </w:rPr>
        <w:t xml:space="preserve"> التالي: </w:t>
      </w:r>
      <w:r w:rsidRPr="00F7129C">
        <w:rPr>
          <w:lang w:bidi="ar-EG"/>
        </w:rPr>
        <w:t>http://www.wipo.int/amc/en/processes/process2/report</w:t>
      </w:r>
      <w:r w:rsidRPr="00F7129C">
        <w:rPr>
          <w:rtl/>
          <w:lang w:bidi="ar-EG"/>
        </w:rPr>
        <w:t>.</w:t>
      </w:r>
    </w:p>
  </w:footnote>
  <w:footnote w:id="16">
    <w:p w:rsidR="00461F6F" w:rsidRDefault="00461F6F" w:rsidP="00F42070">
      <w:pPr>
        <w:pStyle w:val="FootnoteText"/>
      </w:pPr>
      <w:r>
        <w:rPr>
          <w:rStyle w:val="FootnoteReference"/>
        </w:rPr>
        <w:footnoteRef/>
      </w:r>
      <w:r w:rsidR="00F42070">
        <w:rPr>
          <w:rFonts w:hint="cs"/>
          <w:rtl/>
        </w:rPr>
        <w:tab/>
      </w:r>
      <w:r w:rsidRPr="00F7129C">
        <w:rPr>
          <w:rtl/>
          <w:lang w:bidi="ar-EG"/>
        </w:rPr>
        <w:t>لا تمنع السياسة الموحدة أي طرف من إحالة منازعة إلى محكمة مختصة، ولكن عدداً قليلاً جداً من القضايا التي تم البت فيها بموجب السياسة الموحدة قد أُحيل إلى محكمة وطنية.</w:t>
      </w:r>
      <w:r w:rsidRPr="00F7129C">
        <w:rPr>
          <w:rtl/>
        </w:rPr>
        <w:t xml:space="preserve"> </w:t>
      </w:r>
      <w:r w:rsidRPr="00F7129C">
        <w:rPr>
          <w:rtl/>
          <w:lang w:bidi="ar-EG"/>
        </w:rPr>
        <w:t xml:space="preserve">انظر مختارات من قضايا المحاكم المتعلقة بالسياسة الموحدة على </w:t>
      </w:r>
      <w:r>
        <w:rPr>
          <w:rFonts w:hint="cs"/>
          <w:rtl/>
          <w:lang w:bidi="ar-EG"/>
        </w:rPr>
        <w:t>الرابط</w:t>
      </w:r>
      <w:r w:rsidRPr="00F7129C">
        <w:rPr>
          <w:rtl/>
          <w:lang w:bidi="ar-EG"/>
        </w:rPr>
        <w:t xml:space="preserve"> التالي: </w:t>
      </w:r>
      <w:r w:rsidRPr="00F7129C">
        <w:rPr>
          <w:lang w:bidi="ar-EG"/>
        </w:rPr>
        <w:t>http://www.wipo.int/amc/en/domains/challenged</w:t>
      </w:r>
      <w:r w:rsidRPr="00F7129C">
        <w:rPr>
          <w:rtl/>
          <w:lang w:bidi="ar-EG"/>
        </w:rPr>
        <w:t>.</w:t>
      </w:r>
    </w:p>
  </w:footnote>
  <w:footnote w:id="17">
    <w:p w:rsidR="00461F6F" w:rsidRDefault="00461F6F" w:rsidP="00436A45">
      <w:pPr>
        <w:pStyle w:val="FootnoteText"/>
      </w:pPr>
      <w:r>
        <w:rPr>
          <w:rStyle w:val="FootnoteReference"/>
        </w:rPr>
        <w:footnoteRef/>
      </w:r>
      <w:r w:rsidR="00F42070">
        <w:rPr>
          <w:rFonts w:hint="cs"/>
          <w:rtl/>
        </w:rPr>
        <w:tab/>
      </w:r>
      <w:r w:rsidRPr="00F7129C">
        <w:rPr>
          <w:rtl/>
          <w:lang w:bidi="ar-EG"/>
        </w:rPr>
        <w:t xml:space="preserve">ينشر </w:t>
      </w:r>
      <w:r>
        <w:rPr>
          <w:rFonts w:hint="cs"/>
          <w:rtl/>
          <w:lang w:bidi="ar-EG"/>
        </w:rPr>
        <w:t>ال</w:t>
      </w:r>
      <w:r w:rsidRPr="00F7129C">
        <w:rPr>
          <w:rtl/>
          <w:lang w:bidi="ar-EG"/>
        </w:rPr>
        <w:t xml:space="preserve">مركز على صفحات موقعه الإلكتروني إحصائيات آنية بغية مساعدة الأطراف في قضايا الويبو في إطار السياسة الموحدة والوسطاء ووكلاء العلامات التجارية ومسجلي أسماء الحقول وواضعي السياسات </w:t>
      </w:r>
      <w:r w:rsidRPr="00436A45">
        <w:rPr>
          <w:rtl/>
          <w:lang w:bidi="ar-EG"/>
        </w:rPr>
        <w:t>في مجال أسماء الحقول ووسائل الإعلام والأوساط الأكاديمية. وتشمل الإحصائيات المتاحة فئات عديدة مثل "مجال عمل المدّعين" أو "نوعية حروف اسم الحقل" أو "القرارات الخمسة والعشر</w:t>
      </w:r>
      <w:r w:rsidR="00436A45" w:rsidRPr="00436A45">
        <w:rPr>
          <w:rFonts w:hint="cs"/>
          <w:rtl/>
          <w:lang w:bidi="ar-EG"/>
        </w:rPr>
        <w:t>ي</w:t>
      </w:r>
      <w:r w:rsidRPr="00436A45">
        <w:rPr>
          <w:rtl/>
          <w:lang w:bidi="ar-EG"/>
        </w:rPr>
        <w:t>ن الأكثر ذكراً</w:t>
      </w:r>
      <w:r w:rsidRPr="00F7129C">
        <w:rPr>
          <w:rtl/>
          <w:lang w:bidi="ar-EG"/>
        </w:rPr>
        <w:t xml:space="preserve"> في الشكاوى". انظر </w:t>
      </w:r>
      <w:r>
        <w:rPr>
          <w:rFonts w:hint="cs"/>
          <w:rtl/>
          <w:lang w:bidi="ar-EG"/>
        </w:rPr>
        <w:t>الرابط</w:t>
      </w:r>
      <w:r w:rsidRPr="00F7129C">
        <w:rPr>
          <w:rtl/>
          <w:lang w:bidi="ar-EG"/>
        </w:rPr>
        <w:t xml:space="preserve"> التالي: </w:t>
      </w:r>
      <w:r w:rsidRPr="00F7129C">
        <w:rPr>
          <w:lang w:bidi="ar-EG"/>
        </w:rPr>
        <w:t>http://www.wipo.int/amc/en/domains/statistics</w:t>
      </w:r>
      <w:r w:rsidRPr="00F7129C">
        <w:rPr>
          <w:rtl/>
          <w:lang w:bidi="ar-EG"/>
        </w:rPr>
        <w:t>.</w:t>
      </w:r>
    </w:p>
  </w:footnote>
  <w:footnote w:id="18">
    <w:p w:rsidR="00461F6F" w:rsidRPr="00F7129C" w:rsidRDefault="00461F6F" w:rsidP="00C770E4">
      <w:pPr>
        <w:pStyle w:val="FootnoteText"/>
        <w:rPr>
          <w:lang w:bidi="ar-EG"/>
        </w:rPr>
      </w:pPr>
      <w:r w:rsidRPr="00F7129C">
        <w:rPr>
          <w:rStyle w:val="FootnoteReference"/>
        </w:rPr>
        <w:footnoteRef/>
      </w:r>
      <w:r w:rsidR="00C770E4">
        <w:tab/>
      </w:r>
      <w:r w:rsidRPr="00F7129C">
        <w:rPr>
          <w:rtl/>
          <w:lang w:bidi="ar-EG"/>
        </w:rPr>
        <w:t>بالترتيب الأبجدي</w:t>
      </w:r>
      <w:r>
        <w:rPr>
          <w:rFonts w:hint="cs"/>
          <w:rtl/>
          <w:lang w:bidi="ar-EG"/>
        </w:rPr>
        <w:t xml:space="preserve"> الإنكليزي</w:t>
      </w:r>
      <w:r w:rsidRPr="00F7129C">
        <w:rPr>
          <w:rtl/>
          <w:lang w:bidi="ar-EG"/>
        </w:rPr>
        <w:t xml:space="preserve">: الصينية، والتشيكية، </w:t>
      </w:r>
      <w:proofErr w:type="spellStart"/>
      <w:r w:rsidRPr="00F7129C">
        <w:rPr>
          <w:rtl/>
          <w:lang w:bidi="ar-EG"/>
        </w:rPr>
        <w:t>والدانمركية</w:t>
      </w:r>
      <w:proofErr w:type="spellEnd"/>
      <w:r w:rsidRPr="00F7129C">
        <w:rPr>
          <w:rtl/>
          <w:lang w:bidi="ar-EG"/>
        </w:rPr>
        <w:t>، والهولندية، والإنكليزية، والفرنسية، والألمانية، والعبرية، والإيطالية، واليابانية، والكورية، والنرويجية، والبولندية، والبرتغالية، والرومانية، والروسية، والسلوفاكية، والإسبانية، والسويدية، والتركية، والفيتنامية.</w:t>
      </w:r>
    </w:p>
  </w:footnote>
  <w:footnote w:id="19">
    <w:p w:rsidR="00461F6F" w:rsidRDefault="00461F6F" w:rsidP="00C770E4">
      <w:pPr>
        <w:pStyle w:val="FootnoteText"/>
      </w:pPr>
      <w:r>
        <w:rPr>
          <w:rStyle w:val="FootnoteReference"/>
        </w:rPr>
        <w:footnoteRef/>
      </w:r>
      <w:r w:rsidR="00C770E4">
        <w:tab/>
      </w:r>
      <w:r>
        <w:rPr>
          <w:rFonts w:hint="cs"/>
          <w:rtl/>
        </w:rPr>
        <w:t xml:space="preserve">انظر الرابط التالي: </w:t>
      </w:r>
      <w:r w:rsidRPr="00A60368">
        <w:t>http://www.wipo.int/amc/en/domains/search/overview3.0/</w:t>
      </w:r>
      <w:r>
        <w:rPr>
          <w:rFonts w:hint="cs"/>
          <w:rtl/>
        </w:rPr>
        <w:t>.</w:t>
      </w:r>
    </w:p>
  </w:footnote>
  <w:footnote w:id="20">
    <w:p w:rsidR="00461F6F" w:rsidRPr="00F7129C" w:rsidRDefault="00461F6F" w:rsidP="001626C5">
      <w:pPr>
        <w:pStyle w:val="FootnoteText"/>
        <w:rPr>
          <w:rtl/>
          <w:lang w:bidi="ar-EG"/>
        </w:rPr>
      </w:pPr>
      <w:r w:rsidRPr="00F7129C">
        <w:rPr>
          <w:rStyle w:val="FootnoteReference"/>
        </w:rPr>
        <w:footnoteRef/>
      </w:r>
      <w:r w:rsidR="00C770E4">
        <w:tab/>
      </w:r>
      <w:r>
        <w:rPr>
          <w:rFonts w:hint="cs"/>
          <w:rtl/>
          <w:lang w:bidi="ar-EG"/>
        </w:rPr>
        <w:t>انظر الرابط</w:t>
      </w:r>
      <w:r w:rsidRPr="00F7129C">
        <w:rPr>
          <w:rtl/>
          <w:lang w:bidi="ar-EG"/>
        </w:rPr>
        <w:t xml:space="preserve"> التالي: </w:t>
      </w:r>
      <w:r w:rsidRPr="00A60368">
        <w:rPr>
          <w:lang w:bidi="ar-EG"/>
        </w:rPr>
        <w:t>http://www.wipo.int/</w:t>
      </w:r>
      <w:r w:rsidR="001626C5">
        <w:rPr>
          <w:lang w:bidi="ar-EG"/>
        </w:rPr>
        <w:t>amc/en</w:t>
      </w:r>
      <w:r w:rsidRPr="00A60368">
        <w:rPr>
          <w:lang w:bidi="ar-EG"/>
        </w:rPr>
        <w:t>/domains/search/legalindex</w:t>
      </w:r>
      <w:r>
        <w:rPr>
          <w:rFonts w:hint="cs"/>
          <w:rtl/>
          <w:lang w:bidi="ar-EG"/>
        </w:rPr>
        <w:t>.</w:t>
      </w:r>
    </w:p>
  </w:footnote>
  <w:footnote w:id="21">
    <w:p w:rsidR="00461F6F" w:rsidRDefault="00461F6F" w:rsidP="00C770E4">
      <w:pPr>
        <w:pStyle w:val="FootnoteText"/>
      </w:pPr>
      <w:r>
        <w:rPr>
          <w:rStyle w:val="FootnoteReference"/>
        </w:rPr>
        <w:footnoteRef/>
      </w:r>
      <w:r w:rsidR="00C770E4">
        <w:tab/>
      </w:r>
      <w:r w:rsidRPr="00F7129C">
        <w:rPr>
          <w:rtl/>
          <w:lang w:bidi="ar-EG"/>
        </w:rPr>
        <w:t xml:space="preserve">انظر على سبيل المثال </w:t>
      </w:r>
      <w:r w:rsidRPr="00F7129C">
        <w:rPr>
          <w:lang w:bidi="ar-EG"/>
        </w:rPr>
        <w:t>WO/GA/41/17 Rev.2</w:t>
      </w:r>
      <w:r>
        <w:rPr>
          <w:rtl/>
          <w:lang w:bidi="ar-EG"/>
        </w:rPr>
        <w:t>،</w:t>
      </w:r>
      <w:r w:rsidR="00B15D06">
        <w:rPr>
          <w:lang w:bidi="ar-EG"/>
        </w:rPr>
        <w:t xml:space="preserve"> </w:t>
      </w:r>
      <w:r w:rsidR="00B15D06">
        <w:rPr>
          <w:rtl/>
          <w:lang w:bidi="ar-EG"/>
        </w:rPr>
        <w:t>الفقرات من</w:t>
      </w:r>
      <w:r w:rsidR="00B15D06">
        <w:rPr>
          <w:lang w:bidi="ar-EG"/>
        </w:rPr>
        <w:t xml:space="preserve"> </w:t>
      </w:r>
      <w:r w:rsidRPr="00F7129C">
        <w:rPr>
          <w:rtl/>
          <w:lang w:bidi="ar-EG"/>
        </w:rPr>
        <w:t>14 إلى 16</w:t>
      </w:r>
      <w:r>
        <w:rPr>
          <w:rFonts w:hint="cs"/>
          <w:rtl/>
          <w:lang w:bidi="ar-EG"/>
        </w:rPr>
        <w:t>.</w:t>
      </w:r>
      <w:r w:rsidRPr="004828D4">
        <w:rPr>
          <w:rFonts w:hint="cs"/>
          <w:rtl/>
          <w:lang w:bidi="ar-EG"/>
        </w:rPr>
        <w:t xml:space="preserve"> وفي 2015 نفذ </w:t>
      </w:r>
      <w:r>
        <w:rPr>
          <w:rFonts w:hint="cs"/>
          <w:rtl/>
          <w:lang w:bidi="ar-EG"/>
        </w:rPr>
        <w:t>ال</w:t>
      </w:r>
      <w:r w:rsidRPr="004828D4">
        <w:rPr>
          <w:rFonts w:hint="cs"/>
          <w:rtl/>
          <w:lang w:bidi="ar-EG"/>
        </w:rPr>
        <w:t>مركز ممارسة جديدة تخص "قفل" أسم</w:t>
      </w:r>
      <w:r>
        <w:rPr>
          <w:rFonts w:hint="cs"/>
          <w:rtl/>
          <w:lang w:bidi="ar-EG"/>
        </w:rPr>
        <w:t>اء الحقول لمنع ما يطلق عليه "الق</w:t>
      </w:r>
      <w:r w:rsidRPr="004828D4">
        <w:rPr>
          <w:rFonts w:hint="cs"/>
          <w:rtl/>
          <w:lang w:bidi="ar-EG"/>
        </w:rPr>
        <w:t>رار الإلكتروني" في إجراءات السياسة الموحدة</w:t>
      </w:r>
      <w:r w:rsidRPr="004828D4">
        <w:rPr>
          <w:rtl/>
          <w:lang w:bidi="ar-EG"/>
        </w:rPr>
        <w:t>.</w:t>
      </w:r>
    </w:p>
  </w:footnote>
  <w:footnote w:id="22">
    <w:p w:rsidR="00461F6F" w:rsidRDefault="00461F6F" w:rsidP="00C770E4">
      <w:pPr>
        <w:pStyle w:val="FootnoteText"/>
      </w:pPr>
      <w:r>
        <w:rPr>
          <w:rStyle w:val="FootnoteReference"/>
        </w:rPr>
        <w:footnoteRef/>
      </w:r>
      <w:r w:rsidR="00C770E4">
        <w:tab/>
      </w:r>
      <w:r w:rsidRPr="00F7129C">
        <w:rPr>
          <w:rtl/>
          <w:lang w:bidi="ar-EG"/>
        </w:rPr>
        <w:t>انظر الحاشية 2 أعلاه.</w:t>
      </w:r>
    </w:p>
  </w:footnote>
  <w:footnote w:id="23">
    <w:p w:rsidR="00461F6F" w:rsidRDefault="00461F6F" w:rsidP="00C770E4">
      <w:pPr>
        <w:pStyle w:val="FootnoteText"/>
      </w:pPr>
      <w:r>
        <w:rPr>
          <w:rStyle w:val="FootnoteReference"/>
        </w:rPr>
        <w:footnoteRef/>
      </w:r>
      <w:r w:rsidR="00C770E4">
        <w:tab/>
      </w:r>
      <w:r>
        <w:rPr>
          <w:rFonts w:hint="cs"/>
          <w:rtl/>
          <w:lang w:bidi="ar-EG"/>
        </w:rPr>
        <w:t>انظر الرابط</w:t>
      </w:r>
      <w:r w:rsidRPr="00F7129C">
        <w:rPr>
          <w:rtl/>
          <w:lang w:bidi="ar-EG"/>
        </w:rPr>
        <w:t xml:space="preserve"> التالي:</w:t>
      </w:r>
      <w:r>
        <w:rPr>
          <w:rFonts w:hint="cs"/>
          <w:rtl/>
          <w:lang w:bidi="ar-EG"/>
        </w:rPr>
        <w:t xml:space="preserve"> </w:t>
      </w:r>
      <w:r w:rsidRPr="00A60368">
        <w:rPr>
          <w:lang w:bidi="ar-EG"/>
        </w:rPr>
        <w:t>http://www.wipo.int/amc/en/new/eu.html</w:t>
      </w:r>
      <w:r>
        <w:rPr>
          <w:rFonts w:hint="cs"/>
          <w:rtl/>
          <w:lang w:bidi="ar-EG"/>
        </w:rPr>
        <w:t>.</w:t>
      </w:r>
    </w:p>
  </w:footnote>
  <w:footnote w:id="24">
    <w:p w:rsidR="00461F6F" w:rsidRDefault="00461F6F" w:rsidP="00C770E4">
      <w:pPr>
        <w:pStyle w:val="FootnoteText"/>
      </w:pPr>
      <w:r>
        <w:rPr>
          <w:rStyle w:val="FootnoteReference"/>
        </w:rPr>
        <w:footnoteRef/>
      </w:r>
      <w:r w:rsidR="00C770E4">
        <w:tab/>
      </w:r>
      <w:r w:rsidRPr="00F7129C">
        <w:rPr>
          <w:rtl/>
          <w:lang w:bidi="ar-EG"/>
        </w:rPr>
        <w:t xml:space="preserve">يمكن الاطلاع على القائمة الكاملة للحقول العليا المكونة من رموز البلدان والتي اتخذت مركز </w:t>
      </w:r>
      <w:proofErr w:type="spellStart"/>
      <w:r w:rsidRPr="00F7129C">
        <w:rPr>
          <w:rtl/>
          <w:lang w:bidi="ar-EG"/>
        </w:rPr>
        <w:t>الويبو</w:t>
      </w:r>
      <w:proofErr w:type="spellEnd"/>
      <w:r w:rsidRPr="00F7129C">
        <w:rPr>
          <w:rtl/>
          <w:lang w:bidi="ar-EG"/>
        </w:rPr>
        <w:t xml:space="preserve"> كجهة لتسوية منازعات أسماء الحقول على </w:t>
      </w:r>
      <w:r>
        <w:rPr>
          <w:rFonts w:hint="cs"/>
          <w:rtl/>
          <w:lang w:bidi="ar-EG"/>
        </w:rPr>
        <w:t>الرابط</w:t>
      </w:r>
      <w:r w:rsidRPr="00F7129C">
        <w:rPr>
          <w:rtl/>
          <w:lang w:bidi="ar-EG"/>
        </w:rPr>
        <w:t xml:space="preserve"> التالي</w:t>
      </w:r>
      <w:r>
        <w:rPr>
          <w:rFonts w:hint="cs"/>
          <w:rtl/>
          <w:lang w:bidi="ar-EG"/>
        </w:rPr>
        <w:t xml:space="preserve">: </w:t>
      </w:r>
      <w:hyperlink r:id="rId3" w:history="1">
        <w:r w:rsidRPr="00E62C7F">
          <w:rPr>
            <w:rStyle w:val="Hyperlink"/>
            <w:color w:val="auto"/>
            <w:u w:val="none"/>
            <w:lang w:bidi="ar-EG"/>
          </w:rPr>
          <w:t>http://www.wipo.int/amc/en/domains/cctld</w:t>
        </w:r>
      </w:hyperlink>
      <w:r w:rsidRPr="00E62C7F">
        <w:rPr>
          <w:rFonts w:hint="cs"/>
          <w:rtl/>
          <w:lang w:bidi="ar-EG"/>
        </w:rPr>
        <w:t xml:space="preserve">. </w:t>
      </w:r>
    </w:p>
  </w:footnote>
  <w:footnote w:id="25">
    <w:p w:rsidR="00461F6F" w:rsidRPr="00F7129C" w:rsidRDefault="00461F6F" w:rsidP="00EF2C71">
      <w:pPr>
        <w:pStyle w:val="FootnoteText"/>
        <w:rPr>
          <w:rtl/>
          <w:lang w:bidi="ar-EG"/>
        </w:rPr>
      </w:pPr>
      <w:r w:rsidRPr="00F7129C">
        <w:rPr>
          <w:rStyle w:val="FootnoteReference"/>
        </w:rPr>
        <w:footnoteRef/>
      </w:r>
      <w:r w:rsidR="00EF2C71">
        <w:tab/>
      </w:r>
      <w:r w:rsidRPr="00F7129C">
        <w:rPr>
          <w:rtl/>
          <w:lang w:bidi="ar-EG"/>
        </w:rPr>
        <w:t xml:space="preserve">انظر </w:t>
      </w:r>
      <w:r>
        <w:rPr>
          <w:rFonts w:hint="cs"/>
          <w:rtl/>
          <w:lang w:bidi="ar-EG"/>
        </w:rPr>
        <w:t>الرابط</w:t>
      </w:r>
      <w:r w:rsidRPr="00F7129C">
        <w:rPr>
          <w:rtl/>
          <w:lang w:bidi="ar-EG"/>
        </w:rPr>
        <w:t xml:space="preserve"> التالي: </w:t>
      </w:r>
      <w:r w:rsidRPr="00F7129C">
        <w:rPr>
          <w:lang w:bidi="ar-EG"/>
        </w:rPr>
        <w:t>http://www.icann.org/en/minutes/resolutions-20jun11-en.htm</w:t>
      </w:r>
      <w:r w:rsidRPr="00F7129C">
        <w:rPr>
          <w:rtl/>
          <w:lang w:bidi="ar-EG"/>
        </w:rPr>
        <w:t xml:space="preserve">. وللاطلاع على مزيد من المعلومات الأساسية بما فيها المراجع، انظر الوثيقة </w:t>
      </w:r>
      <w:r w:rsidRPr="00F7129C">
        <w:rPr>
          <w:lang w:bidi="ar-EG"/>
        </w:rPr>
        <w:t>WO/GA/39/10</w:t>
      </w:r>
      <w:r w:rsidRPr="00F7129C">
        <w:rPr>
          <w:rtl/>
          <w:lang w:bidi="ar-EG"/>
        </w:rPr>
        <w:t xml:space="preserve"> وتحديداً الفقرة 14.</w:t>
      </w:r>
    </w:p>
  </w:footnote>
  <w:footnote w:id="26">
    <w:p w:rsidR="00461F6F" w:rsidRPr="00F7129C" w:rsidRDefault="00461F6F" w:rsidP="00EF2C71">
      <w:pPr>
        <w:pStyle w:val="FootnoteText"/>
        <w:rPr>
          <w:lang w:bidi="ar-EG"/>
        </w:rPr>
      </w:pPr>
      <w:r w:rsidRPr="00F7129C">
        <w:rPr>
          <w:rStyle w:val="FootnoteReference"/>
        </w:rPr>
        <w:footnoteRef/>
      </w:r>
      <w:r w:rsidR="00EF2C71">
        <w:tab/>
      </w:r>
      <w:r w:rsidRPr="00F7129C">
        <w:rPr>
          <w:rtl/>
          <w:lang w:bidi="ar-EG"/>
        </w:rPr>
        <w:t xml:space="preserve">دليل مودع طلب التسجيل الخاص </w:t>
      </w:r>
      <w:proofErr w:type="spellStart"/>
      <w:r w:rsidRPr="00F7129C">
        <w:rPr>
          <w:rtl/>
          <w:lang w:bidi="ar-EG"/>
        </w:rPr>
        <w:t>بالإيكان</w:t>
      </w:r>
      <w:proofErr w:type="spellEnd"/>
      <w:r w:rsidRPr="00F7129C">
        <w:rPr>
          <w:rtl/>
          <w:lang w:bidi="ar-EG"/>
        </w:rPr>
        <w:t xml:space="preserve"> متاح على </w:t>
      </w:r>
      <w:r>
        <w:rPr>
          <w:rFonts w:hint="cs"/>
          <w:rtl/>
          <w:lang w:bidi="ar-EG"/>
        </w:rPr>
        <w:t>الرابط</w:t>
      </w:r>
      <w:r w:rsidRPr="00F7129C">
        <w:rPr>
          <w:rtl/>
          <w:lang w:bidi="ar-EG"/>
        </w:rPr>
        <w:t xml:space="preserve"> التالي: </w:t>
      </w:r>
      <w:r w:rsidRPr="00F7129C">
        <w:rPr>
          <w:lang w:bidi="ar-EG"/>
        </w:rPr>
        <w:t>http://newgtlds.icann.org/en/applicants/agb</w:t>
      </w:r>
      <w:r w:rsidRPr="00F7129C">
        <w:rPr>
          <w:rtl/>
          <w:lang w:bidi="ar-EG"/>
        </w:rPr>
        <w:t>.</w:t>
      </w:r>
    </w:p>
  </w:footnote>
  <w:footnote w:id="27">
    <w:p w:rsidR="00461F6F" w:rsidRPr="00F7129C" w:rsidRDefault="00461F6F" w:rsidP="00EF2C71">
      <w:pPr>
        <w:pStyle w:val="FootnoteText"/>
        <w:rPr>
          <w:lang w:bidi="ar-EG"/>
        </w:rPr>
      </w:pPr>
      <w:r w:rsidRPr="00F7129C">
        <w:rPr>
          <w:rStyle w:val="FootnoteReference"/>
        </w:rPr>
        <w:footnoteRef/>
      </w:r>
      <w:r w:rsidR="00EF2C71">
        <w:tab/>
      </w:r>
      <w:r w:rsidRPr="00F7129C">
        <w:rPr>
          <w:rtl/>
          <w:lang w:bidi="ar-EG"/>
        </w:rPr>
        <w:t xml:space="preserve">ترد قائمة بأسماء الحقول العليا الجديدة المكوَّنة من أسماء عامة على </w:t>
      </w:r>
      <w:r>
        <w:rPr>
          <w:rFonts w:hint="cs"/>
          <w:rtl/>
          <w:lang w:bidi="ar-EG"/>
        </w:rPr>
        <w:t>الرابط</w:t>
      </w:r>
      <w:r w:rsidRPr="00F7129C">
        <w:rPr>
          <w:rtl/>
          <w:lang w:bidi="ar-EG"/>
        </w:rPr>
        <w:t xml:space="preserve"> التالي:</w:t>
      </w:r>
    </w:p>
    <w:p w:rsidR="00461F6F" w:rsidRPr="00F7129C" w:rsidRDefault="00461F6F" w:rsidP="00411B03">
      <w:pPr>
        <w:pStyle w:val="FootnoteText"/>
        <w:rPr>
          <w:lang w:bidi="ar-EG"/>
        </w:rPr>
      </w:pPr>
      <w:r w:rsidRPr="00F7129C">
        <w:rPr>
          <w:lang w:bidi="ar-EG"/>
        </w:rPr>
        <w:t>http://newgtlds.icann.org/en/program-status/delegated-strings</w:t>
      </w:r>
      <w:r w:rsidRPr="00F7129C">
        <w:rPr>
          <w:rtl/>
          <w:lang w:bidi="ar-EG"/>
        </w:rPr>
        <w:t>.</w:t>
      </w:r>
    </w:p>
  </w:footnote>
  <w:footnote w:id="28">
    <w:p w:rsidR="00461F6F" w:rsidRPr="00F7129C" w:rsidRDefault="00461F6F" w:rsidP="00EF2C71">
      <w:pPr>
        <w:pStyle w:val="FootnoteText"/>
        <w:rPr>
          <w:rtl/>
          <w:lang w:bidi="ar-EG"/>
        </w:rPr>
      </w:pPr>
      <w:r w:rsidRPr="00F7129C">
        <w:rPr>
          <w:rStyle w:val="FootnoteReference"/>
        </w:rPr>
        <w:footnoteRef/>
      </w:r>
      <w:r w:rsidR="00EF2C71">
        <w:tab/>
      </w:r>
      <w:r w:rsidRPr="00F7129C">
        <w:rPr>
          <w:rtl/>
          <w:lang w:bidi="ar-EG"/>
        </w:rPr>
        <w:t xml:space="preserve">لمزيد من المعلومات الأساسية بما فيها المراجع، انظر الوثيقة </w:t>
      </w:r>
      <w:r w:rsidRPr="00F7129C">
        <w:rPr>
          <w:lang w:bidi="ar-EG"/>
        </w:rPr>
        <w:t>WO/GA/39/10</w:t>
      </w:r>
      <w:r w:rsidRPr="00F7129C">
        <w:rPr>
          <w:rtl/>
          <w:lang w:bidi="ar-EG"/>
        </w:rPr>
        <w:t xml:space="preserve"> وتحديداً الفقرات من 23 إلى 30. و</w:t>
      </w:r>
      <w:r>
        <w:rPr>
          <w:rFonts w:hint="cs"/>
          <w:rtl/>
          <w:lang w:bidi="ar-EG"/>
        </w:rPr>
        <w:t>يُشار</w:t>
      </w:r>
      <w:r w:rsidRPr="00F7129C">
        <w:rPr>
          <w:rtl/>
          <w:lang w:bidi="ar-EG"/>
        </w:rPr>
        <w:t xml:space="preserve"> هنا إلى أن </w:t>
      </w:r>
      <w:proofErr w:type="spellStart"/>
      <w:r w:rsidRPr="00F7129C">
        <w:rPr>
          <w:rtl/>
          <w:lang w:bidi="ar-EG"/>
        </w:rPr>
        <w:t>الإيكان</w:t>
      </w:r>
      <w:proofErr w:type="spellEnd"/>
      <w:r w:rsidRPr="00F7129C">
        <w:rPr>
          <w:rtl/>
          <w:lang w:bidi="ar-EG"/>
        </w:rPr>
        <w:t xml:space="preserve"> قد </w:t>
      </w:r>
      <w:r>
        <w:rPr>
          <w:rFonts w:hint="cs"/>
          <w:rtl/>
          <w:lang w:bidi="ar-EG"/>
        </w:rPr>
        <w:t>رفضت</w:t>
      </w:r>
      <w:r w:rsidRPr="00F7129C">
        <w:rPr>
          <w:rtl/>
          <w:lang w:bidi="ar-EG"/>
        </w:rPr>
        <w:t xml:space="preserve"> اقتراح</w:t>
      </w:r>
      <w:r>
        <w:rPr>
          <w:rFonts w:hint="cs"/>
          <w:rtl/>
          <w:lang w:bidi="ar-EG"/>
        </w:rPr>
        <w:t>ا</w:t>
      </w:r>
      <w:r w:rsidRPr="00F7129C">
        <w:rPr>
          <w:rtl/>
          <w:lang w:bidi="ar-EG"/>
        </w:rPr>
        <w:t xml:space="preserve"> بشأن وضع " قائمة بالعلامات المحمية عالمياً".</w:t>
      </w:r>
    </w:p>
  </w:footnote>
  <w:footnote w:id="29">
    <w:p w:rsidR="00461F6F" w:rsidRPr="00F7129C" w:rsidRDefault="00461F6F" w:rsidP="00EF2C71">
      <w:pPr>
        <w:pStyle w:val="FootnoteText"/>
        <w:rPr>
          <w:rtl/>
          <w:lang w:bidi="ar-EG"/>
        </w:rPr>
      </w:pPr>
      <w:r w:rsidRPr="00F7129C">
        <w:rPr>
          <w:rStyle w:val="FootnoteReference"/>
        </w:rPr>
        <w:footnoteRef/>
      </w:r>
      <w:r w:rsidR="00EF2C71">
        <w:tab/>
      </w:r>
      <w:r w:rsidRPr="00F7129C">
        <w:rPr>
          <w:rtl/>
          <w:lang w:bidi="ar-EG"/>
        </w:rPr>
        <w:t xml:space="preserve">أسباب الاعتراضات الأخرى التي أقرّتها </w:t>
      </w:r>
      <w:proofErr w:type="spellStart"/>
      <w:r w:rsidRPr="00F7129C">
        <w:rPr>
          <w:rtl/>
          <w:lang w:bidi="ar-EG"/>
        </w:rPr>
        <w:t>الإيكان</w:t>
      </w:r>
      <w:proofErr w:type="spellEnd"/>
      <w:r w:rsidRPr="00F7129C">
        <w:rPr>
          <w:rtl/>
          <w:lang w:bidi="ar-EG"/>
        </w:rPr>
        <w:t xml:space="preserve"> هي: "الاعتراضات القائمة على اللبس في التسلسل" و"اعتراضات الجماعات" و"الاعتراضات القائمة على مبدأ مراعاة حدود المصالح العامة"). ويحتوي دليل مودع الطلب أيضاً على عدد من الإجراءات الأخرى التي يجوز أن تضعها الحكومات لفائدتها تبعاً لإعلان </w:t>
      </w:r>
      <w:proofErr w:type="spellStart"/>
      <w:r w:rsidRPr="00F7129C">
        <w:rPr>
          <w:rtl/>
          <w:lang w:bidi="ar-EG"/>
        </w:rPr>
        <w:t>الإيكان</w:t>
      </w:r>
      <w:proofErr w:type="spellEnd"/>
      <w:r w:rsidRPr="00F7129C">
        <w:rPr>
          <w:rtl/>
          <w:lang w:bidi="ar-EG"/>
        </w:rPr>
        <w:t xml:space="preserve"> الخاص بالطلبات بشأن الحقول العليا الجديدة المكونة من أسماء عامة. وتحديداً </w:t>
      </w:r>
      <w:r>
        <w:rPr>
          <w:rFonts w:hint="cs"/>
          <w:rtl/>
          <w:lang w:bidi="ar-EG"/>
        </w:rPr>
        <w:t>الفقرة</w:t>
      </w:r>
      <w:r>
        <w:rPr>
          <w:rtl/>
          <w:lang w:bidi="ar-EG"/>
        </w:rPr>
        <w:t xml:space="preserve"> 4.2.1.1 ال</w:t>
      </w:r>
      <w:r>
        <w:rPr>
          <w:rFonts w:hint="cs"/>
          <w:rtl/>
          <w:lang w:bidi="ar-EG"/>
        </w:rPr>
        <w:t>ت</w:t>
      </w:r>
      <w:r>
        <w:rPr>
          <w:rtl/>
          <w:lang w:bidi="ar-EG"/>
        </w:rPr>
        <w:t xml:space="preserve">ي </w:t>
      </w:r>
      <w:r>
        <w:rPr>
          <w:rFonts w:hint="cs"/>
          <w:rtl/>
          <w:lang w:bidi="ar-EG"/>
        </w:rPr>
        <w:t>ت</w:t>
      </w:r>
      <w:r w:rsidRPr="00F7129C">
        <w:rPr>
          <w:rtl/>
          <w:lang w:bidi="ar-EG"/>
        </w:rPr>
        <w:t xml:space="preserve">نص على "الإنذار المبكر للجنة الاستشارية الحكومية </w:t>
      </w:r>
      <w:proofErr w:type="spellStart"/>
      <w:r w:rsidRPr="00F7129C">
        <w:rPr>
          <w:rtl/>
          <w:lang w:bidi="ar-EG"/>
        </w:rPr>
        <w:t>للإيكان</w:t>
      </w:r>
      <w:proofErr w:type="spellEnd"/>
      <w:r w:rsidRPr="00F7129C">
        <w:rPr>
          <w:rtl/>
          <w:lang w:bidi="ar-EG"/>
        </w:rPr>
        <w:t>" وال</w:t>
      </w:r>
      <w:r>
        <w:rPr>
          <w:rFonts w:hint="cs"/>
          <w:rtl/>
          <w:lang w:bidi="ar-EG"/>
        </w:rPr>
        <w:t>فقرة</w:t>
      </w:r>
      <w:r w:rsidRPr="00F7129C">
        <w:rPr>
          <w:rtl/>
          <w:lang w:bidi="ar-EG"/>
        </w:rPr>
        <w:t xml:space="preserve"> 7.2.</w:t>
      </w:r>
      <w:r>
        <w:rPr>
          <w:rtl/>
          <w:lang w:bidi="ar-EG"/>
        </w:rPr>
        <w:t>1.1 ال</w:t>
      </w:r>
      <w:r>
        <w:rPr>
          <w:rFonts w:hint="cs"/>
          <w:rtl/>
          <w:lang w:bidi="ar-EG"/>
        </w:rPr>
        <w:t>ت</w:t>
      </w:r>
      <w:r>
        <w:rPr>
          <w:rtl/>
          <w:lang w:bidi="ar-EG"/>
        </w:rPr>
        <w:t xml:space="preserve">ي </w:t>
      </w:r>
      <w:r>
        <w:rPr>
          <w:rFonts w:hint="cs"/>
          <w:rtl/>
          <w:lang w:bidi="ar-EG"/>
        </w:rPr>
        <w:t>ت</w:t>
      </w:r>
      <w:r w:rsidRPr="00F7129C">
        <w:rPr>
          <w:rtl/>
          <w:lang w:bidi="ar-EG"/>
        </w:rPr>
        <w:t xml:space="preserve">نص على "تلقي مشورة اللجنة الاستشارية الحكومية </w:t>
      </w:r>
      <w:proofErr w:type="spellStart"/>
      <w:r w:rsidRPr="00F7129C">
        <w:rPr>
          <w:rtl/>
          <w:lang w:bidi="ar-EG"/>
        </w:rPr>
        <w:t>للإيكان</w:t>
      </w:r>
      <w:proofErr w:type="spellEnd"/>
      <w:r w:rsidRPr="00F7129C">
        <w:rPr>
          <w:rtl/>
          <w:lang w:bidi="ar-EG"/>
        </w:rPr>
        <w:t xml:space="preserve"> بشأن الحقول العليا الجديدة المكونة من أسماء عامة" لكي ينظر فيها مجلس </w:t>
      </w:r>
      <w:proofErr w:type="spellStart"/>
      <w:r w:rsidRPr="00F7129C">
        <w:rPr>
          <w:rtl/>
          <w:lang w:bidi="ar-EG"/>
        </w:rPr>
        <w:t>الإيكان</w:t>
      </w:r>
      <w:proofErr w:type="spellEnd"/>
      <w:r w:rsidRPr="00F7129C">
        <w:rPr>
          <w:rtl/>
          <w:lang w:bidi="ar-EG"/>
        </w:rPr>
        <w:t>.</w:t>
      </w:r>
    </w:p>
  </w:footnote>
  <w:footnote w:id="30">
    <w:p w:rsidR="00461F6F" w:rsidRPr="00F7129C" w:rsidRDefault="00461F6F" w:rsidP="001626C5">
      <w:pPr>
        <w:pStyle w:val="FootnoteText"/>
        <w:rPr>
          <w:rtl/>
          <w:lang w:bidi="ar-EG"/>
        </w:rPr>
      </w:pPr>
      <w:r w:rsidRPr="00F7129C">
        <w:rPr>
          <w:rStyle w:val="FootnoteReference"/>
        </w:rPr>
        <w:footnoteRef/>
      </w:r>
      <w:r w:rsidR="000C70F2">
        <w:tab/>
      </w:r>
      <w:r w:rsidRPr="00F7129C">
        <w:rPr>
          <w:rtl/>
          <w:lang w:bidi="ar-EG"/>
        </w:rPr>
        <w:t xml:space="preserve">اعتمدتها الجمعية العامة </w:t>
      </w:r>
      <w:proofErr w:type="spellStart"/>
      <w:r w:rsidRPr="00F7129C">
        <w:rPr>
          <w:rtl/>
          <w:lang w:bidi="ar-EG"/>
        </w:rPr>
        <w:t>للويبو</w:t>
      </w:r>
      <w:proofErr w:type="spellEnd"/>
      <w:r w:rsidRPr="00F7129C">
        <w:rPr>
          <w:rtl/>
          <w:lang w:bidi="ar-EG"/>
        </w:rPr>
        <w:t xml:space="preserve"> في سبتمبر 2001، انظر </w:t>
      </w:r>
      <w:r>
        <w:rPr>
          <w:rFonts w:hint="cs"/>
          <w:rtl/>
          <w:lang w:bidi="ar-EG"/>
        </w:rPr>
        <w:t>الرابط</w:t>
      </w:r>
      <w:r w:rsidRPr="00F7129C">
        <w:rPr>
          <w:rtl/>
          <w:lang w:bidi="ar-EG"/>
        </w:rPr>
        <w:t xml:space="preserve"> التالي: </w:t>
      </w:r>
      <w:bookmarkStart w:id="2" w:name="_GoBack"/>
      <w:r w:rsidRPr="00F7129C">
        <w:rPr>
          <w:lang w:bidi="ar-EG"/>
        </w:rPr>
        <w:t>http://</w:t>
      </w:r>
      <w:r w:rsidR="001626C5" w:rsidRPr="001626C5">
        <w:rPr>
          <w:lang w:bidi="ar-EG"/>
        </w:rPr>
        <w:t>www.wipo.int/edocs/pubdocs/en/marks/845/pub845.pdf</w:t>
      </w:r>
      <w:bookmarkEnd w:id="2"/>
      <w:r w:rsidRPr="00F7129C">
        <w:rPr>
          <w:rtl/>
          <w:lang w:bidi="ar-EG"/>
        </w:rPr>
        <w:t>.</w:t>
      </w:r>
    </w:p>
  </w:footnote>
  <w:footnote w:id="31">
    <w:p w:rsidR="00461F6F" w:rsidRDefault="00461F6F" w:rsidP="00436A45">
      <w:pPr>
        <w:pStyle w:val="FootnoteText"/>
        <w:rPr>
          <w:rtl/>
          <w:lang w:bidi="ar-EG"/>
        </w:rPr>
      </w:pPr>
      <w:r w:rsidRPr="00F7129C">
        <w:rPr>
          <w:rStyle w:val="FootnoteReference"/>
        </w:rPr>
        <w:footnoteRef/>
      </w:r>
      <w:r w:rsidR="000C70F2">
        <w:tab/>
      </w:r>
      <w:r w:rsidRPr="00F7129C">
        <w:rPr>
          <w:rtl/>
          <w:lang w:bidi="ar-EG"/>
        </w:rPr>
        <w:t xml:space="preserve">انظر القسم </w:t>
      </w:r>
      <w:r w:rsidR="00436A45">
        <w:rPr>
          <w:rFonts w:hint="cs"/>
          <w:rtl/>
          <w:lang w:bidi="ar-EG"/>
        </w:rPr>
        <w:t>2.3</w:t>
      </w:r>
      <w:r w:rsidRPr="00F7129C">
        <w:rPr>
          <w:rtl/>
          <w:lang w:bidi="ar-EG"/>
        </w:rPr>
        <w:t xml:space="preserve"> من دليل مودع طلب التسجيل الخاص </w:t>
      </w:r>
      <w:proofErr w:type="spellStart"/>
      <w:r w:rsidRPr="00F7129C">
        <w:rPr>
          <w:rtl/>
          <w:lang w:bidi="ar-EG"/>
        </w:rPr>
        <w:t>بالإيكان</w:t>
      </w:r>
      <w:proofErr w:type="spellEnd"/>
      <w:r w:rsidRPr="00F7129C">
        <w:rPr>
          <w:rtl/>
          <w:lang w:bidi="ar-EG"/>
        </w:rPr>
        <w:t xml:space="preserve"> على </w:t>
      </w:r>
      <w:r>
        <w:rPr>
          <w:rFonts w:hint="cs"/>
          <w:rtl/>
          <w:lang w:bidi="ar-EG"/>
        </w:rPr>
        <w:t>الرابط</w:t>
      </w:r>
      <w:r w:rsidRPr="00F7129C">
        <w:rPr>
          <w:rtl/>
          <w:lang w:bidi="ar-EG"/>
        </w:rPr>
        <w:t xml:space="preserve"> التالي:</w:t>
      </w:r>
    </w:p>
    <w:p w:rsidR="00461F6F" w:rsidRPr="00383766" w:rsidRDefault="00461F6F" w:rsidP="0015033A">
      <w:pPr>
        <w:pStyle w:val="FootnoteText"/>
        <w:rPr>
          <w:rtl/>
          <w:lang w:bidi="ar-EG"/>
        </w:rPr>
      </w:pPr>
      <w:r w:rsidRPr="00087133">
        <w:rPr>
          <w:lang w:bidi="ar-EG"/>
        </w:rPr>
        <w:t>http://newgtlds.icann.org/en/applicants/agb/objection procedures-04jun12-en.pdf</w:t>
      </w:r>
      <w:r w:rsidRPr="003C08B8">
        <w:rPr>
          <w:rtl/>
          <w:lang w:bidi="ar-EG"/>
        </w:rPr>
        <w:t>.</w:t>
      </w:r>
    </w:p>
  </w:footnote>
  <w:footnote w:id="32">
    <w:p w:rsidR="00461F6F" w:rsidRPr="00F7129C" w:rsidRDefault="00461F6F" w:rsidP="000C70F2">
      <w:pPr>
        <w:pStyle w:val="FootnoteText"/>
        <w:rPr>
          <w:rtl/>
          <w:lang w:bidi="ar-EG"/>
        </w:rPr>
      </w:pPr>
      <w:r w:rsidRPr="00F7129C">
        <w:rPr>
          <w:rStyle w:val="FootnoteReference"/>
        </w:rPr>
        <w:footnoteRef/>
      </w:r>
      <w:r w:rsidR="000C70F2">
        <w:tab/>
      </w:r>
      <w:r w:rsidRPr="00F7129C">
        <w:rPr>
          <w:rtl/>
          <w:lang w:bidi="ar-EG"/>
        </w:rPr>
        <w:t xml:space="preserve">انظر نظام </w:t>
      </w:r>
      <w:proofErr w:type="spellStart"/>
      <w:r w:rsidRPr="00F7129C">
        <w:rPr>
          <w:rtl/>
          <w:lang w:bidi="ar-EG"/>
        </w:rPr>
        <w:t>الويبو</w:t>
      </w:r>
      <w:proofErr w:type="spellEnd"/>
      <w:r w:rsidRPr="00F7129C">
        <w:rPr>
          <w:rtl/>
          <w:lang w:bidi="ar-EG"/>
        </w:rPr>
        <w:t xml:space="preserve"> بشأن تسوية المنازعات المتعلقة بالحقول العليا (</w:t>
      </w:r>
      <w:proofErr w:type="spellStart"/>
      <w:r w:rsidRPr="00F7129C">
        <w:rPr>
          <w:lang w:bidi="ar-EG"/>
        </w:rPr>
        <w:t>gTLD</w:t>
      </w:r>
      <w:proofErr w:type="spellEnd"/>
      <w:r w:rsidRPr="00F7129C">
        <w:rPr>
          <w:rtl/>
          <w:lang w:bidi="ar-EG"/>
        </w:rPr>
        <w:t xml:space="preserve">) الجديدة وجدول الرسوم والتكاليف بالتوالي على الرابطين التاليين: </w:t>
      </w:r>
      <w:r w:rsidRPr="00F7129C">
        <w:rPr>
          <w:lang w:bidi="ar-EG"/>
        </w:rPr>
        <w:t>http://www.wipo.int/amc/en/docs/wipolrorules.pdf</w:t>
      </w:r>
      <w:r w:rsidRPr="00F7129C">
        <w:rPr>
          <w:rtl/>
          <w:lang w:bidi="ar-EG"/>
        </w:rPr>
        <w:t xml:space="preserve"> و</w:t>
      </w:r>
      <w:r w:rsidRPr="00F7129C">
        <w:rPr>
          <w:lang w:bidi="ar-EG"/>
        </w:rPr>
        <w:t>http://www.wipo.int/amc/en/domains/lro/fees/</w:t>
      </w:r>
      <w:r w:rsidRPr="00F7129C">
        <w:rPr>
          <w:rtl/>
          <w:lang w:bidi="ar-EG"/>
        </w:rPr>
        <w:t xml:space="preserve">؛ وانظر القضايا المسجلة لدى الويبو بشأن الاعتراض على التعدي على الحقوق من خلال الرابط التالي: </w:t>
      </w:r>
      <w:r w:rsidRPr="00F7129C">
        <w:rPr>
          <w:lang w:bidi="ar-EG"/>
        </w:rPr>
        <w:t>http://www.wipo.int/amc/en/domains/lro/cases</w:t>
      </w:r>
      <w:r w:rsidRPr="00F7129C">
        <w:rPr>
          <w:rtl/>
          <w:lang w:bidi="ar-EG"/>
        </w:rPr>
        <w:t>.</w:t>
      </w:r>
    </w:p>
  </w:footnote>
  <w:footnote w:id="33">
    <w:p w:rsidR="00461F6F" w:rsidRPr="00F7129C" w:rsidRDefault="00461F6F" w:rsidP="000C70F2">
      <w:pPr>
        <w:pStyle w:val="FootnoteText"/>
        <w:rPr>
          <w:rtl/>
          <w:lang w:bidi="ar-EG"/>
        </w:rPr>
      </w:pPr>
      <w:r w:rsidRPr="00F7129C">
        <w:rPr>
          <w:rStyle w:val="FootnoteReference"/>
        </w:rPr>
        <w:footnoteRef/>
      </w:r>
      <w:r w:rsidR="000C70F2">
        <w:tab/>
      </w:r>
      <w:r w:rsidRPr="00F7129C">
        <w:rPr>
          <w:rtl/>
          <w:lang w:bidi="ar-EG"/>
        </w:rPr>
        <w:t>انظر</w:t>
      </w:r>
      <w:r w:rsidR="000C70F2">
        <w:rPr>
          <w:lang w:bidi="ar-EG"/>
        </w:rPr>
        <w:t xml:space="preserve"> </w:t>
      </w:r>
      <w:r>
        <w:rPr>
          <w:rFonts w:hint="cs"/>
          <w:rtl/>
          <w:lang w:bidi="ar-EG"/>
        </w:rPr>
        <w:t>الرابط التالي:</w:t>
      </w:r>
      <w:r w:rsidRPr="00F7129C">
        <w:rPr>
          <w:rtl/>
          <w:lang w:bidi="ar-EG"/>
        </w:rPr>
        <w:t xml:space="preserve"> </w:t>
      </w:r>
      <w:r w:rsidRPr="00F7129C">
        <w:rPr>
          <w:lang w:bidi="ar-EG"/>
        </w:rPr>
        <w:t>http://www.wipo.int/amc/en/domains/lro/cases</w:t>
      </w:r>
      <w:r w:rsidRPr="00F7129C">
        <w:rPr>
          <w:rtl/>
          <w:lang w:bidi="ar-EG"/>
        </w:rPr>
        <w:t>.</w:t>
      </w:r>
    </w:p>
  </w:footnote>
  <w:footnote w:id="34">
    <w:p w:rsidR="00461F6F" w:rsidRPr="00F7129C" w:rsidRDefault="00461F6F" w:rsidP="000C70F2">
      <w:pPr>
        <w:pStyle w:val="FootnoteText"/>
        <w:rPr>
          <w:rtl/>
          <w:lang w:bidi="ar-EG"/>
        </w:rPr>
      </w:pPr>
      <w:r w:rsidRPr="00F7129C">
        <w:rPr>
          <w:rStyle w:val="FootnoteReference"/>
        </w:rPr>
        <w:footnoteRef/>
      </w:r>
      <w:r w:rsidR="000C70F2">
        <w:tab/>
      </w:r>
      <w:r w:rsidRPr="00F7129C">
        <w:rPr>
          <w:rtl/>
          <w:lang w:bidi="ar-EG"/>
        </w:rPr>
        <w:t xml:space="preserve">يشير تقرير الويبو إلى أن الغالبية العظمى من تلك الاعتراضات أودعت ضد الطلبات الخاصة بسلسلة الحروف ذات المعنى الوصفي أو القاموسي للحقول العليا المكوَّنة من أسماء عامة. وقد خلص كثير من هيئات الخبراء إلى أنه في الحالات التي يكون قد اعتمد فيها مالك علامة مصطلحاً عاماً من مصطلحات القاموس كعلامة تجارية، فإن طلب حقل عال مكون من اسم عام لغرض الاستفادة من المعنى العام لذلك المصطلح لا يُعتبر، في حد ذاته، انتهاكاً لمعايير تسوية المنازعات فيما يخص الاعتراضات القائمة على الحقوق القانونية. وفي بعض الحالات تناولت هيئات الخبراء تسجيلات العلامات التجارية التي اكتُسبت أساساً لأغراض دعم طلب الحصول على حقل عال جديد مكون من اسم عام و/أو اعتراض قائم على الحقوق القانونية، دون إثبات استخدام قليل لتلك العلامات أو أي استخدام لها في السابق. انظر </w:t>
      </w:r>
      <w:r>
        <w:rPr>
          <w:rFonts w:hint="cs"/>
          <w:rtl/>
          <w:lang w:bidi="ar-EG"/>
        </w:rPr>
        <w:t xml:space="preserve">الرابط </w:t>
      </w:r>
      <w:r w:rsidRPr="00F7129C">
        <w:rPr>
          <w:rtl/>
          <w:lang w:bidi="ar-EG"/>
        </w:rPr>
        <w:t xml:space="preserve">التالي: </w:t>
      </w:r>
      <w:r w:rsidRPr="00F7129C">
        <w:t>http://www.wipo.int/amc/en/docs/lroreport.pdf</w:t>
      </w:r>
      <w:r w:rsidRPr="00F7129C">
        <w:rPr>
          <w:rtl/>
          <w:lang w:bidi="ar-EG"/>
        </w:rPr>
        <w:t>.</w:t>
      </w:r>
    </w:p>
  </w:footnote>
  <w:footnote w:id="35">
    <w:p w:rsidR="00461F6F" w:rsidRPr="00F7129C" w:rsidRDefault="00461F6F" w:rsidP="000C70F2">
      <w:pPr>
        <w:pStyle w:val="FootnoteText"/>
        <w:rPr>
          <w:lang w:bidi="ar-EG"/>
        </w:rPr>
      </w:pPr>
      <w:r w:rsidRPr="00F7129C">
        <w:rPr>
          <w:rStyle w:val="FootnoteReference"/>
        </w:rPr>
        <w:footnoteRef/>
      </w:r>
      <w:r w:rsidR="000C70F2">
        <w:tab/>
      </w:r>
      <w:r w:rsidRPr="00F7129C">
        <w:rPr>
          <w:rtl/>
          <w:lang w:bidi="ar-EG"/>
        </w:rPr>
        <w:t xml:space="preserve">انظر </w:t>
      </w:r>
      <w:r>
        <w:rPr>
          <w:rFonts w:hint="cs"/>
          <w:rtl/>
          <w:lang w:bidi="ar-EG"/>
        </w:rPr>
        <w:t>الرابط</w:t>
      </w:r>
      <w:r w:rsidRPr="00F7129C">
        <w:rPr>
          <w:rtl/>
          <w:lang w:bidi="ar-EG"/>
        </w:rPr>
        <w:t xml:space="preserve"> التالي: </w:t>
      </w:r>
      <w:r w:rsidRPr="00F7129C">
        <w:rPr>
          <w:lang w:bidi="ar-EG"/>
        </w:rPr>
        <w:t>http://www.wipo.int/amc/en/docs/icann130309.pdf</w:t>
      </w:r>
      <w:r w:rsidRPr="00F7129C">
        <w:rPr>
          <w:rtl/>
          <w:lang w:bidi="ar-EG"/>
        </w:rPr>
        <w:t>.</w:t>
      </w:r>
    </w:p>
  </w:footnote>
  <w:footnote w:id="36">
    <w:p w:rsidR="00461F6F" w:rsidRPr="00F7129C" w:rsidRDefault="00461F6F" w:rsidP="000C70F2">
      <w:pPr>
        <w:pStyle w:val="FootnoteText"/>
        <w:rPr>
          <w:rtl/>
          <w:lang w:bidi="ar-EG"/>
        </w:rPr>
      </w:pPr>
      <w:r w:rsidRPr="00F7129C">
        <w:rPr>
          <w:rStyle w:val="FootnoteReference"/>
        </w:rPr>
        <w:footnoteRef/>
      </w:r>
      <w:r w:rsidR="000C70F2">
        <w:tab/>
      </w:r>
      <w:r w:rsidRPr="00F7129C">
        <w:rPr>
          <w:rtl/>
          <w:lang w:bidi="ar-EG"/>
        </w:rPr>
        <w:t xml:space="preserve">نظراً إلى التقارب الملاحظ بين أدوار مكاتب التسجيل وأمناء التسجيل وأصحاب التسجيلات في إطار نظام أسماء الحقول، أوصى </w:t>
      </w:r>
      <w:r>
        <w:rPr>
          <w:rFonts w:hint="cs"/>
          <w:rtl/>
          <w:lang w:bidi="ar-EG"/>
        </w:rPr>
        <w:t>ال</w:t>
      </w:r>
      <w:r w:rsidRPr="00F7129C">
        <w:rPr>
          <w:rtl/>
          <w:lang w:bidi="ar-EG"/>
        </w:rPr>
        <w:t xml:space="preserve">مركز أيضا على سبيل المثال بأن تنظر </w:t>
      </w:r>
      <w:proofErr w:type="spellStart"/>
      <w:r w:rsidRPr="00F7129C">
        <w:rPr>
          <w:rtl/>
          <w:lang w:bidi="ar-EG"/>
        </w:rPr>
        <w:t>الإيكان</w:t>
      </w:r>
      <w:proofErr w:type="spellEnd"/>
      <w:r w:rsidRPr="00F7129C">
        <w:rPr>
          <w:rtl/>
          <w:lang w:bidi="ar-EG"/>
        </w:rPr>
        <w:t xml:space="preserve"> في توسيع نطاق إجراءات تسوية المنازعات بعد المنح لكي تنسحب أيضاً على سلوك أمناء التسجيل في مكاتب التسجيل (انظر </w:t>
      </w:r>
      <w:r>
        <w:rPr>
          <w:rFonts w:hint="cs"/>
          <w:rtl/>
          <w:lang w:bidi="ar-EG"/>
        </w:rPr>
        <w:t>الرابط</w:t>
      </w:r>
      <w:r w:rsidRPr="00F7129C">
        <w:rPr>
          <w:rtl/>
          <w:lang w:bidi="ar-EG"/>
        </w:rPr>
        <w:t xml:space="preserve"> التالي: </w:t>
      </w:r>
      <w:r w:rsidRPr="00F7129C">
        <w:rPr>
          <w:lang w:bidi="ar-EG"/>
        </w:rPr>
        <w:t>http://www.wipo.int/amc/en/docs/icann260310rap.pdf</w:t>
      </w:r>
      <w:r w:rsidRPr="00F7129C">
        <w:rPr>
          <w:rtl/>
          <w:lang w:bidi="ar-EG"/>
        </w:rPr>
        <w:t xml:space="preserve"> على سبيل المثال) ومع مراعاة الخبرات التي اكتسبها المركز استناداً إلى السياسة الموحدة لتسوية المنازعات المتعلقة بأسماء الحقول وقرار </w:t>
      </w:r>
      <w:proofErr w:type="spellStart"/>
      <w:r w:rsidRPr="00F7129C">
        <w:rPr>
          <w:rtl/>
          <w:lang w:bidi="ar-EG"/>
        </w:rPr>
        <w:t>الإيكان</w:t>
      </w:r>
      <w:proofErr w:type="spellEnd"/>
      <w:r w:rsidRPr="00F7129C">
        <w:rPr>
          <w:rtl/>
          <w:lang w:bidi="ar-EG"/>
        </w:rPr>
        <w:t xml:space="preserve"> بإتاحة المشاركة في الملكية بين مكاتب التسجيل وأمناء التسجيل (انظر </w:t>
      </w:r>
      <w:r>
        <w:rPr>
          <w:rFonts w:hint="cs"/>
          <w:rtl/>
          <w:lang w:bidi="ar-EG"/>
        </w:rPr>
        <w:t>الرابط</w:t>
      </w:r>
      <w:r w:rsidRPr="00F7129C">
        <w:rPr>
          <w:rtl/>
          <w:lang w:bidi="ar-EG"/>
        </w:rPr>
        <w:t xml:space="preserve"> التالي: </w:t>
      </w:r>
      <w:r w:rsidRPr="00F7129C">
        <w:rPr>
          <w:lang w:bidi="ar-EG"/>
        </w:rPr>
        <w:t>http://www.icann.org/en/minutes/resolutions-05nov10-en.htm</w:t>
      </w:r>
      <w:r w:rsidRPr="00F7129C">
        <w:rPr>
          <w:rtl/>
          <w:lang w:bidi="ar-EG"/>
        </w:rPr>
        <w:t>).</w:t>
      </w:r>
    </w:p>
  </w:footnote>
  <w:footnote w:id="37">
    <w:p w:rsidR="00461F6F" w:rsidRPr="00F7129C" w:rsidRDefault="00461F6F" w:rsidP="00A60AC2">
      <w:pPr>
        <w:pStyle w:val="FootnoteText"/>
        <w:rPr>
          <w:lang w:bidi="ar-EG"/>
        </w:rPr>
      </w:pPr>
      <w:r w:rsidRPr="00F7129C">
        <w:rPr>
          <w:rStyle w:val="FootnoteReference"/>
        </w:rPr>
        <w:footnoteRef/>
      </w:r>
      <w:r w:rsidR="00A60AC2">
        <w:tab/>
      </w:r>
      <w:r w:rsidRPr="00F7129C">
        <w:rPr>
          <w:rtl/>
          <w:lang w:bidi="ar-EG"/>
        </w:rPr>
        <w:t>يتيح مركز تبادل المعلومات إدراج الكلمات الدالة على العلامات المسجلة والكلمات الدالة على العلامات والمحمية بنظام أو معاهدة أو مثبتة بقرار محكمة وأيضاً "علامات أخرى تعتبر ملكية فكرية" (ولم تحدد هذه العلامات). وفيما يتعلق بآليات حماية الحقوق التي تستخدم بيانات مركز تبادل المعلومات، فإن توفر خدمات "</w:t>
      </w:r>
      <w:r w:rsidRPr="00F7129C">
        <w:rPr>
          <w:lang w:bidi="ar-EG"/>
        </w:rPr>
        <w:t>Sunrise</w:t>
      </w:r>
      <w:r w:rsidRPr="00F7129C">
        <w:rPr>
          <w:rtl/>
          <w:lang w:bidi="ar-EG"/>
        </w:rPr>
        <w:t xml:space="preserve">" (أي فرصة لمالك العلامة التجارية لكي يكون له السبق في تسجيل </w:t>
      </w:r>
      <w:r w:rsidRPr="000F49AA">
        <w:rPr>
          <w:rtl/>
          <w:lang w:bidi="ar-EG"/>
        </w:rPr>
        <w:t>رابط صحيح لعلامته اسما لحقله مقابل دفع رس</w:t>
      </w:r>
      <w:r w:rsidRPr="00F7129C">
        <w:rPr>
          <w:rtl/>
          <w:lang w:bidi="ar-EG"/>
        </w:rPr>
        <w:t xml:space="preserve">م على ذلك) يقتصر على تلك العلامات التجارية التي يمكن إثبات استخدامها الجاري. وسواء ثبت دليل على الاستخدام الجاري للعلامات التجارية أو لم يثبت، سيظل أيضاً </w:t>
      </w:r>
      <w:r>
        <w:rPr>
          <w:rFonts w:hint="cs"/>
          <w:rtl/>
          <w:lang w:bidi="ar-EG"/>
        </w:rPr>
        <w:t>أصحاب</w:t>
      </w:r>
      <w:r w:rsidRPr="00F7129C">
        <w:rPr>
          <w:rtl/>
          <w:lang w:bidi="ar-EG"/>
        </w:rPr>
        <w:t xml:space="preserve"> العلامات التجارية مؤهلين للمشاركة في خدمة "المطالب" المحددة بوقت معين (أي إشعار مسجل اسم الحقل المحتمل بوجود حق متنازع عليه في العلامة التجارية، وإشعار </w:t>
      </w:r>
      <w:r>
        <w:rPr>
          <w:rFonts w:hint="cs"/>
          <w:rtl/>
          <w:lang w:bidi="ar-EG"/>
        </w:rPr>
        <w:t>لصاحب</w:t>
      </w:r>
      <w:r w:rsidRPr="00F7129C">
        <w:rPr>
          <w:rtl/>
          <w:lang w:bidi="ar-EG"/>
        </w:rPr>
        <w:t xml:space="preserve"> العلامة التجارية المعني (أو </w:t>
      </w:r>
      <w:r>
        <w:rPr>
          <w:rFonts w:hint="cs"/>
          <w:rtl/>
          <w:lang w:bidi="ar-EG"/>
        </w:rPr>
        <w:t>الأصحاب</w:t>
      </w:r>
      <w:r w:rsidRPr="00F7129C">
        <w:rPr>
          <w:rtl/>
          <w:lang w:bidi="ar-EG"/>
        </w:rPr>
        <w:t xml:space="preserve"> المعنيين) في حالة استمرار المسجل رغم ذلك في إجراءات تسجيل اسم الحقل). والحد الأقصى، كما وضعته </w:t>
      </w:r>
      <w:proofErr w:type="spellStart"/>
      <w:r w:rsidRPr="00F7129C">
        <w:rPr>
          <w:rtl/>
          <w:lang w:bidi="ar-EG"/>
        </w:rPr>
        <w:t>الإيكان</w:t>
      </w:r>
      <w:proofErr w:type="spellEnd"/>
      <w:r w:rsidRPr="00F7129C">
        <w:rPr>
          <w:rtl/>
          <w:lang w:bidi="ar-EG"/>
        </w:rPr>
        <w:t>، لمدة إتاحة خدمة المطالب هو 90 يوماً بعد فتح أحد الحقول العليا الجديدة المكونة من أسماء عامة لتسجيل الجمهور العام، ولكن يتسنى لمستخدمي مركز تبادل المعلومات اختيار تلقي إشعارات مدى الحياة. وينطبق مبدأ إثبات استخدام العلامات التجارية اللازم لخدمات "</w:t>
      </w:r>
      <w:r w:rsidRPr="00F7129C">
        <w:rPr>
          <w:lang w:bidi="ar-EG"/>
        </w:rPr>
        <w:t>Sunrise</w:t>
      </w:r>
      <w:r w:rsidRPr="00F7129C">
        <w:rPr>
          <w:rtl/>
          <w:lang w:bidi="ar-EG"/>
        </w:rPr>
        <w:t>" المبكرة كذلك على التمسك بالعلامات التجارية باعتبارها أساساً لتقديم تظلم في إطار "الإجراء الموحد للوقف السريع" الخاص بآليات حماية الحقوق المبيّن</w:t>
      </w:r>
      <w:r>
        <w:rPr>
          <w:rFonts w:hint="cs"/>
          <w:rtl/>
          <w:lang w:bidi="ar-EG"/>
        </w:rPr>
        <w:t>ة</w:t>
      </w:r>
      <w:r w:rsidRPr="00F7129C">
        <w:rPr>
          <w:rtl/>
          <w:lang w:bidi="ar-EG"/>
        </w:rPr>
        <w:t xml:space="preserve"> </w:t>
      </w:r>
      <w:r>
        <w:rPr>
          <w:rFonts w:hint="cs"/>
          <w:rtl/>
          <w:lang w:bidi="ar-EG"/>
        </w:rPr>
        <w:t>في هذه</w:t>
      </w:r>
      <w:r w:rsidR="00A60AC2">
        <w:rPr>
          <w:rFonts w:hint="eastAsia"/>
          <w:lang w:bidi="ar-EG"/>
        </w:rPr>
        <w:t> </w:t>
      </w:r>
      <w:r>
        <w:rPr>
          <w:rFonts w:hint="cs"/>
          <w:rtl/>
          <w:lang w:bidi="ar-EG"/>
        </w:rPr>
        <w:t>الوثيقة</w:t>
      </w:r>
      <w:r w:rsidRPr="00F7129C">
        <w:rPr>
          <w:rtl/>
          <w:lang w:bidi="ar-EG"/>
        </w:rPr>
        <w:t>.</w:t>
      </w:r>
    </w:p>
  </w:footnote>
  <w:footnote w:id="38">
    <w:p w:rsidR="00461F6F" w:rsidRPr="00F7129C" w:rsidRDefault="00461F6F" w:rsidP="00A60AC2">
      <w:pPr>
        <w:pStyle w:val="FootnoteText"/>
        <w:rPr>
          <w:lang w:bidi="ar-EG"/>
        </w:rPr>
      </w:pPr>
      <w:r w:rsidRPr="00F7129C">
        <w:rPr>
          <w:rStyle w:val="FootnoteReference"/>
        </w:rPr>
        <w:footnoteRef/>
      </w:r>
      <w:r w:rsidR="00A60AC2">
        <w:tab/>
      </w:r>
      <w:r w:rsidRPr="00F7129C">
        <w:rPr>
          <w:rtl/>
          <w:lang w:bidi="ar-EG"/>
        </w:rPr>
        <w:t xml:space="preserve">انظر </w:t>
      </w:r>
      <w:r>
        <w:rPr>
          <w:rFonts w:hint="cs"/>
          <w:rtl/>
        </w:rPr>
        <w:t>الرابط</w:t>
      </w:r>
      <w:r w:rsidRPr="00F7129C">
        <w:rPr>
          <w:rtl/>
          <w:lang w:bidi="ar-EG"/>
        </w:rPr>
        <w:t xml:space="preserve"> التالي: </w:t>
      </w:r>
      <w:r w:rsidRPr="00E96C9F">
        <w:rPr>
          <w:lang w:bidi="ar-EG"/>
        </w:rPr>
        <w:t>http://trademark-clearinghouse.com/content/tmch-stats</w:t>
      </w:r>
      <w:r w:rsidRPr="00F7129C">
        <w:rPr>
          <w:rtl/>
          <w:lang w:bidi="ar-EG"/>
        </w:rPr>
        <w:t>.</w:t>
      </w:r>
    </w:p>
  </w:footnote>
  <w:footnote w:id="39">
    <w:p w:rsidR="00461F6F" w:rsidRPr="00F7129C" w:rsidRDefault="00461F6F" w:rsidP="00A60AC2">
      <w:pPr>
        <w:pStyle w:val="FootnoteText"/>
        <w:rPr>
          <w:lang w:bidi="ar-EG"/>
        </w:rPr>
      </w:pPr>
      <w:r w:rsidRPr="00F7129C">
        <w:rPr>
          <w:rStyle w:val="FootnoteReference"/>
        </w:rPr>
        <w:footnoteRef/>
      </w:r>
      <w:r w:rsidR="00A60AC2">
        <w:tab/>
      </w:r>
      <w:r w:rsidRPr="00F7129C">
        <w:rPr>
          <w:rtl/>
          <w:lang w:bidi="ar-EG"/>
        </w:rPr>
        <w:t xml:space="preserve">أبلغ المركز، من جانبه، </w:t>
      </w:r>
      <w:proofErr w:type="spellStart"/>
      <w:r w:rsidRPr="00F7129C">
        <w:rPr>
          <w:rtl/>
          <w:lang w:bidi="ar-EG"/>
        </w:rPr>
        <w:t>الإيكان</w:t>
      </w:r>
      <w:proofErr w:type="spellEnd"/>
      <w:r w:rsidRPr="00F7129C">
        <w:rPr>
          <w:rtl/>
          <w:lang w:bidi="ar-EG"/>
        </w:rPr>
        <w:t xml:space="preserve"> في أبريل 2009 بمشروع مناقشة بشأن "آلية للوقف السريع (أسماء الحقول)" (انظر</w:t>
      </w:r>
      <w:r>
        <w:rPr>
          <w:rFonts w:hint="cs"/>
          <w:rtl/>
          <w:lang w:bidi="ar-EG"/>
        </w:rPr>
        <w:t> </w:t>
      </w:r>
      <w:r w:rsidRPr="009263B5">
        <w:t>http://www.wipo.int/amc/en/docs/icann030409.pdf</w:t>
      </w:r>
      <w:r w:rsidRPr="00F7129C">
        <w:rPr>
          <w:rtl/>
          <w:lang w:bidi="ar-EG"/>
        </w:rPr>
        <w:t>)</w:t>
      </w:r>
      <w:r w:rsidR="00A60AC2">
        <w:rPr>
          <w:lang w:bidi="ar-EG"/>
        </w:rPr>
        <w:t xml:space="preserve"> </w:t>
      </w:r>
      <w:r w:rsidRPr="00F7129C">
        <w:rPr>
          <w:rtl/>
          <w:lang w:bidi="ar-EG"/>
        </w:rPr>
        <w:t xml:space="preserve">وقدم اقتراحات لاحقة لآلية معممة استنادا إلى هذا النموذج في اجتماعي </w:t>
      </w:r>
      <w:proofErr w:type="spellStart"/>
      <w:r w:rsidRPr="00F7129C">
        <w:rPr>
          <w:rtl/>
          <w:lang w:bidi="ar-EG"/>
        </w:rPr>
        <w:t>الإيكان</w:t>
      </w:r>
      <w:proofErr w:type="spellEnd"/>
      <w:r w:rsidRPr="00F7129C">
        <w:rPr>
          <w:rtl/>
          <w:lang w:bidi="ar-EG"/>
        </w:rPr>
        <w:t xml:space="preserve"> (انظر</w:t>
      </w:r>
      <w:r>
        <w:rPr>
          <w:rFonts w:hint="cs"/>
          <w:rtl/>
          <w:lang w:bidi="ar-EG"/>
        </w:rPr>
        <w:t> </w:t>
      </w:r>
      <w:hyperlink r:id="rId4" w:history="1">
        <w:r w:rsidRPr="00F7129C">
          <w:t>http://prague44.icann.org/node/31773</w:t>
        </w:r>
      </w:hyperlink>
      <w:r w:rsidRPr="00F7129C">
        <w:rPr>
          <w:rtl/>
          <w:lang w:bidi="ar-EG"/>
        </w:rPr>
        <w:t xml:space="preserve"> و</w:t>
      </w:r>
      <w:hyperlink r:id="rId5" w:history="1">
        <w:r w:rsidRPr="00F7129C">
          <w:t>http://toronto45.icann.org/node/34325</w:t>
        </w:r>
      </w:hyperlink>
      <w:r w:rsidRPr="00F7129C">
        <w:rPr>
          <w:rtl/>
          <w:lang w:bidi="ar-EG"/>
        </w:rPr>
        <w:t>). وقد راعت هذه الاقتراحات ضرورة إقامة توازن بين حماية حقوق العلامات التجارية التي يقر بها القانون والمصالح العملية</w:t>
      </w:r>
      <w:r>
        <w:rPr>
          <w:rtl/>
          <w:lang w:bidi="ar-EG"/>
        </w:rPr>
        <w:t xml:space="preserve"> للمسؤولين عن مكاتب التسجيل حسن</w:t>
      </w:r>
      <w:r w:rsidRPr="00F7129C">
        <w:rPr>
          <w:rtl/>
          <w:lang w:bidi="ar-EG"/>
        </w:rPr>
        <w:t xml:space="preserve"> النية للحد من أعبائهم التشغيلية والتطلعات المشروعة لأصحاب أسماء الحقول المسجلة عن حسن نية.</w:t>
      </w:r>
    </w:p>
  </w:footnote>
  <w:footnote w:id="40">
    <w:p w:rsidR="00461F6F" w:rsidRPr="00F7129C" w:rsidRDefault="00461F6F" w:rsidP="00A60AC2">
      <w:pPr>
        <w:pStyle w:val="FootnoteText"/>
        <w:rPr>
          <w:lang w:bidi="ar-EG"/>
        </w:rPr>
      </w:pPr>
      <w:r w:rsidRPr="00F7129C">
        <w:rPr>
          <w:rStyle w:val="FootnoteReference"/>
        </w:rPr>
        <w:footnoteRef/>
      </w:r>
      <w:r w:rsidR="00A60AC2">
        <w:tab/>
      </w:r>
      <w:r w:rsidRPr="00F7129C">
        <w:rPr>
          <w:rtl/>
          <w:lang w:bidi="ar-EG"/>
        </w:rPr>
        <w:t xml:space="preserve">ترد، من بين أمور أخرى، قائمة مفصلّة بهذه المسائل في الخطاب الذي أرسله مركز </w:t>
      </w:r>
      <w:proofErr w:type="spellStart"/>
      <w:r w:rsidRPr="00F7129C">
        <w:rPr>
          <w:rtl/>
          <w:lang w:bidi="ar-EG"/>
        </w:rPr>
        <w:t>الويبو</w:t>
      </w:r>
      <w:proofErr w:type="spellEnd"/>
      <w:r w:rsidRPr="00F7129C">
        <w:rPr>
          <w:rtl/>
          <w:lang w:bidi="ar-EG"/>
        </w:rPr>
        <w:t xml:space="preserve"> إلى </w:t>
      </w:r>
      <w:proofErr w:type="spellStart"/>
      <w:r w:rsidRPr="00F7129C">
        <w:rPr>
          <w:rtl/>
          <w:lang w:bidi="ar-EG"/>
        </w:rPr>
        <w:t>الإيكان</w:t>
      </w:r>
      <w:proofErr w:type="spellEnd"/>
      <w:r w:rsidRPr="00F7129C">
        <w:rPr>
          <w:rtl/>
          <w:lang w:bidi="ar-EG"/>
        </w:rPr>
        <w:t xml:space="preserve"> بتاريخ 2 ديسمبر 2010 والمنشور على </w:t>
      </w:r>
      <w:r>
        <w:rPr>
          <w:rFonts w:hint="cs"/>
          <w:rtl/>
          <w:lang w:bidi="ar-EG"/>
        </w:rPr>
        <w:t>الرابط</w:t>
      </w:r>
      <w:r w:rsidRPr="00F7129C">
        <w:rPr>
          <w:rtl/>
          <w:lang w:bidi="ar-EG"/>
        </w:rPr>
        <w:t xml:space="preserve"> التالي: </w:t>
      </w:r>
      <w:r w:rsidRPr="00F7129C">
        <w:rPr>
          <w:lang w:bidi="ar-EG"/>
        </w:rPr>
        <w:t>http://www.wipo.int/amc/en/docs/icann021210.pdf</w:t>
      </w:r>
      <w:r w:rsidRPr="00F7129C">
        <w:rPr>
          <w:rtl/>
          <w:lang w:bidi="ar-EG"/>
        </w:rPr>
        <w:t>.</w:t>
      </w:r>
    </w:p>
  </w:footnote>
  <w:footnote w:id="41">
    <w:p w:rsidR="00461F6F" w:rsidRPr="00F7129C" w:rsidRDefault="00461F6F" w:rsidP="00A60AC2">
      <w:pPr>
        <w:pStyle w:val="FootnoteText"/>
        <w:rPr>
          <w:lang w:bidi="ar-EG"/>
        </w:rPr>
      </w:pPr>
      <w:r w:rsidRPr="00F7129C">
        <w:rPr>
          <w:rStyle w:val="FootnoteReference"/>
        </w:rPr>
        <w:footnoteRef/>
      </w:r>
      <w:r w:rsidR="00A60AC2">
        <w:tab/>
      </w:r>
      <w:r w:rsidRPr="00F7129C">
        <w:rPr>
          <w:rtl/>
          <w:lang w:bidi="ar-EG"/>
        </w:rPr>
        <w:t xml:space="preserve">مسألة اعتماد مقدمي الخدمة تثير المخاوف بشأن استقرار آليات حماية الحقوق؛ وأعربت الويبو عن قلقها إزاء الأمر ذاته منذ عام 2007 في سياق السياسة الموحدة (انظر الموقع الإلكتروني التالي: </w:t>
      </w:r>
      <w:r w:rsidRPr="00F7129C">
        <w:rPr>
          <w:lang w:bidi="ar-EG"/>
        </w:rPr>
        <w:t>http://www.wipo.int/amc/en/docs/icann040707.pdf</w:t>
      </w:r>
      <w:r w:rsidRPr="00F7129C">
        <w:rPr>
          <w:rtl/>
          <w:lang w:bidi="ar-EG"/>
        </w:rPr>
        <w:t>).</w:t>
      </w:r>
    </w:p>
  </w:footnote>
  <w:footnote w:id="42">
    <w:p w:rsidR="00461F6F" w:rsidRPr="00F7129C" w:rsidRDefault="00461F6F" w:rsidP="007574F5">
      <w:pPr>
        <w:pStyle w:val="FootnoteText"/>
        <w:rPr>
          <w:lang w:bidi="ar-EG"/>
        </w:rPr>
      </w:pPr>
      <w:r w:rsidRPr="00F7129C">
        <w:rPr>
          <w:rStyle w:val="FootnoteReference"/>
        </w:rPr>
        <w:footnoteRef/>
      </w:r>
      <w:r w:rsidR="007574F5">
        <w:rPr>
          <w:rFonts w:hint="cs"/>
          <w:rtl/>
        </w:rPr>
        <w:tab/>
      </w:r>
      <w:r w:rsidRPr="00F7129C">
        <w:rPr>
          <w:rtl/>
          <w:lang w:bidi="ar-EG"/>
        </w:rPr>
        <w:t xml:space="preserve">انظر </w:t>
      </w:r>
      <w:r>
        <w:rPr>
          <w:rFonts w:hint="cs"/>
          <w:rtl/>
          <w:lang w:bidi="ar-EG"/>
        </w:rPr>
        <w:t>الرابط</w:t>
      </w:r>
      <w:r w:rsidRPr="00F7129C">
        <w:rPr>
          <w:rtl/>
          <w:lang w:bidi="ar-EG"/>
        </w:rPr>
        <w:t xml:space="preserve"> التالي: </w:t>
      </w:r>
      <w:r w:rsidRPr="00F7129C">
        <w:rPr>
          <w:lang w:bidi="ar-EG"/>
        </w:rPr>
        <w:t>https://community.icann.org/display/gnsoudrpdt/Webinar+on+the+Current+State+of+the+UDRP</w:t>
      </w:r>
      <w:r w:rsidRPr="00F7129C">
        <w:rPr>
          <w:rtl/>
          <w:lang w:bidi="ar-EG"/>
        </w:rPr>
        <w:t xml:space="preserve">. ويمكن عموماً الاطلاع أيضاً على الفقرة 31 من الوثيقة </w:t>
      </w:r>
      <w:r w:rsidRPr="00F7129C">
        <w:rPr>
          <w:lang w:bidi="ar-EG"/>
        </w:rPr>
        <w:t>WO/GA/39/10</w:t>
      </w:r>
      <w:r w:rsidRPr="00F7129C">
        <w:rPr>
          <w:rtl/>
          <w:lang w:bidi="ar-EG"/>
        </w:rPr>
        <w:t>.</w:t>
      </w:r>
    </w:p>
  </w:footnote>
  <w:footnote w:id="43">
    <w:p w:rsidR="00461F6F" w:rsidRPr="00741089" w:rsidRDefault="00461F6F" w:rsidP="007574F5">
      <w:pPr>
        <w:pStyle w:val="FootnoteText"/>
        <w:rPr>
          <w:rtl/>
          <w:lang w:bidi="ar-EG"/>
        </w:rPr>
      </w:pPr>
      <w:r w:rsidRPr="00F7129C">
        <w:rPr>
          <w:rStyle w:val="FootnoteReference"/>
        </w:rPr>
        <w:footnoteRef/>
      </w:r>
      <w:r w:rsidR="007574F5">
        <w:rPr>
          <w:rFonts w:hint="cs"/>
          <w:rtl/>
        </w:rPr>
        <w:tab/>
      </w:r>
      <w:r w:rsidRPr="00F7129C">
        <w:rPr>
          <w:rtl/>
          <w:lang w:bidi="ar-EG"/>
        </w:rPr>
        <w:t xml:space="preserve">انظر </w:t>
      </w:r>
      <w:r>
        <w:rPr>
          <w:rFonts w:hint="cs"/>
          <w:rtl/>
          <w:lang w:bidi="ar-EG"/>
        </w:rPr>
        <w:t>الرابط</w:t>
      </w:r>
      <w:r w:rsidRPr="00F7129C">
        <w:rPr>
          <w:rtl/>
          <w:lang w:bidi="ar-EG"/>
        </w:rPr>
        <w:t xml:space="preserve"> التالي</w:t>
      </w:r>
      <w:r w:rsidRPr="00741089">
        <w:rPr>
          <w:rtl/>
          <w:lang w:bidi="ar-EG"/>
        </w:rPr>
        <w:t>:</w:t>
      </w:r>
      <w:r>
        <w:rPr>
          <w:rFonts w:hint="cs"/>
          <w:rtl/>
          <w:lang w:bidi="ar-EG"/>
        </w:rPr>
        <w:t xml:space="preserve"> </w:t>
      </w:r>
      <w:r w:rsidRPr="00F71CAC">
        <w:t>http://gnso.icann.org/en/issues/new-gtlds/rpm-prelim-issue-09oct15-en.pdf</w:t>
      </w:r>
      <w:r>
        <w:rPr>
          <w:rFonts w:hint="cs"/>
          <w:rtl/>
        </w:rPr>
        <w:t>.</w:t>
      </w:r>
    </w:p>
  </w:footnote>
  <w:footnote w:id="44">
    <w:p w:rsidR="00461F6F" w:rsidRPr="00741089" w:rsidRDefault="00461F6F" w:rsidP="007574F5">
      <w:pPr>
        <w:pStyle w:val="FootnoteText"/>
      </w:pPr>
      <w:r w:rsidRPr="00741089">
        <w:rPr>
          <w:rStyle w:val="FootnoteReference"/>
        </w:rPr>
        <w:footnoteRef/>
      </w:r>
      <w:r w:rsidR="007574F5">
        <w:rPr>
          <w:rtl/>
        </w:rPr>
        <w:tab/>
      </w:r>
      <w:r w:rsidRPr="00741089">
        <w:rPr>
          <w:rFonts w:hint="cs"/>
          <w:rtl/>
        </w:rPr>
        <w:t>انظر</w:t>
      </w:r>
      <w:r w:rsidRPr="00F71CAC">
        <w:rPr>
          <w:rFonts w:hint="cs"/>
          <w:rtl/>
          <w:lang w:bidi="ar-EG"/>
        </w:rPr>
        <w:t xml:space="preserve"> </w:t>
      </w:r>
      <w:r>
        <w:rPr>
          <w:rFonts w:hint="cs"/>
          <w:rtl/>
          <w:lang w:bidi="ar-EG"/>
        </w:rPr>
        <w:t>الرابط</w:t>
      </w:r>
      <w:r w:rsidRPr="00F7129C">
        <w:rPr>
          <w:rtl/>
          <w:lang w:bidi="ar-EG"/>
        </w:rPr>
        <w:t xml:space="preserve"> التالي</w:t>
      </w:r>
      <w:r w:rsidRPr="00741089">
        <w:rPr>
          <w:rtl/>
          <w:lang w:bidi="ar-EG"/>
        </w:rPr>
        <w:t>:</w:t>
      </w:r>
      <w:r>
        <w:rPr>
          <w:rFonts w:hint="cs"/>
          <w:rtl/>
          <w:lang w:bidi="ar-EG"/>
        </w:rPr>
        <w:t xml:space="preserve"> </w:t>
      </w:r>
      <w:r w:rsidRPr="00F71CAC">
        <w:t>https://gnso.icann.org/en/issues/new-gtlds/rpm-final-issue-11jan16-en.pdf</w:t>
      </w:r>
      <w:r w:rsidRPr="00741089">
        <w:rPr>
          <w:rFonts w:hint="cs"/>
          <w:rtl/>
        </w:rPr>
        <w:t>.</w:t>
      </w:r>
    </w:p>
  </w:footnote>
  <w:footnote w:id="45">
    <w:p w:rsidR="00461F6F" w:rsidRPr="00F7129C" w:rsidRDefault="00461F6F" w:rsidP="007574F5">
      <w:pPr>
        <w:pStyle w:val="FootnoteText"/>
        <w:rPr>
          <w:lang w:bidi="ar-EG"/>
        </w:rPr>
      </w:pPr>
      <w:r w:rsidRPr="00F7129C">
        <w:rPr>
          <w:rStyle w:val="FootnoteReference"/>
        </w:rPr>
        <w:footnoteRef/>
      </w:r>
      <w:r w:rsidR="007574F5">
        <w:rPr>
          <w:rFonts w:hint="cs"/>
          <w:rtl/>
        </w:rPr>
        <w:tab/>
      </w:r>
      <w:r w:rsidRPr="00F7129C">
        <w:rPr>
          <w:rtl/>
          <w:lang w:bidi="ar-EG"/>
        </w:rPr>
        <w:t>انظر أيضاً الخطة النهائية لتنفيذ الإجراء العاجل لتحديد أسماء الحقول الدولية المدرجة في الحقول العليا المكونة من رموز البلدان التي نُشرت في نوفمبر</w:t>
      </w:r>
      <w:r w:rsidR="007574F5">
        <w:rPr>
          <w:rFonts w:hint="cs"/>
          <w:rtl/>
          <w:lang w:bidi="ar-EG"/>
        </w:rPr>
        <w:t> </w:t>
      </w:r>
      <w:r w:rsidRPr="00F7129C">
        <w:rPr>
          <w:rtl/>
          <w:lang w:bidi="ar-EG"/>
        </w:rPr>
        <w:t xml:space="preserve">2009 (انظر </w:t>
      </w:r>
      <w:r w:rsidRPr="0047559F">
        <w:rPr>
          <w:lang w:bidi="ar-EG"/>
        </w:rPr>
        <w:t>https://www.icann.org/en/system/files/files/idn-cctld-implementation-plan-16nov09-en.pdf</w:t>
      </w:r>
      <w:r w:rsidRPr="00F7129C">
        <w:rPr>
          <w:rtl/>
          <w:lang w:bidi="ar-EG"/>
        </w:rPr>
        <w:t>). وهذا</w:t>
      </w:r>
      <w:r w:rsidR="007574F5">
        <w:rPr>
          <w:rFonts w:hint="cs"/>
          <w:rtl/>
          <w:lang w:bidi="ar-EG"/>
        </w:rPr>
        <w:t> </w:t>
      </w:r>
      <w:r w:rsidRPr="00F7129C">
        <w:rPr>
          <w:rtl/>
          <w:lang w:bidi="ar-EG"/>
        </w:rPr>
        <w:t>ما</w:t>
      </w:r>
      <w:r w:rsidR="007574F5">
        <w:rPr>
          <w:rFonts w:hint="cs"/>
          <w:rtl/>
          <w:lang w:bidi="ar-EG"/>
        </w:rPr>
        <w:t> </w:t>
      </w:r>
      <w:r w:rsidRPr="00F7129C">
        <w:rPr>
          <w:rtl/>
          <w:lang w:bidi="ar-EG"/>
        </w:rPr>
        <w:t>أتاح</w:t>
      </w:r>
      <w:r w:rsidR="007574F5">
        <w:rPr>
          <w:rFonts w:hint="cs"/>
          <w:rtl/>
          <w:lang w:bidi="ar-EG"/>
        </w:rPr>
        <w:t> </w:t>
      </w:r>
      <w:r w:rsidRPr="00F7129C">
        <w:rPr>
          <w:rtl/>
          <w:lang w:bidi="ar-EG"/>
        </w:rPr>
        <w:t>منذ ذلك الحين استحداث أسماء حقول دولية مدرجة في الحقول العليا المكونة من رموز البلدان في سياق الرموز ثنائية الحروف الواردة في المعيار</w:t>
      </w:r>
      <w:r w:rsidR="007574F5">
        <w:rPr>
          <w:rFonts w:hint="cs"/>
          <w:rtl/>
          <w:lang w:bidi="ar-EG"/>
        </w:rPr>
        <w:t> </w:t>
      </w:r>
      <w:r w:rsidRPr="00F7129C">
        <w:rPr>
          <w:lang w:bidi="ar-EG"/>
        </w:rPr>
        <w:t>ISO 3166-1</w:t>
      </w:r>
      <w:r w:rsidRPr="00F7129C">
        <w:rPr>
          <w:rtl/>
          <w:lang w:bidi="ar-EG"/>
        </w:rPr>
        <w:t xml:space="preserve">. (انظر </w:t>
      </w:r>
      <w:r w:rsidRPr="00F7129C">
        <w:rPr>
          <w:lang w:bidi="ar-EG"/>
        </w:rPr>
        <w:t>http://www.iso.org/iso/english_country_names_and_code_elements</w:t>
      </w:r>
      <w:r w:rsidRPr="00F7129C">
        <w:rPr>
          <w:rtl/>
          <w:lang w:bidi="ar-EG"/>
        </w:rPr>
        <w:t>).</w:t>
      </w:r>
    </w:p>
  </w:footnote>
  <w:footnote w:id="46">
    <w:p w:rsidR="00461F6F" w:rsidRPr="00F7129C" w:rsidRDefault="00461F6F" w:rsidP="00CA4EED">
      <w:pPr>
        <w:pStyle w:val="FootnoteText"/>
        <w:rPr>
          <w:lang w:bidi="ar-EG"/>
        </w:rPr>
      </w:pPr>
      <w:r w:rsidRPr="00F7129C">
        <w:rPr>
          <w:rStyle w:val="FootnoteReference"/>
        </w:rPr>
        <w:footnoteRef/>
      </w:r>
      <w:r w:rsidR="00CA4EED">
        <w:tab/>
      </w:r>
      <w:r w:rsidRPr="00F7129C">
        <w:rPr>
          <w:rtl/>
          <w:lang w:bidi="ar-EG"/>
        </w:rPr>
        <w:t xml:space="preserve">انظر </w:t>
      </w:r>
      <w:r>
        <w:rPr>
          <w:rFonts w:hint="cs"/>
          <w:rtl/>
          <w:lang w:bidi="ar-EG"/>
        </w:rPr>
        <w:t>الرابط</w:t>
      </w:r>
      <w:r w:rsidRPr="00F7129C">
        <w:rPr>
          <w:rtl/>
          <w:lang w:bidi="ar-EG"/>
        </w:rPr>
        <w:t xml:space="preserve"> التالي: </w:t>
      </w:r>
      <w:r w:rsidRPr="00F7129C">
        <w:rPr>
          <w:lang w:bidi="ar-EG"/>
        </w:rPr>
        <w:t>http://www.wipo.int/edocs/mdocs/govbody/en/wo_ga_28/wo_ga_28_3.pdf</w:t>
      </w:r>
      <w:r w:rsidRPr="00F7129C">
        <w:rPr>
          <w:rtl/>
          <w:lang w:bidi="ar-EG"/>
        </w:rPr>
        <w:t>، وانظر أيضاً الفقرات من</w:t>
      </w:r>
      <w:r w:rsidR="00CA4EED">
        <w:rPr>
          <w:lang w:bidi="ar-EG"/>
        </w:rPr>
        <w:t> </w:t>
      </w:r>
      <w:r w:rsidRPr="00F7129C">
        <w:rPr>
          <w:rtl/>
          <w:lang w:bidi="ar-EG"/>
        </w:rPr>
        <w:t xml:space="preserve">6 إلى 11 في الوثيقة </w:t>
      </w:r>
      <w:r w:rsidRPr="00F7129C">
        <w:rPr>
          <w:lang w:bidi="ar-EG"/>
        </w:rPr>
        <w:t>SCT/9/8</w:t>
      </w:r>
      <w:r w:rsidRPr="00F7129C">
        <w:rPr>
          <w:rtl/>
          <w:lang w:bidi="ar-EG"/>
        </w:rPr>
        <w:t xml:space="preserve"> والفقرة 149 في الوثيقة </w:t>
      </w:r>
      <w:r w:rsidRPr="00F7129C">
        <w:rPr>
          <w:lang w:bidi="ar-EG"/>
        </w:rPr>
        <w:t>SCT/9/9</w:t>
      </w:r>
      <w:r w:rsidRPr="00F7129C">
        <w:rPr>
          <w:rtl/>
          <w:lang w:bidi="ar-EG"/>
        </w:rPr>
        <w:t>.</w:t>
      </w:r>
    </w:p>
  </w:footnote>
  <w:footnote w:id="47">
    <w:p w:rsidR="00461F6F" w:rsidRPr="00F7129C" w:rsidRDefault="00461F6F" w:rsidP="00CA4EED">
      <w:pPr>
        <w:pStyle w:val="FootnoteText"/>
        <w:rPr>
          <w:rtl/>
          <w:lang w:bidi="ar-EG"/>
        </w:rPr>
      </w:pPr>
      <w:r w:rsidRPr="00F7129C">
        <w:rPr>
          <w:rStyle w:val="FootnoteReference"/>
        </w:rPr>
        <w:footnoteRef/>
      </w:r>
      <w:r w:rsidR="00CA4EED">
        <w:tab/>
      </w:r>
      <w:r w:rsidRPr="00F7129C">
        <w:rPr>
          <w:rtl/>
          <w:lang w:bidi="ar-EG"/>
        </w:rPr>
        <w:t xml:space="preserve">انظر </w:t>
      </w:r>
      <w:r>
        <w:rPr>
          <w:rFonts w:hint="cs"/>
          <w:rtl/>
          <w:lang w:bidi="ar-EG"/>
        </w:rPr>
        <w:t>الرابط</w:t>
      </w:r>
      <w:r w:rsidRPr="00F7129C">
        <w:rPr>
          <w:rtl/>
          <w:lang w:bidi="ar-EG"/>
        </w:rPr>
        <w:t xml:space="preserve"> التالي: </w:t>
      </w:r>
      <w:r w:rsidRPr="00F7129C">
        <w:rPr>
          <w:lang w:bidi="ar-EG"/>
        </w:rPr>
        <w:t>http://www.wipo.int/amc/en/docs/wipo.doc</w:t>
      </w:r>
      <w:r w:rsidRPr="00F7129C">
        <w:rPr>
          <w:rtl/>
          <w:lang w:bidi="ar-EG"/>
        </w:rPr>
        <w:t>.</w:t>
      </w:r>
    </w:p>
  </w:footnote>
  <w:footnote w:id="48">
    <w:p w:rsidR="00461F6F" w:rsidRPr="00F7129C" w:rsidRDefault="00461F6F" w:rsidP="00CA4EED">
      <w:pPr>
        <w:pStyle w:val="FootnoteText"/>
        <w:rPr>
          <w:lang w:bidi="ar-EG"/>
        </w:rPr>
      </w:pPr>
      <w:r w:rsidRPr="00F7129C">
        <w:rPr>
          <w:rStyle w:val="FootnoteReference"/>
        </w:rPr>
        <w:footnoteRef/>
      </w:r>
      <w:r w:rsidR="00CA4EED">
        <w:tab/>
      </w:r>
      <w:r w:rsidRPr="00F7129C">
        <w:rPr>
          <w:rtl/>
          <w:lang w:bidi="ar-EG"/>
        </w:rPr>
        <w:t xml:space="preserve">للاطلاع على المعلومات الأساسية، انظر الوثيقة </w:t>
      </w:r>
      <w:r w:rsidRPr="00F7129C">
        <w:rPr>
          <w:lang w:bidi="ar-EG"/>
        </w:rPr>
        <w:t>WO/GA/41/17 Rev.2</w:t>
      </w:r>
      <w:r w:rsidRPr="00F7129C">
        <w:rPr>
          <w:rtl/>
          <w:lang w:bidi="ar-EG"/>
        </w:rPr>
        <w:t>، وتحديداً الفقرتين 40 و41.</w:t>
      </w:r>
    </w:p>
  </w:footnote>
  <w:footnote w:id="49">
    <w:p w:rsidR="00461F6F" w:rsidRPr="00F7129C" w:rsidRDefault="00461F6F" w:rsidP="00CA4EED">
      <w:pPr>
        <w:pStyle w:val="FootnoteText"/>
        <w:rPr>
          <w:lang w:bidi="ar-EG"/>
        </w:rPr>
      </w:pPr>
      <w:r w:rsidRPr="00F7129C">
        <w:rPr>
          <w:rStyle w:val="FootnoteReference"/>
        </w:rPr>
        <w:footnoteRef/>
      </w:r>
      <w:r w:rsidR="00CA4EED">
        <w:tab/>
      </w:r>
      <w:r w:rsidRPr="00F7129C">
        <w:rPr>
          <w:rtl/>
          <w:lang w:bidi="ar-EG"/>
        </w:rPr>
        <w:t xml:space="preserve">انظر </w:t>
      </w:r>
      <w:r>
        <w:rPr>
          <w:rFonts w:hint="cs"/>
          <w:rtl/>
          <w:lang w:bidi="ar-EG"/>
        </w:rPr>
        <w:t>الرابط</w:t>
      </w:r>
      <w:r w:rsidRPr="00F7129C">
        <w:rPr>
          <w:rtl/>
          <w:lang w:bidi="ar-EG"/>
        </w:rPr>
        <w:t xml:space="preserve"> التالي: </w:t>
      </w:r>
      <w:hyperlink r:id="rId6" w:history="1">
        <w:r w:rsidRPr="00C80598">
          <w:rPr>
            <w:rStyle w:val="Hyperlink"/>
            <w:color w:val="auto"/>
            <w:u w:val="none"/>
            <w:lang w:bidi="ar-EG"/>
          </w:rPr>
          <w:t>https://gacweb.icann.org/download/attachments/27132070/FINAL_Toronto_Communique_20121017.pdf?version=1&amp;modificationDate=1354149148000&amp;api=v2</w:t>
        </w:r>
      </w:hyperlink>
    </w:p>
  </w:footnote>
  <w:footnote w:id="50">
    <w:p w:rsidR="00461F6F" w:rsidRPr="00F7129C" w:rsidRDefault="00461F6F" w:rsidP="00CA4EED">
      <w:pPr>
        <w:pStyle w:val="FootnoteText"/>
        <w:rPr>
          <w:rtl/>
          <w:lang w:bidi="ar-EG"/>
        </w:rPr>
      </w:pPr>
      <w:r w:rsidRPr="00F7129C">
        <w:rPr>
          <w:rStyle w:val="FootnoteReference"/>
        </w:rPr>
        <w:footnoteRef/>
      </w:r>
      <w:r w:rsidR="00CA4EED">
        <w:tab/>
      </w:r>
      <w:r w:rsidRPr="00F7129C">
        <w:rPr>
          <w:rtl/>
          <w:lang w:bidi="ar-EG"/>
        </w:rPr>
        <w:t xml:space="preserve">انظر </w:t>
      </w:r>
      <w:r>
        <w:rPr>
          <w:rFonts w:hint="cs"/>
          <w:rtl/>
          <w:lang w:bidi="ar-EG"/>
        </w:rPr>
        <w:t>الرابط</w:t>
      </w:r>
      <w:r w:rsidRPr="00F7129C">
        <w:rPr>
          <w:rtl/>
          <w:lang w:bidi="ar-EG"/>
        </w:rPr>
        <w:t xml:space="preserve"> التالي: </w:t>
      </w:r>
      <w:r w:rsidRPr="00454BF7">
        <w:rPr>
          <w:lang w:bidi="ar-EG"/>
        </w:rPr>
        <w:t>https://www.icann.org/en/system/files/correspondence/crocker-to-dryden-16jan13-en.pdf</w:t>
      </w:r>
      <w:r>
        <w:rPr>
          <w:rFonts w:hint="cs"/>
          <w:rtl/>
          <w:lang w:bidi="ar-EG"/>
        </w:rPr>
        <w:t>.</w:t>
      </w:r>
    </w:p>
  </w:footnote>
  <w:footnote w:id="51">
    <w:p w:rsidR="00461F6F" w:rsidRPr="00F7129C" w:rsidRDefault="00461F6F" w:rsidP="00CA4EED">
      <w:pPr>
        <w:pStyle w:val="FootnoteText"/>
        <w:rPr>
          <w:rtl/>
          <w:lang w:bidi="ar-EG"/>
        </w:rPr>
      </w:pPr>
      <w:r w:rsidRPr="00F7129C">
        <w:rPr>
          <w:rStyle w:val="FootnoteReference"/>
        </w:rPr>
        <w:footnoteRef/>
      </w:r>
      <w:r w:rsidR="00CA4EED">
        <w:rPr>
          <w:rFonts w:hint="cs"/>
          <w:rtl/>
        </w:rPr>
        <w:tab/>
      </w:r>
      <w:r w:rsidRPr="00F7129C">
        <w:rPr>
          <w:rtl/>
          <w:lang w:bidi="ar-EG"/>
        </w:rPr>
        <w:t>تشمل هذه المعايير المنظمات الحكومية الدولية القائمة على المعاهدات ذات الشخصية القانونية الدولية، أو العاملة كمراقبين تابعين للأمم المتحدة، أو العاملة كصناديق أو برامج تابعة للأمم المتحدة.</w:t>
      </w:r>
    </w:p>
  </w:footnote>
  <w:footnote w:id="52">
    <w:p w:rsidR="00461F6F" w:rsidRPr="00F7129C" w:rsidRDefault="00461F6F" w:rsidP="00CA4EED">
      <w:pPr>
        <w:pStyle w:val="FootnoteText"/>
        <w:rPr>
          <w:lang w:bidi="ar-EG"/>
        </w:rPr>
      </w:pPr>
      <w:r w:rsidRPr="00F7129C">
        <w:rPr>
          <w:rStyle w:val="FootnoteReference"/>
        </w:rPr>
        <w:footnoteRef/>
      </w:r>
      <w:r w:rsidR="00CA4EED">
        <w:rPr>
          <w:rFonts w:hint="cs"/>
          <w:rtl/>
        </w:rPr>
        <w:tab/>
      </w:r>
      <w:r w:rsidRPr="00F7129C">
        <w:rPr>
          <w:rtl/>
          <w:lang w:bidi="ar-EG"/>
        </w:rPr>
        <w:t xml:space="preserve">انظر </w:t>
      </w:r>
      <w:r>
        <w:rPr>
          <w:rFonts w:hint="cs"/>
          <w:rtl/>
          <w:lang w:bidi="ar-EG"/>
        </w:rPr>
        <w:t>الرابط</w:t>
      </w:r>
      <w:r w:rsidRPr="00F7129C">
        <w:rPr>
          <w:rtl/>
          <w:lang w:bidi="ar-EG"/>
        </w:rPr>
        <w:t xml:space="preserve"> التالي: </w:t>
      </w:r>
      <w:r w:rsidRPr="00F7129C">
        <w:rPr>
          <w:lang w:bidi="ar-EG"/>
        </w:rPr>
        <w:t>http://www.icann.org/en/news/correspondence/dryden-to-crocker-chalaby-22mar13-en</w:t>
      </w:r>
      <w:r w:rsidRPr="00F7129C">
        <w:rPr>
          <w:rtl/>
          <w:lang w:bidi="ar-EG"/>
        </w:rPr>
        <w:t>.</w:t>
      </w:r>
    </w:p>
  </w:footnote>
  <w:footnote w:id="53">
    <w:p w:rsidR="00461F6F" w:rsidRPr="00F7129C" w:rsidRDefault="00461F6F" w:rsidP="00CA4EED">
      <w:pPr>
        <w:pStyle w:val="FootnoteText"/>
        <w:rPr>
          <w:rtl/>
          <w:lang w:bidi="ar-EG"/>
        </w:rPr>
      </w:pPr>
      <w:r w:rsidRPr="00F7129C">
        <w:rPr>
          <w:rStyle w:val="FootnoteReference"/>
        </w:rPr>
        <w:footnoteRef/>
      </w:r>
      <w:r w:rsidR="00CA4EED">
        <w:rPr>
          <w:rFonts w:hint="cs"/>
          <w:rtl/>
          <w:lang w:bidi="ar-EG"/>
        </w:rPr>
        <w:tab/>
      </w:r>
      <w:r w:rsidRPr="00F7129C">
        <w:rPr>
          <w:rtl/>
          <w:lang w:bidi="ar-EG"/>
        </w:rPr>
        <w:t xml:space="preserve">طلب المجلس أيضاً توضيح المقصود بالوسيلة الممكنة لإجراء مراجعة دورية للقائمة بمزيد من التحديد، وتوضيح أية لغات إضافية يُطلب توفير حماية أسماء المنظمات الحكومية الدولية ومختصراتها بها. انظر </w:t>
      </w:r>
      <w:r>
        <w:rPr>
          <w:rFonts w:hint="cs"/>
          <w:rtl/>
          <w:lang w:bidi="ar-EG"/>
        </w:rPr>
        <w:t>الرابط</w:t>
      </w:r>
      <w:r w:rsidRPr="00F7129C">
        <w:rPr>
          <w:rtl/>
          <w:lang w:bidi="ar-EG"/>
        </w:rPr>
        <w:t xml:space="preserve"> التالي: </w:t>
      </w:r>
      <w:hyperlink r:id="rId7" w:history="1">
        <w:r w:rsidRPr="003A09DF">
          <w:rPr>
            <w:szCs w:val="18"/>
          </w:rPr>
          <w:t>http://www.icann.org/en/news/correspondence/crocker-to-dryden-01apr13-en</w:t>
        </w:r>
      </w:hyperlink>
      <w:r w:rsidRPr="00F7129C">
        <w:rPr>
          <w:rtl/>
          <w:lang w:bidi="ar-EG"/>
        </w:rPr>
        <w:t>.</w:t>
      </w:r>
    </w:p>
  </w:footnote>
  <w:footnote w:id="54">
    <w:p w:rsidR="00461F6F" w:rsidRDefault="00461F6F" w:rsidP="00CA4EED">
      <w:pPr>
        <w:pStyle w:val="FootnoteText"/>
      </w:pPr>
      <w:r>
        <w:rPr>
          <w:rStyle w:val="FootnoteReference"/>
        </w:rPr>
        <w:footnoteRef/>
      </w:r>
      <w:r w:rsidR="00CA4EED">
        <w:rPr>
          <w:rFonts w:hint="cs"/>
          <w:rtl/>
        </w:rPr>
        <w:tab/>
      </w:r>
      <w:r>
        <w:rPr>
          <w:rFonts w:hint="cs"/>
          <w:rtl/>
          <w:lang w:bidi="ar-EG"/>
        </w:rPr>
        <w:t>أشارت</w:t>
      </w:r>
      <w:r w:rsidRPr="00F7129C">
        <w:rPr>
          <w:rtl/>
          <w:lang w:bidi="ar-EG"/>
        </w:rPr>
        <w:t xml:space="preserve"> اللجنة</w:t>
      </w:r>
      <w:r>
        <w:rPr>
          <w:rtl/>
          <w:lang w:bidi="ar-EG"/>
        </w:rPr>
        <w:t xml:space="preserve"> الاستشارية الحكومية أيضاً بأنه</w:t>
      </w:r>
      <w:r w:rsidRPr="00F7129C">
        <w:rPr>
          <w:rtl/>
          <w:lang w:bidi="ar-EG"/>
        </w:rPr>
        <w:t xml:space="preserve"> تفترض صراحة أن مجلس </w:t>
      </w:r>
      <w:proofErr w:type="spellStart"/>
      <w:r w:rsidRPr="00F7129C">
        <w:rPr>
          <w:rtl/>
          <w:lang w:bidi="ar-EG"/>
        </w:rPr>
        <w:t>الإيكان</w:t>
      </w:r>
      <w:proofErr w:type="spellEnd"/>
      <w:r w:rsidRPr="00F7129C">
        <w:rPr>
          <w:rtl/>
          <w:lang w:bidi="ar-EG"/>
        </w:rPr>
        <w:t xml:space="preserve"> مستعد لتنفيذ </w:t>
      </w:r>
      <w:r>
        <w:rPr>
          <w:rFonts w:hint="cs"/>
          <w:rtl/>
          <w:lang w:bidi="ar-EG"/>
        </w:rPr>
        <w:t>مشورتها</w:t>
      </w:r>
      <w:r w:rsidRPr="00F7129C">
        <w:rPr>
          <w:rtl/>
          <w:lang w:bidi="ar-EG"/>
        </w:rPr>
        <w:t xml:space="preserve"> بالكامل والتركيز على التنفيذ العملي والفعال للحماية الوقائية من الدرجة الثانية في الحقول العليا الجديدة المكوّنة من أسماء عامة، وأن تظل الحماية المؤقتة لأسماء المنظمات الحكومية الدولية ومختصراتها سارية حتى يستكمل الحوار بين اللجنة </w:t>
      </w:r>
      <w:proofErr w:type="spellStart"/>
      <w:r w:rsidRPr="00F7129C">
        <w:rPr>
          <w:rtl/>
          <w:lang w:bidi="ar-EG"/>
        </w:rPr>
        <w:t>والإيكان</w:t>
      </w:r>
      <w:proofErr w:type="spellEnd"/>
      <w:r w:rsidRPr="00F7129C">
        <w:rPr>
          <w:rtl/>
          <w:lang w:bidi="ar-EG"/>
        </w:rPr>
        <w:t xml:space="preserve"> والمنظمات الحكومية الدولية. انظر </w:t>
      </w:r>
      <w:r>
        <w:rPr>
          <w:rFonts w:hint="cs"/>
          <w:rtl/>
          <w:lang w:bidi="ar-EG"/>
        </w:rPr>
        <w:t>الرابط التالي:</w:t>
      </w:r>
      <w:r w:rsidRPr="00F7129C">
        <w:rPr>
          <w:rtl/>
          <w:lang w:bidi="ar-EG"/>
        </w:rPr>
        <w:t xml:space="preserve"> </w:t>
      </w:r>
      <w:r w:rsidRPr="009D0C23">
        <w:rPr>
          <w:lang w:bidi="ar-EG"/>
        </w:rPr>
        <w:t>http://durban47.icann.org/meetings/durban2013/presentation-gac-communique-18jul13-en.pdf</w:t>
      </w:r>
      <w:r>
        <w:rPr>
          <w:rFonts w:hint="cs"/>
          <w:rtl/>
          <w:lang w:bidi="ar-EG"/>
        </w:rPr>
        <w:t xml:space="preserve">. </w:t>
      </w:r>
    </w:p>
  </w:footnote>
  <w:footnote w:id="55">
    <w:p w:rsidR="00461F6F" w:rsidRDefault="00CA4EED" w:rsidP="009D0C23">
      <w:pPr>
        <w:pStyle w:val="FootnoteText"/>
      </w:pPr>
      <w:r>
        <w:rPr>
          <w:rStyle w:val="FootnoteReference"/>
          <w:rFonts w:hint="cs"/>
          <w:rtl/>
        </w:rPr>
        <w:tab/>
      </w:r>
      <w:r w:rsidR="00461F6F">
        <w:rPr>
          <w:rFonts w:hint="cs"/>
          <w:rtl/>
        </w:rPr>
        <w:t xml:space="preserve">انظر الرابط التالي: </w:t>
      </w:r>
      <w:r w:rsidR="00461F6F" w:rsidRPr="009D0C23">
        <w:t>https://www.icann.org/resources/board-material/resolutions-new-gtld-2013-07-17-en#1.a</w:t>
      </w:r>
      <w:r w:rsidR="00461F6F">
        <w:rPr>
          <w:rFonts w:hint="cs"/>
          <w:rtl/>
        </w:rPr>
        <w:t>.</w:t>
      </w:r>
    </w:p>
  </w:footnote>
  <w:footnote w:id="56">
    <w:p w:rsidR="00461F6F" w:rsidRPr="00F7129C" w:rsidRDefault="00461F6F" w:rsidP="00CA4EED">
      <w:pPr>
        <w:pStyle w:val="FootnoteText"/>
        <w:rPr>
          <w:lang w:bidi="ar-EG"/>
        </w:rPr>
      </w:pPr>
      <w:r w:rsidRPr="00F7129C">
        <w:rPr>
          <w:rStyle w:val="FootnoteReference"/>
        </w:rPr>
        <w:footnoteRef/>
      </w:r>
      <w:r w:rsidR="00CA4EED">
        <w:rPr>
          <w:rFonts w:hint="cs"/>
          <w:rtl/>
        </w:rPr>
        <w:tab/>
      </w:r>
      <w:r w:rsidRPr="00F7129C">
        <w:rPr>
          <w:rtl/>
          <w:lang w:bidi="ar-EG"/>
        </w:rPr>
        <w:t>كانت اللجنة الاستشارية الحكومية ولجنة برنامج الحقول العليا الجديدة المكوَّنة من أسماء عامة قد ألغيتا مشاركتهما في اجتماع اقترحت المنظمات الحكومية الدولية عقده في 30 سبتمبر.</w:t>
      </w:r>
    </w:p>
  </w:footnote>
  <w:footnote w:id="57">
    <w:p w:rsidR="00461F6F" w:rsidRDefault="00461F6F" w:rsidP="00CA4EED">
      <w:pPr>
        <w:pStyle w:val="FootnoteText"/>
      </w:pPr>
      <w:r>
        <w:rPr>
          <w:rStyle w:val="FootnoteReference"/>
        </w:rPr>
        <w:footnoteRef/>
      </w:r>
      <w:r w:rsidR="00CA4EED">
        <w:rPr>
          <w:rFonts w:hint="cs"/>
          <w:rtl/>
        </w:rPr>
        <w:tab/>
      </w:r>
      <w:r>
        <w:rPr>
          <w:rFonts w:hint="cs"/>
          <w:rtl/>
        </w:rPr>
        <w:t xml:space="preserve">للاطلاع على موجز كامل، انظر الوثيقة </w:t>
      </w:r>
      <w:r w:rsidRPr="002208CB">
        <w:t>WO/GA/48/12 Rev.</w:t>
      </w:r>
      <w:r>
        <w:rPr>
          <w:rFonts w:hint="cs"/>
          <w:rtl/>
        </w:rPr>
        <w:t xml:space="preserve">، الفقرات من 42 إلى 45. </w:t>
      </w:r>
    </w:p>
  </w:footnote>
  <w:footnote w:id="58">
    <w:p w:rsidR="00461F6F" w:rsidRPr="00F7129C" w:rsidRDefault="00461F6F" w:rsidP="008D7C85">
      <w:pPr>
        <w:pStyle w:val="FootnoteText"/>
        <w:rPr>
          <w:lang w:bidi="ar-EG"/>
        </w:rPr>
      </w:pPr>
      <w:r w:rsidRPr="00F7129C">
        <w:rPr>
          <w:rStyle w:val="FootnoteReference"/>
        </w:rPr>
        <w:footnoteRef/>
      </w:r>
      <w:r w:rsidR="008D7C85">
        <w:rPr>
          <w:rFonts w:hint="cs"/>
          <w:rtl/>
        </w:rPr>
        <w:tab/>
      </w:r>
      <w:r w:rsidRPr="00F7129C">
        <w:rPr>
          <w:rtl/>
          <w:lang w:bidi="ar-EG"/>
        </w:rPr>
        <w:t xml:space="preserve">أصدرت اللجنة الاستشارية الحكومية في عام 2007 "مبادئها بشأن الحقول العليا الجديدة المكونة من أسماء عامة" </w:t>
      </w:r>
      <w:r>
        <w:rPr>
          <w:rtl/>
          <w:lang w:bidi="ar-EG"/>
        </w:rPr>
        <w:t xml:space="preserve">التي تنص مثلاً على أنه ينبغي </w:t>
      </w:r>
      <w:proofErr w:type="spellStart"/>
      <w:r>
        <w:rPr>
          <w:rtl/>
          <w:lang w:bidi="ar-EG"/>
        </w:rPr>
        <w:t>لل</w:t>
      </w:r>
      <w:r>
        <w:rPr>
          <w:rFonts w:hint="cs"/>
          <w:rtl/>
          <w:lang w:bidi="ar-EG"/>
        </w:rPr>
        <w:t>إ</w:t>
      </w:r>
      <w:r w:rsidRPr="00F7129C">
        <w:rPr>
          <w:rtl/>
          <w:lang w:bidi="ar-EG"/>
        </w:rPr>
        <w:t>يكان</w:t>
      </w:r>
      <w:proofErr w:type="spellEnd"/>
      <w:r w:rsidRPr="00F7129C">
        <w:rPr>
          <w:rtl/>
          <w:lang w:bidi="ar-EG"/>
        </w:rPr>
        <w:t xml:space="preserve"> أن تتلافى منح الحقول العليا الجديدة المكونة من أسماء عامة فيما يتعلق بأسماء البلدان أو الأراضي أو الأماكن واللغات الإقليمية أو أوصاف الشعوب، ما لم يكن ذلك بالاتفاق مع الحكومات أو السلطات العامة المعنية. وتنص هذه المبادئ أيضاً على أن التسجيلات الجديدة ينبغي أن تعتمد إجراءات لمنع تسجيل/للطعن في تسجيل الأسماء ذات المغزى الوطني أو الجغرافي في الحقول الدنيا بطلب من الحكومات. انظر </w:t>
      </w:r>
      <w:r>
        <w:rPr>
          <w:rFonts w:hint="cs"/>
          <w:rtl/>
          <w:lang w:bidi="ar-EG"/>
        </w:rPr>
        <w:t>الرابط</w:t>
      </w:r>
      <w:r w:rsidRPr="00F7129C">
        <w:rPr>
          <w:rtl/>
          <w:lang w:bidi="ar-EG"/>
        </w:rPr>
        <w:t xml:space="preserve"> التالي: </w:t>
      </w:r>
      <w:r w:rsidRPr="00E03A90">
        <w:rPr>
          <w:lang w:bidi="ar-EG"/>
        </w:rPr>
        <w:t>https://archive.icann.org/en/topics/new-gtlds/gac-principles-regarding-new-gtlds-28mar07-en.pdf</w:t>
      </w:r>
      <w:r w:rsidRPr="00F7129C">
        <w:rPr>
          <w:rtl/>
          <w:lang w:bidi="ar-EG"/>
        </w:rPr>
        <w:t>.</w:t>
      </w:r>
    </w:p>
  </w:footnote>
  <w:footnote w:id="59">
    <w:p w:rsidR="00461F6F" w:rsidRPr="00F7129C" w:rsidRDefault="00461F6F" w:rsidP="008D7C85">
      <w:pPr>
        <w:pStyle w:val="FootnoteText"/>
        <w:rPr>
          <w:rtl/>
          <w:lang w:bidi="ar-EG"/>
        </w:rPr>
      </w:pPr>
      <w:r w:rsidRPr="00F7129C">
        <w:rPr>
          <w:rStyle w:val="FootnoteReference"/>
        </w:rPr>
        <w:footnoteRef/>
      </w:r>
      <w:r w:rsidR="008D7C85">
        <w:rPr>
          <w:rFonts w:hint="cs"/>
          <w:rtl/>
        </w:rPr>
        <w:tab/>
      </w:r>
      <w:r w:rsidRPr="00F7129C">
        <w:rPr>
          <w:rtl/>
          <w:lang w:bidi="ar-EG"/>
        </w:rPr>
        <w:t>بالنسبة إلى التسجيلات من الدرجة الثاني</w:t>
      </w:r>
      <w:r>
        <w:rPr>
          <w:rtl/>
          <w:lang w:bidi="ar-EG"/>
        </w:rPr>
        <w:t xml:space="preserve">ة، فإن اتفاق التسجيل الأساسي </w:t>
      </w:r>
      <w:proofErr w:type="spellStart"/>
      <w:r>
        <w:rPr>
          <w:rtl/>
          <w:lang w:bidi="ar-EG"/>
        </w:rPr>
        <w:t>لل</w:t>
      </w:r>
      <w:r>
        <w:rPr>
          <w:rFonts w:hint="cs"/>
          <w:rtl/>
          <w:lang w:bidi="ar-EG"/>
        </w:rPr>
        <w:t>إ</w:t>
      </w:r>
      <w:r w:rsidRPr="00F7129C">
        <w:rPr>
          <w:rtl/>
          <w:lang w:bidi="ar-EG"/>
        </w:rPr>
        <w:t>يكان</w:t>
      </w:r>
      <w:proofErr w:type="spellEnd"/>
      <w:r w:rsidRPr="00F7129C">
        <w:rPr>
          <w:rtl/>
          <w:lang w:bidi="ar-EG"/>
        </w:rPr>
        <w:t xml:space="preserve"> يشمل "جدول الأسماء المحجوزة من الدرجة الثانية في مكاتب تسجيل الحقول العليا المكونة من أسماء عامة"، وهذا الاتفاق ينص على أسماء معينة لبلدان وأراض. انظر </w:t>
      </w:r>
      <w:r>
        <w:rPr>
          <w:rFonts w:hint="cs"/>
          <w:rtl/>
          <w:lang w:bidi="ar-EG"/>
        </w:rPr>
        <w:t>الرابط</w:t>
      </w:r>
      <w:r w:rsidRPr="00F7129C">
        <w:rPr>
          <w:rtl/>
          <w:lang w:bidi="ar-EG"/>
        </w:rPr>
        <w:t xml:space="preserve"> التالي: </w:t>
      </w:r>
      <w:r w:rsidRPr="00E03A90">
        <w:rPr>
          <w:lang w:bidi="ar-EG"/>
        </w:rPr>
        <w:t>http://newgtlds.icann.org/en/applicants/agb/base-agreement-specs-04jun12-en.pdf</w:t>
      </w:r>
      <w:r w:rsidRPr="00F7129C">
        <w:rPr>
          <w:rtl/>
          <w:lang w:bidi="ar-EG"/>
        </w:rPr>
        <w:t>، النقطة 5.</w:t>
      </w:r>
    </w:p>
  </w:footnote>
  <w:footnote w:id="60">
    <w:p w:rsidR="00461F6F" w:rsidRPr="00F7129C" w:rsidRDefault="00461F6F" w:rsidP="008D7C85">
      <w:pPr>
        <w:pStyle w:val="FootnoteText"/>
        <w:rPr>
          <w:lang w:bidi="ar-EG"/>
        </w:rPr>
      </w:pPr>
      <w:r w:rsidRPr="00F7129C">
        <w:rPr>
          <w:rStyle w:val="FootnoteReference"/>
        </w:rPr>
        <w:footnoteRef/>
      </w:r>
      <w:r w:rsidR="008D7C85">
        <w:rPr>
          <w:rFonts w:hint="cs"/>
          <w:rtl/>
        </w:rPr>
        <w:tab/>
      </w:r>
      <w:r w:rsidRPr="00F7129C">
        <w:rPr>
          <w:rtl/>
          <w:lang w:bidi="ar-EG"/>
        </w:rPr>
        <w:t xml:space="preserve">انظر </w:t>
      </w:r>
      <w:r>
        <w:rPr>
          <w:rFonts w:hint="cs"/>
          <w:rtl/>
          <w:lang w:bidi="ar-EG"/>
        </w:rPr>
        <w:t>الرابط</w:t>
      </w:r>
      <w:r w:rsidRPr="00F7129C">
        <w:rPr>
          <w:rtl/>
          <w:lang w:bidi="ar-EG"/>
        </w:rPr>
        <w:t xml:space="preserve"> التالي: </w:t>
      </w:r>
      <w:r w:rsidRPr="00F33050">
        <w:rPr>
          <w:lang w:bidi="ar-EG"/>
        </w:rPr>
        <w:t>http://newgtlds.icann.org/en/applicants/agb/evaluation-procedures-04jun12-en.pdf</w:t>
      </w:r>
      <w:r w:rsidRPr="00F7129C">
        <w:rPr>
          <w:rtl/>
          <w:lang w:bidi="ar-EG"/>
        </w:rPr>
        <w:t xml:space="preserve">، من </w:t>
      </w:r>
      <w:r>
        <w:rPr>
          <w:rFonts w:hint="cs"/>
          <w:rtl/>
          <w:lang w:bidi="ar-EG"/>
        </w:rPr>
        <w:t>الفقرة</w:t>
      </w:r>
      <w:r w:rsidR="008D7C85">
        <w:rPr>
          <w:rFonts w:hint="cs"/>
          <w:rtl/>
          <w:lang w:bidi="ar-EG"/>
        </w:rPr>
        <w:t> </w:t>
      </w:r>
      <w:r w:rsidRPr="00F7129C">
        <w:rPr>
          <w:rtl/>
          <w:lang w:bidi="ar-EG"/>
        </w:rPr>
        <w:t>1.4.1.2.2 "معالجة أسماء البلدان أو الأراضي".</w:t>
      </w:r>
    </w:p>
  </w:footnote>
  <w:footnote w:id="61">
    <w:p w:rsidR="00461F6F" w:rsidRPr="00F7129C" w:rsidRDefault="00461F6F" w:rsidP="008D7C85">
      <w:pPr>
        <w:pStyle w:val="FootnoteText"/>
        <w:rPr>
          <w:lang w:bidi="ar-EG"/>
        </w:rPr>
      </w:pPr>
      <w:r w:rsidRPr="00F7129C">
        <w:rPr>
          <w:rStyle w:val="FootnoteReference"/>
        </w:rPr>
        <w:footnoteRef/>
      </w:r>
      <w:r w:rsidR="008D7C85">
        <w:rPr>
          <w:rFonts w:hint="cs"/>
          <w:rtl/>
        </w:rPr>
        <w:tab/>
      </w:r>
      <w:r w:rsidRPr="00F7129C">
        <w:rPr>
          <w:rtl/>
          <w:lang w:bidi="ar-EG"/>
        </w:rPr>
        <w:t xml:space="preserve">انظر </w:t>
      </w:r>
      <w:r>
        <w:rPr>
          <w:rFonts w:hint="cs"/>
          <w:rtl/>
          <w:lang w:bidi="ar-EG"/>
        </w:rPr>
        <w:t>الرابط</w:t>
      </w:r>
      <w:r w:rsidRPr="00F7129C">
        <w:rPr>
          <w:rtl/>
          <w:lang w:bidi="ar-EG"/>
        </w:rPr>
        <w:t xml:space="preserve"> التالي: </w:t>
      </w:r>
      <w:r w:rsidRPr="00F33050">
        <w:rPr>
          <w:lang w:bidi="ar-EG"/>
        </w:rPr>
        <w:t>http://newgtlds.icann.org/en/applicants/agb/evaluation-procedures-04jun12-en.pdf</w:t>
      </w:r>
      <w:r w:rsidRPr="00F7129C">
        <w:rPr>
          <w:rtl/>
          <w:lang w:bidi="ar-EG"/>
        </w:rPr>
        <w:t xml:space="preserve">، من </w:t>
      </w:r>
      <w:r>
        <w:rPr>
          <w:rFonts w:hint="cs"/>
          <w:rtl/>
          <w:lang w:bidi="ar-EG"/>
        </w:rPr>
        <w:t>الفقرة</w:t>
      </w:r>
      <w:r w:rsidR="008D7C85">
        <w:rPr>
          <w:rFonts w:hint="cs"/>
          <w:rtl/>
          <w:lang w:bidi="ar-EG"/>
        </w:rPr>
        <w:t> </w:t>
      </w:r>
      <w:r w:rsidRPr="00F7129C">
        <w:rPr>
          <w:rtl/>
          <w:lang w:bidi="ar-EG"/>
        </w:rPr>
        <w:t>2.4.1.2.2 "الأسماء الجغرافية التي تتطلب دعم الحكومات".</w:t>
      </w:r>
    </w:p>
  </w:footnote>
  <w:footnote w:id="62">
    <w:p w:rsidR="00461F6F" w:rsidRPr="00B46A40" w:rsidRDefault="00461F6F" w:rsidP="008D7C85">
      <w:pPr>
        <w:pStyle w:val="FootnoteText"/>
        <w:rPr>
          <w:rtl/>
          <w:lang w:bidi="ar-EG"/>
        </w:rPr>
      </w:pPr>
      <w:r w:rsidRPr="00F7129C">
        <w:rPr>
          <w:rStyle w:val="FootnoteReference"/>
        </w:rPr>
        <w:footnoteRef/>
      </w:r>
      <w:r w:rsidR="008D7C85">
        <w:rPr>
          <w:rFonts w:hint="cs"/>
          <w:rtl/>
        </w:rPr>
        <w:tab/>
      </w:r>
      <w:r w:rsidRPr="00F7129C">
        <w:rPr>
          <w:rtl/>
          <w:lang w:bidi="ar-EG"/>
        </w:rPr>
        <w:t xml:space="preserve">انظر الموقع الإلكتروني التالي: </w:t>
      </w:r>
      <w:r w:rsidRPr="00F7129C">
        <w:rPr>
          <w:lang w:bidi="ar-EG"/>
        </w:rPr>
        <w:t>https://www.icann.org/en/system/files/correspondence/gac-to-board-27mar14-en.pdf</w:t>
      </w:r>
      <w:r w:rsidRPr="00F7129C">
        <w:rPr>
          <w:rtl/>
          <w:lang w:bidi="ar-EG"/>
        </w:rPr>
        <w:t>، النقطة 4. ‘</w:t>
      </w:r>
      <w:r w:rsidRPr="00F7129C">
        <w:rPr>
          <w:lang w:bidi="ar-EG"/>
        </w:rPr>
        <w:t>Specific Strings</w:t>
      </w:r>
      <w:r w:rsidRPr="00F7129C">
        <w:rPr>
          <w:rtl/>
          <w:lang w:bidi="ar-EG"/>
        </w:rPr>
        <w:t xml:space="preserve">’ (سلسلة حروف محددة). ورغم أن المجلس قَبِلَ مشورة اللجنة الاستشارية الحكومية المعارضة للاستمرار في إجراءات بعض الطلبات، فإنه طلب مزيداً من المعلومات من اللجنة الاستشارية الحكومية والجمهور العام بشأن طائفة من الإجراءات الوقائية الإضافية التي طلبتها اللجنة الاستشارية الحكومية فيما يخص عدة فئات واسعة من طلبات الحقول العليا الجديدة المكونة من أسماء عامة مثل أسماء الحقول العليا الجديدة المكوّنة من أسماء عامة التي تتوافق مع الصناعات المنظمة أو المصطلحات </w:t>
      </w:r>
      <w:proofErr w:type="spellStart"/>
      <w:r w:rsidRPr="00F7129C">
        <w:rPr>
          <w:rtl/>
          <w:lang w:bidi="ar-EG"/>
        </w:rPr>
        <w:t>القاموسية</w:t>
      </w:r>
      <w:proofErr w:type="spellEnd"/>
      <w:r w:rsidRPr="00F7129C">
        <w:rPr>
          <w:rtl/>
          <w:lang w:bidi="ar-EG"/>
        </w:rPr>
        <w:t xml:space="preserve">. انظر </w:t>
      </w:r>
      <w:r>
        <w:rPr>
          <w:rFonts w:hint="cs"/>
          <w:rtl/>
          <w:lang w:bidi="ar-EG"/>
        </w:rPr>
        <w:t>الرابط</w:t>
      </w:r>
      <w:r w:rsidRPr="00F7129C">
        <w:rPr>
          <w:rtl/>
          <w:lang w:bidi="ar-EG"/>
        </w:rPr>
        <w:t xml:space="preserve"> التالي: </w:t>
      </w:r>
      <w:r w:rsidRPr="00E70DE8">
        <w:t>https://www.icann.org/en/system/files/correspondence/gac-to-board-11apr13-en.pdf</w:t>
      </w:r>
      <w:r w:rsidRPr="00F7129C">
        <w:rPr>
          <w:rtl/>
          <w:lang w:bidi="ar-EG"/>
        </w:rPr>
        <w:t xml:space="preserve">. وقد وضع فريق فرعي معني بالأسماء الجغرافية تابع للجنة الاستشارية الحكومية (فريق فرعي معني بأسماء الحقول العليا الجديدة المستقبلية المكوّنة من أسماء عامة تابع للفريق العامل للجنة الاستشارية الحكومية) مشروع وثيقة للمراحل المقبلة للحقول العليا الجديدة المكونة من أسماء عامة، ويوضح مشروع الوثيقة بإيجاز جوانب عديدة للسياسة العامة المتعلقة بالأسماء الجغرافية ويخضع حالياً لمزيد من المناقشات في </w:t>
      </w:r>
      <w:proofErr w:type="spellStart"/>
      <w:r w:rsidRPr="00F7129C">
        <w:rPr>
          <w:rtl/>
          <w:lang w:bidi="ar-EG"/>
        </w:rPr>
        <w:t>الإيكان</w:t>
      </w:r>
      <w:proofErr w:type="spellEnd"/>
      <w:r w:rsidRPr="00F7129C">
        <w:rPr>
          <w:rtl/>
          <w:lang w:bidi="ar-EG"/>
        </w:rPr>
        <w:t xml:space="preserve">. انظر </w:t>
      </w:r>
      <w:r>
        <w:rPr>
          <w:rFonts w:hint="cs"/>
          <w:rtl/>
          <w:lang w:bidi="ar-EG"/>
        </w:rPr>
        <w:t>الرابط</w:t>
      </w:r>
      <w:r w:rsidRPr="00F7129C">
        <w:rPr>
          <w:rtl/>
          <w:lang w:bidi="ar-EG"/>
        </w:rPr>
        <w:t xml:space="preserve"> التالي:</w:t>
      </w:r>
      <w:r w:rsidRPr="00B46A40">
        <w:t xml:space="preserve"> </w:t>
      </w:r>
      <w:r w:rsidRPr="00E70DE8">
        <w:rPr>
          <w:lang w:bidi="ar-EG"/>
        </w:rPr>
        <w:t>https://gacweb.icann.org/download/attachments/27132037/Geo%20names%20in%20new%20gTLDs%20Updated%20%20V3%20%2029%20august%202014%5B4%5D.pdf?version=1&amp;modificationDate=1411549935000&amp;api=v2</w:t>
      </w:r>
      <w:r w:rsidRPr="00B46A40">
        <w:rPr>
          <w:rtl/>
          <w:lang w:bidi="ar-EG"/>
        </w:rPr>
        <w:t>.</w:t>
      </w:r>
    </w:p>
  </w:footnote>
  <w:footnote w:id="63">
    <w:p w:rsidR="00461F6F" w:rsidRDefault="00461F6F" w:rsidP="008710F8">
      <w:pPr>
        <w:pStyle w:val="FootnoteText"/>
      </w:pPr>
      <w:r>
        <w:rPr>
          <w:rStyle w:val="FootnoteReference"/>
        </w:rPr>
        <w:footnoteRef/>
      </w:r>
      <w:r w:rsidR="008710F8">
        <w:rPr>
          <w:rFonts w:hint="cs"/>
          <w:rtl/>
        </w:rPr>
        <w:tab/>
      </w:r>
      <w:r>
        <w:rPr>
          <w:rFonts w:hint="cs"/>
          <w:rtl/>
        </w:rPr>
        <w:t>تشمل هذه الإجراءات مجتمعة ما يُسمّى</w:t>
      </w:r>
      <w:r w:rsidRPr="004D450F">
        <w:t xml:space="preserve"> </w:t>
      </w:r>
      <w:r w:rsidRPr="004D450F">
        <w:rPr>
          <w:rtl/>
        </w:rPr>
        <w:t>"خطة لتبديد الالتباس"</w:t>
      </w:r>
      <w:r>
        <w:rPr>
          <w:rFonts w:hint="cs"/>
          <w:rtl/>
        </w:rPr>
        <w:t xml:space="preserve"> التابعة </w:t>
      </w:r>
      <w:proofErr w:type="spellStart"/>
      <w:r>
        <w:rPr>
          <w:rFonts w:hint="cs"/>
          <w:rtl/>
        </w:rPr>
        <w:t>للإيكان</w:t>
      </w:r>
      <w:proofErr w:type="spellEnd"/>
      <w:r w:rsidRPr="004D450F">
        <w:rPr>
          <w:rtl/>
        </w:rPr>
        <w:t>.</w:t>
      </w:r>
      <w:r>
        <w:rPr>
          <w:rFonts w:hint="cs"/>
          <w:rtl/>
        </w:rPr>
        <w:t xml:space="preserve"> </w:t>
      </w:r>
    </w:p>
  </w:footnote>
  <w:footnote w:id="64">
    <w:p w:rsidR="00461F6F" w:rsidRDefault="00461F6F" w:rsidP="008710F8">
      <w:pPr>
        <w:pStyle w:val="FootnoteText"/>
      </w:pPr>
      <w:r>
        <w:rPr>
          <w:rStyle w:val="FootnoteReference"/>
        </w:rPr>
        <w:footnoteRef/>
      </w:r>
      <w:r w:rsidR="008710F8">
        <w:rPr>
          <w:rFonts w:hint="cs"/>
          <w:rtl/>
        </w:rPr>
        <w:tab/>
      </w:r>
      <w:r>
        <w:rPr>
          <w:rFonts w:hint="cs"/>
          <w:rtl/>
        </w:rPr>
        <w:t xml:space="preserve">انظر الرابط التالي: </w:t>
      </w:r>
      <w:r w:rsidRPr="004D450F">
        <w:t>https://forum.icann.org/lists/comments-proposed-measures-two-char-08jul16/pdfECmcS9knuk.pdf</w:t>
      </w:r>
      <w:r>
        <w:rPr>
          <w:rFonts w:hint="cs"/>
          <w:rtl/>
        </w:rPr>
        <w:t>.</w:t>
      </w:r>
    </w:p>
  </w:footnote>
  <w:footnote w:id="65">
    <w:p w:rsidR="00461F6F" w:rsidRPr="00B46A40" w:rsidRDefault="00461F6F" w:rsidP="008710F8">
      <w:pPr>
        <w:pStyle w:val="FootnoteText"/>
        <w:rPr>
          <w:rtl/>
          <w:lang w:bidi="ar-EG"/>
        </w:rPr>
      </w:pPr>
      <w:r w:rsidRPr="00B46A40">
        <w:rPr>
          <w:rStyle w:val="FootnoteReference"/>
        </w:rPr>
        <w:footnoteRef/>
      </w:r>
      <w:r w:rsidR="008710F8">
        <w:rPr>
          <w:rFonts w:hint="cs"/>
          <w:rtl/>
        </w:rPr>
        <w:tab/>
      </w:r>
      <w:r w:rsidRPr="00B46A40">
        <w:rPr>
          <w:rtl/>
          <w:lang w:bidi="ar-EG"/>
        </w:rPr>
        <w:t xml:space="preserve">انظر مثلاً الوثائق </w:t>
      </w:r>
      <w:r w:rsidRPr="00B46A40">
        <w:rPr>
          <w:lang w:bidi="ar-EG"/>
        </w:rPr>
        <w:t>SCT/24/4</w:t>
      </w:r>
      <w:r w:rsidRPr="00B46A40">
        <w:rPr>
          <w:rtl/>
          <w:lang w:bidi="ar-EG"/>
        </w:rPr>
        <w:t xml:space="preserve"> و</w:t>
      </w:r>
      <w:r w:rsidRPr="00B46A40">
        <w:rPr>
          <w:lang w:bidi="ar-EG"/>
        </w:rPr>
        <w:t>SCT 25/3</w:t>
      </w:r>
      <w:r w:rsidRPr="00B46A40">
        <w:rPr>
          <w:rtl/>
          <w:lang w:bidi="ar-EG"/>
        </w:rPr>
        <w:t xml:space="preserve"> و</w:t>
      </w:r>
      <w:r w:rsidRPr="00B46A40">
        <w:rPr>
          <w:lang w:bidi="ar-EG"/>
        </w:rPr>
        <w:t>SCT 26/6</w:t>
      </w:r>
      <w:r w:rsidRPr="00B46A40">
        <w:rPr>
          <w:rtl/>
          <w:lang w:bidi="ar-EG"/>
        </w:rPr>
        <w:t xml:space="preserve"> و</w:t>
      </w:r>
      <w:r w:rsidRPr="00B46A40">
        <w:rPr>
          <w:lang w:bidi="ar-EG"/>
        </w:rPr>
        <w:t>SCT 27/8</w:t>
      </w:r>
      <w:r w:rsidRPr="00B46A40">
        <w:rPr>
          <w:rtl/>
          <w:lang w:bidi="ar-EG"/>
        </w:rPr>
        <w:t>.</w:t>
      </w:r>
      <w:r>
        <w:rPr>
          <w:rFonts w:hint="cs"/>
          <w:rtl/>
          <w:lang w:bidi="ar-EG"/>
        </w:rPr>
        <w:t xml:space="preserve"> انظر أيضاً الاجتماع </w:t>
      </w:r>
      <w:r w:rsidRPr="004D450F">
        <w:rPr>
          <w:lang w:bidi="ar-EG"/>
        </w:rPr>
        <w:t>SCT/IS/GEO/GE/17</w:t>
      </w:r>
      <w:r>
        <w:rPr>
          <w:rFonts w:hint="cs"/>
          <w:rtl/>
          <w:lang w:bidi="ar-EG"/>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6F" w:rsidRDefault="00461F6F" w:rsidP="00537CCB">
    <w:r>
      <w:t>WO/GA/49/</w:t>
    </w:r>
    <w:r w:rsidRPr="00537CCB">
      <w:rPr>
        <w:rFonts w:hint="cs"/>
        <w:szCs w:val="22"/>
        <w:rtl/>
      </w:rPr>
      <w:t>14</w:t>
    </w:r>
  </w:p>
  <w:p w:rsidR="00461F6F" w:rsidRDefault="00461F6F" w:rsidP="00D61541">
    <w:r>
      <w:fldChar w:fldCharType="begin"/>
    </w:r>
    <w:r>
      <w:instrText xml:space="preserve"> PAGE  \* MERGEFORMAT </w:instrText>
    </w:r>
    <w:r>
      <w:fldChar w:fldCharType="separate"/>
    </w:r>
    <w:r w:rsidR="002415F6">
      <w:rPr>
        <w:noProof/>
      </w:rPr>
      <w:t>7</w:t>
    </w:r>
    <w:r>
      <w:fldChar w:fldCharType="end"/>
    </w:r>
  </w:p>
  <w:p w:rsidR="00461F6F" w:rsidRDefault="00461F6F"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4A35ADE"/>
    <w:multiLevelType w:val="hybridMultilevel"/>
    <w:tmpl w:val="A2CC1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4D"/>
    <w:rsid w:val="00001957"/>
    <w:rsid w:val="00001BC7"/>
    <w:rsid w:val="00002BE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456"/>
    <w:rsid w:val="0001645D"/>
    <w:rsid w:val="00017A43"/>
    <w:rsid w:val="0002157B"/>
    <w:rsid w:val="00023101"/>
    <w:rsid w:val="0002407C"/>
    <w:rsid w:val="0002476F"/>
    <w:rsid w:val="00024E17"/>
    <w:rsid w:val="000258DB"/>
    <w:rsid w:val="000259E5"/>
    <w:rsid w:val="000304B0"/>
    <w:rsid w:val="000319BF"/>
    <w:rsid w:val="00031B2C"/>
    <w:rsid w:val="00033D2C"/>
    <w:rsid w:val="00035CE8"/>
    <w:rsid w:val="00036041"/>
    <w:rsid w:val="000367E5"/>
    <w:rsid w:val="00040637"/>
    <w:rsid w:val="00040688"/>
    <w:rsid w:val="0004070F"/>
    <w:rsid w:val="000409FF"/>
    <w:rsid w:val="0004115B"/>
    <w:rsid w:val="00042F2D"/>
    <w:rsid w:val="000432B2"/>
    <w:rsid w:val="000432CF"/>
    <w:rsid w:val="000438A8"/>
    <w:rsid w:val="00044AC0"/>
    <w:rsid w:val="00045249"/>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590B"/>
    <w:rsid w:val="00066DC7"/>
    <w:rsid w:val="00066F3C"/>
    <w:rsid w:val="0006794A"/>
    <w:rsid w:val="00067F31"/>
    <w:rsid w:val="00070252"/>
    <w:rsid w:val="00071138"/>
    <w:rsid w:val="000717BF"/>
    <w:rsid w:val="00073402"/>
    <w:rsid w:val="00075745"/>
    <w:rsid w:val="00075A04"/>
    <w:rsid w:val="00075D39"/>
    <w:rsid w:val="000760C3"/>
    <w:rsid w:val="000763A4"/>
    <w:rsid w:val="00076901"/>
    <w:rsid w:val="00077555"/>
    <w:rsid w:val="0008237C"/>
    <w:rsid w:val="000833C3"/>
    <w:rsid w:val="0008421F"/>
    <w:rsid w:val="0008451C"/>
    <w:rsid w:val="00085A0B"/>
    <w:rsid w:val="000863B7"/>
    <w:rsid w:val="00087921"/>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C72"/>
    <w:rsid w:val="000C0E68"/>
    <w:rsid w:val="000C111E"/>
    <w:rsid w:val="000C1E3C"/>
    <w:rsid w:val="000C1FB4"/>
    <w:rsid w:val="000C2A3E"/>
    <w:rsid w:val="000C2CE8"/>
    <w:rsid w:val="000C335E"/>
    <w:rsid w:val="000C4651"/>
    <w:rsid w:val="000C46EC"/>
    <w:rsid w:val="000C4727"/>
    <w:rsid w:val="000C484D"/>
    <w:rsid w:val="000C523D"/>
    <w:rsid w:val="000C52A5"/>
    <w:rsid w:val="000C563F"/>
    <w:rsid w:val="000C5DF9"/>
    <w:rsid w:val="000C5F21"/>
    <w:rsid w:val="000C662C"/>
    <w:rsid w:val="000C70F2"/>
    <w:rsid w:val="000C71EC"/>
    <w:rsid w:val="000C733A"/>
    <w:rsid w:val="000C76B0"/>
    <w:rsid w:val="000D0C07"/>
    <w:rsid w:val="000D0C7C"/>
    <w:rsid w:val="000D1A1D"/>
    <w:rsid w:val="000D5FB7"/>
    <w:rsid w:val="000D7BA7"/>
    <w:rsid w:val="000D7D31"/>
    <w:rsid w:val="000E06A5"/>
    <w:rsid w:val="000E16EB"/>
    <w:rsid w:val="000E37B0"/>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314"/>
    <w:rsid w:val="001016F2"/>
    <w:rsid w:val="001024C1"/>
    <w:rsid w:val="0010385D"/>
    <w:rsid w:val="001042E0"/>
    <w:rsid w:val="00104C51"/>
    <w:rsid w:val="0010597B"/>
    <w:rsid w:val="00110107"/>
    <w:rsid w:val="00110531"/>
    <w:rsid w:val="00110794"/>
    <w:rsid w:val="00110EAB"/>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FFA"/>
    <w:rsid w:val="001252B1"/>
    <w:rsid w:val="00126897"/>
    <w:rsid w:val="0012696D"/>
    <w:rsid w:val="00127234"/>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033A"/>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6C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13D"/>
    <w:rsid w:val="0017666F"/>
    <w:rsid w:val="00176D64"/>
    <w:rsid w:val="00176E2C"/>
    <w:rsid w:val="00177DBF"/>
    <w:rsid w:val="00182417"/>
    <w:rsid w:val="0018242F"/>
    <w:rsid w:val="0018414E"/>
    <w:rsid w:val="00185718"/>
    <w:rsid w:val="001857AF"/>
    <w:rsid w:val="00185BBE"/>
    <w:rsid w:val="00185F90"/>
    <w:rsid w:val="00186606"/>
    <w:rsid w:val="00187EA4"/>
    <w:rsid w:val="00190B6D"/>
    <w:rsid w:val="00191E75"/>
    <w:rsid w:val="00192022"/>
    <w:rsid w:val="0019301D"/>
    <w:rsid w:val="0019454F"/>
    <w:rsid w:val="00194719"/>
    <w:rsid w:val="00194774"/>
    <w:rsid w:val="00195CE0"/>
    <w:rsid w:val="001A0022"/>
    <w:rsid w:val="001A098F"/>
    <w:rsid w:val="001A10CB"/>
    <w:rsid w:val="001A110B"/>
    <w:rsid w:val="001A149A"/>
    <w:rsid w:val="001A2AB7"/>
    <w:rsid w:val="001A4A9C"/>
    <w:rsid w:val="001A5D0E"/>
    <w:rsid w:val="001A6B88"/>
    <w:rsid w:val="001A6C33"/>
    <w:rsid w:val="001A6E68"/>
    <w:rsid w:val="001A7AE7"/>
    <w:rsid w:val="001B3131"/>
    <w:rsid w:val="001B4628"/>
    <w:rsid w:val="001B4B2F"/>
    <w:rsid w:val="001B7C00"/>
    <w:rsid w:val="001B7EC3"/>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D5A"/>
    <w:rsid w:val="001D6A48"/>
    <w:rsid w:val="001E1043"/>
    <w:rsid w:val="001E10E1"/>
    <w:rsid w:val="001E175F"/>
    <w:rsid w:val="001E19F7"/>
    <w:rsid w:val="001E2669"/>
    <w:rsid w:val="001E3FB9"/>
    <w:rsid w:val="001E4083"/>
    <w:rsid w:val="001E5588"/>
    <w:rsid w:val="001E56CB"/>
    <w:rsid w:val="001E56FC"/>
    <w:rsid w:val="001E574D"/>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A07"/>
    <w:rsid w:val="00202F07"/>
    <w:rsid w:val="00203030"/>
    <w:rsid w:val="00203D45"/>
    <w:rsid w:val="00204F04"/>
    <w:rsid w:val="00205495"/>
    <w:rsid w:val="002061DE"/>
    <w:rsid w:val="002065E2"/>
    <w:rsid w:val="00206C61"/>
    <w:rsid w:val="00206F30"/>
    <w:rsid w:val="002072D8"/>
    <w:rsid w:val="00207616"/>
    <w:rsid w:val="00207F10"/>
    <w:rsid w:val="002112E6"/>
    <w:rsid w:val="00213213"/>
    <w:rsid w:val="002133F2"/>
    <w:rsid w:val="0021457F"/>
    <w:rsid w:val="0021505D"/>
    <w:rsid w:val="0021604B"/>
    <w:rsid w:val="00216545"/>
    <w:rsid w:val="00220227"/>
    <w:rsid w:val="002208CB"/>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5D3F"/>
    <w:rsid w:val="002412D4"/>
    <w:rsid w:val="002415F6"/>
    <w:rsid w:val="0024220D"/>
    <w:rsid w:val="00242BD3"/>
    <w:rsid w:val="00242C02"/>
    <w:rsid w:val="00243155"/>
    <w:rsid w:val="002458DC"/>
    <w:rsid w:val="00246E87"/>
    <w:rsid w:val="00247783"/>
    <w:rsid w:val="0025172C"/>
    <w:rsid w:val="00251900"/>
    <w:rsid w:val="00252CF8"/>
    <w:rsid w:val="00252E2E"/>
    <w:rsid w:val="00253210"/>
    <w:rsid w:val="0025353E"/>
    <w:rsid w:val="00253DE1"/>
    <w:rsid w:val="0025425F"/>
    <w:rsid w:val="00254468"/>
    <w:rsid w:val="0025453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0A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374A"/>
    <w:rsid w:val="002B53D3"/>
    <w:rsid w:val="002B6202"/>
    <w:rsid w:val="002C014C"/>
    <w:rsid w:val="002C060C"/>
    <w:rsid w:val="002C0BA6"/>
    <w:rsid w:val="002C12A7"/>
    <w:rsid w:val="002C2B6F"/>
    <w:rsid w:val="002C314F"/>
    <w:rsid w:val="002C4AD1"/>
    <w:rsid w:val="002C4BF4"/>
    <w:rsid w:val="002C6A6F"/>
    <w:rsid w:val="002C7D29"/>
    <w:rsid w:val="002D0298"/>
    <w:rsid w:val="002D1662"/>
    <w:rsid w:val="002D1DE5"/>
    <w:rsid w:val="002D3506"/>
    <w:rsid w:val="002D3670"/>
    <w:rsid w:val="002D4807"/>
    <w:rsid w:val="002D592F"/>
    <w:rsid w:val="002D5DDC"/>
    <w:rsid w:val="002D5F16"/>
    <w:rsid w:val="002D62F1"/>
    <w:rsid w:val="002D65B8"/>
    <w:rsid w:val="002D6FD8"/>
    <w:rsid w:val="002D727B"/>
    <w:rsid w:val="002D7AC1"/>
    <w:rsid w:val="002D7EAD"/>
    <w:rsid w:val="002E1169"/>
    <w:rsid w:val="002E1218"/>
    <w:rsid w:val="002E28F3"/>
    <w:rsid w:val="002E7615"/>
    <w:rsid w:val="002E7A2A"/>
    <w:rsid w:val="002E7F16"/>
    <w:rsid w:val="002F1425"/>
    <w:rsid w:val="002F2EC8"/>
    <w:rsid w:val="002F3D1D"/>
    <w:rsid w:val="002F4581"/>
    <w:rsid w:val="002F4CE2"/>
    <w:rsid w:val="002F5F6A"/>
    <w:rsid w:val="002F60A4"/>
    <w:rsid w:val="002F6B0C"/>
    <w:rsid w:val="002F77FC"/>
    <w:rsid w:val="003004A6"/>
    <w:rsid w:val="0030129C"/>
    <w:rsid w:val="003013E2"/>
    <w:rsid w:val="00301FE4"/>
    <w:rsid w:val="0030292E"/>
    <w:rsid w:val="00303671"/>
    <w:rsid w:val="00303E3A"/>
    <w:rsid w:val="00305417"/>
    <w:rsid w:val="00306127"/>
    <w:rsid w:val="0030641B"/>
    <w:rsid w:val="003067C8"/>
    <w:rsid w:val="00306C70"/>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1382"/>
    <w:rsid w:val="00334127"/>
    <w:rsid w:val="00335CA6"/>
    <w:rsid w:val="003365F0"/>
    <w:rsid w:val="00336C50"/>
    <w:rsid w:val="00337388"/>
    <w:rsid w:val="0034007D"/>
    <w:rsid w:val="0034307B"/>
    <w:rsid w:val="0034339A"/>
    <w:rsid w:val="003433C7"/>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64A"/>
    <w:rsid w:val="00390FC0"/>
    <w:rsid w:val="003911B2"/>
    <w:rsid w:val="00391AFE"/>
    <w:rsid w:val="00392705"/>
    <w:rsid w:val="00393A79"/>
    <w:rsid w:val="0039419C"/>
    <w:rsid w:val="00395987"/>
    <w:rsid w:val="00396375"/>
    <w:rsid w:val="00396801"/>
    <w:rsid w:val="00396E82"/>
    <w:rsid w:val="003A07FF"/>
    <w:rsid w:val="003A0E26"/>
    <w:rsid w:val="003A146E"/>
    <w:rsid w:val="003A26CD"/>
    <w:rsid w:val="003A37F7"/>
    <w:rsid w:val="003A54E9"/>
    <w:rsid w:val="003A5E7C"/>
    <w:rsid w:val="003A78C7"/>
    <w:rsid w:val="003A7E9A"/>
    <w:rsid w:val="003B15FE"/>
    <w:rsid w:val="003B1C41"/>
    <w:rsid w:val="003B46AD"/>
    <w:rsid w:val="003B5C96"/>
    <w:rsid w:val="003B60CD"/>
    <w:rsid w:val="003B63BE"/>
    <w:rsid w:val="003B65FB"/>
    <w:rsid w:val="003B6A26"/>
    <w:rsid w:val="003B6D8E"/>
    <w:rsid w:val="003C08B8"/>
    <w:rsid w:val="003C218D"/>
    <w:rsid w:val="003C3D89"/>
    <w:rsid w:val="003C3EE2"/>
    <w:rsid w:val="003C4224"/>
    <w:rsid w:val="003C426D"/>
    <w:rsid w:val="003C4877"/>
    <w:rsid w:val="003C4B42"/>
    <w:rsid w:val="003C4E91"/>
    <w:rsid w:val="003C53D8"/>
    <w:rsid w:val="003C6D76"/>
    <w:rsid w:val="003C72F6"/>
    <w:rsid w:val="003D073C"/>
    <w:rsid w:val="003D0791"/>
    <w:rsid w:val="003D1130"/>
    <w:rsid w:val="003D37D4"/>
    <w:rsid w:val="003D47A7"/>
    <w:rsid w:val="003D56B5"/>
    <w:rsid w:val="003D5DCC"/>
    <w:rsid w:val="003D6B84"/>
    <w:rsid w:val="003D71BD"/>
    <w:rsid w:val="003D7D28"/>
    <w:rsid w:val="003E1A49"/>
    <w:rsid w:val="003E2D01"/>
    <w:rsid w:val="003E330E"/>
    <w:rsid w:val="003E3AE3"/>
    <w:rsid w:val="003E5733"/>
    <w:rsid w:val="003E5E27"/>
    <w:rsid w:val="003E6FD2"/>
    <w:rsid w:val="003E788F"/>
    <w:rsid w:val="003E7A97"/>
    <w:rsid w:val="003E7D3A"/>
    <w:rsid w:val="003F0950"/>
    <w:rsid w:val="003F09C9"/>
    <w:rsid w:val="003F2A2D"/>
    <w:rsid w:val="003F4C37"/>
    <w:rsid w:val="003F67AE"/>
    <w:rsid w:val="003F6BBB"/>
    <w:rsid w:val="003F719F"/>
    <w:rsid w:val="0040033D"/>
    <w:rsid w:val="004007E1"/>
    <w:rsid w:val="00400B1F"/>
    <w:rsid w:val="004030B4"/>
    <w:rsid w:val="004032D2"/>
    <w:rsid w:val="00403C4F"/>
    <w:rsid w:val="004058B4"/>
    <w:rsid w:val="00405C45"/>
    <w:rsid w:val="004062EF"/>
    <w:rsid w:val="004062F0"/>
    <w:rsid w:val="00406CB5"/>
    <w:rsid w:val="00406D1C"/>
    <w:rsid w:val="00410B8F"/>
    <w:rsid w:val="00411B03"/>
    <w:rsid w:val="00412057"/>
    <w:rsid w:val="004126C1"/>
    <w:rsid w:val="00413BA5"/>
    <w:rsid w:val="00414FD0"/>
    <w:rsid w:val="00417E93"/>
    <w:rsid w:val="00422A2A"/>
    <w:rsid w:val="00424BB4"/>
    <w:rsid w:val="004258CD"/>
    <w:rsid w:val="004261D2"/>
    <w:rsid w:val="004303D1"/>
    <w:rsid w:val="00433C0A"/>
    <w:rsid w:val="004349FA"/>
    <w:rsid w:val="00436A45"/>
    <w:rsid w:val="004406BD"/>
    <w:rsid w:val="00442FBE"/>
    <w:rsid w:val="004433B1"/>
    <w:rsid w:val="00443571"/>
    <w:rsid w:val="004444E3"/>
    <w:rsid w:val="004447FD"/>
    <w:rsid w:val="00445032"/>
    <w:rsid w:val="004450CB"/>
    <w:rsid w:val="00446967"/>
    <w:rsid w:val="00446AB6"/>
    <w:rsid w:val="00446FDD"/>
    <w:rsid w:val="00450EEE"/>
    <w:rsid w:val="004512B2"/>
    <w:rsid w:val="004528EE"/>
    <w:rsid w:val="00453360"/>
    <w:rsid w:val="00454BF7"/>
    <w:rsid w:val="00456409"/>
    <w:rsid w:val="004569C6"/>
    <w:rsid w:val="00456ADC"/>
    <w:rsid w:val="0045768F"/>
    <w:rsid w:val="00457769"/>
    <w:rsid w:val="00461F6F"/>
    <w:rsid w:val="004627AE"/>
    <w:rsid w:val="0046298E"/>
    <w:rsid w:val="00463951"/>
    <w:rsid w:val="004647BB"/>
    <w:rsid w:val="0046482B"/>
    <w:rsid w:val="004648E0"/>
    <w:rsid w:val="00472043"/>
    <w:rsid w:val="00472F56"/>
    <w:rsid w:val="0047335E"/>
    <w:rsid w:val="00473CA1"/>
    <w:rsid w:val="0047559F"/>
    <w:rsid w:val="0047572C"/>
    <w:rsid w:val="00476407"/>
    <w:rsid w:val="004773F7"/>
    <w:rsid w:val="00481F5F"/>
    <w:rsid w:val="004821D0"/>
    <w:rsid w:val="00482CB2"/>
    <w:rsid w:val="00483D06"/>
    <w:rsid w:val="00484FBF"/>
    <w:rsid w:val="00485A4A"/>
    <w:rsid w:val="00485CF7"/>
    <w:rsid w:val="004862C2"/>
    <w:rsid w:val="004863F7"/>
    <w:rsid w:val="00486FFC"/>
    <w:rsid w:val="00490ED4"/>
    <w:rsid w:val="00491B91"/>
    <w:rsid w:val="00491C21"/>
    <w:rsid w:val="00491C66"/>
    <w:rsid w:val="004935D6"/>
    <w:rsid w:val="00494195"/>
    <w:rsid w:val="004945FB"/>
    <w:rsid w:val="00494F2C"/>
    <w:rsid w:val="00497356"/>
    <w:rsid w:val="004A076F"/>
    <w:rsid w:val="004A0859"/>
    <w:rsid w:val="004A1DC1"/>
    <w:rsid w:val="004A286A"/>
    <w:rsid w:val="004A31A2"/>
    <w:rsid w:val="004A48A7"/>
    <w:rsid w:val="004A655D"/>
    <w:rsid w:val="004B01B1"/>
    <w:rsid w:val="004B08D1"/>
    <w:rsid w:val="004B10E6"/>
    <w:rsid w:val="004B198F"/>
    <w:rsid w:val="004B357D"/>
    <w:rsid w:val="004B3EF6"/>
    <w:rsid w:val="004B46D0"/>
    <w:rsid w:val="004B57B0"/>
    <w:rsid w:val="004B60CE"/>
    <w:rsid w:val="004B61C9"/>
    <w:rsid w:val="004C0B26"/>
    <w:rsid w:val="004C12FE"/>
    <w:rsid w:val="004C1A92"/>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50F"/>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58C3"/>
    <w:rsid w:val="004F6925"/>
    <w:rsid w:val="004F7356"/>
    <w:rsid w:val="00503AE1"/>
    <w:rsid w:val="00503C27"/>
    <w:rsid w:val="00503CA6"/>
    <w:rsid w:val="00503FAE"/>
    <w:rsid w:val="00504DC1"/>
    <w:rsid w:val="00505332"/>
    <w:rsid w:val="00505A57"/>
    <w:rsid w:val="00505D37"/>
    <w:rsid w:val="005104E8"/>
    <w:rsid w:val="005107DB"/>
    <w:rsid w:val="00510DB0"/>
    <w:rsid w:val="005119F6"/>
    <w:rsid w:val="00511B7D"/>
    <w:rsid w:val="00511D00"/>
    <w:rsid w:val="00511D44"/>
    <w:rsid w:val="005137E7"/>
    <w:rsid w:val="00516256"/>
    <w:rsid w:val="005162CF"/>
    <w:rsid w:val="00517A63"/>
    <w:rsid w:val="00517C8D"/>
    <w:rsid w:val="00517FD1"/>
    <w:rsid w:val="005219C8"/>
    <w:rsid w:val="005219E6"/>
    <w:rsid w:val="00521B4A"/>
    <w:rsid w:val="0052212E"/>
    <w:rsid w:val="00522E91"/>
    <w:rsid w:val="0052302D"/>
    <w:rsid w:val="005236A5"/>
    <w:rsid w:val="005246F2"/>
    <w:rsid w:val="005266BD"/>
    <w:rsid w:val="0052772D"/>
    <w:rsid w:val="00530442"/>
    <w:rsid w:val="00534AF0"/>
    <w:rsid w:val="00535060"/>
    <w:rsid w:val="00535738"/>
    <w:rsid w:val="00537CCB"/>
    <w:rsid w:val="005409EB"/>
    <w:rsid w:val="00540F30"/>
    <w:rsid w:val="00541DD2"/>
    <w:rsid w:val="00542BF9"/>
    <w:rsid w:val="00543A63"/>
    <w:rsid w:val="00543AB5"/>
    <w:rsid w:val="00543B38"/>
    <w:rsid w:val="0054575D"/>
    <w:rsid w:val="005457CF"/>
    <w:rsid w:val="00545976"/>
    <w:rsid w:val="0054660F"/>
    <w:rsid w:val="00547580"/>
    <w:rsid w:val="00547628"/>
    <w:rsid w:val="005533C3"/>
    <w:rsid w:val="005536E6"/>
    <w:rsid w:val="00553AC3"/>
    <w:rsid w:val="00553DBA"/>
    <w:rsid w:val="00554335"/>
    <w:rsid w:val="005549BF"/>
    <w:rsid w:val="00555631"/>
    <w:rsid w:val="0055621D"/>
    <w:rsid w:val="0055764D"/>
    <w:rsid w:val="00560C6A"/>
    <w:rsid w:val="00560F85"/>
    <w:rsid w:val="005610A0"/>
    <w:rsid w:val="0056248F"/>
    <w:rsid w:val="00564985"/>
    <w:rsid w:val="00565379"/>
    <w:rsid w:val="005674C3"/>
    <w:rsid w:val="005675CA"/>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0643"/>
    <w:rsid w:val="00581EA7"/>
    <w:rsid w:val="00581FF0"/>
    <w:rsid w:val="005825FC"/>
    <w:rsid w:val="00583220"/>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A39"/>
    <w:rsid w:val="005A0C60"/>
    <w:rsid w:val="005A159B"/>
    <w:rsid w:val="005A1B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869"/>
    <w:rsid w:val="005D459A"/>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CA3"/>
    <w:rsid w:val="005F32BE"/>
    <w:rsid w:val="005F34FB"/>
    <w:rsid w:val="005F39A0"/>
    <w:rsid w:val="005F58BF"/>
    <w:rsid w:val="005F6B68"/>
    <w:rsid w:val="005F6F2E"/>
    <w:rsid w:val="005F7D85"/>
    <w:rsid w:val="006015F9"/>
    <w:rsid w:val="00601A1F"/>
    <w:rsid w:val="00602655"/>
    <w:rsid w:val="00603B68"/>
    <w:rsid w:val="00605297"/>
    <w:rsid w:val="00605CB9"/>
    <w:rsid w:val="00606594"/>
    <w:rsid w:val="006065BF"/>
    <w:rsid w:val="00607C00"/>
    <w:rsid w:val="00610430"/>
    <w:rsid w:val="006105C3"/>
    <w:rsid w:val="00611858"/>
    <w:rsid w:val="00612A77"/>
    <w:rsid w:val="00614EB1"/>
    <w:rsid w:val="00614F67"/>
    <w:rsid w:val="00615277"/>
    <w:rsid w:val="00615519"/>
    <w:rsid w:val="00615700"/>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729"/>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5FC5"/>
    <w:rsid w:val="006575ED"/>
    <w:rsid w:val="006578FD"/>
    <w:rsid w:val="00660060"/>
    <w:rsid w:val="006609AA"/>
    <w:rsid w:val="00660B3E"/>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73F2"/>
    <w:rsid w:val="0069087A"/>
    <w:rsid w:val="00690B4B"/>
    <w:rsid w:val="00690BE4"/>
    <w:rsid w:val="00690EB8"/>
    <w:rsid w:val="00691077"/>
    <w:rsid w:val="00691982"/>
    <w:rsid w:val="00691BB0"/>
    <w:rsid w:val="00692777"/>
    <w:rsid w:val="00692BE0"/>
    <w:rsid w:val="00692C98"/>
    <w:rsid w:val="0069324E"/>
    <w:rsid w:val="00694487"/>
    <w:rsid w:val="00695815"/>
    <w:rsid w:val="0069581B"/>
    <w:rsid w:val="00696601"/>
    <w:rsid w:val="006977FA"/>
    <w:rsid w:val="006A024F"/>
    <w:rsid w:val="006A20FB"/>
    <w:rsid w:val="006A339D"/>
    <w:rsid w:val="006A4462"/>
    <w:rsid w:val="006A5B59"/>
    <w:rsid w:val="006A6A14"/>
    <w:rsid w:val="006A753A"/>
    <w:rsid w:val="006A777C"/>
    <w:rsid w:val="006A7C46"/>
    <w:rsid w:val="006B0F76"/>
    <w:rsid w:val="006B1F20"/>
    <w:rsid w:val="006B2705"/>
    <w:rsid w:val="006B398A"/>
    <w:rsid w:val="006B3E04"/>
    <w:rsid w:val="006B4024"/>
    <w:rsid w:val="006B40E5"/>
    <w:rsid w:val="006B47D7"/>
    <w:rsid w:val="006B499D"/>
    <w:rsid w:val="006B5041"/>
    <w:rsid w:val="006B50C4"/>
    <w:rsid w:val="006B643D"/>
    <w:rsid w:val="006B79A4"/>
    <w:rsid w:val="006C1254"/>
    <w:rsid w:val="006C2DC5"/>
    <w:rsid w:val="006C3FC2"/>
    <w:rsid w:val="006C480B"/>
    <w:rsid w:val="006C570B"/>
    <w:rsid w:val="006C572E"/>
    <w:rsid w:val="006C5997"/>
    <w:rsid w:val="006C5CD2"/>
    <w:rsid w:val="006D0636"/>
    <w:rsid w:val="006D06DC"/>
    <w:rsid w:val="006D0DE4"/>
    <w:rsid w:val="006D6E46"/>
    <w:rsid w:val="006D7FA8"/>
    <w:rsid w:val="006E4601"/>
    <w:rsid w:val="006E5B86"/>
    <w:rsid w:val="006E63FF"/>
    <w:rsid w:val="006E652D"/>
    <w:rsid w:val="006E7572"/>
    <w:rsid w:val="006F15F8"/>
    <w:rsid w:val="006F2F22"/>
    <w:rsid w:val="006F434A"/>
    <w:rsid w:val="006F7974"/>
    <w:rsid w:val="007009FE"/>
    <w:rsid w:val="00700A60"/>
    <w:rsid w:val="007022F8"/>
    <w:rsid w:val="00703A26"/>
    <w:rsid w:val="00705027"/>
    <w:rsid w:val="00710494"/>
    <w:rsid w:val="007117BD"/>
    <w:rsid w:val="00712A2C"/>
    <w:rsid w:val="00715129"/>
    <w:rsid w:val="007154CE"/>
    <w:rsid w:val="00715B25"/>
    <w:rsid w:val="00716020"/>
    <w:rsid w:val="00720860"/>
    <w:rsid w:val="00720C24"/>
    <w:rsid w:val="00720E31"/>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9DF"/>
    <w:rsid w:val="0075642E"/>
    <w:rsid w:val="0075657C"/>
    <w:rsid w:val="00757105"/>
    <w:rsid w:val="007574F5"/>
    <w:rsid w:val="00757A45"/>
    <w:rsid w:val="00757B82"/>
    <w:rsid w:val="0076281A"/>
    <w:rsid w:val="00762ADE"/>
    <w:rsid w:val="00763232"/>
    <w:rsid w:val="0076365D"/>
    <w:rsid w:val="007642DC"/>
    <w:rsid w:val="007660E6"/>
    <w:rsid w:val="007661A9"/>
    <w:rsid w:val="007662C0"/>
    <w:rsid w:val="00766731"/>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5C3"/>
    <w:rsid w:val="00780B1A"/>
    <w:rsid w:val="007810D3"/>
    <w:rsid w:val="0078264A"/>
    <w:rsid w:val="00783D11"/>
    <w:rsid w:val="00785E46"/>
    <w:rsid w:val="00787917"/>
    <w:rsid w:val="00791489"/>
    <w:rsid w:val="00791683"/>
    <w:rsid w:val="00792D68"/>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72DB"/>
    <w:rsid w:val="007B7D2B"/>
    <w:rsid w:val="007C09C4"/>
    <w:rsid w:val="007C25E9"/>
    <w:rsid w:val="007C2F78"/>
    <w:rsid w:val="007C34C5"/>
    <w:rsid w:val="007C4079"/>
    <w:rsid w:val="007C4827"/>
    <w:rsid w:val="007C4A20"/>
    <w:rsid w:val="007D0B7F"/>
    <w:rsid w:val="007D1266"/>
    <w:rsid w:val="007D1B94"/>
    <w:rsid w:val="007D2111"/>
    <w:rsid w:val="007D2DE0"/>
    <w:rsid w:val="007D458D"/>
    <w:rsid w:val="007D4E8C"/>
    <w:rsid w:val="007D524B"/>
    <w:rsid w:val="007D538F"/>
    <w:rsid w:val="007D668A"/>
    <w:rsid w:val="007E09E2"/>
    <w:rsid w:val="007E0FF5"/>
    <w:rsid w:val="007E1012"/>
    <w:rsid w:val="007E17CD"/>
    <w:rsid w:val="007E24ED"/>
    <w:rsid w:val="007E374B"/>
    <w:rsid w:val="007E39DE"/>
    <w:rsid w:val="007E3F53"/>
    <w:rsid w:val="007E7997"/>
    <w:rsid w:val="007E7B47"/>
    <w:rsid w:val="007F04EF"/>
    <w:rsid w:val="007F0989"/>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16B"/>
    <w:rsid w:val="008458BD"/>
    <w:rsid w:val="00846956"/>
    <w:rsid w:val="00846CF1"/>
    <w:rsid w:val="00847622"/>
    <w:rsid w:val="008505B8"/>
    <w:rsid w:val="00851005"/>
    <w:rsid w:val="00851ADD"/>
    <w:rsid w:val="00853F0E"/>
    <w:rsid w:val="00855CA6"/>
    <w:rsid w:val="008573A9"/>
    <w:rsid w:val="00860323"/>
    <w:rsid w:val="00860F4F"/>
    <w:rsid w:val="008610B9"/>
    <w:rsid w:val="00861906"/>
    <w:rsid w:val="00862656"/>
    <w:rsid w:val="00863013"/>
    <w:rsid w:val="00863F67"/>
    <w:rsid w:val="0086483A"/>
    <w:rsid w:val="00866401"/>
    <w:rsid w:val="0087049C"/>
    <w:rsid w:val="00870AAD"/>
    <w:rsid w:val="00870EDE"/>
    <w:rsid w:val="008710F8"/>
    <w:rsid w:val="00871DA0"/>
    <w:rsid w:val="00872030"/>
    <w:rsid w:val="00873973"/>
    <w:rsid w:val="00875814"/>
    <w:rsid w:val="00875C28"/>
    <w:rsid w:val="00875E75"/>
    <w:rsid w:val="0087658F"/>
    <w:rsid w:val="0087762E"/>
    <w:rsid w:val="00877823"/>
    <w:rsid w:val="008803F5"/>
    <w:rsid w:val="008812BF"/>
    <w:rsid w:val="00881341"/>
    <w:rsid w:val="008826DE"/>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909"/>
    <w:rsid w:val="008D5E47"/>
    <w:rsid w:val="008D7C85"/>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E4A"/>
    <w:rsid w:val="008F791D"/>
    <w:rsid w:val="00900959"/>
    <w:rsid w:val="00901900"/>
    <w:rsid w:val="00901B7A"/>
    <w:rsid w:val="00901EE8"/>
    <w:rsid w:val="00901F6C"/>
    <w:rsid w:val="0090266B"/>
    <w:rsid w:val="00902F06"/>
    <w:rsid w:val="009035DB"/>
    <w:rsid w:val="00904671"/>
    <w:rsid w:val="00905BC5"/>
    <w:rsid w:val="009064AA"/>
    <w:rsid w:val="00906E27"/>
    <w:rsid w:val="00907717"/>
    <w:rsid w:val="00907B95"/>
    <w:rsid w:val="0091040B"/>
    <w:rsid w:val="00912257"/>
    <w:rsid w:val="0091347B"/>
    <w:rsid w:val="00913495"/>
    <w:rsid w:val="00913874"/>
    <w:rsid w:val="009163CC"/>
    <w:rsid w:val="0091674C"/>
    <w:rsid w:val="00916862"/>
    <w:rsid w:val="0091686C"/>
    <w:rsid w:val="00916B2A"/>
    <w:rsid w:val="00916D96"/>
    <w:rsid w:val="009174F7"/>
    <w:rsid w:val="00917E76"/>
    <w:rsid w:val="00920167"/>
    <w:rsid w:val="00920F1F"/>
    <w:rsid w:val="00921BB8"/>
    <w:rsid w:val="00921D28"/>
    <w:rsid w:val="00922034"/>
    <w:rsid w:val="0092266C"/>
    <w:rsid w:val="009241E8"/>
    <w:rsid w:val="00925956"/>
    <w:rsid w:val="00925DD2"/>
    <w:rsid w:val="009260C2"/>
    <w:rsid w:val="00926344"/>
    <w:rsid w:val="00926929"/>
    <w:rsid w:val="00926B82"/>
    <w:rsid w:val="00927301"/>
    <w:rsid w:val="00927E9D"/>
    <w:rsid w:val="00931859"/>
    <w:rsid w:val="0093205C"/>
    <w:rsid w:val="009343F5"/>
    <w:rsid w:val="0093456A"/>
    <w:rsid w:val="009345AE"/>
    <w:rsid w:val="00935301"/>
    <w:rsid w:val="00936F64"/>
    <w:rsid w:val="00937B8E"/>
    <w:rsid w:val="009400A2"/>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915"/>
    <w:rsid w:val="00983CEA"/>
    <w:rsid w:val="00984198"/>
    <w:rsid w:val="00984E04"/>
    <w:rsid w:val="00986194"/>
    <w:rsid w:val="009861D2"/>
    <w:rsid w:val="009863CA"/>
    <w:rsid w:val="00986E53"/>
    <w:rsid w:val="00987CE5"/>
    <w:rsid w:val="00991D77"/>
    <w:rsid w:val="00993CF0"/>
    <w:rsid w:val="0099428D"/>
    <w:rsid w:val="009949A7"/>
    <w:rsid w:val="00995CDC"/>
    <w:rsid w:val="009975CA"/>
    <w:rsid w:val="009A099D"/>
    <w:rsid w:val="009A0C15"/>
    <w:rsid w:val="009A1088"/>
    <w:rsid w:val="009A14CB"/>
    <w:rsid w:val="009A1CB4"/>
    <w:rsid w:val="009A27C7"/>
    <w:rsid w:val="009A28B4"/>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57EF"/>
    <w:rsid w:val="009B63B7"/>
    <w:rsid w:val="009B6FD6"/>
    <w:rsid w:val="009B77DD"/>
    <w:rsid w:val="009C0F3A"/>
    <w:rsid w:val="009C1197"/>
    <w:rsid w:val="009C13BF"/>
    <w:rsid w:val="009C2943"/>
    <w:rsid w:val="009C4B2C"/>
    <w:rsid w:val="009C4CB3"/>
    <w:rsid w:val="009C4F15"/>
    <w:rsid w:val="009C511C"/>
    <w:rsid w:val="009C5416"/>
    <w:rsid w:val="009C587B"/>
    <w:rsid w:val="009C64C5"/>
    <w:rsid w:val="009C6F87"/>
    <w:rsid w:val="009C7166"/>
    <w:rsid w:val="009C742C"/>
    <w:rsid w:val="009D0C23"/>
    <w:rsid w:val="009D10D3"/>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3A4"/>
    <w:rsid w:val="009F6807"/>
    <w:rsid w:val="009F68DF"/>
    <w:rsid w:val="009F6A24"/>
    <w:rsid w:val="00A0042C"/>
    <w:rsid w:val="00A00495"/>
    <w:rsid w:val="00A01925"/>
    <w:rsid w:val="00A01DEB"/>
    <w:rsid w:val="00A05391"/>
    <w:rsid w:val="00A06D32"/>
    <w:rsid w:val="00A07545"/>
    <w:rsid w:val="00A13947"/>
    <w:rsid w:val="00A13E2B"/>
    <w:rsid w:val="00A1562A"/>
    <w:rsid w:val="00A15901"/>
    <w:rsid w:val="00A1618E"/>
    <w:rsid w:val="00A161A1"/>
    <w:rsid w:val="00A168D1"/>
    <w:rsid w:val="00A20562"/>
    <w:rsid w:val="00A2064B"/>
    <w:rsid w:val="00A20F75"/>
    <w:rsid w:val="00A212B1"/>
    <w:rsid w:val="00A246B0"/>
    <w:rsid w:val="00A24F8B"/>
    <w:rsid w:val="00A26FFF"/>
    <w:rsid w:val="00A3056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2C14"/>
    <w:rsid w:val="00A53967"/>
    <w:rsid w:val="00A5455C"/>
    <w:rsid w:val="00A545EC"/>
    <w:rsid w:val="00A54C5F"/>
    <w:rsid w:val="00A54D3B"/>
    <w:rsid w:val="00A5578A"/>
    <w:rsid w:val="00A56461"/>
    <w:rsid w:val="00A60368"/>
    <w:rsid w:val="00A60AC2"/>
    <w:rsid w:val="00A61365"/>
    <w:rsid w:val="00A61759"/>
    <w:rsid w:val="00A61B88"/>
    <w:rsid w:val="00A62C70"/>
    <w:rsid w:val="00A636F8"/>
    <w:rsid w:val="00A63982"/>
    <w:rsid w:val="00A648F3"/>
    <w:rsid w:val="00A65845"/>
    <w:rsid w:val="00A65A41"/>
    <w:rsid w:val="00A666AA"/>
    <w:rsid w:val="00A671FC"/>
    <w:rsid w:val="00A71670"/>
    <w:rsid w:val="00A72874"/>
    <w:rsid w:val="00A72C93"/>
    <w:rsid w:val="00A72E48"/>
    <w:rsid w:val="00A7359C"/>
    <w:rsid w:val="00A73616"/>
    <w:rsid w:val="00A7418D"/>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BFD"/>
    <w:rsid w:val="00A93D6F"/>
    <w:rsid w:val="00A95460"/>
    <w:rsid w:val="00A9614E"/>
    <w:rsid w:val="00A963B5"/>
    <w:rsid w:val="00A96FA8"/>
    <w:rsid w:val="00A975FB"/>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0E5"/>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9C"/>
    <w:rsid w:val="00B15D06"/>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6FF3"/>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961"/>
    <w:rsid w:val="00B751C3"/>
    <w:rsid w:val="00B765DE"/>
    <w:rsid w:val="00B76C0D"/>
    <w:rsid w:val="00B77D0D"/>
    <w:rsid w:val="00B80817"/>
    <w:rsid w:val="00B826A5"/>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1BAD"/>
    <w:rsid w:val="00BA2682"/>
    <w:rsid w:val="00BA31E4"/>
    <w:rsid w:val="00BA3959"/>
    <w:rsid w:val="00BA39CB"/>
    <w:rsid w:val="00BA47CC"/>
    <w:rsid w:val="00BA524B"/>
    <w:rsid w:val="00BA54F7"/>
    <w:rsid w:val="00BA576C"/>
    <w:rsid w:val="00BA6205"/>
    <w:rsid w:val="00BA6CE5"/>
    <w:rsid w:val="00BA6F38"/>
    <w:rsid w:val="00BB1388"/>
    <w:rsid w:val="00BB1B2C"/>
    <w:rsid w:val="00BB2683"/>
    <w:rsid w:val="00BB40DF"/>
    <w:rsid w:val="00BB5E2C"/>
    <w:rsid w:val="00BB7D9E"/>
    <w:rsid w:val="00BC16AC"/>
    <w:rsid w:val="00BC2B7B"/>
    <w:rsid w:val="00BC3AE8"/>
    <w:rsid w:val="00BC3AF4"/>
    <w:rsid w:val="00BC3B3B"/>
    <w:rsid w:val="00BC3DD9"/>
    <w:rsid w:val="00BC43A8"/>
    <w:rsid w:val="00BC4DC2"/>
    <w:rsid w:val="00BC5C6D"/>
    <w:rsid w:val="00BC710E"/>
    <w:rsid w:val="00BC7120"/>
    <w:rsid w:val="00BC76A3"/>
    <w:rsid w:val="00BD00D1"/>
    <w:rsid w:val="00BD07A2"/>
    <w:rsid w:val="00BD2603"/>
    <w:rsid w:val="00BD4EEC"/>
    <w:rsid w:val="00BD4F34"/>
    <w:rsid w:val="00BD537C"/>
    <w:rsid w:val="00BD630C"/>
    <w:rsid w:val="00BD6E41"/>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3DA"/>
    <w:rsid w:val="00BF164F"/>
    <w:rsid w:val="00BF1AAF"/>
    <w:rsid w:val="00BF268B"/>
    <w:rsid w:val="00BF29E7"/>
    <w:rsid w:val="00BF4671"/>
    <w:rsid w:val="00BF4740"/>
    <w:rsid w:val="00BF4D03"/>
    <w:rsid w:val="00BF4E85"/>
    <w:rsid w:val="00BF54BD"/>
    <w:rsid w:val="00BF5892"/>
    <w:rsid w:val="00C01804"/>
    <w:rsid w:val="00C026BC"/>
    <w:rsid w:val="00C02AD4"/>
    <w:rsid w:val="00C02AED"/>
    <w:rsid w:val="00C03235"/>
    <w:rsid w:val="00C03869"/>
    <w:rsid w:val="00C07988"/>
    <w:rsid w:val="00C07C5E"/>
    <w:rsid w:val="00C10068"/>
    <w:rsid w:val="00C10AC5"/>
    <w:rsid w:val="00C1225B"/>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0633"/>
    <w:rsid w:val="00C61640"/>
    <w:rsid w:val="00C61AA7"/>
    <w:rsid w:val="00C61B8E"/>
    <w:rsid w:val="00C668DE"/>
    <w:rsid w:val="00C7044F"/>
    <w:rsid w:val="00C720F8"/>
    <w:rsid w:val="00C7294B"/>
    <w:rsid w:val="00C75139"/>
    <w:rsid w:val="00C7525C"/>
    <w:rsid w:val="00C76CF7"/>
    <w:rsid w:val="00C770E4"/>
    <w:rsid w:val="00C7717B"/>
    <w:rsid w:val="00C80598"/>
    <w:rsid w:val="00C81B01"/>
    <w:rsid w:val="00C83A4C"/>
    <w:rsid w:val="00C8533B"/>
    <w:rsid w:val="00C858BA"/>
    <w:rsid w:val="00C85CF0"/>
    <w:rsid w:val="00C86516"/>
    <w:rsid w:val="00C86977"/>
    <w:rsid w:val="00C9143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1F3"/>
    <w:rsid w:val="00CA4503"/>
    <w:rsid w:val="00CA4EED"/>
    <w:rsid w:val="00CA50FC"/>
    <w:rsid w:val="00CA5A66"/>
    <w:rsid w:val="00CA651B"/>
    <w:rsid w:val="00CA796A"/>
    <w:rsid w:val="00CB1BAF"/>
    <w:rsid w:val="00CB2575"/>
    <w:rsid w:val="00CB3677"/>
    <w:rsid w:val="00CB368F"/>
    <w:rsid w:val="00CB4C42"/>
    <w:rsid w:val="00CB4DFA"/>
    <w:rsid w:val="00CB79E4"/>
    <w:rsid w:val="00CB7BD7"/>
    <w:rsid w:val="00CC33BD"/>
    <w:rsid w:val="00CC461B"/>
    <w:rsid w:val="00CC4CB6"/>
    <w:rsid w:val="00CC4DB0"/>
    <w:rsid w:val="00CC5038"/>
    <w:rsid w:val="00CC5326"/>
    <w:rsid w:val="00CC7426"/>
    <w:rsid w:val="00CC7910"/>
    <w:rsid w:val="00CD0C20"/>
    <w:rsid w:val="00CD297A"/>
    <w:rsid w:val="00CD2A87"/>
    <w:rsid w:val="00CD3DB0"/>
    <w:rsid w:val="00CD4129"/>
    <w:rsid w:val="00CD5DBB"/>
    <w:rsid w:val="00CD675D"/>
    <w:rsid w:val="00CD67E7"/>
    <w:rsid w:val="00CD7388"/>
    <w:rsid w:val="00CE130A"/>
    <w:rsid w:val="00CE23CD"/>
    <w:rsid w:val="00CE247A"/>
    <w:rsid w:val="00CE2A1A"/>
    <w:rsid w:val="00CE2F05"/>
    <w:rsid w:val="00CE4A51"/>
    <w:rsid w:val="00CE4B2D"/>
    <w:rsid w:val="00CE4F80"/>
    <w:rsid w:val="00CE50E4"/>
    <w:rsid w:val="00CE51E8"/>
    <w:rsid w:val="00CE56A1"/>
    <w:rsid w:val="00CE6201"/>
    <w:rsid w:val="00CE641D"/>
    <w:rsid w:val="00CE64A5"/>
    <w:rsid w:val="00CE669E"/>
    <w:rsid w:val="00CE66B5"/>
    <w:rsid w:val="00CE6BFE"/>
    <w:rsid w:val="00CE7031"/>
    <w:rsid w:val="00CE7258"/>
    <w:rsid w:val="00CF0B9B"/>
    <w:rsid w:val="00CF0F7C"/>
    <w:rsid w:val="00CF13B8"/>
    <w:rsid w:val="00CF285E"/>
    <w:rsid w:val="00CF3739"/>
    <w:rsid w:val="00CF3BD5"/>
    <w:rsid w:val="00CF5597"/>
    <w:rsid w:val="00CF57B4"/>
    <w:rsid w:val="00CF5CA5"/>
    <w:rsid w:val="00CF658A"/>
    <w:rsid w:val="00CF66B6"/>
    <w:rsid w:val="00D007D6"/>
    <w:rsid w:val="00D0101C"/>
    <w:rsid w:val="00D01A9F"/>
    <w:rsid w:val="00D01CED"/>
    <w:rsid w:val="00D01E38"/>
    <w:rsid w:val="00D022B5"/>
    <w:rsid w:val="00D03546"/>
    <w:rsid w:val="00D039B5"/>
    <w:rsid w:val="00D04AA9"/>
    <w:rsid w:val="00D04F76"/>
    <w:rsid w:val="00D053D2"/>
    <w:rsid w:val="00D07D07"/>
    <w:rsid w:val="00D10F87"/>
    <w:rsid w:val="00D1149D"/>
    <w:rsid w:val="00D11B8E"/>
    <w:rsid w:val="00D11D8D"/>
    <w:rsid w:val="00D11E11"/>
    <w:rsid w:val="00D12B12"/>
    <w:rsid w:val="00D12DD7"/>
    <w:rsid w:val="00D13A8C"/>
    <w:rsid w:val="00D149E1"/>
    <w:rsid w:val="00D14A44"/>
    <w:rsid w:val="00D15BCC"/>
    <w:rsid w:val="00D1628F"/>
    <w:rsid w:val="00D16338"/>
    <w:rsid w:val="00D21D89"/>
    <w:rsid w:val="00D22522"/>
    <w:rsid w:val="00D22657"/>
    <w:rsid w:val="00D228DF"/>
    <w:rsid w:val="00D23557"/>
    <w:rsid w:val="00D2427F"/>
    <w:rsid w:val="00D24BB7"/>
    <w:rsid w:val="00D2506D"/>
    <w:rsid w:val="00D263AE"/>
    <w:rsid w:val="00D27855"/>
    <w:rsid w:val="00D27E5A"/>
    <w:rsid w:val="00D3052B"/>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362"/>
    <w:rsid w:val="00D44425"/>
    <w:rsid w:val="00D44FC8"/>
    <w:rsid w:val="00D45D8F"/>
    <w:rsid w:val="00D47F75"/>
    <w:rsid w:val="00D50332"/>
    <w:rsid w:val="00D52B95"/>
    <w:rsid w:val="00D5362B"/>
    <w:rsid w:val="00D53A09"/>
    <w:rsid w:val="00D54AAB"/>
    <w:rsid w:val="00D552F9"/>
    <w:rsid w:val="00D56EDF"/>
    <w:rsid w:val="00D56F08"/>
    <w:rsid w:val="00D57035"/>
    <w:rsid w:val="00D57361"/>
    <w:rsid w:val="00D61406"/>
    <w:rsid w:val="00D61541"/>
    <w:rsid w:val="00D61575"/>
    <w:rsid w:val="00D621B7"/>
    <w:rsid w:val="00D62283"/>
    <w:rsid w:val="00D6294E"/>
    <w:rsid w:val="00D63C9A"/>
    <w:rsid w:val="00D640BC"/>
    <w:rsid w:val="00D654D5"/>
    <w:rsid w:val="00D65A9D"/>
    <w:rsid w:val="00D65CB5"/>
    <w:rsid w:val="00D66ACD"/>
    <w:rsid w:val="00D677BB"/>
    <w:rsid w:val="00D70544"/>
    <w:rsid w:val="00D71463"/>
    <w:rsid w:val="00D7194A"/>
    <w:rsid w:val="00D72AE4"/>
    <w:rsid w:val="00D73026"/>
    <w:rsid w:val="00D73FA1"/>
    <w:rsid w:val="00D7469D"/>
    <w:rsid w:val="00D7550B"/>
    <w:rsid w:val="00D75EEB"/>
    <w:rsid w:val="00D75F1E"/>
    <w:rsid w:val="00D77168"/>
    <w:rsid w:val="00D80CAC"/>
    <w:rsid w:val="00D80F5F"/>
    <w:rsid w:val="00D80F87"/>
    <w:rsid w:val="00D812A5"/>
    <w:rsid w:val="00D823DF"/>
    <w:rsid w:val="00D82A5C"/>
    <w:rsid w:val="00D82D11"/>
    <w:rsid w:val="00D83CD3"/>
    <w:rsid w:val="00D83E51"/>
    <w:rsid w:val="00D84043"/>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144"/>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A41"/>
    <w:rsid w:val="00DC0D57"/>
    <w:rsid w:val="00DC16F7"/>
    <w:rsid w:val="00DC1CA3"/>
    <w:rsid w:val="00DC2641"/>
    <w:rsid w:val="00DC2B1E"/>
    <w:rsid w:val="00DC2B26"/>
    <w:rsid w:val="00DC7481"/>
    <w:rsid w:val="00DC7591"/>
    <w:rsid w:val="00DD0839"/>
    <w:rsid w:val="00DD08EF"/>
    <w:rsid w:val="00DD20E5"/>
    <w:rsid w:val="00DD26D0"/>
    <w:rsid w:val="00DD47D5"/>
    <w:rsid w:val="00DD6729"/>
    <w:rsid w:val="00DD7960"/>
    <w:rsid w:val="00DD7973"/>
    <w:rsid w:val="00DD7B0D"/>
    <w:rsid w:val="00DE1F29"/>
    <w:rsid w:val="00DE2306"/>
    <w:rsid w:val="00DE3FA7"/>
    <w:rsid w:val="00DE3FEB"/>
    <w:rsid w:val="00DE4905"/>
    <w:rsid w:val="00DE510C"/>
    <w:rsid w:val="00DE7822"/>
    <w:rsid w:val="00DE7DD7"/>
    <w:rsid w:val="00DF081A"/>
    <w:rsid w:val="00DF265D"/>
    <w:rsid w:val="00DF2EB0"/>
    <w:rsid w:val="00DF31C1"/>
    <w:rsid w:val="00DF427A"/>
    <w:rsid w:val="00DF45C5"/>
    <w:rsid w:val="00DF5A8C"/>
    <w:rsid w:val="00DF5ADF"/>
    <w:rsid w:val="00DF71D8"/>
    <w:rsid w:val="00E00CCA"/>
    <w:rsid w:val="00E01623"/>
    <w:rsid w:val="00E03A90"/>
    <w:rsid w:val="00E03FE3"/>
    <w:rsid w:val="00E06951"/>
    <w:rsid w:val="00E10C94"/>
    <w:rsid w:val="00E10EC4"/>
    <w:rsid w:val="00E118D7"/>
    <w:rsid w:val="00E13F46"/>
    <w:rsid w:val="00E15BD4"/>
    <w:rsid w:val="00E16458"/>
    <w:rsid w:val="00E16FB6"/>
    <w:rsid w:val="00E17001"/>
    <w:rsid w:val="00E17814"/>
    <w:rsid w:val="00E17CEF"/>
    <w:rsid w:val="00E20FBC"/>
    <w:rsid w:val="00E2113B"/>
    <w:rsid w:val="00E244CA"/>
    <w:rsid w:val="00E2512D"/>
    <w:rsid w:val="00E2548C"/>
    <w:rsid w:val="00E2662B"/>
    <w:rsid w:val="00E266C4"/>
    <w:rsid w:val="00E26736"/>
    <w:rsid w:val="00E268AC"/>
    <w:rsid w:val="00E26B78"/>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0C3"/>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62F"/>
    <w:rsid w:val="00E609FF"/>
    <w:rsid w:val="00E61AA8"/>
    <w:rsid w:val="00E6247F"/>
    <w:rsid w:val="00E62C7F"/>
    <w:rsid w:val="00E62E59"/>
    <w:rsid w:val="00E63E99"/>
    <w:rsid w:val="00E6454D"/>
    <w:rsid w:val="00E64793"/>
    <w:rsid w:val="00E65301"/>
    <w:rsid w:val="00E65702"/>
    <w:rsid w:val="00E6598A"/>
    <w:rsid w:val="00E667A7"/>
    <w:rsid w:val="00E679B3"/>
    <w:rsid w:val="00E70DE8"/>
    <w:rsid w:val="00E7190A"/>
    <w:rsid w:val="00E71CAD"/>
    <w:rsid w:val="00E71E5C"/>
    <w:rsid w:val="00E7245E"/>
    <w:rsid w:val="00E73831"/>
    <w:rsid w:val="00E73B66"/>
    <w:rsid w:val="00E7498E"/>
    <w:rsid w:val="00E74BB9"/>
    <w:rsid w:val="00E74FF5"/>
    <w:rsid w:val="00E7584A"/>
    <w:rsid w:val="00E760D0"/>
    <w:rsid w:val="00E763B4"/>
    <w:rsid w:val="00E76D85"/>
    <w:rsid w:val="00E77592"/>
    <w:rsid w:val="00E77C2E"/>
    <w:rsid w:val="00E80A1A"/>
    <w:rsid w:val="00E82076"/>
    <w:rsid w:val="00E8292A"/>
    <w:rsid w:val="00E82DE7"/>
    <w:rsid w:val="00E84116"/>
    <w:rsid w:val="00E84C5C"/>
    <w:rsid w:val="00E85533"/>
    <w:rsid w:val="00E86343"/>
    <w:rsid w:val="00E866CD"/>
    <w:rsid w:val="00E877ED"/>
    <w:rsid w:val="00E901FD"/>
    <w:rsid w:val="00E91964"/>
    <w:rsid w:val="00E91E22"/>
    <w:rsid w:val="00E91FB1"/>
    <w:rsid w:val="00E92A3F"/>
    <w:rsid w:val="00E94468"/>
    <w:rsid w:val="00E94A0E"/>
    <w:rsid w:val="00E95624"/>
    <w:rsid w:val="00E96226"/>
    <w:rsid w:val="00E96C9F"/>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BBC"/>
    <w:rsid w:val="00EC2D7D"/>
    <w:rsid w:val="00EC36AD"/>
    <w:rsid w:val="00EC3BCF"/>
    <w:rsid w:val="00EC4ECC"/>
    <w:rsid w:val="00EC56B1"/>
    <w:rsid w:val="00EC664F"/>
    <w:rsid w:val="00EC6749"/>
    <w:rsid w:val="00EC72F5"/>
    <w:rsid w:val="00EC7334"/>
    <w:rsid w:val="00ED0886"/>
    <w:rsid w:val="00ED1877"/>
    <w:rsid w:val="00ED247F"/>
    <w:rsid w:val="00ED27E4"/>
    <w:rsid w:val="00ED2F27"/>
    <w:rsid w:val="00ED3370"/>
    <w:rsid w:val="00ED4D96"/>
    <w:rsid w:val="00ED5A40"/>
    <w:rsid w:val="00ED5F21"/>
    <w:rsid w:val="00ED602C"/>
    <w:rsid w:val="00ED62B5"/>
    <w:rsid w:val="00ED6DDB"/>
    <w:rsid w:val="00ED7985"/>
    <w:rsid w:val="00EE03C5"/>
    <w:rsid w:val="00EE270D"/>
    <w:rsid w:val="00EE6989"/>
    <w:rsid w:val="00EE6C77"/>
    <w:rsid w:val="00EE7604"/>
    <w:rsid w:val="00EE7912"/>
    <w:rsid w:val="00EE7915"/>
    <w:rsid w:val="00EF0465"/>
    <w:rsid w:val="00EF13C5"/>
    <w:rsid w:val="00EF16D8"/>
    <w:rsid w:val="00EF28EF"/>
    <w:rsid w:val="00EF2C71"/>
    <w:rsid w:val="00EF2EB9"/>
    <w:rsid w:val="00EF40E7"/>
    <w:rsid w:val="00EF4529"/>
    <w:rsid w:val="00EF5B34"/>
    <w:rsid w:val="00EF657C"/>
    <w:rsid w:val="00EF6DD8"/>
    <w:rsid w:val="00EF7CC0"/>
    <w:rsid w:val="00F004D1"/>
    <w:rsid w:val="00F00C0D"/>
    <w:rsid w:val="00F0128B"/>
    <w:rsid w:val="00F02663"/>
    <w:rsid w:val="00F0289F"/>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438"/>
    <w:rsid w:val="00F31570"/>
    <w:rsid w:val="00F31D69"/>
    <w:rsid w:val="00F33050"/>
    <w:rsid w:val="00F33355"/>
    <w:rsid w:val="00F33ADE"/>
    <w:rsid w:val="00F34363"/>
    <w:rsid w:val="00F34CE9"/>
    <w:rsid w:val="00F354B9"/>
    <w:rsid w:val="00F35705"/>
    <w:rsid w:val="00F35B93"/>
    <w:rsid w:val="00F3795D"/>
    <w:rsid w:val="00F37CFD"/>
    <w:rsid w:val="00F37D33"/>
    <w:rsid w:val="00F40178"/>
    <w:rsid w:val="00F40DB9"/>
    <w:rsid w:val="00F40ED1"/>
    <w:rsid w:val="00F415A3"/>
    <w:rsid w:val="00F41778"/>
    <w:rsid w:val="00F41B3E"/>
    <w:rsid w:val="00F42070"/>
    <w:rsid w:val="00F421D1"/>
    <w:rsid w:val="00F42F74"/>
    <w:rsid w:val="00F4323B"/>
    <w:rsid w:val="00F43B8E"/>
    <w:rsid w:val="00F44807"/>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001"/>
    <w:rsid w:val="00F71430"/>
    <w:rsid w:val="00F71A8A"/>
    <w:rsid w:val="00F71CAC"/>
    <w:rsid w:val="00F75896"/>
    <w:rsid w:val="00F76666"/>
    <w:rsid w:val="00F76ECB"/>
    <w:rsid w:val="00F76EF7"/>
    <w:rsid w:val="00F776B7"/>
    <w:rsid w:val="00F77758"/>
    <w:rsid w:val="00F77BDB"/>
    <w:rsid w:val="00F8031F"/>
    <w:rsid w:val="00F80C5C"/>
    <w:rsid w:val="00F80D95"/>
    <w:rsid w:val="00F818A5"/>
    <w:rsid w:val="00F8197C"/>
    <w:rsid w:val="00F8465D"/>
    <w:rsid w:val="00F848B3"/>
    <w:rsid w:val="00F84F4C"/>
    <w:rsid w:val="00F85755"/>
    <w:rsid w:val="00F86A0B"/>
    <w:rsid w:val="00F87431"/>
    <w:rsid w:val="00F8765C"/>
    <w:rsid w:val="00F87A53"/>
    <w:rsid w:val="00F87D6A"/>
    <w:rsid w:val="00F9031B"/>
    <w:rsid w:val="00F91DA4"/>
    <w:rsid w:val="00F92728"/>
    <w:rsid w:val="00F937AF"/>
    <w:rsid w:val="00F94494"/>
    <w:rsid w:val="00F96473"/>
    <w:rsid w:val="00F96483"/>
    <w:rsid w:val="00F9648C"/>
    <w:rsid w:val="00F96671"/>
    <w:rsid w:val="00F9680E"/>
    <w:rsid w:val="00F96E21"/>
    <w:rsid w:val="00F9764E"/>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7D90"/>
    <w:rsid w:val="00FC7EA8"/>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22A"/>
    <w:rsid w:val="00FE3B37"/>
    <w:rsid w:val="00FE4B40"/>
    <w:rsid w:val="00FE5DC4"/>
    <w:rsid w:val="00FE6DDA"/>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0367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0367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wipo.int/amc/en/domains/cctld" TargetMode="External"/><Relationship Id="rId7" Type="http://schemas.openxmlformats.org/officeDocument/2006/relationships/hyperlink" Target="http://www.icann.org/en/news/correspondence/crocker-to-dryden-01apr13-en" TargetMode="External"/><Relationship Id="rId2" Type="http://schemas.openxmlformats.org/officeDocument/2006/relationships/hyperlink" Target="http://www.oepm.es/es/propiedad_industrial/transferencia_de_tecnologia/Modelos_de_Contratos/index.html" TargetMode="External"/><Relationship Id="rId1" Type="http://schemas.openxmlformats.org/officeDocument/2006/relationships/hyperlink" Target="http://www.wipo.int/edocs/mdocs/govbody/en/wo_ga_48/wo_ga_48_12_rev.pdf" TargetMode="External"/><Relationship Id="rId6" Type="http://schemas.openxmlformats.org/officeDocument/2006/relationships/hyperlink" Target="https://gacweb.icann.org/download/attachments/27132070/FINAL_Toronto_Communique_20121017.pdf?version=1&amp;modificationDate=1354149148000&amp;api=v2" TargetMode="External"/><Relationship Id="rId5" Type="http://schemas.openxmlformats.org/officeDocument/2006/relationships/hyperlink" Target="http://toronto45.icann.org/node/34325" TargetMode="External"/><Relationship Id="rId4" Type="http://schemas.openxmlformats.org/officeDocument/2006/relationships/hyperlink" Target="http://prague44.icann.org/node/31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8C124-CECD-46B9-A22A-27974928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13</Pages>
  <Words>4221</Words>
  <Characters>22819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WO/GA/49/-- (Arabic)</vt:lpstr>
    </vt:vector>
  </TitlesOfParts>
  <Company>World Intellectual Property Organization</Company>
  <LinksUpToDate>false</LinksUpToDate>
  <CharactersWithSpaces>26987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 (Arabic)</dc:title>
  <dc:creator>Ahmed Hassan</dc:creator>
  <cp:lastModifiedBy>NA</cp:lastModifiedBy>
  <cp:revision>23</cp:revision>
  <cp:lastPrinted>2017-07-18T07:31:00Z</cp:lastPrinted>
  <dcterms:created xsi:type="dcterms:W3CDTF">2017-07-13T15:38:00Z</dcterms:created>
  <dcterms:modified xsi:type="dcterms:W3CDTF">2017-07-18T07:32:00Z</dcterms:modified>
</cp:coreProperties>
</file>