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1591FE8" wp14:editId="0329EC1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1E574D">
            <w:pPr>
              <w:pStyle w:val="DocumentCodeAR"/>
              <w:bidi/>
            </w:pPr>
            <w:r>
              <w:t>WO/</w:t>
            </w:r>
            <w:r w:rsidR="0059089F">
              <w:t>GA</w:t>
            </w:r>
            <w:r w:rsidR="00100F97">
              <w:t>/</w:t>
            </w:r>
            <w:r w:rsidR="009B48E3">
              <w:t>4</w:t>
            </w:r>
            <w:r w:rsidR="001E574D">
              <w:t>9</w:t>
            </w:r>
            <w:r w:rsidR="00B6101C" w:rsidRPr="00B6101C">
              <w:t>/</w:t>
            </w:r>
            <w:r w:rsidR="005077A6">
              <w:t>13</w:t>
            </w:r>
          </w:p>
        </w:tc>
      </w:tr>
      <w:tr w:rsidR="001667B6" w:rsidTr="00BF164F">
        <w:tc>
          <w:tcPr>
            <w:tcW w:w="9571" w:type="dxa"/>
            <w:gridSpan w:val="3"/>
          </w:tcPr>
          <w:p w:rsidR="001667B6" w:rsidRPr="00B6101C" w:rsidRDefault="005077A6" w:rsidP="00FB7EC9">
            <w:pPr>
              <w:pStyle w:val="DocumentLanguageAR"/>
              <w:bidi/>
              <w:rPr>
                <w:rtl/>
                <w:lang w:bidi="ar-EG"/>
              </w:rPr>
            </w:pPr>
            <w:r>
              <w:rPr>
                <w:rFonts w:hint="cs"/>
                <w:rtl/>
              </w:rPr>
              <w:t xml:space="preserve">الأصل: </w:t>
            </w:r>
            <w:proofErr w:type="gramStart"/>
            <w:r>
              <w:rPr>
                <w:rFonts w:hint="cs"/>
                <w:rtl/>
              </w:rPr>
              <w:t>بالإنكليزية</w:t>
            </w:r>
            <w:proofErr w:type="gramEnd"/>
          </w:p>
        </w:tc>
      </w:tr>
      <w:tr w:rsidR="001667B6" w:rsidTr="00BF164F">
        <w:tc>
          <w:tcPr>
            <w:tcW w:w="9571" w:type="dxa"/>
            <w:gridSpan w:val="3"/>
          </w:tcPr>
          <w:p w:rsidR="001667B6" w:rsidRPr="00B6101C" w:rsidRDefault="00B6101C" w:rsidP="005077A6">
            <w:pPr>
              <w:pStyle w:val="DocumentDateAR"/>
              <w:bidi/>
              <w:rPr>
                <w:rtl/>
              </w:rPr>
            </w:pPr>
            <w:r w:rsidRPr="00B6101C">
              <w:rPr>
                <w:rFonts w:hint="cs"/>
                <w:rtl/>
              </w:rPr>
              <w:t xml:space="preserve">التاريخ: </w:t>
            </w:r>
            <w:r w:rsidR="005077A6">
              <w:rPr>
                <w:rFonts w:hint="cs"/>
                <w:rtl/>
              </w:rPr>
              <w:t xml:space="preserve">25 </w:t>
            </w:r>
            <w:proofErr w:type="gramStart"/>
            <w:r w:rsidR="005077A6">
              <w:rPr>
                <w:rFonts w:hint="cs"/>
                <w:rtl/>
              </w:rPr>
              <w:t>سبتمبر</w:t>
            </w:r>
            <w:proofErr w:type="gramEnd"/>
            <w:r w:rsidR="005077A6">
              <w:rPr>
                <w:rFonts w:hint="cs"/>
                <w:rtl/>
              </w:rPr>
              <w:t xml:space="preserve"> </w:t>
            </w:r>
            <w:r w:rsidR="001E574D">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1E574D">
      <w:pPr>
        <w:pStyle w:val="MeetingSessionAR"/>
        <w:bidi/>
        <w:rPr>
          <w:rFonts w:ascii="Cambria Math" w:hAnsi="Cambria Math"/>
          <w:rtl/>
        </w:rPr>
      </w:pPr>
      <w:r w:rsidRPr="0059089F">
        <w:rPr>
          <w:rFonts w:ascii="Cambria Math" w:hAnsi="Cambria Math"/>
          <w:rtl/>
        </w:rPr>
        <w:t xml:space="preserve">الدورة </w:t>
      </w:r>
      <w:r w:rsidR="001E574D">
        <w:rPr>
          <w:rFonts w:ascii="Cambria Math" w:hAnsi="Cambria Math" w:hint="cs"/>
          <w:rtl/>
        </w:rPr>
        <w:t>التاسعة</w:t>
      </w:r>
      <w:r w:rsidR="00F03C3E">
        <w:rPr>
          <w:rFonts w:ascii="Cambria Math" w:hAnsi="Cambria Math" w:hint="cs"/>
          <w:rtl/>
        </w:rPr>
        <w:t xml:space="preserve"> </w:t>
      </w:r>
      <w:r w:rsidRPr="0059089F">
        <w:rPr>
          <w:rFonts w:ascii="Cambria Math" w:hAnsi="Cambria Math"/>
          <w:rtl/>
        </w:rPr>
        <w:t xml:space="preserve">والأربعون (الدورة </w:t>
      </w:r>
      <w:r w:rsidR="001E574D">
        <w:rPr>
          <w:rFonts w:ascii="Cambria Math" w:hAnsi="Cambria Math" w:hint="cs"/>
          <w:rtl/>
        </w:rPr>
        <w:t>العادية</w:t>
      </w:r>
      <w:r w:rsidR="009B48E3">
        <w:rPr>
          <w:rFonts w:ascii="Cambria Math" w:hAnsi="Cambria Math" w:hint="cs"/>
          <w:rtl/>
        </w:rPr>
        <w:t xml:space="preserve"> </w:t>
      </w:r>
      <w:r w:rsidR="001E574D">
        <w:rPr>
          <w:rFonts w:ascii="Cambria Math" w:hAnsi="Cambria Math" w:hint="cs"/>
          <w:rtl/>
        </w:rPr>
        <w:t>الثالثة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1E574D">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w:t>
      </w:r>
      <w:r w:rsidR="001E574D">
        <w:rPr>
          <w:rFonts w:hint="cs"/>
          <w:rtl/>
        </w:rPr>
        <w:t>2 إلى 11 أكتوبر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077A6" w:rsidP="005077A6">
      <w:pPr>
        <w:pStyle w:val="DocumentTitleAR"/>
        <w:bidi/>
        <w:rPr>
          <w:rtl/>
        </w:rPr>
      </w:pPr>
      <w:r>
        <w:rPr>
          <w:rFonts w:hint="cs"/>
          <w:rtl/>
        </w:rPr>
        <w:t xml:space="preserve">تقرير </w:t>
      </w:r>
      <w:r w:rsidRPr="005077A6">
        <w:rPr>
          <w:rtl/>
        </w:rPr>
        <w:t>عن اللجنة الاستشارية المعنية بالإنفاذ</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5077A6">
        <w:rPr>
          <w:rFonts w:hint="cs"/>
          <w:rtl/>
        </w:rPr>
        <w:t xml:space="preserve"> الأمانة</w:t>
      </w:r>
    </w:p>
    <w:p w:rsidR="005077A6" w:rsidRDefault="005077A6" w:rsidP="005077A6">
      <w:pPr>
        <w:pStyle w:val="NumberedParaAR"/>
      </w:pPr>
      <w:r w:rsidRPr="005077A6">
        <w:rPr>
          <w:rtl/>
        </w:rPr>
        <w:t xml:space="preserve">خلال الفترة </w:t>
      </w:r>
      <w:r>
        <w:rPr>
          <w:rFonts w:hint="cs"/>
          <w:rtl/>
        </w:rPr>
        <w:t>المشمولة بهذا التقرير</w:t>
      </w:r>
      <w:r w:rsidRPr="005077A6">
        <w:rPr>
          <w:rtl/>
        </w:rPr>
        <w:t>، عقدت اللجنة الاستشارية المعنية بالإنفاذ (اللجنة) دورتها ال</w:t>
      </w:r>
      <w:r>
        <w:rPr>
          <w:rFonts w:hint="cs"/>
          <w:rtl/>
        </w:rPr>
        <w:t>ثانية عشرة</w:t>
      </w:r>
      <w:r w:rsidRPr="005077A6">
        <w:rPr>
          <w:rtl/>
        </w:rPr>
        <w:t xml:space="preserve"> في الفترة من </w:t>
      </w:r>
      <w:r>
        <w:rPr>
          <w:rFonts w:hint="cs"/>
          <w:rtl/>
        </w:rPr>
        <w:t xml:space="preserve">4 إلى 6 سبتمبر 2017 برئاسة السيد </w:t>
      </w:r>
      <w:proofErr w:type="spellStart"/>
      <w:r w:rsidRPr="005077A6">
        <w:rPr>
          <w:rtl/>
        </w:rPr>
        <w:t>هكتور</w:t>
      </w:r>
      <w:proofErr w:type="spellEnd"/>
      <w:r>
        <w:rPr>
          <w:rFonts w:hint="cs"/>
          <w:rtl/>
        </w:rPr>
        <w:t xml:space="preserve"> مانويل</w:t>
      </w:r>
      <w:r w:rsidRPr="005077A6">
        <w:rPr>
          <w:rtl/>
        </w:rPr>
        <w:t xml:space="preserve"> </w:t>
      </w:r>
      <w:proofErr w:type="spellStart"/>
      <w:r w:rsidRPr="005077A6">
        <w:rPr>
          <w:rtl/>
        </w:rPr>
        <w:t>بالماسيدا</w:t>
      </w:r>
      <w:proofErr w:type="spellEnd"/>
      <w:r w:rsidRPr="005077A6">
        <w:rPr>
          <w:rtl/>
        </w:rPr>
        <w:t xml:space="preserve"> </w:t>
      </w:r>
      <w:proofErr w:type="spellStart"/>
      <w:r w:rsidRPr="005077A6">
        <w:rPr>
          <w:rtl/>
        </w:rPr>
        <w:t>غودوي</w:t>
      </w:r>
      <w:proofErr w:type="spellEnd"/>
      <w:r>
        <w:rPr>
          <w:rFonts w:hint="cs"/>
          <w:rtl/>
        </w:rPr>
        <w:t xml:space="preserve"> (باراغواي).</w:t>
      </w:r>
    </w:p>
    <w:p w:rsidR="005077A6" w:rsidRDefault="005077A6" w:rsidP="005077A6">
      <w:pPr>
        <w:pStyle w:val="NumberedParaAR"/>
      </w:pPr>
      <w:r>
        <w:rPr>
          <w:rFonts w:hint="cs"/>
          <w:rtl/>
        </w:rPr>
        <w:t xml:space="preserve">وتناولت الدورة الثانية </w:t>
      </w:r>
      <w:proofErr w:type="gramStart"/>
      <w:r>
        <w:rPr>
          <w:rFonts w:hint="cs"/>
          <w:rtl/>
        </w:rPr>
        <w:t>عشرة</w:t>
      </w:r>
      <w:proofErr w:type="gramEnd"/>
      <w:r>
        <w:rPr>
          <w:rFonts w:hint="cs"/>
          <w:rtl/>
        </w:rPr>
        <w:t xml:space="preserve"> برنامج العمل التالي:</w:t>
      </w:r>
    </w:p>
    <w:p w:rsidR="00CB79E4" w:rsidRDefault="005077A6" w:rsidP="005077A6">
      <w:pPr>
        <w:pStyle w:val="NormalParaAR"/>
        <w:numPr>
          <w:ilvl w:val="0"/>
          <w:numId w:val="22"/>
        </w:numPr>
        <w:ind w:left="1134" w:hanging="567"/>
      </w:pPr>
      <w:r w:rsidRPr="005077A6">
        <w:rPr>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r>
        <w:rPr>
          <w:rFonts w:hint="cs"/>
          <w:rtl/>
        </w:rPr>
        <w:t>؛</w:t>
      </w:r>
    </w:p>
    <w:p w:rsidR="004B357D" w:rsidRDefault="005077A6" w:rsidP="005077A6">
      <w:pPr>
        <w:pStyle w:val="NormalParaAR"/>
        <w:numPr>
          <w:ilvl w:val="0"/>
          <w:numId w:val="22"/>
        </w:numPr>
        <w:ind w:left="1134" w:hanging="567"/>
      </w:pPr>
      <w:r w:rsidRPr="005077A6">
        <w:rPr>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p>
    <w:p w:rsidR="005077A6" w:rsidRDefault="005077A6" w:rsidP="005077A6">
      <w:pPr>
        <w:pStyle w:val="NormalParaAR"/>
        <w:numPr>
          <w:ilvl w:val="0"/>
          <w:numId w:val="22"/>
        </w:numPr>
        <w:ind w:left="1134" w:hanging="567"/>
      </w:pPr>
      <w:r w:rsidRPr="005077A6">
        <w:rPr>
          <w:rtl/>
        </w:rPr>
        <w:t xml:space="preserve">تبادل المعلومات حول التجارب الوطنية الخاصة بالمساعدة التشريعية التي تقدمها </w:t>
      </w:r>
      <w:r>
        <w:rPr>
          <w:rFonts w:hint="cs"/>
          <w:rtl/>
        </w:rPr>
        <w:t>المنظمة العالمية للملكية الفكرية (</w:t>
      </w:r>
      <w:r w:rsidRPr="005077A6">
        <w:rPr>
          <w:rtl/>
        </w:rPr>
        <w:t>الويبو</w:t>
      </w:r>
      <w:r>
        <w:rPr>
          <w:rFonts w:hint="cs"/>
          <w:rtl/>
        </w:rPr>
        <w:t>)</w:t>
      </w:r>
      <w:r w:rsidRPr="005077A6">
        <w:rPr>
          <w:rtl/>
        </w:rPr>
        <w:t>،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p>
    <w:p w:rsidR="005077A6" w:rsidRDefault="005077A6" w:rsidP="005077A6">
      <w:pPr>
        <w:pStyle w:val="NormalParaAR"/>
        <w:numPr>
          <w:ilvl w:val="0"/>
          <w:numId w:val="22"/>
        </w:numPr>
        <w:ind w:left="1134" w:hanging="567"/>
      </w:pPr>
      <w:r w:rsidRPr="005077A6">
        <w:rPr>
          <w:rtl/>
        </w:rPr>
        <w:t xml:space="preserve">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w:t>
      </w:r>
      <w:r>
        <w:rPr>
          <w:rFonts w:hint="cs"/>
          <w:rtl/>
        </w:rPr>
        <w:t>أجندة</w:t>
      </w:r>
      <w:r w:rsidRPr="005077A6">
        <w:rPr>
          <w:rtl/>
        </w:rPr>
        <w:t xml:space="preserve"> التنمية وولاية اللجنة.</w:t>
      </w:r>
    </w:p>
    <w:p w:rsidR="005077A6" w:rsidRDefault="005077A6" w:rsidP="0042746F">
      <w:pPr>
        <w:pStyle w:val="NumberedParaAR"/>
      </w:pPr>
      <w:r>
        <w:rPr>
          <w:rFonts w:hint="cs"/>
          <w:rtl/>
        </w:rPr>
        <w:lastRenderedPageBreak/>
        <w:t xml:space="preserve">واستندت مناقشة برنامج العمل </w:t>
      </w:r>
      <w:proofErr w:type="gramStart"/>
      <w:r>
        <w:rPr>
          <w:rFonts w:hint="cs"/>
          <w:rtl/>
        </w:rPr>
        <w:t>إلى</w:t>
      </w:r>
      <w:proofErr w:type="gramEnd"/>
      <w:r>
        <w:rPr>
          <w:rFonts w:hint="cs"/>
          <w:rtl/>
        </w:rPr>
        <w:t xml:space="preserve"> 38 عرضاً لخبراء وعرض واحد للأمانة وأربع </w:t>
      </w:r>
      <w:r w:rsidR="0042746F">
        <w:rPr>
          <w:rFonts w:hint="cs"/>
          <w:rtl/>
        </w:rPr>
        <w:t>مناقشات جماعية</w:t>
      </w:r>
      <w:r>
        <w:rPr>
          <w:rFonts w:hint="cs"/>
          <w:rtl/>
        </w:rPr>
        <w:t>.</w:t>
      </w:r>
      <w:r>
        <w:rPr>
          <w:rStyle w:val="FootnoteReference"/>
          <w:rtl/>
        </w:rPr>
        <w:footnoteReference w:id="1"/>
      </w:r>
    </w:p>
    <w:p w:rsidR="005077A6" w:rsidRPr="009D0795" w:rsidRDefault="005077A6" w:rsidP="0042746F">
      <w:pPr>
        <w:pStyle w:val="NumberedParaAR"/>
      </w:pPr>
      <w:r w:rsidRPr="009D0795">
        <w:rPr>
          <w:rFonts w:hint="cs"/>
          <w:rtl/>
        </w:rPr>
        <w:t>وفي إطار بند "</w:t>
      </w:r>
      <w:r w:rsidRPr="009D0795">
        <w:rPr>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r w:rsidRPr="009D0795">
        <w:rPr>
          <w:rFonts w:hint="cs"/>
          <w:rtl/>
        </w:rPr>
        <w:t xml:space="preserve">"، جُمعت العروض </w:t>
      </w:r>
      <w:r w:rsidR="0042746F" w:rsidRPr="009D0795">
        <w:rPr>
          <w:rFonts w:hint="cs"/>
          <w:rtl/>
        </w:rPr>
        <w:t>ضمن</w:t>
      </w:r>
      <w:r w:rsidRPr="009D0795">
        <w:rPr>
          <w:rFonts w:hint="cs"/>
          <w:rtl/>
        </w:rPr>
        <w:t xml:space="preserve"> خمسة</w:t>
      </w:r>
      <w:r w:rsidRPr="009D0795">
        <w:rPr>
          <w:rFonts w:hint="eastAsia"/>
          <w:rtl/>
        </w:rPr>
        <w:t> </w:t>
      </w:r>
      <w:r w:rsidRPr="009D0795">
        <w:rPr>
          <w:rFonts w:hint="cs"/>
          <w:rtl/>
        </w:rPr>
        <w:t>موضوعات.</w:t>
      </w:r>
    </w:p>
    <w:p w:rsidR="005077A6" w:rsidRDefault="005077A6" w:rsidP="0042746F">
      <w:pPr>
        <w:pStyle w:val="NumberedParaAR"/>
      </w:pPr>
      <w:r>
        <w:rPr>
          <w:rFonts w:hint="cs"/>
          <w:rtl/>
        </w:rPr>
        <w:t>أما في موضوع "</w:t>
      </w:r>
      <w:r w:rsidRPr="005077A6">
        <w:rPr>
          <w:rtl/>
        </w:rPr>
        <w:t>التخلص من السلع المتعدية على حقوق الملكية الفكرية وإتلافها الآمنان بيئيا</w:t>
      </w:r>
      <w:r>
        <w:rPr>
          <w:rFonts w:hint="cs"/>
          <w:rtl/>
        </w:rPr>
        <w:t xml:space="preserve">"، فقد عرض </w:t>
      </w:r>
      <w:r w:rsidRPr="005077A6">
        <w:rPr>
          <w:rtl/>
        </w:rPr>
        <w:t xml:space="preserve">الدكتور مارتن </w:t>
      </w:r>
      <w:proofErr w:type="spellStart"/>
      <w:r w:rsidRPr="005077A6">
        <w:rPr>
          <w:rtl/>
        </w:rPr>
        <w:t>غوارد</w:t>
      </w:r>
      <w:proofErr w:type="spellEnd"/>
      <w:r w:rsidRPr="005077A6">
        <w:rPr>
          <w:rtl/>
        </w:rPr>
        <w:t xml:space="preserve">، </w:t>
      </w:r>
      <w:r>
        <w:rPr>
          <w:rFonts w:hint="cs"/>
          <w:rtl/>
        </w:rPr>
        <w:t xml:space="preserve">وهو </w:t>
      </w:r>
      <w:r w:rsidRPr="005077A6">
        <w:rPr>
          <w:rtl/>
        </w:rPr>
        <w:t>مستشار مستقل في مجال البيئة</w:t>
      </w:r>
      <w:r>
        <w:rPr>
          <w:rFonts w:hint="cs"/>
          <w:rtl/>
        </w:rPr>
        <w:t xml:space="preserve"> ب</w:t>
      </w:r>
      <w:r>
        <w:rPr>
          <w:rtl/>
        </w:rPr>
        <w:t>جنيف</w:t>
      </w:r>
      <w:r>
        <w:rPr>
          <w:rFonts w:hint="cs"/>
          <w:rtl/>
        </w:rPr>
        <w:t xml:space="preserve"> في</w:t>
      </w:r>
      <w:r w:rsidRPr="005077A6">
        <w:rPr>
          <w:rtl/>
        </w:rPr>
        <w:t xml:space="preserve"> سويسرا</w:t>
      </w:r>
      <w:r>
        <w:rPr>
          <w:rFonts w:hint="cs"/>
          <w:rtl/>
        </w:rPr>
        <w:t xml:space="preserve">، نتائج الدراسة </w:t>
      </w:r>
      <w:r w:rsidR="0042746F">
        <w:rPr>
          <w:rFonts w:hint="cs"/>
          <w:rtl/>
        </w:rPr>
        <w:t>التي أجريت بتكليف من</w:t>
      </w:r>
      <w:r>
        <w:rPr>
          <w:rFonts w:hint="cs"/>
          <w:rtl/>
        </w:rPr>
        <w:t xml:space="preserve"> الأمانة </w:t>
      </w:r>
      <w:r w:rsidR="0042746F">
        <w:rPr>
          <w:rFonts w:hint="cs"/>
          <w:rtl/>
        </w:rPr>
        <w:t>عن</w:t>
      </w:r>
      <w:r>
        <w:rPr>
          <w:rFonts w:hint="cs"/>
          <w:rtl/>
        </w:rPr>
        <w:t xml:space="preserve"> "</w:t>
      </w:r>
      <w:r w:rsidRPr="005077A6">
        <w:rPr>
          <w:rtl/>
        </w:rPr>
        <w:t>التخلص من السلع المتعدية على الملكية الفكرية وإتلافها بطريقة مأمونة بيئيا</w:t>
      </w:r>
      <w:r>
        <w:rPr>
          <w:rFonts w:hint="cs"/>
          <w:rtl/>
        </w:rPr>
        <w:t>"، و</w:t>
      </w:r>
      <w:r w:rsidR="0042746F">
        <w:rPr>
          <w:rFonts w:hint="cs"/>
          <w:rtl/>
        </w:rPr>
        <w:t>قدَّم كل من</w:t>
      </w:r>
      <w:r>
        <w:rPr>
          <w:rFonts w:hint="cs"/>
          <w:rtl/>
        </w:rPr>
        <w:t xml:space="preserve"> وكالة الجمارك والاحتكارات في إيطاليا والمعهد المكسيكي للملكية الصناعية </w:t>
      </w:r>
      <w:r w:rsidR="0042746F">
        <w:rPr>
          <w:rFonts w:hint="cs"/>
          <w:rtl/>
        </w:rPr>
        <w:t>عرضاً</w:t>
      </w:r>
      <w:r>
        <w:rPr>
          <w:rFonts w:hint="cs"/>
          <w:rtl/>
        </w:rPr>
        <w:t>.</w:t>
      </w:r>
    </w:p>
    <w:p w:rsidR="005077A6" w:rsidRDefault="005077A6" w:rsidP="0042746F">
      <w:pPr>
        <w:pStyle w:val="NumberedParaAR"/>
      </w:pPr>
      <w:r>
        <w:rPr>
          <w:rFonts w:hint="cs"/>
          <w:rtl/>
        </w:rPr>
        <w:t>وأما في موضوع "</w:t>
      </w:r>
      <w:r w:rsidRPr="005077A6">
        <w:rPr>
          <w:rtl/>
        </w:rPr>
        <w:t>تنسيق إنفاذ الملكية الفكرية على الصعيدين الوطني والإقليمي</w:t>
      </w:r>
      <w:r>
        <w:rPr>
          <w:rFonts w:hint="cs"/>
          <w:rtl/>
        </w:rPr>
        <w:t xml:space="preserve">"، فكانت </w:t>
      </w:r>
      <w:r w:rsidR="0042746F">
        <w:rPr>
          <w:rFonts w:hint="cs"/>
          <w:rtl/>
        </w:rPr>
        <w:t>المساهمات</w:t>
      </w:r>
      <w:r>
        <w:rPr>
          <w:rFonts w:hint="cs"/>
          <w:rtl/>
        </w:rPr>
        <w:t xml:space="preserve"> من </w:t>
      </w:r>
      <w:r w:rsidRPr="005077A6">
        <w:rPr>
          <w:rtl/>
        </w:rPr>
        <w:t>وكالة الملكية الفكرية لجمهورية أرمينيا</w:t>
      </w:r>
      <w:r w:rsidR="0042746F">
        <w:rPr>
          <w:rFonts w:hint="cs"/>
          <w:rtl/>
        </w:rPr>
        <w:t>؛</w:t>
      </w:r>
      <w:r>
        <w:rPr>
          <w:rFonts w:hint="cs"/>
          <w:rtl/>
        </w:rPr>
        <w:t xml:space="preserve"> و</w:t>
      </w:r>
      <w:r w:rsidRPr="005077A6">
        <w:rPr>
          <w:rtl/>
        </w:rPr>
        <w:t>المعهد الوطني للملكية الصناعية في شيلي</w:t>
      </w:r>
      <w:r w:rsidR="0042746F">
        <w:rPr>
          <w:rFonts w:hint="cs"/>
          <w:rtl/>
        </w:rPr>
        <w:t>؛</w:t>
      </w:r>
      <w:r>
        <w:rPr>
          <w:rFonts w:hint="cs"/>
          <w:rtl/>
        </w:rPr>
        <w:t xml:space="preserve"> و</w:t>
      </w:r>
      <w:r w:rsidRPr="005077A6">
        <w:rPr>
          <w:rtl/>
        </w:rPr>
        <w:t>إدارة شانغهاي للملكية الفكرية</w:t>
      </w:r>
      <w:r w:rsidR="0042746F">
        <w:rPr>
          <w:rFonts w:hint="cs"/>
          <w:rtl/>
        </w:rPr>
        <w:t>؛</w:t>
      </w:r>
      <w:r>
        <w:rPr>
          <w:rFonts w:hint="cs"/>
          <w:rtl/>
        </w:rPr>
        <w:t xml:space="preserve"> و</w:t>
      </w:r>
      <w:r w:rsidRPr="005077A6">
        <w:rPr>
          <w:rtl/>
        </w:rPr>
        <w:t>مكتب المجموعة الوطنية الرائدة في مجال مكافحة التعدي على حقوق الملكية الفكرية والتقليد في الصين</w:t>
      </w:r>
      <w:r w:rsidR="0042746F">
        <w:rPr>
          <w:rFonts w:hint="cs"/>
          <w:rtl/>
        </w:rPr>
        <w:t>؛</w:t>
      </w:r>
      <w:r>
        <w:rPr>
          <w:rFonts w:hint="cs"/>
          <w:rtl/>
        </w:rPr>
        <w:t xml:space="preserve"> و</w:t>
      </w:r>
      <w:r w:rsidRPr="005077A6">
        <w:rPr>
          <w:rtl/>
        </w:rPr>
        <w:t>مكتب اليابان للبراءات</w:t>
      </w:r>
      <w:r w:rsidR="0042746F">
        <w:rPr>
          <w:rFonts w:hint="cs"/>
          <w:rtl/>
        </w:rPr>
        <w:t xml:space="preserve">؛ </w:t>
      </w:r>
      <w:r>
        <w:rPr>
          <w:rFonts w:hint="cs"/>
          <w:rtl/>
        </w:rPr>
        <w:t>و</w:t>
      </w:r>
      <w:r w:rsidRPr="005077A6">
        <w:rPr>
          <w:rtl/>
        </w:rPr>
        <w:t>إدارة الأعمال والملكية الفكرية في ناميبيا</w:t>
      </w:r>
      <w:r w:rsidR="0042746F">
        <w:rPr>
          <w:rFonts w:hint="cs"/>
          <w:rtl/>
        </w:rPr>
        <w:t>؛</w:t>
      </w:r>
      <w:r>
        <w:rPr>
          <w:rFonts w:hint="cs"/>
          <w:rtl/>
        </w:rPr>
        <w:t xml:space="preserve"> و</w:t>
      </w:r>
      <w:r w:rsidRPr="005077A6">
        <w:rPr>
          <w:rtl/>
        </w:rPr>
        <w:t>مكتب الفلبين للملكية الفكرية</w:t>
      </w:r>
      <w:r w:rsidR="0042746F">
        <w:rPr>
          <w:rFonts w:hint="cs"/>
          <w:rtl/>
        </w:rPr>
        <w:t>؛</w:t>
      </w:r>
      <w:r>
        <w:rPr>
          <w:rFonts w:hint="cs"/>
          <w:rtl/>
        </w:rPr>
        <w:t xml:space="preserve"> </w:t>
      </w:r>
      <w:proofErr w:type="spellStart"/>
      <w:r w:rsidR="0042746F">
        <w:rPr>
          <w:rFonts w:hint="cs"/>
          <w:rtl/>
          <w:lang w:bidi="ar-EG"/>
        </w:rPr>
        <w:t>وا</w:t>
      </w:r>
      <w:proofErr w:type="spellEnd"/>
      <w:r w:rsidRPr="005077A6">
        <w:rPr>
          <w:rtl/>
        </w:rPr>
        <w:t>لشرطة الملكية التايلندية</w:t>
      </w:r>
      <w:r w:rsidR="0042746F">
        <w:rPr>
          <w:rFonts w:hint="cs"/>
          <w:rtl/>
        </w:rPr>
        <w:t>؛</w:t>
      </w:r>
      <w:r>
        <w:rPr>
          <w:rFonts w:hint="cs"/>
          <w:rtl/>
        </w:rPr>
        <w:t xml:space="preserve"> و</w:t>
      </w:r>
      <w:r w:rsidRPr="005077A6">
        <w:rPr>
          <w:rtl/>
        </w:rPr>
        <w:t>المديرية العامة لحق المؤلف</w:t>
      </w:r>
      <w:r>
        <w:rPr>
          <w:rFonts w:hint="cs"/>
          <w:rtl/>
        </w:rPr>
        <w:t xml:space="preserve"> في تركيا</w:t>
      </w:r>
      <w:r w:rsidR="0042746F">
        <w:rPr>
          <w:rFonts w:hint="cs"/>
          <w:rtl/>
        </w:rPr>
        <w:t>؛</w:t>
      </w:r>
      <w:r>
        <w:rPr>
          <w:rFonts w:hint="cs"/>
          <w:rtl/>
        </w:rPr>
        <w:t xml:space="preserve"> و</w:t>
      </w:r>
      <w:r w:rsidRPr="005077A6">
        <w:rPr>
          <w:rtl/>
        </w:rPr>
        <w:t xml:space="preserve">المكتب الوطني للملكية الفكرية في </w:t>
      </w:r>
      <w:proofErr w:type="spellStart"/>
      <w:r w:rsidRPr="005077A6">
        <w:rPr>
          <w:rtl/>
        </w:rPr>
        <w:t>فييت</w:t>
      </w:r>
      <w:proofErr w:type="spellEnd"/>
      <w:r w:rsidRPr="005077A6">
        <w:rPr>
          <w:rtl/>
        </w:rPr>
        <w:t xml:space="preserve"> نام</w:t>
      </w:r>
      <w:r>
        <w:rPr>
          <w:rFonts w:hint="cs"/>
          <w:rtl/>
        </w:rPr>
        <w:t xml:space="preserve">. وعُقدت مناقشة جماعية </w:t>
      </w:r>
      <w:r w:rsidRPr="005077A6">
        <w:rPr>
          <w:rtl/>
        </w:rPr>
        <w:t xml:space="preserve">بتوجيه السيد ميغيل أنخيل </w:t>
      </w:r>
      <w:proofErr w:type="spellStart"/>
      <w:r w:rsidRPr="005077A6">
        <w:rPr>
          <w:rtl/>
        </w:rPr>
        <w:t>مارغاين</w:t>
      </w:r>
      <w:proofErr w:type="spellEnd"/>
      <w:r w:rsidRPr="005077A6">
        <w:rPr>
          <w:rtl/>
        </w:rPr>
        <w:t>، المدير العام للمعهد المكسيكي للملكية الصناعية</w:t>
      </w:r>
      <w:r>
        <w:rPr>
          <w:rFonts w:hint="cs"/>
          <w:rtl/>
        </w:rPr>
        <w:t>.</w:t>
      </w:r>
    </w:p>
    <w:p w:rsidR="005077A6" w:rsidRPr="007A3397" w:rsidRDefault="005077A6" w:rsidP="0042746F">
      <w:pPr>
        <w:pStyle w:val="NumberedParaAR"/>
      </w:pPr>
      <w:r w:rsidRPr="007A3397">
        <w:rPr>
          <w:rFonts w:hint="cs"/>
          <w:rtl/>
        </w:rPr>
        <w:t>وأما في موضوع "</w:t>
      </w:r>
      <w:r w:rsidRPr="007A3397">
        <w:rPr>
          <w:rtl/>
        </w:rPr>
        <w:t>آليات تسوية منازعات الملكية الفكرية بطريقة متوازنة وشاملة وفعالة – الإجراءات القضائية الفعالة</w:t>
      </w:r>
      <w:r w:rsidRPr="007A3397">
        <w:rPr>
          <w:rFonts w:hint="cs"/>
          <w:rtl/>
        </w:rPr>
        <w:t xml:space="preserve">"، فكانت المساهمات من </w:t>
      </w:r>
      <w:r w:rsidRPr="007A3397">
        <w:rPr>
          <w:rtl/>
        </w:rPr>
        <w:t>المعهد الإقليمي للملكية الفكرية بكلية الحقوق في جامعة حلوان بالقاهرة</w:t>
      </w:r>
      <w:r w:rsidR="0042746F" w:rsidRPr="007A3397">
        <w:rPr>
          <w:rFonts w:hint="cs"/>
          <w:rtl/>
        </w:rPr>
        <w:t xml:space="preserve"> في مصر؛</w:t>
      </w:r>
      <w:r w:rsidRPr="007A3397">
        <w:rPr>
          <w:rFonts w:hint="cs"/>
          <w:rtl/>
        </w:rPr>
        <w:t xml:space="preserve"> و</w:t>
      </w:r>
      <w:r w:rsidRPr="007A3397">
        <w:rPr>
          <w:rtl/>
        </w:rPr>
        <w:t>محكمة العدل العليا في بنما</w:t>
      </w:r>
      <w:r w:rsidR="0042746F" w:rsidRPr="007A3397">
        <w:rPr>
          <w:rFonts w:hint="cs"/>
          <w:rtl/>
        </w:rPr>
        <w:t xml:space="preserve">؛ </w:t>
      </w:r>
      <w:r w:rsidRPr="007A3397">
        <w:rPr>
          <w:rFonts w:hint="cs"/>
          <w:rtl/>
        </w:rPr>
        <w:t>و</w:t>
      </w:r>
      <w:r w:rsidRPr="007A3397">
        <w:rPr>
          <w:rtl/>
        </w:rPr>
        <w:t>المحكمة الاتحادية للبراءات</w:t>
      </w:r>
      <w:r w:rsidRPr="007A3397">
        <w:rPr>
          <w:rFonts w:hint="cs"/>
          <w:rtl/>
        </w:rPr>
        <w:t xml:space="preserve"> في سويسرا. وعُقدت مناقشة جماعية بتوجيه </w:t>
      </w:r>
      <w:r w:rsidRPr="007A3397">
        <w:rPr>
          <w:rtl/>
        </w:rPr>
        <w:t xml:space="preserve">السيد سام </w:t>
      </w:r>
      <w:proofErr w:type="spellStart"/>
      <w:r w:rsidRPr="007A3397">
        <w:rPr>
          <w:rtl/>
        </w:rPr>
        <w:t>غراناتا</w:t>
      </w:r>
      <w:proofErr w:type="spellEnd"/>
      <w:r w:rsidRPr="007A3397">
        <w:rPr>
          <w:rtl/>
        </w:rPr>
        <w:t xml:space="preserve">، قاض بمحكمة الاستئناف في </w:t>
      </w:r>
      <w:proofErr w:type="spellStart"/>
      <w:r w:rsidRPr="007A3397">
        <w:rPr>
          <w:rtl/>
        </w:rPr>
        <w:t>أنتويرب</w:t>
      </w:r>
      <w:proofErr w:type="spellEnd"/>
      <w:r w:rsidR="0042746F" w:rsidRPr="007A3397">
        <w:rPr>
          <w:rFonts w:hint="cs"/>
          <w:rtl/>
        </w:rPr>
        <w:t xml:space="preserve"> ب</w:t>
      </w:r>
      <w:r w:rsidRPr="007A3397">
        <w:rPr>
          <w:rtl/>
        </w:rPr>
        <w:t xml:space="preserve">بلجيكا، ومحكمة العدل </w:t>
      </w:r>
      <w:proofErr w:type="spellStart"/>
      <w:r w:rsidR="0042746F" w:rsidRPr="007A3397">
        <w:rPr>
          <w:rFonts w:hint="cs"/>
          <w:rtl/>
        </w:rPr>
        <w:t>ل</w:t>
      </w:r>
      <w:r w:rsidRPr="007A3397">
        <w:rPr>
          <w:rtl/>
        </w:rPr>
        <w:t>بنيلوكس</w:t>
      </w:r>
      <w:proofErr w:type="spellEnd"/>
      <w:r w:rsidR="0042746F" w:rsidRPr="007A3397">
        <w:rPr>
          <w:rFonts w:hint="cs"/>
          <w:rtl/>
        </w:rPr>
        <w:t xml:space="preserve"> في </w:t>
      </w:r>
      <w:r w:rsidRPr="007A3397">
        <w:rPr>
          <w:rtl/>
        </w:rPr>
        <w:t>لكسم</w:t>
      </w:r>
      <w:r w:rsidR="0042746F" w:rsidRPr="007A3397">
        <w:rPr>
          <w:rFonts w:hint="cs"/>
          <w:rtl/>
        </w:rPr>
        <w:t>ب</w:t>
      </w:r>
      <w:r w:rsidRPr="007A3397">
        <w:rPr>
          <w:rtl/>
        </w:rPr>
        <w:t>رغ</w:t>
      </w:r>
      <w:r w:rsidRPr="007A3397">
        <w:rPr>
          <w:rFonts w:hint="cs"/>
          <w:rtl/>
        </w:rPr>
        <w:t>.</w:t>
      </w:r>
    </w:p>
    <w:p w:rsidR="005077A6" w:rsidRDefault="005077A6" w:rsidP="0042746F">
      <w:pPr>
        <w:pStyle w:val="NumberedParaAR"/>
      </w:pPr>
      <w:r>
        <w:rPr>
          <w:rFonts w:hint="cs"/>
          <w:rtl/>
        </w:rPr>
        <w:t>وأما في موضوع "</w:t>
      </w:r>
      <w:r w:rsidRPr="005077A6">
        <w:rPr>
          <w:rtl/>
        </w:rPr>
        <w:t>إنفاذ الملكية الفكرية والقانون الدولي الخاص</w:t>
      </w:r>
      <w:r>
        <w:rPr>
          <w:rFonts w:hint="cs"/>
          <w:rtl/>
        </w:rPr>
        <w:t>"، فقد عرض</w:t>
      </w:r>
      <w:r w:rsidRPr="005077A6">
        <w:rPr>
          <w:rtl/>
        </w:rPr>
        <w:t xml:space="preserve"> كل من الدكتورة </w:t>
      </w:r>
      <w:proofErr w:type="spellStart"/>
      <w:r w:rsidRPr="005077A6">
        <w:rPr>
          <w:rtl/>
        </w:rPr>
        <w:t>أنابيل</w:t>
      </w:r>
      <w:proofErr w:type="spellEnd"/>
      <w:r w:rsidRPr="005077A6">
        <w:rPr>
          <w:rtl/>
        </w:rPr>
        <w:t xml:space="preserve"> </w:t>
      </w:r>
      <w:proofErr w:type="spellStart"/>
      <w:r w:rsidRPr="005077A6">
        <w:rPr>
          <w:rtl/>
        </w:rPr>
        <w:t>بينيت</w:t>
      </w:r>
      <w:proofErr w:type="spellEnd"/>
      <w:r w:rsidRPr="005077A6">
        <w:rPr>
          <w:rtl/>
        </w:rPr>
        <w:t xml:space="preserve">، قاضية سابقة في محكمة أستراليا الفدرالية، والقاضي سام </w:t>
      </w:r>
      <w:proofErr w:type="spellStart"/>
      <w:r w:rsidRPr="005077A6">
        <w:rPr>
          <w:rtl/>
        </w:rPr>
        <w:t>غراناتا</w:t>
      </w:r>
      <w:proofErr w:type="spellEnd"/>
      <w:r w:rsidRPr="005077A6">
        <w:rPr>
          <w:rtl/>
        </w:rPr>
        <w:t>، مشروع الدليل حول "أوجه التقاطع بين الملكية الفكرية والقانون الدولي الخاص"</w:t>
      </w:r>
      <w:r w:rsidR="00657409" w:rsidRPr="00657409">
        <w:rPr>
          <w:rtl/>
        </w:rPr>
        <w:t xml:space="preserve"> المزمع أن يشترك في نشره مؤتمر لاهاي بشأن القانون الدولي الخاص (</w:t>
      </w:r>
      <w:r w:rsidR="00657409" w:rsidRPr="00657409">
        <w:t>HCCH</w:t>
      </w:r>
      <w:r w:rsidR="00657409" w:rsidRPr="00657409">
        <w:rPr>
          <w:rtl/>
        </w:rPr>
        <w:t>)</w:t>
      </w:r>
      <w:r w:rsidR="00657409">
        <w:rPr>
          <w:rFonts w:hint="cs"/>
          <w:rtl/>
        </w:rPr>
        <w:t xml:space="preserve"> </w:t>
      </w:r>
      <w:r w:rsidR="00657409">
        <w:rPr>
          <w:rtl/>
        </w:rPr>
        <w:t>والويبو</w:t>
      </w:r>
      <w:r w:rsidR="00657409">
        <w:rPr>
          <w:rFonts w:hint="cs"/>
          <w:rtl/>
        </w:rPr>
        <w:t xml:space="preserve">. </w:t>
      </w:r>
      <w:r w:rsidR="0042746F">
        <w:rPr>
          <w:rFonts w:hint="cs"/>
          <w:rtl/>
        </w:rPr>
        <w:t>وقدَّم</w:t>
      </w:r>
      <w:r w:rsidR="00657409">
        <w:rPr>
          <w:rFonts w:hint="cs"/>
          <w:rtl/>
        </w:rPr>
        <w:t xml:space="preserve"> المؤتمر المذكور </w:t>
      </w:r>
      <w:proofErr w:type="gramStart"/>
      <w:r w:rsidR="0042746F">
        <w:rPr>
          <w:rFonts w:hint="cs"/>
          <w:rtl/>
        </w:rPr>
        <w:t>عرضاً</w:t>
      </w:r>
      <w:proofErr w:type="gramEnd"/>
      <w:r w:rsidR="0042746F">
        <w:rPr>
          <w:rFonts w:hint="cs"/>
          <w:rtl/>
        </w:rPr>
        <w:t xml:space="preserve"> آخر</w:t>
      </w:r>
      <w:r w:rsidR="00657409">
        <w:rPr>
          <w:rFonts w:hint="cs"/>
          <w:rtl/>
        </w:rPr>
        <w:t>.</w:t>
      </w:r>
    </w:p>
    <w:p w:rsidR="00657409" w:rsidRDefault="00657409" w:rsidP="008F392A">
      <w:pPr>
        <w:pStyle w:val="NumberedParaAR"/>
      </w:pPr>
      <w:r>
        <w:rPr>
          <w:rFonts w:hint="cs"/>
          <w:rtl/>
        </w:rPr>
        <w:t>وأما في موضوع "</w:t>
      </w:r>
      <w:r w:rsidRPr="00657409">
        <w:rPr>
          <w:rtl/>
        </w:rPr>
        <w:t>الترتيبات المؤسسية لمواجهة التعدي على الملكية الفكرية عبر الإنترنت</w:t>
      </w:r>
      <w:r>
        <w:rPr>
          <w:rFonts w:hint="cs"/>
          <w:rtl/>
        </w:rPr>
        <w:t xml:space="preserve">"، فقد عرض </w:t>
      </w:r>
      <w:r w:rsidRPr="00657409">
        <w:rPr>
          <w:rtl/>
        </w:rPr>
        <w:t xml:space="preserve">الدكتور فريدريك </w:t>
      </w:r>
      <w:proofErr w:type="spellStart"/>
      <w:r w:rsidRPr="00657409">
        <w:rPr>
          <w:rtl/>
        </w:rPr>
        <w:t>موسترت</w:t>
      </w:r>
      <w:proofErr w:type="spellEnd"/>
      <w:r w:rsidRPr="00657409">
        <w:rPr>
          <w:rtl/>
        </w:rPr>
        <w:t>، زميل باحث في جامعة أكسفورد</w:t>
      </w:r>
      <w:r w:rsidR="008F392A">
        <w:rPr>
          <w:rFonts w:hint="cs"/>
          <w:rtl/>
        </w:rPr>
        <w:t xml:space="preserve"> ب</w:t>
      </w:r>
      <w:r w:rsidRPr="00657409">
        <w:rPr>
          <w:rtl/>
        </w:rPr>
        <w:t>المملكة المتحدة، الدراسة التي أجريت بتكليف من الأمانة وهي "دراسة في مقاربات التعدي على العلامات التجارية عبر الإنترنت"</w:t>
      </w:r>
      <w:r>
        <w:rPr>
          <w:rFonts w:hint="cs"/>
          <w:rtl/>
        </w:rPr>
        <w:t xml:space="preserve">. وفضلاً عن ذلك، قدمت الجهات التالية عروضاً: </w:t>
      </w:r>
      <w:r w:rsidRPr="00657409">
        <w:rPr>
          <w:rtl/>
        </w:rPr>
        <w:t>الشرطة المالية ومديرية التفتيش المركزية لحماية الجودة ومكافحة التزوير في قسم المنتجات الزراعية الغذائية</w:t>
      </w:r>
      <w:r w:rsidR="008F392A">
        <w:rPr>
          <w:rFonts w:hint="cs"/>
          <w:rtl/>
        </w:rPr>
        <w:t xml:space="preserve"> ب</w:t>
      </w:r>
      <w:r w:rsidRPr="00657409">
        <w:rPr>
          <w:rtl/>
        </w:rPr>
        <w:t>وزارة السياسات الزراعية والغذائية والحرجية في إيطاليا؛ والمكتب الكوري للملكية الفكرية؛ ومكتب المدعي العام لتايلند؛ ومحكمة العدل العليا لإنكلترا وويلز؛ والائتلاف المنسق للتصدي للتعديات على الملكية الفكرية (</w:t>
      </w:r>
      <w:r w:rsidRPr="00657409">
        <w:t>IPC</w:t>
      </w:r>
      <w:r w:rsidRPr="008F392A">
        <w:rPr>
          <w:vertAlign w:val="superscript"/>
        </w:rPr>
        <w:t>3</w:t>
      </w:r>
      <w:r w:rsidRPr="00657409">
        <w:rPr>
          <w:rtl/>
        </w:rPr>
        <w:t>)</w:t>
      </w:r>
      <w:r w:rsidR="008F392A">
        <w:rPr>
          <w:rFonts w:hint="cs"/>
          <w:rtl/>
        </w:rPr>
        <w:t xml:space="preserve"> في</w:t>
      </w:r>
      <w:r w:rsidRPr="00657409">
        <w:rPr>
          <w:rtl/>
        </w:rPr>
        <w:t xml:space="preserve"> </w:t>
      </w:r>
      <w:proofErr w:type="spellStart"/>
      <w:r w:rsidRPr="00657409">
        <w:rPr>
          <w:rtl/>
        </w:rPr>
        <w:t>يوروبول</w:t>
      </w:r>
      <w:proofErr w:type="spellEnd"/>
      <w:r w:rsidRPr="00657409">
        <w:rPr>
          <w:rtl/>
        </w:rPr>
        <w:t>؛ والجمعية الأمريكية لقطاع الأفلام السينمائية (</w:t>
      </w:r>
      <w:r w:rsidRPr="00657409">
        <w:t>MPAA</w:t>
      </w:r>
      <w:r w:rsidRPr="00657409">
        <w:rPr>
          <w:rtl/>
        </w:rPr>
        <w:t xml:space="preserve">). وعُقدت مناقشة جماعية بتوجيه الدكتور فريدريك </w:t>
      </w:r>
      <w:proofErr w:type="spellStart"/>
      <w:r w:rsidRPr="00657409">
        <w:rPr>
          <w:rtl/>
        </w:rPr>
        <w:t>موسترت</w:t>
      </w:r>
      <w:proofErr w:type="spellEnd"/>
      <w:r w:rsidRPr="00657409">
        <w:rPr>
          <w:rtl/>
        </w:rPr>
        <w:t>.</w:t>
      </w:r>
    </w:p>
    <w:p w:rsidR="00657409" w:rsidRDefault="00657409" w:rsidP="0042746F">
      <w:pPr>
        <w:pStyle w:val="NumberedParaAR"/>
        <w:keepNext/>
      </w:pPr>
      <w:r w:rsidRPr="00657409">
        <w:rPr>
          <w:rtl/>
        </w:rPr>
        <w:lastRenderedPageBreak/>
        <w:t xml:space="preserve">وفي إطار بند "تبادل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جُمعت العروض </w:t>
      </w:r>
      <w:r w:rsidR="0042746F">
        <w:rPr>
          <w:rFonts w:hint="cs"/>
          <w:rtl/>
        </w:rPr>
        <w:t>ضمن</w:t>
      </w:r>
      <w:r w:rsidRPr="00657409">
        <w:rPr>
          <w:rtl/>
        </w:rPr>
        <w:t xml:space="preserve"> </w:t>
      </w:r>
      <w:r>
        <w:rPr>
          <w:rFonts w:hint="cs"/>
          <w:rtl/>
        </w:rPr>
        <w:t>موضوعين</w:t>
      </w:r>
      <w:r w:rsidRPr="00657409">
        <w:t>.</w:t>
      </w:r>
    </w:p>
    <w:p w:rsidR="00657409" w:rsidRDefault="00657409" w:rsidP="008F392A">
      <w:pPr>
        <w:pStyle w:val="NumberedParaAR"/>
      </w:pPr>
      <w:r w:rsidRPr="00657409">
        <w:rPr>
          <w:rtl/>
        </w:rPr>
        <w:t>أما في موضوع "سلوك المستهلك وتصرفاته"، فقد قُد</w:t>
      </w:r>
      <w:r w:rsidR="008F392A">
        <w:rPr>
          <w:rFonts w:hint="cs"/>
          <w:rtl/>
        </w:rPr>
        <w:t>ِّ</w:t>
      </w:r>
      <w:r w:rsidRPr="00657409">
        <w:rPr>
          <w:rtl/>
        </w:rPr>
        <w:t>م عرضان أحدهما من</w:t>
      </w:r>
      <w:r>
        <w:rPr>
          <w:rFonts w:hint="cs"/>
          <w:rtl/>
        </w:rPr>
        <w:t xml:space="preserve"> </w:t>
      </w:r>
      <w:r w:rsidRPr="00657409">
        <w:rPr>
          <w:rtl/>
        </w:rPr>
        <w:t>المرصد الأوروبي للتعديات على حقوق الملكية الفكرية</w:t>
      </w:r>
      <w:r>
        <w:rPr>
          <w:rFonts w:hint="cs"/>
          <w:rtl/>
        </w:rPr>
        <w:t xml:space="preserve"> التابع ل</w:t>
      </w:r>
      <w:r w:rsidRPr="00657409">
        <w:rPr>
          <w:rtl/>
        </w:rPr>
        <w:t>لمكتب الأوروبي للملكية الفكرية</w:t>
      </w:r>
      <w:r>
        <w:rPr>
          <w:rFonts w:hint="cs"/>
          <w:rtl/>
        </w:rPr>
        <w:t xml:space="preserve"> وثانيهما </w:t>
      </w:r>
      <w:r w:rsidRPr="00657409">
        <w:rPr>
          <w:rtl/>
        </w:rPr>
        <w:t>بتكليف من الأمانة و</w:t>
      </w:r>
      <w:r>
        <w:rPr>
          <w:rFonts w:hint="cs"/>
          <w:rtl/>
        </w:rPr>
        <w:t>عنوانه</w:t>
      </w:r>
      <w:r w:rsidRPr="00657409">
        <w:rPr>
          <w:rtl/>
        </w:rPr>
        <w:t xml:space="preserve"> "أداة الويبو لتقييم احترام المستهلك للملكية الفكرية – تقييم السلوكيات وفعالية حملات التوعية" </w:t>
      </w:r>
      <w:r>
        <w:rPr>
          <w:rFonts w:hint="cs"/>
          <w:rtl/>
        </w:rPr>
        <w:t>قدَّمه</w:t>
      </w:r>
      <w:r w:rsidRPr="00657409">
        <w:rPr>
          <w:rtl/>
        </w:rPr>
        <w:t xml:space="preserve"> السيد مايك كلوب، خبير استشاري مستقل في بحوث المستهلك والرئيس التنفيذي لشركة </w:t>
      </w:r>
      <w:proofErr w:type="spellStart"/>
      <w:r w:rsidRPr="00657409">
        <w:t>Actualise</w:t>
      </w:r>
      <w:proofErr w:type="spellEnd"/>
      <w:r w:rsidRPr="00657409">
        <w:t xml:space="preserve"> Research Services</w:t>
      </w:r>
      <w:r w:rsidR="008F392A">
        <w:rPr>
          <w:rFonts w:hint="cs"/>
          <w:rtl/>
        </w:rPr>
        <w:t xml:space="preserve"> في</w:t>
      </w:r>
      <w:r w:rsidRPr="00657409">
        <w:rPr>
          <w:rtl/>
        </w:rPr>
        <w:t xml:space="preserve"> </w:t>
      </w:r>
      <w:proofErr w:type="spellStart"/>
      <w:r w:rsidRPr="00657409">
        <w:rPr>
          <w:rtl/>
        </w:rPr>
        <w:t>تويكينهام</w:t>
      </w:r>
      <w:proofErr w:type="spellEnd"/>
      <w:r w:rsidR="008F392A">
        <w:rPr>
          <w:rFonts w:hint="cs"/>
          <w:rtl/>
        </w:rPr>
        <w:t xml:space="preserve"> ب</w:t>
      </w:r>
      <w:r w:rsidRPr="00657409">
        <w:rPr>
          <w:rtl/>
        </w:rPr>
        <w:t>المملكة المتحدة</w:t>
      </w:r>
      <w:r>
        <w:rPr>
          <w:rFonts w:hint="cs"/>
          <w:rtl/>
        </w:rPr>
        <w:t>.</w:t>
      </w:r>
    </w:p>
    <w:p w:rsidR="00657409" w:rsidRDefault="00657409" w:rsidP="008F392A">
      <w:pPr>
        <w:pStyle w:val="NumberedParaAR"/>
      </w:pPr>
      <w:r>
        <w:rPr>
          <w:rFonts w:hint="cs"/>
          <w:rtl/>
        </w:rPr>
        <w:t>وأما في موضوع "</w:t>
      </w:r>
      <w:r w:rsidRPr="00657409">
        <w:rPr>
          <w:rtl/>
        </w:rPr>
        <w:t>المواد أو الأنشطة المخصصة لإذكاء الوعي لدى الدول الأعضاء في الويبو</w:t>
      </w:r>
      <w:r>
        <w:rPr>
          <w:rFonts w:hint="cs"/>
          <w:rtl/>
        </w:rPr>
        <w:t xml:space="preserve">"، </w:t>
      </w:r>
      <w:r w:rsidR="003D7D06" w:rsidRPr="003D7D06">
        <w:rPr>
          <w:rtl/>
        </w:rPr>
        <w:t xml:space="preserve">فكانت </w:t>
      </w:r>
      <w:r w:rsidR="008F392A">
        <w:rPr>
          <w:rFonts w:hint="cs"/>
          <w:rtl/>
        </w:rPr>
        <w:t>المساهمات</w:t>
      </w:r>
      <w:r w:rsidR="003D7D06" w:rsidRPr="003D7D06">
        <w:rPr>
          <w:rtl/>
        </w:rPr>
        <w:t xml:space="preserve"> من</w:t>
      </w:r>
      <w:r w:rsidR="003D7D06">
        <w:rPr>
          <w:rFonts w:hint="cs"/>
          <w:rtl/>
        </w:rPr>
        <w:t xml:space="preserve"> </w:t>
      </w:r>
      <w:r w:rsidR="003D7D06" w:rsidRPr="003D7D06">
        <w:rPr>
          <w:rtl/>
        </w:rPr>
        <w:t xml:space="preserve">مكتب أنتيغوا </w:t>
      </w:r>
      <w:proofErr w:type="spellStart"/>
      <w:r w:rsidR="003D7D06" w:rsidRPr="003D7D06">
        <w:rPr>
          <w:rtl/>
        </w:rPr>
        <w:t>وبربودا</w:t>
      </w:r>
      <w:proofErr w:type="spellEnd"/>
      <w:r w:rsidR="003D7D06" w:rsidRPr="003D7D06">
        <w:rPr>
          <w:rtl/>
        </w:rPr>
        <w:t xml:space="preserve"> للتجارة والملكية الفكرية</w:t>
      </w:r>
      <w:r w:rsidR="003D7D06">
        <w:rPr>
          <w:rFonts w:hint="cs"/>
          <w:rtl/>
        </w:rPr>
        <w:t>؛ و</w:t>
      </w:r>
      <w:r w:rsidR="003D7D06" w:rsidRPr="003D7D06">
        <w:rPr>
          <w:rtl/>
        </w:rPr>
        <w:t>المكتب الإثيوبي للملكية الفكرية</w:t>
      </w:r>
      <w:r w:rsidR="003D7D06">
        <w:rPr>
          <w:rFonts w:hint="cs"/>
          <w:rtl/>
        </w:rPr>
        <w:t>؛ و</w:t>
      </w:r>
      <w:r w:rsidR="003D7D06" w:rsidRPr="003D7D06">
        <w:rPr>
          <w:rtl/>
        </w:rPr>
        <w:t>المركز الوطني للملكية الفكرية في جورجيا (</w:t>
      </w:r>
      <w:proofErr w:type="spellStart"/>
      <w:r w:rsidR="003D7D06" w:rsidRPr="003D7D06">
        <w:rPr>
          <w:rtl/>
        </w:rPr>
        <w:t>ساكباتنتي</w:t>
      </w:r>
      <w:proofErr w:type="spellEnd"/>
      <w:r w:rsidR="003D7D06" w:rsidRPr="003D7D06">
        <w:rPr>
          <w:rtl/>
        </w:rPr>
        <w:t>)</w:t>
      </w:r>
      <w:r w:rsidR="003D7D06">
        <w:rPr>
          <w:rFonts w:hint="cs"/>
          <w:rtl/>
        </w:rPr>
        <w:t>؛ و</w:t>
      </w:r>
      <w:r w:rsidR="003D7D06" w:rsidRPr="003D7D06">
        <w:rPr>
          <w:rtl/>
        </w:rPr>
        <w:t>وزارة التربية والتعليم</w:t>
      </w:r>
      <w:r w:rsidR="003D7D06">
        <w:rPr>
          <w:rFonts w:hint="cs"/>
          <w:rtl/>
        </w:rPr>
        <w:t xml:space="preserve"> في عُمان؛ </w:t>
      </w:r>
      <w:r w:rsidR="007F29E5">
        <w:rPr>
          <w:rFonts w:hint="cs"/>
          <w:rtl/>
        </w:rPr>
        <w:t>و</w:t>
      </w:r>
      <w:r w:rsidR="007F29E5" w:rsidRPr="007F29E5">
        <w:rPr>
          <w:rtl/>
        </w:rPr>
        <w:t>المعهد الوطني للدفاع عن المنافسة وحماية الملكية الفكرية</w:t>
      </w:r>
      <w:r w:rsidR="008F392A">
        <w:rPr>
          <w:rFonts w:hint="cs"/>
          <w:rtl/>
        </w:rPr>
        <w:t xml:space="preserve"> في بيرو</w:t>
      </w:r>
      <w:r w:rsidR="007F29E5" w:rsidRPr="007F29E5">
        <w:rPr>
          <w:rtl/>
        </w:rPr>
        <w:t xml:space="preserve"> (</w:t>
      </w:r>
      <w:r w:rsidR="007F29E5" w:rsidRPr="007F29E5">
        <w:t>INDECOPI</w:t>
      </w:r>
      <w:r w:rsidR="007F29E5" w:rsidRPr="007F29E5">
        <w:rPr>
          <w:rtl/>
        </w:rPr>
        <w:t>)</w:t>
      </w:r>
      <w:r w:rsidR="007F29E5">
        <w:rPr>
          <w:rFonts w:hint="cs"/>
          <w:rtl/>
        </w:rPr>
        <w:t>؛</w:t>
      </w:r>
      <w:r w:rsidR="007F29E5" w:rsidRPr="007F29E5">
        <w:rPr>
          <w:rFonts w:hint="cs"/>
          <w:rtl/>
        </w:rPr>
        <w:t xml:space="preserve"> </w:t>
      </w:r>
      <w:r w:rsidR="003D7D06">
        <w:rPr>
          <w:rFonts w:hint="cs"/>
          <w:rtl/>
        </w:rPr>
        <w:t>و</w:t>
      </w:r>
      <w:r w:rsidR="003D7D06" w:rsidRPr="003D7D06">
        <w:rPr>
          <w:rtl/>
        </w:rPr>
        <w:t xml:space="preserve">جامعة لينك </w:t>
      </w:r>
      <w:proofErr w:type="spellStart"/>
      <w:r w:rsidR="003D7D06" w:rsidRPr="003D7D06">
        <w:rPr>
          <w:rtl/>
        </w:rPr>
        <w:t>كامبوس</w:t>
      </w:r>
      <w:proofErr w:type="spellEnd"/>
      <w:r w:rsidR="003D7D06">
        <w:rPr>
          <w:rFonts w:hint="cs"/>
          <w:rtl/>
        </w:rPr>
        <w:t xml:space="preserve"> في</w:t>
      </w:r>
      <w:r w:rsidR="003D7D06" w:rsidRPr="003D7D06">
        <w:rPr>
          <w:rtl/>
        </w:rPr>
        <w:t xml:space="preserve"> روما</w:t>
      </w:r>
      <w:r w:rsidR="003D7D06">
        <w:rPr>
          <w:rFonts w:hint="cs"/>
          <w:rtl/>
        </w:rPr>
        <w:t xml:space="preserve"> ب</w:t>
      </w:r>
      <w:r w:rsidR="003D7D06" w:rsidRPr="003D7D06">
        <w:rPr>
          <w:rtl/>
        </w:rPr>
        <w:t>إيطاليا</w:t>
      </w:r>
      <w:r w:rsidR="003D7D06">
        <w:rPr>
          <w:rFonts w:hint="cs"/>
          <w:rtl/>
        </w:rPr>
        <w:t>.</w:t>
      </w:r>
    </w:p>
    <w:p w:rsidR="007F29E5" w:rsidRDefault="007F29E5" w:rsidP="008F392A">
      <w:pPr>
        <w:pStyle w:val="NumberedParaAR"/>
      </w:pPr>
      <w:r>
        <w:rPr>
          <w:rFonts w:hint="cs"/>
          <w:rtl/>
        </w:rPr>
        <w:t>وفي إطار بند "</w:t>
      </w:r>
      <w:r w:rsidRPr="007F29E5">
        <w:rPr>
          <w:rtl/>
        </w:rPr>
        <w:t xml:space="preserve">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w:t>
      </w:r>
      <w:bookmarkStart w:id="2" w:name="_GoBack"/>
      <w:bookmarkEnd w:id="2"/>
      <w:r w:rsidRPr="007F29E5">
        <w:rPr>
          <w:rtl/>
        </w:rPr>
        <w:t>الإنفاذ، مع أخذ المصلحة الاجتماعية الأعم في الحسبان وبالتوافق مع أولويات الدول الأعضاء</w:t>
      </w:r>
      <w:r>
        <w:rPr>
          <w:rFonts w:hint="cs"/>
          <w:rtl/>
        </w:rPr>
        <w:t xml:space="preserve">"، قدَّمت الأمانة </w:t>
      </w:r>
      <w:r w:rsidR="008F392A">
        <w:rPr>
          <w:rFonts w:hint="cs"/>
          <w:rtl/>
        </w:rPr>
        <w:t>تقريراً</w:t>
      </w:r>
      <w:r>
        <w:rPr>
          <w:rFonts w:hint="cs"/>
          <w:rtl/>
        </w:rPr>
        <w:t xml:space="preserve"> عن</w:t>
      </w:r>
      <w:r w:rsidRPr="007F29E5">
        <w:rPr>
          <w:rtl/>
        </w:rPr>
        <w:t xml:space="preserve"> "المساعدة التشريعية التي تقدمها الويبو في مجال إنفاذ حقوق الملكية الفكرية"</w:t>
      </w:r>
      <w:r>
        <w:rPr>
          <w:rFonts w:hint="cs"/>
          <w:rtl/>
        </w:rPr>
        <w:t>.</w:t>
      </w:r>
    </w:p>
    <w:p w:rsidR="007F29E5" w:rsidRDefault="007F29E5" w:rsidP="007F29E5">
      <w:pPr>
        <w:pStyle w:val="NumberedParaAR"/>
      </w:pPr>
      <w:r>
        <w:rPr>
          <w:rFonts w:hint="cs"/>
          <w:rtl/>
        </w:rPr>
        <w:t>وفي إطار بند "</w:t>
      </w:r>
      <w:r w:rsidRPr="007F29E5">
        <w:rPr>
          <w:rtl/>
        </w:rPr>
        <w:t>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اللجنة</w:t>
      </w:r>
      <w:r>
        <w:rPr>
          <w:rFonts w:hint="cs"/>
          <w:rtl/>
        </w:rPr>
        <w:t>"، عُقدت مناقشة جماعية بمشاركة وفود</w:t>
      </w:r>
      <w:r w:rsidRPr="007F29E5">
        <w:rPr>
          <w:rtl/>
        </w:rPr>
        <w:t xml:space="preserve"> ناميبيا والفلبين وجمهورية مولدوفا ومدغشقر</w:t>
      </w:r>
      <w:r>
        <w:rPr>
          <w:rFonts w:hint="cs"/>
          <w:rtl/>
        </w:rPr>
        <w:t>.</w:t>
      </w:r>
    </w:p>
    <w:p w:rsidR="007F29E5" w:rsidRDefault="007F29E5" w:rsidP="007F29E5">
      <w:pPr>
        <w:pStyle w:val="NumberedParaAR"/>
      </w:pPr>
      <w:r w:rsidRPr="007F29E5">
        <w:rPr>
          <w:rtl/>
        </w:rPr>
        <w:t>وأحاطت اللجنة علما</w:t>
      </w:r>
      <w:r>
        <w:rPr>
          <w:rFonts w:hint="cs"/>
          <w:rtl/>
        </w:rPr>
        <w:t>ً</w:t>
      </w:r>
      <w:r w:rsidRPr="007F29E5">
        <w:rPr>
          <w:rtl/>
        </w:rPr>
        <w:t xml:space="preserve"> بالعرض الذي قدمته الأمانة بشأن أنشطة الويبو </w:t>
      </w:r>
      <w:r>
        <w:rPr>
          <w:rFonts w:hint="cs"/>
          <w:rtl/>
        </w:rPr>
        <w:t>الجديدة</w:t>
      </w:r>
      <w:r w:rsidRPr="007F29E5">
        <w:rPr>
          <w:rtl/>
        </w:rPr>
        <w:t xml:space="preserve"> في مجال إذكاء الاحترام للملكية الفكرية، استرشاداً بالبرنامج والميزانية والتوصية 45 من </w:t>
      </w:r>
      <w:r>
        <w:rPr>
          <w:rFonts w:hint="cs"/>
          <w:rtl/>
        </w:rPr>
        <w:t>أجندة التنمية</w:t>
      </w:r>
      <w:r w:rsidRPr="007F29E5">
        <w:rPr>
          <w:rtl/>
        </w:rPr>
        <w:t xml:space="preserve"> وهدف الويبو الاستراتيجي السادس وهو "التعاون الدولي على إذكاء الاحترام للملكية الفكرية".</w:t>
      </w:r>
      <w:r>
        <w:rPr>
          <w:rStyle w:val="FootnoteReference"/>
          <w:rtl/>
        </w:rPr>
        <w:footnoteReference w:id="2"/>
      </w:r>
    </w:p>
    <w:p w:rsidR="007F29E5" w:rsidRDefault="007F29E5" w:rsidP="003543E0">
      <w:pPr>
        <w:pStyle w:val="NumberedParaAR"/>
      </w:pPr>
      <w:proofErr w:type="gramStart"/>
      <w:r w:rsidRPr="007F29E5">
        <w:rPr>
          <w:rtl/>
        </w:rPr>
        <w:t>وفيما</w:t>
      </w:r>
      <w:proofErr w:type="gramEnd"/>
      <w:r w:rsidRPr="007F29E5">
        <w:rPr>
          <w:rtl/>
        </w:rPr>
        <w:t xml:space="preserve"> يخص العمل المقبل للجنة، اتفقت </w:t>
      </w:r>
      <w:r>
        <w:rPr>
          <w:rFonts w:hint="cs"/>
          <w:rtl/>
        </w:rPr>
        <w:t>اللجنة</w:t>
      </w:r>
      <w:r w:rsidRPr="007F29E5">
        <w:rPr>
          <w:rtl/>
        </w:rPr>
        <w:t xml:space="preserve"> على أن تواصل النظر، في دورتها </w:t>
      </w:r>
      <w:r>
        <w:rPr>
          <w:rFonts w:hint="cs"/>
          <w:rtl/>
        </w:rPr>
        <w:t>الثالثة</w:t>
      </w:r>
      <w:r w:rsidRPr="007F29E5">
        <w:rPr>
          <w:rtl/>
        </w:rPr>
        <w:t xml:space="preserve"> عشرة، في برنامج العمل </w:t>
      </w:r>
      <w:r>
        <w:rPr>
          <w:rFonts w:hint="cs"/>
          <w:rtl/>
        </w:rPr>
        <w:t>الحالي</w:t>
      </w:r>
      <w:r w:rsidRPr="007F29E5">
        <w:rPr>
          <w:rtl/>
        </w:rPr>
        <w:t xml:space="preserve">، على النحو الوارد في الفقرة </w:t>
      </w:r>
      <w:r w:rsidR="003543E0">
        <w:rPr>
          <w:rFonts w:hint="cs"/>
          <w:rtl/>
        </w:rPr>
        <w:t>2 من هذه الوثيقة</w:t>
      </w:r>
      <w:r w:rsidRPr="007F29E5">
        <w:rPr>
          <w:rtl/>
        </w:rPr>
        <w:t>.</w:t>
      </w:r>
    </w:p>
    <w:p w:rsidR="003543E0" w:rsidRDefault="003543E0" w:rsidP="003543E0">
      <w:pPr>
        <w:pStyle w:val="DecisionParaAR"/>
      </w:pPr>
      <w:r w:rsidRPr="003543E0">
        <w:rPr>
          <w:rtl/>
        </w:rPr>
        <w:t>إن الجمعية العامة للويبو مدعوة إلى الإحاطة علماً</w:t>
      </w:r>
      <w:r>
        <w:rPr>
          <w:rFonts w:hint="cs"/>
          <w:rtl/>
        </w:rPr>
        <w:t xml:space="preserve"> بوثيقة</w:t>
      </w:r>
      <w:r w:rsidRPr="003543E0">
        <w:rPr>
          <w:rtl/>
        </w:rPr>
        <w:t xml:space="preserve"> "تقرير عن اللجنة الاستشارية المعنية بالإنفاذ" (الوثيقة </w:t>
      </w:r>
      <w:r w:rsidRPr="003543E0">
        <w:t>WO/GA/</w:t>
      </w:r>
      <w:r>
        <w:t>49</w:t>
      </w:r>
      <w:r w:rsidRPr="003543E0">
        <w:t>/</w:t>
      </w:r>
      <w:r>
        <w:t>13</w:t>
      </w:r>
      <w:r w:rsidRPr="003543E0">
        <w:rPr>
          <w:rtl/>
        </w:rPr>
        <w:t>).</w:t>
      </w:r>
    </w:p>
    <w:p w:rsidR="003543E0" w:rsidRPr="00657409" w:rsidRDefault="003543E0" w:rsidP="003543E0">
      <w:pPr>
        <w:pStyle w:val="EndofDocumentAR"/>
      </w:pPr>
      <w:r>
        <w:rPr>
          <w:rFonts w:hint="cs"/>
          <w:rtl/>
        </w:rPr>
        <w:t>[</w:t>
      </w:r>
      <w:proofErr w:type="gramStart"/>
      <w:r>
        <w:rPr>
          <w:rFonts w:hint="cs"/>
          <w:rtl/>
        </w:rPr>
        <w:t>نهاية</w:t>
      </w:r>
      <w:proofErr w:type="gramEnd"/>
      <w:r>
        <w:rPr>
          <w:rFonts w:hint="cs"/>
          <w:rtl/>
        </w:rPr>
        <w:t xml:space="preserve"> الوثيقة]</w:t>
      </w:r>
    </w:p>
    <w:sectPr w:rsidR="003543E0" w:rsidRPr="00657409"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AB" w:rsidRDefault="005623AB">
      <w:r>
        <w:separator/>
      </w:r>
    </w:p>
  </w:endnote>
  <w:endnote w:type="continuationSeparator" w:id="0">
    <w:p w:rsidR="005623AB" w:rsidRDefault="005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AB" w:rsidRDefault="005623AB" w:rsidP="009622BF">
      <w:pPr>
        <w:bidi/>
      </w:pPr>
      <w:bookmarkStart w:id="0" w:name="OLE_LINK1"/>
      <w:bookmarkStart w:id="1" w:name="OLE_LINK2"/>
      <w:r>
        <w:separator/>
      </w:r>
      <w:bookmarkEnd w:id="0"/>
      <w:bookmarkEnd w:id="1"/>
    </w:p>
  </w:footnote>
  <w:footnote w:type="continuationSeparator" w:id="0">
    <w:p w:rsidR="005623AB" w:rsidRDefault="005623AB" w:rsidP="009622BF">
      <w:pPr>
        <w:bidi/>
      </w:pPr>
      <w:r>
        <w:separator/>
      </w:r>
    </w:p>
  </w:footnote>
  <w:footnote w:id="1">
    <w:p w:rsidR="005077A6" w:rsidRDefault="005077A6">
      <w:pPr>
        <w:pStyle w:val="FootnoteText"/>
        <w:rPr>
          <w:rtl/>
          <w:lang w:bidi="ar-EG"/>
        </w:rPr>
      </w:pPr>
      <w:r>
        <w:rPr>
          <w:rStyle w:val="FootnoteReference"/>
        </w:rPr>
        <w:footnoteRef/>
      </w:r>
      <w:r>
        <w:rPr>
          <w:rtl/>
        </w:rPr>
        <w:t xml:space="preserve"> </w:t>
      </w:r>
      <w:r>
        <w:rPr>
          <w:rFonts w:hint="cs"/>
          <w:rtl/>
        </w:rPr>
        <w:t xml:space="preserve">الوثيقة </w:t>
      </w:r>
      <w:r>
        <w:t>WIPO/ACE/12/3</w:t>
      </w:r>
      <w:r>
        <w:rPr>
          <w:rFonts w:hint="cs"/>
          <w:rtl/>
          <w:lang w:bidi="ar-EG"/>
        </w:rPr>
        <w:t xml:space="preserve"> </w:t>
      </w:r>
      <w:proofErr w:type="gramStart"/>
      <w:r>
        <w:rPr>
          <w:rFonts w:hint="cs"/>
          <w:rtl/>
          <w:lang w:bidi="ar-EG"/>
        </w:rPr>
        <w:t>إلى</w:t>
      </w:r>
      <w:proofErr w:type="gramEnd"/>
      <w:r>
        <w:rPr>
          <w:rFonts w:hint="cs"/>
          <w:rtl/>
          <w:lang w:bidi="ar-EG"/>
        </w:rPr>
        <w:t xml:space="preserve"> </w:t>
      </w:r>
      <w:r>
        <w:rPr>
          <w:lang w:bidi="ar-EG"/>
        </w:rPr>
        <w:t>WIPO/ACE/12/14</w:t>
      </w:r>
      <w:r>
        <w:rPr>
          <w:rFonts w:hint="cs"/>
          <w:rtl/>
          <w:lang w:bidi="ar-EG"/>
        </w:rPr>
        <w:t>.</w:t>
      </w:r>
    </w:p>
  </w:footnote>
  <w:footnote w:id="2">
    <w:p w:rsidR="007F29E5" w:rsidRDefault="007F29E5">
      <w:pPr>
        <w:pStyle w:val="FootnoteText"/>
        <w:rPr>
          <w:rtl/>
          <w:lang w:bidi="ar-EG"/>
        </w:rPr>
      </w:pPr>
      <w:r>
        <w:rPr>
          <w:rStyle w:val="FootnoteReference"/>
        </w:rPr>
        <w:footnoteRef/>
      </w:r>
      <w:r>
        <w:rPr>
          <w:rFonts w:hint="cs"/>
          <w:rtl/>
        </w:rPr>
        <w:t xml:space="preserve"> الوثيقة </w:t>
      </w:r>
      <w:r>
        <w:t>WIPO/ACE/12/2</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0C0C72">
    <w:r>
      <w:t>W</w:t>
    </w:r>
    <w:r w:rsidR="00772E46">
      <w:t>O/</w:t>
    </w:r>
    <w:r w:rsidR="0059089F">
      <w:t>GA</w:t>
    </w:r>
    <w:r w:rsidR="002F77FC">
      <w:t>/</w:t>
    </w:r>
    <w:r w:rsidR="009B48E3">
      <w:t>4</w:t>
    </w:r>
    <w:r w:rsidR="000C0C72">
      <w:t>9</w:t>
    </w:r>
    <w:r w:rsidR="005077A6">
      <w:t>/13</w:t>
    </w:r>
  </w:p>
  <w:p w:rsidR="002F77FC" w:rsidRDefault="002F77FC" w:rsidP="00D61541">
    <w:r>
      <w:fldChar w:fldCharType="begin"/>
    </w:r>
    <w:r>
      <w:instrText xml:space="preserve"> PAGE  \* MERGEFORMAT </w:instrText>
    </w:r>
    <w:r>
      <w:fldChar w:fldCharType="separate"/>
    </w:r>
    <w:r w:rsidR="006A6D99">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6822EFB"/>
    <w:multiLevelType w:val="hybridMultilevel"/>
    <w:tmpl w:val="A8D818E8"/>
    <w:lvl w:ilvl="0" w:tplc="28CC6276">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8"/>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A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C7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346"/>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74D"/>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3E0"/>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D06"/>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46F"/>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7A6"/>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3AB"/>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409"/>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D99"/>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397"/>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9E5"/>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92A"/>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795"/>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AC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A7"/>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7EF"/>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qFormat/>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qFormat/>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7124-D879-43F7-8C4E-B28DF688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WO_GA_49_AR.dotx</Template>
  <TotalTime>78</TotalTime>
  <Pages>3</Pages>
  <Words>980</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WO/GA/49/13 (Arabic)</vt:lpstr>
    </vt:vector>
  </TitlesOfParts>
  <Company>World Intellectual Property Organization</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WO/GA/49/13 (Arabic)</dc:title>
  <dc:creator>Ahmed Hassan</dc:creator>
  <cp:lastModifiedBy>YOUSSEF Randa</cp:lastModifiedBy>
  <cp:revision>6</cp:revision>
  <cp:lastPrinted>2017-09-26T10:13:00Z</cp:lastPrinted>
  <dcterms:created xsi:type="dcterms:W3CDTF">2017-09-26T08:24:00Z</dcterms:created>
  <dcterms:modified xsi:type="dcterms:W3CDTF">2017-09-26T10:13:00Z</dcterms:modified>
</cp:coreProperties>
</file>