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A834F7">
              <w:t>47</w:t>
            </w:r>
            <w:r w:rsidR="00B6101C" w:rsidRPr="00B6101C">
              <w:t>/</w:t>
            </w:r>
            <w:r w:rsidR="00D13B6B">
              <w:t>18</w:t>
            </w:r>
          </w:p>
        </w:tc>
      </w:tr>
      <w:tr w:rsidR="001667B6" w:rsidTr="00BF164F">
        <w:tc>
          <w:tcPr>
            <w:tcW w:w="9571" w:type="dxa"/>
            <w:gridSpan w:val="3"/>
          </w:tcPr>
          <w:p w:rsidR="001667B6" w:rsidRPr="00B6101C" w:rsidRDefault="00B6101C" w:rsidP="00D13B6B">
            <w:pPr>
              <w:pStyle w:val="DocumentLanguageAR"/>
              <w:bidi/>
              <w:rPr>
                <w:rtl/>
              </w:rPr>
            </w:pPr>
            <w:r w:rsidRPr="00B6101C">
              <w:rPr>
                <w:rFonts w:hint="cs"/>
                <w:rtl/>
              </w:rPr>
              <w:t xml:space="preserve">الأصل: </w:t>
            </w:r>
            <w:proofErr w:type="gramStart"/>
            <w:r w:rsidR="00D13B6B">
              <w:rPr>
                <w:rFonts w:hint="cs"/>
                <w:rtl/>
              </w:rPr>
              <w:t>بالإنكليزية</w:t>
            </w:r>
            <w:proofErr w:type="gramEnd"/>
          </w:p>
        </w:tc>
      </w:tr>
      <w:tr w:rsidR="001667B6" w:rsidTr="00BF164F">
        <w:tc>
          <w:tcPr>
            <w:tcW w:w="9571" w:type="dxa"/>
            <w:gridSpan w:val="3"/>
          </w:tcPr>
          <w:p w:rsidR="001667B6" w:rsidRPr="00B6101C" w:rsidRDefault="00B6101C" w:rsidP="00D13B6B">
            <w:pPr>
              <w:pStyle w:val="DocumentDateAR"/>
              <w:bidi/>
              <w:rPr>
                <w:rtl/>
              </w:rPr>
            </w:pPr>
            <w:r w:rsidRPr="00B6101C">
              <w:rPr>
                <w:rFonts w:hint="cs"/>
                <w:rtl/>
              </w:rPr>
              <w:t xml:space="preserve">التاريخ: </w:t>
            </w:r>
            <w:r w:rsidR="00D13B6B">
              <w:rPr>
                <w:rFonts w:hint="cs"/>
                <w:rtl/>
              </w:rPr>
              <w:t>11</w:t>
            </w:r>
            <w:r w:rsidRPr="00B6101C">
              <w:rPr>
                <w:rFonts w:hint="cs"/>
                <w:rtl/>
              </w:rPr>
              <w:t xml:space="preserve"> </w:t>
            </w:r>
            <w:proofErr w:type="gramStart"/>
            <w:r w:rsidR="00D13B6B">
              <w:rPr>
                <w:rFonts w:hint="cs"/>
                <w:rtl/>
              </w:rPr>
              <w:t>سبتمبر</w:t>
            </w:r>
            <w:proofErr w:type="gramEnd"/>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A834F7">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13B6B" w:rsidP="00D13B6B">
      <w:pPr>
        <w:pStyle w:val="DocumentTitleAR"/>
        <w:bidi/>
        <w:rPr>
          <w:rtl/>
        </w:rPr>
      </w:pPr>
      <w:r w:rsidRPr="00D13B6B">
        <w:rPr>
          <w:rtl/>
        </w:rPr>
        <w:t>بعض المسائل المتعلقة باللجنة الحكومية الدولية المعنية بالملكية الفكرية والموارد الوراثية والمعارف التقليدية والفولكلور: اقتراح</w:t>
      </w:r>
      <w:r w:rsidR="00D452FF">
        <w:rPr>
          <w:rFonts w:hint="cs"/>
          <w:rtl/>
          <w:lang w:val="fr-CH"/>
        </w:rPr>
        <w:t xml:space="preserve"> من</w:t>
      </w:r>
      <w:r w:rsidRPr="00D13B6B">
        <w:rPr>
          <w:rtl/>
        </w:rPr>
        <w:t xml:space="preserve"> </w:t>
      </w:r>
      <w:r>
        <w:rPr>
          <w:rFonts w:hint="cs"/>
          <w:rtl/>
        </w:rPr>
        <w:t>الكرسي الرسولي وكينيا وموزامبيق ونيوزيلندا والنرويج وسويسرا</w:t>
      </w:r>
      <w:r w:rsidRPr="00D13B6B">
        <w:rPr>
          <w:rtl/>
        </w:rPr>
        <w:t xml:space="preserve"> إلى الجمعية العامة للويبو</w:t>
      </w:r>
    </w:p>
    <w:p w:rsidR="00D61541" w:rsidRPr="00D61541" w:rsidRDefault="00D13B6B"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D13B6B" w:rsidRDefault="00D13B6B" w:rsidP="00D452FF">
      <w:pPr>
        <w:pStyle w:val="NumberedParaAR"/>
      </w:pPr>
      <w:r w:rsidRPr="00D13B6B">
        <w:rPr>
          <w:rtl/>
        </w:rPr>
        <w:t xml:space="preserve">في </w:t>
      </w:r>
      <w:r w:rsidR="00D452FF">
        <w:rPr>
          <w:rFonts w:hint="cs"/>
          <w:rtl/>
        </w:rPr>
        <w:t>تبليغ</w:t>
      </w:r>
      <w:r w:rsidRPr="00D13B6B">
        <w:rPr>
          <w:rtl/>
        </w:rPr>
        <w:t xml:space="preserve"> بتاريخ </w:t>
      </w:r>
      <w:r>
        <w:rPr>
          <w:rFonts w:hint="cs"/>
          <w:rtl/>
        </w:rPr>
        <w:t>7</w:t>
      </w:r>
      <w:r w:rsidRPr="00D13B6B">
        <w:rPr>
          <w:rtl/>
        </w:rPr>
        <w:t xml:space="preserve"> سبتمبر 2015 ترد نسخة منه في المرفق، طلب وفد </w:t>
      </w:r>
      <w:r>
        <w:rPr>
          <w:rFonts w:hint="cs"/>
          <w:rtl/>
        </w:rPr>
        <w:t xml:space="preserve">سويسرا </w:t>
      </w:r>
      <w:r>
        <w:rPr>
          <w:rtl/>
        </w:rPr>
        <w:t>–</w:t>
      </w:r>
      <w:r>
        <w:rPr>
          <w:rFonts w:hint="cs"/>
          <w:rtl/>
        </w:rPr>
        <w:t xml:space="preserve"> باسم وفود الكرسي الرسولي وكينيا وموزامبيق ونيوزيلندا والنرويج وسويسرا </w:t>
      </w:r>
      <w:r>
        <w:rPr>
          <w:rtl/>
        </w:rPr>
        <w:t>–</w:t>
      </w:r>
      <w:r>
        <w:rPr>
          <w:rFonts w:hint="cs"/>
          <w:rtl/>
        </w:rPr>
        <w:t xml:space="preserve"> إتاحة اقتراحه المعنون "اقتراح بشأن تجديد ولاية اللجنة الحكومية الدولية للثنائية 2016-2017 مقدَّم من </w:t>
      </w:r>
      <w:r w:rsidR="00040448">
        <w:rPr>
          <w:rFonts w:hint="cs"/>
          <w:rtl/>
        </w:rPr>
        <w:t xml:space="preserve">وفود </w:t>
      </w:r>
      <w:r>
        <w:rPr>
          <w:rFonts w:hint="cs"/>
          <w:rtl/>
        </w:rPr>
        <w:t>الكرسي الرسولي وكينيا وموزامبيق ونيوزيلندا والنرويج وسويسرا</w:t>
      </w:r>
      <w:r w:rsidR="00040448" w:rsidRPr="00040448">
        <w:rPr>
          <w:rFonts w:hint="cs"/>
          <w:rtl/>
        </w:rPr>
        <w:t xml:space="preserve"> </w:t>
      </w:r>
      <w:r w:rsidR="00040448">
        <w:rPr>
          <w:rFonts w:hint="cs"/>
          <w:rtl/>
        </w:rPr>
        <w:t>إلى سلسلة الاجتماعات الخامسة والخمسين لجمعيات الدول الأعضاء في الويبو</w:t>
      </w:r>
      <w:r>
        <w:rPr>
          <w:rFonts w:hint="cs"/>
          <w:rtl/>
        </w:rPr>
        <w:t>"</w:t>
      </w:r>
      <w:r w:rsidRPr="00D13B6B">
        <w:rPr>
          <w:rtl/>
        </w:rPr>
        <w:t xml:space="preserve"> كوثيقة عمل للمناقشة في إطار البند 17 </w:t>
      </w:r>
      <w:r w:rsidR="00040448">
        <w:rPr>
          <w:rFonts w:hint="cs"/>
          <w:rtl/>
        </w:rPr>
        <w:t xml:space="preserve">من جدول الأعمال </w:t>
      </w:r>
      <w:r w:rsidRPr="00D13B6B">
        <w:rPr>
          <w:rtl/>
        </w:rPr>
        <w:t>"بعض المسائل المتعلقة باللجنة الحكومية الدولية المعنية بالملكية الفكرية والموارد الوراثية والمعارف التقليدية والفولكلور" في الدورة السابعة والأربعين (</w:t>
      </w:r>
      <w:r w:rsidR="00D452FF">
        <w:rPr>
          <w:rFonts w:hint="cs"/>
          <w:rtl/>
        </w:rPr>
        <w:t xml:space="preserve">الدورة </w:t>
      </w:r>
      <w:r w:rsidRPr="00D13B6B">
        <w:rPr>
          <w:rtl/>
        </w:rPr>
        <w:t>العادية الثانية والعشرين) للجمعية العامة للويبو.</w:t>
      </w:r>
    </w:p>
    <w:p w:rsidR="00CB79E4" w:rsidRPr="00D13B6B" w:rsidRDefault="00D13B6B" w:rsidP="00D452FF">
      <w:pPr>
        <w:pStyle w:val="DecisionParaAR"/>
      </w:pPr>
      <w:r>
        <w:rPr>
          <w:rFonts w:hint="cs"/>
          <w:rtl/>
        </w:rPr>
        <w:t xml:space="preserve">إن الجمعية العامة للويبو مدعوة إلى النظر في </w:t>
      </w:r>
      <w:r w:rsidR="00D452FF">
        <w:rPr>
          <w:rFonts w:hint="cs"/>
          <w:rtl/>
        </w:rPr>
        <w:t>التبليغ</w:t>
      </w:r>
      <w:r>
        <w:rPr>
          <w:rFonts w:hint="cs"/>
          <w:rtl/>
        </w:rPr>
        <w:t xml:space="preserve"> الوارد في مرفق هذه الوثيقة.</w:t>
      </w:r>
    </w:p>
    <w:p w:rsidR="004B357D" w:rsidRDefault="00D13B6B" w:rsidP="00D13B6B">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D13B6B" w:rsidRDefault="00D13B6B" w:rsidP="00A834F7">
      <w:pPr>
        <w:bidi/>
        <w:rPr>
          <w:rFonts w:ascii="Arabic Typesetting" w:hAnsi="Arabic Typesetting" w:cs="Arabic Typesetting"/>
          <w:sz w:val="36"/>
          <w:szCs w:val="36"/>
          <w:rtl/>
        </w:rPr>
      </w:pPr>
    </w:p>
    <w:p w:rsidR="00D13B6B" w:rsidRDefault="00D13B6B" w:rsidP="00D13B6B">
      <w:pPr>
        <w:bidi/>
        <w:rPr>
          <w:rFonts w:ascii="Arabic Typesetting" w:hAnsi="Arabic Typesetting" w:cs="Arabic Typesetting"/>
          <w:sz w:val="36"/>
          <w:szCs w:val="36"/>
          <w:rtl/>
        </w:rPr>
        <w:sectPr w:rsidR="00D13B6B" w:rsidSect="00EB7752">
          <w:headerReference w:type="default" r:id="rId10"/>
          <w:pgSz w:w="11907" w:h="16840" w:code="9"/>
          <w:pgMar w:top="567" w:right="1418" w:bottom="1418" w:left="1134" w:header="510" w:footer="1021" w:gutter="0"/>
          <w:cols w:space="720"/>
          <w:titlePg/>
          <w:docGrid w:linePitch="299"/>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1556"/>
        <w:gridCol w:w="4496"/>
      </w:tblGrid>
      <w:tr w:rsidR="00690F9F" w:rsidTr="00690F9F">
        <w:trPr>
          <w:trHeight w:val="1016"/>
        </w:trPr>
        <w:tc>
          <w:tcPr>
            <w:tcW w:w="9571" w:type="dxa"/>
            <w:gridSpan w:val="3"/>
          </w:tcPr>
          <w:p w:rsidR="00690F9F" w:rsidRDefault="004C1F29" w:rsidP="00690F9F">
            <w:pPr>
              <w:bidi/>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48pt;mso-position-horizontal:absolute;mso-position-horizontal-relative:text;mso-position-vertical:absolute;mso-position-vertical-relative:text;mso-width-relative:page;mso-height-relative:page">
                  <v:imagedata r:id="rId11" o:title=""/>
                </v:shape>
              </w:pict>
            </w:r>
          </w:p>
          <w:p w:rsidR="00690F9F" w:rsidRDefault="00690F9F" w:rsidP="007A3904">
            <w:pPr>
              <w:bidi/>
              <w:ind w:left="3145"/>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المعهد الفدرالي السويسري للملكية الفكرية</w:t>
            </w:r>
          </w:p>
        </w:tc>
      </w:tr>
      <w:tr w:rsidR="00690F9F" w:rsidTr="00BC3350">
        <w:tc>
          <w:tcPr>
            <w:tcW w:w="3370" w:type="dxa"/>
          </w:tcPr>
          <w:p w:rsidR="00690F9F" w:rsidRPr="007A3904" w:rsidRDefault="00D452FF" w:rsidP="00A834F7">
            <w:pPr>
              <w:bidi/>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الشؤون القانونية </w:t>
            </w:r>
            <w:proofErr w:type="gramStart"/>
            <w:r>
              <w:rPr>
                <w:rFonts w:ascii="Arabic Typesetting" w:hAnsi="Arabic Typesetting" w:cs="Arabic Typesetting" w:hint="cs"/>
                <w:sz w:val="36"/>
                <w:szCs w:val="36"/>
                <w:rtl/>
                <w:lang w:bidi="ar-EG"/>
              </w:rPr>
              <w:t>والدولية</w:t>
            </w:r>
            <w:proofErr w:type="gramEnd"/>
          </w:p>
        </w:tc>
        <w:tc>
          <w:tcPr>
            <w:tcW w:w="6201" w:type="dxa"/>
            <w:gridSpan w:val="2"/>
          </w:tcPr>
          <w:p w:rsidR="00690F9F" w:rsidRDefault="00690F9F" w:rsidP="007A3904">
            <w:pPr>
              <w:bidi/>
              <w:jc w:val="right"/>
              <w:rPr>
                <w:rFonts w:ascii="Arabic Typesetting" w:hAnsi="Arabic Typesetting" w:cs="Arabic Typesetting"/>
                <w:sz w:val="36"/>
                <w:szCs w:val="36"/>
                <w:lang w:bidi="ar-EG"/>
              </w:rPr>
            </w:pPr>
          </w:p>
        </w:tc>
      </w:tr>
      <w:tr w:rsidR="00690F9F" w:rsidTr="00BC3350">
        <w:tc>
          <w:tcPr>
            <w:tcW w:w="3370" w:type="dxa"/>
          </w:tcPr>
          <w:p w:rsidR="00690F9F" w:rsidRDefault="00690F9F" w:rsidP="00A834F7">
            <w:pPr>
              <w:bidi/>
              <w:rPr>
                <w:rFonts w:ascii="Arabic Typesetting" w:hAnsi="Arabic Typesetting" w:cs="Arabic Typesetting"/>
                <w:sz w:val="36"/>
                <w:szCs w:val="36"/>
                <w:lang w:bidi="ar-EG"/>
              </w:rPr>
            </w:pPr>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690F9F" w:rsidP="00690F9F">
            <w:pPr>
              <w:rPr>
                <w:rFonts w:ascii="Arabic Typesetting" w:hAnsi="Arabic Typesetting" w:cs="Arabic Typesetting"/>
                <w:sz w:val="36"/>
                <w:szCs w:val="36"/>
                <w:lang w:bidi="ar-EG"/>
              </w:rPr>
            </w:pPr>
          </w:p>
        </w:tc>
      </w:tr>
      <w:tr w:rsidR="00690F9F" w:rsidTr="00BC3350">
        <w:trPr>
          <w:trHeight w:val="1089"/>
        </w:trPr>
        <w:tc>
          <w:tcPr>
            <w:tcW w:w="3370" w:type="dxa"/>
          </w:tcPr>
          <w:p w:rsidR="00690F9F" w:rsidRDefault="00690F9F" w:rsidP="00F70D8A">
            <w:pPr>
              <w:pStyle w:val="NormalParaAR"/>
              <w:spacing w:after="0"/>
              <w:rPr>
                <w:rtl/>
                <w:lang w:bidi="ar-EG"/>
              </w:rPr>
            </w:pPr>
            <w:r>
              <w:rPr>
                <w:rFonts w:hint="cs"/>
                <w:rtl/>
                <w:lang w:bidi="ar-EG"/>
              </w:rPr>
              <w:t>المنظمة العالمية للملكية الفكرية (الويبو)</w:t>
            </w:r>
          </w:p>
          <w:p w:rsidR="00690F9F" w:rsidRDefault="00690F9F" w:rsidP="00040448">
            <w:pPr>
              <w:pStyle w:val="NormalParaAR"/>
              <w:bidi w:val="0"/>
              <w:spacing w:after="0"/>
              <w:ind w:firstLine="429"/>
              <w:rPr>
                <w:lang w:bidi="ar-EG"/>
              </w:rPr>
            </w:pPr>
            <w:r>
              <w:rPr>
                <w:lang w:bidi="ar-EG"/>
              </w:rPr>
              <w:t xml:space="preserve">34, </w:t>
            </w:r>
            <w:proofErr w:type="spellStart"/>
            <w:r>
              <w:rPr>
                <w:lang w:bidi="ar-EG"/>
              </w:rPr>
              <w:t>chemin</w:t>
            </w:r>
            <w:proofErr w:type="spellEnd"/>
            <w:r>
              <w:rPr>
                <w:lang w:bidi="ar-EG"/>
              </w:rPr>
              <w:t xml:space="preserve"> des </w:t>
            </w:r>
            <w:proofErr w:type="spellStart"/>
            <w:r>
              <w:rPr>
                <w:lang w:bidi="ar-EG"/>
              </w:rPr>
              <w:t>Colombettes</w:t>
            </w:r>
            <w:proofErr w:type="spellEnd"/>
          </w:p>
          <w:p w:rsidR="00690F9F" w:rsidRDefault="00690F9F" w:rsidP="00040448">
            <w:pPr>
              <w:pStyle w:val="NormalParaAR"/>
              <w:bidi w:val="0"/>
              <w:spacing w:after="0"/>
              <w:ind w:firstLine="429"/>
              <w:rPr>
                <w:rtl/>
                <w:lang w:bidi="ar-EG"/>
              </w:rPr>
            </w:pPr>
            <w:r>
              <w:rPr>
                <w:lang w:bidi="ar-EG"/>
              </w:rPr>
              <w:t>1211 Geneva 20</w:t>
            </w:r>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690F9F" w:rsidP="00A834F7">
            <w:pPr>
              <w:bidi/>
              <w:rPr>
                <w:rFonts w:ascii="Arabic Typesetting" w:hAnsi="Arabic Typesetting" w:cs="Arabic Typesetting"/>
                <w:sz w:val="36"/>
                <w:szCs w:val="36"/>
                <w:rtl/>
                <w:lang w:bidi="ar-EG"/>
              </w:rPr>
            </w:pPr>
          </w:p>
        </w:tc>
      </w:tr>
      <w:tr w:rsidR="00690F9F" w:rsidTr="00BC3350">
        <w:tc>
          <w:tcPr>
            <w:tcW w:w="3370" w:type="dxa"/>
          </w:tcPr>
          <w:p w:rsidR="00690F9F" w:rsidRDefault="00690F9F" w:rsidP="00A834F7">
            <w:pPr>
              <w:bidi/>
              <w:rPr>
                <w:rFonts w:ascii="Arabic Typesetting" w:hAnsi="Arabic Typesetting" w:cs="Arabic Typesetting"/>
                <w:sz w:val="36"/>
                <w:szCs w:val="36"/>
                <w:rtl/>
                <w:lang w:bidi="ar-EG"/>
              </w:rPr>
            </w:pPr>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690F9F" w:rsidP="00A834F7">
            <w:pPr>
              <w:bidi/>
              <w:rPr>
                <w:rFonts w:ascii="Arabic Typesetting" w:hAnsi="Arabic Typesetting" w:cs="Arabic Typesetting"/>
                <w:sz w:val="36"/>
                <w:szCs w:val="36"/>
                <w:rtl/>
                <w:lang w:bidi="ar-EG"/>
              </w:rPr>
            </w:pPr>
          </w:p>
        </w:tc>
      </w:tr>
      <w:tr w:rsidR="00690F9F" w:rsidTr="00BC3350">
        <w:tc>
          <w:tcPr>
            <w:tcW w:w="3370" w:type="dxa"/>
          </w:tcPr>
          <w:p w:rsidR="00690F9F" w:rsidRDefault="00690F9F" w:rsidP="00A834F7">
            <w:pPr>
              <w:bidi/>
              <w:rPr>
                <w:rFonts w:ascii="Arabic Typesetting" w:hAnsi="Arabic Typesetting" w:cs="Arabic Typesetting"/>
                <w:sz w:val="36"/>
                <w:szCs w:val="36"/>
                <w:rtl/>
                <w:lang w:bidi="ar-EG"/>
              </w:rPr>
            </w:pPr>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690F9F" w:rsidP="00F70D8A">
            <w:pPr>
              <w:pStyle w:val="NormalParaAR"/>
              <w:spacing w:after="0"/>
              <w:rPr>
                <w:rtl/>
                <w:lang w:bidi="ar-EG"/>
              </w:rPr>
            </w:pPr>
            <w:r>
              <w:rPr>
                <w:rFonts w:hint="cs"/>
                <w:rtl/>
                <w:lang w:bidi="ar-EG"/>
              </w:rPr>
              <w:t xml:space="preserve">برن، 7 </w:t>
            </w:r>
            <w:proofErr w:type="gramStart"/>
            <w:r>
              <w:rPr>
                <w:rFonts w:hint="cs"/>
                <w:rtl/>
                <w:lang w:bidi="ar-EG"/>
              </w:rPr>
              <w:t>سبتمبر</w:t>
            </w:r>
            <w:proofErr w:type="gramEnd"/>
            <w:r>
              <w:rPr>
                <w:rFonts w:hint="cs"/>
                <w:rtl/>
                <w:lang w:bidi="ar-EG"/>
              </w:rPr>
              <w:t xml:space="preserve"> 2015</w:t>
            </w:r>
          </w:p>
        </w:tc>
      </w:tr>
      <w:tr w:rsidR="00690F9F" w:rsidTr="00BC3350">
        <w:tc>
          <w:tcPr>
            <w:tcW w:w="3370" w:type="dxa"/>
          </w:tcPr>
          <w:p w:rsidR="00690F9F" w:rsidRDefault="00690F9F" w:rsidP="00A834F7">
            <w:pPr>
              <w:bidi/>
              <w:rPr>
                <w:rFonts w:ascii="Arabic Typesetting" w:hAnsi="Arabic Typesetting" w:cs="Arabic Typesetting"/>
                <w:sz w:val="36"/>
                <w:szCs w:val="36"/>
                <w:rtl/>
                <w:lang w:bidi="ar-EG"/>
              </w:rPr>
            </w:pPr>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690F9F" w:rsidP="00F70D8A">
            <w:pPr>
              <w:pStyle w:val="NormalParaAR"/>
              <w:spacing w:after="0"/>
              <w:rPr>
                <w:lang w:bidi="ar-EG"/>
              </w:rPr>
            </w:pPr>
          </w:p>
        </w:tc>
      </w:tr>
      <w:tr w:rsidR="00690F9F" w:rsidTr="00BC3350">
        <w:tc>
          <w:tcPr>
            <w:tcW w:w="3370" w:type="dxa"/>
          </w:tcPr>
          <w:p w:rsidR="00690F9F" w:rsidRDefault="00690F9F" w:rsidP="00A834F7">
            <w:pPr>
              <w:bidi/>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رمزنا المرجعي: </w:t>
            </w:r>
            <w:r>
              <w:rPr>
                <w:rFonts w:ascii="Arabic Typesetting" w:hAnsi="Arabic Typesetting" w:cs="Arabic Typesetting"/>
                <w:sz w:val="36"/>
                <w:szCs w:val="36"/>
                <w:lang w:bidi="ar-EG"/>
              </w:rPr>
              <w:t>WIPO/</w:t>
            </w:r>
            <w:proofErr w:type="spellStart"/>
            <w:r>
              <w:rPr>
                <w:rFonts w:ascii="Arabic Typesetting" w:hAnsi="Arabic Typesetting" w:cs="Arabic Typesetting"/>
                <w:sz w:val="36"/>
                <w:szCs w:val="36"/>
                <w:lang w:bidi="ar-EG"/>
              </w:rPr>
              <w:t>Gir</w:t>
            </w:r>
            <w:proofErr w:type="spellEnd"/>
          </w:p>
        </w:tc>
        <w:tc>
          <w:tcPr>
            <w:tcW w:w="1927" w:type="dxa"/>
          </w:tcPr>
          <w:p w:rsidR="00690F9F" w:rsidRDefault="00690F9F" w:rsidP="00A834F7">
            <w:pPr>
              <w:bidi/>
              <w:rPr>
                <w:rFonts w:ascii="Arabic Typesetting" w:hAnsi="Arabic Typesetting" w:cs="Arabic Typesetting"/>
                <w:sz w:val="36"/>
                <w:szCs w:val="36"/>
                <w:rtl/>
                <w:lang w:bidi="ar-EG"/>
              </w:rPr>
            </w:pPr>
          </w:p>
        </w:tc>
        <w:tc>
          <w:tcPr>
            <w:tcW w:w="4274" w:type="dxa"/>
          </w:tcPr>
          <w:p w:rsidR="00690F9F" w:rsidRDefault="00F70D8A" w:rsidP="00A834F7">
            <w:pPr>
              <w:bidi/>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الهاتف</w:t>
            </w:r>
            <w:proofErr w:type="gramEnd"/>
            <w:r>
              <w:rPr>
                <w:rFonts w:ascii="Arabic Typesetting" w:hAnsi="Arabic Typesetting" w:cs="Arabic Typesetting" w:hint="cs"/>
                <w:sz w:val="36"/>
                <w:szCs w:val="36"/>
                <w:rtl/>
                <w:lang w:bidi="ar-EG"/>
              </w:rPr>
              <w:t xml:space="preserve"> المباشر</w:t>
            </w:r>
            <w:r w:rsidR="00040448">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+41 31 377 72 11</w:t>
            </w:r>
          </w:p>
        </w:tc>
      </w:tr>
    </w:tbl>
    <w:p w:rsidR="00690F9F" w:rsidRPr="00F70D8A" w:rsidRDefault="00BC3350" w:rsidP="00040448">
      <w:pPr>
        <w:pStyle w:val="NormalParaAR"/>
        <w:spacing w:before="720"/>
        <w:rPr>
          <w:b/>
          <w:bCs/>
          <w:rtl/>
          <w:lang w:bidi="ar-EG"/>
        </w:rPr>
      </w:pPr>
      <w:r w:rsidRPr="00F70D8A">
        <w:rPr>
          <w:b/>
          <w:bCs/>
          <w:rtl/>
          <w:lang w:bidi="ar-EG"/>
        </w:rPr>
        <w:t>اقتراح بشأن تجديد ولاية اللجنة الحكومية الدولية للثنائية 2016-2017 مقدَّم من</w:t>
      </w:r>
      <w:r w:rsidR="00040448">
        <w:rPr>
          <w:rFonts w:hint="cs"/>
          <w:b/>
          <w:bCs/>
          <w:rtl/>
          <w:lang w:bidi="ar-EG"/>
        </w:rPr>
        <w:t xml:space="preserve"> وفود</w:t>
      </w:r>
      <w:r w:rsidRPr="00F70D8A">
        <w:rPr>
          <w:b/>
          <w:bCs/>
          <w:rtl/>
          <w:lang w:bidi="ar-EG"/>
        </w:rPr>
        <w:t xml:space="preserve"> الكرسي الرسولي وكينيا وموزامبيق ونيوزيلندا والنرويج وسويسرا</w:t>
      </w:r>
      <w:r w:rsidR="00040448">
        <w:rPr>
          <w:rFonts w:hint="cs"/>
          <w:b/>
          <w:bCs/>
          <w:rtl/>
          <w:lang w:bidi="ar-EG"/>
        </w:rPr>
        <w:t xml:space="preserve"> </w:t>
      </w:r>
      <w:r w:rsidR="00040448" w:rsidRPr="00F70D8A">
        <w:rPr>
          <w:b/>
          <w:bCs/>
          <w:rtl/>
          <w:lang w:bidi="ar-EG"/>
        </w:rPr>
        <w:t>إلى سلسلة الاجتماعات الخامسة والخمسين لجمعيات الدول الأعضاء في الويبو</w:t>
      </w:r>
    </w:p>
    <w:p w:rsidR="00BC3350" w:rsidRDefault="00BC3350" w:rsidP="00F70D8A">
      <w:pPr>
        <w:pStyle w:val="NormalParaAR"/>
        <w:rPr>
          <w:rtl/>
          <w:lang w:bidi="ar-EG"/>
        </w:rPr>
      </w:pPr>
      <w:r>
        <w:rPr>
          <w:rFonts w:hint="cs"/>
          <w:rtl/>
          <w:lang w:bidi="ar-EG"/>
        </w:rPr>
        <w:t xml:space="preserve">السيدات </w:t>
      </w:r>
      <w:proofErr w:type="gramStart"/>
      <w:r>
        <w:rPr>
          <w:rFonts w:hint="cs"/>
          <w:rtl/>
          <w:lang w:bidi="ar-EG"/>
        </w:rPr>
        <w:t>والسادة</w:t>
      </w:r>
      <w:proofErr w:type="gramEnd"/>
      <w:r>
        <w:rPr>
          <w:rFonts w:hint="cs"/>
          <w:rtl/>
          <w:lang w:bidi="ar-EG"/>
        </w:rPr>
        <w:t>،</w:t>
      </w:r>
    </w:p>
    <w:p w:rsidR="00BC3350" w:rsidRDefault="00BC3350" w:rsidP="00E478A1">
      <w:pPr>
        <w:pStyle w:val="NormalParaAR"/>
        <w:rPr>
          <w:rtl/>
          <w:lang w:bidi="ar-EG"/>
        </w:rPr>
      </w:pPr>
      <w:r>
        <w:rPr>
          <w:rFonts w:hint="cs"/>
          <w:rtl/>
          <w:lang w:bidi="ar-EG"/>
        </w:rPr>
        <w:t xml:space="preserve">يشرفني أن أقدم إليكم، باسم وفود </w:t>
      </w:r>
      <w:r w:rsidRPr="00BC3350">
        <w:rPr>
          <w:rtl/>
          <w:lang w:bidi="ar-EG"/>
        </w:rPr>
        <w:t>الكرسي الرسولي وكينيا وموزامبيق ونيوزيلندا والنرويج وسويسرا</w:t>
      </w:r>
      <w:r>
        <w:rPr>
          <w:rFonts w:hint="cs"/>
          <w:rtl/>
          <w:lang w:bidi="ar-EG"/>
        </w:rPr>
        <w:t xml:space="preserve"> وفي إطار سلسلة الاجتماعات الخامسة والخمسين للدول الأعضاء في الويبو المزمع عقدها من 5 إلى 14 أكتوبر 2015، اقتراحاً </w:t>
      </w:r>
      <w:r w:rsidRPr="00BC3350">
        <w:rPr>
          <w:rtl/>
          <w:lang w:bidi="ar-EG"/>
        </w:rPr>
        <w:t>بشأن تجديد ولاية اللجنة الحكومية الدولية للثنائية 2016-2017</w:t>
      </w:r>
      <w:r>
        <w:rPr>
          <w:rFonts w:hint="cs"/>
          <w:rtl/>
          <w:lang w:bidi="ar-EG"/>
        </w:rPr>
        <w:t xml:space="preserve"> المقبلة كاقتراح يُنظر فيه في إطار البند 17 من جدول الأعمال. وترد</w:t>
      </w:r>
      <w:r w:rsidR="00E478A1">
        <w:rPr>
          <w:rFonts w:hint="eastAsia"/>
          <w:rtl/>
          <w:lang w:bidi="ar-EG"/>
        </w:rPr>
        <w:t> </w:t>
      </w:r>
      <w:proofErr w:type="gramStart"/>
      <w:r>
        <w:rPr>
          <w:rFonts w:hint="cs"/>
          <w:rtl/>
          <w:lang w:bidi="ar-EG"/>
        </w:rPr>
        <w:t>مذكرة</w:t>
      </w:r>
      <w:proofErr w:type="gramEnd"/>
      <w:r>
        <w:rPr>
          <w:rFonts w:hint="cs"/>
          <w:rtl/>
          <w:lang w:bidi="ar-EG"/>
        </w:rPr>
        <w:t xml:space="preserve"> إيضاحية عن هذا الاقتراح في مرفق هذا البلاغ </w:t>
      </w:r>
      <w:r w:rsidR="00040448">
        <w:rPr>
          <w:rFonts w:hint="cs"/>
          <w:rtl/>
          <w:lang w:bidi="ar-EG"/>
        </w:rPr>
        <w:t>لغرض الإعلام فقط</w:t>
      </w:r>
      <w:r>
        <w:rPr>
          <w:rFonts w:hint="cs"/>
          <w:rtl/>
          <w:lang w:bidi="ar-EG"/>
        </w:rPr>
        <w:t>.</w:t>
      </w:r>
    </w:p>
    <w:p w:rsidR="00BC3350" w:rsidRDefault="00BC3350" w:rsidP="00F70D8A">
      <w:pPr>
        <w:pStyle w:val="NormalParaAR"/>
        <w:rPr>
          <w:rtl/>
          <w:lang w:bidi="ar-EG"/>
        </w:rPr>
      </w:pPr>
      <w:r>
        <w:rPr>
          <w:rFonts w:hint="cs"/>
          <w:rtl/>
          <w:lang w:bidi="ar-EG"/>
        </w:rPr>
        <w:t>وأرجو</w:t>
      </w:r>
      <w:r w:rsidR="00467020">
        <w:rPr>
          <w:rFonts w:hint="cs"/>
          <w:rtl/>
          <w:lang w:bidi="ar-EG"/>
        </w:rPr>
        <w:t xml:space="preserve"> منكم التفضل</w:t>
      </w:r>
      <w:r>
        <w:rPr>
          <w:rFonts w:hint="cs"/>
          <w:rtl/>
          <w:lang w:bidi="ar-EG"/>
        </w:rPr>
        <w:t xml:space="preserve"> </w:t>
      </w:r>
      <w:r w:rsidR="00467020">
        <w:rPr>
          <w:rFonts w:hint="cs"/>
          <w:rtl/>
          <w:lang w:bidi="ar-EG"/>
        </w:rPr>
        <w:t>ب</w:t>
      </w:r>
      <w:r>
        <w:rPr>
          <w:rFonts w:hint="cs"/>
          <w:rtl/>
          <w:lang w:bidi="ar-EG"/>
        </w:rPr>
        <w:t xml:space="preserve">توزيع </w:t>
      </w:r>
      <w:proofErr w:type="gramStart"/>
      <w:r>
        <w:rPr>
          <w:rFonts w:hint="cs"/>
          <w:rtl/>
          <w:lang w:bidi="ar-EG"/>
        </w:rPr>
        <w:t>هاتين</w:t>
      </w:r>
      <w:proofErr w:type="gramEnd"/>
      <w:r>
        <w:rPr>
          <w:rFonts w:hint="cs"/>
          <w:rtl/>
          <w:lang w:bidi="ar-EG"/>
        </w:rPr>
        <w:t xml:space="preserve"> الوثيقتين.</w:t>
      </w:r>
    </w:p>
    <w:p w:rsidR="00BC3350" w:rsidRDefault="00BC3350" w:rsidP="00F70D8A">
      <w:pPr>
        <w:pStyle w:val="NormalParaAR"/>
        <w:jc w:val="center"/>
        <w:rPr>
          <w:rtl/>
          <w:lang w:bidi="ar-EG"/>
        </w:rPr>
      </w:pPr>
      <w:r>
        <w:rPr>
          <w:rFonts w:hint="cs"/>
          <w:rtl/>
          <w:lang w:bidi="ar-EG"/>
        </w:rPr>
        <w:t xml:space="preserve">وتفضلوا بقبول فائق الاحترام </w:t>
      </w:r>
      <w:proofErr w:type="gramStart"/>
      <w:r>
        <w:rPr>
          <w:rFonts w:hint="cs"/>
          <w:rtl/>
          <w:lang w:bidi="ar-EG"/>
        </w:rPr>
        <w:t>والتقدير</w:t>
      </w:r>
      <w:proofErr w:type="gramEnd"/>
      <w:r>
        <w:rPr>
          <w:rFonts w:hint="cs"/>
          <w:rtl/>
          <w:lang w:bidi="ar-EG"/>
        </w:rPr>
        <w:t>،</w:t>
      </w:r>
    </w:p>
    <w:p w:rsidR="00BC3350" w:rsidRPr="00F70D8A" w:rsidRDefault="00BC3350" w:rsidP="00BC3350">
      <w:pPr>
        <w:pStyle w:val="EndofDocumentAR"/>
        <w:rPr>
          <w:i/>
          <w:iCs/>
          <w:rtl/>
          <w:lang w:bidi="ar-EG"/>
        </w:rPr>
      </w:pPr>
      <w:r w:rsidRPr="00F70D8A">
        <w:rPr>
          <w:rFonts w:hint="cs"/>
          <w:i/>
          <w:iCs/>
          <w:rtl/>
          <w:lang w:bidi="ar-EG"/>
        </w:rPr>
        <w:t>[التوقيع]</w:t>
      </w:r>
    </w:p>
    <w:p w:rsidR="00BC3350" w:rsidRDefault="00BC3350" w:rsidP="00467020">
      <w:pPr>
        <w:pStyle w:val="EndofDocumentAR"/>
        <w:rPr>
          <w:rtl/>
          <w:lang w:bidi="ar-EG"/>
        </w:rPr>
      </w:pPr>
      <w:r>
        <w:rPr>
          <w:rFonts w:hint="cs"/>
          <w:rtl/>
          <w:lang w:bidi="ar-EG"/>
        </w:rPr>
        <w:t>مارتن غيرسبر</w:t>
      </w:r>
      <w:r w:rsidR="00467020">
        <w:rPr>
          <w:rFonts w:hint="cs"/>
          <w:rtl/>
          <w:lang w:bidi="ar-EG"/>
        </w:rPr>
        <w:t>غ</w:t>
      </w:r>
      <w:r>
        <w:rPr>
          <w:rFonts w:hint="cs"/>
          <w:rtl/>
          <w:lang w:bidi="ar-EG"/>
        </w:rPr>
        <w:t>ر</w:t>
      </w:r>
    </w:p>
    <w:p w:rsidR="00BC3350" w:rsidRDefault="00BC3350" w:rsidP="00A41DF4">
      <w:pPr>
        <w:pStyle w:val="NormalParaAR"/>
        <w:rPr>
          <w:b/>
          <w:bCs/>
          <w:rtl/>
          <w:lang w:bidi="ar-EG"/>
        </w:rPr>
      </w:pPr>
      <w:r w:rsidRPr="00F70D8A">
        <w:rPr>
          <w:rFonts w:hint="cs"/>
          <w:b/>
          <w:bCs/>
          <w:rtl/>
          <w:lang w:bidi="ar-EG"/>
        </w:rPr>
        <w:t>المرفقات</w:t>
      </w:r>
    </w:p>
    <w:p w:rsidR="00BC3350" w:rsidRPr="00F70D8A" w:rsidRDefault="00F70D8A" w:rsidP="00A41DF4">
      <w:pPr>
        <w:pStyle w:val="NormalParaAR"/>
        <w:keepNext/>
        <w:pageBreakBefore/>
        <w:rPr>
          <w:b/>
          <w:bCs/>
          <w:rtl/>
          <w:lang w:bidi="ar-EG"/>
        </w:rPr>
      </w:pPr>
      <w:r w:rsidRPr="00F70D8A">
        <w:rPr>
          <w:rFonts w:hint="cs"/>
          <w:b/>
          <w:bCs/>
          <w:rtl/>
          <w:lang w:bidi="ar-EG"/>
        </w:rPr>
        <w:lastRenderedPageBreak/>
        <w:t>اقتراح للبت في البند 17 من جدول الأعمال المعنون</w:t>
      </w:r>
      <w:r w:rsidRPr="00F70D8A">
        <w:rPr>
          <w:b/>
          <w:bCs/>
          <w:rtl/>
          <w:lang w:bidi="ar-EG"/>
        </w:rPr>
        <w:t xml:space="preserve"> "بعض المسائل المتعلقة باللجنة الحكومية الدولية المعنية بالملكية الفكرية والموارد الوراثية والمعارف التقليدية والفولكلور"</w:t>
      </w:r>
    </w:p>
    <w:p w:rsidR="00F70D8A" w:rsidRPr="00F70D8A" w:rsidRDefault="00F70D8A" w:rsidP="00E27C4C">
      <w:pPr>
        <w:pStyle w:val="NormalParaAR"/>
        <w:keepNext/>
        <w:rPr>
          <w:b/>
          <w:bCs/>
          <w:rtl/>
          <w:lang w:bidi="ar-EG"/>
        </w:rPr>
      </w:pPr>
      <w:r w:rsidRPr="00F70D8A">
        <w:rPr>
          <w:rFonts w:hint="cs"/>
          <w:b/>
          <w:bCs/>
          <w:rtl/>
          <w:lang w:bidi="ar-EG"/>
        </w:rPr>
        <w:t>اقتراح بشأن تجديد ولاية اللجنة للثنائية 2016-2017 مقد</w:t>
      </w:r>
      <w:r w:rsidR="00B07EF6">
        <w:rPr>
          <w:rFonts w:hint="cs"/>
          <w:b/>
          <w:bCs/>
          <w:rtl/>
          <w:lang w:bidi="ar-EG"/>
        </w:rPr>
        <w:t>َّ</w:t>
      </w:r>
      <w:r w:rsidRPr="00F70D8A">
        <w:rPr>
          <w:rFonts w:hint="cs"/>
          <w:b/>
          <w:bCs/>
          <w:rtl/>
          <w:lang w:bidi="ar-EG"/>
        </w:rPr>
        <w:t>م من</w:t>
      </w:r>
      <w:r w:rsidR="00E27C4C">
        <w:rPr>
          <w:rFonts w:hint="cs"/>
          <w:b/>
          <w:bCs/>
          <w:rtl/>
          <w:lang w:bidi="ar-EG"/>
        </w:rPr>
        <w:t xml:space="preserve"> وفود</w:t>
      </w:r>
      <w:r w:rsidRPr="00F70D8A">
        <w:rPr>
          <w:rFonts w:hint="cs"/>
          <w:b/>
          <w:bCs/>
          <w:rtl/>
          <w:lang w:bidi="ar-EG"/>
        </w:rPr>
        <w:t xml:space="preserve"> الكرسي الرسولي وكينيا وموزامبيق ونيوزيلندا والنرويج وسويسرا</w:t>
      </w:r>
      <w:r w:rsidR="00E27C4C" w:rsidRPr="00E27C4C">
        <w:rPr>
          <w:rFonts w:hint="cs"/>
          <w:b/>
          <w:bCs/>
          <w:rtl/>
          <w:lang w:bidi="ar-EG"/>
        </w:rPr>
        <w:t xml:space="preserve"> </w:t>
      </w:r>
      <w:r w:rsidR="00E27C4C" w:rsidRPr="00F70D8A">
        <w:rPr>
          <w:rFonts w:hint="cs"/>
          <w:b/>
          <w:bCs/>
          <w:rtl/>
          <w:lang w:bidi="ar-EG"/>
        </w:rPr>
        <w:t>إلى سلسة الاجتماعات الخامسة والخمسين لجمعيات الدول الأعضاء في الويبو</w:t>
      </w:r>
    </w:p>
    <w:p w:rsidR="00F70D8A" w:rsidRDefault="00F70D8A" w:rsidP="00B35118">
      <w:pPr>
        <w:pStyle w:val="NormalParaAR"/>
        <w:keepNext/>
        <w:rPr>
          <w:rtl/>
          <w:lang w:bidi="ar-EG"/>
        </w:rPr>
      </w:pPr>
      <w:r>
        <w:rPr>
          <w:rFonts w:hint="cs"/>
          <w:rtl/>
          <w:lang w:bidi="ar-EG"/>
        </w:rPr>
        <w:t>إ</w:t>
      </w:r>
      <w:r>
        <w:rPr>
          <w:rtl/>
          <w:lang w:bidi="ar-EG"/>
        </w:rPr>
        <w:t>ذ تضع الجمعية العامة للويبو في اعتبارها توصيات جدول أعمال التنمية وتقرّ بالتقدم المحرز، توافق على تجديد</w:t>
      </w:r>
      <w:r>
        <w:rPr>
          <w:cs/>
          <w:lang w:bidi="ar-EG"/>
        </w:rPr>
        <w:t>‎</w:t>
      </w:r>
      <w:r>
        <w:rPr>
          <w:rtl/>
          <w:lang w:bidi="ar-EG"/>
        </w:rPr>
        <w:t xml:space="preserve"> ‏ولاية لجنة الويبو الحكومية الدولية المعنية بالملكية الفكرية والموارد الوراثية والمعارف التقليدية والفولكلور</w:t>
      </w:r>
      <w:r>
        <w:rPr>
          <w:rFonts w:hint="cs"/>
          <w:rtl/>
          <w:lang w:bidi="ar-EG"/>
        </w:rPr>
        <w:t xml:space="preserve"> (اللجنة)</w:t>
      </w:r>
      <w:r>
        <w:rPr>
          <w:rtl/>
          <w:lang w:bidi="ar-EG"/>
        </w:rPr>
        <w:t xml:space="preserve"> على النحو التالي:</w:t>
      </w:r>
    </w:p>
    <w:p w:rsidR="00F70D8A" w:rsidRDefault="00F70D8A" w:rsidP="00F70D8A">
      <w:pPr>
        <w:pStyle w:val="NormalParaAR"/>
        <w:rPr>
          <w:rtl/>
          <w:lang w:bidi="ar-EG"/>
        </w:rPr>
      </w:pPr>
      <w:r>
        <w:rPr>
          <w:rtl/>
          <w:lang w:bidi="ar-EG"/>
        </w:rPr>
        <w:t>(أ)</w:t>
      </w:r>
      <w:r>
        <w:rPr>
          <w:rtl/>
          <w:lang w:bidi="ar-EG"/>
        </w:rPr>
        <w:tab/>
        <w:t>إن اللجنة، خلال ثنائية الميزانية المقبلة 20</w:t>
      </w:r>
      <w:r>
        <w:rPr>
          <w:rFonts w:hint="cs"/>
          <w:rtl/>
          <w:lang w:bidi="ar-EG"/>
        </w:rPr>
        <w:t>16</w:t>
      </w:r>
      <w:r>
        <w:rPr>
          <w:rtl/>
          <w:lang w:bidi="ar-EG"/>
        </w:rPr>
        <w:t>/201</w:t>
      </w:r>
      <w:r>
        <w:rPr>
          <w:rFonts w:hint="cs"/>
          <w:rtl/>
          <w:lang w:bidi="ar-EG"/>
        </w:rPr>
        <w:t>7</w:t>
      </w:r>
      <w:r>
        <w:rPr>
          <w:rtl/>
          <w:lang w:bidi="ar-EG"/>
        </w:rPr>
        <w:t>، ودون إخلال بالعمل الجاري في منتديات أخرى، ستواصل تسريع عملها، بانفتاح والتزام تامين، بخصوص المفاوضات المستندة إلى النصوص بهدف التوصل إلى اتفاق حول نص صك قانوني دولي (نصوص صكوك قانونية دولية)</w:t>
      </w:r>
      <w:r>
        <w:rPr>
          <w:rFonts w:hint="cs"/>
          <w:rtl/>
          <w:lang w:bidi="ar-EG"/>
        </w:rPr>
        <w:t xml:space="preserve"> بشأن الملكية الفكرية خلال الثنائية 2016/2017</w:t>
      </w:r>
      <w:r>
        <w:rPr>
          <w:rtl/>
          <w:lang w:bidi="ar-EG"/>
        </w:rPr>
        <w:t xml:space="preserve"> يضمن الحماية الفعالة</w:t>
      </w:r>
      <w:r>
        <w:rPr>
          <w:rFonts w:hint="cs"/>
          <w:rtl/>
          <w:lang w:bidi="ar-EG"/>
        </w:rPr>
        <w:t xml:space="preserve"> والمتوازنة</w:t>
      </w:r>
      <w:r>
        <w:rPr>
          <w:rtl/>
          <w:lang w:bidi="ar-EG"/>
        </w:rPr>
        <w:t xml:space="preserve"> للموارد الوراثية والمعارف التقليدية وأشكال التعبير الثقافي التقليدي.</w:t>
      </w:r>
    </w:p>
    <w:p w:rsidR="00F70D8A" w:rsidRDefault="00F70D8A" w:rsidP="00B35118">
      <w:pPr>
        <w:pStyle w:val="NormalParaAR"/>
        <w:rPr>
          <w:rtl/>
          <w:lang w:bidi="ar-EG"/>
        </w:rPr>
      </w:pPr>
      <w:r>
        <w:rPr>
          <w:rFonts w:hint="cs"/>
          <w:rtl/>
          <w:lang w:bidi="ar-EG"/>
        </w:rPr>
        <w:t>(ب)</w:t>
      </w:r>
      <w:r>
        <w:rPr>
          <w:rtl/>
          <w:lang w:bidi="ar-EG"/>
        </w:rPr>
        <w:tab/>
      </w:r>
      <w:proofErr w:type="gramStart"/>
      <w:r>
        <w:rPr>
          <w:rFonts w:hint="cs"/>
          <w:rtl/>
          <w:lang w:bidi="ar-EG"/>
        </w:rPr>
        <w:t>وإن</w:t>
      </w:r>
      <w:proofErr w:type="gramEnd"/>
      <w:r>
        <w:rPr>
          <w:rFonts w:hint="cs"/>
          <w:rtl/>
          <w:lang w:bidi="ar-EG"/>
        </w:rPr>
        <w:t xml:space="preserve"> رئيس اللجنة</w:t>
      </w:r>
      <w:r w:rsidR="00B35118">
        <w:rPr>
          <w:rFonts w:hint="cs"/>
          <w:rtl/>
          <w:lang w:bidi="ar-EG"/>
        </w:rPr>
        <w:t>،</w:t>
      </w:r>
      <w:r>
        <w:rPr>
          <w:rFonts w:hint="cs"/>
          <w:rtl/>
          <w:lang w:bidi="ar-EG"/>
        </w:rPr>
        <w:t xml:space="preserve"> أو ميسر يعينه رئيس الجمعية العامة</w:t>
      </w:r>
      <w:r w:rsidR="00B35118">
        <w:rPr>
          <w:rFonts w:hint="cs"/>
          <w:rtl/>
          <w:lang w:bidi="ar-EG"/>
        </w:rPr>
        <w:t>،</w:t>
      </w:r>
      <w:r>
        <w:rPr>
          <w:rFonts w:hint="cs"/>
          <w:rtl/>
          <w:lang w:bidi="ar-EG"/>
        </w:rPr>
        <w:t xml:space="preserve"> سيعدُّ</w:t>
      </w:r>
      <w:r w:rsidR="00A41DF4">
        <w:rPr>
          <w:rFonts w:hint="cs"/>
          <w:rtl/>
          <w:lang w:bidi="ar-EG"/>
        </w:rPr>
        <w:t xml:space="preserve"> </w:t>
      </w:r>
      <w:r w:rsidR="00B35118">
        <w:rPr>
          <w:rFonts w:hint="cs"/>
          <w:rtl/>
          <w:lang w:bidi="ar-EG"/>
        </w:rPr>
        <w:t>برنامج عمل</w:t>
      </w:r>
      <w:r>
        <w:rPr>
          <w:rFonts w:hint="cs"/>
          <w:rtl/>
          <w:lang w:bidi="ar-EG"/>
        </w:rPr>
        <w:t xml:space="preserve"> </w:t>
      </w:r>
      <w:r w:rsidR="00B35118">
        <w:rPr>
          <w:rFonts w:hint="cs"/>
          <w:rtl/>
          <w:lang w:bidi="ar-EG"/>
        </w:rPr>
        <w:t>ي</w:t>
      </w:r>
      <w:r>
        <w:rPr>
          <w:rFonts w:hint="cs"/>
          <w:rtl/>
          <w:lang w:bidi="ar-EG"/>
        </w:rPr>
        <w:t>ستند إلى أساليب عمل محكمة للثنائية</w:t>
      </w:r>
      <w:r w:rsidR="00B35118">
        <w:rPr>
          <w:rFonts w:hint="cs"/>
          <w:rtl/>
          <w:lang w:bidi="ar-EG"/>
        </w:rPr>
        <w:t xml:space="preserve"> </w:t>
      </w:r>
      <w:r>
        <w:rPr>
          <w:rFonts w:hint="cs"/>
          <w:rtl/>
          <w:lang w:bidi="ar-EG"/>
        </w:rPr>
        <w:t>17/2016</w:t>
      </w:r>
      <w:r w:rsidR="00A41DF4">
        <w:rPr>
          <w:rFonts w:hint="cs"/>
          <w:rtl/>
          <w:lang w:bidi="ar-EG"/>
        </w:rPr>
        <w:t xml:space="preserve"> بالتعاون مع الدول الأعضاء وقبل نهاية عام 2015</w:t>
      </w:r>
      <w:r>
        <w:rPr>
          <w:rFonts w:hint="cs"/>
          <w:rtl/>
          <w:lang w:bidi="ar-EG"/>
        </w:rPr>
        <w:t>. و</w:t>
      </w:r>
      <w:r w:rsidR="00B35118">
        <w:rPr>
          <w:rFonts w:hint="cs"/>
          <w:rtl/>
          <w:lang w:bidi="ar-EG"/>
        </w:rPr>
        <w:t>ي</w:t>
      </w:r>
      <w:r>
        <w:rPr>
          <w:rFonts w:hint="cs"/>
          <w:rtl/>
          <w:lang w:bidi="ar-EG"/>
        </w:rPr>
        <w:t xml:space="preserve">رد </w:t>
      </w:r>
      <w:r w:rsidR="00B35118">
        <w:rPr>
          <w:rFonts w:hint="cs"/>
          <w:rtl/>
          <w:lang w:bidi="ar-EG"/>
        </w:rPr>
        <w:t xml:space="preserve">برنامج </w:t>
      </w:r>
      <w:proofErr w:type="gramStart"/>
      <w:r w:rsidR="00B35118">
        <w:rPr>
          <w:rFonts w:hint="cs"/>
          <w:rtl/>
          <w:lang w:bidi="ar-EG"/>
        </w:rPr>
        <w:t>عمل</w:t>
      </w:r>
      <w:proofErr w:type="gramEnd"/>
      <w:r>
        <w:rPr>
          <w:rFonts w:hint="cs"/>
          <w:rtl/>
          <w:lang w:bidi="ar-EG"/>
        </w:rPr>
        <w:t xml:space="preserve"> عام في الجدول أدناه لإرشاد مسار </w:t>
      </w:r>
      <w:r w:rsidR="00A41DF4">
        <w:rPr>
          <w:rFonts w:hint="cs"/>
          <w:rtl/>
          <w:lang w:bidi="ar-EG"/>
        </w:rPr>
        <w:t xml:space="preserve">إعداد هذا البرنامج. وستعتمد اللجنة </w:t>
      </w:r>
      <w:proofErr w:type="gramStart"/>
      <w:r w:rsidR="00A41DF4">
        <w:rPr>
          <w:rFonts w:hint="cs"/>
          <w:rtl/>
          <w:lang w:bidi="ar-EG"/>
        </w:rPr>
        <w:t>برنامج</w:t>
      </w:r>
      <w:proofErr w:type="gramEnd"/>
      <w:r w:rsidR="00A41DF4">
        <w:rPr>
          <w:rFonts w:hint="cs"/>
          <w:rtl/>
          <w:lang w:bidi="ar-EG"/>
        </w:rPr>
        <w:t xml:space="preserve"> العمل هذا في أول دورة لها في الثنائية الجديدة. وسينص برنامج العمل على عقد ست دورات للجنة قد تشمل مناقشات مواضيعية ومستعرضة وتقييمية و</w:t>
      </w:r>
      <w:r w:rsidR="00A41DF4" w:rsidRPr="00A41DF4">
        <w:rPr>
          <w:rtl/>
          <w:lang w:bidi="ar-EG"/>
        </w:rPr>
        <w:t>اجتماعات على مستوى السفراء/كبار المسؤولين الحكوميين من العواصم</w:t>
      </w:r>
      <w:r w:rsidR="00A41DF4">
        <w:rPr>
          <w:rFonts w:hint="cs"/>
          <w:rtl/>
          <w:lang w:bidi="ar-EG"/>
        </w:rPr>
        <w:t xml:space="preserve">. ولن يتجاوز إجمالي </w:t>
      </w:r>
      <w:proofErr w:type="gramStart"/>
      <w:r w:rsidR="00A41DF4">
        <w:rPr>
          <w:rFonts w:hint="cs"/>
          <w:rtl/>
          <w:lang w:bidi="ar-EG"/>
        </w:rPr>
        <w:t>عدد</w:t>
      </w:r>
      <w:proofErr w:type="gramEnd"/>
      <w:r w:rsidR="00A41DF4">
        <w:rPr>
          <w:rFonts w:hint="cs"/>
          <w:rtl/>
          <w:lang w:bidi="ar-EG"/>
        </w:rPr>
        <w:t xml:space="preserve"> أيام دورات اللجنة 36 يوماً.</w:t>
      </w:r>
    </w:p>
    <w:p w:rsidR="00B35118" w:rsidRDefault="00B35118" w:rsidP="003E54B7">
      <w:pPr>
        <w:pStyle w:val="NormalParaAR"/>
        <w:rPr>
          <w:rtl/>
          <w:lang w:bidi="ar-EG"/>
        </w:rPr>
      </w:pPr>
      <w:r>
        <w:rPr>
          <w:rFonts w:hint="cs"/>
          <w:rtl/>
          <w:lang w:bidi="ar-EG"/>
        </w:rPr>
        <w:t>(ج)</w:t>
      </w:r>
      <w:r>
        <w:rPr>
          <w:rtl/>
          <w:lang w:bidi="ar-EG"/>
        </w:rPr>
        <w:tab/>
      </w:r>
      <w:proofErr w:type="gramStart"/>
      <w:r>
        <w:rPr>
          <w:rFonts w:hint="cs"/>
          <w:rtl/>
          <w:lang w:bidi="ar-EG"/>
        </w:rPr>
        <w:t>ويُلتمس</w:t>
      </w:r>
      <w:proofErr w:type="gramEnd"/>
      <w:r>
        <w:rPr>
          <w:rFonts w:hint="cs"/>
          <w:rtl/>
          <w:lang w:bidi="ar-EG"/>
        </w:rPr>
        <w:t xml:space="preserve"> من اللجنة أن تقدم إلى الجمعية العامة لعام 2016 </w:t>
      </w:r>
      <w:r w:rsidR="00E478A1">
        <w:rPr>
          <w:rFonts w:hint="cs"/>
          <w:rtl/>
          <w:lang w:bidi="ar-EG"/>
        </w:rPr>
        <w:t xml:space="preserve">نص </w:t>
      </w:r>
      <w:r>
        <w:rPr>
          <w:rFonts w:hint="cs"/>
          <w:rtl/>
          <w:lang w:bidi="ar-EG"/>
        </w:rPr>
        <w:t>صك</w:t>
      </w:r>
      <w:r w:rsidR="00E478A1">
        <w:rPr>
          <w:rFonts w:hint="cs"/>
          <w:rtl/>
          <w:lang w:bidi="ar-EG"/>
        </w:rPr>
        <w:t xml:space="preserve"> </w:t>
      </w:r>
      <w:r>
        <w:rPr>
          <w:rFonts w:hint="cs"/>
          <w:rtl/>
          <w:lang w:bidi="ar-EG"/>
        </w:rPr>
        <w:t>قانوني دولي (</w:t>
      </w:r>
      <w:r w:rsidR="00E478A1">
        <w:rPr>
          <w:rFonts w:hint="cs"/>
          <w:rtl/>
          <w:lang w:bidi="ar-EG"/>
        </w:rPr>
        <w:t xml:space="preserve">نصوص </w:t>
      </w:r>
      <w:r>
        <w:rPr>
          <w:rFonts w:hint="cs"/>
          <w:rtl/>
          <w:lang w:bidi="ar-EG"/>
        </w:rPr>
        <w:t xml:space="preserve">صكوك قانونية دولية) كي تحيط </w:t>
      </w:r>
      <w:r w:rsidR="003E54B7">
        <w:rPr>
          <w:rFonts w:hint="cs"/>
          <w:rtl/>
          <w:lang w:bidi="ar-EG"/>
        </w:rPr>
        <w:t xml:space="preserve">به </w:t>
      </w:r>
      <w:r>
        <w:rPr>
          <w:rFonts w:hint="cs"/>
          <w:rtl/>
          <w:lang w:bidi="ar-EG"/>
        </w:rPr>
        <w:t>علماً وتبدي تعليقات</w:t>
      </w:r>
      <w:r w:rsidR="003E54B7">
        <w:rPr>
          <w:rFonts w:hint="cs"/>
          <w:rtl/>
          <w:lang w:bidi="ar-EG"/>
        </w:rPr>
        <w:t>ها</w:t>
      </w:r>
      <w:r>
        <w:rPr>
          <w:rFonts w:hint="cs"/>
          <w:rtl/>
          <w:lang w:bidi="ar-EG"/>
        </w:rPr>
        <w:t xml:space="preserve"> عليه.</w:t>
      </w:r>
    </w:p>
    <w:p w:rsidR="00A41DF4" w:rsidRDefault="00A41DF4" w:rsidP="00E478A1">
      <w:pPr>
        <w:pStyle w:val="NormalParaAR"/>
        <w:rPr>
          <w:rtl/>
          <w:lang w:bidi="ar-EG"/>
        </w:rPr>
      </w:pPr>
      <w:r>
        <w:rPr>
          <w:rFonts w:hint="cs"/>
          <w:rtl/>
          <w:lang w:bidi="ar-EG"/>
        </w:rPr>
        <w:t>(</w:t>
      </w:r>
      <w:r w:rsidR="00B35118">
        <w:rPr>
          <w:rFonts w:hint="cs"/>
          <w:rtl/>
          <w:lang w:bidi="ar-EG"/>
        </w:rPr>
        <w:t>د</w:t>
      </w:r>
      <w:r>
        <w:rPr>
          <w:rFonts w:hint="cs"/>
          <w:rtl/>
          <w:lang w:bidi="ar-EG"/>
        </w:rPr>
        <w:t>)</w:t>
      </w:r>
      <w:r>
        <w:rPr>
          <w:rtl/>
          <w:lang w:bidi="ar-EG"/>
        </w:rPr>
        <w:tab/>
      </w:r>
      <w:r>
        <w:rPr>
          <w:rFonts w:hint="cs"/>
          <w:rtl/>
          <w:lang w:bidi="ar-EG"/>
        </w:rPr>
        <w:t>ويُلتمس من اللجنة أن ت</w:t>
      </w:r>
      <w:r w:rsidR="00E478A1">
        <w:rPr>
          <w:rFonts w:hint="cs"/>
          <w:rtl/>
          <w:lang w:bidi="ar-EG"/>
        </w:rPr>
        <w:t>قدم</w:t>
      </w:r>
      <w:r>
        <w:rPr>
          <w:rFonts w:hint="cs"/>
          <w:rtl/>
          <w:lang w:bidi="ar-EG"/>
        </w:rPr>
        <w:t xml:space="preserve"> توصية إلى الجمعية العامة لعام 2017 بشأن العمل المقبل وأن تشمل هذه التوصية </w:t>
      </w:r>
      <w:r w:rsidR="00E478A1">
        <w:rPr>
          <w:rFonts w:hint="cs"/>
          <w:rtl/>
          <w:lang w:bidi="ar-EG"/>
        </w:rPr>
        <w:t>مسألة</w:t>
      </w:r>
      <w:r>
        <w:rPr>
          <w:rFonts w:hint="cs"/>
          <w:rtl/>
          <w:lang w:bidi="ar-EG"/>
        </w:rPr>
        <w:t xml:space="preserve"> عقد مؤتمر دبلوماسي ومواصلة المفاوضات </w:t>
      </w:r>
      <w:r w:rsidR="00E478A1">
        <w:rPr>
          <w:rFonts w:hint="cs"/>
          <w:rtl/>
          <w:lang w:bidi="ar-EG"/>
        </w:rPr>
        <w:t xml:space="preserve">على </w:t>
      </w:r>
      <w:r w:rsidR="00B70D87">
        <w:rPr>
          <w:rFonts w:hint="cs"/>
          <w:rtl/>
          <w:lang w:bidi="ar-EG"/>
        </w:rPr>
        <w:t xml:space="preserve">نص </w:t>
      </w:r>
      <w:r>
        <w:rPr>
          <w:rFonts w:hint="cs"/>
          <w:rtl/>
          <w:lang w:bidi="ar-EG"/>
        </w:rPr>
        <w:t>صك قانوني دولي (</w:t>
      </w:r>
      <w:r w:rsidR="00B70D87">
        <w:rPr>
          <w:rFonts w:hint="cs"/>
          <w:rtl/>
          <w:lang w:bidi="ar-EG"/>
        </w:rPr>
        <w:t xml:space="preserve">نصوص </w:t>
      </w:r>
      <w:r>
        <w:rPr>
          <w:rFonts w:hint="cs"/>
          <w:rtl/>
          <w:lang w:bidi="ar-EG"/>
        </w:rPr>
        <w:t xml:space="preserve">صكوك قانونية دولية) </w:t>
      </w:r>
      <w:r w:rsidR="00E478A1">
        <w:rPr>
          <w:rFonts w:hint="cs"/>
          <w:rtl/>
          <w:lang w:bidi="ar-EG"/>
        </w:rPr>
        <w:t>ي</w:t>
      </w:r>
      <w:r>
        <w:rPr>
          <w:rFonts w:hint="cs"/>
          <w:rtl/>
          <w:lang w:bidi="ar-EG"/>
        </w:rPr>
        <w:t>تعلق بالملكية الفكرية والموارد الوراثية والمعارف التقليدية وأشكال التعبير الثقافي التقليدي</w:t>
      </w:r>
      <w:r w:rsidR="00E478A1">
        <w:rPr>
          <w:rFonts w:hint="cs"/>
          <w:rtl/>
          <w:lang w:bidi="ar-EG"/>
        </w:rPr>
        <w:t>، أو استكمال هذه المفاوضات عند الاقتضاء</w:t>
      </w:r>
      <w:r>
        <w:rPr>
          <w:rFonts w:hint="cs"/>
          <w:rtl/>
          <w:lang w:bidi="ar-EG"/>
        </w:rPr>
        <w:t>.</w:t>
      </w:r>
    </w:p>
    <w:p w:rsidR="00A41DF4" w:rsidRDefault="00B35118" w:rsidP="00E27C4C">
      <w:pPr>
        <w:pStyle w:val="NormalParaAR"/>
        <w:rPr>
          <w:rtl/>
          <w:lang w:bidi="ar-EG"/>
        </w:rPr>
      </w:pPr>
      <w:r>
        <w:rPr>
          <w:rFonts w:hint="cs"/>
          <w:rtl/>
          <w:lang w:bidi="ar-EG"/>
        </w:rPr>
        <w:t>(ه</w:t>
      </w:r>
      <w:r w:rsidR="00A41DF4">
        <w:rPr>
          <w:rFonts w:hint="cs"/>
          <w:rtl/>
          <w:lang w:bidi="ar-EG"/>
        </w:rPr>
        <w:t>)</w:t>
      </w:r>
      <w:r w:rsidR="00A41DF4">
        <w:rPr>
          <w:rtl/>
          <w:lang w:bidi="ar-EG"/>
        </w:rPr>
        <w:tab/>
        <w:t>وسيكون تركيز عمل اللجنة خلال الثنائية</w:t>
      </w:r>
      <w:r w:rsidR="00A41DF4">
        <w:rPr>
          <w:rFonts w:hint="cs"/>
          <w:rtl/>
          <w:lang w:bidi="ar-EG"/>
        </w:rPr>
        <w:t xml:space="preserve"> 17/2016</w:t>
      </w:r>
      <w:r w:rsidR="00A41DF4">
        <w:rPr>
          <w:rtl/>
          <w:lang w:bidi="ar-EG"/>
        </w:rPr>
        <w:t xml:space="preserve"> مستندا إلى ما أنجزته من عمل ويستخدم جميع وثائق عمل الويبو، بما في ذلك الوثائ</w:t>
      </w:r>
      <w:r w:rsidR="00A41DF4">
        <w:rPr>
          <w:rFonts w:hint="cs"/>
          <w:rtl/>
          <w:lang w:bidi="ar-EG"/>
        </w:rPr>
        <w:t>ق</w:t>
      </w:r>
      <w:r w:rsidR="00E27C4C">
        <w:rPr>
          <w:rFonts w:hint="cs"/>
          <w:rtl/>
          <w:lang w:bidi="ar-EG"/>
        </w:rPr>
        <w:t xml:space="preserve"> </w:t>
      </w:r>
      <w:r w:rsidR="00A41DF4">
        <w:rPr>
          <w:lang w:bidi="ar-EG"/>
        </w:rPr>
        <w:t xml:space="preserve"> WIPO/GRTKF/IC/28/4</w:t>
      </w:r>
      <w:r w:rsidR="00A41DF4">
        <w:rPr>
          <w:rFonts w:hint="cs"/>
          <w:rtl/>
          <w:lang w:bidi="ar-EG"/>
        </w:rPr>
        <w:t>و</w:t>
      </w:r>
      <w:r w:rsidR="00A41DF4">
        <w:rPr>
          <w:lang w:bidi="ar-EG"/>
        </w:rPr>
        <w:t>WIPO/GRTKF/IC/28/5</w:t>
      </w:r>
      <w:r w:rsidR="00A41DF4">
        <w:rPr>
          <w:rFonts w:hint="cs"/>
          <w:rtl/>
          <w:lang w:bidi="ar-EG"/>
        </w:rPr>
        <w:t xml:space="preserve"> و</w:t>
      </w:r>
      <w:r w:rsidR="00A41DF4">
        <w:rPr>
          <w:lang w:bidi="ar-EG"/>
        </w:rPr>
        <w:t>WIPO/GRTKF/IC/28/6</w:t>
      </w:r>
      <w:r w:rsidR="00A41DF4">
        <w:rPr>
          <w:rtl/>
          <w:lang w:bidi="ar-EG"/>
        </w:rPr>
        <w:t>، لتكون أساس عمل اللجنة فيما يخص المفاوضات المستندة إلى النصوص، إضافة إلى أية مساهمات نصية من الأعضاء.</w:t>
      </w:r>
    </w:p>
    <w:p w:rsidR="00A41DF4" w:rsidRDefault="00A41DF4" w:rsidP="00B35118">
      <w:pPr>
        <w:pStyle w:val="NormalParaAR"/>
        <w:rPr>
          <w:rtl/>
          <w:lang w:bidi="ar-EG"/>
        </w:rPr>
      </w:pPr>
      <w:r>
        <w:rPr>
          <w:rFonts w:hint="cs"/>
          <w:rtl/>
          <w:lang w:bidi="ar-EG"/>
        </w:rPr>
        <w:t>(</w:t>
      </w:r>
      <w:r w:rsidR="00B35118">
        <w:rPr>
          <w:rFonts w:hint="cs"/>
          <w:rtl/>
          <w:lang w:bidi="ar-EG"/>
        </w:rPr>
        <w:t>و</w:t>
      </w:r>
      <w:r>
        <w:rPr>
          <w:rtl/>
          <w:lang w:bidi="ar-EG"/>
        </w:rPr>
        <w:t>)</w:t>
      </w:r>
      <w:r>
        <w:rPr>
          <w:rtl/>
          <w:lang w:bidi="ar-EG"/>
        </w:rPr>
        <w:tab/>
      </w:r>
      <w:proofErr w:type="gramStart"/>
      <w:r>
        <w:rPr>
          <w:rtl/>
          <w:lang w:bidi="ar-EG"/>
        </w:rPr>
        <w:t>وتلتمس</w:t>
      </w:r>
      <w:proofErr w:type="gramEnd"/>
      <w:r>
        <w:rPr>
          <w:rtl/>
          <w:lang w:bidi="ar-EG"/>
        </w:rPr>
        <w:t xml:space="preserve">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p>
    <w:p w:rsidR="00A41DF4" w:rsidRDefault="00A41DF4" w:rsidP="00E478A1">
      <w:pPr>
        <w:pStyle w:val="NormalParaAR"/>
        <w:rPr>
          <w:rtl/>
          <w:lang w:bidi="ar-EG"/>
        </w:rPr>
      </w:pPr>
      <w:proofErr w:type="gramStart"/>
      <w:r w:rsidRPr="00A41DF4">
        <w:rPr>
          <w:rtl/>
          <w:lang w:bidi="ar-EG"/>
        </w:rPr>
        <w:t>وتحيط</w:t>
      </w:r>
      <w:proofErr w:type="gramEnd"/>
      <w:r w:rsidRPr="00A41DF4">
        <w:rPr>
          <w:rtl/>
          <w:lang w:bidi="ar-EG"/>
        </w:rPr>
        <w:t xml:space="preserve"> الجمعية العامة علما بالإمكانية المتاحة لأعضاء اللجنة لالتماس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الحماية، وأمثلة على التشريعات المحلية. غير أنه </w:t>
      </w:r>
      <w:r w:rsidR="00E478A1">
        <w:rPr>
          <w:rFonts w:hint="cs"/>
          <w:rtl/>
          <w:lang w:bidi="ar-EG"/>
        </w:rPr>
        <w:t xml:space="preserve">لا </w:t>
      </w:r>
      <w:r w:rsidRPr="00A41DF4">
        <w:rPr>
          <w:rtl/>
          <w:lang w:bidi="ar-EG"/>
        </w:rPr>
        <w:t>ينبغي</w:t>
      </w:r>
      <w:r>
        <w:rPr>
          <w:rFonts w:hint="cs"/>
          <w:rtl/>
          <w:lang w:bidi="ar-EG"/>
        </w:rPr>
        <w:t xml:space="preserve"> </w:t>
      </w:r>
      <w:r w:rsidR="00E478A1" w:rsidRPr="00E478A1">
        <w:rPr>
          <w:rtl/>
          <w:lang w:bidi="ar-EG"/>
        </w:rPr>
        <w:t>للدراسات والأمثلة تأخير التقدم أو وضع أية شروط مسبقة للمفاوضات المستندة إلى النصوص</w:t>
      </w:r>
      <w:r>
        <w:rPr>
          <w:rtl/>
          <w:lang w:bidi="ar-EG"/>
        </w:rPr>
        <w:t>.</w:t>
      </w:r>
    </w:p>
    <w:p w:rsidR="00A41DF4" w:rsidRPr="00A41DF4" w:rsidRDefault="00B35118" w:rsidP="00A41DF4">
      <w:pPr>
        <w:pStyle w:val="NormalParaAR"/>
        <w:keepNext/>
        <w:pageBreakBefore/>
        <w:rPr>
          <w:b/>
          <w:bCs/>
          <w:rtl/>
          <w:lang w:bidi="ar-EG"/>
        </w:rPr>
      </w:pPr>
      <w:proofErr w:type="gramStart"/>
      <w:r>
        <w:rPr>
          <w:rFonts w:hint="cs"/>
          <w:b/>
          <w:bCs/>
          <w:rtl/>
          <w:lang w:bidi="ar-EG"/>
        </w:rPr>
        <w:lastRenderedPageBreak/>
        <w:t>برنامج</w:t>
      </w:r>
      <w:proofErr w:type="gramEnd"/>
      <w:r>
        <w:rPr>
          <w:rFonts w:hint="cs"/>
          <w:b/>
          <w:bCs/>
          <w:rtl/>
          <w:lang w:bidi="ar-EG"/>
        </w:rPr>
        <w:t xml:space="preserve"> عمل</w:t>
      </w:r>
      <w:r w:rsidR="00A41DF4">
        <w:rPr>
          <w:rFonts w:hint="cs"/>
          <w:b/>
          <w:bCs/>
          <w:rtl/>
          <w:lang w:bidi="ar-EG"/>
        </w:rPr>
        <w:t xml:space="preserve"> اللجنة للثنائية 2016-2017</w:t>
      </w:r>
    </w:p>
    <w:tbl>
      <w:tblPr>
        <w:tblStyle w:val="TableGrid"/>
        <w:bidiVisual/>
        <w:tblW w:w="0" w:type="auto"/>
        <w:tblLook w:val="04A0" w:firstRow="1" w:lastRow="0" w:firstColumn="1" w:lastColumn="0" w:noHBand="0" w:noVBand="1"/>
      </w:tblPr>
      <w:tblGrid>
        <w:gridCol w:w="4785"/>
        <w:gridCol w:w="4786"/>
      </w:tblGrid>
      <w:tr w:rsidR="009E7C80" w:rsidRPr="009E7C80" w:rsidTr="0048109D">
        <w:trPr>
          <w:cantSplit/>
          <w:trHeight w:val="233"/>
          <w:tblHeader/>
        </w:trPr>
        <w:tc>
          <w:tcPr>
            <w:tcW w:w="4785" w:type="dxa"/>
            <w:vAlign w:val="center"/>
          </w:tcPr>
          <w:p w:rsidR="009E7C80" w:rsidRPr="009E7C80" w:rsidRDefault="009E7C80" w:rsidP="009E7C80">
            <w:pPr>
              <w:pStyle w:val="NormalParaAR"/>
              <w:spacing w:after="120"/>
              <w:jc w:val="center"/>
              <w:rPr>
                <w:sz w:val="32"/>
                <w:szCs w:val="32"/>
                <w:rtl/>
                <w:lang w:bidi="ar-EG"/>
              </w:rPr>
            </w:pPr>
            <w:proofErr w:type="gramStart"/>
            <w:r w:rsidRPr="009E7C80">
              <w:rPr>
                <w:rFonts w:hint="cs"/>
                <w:sz w:val="32"/>
                <w:szCs w:val="32"/>
                <w:rtl/>
                <w:lang w:bidi="ar-EG"/>
              </w:rPr>
              <w:t>التاريخ</w:t>
            </w:r>
            <w:proofErr w:type="gramEnd"/>
            <w:r w:rsidRPr="009E7C80">
              <w:rPr>
                <w:rFonts w:hint="cs"/>
                <w:sz w:val="32"/>
                <w:szCs w:val="32"/>
                <w:rtl/>
                <w:lang w:bidi="ar-EG"/>
              </w:rPr>
              <w:t xml:space="preserve"> المؤقت</w:t>
            </w:r>
          </w:p>
        </w:tc>
        <w:tc>
          <w:tcPr>
            <w:tcW w:w="4786" w:type="dxa"/>
            <w:vAlign w:val="center"/>
          </w:tcPr>
          <w:p w:rsidR="009E7C80" w:rsidRPr="009E7C80" w:rsidRDefault="009E7C80" w:rsidP="009E7C80">
            <w:pPr>
              <w:pStyle w:val="NormalParaAR"/>
              <w:spacing w:after="120"/>
              <w:jc w:val="center"/>
              <w:rPr>
                <w:sz w:val="32"/>
                <w:szCs w:val="32"/>
                <w:rtl/>
                <w:lang w:bidi="ar-EG"/>
              </w:rPr>
            </w:pPr>
            <w:r w:rsidRPr="009E7C80">
              <w:rPr>
                <w:rFonts w:hint="cs"/>
                <w:sz w:val="32"/>
                <w:szCs w:val="32"/>
                <w:rtl/>
                <w:lang w:bidi="ar-EG"/>
              </w:rPr>
              <w:t>النشاط</w:t>
            </w:r>
          </w:p>
        </w:tc>
      </w:tr>
      <w:tr w:rsidR="009E7C80" w:rsidRPr="009E7C80" w:rsidTr="0048109D">
        <w:trPr>
          <w:cantSplit/>
          <w:trHeight w:val="3140"/>
        </w:trPr>
        <w:tc>
          <w:tcPr>
            <w:tcW w:w="4785"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فبراير 2016</w:t>
            </w:r>
          </w:p>
        </w:tc>
        <w:tc>
          <w:tcPr>
            <w:tcW w:w="4786"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 xml:space="preserve">دورة اللجنة التاسعة </w:t>
            </w:r>
            <w:proofErr w:type="gramStart"/>
            <w:r w:rsidRPr="009E7C80">
              <w:rPr>
                <w:rFonts w:hint="cs"/>
                <w:sz w:val="32"/>
                <w:szCs w:val="32"/>
                <w:rtl/>
                <w:lang w:bidi="ar-EG"/>
              </w:rPr>
              <w:t>والعشرون</w:t>
            </w:r>
            <w:proofErr w:type="gramEnd"/>
          </w:p>
          <w:p w:rsidR="009E7C80" w:rsidRPr="009E7C80" w:rsidRDefault="009E7C80" w:rsidP="009E7C80">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9E7C80" w:rsidRPr="009E7C80" w:rsidRDefault="009E7C80" w:rsidP="009E7C80">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9E7C80" w:rsidRPr="009E7C80" w:rsidRDefault="009E7C80" w:rsidP="009E7C80">
            <w:pPr>
              <w:pStyle w:val="NormalParaAR"/>
              <w:spacing w:after="120"/>
              <w:rPr>
                <w:sz w:val="32"/>
                <w:szCs w:val="32"/>
                <w:rtl/>
                <w:lang w:bidi="ar-EG"/>
              </w:rPr>
            </w:pPr>
            <w:r w:rsidRPr="009E7C80">
              <w:rPr>
                <w:rFonts w:hint="cs"/>
                <w:sz w:val="32"/>
                <w:szCs w:val="32"/>
                <w:rtl/>
                <w:lang w:bidi="ar-EG"/>
              </w:rPr>
              <w:t>5 أيام*</w:t>
            </w:r>
          </w:p>
        </w:tc>
      </w:tr>
      <w:tr w:rsidR="009E7C80" w:rsidRPr="009E7C80" w:rsidTr="0048109D">
        <w:trPr>
          <w:cantSplit/>
        </w:trPr>
        <w:tc>
          <w:tcPr>
            <w:tcW w:w="4785"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أبريل 2016</w:t>
            </w:r>
          </w:p>
        </w:tc>
        <w:tc>
          <w:tcPr>
            <w:tcW w:w="4786" w:type="dxa"/>
          </w:tcPr>
          <w:p w:rsidR="009E7C80" w:rsidRPr="009E7C80" w:rsidRDefault="009E7C80" w:rsidP="009E7C80">
            <w:pPr>
              <w:pStyle w:val="NormalParaAR"/>
              <w:spacing w:after="120"/>
              <w:rPr>
                <w:sz w:val="32"/>
                <w:szCs w:val="32"/>
                <w:rtl/>
                <w:lang w:bidi="ar-EG"/>
              </w:rPr>
            </w:pPr>
            <w:proofErr w:type="gramStart"/>
            <w:r w:rsidRPr="009E7C80">
              <w:rPr>
                <w:rFonts w:hint="cs"/>
                <w:sz w:val="32"/>
                <w:szCs w:val="32"/>
                <w:rtl/>
                <w:lang w:bidi="ar-EG"/>
              </w:rPr>
              <w:t>دورة</w:t>
            </w:r>
            <w:proofErr w:type="gramEnd"/>
            <w:r w:rsidRPr="009E7C80">
              <w:rPr>
                <w:rFonts w:hint="cs"/>
                <w:sz w:val="32"/>
                <w:szCs w:val="32"/>
                <w:rtl/>
                <w:lang w:bidi="ar-EG"/>
              </w:rPr>
              <w:t xml:space="preserve"> اللجنة الثلاثون</w:t>
            </w:r>
          </w:p>
          <w:p w:rsidR="009E7C80" w:rsidRPr="009E7C80" w:rsidRDefault="009E7C80" w:rsidP="009E7C80">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9E7C80" w:rsidRPr="009E7C80" w:rsidRDefault="009E7C80" w:rsidP="009E7C80">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9E7C80" w:rsidRPr="009E7C80" w:rsidRDefault="009E7C80" w:rsidP="009E7C80">
            <w:pPr>
              <w:pStyle w:val="NormalParaAR"/>
              <w:spacing w:after="120"/>
              <w:rPr>
                <w:sz w:val="32"/>
                <w:szCs w:val="32"/>
                <w:rtl/>
                <w:lang w:bidi="ar-EG"/>
              </w:rPr>
            </w:pPr>
            <w:r w:rsidRPr="009E7C80">
              <w:rPr>
                <w:rFonts w:hint="cs"/>
                <w:sz w:val="32"/>
                <w:szCs w:val="32"/>
                <w:rtl/>
                <w:lang w:bidi="ar-EG"/>
              </w:rPr>
              <w:t>5 أيام*</w:t>
            </w:r>
          </w:p>
        </w:tc>
      </w:tr>
      <w:tr w:rsidR="009E7C80" w:rsidRPr="009E7C80" w:rsidTr="0048109D">
        <w:trPr>
          <w:cantSplit/>
        </w:trPr>
        <w:tc>
          <w:tcPr>
            <w:tcW w:w="4785"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يوليو 2016</w:t>
            </w:r>
          </w:p>
        </w:tc>
        <w:tc>
          <w:tcPr>
            <w:tcW w:w="4786"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 xml:space="preserve">دورة اللجنة الحادية </w:t>
            </w:r>
            <w:proofErr w:type="gramStart"/>
            <w:r w:rsidRPr="009E7C80">
              <w:rPr>
                <w:rFonts w:hint="cs"/>
                <w:sz w:val="32"/>
                <w:szCs w:val="32"/>
                <w:rtl/>
                <w:lang w:bidi="ar-EG"/>
              </w:rPr>
              <w:t>والثلاثون</w:t>
            </w:r>
            <w:proofErr w:type="gramEnd"/>
          </w:p>
          <w:p w:rsidR="009E7C80" w:rsidRPr="009E7C80" w:rsidRDefault="009E7C80" w:rsidP="009E7C80">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9E7C80" w:rsidRPr="009E7C80" w:rsidRDefault="009E7C80" w:rsidP="009E7C80">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9E7C80" w:rsidRPr="009E7C80" w:rsidRDefault="009E7C80" w:rsidP="009E7C80">
            <w:pPr>
              <w:pStyle w:val="NormalParaAR"/>
              <w:spacing w:after="120"/>
              <w:rPr>
                <w:sz w:val="32"/>
                <w:szCs w:val="32"/>
                <w:rtl/>
                <w:lang w:bidi="ar-EG"/>
              </w:rPr>
            </w:pPr>
            <w:r w:rsidRPr="009E7C80">
              <w:rPr>
                <w:rFonts w:hint="cs"/>
                <w:sz w:val="32"/>
                <w:szCs w:val="32"/>
                <w:rtl/>
                <w:lang w:bidi="ar-EG"/>
              </w:rPr>
              <w:t>5 أيام*</w:t>
            </w:r>
          </w:p>
        </w:tc>
      </w:tr>
      <w:tr w:rsidR="009E7C80" w:rsidRPr="009E7C80" w:rsidTr="0048109D">
        <w:trPr>
          <w:cantSplit/>
        </w:trPr>
        <w:tc>
          <w:tcPr>
            <w:tcW w:w="4785" w:type="dxa"/>
          </w:tcPr>
          <w:p w:rsidR="009E7C80" w:rsidRPr="009E7C80" w:rsidRDefault="009E7C80" w:rsidP="009E7C80">
            <w:pPr>
              <w:pStyle w:val="NormalParaAR"/>
              <w:spacing w:after="120"/>
              <w:rPr>
                <w:sz w:val="32"/>
                <w:szCs w:val="32"/>
                <w:rtl/>
                <w:lang w:bidi="ar-EG"/>
              </w:rPr>
            </w:pPr>
            <w:r w:rsidRPr="009E7C80">
              <w:rPr>
                <w:rFonts w:hint="cs"/>
                <w:sz w:val="32"/>
                <w:szCs w:val="32"/>
                <w:rtl/>
                <w:lang w:bidi="ar-EG"/>
              </w:rPr>
              <w:t>أكتوبر 2016</w:t>
            </w:r>
          </w:p>
        </w:tc>
        <w:tc>
          <w:tcPr>
            <w:tcW w:w="4786" w:type="dxa"/>
          </w:tcPr>
          <w:p w:rsidR="009E7C80" w:rsidRPr="009E7C80" w:rsidRDefault="009E7C80" w:rsidP="009E7C80">
            <w:pPr>
              <w:pStyle w:val="NormalParaAR"/>
              <w:spacing w:after="120"/>
              <w:rPr>
                <w:sz w:val="32"/>
                <w:szCs w:val="32"/>
                <w:rtl/>
                <w:lang w:bidi="ar-EG"/>
              </w:rPr>
            </w:pPr>
            <w:proofErr w:type="gramStart"/>
            <w:r w:rsidRPr="009E7C80">
              <w:rPr>
                <w:rFonts w:hint="cs"/>
                <w:sz w:val="32"/>
                <w:szCs w:val="32"/>
                <w:rtl/>
                <w:lang w:bidi="ar-EG"/>
              </w:rPr>
              <w:t>الجمعية</w:t>
            </w:r>
            <w:proofErr w:type="gramEnd"/>
            <w:r w:rsidRPr="009E7C80">
              <w:rPr>
                <w:rFonts w:hint="cs"/>
                <w:sz w:val="32"/>
                <w:szCs w:val="32"/>
                <w:rtl/>
                <w:lang w:bidi="ar-EG"/>
              </w:rPr>
              <w:t xml:space="preserve"> العامة</w:t>
            </w:r>
          </w:p>
          <w:p w:rsidR="009E7C80" w:rsidRPr="009E7C80" w:rsidRDefault="009E7C80" w:rsidP="009E7C80">
            <w:pPr>
              <w:pStyle w:val="NormalParaAR"/>
              <w:numPr>
                <w:ilvl w:val="0"/>
                <w:numId w:val="21"/>
              </w:numPr>
              <w:spacing w:after="120"/>
              <w:rPr>
                <w:sz w:val="32"/>
                <w:szCs w:val="32"/>
                <w:rtl/>
                <w:lang w:bidi="ar-EG"/>
              </w:rPr>
            </w:pPr>
            <w:proofErr w:type="gramStart"/>
            <w:r w:rsidRPr="009E7C80">
              <w:rPr>
                <w:rFonts w:hint="cs"/>
                <w:sz w:val="32"/>
                <w:szCs w:val="32"/>
                <w:rtl/>
                <w:lang w:bidi="ar-EG"/>
              </w:rPr>
              <w:t>يُلتمس</w:t>
            </w:r>
            <w:proofErr w:type="gramEnd"/>
            <w:r w:rsidRPr="009E7C80">
              <w:rPr>
                <w:rFonts w:hint="cs"/>
                <w:sz w:val="32"/>
                <w:szCs w:val="32"/>
                <w:rtl/>
                <w:lang w:bidi="ar-EG"/>
              </w:rPr>
              <w:t xml:space="preserve"> من اللجنة تقديم نص الصك القانوني (نصوص الصكوك القانونية</w:t>
            </w:r>
            <w:r w:rsidR="003E54B7">
              <w:rPr>
                <w:rFonts w:hint="cs"/>
                <w:sz w:val="32"/>
                <w:szCs w:val="32"/>
                <w:rtl/>
                <w:lang w:bidi="ar-EG"/>
              </w:rPr>
              <w:t>) إلى الجمعية العامة كي تحيط به علماً وتبدي تعليقاتها عليه</w:t>
            </w:r>
            <w:r w:rsidRPr="009E7C80">
              <w:rPr>
                <w:rFonts w:hint="cs"/>
                <w:sz w:val="32"/>
                <w:szCs w:val="32"/>
                <w:rtl/>
                <w:lang w:bidi="ar-EG"/>
              </w:rPr>
              <w:t>.</w:t>
            </w:r>
          </w:p>
        </w:tc>
      </w:tr>
      <w:tr w:rsidR="0048109D" w:rsidRPr="009E7C80" w:rsidTr="0048109D">
        <w:trPr>
          <w:cantSplit/>
        </w:trPr>
        <w:tc>
          <w:tcPr>
            <w:tcW w:w="4785" w:type="dxa"/>
          </w:tcPr>
          <w:p w:rsidR="0048109D" w:rsidRPr="009E7C80" w:rsidRDefault="0048109D" w:rsidP="009E7C80">
            <w:pPr>
              <w:pStyle w:val="NormalParaAR"/>
              <w:spacing w:after="120"/>
              <w:rPr>
                <w:sz w:val="32"/>
                <w:szCs w:val="32"/>
                <w:rtl/>
                <w:lang w:bidi="ar-EG"/>
              </w:rPr>
            </w:pPr>
            <w:r>
              <w:rPr>
                <w:rFonts w:hint="cs"/>
                <w:sz w:val="32"/>
                <w:szCs w:val="32"/>
                <w:rtl/>
                <w:lang w:bidi="ar-EG"/>
              </w:rPr>
              <w:lastRenderedPageBreak/>
              <w:t>فبراير 2017</w:t>
            </w:r>
          </w:p>
        </w:tc>
        <w:tc>
          <w:tcPr>
            <w:tcW w:w="4786" w:type="dxa"/>
          </w:tcPr>
          <w:p w:rsidR="0048109D" w:rsidRDefault="0048109D" w:rsidP="009E7C80">
            <w:pPr>
              <w:pStyle w:val="NormalParaAR"/>
              <w:spacing w:after="120"/>
              <w:rPr>
                <w:sz w:val="32"/>
                <w:szCs w:val="32"/>
                <w:rtl/>
                <w:lang w:bidi="ar-EG"/>
              </w:rPr>
            </w:pPr>
            <w:r>
              <w:rPr>
                <w:rFonts w:hint="cs"/>
                <w:sz w:val="32"/>
                <w:szCs w:val="32"/>
                <w:rtl/>
                <w:lang w:bidi="ar-EG"/>
              </w:rPr>
              <w:t xml:space="preserve">دورة اللجنة الثانية </w:t>
            </w:r>
            <w:proofErr w:type="gramStart"/>
            <w:r>
              <w:rPr>
                <w:rFonts w:hint="cs"/>
                <w:sz w:val="32"/>
                <w:szCs w:val="32"/>
                <w:rtl/>
                <w:lang w:bidi="ar-EG"/>
              </w:rPr>
              <w:t>والثلاثون</w:t>
            </w:r>
            <w:proofErr w:type="gramEnd"/>
          </w:p>
          <w:p w:rsidR="0048109D" w:rsidRPr="009E7C80" w:rsidRDefault="0048109D" w:rsidP="0048109D">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48109D" w:rsidRPr="009E7C80" w:rsidRDefault="0048109D" w:rsidP="0048109D">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48109D" w:rsidRPr="009E7C80" w:rsidRDefault="0048109D" w:rsidP="0048109D">
            <w:pPr>
              <w:pStyle w:val="NormalParaAR"/>
              <w:spacing w:after="120"/>
              <w:rPr>
                <w:sz w:val="32"/>
                <w:szCs w:val="32"/>
                <w:rtl/>
                <w:lang w:bidi="ar-EG"/>
              </w:rPr>
            </w:pPr>
            <w:r w:rsidRPr="009E7C80">
              <w:rPr>
                <w:rFonts w:hint="cs"/>
                <w:sz w:val="32"/>
                <w:szCs w:val="32"/>
                <w:rtl/>
                <w:lang w:bidi="ar-EG"/>
              </w:rPr>
              <w:t>5 أيام*</w:t>
            </w:r>
          </w:p>
        </w:tc>
      </w:tr>
      <w:tr w:rsidR="0048109D" w:rsidRPr="009E7C80" w:rsidTr="0048109D">
        <w:trPr>
          <w:cantSplit/>
        </w:trPr>
        <w:tc>
          <w:tcPr>
            <w:tcW w:w="4785" w:type="dxa"/>
          </w:tcPr>
          <w:p w:rsidR="0048109D" w:rsidRDefault="0048109D" w:rsidP="009E7C80">
            <w:pPr>
              <w:pStyle w:val="NormalParaAR"/>
              <w:spacing w:after="120"/>
              <w:rPr>
                <w:sz w:val="32"/>
                <w:szCs w:val="32"/>
                <w:rtl/>
                <w:lang w:bidi="ar-EG"/>
              </w:rPr>
            </w:pPr>
            <w:r>
              <w:rPr>
                <w:rFonts w:hint="cs"/>
                <w:sz w:val="32"/>
                <w:szCs w:val="32"/>
                <w:rtl/>
                <w:lang w:bidi="ar-EG"/>
              </w:rPr>
              <w:t>أبريل 2017</w:t>
            </w:r>
          </w:p>
        </w:tc>
        <w:tc>
          <w:tcPr>
            <w:tcW w:w="4786" w:type="dxa"/>
          </w:tcPr>
          <w:p w:rsidR="0048109D" w:rsidRDefault="0048109D" w:rsidP="009E7C80">
            <w:pPr>
              <w:pStyle w:val="NormalParaAR"/>
              <w:spacing w:after="120"/>
              <w:rPr>
                <w:sz w:val="32"/>
                <w:szCs w:val="32"/>
                <w:rtl/>
                <w:lang w:bidi="ar-EG"/>
              </w:rPr>
            </w:pPr>
            <w:r>
              <w:rPr>
                <w:rFonts w:hint="cs"/>
                <w:sz w:val="32"/>
                <w:szCs w:val="32"/>
                <w:rtl/>
                <w:lang w:bidi="ar-EG"/>
              </w:rPr>
              <w:t xml:space="preserve">دورة اللجنة الثالثة </w:t>
            </w:r>
            <w:proofErr w:type="gramStart"/>
            <w:r>
              <w:rPr>
                <w:rFonts w:hint="cs"/>
                <w:sz w:val="32"/>
                <w:szCs w:val="32"/>
                <w:rtl/>
                <w:lang w:bidi="ar-EG"/>
              </w:rPr>
              <w:t>والثلاثون</w:t>
            </w:r>
            <w:proofErr w:type="gramEnd"/>
          </w:p>
          <w:p w:rsidR="0048109D" w:rsidRPr="009E7C80" w:rsidRDefault="0048109D" w:rsidP="0048109D">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48109D" w:rsidRPr="009E7C80" w:rsidRDefault="0048109D" w:rsidP="0048109D">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48109D" w:rsidRDefault="0048109D" w:rsidP="0048109D">
            <w:pPr>
              <w:pStyle w:val="NormalParaAR"/>
              <w:spacing w:after="120"/>
              <w:rPr>
                <w:sz w:val="32"/>
                <w:szCs w:val="32"/>
                <w:rtl/>
                <w:lang w:bidi="ar-EG"/>
              </w:rPr>
            </w:pPr>
            <w:r w:rsidRPr="009E7C80">
              <w:rPr>
                <w:rFonts w:hint="cs"/>
                <w:sz w:val="32"/>
                <w:szCs w:val="32"/>
                <w:rtl/>
                <w:lang w:bidi="ar-EG"/>
              </w:rPr>
              <w:t>5 أيام*</w:t>
            </w:r>
          </w:p>
        </w:tc>
      </w:tr>
      <w:tr w:rsidR="0048109D" w:rsidRPr="009E7C80" w:rsidTr="0048109D">
        <w:trPr>
          <w:cantSplit/>
        </w:trPr>
        <w:tc>
          <w:tcPr>
            <w:tcW w:w="4785" w:type="dxa"/>
          </w:tcPr>
          <w:p w:rsidR="0048109D" w:rsidRDefault="0048109D" w:rsidP="009E7C80">
            <w:pPr>
              <w:pStyle w:val="NormalParaAR"/>
              <w:spacing w:after="120"/>
              <w:rPr>
                <w:sz w:val="32"/>
                <w:szCs w:val="32"/>
                <w:rtl/>
                <w:lang w:bidi="ar-EG"/>
              </w:rPr>
            </w:pPr>
            <w:r>
              <w:rPr>
                <w:rFonts w:hint="cs"/>
                <w:sz w:val="32"/>
                <w:szCs w:val="32"/>
                <w:rtl/>
                <w:lang w:bidi="ar-EG"/>
              </w:rPr>
              <w:t>يوليو 2017</w:t>
            </w:r>
          </w:p>
        </w:tc>
        <w:tc>
          <w:tcPr>
            <w:tcW w:w="4786" w:type="dxa"/>
          </w:tcPr>
          <w:p w:rsidR="0048109D" w:rsidRDefault="0048109D" w:rsidP="009E7C80">
            <w:pPr>
              <w:pStyle w:val="NormalParaAR"/>
              <w:spacing w:after="120"/>
              <w:rPr>
                <w:sz w:val="32"/>
                <w:szCs w:val="32"/>
                <w:rtl/>
                <w:lang w:bidi="ar-EG"/>
              </w:rPr>
            </w:pPr>
            <w:r>
              <w:rPr>
                <w:rFonts w:hint="cs"/>
                <w:sz w:val="32"/>
                <w:szCs w:val="32"/>
                <w:rtl/>
                <w:lang w:bidi="ar-EG"/>
              </w:rPr>
              <w:t xml:space="preserve">دورة اللجنة الرابعة </w:t>
            </w:r>
            <w:proofErr w:type="gramStart"/>
            <w:r>
              <w:rPr>
                <w:rFonts w:hint="cs"/>
                <w:sz w:val="32"/>
                <w:szCs w:val="32"/>
                <w:rtl/>
                <w:lang w:bidi="ar-EG"/>
              </w:rPr>
              <w:t>والثلاثون</w:t>
            </w:r>
            <w:proofErr w:type="gramEnd"/>
          </w:p>
          <w:p w:rsidR="0048109D" w:rsidRPr="009E7C80" w:rsidRDefault="0048109D" w:rsidP="0048109D">
            <w:pPr>
              <w:pStyle w:val="NormalParaAR"/>
              <w:numPr>
                <w:ilvl w:val="0"/>
                <w:numId w:val="21"/>
              </w:numPr>
              <w:spacing w:after="120"/>
              <w:rPr>
                <w:sz w:val="32"/>
                <w:szCs w:val="32"/>
                <w:lang w:bidi="ar-EG"/>
              </w:rPr>
            </w:pPr>
            <w:proofErr w:type="gramStart"/>
            <w:r w:rsidRPr="009E7C80">
              <w:rPr>
                <w:rFonts w:hint="cs"/>
                <w:sz w:val="32"/>
                <w:szCs w:val="32"/>
                <w:rtl/>
                <w:lang w:bidi="ar-EG"/>
              </w:rPr>
              <w:t>مناقشة</w:t>
            </w:r>
            <w:proofErr w:type="gramEnd"/>
            <w:r w:rsidRPr="009E7C80">
              <w:rPr>
                <w:rFonts w:hint="cs"/>
                <w:sz w:val="32"/>
                <w:szCs w:val="32"/>
                <w:rtl/>
                <w:lang w:bidi="ar-EG"/>
              </w:rPr>
              <w:t xml:space="preserve"> الموضوع المنصوص عليه بناء على الاتفاق بين رئيس اللجنة، أو الميسر الذي يعينه </w:t>
            </w:r>
            <w:r w:rsidR="00E478A1">
              <w:rPr>
                <w:rFonts w:hint="cs"/>
                <w:sz w:val="32"/>
                <w:szCs w:val="32"/>
                <w:rtl/>
                <w:lang w:bidi="ar-EG"/>
              </w:rPr>
              <w:t>رئيس الجمعية العامة،</w:t>
            </w:r>
            <w:r w:rsidRPr="009E7C80">
              <w:rPr>
                <w:rFonts w:hint="cs"/>
                <w:sz w:val="32"/>
                <w:szCs w:val="32"/>
                <w:rtl/>
                <w:lang w:bidi="ar-EG"/>
              </w:rPr>
              <w:t xml:space="preserve"> والدول الأعضاء.</w:t>
            </w:r>
          </w:p>
          <w:p w:rsidR="0048109D" w:rsidRPr="009E7C80" w:rsidRDefault="0048109D" w:rsidP="0048109D">
            <w:pPr>
              <w:pStyle w:val="NormalParaAR"/>
              <w:numPr>
                <w:ilvl w:val="0"/>
                <w:numId w:val="21"/>
              </w:numPr>
              <w:spacing w:after="120"/>
              <w:rPr>
                <w:sz w:val="32"/>
                <w:szCs w:val="32"/>
                <w:lang w:bidi="ar-EG"/>
              </w:rPr>
            </w:pPr>
            <w:r w:rsidRPr="009E7C80">
              <w:rPr>
                <w:rFonts w:hint="cs"/>
                <w:sz w:val="32"/>
                <w:szCs w:val="32"/>
                <w:rtl/>
                <w:lang w:bidi="ar-EG"/>
              </w:rPr>
              <w:t xml:space="preserve">بت الدول الأعضاء في طبيعة هذه الدورة المواضيعية أو المستعرضة أو التقييمية وفي عقد اجتماع </w:t>
            </w:r>
            <w:r w:rsidRPr="009E7C80">
              <w:rPr>
                <w:sz w:val="32"/>
                <w:szCs w:val="32"/>
                <w:rtl/>
                <w:lang w:bidi="ar-EG"/>
              </w:rPr>
              <w:t>على مستوى السفراء/كبار المسؤولين الحكوميين من العواصم</w:t>
            </w:r>
            <w:r w:rsidRPr="009E7C80">
              <w:rPr>
                <w:rFonts w:hint="cs"/>
                <w:sz w:val="32"/>
                <w:szCs w:val="32"/>
                <w:rtl/>
                <w:lang w:bidi="ar-EG"/>
              </w:rPr>
              <w:t>.</w:t>
            </w:r>
          </w:p>
          <w:p w:rsidR="0048109D" w:rsidRDefault="0048109D" w:rsidP="0048109D">
            <w:pPr>
              <w:pStyle w:val="NormalParaAR"/>
              <w:spacing w:after="120"/>
              <w:rPr>
                <w:sz w:val="32"/>
                <w:szCs w:val="32"/>
                <w:rtl/>
                <w:lang w:bidi="ar-EG"/>
              </w:rPr>
            </w:pPr>
            <w:r w:rsidRPr="009E7C80">
              <w:rPr>
                <w:rFonts w:hint="cs"/>
                <w:sz w:val="32"/>
                <w:szCs w:val="32"/>
                <w:rtl/>
                <w:lang w:bidi="ar-EG"/>
              </w:rPr>
              <w:t>5 أيام*</w:t>
            </w:r>
          </w:p>
        </w:tc>
      </w:tr>
      <w:tr w:rsidR="0048109D" w:rsidRPr="009E7C80" w:rsidTr="0048109D">
        <w:trPr>
          <w:cantSplit/>
        </w:trPr>
        <w:tc>
          <w:tcPr>
            <w:tcW w:w="4785" w:type="dxa"/>
          </w:tcPr>
          <w:p w:rsidR="0048109D" w:rsidRDefault="0048109D" w:rsidP="009E7C80">
            <w:pPr>
              <w:pStyle w:val="NormalParaAR"/>
              <w:spacing w:after="120"/>
              <w:rPr>
                <w:sz w:val="32"/>
                <w:szCs w:val="32"/>
                <w:rtl/>
                <w:lang w:bidi="ar-EG"/>
              </w:rPr>
            </w:pPr>
            <w:r>
              <w:rPr>
                <w:rFonts w:hint="cs"/>
                <w:sz w:val="32"/>
                <w:szCs w:val="32"/>
                <w:rtl/>
                <w:lang w:bidi="ar-EG"/>
              </w:rPr>
              <w:t>أكتوبر 2017</w:t>
            </w:r>
          </w:p>
        </w:tc>
        <w:tc>
          <w:tcPr>
            <w:tcW w:w="4786" w:type="dxa"/>
          </w:tcPr>
          <w:p w:rsidR="0048109D" w:rsidRDefault="0048109D" w:rsidP="009E7C80">
            <w:pPr>
              <w:pStyle w:val="NormalParaAR"/>
              <w:spacing w:after="120"/>
              <w:rPr>
                <w:sz w:val="32"/>
                <w:szCs w:val="32"/>
                <w:rtl/>
                <w:lang w:bidi="ar-EG"/>
              </w:rPr>
            </w:pPr>
            <w:proofErr w:type="gramStart"/>
            <w:r>
              <w:rPr>
                <w:rFonts w:hint="cs"/>
                <w:sz w:val="32"/>
                <w:szCs w:val="32"/>
                <w:rtl/>
                <w:lang w:bidi="ar-EG"/>
              </w:rPr>
              <w:t>الجمعية</w:t>
            </w:r>
            <w:proofErr w:type="gramEnd"/>
            <w:r>
              <w:rPr>
                <w:rFonts w:hint="cs"/>
                <w:sz w:val="32"/>
                <w:szCs w:val="32"/>
                <w:rtl/>
                <w:lang w:bidi="ar-EG"/>
              </w:rPr>
              <w:t xml:space="preserve"> العامة</w:t>
            </w:r>
          </w:p>
          <w:p w:rsidR="0048109D" w:rsidRDefault="0048109D" w:rsidP="00B70D87">
            <w:pPr>
              <w:pStyle w:val="NormalParaAR"/>
              <w:numPr>
                <w:ilvl w:val="0"/>
                <w:numId w:val="21"/>
              </w:numPr>
              <w:spacing w:after="120"/>
              <w:rPr>
                <w:sz w:val="32"/>
                <w:szCs w:val="32"/>
                <w:rtl/>
                <w:lang w:bidi="ar-EG"/>
              </w:rPr>
            </w:pPr>
            <w:r w:rsidRPr="0048109D">
              <w:rPr>
                <w:sz w:val="32"/>
                <w:szCs w:val="32"/>
                <w:rtl/>
                <w:lang w:bidi="ar-EG"/>
              </w:rPr>
              <w:t xml:space="preserve">يُلتمس من اللجنة أن </w:t>
            </w:r>
            <w:r w:rsidR="00B70D87">
              <w:rPr>
                <w:rFonts w:hint="cs"/>
                <w:sz w:val="32"/>
                <w:szCs w:val="32"/>
                <w:rtl/>
                <w:lang w:bidi="ar-EG"/>
              </w:rPr>
              <w:t>تقدم</w:t>
            </w:r>
            <w:r w:rsidRPr="0048109D">
              <w:rPr>
                <w:sz w:val="32"/>
                <w:szCs w:val="32"/>
                <w:rtl/>
                <w:lang w:bidi="ar-EG"/>
              </w:rPr>
              <w:t xml:space="preserve"> توصية بشأن العمل المقبل وأن تشمل هذه التوصية </w:t>
            </w:r>
            <w:r w:rsidR="00E478A1">
              <w:rPr>
                <w:rFonts w:hint="cs"/>
                <w:sz w:val="32"/>
                <w:szCs w:val="32"/>
                <w:rtl/>
                <w:lang w:bidi="ar-EG"/>
              </w:rPr>
              <w:t>مسألة</w:t>
            </w:r>
            <w:r w:rsidRPr="0048109D">
              <w:rPr>
                <w:sz w:val="32"/>
                <w:szCs w:val="32"/>
                <w:rtl/>
                <w:lang w:bidi="ar-EG"/>
              </w:rPr>
              <w:t xml:space="preserve"> عقد مؤتمر دبلوماسي ومواصلة </w:t>
            </w:r>
            <w:r>
              <w:rPr>
                <w:rFonts w:hint="cs"/>
                <w:sz w:val="32"/>
                <w:szCs w:val="32"/>
                <w:rtl/>
                <w:lang w:bidi="ar-EG"/>
              </w:rPr>
              <w:t xml:space="preserve">المفاوضات </w:t>
            </w:r>
            <w:r w:rsidR="00B70D87">
              <w:rPr>
                <w:rFonts w:hint="cs"/>
                <w:sz w:val="32"/>
                <w:szCs w:val="32"/>
                <w:rtl/>
                <w:lang w:bidi="ar-EG"/>
              </w:rPr>
              <w:t xml:space="preserve">على نص </w:t>
            </w:r>
            <w:r w:rsidRPr="0048109D">
              <w:rPr>
                <w:sz w:val="32"/>
                <w:szCs w:val="32"/>
                <w:rtl/>
                <w:lang w:bidi="ar-EG"/>
              </w:rPr>
              <w:t>صك قانوني دولي (</w:t>
            </w:r>
            <w:r w:rsidR="00B70D87">
              <w:rPr>
                <w:rFonts w:hint="cs"/>
                <w:sz w:val="32"/>
                <w:szCs w:val="32"/>
                <w:rtl/>
                <w:lang w:bidi="ar-EG"/>
              </w:rPr>
              <w:t xml:space="preserve">نصوص </w:t>
            </w:r>
            <w:r w:rsidRPr="0048109D">
              <w:rPr>
                <w:sz w:val="32"/>
                <w:szCs w:val="32"/>
                <w:rtl/>
                <w:lang w:bidi="ar-EG"/>
              </w:rPr>
              <w:t xml:space="preserve">صكوك قانونية دولية) </w:t>
            </w:r>
            <w:r w:rsidR="00B70D87">
              <w:rPr>
                <w:rFonts w:hint="cs"/>
                <w:sz w:val="32"/>
                <w:szCs w:val="32"/>
                <w:rtl/>
                <w:lang w:bidi="ar-EG"/>
              </w:rPr>
              <w:t>ي</w:t>
            </w:r>
            <w:r w:rsidRPr="0048109D">
              <w:rPr>
                <w:sz w:val="32"/>
                <w:szCs w:val="32"/>
                <w:rtl/>
                <w:lang w:bidi="ar-EG"/>
              </w:rPr>
              <w:t>تعلق بالملكية الفكرية والموارد الوراثية والمعارف التقليدية وأشكال التعبير الثقافي التقليدي</w:t>
            </w:r>
            <w:r w:rsidR="00B70D87">
              <w:rPr>
                <w:rFonts w:hint="cs"/>
                <w:sz w:val="32"/>
                <w:szCs w:val="32"/>
                <w:rtl/>
                <w:lang w:bidi="ar-EG"/>
              </w:rPr>
              <w:t>، أو استكمال هذه المفاوضات</w:t>
            </w:r>
            <w:r w:rsidR="00B70D87">
              <w:rPr>
                <w:sz w:val="32"/>
                <w:szCs w:val="32"/>
                <w:rtl/>
                <w:lang w:bidi="ar-EG"/>
              </w:rPr>
              <w:t xml:space="preserve"> عند الاقتضاء</w:t>
            </w:r>
            <w:r w:rsidRPr="0048109D">
              <w:rPr>
                <w:sz w:val="32"/>
                <w:szCs w:val="32"/>
                <w:rtl/>
                <w:lang w:bidi="ar-EG"/>
              </w:rPr>
              <w:t>.</w:t>
            </w:r>
          </w:p>
        </w:tc>
      </w:tr>
    </w:tbl>
    <w:p w:rsidR="0048109D" w:rsidRDefault="0048109D" w:rsidP="0048109D">
      <w:pPr>
        <w:pStyle w:val="NormalParaAR"/>
        <w:spacing w:before="120"/>
        <w:rPr>
          <w:rtl/>
          <w:lang w:bidi="ar-EG"/>
        </w:rPr>
      </w:pPr>
      <w:r>
        <w:rPr>
          <w:rFonts w:hint="cs"/>
          <w:rtl/>
          <w:lang w:bidi="ar-EG"/>
        </w:rPr>
        <w:t>*</w:t>
      </w:r>
      <w:r>
        <w:rPr>
          <w:rtl/>
          <w:lang w:bidi="ar-EG"/>
        </w:rPr>
        <w:tab/>
      </w:r>
      <w:r>
        <w:rPr>
          <w:rFonts w:hint="cs"/>
          <w:rtl/>
          <w:lang w:bidi="ar-EG"/>
        </w:rPr>
        <w:t xml:space="preserve">يمكن إضافة الأيام الستة المتبقية إلى مدة أي دورة علماً بأن اللجنة </w:t>
      </w:r>
      <w:proofErr w:type="gramStart"/>
      <w:r>
        <w:rPr>
          <w:rFonts w:hint="cs"/>
          <w:rtl/>
          <w:lang w:bidi="ar-EG"/>
        </w:rPr>
        <w:t>تتولى</w:t>
      </w:r>
      <w:proofErr w:type="gramEnd"/>
      <w:r>
        <w:rPr>
          <w:rFonts w:hint="cs"/>
          <w:rtl/>
          <w:lang w:bidi="ar-EG"/>
        </w:rPr>
        <w:t xml:space="preserve"> تخصيصها عند الاقتضاء.</w:t>
      </w:r>
    </w:p>
    <w:p w:rsidR="0048109D" w:rsidRPr="004368E2" w:rsidRDefault="0048109D" w:rsidP="00B07EF6">
      <w:pPr>
        <w:pStyle w:val="NormalParaAR"/>
        <w:keepNext/>
        <w:pageBreakBefore/>
        <w:spacing w:before="120"/>
        <w:rPr>
          <w:rtl/>
          <w:lang w:bidi="ar-EG"/>
        </w:rPr>
      </w:pPr>
      <w:r w:rsidRPr="0048109D">
        <w:rPr>
          <w:rFonts w:hint="cs"/>
          <w:b/>
          <w:bCs/>
          <w:rtl/>
          <w:lang w:bidi="ar-EG"/>
        </w:rPr>
        <w:lastRenderedPageBreak/>
        <w:t xml:space="preserve">مذكرة إيضاحية بشأن اقتراح تجديد ولاية اللجنة للثنائية 2016-2017 المقدَّم </w:t>
      </w:r>
      <w:r w:rsidR="00B07EF6" w:rsidRPr="0048109D">
        <w:rPr>
          <w:rFonts w:hint="cs"/>
          <w:b/>
          <w:bCs/>
          <w:rtl/>
          <w:lang w:bidi="ar-EG"/>
        </w:rPr>
        <w:t>من</w:t>
      </w:r>
      <w:r w:rsidR="00B07EF6">
        <w:rPr>
          <w:rFonts w:hint="cs"/>
          <w:b/>
          <w:bCs/>
          <w:rtl/>
          <w:lang w:bidi="ar-EG"/>
        </w:rPr>
        <w:t xml:space="preserve"> وفود</w:t>
      </w:r>
      <w:r w:rsidR="00B07EF6" w:rsidRPr="0048109D">
        <w:rPr>
          <w:rFonts w:hint="cs"/>
          <w:b/>
          <w:bCs/>
          <w:rtl/>
          <w:lang w:bidi="ar-EG"/>
        </w:rPr>
        <w:t xml:space="preserve"> الكرسي الرسولي وكينيا وموزامبيق ونيوزيلندا والنرويج وسويسرا </w:t>
      </w:r>
      <w:r w:rsidRPr="0048109D">
        <w:rPr>
          <w:rFonts w:hint="cs"/>
          <w:b/>
          <w:bCs/>
          <w:rtl/>
          <w:lang w:bidi="ar-EG"/>
        </w:rPr>
        <w:t>إلى سلسلة الاجتماعات الخامسة والخمسين لجمعيات الدول الأعضاء في ا</w:t>
      </w:r>
      <w:r w:rsidR="00B07EF6">
        <w:rPr>
          <w:rFonts w:hint="cs"/>
          <w:b/>
          <w:bCs/>
          <w:rtl/>
          <w:lang w:bidi="ar-EG"/>
        </w:rPr>
        <w:t>لويبو</w:t>
      </w:r>
    </w:p>
    <w:p w:rsidR="0048109D" w:rsidRPr="004368E2" w:rsidRDefault="0048109D" w:rsidP="0048109D">
      <w:pPr>
        <w:pStyle w:val="NormalParaAR"/>
        <w:keepNext/>
        <w:spacing w:before="120"/>
        <w:rPr>
          <w:rtl/>
          <w:lang w:bidi="ar-EG"/>
        </w:rPr>
      </w:pPr>
      <w:r w:rsidRPr="0048109D">
        <w:rPr>
          <w:rFonts w:hint="cs"/>
          <w:b/>
          <w:bCs/>
          <w:rtl/>
          <w:lang w:bidi="ar-EG"/>
        </w:rPr>
        <w:t>ألف.</w:t>
      </w:r>
      <w:r w:rsidRPr="0048109D">
        <w:rPr>
          <w:b/>
          <w:bCs/>
          <w:rtl/>
          <w:lang w:bidi="ar-EG"/>
        </w:rPr>
        <w:tab/>
      </w:r>
      <w:r w:rsidRPr="0048109D">
        <w:rPr>
          <w:rFonts w:hint="cs"/>
          <w:b/>
          <w:bCs/>
          <w:u w:val="single"/>
          <w:rtl/>
          <w:lang w:bidi="ar-EG"/>
        </w:rPr>
        <w:t>مقدمة</w:t>
      </w:r>
    </w:p>
    <w:p w:rsidR="0048109D" w:rsidRDefault="0048109D" w:rsidP="00B70D87">
      <w:pPr>
        <w:pStyle w:val="NormalParaAR"/>
        <w:spacing w:before="120"/>
        <w:rPr>
          <w:rtl/>
          <w:lang w:bidi="ar-EG"/>
        </w:rPr>
      </w:pPr>
      <w:r>
        <w:rPr>
          <w:rFonts w:hint="cs"/>
          <w:rtl/>
          <w:lang w:bidi="ar-EG"/>
        </w:rPr>
        <w:t xml:space="preserve">يجب على الجمعية العامة للويبو لعام 2015 أن تبت في تجديد ولاية اللجنة الحكومية الدولية المعنية بالملكية الفكرية والموارد الوراثية والمعارف التقليدية والفولكلور للثنائية 2016-2017. </w:t>
      </w:r>
      <w:proofErr w:type="gramStart"/>
      <w:r w:rsidR="004368E2">
        <w:rPr>
          <w:rFonts w:hint="cs"/>
          <w:rtl/>
          <w:lang w:bidi="ar-EG"/>
        </w:rPr>
        <w:t>ويرمي</w:t>
      </w:r>
      <w:proofErr w:type="gramEnd"/>
      <w:r w:rsidR="004368E2">
        <w:rPr>
          <w:rFonts w:hint="cs"/>
          <w:rtl/>
          <w:lang w:bidi="ar-EG"/>
        </w:rPr>
        <w:t xml:space="preserve"> مشروع الولاية المرفق إلى تيسير إعداد هذه الولاية المجددة من خلال اقتراح سبيل للمضي قدماً. </w:t>
      </w:r>
      <w:proofErr w:type="gramStart"/>
      <w:r w:rsidR="004368E2">
        <w:rPr>
          <w:rFonts w:hint="cs"/>
          <w:rtl/>
          <w:lang w:bidi="ar-EG"/>
        </w:rPr>
        <w:t>وتولى</w:t>
      </w:r>
      <w:proofErr w:type="gramEnd"/>
      <w:r w:rsidR="004368E2">
        <w:rPr>
          <w:rFonts w:hint="cs"/>
          <w:rtl/>
          <w:lang w:bidi="ar-EG"/>
        </w:rPr>
        <w:t xml:space="preserve"> فريق عمل غير رسمي </w:t>
      </w:r>
      <w:r w:rsidR="00B70D87">
        <w:rPr>
          <w:rFonts w:hint="cs"/>
          <w:rtl/>
          <w:lang w:bidi="ar-EG"/>
        </w:rPr>
        <w:t>من البلدان</w:t>
      </w:r>
      <w:r w:rsidR="004368E2">
        <w:rPr>
          <w:rFonts w:hint="cs"/>
          <w:rtl/>
          <w:lang w:bidi="ar-EG"/>
        </w:rPr>
        <w:t xml:space="preserve"> إعداد مشروع الولاية هذا بالتشاور مع وفود عديدة أخرى.</w:t>
      </w:r>
    </w:p>
    <w:p w:rsidR="004368E2" w:rsidRDefault="004368E2" w:rsidP="00B70D87">
      <w:pPr>
        <w:pStyle w:val="NormalParaAR"/>
        <w:spacing w:before="120"/>
        <w:rPr>
          <w:rtl/>
          <w:lang w:bidi="ar-EG"/>
        </w:rPr>
      </w:pPr>
      <w:r>
        <w:rPr>
          <w:rFonts w:hint="cs"/>
          <w:rtl/>
          <w:lang w:bidi="ar-EG"/>
        </w:rPr>
        <w:t xml:space="preserve">واحتفظ مشروع الولاية بصيغة الولاية الحالية للثنائية 2014-2015 قدر الإمكان. ويلي توضيح أحكام مشروع الولاية </w:t>
      </w:r>
      <w:proofErr w:type="gramStart"/>
      <w:r w:rsidR="00B70D87">
        <w:rPr>
          <w:rFonts w:hint="cs"/>
          <w:rtl/>
          <w:lang w:bidi="ar-EG"/>
        </w:rPr>
        <w:t>وتغيرها</w:t>
      </w:r>
      <w:proofErr w:type="gramEnd"/>
      <w:r>
        <w:rPr>
          <w:rFonts w:hint="cs"/>
          <w:rtl/>
          <w:lang w:bidi="ar-EG"/>
        </w:rPr>
        <w:t xml:space="preserve"> مقارنة بالولاية الحالية.</w:t>
      </w:r>
    </w:p>
    <w:p w:rsidR="004368E2" w:rsidRPr="004368E2" w:rsidRDefault="004368E2" w:rsidP="004368E2">
      <w:pPr>
        <w:pStyle w:val="NormalParaAR"/>
        <w:keepNext/>
        <w:spacing w:before="120"/>
        <w:rPr>
          <w:rtl/>
          <w:lang w:bidi="ar-EG"/>
        </w:rPr>
      </w:pPr>
      <w:r>
        <w:rPr>
          <w:rFonts w:hint="cs"/>
          <w:b/>
          <w:bCs/>
          <w:rtl/>
          <w:lang w:bidi="ar-EG"/>
        </w:rPr>
        <w:t>باء.</w:t>
      </w:r>
      <w:r>
        <w:rPr>
          <w:b/>
          <w:bCs/>
          <w:rtl/>
          <w:lang w:bidi="ar-EG"/>
        </w:rPr>
        <w:tab/>
      </w:r>
      <w:proofErr w:type="gramStart"/>
      <w:r w:rsidRPr="004368E2">
        <w:rPr>
          <w:rFonts w:hint="cs"/>
          <w:b/>
          <w:bCs/>
          <w:u w:val="single"/>
          <w:rtl/>
          <w:lang w:bidi="ar-EG"/>
        </w:rPr>
        <w:t>تعليقات</w:t>
      </w:r>
      <w:proofErr w:type="gramEnd"/>
      <w:r w:rsidRPr="004368E2">
        <w:rPr>
          <w:rFonts w:hint="cs"/>
          <w:b/>
          <w:bCs/>
          <w:u w:val="single"/>
          <w:rtl/>
          <w:lang w:bidi="ar-EG"/>
        </w:rPr>
        <w:t xml:space="preserve"> على مشروع الولاية</w:t>
      </w:r>
    </w:p>
    <w:p w:rsidR="004368E2" w:rsidRPr="004368E2" w:rsidRDefault="004368E2" w:rsidP="004368E2">
      <w:pPr>
        <w:pStyle w:val="NormalParaAR"/>
        <w:keepNext/>
        <w:spacing w:before="120"/>
        <w:rPr>
          <w:u w:val="single"/>
          <w:rtl/>
          <w:lang w:bidi="ar-EG"/>
        </w:rPr>
      </w:pPr>
      <w:r w:rsidRPr="004368E2">
        <w:rPr>
          <w:rFonts w:hint="cs"/>
          <w:b/>
          <w:bCs/>
          <w:rtl/>
          <w:lang w:bidi="ar-EG"/>
        </w:rPr>
        <w:t>1.</w:t>
      </w:r>
      <w:r w:rsidRPr="004368E2">
        <w:rPr>
          <w:b/>
          <w:bCs/>
          <w:rtl/>
          <w:lang w:bidi="ar-EG"/>
        </w:rPr>
        <w:tab/>
      </w:r>
      <w:r w:rsidRPr="004368E2">
        <w:rPr>
          <w:rFonts w:hint="cs"/>
          <w:b/>
          <w:bCs/>
          <w:u w:val="single"/>
          <w:rtl/>
          <w:lang w:bidi="ar-EG"/>
        </w:rPr>
        <w:t>المقدمة</w:t>
      </w:r>
    </w:p>
    <w:p w:rsidR="004368E2" w:rsidRPr="004368E2" w:rsidRDefault="004368E2" w:rsidP="009128A4">
      <w:pPr>
        <w:pStyle w:val="NormalParaAR"/>
        <w:spacing w:before="120"/>
        <w:rPr>
          <w:rtl/>
          <w:lang w:bidi="ar-EG"/>
        </w:rPr>
      </w:pPr>
      <w:r>
        <w:rPr>
          <w:rFonts w:hint="cs"/>
          <w:rtl/>
          <w:lang w:bidi="ar-EG"/>
        </w:rPr>
        <w:t xml:space="preserve">أدرجت مقدمة الولاية الحالية للثنائية 2014-2015 في </w:t>
      </w:r>
      <w:r w:rsidR="009128A4">
        <w:rPr>
          <w:rFonts w:hint="cs"/>
          <w:rtl/>
          <w:lang w:bidi="ar-EG"/>
        </w:rPr>
        <w:t>السجل الحرفي ل</w:t>
      </w:r>
      <w:r>
        <w:rPr>
          <w:rFonts w:hint="cs"/>
          <w:rtl/>
          <w:lang w:bidi="ar-EG"/>
        </w:rPr>
        <w:t xml:space="preserve">مشروع ولاية </w:t>
      </w:r>
      <w:r w:rsidR="009128A4">
        <w:rPr>
          <w:rFonts w:hint="cs"/>
          <w:rtl/>
          <w:lang w:bidi="ar-EG"/>
        </w:rPr>
        <w:t>ا</w:t>
      </w:r>
      <w:r>
        <w:rPr>
          <w:rFonts w:hint="cs"/>
          <w:rtl/>
          <w:lang w:bidi="ar-EG"/>
        </w:rPr>
        <w:t>لثنائية 2016-2017.</w:t>
      </w:r>
    </w:p>
    <w:p w:rsidR="004368E2" w:rsidRPr="009128A4" w:rsidRDefault="004368E2" w:rsidP="004368E2">
      <w:pPr>
        <w:pStyle w:val="NormalParaAR"/>
        <w:keepNext/>
        <w:spacing w:before="120"/>
        <w:rPr>
          <w:u w:val="single"/>
          <w:rtl/>
          <w:lang w:bidi="ar-EG"/>
        </w:rPr>
      </w:pPr>
      <w:r w:rsidRPr="009128A4">
        <w:rPr>
          <w:rFonts w:hint="cs"/>
          <w:b/>
          <w:bCs/>
          <w:rtl/>
          <w:lang w:bidi="ar-EG"/>
        </w:rPr>
        <w:t>2.</w:t>
      </w:r>
      <w:r w:rsidRPr="009128A4">
        <w:rPr>
          <w:rFonts w:hint="cs"/>
          <w:b/>
          <w:bCs/>
          <w:rtl/>
          <w:lang w:bidi="ar-EG"/>
        </w:rPr>
        <w:tab/>
      </w:r>
      <w:r w:rsidR="009128A4" w:rsidRPr="009128A4">
        <w:rPr>
          <w:rFonts w:hint="cs"/>
          <w:b/>
          <w:bCs/>
          <w:u w:val="single"/>
          <w:rtl/>
          <w:lang w:bidi="ar-EG"/>
        </w:rPr>
        <w:t>الفقرة (أ)</w:t>
      </w:r>
    </w:p>
    <w:p w:rsidR="004368E2" w:rsidRDefault="009128A4" w:rsidP="00B70D87">
      <w:pPr>
        <w:pStyle w:val="NormalParaAR"/>
        <w:spacing w:before="120"/>
        <w:rPr>
          <w:rtl/>
          <w:lang w:bidi="ar-EG"/>
        </w:rPr>
      </w:pPr>
      <w:proofErr w:type="gramStart"/>
      <w:r>
        <w:rPr>
          <w:rFonts w:hint="cs"/>
          <w:rtl/>
          <w:lang w:bidi="ar-EG"/>
        </w:rPr>
        <w:t>تتشابه</w:t>
      </w:r>
      <w:proofErr w:type="gramEnd"/>
      <w:r>
        <w:rPr>
          <w:rFonts w:hint="cs"/>
          <w:rtl/>
          <w:lang w:bidi="ar-EG"/>
        </w:rPr>
        <w:t xml:space="preserve"> صيغة الفقرة (أ) من مشروع الولاية للثنائية 2016-2017 إلى حد بعيد مع صيغة الفقرة (أ) من ولاية اللجنة للثنائية 2014-2015. ولكن </w:t>
      </w:r>
      <w:r w:rsidR="00B70D87">
        <w:rPr>
          <w:rFonts w:hint="cs"/>
          <w:rtl/>
          <w:lang w:bidi="ar-EG"/>
        </w:rPr>
        <w:t>أُضيف</w:t>
      </w:r>
      <w:r>
        <w:rPr>
          <w:rFonts w:hint="cs"/>
          <w:rtl/>
          <w:lang w:bidi="ar-EG"/>
        </w:rPr>
        <w:t xml:space="preserve"> </w:t>
      </w:r>
      <w:proofErr w:type="gramStart"/>
      <w:r>
        <w:rPr>
          <w:rFonts w:hint="cs"/>
          <w:rtl/>
          <w:lang w:bidi="ar-EG"/>
        </w:rPr>
        <w:t>مصطلح</w:t>
      </w:r>
      <w:proofErr w:type="gramEnd"/>
      <w:r>
        <w:rPr>
          <w:rFonts w:hint="cs"/>
          <w:rtl/>
          <w:lang w:bidi="ar-EG"/>
        </w:rPr>
        <w:t xml:space="preserve"> "الملكية الفكرية" في هذه الفقرة بغية توجيه تركيز الدول الأعضاء إلى هذا الموضوع. ويجدر التذكير بأن المنظمة العالمية للملكية الفكرية (الويبو) هي المحفل المختص المخصص لمناقشة القضايا المتعلقة بالملكية الفكرية وتنظيمها. ولكن لا يعني ذلك إغفال الشواغل الأخرى والأبعاد المختلفة المتناولة في إطار محافل أخرى. </w:t>
      </w:r>
      <w:proofErr w:type="gramStart"/>
      <w:r>
        <w:rPr>
          <w:rFonts w:hint="cs"/>
          <w:rtl/>
          <w:lang w:bidi="ar-EG"/>
        </w:rPr>
        <w:t>وإضافة</w:t>
      </w:r>
      <w:proofErr w:type="gramEnd"/>
      <w:r>
        <w:rPr>
          <w:rFonts w:hint="cs"/>
          <w:rtl/>
          <w:lang w:bidi="ar-EG"/>
        </w:rPr>
        <w:t xml:space="preserve"> إلى ذلك، أدرجت الصفة "</w:t>
      </w:r>
      <w:r w:rsidR="00B70D87">
        <w:rPr>
          <w:rFonts w:hint="cs"/>
          <w:rtl/>
          <w:lang w:bidi="ar-EG"/>
        </w:rPr>
        <w:t>ال</w:t>
      </w:r>
      <w:r>
        <w:rPr>
          <w:rFonts w:hint="cs"/>
          <w:rtl/>
          <w:lang w:bidi="ar-EG"/>
        </w:rPr>
        <w:t>متوازنة" في عبارة "الحماية الفعالة والمتوازنة" بغية ضمان مراعاة جميع وجهات النظر.</w:t>
      </w:r>
    </w:p>
    <w:p w:rsidR="004368E2" w:rsidRPr="009128A4" w:rsidRDefault="004368E2" w:rsidP="004368E2">
      <w:pPr>
        <w:pStyle w:val="NormalParaAR"/>
        <w:keepNext/>
        <w:spacing w:before="120"/>
        <w:rPr>
          <w:u w:val="single"/>
          <w:rtl/>
          <w:lang w:bidi="ar-EG"/>
        </w:rPr>
      </w:pPr>
      <w:r w:rsidRPr="009128A4">
        <w:rPr>
          <w:rFonts w:hint="cs"/>
          <w:b/>
          <w:bCs/>
          <w:rtl/>
          <w:lang w:bidi="ar-EG"/>
        </w:rPr>
        <w:t>3.</w:t>
      </w:r>
      <w:r w:rsidRPr="009128A4">
        <w:rPr>
          <w:b/>
          <w:bCs/>
          <w:rtl/>
          <w:lang w:bidi="ar-EG"/>
        </w:rPr>
        <w:tab/>
      </w:r>
      <w:r w:rsidR="009128A4" w:rsidRPr="009128A4">
        <w:rPr>
          <w:rFonts w:hint="cs"/>
          <w:b/>
          <w:bCs/>
          <w:u w:val="single"/>
          <w:rtl/>
          <w:lang w:bidi="ar-EG"/>
        </w:rPr>
        <w:t>الفقرة (ب)</w:t>
      </w:r>
    </w:p>
    <w:p w:rsidR="004368E2" w:rsidRDefault="009128A4" w:rsidP="00B70D87">
      <w:pPr>
        <w:pStyle w:val="NormalParaAR"/>
        <w:spacing w:before="120"/>
        <w:rPr>
          <w:rtl/>
          <w:lang w:bidi="ar-EG"/>
        </w:rPr>
      </w:pPr>
      <w:proofErr w:type="gramStart"/>
      <w:r>
        <w:rPr>
          <w:rFonts w:hint="cs"/>
          <w:rtl/>
          <w:lang w:bidi="ar-EG"/>
        </w:rPr>
        <w:t>مقارنة</w:t>
      </w:r>
      <w:proofErr w:type="gramEnd"/>
      <w:r>
        <w:rPr>
          <w:rFonts w:hint="cs"/>
          <w:rtl/>
          <w:lang w:bidi="ar-EG"/>
        </w:rPr>
        <w:t xml:space="preserve"> بالفقرة (ب) من ولاية عامي 2014-2015، أعيدت صياغة الفقرة (ب) من ولاية الثنائية 2016-2017 بغية تمكين اللجنة من العمل على نحو أكثر فعالية وبساطة. </w:t>
      </w:r>
      <w:proofErr w:type="gramStart"/>
      <w:r>
        <w:rPr>
          <w:rFonts w:hint="cs"/>
          <w:rtl/>
          <w:lang w:bidi="ar-EG"/>
        </w:rPr>
        <w:t>فلا</w:t>
      </w:r>
      <w:proofErr w:type="gramEnd"/>
      <w:r>
        <w:rPr>
          <w:rFonts w:hint="cs"/>
          <w:rtl/>
          <w:lang w:bidi="ar-EG"/>
        </w:rPr>
        <w:t xml:space="preserve"> تشمل الولاية الجديدة </w:t>
      </w:r>
      <w:r w:rsidR="00B35118">
        <w:rPr>
          <w:rFonts w:hint="cs"/>
          <w:rtl/>
          <w:lang w:bidi="ar-EG"/>
        </w:rPr>
        <w:t>برنامج عمل مفصل</w:t>
      </w:r>
      <w:r w:rsidR="00B70D87">
        <w:rPr>
          <w:rFonts w:hint="cs"/>
          <w:rtl/>
          <w:lang w:bidi="ar-EG"/>
        </w:rPr>
        <w:t>اً</w:t>
      </w:r>
      <w:r>
        <w:rPr>
          <w:rFonts w:hint="cs"/>
          <w:rtl/>
          <w:lang w:bidi="ar-EG"/>
        </w:rPr>
        <w:t xml:space="preserve"> وإنما تقتضي من رئيس اللجنة أو ميسر يعينه رئيس الجمعية العامة ومن الدول الأعضاء البت في الموضوعات المتفاوض عليها ونوع الدورات المزمع عقدها قبل نهاية عام 2015. </w:t>
      </w:r>
      <w:proofErr w:type="gramStart"/>
      <w:r w:rsidR="00B70D87">
        <w:rPr>
          <w:rFonts w:hint="cs"/>
          <w:rtl/>
          <w:lang w:bidi="ar-EG"/>
        </w:rPr>
        <w:t>وسيمكِّن</w:t>
      </w:r>
      <w:proofErr w:type="gramEnd"/>
      <w:r>
        <w:rPr>
          <w:rFonts w:hint="cs"/>
          <w:rtl/>
          <w:lang w:bidi="ar-EG"/>
        </w:rPr>
        <w:t xml:space="preserve"> هذا النهج </w:t>
      </w:r>
      <w:r w:rsidR="00B70D87">
        <w:rPr>
          <w:rFonts w:hint="cs"/>
          <w:rtl/>
          <w:lang w:bidi="ar-EG"/>
        </w:rPr>
        <w:t>ا</w:t>
      </w:r>
      <w:r>
        <w:rPr>
          <w:rFonts w:hint="cs"/>
          <w:rtl/>
          <w:lang w:bidi="ar-EG"/>
        </w:rPr>
        <w:t xml:space="preserve">للجنة </w:t>
      </w:r>
      <w:r w:rsidR="00B70D87">
        <w:rPr>
          <w:rFonts w:hint="cs"/>
          <w:rtl/>
          <w:lang w:bidi="ar-EG"/>
        </w:rPr>
        <w:t>من تحديد</w:t>
      </w:r>
      <w:r>
        <w:rPr>
          <w:rFonts w:hint="cs"/>
          <w:rtl/>
          <w:lang w:bidi="ar-EG"/>
        </w:rPr>
        <w:t xml:space="preserve"> جدول أعمالها بنفسها</w:t>
      </w:r>
      <w:r w:rsidR="00B70D87">
        <w:rPr>
          <w:rFonts w:hint="cs"/>
          <w:rtl/>
          <w:lang w:bidi="ar-EG"/>
        </w:rPr>
        <w:t>،</w:t>
      </w:r>
      <w:r>
        <w:rPr>
          <w:rFonts w:hint="cs"/>
          <w:rtl/>
          <w:lang w:bidi="ar-EG"/>
        </w:rPr>
        <w:t xml:space="preserve"> </w:t>
      </w:r>
      <w:r w:rsidR="00B70D87">
        <w:rPr>
          <w:rFonts w:hint="cs"/>
          <w:rtl/>
          <w:lang w:bidi="ar-EG"/>
        </w:rPr>
        <w:t>وبذلك</w:t>
      </w:r>
      <w:r>
        <w:rPr>
          <w:rFonts w:hint="cs"/>
          <w:rtl/>
          <w:lang w:bidi="ar-EG"/>
        </w:rPr>
        <w:t xml:space="preserve"> </w:t>
      </w:r>
      <w:r w:rsidR="00C10F40">
        <w:rPr>
          <w:rFonts w:hint="cs"/>
          <w:rtl/>
          <w:lang w:bidi="ar-EG"/>
        </w:rPr>
        <w:t>إزالة</w:t>
      </w:r>
      <w:r>
        <w:rPr>
          <w:rFonts w:hint="cs"/>
          <w:rtl/>
          <w:lang w:bidi="ar-EG"/>
        </w:rPr>
        <w:t xml:space="preserve"> </w:t>
      </w:r>
      <w:r w:rsidR="00C10F40">
        <w:rPr>
          <w:rFonts w:hint="cs"/>
          <w:rtl/>
          <w:lang w:bidi="ar-EG"/>
        </w:rPr>
        <w:t>القضايا القابلة لإثارة ال</w:t>
      </w:r>
      <w:r>
        <w:rPr>
          <w:rFonts w:hint="cs"/>
          <w:rtl/>
          <w:lang w:bidi="ar-EG"/>
        </w:rPr>
        <w:t xml:space="preserve">جدل من جدول أعمال الجمعية العامة. وإضافة </w:t>
      </w:r>
      <w:r w:rsidR="00C10F40">
        <w:rPr>
          <w:rFonts w:hint="cs"/>
          <w:rtl/>
          <w:lang w:bidi="ar-EG"/>
        </w:rPr>
        <w:t>إلى ذلك، يتيح هذا النهج اتخاذ أكبر قدر ممكن من القرارات على مستوى اللجنة ما سيؤدي إلى تخفيف أعباء الجمعية العامة.</w:t>
      </w:r>
    </w:p>
    <w:p w:rsidR="009128A4" w:rsidRDefault="00C10F40" w:rsidP="00B70D87">
      <w:pPr>
        <w:pStyle w:val="NormalParaAR"/>
        <w:spacing w:before="120"/>
        <w:rPr>
          <w:rtl/>
          <w:lang w:bidi="ar-EG"/>
        </w:rPr>
      </w:pPr>
      <w:proofErr w:type="gramStart"/>
      <w:r>
        <w:rPr>
          <w:rFonts w:hint="cs"/>
          <w:rtl/>
          <w:lang w:bidi="ar-EG"/>
        </w:rPr>
        <w:t>وفضلاً</w:t>
      </w:r>
      <w:proofErr w:type="gramEnd"/>
      <w:r>
        <w:rPr>
          <w:rFonts w:hint="cs"/>
          <w:rtl/>
          <w:lang w:bidi="ar-EG"/>
        </w:rPr>
        <w:t xml:space="preserve"> عن ذلك، يعزى عدم تحديد </w:t>
      </w:r>
      <w:r w:rsidR="00B35118">
        <w:rPr>
          <w:rFonts w:hint="cs"/>
          <w:rtl/>
          <w:lang w:bidi="ar-EG"/>
        </w:rPr>
        <w:t>برنامج عمل</w:t>
      </w:r>
      <w:r w:rsidR="00B70D87">
        <w:rPr>
          <w:rFonts w:hint="cs"/>
          <w:rtl/>
          <w:lang w:bidi="ar-EG"/>
        </w:rPr>
        <w:t xml:space="preserve"> جامد إلى توفير قدر</w:t>
      </w:r>
      <w:r>
        <w:rPr>
          <w:rFonts w:hint="cs"/>
          <w:rtl/>
          <w:lang w:bidi="ar-EG"/>
        </w:rPr>
        <w:t xml:space="preserve"> من المرونة في المفاوضات: إذ توفر الولاية المقترحة عدة خيارات للمناقشات و/أو الاجتماعات المزمع عقدها خلال الثنائية دون تحديد أنواع المناقشات المنظمة أو مدتها</w:t>
      </w:r>
      <w:r w:rsidR="00B70D87">
        <w:rPr>
          <w:rFonts w:hint="cs"/>
          <w:rtl/>
          <w:lang w:bidi="ar-EG"/>
        </w:rPr>
        <w:t xml:space="preserve"> مسبقاً</w:t>
      </w:r>
      <w:r>
        <w:rPr>
          <w:rFonts w:hint="cs"/>
          <w:rtl/>
          <w:lang w:bidi="ar-EG"/>
        </w:rPr>
        <w:t xml:space="preserve">. وسيوفر النهج الجديد للجنة المرونة اللازمة كي تستغل وقتها على أفضل وجه </w:t>
      </w:r>
      <w:r w:rsidR="00B70D87">
        <w:rPr>
          <w:rFonts w:hint="cs"/>
          <w:rtl/>
          <w:lang w:bidi="ar-EG"/>
        </w:rPr>
        <w:t>وتستفيد من</w:t>
      </w:r>
      <w:r>
        <w:rPr>
          <w:rFonts w:hint="cs"/>
          <w:rtl/>
          <w:lang w:bidi="ar-EG"/>
        </w:rPr>
        <w:t xml:space="preserve"> كل يوم من الأيام الست والثلاثين المنصوص عليها في عقد مناقشات قد تؤدي إلى تحقيق نتائج ملموسة. ومن ثم، سيتسنى للجنة أن تقرر تغيير جدولها الزمني و/أو نوع مناقشاتها خلال الثنائية 2016-2017 عند الاقتضاء، ما يستحال إذا أدرجت الجمعية العامة للويبو </w:t>
      </w:r>
      <w:r w:rsidR="00B35118">
        <w:rPr>
          <w:rFonts w:hint="cs"/>
          <w:rtl/>
          <w:lang w:bidi="ar-EG"/>
        </w:rPr>
        <w:t>برنامج عمل مفصل</w:t>
      </w:r>
      <w:r w:rsidR="00B70D87">
        <w:rPr>
          <w:rFonts w:hint="cs"/>
          <w:rtl/>
          <w:lang w:bidi="ar-EG"/>
        </w:rPr>
        <w:t>اً</w:t>
      </w:r>
      <w:r>
        <w:rPr>
          <w:rFonts w:hint="cs"/>
          <w:rtl/>
          <w:lang w:bidi="ar-EG"/>
        </w:rPr>
        <w:t xml:space="preserve"> في الولاية.</w:t>
      </w:r>
    </w:p>
    <w:p w:rsidR="004368E2" w:rsidRPr="00C10F40" w:rsidRDefault="004368E2" w:rsidP="004368E2">
      <w:pPr>
        <w:pStyle w:val="NormalParaAR"/>
        <w:keepNext/>
        <w:spacing w:before="120"/>
        <w:rPr>
          <w:u w:val="single"/>
          <w:rtl/>
          <w:lang w:bidi="ar-EG"/>
        </w:rPr>
      </w:pPr>
      <w:r w:rsidRPr="00C10F40">
        <w:rPr>
          <w:rFonts w:hint="cs"/>
          <w:b/>
          <w:bCs/>
          <w:rtl/>
          <w:lang w:bidi="ar-EG"/>
        </w:rPr>
        <w:lastRenderedPageBreak/>
        <w:t>4.</w:t>
      </w:r>
      <w:r w:rsidRPr="00C10F40">
        <w:rPr>
          <w:b/>
          <w:bCs/>
          <w:rtl/>
          <w:lang w:bidi="ar-EG"/>
        </w:rPr>
        <w:tab/>
      </w:r>
      <w:r w:rsidR="00C10F40" w:rsidRPr="00C10F40">
        <w:rPr>
          <w:rFonts w:hint="cs"/>
          <w:b/>
          <w:bCs/>
          <w:u w:val="single"/>
          <w:rtl/>
          <w:lang w:bidi="ar-EG"/>
        </w:rPr>
        <w:t>الفقرة (ج)</w:t>
      </w:r>
    </w:p>
    <w:p w:rsidR="004368E2" w:rsidRDefault="00C10F40" w:rsidP="00B70D87">
      <w:pPr>
        <w:pStyle w:val="NormalParaAR"/>
        <w:spacing w:before="120"/>
        <w:rPr>
          <w:rtl/>
          <w:lang w:bidi="ar-EG"/>
        </w:rPr>
      </w:pPr>
      <w:r>
        <w:rPr>
          <w:rFonts w:hint="cs"/>
          <w:rtl/>
          <w:lang w:bidi="ar-EG"/>
        </w:rPr>
        <w:t xml:space="preserve">الفقرة (ج) </w:t>
      </w:r>
      <w:proofErr w:type="gramStart"/>
      <w:r>
        <w:rPr>
          <w:rFonts w:hint="cs"/>
          <w:rtl/>
          <w:lang w:bidi="ar-EG"/>
        </w:rPr>
        <w:t>فقرة</w:t>
      </w:r>
      <w:proofErr w:type="gramEnd"/>
      <w:r>
        <w:rPr>
          <w:rFonts w:hint="cs"/>
          <w:rtl/>
          <w:lang w:bidi="ar-EG"/>
        </w:rPr>
        <w:t xml:space="preserve"> جديدة غير موجودة في ولاية</w:t>
      </w:r>
      <w:r w:rsidR="00B70D87">
        <w:rPr>
          <w:rFonts w:hint="cs"/>
          <w:rtl/>
          <w:lang w:bidi="ar-EG"/>
        </w:rPr>
        <w:t xml:space="preserve"> عامي</w:t>
      </w:r>
      <w:r>
        <w:rPr>
          <w:rFonts w:hint="cs"/>
          <w:rtl/>
          <w:lang w:bidi="ar-EG"/>
        </w:rPr>
        <w:t xml:space="preserve"> 2014-2015. </w:t>
      </w:r>
      <w:proofErr w:type="gramStart"/>
      <w:r>
        <w:rPr>
          <w:rFonts w:hint="cs"/>
          <w:rtl/>
          <w:lang w:bidi="ar-EG"/>
        </w:rPr>
        <w:t>فسعياً</w:t>
      </w:r>
      <w:proofErr w:type="gramEnd"/>
      <w:r>
        <w:rPr>
          <w:rFonts w:hint="cs"/>
          <w:rtl/>
          <w:lang w:bidi="ar-EG"/>
        </w:rPr>
        <w:t xml:space="preserve"> إلى توفير الوقت والجهد، تقتضي هذه الفقرة من اللجنة أن تقدم نتائج أعمالها إلى الجمعية العامة في عام 2016. ويعني ذلك </w:t>
      </w:r>
      <w:r w:rsidR="00B70D87">
        <w:rPr>
          <w:rFonts w:hint="cs"/>
          <w:rtl/>
          <w:lang w:bidi="ar-EG"/>
        </w:rPr>
        <w:t>انعدام</w:t>
      </w:r>
      <w:r>
        <w:rPr>
          <w:rFonts w:hint="cs"/>
          <w:rtl/>
          <w:lang w:bidi="ar-EG"/>
        </w:rPr>
        <w:t xml:space="preserve"> ضرورة إعداد أي تقارير أو إبداء أية توصيات أو حتى تنظيم عملية تقييم أو أي نشاط آخر. </w:t>
      </w:r>
      <w:proofErr w:type="gramStart"/>
      <w:r>
        <w:rPr>
          <w:rFonts w:hint="cs"/>
          <w:rtl/>
          <w:lang w:bidi="ar-EG"/>
        </w:rPr>
        <w:t>إذ</w:t>
      </w:r>
      <w:proofErr w:type="gramEnd"/>
      <w:r>
        <w:rPr>
          <w:rFonts w:hint="cs"/>
          <w:rtl/>
          <w:lang w:bidi="ar-EG"/>
        </w:rPr>
        <w:t xml:space="preserve"> </w:t>
      </w:r>
      <w:r w:rsidR="00B70D87">
        <w:rPr>
          <w:rFonts w:hint="cs"/>
          <w:rtl/>
          <w:lang w:bidi="ar-EG"/>
        </w:rPr>
        <w:t>إن هذا النوع من الوثائق مثير</w:t>
      </w:r>
      <w:r>
        <w:rPr>
          <w:rFonts w:hint="cs"/>
          <w:rtl/>
          <w:lang w:bidi="ar-EG"/>
        </w:rPr>
        <w:t xml:space="preserve"> للجدل ويضطر اللجنة لتخصيص وقت هائل من المناقشات الموضوعية </w:t>
      </w:r>
      <w:r w:rsidR="008666DB">
        <w:rPr>
          <w:rFonts w:hint="cs"/>
          <w:rtl/>
          <w:lang w:bidi="ar-EG"/>
        </w:rPr>
        <w:t>ل</w:t>
      </w:r>
      <w:r>
        <w:rPr>
          <w:rFonts w:hint="cs"/>
          <w:rtl/>
          <w:lang w:bidi="ar-EG"/>
        </w:rPr>
        <w:t>إعداد هذه الوثائق.</w:t>
      </w:r>
      <w:r w:rsidR="008666DB">
        <w:rPr>
          <w:rFonts w:hint="cs"/>
          <w:rtl/>
          <w:lang w:bidi="ar-EG"/>
        </w:rPr>
        <w:t xml:space="preserve"> ومن ثم، سيؤدي انعدام ضرورة إعداد هذه التقارير أو التوصيات إلى تركيز اللجنة حصراً على عملها الموضوعي.</w:t>
      </w:r>
    </w:p>
    <w:p w:rsidR="004368E2" w:rsidRPr="008666DB" w:rsidRDefault="004368E2" w:rsidP="004368E2">
      <w:pPr>
        <w:pStyle w:val="NormalParaAR"/>
        <w:keepNext/>
        <w:spacing w:before="120"/>
        <w:rPr>
          <w:rtl/>
          <w:lang w:bidi="ar-EG"/>
        </w:rPr>
      </w:pPr>
      <w:r w:rsidRPr="008666DB">
        <w:rPr>
          <w:rFonts w:hint="cs"/>
          <w:b/>
          <w:bCs/>
          <w:rtl/>
          <w:lang w:bidi="ar-EG"/>
        </w:rPr>
        <w:t>5.</w:t>
      </w:r>
      <w:r w:rsidRPr="008666DB">
        <w:rPr>
          <w:b/>
          <w:bCs/>
          <w:rtl/>
          <w:lang w:bidi="ar-EG"/>
        </w:rPr>
        <w:tab/>
      </w:r>
      <w:r w:rsidR="008666DB" w:rsidRPr="008666DB">
        <w:rPr>
          <w:rFonts w:hint="cs"/>
          <w:b/>
          <w:bCs/>
          <w:u w:val="single"/>
          <w:rtl/>
          <w:lang w:bidi="ar-EG"/>
        </w:rPr>
        <w:t>الفقرة (د)</w:t>
      </w:r>
    </w:p>
    <w:p w:rsidR="004368E2" w:rsidRDefault="008666DB" w:rsidP="00B70D87">
      <w:pPr>
        <w:pStyle w:val="NormalParaAR"/>
        <w:spacing w:before="120"/>
        <w:rPr>
          <w:rtl/>
          <w:lang w:bidi="ar-EG"/>
        </w:rPr>
      </w:pPr>
      <w:r>
        <w:rPr>
          <w:rFonts w:hint="cs"/>
          <w:rtl/>
          <w:lang w:bidi="ar-EG"/>
        </w:rPr>
        <w:t xml:space="preserve">يُلتمس من اللجنة في هذه الفقرة أن </w:t>
      </w:r>
      <w:r w:rsidR="00B70D87">
        <w:rPr>
          <w:rFonts w:hint="cs"/>
          <w:rtl/>
          <w:lang w:bidi="ar-EG"/>
        </w:rPr>
        <w:t>تقدم</w:t>
      </w:r>
      <w:r>
        <w:rPr>
          <w:rFonts w:hint="cs"/>
          <w:rtl/>
          <w:lang w:bidi="ar-EG"/>
        </w:rPr>
        <w:t xml:space="preserve"> توصية إلى الجمعية العامة للويبو لعام 2017 بشأن العمل المقبل، وتتيح للجنة عدة خيارات لتحقيق ذلك بحلول نهاية الثنائية. وعلى الرغم من أن هدف اللجنة مبيَّن بوضوح في الفقرة (أ) "[</w:t>
      </w:r>
      <w:r>
        <w:rPr>
          <w:lang w:bidi="ar-EG"/>
        </w:rPr>
        <w:t>…</w:t>
      </w:r>
      <w:r>
        <w:rPr>
          <w:rFonts w:hint="cs"/>
          <w:rtl/>
          <w:lang w:bidi="ar-EG"/>
        </w:rPr>
        <w:t xml:space="preserve">] </w:t>
      </w:r>
      <w:r w:rsidRPr="008666DB">
        <w:rPr>
          <w:rtl/>
          <w:lang w:bidi="ar-EG"/>
        </w:rPr>
        <w:t>بهدف التوصل إلى اتفاق حول نص</w:t>
      </w:r>
      <w:r>
        <w:rPr>
          <w:rFonts w:hint="cs"/>
          <w:rtl/>
          <w:lang w:bidi="ar-EG"/>
        </w:rPr>
        <w:t xml:space="preserve"> [</w:t>
      </w:r>
      <w:r>
        <w:rPr>
          <w:lang w:bidi="ar-EG"/>
        </w:rPr>
        <w:t>…</w:t>
      </w:r>
      <w:r>
        <w:rPr>
          <w:rFonts w:hint="cs"/>
          <w:rtl/>
          <w:lang w:bidi="ar-EG"/>
        </w:rPr>
        <w:t xml:space="preserve">]"، فإن الخيارات المذكورة صراحة في الفقرة (د) تشمل عقد مؤتمر دبلوماسي ومواصلة المفاوضات أو استكمالها عند الاقتضاء. </w:t>
      </w:r>
      <w:proofErr w:type="gramStart"/>
      <w:r>
        <w:rPr>
          <w:rFonts w:hint="cs"/>
          <w:rtl/>
          <w:lang w:bidi="ar-EG"/>
        </w:rPr>
        <w:t>ولعل</w:t>
      </w:r>
      <w:proofErr w:type="gramEnd"/>
      <w:r>
        <w:rPr>
          <w:rFonts w:hint="cs"/>
          <w:rtl/>
          <w:lang w:bidi="ar-EG"/>
        </w:rPr>
        <w:t xml:space="preserve"> منح اللجنة هذه الخيارات يوفر للدول الأعضاء المرونة اللازمة للبت في سبل المضي قدماً في نهاية الثنائية فضلاً عن تحديد الأهداف المنشودة من جهود اللجنة إلى حد ما.</w:t>
      </w:r>
    </w:p>
    <w:p w:rsidR="004368E2" w:rsidRPr="008666DB" w:rsidRDefault="004368E2" w:rsidP="004368E2">
      <w:pPr>
        <w:pStyle w:val="NormalParaAR"/>
        <w:keepNext/>
        <w:spacing w:before="120"/>
        <w:rPr>
          <w:u w:val="single"/>
          <w:rtl/>
          <w:lang w:bidi="ar-EG"/>
        </w:rPr>
      </w:pPr>
      <w:r w:rsidRPr="008666DB">
        <w:rPr>
          <w:rFonts w:hint="cs"/>
          <w:b/>
          <w:bCs/>
          <w:rtl/>
          <w:lang w:bidi="ar-EG"/>
        </w:rPr>
        <w:t>6.</w:t>
      </w:r>
      <w:r w:rsidRPr="008666DB">
        <w:rPr>
          <w:b/>
          <w:bCs/>
          <w:rtl/>
          <w:lang w:bidi="ar-EG"/>
        </w:rPr>
        <w:tab/>
      </w:r>
      <w:r w:rsidR="008666DB" w:rsidRPr="008666DB">
        <w:rPr>
          <w:rFonts w:hint="cs"/>
          <w:b/>
          <w:bCs/>
          <w:u w:val="single"/>
          <w:rtl/>
          <w:lang w:bidi="ar-EG"/>
        </w:rPr>
        <w:t>الفقرة (ه)</w:t>
      </w:r>
    </w:p>
    <w:p w:rsidR="004368E2" w:rsidRDefault="008666DB" w:rsidP="008666DB">
      <w:pPr>
        <w:pStyle w:val="NormalParaAR"/>
        <w:spacing w:before="120"/>
        <w:rPr>
          <w:rtl/>
          <w:lang w:bidi="ar-EG"/>
        </w:rPr>
      </w:pPr>
      <w:proofErr w:type="gramStart"/>
      <w:r>
        <w:rPr>
          <w:rFonts w:hint="cs"/>
          <w:rtl/>
          <w:lang w:bidi="ar-EG"/>
        </w:rPr>
        <w:t>تبقى</w:t>
      </w:r>
      <w:proofErr w:type="gramEnd"/>
      <w:r>
        <w:rPr>
          <w:rFonts w:hint="cs"/>
          <w:rtl/>
          <w:lang w:bidi="ar-EG"/>
        </w:rPr>
        <w:t xml:space="preserve"> صيغة الفقرة (ه) من مشروع الولاية للثنائية 2016-2017 دون تغيير مقارنة بالفقرة (ج) من ولاية اللجنة لعامي 2014-2015 باستثناء تحديث الوثائق المذكورة.</w:t>
      </w:r>
    </w:p>
    <w:p w:rsidR="004368E2" w:rsidRPr="008666DB" w:rsidRDefault="004368E2" w:rsidP="004368E2">
      <w:pPr>
        <w:pStyle w:val="NormalParaAR"/>
        <w:keepNext/>
        <w:spacing w:before="120"/>
        <w:rPr>
          <w:u w:val="single"/>
          <w:rtl/>
          <w:lang w:bidi="ar-EG"/>
        </w:rPr>
      </w:pPr>
      <w:r w:rsidRPr="00467020">
        <w:rPr>
          <w:rFonts w:hint="cs"/>
          <w:b/>
          <w:bCs/>
          <w:rtl/>
          <w:lang w:bidi="ar-EG"/>
        </w:rPr>
        <w:t>7.</w:t>
      </w:r>
      <w:r w:rsidRPr="00467020">
        <w:rPr>
          <w:b/>
          <w:bCs/>
          <w:rtl/>
          <w:lang w:bidi="ar-EG"/>
        </w:rPr>
        <w:tab/>
      </w:r>
      <w:r w:rsidR="008666DB">
        <w:rPr>
          <w:rFonts w:hint="cs"/>
          <w:b/>
          <w:bCs/>
          <w:u w:val="single"/>
          <w:rtl/>
          <w:lang w:bidi="ar-EG"/>
        </w:rPr>
        <w:t>الفقرة (و)</w:t>
      </w:r>
    </w:p>
    <w:p w:rsidR="004368E2" w:rsidRDefault="008666DB" w:rsidP="008666DB">
      <w:pPr>
        <w:pStyle w:val="NormalParaAR"/>
        <w:spacing w:before="120"/>
        <w:rPr>
          <w:rtl/>
          <w:lang w:bidi="ar-EG"/>
        </w:rPr>
      </w:pPr>
      <w:proofErr w:type="gramStart"/>
      <w:r>
        <w:rPr>
          <w:rFonts w:hint="cs"/>
          <w:rtl/>
          <w:lang w:bidi="ar-EG"/>
        </w:rPr>
        <w:t>تبقى</w:t>
      </w:r>
      <w:proofErr w:type="gramEnd"/>
      <w:r>
        <w:rPr>
          <w:rFonts w:hint="cs"/>
          <w:rtl/>
          <w:lang w:bidi="ar-EG"/>
        </w:rPr>
        <w:t xml:space="preserve"> صيغة الفقرة (و) من مشروع الولاية للثنائية 2016-2017 دون تغيير مقارنة بالفقرة (ه) من ولاية اللجنة لعامي 2014-2015.</w:t>
      </w:r>
    </w:p>
    <w:p w:rsidR="004368E2" w:rsidRPr="008666DB" w:rsidRDefault="004368E2" w:rsidP="004368E2">
      <w:pPr>
        <w:pStyle w:val="NormalParaAR"/>
        <w:keepNext/>
        <w:spacing w:before="120"/>
        <w:rPr>
          <w:u w:val="single"/>
          <w:rtl/>
          <w:lang w:bidi="ar-EG"/>
        </w:rPr>
      </w:pPr>
      <w:r w:rsidRPr="008666DB">
        <w:rPr>
          <w:rFonts w:hint="cs"/>
          <w:b/>
          <w:bCs/>
          <w:rtl/>
          <w:lang w:bidi="ar-EG"/>
        </w:rPr>
        <w:t>8.</w:t>
      </w:r>
      <w:r w:rsidRPr="008666DB">
        <w:rPr>
          <w:b/>
          <w:bCs/>
          <w:rtl/>
          <w:lang w:bidi="ar-EG"/>
        </w:rPr>
        <w:tab/>
      </w:r>
      <w:r w:rsidR="008666DB" w:rsidRPr="008666DB">
        <w:rPr>
          <w:rFonts w:hint="cs"/>
          <w:b/>
          <w:bCs/>
          <w:u w:val="single"/>
          <w:rtl/>
          <w:lang w:bidi="ar-EG"/>
        </w:rPr>
        <w:t>الفقرة الأخيرة غير المرق</w:t>
      </w:r>
      <w:r w:rsidR="003E54B7">
        <w:rPr>
          <w:rFonts w:hint="cs"/>
          <w:b/>
          <w:bCs/>
          <w:u w:val="single"/>
          <w:rtl/>
          <w:lang w:bidi="ar-EG"/>
        </w:rPr>
        <w:t>َّ</w:t>
      </w:r>
      <w:r w:rsidR="008666DB" w:rsidRPr="008666DB">
        <w:rPr>
          <w:rFonts w:hint="cs"/>
          <w:b/>
          <w:bCs/>
          <w:u w:val="single"/>
          <w:rtl/>
          <w:lang w:bidi="ar-EG"/>
        </w:rPr>
        <w:t>مة</w:t>
      </w:r>
    </w:p>
    <w:p w:rsidR="004368E2" w:rsidRPr="004368E2" w:rsidRDefault="008666DB" w:rsidP="008666DB">
      <w:pPr>
        <w:pStyle w:val="NormalParaAR"/>
        <w:spacing w:before="120"/>
        <w:rPr>
          <w:rtl/>
          <w:lang w:bidi="ar-EG"/>
        </w:rPr>
      </w:pPr>
      <w:proofErr w:type="gramStart"/>
      <w:r>
        <w:rPr>
          <w:rFonts w:hint="cs"/>
          <w:rtl/>
          <w:lang w:bidi="ar-EG"/>
        </w:rPr>
        <w:t>تبقى</w:t>
      </w:r>
      <w:proofErr w:type="gramEnd"/>
      <w:r>
        <w:rPr>
          <w:rFonts w:hint="cs"/>
          <w:rtl/>
          <w:lang w:bidi="ar-EG"/>
        </w:rPr>
        <w:t xml:space="preserve"> صيغة الفقرة الأخيرة غير المرق</w:t>
      </w:r>
      <w:r w:rsidR="003E54B7">
        <w:rPr>
          <w:rFonts w:hint="cs"/>
          <w:rtl/>
          <w:lang w:bidi="ar-EG"/>
        </w:rPr>
        <w:t>َّ</w:t>
      </w:r>
      <w:r>
        <w:rPr>
          <w:rFonts w:hint="cs"/>
          <w:rtl/>
          <w:lang w:bidi="ar-EG"/>
        </w:rPr>
        <w:t>مة من مشروع الولاية للثنائية 2016-2017 دون تغيير مقارنة بالفقرة ذاتها من ولاية اللجنة لعامي 2014-2015.</w:t>
      </w:r>
    </w:p>
    <w:p w:rsidR="0048109D" w:rsidRDefault="0048109D" w:rsidP="0048109D">
      <w:pPr>
        <w:pStyle w:val="EndofDocumentAR"/>
        <w:rPr>
          <w:rtl/>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48109D" w:rsidSect="004C1F29">
      <w:head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C7" w:rsidRDefault="002604C7">
      <w:r>
        <w:separator/>
      </w:r>
    </w:p>
  </w:endnote>
  <w:endnote w:type="continuationSeparator" w:id="0">
    <w:p w:rsidR="002604C7" w:rsidRDefault="0026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50" w:rsidRPr="00BC3350" w:rsidRDefault="00BC3350" w:rsidP="00BC3350">
    <w:pPr>
      <w:pStyle w:val="Footer"/>
      <w:bidi/>
      <w:jc w:val="right"/>
      <w:rPr>
        <w:rFonts w:ascii="Arabic Typesetting" w:hAnsi="Arabic Typesetting" w:cs="Arabic Typesetting"/>
        <w:sz w:val="36"/>
        <w:szCs w:val="36"/>
        <w:lang w:bidi="ar-EG"/>
      </w:rPr>
    </w:pPr>
    <w:r w:rsidRPr="00BC3350">
      <w:rPr>
        <w:rFonts w:ascii="Arabic Typesetting" w:hAnsi="Arabic Typesetting" w:cs="Arabic Typesetting"/>
        <w:sz w:val="36"/>
        <w:szCs w:val="36"/>
        <w:rtl/>
        <w:lang w:bidi="ar-EG"/>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C7" w:rsidRDefault="002604C7" w:rsidP="009622BF">
      <w:pPr>
        <w:bidi/>
      </w:pPr>
      <w:bookmarkStart w:id="0" w:name="OLE_LINK1"/>
      <w:bookmarkStart w:id="1" w:name="OLE_LINK2"/>
      <w:r>
        <w:separator/>
      </w:r>
      <w:bookmarkEnd w:id="0"/>
      <w:bookmarkEnd w:id="1"/>
    </w:p>
  </w:footnote>
  <w:footnote w:type="continuationSeparator" w:id="0">
    <w:p w:rsidR="002604C7" w:rsidRDefault="002604C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A834F7">
    <w:r>
      <w:t>W</w:t>
    </w:r>
    <w:r w:rsidR="00772E46">
      <w:t>O/</w:t>
    </w:r>
    <w:r w:rsidR="0059089F">
      <w:t>GA</w:t>
    </w:r>
    <w:r w:rsidR="002F77FC">
      <w:t>/</w:t>
    </w:r>
    <w:r w:rsidR="00A834F7">
      <w:rPr>
        <w:rFonts w:hint="cs"/>
        <w:rtl/>
      </w:rPr>
      <w:t>47</w:t>
    </w:r>
    <w:r w:rsidR="002F77FC">
      <w:t>/--</w:t>
    </w:r>
  </w:p>
  <w:p w:rsidR="002F77FC" w:rsidRDefault="002F77FC" w:rsidP="00D61541">
    <w:r>
      <w:fldChar w:fldCharType="begin"/>
    </w:r>
    <w:r>
      <w:instrText xml:space="preserve"> PAGE  \* MERGEFORMAT </w:instrText>
    </w:r>
    <w:r>
      <w:fldChar w:fldCharType="separate"/>
    </w:r>
    <w:r w:rsidR="00BC3350">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29" w:rsidRPr="004C1F29" w:rsidRDefault="004C1F29" w:rsidP="004C1F29">
    <w:pPr>
      <w:pStyle w:val="Header"/>
    </w:pPr>
    <w:r w:rsidRPr="004C1F29">
      <w:t>WO/GA/47/18</w:t>
    </w:r>
  </w:p>
  <w:p w:rsidR="004C1F29" w:rsidRPr="004C1F29" w:rsidRDefault="004C1F29" w:rsidP="004C1F29">
    <w:pPr>
      <w:pStyle w:val="Header"/>
    </w:pPr>
    <w:r w:rsidRPr="004C1F29">
      <w:t>Annex</w:t>
    </w:r>
  </w:p>
  <w:p w:rsidR="004C1F29" w:rsidRDefault="004C1F29">
    <w:pPr>
      <w:pStyle w:val="Header"/>
    </w:pPr>
    <w:sdt>
      <w:sdtPr>
        <w:id w:val="14940631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A58A2">
          <w:rPr>
            <w:noProof/>
          </w:rPr>
          <w:t>6</w:t>
        </w:r>
        <w:r>
          <w:rPr>
            <w:noProof/>
          </w:rPr>
          <w:fldChar w:fldCharType="end"/>
        </w:r>
      </w:sdtContent>
    </w:sdt>
  </w:p>
  <w:p w:rsidR="00BC3350" w:rsidRDefault="00BC335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6B" w:rsidRDefault="00D13B6B" w:rsidP="00D13B6B">
    <w:r>
      <w:t>WO/GA/47/18</w:t>
    </w:r>
  </w:p>
  <w:p w:rsidR="00D13B6B" w:rsidRDefault="00D13B6B" w:rsidP="00D13B6B">
    <w:r>
      <w:t>ANNEX</w:t>
    </w:r>
  </w:p>
  <w:p w:rsidR="0048109D" w:rsidRDefault="00D13B6B" w:rsidP="0048109D">
    <w:pPr>
      <w:pStyle w:val="Header"/>
      <w:bidi/>
      <w:jc w:val="right"/>
      <w:rPr>
        <w:rFonts w:ascii="Arabic Typesetting" w:hAnsi="Arabic Typesetting" w:cs="Arabic Typesetting"/>
        <w:sz w:val="36"/>
        <w:szCs w:val="36"/>
        <w:lang w:bidi="ar-EG"/>
      </w:rPr>
    </w:pPr>
    <w:r w:rsidRPr="00D13B6B">
      <w:rPr>
        <w:rFonts w:ascii="Arabic Typesetting" w:hAnsi="Arabic Typesetting" w:cs="Arabic Typesetting"/>
        <w:sz w:val="36"/>
        <w:szCs w:val="36"/>
        <w:rtl/>
        <w:lang w:bidi="ar-EG"/>
      </w:rPr>
      <w:t>المرفق</w:t>
    </w:r>
  </w:p>
  <w:p w:rsidR="0048109D" w:rsidRPr="0048109D" w:rsidRDefault="0048109D" w:rsidP="00481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373F2B"/>
    <w:multiLevelType w:val="hybridMultilevel"/>
    <w:tmpl w:val="375414B8"/>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6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448"/>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BF"/>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4C7"/>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4B7"/>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68E2"/>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020"/>
    <w:rsid w:val="00472043"/>
    <w:rsid w:val="00472F56"/>
    <w:rsid w:val="0047335E"/>
    <w:rsid w:val="00473CA1"/>
    <w:rsid w:val="0047572C"/>
    <w:rsid w:val="00476407"/>
    <w:rsid w:val="004773F7"/>
    <w:rsid w:val="0048109D"/>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167"/>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1F29"/>
    <w:rsid w:val="004C2F7C"/>
    <w:rsid w:val="004C34F8"/>
    <w:rsid w:val="004C375F"/>
    <w:rsid w:val="004C482F"/>
    <w:rsid w:val="004C498B"/>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8A2"/>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F9F"/>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904"/>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6D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8A4"/>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C80"/>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DF4"/>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EF6"/>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118"/>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0D87"/>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35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0F40"/>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B6B"/>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2FF"/>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C4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8A1"/>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D8A"/>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C1F2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C1F2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96C1-ADBE-44A7-8B15-A2BA3D2F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185</TotalTime>
  <Pages>7</Pages>
  <Words>1813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WO/GA/47/18 (Arabic)</vt:lpstr>
    </vt:vector>
  </TitlesOfParts>
  <Company>World Intellectual Property Organization</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WO/GA/47/18 (Arabic)</dc:title>
  <dc:creator>Ahmed Hassan</dc:creator>
  <cp:keywords>38139A</cp:keywords>
  <cp:lastModifiedBy>YOUSSEF Randa</cp:lastModifiedBy>
  <cp:revision>10</cp:revision>
  <cp:lastPrinted>2015-09-28T08:09:00Z</cp:lastPrinted>
  <dcterms:created xsi:type="dcterms:W3CDTF">2015-09-25T09:58:00Z</dcterms:created>
  <dcterms:modified xsi:type="dcterms:W3CDTF">2015-09-28T08:10:00Z</dcterms:modified>
</cp:coreProperties>
</file>